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96C30">
        <w:tblPrEx>
          <w:tblCellMar>
            <w:top w:w="0" w:type="dxa"/>
            <w:bottom w:w="0" w:type="dxa"/>
          </w:tblCellMar>
        </w:tblPrEx>
        <w:tc>
          <w:tcPr>
            <w:tcW w:w="2268" w:type="dxa"/>
          </w:tcPr>
          <w:p w:rsidR="006E4E11" w:rsidRPr="00A96C3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96C30" w:rsidRDefault="006E4E11" w:rsidP="007242A3">
            <w:pPr>
              <w:framePr w:w="5035" w:h="1644" w:wrap="notBeside" w:vAnchor="page" w:hAnchor="page" w:x="6573" w:y="721"/>
              <w:rPr>
                <w:rFonts w:ascii="TradeGothic" w:hAnsi="TradeGothic"/>
                <w:i/>
                <w:sz w:val="18"/>
              </w:rPr>
            </w:pPr>
          </w:p>
        </w:tc>
      </w:tr>
      <w:tr w:rsidR="006E4E11" w:rsidRPr="00A96C30">
        <w:tblPrEx>
          <w:tblCellMar>
            <w:top w:w="0" w:type="dxa"/>
            <w:bottom w:w="0" w:type="dxa"/>
          </w:tblCellMar>
        </w:tblPrEx>
        <w:tc>
          <w:tcPr>
            <w:tcW w:w="2268" w:type="dxa"/>
          </w:tcPr>
          <w:p w:rsidR="006E4E11" w:rsidRPr="00A96C30" w:rsidRDefault="00856A3C" w:rsidP="007242A3">
            <w:pPr>
              <w:framePr w:w="5035" w:h="1644" w:wrap="notBeside" w:vAnchor="page" w:hAnchor="page" w:x="6573" w:y="721"/>
              <w:rPr>
                <w:rFonts w:ascii="TradeGothic" w:hAnsi="TradeGothic"/>
                <w:b/>
                <w:sz w:val="22"/>
              </w:rPr>
            </w:pPr>
            <w:r w:rsidRPr="00A96C30">
              <w:rPr>
                <w:rFonts w:ascii="TradeGothic" w:hAnsi="TradeGothic"/>
                <w:b/>
                <w:sz w:val="22"/>
              </w:rPr>
              <w:t xml:space="preserve">Annoteringar </w:t>
            </w:r>
          </w:p>
        </w:tc>
        <w:tc>
          <w:tcPr>
            <w:tcW w:w="2999" w:type="dxa"/>
            <w:gridSpan w:val="2"/>
          </w:tcPr>
          <w:p w:rsidR="006E4E11" w:rsidRPr="00A96C30" w:rsidRDefault="006E4E11" w:rsidP="007242A3">
            <w:pPr>
              <w:framePr w:w="5035" w:h="1644" w:wrap="notBeside" w:vAnchor="page" w:hAnchor="page" w:x="6573" w:y="721"/>
              <w:rPr>
                <w:rFonts w:ascii="TradeGothic" w:hAnsi="TradeGothic"/>
                <w:b/>
                <w:sz w:val="22"/>
              </w:rPr>
            </w:pPr>
          </w:p>
        </w:tc>
      </w:tr>
      <w:tr w:rsidR="006E4E11" w:rsidRPr="00A96C30">
        <w:tblPrEx>
          <w:tblCellMar>
            <w:top w:w="0" w:type="dxa"/>
            <w:bottom w:w="0" w:type="dxa"/>
          </w:tblCellMar>
        </w:tblPrEx>
        <w:tc>
          <w:tcPr>
            <w:tcW w:w="3402" w:type="dxa"/>
            <w:gridSpan w:val="2"/>
          </w:tcPr>
          <w:p w:rsidR="006E4E11" w:rsidRPr="00A96C30" w:rsidRDefault="006E4E11" w:rsidP="007242A3">
            <w:pPr>
              <w:framePr w:w="5035" w:h="1644" w:wrap="notBeside" w:vAnchor="page" w:hAnchor="page" w:x="6573" w:y="721"/>
            </w:pPr>
          </w:p>
        </w:tc>
        <w:tc>
          <w:tcPr>
            <w:tcW w:w="1865" w:type="dxa"/>
          </w:tcPr>
          <w:p w:rsidR="006E4E11" w:rsidRPr="00A96C30" w:rsidRDefault="006E4E11" w:rsidP="007242A3">
            <w:pPr>
              <w:framePr w:w="5035" w:h="1644" w:wrap="notBeside" w:vAnchor="page" w:hAnchor="page" w:x="6573" w:y="721"/>
            </w:pPr>
          </w:p>
        </w:tc>
      </w:tr>
      <w:tr w:rsidR="006E4E11" w:rsidRPr="00A96C30">
        <w:tblPrEx>
          <w:tblCellMar>
            <w:top w:w="0" w:type="dxa"/>
            <w:bottom w:w="0" w:type="dxa"/>
          </w:tblCellMar>
        </w:tblPrEx>
        <w:tc>
          <w:tcPr>
            <w:tcW w:w="2268" w:type="dxa"/>
          </w:tcPr>
          <w:p w:rsidR="006E4E11" w:rsidRPr="00A96C30" w:rsidRDefault="00856A3C" w:rsidP="007242A3">
            <w:pPr>
              <w:framePr w:w="5035" w:h="1644" w:wrap="notBeside" w:vAnchor="page" w:hAnchor="page" w:x="6573" w:y="721"/>
            </w:pPr>
            <w:r w:rsidRPr="00A96C30">
              <w:t>20</w:t>
            </w:r>
            <w:r w:rsidR="00557C90" w:rsidRPr="00A96C30">
              <w:t>1</w:t>
            </w:r>
            <w:r w:rsidR="000921BE" w:rsidRPr="00A96C30">
              <w:t>1-0</w:t>
            </w:r>
            <w:r w:rsidR="00F855E1" w:rsidRPr="00A96C30">
              <w:t>5-0</w:t>
            </w:r>
            <w:r w:rsidR="000D6091" w:rsidRPr="00A96C30">
              <w:t>9</w:t>
            </w:r>
          </w:p>
        </w:tc>
        <w:tc>
          <w:tcPr>
            <w:tcW w:w="2999" w:type="dxa"/>
            <w:gridSpan w:val="2"/>
          </w:tcPr>
          <w:p w:rsidR="006E4E11" w:rsidRPr="00A96C30" w:rsidRDefault="006E4E11" w:rsidP="007242A3">
            <w:pPr>
              <w:framePr w:w="5035" w:h="1644" w:wrap="notBeside" w:vAnchor="page" w:hAnchor="page" w:x="6573" w:y="721"/>
            </w:pPr>
          </w:p>
        </w:tc>
      </w:tr>
      <w:tr w:rsidR="006E4E11" w:rsidRPr="00A96C30">
        <w:tblPrEx>
          <w:tblCellMar>
            <w:top w:w="0" w:type="dxa"/>
            <w:bottom w:w="0" w:type="dxa"/>
          </w:tblCellMar>
        </w:tblPrEx>
        <w:tc>
          <w:tcPr>
            <w:tcW w:w="2268" w:type="dxa"/>
          </w:tcPr>
          <w:p w:rsidR="006E4E11" w:rsidRPr="00A96C30" w:rsidRDefault="006E4E11" w:rsidP="007242A3">
            <w:pPr>
              <w:framePr w:w="5035" w:h="1644" w:wrap="notBeside" w:vAnchor="page" w:hAnchor="page" w:x="6573" w:y="721"/>
            </w:pPr>
          </w:p>
        </w:tc>
        <w:tc>
          <w:tcPr>
            <w:tcW w:w="2999" w:type="dxa"/>
            <w:gridSpan w:val="2"/>
          </w:tcPr>
          <w:p w:rsidR="006E4E11" w:rsidRPr="00A96C3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96C30">
        <w:tblPrEx>
          <w:tblCellMar>
            <w:top w:w="0" w:type="dxa"/>
            <w:bottom w:w="0" w:type="dxa"/>
          </w:tblCellMar>
        </w:tblPrEx>
        <w:trPr>
          <w:trHeight w:val="284"/>
        </w:trPr>
        <w:tc>
          <w:tcPr>
            <w:tcW w:w="4911" w:type="dxa"/>
          </w:tcPr>
          <w:p w:rsidR="006E4E11" w:rsidRPr="00A96C30" w:rsidRDefault="00856A3C">
            <w:pPr>
              <w:pStyle w:val="Avsndare"/>
              <w:framePr w:h="2483" w:wrap="notBeside" w:x="1504"/>
              <w:rPr>
                <w:b/>
                <w:i w:val="0"/>
                <w:sz w:val="22"/>
              </w:rPr>
            </w:pPr>
            <w:r w:rsidRPr="00A96C30">
              <w:rPr>
                <w:b/>
                <w:i w:val="0"/>
                <w:sz w:val="22"/>
              </w:rPr>
              <w:t>Finansdepartementet</w:t>
            </w:r>
          </w:p>
        </w:tc>
      </w:tr>
      <w:tr w:rsidR="006E4E11" w:rsidRPr="00A96C30">
        <w:tblPrEx>
          <w:tblCellMar>
            <w:top w:w="0" w:type="dxa"/>
            <w:bottom w:w="0" w:type="dxa"/>
          </w:tblCellMar>
        </w:tblPrEx>
        <w:trPr>
          <w:trHeight w:val="284"/>
        </w:trPr>
        <w:tc>
          <w:tcPr>
            <w:tcW w:w="4911" w:type="dxa"/>
          </w:tcPr>
          <w:p w:rsidR="006E4E11" w:rsidRPr="00A96C30" w:rsidRDefault="006E4E11">
            <w:pPr>
              <w:pStyle w:val="Avsndare"/>
              <w:framePr w:h="2483" w:wrap="notBeside" w:x="1504"/>
              <w:rPr>
                <w:bCs/>
                <w:iCs/>
              </w:rPr>
            </w:pPr>
          </w:p>
        </w:tc>
      </w:tr>
      <w:tr w:rsidR="006E4E11" w:rsidRPr="00A96C30">
        <w:tblPrEx>
          <w:tblCellMar>
            <w:top w:w="0" w:type="dxa"/>
            <w:bottom w:w="0" w:type="dxa"/>
          </w:tblCellMar>
        </w:tblPrEx>
        <w:trPr>
          <w:trHeight w:val="284"/>
        </w:trPr>
        <w:tc>
          <w:tcPr>
            <w:tcW w:w="4911" w:type="dxa"/>
          </w:tcPr>
          <w:p w:rsidR="006E4E11" w:rsidRPr="00A96C30" w:rsidRDefault="006E4E11">
            <w:pPr>
              <w:pStyle w:val="Avsndare"/>
              <w:framePr w:h="2483" w:wrap="notBeside" w:x="1504"/>
              <w:rPr>
                <w:bCs/>
                <w:iCs/>
              </w:rPr>
            </w:pPr>
          </w:p>
        </w:tc>
      </w:tr>
      <w:tr w:rsidR="006E4E11" w:rsidRPr="00A96C30">
        <w:tblPrEx>
          <w:tblCellMar>
            <w:top w:w="0" w:type="dxa"/>
            <w:bottom w:w="0" w:type="dxa"/>
          </w:tblCellMar>
        </w:tblPrEx>
        <w:trPr>
          <w:trHeight w:val="284"/>
        </w:trPr>
        <w:tc>
          <w:tcPr>
            <w:tcW w:w="4911" w:type="dxa"/>
          </w:tcPr>
          <w:p w:rsidR="006E4E11" w:rsidRPr="00A96C30" w:rsidRDefault="00856A3C">
            <w:pPr>
              <w:pStyle w:val="Avsndare"/>
              <w:framePr w:h="2483" w:wrap="notBeside" w:x="1504"/>
              <w:rPr>
                <w:bCs/>
                <w:iCs/>
              </w:rPr>
            </w:pPr>
            <w:r w:rsidRPr="00A96C30">
              <w:rPr>
                <w:bCs/>
                <w:iCs/>
              </w:rPr>
              <w:t>Peter Holmgren</w:t>
            </w:r>
          </w:p>
        </w:tc>
      </w:tr>
      <w:tr w:rsidR="006E4E11" w:rsidRPr="00A96C30">
        <w:tblPrEx>
          <w:tblCellMar>
            <w:top w:w="0" w:type="dxa"/>
            <w:bottom w:w="0" w:type="dxa"/>
          </w:tblCellMar>
        </w:tblPrEx>
        <w:trPr>
          <w:trHeight w:val="284"/>
        </w:trPr>
        <w:tc>
          <w:tcPr>
            <w:tcW w:w="4911" w:type="dxa"/>
          </w:tcPr>
          <w:p w:rsidR="006E4E11" w:rsidRPr="00A96C30" w:rsidRDefault="006E4E11">
            <w:pPr>
              <w:pStyle w:val="Avsndare"/>
              <w:framePr w:h="2483" w:wrap="notBeside" w:x="1504"/>
              <w:rPr>
                <w:bCs/>
                <w:iCs/>
              </w:rPr>
            </w:pPr>
          </w:p>
        </w:tc>
      </w:tr>
      <w:tr w:rsidR="006E4E11" w:rsidRPr="00A96C30">
        <w:tblPrEx>
          <w:tblCellMar>
            <w:top w:w="0" w:type="dxa"/>
            <w:bottom w:w="0" w:type="dxa"/>
          </w:tblCellMar>
        </w:tblPrEx>
        <w:trPr>
          <w:trHeight w:val="284"/>
        </w:trPr>
        <w:tc>
          <w:tcPr>
            <w:tcW w:w="4911" w:type="dxa"/>
          </w:tcPr>
          <w:p w:rsidR="006E4E11" w:rsidRPr="00A96C30" w:rsidRDefault="006E4E11">
            <w:pPr>
              <w:pStyle w:val="Avsndare"/>
              <w:framePr w:h="2483" w:wrap="notBeside" w:x="1504"/>
              <w:rPr>
                <w:bCs/>
                <w:iCs/>
              </w:rPr>
            </w:pPr>
          </w:p>
        </w:tc>
      </w:tr>
    </w:tbl>
    <w:p w:rsidR="00856A3C" w:rsidRPr="00A96C30" w:rsidRDefault="00856A3C">
      <w:pPr>
        <w:framePr w:w="4400" w:h="2523" w:wrap="notBeside" w:vAnchor="page" w:hAnchor="page" w:x="6453" w:y="2445"/>
        <w:ind w:left="142"/>
      </w:pPr>
    </w:p>
    <w:p w:rsidR="00856A3C" w:rsidRPr="00A96C30" w:rsidRDefault="00856A3C">
      <w:pPr>
        <w:framePr w:w="4400" w:h="2523" w:wrap="notBeside" w:vAnchor="page" w:hAnchor="page" w:x="6453" w:y="2445"/>
        <w:ind w:left="142"/>
      </w:pPr>
    </w:p>
    <w:p w:rsidR="00F069DE" w:rsidRPr="00A96C30" w:rsidRDefault="00856A3C">
      <w:pPr>
        <w:framePr w:w="4400" w:h="2523" w:wrap="notBeside" w:vAnchor="page" w:hAnchor="page" w:x="6453" w:y="2445"/>
        <w:ind w:left="142"/>
      </w:pPr>
      <w:r w:rsidRPr="00A96C30">
        <w:t xml:space="preserve">Ekofinrådets möte </w:t>
      </w:r>
      <w:r w:rsidR="00F069DE" w:rsidRPr="00A96C30">
        <w:t xml:space="preserve">i </w:t>
      </w:r>
      <w:r w:rsidR="00296623" w:rsidRPr="00A96C30">
        <w:t>Bryssel</w:t>
      </w:r>
      <w:r w:rsidR="00F069DE" w:rsidRPr="00A96C30">
        <w:t xml:space="preserve"> </w:t>
      </w:r>
    </w:p>
    <w:p w:rsidR="00DA5FE2" w:rsidRPr="00A96C30" w:rsidRDefault="00F069DE">
      <w:pPr>
        <w:framePr w:w="4400" w:h="2523" w:wrap="notBeside" w:vAnchor="page" w:hAnchor="page" w:x="6453" w:y="2445"/>
        <w:ind w:left="142"/>
      </w:pPr>
      <w:r w:rsidRPr="00A96C30">
        <w:t>den</w:t>
      </w:r>
      <w:r w:rsidR="002047D3" w:rsidRPr="00A96C30">
        <w:t xml:space="preserve"> </w:t>
      </w:r>
      <w:r w:rsidR="000921BE" w:rsidRPr="00A96C30">
        <w:t>1</w:t>
      </w:r>
      <w:r w:rsidR="00F855E1" w:rsidRPr="00A96C30">
        <w:t xml:space="preserve">7 maj </w:t>
      </w:r>
      <w:r w:rsidR="000921BE" w:rsidRPr="00A96C30">
        <w:t>2011</w:t>
      </w:r>
    </w:p>
    <w:p w:rsidR="006E4E11" w:rsidRPr="00A96C30" w:rsidRDefault="00856A3C" w:rsidP="00856A3C">
      <w:pPr>
        <w:pStyle w:val="RKrubrik"/>
        <w:pBdr>
          <w:bottom w:val="single" w:sz="4" w:space="1" w:color="000000"/>
        </w:pBdr>
        <w:spacing w:before="0" w:after="0"/>
      </w:pPr>
      <w:r w:rsidRPr="00A96C30">
        <w:t>Kommentera</w:t>
      </w:r>
      <w:r w:rsidR="004706A2" w:rsidRPr="00A96C30">
        <w:t>d</w:t>
      </w:r>
      <w:r w:rsidRPr="00A96C30">
        <w:t xml:space="preserve"> dagordning</w:t>
      </w:r>
    </w:p>
    <w:p w:rsidR="006E4E11" w:rsidRPr="00A96C30" w:rsidRDefault="004706A2">
      <w:pPr>
        <w:pStyle w:val="RKnormal"/>
        <w:rPr>
          <w:sz w:val="20"/>
        </w:rPr>
      </w:pPr>
      <w:r w:rsidRPr="00A96C30">
        <w:rPr>
          <w:sz w:val="20"/>
        </w:rPr>
        <w:t>- enligt den preliminära dagordning som framkom vid Coreper den</w:t>
      </w:r>
      <w:r w:rsidR="002047D3" w:rsidRPr="00A96C30">
        <w:rPr>
          <w:sz w:val="20"/>
        </w:rPr>
        <w:t xml:space="preserve"> </w:t>
      </w:r>
      <w:r w:rsidR="00F855E1" w:rsidRPr="00A96C30">
        <w:rPr>
          <w:sz w:val="20"/>
        </w:rPr>
        <w:t>4 maj</w:t>
      </w:r>
    </w:p>
    <w:p w:rsidR="004706A2" w:rsidRPr="00A96C30" w:rsidRDefault="004706A2" w:rsidP="00856A3C">
      <w:pPr>
        <w:pStyle w:val="RKnormal"/>
        <w:tabs>
          <w:tab w:val="clear" w:pos="2835"/>
          <w:tab w:val="left" w:pos="1701"/>
        </w:tabs>
        <w:rPr>
          <w:b/>
        </w:rPr>
      </w:pPr>
    </w:p>
    <w:p w:rsidR="0089124D" w:rsidRPr="00A96C30" w:rsidRDefault="0089124D" w:rsidP="0089124D">
      <w:pPr>
        <w:tabs>
          <w:tab w:val="left" w:pos="1701"/>
        </w:tabs>
        <w:overflowPunct/>
        <w:spacing w:line="240" w:lineRule="auto"/>
        <w:textAlignment w:val="auto"/>
        <w:rPr>
          <w:rFonts w:cs="OrigGarmnd BT"/>
          <w:b/>
          <w:bCs/>
          <w:color w:val="000000"/>
          <w:szCs w:val="24"/>
          <w:lang w:eastAsia="sv-SE"/>
        </w:rPr>
      </w:pPr>
      <w:r w:rsidRPr="00A96C30">
        <w:rPr>
          <w:rFonts w:cs="OrigGarmnd BT"/>
          <w:b/>
          <w:bCs/>
          <w:color w:val="000000"/>
          <w:szCs w:val="24"/>
          <w:lang w:eastAsia="sv-SE"/>
        </w:rPr>
        <w:t>1.</w:t>
      </w:r>
      <w:r w:rsidRPr="00A96C30">
        <w:rPr>
          <w:rFonts w:cs="OrigGarmnd BT"/>
          <w:b/>
          <w:bCs/>
          <w:color w:val="000000"/>
          <w:szCs w:val="24"/>
          <w:lang w:eastAsia="sv-SE"/>
        </w:rPr>
        <w:tab/>
        <w:t>Antagande av den preliminära dagordningen</w:t>
      </w:r>
    </w:p>
    <w:p w:rsidR="0089124D" w:rsidRPr="00A96C30" w:rsidRDefault="0089124D" w:rsidP="0089124D">
      <w:pPr>
        <w:tabs>
          <w:tab w:val="left" w:pos="1701"/>
        </w:tabs>
        <w:overflowPunct/>
        <w:spacing w:line="240" w:lineRule="auto"/>
        <w:textAlignment w:val="auto"/>
        <w:rPr>
          <w:rFonts w:cs="OrigGarmnd BT"/>
          <w:b/>
          <w:bCs/>
          <w:color w:val="000000"/>
          <w:szCs w:val="24"/>
          <w:lang w:eastAsia="sv-SE"/>
        </w:rPr>
      </w:pPr>
    </w:p>
    <w:p w:rsidR="00EF5C7B" w:rsidRPr="00A96C30" w:rsidRDefault="00EF5C7B" w:rsidP="0089124D">
      <w:pPr>
        <w:tabs>
          <w:tab w:val="left" w:pos="1701"/>
        </w:tabs>
        <w:overflowPunct/>
        <w:spacing w:line="240" w:lineRule="auto"/>
        <w:textAlignment w:val="auto"/>
        <w:rPr>
          <w:rFonts w:cs="OrigGarmnd BT"/>
          <w:b/>
          <w:bCs/>
          <w:color w:val="000000"/>
          <w:szCs w:val="24"/>
          <w:lang w:eastAsia="sv-SE"/>
        </w:rPr>
      </w:pPr>
    </w:p>
    <w:p w:rsidR="0089124D" w:rsidRPr="00A96C30" w:rsidRDefault="0089124D" w:rsidP="0089124D">
      <w:pPr>
        <w:tabs>
          <w:tab w:val="left" w:pos="1701"/>
        </w:tabs>
        <w:overflowPunct/>
        <w:spacing w:line="240" w:lineRule="auto"/>
        <w:textAlignment w:val="auto"/>
        <w:rPr>
          <w:rFonts w:cs="OrigGarmnd BT"/>
          <w:b/>
          <w:bCs/>
          <w:color w:val="000000"/>
          <w:szCs w:val="24"/>
          <w:lang w:eastAsia="sv-SE"/>
        </w:rPr>
      </w:pPr>
      <w:r w:rsidRPr="00A96C30">
        <w:rPr>
          <w:rFonts w:cs="OrigGarmnd BT"/>
          <w:b/>
          <w:bCs/>
          <w:color w:val="000000"/>
          <w:szCs w:val="24"/>
          <w:lang w:eastAsia="sv-SE"/>
        </w:rPr>
        <w:t>2.</w:t>
      </w:r>
      <w:r w:rsidRPr="00A96C30">
        <w:rPr>
          <w:rFonts w:cs="OrigGarmnd BT"/>
          <w:b/>
          <w:bCs/>
          <w:color w:val="000000"/>
          <w:szCs w:val="24"/>
          <w:lang w:eastAsia="sv-SE"/>
        </w:rPr>
        <w:tab/>
        <w:t>Godkännande av listorna över A-punkter</w:t>
      </w:r>
    </w:p>
    <w:p w:rsidR="0089124D" w:rsidRPr="00A96C30" w:rsidRDefault="0089124D" w:rsidP="0089124D">
      <w:pPr>
        <w:tabs>
          <w:tab w:val="left" w:pos="1701"/>
        </w:tabs>
        <w:overflowPunct/>
        <w:spacing w:line="240" w:lineRule="auto"/>
        <w:textAlignment w:val="auto"/>
        <w:rPr>
          <w:rFonts w:cs="OrigGarmnd BT"/>
          <w:b/>
          <w:bCs/>
          <w:color w:val="000000"/>
          <w:szCs w:val="24"/>
          <w:lang w:eastAsia="sv-SE"/>
        </w:rPr>
      </w:pPr>
    </w:p>
    <w:p w:rsidR="00FC0814" w:rsidRPr="00A96C30" w:rsidRDefault="00FC0814" w:rsidP="00FC0814">
      <w:pPr>
        <w:tabs>
          <w:tab w:val="left" w:pos="1701"/>
        </w:tabs>
        <w:overflowPunct/>
        <w:spacing w:line="240" w:lineRule="auto"/>
        <w:textAlignment w:val="auto"/>
        <w:rPr>
          <w:rFonts w:cs="OrigGarmnd BT"/>
          <w:bCs/>
          <w:color w:val="000000"/>
          <w:szCs w:val="24"/>
          <w:lang w:eastAsia="sv-SE"/>
        </w:rPr>
      </w:pPr>
      <w:r w:rsidRPr="00A96C30">
        <w:rPr>
          <w:rFonts w:cs="OrigGarmnd BT"/>
          <w:bCs/>
          <w:color w:val="000000"/>
          <w:szCs w:val="24"/>
          <w:lang w:eastAsia="sv-SE"/>
        </w:rPr>
        <w:t>I skrivande stund finns två möjliga a-punkter inom Ekofinrådets ansvarsområden som beräknas kunna antas den 17 maj:</w:t>
      </w:r>
    </w:p>
    <w:p w:rsidR="00FC0814" w:rsidRPr="00A96C30" w:rsidRDefault="00FC0814" w:rsidP="00FC0814">
      <w:pPr>
        <w:tabs>
          <w:tab w:val="left" w:pos="1701"/>
        </w:tabs>
        <w:overflowPunct/>
        <w:spacing w:line="240" w:lineRule="auto"/>
        <w:textAlignment w:val="auto"/>
        <w:rPr>
          <w:rFonts w:cs="OrigGarmnd BT"/>
          <w:b/>
          <w:bCs/>
          <w:color w:val="000000"/>
          <w:szCs w:val="24"/>
          <w:lang w:eastAsia="sv-SE"/>
        </w:rPr>
      </w:pPr>
    </w:p>
    <w:p w:rsidR="00FC0814" w:rsidRPr="00A96C30" w:rsidRDefault="00FC0814" w:rsidP="00FC0814">
      <w:pPr>
        <w:tabs>
          <w:tab w:val="left" w:pos="1701"/>
        </w:tabs>
        <w:overflowPunct/>
        <w:spacing w:line="240" w:lineRule="auto"/>
        <w:textAlignment w:val="auto"/>
        <w:rPr>
          <w:rFonts w:cs="OrigGarmnd BT"/>
          <w:b/>
          <w:color w:val="000000"/>
          <w:szCs w:val="24"/>
          <w:lang w:eastAsia="sv-SE"/>
        </w:rPr>
      </w:pPr>
      <w:r w:rsidRPr="00A96C30">
        <w:rPr>
          <w:rFonts w:cs="OrigGarmnd BT"/>
          <w:b/>
          <w:color w:val="000000"/>
          <w:szCs w:val="24"/>
          <w:lang w:eastAsia="sv-SE"/>
        </w:rPr>
        <w:t xml:space="preserve">Finansiering av klimatförändringar </w:t>
      </w:r>
    </w:p>
    <w:p w:rsidR="00FC0814" w:rsidRPr="00A96C30" w:rsidRDefault="00FC0814" w:rsidP="00FC0814">
      <w:pPr>
        <w:tabs>
          <w:tab w:val="left" w:pos="1701"/>
        </w:tabs>
        <w:overflowPunct/>
        <w:spacing w:line="240" w:lineRule="auto"/>
        <w:textAlignment w:val="auto"/>
        <w:rPr>
          <w:rFonts w:cs="OrigGarmnd BT"/>
          <w:i/>
          <w:color w:val="000000"/>
          <w:szCs w:val="24"/>
          <w:lang w:eastAsia="sv-SE"/>
        </w:rPr>
      </w:pPr>
      <w:r w:rsidRPr="00A96C30">
        <w:rPr>
          <w:rFonts w:cs="OrigGarmnd BT"/>
          <w:i/>
          <w:color w:val="000000"/>
          <w:szCs w:val="24"/>
          <w:lang w:eastAsia="sv-SE"/>
        </w:rPr>
        <w:t>- rådets slutsatser</w:t>
      </w:r>
    </w:p>
    <w:p w:rsidR="00FC0814" w:rsidRPr="00A96C30" w:rsidRDefault="00FC0814" w:rsidP="00FC0814">
      <w:pPr>
        <w:pStyle w:val="RKnormal"/>
        <w:rPr>
          <w:rFonts w:ascii="Times New Roman" w:hAnsi="Times New Roman" w:cs="Arial"/>
          <w:szCs w:val="24"/>
          <w:lang w:eastAsia="sv-SE"/>
        </w:rPr>
      </w:pPr>
    </w:p>
    <w:p w:rsidR="00FC0814" w:rsidRPr="00A96C30" w:rsidRDefault="00FC0814" w:rsidP="00FC0814">
      <w:pPr>
        <w:pStyle w:val="RKnormal"/>
        <w:spacing w:line="240" w:lineRule="auto"/>
        <w:rPr>
          <w:szCs w:val="24"/>
          <w:lang w:eastAsia="sv-SE"/>
        </w:rPr>
      </w:pPr>
      <w:r w:rsidRPr="00A96C30">
        <w:rPr>
          <w:szCs w:val="24"/>
          <w:lang w:eastAsia="sv-SE"/>
        </w:rPr>
        <w:t xml:space="preserve">Ekofinrådet ska anta rådsslutsatser relaterade till klimatfinansiering inom ramen för den internationella klimatpolitiken. Slutsatserna tar sin utgångspunkt i kommissionens tjänstemannarapport om klimatfinansiering: "Scaling up International Climate Finance after 2012". </w:t>
      </w:r>
    </w:p>
    <w:p w:rsidR="00FC0814" w:rsidRPr="00A96C30" w:rsidRDefault="00FC0814" w:rsidP="00FC0814">
      <w:pPr>
        <w:pStyle w:val="RKnormal"/>
        <w:spacing w:line="240" w:lineRule="auto"/>
        <w:rPr>
          <w:szCs w:val="24"/>
        </w:rPr>
      </w:pPr>
    </w:p>
    <w:p w:rsidR="00FC0814" w:rsidRPr="00A96C30" w:rsidRDefault="00FC0814" w:rsidP="00FC0814">
      <w:pPr>
        <w:pStyle w:val="RKnormal"/>
        <w:spacing w:line="240" w:lineRule="auto"/>
        <w:rPr>
          <w:szCs w:val="24"/>
        </w:rPr>
      </w:pPr>
      <w:r w:rsidRPr="00A96C30">
        <w:rPr>
          <w:szCs w:val="24"/>
        </w:rPr>
        <w:t>Vid Ekofin, december 2010 inbjöds kommissionen att göra en detaljerad analys av den rapport om klimatfinansieringskällor som ”High Level Advisory Group on Climate Change Finance</w:t>
      </w:r>
      <w:r w:rsidRPr="00A96C30">
        <w:rPr>
          <w:rStyle w:val="Fotnotsreferens"/>
          <w:szCs w:val="24"/>
        </w:rPr>
        <w:footnoteReference w:id="1"/>
      </w:r>
      <w:r w:rsidRPr="00A96C30">
        <w:rPr>
          <w:szCs w:val="24"/>
        </w:rPr>
        <w:t xml:space="preserve">” (AGF) presenterat i november 2010. Nyligen publicerade kommissionen sin analys i form av en tjänstemannarapport. </w:t>
      </w:r>
    </w:p>
    <w:p w:rsidR="00FC0814" w:rsidRPr="00A96C30" w:rsidRDefault="00FC0814" w:rsidP="00FC0814">
      <w:pPr>
        <w:pStyle w:val="RKnormal"/>
        <w:spacing w:line="240" w:lineRule="auto"/>
        <w:rPr>
          <w:szCs w:val="24"/>
        </w:rPr>
      </w:pPr>
    </w:p>
    <w:p w:rsidR="00FC0814" w:rsidRPr="00A96C30" w:rsidRDefault="00FC0814" w:rsidP="00FC0814">
      <w:pPr>
        <w:pStyle w:val="RKnormal"/>
        <w:spacing w:line="240" w:lineRule="auto"/>
        <w:rPr>
          <w:szCs w:val="24"/>
        </w:rPr>
      </w:pPr>
      <w:r w:rsidRPr="00A96C30">
        <w:rPr>
          <w:szCs w:val="24"/>
        </w:rPr>
        <w:t xml:space="preserve">Rapportens slutsatser bekräftar vikten av flera olika klimatfinansieringskällor för att uppfylla de utvecklade ländernas åtagande (från Köpenhamnskonferensen), vilka formaliserades i samband med beslut vid klimatkonferensen i Cancún. Slutsatserna inrymmer resonemang kring olika potentiella finansieringskällor, men även kring vikten av effektiv och välfungerande förvaltning av de finansiella medlen. </w:t>
      </w:r>
    </w:p>
    <w:p w:rsidR="00FC0814" w:rsidRPr="00A96C30" w:rsidRDefault="00FC0814" w:rsidP="00FC0814">
      <w:pPr>
        <w:pStyle w:val="RKnormal"/>
        <w:spacing w:line="240" w:lineRule="auto"/>
        <w:rPr>
          <w:szCs w:val="24"/>
        </w:rPr>
      </w:pPr>
    </w:p>
    <w:p w:rsidR="00FC0814" w:rsidRPr="00A96C30" w:rsidRDefault="00FC0814" w:rsidP="00FC0814">
      <w:pPr>
        <w:pStyle w:val="RKnormal"/>
        <w:spacing w:line="240" w:lineRule="auto"/>
        <w:rPr>
          <w:szCs w:val="24"/>
        </w:rPr>
      </w:pPr>
      <w:r w:rsidRPr="00A96C30">
        <w:rPr>
          <w:szCs w:val="24"/>
        </w:rPr>
        <w:lastRenderedPageBreak/>
        <w:t xml:space="preserve">Slutsatserna berör även kortfattat frågan om snabbstartsfinansiering av klimatrelaterade åtgärder i utvecklingsländer. I Cancún togs beslut om formell rapportering av snabbstartsfinansiering i maj 2011-2013. EU:s rapport om snabbstartsfinansiering från december 2010 har uppdaterats något och kommer att skickas till FN-sekretariatet. </w:t>
      </w:r>
    </w:p>
    <w:p w:rsidR="00FC0814" w:rsidRPr="00A96C30" w:rsidRDefault="00FC0814" w:rsidP="00FC0814"/>
    <w:p w:rsidR="00FC0814" w:rsidRPr="00A96C30" w:rsidRDefault="00FC0814" w:rsidP="00FC0814">
      <w:r w:rsidRPr="00A96C30">
        <w:t xml:space="preserve">Regeringen stöder slutsatserna. </w:t>
      </w:r>
    </w:p>
    <w:p w:rsidR="00FC0814" w:rsidRPr="00A96C30" w:rsidRDefault="00FC0814" w:rsidP="00FC0814"/>
    <w:p w:rsidR="00FC0814" w:rsidRPr="00A96C30" w:rsidRDefault="00FC0814" w:rsidP="00FC0814"/>
    <w:p w:rsidR="00FC0814" w:rsidRPr="00A96C30" w:rsidRDefault="00FC0814" w:rsidP="00FC0814">
      <w:pPr>
        <w:rPr>
          <w:b/>
        </w:rPr>
      </w:pPr>
      <w:r w:rsidRPr="00A96C30">
        <w:rPr>
          <w:b/>
        </w:rPr>
        <w:t>Grön tillväxtstrategi</w:t>
      </w:r>
    </w:p>
    <w:p w:rsidR="00FC0814" w:rsidRPr="00A96C30" w:rsidRDefault="00FC0814" w:rsidP="00FC0814">
      <w:pPr>
        <w:rPr>
          <w:i/>
        </w:rPr>
      </w:pPr>
      <w:r w:rsidRPr="00A96C30">
        <w:rPr>
          <w:i/>
        </w:rPr>
        <w:t>- terms of reference inför OECD:s ministermöte</w:t>
      </w:r>
    </w:p>
    <w:p w:rsidR="00FC0814" w:rsidRPr="00A96C30" w:rsidRDefault="00FC0814" w:rsidP="00FC0814">
      <w:pPr>
        <w:rPr>
          <w:rFonts w:cs="Arial"/>
        </w:rPr>
      </w:pPr>
    </w:p>
    <w:p w:rsidR="00FC0814" w:rsidRPr="00A96C30" w:rsidRDefault="00FC0814" w:rsidP="00FC0814">
      <w:pPr>
        <w:pStyle w:val="RKnormal"/>
      </w:pPr>
      <w:r w:rsidRPr="00A96C30">
        <w:t xml:space="preserve">Ekofinrådet ska anta mandat (terms of reference) om grön tillväxt, inför OECD:s ministermöte den 24-26 maj. Vid OECD:s ministermöte i juni 2009 gavs OECD i uppdrag att utarbeta en strategi för grön tillväxt. Ett stort arbete har därefter pågått inom OECD:s olika kommittéer och arbetsgrupper. Den färdiga strategin ska presenteras vid OECD:s ministermöte den 24-26 maj.  </w:t>
      </w:r>
    </w:p>
    <w:p w:rsidR="00FC0814" w:rsidRPr="00A96C30" w:rsidRDefault="00FC0814" w:rsidP="00FC0814">
      <w:pPr>
        <w:pStyle w:val="RKnormal"/>
      </w:pPr>
    </w:p>
    <w:p w:rsidR="00FC0814" w:rsidRPr="00A96C30" w:rsidRDefault="00FC0814" w:rsidP="00FC0814">
      <w:pPr>
        <w:pStyle w:val="RKnormal"/>
      </w:pPr>
      <w:r w:rsidRPr="00A96C30">
        <w:t xml:space="preserve">OECD:s strategi för grön tillväxt handlar om att optimera tillväxt och  utveckling inom vissa ramar (”natural boundaries”) som säkerställer en hållbar utveckling. Strategin fokuserar på ekonomiska styrmedel, men även andra styrmedel, samt innovation och forskning. Andra frågor som berörs rör gröna jobb, jordbruk och utvecklingsaspekter, så väl som frågan om indikatorer för att mäta grön tillväxt. </w:t>
      </w:r>
    </w:p>
    <w:p w:rsidR="00FC0814" w:rsidRPr="00A96C30" w:rsidRDefault="00FC0814" w:rsidP="00FC0814">
      <w:pPr>
        <w:pStyle w:val="RKnormal"/>
      </w:pPr>
    </w:p>
    <w:p w:rsidR="00FC0814" w:rsidRPr="00A96C30" w:rsidRDefault="00FC0814" w:rsidP="00FC0814">
      <w:pPr>
        <w:pStyle w:val="RKnormal"/>
      </w:pPr>
      <w:r w:rsidRPr="00A96C30">
        <w:t xml:space="preserve">I mandatet välkomnar EU OECD:s strategi. Bland annat stöder EU OECD:s ansats om att ekonomiska styrmedel, kompletterat med övriga styrmedel, och innovationer/forskning är två centrala utgångspunkter för grön tillväxt. </w:t>
      </w:r>
    </w:p>
    <w:p w:rsidR="00FC0814" w:rsidRPr="00A96C30" w:rsidRDefault="00FC0814" w:rsidP="00FC0814"/>
    <w:p w:rsidR="00FC0814" w:rsidRPr="00A96C30" w:rsidRDefault="00FC0814" w:rsidP="00FC0814">
      <w:pPr>
        <w:pStyle w:val="RKnormal"/>
      </w:pPr>
      <w:r w:rsidRPr="00A96C30">
        <w:t xml:space="preserve">Regeringen stöder ”terms of reference”. </w:t>
      </w:r>
    </w:p>
    <w:p w:rsidR="0089124D" w:rsidRPr="00A96C30" w:rsidRDefault="0089124D" w:rsidP="0089124D">
      <w:pPr>
        <w:tabs>
          <w:tab w:val="left" w:pos="1701"/>
        </w:tabs>
        <w:overflowPunct/>
        <w:spacing w:line="240" w:lineRule="auto"/>
        <w:textAlignment w:val="auto"/>
        <w:rPr>
          <w:rFonts w:cs="OrigGarmnd BT"/>
          <w:color w:val="000000"/>
          <w:szCs w:val="24"/>
          <w:lang w:eastAsia="sv-SE"/>
        </w:rPr>
      </w:pPr>
    </w:p>
    <w:p w:rsidR="0089124D" w:rsidRPr="00A96C30" w:rsidRDefault="0089124D" w:rsidP="0089124D">
      <w:pPr>
        <w:tabs>
          <w:tab w:val="left" w:pos="1701"/>
        </w:tabs>
        <w:overflowPunct/>
        <w:spacing w:line="240" w:lineRule="auto"/>
        <w:textAlignment w:val="auto"/>
        <w:rPr>
          <w:rFonts w:cs="OrigGarmnd BT"/>
          <w:color w:val="000000"/>
          <w:szCs w:val="24"/>
          <w:lang w:eastAsia="sv-SE"/>
        </w:rPr>
      </w:pPr>
    </w:p>
    <w:p w:rsidR="002047D3" w:rsidRPr="00A96C30" w:rsidRDefault="00C060CD" w:rsidP="0089124D">
      <w:pPr>
        <w:tabs>
          <w:tab w:val="left" w:pos="1701"/>
        </w:tabs>
        <w:overflowPunct/>
        <w:spacing w:line="240" w:lineRule="auto"/>
        <w:textAlignment w:val="auto"/>
        <w:rPr>
          <w:rFonts w:cs="OrigGarmnd BT"/>
          <w:b/>
          <w:bCs/>
          <w:color w:val="000000"/>
          <w:szCs w:val="24"/>
          <w:lang w:eastAsia="sv-SE"/>
        </w:rPr>
      </w:pPr>
      <w:r w:rsidRPr="00A96C30">
        <w:rPr>
          <w:rFonts w:cs="OrigGarmnd BT"/>
          <w:b/>
          <w:bCs/>
          <w:color w:val="000000"/>
          <w:szCs w:val="24"/>
          <w:lang w:eastAsia="sv-SE"/>
        </w:rPr>
        <w:t>3</w:t>
      </w:r>
      <w:r w:rsidR="0089124D" w:rsidRPr="00A96C30">
        <w:rPr>
          <w:rFonts w:cs="OrigGarmnd BT"/>
          <w:b/>
          <w:bCs/>
          <w:color w:val="000000"/>
          <w:szCs w:val="24"/>
          <w:lang w:eastAsia="sv-SE"/>
        </w:rPr>
        <w:t>.</w:t>
      </w:r>
      <w:r w:rsidR="0089124D" w:rsidRPr="00A96C30">
        <w:rPr>
          <w:rFonts w:cs="OrigGarmnd BT"/>
          <w:b/>
          <w:bCs/>
          <w:color w:val="000000"/>
          <w:szCs w:val="24"/>
          <w:lang w:eastAsia="sv-SE"/>
        </w:rPr>
        <w:tab/>
      </w:r>
      <w:r w:rsidR="00F855E1" w:rsidRPr="00A96C30">
        <w:rPr>
          <w:rFonts w:cs="OrigGarmnd BT"/>
          <w:b/>
          <w:bCs/>
          <w:color w:val="000000"/>
          <w:szCs w:val="24"/>
          <w:lang w:eastAsia="sv-SE"/>
        </w:rPr>
        <w:t>Blankning</w:t>
      </w:r>
    </w:p>
    <w:p w:rsidR="0089124D" w:rsidRPr="00A96C30" w:rsidRDefault="002047D3" w:rsidP="0089124D">
      <w:pPr>
        <w:tabs>
          <w:tab w:val="left" w:pos="1701"/>
        </w:tabs>
        <w:overflowPunct/>
        <w:spacing w:line="240" w:lineRule="auto"/>
        <w:textAlignment w:val="auto"/>
        <w:rPr>
          <w:rFonts w:cs="OrigGarmnd BT"/>
          <w:i/>
          <w:iCs/>
          <w:color w:val="000000"/>
          <w:szCs w:val="24"/>
          <w:lang w:eastAsia="sv-SE"/>
        </w:rPr>
      </w:pPr>
      <w:r w:rsidRPr="00A96C30">
        <w:rPr>
          <w:rFonts w:cs="OrigGarmnd BT"/>
          <w:b/>
          <w:bCs/>
          <w:color w:val="000000"/>
          <w:szCs w:val="24"/>
          <w:lang w:eastAsia="sv-SE"/>
        </w:rPr>
        <w:tab/>
      </w:r>
      <w:r w:rsidR="0089124D" w:rsidRPr="00A96C30">
        <w:rPr>
          <w:rFonts w:cs="OrigGarmnd BT"/>
          <w:i/>
          <w:iCs/>
          <w:color w:val="000000"/>
          <w:szCs w:val="24"/>
          <w:lang w:eastAsia="sv-SE"/>
        </w:rPr>
        <w:t>-</w:t>
      </w:r>
      <w:r w:rsidR="00451C5D" w:rsidRPr="00A96C30">
        <w:rPr>
          <w:rFonts w:cs="OrigGarmnd BT"/>
          <w:i/>
          <w:iCs/>
          <w:color w:val="000000"/>
          <w:szCs w:val="24"/>
          <w:lang w:eastAsia="sv-SE"/>
        </w:rPr>
        <w:t xml:space="preserve"> </w:t>
      </w:r>
      <w:r w:rsidR="00F855E1" w:rsidRPr="00A96C30">
        <w:rPr>
          <w:rFonts w:cs="OrigGarmnd BT"/>
          <w:i/>
          <w:iCs/>
          <w:color w:val="000000"/>
          <w:szCs w:val="24"/>
          <w:lang w:eastAsia="sv-SE"/>
        </w:rPr>
        <w:t>allmän inriktning</w:t>
      </w:r>
    </w:p>
    <w:p w:rsidR="005B2957" w:rsidRPr="00A96C30" w:rsidRDefault="005B2957" w:rsidP="005B2957">
      <w:pPr>
        <w:tabs>
          <w:tab w:val="left" w:pos="2835"/>
        </w:tabs>
      </w:pPr>
    </w:p>
    <w:p w:rsidR="005B2957" w:rsidRPr="00A96C30" w:rsidRDefault="005B2957" w:rsidP="005B2957">
      <w:pPr>
        <w:tabs>
          <w:tab w:val="left" w:pos="2835"/>
        </w:tabs>
      </w:pPr>
      <w:r w:rsidRPr="00A96C30">
        <w:t xml:space="preserve">Ekofinrådet ska besluta om en allmän inriktning rörande en EU-förordning om blankning och vissa aspekter av kreditswappar (Credit Default Swaps, CDS:er). Frågan </w:t>
      </w:r>
      <w:r w:rsidR="000D6091" w:rsidRPr="00A96C30">
        <w:t xml:space="preserve">behandlades </w:t>
      </w:r>
      <w:r w:rsidRPr="00A96C30">
        <w:t>i EU-nämnden den 11 mars 2011 och har även behandlats vid subsidiaritetsprövning i Finansutskottet.</w:t>
      </w:r>
    </w:p>
    <w:p w:rsidR="005B2957" w:rsidRPr="00A96C30" w:rsidRDefault="005B2957" w:rsidP="005B2957">
      <w:pPr>
        <w:tabs>
          <w:tab w:val="left" w:pos="2835"/>
        </w:tabs>
      </w:pPr>
    </w:p>
    <w:p w:rsidR="005B2957" w:rsidRPr="00A96C30" w:rsidRDefault="005B2957" w:rsidP="005B2957">
      <w:pPr>
        <w:pStyle w:val="Punktlista"/>
        <w:tabs>
          <w:tab w:val="clear" w:pos="357"/>
        </w:tabs>
        <w:ind w:left="0" w:firstLine="0"/>
      </w:pPr>
      <w:r w:rsidRPr="00A96C30">
        <w:t>Förslaget innebär att marknadsaktörer ska anmäla och offentliggöra blankningspositioner av viss storlek samt ställer krav på marknadsaktörer att kunna leverera de instrument som blankas. Möjligheten att förbjuda eller begränsa blankning i kris</w:t>
      </w:r>
      <w:r w:rsidR="00A15B2C" w:rsidRPr="00A96C30">
        <w:t xml:space="preserve">liknande </w:t>
      </w:r>
      <w:r w:rsidRPr="00A96C30">
        <w:t>situationer harmoniseras och det införs ett samordningsförfarande mellan tillsynsmyndigheterna. Även den Europeiska värdepappers- och marknadsmyndigheten (ESMA) får vissa befogenheter att förbjuda blankning i kris</w:t>
      </w:r>
      <w:r w:rsidR="00A15B2C" w:rsidRPr="00A96C30">
        <w:t xml:space="preserve">liknande </w:t>
      </w:r>
      <w:r w:rsidRPr="00A96C30">
        <w:t xml:space="preserve">situationer. </w:t>
      </w:r>
    </w:p>
    <w:p w:rsidR="005B2957" w:rsidRPr="00A96C30" w:rsidRDefault="005B2957" w:rsidP="005B2957">
      <w:pPr>
        <w:pStyle w:val="RKnormal"/>
      </w:pPr>
    </w:p>
    <w:p w:rsidR="005B2957" w:rsidRPr="00A96C30" w:rsidRDefault="005B2957" w:rsidP="005B2957">
      <w:pPr>
        <w:pStyle w:val="RKnormal"/>
      </w:pPr>
      <w:r w:rsidRPr="00A96C30">
        <w:t>Regeringen är positiv till en harmonisering av regler beträffande blankning samt samordning när det gäller krisåtgärder vidtagna av medlemsstater. Förhandlingarna i rådsarbetsgrupp har enligt regeringens mening förbättrat förslaget</w:t>
      </w:r>
      <w:r w:rsidR="00A15B2C" w:rsidRPr="00A96C30">
        <w:t>, även om vi gärna hade sett att rådet getts en roll i samband med ESMA:s beslut om restriktioner i krisl</w:t>
      </w:r>
      <w:r w:rsidR="000D6091" w:rsidRPr="00A96C30">
        <w:t>ik</w:t>
      </w:r>
      <w:r w:rsidR="00A15B2C" w:rsidRPr="00A96C30">
        <w:t xml:space="preserve">nande situationer. </w:t>
      </w:r>
      <w:r w:rsidRPr="00A96C30">
        <w:t>Regeringen föreslår att Sverige stödjer kompromissförslaget.</w:t>
      </w:r>
    </w:p>
    <w:p w:rsidR="00445181" w:rsidRPr="00A96C30" w:rsidRDefault="00445181" w:rsidP="00445181"/>
    <w:p w:rsidR="00C74EA4" w:rsidRPr="00A96C30" w:rsidRDefault="00C74EA4" w:rsidP="00362BB1">
      <w:pPr>
        <w:pStyle w:val="RKnormal"/>
      </w:pPr>
    </w:p>
    <w:p w:rsidR="0008297A" w:rsidRPr="00A96C30" w:rsidRDefault="00C060CD" w:rsidP="00445181">
      <w:r w:rsidRPr="00A96C30">
        <w:rPr>
          <w:b/>
        </w:rPr>
        <w:t>4</w:t>
      </w:r>
      <w:r w:rsidR="0008297A" w:rsidRPr="00A96C30">
        <w:rPr>
          <w:b/>
        </w:rPr>
        <w:t>.</w:t>
      </w:r>
      <w:r w:rsidR="0008297A" w:rsidRPr="00A96C30">
        <w:rPr>
          <w:b/>
        </w:rPr>
        <w:tab/>
      </w:r>
      <w:r w:rsidR="0008297A" w:rsidRPr="00A96C30">
        <w:rPr>
          <w:b/>
        </w:rPr>
        <w:tab/>
        <w:t xml:space="preserve">    </w:t>
      </w:r>
      <w:r w:rsidR="00F855E1" w:rsidRPr="00A96C30">
        <w:rPr>
          <w:b/>
        </w:rPr>
        <w:t>EU:s allmänna budget för 2012</w:t>
      </w:r>
      <w:r w:rsidR="0008297A" w:rsidRPr="00A96C30">
        <w:rPr>
          <w:i/>
        </w:rPr>
        <w:tab/>
      </w:r>
      <w:r w:rsidR="0008297A" w:rsidRPr="00A96C30">
        <w:rPr>
          <w:i/>
        </w:rPr>
        <w:tab/>
        <w:t xml:space="preserve">    </w:t>
      </w:r>
    </w:p>
    <w:p w:rsidR="0008297A" w:rsidRPr="00A96C30" w:rsidRDefault="00451C5D" w:rsidP="00445181">
      <w:pPr>
        <w:rPr>
          <w:i/>
        </w:rPr>
      </w:pPr>
      <w:r w:rsidRPr="00A96C30">
        <w:rPr>
          <w:i/>
        </w:rPr>
        <w:tab/>
      </w:r>
      <w:r w:rsidRPr="00A96C30">
        <w:rPr>
          <w:i/>
        </w:rPr>
        <w:tab/>
        <w:t xml:space="preserve">    - </w:t>
      </w:r>
      <w:r w:rsidR="00F855E1" w:rsidRPr="00A96C30">
        <w:rPr>
          <w:i/>
        </w:rPr>
        <w:t>kommissionens presentation</w:t>
      </w:r>
    </w:p>
    <w:p w:rsidR="00CB3510" w:rsidRPr="00A96C30" w:rsidRDefault="00CB3510" w:rsidP="00CB3510">
      <w:pPr>
        <w:pStyle w:val="RKnormal"/>
      </w:pPr>
    </w:p>
    <w:p w:rsidR="00CB3510" w:rsidRPr="00A96C30" w:rsidRDefault="00CB3510" w:rsidP="00CB3510">
      <w:pPr>
        <w:pStyle w:val="RKnormal"/>
      </w:pPr>
      <w:r w:rsidRPr="00A96C30">
        <w:t xml:space="preserve">Kommissionen ska presentera sitt förslag till EU:s budget för 2012. Budgetförslaget, som antogs av kommissionen den </w:t>
      </w:r>
      <w:r w:rsidRPr="00A96C30">
        <w:rPr>
          <w:szCs w:val="24"/>
        </w:rPr>
        <w:t xml:space="preserve">20 april, </w:t>
      </w:r>
      <w:r w:rsidRPr="00A96C30">
        <w:t xml:space="preserve">innebär en ökning av åtagandeanslagen med 3,7% till 147 435 miljoner euro och en ökning av betalningsanslagen med 4,9% till totalt 132 739 miljoner euro. Det senare kan jämföras med den beslutade ökningstakten för betalningar i budgeten för 2011 som uppgick till 2,9%. </w:t>
      </w:r>
    </w:p>
    <w:p w:rsidR="00CB3510" w:rsidRPr="00A96C30" w:rsidRDefault="00CB3510" w:rsidP="00CB3510">
      <w:pPr>
        <w:pStyle w:val="RKnormal"/>
      </w:pPr>
    </w:p>
    <w:p w:rsidR="00CB3510" w:rsidRPr="00A96C30" w:rsidRDefault="00CB3510" w:rsidP="00CB3510">
      <w:pPr>
        <w:pStyle w:val="RKnormal"/>
        <w:rPr>
          <w:lang w:eastAsia="sv-SE"/>
        </w:rPr>
      </w:pPr>
      <w:r w:rsidRPr="00A96C30">
        <w:t xml:space="preserve">Årsbudgetförfarandet inleddes redan vid Ekofin den 15 februari då rådet antog riktlinjer för budgetförfarandet för 2012. </w:t>
      </w:r>
      <w:r w:rsidRPr="00A96C30">
        <w:rPr>
          <w:szCs w:val="24"/>
        </w:rPr>
        <w:t xml:space="preserve">I riktlinjerna betonas bland annat </w:t>
      </w:r>
      <w:r w:rsidRPr="00A96C30">
        <w:rPr>
          <w:lang w:eastAsia="sv-SE"/>
        </w:rPr>
        <w:t xml:space="preserve">att </w:t>
      </w:r>
      <w:r w:rsidRPr="00A96C30">
        <w:t>EU:s budget och kommande fleråriga budgetram bör åter</w:t>
      </w:r>
      <w:r w:rsidRPr="00A96C30">
        <w:softHyphen/>
        <w:t>spegla och bidra till medlemsstaternas ansträngningar för att återföra nivåerna för offentliga underskott och statsskuld till långsiktigt hållbara nivåer, i enlighet med E</w:t>
      </w:r>
      <w:r w:rsidRPr="00A96C30">
        <w:rPr>
          <w:lang w:eastAsia="sv-SE"/>
        </w:rPr>
        <w:t xml:space="preserve">uropeiska rådets slutsatser från oktober 2010. </w:t>
      </w:r>
    </w:p>
    <w:p w:rsidR="00CB3510" w:rsidRPr="00A96C30" w:rsidRDefault="00CB3510" w:rsidP="00CB3510">
      <w:pPr>
        <w:pStyle w:val="RKnormal"/>
        <w:rPr>
          <w:lang w:eastAsia="sv-SE"/>
        </w:rPr>
      </w:pPr>
    </w:p>
    <w:p w:rsidR="00CB3510" w:rsidRPr="00A96C30" w:rsidRDefault="00CB3510" w:rsidP="00CB3510">
      <w:pPr>
        <w:pStyle w:val="RKnormal"/>
        <w:rPr>
          <w:szCs w:val="24"/>
        </w:rPr>
      </w:pPr>
      <w:r w:rsidRPr="00A96C30">
        <w:rPr>
          <w:szCs w:val="24"/>
        </w:rPr>
        <w:t xml:space="preserve">Under maj och juni ska kommissionens förslaget behandlas i rådets </w:t>
      </w:r>
      <w:r w:rsidR="0033112E" w:rsidRPr="00A96C30">
        <w:rPr>
          <w:szCs w:val="24"/>
        </w:rPr>
        <w:t>b</w:t>
      </w:r>
      <w:r w:rsidRPr="00A96C30">
        <w:rPr>
          <w:szCs w:val="24"/>
        </w:rPr>
        <w:t xml:space="preserve">udgetkommitté och därefter förväntas rådet anta sin läsning av budgetförslaget vid Ekofin budget den 22 juli. </w:t>
      </w:r>
      <w:r w:rsidRPr="00A96C30">
        <w:t>Europaparlamentet genomför sin läsning den 27 oktober. Slutförhandlingen mellan rådet och Europaparlamentet genomförs vid Ekofin budget den 18 november. Därefter fastställer Europaparlamentet budgeten den 30 november.</w:t>
      </w:r>
    </w:p>
    <w:p w:rsidR="0022391A" w:rsidRPr="00A96C30" w:rsidRDefault="0022391A" w:rsidP="00445181"/>
    <w:p w:rsidR="00A84655" w:rsidRPr="00A96C30" w:rsidRDefault="00A84655" w:rsidP="00592030">
      <w:pPr>
        <w:rPr>
          <w:b/>
        </w:rPr>
      </w:pPr>
    </w:p>
    <w:p w:rsidR="00592030" w:rsidRPr="00A96C30" w:rsidRDefault="00C060CD" w:rsidP="00592030">
      <w:pPr>
        <w:rPr>
          <w:b/>
        </w:rPr>
      </w:pPr>
      <w:r w:rsidRPr="00A96C30">
        <w:rPr>
          <w:b/>
        </w:rPr>
        <w:t>5</w:t>
      </w:r>
      <w:r w:rsidR="0008297A" w:rsidRPr="00A96C30">
        <w:rPr>
          <w:b/>
        </w:rPr>
        <w:t>.</w:t>
      </w:r>
      <w:r w:rsidR="0008297A" w:rsidRPr="00A96C30">
        <w:rPr>
          <w:b/>
        </w:rPr>
        <w:tab/>
      </w:r>
      <w:r w:rsidR="0008297A" w:rsidRPr="00A96C30">
        <w:rPr>
          <w:b/>
        </w:rPr>
        <w:tab/>
        <w:t xml:space="preserve">    </w:t>
      </w:r>
      <w:r w:rsidR="00F855E1" w:rsidRPr="00A96C30">
        <w:rPr>
          <w:b/>
        </w:rPr>
        <w:t>Sparandedirektivet</w:t>
      </w:r>
    </w:p>
    <w:p w:rsidR="00451C5D" w:rsidRPr="00A96C30" w:rsidRDefault="00451C5D" w:rsidP="00592030">
      <w:pPr>
        <w:rPr>
          <w:i/>
        </w:rPr>
      </w:pPr>
      <w:r w:rsidRPr="00A96C30">
        <w:rPr>
          <w:i/>
        </w:rPr>
        <w:tab/>
      </w:r>
      <w:r w:rsidRPr="00A96C30">
        <w:rPr>
          <w:i/>
        </w:rPr>
        <w:tab/>
        <w:t xml:space="preserve">    -</w:t>
      </w:r>
      <w:r w:rsidR="00F855E1" w:rsidRPr="00A96C30">
        <w:rPr>
          <w:i/>
        </w:rPr>
        <w:t xml:space="preserve"> riktlinjedebatt</w:t>
      </w:r>
      <w:r w:rsidRPr="00A96C30">
        <w:rPr>
          <w:i/>
        </w:rPr>
        <w:t xml:space="preserve"> </w:t>
      </w:r>
    </w:p>
    <w:p w:rsidR="00D51A2E" w:rsidRPr="00A96C30" w:rsidRDefault="00D51A2E" w:rsidP="00D51A2E">
      <w:pPr>
        <w:pStyle w:val="RKnormal"/>
        <w:spacing w:line="240" w:lineRule="auto"/>
        <w:rPr>
          <w:szCs w:val="24"/>
        </w:rPr>
      </w:pPr>
    </w:p>
    <w:p w:rsidR="00D51A2E" w:rsidRPr="00A96C30" w:rsidRDefault="00D51A2E" w:rsidP="00D51A2E">
      <w:pPr>
        <w:pStyle w:val="RKnormal"/>
        <w:spacing w:line="240" w:lineRule="auto"/>
        <w:rPr>
          <w:szCs w:val="24"/>
        </w:rPr>
      </w:pPr>
      <w:r w:rsidRPr="00A96C30">
        <w:rPr>
          <w:szCs w:val="24"/>
        </w:rPr>
        <w:t>Rådet ska anta slutsatser om hur man ska gå vidare i processen med kommissionens förslag till ändringar i sparandedirektivet. Enligt förslaget till slutsatser ska förhandlingar inledas med berörda tredjeländer om att tillämpa ändringarna i sparandedirektivet med det liggande kompromissförslaget som grund.</w:t>
      </w:r>
    </w:p>
    <w:p w:rsidR="00D51A2E" w:rsidRPr="00A96C30" w:rsidRDefault="00D51A2E" w:rsidP="00D51A2E">
      <w:pPr>
        <w:pStyle w:val="RKnormal"/>
        <w:spacing w:line="240" w:lineRule="auto"/>
        <w:rPr>
          <w:szCs w:val="24"/>
        </w:rPr>
      </w:pPr>
    </w:p>
    <w:p w:rsidR="00D51A2E" w:rsidRPr="00A96C30" w:rsidRDefault="00D51A2E" w:rsidP="00D51A2E">
      <w:pPr>
        <w:pStyle w:val="RKnormal"/>
        <w:spacing w:line="240" w:lineRule="auto"/>
        <w:rPr>
          <w:szCs w:val="24"/>
        </w:rPr>
      </w:pPr>
      <w:r w:rsidRPr="00A96C30">
        <w:rPr>
          <w:szCs w:val="24"/>
        </w:rPr>
        <w:t>Kommissionens förslag syftar till att täppa till de kryphål som uppmärksammats under direktivets tillämpning och att höja kvaliteten på den information som utbyts. De viktigaste ändringarna i förslaget gäller definitionen av räntebetalningar, som föreslås bli vidare än i dag, och även omfatta vissa ränteliknande inkomster. Vidare föreslås att direktivets räckvidd utvidgas till att under vissa förhållanden omfatta räntebe</w:t>
      </w:r>
      <w:r w:rsidRPr="00A96C30">
        <w:rPr>
          <w:szCs w:val="24"/>
        </w:rPr>
        <w:softHyphen/>
        <w:t>talningar som vissa juridiska personer och konstruktioner erhåller, men som slussas vidare till fysiska personer som faktiska betalningsmottaga</w:t>
      </w:r>
      <w:r w:rsidRPr="00A96C30">
        <w:rPr>
          <w:szCs w:val="24"/>
        </w:rPr>
        <w:softHyphen/>
        <w:t>re. Det föreslås också vissa förbättringar vad gäller innehållet i den infor</w:t>
      </w:r>
      <w:r w:rsidRPr="00A96C30">
        <w:rPr>
          <w:szCs w:val="24"/>
        </w:rPr>
        <w:softHyphen/>
        <w:t>mation som ska lämnas enligt direktivet och beträffande metoderna för att fastställa den faktiska betalningsmottagarens hemvist.</w:t>
      </w:r>
    </w:p>
    <w:p w:rsidR="00D51A2E" w:rsidRPr="00A96C30" w:rsidRDefault="00D51A2E" w:rsidP="00D51A2E">
      <w:pPr>
        <w:pStyle w:val="RKnormal"/>
        <w:spacing w:line="240" w:lineRule="auto"/>
        <w:rPr>
          <w:szCs w:val="24"/>
        </w:rPr>
      </w:pPr>
    </w:p>
    <w:p w:rsidR="00D51A2E" w:rsidRPr="00A96C30" w:rsidRDefault="00D51A2E" w:rsidP="00D51A2E">
      <w:pPr>
        <w:pStyle w:val="RKnormal"/>
        <w:spacing w:line="240" w:lineRule="auto"/>
        <w:rPr>
          <w:szCs w:val="24"/>
        </w:rPr>
      </w:pPr>
      <w:r w:rsidRPr="00A96C30">
        <w:rPr>
          <w:szCs w:val="24"/>
        </w:rPr>
        <w:t>Det nu liggande kompromissförslaget arbetades fram under det svenska ordförandeskapet. Ärendet har vid fyra tillfällen föredragits inför EU-nämnden, senast den 15 februari 2011. Sparandedirektivet har dock enbart diskuterats vid två Ekofinmöten – januari 2010 och februari 2011. Vid övriga tillfällen har det strukits från dagordningen då det konstaterats vara uteslutet att nå en överenskommelse.</w:t>
      </w:r>
    </w:p>
    <w:p w:rsidR="00D51A2E" w:rsidRPr="00A96C30" w:rsidRDefault="00D51A2E" w:rsidP="00D51A2E">
      <w:pPr>
        <w:pStyle w:val="RKnormal"/>
        <w:spacing w:line="240" w:lineRule="auto"/>
        <w:rPr>
          <w:szCs w:val="24"/>
        </w:rPr>
      </w:pPr>
    </w:p>
    <w:p w:rsidR="00D51A2E" w:rsidRPr="00A96C30" w:rsidRDefault="00D51A2E" w:rsidP="00D51A2E">
      <w:pPr>
        <w:pStyle w:val="RKnormal"/>
        <w:spacing w:line="240" w:lineRule="auto"/>
        <w:rPr>
          <w:szCs w:val="24"/>
        </w:rPr>
      </w:pPr>
      <w:r w:rsidRPr="00A96C30">
        <w:rPr>
          <w:szCs w:val="24"/>
        </w:rPr>
        <w:t>Ärendet har, inom ramen för god förvaltning i skatteärenden, varit uppe för överläggningar mellan regeringen och Skatteutskottet vid två tillfällen, senast den 9 mars 2010.</w:t>
      </w:r>
    </w:p>
    <w:p w:rsidR="00D51A2E" w:rsidRPr="00A96C30" w:rsidRDefault="00D51A2E" w:rsidP="00D51A2E">
      <w:pPr>
        <w:pStyle w:val="RKnormal"/>
        <w:spacing w:line="240" w:lineRule="auto"/>
        <w:rPr>
          <w:szCs w:val="24"/>
        </w:rPr>
      </w:pPr>
    </w:p>
    <w:p w:rsidR="00D51A2E" w:rsidRPr="00A96C30" w:rsidRDefault="00D51A2E" w:rsidP="00D51A2E">
      <w:pPr>
        <w:pStyle w:val="RKnormal"/>
        <w:spacing w:line="240" w:lineRule="auto"/>
        <w:rPr>
          <w:szCs w:val="24"/>
        </w:rPr>
      </w:pPr>
      <w:r w:rsidRPr="00A96C30">
        <w:rPr>
          <w:szCs w:val="24"/>
        </w:rPr>
        <w:t>Regeringen anser att det är angeläget att kvaliteten på den information som utbyts enligt sparandedirektivet förbättras och att de kryphål som upp</w:t>
      </w:r>
      <w:r w:rsidRPr="00A96C30">
        <w:rPr>
          <w:szCs w:val="24"/>
        </w:rPr>
        <w:softHyphen/>
        <w:t xml:space="preserve">märksammats täpps till och stödjer därför det kompromissförslag som har tagits fram. Regeringen ställer sig även bakom de föreslagna rådsslutsatserna. </w:t>
      </w:r>
    </w:p>
    <w:p w:rsidR="00F855E1" w:rsidRPr="00A96C30" w:rsidRDefault="00F855E1" w:rsidP="0089124D">
      <w:pPr>
        <w:tabs>
          <w:tab w:val="left" w:pos="1701"/>
        </w:tabs>
        <w:overflowPunct/>
        <w:spacing w:line="240" w:lineRule="auto"/>
        <w:textAlignment w:val="auto"/>
        <w:rPr>
          <w:rFonts w:cs="OrigGarmnd BT"/>
          <w:b/>
          <w:color w:val="000000"/>
          <w:szCs w:val="24"/>
          <w:lang w:eastAsia="sv-SE"/>
        </w:rPr>
      </w:pPr>
    </w:p>
    <w:p w:rsidR="00F855E1" w:rsidRPr="00A96C30" w:rsidRDefault="00F855E1" w:rsidP="0089124D">
      <w:pPr>
        <w:tabs>
          <w:tab w:val="left" w:pos="1701"/>
        </w:tabs>
        <w:overflowPunct/>
        <w:spacing w:line="240" w:lineRule="auto"/>
        <w:textAlignment w:val="auto"/>
        <w:rPr>
          <w:rFonts w:cs="OrigGarmnd BT"/>
          <w:b/>
          <w:color w:val="000000"/>
          <w:szCs w:val="24"/>
          <w:lang w:eastAsia="sv-SE"/>
        </w:rPr>
      </w:pPr>
    </w:p>
    <w:p w:rsidR="00F855E1" w:rsidRPr="00A96C30" w:rsidRDefault="00C060CD" w:rsidP="0089124D">
      <w:pPr>
        <w:tabs>
          <w:tab w:val="left" w:pos="1701"/>
        </w:tabs>
        <w:overflowPunct/>
        <w:spacing w:line="240" w:lineRule="auto"/>
        <w:textAlignment w:val="auto"/>
        <w:rPr>
          <w:rFonts w:cs="OrigGarmnd BT"/>
          <w:b/>
          <w:color w:val="000000"/>
          <w:szCs w:val="24"/>
          <w:lang w:eastAsia="sv-SE"/>
        </w:rPr>
      </w:pPr>
      <w:r w:rsidRPr="00A96C30">
        <w:rPr>
          <w:rFonts w:cs="OrigGarmnd BT"/>
          <w:b/>
          <w:color w:val="000000"/>
          <w:szCs w:val="24"/>
          <w:lang w:eastAsia="sv-SE"/>
        </w:rPr>
        <w:t>6</w:t>
      </w:r>
      <w:r w:rsidR="00F855E1" w:rsidRPr="00A96C30">
        <w:rPr>
          <w:rFonts w:cs="OrigGarmnd BT"/>
          <w:b/>
          <w:color w:val="000000"/>
          <w:szCs w:val="24"/>
          <w:lang w:eastAsia="sv-SE"/>
        </w:rPr>
        <w:t>.</w:t>
      </w:r>
      <w:r w:rsidR="00F855E1" w:rsidRPr="00A96C30">
        <w:rPr>
          <w:rFonts w:cs="OrigGarmnd BT"/>
          <w:b/>
          <w:color w:val="000000"/>
          <w:szCs w:val="24"/>
          <w:lang w:eastAsia="sv-SE"/>
        </w:rPr>
        <w:tab/>
        <w:t>Beskattning av finansiella sektorn</w:t>
      </w:r>
    </w:p>
    <w:p w:rsidR="00F855E1" w:rsidRPr="00A96C30" w:rsidRDefault="00F855E1" w:rsidP="0089124D">
      <w:pPr>
        <w:tabs>
          <w:tab w:val="left" w:pos="1701"/>
        </w:tabs>
        <w:overflowPunct/>
        <w:spacing w:line="240" w:lineRule="auto"/>
        <w:textAlignment w:val="auto"/>
        <w:rPr>
          <w:rFonts w:cs="OrigGarmnd BT"/>
          <w:i/>
          <w:color w:val="000000"/>
          <w:szCs w:val="24"/>
          <w:lang w:eastAsia="sv-SE"/>
        </w:rPr>
      </w:pPr>
      <w:r w:rsidRPr="00A96C30">
        <w:rPr>
          <w:rFonts w:cs="OrigGarmnd BT"/>
          <w:i/>
          <w:color w:val="000000"/>
          <w:szCs w:val="24"/>
          <w:lang w:eastAsia="sv-SE"/>
        </w:rPr>
        <w:tab/>
        <w:t>- rapport till rådet</w:t>
      </w:r>
    </w:p>
    <w:p w:rsidR="00B671F6" w:rsidRPr="00A96C30" w:rsidRDefault="00B671F6" w:rsidP="00B671F6">
      <w:pPr>
        <w:pStyle w:val="RKnormal"/>
      </w:pPr>
    </w:p>
    <w:p w:rsidR="00B671F6" w:rsidRPr="00A96C30" w:rsidRDefault="00B671F6" w:rsidP="00B671F6">
      <w:pPr>
        <w:pStyle w:val="RKnormal"/>
      </w:pPr>
      <w:r w:rsidRPr="00A96C30">
        <w:t xml:space="preserve">Ordförandeskapet ska lägga fram en rapport som sammanfattar  de diskussioner om beskattning av finanssektorn som förts inom en s.k. högnivågrupp för skattefrågor. </w:t>
      </w:r>
    </w:p>
    <w:p w:rsidR="00B671F6" w:rsidRPr="00A96C30" w:rsidRDefault="00B671F6" w:rsidP="00B671F6">
      <w:pPr>
        <w:pStyle w:val="RKnormal"/>
      </w:pPr>
    </w:p>
    <w:p w:rsidR="00B671F6" w:rsidRPr="00A96C30" w:rsidRDefault="00B671F6" w:rsidP="00B671F6">
      <w:pPr>
        <w:pStyle w:val="RKnormal"/>
      </w:pPr>
      <w:r w:rsidRPr="00A96C30">
        <w:t xml:space="preserve">Frågan om beskattning av finanssektorn diskuteras sedan en tid </w:t>
      </w:r>
    </w:p>
    <w:p w:rsidR="00B671F6" w:rsidRPr="00A96C30" w:rsidRDefault="00B671F6" w:rsidP="00B671F6">
      <w:pPr>
        <w:overflowPunct/>
        <w:spacing w:line="240" w:lineRule="auto"/>
        <w:textAlignment w:val="auto"/>
      </w:pPr>
      <w:r w:rsidRPr="00A96C30">
        <w:t xml:space="preserve">inom EU, G20 och FN. Enligt slutsatser från Europeiska rådet den 17 juni 2010 anges bl.a. att: ”EU bör leda arbetet med att fastställa en global strategi för införande av system för avgifter och skatter för finansinstitut i syfte att upprätthålla lika förutsättningar runt om i världen och kommer med emfas att försvara denna ståndpunkt inom G20.” </w:t>
      </w:r>
    </w:p>
    <w:p w:rsidR="00B671F6" w:rsidRPr="00A96C30" w:rsidRDefault="00B671F6" w:rsidP="00B671F6">
      <w:pPr>
        <w:overflowPunct/>
        <w:spacing w:line="240" w:lineRule="auto"/>
        <w:textAlignment w:val="auto"/>
      </w:pPr>
    </w:p>
    <w:p w:rsidR="00B671F6" w:rsidRPr="00A96C30" w:rsidRDefault="00B671F6" w:rsidP="00B671F6">
      <w:pPr>
        <w:overflowPunct/>
        <w:spacing w:line="240" w:lineRule="auto"/>
        <w:textAlignment w:val="auto"/>
      </w:pPr>
      <w:r w:rsidRPr="00A96C30">
        <w:t xml:space="preserve">Beskattning av finanssektorn har därefter diskuterats i ett flertal sammanhang. Det som diskuteras är en skatt på finansiella transaktioner (FTT) och en skatt på finansiella aktiviteter (FAT). </w:t>
      </w:r>
    </w:p>
    <w:p w:rsidR="00B671F6" w:rsidRPr="00A96C30" w:rsidRDefault="00B671F6" w:rsidP="00B671F6">
      <w:pPr>
        <w:pStyle w:val="RKnormal"/>
      </w:pPr>
    </w:p>
    <w:p w:rsidR="00B671F6" w:rsidRPr="00A96C30" w:rsidRDefault="00B671F6" w:rsidP="00B671F6">
      <w:pPr>
        <w:pStyle w:val="RKnormal"/>
      </w:pPr>
      <w:r w:rsidRPr="00A96C30">
        <w:t xml:space="preserve">Europeiska kommissionen väntas under sommaren 2011 presentera en konsekvensanalys om beskattning av den finanssektorn. </w:t>
      </w:r>
    </w:p>
    <w:p w:rsidR="00B671F6" w:rsidRPr="00A96C30" w:rsidRDefault="00B671F6" w:rsidP="00B671F6">
      <w:pPr>
        <w:pStyle w:val="RKnormal"/>
        <w:tabs>
          <w:tab w:val="clear" w:pos="2835"/>
          <w:tab w:val="left" w:pos="915"/>
        </w:tabs>
      </w:pPr>
      <w:r w:rsidRPr="00A96C30">
        <w:tab/>
      </w:r>
    </w:p>
    <w:p w:rsidR="00AE4560" w:rsidRPr="00A96C30" w:rsidRDefault="00AE4560" w:rsidP="0089124D">
      <w:pPr>
        <w:tabs>
          <w:tab w:val="left" w:pos="1701"/>
        </w:tabs>
        <w:overflowPunct/>
        <w:spacing w:line="240" w:lineRule="auto"/>
        <w:textAlignment w:val="auto"/>
        <w:rPr>
          <w:rFonts w:cs="OrigGarmnd BT"/>
          <w:color w:val="000000"/>
          <w:szCs w:val="24"/>
          <w:lang w:eastAsia="sv-SE"/>
        </w:rPr>
      </w:pPr>
    </w:p>
    <w:p w:rsidR="00AE4560" w:rsidRPr="00A96C30" w:rsidRDefault="00C060CD" w:rsidP="0089124D">
      <w:pPr>
        <w:tabs>
          <w:tab w:val="left" w:pos="1701"/>
        </w:tabs>
        <w:overflowPunct/>
        <w:spacing w:line="240" w:lineRule="auto"/>
        <w:textAlignment w:val="auto"/>
        <w:rPr>
          <w:rFonts w:cs="OrigGarmnd BT"/>
          <w:b/>
          <w:color w:val="000000"/>
          <w:szCs w:val="24"/>
          <w:lang w:eastAsia="sv-SE"/>
        </w:rPr>
      </w:pPr>
      <w:r w:rsidRPr="00A96C30">
        <w:rPr>
          <w:rFonts w:cs="OrigGarmnd BT"/>
          <w:b/>
          <w:color w:val="000000"/>
          <w:szCs w:val="24"/>
          <w:lang w:eastAsia="sv-SE"/>
        </w:rPr>
        <w:t>7</w:t>
      </w:r>
      <w:r w:rsidR="00AE4560" w:rsidRPr="00A96C30">
        <w:rPr>
          <w:rFonts w:cs="OrigGarmnd BT"/>
          <w:b/>
          <w:color w:val="000000"/>
          <w:szCs w:val="24"/>
          <w:lang w:eastAsia="sv-SE"/>
        </w:rPr>
        <w:t>.</w:t>
      </w:r>
      <w:r w:rsidR="00AE4560" w:rsidRPr="00A96C30">
        <w:rPr>
          <w:rFonts w:cs="OrigGarmnd BT"/>
          <w:b/>
          <w:color w:val="000000"/>
          <w:szCs w:val="24"/>
          <w:lang w:eastAsia="sv-SE"/>
        </w:rPr>
        <w:tab/>
        <w:t>Råvarumarknader</w:t>
      </w:r>
    </w:p>
    <w:p w:rsidR="00AE4560" w:rsidRPr="00A96C30" w:rsidRDefault="00AE4560" w:rsidP="0089124D">
      <w:pPr>
        <w:tabs>
          <w:tab w:val="left" w:pos="1701"/>
        </w:tabs>
        <w:overflowPunct/>
        <w:spacing w:line="240" w:lineRule="auto"/>
        <w:textAlignment w:val="auto"/>
        <w:rPr>
          <w:rFonts w:cs="OrigGarmnd BT"/>
          <w:i/>
          <w:color w:val="000000"/>
          <w:szCs w:val="24"/>
          <w:lang w:eastAsia="sv-SE"/>
        </w:rPr>
      </w:pPr>
      <w:r w:rsidRPr="00A96C30">
        <w:rPr>
          <w:rFonts w:cs="OrigGarmnd BT"/>
          <w:i/>
          <w:color w:val="000000"/>
          <w:szCs w:val="24"/>
          <w:lang w:eastAsia="sv-SE"/>
        </w:rPr>
        <w:tab/>
        <w:t>- rådets slutsatser</w:t>
      </w:r>
    </w:p>
    <w:p w:rsidR="00AE4560" w:rsidRPr="00A96C30" w:rsidRDefault="00AE4560" w:rsidP="0089124D">
      <w:pPr>
        <w:tabs>
          <w:tab w:val="left" w:pos="1701"/>
        </w:tabs>
        <w:overflowPunct/>
        <w:spacing w:line="240" w:lineRule="auto"/>
        <w:textAlignment w:val="auto"/>
        <w:rPr>
          <w:rFonts w:cs="OrigGarmnd BT"/>
          <w:b/>
          <w:color w:val="000000"/>
          <w:szCs w:val="24"/>
          <w:lang w:eastAsia="sv-SE"/>
        </w:rPr>
      </w:pPr>
    </w:p>
    <w:p w:rsidR="00B82AD1" w:rsidRPr="00A96C30" w:rsidRDefault="00B82AD1" w:rsidP="00B82AD1">
      <w:pPr>
        <w:tabs>
          <w:tab w:val="left" w:pos="1701"/>
        </w:tabs>
        <w:overflowPunct/>
        <w:spacing w:line="240" w:lineRule="auto"/>
        <w:textAlignment w:val="auto"/>
        <w:rPr>
          <w:rFonts w:cs="OrigGarmnd BT"/>
          <w:color w:val="000000"/>
          <w:szCs w:val="24"/>
          <w:lang w:eastAsia="sv-SE"/>
        </w:rPr>
      </w:pPr>
      <w:r w:rsidRPr="00A96C30">
        <w:rPr>
          <w:rFonts w:cs="OrigGarmnd BT"/>
          <w:color w:val="000000"/>
          <w:szCs w:val="24"/>
          <w:lang w:eastAsia="sv-SE"/>
        </w:rPr>
        <w:t>Ekofinrådet ska anta rådslutsatser om att möta vissa utmaningar på råvarumarknaderna (basmetall- och jordbruksmarknader). Rådsslutsatserna diskuterades vid det informella Ekofinmötet i Budapest</w:t>
      </w:r>
      <w:r w:rsidR="007F4A5B" w:rsidRPr="00A96C30">
        <w:rPr>
          <w:rFonts w:cs="OrigGarmnd BT"/>
          <w:color w:val="000000"/>
          <w:szCs w:val="24"/>
          <w:lang w:eastAsia="sv-SE"/>
        </w:rPr>
        <w:t>/Gödöllö</w:t>
      </w:r>
      <w:r w:rsidRPr="00A96C30">
        <w:rPr>
          <w:rFonts w:cs="OrigGarmnd BT"/>
          <w:color w:val="000000"/>
          <w:szCs w:val="24"/>
          <w:lang w:eastAsia="sv-SE"/>
        </w:rPr>
        <w:t xml:space="preserve"> den 8-9 april 2011. Ordförande sammanfattade punkten som att samtliga var överens i frågan.</w:t>
      </w:r>
    </w:p>
    <w:p w:rsidR="00B82AD1" w:rsidRPr="00A96C30" w:rsidRDefault="00B82AD1" w:rsidP="00B82AD1">
      <w:pPr>
        <w:tabs>
          <w:tab w:val="left" w:pos="1701"/>
        </w:tabs>
        <w:overflowPunct/>
        <w:spacing w:line="240" w:lineRule="auto"/>
        <w:textAlignment w:val="auto"/>
        <w:rPr>
          <w:rFonts w:cs="OrigGarmnd BT"/>
          <w:color w:val="000000"/>
          <w:szCs w:val="24"/>
          <w:lang w:eastAsia="sv-SE"/>
        </w:rPr>
      </w:pPr>
    </w:p>
    <w:p w:rsidR="00B82AD1" w:rsidRPr="00A96C30" w:rsidRDefault="00B82AD1" w:rsidP="00B82AD1">
      <w:pPr>
        <w:tabs>
          <w:tab w:val="left" w:pos="1701"/>
        </w:tabs>
        <w:overflowPunct/>
        <w:spacing w:line="240" w:lineRule="auto"/>
        <w:textAlignment w:val="auto"/>
        <w:rPr>
          <w:rFonts w:cs="OrigGarmnd BT"/>
          <w:color w:val="000000"/>
          <w:szCs w:val="24"/>
          <w:lang w:eastAsia="sv-SE"/>
        </w:rPr>
      </w:pPr>
      <w:r w:rsidRPr="00A96C30">
        <w:rPr>
          <w:rFonts w:cs="OrigGarmnd BT"/>
          <w:color w:val="000000"/>
          <w:szCs w:val="24"/>
          <w:lang w:eastAsia="sv-SE"/>
        </w:rPr>
        <w:t>Frågan om råvarumarknaderna har kopplingar till det franska G20-arbetet där Frankrike – som ordförandeland - lägger stor vikt vid råvarumarknaderna (särskilt råvaruderivat) och säger sig vilja minska överdriven prisvolatilitet. Det finns även kopplingar till kommissionens pågående arbete med revideringar i direktiven för MFID (Market in Financial Instrument Directive) och MAD (Market Abuse Directive) som kommer att förhandlas senare i år.</w:t>
      </w:r>
    </w:p>
    <w:p w:rsidR="00B82AD1" w:rsidRPr="00A96C30" w:rsidRDefault="00B82AD1" w:rsidP="00B82AD1">
      <w:pPr>
        <w:tabs>
          <w:tab w:val="left" w:pos="1701"/>
        </w:tabs>
        <w:overflowPunct/>
        <w:spacing w:line="240" w:lineRule="auto"/>
        <w:textAlignment w:val="auto"/>
        <w:rPr>
          <w:rFonts w:cs="OrigGarmnd BT"/>
          <w:color w:val="000000"/>
          <w:szCs w:val="24"/>
          <w:lang w:eastAsia="sv-SE"/>
        </w:rPr>
      </w:pPr>
    </w:p>
    <w:p w:rsidR="00B82AD1" w:rsidRPr="00A96C30" w:rsidRDefault="00B82AD1" w:rsidP="00B82AD1">
      <w:pPr>
        <w:tabs>
          <w:tab w:val="left" w:pos="1701"/>
        </w:tabs>
        <w:overflowPunct/>
        <w:spacing w:line="240" w:lineRule="auto"/>
        <w:textAlignment w:val="auto"/>
        <w:rPr>
          <w:rFonts w:cs="OrigGarmnd BT"/>
          <w:color w:val="000000"/>
          <w:szCs w:val="24"/>
          <w:lang w:eastAsia="sv-SE"/>
        </w:rPr>
      </w:pPr>
      <w:r w:rsidRPr="00A96C30">
        <w:rPr>
          <w:rFonts w:cs="OrigGarmnd BT"/>
          <w:color w:val="000000"/>
          <w:szCs w:val="24"/>
          <w:lang w:eastAsia="sv-SE"/>
        </w:rPr>
        <w:t>Regeringen kan stödja utkastet till rådsslutsatser, men den svenska ståndpunkten är att ökad transparens på marknaderna ska förespråkas och att mer analys krävs innan ställning kan tas om hur eventuella regleringar ska se ut. Sverige anser inte att det är bevisat att spekulation är källan till de senaste årens prisvolatilitet. Den svenska hållningen finner stöd i kommissionens analys i frågan.</w:t>
      </w:r>
    </w:p>
    <w:p w:rsidR="00B82AD1" w:rsidRPr="00A96C30" w:rsidRDefault="00B82AD1" w:rsidP="0089124D">
      <w:pPr>
        <w:tabs>
          <w:tab w:val="left" w:pos="1701"/>
        </w:tabs>
        <w:overflowPunct/>
        <w:spacing w:line="240" w:lineRule="auto"/>
        <w:textAlignment w:val="auto"/>
        <w:rPr>
          <w:rFonts w:cs="OrigGarmnd BT"/>
          <w:b/>
          <w:color w:val="000000"/>
          <w:szCs w:val="24"/>
          <w:lang w:eastAsia="sv-SE"/>
        </w:rPr>
      </w:pPr>
    </w:p>
    <w:p w:rsidR="00AE4560" w:rsidRPr="00A96C30" w:rsidRDefault="00AE4560" w:rsidP="0089124D">
      <w:pPr>
        <w:tabs>
          <w:tab w:val="left" w:pos="1701"/>
        </w:tabs>
        <w:overflowPunct/>
        <w:spacing w:line="240" w:lineRule="auto"/>
        <w:textAlignment w:val="auto"/>
        <w:rPr>
          <w:rFonts w:cs="OrigGarmnd BT"/>
          <w:b/>
          <w:color w:val="000000"/>
          <w:szCs w:val="24"/>
          <w:lang w:eastAsia="sv-SE"/>
        </w:rPr>
      </w:pPr>
    </w:p>
    <w:p w:rsidR="00AE4560" w:rsidRPr="00A96C30" w:rsidRDefault="00C060CD" w:rsidP="0089124D">
      <w:pPr>
        <w:tabs>
          <w:tab w:val="left" w:pos="1701"/>
        </w:tabs>
        <w:overflowPunct/>
        <w:spacing w:line="240" w:lineRule="auto"/>
        <w:textAlignment w:val="auto"/>
        <w:rPr>
          <w:rFonts w:cs="OrigGarmnd BT"/>
          <w:b/>
          <w:color w:val="000000"/>
          <w:szCs w:val="24"/>
          <w:lang w:eastAsia="sv-SE"/>
        </w:rPr>
      </w:pPr>
      <w:r w:rsidRPr="00A96C30">
        <w:rPr>
          <w:rFonts w:cs="OrigGarmnd BT"/>
          <w:b/>
          <w:color w:val="000000"/>
          <w:szCs w:val="24"/>
          <w:lang w:eastAsia="sv-SE"/>
        </w:rPr>
        <w:t>8</w:t>
      </w:r>
      <w:r w:rsidR="00AE4560" w:rsidRPr="00A96C30">
        <w:rPr>
          <w:rFonts w:cs="OrigGarmnd BT"/>
          <w:b/>
          <w:color w:val="000000"/>
          <w:szCs w:val="24"/>
          <w:lang w:eastAsia="sv-SE"/>
        </w:rPr>
        <w:t>.</w:t>
      </w:r>
      <w:r w:rsidR="00AE4560" w:rsidRPr="00A96C30">
        <w:rPr>
          <w:rFonts w:cs="OrigGarmnd BT"/>
          <w:b/>
          <w:color w:val="000000"/>
          <w:szCs w:val="24"/>
          <w:lang w:eastAsia="sv-SE"/>
        </w:rPr>
        <w:tab/>
        <w:t xml:space="preserve">Uppdatering av Irlands </w:t>
      </w:r>
      <w:r w:rsidR="009E641E" w:rsidRPr="00A96C30">
        <w:rPr>
          <w:rFonts w:cs="OrigGarmnd BT"/>
          <w:b/>
          <w:color w:val="000000"/>
          <w:szCs w:val="24"/>
          <w:lang w:eastAsia="sv-SE"/>
        </w:rPr>
        <w:t>konsoliderings</w:t>
      </w:r>
      <w:r w:rsidR="00AE4560" w:rsidRPr="00A96C30">
        <w:rPr>
          <w:rFonts w:cs="OrigGarmnd BT"/>
          <w:b/>
          <w:color w:val="000000"/>
          <w:szCs w:val="24"/>
          <w:lang w:eastAsia="sv-SE"/>
        </w:rPr>
        <w:t>program</w:t>
      </w:r>
    </w:p>
    <w:p w:rsidR="00AE4560" w:rsidRPr="00A96C30" w:rsidRDefault="00AE4560" w:rsidP="0089124D">
      <w:pPr>
        <w:tabs>
          <w:tab w:val="left" w:pos="1701"/>
        </w:tabs>
        <w:overflowPunct/>
        <w:spacing w:line="240" w:lineRule="auto"/>
        <w:textAlignment w:val="auto"/>
        <w:rPr>
          <w:rFonts w:cs="OrigGarmnd BT"/>
          <w:i/>
          <w:color w:val="000000"/>
          <w:szCs w:val="24"/>
          <w:lang w:eastAsia="sv-SE"/>
        </w:rPr>
      </w:pPr>
      <w:r w:rsidRPr="00A96C30">
        <w:rPr>
          <w:rFonts w:cs="OrigGarmnd BT"/>
          <w:i/>
          <w:color w:val="000000"/>
          <w:szCs w:val="24"/>
          <w:lang w:eastAsia="sv-SE"/>
        </w:rPr>
        <w:tab/>
        <w:t>- rådets slutsatser</w:t>
      </w:r>
    </w:p>
    <w:p w:rsidR="004F0E5F" w:rsidRPr="00A96C30" w:rsidRDefault="004F0E5F" w:rsidP="004F0E5F">
      <w:pPr>
        <w:pStyle w:val="RKnormal"/>
        <w:rPr>
          <w:rFonts w:eastAsia="ヒラギノ角ゴ Pro W3"/>
        </w:rPr>
      </w:pPr>
    </w:p>
    <w:p w:rsidR="004F0E5F" w:rsidRPr="00A96C30" w:rsidRDefault="004F0E5F" w:rsidP="004F0E5F">
      <w:pPr>
        <w:pStyle w:val="RKnormal"/>
        <w:rPr>
          <w:rFonts w:eastAsia="ヒラギノ角ゴ Pro W3"/>
        </w:rPr>
      </w:pPr>
      <w:r w:rsidRPr="00A96C30">
        <w:rPr>
          <w:rFonts w:eastAsia="ヒラギノ角ゴ Pro W3"/>
        </w:rPr>
        <w:t xml:space="preserve">Ekofinrådet föreslås godkänna slutsatser om revidering av rådets beslut som fattades i december 2010 gällande finansiellt stöd till Irland från EU och det därtill hörande samförståndsavtalet (Memorandum of Understanding). </w:t>
      </w:r>
    </w:p>
    <w:p w:rsidR="004F0E5F" w:rsidRPr="00A96C30" w:rsidRDefault="004F0E5F" w:rsidP="004F0E5F">
      <w:pPr>
        <w:pStyle w:val="RKnormal"/>
        <w:rPr>
          <w:rFonts w:eastAsia="ヒラギノ角ゴ Pro W3"/>
        </w:rPr>
      </w:pPr>
    </w:p>
    <w:p w:rsidR="004F0E5F" w:rsidRPr="00A96C30" w:rsidRDefault="004F0E5F" w:rsidP="004F0E5F">
      <w:pPr>
        <w:pStyle w:val="RKnormal"/>
        <w:rPr>
          <w:rFonts w:eastAsia="ヒラギノ角ゴ Pro W3"/>
        </w:rPr>
      </w:pPr>
      <w:r w:rsidRPr="00A96C30">
        <w:rPr>
          <w:rFonts w:eastAsia="ヒラギノ角ゴ Pro W3"/>
        </w:rPr>
        <w:t xml:space="preserve">Den första översynen av programmet har nu genomförts. Den nya irländska regeringen har i samband med denna översyn förhandlat fram vissa förändringar i anpassningsprogrammets utformning, som de garanterar ska vara budgetneutrala i förhållande till konsolideringsmålen i programmet. </w:t>
      </w:r>
      <w:r w:rsidR="00D4606F" w:rsidRPr="00A96C30">
        <w:rPr>
          <w:rFonts w:eastAsia="ヒラギノ角ゴ Pro W3"/>
        </w:rPr>
        <w:t xml:space="preserve">Resultaten </w:t>
      </w:r>
      <w:r w:rsidRPr="00A96C30">
        <w:rPr>
          <w:rFonts w:eastAsia="ヒラギノ角ゴ Pro W3"/>
        </w:rPr>
        <w:t>från översynen pekar på att Irland uppvisat goda resultat för de finanspolitiska och strukturpolitiska delmål som överenskommits. Samtidigt diskuteras också de fortsatta utmaningar och risker som kvarstår.</w:t>
      </w:r>
    </w:p>
    <w:p w:rsidR="004F0E5F" w:rsidRPr="00A96C30" w:rsidRDefault="004F0E5F" w:rsidP="004F0E5F">
      <w:pPr>
        <w:pStyle w:val="RKnormal"/>
        <w:rPr>
          <w:rFonts w:eastAsia="ヒラギノ角ゴ Pro W3"/>
        </w:rPr>
      </w:pPr>
    </w:p>
    <w:p w:rsidR="004F0E5F" w:rsidRPr="00A96C30" w:rsidRDefault="004F0E5F" w:rsidP="004F0E5F">
      <w:pPr>
        <w:pStyle w:val="RKnormal"/>
        <w:rPr>
          <w:rFonts w:eastAsia="ヒラギノ角ゴ Pro W3"/>
        </w:rPr>
      </w:pPr>
      <w:r w:rsidRPr="00A96C30">
        <w:rPr>
          <w:rFonts w:eastAsia="ヒラギノ角ゴ Pro W3"/>
        </w:rPr>
        <w:t xml:space="preserve">Regeringen stöder utkastet till slutsatser. </w:t>
      </w:r>
    </w:p>
    <w:p w:rsidR="004F0E5F" w:rsidRPr="00A96C30" w:rsidRDefault="004F0E5F" w:rsidP="004F0E5F">
      <w:pPr>
        <w:pStyle w:val="RKnormal"/>
        <w:rPr>
          <w:rFonts w:eastAsia="ヒラギノ角ゴ Pro W3"/>
        </w:rPr>
      </w:pPr>
    </w:p>
    <w:p w:rsidR="00B82AD1" w:rsidRPr="00A96C30" w:rsidRDefault="00B82AD1" w:rsidP="004F0E5F">
      <w:pPr>
        <w:pStyle w:val="RKnormal"/>
        <w:rPr>
          <w:rFonts w:eastAsia="ヒラギノ角ゴ Pro W3"/>
        </w:rPr>
      </w:pPr>
    </w:p>
    <w:p w:rsidR="00AE4560" w:rsidRPr="00A96C30" w:rsidRDefault="00C060CD" w:rsidP="0089124D">
      <w:pPr>
        <w:tabs>
          <w:tab w:val="left" w:pos="1701"/>
        </w:tabs>
        <w:overflowPunct/>
        <w:spacing w:line="240" w:lineRule="auto"/>
        <w:textAlignment w:val="auto"/>
        <w:rPr>
          <w:rFonts w:cs="OrigGarmnd BT"/>
          <w:b/>
          <w:color w:val="000000"/>
          <w:szCs w:val="24"/>
          <w:lang w:eastAsia="sv-SE"/>
        </w:rPr>
      </w:pPr>
      <w:r w:rsidRPr="00A96C30">
        <w:rPr>
          <w:rFonts w:cs="OrigGarmnd BT"/>
          <w:b/>
          <w:color w:val="000000"/>
          <w:szCs w:val="24"/>
          <w:lang w:eastAsia="sv-SE"/>
        </w:rPr>
        <w:t>9</w:t>
      </w:r>
      <w:r w:rsidR="00AE4560" w:rsidRPr="00A96C30">
        <w:rPr>
          <w:rFonts w:cs="OrigGarmnd BT"/>
          <w:b/>
          <w:color w:val="000000"/>
          <w:szCs w:val="24"/>
          <w:lang w:eastAsia="sv-SE"/>
        </w:rPr>
        <w:t>.</w:t>
      </w:r>
      <w:r w:rsidR="00AE4560" w:rsidRPr="00A96C30">
        <w:rPr>
          <w:rFonts w:cs="OrigGarmnd BT"/>
          <w:b/>
          <w:color w:val="000000"/>
          <w:szCs w:val="24"/>
          <w:lang w:eastAsia="sv-SE"/>
        </w:rPr>
        <w:tab/>
        <w:t>Finansiellt stöd åt Portugal</w:t>
      </w:r>
    </w:p>
    <w:p w:rsidR="00AE4560" w:rsidRPr="00A96C30" w:rsidRDefault="00AE4560" w:rsidP="0089124D">
      <w:pPr>
        <w:tabs>
          <w:tab w:val="left" w:pos="1701"/>
        </w:tabs>
        <w:overflowPunct/>
        <w:spacing w:line="240" w:lineRule="auto"/>
        <w:textAlignment w:val="auto"/>
        <w:rPr>
          <w:rFonts w:cs="OrigGarmnd BT"/>
          <w:i/>
          <w:color w:val="000000"/>
          <w:szCs w:val="24"/>
          <w:lang w:eastAsia="sv-SE"/>
        </w:rPr>
      </w:pPr>
      <w:r w:rsidRPr="00A96C30">
        <w:rPr>
          <w:rFonts w:cs="OrigGarmnd BT"/>
          <w:i/>
          <w:color w:val="000000"/>
          <w:szCs w:val="24"/>
          <w:lang w:eastAsia="sv-SE"/>
        </w:rPr>
        <w:tab/>
        <w:t>- rådets rekommendation och beslut</w:t>
      </w:r>
    </w:p>
    <w:p w:rsidR="00DD6D4A" w:rsidRPr="00A96C30" w:rsidRDefault="00DD6D4A" w:rsidP="00DD6D4A">
      <w:pPr>
        <w:pStyle w:val="RKnormal"/>
        <w:rPr>
          <w:rFonts w:eastAsia="ヒラギノ角ゴ Pro W3"/>
        </w:rPr>
      </w:pPr>
    </w:p>
    <w:p w:rsidR="00DD6D4A" w:rsidRPr="00A96C30" w:rsidRDefault="00DD6D4A" w:rsidP="00DD6D4A">
      <w:pPr>
        <w:pStyle w:val="RKnormal"/>
        <w:rPr>
          <w:rFonts w:eastAsia="ヒラギノ角ゴ Pro W3"/>
        </w:rPr>
      </w:pPr>
      <w:r w:rsidRPr="00A96C30">
        <w:rPr>
          <w:rFonts w:eastAsia="ヒラギノ角ゴ Pro W3"/>
        </w:rPr>
        <w:t xml:space="preserve">Ekofinrådet ska besluta om finansiellt stöd till Portugal från EU:s lånefacilitet </w:t>
      </w:r>
      <w:r w:rsidR="0088140B" w:rsidRPr="00A96C30">
        <w:rPr>
          <w:rFonts w:eastAsia="ヒラギノ角ゴ Pro W3"/>
        </w:rPr>
        <w:t>”</w:t>
      </w:r>
      <w:r w:rsidRPr="00A96C30">
        <w:rPr>
          <w:rFonts w:eastAsia="ヒラギノ角ゴ Pro W3"/>
        </w:rPr>
        <w:t>European Financial Stabili</w:t>
      </w:r>
      <w:r w:rsidR="0088140B" w:rsidRPr="00A96C30">
        <w:rPr>
          <w:rFonts w:eastAsia="ヒラギノ角ゴ Pro W3"/>
        </w:rPr>
        <w:t>z</w:t>
      </w:r>
      <w:r w:rsidRPr="00A96C30">
        <w:rPr>
          <w:rFonts w:eastAsia="ヒラギノ角ゴ Pro W3"/>
        </w:rPr>
        <w:t>ation Mechanism</w:t>
      </w:r>
      <w:r w:rsidR="0088140B" w:rsidRPr="00A96C30">
        <w:rPr>
          <w:rFonts w:eastAsia="ヒラギノ角ゴ Pro W3"/>
        </w:rPr>
        <w:t>”</w:t>
      </w:r>
      <w:r w:rsidRPr="00A96C30">
        <w:rPr>
          <w:rFonts w:eastAsia="ヒラギノ角ゴ Pro W3"/>
        </w:rPr>
        <w:t xml:space="preserve"> (EFSM). Stödet ingår i ett stödpaket på sammanlagt 78 miljarder euro. Därav svarar IMF för 26 miljarder. Hur det resterande beloppet ska fördelas mellan EFSM och euroländernas lånefacilitet </w:t>
      </w:r>
      <w:r w:rsidR="0088140B" w:rsidRPr="00A96C30">
        <w:rPr>
          <w:rFonts w:eastAsia="ヒラギノ角ゴ Pro W3"/>
        </w:rPr>
        <w:t>”</w:t>
      </w:r>
      <w:r w:rsidRPr="00A96C30">
        <w:rPr>
          <w:rFonts w:eastAsia="ヒラギノ角ゴ Pro W3"/>
        </w:rPr>
        <w:t>European Financial Stability  Facility</w:t>
      </w:r>
      <w:r w:rsidR="0088140B" w:rsidRPr="00A96C30">
        <w:rPr>
          <w:rFonts w:eastAsia="ヒラギノ角ゴ Pro W3"/>
        </w:rPr>
        <w:t>”</w:t>
      </w:r>
      <w:r w:rsidRPr="00A96C30">
        <w:rPr>
          <w:rFonts w:eastAsia="ヒラギノ角ゴ Pro W3"/>
        </w:rPr>
        <w:t xml:space="preserve"> (EFSF) är inte klart i dagsläget</w:t>
      </w:r>
      <w:r w:rsidR="0088140B" w:rsidRPr="00A96C30">
        <w:rPr>
          <w:rFonts w:eastAsia="ヒラギノ角ゴ Pro W3"/>
        </w:rPr>
        <w:t>.</w:t>
      </w:r>
    </w:p>
    <w:p w:rsidR="00DD6D4A" w:rsidRPr="00A96C30" w:rsidRDefault="00DD6D4A" w:rsidP="00DD6D4A">
      <w:pPr>
        <w:pStyle w:val="RKnormal"/>
        <w:rPr>
          <w:rFonts w:eastAsia="ヒラギノ角ゴ Pro W3"/>
        </w:rPr>
      </w:pPr>
    </w:p>
    <w:p w:rsidR="00DD6D4A" w:rsidRPr="00A96C30" w:rsidRDefault="00DD6D4A" w:rsidP="00DD6D4A">
      <w:pPr>
        <w:pStyle w:val="RKnormal"/>
        <w:rPr>
          <w:rFonts w:eastAsia="ヒラギノ角ゴ Pro W3"/>
        </w:rPr>
      </w:pPr>
      <w:r w:rsidRPr="00A96C30">
        <w:rPr>
          <w:rFonts w:eastAsia="ヒラギノ角ゴ Pro W3"/>
        </w:rPr>
        <w:t xml:space="preserve">Till stödet är knutet ett ekonomisk-politiskt reformprogram, som har framförhandlats mellan Portugals regering å ena sidan och </w:t>
      </w:r>
      <w:r w:rsidR="0088140B" w:rsidRPr="00A96C30">
        <w:rPr>
          <w:rFonts w:eastAsia="ヒラギノ角ゴ Pro W3"/>
        </w:rPr>
        <w:t>k</w:t>
      </w:r>
      <w:r w:rsidRPr="00A96C30">
        <w:rPr>
          <w:rFonts w:eastAsia="ヒラギノ角ゴ Pro W3"/>
        </w:rPr>
        <w:t xml:space="preserve">ommissionen, ECB och IMF å den andra. Enligt programmet ska Portugals budgetunderskott minskas till högst 3 procent av BNP 2013. Vidare ska ett antal strukturella reformer genomföras i syfte att stärka Portugals internationella konkurrenskraft. </w:t>
      </w:r>
    </w:p>
    <w:p w:rsidR="00AE4560" w:rsidRPr="00A96C30" w:rsidRDefault="00AE4560" w:rsidP="0089124D">
      <w:pPr>
        <w:tabs>
          <w:tab w:val="left" w:pos="1701"/>
        </w:tabs>
        <w:overflowPunct/>
        <w:spacing w:line="240" w:lineRule="auto"/>
        <w:textAlignment w:val="auto"/>
        <w:rPr>
          <w:rFonts w:cs="OrigGarmnd BT"/>
          <w:b/>
          <w:color w:val="000000"/>
          <w:szCs w:val="24"/>
          <w:lang w:eastAsia="sv-SE"/>
        </w:rPr>
      </w:pPr>
    </w:p>
    <w:p w:rsidR="0088140B" w:rsidRPr="00A96C30" w:rsidRDefault="0088140B" w:rsidP="0089124D">
      <w:pPr>
        <w:tabs>
          <w:tab w:val="left" w:pos="1701"/>
        </w:tabs>
        <w:overflowPunct/>
        <w:spacing w:line="240" w:lineRule="auto"/>
        <w:textAlignment w:val="auto"/>
        <w:rPr>
          <w:rFonts w:cs="OrigGarmnd BT"/>
          <w:color w:val="000000"/>
          <w:szCs w:val="24"/>
          <w:lang w:eastAsia="sv-SE"/>
        </w:rPr>
      </w:pPr>
      <w:r w:rsidRPr="00A96C30">
        <w:rPr>
          <w:rFonts w:cs="OrigGarmnd BT"/>
          <w:color w:val="000000"/>
          <w:szCs w:val="24"/>
          <w:lang w:eastAsia="sv-SE"/>
        </w:rPr>
        <w:t>Utkasten till rådets beslut att bevilja stöd till Portugal och rådets rekommendation till Portugal om att få det alltför stora underskottet att upphöra föreligger inte i skrivande stund.</w:t>
      </w:r>
    </w:p>
    <w:p w:rsidR="0088140B" w:rsidRPr="00A96C30" w:rsidRDefault="0088140B" w:rsidP="0089124D">
      <w:pPr>
        <w:tabs>
          <w:tab w:val="left" w:pos="1701"/>
        </w:tabs>
        <w:overflowPunct/>
        <w:spacing w:line="240" w:lineRule="auto"/>
        <w:textAlignment w:val="auto"/>
        <w:rPr>
          <w:rFonts w:cs="OrigGarmnd BT"/>
          <w:color w:val="000000"/>
          <w:szCs w:val="24"/>
          <w:lang w:eastAsia="sv-SE"/>
        </w:rPr>
      </w:pPr>
    </w:p>
    <w:p w:rsidR="0088140B" w:rsidRPr="00A96C30" w:rsidRDefault="0088140B" w:rsidP="0089124D">
      <w:pPr>
        <w:tabs>
          <w:tab w:val="left" w:pos="1701"/>
        </w:tabs>
        <w:overflowPunct/>
        <w:spacing w:line="240" w:lineRule="auto"/>
        <w:textAlignment w:val="auto"/>
        <w:rPr>
          <w:rFonts w:cs="OrigGarmnd BT"/>
          <w:b/>
          <w:color w:val="000000"/>
          <w:szCs w:val="24"/>
          <w:lang w:eastAsia="sv-SE"/>
        </w:rPr>
      </w:pPr>
    </w:p>
    <w:p w:rsidR="00AE4560" w:rsidRPr="00A96C30" w:rsidRDefault="00AE4560" w:rsidP="0089124D">
      <w:pPr>
        <w:tabs>
          <w:tab w:val="left" w:pos="1701"/>
        </w:tabs>
        <w:overflowPunct/>
        <w:spacing w:line="240" w:lineRule="auto"/>
        <w:textAlignment w:val="auto"/>
        <w:rPr>
          <w:rFonts w:cs="OrigGarmnd BT"/>
          <w:b/>
          <w:color w:val="000000"/>
          <w:szCs w:val="24"/>
          <w:lang w:eastAsia="sv-SE"/>
        </w:rPr>
      </w:pPr>
      <w:r w:rsidRPr="00A96C30">
        <w:rPr>
          <w:rFonts w:cs="OrigGarmnd BT"/>
          <w:b/>
          <w:color w:val="000000"/>
          <w:szCs w:val="24"/>
          <w:lang w:eastAsia="sv-SE"/>
        </w:rPr>
        <w:t>1</w:t>
      </w:r>
      <w:r w:rsidR="000D6091" w:rsidRPr="00A96C30">
        <w:rPr>
          <w:rFonts w:cs="OrigGarmnd BT"/>
          <w:b/>
          <w:color w:val="000000"/>
          <w:szCs w:val="24"/>
          <w:lang w:eastAsia="sv-SE"/>
        </w:rPr>
        <w:t>0</w:t>
      </w:r>
      <w:r w:rsidRPr="00A96C30">
        <w:rPr>
          <w:rFonts w:cs="OrigGarmnd BT"/>
          <w:b/>
          <w:color w:val="000000"/>
          <w:szCs w:val="24"/>
          <w:lang w:eastAsia="sv-SE"/>
        </w:rPr>
        <w:t>.</w:t>
      </w:r>
      <w:r w:rsidRPr="00A96C30">
        <w:rPr>
          <w:rFonts w:cs="OrigGarmnd BT"/>
          <w:b/>
          <w:color w:val="000000"/>
          <w:szCs w:val="24"/>
          <w:lang w:eastAsia="sv-SE"/>
        </w:rPr>
        <w:tab/>
        <w:t>Information från Informella Ekofin i Gödöllö</w:t>
      </w:r>
    </w:p>
    <w:p w:rsidR="00AE4560" w:rsidRPr="00A96C30" w:rsidRDefault="00AE4560" w:rsidP="0089124D">
      <w:pPr>
        <w:tabs>
          <w:tab w:val="left" w:pos="1701"/>
        </w:tabs>
        <w:overflowPunct/>
        <w:spacing w:line="240" w:lineRule="auto"/>
        <w:textAlignment w:val="auto"/>
        <w:rPr>
          <w:rFonts w:cs="OrigGarmnd BT"/>
          <w:i/>
          <w:color w:val="000000"/>
          <w:szCs w:val="24"/>
          <w:lang w:eastAsia="sv-SE"/>
        </w:rPr>
      </w:pPr>
      <w:r w:rsidRPr="00A96C30">
        <w:rPr>
          <w:rFonts w:cs="OrigGarmnd BT"/>
          <w:i/>
          <w:color w:val="000000"/>
          <w:szCs w:val="24"/>
          <w:lang w:eastAsia="sv-SE"/>
        </w:rPr>
        <w:tab/>
        <w:t>- debriefing av rådets ordförande</w:t>
      </w:r>
    </w:p>
    <w:p w:rsidR="00AE4560" w:rsidRPr="00A96C30" w:rsidRDefault="00AE4560" w:rsidP="0089124D">
      <w:pPr>
        <w:tabs>
          <w:tab w:val="left" w:pos="1701"/>
        </w:tabs>
        <w:overflowPunct/>
        <w:spacing w:line="240" w:lineRule="auto"/>
        <w:textAlignment w:val="auto"/>
        <w:rPr>
          <w:rFonts w:cs="OrigGarmnd BT"/>
          <w:b/>
          <w:color w:val="000000"/>
          <w:szCs w:val="24"/>
          <w:lang w:eastAsia="sv-SE"/>
        </w:rPr>
      </w:pPr>
    </w:p>
    <w:p w:rsidR="0099704E" w:rsidRPr="00A96C30" w:rsidRDefault="0099704E" w:rsidP="0089124D">
      <w:pPr>
        <w:tabs>
          <w:tab w:val="left" w:pos="1701"/>
        </w:tabs>
        <w:overflowPunct/>
        <w:spacing w:line="240" w:lineRule="auto"/>
        <w:textAlignment w:val="auto"/>
        <w:rPr>
          <w:rFonts w:cs="OrigGarmnd BT"/>
          <w:color w:val="000000"/>
          <w:szCs w:val="24"/>
          <w:lang w:eastAsia="sv-SE"/>
        </w:rPr>
      </w:pPr>
      <w:r w:rsidRPr="00A96C30">
        <w:rPr>
          <w:rFonts w:cs="OrigGarmnd BT"/>
          <w:color w:val="000000"/>
          <w:szCs w:val="24"/>
          <w:lang w:eastAsia="sv-SE"/>
        </w:rPr>
        <w:t xml:space="preserve">Det är </w:t>
      </w:r>
      <w:r w:rsidR="0035577C" w:rsidRPr="00A96C30">
        <w:rPr>
          <w:rFonts w:cs="OrigGarmnd BT"/>
          <w:color w:val="000000"/>
          <w:szCs w:val="24"/>
          <w:lang w:eastAsia="sv-SE"/>
        </w:rPr>
        <w:t xml:space="preserve">i skrivande stund </w:t>
      </w:r>
      <w:r w:rsidRPr="00A96C30">
        <w:rPr>
          <w:rFonts w:cs="OrigGarmnd BT"/>
          <w:color w:val="000000"/>
          <w:szCs w:val="24"/>
          <w:lang w:eastAsia="sv-SE"/>
        </w:rPr>
        <w:t>oklart vad ordförandeskapet avser uppmärksamma Ekofinrådet på</w:t>
      </w:r>
      <w:r w:rsidR="00491B1E" w:rsidRPr="00A96C30">
        <w:rPr>
          <w:rFonts w:cs="OrigGarmnd BT"/>
          <w:color w:val="000000"/>
          <w:szCs w:val="24"/>
          <w:lang w:eastAsia="sv-SE"/>
        </w:rPr>
        <w:t xml:space="preserve"> från Informella Ekofin den 8-9 april.</w:t>
      </w:r>
    </w:p>
    <w:p w:rsidR="0099704E" w:rsidRPr="00A96C30" w:rsidRDefault="0099704E" w:rsidP="0089124D">
      <w:pPr>
        <w:tabs>
          <w:tab w:val="left" w:pos="1701"/>
        </w:tabs>
        <w:overflowPunct/>
        <w:spacing w:line="240" w:lineRule="auto"/>
        <w:textAlignment w:val="auto"/>
        <w:rPr>
          <w:rFonts w:cs="OrigGarmnd BT"/>
          <w:color w:val="000000"/>
          <w:szCs w:val="24"/>
          <w:lang w:eastAsia="sv-SE"/>
        </w:rPr>
      </w:pPr>
    </w:p>
    <w:p w:rsidR="00AE4560" w:rsidRPr="00A96C30" w:rsidRDefault="0099704E" w:rsidP="0089124D">
      <w:pPr>
        <w:tabs>
          <w:tab w:val="left" w:pos="1701"/>
        </w:tabs>
        <w:overflowPunct/>
        <w:spacing w:line="240" w:lineRule="auto"/>
        <w:textAlignment w:val="auto"/>
        <w:rPr>
          <w:rFonts w:cs="OrigGarmnd BT"/>
          <w:color w:val="000000"/>
          <w:szCs w:val="24"/>
          <w:lang w:eastAsia="sv-SE"/>
        </w:rPr>
      </w:pPr>
      <w:r w:rsidRPr="00A96C30">
        <w:rPr>
          <w:rFonts w:cs="OrigGarmnd BT"/>
          <w:color w:val="000000"/>
          <w:szCs w:val="24"/>
          <w:lang w:eastAsia="sv-SE"/>
        </w:rPr>
        <w:t xml:space="preserve"> </w:t>
      </w:r>
    </w:p>
    <w:p w:rsidR="00E974DC" w:rsidRPr="00A96C30" w:rsidRDefault="00AE4560" w:rsidP="0089124D">
      <w:pPr>
        <w:tabs>
          <w:tab w:val="left" w:pos="1701"/>
        </w:tabs>
        <w:overflowPunct/>
        <w:spacing w:line="240" w:lineRule="auto"/>
        <w:textAlignment w:val="auto"/>
        <w:rPr>
          <w:rFonts w:cs="OrigGarmnd BT"/>
          <w:b/>
          <w:color w:val="000000"/>
          <w:szCs w:val="24"/>
          <w:lang w:eastAsia="sv-SE"/>
        </w:rPr>
      </w:pPr>
      <w:r w:rsidRPr="00A96C30">
        <w:rPr>
          <w:rFonts w:cs="OrigGarmnd BT"/>
          <w:b/>
          <w:color w:val="000000"/>
          <w:szCs w:val="24"/>
          <w:lang w:eastAsia="sv-SE"/>
        </w:rPr>
        <w:t>1</w:t>
      </w:r>
      <w:r w:rsidR="000D6091" w:rsidRPr="00A96C30">
        <w:rPr>
          <w:rFonts w:cs="OrigGarmnd BT"/>
          <w:b/>
          <w:color w:val="000000"/>
          <w:szCs w:val="24"/>
          <w:lang w:eastAsia="sv-SE"/>
        </w:rPr>
        <w:t>1</w:t>
      </w:r>
      <w:r w:rsidRPr="00A96C30">
        <w:rPr>
          <w:rFonts w:cs="OrigGarmnd BT"/>
          <w:b/>
          <w:color w:val="000000"/>
          <w:szCs w:val="24"/>
          <w:lang w:eastAsia="sv-SE"/>
        </w:rPr>
        <w:t xml:space="preserve">. </w:t>
      </w:r>
      <w:r w:rsidR="00F069DE" w:rsidRPr="00A96C30">
        <w:rPr>
          <w:rFonts w:cs="OrigGarmnd BT"/>
          <w:b/>
          <w:color w:val="000000"/>
          <w:szCs w:val="24"/>
          <w:lang w:eastAsia="sv-SE"/>
        </w:rPr>
        <w:t xml:space="preserve"> </w:t>
      </w:r>
      <w:r w:rsidR="00F069DE" w:rsidRPr="00A96C30">
        <w:rPr>
          <w:rFonts w:cs="OrigGarmnd BT"/>
          <w:b/>
          <w:color w:val="000000"/>
          <w:szCs w:val="24"/>
          <w:lang w:eastAsia="sv-SE"/>
        </w:rPr>
        <w:tab/>
      </w:r>
      <w:r w:rsidR="00451C5D" w:rsidRPr="00A96C30">
        <w:rPr>
          <w:rFonts w:cs="OrigGarmnd BT"/>
          <w:b/>
          <w:color w:val="000000"/>
          <w:szCs w:val="24"/>
          <w:lang w:eastAsia="sv-SE"/>
        </w:rPr>
        <w:t>(ev.) Övriga ärenden</w:t>
      </w:r>
      <w:r w:rsidR="00E974DC" w:rsidRPr="00A96C30">
        <w:rPr>
          <w:rFonts w:cs="OrigGarmnd BT"/>
          <w:b/>
          <w:color w:val="000000"/>
          <w:szCs w:val="24"/>
          <w:lang w:eastAsia="sv-SE"/>
        </w:rPr>
        <w:t xml:space="preserve"> </w:t>
      </w:r>
    </w:p>
    <w:p w:rsidR="00451C5D" w:rsidRPr="00A96C30" w:rsidRDefault="00451C5D" w:rsidP="0089124D">
      <w:pPr>
        <w:tabs>
          <w:tab w:val="left" w:pos="1701"/>
        </w:tabs>
        <w:overflowPunct/>
        <w:spacing w:line="240" w:lineRule="auto"/>
        <w:textAlignment w:val="auto"/>
        <w:rPr>
          <w:rFonts w:cs="OrigGarmnd BT"/>
          <w:b/>
          <w:color w:val="000000"/>
          <w:szCs w:val="24"/>
          <w:lang w:eastAsia="sv-SE"/>
        </w:rPr>
      </w:pPr>
    </w:p>
    <w:p w:rsidR="00451C5D" w:rsidRPr="00A96C30" w:rsidRDefault="00451C5D" w:rsidP="0089124D">
      <w:pPr>
        <w:tabs>
          <w:tab w:val="left" w:pos="1701"/>
        </w:tabs>
        <w:overflowPunct/>
        <w:spacing w:line="240" w:lineRule="auto"/>
        <w:textAlignment w:val="auto"/>
        <w:rPr>
          <w:rFonts w:cs="OrigGarmnd BT"/>
          <w:color w:val="000000"/>
          <w:szCs w:val="24"/>
          <w:lang w:eastAsia="sv-SE"/>
        </w:rPr>
      </w:pPr>
      <w:r w:rsidRPr="00A96C30">
        <w:rPr>
          <w:rFonts w:cs="OrigGarmnd BT"/>
          <w:color w:val="000000"/>
          <w:szCs w:val="24"/>
          <w:lang w:eastAsia="sv-SE"/>
        </w:rPr>
        <w:t xml:space="preserve">Det </w:t>
      </w:r>
      <w:r w:rsidR="00552F39" w:rsidRPr="00A96C30">
        <w:rPr>
          <w:rFonts w:cs="OrigGarmnd BT"/>
          <w:color w:val="000000"/>
          <w:szCs w:val="24"/>
          <w:lang w:eastAsia="sv-SE"/>
        </w:rPr>
        <w:t xml:space="preserve">har </w:t>
      </w:r>
      <w:r w:rsidRPr="00A96C30">
        <w:rPr>
          <w:rFonts w:cs="OrigGarmnd BT"/>
          <w:color w:val="000000"/>
          <w:szCs w:val="24"/>
          <w:lang w:eastAsia="sv-SE"/>
        </w:rPr>
        <w:t>i skrivande stund in</w:t>
      </w:r>
      <w:r w:rsidR="00552F39" w:rsidRPr="00A96C30">
        <w:rPr>
          <w:rFonts w:cs="OrigGarmnd BT"/>
          <w:color w:val="000000"/>
          <w:szCs w:val="24"/>
          <w:lang w:eastAsia="sv-SE"/>
        </w:rPr>
        <w:t xml:space="preserve">te presenterats några </w:t>
      </w:r>
      <w:r w:rsidRPr="00A96C30">
        <w:rPr>
          <w:rFonts w:cs="OrigGarmnd BT"/>
          <w:color w:val="000000"/>
          <w:szCs w:val="24"/>
          <w:lang w:eastAsia="sv-SE"/>
        </w:rPr>
        <w:t xml:space="preserve">övriga ärenden. </w:t>
      </w:r>
    </w:p>
    <w:p w:rsidR="00AE4560" w:rsidRPr="00A96C30" w:rsidRDefault="00AE4560" w:rsidP="0089124D">
      <w:pPr>
        <w:tabs>
          <w:tab w:val="left" w:pos="1701"/>
        </w:tabs>
        <w:overflowPunct/>
        <w:spacing w:line="240" w:lineRule="auto"/>
        <w:textAlignment w:val="auto"/>
        <w:rPr>
          <w:rFonts w:cs="OrigGarmnd BT"/>
          <w:color w:val="000000"/>
          <w:szCs w:val="24"/>
          <w:lang w:eastAsia="sv-SE"/>
        </w:rPr>
      </w:pPr>
    </w:p>
    <w:p w:rsidR="0089124D" w:rsidRPr="00A96C30" w:rsidRDefault="0089124D" w:rsidP="006114EC">
      <w:pPr>
        <w:tabs>
          <w:tab w:val="left" w:pos="1701"/>
        </w:tabs>
        <w:overflowPunct/>
        <w:spacing w:line="240" w:lineRule="auto"/>
        <w:jc w:val="center"/>
        <w:textAlignment w:val="auto"/>
        <w:rPr>
          <w:lang w:eastAsia="sv-SE"/>
        </w:rPr>
      </w:pPr>
      <w:r w:rsidRPr="00A96C30">
        <w:rPr>
          <w:lang w:eastAsia="sv-SE"/>
        </w:rPr>
        <w:t>_______________________</w:t>
      </w:r>
    </w:p>
    <w:p w:rsidR="00C775DF" w:rsidRPr="00A96C30" w:rsidRDefault="00C775DF" w:rsidP="006114EC">
      <w:pPr>
        <w:tabs>
          <w:tab w:val="left" w:pos="1701"/>
        </w:tabs>
        <w:overflowPunct/>
        <w:spacing w:line="240" w:lineRule="auto"/>
        <w:jc w:val="center"/>
        <w:textAlignment w:val="auto"/>
        <w:rPr>
          <w:lang w:eastAsia="sv-SE"/>
        </w:rPr>
      </w:pPr>
    </w:p>
    <w:p w:rsidR="00222E35" w:rsidRPr="00A96C30" w:rsidRDefault="00222E35" w:rsidP="00C775DF">
      <w:pPr>
        <w:tabs>
          <w:tab w:val="left" w:pos="1701"/>
        </w:tabs>
        <w:overflowPunct/>
        <w:spacing w:line="240" w:lineRule="auto"/>
        <w:textAlignment w:val="auto"/>
        <w:rPr>
          <w:b/>
          <w:lang w:eastAsia="sv-SE"/>
        </w:rPr>
      </w:pPr>
    </w:p>
    <w:p w:rsidR="00C775DF" w:rsidRPr="00A96C30" w:rsidRDefault="00C775DF" w:rsidP="00C775DF">
      <w:pPr>
        <w:tabs>
          <w:tab w:val="left" w:pos="1701"/>
        </w:tabs>
        <w:overflowPunct/>
        <w:spacing w:line="240" w:lineRule="auto"/>
        <w:textAlignment w:val="auto"/>
        <w:rPr>
          <w:b/>
          <w:lang w:eastAsia="sv-SE"/>
        </w:rPr>
      </w:pPr>
      <w:r w:rsidRPr="00A96C30">
        <w:rPr>
          <w:b/>
          <w:lang w:eastAsia="sv-SE"/>
        </w:rPr>
        <w:t>PS</w:t>
      </w:r>
    </w:p>
    <w:p w:rsidR="00C775DF" w:rsidRPr="00A96C30" w:rsidRDefault="00C775DF" w:rsidP="00C775DF">
      <w:pPr>
        <w:tabs>
          <w:tab w:val="left" w:pos="1701"/>
        </w:tabs>
        <w:overflowPunct/>
        <w:spacing w:line="240" w:lineRule="auto"/>
        <w:textAlignment w:val="auto"/>
        <w:rPr>
          <w:lang w:eastAsia="sv-SE"/>
        </w:rPr>
      </w:pPr>
    </w:p>
    <w:p w:rsidR="00C775DF" w:rsidRPr="00A96C30" w:rsidRDefault="00C775DF" w:rsidP="00C775DF">
      <w:pPr>
        <w:tabs>
          <w:tab w:val="left" w:pos="1701"/>
        </w:tabs>
        <w:overflowPunct/>
        <w:spacing w:line="240" w:lineRule="auto"/>
        <w:textAlignment w:val="auto"/>
        <w:rPr>
          <w:b/>
        </w:rPr>
      </w:pPr>
      <w:r w:rsidRPr="00A96C30">
        <w:rPr>
          <w:lang w:eastAsia="sv-SE"/>
        </w:rPr>
        <w:t xml:space="preserve">Det ungerska ordförandeskapet har indikerat att man eventuellt ska behandla de sex lagförslagen om ekonomisk styrning som för närvarande förhandlas mellan rådet och Europaparlamentet vid Ekofinmötet den 17 maj. Departementet återkommer </w:t>
      </w:r>
      <w:r w:rsidR="002F6A0C" w:rsidRPr="00A96C30">
        <w:rPr>
          <w:lang w:eastAsia="sv-SE"/>
        </w:rPr>
        <w:t xml:space="preserve">om och </w:t>
      </w:r>
      <w:r w:rsidRPr="00A96C30">
        <w:rPr>
          <w:lang w:eastAsia="sv-SE"/>
        </w:rPr>
        <w:t xml:space="preserve">när mer information lämnas.  </w:t>
      </w:r>
    </w:p>
    <w:sectPr w:rsidR="00C775DF" w:rsidRPr="00A96C3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C66" w:rsidRPr="00A96C30" w:rsidRDefault="00C64C66">
      <w:r w:rsidRPr="00A96C30">
        <w:separator/>
      </w:r>
    </w:p>
  </w:endnote>
  <w:endnote w:type="continuationSeparator" w:id="0">
    <w:p w:rsidR="00C64C66" w:rsidRPr="00A96C30" w:rsidRDefault="00C64C66">
      <w:r w:rsidRPr="00A96C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C66" w:rsidRPr="00A96C30" w:rsidRDefault="00C64C66">
      <w:r w:rsidRPr="00A96C30">
        <w:separator/>
      </w:r>
    </w:p>
  </w:footnote>
  <w:footnote w:type="continuationSeparator" w:id="0">
    <w:p w:rsidR="00C64C66" w:rsidRPr="00A96C30" w:rsidRDefault="00C64C66">
      <w:r w:rsidRPr="00A96C30">
        <w:continuationSeparator/>
      </w:r>
    </w:p>
  </w:footnote>
  <w:footnote w:id="1">
    <w:p w:rsidR="002827A8" w:rsidRPr="00A96C30" w:rsidRDefault="002827A8" w:rsidP="00FC0814">
      <w:pPr>
        <w:pStyle w:val="Fotnotstext"/>
      </w:pPr>
      <w:r w:rsidRPr="00A96C30">
        <w:rPr>
          <w:rStyle w:val="Fotnotsreferens"/>
        </w:rPr>
        <w:footnoteRef/>
      </w:r>
      <w:r w:rsidRPr="00A96C30">
        <w:t xml:space="preserve"> I februari 2010 tillsatte FN:s generalsekreterare en rådgivande högnivågrupp – High Level Advisory Group on Climate Change Finance (AGF) som fick i uppdrag att ta fram en rapport om potentiella finansieringskällor för klimatåtgärder.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A8" w:rsidRPr="00A96C30" w:rsidRDefault="002827A8">
    <w:pPr>
      <w:pStyle w:val="Sidhuvud"/>
      <w:framePr w:wrap="around" w:vAnchor="text" w:hAnchor="margin" w:xAlign="right" w:y="1"/>
      <w:rPr>
        <w:rStyle w:val="Sidnummer"/>
      </w:rPr>
    </w:pPr>
    <w:r w:rsidRPr="00A96C30">
      <w:rPr>
        <w:rStyle w:val="Sidnummer"/>
      </w:rPr>
      <w:fldChar w:fldCharType="begin" w:fldLock="1"/>
    </w:r>
    <w:r w:rsidRPr="00A96C30">
      <w:rPr>
        <w:rStyle w:val="Sidnummer"/>
      </w:rPr>
      <w:instrText xml:space="preserve">PAGE  </w:instrText>
    </w:r>
    <w:r w:rsidRPr="00A96C30">
      <w:rPr>
        <w:rStyle w:val="Sidnummer"/>
      </w:rPr>
      <w:fldChar w:fldCharType="separate"/>
    </w:r>
    <w:r w:rsidR="00E54B89" w:rsidRPr="00A96C30">
      <w:rPr>
        <w:rStyle w:val="Sidnummer"/>
      </w:rPr>
      <w:t>6</w:t>
    </w:r>
    <w:r w:rsidRPr="00A96C3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827A8" w:rsidRPr="00A96C30">
      <w:tblPrEx>
        <w:tblCellMar>
          <w:top w:w="0" w:type="dxa"/>
          <w:bottom w:w="0" w:type="dxa"/>
        </w:tblCellMar>
      </w:tblPrEx>
      <w:trPr>
        <w:cantSplit/>
      </w:trPr>
      <w:tc>
        <w:tcPr>
          <w:tcW w:w="3119" w:type="dxa"/>
        </w:tcPr>
        <w:p w:rsidR="002827A8" w:rsidRPr="00A96C30" w:rsidRDefault="002827A8">
          <w:pPr>
            <w:pStyle w:val="Sidhuvud"/>
            <w:spacing w:line="200" w:lineRule="atLeast"/>
            <w:ind w:right="357"/>
            <w:rPr>
              <w:rFonts w:ascii="TradeGothic" w:hAnsi="TradeGothic"/>
              <w:b/>
              <w:bCs/>
              <w:sz w:val="16"/>
            </w:rPr>
          </w:pPr>
        </w:p>
      </w:tc>
      <w:tc>
        <w:tcPr>
          <w:tcW w:w="4111" w:type="dxa"/>
          <w:tcMar>
            <w:left w:w="567" w:type="dxa"/>
          </w:tcMar>
        </w:tcPr>
        <w:p w:rsidR="002827A8" w:rsidRPr="00A96C30" w:rsidRDefault="002827A8">
          <w:pPr>
            <w:pStyle w:val="Sidhuvud"/>
            <w:ind w:right="360"/>
          </w:pPr>
        </w:p>
      </w:tc>
      <w:tc>
        <w:tcPr>
          <w:tcW w:w="1525" w:type="dxa"/>
        </w:tcPr>
        <w:p w:rsidR="002827A8" w:rsidRPr="00A96C30" w:rsidRDefault="002827A8">
          <w:pPr>
            <w:pStyle w:val="Sidhuvud"/>
            <w:ind w:right="360"/>
          </w:pPr>
        </w:p>
      </w:tc>
    </w:tr>
  </w:tbl>
  <w:p w:rsidR="002827A8" w:rsidRPr="00A96C30" w:rsidRDefault="002827A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A8" w:rsidRPr="00A96C30" w:rsidRDefault="002827A8">
    <w:pPr>
      <w:pStyle w:val="Sidhuvud"/>
      <w:framePr w:wrap="around" w:vAnchor="text" w:hAnchor="margin" w:xAlign="right" w:y="1"/>
      <w:rPr>
        <w:rStyle w:val="Sidnummer"/>
      </w:rPr>
    </w:pPr>
    <w:r w:rsidRPr="00A96C30">
      <w:rPr>
        <w:rStyle w:val="Sidnummer"/>
      </w:rPr>
      <w:fldChar w:fldCharType="begin" w:fldLock="1"/>
    </w:r>
    <w:r w:rsidRPr="00A96C30">
      <w:rPr>
        <w:rStyle w:val="Sidnummer"/>
      </w:rPr>
      <w:instrText xml:space="preserve">PAGE  </w:instrText>
    </w:r>
    <w:r w:rsidRPr="00A96C30">
      <w:rPr>
        <w:rStyle w:val="Sidnummer"/>
      </w:rPr>
      <w:fldChar w:fldCharType="separate"/>
    </w:r>
    <w:r w:rsidR="00E54B89" w:rsidRPr="00A96C30">
      <w:rPr>
        <w:rStyle w:val="Sidnummer"/>
      </w:rPr>
      <w:t>7</w:t>
    </w:r>
    <w:r w:rsidRPr="00A96C3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827A8" w:rsidRPr="00A96C30">
      <w:tblPrEx>
        <w:tblCellMar>
          <w:top w:w="0" w:type="dxa"/>
          <w:bottom w:w="0" w:type="dxa"/>
        </w:tblCellMar>
      </w:tblPrEx>
      <w:trPr>
        <w:cantSplit/>
      </w:trPr>
      <w:tc>
        <w:tcPr>
          <w:tcW w:w="3119" w:type="dxa"/>
        </w:tcPr>
        <w:p w:rsidR="002827A8" w:rsidRPr="00A96C30" w:rsidRDefault="002827A8">
          <w:pPr>
            <w:pStyle w:val="Sidhuvud"/>
            <w:spacing w:line="200" w:lineRule="atLeast"/>
            <w:ind w:right="357"/>
            <w:rPr>
              <w:rFonts w:ascii="TradeGothic" w:hAnsi="TradeGothic"/>
              <w:b/>
              <w:bCs/>
              <w:sz w:val="16"/>
            </w:rPr>
          </w:pPr>
        </w:p>
      </w:tc>
      <w:tc>
        <w:tcPr>
          <w:tcW w:w="4111" w:type="dxa"/>
          <w:tcMar>
            <w:left w:w="567" w:type="dxa"/>
          </w:tcMar>
        </w:tcPr>
        <w:p w:rsidR="002827A8" w:rsidRPr="00A96C30" w:rsidRDefault="002827A8">
          <w:pPr>
            <w:pStyle w:val="Sidhuvud"/>
            <w:ind w:right="360"/>
          </w:pPr>
        </w:p>
      </w:tc>
      <w:tc>
        <w:tcPr>
          <w:tcW w:w="1525" w:type="dxa"/>
        </w:tcPr>
        <w:p w:rsidR="002827A8" w:rsidRPr="00A96C30" w:rsidRDefault="002827A8">
          <w:pPr>
            <w:pStyle w:val="Sidhuvud"/>
            <w:ind w:right="360"/>
          </w:pPr>
        </w:p>
      </w:tc>
    </w:tr>
  </w:tbl>
  <w:p w:rsidR="002827A8" w:rsidRPr="00A96C30" w:rsidRDefault="002827A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7A8" w:rsidRPr="00A96C30" w:rsidRDefault="00A96C30">
    <w:pPr>
      <w:framePr w:w="2948" w:h="1321" w:hRule="exact" w:wrap="notBeside" w:vAnchor="page" w:hAnchor="page" w:x="1362" w:y="653"/>
    </w:pPr>
    <w:r w:rsidRPr="00A96C3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827A8" w:rsidRPr="00A96C30" w:rsidRDefault="002827A8">
    <w:pPr>
      <w:pStyle w:val="RKrubrik"/>
      <w:keepNext w:val="0"/>
      <w:tabs>
        <w:tab w:val="clear" w:pos="1134"/>
        <w:tab w:val="clear" w:pos="2835"/>
      </w:tabs>
      <w:spacing w:before="0" w:after="0" w:line="320" w:lineRule="atLeast"/>
      <w:rPr>
        <w:bCs/>
      </w:rPr>
    </w:pPr>
  </w:p>
  <w:p w:rsidR="002827A8" w:rsidRPr="00A96C30" w:rsidRDefault="002827A8">
    <w:pPr>
      <w:rPr>
        <w:rFonts w:ascii="TradeGothic" w:hAnsi="TradeGothic"/>
        <w:b/>
        <w:bCs/>
        <w:spacing w:val="12"/>
        <w:sz w:val="22"/>
      </w:rPr>
    </w:pPr>
  </w:p>
  <w:p w:rsidR="002827A8" w:rsidRPr="00A96C30" w:rsidRDefault="002827A8">
    <w:pPr>
      <w:pStyle w:val="RKrubrik"/>
      <w:keepNext w:val="0"/>
      <w:tabs>
        <w:tab w:val="clear" w:pos="1134"/>
        <w:tab w:val="clear" w:pos="2835"/>
      </w:tabs>
      <w:spacing w:before="0" w:after="0" w:line="320" w:lineRule="atLeast"/>
      <w:rPr>
        <w:bCs/>
      </w:rPr>
    </w:pPr>
  </w:p>
  <w:p w:rsidR="002827A8" w:rsidRPr="00A96C30" w:rsidRDefault="002827A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D615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AD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A047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B2D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0D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0F9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21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785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4AFC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EAB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14E2AC6"/>
    <w:lvl w:ilvl="0">
      <w:numFmt w:val="bullet"/>
      <w:lvlText w:val="*"/>
      <w:lvlJc w:val="left"/>
    </w:lvl>
  </w:abstractNum>
  <w:abstractNum w:abstractNumId="1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2607A8"/>
    <w:multiLevelType w:val="hybridMultilevel"/>
    <w:tmpl w:val="BB0092FC"/>
    <w:lvl w:ilvl="0" w:tplc="508C8864">
      <w:start w:val="1"/>
      <w:numFmt w:val="lowerRoman"/>
      <w:lvlText w:val="(%1)"/>
      <w:lvlJc w:val="left"/>
      <w:pPr>
        <w:tabs>
          <w:tab w:val="num" w:pos="1440"/>
        </w:tabs>
        <w:ind w:left="1440" w:hanging="108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F3B98"/>
    <w:multiLevelType w:val="hybridMultilevel"/>
    <w:tmpl w:val="E2F4591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21"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863600"/>
    <w:multiLevelType w:val="hybridMultilevel"/>
    <w:tmpl w:val="94109E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654A6D"/>
    <w:multiLevelType w:val="hybridMultilevel"/>
    <w:tmpl w:val="E1F030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31"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59679112">
    <w:abstractNumId w:val="10"/>
    <w:lvlOverride w:ilvl="0">
      <w:lvl w:ilvl="0">
        <w:numFmt w:val="bullet"/>
        <w:lvlText w:val="•"/>
        <w:legacy w:legacy="1" w:legacySpace="0" w:legacyIndent="0"/>
        <w:lvlJc w:val="left"/>
        <w:rPr>
          <w:rFonts w:ascii="Helv" w:hAnsi="Helv" w:hint="default"/>
        </w:rPr>
      </w:lvl>
    </w:lvlOverride>
  </w:num>
  <w:num w:numId="2" w16cid:durableId="667056873">
    <w:abstractNumId w:val="21"/>
  </w:num>
  <w:num w:numId="3" w16cid:durableId="177812408">
    <w:abstractNumId w:val="31"/>
  </w:num>
  <w:num w:numId="4" w16cid:durableId="1536962403">
    <w:abstractNumId w:val="25"/>
  </w:num>
  <w:num w:numId="5" w16cid:durableId="710038724">
    <w:abstractNumId w:val="13"/>
  </w:num>
  <w:num w:numId="6" w16cid:durableId="975599474">
    <w:abstractNumId w:val="29"/>
  </w:num>
  <w:num w:numId="7" w16cid:durableId="746458571">
    <w:abstractNumId w:val="18"/>
  </w:num>
  <w:num w:numId="8" w16cid:durableId="1489244858">
    <w:abstractNumId w:val="15"/>
  </w:num>
  <w:num w:numId="9" w16cid:durableId="537545519">
    <w:abstractNumId w:val="32"/>
  </w:num>
  <w:num w:numId="10" w16cid:durableId="182593289">
    <w:abstractNumId w:val="22"/>
  </w:num>
  <w:num w:numId="11" w16cid:durableId="1318606170">
    <w:abstractNumId w:val="26"/>
  </w:num>
  <w:num w:numId="12" w16cid:durableId="318507779">
    <w:abstractNumId w:val="17"/>
  </w:num>
  <w:num w:numId="13" w16cid:durableId="657418986">
    <w:abstractNumId w:val="30"/>
  </w:num>
  <w:num w:numId="14" w16cid:durableId="1491369402">
    <w:abstractNumId w:val="20"/>
  </w:num>
  <w:num w:numId="15" w16cid:durableId="699741573">
    <w:abstractNumId w:val="16"/>
  </w:num>
  <w:num w:numId="16" w16cid:durableId="1861235895">
    <w:abstractNumId w:val="28"/>
  </w:num>
  <w:num w:numId="17" w16cid:durableId="2105609609">
    <w:abstractNumId w:val="11"/>
  </w:num>
  <w:num w:numId="18" w16cid:durableId="1663313934">
    <w:abstractNumId w:val="27"/>
  </w:num>
  <w:num w:numId="19" w16cid:durableId="1585727069">
    <w:abstractNumId w:val="19"/>
  </w:num>
  <w:num w:numId="20" w16cid:durableId="598878687">
    <w:abstractNumId w:val="12"/>
  </w:num>
  <w:num w:numId="21" w16cid:durableId="3024331">
    <w:abstractNumId w:val="8"/>
  </w:num>
  <w:num w:numId="22" w16cid:durableId="133374562">
    <w:abstractNumId w:val="3"/>
  </w:num>
  <w:num w:numId="23" w16cid:durableId="1172260049">
    <w:abstractNumId w:val="2"/>
  </w:num>
  <w:num w:numId="24" w16cid:durableId="1480029260">
    <w:abstractNumId w:val="1"/>
  </w:num>
  <w:num w:numId="25" w16cid:durableId="1370689105">
    <w:abstractNumId w:val="0"/>
  </w:num>
  <w:num w:numId="26" w16cid:durableId="1495952402">
    <w:abstractNumId w:val="9"/>
  </w:num>
  <w:num w:numId="27" w16cid:durableId="1190291927">
    <w:abstractNumId w:val="7"/>
  </w:num>
  <w:num w:numId="28" w16cid:durableId="660504556">
    <w:abstractNumId w:val="6"/>
  </w:num>
  <w:num w:numId="29" w16cid:durableId="1271353804">
    <w:abstractNumId w:val="5"/>
  </w:num>
  <w:num w:numId="30" w16cid:durableId="904995000">
    <w:abstractNumId w:val="4"/>
  </w:num>
  <w:num w:numId="31" w16cid:durableId="1756783669">
    <w:abstractNumId w:val="14"/>
  </w:num>
  <w:num w:numId="32" w16cid:durableId="30539810">
    <w:abstractNumId w:val="24"/>
  </w:num>
  <w:num w:numId="33" w16cid:durableId="11760749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1FDD"/>
    <w:rsid w:val="00002E7D"/>
    <w:rsid w:val="0000309D"/>
    <w:rsid w:val="00005681"/>
    <w:rsid w:val="00005D28"/>
    <w:rsid w:val="0002076E"/>
    <w:rsid w:val="00020F98"/>
    <w:rsid w:val="00036061"/>
    <w:rsid w:val="000368BF"/>
    <w:rsid w:val="00036AA2"/>
    <w:rsid w:val="00036D03"/>
    <w:rsid w:val="00041195"/>
    <w:rsid w:val="00045C74"/>
    <w:rsid w:val="00050A61"/>
    <w:rsid w:val="00051CF5"/>
    <w:rsid w:val="0005228A"/>
    <w:rsid w:val="00054A4F"/>
    <w:rsid w:val="00055412"/>
    <w:rsid w:val="00060B79"/>
    <w:rsid w:val="00062474"/>
    <w:rsid w:val="00065C80"/>
    <w:rsid w:val="00067C36"/>
    <w:rsid w:val="0007009C"/>
    <w:rsid w:val="00074982"/>
    <w:rsid w:val="00074DAA"/>
    <w:rsid w:val="0007546F"/>
    <w:rsid w:val="0008297A"/>
    <w:rsid w:val="00085088"/>
    <w:rsid w:val="000921BE"/>
    <w:rsid w:val="00093337"/>
    <w:rsid w:val="00094F71"/>
    <w:rsid w:val="00096298"/>
    <w:rsid w:val="000B3D09"/>
    <w:rsid w:val="000B4A77"/>
    <w:rsid w:val="000C058A"/>
    <w:rsid w:val="000C4031"/>
    <w:rsid w:val="000D0E2B"/>
    <w:rsid w:val="000D1F4D"/>
    <w:rsid w:val="000D6091"/>
    <w:rsid w:val="000E45F5"/>
    <w:rsid w:val="000E52B4"/>
    <w:rsid w:val="000E5DF7"/>
    <w:rsid w:val="000F368A"/>
    <w:rsid w:val="000F7186"/>
    <w:rsid w:val="000F7A65"/>
    <w:rsid w:val="00104C19"/>
    <w:rsid w:val="00113C40"/>
    <w:rsid w:val="001140C4"/>
    <w:rsid w:val="00115D03"/>
    <w:rsid w:val="00116B16"/>
    <w:rsid w:val="0012341E"/>
    <w:rsid w:val="00124CA8"/>
    <w:rsid w:val="0013161E"/>
    <w:rsid w:val="00132043"/>
    <w:rsid w:val="001365AC"/>
    <w:rsid w:val="00142F08"/>
    <w:rsid w:val="00143DBC"/>
    <w:rsid w:val="00144666"/>
    <w:rsid w:val="00145CC4"/>
    <w:rsid w:val="0014651B"/>
    <w:rsid w:val="00147E57"/>
    <w:rsid w:val="00150384"/>
    <w:rsid w:val="00162E27"/>
    <w:rsid w:val="00165A4C"/>
    <w:rsid w:val="00167FD2"/>
    <w:rsid w:val="00175FE3"/>
    <w:rsid w:val="00180316"/>
    <w:rsid w:val="001805B7"/>
    <w:rsid w:val="00193BE3"/>
    <w:rsid w:val="0019602C"/>
    <w:rsid w:val="001A22CE"/>
    <w:rsid w:val="001A3B22"/>
    <w:rsid w:val="001A5D7A"/>
    <w:rsid w:val="001A7CFF"/>
    <w:rsid w:val="001B0435"/>
    <w:rsid w:val="001B1D40"/>
    <w:rsid w:val="001B250C"/>
    <w:rsid w:val="001B5279"/>
    <w:rsid w:val="001C5B7F"/>
    <w:rsid w:val="001D3DFE"/>
    <w:rsid w:val="001D758A"/>
    <w:rsid w:val="001E2280"/>
    <w:rsid w:val="001F2632"/>
    <w:rsid w:val="001F3AC2"/>
    <w:rsid w:val="001F529D"/>
    <w:rsid w:val="001F5B4C"/>
    <w:rsid w:val="002009D8"/>
    <w:rsid w:val="0020207D"/>
    <w:rsid w:val="00202F66"/>
    <w:rsid w:val="002040D3"/>
    <w:rsid w:val="002047D3"/>
    <w:rsid w:val="0020623A"/>
    <w:rsid w:val="0021408F"/>
    <w:rsid w:val="00214E8E"/>
    <w:rsid w:val="00214FB6"/>
    <w:rsid w:val="0021594A"/>
    <w:rsid w:val="0022015D"/>
    <w:rsid w:val="00222E35"/>
    <w:rsid w:val="0022391A"/>
    <w:rsid w:val="00224C84"/>
    <w:rsid w:val="002323A0"/>
    <w:rsid w:val="00235652"/>
    <w:rsid w:val="00240588"/>
    <w:rsid w:val="00240656"/>
    <w:rsid w:val="002416E9"/>
    <w:rsid w:val="00245E32"/>
    <w:rsid w:val="002603B7"/>
    <w:rsid w:val="002827A8"/>
    <w:rsid w:val="00284009"/>
    <w:rsid w:val="00296623"/>
    <w:rsid w:val="002971F6"/>
    <w:rsid w:val="002A2358"/>
    <w:rsid w:val="002A647D"/>
    <w:rsid w:val="002C15DA"/>
    <w:rsid w:val="002C54FD"/>
    <w:rsid w:val="002C7698"/>
    <w:rsid w:val="002C7789"/>
    <w:rsid w:val="002C7DF9"/>
    <w:rsid w:val="002D197A"/>
    <w:rsid w:val="002D3C3D"/>
    <w:rsid w:val="002E02C5"/>
    <w:rsid w:val="002E2FDE"/>
    <w:rsid w:val="002E36DF"/>
    <w:rsid w:val="002E452E"/>
    <w:rsid w:val="002E75F5"/>
    <w:rsid w:val="002F1B8E"/>
    <w:rsid w:val="002F2F1E"/>
    <w:rsid w:val="002F31A6"/>
    <w:rsid w:val="002F6A0C"/>
    <w:rsid w:val="003007D7"/>
    <w:rsid w:val="00300B28"/>
    <w:rsid w:val="00301F5E"/>
    <w:rsid w:val="00302F5E"/>
    <w:rsid w:val="003034ED"/>
    <w:rsid w:val="00304E4E"/>
    <w:rsid w:val="00310545"/>
    <w:rsid w:val="00315453"/>
    <w:rsid w:val="00316176"/>
    <w:rsid w:val="00324996"/>
    <w:rsid w:val="00324E60"/>
    <w:rsid w:val="00325090"/>
    <w:rsid w:val="00330369"/>
    <w:rsid w:val="0033112E"/>
    <w:rsid w:val="00331F88"/>
    <w:rsid w:val="003435A6"/>
    <w:rsid w:val="00350C4C"/>
    <w:rsid w:val="003511A7"/>
    <w:rsid w:val="0035222F"/>
    <w:rsid w:val="0035577C"/>
    <w:rsid w:val="003615CB"/>
    <w:rsid w:val="003629A1"/>
    <w:rsid w:val="00362BB1"/>
    <w:rsid w:val="00363447"/>
    <w:rsid w:val="00366A0D"/>
    <w:rsid w:val="00371063"/>
    <w:rsid w:val="00373107"/>
    <w:rsid w:val="00373DD3"/>
    <w:rsid w:val="00376CDE"/>
    <w:rsid w:val="003828A3"/>
    <w:rsid w:val="003829B2"/>
    <w:rsid w:val="00383302"/>
    <w:rsid w:val="0038357A"/>
    <w:rsid w:val="00383698"/>
    <w:rsid w:val="0038571D"/>
    <w:rsid w:val="00385C6C"/>
    <w:rsid w:val="003877DD"/>
    <w:rsid w:val="00387CF7"/>
    <w:rsid w:val="0039524B"/>
    <w:rsid w:val="003A3FEA"/>
    <w:rsid w:val="003B0F21"/>
    <w:rsid w:val="003B7A24"/>
    <w:rsid w:val="003C0C70"/>
    <w:rsid w:val="003C1AB1"/>
    <w:rsid w:val="003C554B"/>
    <w:rsid w:val="003C645A"/>
    <w:rsid w:val="003C6D18"/>
    <w:rsid w:val="003D0BE7"/>
    <w:rsid w:val="003D39A6"/>
    <w:rsid w:val="003D45A4"/>
    <w:rsid w:val="003D5761"/>
    <w:rsid w:val="003D77E9"/>
    <w:rsid w:val="003E5ABF"/>
    <w:rsid w:val="003E5F20"/>
    <w:rsid w:val="003F13B8"/>
    <w:rsid w:val="003F16DF"/>
    <w:rsid w:val="003F436C"/>
    <w:rsid w:val="003F4F70"/>
    <w:rsid w:val="003F591A"/>
    <w:rsid w:val="003F7E7E"/>
    <w:rsid w:val="004032DB"/>
    <w:rsid w:val="00403A3B"/>
    <w:rsid w:val="00421C68"/>
    <w:rsid w:val="00421EC8"/>
    <w:rsid w:val="00422531"/>
    <w:rsid w:val="00426F66"/>
    <w:rsid w:val="0043370C"/>
    <w:rsid w:val="00434E68"/>
    <w:rsid w:val="00435A03"/>
    <w:rsid w:val="0043636F"/>
    <w:rsid w:val="004364BF"/>
    <w:rsid w:val="00445181"/>
    <w:rsid w:val="00446811"/>
    <w:rsid w:val="0044703C"/>
    <w:rsid w:val="00451C5D"/>
    <w:rsid w:val="00454514"/>
    <w:rsid w:val="00455913"/>
    <w:rsid w:val="00456C61"/>
    <w:rsid w:val="004579B8"/>
    <w:rsid w:val="004624B4"/>
    <w:rsid w:val="004629C8"/>
    <w:rsid w:val="004671DF"/>
    <w:rsid w:val="004706A2"/>
    <w:rsid w:val="00474352"/>
    <w:rsid w:val="0048370D"/>
    <w:rsid w:val="00490975"/>
    <w:rsid w:val="00491B1E"/>
    <w:rsid w:val="004938B1"/>
    <w:rsid w:val="00495362"/>
    <w:rsid w:val="004A328D"/>
    <w:rsid w:val="004A743A"/>
    <w:rsid w:val="004B3127"/>
    <w:rsid w:val="004B5064"/>
    <w:rsid w:val="004B75EE"/>
    <w:rsid w:val="004C01E7"/>
    <w:rsid w:val="004C1971"/>
    <w:rsid w:val="004D22AA"/>
    <w:rsid w:val="004D4014"/>
    <w:rsid w:val="004D53AC"/>
    <w:rsid w:val="004E0C5C"/>
    <w:rsid w:val="004E7A54"/>
    <w:rsid w:val="004F0E5F"/>
    <w:rsid w:val="004F1409"/>
    <w:rsid w:val="004F252D"/>
    <w:rsid w:val="00501200"/>
    <w:rsid w:val="00510FAE"/>
    <w:rsid w:val="00515451"/>
    <w:rsid w:val="00521DC8"/>
    <w:rsid w:val="00524AA0"/>
    <w:rsid w:val="005372F1"/>
    <w:rsid w:val="00540DCA"/>
    <w:rsid w:val="00541DC5"/>
    <w:rsid w:val="00543DBB"/>
    <w:rsid w:val="005515AD"/>
    <w:rsid w:val="00552F39"/>
    <w:rsid w:val="00553B42"/>
    <w:rsid w:val="00557C90"/>
    <w:rsid w:val="00562C31"/>
    <w:rsid w:val="005659EB"/>
    <w:rsid w:val="005748CD"/>
    <w:rsid w:val="00575BFA"/>
    <w:rsid w:val="00575D45"/>
    <w:rsid w:val="00580564"/>
    <w:rsid w:val="0058579A"/>
    <w:rsid w:val="00592030"/>
    <w:rsid w:val="00593C8B"/>
    <w:rsid w:val="005A1884"/>
    <w:rsid w:val="005A52F6"/>
    <w:rsid w:val="005B2957"/>
    <w:rsid w:val="005B4F85"/>
    <w:rsid w:val="005B54C3"/>
    <w:rsid w:val="005B6658"/>
    <w:rsid w:val="005C18BC"/>
    <w:rsid w:val="005C2526"/>
    <w:rsid w:val="005C2DB7"/>
    <w:rsid w:val="005D0E37"/>
    <w:rsid w:val="005D5138"/>
    <w:rsid w:val="005F3AA0"/>
    <w:rsid w:val="005F4359"/>
    <w:rsid w:val="005F45C8"/>
    <w:rsid w:val="00605AF6"/>
    <w:rsid w:val="006114EC"/>
    <w:rsid w:val="0061465F"/>
    <w:rsid w:val="00616E9E"/>
    <w:rsid w:val="00620957"/>
    <w:rsid w:val="00627D7C"/>
    <w:rsid w:val="006310DB"/>
    <w:rsid w:val="0063673F"/>
    <w:rsid w:val="00636D5D"/>
    <w:rsid w:val="00640655"/>
    <w:rsid w:val="006631F5"/>
    <w:rsid w:val="00665DA3"/>
    <w:rsid w:val="006660D3"/>
    <w:rsid w:val="00666535"/>
    <w:rsid w:val="00681715"/>
    <w:rsid w:val="006838E2"/>
    <w:rsid w:val="006855DF"/>
    <w:rsid w:val="0069477C"/>
    <w:rsid w:val="00695636"/>
    <w:rsid w:val="00697A9D"/>
    <w:rsid w:val="006A2AD9"/>
    <w:rsid w:val="006A3CD5"/>
    <w:rsid w:val="006A4D13"/>
    <w:rsid w:val="006B0BE7"/>
    <w:rsid w:val="006B1FDE"/>
    <w:rsid w:val="006B7351"/>
    <w:rsid w:val="006B7652"/>
    <w:rsid w:val="006C6C21"/>
    <w:rsid w:val="006D4CF5"/>
    <w:rsid w:val="006D54AE"/>
    <w:rsid w:val="006D6450"/>
    <w:rsid w:val="006E4E11"/>
    <w:rsid w:val="006E6F31"/>
    <w:rsid w:val="006F1434"/>
    <w:rsid w:val="006F3CAD"/>
    <w:rsid w:val="006F7D42"/>
    <w:rsid w:val="00704BD1"/>
    <w:rsid w:val="007063F7"/>
    <w:rsid w:val="00706535"/>
    <w:rsid w:val="00707192"/>
    <w:rsid w:val="007074EC"/>
    <w:rsid w:val="00707A0C"/>
    <w:rsid w:val="0071049E"/>
    <w:rsid w:val="007129BC"/>
    <w:rsid w:val="00712CBA"/>
    <w:rsid w:val="007149EA"/>
    <w:rsid w:val="00723A76"/>
    <w:rsid w:val="007242A3"/>
    <w:rsid w:val="0072718D"/>
    <w:rsid w:val="007359F0"/>
    <w:rsid w:val="00741E59"/>
    <w:rsid w:val="007511FC"/>
    <w:rsid w:val="007537B9"/>
    <w:rsid w:val="00757066"/>
    <w:rsid w:val="00765A95"/>
    <w:rsid w:val="00773948"/>
    <w:rsid w:val="00775043"/>
    <w:rsid w:val="00782417"/>
    <w:rsid w:val="00787EE4"/>
    <w:rsid w:val="007A14CD"/>
    <w:rsid w:val="007A4D0C"/>
    <w:rsid w:val="007A75C4"/>
    <w:rsid w:val="007B1BC1"/>
    <w:rsid w:val="007B2AB5"/>
    <w:rsid w:val="007B41AD"/>
    <w:rsid w:val="007B4CBB"/>
    <w:rsid w:val="007B7A0A"/>
    <w:rsid w:val="007C1C59"/>
    <w:rsid w:val="007C69FC"/>
    <w:rsid w:val="007D37CD"/>
    <w:rsid w:val="007D5ED2"/>
    <w:rsid w:val="007E18BA"/>
    <w:rsid w:val="007E6DC8"/>
    <w:rsid w:val="007F24A4"/>
    <w:rsid w:val="007F281E"/>
    <w:rsid w:val="007F35AD"/>
    <w:rsid w:val="007F4A5B"/>
    <w:rsid w:val="007F533C"/>
    <w:rsid w:val="007F588C"/>
    <w:rsid w:val="007F62C7"/>
    <w:rsid w:val="00806C4C"/>
    <w:rsid w:val="008129F1"/>
    <w:rsid w:val="00822FCB"/>
    <w:rsid w:val="00830ABD"/>
    <w:rsid w:val="00837437"/>
    <w:rsid w:val="00840933"/>
    <w:rsid w:val="00841F11"/>
    <w:rsid w:val="00842C3B"/>
    <w:rsid w:val="00844584"/>
    <w:rsid w:val="0084685C"/>
    <w:rsid w:val="00851038"/>
    <w:rsid w:val="008518E9"/>
    <w:rsid w:val="00851B1D"/>
    <w:rsid w:val="0085480A"/>
    <w:rsid w:val="00856A3C"/>
    <w:rsid w:val="00862A80"/>
    <w:rsid w:val="00867A83"/>
    <w:rsid w:val="00870802"/>
    <w:rsid w:val="00870F5E"/>
    <w:rsid w:val="00872208"/>
    <w:rsid w:val="00880876"/>
    <w:rsid w:val="0088140B"/>
    <w:rsid w:val="0088275D"/>
    <w:rsid w:val="008846F7"/>
    <w:rsid w:val="008863E4"/>
    <w:rsid w:val="00890102"/>
    <w:rsid w:val="0089124D"/>
    <w:rsid w:val="00896BEE"/>
    <w:rsid w:val="008B1A33"/>
    <w:rsid w:val="008B4D72"/>
    <w:rsid w:val="008C0F8F"/>
    <w:rsid w:val="008C1948"/>
    <w:rsid w:val="008C76A6"/>
    <w:rsid w:val="008D0588"/>
    <w:rsid w:val="008D1B0F"/>
    <w:rsid w:val="008D1E59"/>
    <w:rsid w:val="008D3A58"/>
    <w:rsid w:val="008D46F1"/>
    <w:rsid w:val="008D7DD9"/>
    <w:rsid w:val="008E0AF3"/>
    <w:rsid w:val="008E66E7"/>
    <w:rsid w:val="008E6978"/>
    <w:rsid w:val="008E6FC0"/>
    <w:rsid w:val="008F0880"/>
    <w:rsid w:val="008F4282"/>
    <w:rsid w:val="00900B62"/>
    <w:rsid w:val="009035A6"/>
    <w:rsid w:val="009044A2"/>
    <w:rsid w:val="00904506"/>
    <w:rsid w:val="009120F4"/>
    <w:rsid w:val="0091620F"/>
    <w:rsid w:val="00920BAB"/>
    <w:rsid w:val="00921BD8"/>
    <w:rsid w:val="009263F7"/>
    <w:rsid w:val="00933DB8"/>
    <w:rsid w:val="00940C34"/>
    <w:rsid w:val="00943062"/>
    <w:rsid w:val="00944507"/>
    <w:rsid w:val="00950AC3"/>
    <w:rsid w:val="00951256"/>
    <w:rsid w:val="00954476"/>
    <w:rsid w:val="0096240C"/>
    <w:rsid w:val="00963470"/>
    <w:rsid w:val="00964FF1"/>
    <w:rsid w:val="009678A7"/>
    <w:rsid w:val="00973291"/>
    <w:rsid w:val="009741D0"/>
    <w:rsid w:val="00974A08"/>
    <w:rsid w:val="00977A42"/>
    <w:rsid w:val="00984A71"/>
    <w:rsid w:val="009878DB"/>
    <w:rsid w:val="009906C2"/>
    <w:rsid w:val="0099107E"/>
    <w:rsid w:val="009928FE"/>
    <w:rsid w:val="0099397A"/>
    <w:rsid w:val="009955E3"/>
    <w:rsid w:val="00995D45"/>
    <w:rsid w:val="0099704E"/>
    <w:rsid w:val="009973CD"/>
    <w:rsid w:val="00997FDE"/>
    <w:rsid w:val="009A31DC"/>
    <w:rsid w:val="009A6242"/>
    <w:rsid w:val="009A6C4B"/>
    <w:rsid w:val="009B1D60"/>
    <w:rsid w:val="009B3A3C"/>
    <w:rsid w:val="009C39A0"/>
    <w:rsid w:val="009D6C77"/>
    <w:rsid w:val="009D79B4"/>
    <w:rsid w:val="009E1C2C"/>
    <w:rsid w:val="009E641E"/>
    <w:rsid w:val="009F6C3E"/>
    <w:rsid w:val="009F7C49"/>
    <w:rsid w:val="00A00D77"/>
    <w:rsid w:val="00A0403E"/>
    <w:rsid w:val="00A047D1"/>
    <w:rsid w:val="00A15B2C"/>
    <w:rsid w:val="00A20AD3"/>
    <w:rsid w:val="00A3439C"/>
    <w:rsid w:val="00A343DC"/>
    <w:rsid w:val="00A36370"/>
    <w:rsid w:val="00A37176"/>
    <w:rsid w:val="00A40794"/>
    <w:rsid w:val="00A41507"/>
    <w:rsid w:val="00A42E05"/>
    <w:rsid w:val="00A433C5"/>
    <w:rsid w:val="00A45200"/>
    <w:rsid w:val="00A463C6"/>
    <w:rsid w:val="00A531A0"/>
    <w:rsid w:val="00A537F1"/>
    <w:rsid w:val="00A63496"/>
    <w:rsid w:val="00A657A4"/>
    <w:rsid w:val="00A678B6"/>
    <w:rsid w:val="00A734F5"/>
    <w:rsid w:val="00A75D8F"/>
    <w:rsid w:val="00A824FF"/>
    <w:rsid w:val="00A826AE"/>
    <w:rsid w:val="00A84655"/>
    <w:rsid w:val="00A866E6"/>
    <w:rsid w:val="00A87990"/>
    <w:rsid w:val="00A91645"/>
    <w:rsid w:val="00A94474"/>
    <w:rsid w:val="00A96C30"/>
    <w:rsid w:val="00AA1023"/>
    <w:rsid w:val="00AA6135"/>
    <w:rsid w:val="00AA7510"/>
    <w:rsid w:val="00AB0E4D"/>
    <w:rsid w:val="00AB4C5C"/>
    <w:rsid w:val="00AB72FE"/>
    <w:rsid w:val="00AD33C9"/>
    <w:rsid w:val="00AD74B0"/>
    <w:rsid w:val="00AE125F"/>
    <w:rsid w:val="00AE1EBF"/>
    <w:rsid w:val="00AE4560"/>
    <w:rsid w:val="00AE4C1F"/>
    <w:rsid w:val="00AE4D24"/>
    <w:rsid w:val="00AE5C5B"/>
    <w:rsid w:val="00AE72A9"/>
    <w:rsid w:val="00AF0121"/>
    <w:rsid w:val="00AF246C"/>
    <w:rsid w:val="00AF44D2"/>
    <w:rsid w:val="00B03237"/>
    <w:rsid w:val="00B0529B"/>
    <w:rsid w:val="00B053CD"/>
    <w:rsid w:val="00B21CD8"/>
    <w:rsid w:val="00B258CB"/>
    <w:rsid w:val="00B26E85"/>
    <w:rsid w:val="00B27B95"/>
    <w:rsid w:val="00B3237E"/>
    <w:rsid w:val="00B36305"/>
    <w:rsid w:val="00B370E3"/>
    <w:rsid w:val="00B4134A"/>
    <w:rsid w:val="00B417A1"/>
    <w:rsid w:val="00B439D8"/>
    <w:rsid w:val="00B53E1E"/>
    <w:rsid w:val="00B61ABA"/>
    <w:rsid w:val="00B64E35"/>
    <w:rsid w:val="00B671F6"/>
    <w:rsid w:val="00B727B6"/>
    <w:rsid w:val="00B73B8D"/>
    <w:rsid w:val="00B74E95"/>
    <w:rsid w:val="00B7548A"/>
    <w:rsid w:val="00B762A9"/>
    <w:rsid w:val="00B824ED"/>
    <w:rsid w:val="00B82AD1"/>
    <w:rsid w:val="00B85018"/>
    <w:rsid w:val="00B9196D"/>
    <w:rsid w:val="00B96438"/>
    <w:rsid w:val="00B96883"/>
    <w:rsid w:val="00BA6A04"/>
    <w:rsid w:val="00BA7800"/>
    <w:rsid w:val="00BB42C2"/>
    <w:rsid w:val="00BB59D9"/>
    <w:rsid w:val="00BB74A0"/>
    <w:rsid w:val="00BC7088"/>
    <w:rsid w:val="00BC762F"/>
    <w:rsid w:val="00BD360A"/>
    <w:rsid w:val="00BD41D1"/>
    <w:rsid w:val="00BD60FB"/>
    <w:rsid w:val="00BD65B2"/>
    <w:rsid w:val="00BE2767"/>
    <w:rsid w:val="00BF3EF1"/>
    <w:rsid w:val="00BF5B65"/>
    <w:rsid w:val="00C0353B"/>
    <w:rsid w:val="00C060CD"/>
    <w:rsid w:val="00C116E5"/>
    <w:rsid w:val="00C1295E"/>
    <w:rsid w:val="00C27F25"/>
    <w:rsid w:val="00C413B4"/>
    <w:rsid w:val="00C4582E"/>
    <w:rsid w:val="00C50910"/>
    <w:rsid w:val="00C5306B"/>
    <w:rsid w:val="00C61004"/>
    <w:rsid w:val="00C62916"/>
    <w:rsid w:val="00C64C66"/>
    <w:rsid w:val="00C74EA4"/>
    <w:rsid w:val="00C775DF"/>
    <w:rsid w:val="00C80B9B"/>
    <w:rsid w:val="00C83BB6"/>
    <w:rsid w:val="00C8443D"/>
    <w:rsid w:val="00C86D99"/>
    <w:rsid w:val="00C87D9E"/>
    <w:rsid w:val="00C929A9"/>
    <w:rsid w:val="00C941D0"/>
    <w:rsid w:val="00C97274"/>
    <w:rsid w:val="00CA001B"/>
    <w:rsid w:val="00CA390F"/>
    <w:rsid w:val="00CA4AAC"/>
    <w:rsid w:val="00CA742F"/>
    <w:rsid w:val="00CA7DD6"/>
    <w:rsid w:val="00CB00E0"/>
    <w:rsid w:val="00CB1951"/>
    <w:rsid w:val="00CB3510"/>
    <w:rsid w:val="00CB5195"/>
    <w:rsid w:val="00CB5547"/>
    <w:rsid w:val="00CB6870"/>
    <w:rsid w:val="00CC162D"/>
    <w:rsid w:val="00CC7BF4"/>
    <w:rsid w:val="00CD1318"/>
    <w:rsid w:val="00CD5048"/>
    <w:rsid w:val="00CD648B"/>
    <w:rsid w:val="00CE1279"/>
    <w:rsid w:val="00CE175F"/>
    <w:rsid w:val="00CE2CE9"/>
    <w:rsid w:val="00CE6F12"/>
    <w:rsid w:val="00D033B9"/>
    <w:rsid w:val="00D05370"/>
    <w:rsid w:val="00D07381"/>
    <w:rsid w:val="00D079D2"/>
    <w:rsid w:val="00D07E25"/>
    <w:rsid w:val="00D11123"/>
    <w:rsid w:val="00D1216E"/>
    <w:rsid w:val="00D13AF7"/>
    <w:rsid w:val="00D2603D"/>
    <w:rsid w:val="00D27F9E"/>
    <w:rsid w:val="00D35CF9"/>
    <w:rsid w:val="00D35DFC"/>
    <w:rsid w:val="00D4327E"/>
    <w:rsid w:val="00D4606F"/>
    <w:rsid w:val="00D51A2E"/>
    <w:rsid w:val="00D56B66"/>
    <w:rsid w:val="00D6048F"/>
    <w:rsid w:val="00D70A0D"/>
    <w:rsid w:val="00D71343"/>
    <w:rsid w:val="00D955C5"/>
    <w:rsid w:val="00DA190E"/>
    <w:rsid w:val="00DA46F4"/>
    <w:rsid w:val="00DA5FE2"/>
    <w:rsid w:val="00DA6C7B"/>
    <w:rsid w:val="00DA7890"/>
    <w:rsid w:val="00DA7924"/>
    <w:rsid w:val="00DB62DB"/>
    <w:rsid w:val="00DC402F"/>
    <w:rsid w:val="00DC542E"/>
    <w:rsid w:val="00DD54E2"/>
    <w:rsid w:val="00DD5DD1"/>
    <w:rsid w:val="00DD627F"/>
    <w:rsid w:val="00DD6D4A"/>
    <w:rsid w:val="00DE2B0B"/>
    <w:rsid w:val="00DE2E1F"/>
    <w:rsid w:val="00DE7E71"/>
    <w:rsid w:val="00DF01CD"/>
    <w:rsid w:val="00DF3567"/>
    <w:rsid w:val="00DF3661"/>
    <w:rsid w:val="00DF4D88"/>
    <w:rsid w:val="00DF5492"/>
    <w:rsid w:val="00DF60C3"/>
    <w:rsid w:val="00E00022"/>
    <w:rsid w:val="00E02C39"/>
    <w:rsid w:val="00E07CA7"/>
    <w:rsid w:val="00E1384C"/>
    <w:rsid w:val="00E13F80"/>
    <w:rsid w:val="00E23326"/>
    <w:rsid w:val="00E233FE"/>
    <w:rsid w:val="00E24AEE"/>
    <w:rsid w:val="00E266EC"/>
    <w:rsid w:val="00E31111"/>
    <w:rsid w:val="00E356AC"/>
    <w:rsid w:val="00E4367F"/>
    <w:rsid w:val="00E46B06"/>
    <w:rsid w:val="00E47F96"/>
    <w:rsid w:val="00E52F06"/>
    <w:rsid w:val="00E54B89"/>
    <w:rsid w:val="00E557D6"/>
    <w:rsid w:val="00E55DD6"/>
    <w:rsid w:val="00E61B35"/>
    <w:rsid w:val="00E72A4C"/>
    <w:rsid w:val="00E7725E"/>
    <w:rsid w:val="00E84EA1"/>
    <w:rsid w:val="00E910EB"/>
    <w:rsid w:val="00E9129D"/>
    <w:rsid w:val="00E92CF1"/>
    <w:rsid w:val="00E94C55"/>
    <w:rsid w:val="00E96F06"/>
    <w:rsid w:val="00E97091"/>
    <w:rsid w:val="00E974DC"/>
    <w:rsid w:val="00EA102C"/>
    <w:rsid w:val="00EC25F9"/>
    <w:rsid w:val="00EC450A"/>
    <w:rsid w:val="00EC5436"/>
    <w:rsid w:val="00EC63C2"/>
    <w:rsid w:val="00EC7E75"/>
    <w:rsid w:val="00ED1D9A"/>
    <w:rsid w:val="00ED607F"/>
    <w:rsid w:val="00EE056F"/>
    <w:rsid w:val="00EE1C8D"/>
    <w:rsid w:val="00EE21E5"/>
    <w:rsid w:val="00EE66A7"/>
    <w:rsid w:val="00EF1EDB"/>
    <w:rsid w:val="00EF22BF"/>
    <w:rsid w:val="00EF5C7B"/>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66430"/>
    <w:rsid w:val="00F719C9"/>
    <w:rsid w:val="00F72B38"/>
    <w:rsid w:val="00F74333"/>
    <w:rsid w:val="00F75534"/>
    <w:rsid w:val="00F756EC"/>
    <w:rsid w:val="00F76216"/>
    <w:rsid w:val="00F7753D"/>
    <w:rsid w:val="00F80738"/>
    <w:rsid w:val="00F855E1"/>
    <w:rsid w:val="00F955A1"/>
    <w:rsid w:val="00F9679A"/>
    <w:rsid w:val="00FA18F6"/>
    <w:rsid w:val="00FA76FB"/>
    <w:rsid w:val="00FB0CB3"/>
    <w:rsid w:val="00FB0DAB"/>
    <w:rsid w:val="00FB6A1C"/>
    <w:rsid w:val="00FB6B28"/>
    <w:rsid w:val="00FC0814"/>
    <w:rsid w:val="00FC26AD"/>
    <w:rsid w:val="00FD0013"/>
    <w:rsid w:val="00FE17BA"/>
    <w:rsid w:val="00FE5203"/>
    <w:rsid w:val="00FE627F"/>
    <w:rsid w:val="00FE7059"/>
    <w:rsid w:val="00FF343E"/>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06DCDC-92CB-47E1-BD3E-3A43C79C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rsid w:val="007B4CBB"/>
    <w:pPr>
      <w:tabs>
        <w:tab w:val="num" w:pos="357"/>
      </w:tabs>
      <w:ind w:left="357" w:hanging="357"/>
    </w:pPr>
  </w:style>
  <w:style w:type="paragraph" w:styleId="Fotnotstext">
    <w:name w:val="footnote text"/>
    <w:basedOn w:val="Normal"/>
    <w:semiHidden/>
    <w:rsid w:val="00B370E3"/>
    <w:rPr>
      <w:sz w:val="20"/>
    </w:rPr>
  </w:style>
  <w:style w:type="character" w:styleId="Fotnotsreferens">
    <w:name w:val="footnote reference"/>
    <w:basedOn w:val="Standardstycketeckensnitt"/>
    <w:semiHidden/>
    <w:rsid w:val="00B370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1627</Words>
  <Characters>10467</Characters>
  <Application>Microsoft Office Word</Application>
  <DocSecurity>4</DocSecurity>
  <Lines>299</Lines>
  <Paragraphs>82</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2011-05-09T10:55:00Z</cp:lastPrinted>
  <dcterms:created xsi:type="dcterms:W3CDTF">2025-12-18T03:57:00Z</dcterms:created>
  <dcterms:modified xsi:type="dcterms:W3CDTF">2025-12-18T03:57:00Z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