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249" w:rsidRPr="00E85902" w:rsidRDefault="002D6249" w:rsidP="002D6249">
      <w:pPr>
        <w:pStyle w:val="RubrikInnehllsf"/>
      </w:pPr>
      <w:bookmarkStart w:id="0" w:name="_Toc116889784"/>
      <w:bookmarkStart w:id="1" w:name="_Toc116960605"/>
      <w:r w:rsidRPr="00E85902">
        <w:t>Innehållsförteckning</w:t>
      </w:r>
      <w:bookmarkEnd w:id="1"/>
    </w:p>
    <w:p w:rsidR="00901B2B" w:rsidRPr="00E85902" w:rsidRDefault="002D6249" w:rsidP="0072685D">
      <w:pPr>
        <w:pStyle w:val="Innehll1"/>
        <w:tabs>
          <w:tab w:val="left" w:pos="285"/>
        </w:tabs>
        <w:rPr>
          <w:szCs w:val="24"/>
        </w:rPr>
      </w:pPr>
      <w:r w:rsidRPr="00E85902">
        <w:fldChar w:fldCharType="begin" w:fldLock="1"/>
      </w:r>
      <w:r w:rsidRPr="00E85902">
        <w:instrText xml:space="preserve"> TOC \o "1-3" \t "HEMSTL_RUBRIK" </w:instrText>
      </w:r>
      <w:r w:rsidRPr="00E85902">
        <w:fldChar w:fldCharType="separate"/>
      </w:r>
      <w:r w:rsidR="00901B2B" w:rsidRPr="00E85902">
        <w:t>1</w:t>
      </w:r>
      <w:r w:rsidR="00901B2B" w:rsidRPr="00E85902">
        <w:rPr>
          <w:szCs w:val="24"/>
        </w:rPr>
        <w:tab/>
      </w:r>
      <w:r w:rsidR="00901B2B" w:rsidRPr="00E85902">
        <w:t>Innehållsförteckning</w:t>
      </w:r>
      <w:r w:rsidR="00901B2B" w:rsidRPr="00E85902">
        <w:tab/>
      </w:r>
      <w:r w:rsidR="00901B2B" w:rsidRPr="00E85902">
        <w:fldChar w:fldCharType="begin" w:fldLock="1"/>
      </w:r>
      <w:r w:rsidR="00901B2B" w:rsidRPr="00E85902">
        <w:instrText xml:space="preserve"> PAGEREF _Toc116960605 \h </w:instrText>
      </w:r>
      <w:r w:rsidR="00901B2B" w:rsidRPr="00E85902">
        <w:fldChar w:fldCharType="separate"/>
      </w:r>
      <w:r w:rsidR="0072685D" w:rsidRPr="00E85902">
        <w:t>1</w:t>
      </w:r>
      <w:r w:rsidR="00901B2B" w:rsidRPr="00E85902">
        <w:fldChar w:fldCharType="end"/>
      </w:r>
    </w:p>
    <w:p w:rsidR="00901B2B" w:rsidRPr="00E85902" w:rsidRDefault="00901B2B" w:rsidP="0072685D">
      <w:pPr>
        <w:pStyle w:val="Innehll1"/>
        <w:tabs>
          <w:tab w:val="left" w:pos="285"/>
        </w:tabs>
        <w:rPr>
          <w:szCs w:val="24"/>
        </w:rPr>
      </w:pPr>
      <w:r w:rsidRPr="00E85902">
        <w:t>2</w:t>
      </w:r>
      <w:r w:rsidRPr="00E85902">
        <w:rPr>
          <w:szCs w:val="24"/>
        </w:rPr>
        <w:tab/>
      </w:r>
      <w:r w:rsidRPr="00E85902">
        <w:t>Förslag till riksdagsbeslut</w:t>
      </w:r>
      <w:r w:rsidRPr="00E85902">
        <w:tab/>
      </w:r>
      <w:r w:rsidRPr="00E85902">
        <w:fldChar w:fldCharType="begin" w:fldLock="1"/>
      </w:r>
      <w:r w:rsidRPr="00E85902">
        <w:instrText xml:space="preserve"> PAGEREF _Toc116960606 \h </w:instrText>
      </w:r>
      <w:r w:rsidRPr="00E85902">
        <w:fldChar w:fldCharType="separate"/>
      </w:r>
      <w:r w:rsidR="0072685D" w:rsidRPr="00E85902">
        <w:t>2</w:t>
      </w:r>
      <w:r w:rsidRPr="00E85902">
        <w:fldChar w:fldCharType="end"/>
      </w:r>
    </w:p>
    <w:p w:rsidR="00901B2B" w:rsidRPr="00E85902" w:rsidRDefault="00901B2B" w:rsidP="0072685D">
      <w:pPr>
        <w:pStyle w:val="Innehll1"/>
        <w:tabs>
          <w:tab w:val="left" w:pos="285"/>
        </w:tabs>
        <w:rPr>
          <w:szCs w:val="24"/>
        </w:rPr>
      </w:pPr>
      <w:r w:rsidRPr="00E85902">
        <w:t>3</w:t>
      </w:r>
      <w:r w:rsidRPr="00E85902">
        <w:rPr>
          <w:szCs w:val="24"/>
        </w:rPr>
        <w:tab/>
      </w:r>
      <w:r w:rsidRPr="00E85902">
        <w:t>Bakgrund</w:t>
      </w:r>
      <w:r w:rsidRPr="00E85902">
        <w:tab/>
      </w:r>
      <w:r w:rsidRPr="00E85902">
        <w:fldChar w:fldCharType="begin" w:fldLock="1"/>
      </w:r>
      <w:r w:rsidRPr="00E85902">
        <w:instrText xml:space="preserve"> PAGEREF _Toc116960607 \h </w:instrText>
      </w:r>
      <w:r w:rsidRPr="00E85902">
        <w:fldChar w:fldCharType="separate"/>
      </w:r>
      <w:r w:rsidR="0072685D" w:rsidRPr="00E85902">
        <w:t>3</w:t>
      </w:r>
      <w:r w:rsidRPr="00E85902">
        <w:fldChar w:fldCharType="end"/>
      </w:r>
    </w:p>
    <w:p w:rsidR="00901B2B" w:rsidRPr="00E85902" w:rsidRDefault="00901B2B" w:rsidP="0072685D">
      <w:pPr>
        <w:pStyle w:val="Innehll1"/>
        <w:tabs>
          <w:tab w:val="left" w:pos="285"/>
        </w:tabs>
        <w:rPr>
          <w:szCs w:val="24"/>
        </w:rPr>
      </w:pPr>
      <w:r w:rsidRPr="00E85902">
        <w:t>4</w:t>
      </w:r>
      <w:r w:rsidRPr="00E85902">
        <w:rPr>
          <w:szCs w:val="24"/>
        </w:rPr>
        <w:tab/>
      </w:r>
      <w:r w:rsidRPr="00E85902">
        <w:t>Tidigare rättstillämpning</w:t>
      </w:r>
      <w:r w:rsidRPr="00E85902">
        <w:tab/>
      </w:r>
      <w:r w:rsidRPr="00E85902">
        <w:fldChar w:fldCharType="begin" w:fldLock="1"/>
      </w:r>
      <w:r w:rsidRPr="00E85902">
        <w:instrText xml:space="preserve"> PAGEREF _Toc116960608 \h </w:instrText>
      </w:r>
      <w:r w:rsidRPr="00E85902">
        <w:fldChar w:fldCharType="separate"/>
      </w:r>
      <w:r w:rsidR="0072685D" w:rsidRPr="00E85902">
        <w:t>3</w:t>
      </w:r>
      <w:r w:rsidRPr="00E85902">
        <w:fldChar w:fldCharType="end"/>
      </w:r>
    </w:p>
    <w:p w:rsidR="00901B2B" w:rsidRPr="00E85902" w:rsidRDefault="00901B2B" w:rsidP="0072685D">
      <w:pPr>
        <w:pStyle w:val="Innehll1"/>
        <w:tabs>
          <w:tab w:val="left" w:pos="285"/>
        </w:tabs>
        <w:rPr>
          <w:szCs w:val="24"/>
        </w:rPr>
      </w:pPr>
      <w:r w:rsidRPr="00E85902">
        <w:t>5</w:t>
      </w:r>
      <w:r w:rsidRPr="00E85902">
        <w:rPr>
          <w:szCs w:val="24"/>
        </w:rPr>
        <w:tab/>
      </w:r>
      <w:r w:rsidRPr="00E85902">
        <w:t>Andra konventionsgrunder än samhällsgrupp</w:t>
      </w:r>
      <w:r w:rsidRPr="00E85902">
        <w:tab/>
      </w:r>
      <w:r w:rsidRPr="00E85902">
        <w:fldChar w:fldCharType="begin" w:fldLock="1"/>
      </w:r>
      <w:r w:rsidRPr="00E85902">
        <w:instrText xml:space="preserve"> PAGEREF _Toc116960609 \h </w:instrText>
      </w:r>
      <w:r w:rsidRPr="00E85902">
        <w:fldChar w:fldCharType="separate"/>
      </w:r>
      <w:r w:rsidR="0072685D" w:rsidRPr="00E85902">
        <w:t>4</w:t>
      </w:r>
      <w:r w:rsidRPr="00E85902">
        <w:fldChar w:fldCharType="end"/>
      </w:r>
    </w:p>
    <w:p w:rsidR="00901B2B" w:rsidRPr="00E85902" w:rsidRDefault="00901B2B" w:rsidP="0072685D">
      <w:pPr>
        <w:pStyle w:val="Innehll1"/>
        <w:tabs>
          <w:tab w:val="left" w:pos="285"/>
        </w:tabs>
        <w:rPr>
          <w:szCs w:val="24"/>
        </w:rPr>
      </w:pPr>
      <w:r w:rsidRPr="00E85902">
        <w:t>6</w:t>
      </w:r>
      <w:r w:rsidRPr="00E85902">
        <w:rPr>
          <w:szCs w:val="24"/>
        </w:rPr>
        <w:tab/>
      </w:r>
      <w:r w:rsidRPr="00E85902">
        <w:t>Könsbaserat våld mot och diskriminering av kvinnor</w:t>
      </w:r>
      <w:r w:rsidRPr="00E85902">
        <w:tab/>
      </w:r>
      <w:r w:rsidRPr="00E85902">
        <w:fldChar w:fldCharType="begin" w:fldLock="1"/>
      </w:r>
      <w:r w:rsidRPr="00E85902">
        <w:instrText xml:space="preserve"> PAGEREF _Toc116960610 \h </w:instrText>
      </w:r>
      <w:r w:rsidRPr="00E85902">
        <w:fldChar w:fldCharType="separate"/>
      </w:r>
      <w:r w:rsidR="0072685D" w:rsidRPr="00E85902">
        <w:t>5</w:t>
      </w:r>
      <w:r w:rsidRPr="00E85902">
        <w:fldChar w:fldCharType="end"/>
      </w:r>
    </w:p>
    <w:p w:rsidR="00901B2B" w:rsidRPr="00E85902" w:rsidRDefault="00901B2B" w:rsidP="0072685D">
      <w:pPr>
        <w:pStyle w:val="Innehll1"/>
        <w:tabs>
          <w:tab w:val="left" w:pos="285"/>
        </w:tabs>
        <w:rPr>
          <w:szCs w:val="24"/>
        </w:rPr>
      </w:pPr>
      <w:r w:rsidRPr="00E85902">
        <w:t>7</w:t>
      </w:r>
      <w:r w:rsidRPr="00E85902">
        <w:rPr>
          <w:szCs w:val="24"/>
        </w:rPr>
        <w:tab/>
      </w:r>
      <w:r w:rsidRPr="00E85902">
        <w:t>HBT-kompetens</w:t>
      </w:r>
      <w:r w:rsidRPr="00E85902">
        <w:tab/>
      </w:r>
      <w:r w:rsidRPr="00E85902">
        <w:fldChar w:fldCharType="begin" w:fldLock="1"/>
      </w:r>
      <w:r w:rsidRPr="00E85902">
        <w:instrText xml:space="preserve"> PAGEREF _Toc116960611 \h </w:instrText>
      </w:r>
      <w:r w:rsidRPr="00E85902">
        <w:fldChar w:fldCharType="separate"/>
      </w:r>
      <w:r w:rsidR="0072685D" w:rsidRPr="00E85902">
        <w:t>5</w:t>
      </w:r>
      <w:r w:rsidRPr="00E85902">
        <w:fldChar w:fldCharType="end"/>
      </w:r>
    </w:p>
    <w:p w:rsidR="00901B2B" w:rsidRPr="00E85902" w:rsidRDefault="00901B2B" w:rsidP="0072685D">
      <w:pPr>
        <w:pStyle w:val="Innehll1"/>
        <w:tabs>
          <w:tab w:val="left" w:pos="285"/>
        </w:tabs>
        <w:rPr>
          <w:szCs w:val="24"/>
        </w:rPr>
      </w:pPr>
      <w:r w:rsidRPr="00E85902">
        <w:t>8</w:t>
      </w:r>
      <w:r w:rsidRPr="00E85902">
        <w:rPr>
          <w:szCs w:val="24"/>
        </w:rPr>
        <w:tab/>
      </w:r>
      <w:r w:rsidRPr="00E85902">
        <w:t>Förföljelse inom den privata sfären som grund för flyktingskap</w:t>
      </w:r>
      <w:r w:rsidRPr="00E85902">
        <w:tab/>
      </w:r>
      <w:r w:rsidRPr="00E85902">
        <w:fldChar w:fldCharType="begin" w:fldLock="1"/>
      </w:r>
      <w:r w:rsidRPr="00E85902">
        <w:instrText xml:space="preserve"> PAGEREF _Toc116960612 \h </w:instrText>
      </w:r>
      <w:r w:rsidRPr="00E85902">
        <w:fldChar w:fldCharType="separate"/>
      </w:r>
      <w:r w:rsidR="0072685D" w:rsidRPr="00E85902">
        <w:t>6</w:t>
      </w:r>
      <w:r w:rsidRPr="00E85902">
        <w:fldChar w:fldCharType="end"/>
      </w:r>
    </w:p>
    <w:p w:rsidR="00901B2B" w:rsidRPr="00E85902" w:rsidRDefault="00901B2B" w:rsidP="0072685D">
      <w:pPr>
        <w:pStyle w:val="Innehll1"/>
        <w:tabs>
          <w:tab w:val="left" w:pos="285"/>
        </w:tabs>
        <w:rPr>
          <w:szCs w:val="24"/>
        </w:rPr>
      </w:pPr>
      <w:r w:rsidRPr="00E85902">
        <w:t>9</w:t>
      </w:r>
      <w:r w:rsidRPr="00E85902">
        <w:rPr>
          <w:szCs w:val="24"/>
        </w:rPr>
        <w:tab/>
      </w:r>
      <w:r w:rsidRPr="00E85902">
        <w:t>Frågan om alternativt skydd i hemlandet</w:t>
      </w:r>
      <w:r w:rsidRPr="00E85902">
        <w:tab/>
      </w:r>
      <w:r w:rsidRPr="00E85902">
        <w:fldChar w:fldCharType="begin" w:fldLock="1"/>
      </w:r>
      <w:r w:rsidRPr="00E85902">
        <w:instrText xml:space="preserve"> PAGEREF _Toc116960613 \h </w:instrText>
      </w:r>
      <w:r w:rsidRPr="00E85902">
        <w:fldChar w:fldCharType="separate"/>
      </w:r>
      <w:r w:rsidR="0072685D" w:rsidRPr="00E85902">
        <w:t>7</w:t>
      </w:r>
      <w:r w:rsidRPr="00E85902">
        <w:fldChar w:fldCharType="end"/>
      </w:r>
    </w:p>
    <w:p w:rsidR="00901B2B" w:rsidRPr="00E85902" w:rsidRDefault="00901B2B" w:rsidP="0072685D">
      <w:pPr>
        <w:pStyle w:val="Innehll1"/>
        <w:tabs>
          <w:tab w:val="left" w:pos="285"/>
        </w:tabs>
        <w:rPr>
          <w:szCs w:val="24"/>
        </w:rPr>
      </w:pPr>
      <w:r w:rsidRPr="00E85902">
        <w:t>10</w:t>
      </w:r>
      <w:r w:rsidRPr="00E85902">
        <w:rPr>
          <w:szCs w:val="24"/>
        </w:rPr>
        <w:tab/>
      </w:r>
      <w:r w:rsidRPr="00E85902">
        <w:t>UNHCR:s riktlinjer</w:t>
      </w:r>
      <w:r w:rsidRPr="00E85902">
        <w:tab/>
      </w:r>
      <w:r w:rsidRPr="00E85902">
        <w:fldChar w:fldCharType="begin" w:fldLock="1"/>
      </w:r>
      <w:r w:rsidRPr="00E85902">
        <w:instrText xml:space="preserve"> PAGEREF _Toc116960614 \h </w:instrText>
      </w:r>
      <w:r w:rsidRPr="00E85902">
        <w:fldChar w:fldCharType="separate"/>
      </w:r>
      <w:r w:rsidR="0072685D" w:rsidRPr="00E85902">
        <w:t>8</w:t>
      </w:r>
      <w:r w:rsidRPr="00E85902">
        <w:fldChar w:fldCharType="end"/>
      </w:r>
    </w:p>
    <w:p w:rsidR="00286080" w:rsidRPr="00E85902" w:rsidRDefault="002D6249" w:rsidP="005128D6">
      <w:pPr>
        <w:pStyle w:val="Hemstlrubrik"/>
        <w:pageBreakBefore/>
        <w:spacing w:before="0"/>
      </w:pPr>
      <w:r w:rsidRPr="00E85902">
        <w:lastRenderedPageBreak/>
        <w:fldChar w:fldCharType="end"/>
      </w:r>
      <w:bookmarkStart w:id="2" w:name="_Toc116960606"/>
      <w:r w:rsidR="002C430C" w:rsidRPr="00E85902">
        <w:t>Förslag till riksdagsbeslut</w:t>
      </w:r>
      <w:bookmarkEnd w:id="0"/>
      <w:bookmarkEnd w:id="2"/>
    </w:p>
    <w:p w:rsidR="00286080" w:rsidRPr="00E85902" w:rsidRDefault="002C430C" w:rsidP="00A85DA2">
      <w:pPr>
        <w:pStyle w:val="Hemstlatt"/>
      </w:pPr>
      <w:r w:rsidRPr="00E85902">
        <w:t xml:space="preserve">Riksdagen tillkännager för regeringen som sin mening vad i motionen anförs om </w:t>
      </w:r>
      <w:r w:rsidR="00286080" w:rsidRPr="00E85902">
        <w:t>att de rättsfall som refererats under 1.7 i utredningen saknar r</w:t>
      </w:r>
      <w:r w:rsidR="00286080" w:rsidRPr="00E85902">
        <w:t>e</w:t>
      </w:r>
      <w:r w:rsidR="00286080" w:rsidRPr="00E85902">
        <w:t>levans efter att lagändringen trätt i kraft.</w:t>
      </w:r>
    </w:p>
    <w:p w:rsidR="001828DA" w:rsidRPr="00E85902" w:rsidRDefault="002C430C" w:rsidP="00A85DA2">
      <w:pPr>
        <w:pStyle w:val="Hemstlatt"/>
      </w:pPr>
      <w:r w:rsidRPr="00E85902">
        <w:t xml:space="preserve">Riksdagen tillkännager för regeringen som sin mening vad i motionen anförs om </w:t>
      </w:r>
      <w:r w:rsidR="00286080" w:rsidRPr="00E85902">
        <w:t>att</w:t>
      </w:r>
      <w:r w:rsidR="00DC2B8A" w:rsidRPr="00E85902">
        <w:t xml:space="preserve"> rättsfallet i </w:t>
      </w:r>
      <w:r w:rsidR="00286080" w:rsidRPr="00E85902">
        <w:t xml:space="preserve">regeringens vägledande beslut från den 28 maj 1998 inte </w:t>
      </w:r>
      <w:r w:rsidR="00DC2B8A" w:rsidRPr="00E85902">
        <w:t xml:space="preserve">längre </w:t>
      </w:r>
      <w:r w:rsidR="00286080" w:rsidRPr="00E85902">
        <w:t>ger uttryck för gällande rätt.</w:t>
      </w:r>
    </w:p>
    <w:p w:rsidR="00A85DA2" w:rsidRPr="00E85902" w:rsidRDefault="005572A0" w:rsidP="00A85DA2">
      <w:pPr>
        <w:pStyle w:val="Hemstlatt"/>
      </w:pPr>
      <w:r w:rsidRPr="00E85902">
        <w:t>Riksdagen tillkännager för regeringen som sin mening vad i motionen anförs om behov av ändrad tillämpning av de andra konventionsgrunde</w:t>
      </w:r>
      <w:r w:rsidRPr="00E85902">
        <w:t>r</w:t>
      </w:r>
      <w:r w:rsidRPr="00E85902">
        <w:t>na</w:t>
      </w:r>
      <w:r w:rsidR="004107F1" w:rsidRPr="00E85902">
        <w:t>,</w:t>
      </w:r>
      <w:r w:rsidRPr="00E85902">
        <w:t xml:space="preserve"> förutom samhällsgrupp</w:t>
      </w:r>
      <w:r w:rsidR="004107F1" w:rsidRPr="00E85902">
        <w:t>,</w:t>
      </w:r>
      <w:r w:rsidRPr="00E85902">
        <w:t xml:space="preserve"> vid könsrelaterad förföljelse.</w:t>
      </w:r>
    </w:p>
    <w:p w:rsidR="00CB364F" w:rsidRPr="00E85902" w:rsidRDefault="00CB364F" w:rsidP="00A85DA2">
      <w:pPr>
        <w:pStyle w:val="Hemstlatt"/>
      </w:pPr>
      <w:r w:rsidRPr="00E85902">
        <w:t>Riksdagen tillkännager för regeringen som sin mening</w:t>
      </w:r>
      <w:r w:rsidR="004107F1" w:rsidRPr="00E85902">
        <w:t xml:space="preserve"> vad i motionen anförs om</w:t>
      </w:r>
      <w:r w:rsidRPr="00E85902">
        <w:t xml:space="preserve"> att den praxis som utvecklats hos Migrationsverket och Utlä</w:t>
      </w:r>
      <w:r w:rsidRPr="00E85902">
        <w:t>n</w:t>
      </w:r>
      <w:r w:rsidRPr="00E85902">
        <w:t xml:space="preserve">ningsnämnden </w:t>
      </w:r>
      <w:r w:rsidR="009E20B8" w:rsidRPr="00E85902">
        <w:t xml:space="preserve">om </w:t>
      </w:r>
      <w:r w:rsidRPr="00E85902">
        <w:t>att hänvisa till ny lagstiftning avsedd att skydda kvi</w:t>
      </w:r>
      <w:r w:rsidRPr="00E85902">
        <w:t>n</w:t>
      </w:r>
      <w:r w:rsidRPr="00E85902">
        <w:t>nor</w:t>
      </w:r>
      <w:r w:rsidR="004107F1" w:rsidRPr="00E85902">
        <w:t>,</w:t>
      </w:r>
      <w:r w:rsidRPr="00E85902">
        <w:t xml:space="preserve"> utan att ta hänsyn till om lagstiftningen genomförs i praktiken, inte längre får tjäna som vägledning.</w:t>
      </w:r>
    </w:p>
    <w:p w:rsidR="006804B9" w:rsidRPr="00E85902" w:rsidRDefault="002C430C" w:rsidP="00A85DA2">
      <w:pPr>
        <w:pStyle w:val="Hemstlatt"/>
      </w:pPr>
      <w:r w:rsidRPr="00E85902">
        <w:t>Riksdagen tillkännager för regeringen som sin mening vad i motionen anförs om kunskap om könsmaktsordningen och problematiken kring olika former av våld mot kvinnor vid svenska myndigheters</w:t>
      </w:r>
      <w:r w:rsidR="00B46829" w:rsidRPr="00E85902">
        <w:t xml:space="preserve"> och domst</w:t>
      </w:r>
      <w:r w:rsidR="00B46829" w:rsidRPr="00E85902">
        <w:t>o</w:t>
      </w:r>
      <w:r w:rsidR="00B46829" w:rsidRPr="00E85902">
        <w:t>lars</w:t>
      </w:r>
      <w:r w:rsidRPr="00E85902">
        <w:t xml:space="preserve"> asylb</w:t>
      </w:r>
      <w:r w:rsidRPr="00E85902">
        <w:t>e</w:t>
      </w:r>
      <w:r w:rsidRPr="00E85902">
        <w:t>dömningar.</w:t>
      </w:r>
    </w:p>
    <w:p w:rsidR="002C430C" w:rsidRPr="00E85902" w:rsidRDefault="006804B9" w:rsidP="00A85DA2">
      <w:pPr>
        <w:pStyle w:val="Hemstlatt"/>
      </w:pPr>
      <w:r w:rsidRPr="00E85902">
        <w:t>Riksdagen tillkännager för regeringen som sin mening vad i motionen anförs om ökad HBT-kompetens hos Migrationsverkets handläggare och beslutsfattare.</w:t>
      </w:r>
    </w:p>
    <w:p w:rsidR="002C430C" w:rsidRPr="00E85902" w:rsidRDefault="002C430C" w:rsidP="00A85DA2">
      <w:pPr>
        <w:pStyle w:val="Hemstlatt"/>
      </w:pPr>
      <w:r w:rsidRPr="00E85902">
        <w:t xml:space="preserve">Riksdagen tillkännager för regeringen som sin mening vad i motionen anförs om </w:t>
      </w:r>
      <w:r w:rsidR="009E20B8" w:rsidRPr="00E85902">
        <w:t xml:space="preserve">att </w:t>
      </w:r>
      <w:r w:rsidRPr="00E85902">
        <w:t>förföljelse i den privata sfären som grund för flyktingskap</w:t>
      </w:r>
      <w:r w:rsidR="00050E77" w:rsidRPr="00E85902">
        <w:t xml:space="preserve"> skall hanteras i överensstämmelse med internationell flyktingrätt.</w:t>
      </w:r>
    </w:p>
    <w:p w:rsidR="00F7171F" w:rsidRPr="00E85902" w:rsidRDefault="002C430C" w:rsidP="00A85DA2">
      <w:pPr>
        <w:pStyle w:val="Hemstlatt"/>
      </w:pPr>
      <w:r w:rsidRPr="00E85902">
        <w:t>Riksdagen tillkännager för regeringen som sin mening vad i motionen anförs om att UNHCR:s yttrande bör anses vägledande för svenska my</w:t>
      </w:r>
      <w:r w:rsidRPr="00E85902">
        <w:t>n</w:t>
      </w:r>
      <w:r w:rsidRPr="00E85902">
        <w:t>digheter när det gäller den flyktingrättsliga bedömningen av våld i den privata sfären.</w:t>
      </w:r>
    </w:p>
    <w:p w:rsidR="00CB364F" w:rsidRPr="00E85902" w:rsidRDefault="00CB364F" w:rsidP="00A85DA2">
      <w:pPr>
        <w:pStyle w:val="Hemstlatt"/>
      </w:pPr>
      <w:r w:rsidRPr="00E85902">
        <w:t>Riksdagen tillkännager för regeringen som sin mening vad i motionen anförs om välgrundad fruktan för förföljelse på konventionsgrund för o</w:t>
      </w:r>
      <w:r w:rsidRPr="00E85902">
        <w:t>f</w:t>
      </w:r>
      <w:r w:rsidRPr="00E85902">
        <w:t>fer för människohandel.</w:t>
      </w:r>
    </w:p>
    <w:p w:rsidR="00F7171F" w:rsidRPr="00E85902" w:rsidRDefault="00F7171F" w:rsidP="00A85DA2">
      <w:pPr>
        <w:pStyle w:val="Hemstlatt"/>
      </w:pPr>
      <w:r w:rsidRPr="00E85902">
        <w:t xml:space="preserve">Riksdagen tillkännager för regeringen som sin mening vad i motionen anförs </w:t>
      </w:r>
      <w:r w:rsidR="009E20B8" w:rsidRPr="00E85902">
        <w:t xml:space="preserve">om </w:t>
      </w:r>
      <w:r w:rsidRPr="00E85902">
        <w:t>att tillämpa UNHCR:s riktlinjer angående inre flyktalternativ när det gäller möjligheten att hänvisa en asylsökande kvinna till ett alte</w:t>
      </w:r>
      <w:r w:rsidRPr="00E85902">
        <w:t>r</w:t>
      </w:r>
      <w:r w:rsidRPr="00E85902">
        <w:t>nativt skydd i hemlandet.</w:t>
      </w:r>
    </w:p>
    <w:p w:rsidR="00F7171F" w:rsidRPr="00E85902" w:rsidRDefault="002C430C" w:rsidP="00A85DA2">
      <w:pPr>
        <w:pStyle w:val="Hemstlatt"/>
      </w:pPr>
      <w:r w:rsidRPr="00E85902">
        <w:t>Riksdagen tillkännager för regeringen som sin mening vad i motionen anförs om tillämpning</w:t>
      </w:r>
      <w:r w:rsidR="00A86DB8" w:rsidRPr="00E85902">
        <w:t>en</w:t>
      </w:r>
      <w:r w:rsidRPr="00E85902">
        <w:t xml:space="preserve"> av UNHCR:s </w:t>
      </w:r>
      <w:r w:rsidR="00F7171F" w:rsidRPr="00E85902">
        <w:t xml:space="preserve">aktuella </w:t>
      </w:r>
      <w:r w:rsidRPr="00E85902">
        <w:t>riktlinjer</w:t>
      </w:r>
      <w:r w:rsidR="00F7171F" w:rsidRPr="00E85902">
        <w:t xml:space="preserve"> vad gäller de svenska myndigheternas tolkning av den nya bestämmelsen om förfölje</w:t>
      </w:r>
      <w:r w:rsidR="00F7171F" w:rsidRPr="00E85902">
        <w:t>l</w:t>
      </w:r>
      <w:r w:rsidR="00F7171F" w:rsidRPr="00E85902">
        <w:t>se på grund av kön eller sexuell läggning</w:t>
      </w:r>
      <w:r w:rsidRPr="00E85902">
        <w:t>.</w:t>
      </w:r>
    </w:p>
    <w:p w:rsidR="002C430C" w:rsidRPr="00E85902" w:rsidRDefault="002C430C" w:rsidP="002C430C">
      <w:pPr>
        <w:pStyle w:val="Rubrik1"/>
      </w:pPr>
      <w:bookmarkStart w:id="3" w:name="_Toc116889785"/>
      <w:bookmarkStart w:id="4" w:name="_Toc116960607"/>
      <w:r w:rsidRPr="00E85902">
        <w:t>Bakgrund</w:t>
      </w:r>
      <w:bookmarkEnd w:id="3"/>
      <w:bookmarkEnd w:id="4"/>
    </w:p>
    <w:p w:rsidR="002C430C" w:rsidRPr="00E85902" w:rsidRDefault="002C430C" w:rsidP="00C352A8">
      <w:r w:rsidRPr="00E85902">
        <w:t xml:space="preserve">Den bestämmelse om skydd på grund av välgrundad fruktan för förföljelse på grund av kön eller sexuell läggning som infördes i utlänningslagen 1997 har utsatts för skarp kritik. Som </w:t>
      </w:r>
      <w:r w:rsidR="009B79BA" w:rsidRPr="00E85902">
        <w:t>V</w:t>
      </w:r>
      <w:r w:rsidRPr="00E85902">
        <w:t>änsterpartiet redan då framförde skulle det ha varit en betydligt bättre lösning att bredda tolkningen av Genèvekonventi</w:t>
      </w:r>
      <w:r w:rsidRPr="00E85902">
        <w:t>o</w:t>
      </w:r>
      <w:r w:rsidRPr="00E85902">
        <w:t>nens flyktingbegrepp så att det också innefattade förföljelse på grund av kön eller sexuell läggning. En sådan tolkning, som stöds av FN:s flyktingkommi</w:t>
      </w:r>
      <w:r w:rsidRPr="00E85902">
        <w:t>s</w:t>
      </w:r>
      <w:r w:rsidRPr="00E85902">
        <w:t>sariat</w:t>
      </w:r>
      <w:r w:rsidR="009B79BA" w:rsidRPr="00E85902">
        <w:t xml:space="preserve"> (UNHCR)</w:t>
      </w:r>
      <w:r w:rsidRPr="00E85902">
        <w:t xml:space="preserve">, vinner successivt </w:t>
      </w:r>
      <w:r w:rsidR="005128D6" w:rsidRPr="00E85902">
        <w:t>terräng och etableras i allt</w:t>
      </w:r>
      <w:r w:rsidRPr="00E85902">
        <w:t>fler länder. En särskild skyddsregel för kvinnors asylskäl torde ock</w:t>
      </w:r>
      <w:r w:rsidR="00A72D8A" w:rsidRPr="00E85902">
        <w:t>så stå i konflikt med art</w:t>
      </w:r>
      <w:r w:rsidR="00A72D8A" w:rsidRPr="00E85902">
        <w:t>i</w:t>
      </w:r>
      <w:r w:rsidR="00A72D8A" w:rsidRPr="00E85902">
        <w:t>kel 2</w:t>
      </w:r>
      <w:r w:rsidRPr="00E85902">
        <w:t>a i konventionen om avskaffande av all</w:t>
      </w:r>
      <w:r w:rsidR="005128D6" w:rsidRPr="00E85902">
        <w:t>t</w:t>
      </w:r>
      <w:r w:rsidRPr="00E85902">
        <w:t xml:space="preserve"> slags diskriminering av kvinnor. I artikeln åtar sig staterna att ”avskaffa diskriminering av kvinnor och säke</w:t>
      </w:r>
      <w:r w:rsidRPr="00E85902">
        <w:t>r</w:t>
      </w:r>
      <w:r w:rsidRPr="00E85902">
        <w:t>ställa att denna princip genomförs i praktiken genom författningar och andra lämpliga medel”. Om en prövning gjorts skulle det sannolikt ha fastslagits att den särskilda skyddsbestämmelsen stått i strid med nämnda artikel.</w:t>
      </w:r>
    </w:p>
    <w:p w:rsidR="002C430C" w:rsidRPr="00E85902" w:rsidRDefault="002C430C" w:rsidP="00C352A8">
      <w:pPr>
        <w:pStyle w:val="Normaltindrag"/>
      </w:pPr>
      <w:r w:rsidRPr="00E85902">
        <w:t>Det är också viktigt att den som riskerar förföljelse på grund av sin sexue</w:t>
      </w:r>
      <w:r w:rsidRPr="00E85902">
        <w:t>l</w:t>
      </w:r>
      <w:r w:rsidRPr="00E85902">
        <w:t>la läggning får skydd enligt Genèvekonventionen. Liksom vad gäller förfö</w:t>
      </w:r>
      <w:r w:rsidRPr="00E85902">
        <w:t>l</w:t>
      </w:r>
      <w:r w:rsidRPr="00E85902">
        <w:t>jelse på grund av kön ger många länder</w:t>
      </w:r>
      <w:r w:rsidR="003D0621" w:rsidRPr="00E85902">
        <w:t>,</w:t>
      </w:r>
      <w:r w:rsidRPr="00E85902">
        <w:t xml:space="preserve"> t.ex. USA, Kanada, Nederländerna, Norge, Danma</w:t>
      </w:r>
      <w:r w:rsidR="00A72D8A" w:rsidRPr="00E85902">
        <w:t>rk, Island, Finland, Australien</w:t>
      </w:r>
      <w:r w:rsidRPr="00E85902">
        <w:t>, Tyskland och Nya Zeeland</w:t>
      </w:r>
      <w:r w:rsidR="003D0621" w:rsidRPr="00E85902">
        <w:t>,</w:t>
      </w:r>
      <w:r w:rsidRPr="00E85902">
        <w:t xml:space="preserve"> redan </w:t>
      </w:r>
      <w:r w:rsidR="0021352D" w:rsidRPr="00E85902">
        <w:t>i dag</w:t>
      </w:r>
      <w:r w:rsidRPr="00E85902">
        <w:t xml:space="preserve"> skydd enligt Genèvekonventionen åt den som riskerar förföljelse på grund av sin sexuella läggning.</w:t>
      </w:r>
    </w:p>
    <w:p w:rsidR="002C430C" w:rsidRPr="00E85902" w:rsidRDefault="002C430C" w:rsidP="002C430C">
      <w:pPr>
        <w:pStyle w:val="Normaltindrag"/>
      </w:pPr>
      <w:r w:rsidRPr="00E85902">
        <w:t xml:space="preserve">Det är positivt att regeringen äntligen lägger förslag till riksdagen om att avskaffa den diskriminerande särskilda skyddsregeln för </w:t>
      </w:r>
      <w:r w:rsidR="00947863" w:rsidRPr="00E85902">
        <w:t>dem</w:t>
      </w:r>
      <w:r w:rsidRPr="00E85902">
        <w:t xml:space="preserve"> som förföljs på grund av kön elle</w:t>
      </w:r>
      <w:r w:rsidR="00947863" w:rsidRPr="00E85902">
        <w:t xml:space="preserve">r homosexualitet och i stället </w:t>
      </w:r>
      <w:r w:rsidRPr="00E85902">
        <w:t>utvidgar flyktingkonventi</w:t>
      </w:r>
      <w:r w:rsidRPr="00E85902">
        <w:t>o</w:t>
      </w:r>
      <w:r w:rsidRPr="00E85902">
        <w:t>nens tillämpning.</w:t>
      </w:r>
    </w:p>
    <w:p w:rsidR="002C430C" w:rsidRPr="00E85902" w:rsidRDefault="002C430C" w:rsidP="002C430C">
      <w:pPr>
        <w:pStyle w:val="Rubrik1"/>
      </w:pPr>
      <w:bookmarkStart w:id="5" w:name="_Toc116889786"/>
      <w:bookmarkStart w:id="6" w:name="_Toc116960608"/>
      <w:r w:rsidRPr="00E85902">
        <w:t>Tidigare rättstillämpning</w:t>
      </w:r>
      <w:bookmarkEnd w:id="5"/>
      <w:bookmarkEnd w:id="6"/>
    </w:p>
    <w:p w:rsidR="002C430C" w:rsidRPr="00E85902" w:rsidRDefault="002C430C" w:rsidP="002C430C">
      <w:r w:rsidRPr="00E85902">
        <w:t>I rättstillämpningen har de beviskrav som riktats mot kvinnor som utsatts för sexualiserat våld varit orimligt höga. Det har också gjorts orimliga bedö</w:t>
      </w:r>
      <w:r w:rsidRPr="00E85902">
        <w:t>m</w:t>
      </w:r>
      <w:r w:rsidRPr="00E85902">
        <w:t>ningar av kvinnans möjligheter att få statens skydd eller att flytta inom landet. Om det även i fortsättningen ställs krav på att kvinnor som av politiska skäl utsatts för gruppvåldtäkt av poliser på en polisstation i Bangladesh skall åte</w:t>
      </w:r>
      <w:r w:rsidRPr="00E85902">
        <w:t>r</w:t>
      </w:r>
      <w:r w:rsidRPr="00E85902">
        <w:t>vända till hemlandet och göra en polisanmälan eftersom det är kriminaliserat också för poliser i Bangladesh att begå våldtäkt, lär reformen förbli en pa</w:t>
      </w:r>
      <w:r w:rsidRPr="00E85902">
        <w:t>p</w:t>
      </w:r>
      <w:r w:rsidRPr="00E85902">
        <w:t>persprodukt.</w:t>
      </w:r>
    </w:p>
    <w:p w:rsidR="002C430C" w:rsidRPr="00E85902" w:rsidRDefault="002C430C" w:rsidP="00C352A8">
      <w:pPr>
        <w:pStyle w:val="Normaltindrag"/>
      </w:pPr>
      <w:r w:rsidRPr="00E85902">
        <w:t>Syftet med den utvidgade tolkningen av konventionen skulle förfelas om åberopade skäl av det slag som redovisas i utredningen klassificeras som humanitära skäl i den mån de över huvud taget anses berättiga till uppehåll</w:t>
      </w:r>
      <w:r w:rsidRPr="00E85902">
        <w:t>s</w:t>
      </w:r>
      <w:r w:rsidRPr="00E85902">
        <w:t>tillstånd. Det är därför av grundläggande betydelse att riksdagen uttalar att de rättsfall som refereras under 1.7 i utredningen saknar relevans efter att lagän</w:t>
      </w:r>
      <w:r w:rsidRPr="00E85902">
        <w:t>d</w:t>
      </w:r>
      <w:r w:rsidRPr="00E85902">
        <w:t>ringen trätt i kraft. Detta bör riksdagen</w:t>
      </w:r>
      <w:r w:rsidR="00947863" w:rsidRPr="00E85902">
        <w:t xml:space="preserve"> som sin mening</w:t>
      </w:r>
      <w:r w:rsidRPr="00E85902">
        <w:t xml:space="preserve"> ge regeringen till känna.</w:t>
      </w:r>
    </w:p>
    <w:p w:rsidR="001828DA" w:rsidRPr="00E85902" w:rsidRDefault="002C430C" w:rsidP="001828DA">
      <w:pPr>
        <w:pStyle w:val="Normaltindrag"/>
      </w:pPr>
      <w:r w:rsidRPr="00E85902">
        <w:t>Regeringen har den 28 maj 1998 fattat ett vägledande beslut med innebörd att en homosexuell asylsökande måste vara misstänkt eller eftersökt för h</w:t>
      </w:r>
      <w:r w:rsidRPr="00E85902">
        <w:t>o</w:t>
      </w:r>
      <w:r w:rsidRPr="00E85902">
        <w:t xml:space="preserve">mosexuella </w:t>
      </w:r>
      <w:r w:rsidR="00286080" w:rsidRPr="00E85902">
        <w:t xml:space="preserve">handlingar </w:t>
      </w:r>
      <w:r w:rsidRPr="00E85902">
        <w:t xml:space="preserve">innan frågan om skyddsbehov kan vara aktuell. </w:t>
      </w:r>
      <w:r w:rsidR="00884653" w:rsidRPr="00E85902">
        <w:t>Enligt praxis krävs att den asylsökande öppet</w:t>
      </w:r>
      <w:r w:rsidR="00955A04" w:rsidRPr="00E85902">
        <w:t xml:space="preserve"> skall </w:t>
      </w:r>
      <w:r w:rsidR="00884653" w:rsidRPr="00E85902">
        <w:t xml:space="preserve">ha manifesterat sin sexuella läggning innan han </w:t>
      </w:r>
      <w:r w:rsidR="00177370" w:rsidRPr="00E85902">
        <w:t xml:space="preserve">eller hon </w:t>
      </w:r>
      <w:r w:rsidR="00884653" w:rsidRPr="00E85902">
        <w:t>kom till Sverige. Den vanligaste avslagsgrunden när det gäller asylärenden där förföljelse av HBT-personer åberopas avser det förhållandet att den sökandes sexuella läggning inte har varit känd för he</w:t>
      </w:r>
      <w:r w:rsidR="00884653" w:rsidRPr="00E85902">
        <w:t>m</w:t>
      </w:r>
      <w:r w:rsidR="00884653" w:rsidRPr="00E85902">
        <w:t xml:space="preserve">landets myndigheter. </w:t>
      </w:r>
      <w:r w:rsidRPr="00E85902">
        <w:t xml:space="preserve">Man kräver således att den som är homosexuell skall vara diskret och dölja sin läggning. Christopher N Kendall, </w:t>
      </w:r>
      <w:r w:rsidR="005128D6" w:rsidRPr="00E85902">
        <w:t xml:space="preserve">juridiska </w:t>
      </w:r>
      <w:r w:rsidRPr="00E85902">
        <w:t>fakult</w:t>
      </w:r>
      <w:r w:rsidRPr="00E85902">
        <w:t>e</w:t>
      </w:r>
      <w:r w:rsidRPr="00E85902">
        <w:t>tens dekanus vid Murdoch University, Perth, Australien har i en artikel i I</w:t>
      </w:r>
      <w:r w:rsidRPr="00E85902">
        <w:t>n</w:t>
      </w:r>
      <w:r w:rsidRPr="00E85902">
        <w:t>ternation</w:t>
      </w:r>
      <w:r w:rsidR="00286080" w:rsidRPr="00E85902">
        <w:t>al Journal of Refugee Law nr 4/</w:t>
      </w:r>
      <w:r w:rsidRPr="00E85902">
        <w:t>2003 karakteriserat ett sådant ”di</w:t>
      </w:r>
      <w:r w:rsidRPr="00E85902">
        <w:t>s</w:t>
      </w:r>
      <w:r w:rsidRPr="00E85902">
        <w:t>kretionskrav” riktat till homosexuella som ”ett våldförande på deras mänskl</w:t>
      </w:r>
      <w:r w:rsidRPr="00E85902">
        <w:t>i</w:t>
      </w:r>
      <w:r w:rsidRPr="00E85902">
        <w:t xml:space="preserve">ga värdighet, diskriminering mot dem på grund av sexuell läggning och ett stöd till argumentet att de som utmanar normerna skall tystas </w:t>
      </w:r>
      <w:r w:rsidR="000225CB" w:rsidRPr="00E85902">
        <w:t>–</w:t>
      </w:r>
      <w:r w:rsidRPr="00E85902">
        <w:t xml:space="preserve"> på så sätt göra samma sak som homofobin och heterosexismen gjort på ett effektivt sätt under en tid”.</w:t>
      </w:r>
      <w:r w:rsidR="00286080" w:rsidRPr="00E85902">
        <w:t xml:space="preserve"> </w:t>
      </w:r>
      <w:r w:rsidRPr="00E85902">
        <w:t xml:space="preserve">Det är av största vikt att det nu klargörs att detta rättsfall inte längre ger uttryck för gällande rätt. Detta bör riksdagen </w:t>
      </w:r>
      <w:r w:rsidR="00947863" w:rsidRPr="00E85902">
        <w:t xml:space="preserve">som sin mening </w:t>
      </w:r>
      <w:r w:rsidRPr="00E85902">
        <w:t>ge regeringen till känna.</w:t>
      </w:r>
    </w:p>
    <w:p w:rsidR="002C430C" w:rsidRPr="00E85902" w:rsidRDefault="002C430C" w:rsidP="002C430C">
      <w:pPr>
        <w:pStyle w:val="Rubrik1"/>
      </w:pPr>
      <w:bookmarkStart w:id="7" w:name="_Toc116889787"/>
      <w:bookmarkStart w:id="8" w:name="_Toc116960609"/>
      <w:r w:rsidRPr="00E85902">
        <w:t>Andra konventionsgrunder än samhällsgrupp</w:t>
      </w:r>
      <w:bookmarkEnd w:id="7"/>
      <w:bookmarkEnd w:id="8"/>
    </w:p>
    <w:p w:rsidR="00C352A8" w:rsidRPr="00E85902" w:rsidRDefault="002C430C" w:rsidP="00C352A8">
      <w:r w:rsidRPr="00E85902">
        <w:t xml:space="preserve">I propositionen föreslås att ordalydelsen i flyktingbestämmelsen i </w:t>
      </w:r>
      <w:r w:rsidR="005128D6" w:rsidRPr="00E85902">
        <w:t>utlänning</w:t>
      </w:r>
      <w:r w:rsidR="005128D6" w:rsidRPr="00E85902">
        <w:t>s</w:t>
      </w:r>
      <w:r w:rsidR="005128D6" w:rsidRPr="00E85902">
        <w:t xml:space="preserve">lagen </w:t>
      </w:r>
      <w:r w:rsidRPr="00E85902">
        <w:t>skall ändras så att det står ”kön, sexuell läggning eller annan tillhörighet till en viss samhällsgrupp” för att tydliggöra att kön och sexuell läggning kan inrymmas i konventionsgrunden samhällsgrupp. Trots att regeringen i prop</w:t>
      </w:r>
      <w:r w:rsidRPr="00E85902">
        <w:t>o</w:t>
      </w:r>
      <w:r w:rsidRPr="00E85902">
        <w:t>sitionen anger att kön och sexuell läggning endast skrivs in i förtydligande syfte och att konventionsgrunden ”tillhörighet till viss samhällsgrupp” inte</w:t>
      </w:r>
      <w:r w:rsidR="0021352D" w:rsidRPr="00E85902">
        <w:t xml:space="preserve"> skall </w:t>
      </w:r>
      <w:r w:rsidRPr="00E85902">
        <w:t>användas på bekostnad av andra konventionsgrunder i fall av könsrelat</w:t>
      </w:r>
      <w:r w:rsidRPr="00E85902">
        <w:t>e</w:t>
      </w:r>
      <w:r w:rsidRPr="00E85902">
        <w:t>rad förföljelse, hänvisas i propositionstexten ofta till ”förföljelse på grund av kön eller sexuell läggning” som något separat att tillämpa vid konvention</w:t>
      </w:r>
      <w:r w:rsidRPr="00E85902">
        <w:t>s</w:t>
      </w:r>
      <w:r w:rsidRPr="00E85902">
        <w:t>grunden ”samhällsgrupp” och det talas således inte genomgående i texten om att beakta könsrelaterade aspekter vid samtliga konventionsgrunder. För att undvika att samhällsgruppsrekvisitet används oproportionerligt ofta i jämf</w:t>
      </w:r>
      <w:r w:rsidRPr="00E85902">
        <w:t>ö</w:t>
      </w:r>
      <w:r w:rsidRPr="00E85902">
        <w:t>relse med de andra konventionsgrunderna är det viktigt att slå fast detta mycket tydligt.</w:t>
      </w:r>
    </w:p>
    <w:p w:rsidR="00CB364F" w:rsidRPr="00E85902" w:rsidRDefault="002C430C" w:rsidP="00CB364F">
      <w:pPr>
        <w:pStyle w:val="Normaltindrag"/>
        <w:rPr>
          <w:b/>
        </w:rPr>
      </w:pPr>
      <w:r w:rsidRPr="00E85902">
        <w:t>Detta blir inte minst viktigt med tanke på att de andra grunderna formellt har kunnat tillämpas redan tidigare vid könsrelaterad förföljelse, men att så endast har skett i begränsad omfattning generellt och i synnerhet avseende risk för våld av enskild där staten inte ger skydd, samt att författningsko</w:t>
      </w:r>
      <w:r w:rsidRPr="00E85902">
        <w:t>m</w:t>
      </w:r>
      <w:r w:rsidRPr="00E85902">
        <w:t>mentaren i propositionen inte uppmuntrar till ändrad tillämpning av de andra rekvisiten</w:t>
      </w:r>
      <w:r w:rsidR="00C352A8" w:rsidRPr="00E85902">
        <w:t xml:space="preserve">. </w:t>
      </w:r>
      <w:r w:rsidRPr="00E85902">
        <w:t>”Någon förändring i fråga om tolkningen och tillämpningen av övriga rekvisit i flyktingdefinitionen är inte avsedd. Detsamma gäller bevi</w:t>
      </w:r>
      <w:r w:rsidRPr="00E85902">
        <w:t>s</w:t>
      </w:r>
      <w:r w:rsidRPr="00E85902">
        <w:t>bördans placering och de beviskrav som gäller beträffande påståenden om förföljelse”</w:t>
      </w:r>
      <w:r w:rsidR="00286080" w:rsidRPr="00E85902">
        <w:t xml:space="preserve"> (</w:t>
      </w:r>
      <w:r w:rsidR="0088203A" w:rsidRPr="00E85902">
        <w:t xml:space="preserve">prop. 2005/06:6 s. </w:t>
      </w:r>
      <w:r w:rsidR="00A72D8A" w:rsidRPr="00E85902">
        <w:t>34).</w:t>
      </w:r>
      <w:r w:rsidRPr="00E85902">
        <w:t xml:space="preserve"> </w:t>
      </w:r>
      <w:r w:rsidR="00CB364F" w:rsidRPr="00E85902">
        <w:t>Behovet är alltså stort av ett tydliggöra</w:t>
      </w:r>
      <w:r w:rsidR="00CB364F" w:rsidRPr="00E85902">
        <w:t>n</w:t>
      </w:r>
      <w:r w:rsidR="00CB364F" w:rsidRPr="00E85902">
        <w:t xml:space="preserve">de att könsrelaterade aspekter </w:t>
      </w:r>
      <w:r w:rsidR="00A86DB8" w:rsidRPr="00E85902">
        <w:t xml:space="preserve">skall </w:t>
      </w:r>
      <w:r w:rsidR="00CB364F" w:rsidRPr="00E85902">
        <w:t xml:space="preserve">beaktas </w:t>
      </w:r>
      <w:r w:rsidR="00A86DB8" w:rsidRPr="00E85902">
        <w:t xml:space="preserve">vid tillämpning </w:t>
      </w:r>
      <w:r w:rsidR="00CB364F" w:rsidRPr="00E85902">
        <w:t xml:space="preserve">även </w:t>
      </w:r>
      <w:r w:rsidR="00A86DB8" w:rsidRPr="00E85902">
        <w:t xml:space="preserve">av </w:t>
      </w:r>
      <w:r w:rsidR="00CB364F" w:rsidRPr="00E85902">
        <w:t>andra konventionsgrunder än vid ”tillhörighet till viss samhällsgrupp” och att denna konventionsgrund inte skall användas på bekostnad av andra konvention</w:t>
      </w:r>
      <w:r w:rsidR="00CB364F" w:rsidRPr="00E85902">
        <w:t>s</w:t>
      </w:r>
      <w:r w:rsidR="00CB364F" w:rsidRPr="00E85902">
        <w:t>grunder i fall av könsrelaterad förföljelse. Detta bör riksdagen som sin m</w:t>
      </w:r>
      <w:r w:rsidR="00CB364F" w:rsidRPr="00E85902">
        <w:t>e</w:t>
      </w:r>
      <w:r w:rsidR="00CB364F" w:rsidRPr="00E85902">
        <w:t>ning ge regeringen till känna.</w:t>
      </w:r>
    </w:p>
    <w:p w:rsidR="006804B9" w:rsidRPr="00E85902" w:rsidRDefault="00286080" w:rsidP="006804B9">
      <w:pPr>
        <w:pStyle w:val="Normaltindrag"/>
      </w:pPr>
      <w:r w:rsidRPr="00E85902">
        <w:t xml:space="preserve">Det är vidare av stor vikt att den praxis som utvecklats hos </w:t>
      </w:r>
      <w:r w:rsidR="00947863" w:rsidRPr="00E85902">
        <w:t>M</w:t>
      </w:r>
      <w:r w:rsidRPr="00E85902">
        <w:t>igrationsve</w:t>
      </w:r>
      <w:r w:rsidRPr="00E85902">
        <w:t>r</w:t>
      </w:r>
      <w:r w:rsidRPr="00E85902">
        <w:t xml:space="preserve">ket och Utlänningsnämnden, </w:t>
      </w:r>
      <w:r w:rsidR="00C50CF7" w:rsidRPr="00E85902">
        <w:t xml:space="preserve">om </w:t>
      </w:r>
      <w:r w:rsidR="002C430C" w:rsidRPr="00E85902">
        <w:t>att hänvisa till ny lagstiftning avsedd att skydda kvinnor utan att ta hänsyn till om lagstiftningen genomförs i prakt</w:t>
      </w:r>
      <w:r w:rsidR="002C430C" w:rsidRPr="00E85902">
        <w:t>i</w:t>
      </w:r>
      <w:r w:rsidR="002C430C" w:rsidRPr="00E85902">
        <w:t>ken</w:t>
      </w:r>
      <w:r w:rsidRPr="00E85902">
        <w:t xml:space="preserve">, inte </w:t>
      </w:r>
      <w:r w:rsidR="002C430C" w:rsidRPr="00E85902">
        <w:t xml:space="preserve">längre </w:t>
      </w:r>
      <w:r w:rsidRPr="00E85902">
        <w:t xml:space="preserve">får </w:t>
      </w:r>
      <w:r w:rsidR="002C430C" w:rsidRPr="00E85902">
        <w:t xml:space="preserve">tjäna som vägledning. </w:t>
      </w:r>
      <w:r w:rsidR="00CB364F" w:rsidRPr="00E85902">
        <w:t>Detta bör riksdagen som sin mening ge regeringen till känna.</w:t>
      </w:r>
    </w:p>
    <w:p w:rsidR="002C430C" w:rsidRPr="00E85902" w:rsidRDefault="002C430C" w:rsidP="002C430C">
      <w:pPr>
        <w:pStyle w:val="Rubrik1"/>
      </w:pPr>
      <w:bookmarkStart w:id="9" w:name="_Toc116889788"/>
      <w:bookmarkStart w:id="10" w:name="_Toc116960610"/>
      <w:r w:rsidRPr="00E85902">
        <w:t>Könsbaserat våld mot och diskriminering av kvinnor</w:t>
      </w:r>
      <w:bookmarkEnd w:id="9"/>
      <w:bookmarkEnd w:id="10"/>
    </w:p>
    <w:p w:rsidR="002C430C" w:rsidRPr="00E85902" w:rsidRDefault="002C430C" w:rsidP="002C430C">
      <w:pPr>
        <w:rPr>
          <w:szCs w:val="24"/>
        </w:rPr>
      </w:pPr>
      <w:r w:rsidRPr="00E85902">
        <w:rPr>
          <w:szCs w:val="24"/>
        </w:rPr>
        <w:t xml:space="preserve">Könsbaserat våld och diskriminering är kränkningar av grundläggande mänskliga rättigheter enligt internationell rätt </w:t>
      </w:r>
      <w:r w:rsidR="00611835" w:rsidRPr="00E85902">
        <w:rPr>
          <w:szCs w:val="24"/>
        </w:rPr>
        <w:t>(</w:t>
      </w:r>
      <w:r w:rsidRPr="00E85902">
        <w:rPr>
          <w:szCs w:val="24"/>
        </w:rPr>
        <w:t xml:space="preserve">se bl.a. </w:t>
      </w:r>
      <w:r w:rsidR="005128D6" w:rsidRPr="00E85902">
        <w:rPr>
          <w:szCs w:val="24"/>
        </w:rPr>
        <w:t>Cedaw</w:t>
      </w:r>
      <w:r w:rsidRPr="00E85902">
        <w:rPr>
          <w:szCs w:val="24"/>
        </w:rPr>
        <w:t xml:space="preserve">, </w:t>
      </w:r>
      <w:r w:rsidR="005128D6" w:rsidRPr="00E85902">
        <w:rPr>
          <w:szCs w:val="24"/>
        </w:rPr>
        <w:t>Devaw</w:t>
      </w:r>
      <w:r w:rsidRPr="00E85902">
        <w:rPr>
          <w:szCs w:val="24"/>
        </w:rPr>
        <w:t xml:space="preserve">, </w:t>
      </w:r>
      <w:r w:rsidR="005128D6" w:rsidRPr="00E85902">
        <w:rPr>
          <w:szCs w:val="24"/>
        </w:rPr>
        <w:t>Cat</w:t>
      </w:r>
      <w:r w:rsidRPr="00E85902">
        <w:rPr>
          <w:szCs w:val="24"/>
        </w:rPr>
        <w:t xml:space="preserve">, </w:t>
      </w:r>
      <w:r w:rsidR="0072685D" w:rsidRPr="00E85902">
        <w:rPr>
          <w:szCs w:val="24"/>
        </w:rPr>
        <w:t>ICCPR</w:t>
      </w:r>
      <w:r w:rsidRPr="00E85902">
        <w:rPr>
          <w:szCs w:val="24"/>
        </w:rPr>
        <w:t xml:space="preserve">, </w:t>
      </w:r>
      <w:r w:rsidR="005128D6" w:rsidRPr="00E85902">
        <w:rPr>
          <w:szCs w:val="24"/>
        </w:rPr>
        <w:t>ICESCR</w:t>
      </w:r>
      <w:r w:rsidR="00611835" w:rsidRPr="00E85902">
        <w:rPr>
          <w:szCs w:val="24"/>
        </w:rPr>
        <w:t>)</w:t>
      </w:r>
      <w:r w:rsidRPr="00E85902">
        <w:rPr>
          <w:szCs w:val="24"/>
        </w:rPr>
        <w:t xml:space="preserve"> samt att mäns våld enligt bl.a</w:t>
      </w:r>
      <w:r w:rsidR="00A72D8A" w:rsidRPr="00E85902">
        <w:rPr>
          <w:szCs w:val="24"/>
        </w:rPr>
        <w:t>.</w:t>
      </w:r>
      <w:r w:rsidRPr="00E85902">
        <w:rPr>
          <w:szCs w:val="24"/>
        </w:rPr>
        <w:t xml:space="preserve"> FN</w:t>
      </w:r>
      <w:r w:rsidR="00A72D8A" w:rsidRPr="00E85902">
        <w:rPr>
          <w:szCs w:val="24"/>
        </w:rPr>
        <w:t>:</w:t>
      </w:r>
      <w:r w:rsidRPr="00E85902">
        <w:rPr>
          <w:szCs w:val="24"/>
        </w:rPr>
        <w:t>s och S</w:t>
      </w:r>
      <w:r w:rsidR="00611835" w:rsidRPr="00E85902">
        <w:rPr>
          <w:szCs w:val="24"/>
        </w:rPr>
        <w:t>veriges officiella policy (se t.</w:t>
      </w:r>
      <w:r w:rsidRPr="00E85902">
        <w:rPr>
          <w:szCs w:val="24"/>
        </w:rPr>
        <w:t>ex</w:t>
      </w:r>
      <w:r w:rsidR="00611835" w:rsidRPr="00E85902">
        <w:rPr>
          <w:szCs w:val="24"/>
        </w:rPr>
        <w:t xml:space="preserve">. </w:t>
      </w:r>
      <w:r w:rsidRPr="00E85902">
        <w:rPr>
          <w:szCs w:val="24"/>
        </w:rPr>
        <w:t>Sveri</w:t>
      </w:r>
      <w:r w:rsidR="00611835" w:rsidRPr="00E85902">
        <w:rPr>
          <w:szCs w:val="24"/>
        </w:rPr>
        <w:t>g</w:t>
      </w:r>
      <w:r w:rsidRPr="00E85902">
        <w:rPr>
          <w:szCs w:val="24"/>
        </w:rPr>
        <w:t>es regerings handlingsplan för jämställdhet ”Jämt och ständigt”</w:t>
      </w:r>
      <w:r w:rsidR="00955A04" w:rsidRPr="00E85902">
        <w:rPr>
          <w:szCs w:val="24"/>
        </w:rPr>
        <w:t xml:space="preserve"> från 2003</w:t>
      </w:r>
      <w:r w:rsidRPr="00E85902">
        <w:rPr>
          <w:szCs w:val="24"/>
        </w:rPr>
        <w:t>) är en manifestering av historiskt ojämlika maktförhålla</w:t>
      </w:r>
      <w:r w:rsidRPr="00E85902">
        <w:rPr>
          <w:szCs w:val="24"/>
        </w:rPr>
        <w:t>n</w:t>
      </w:r>
      <w:r w:rsidRPr="00E85902">
        <w:rPr>
          <w:szCs w:val="24"/>
        </w:rPr>
        <w:t>den mellan män och kvinnor och en yttersta konsekvens av de värderingar som utgår från att män är överordnade kvinnor. Kunskap om könsmaktsor</w:t>
      </w:r>
      <w:r w:rsidRPr="00E85902">
        <w:rPr>
          <w:szCs w:val="24"/>
        </w:rPr>
        <w:t>d</w:t>
      </w:r>
      <w:r w:rsidRPr="00E85902">
        <w:rPr>
          <w:szCs w:val="24"/>
        </w:rPr>
        <w:t>ningen och problematiken kring olika former av våld mot kvinnor skall g</w:t>
      </w:r>
      <w:r w:rsidRPr="00E85902">
        <w:rPr>
          <w:szCs w:val="24"/>
        </w:rPr>
        <w:t>e</w:t>
      </w:r>
      <w:r w:rsidRPr="00E85902">
        <w:rPr>
          <w:szCs w:val="24"/>
        </w:rPr>
        <w:t xml:space="preserve">nomsyra asylbedömningar hos svenska myndigheter och i domstolar, och därigenom förhindra att våld och diskriminering mot kvinnor depolitiseras, avfärdas som privata angelägenheter eller att risken för förföljelse underdrivs. Detta bör riksdagen </w:t>
      </w:r>
      <w:r w:rsidR="008974D3" w:rsidRPr="00E85902">
        <w:rPr>
          <w:szCs w:val="24"/>
        </w:rPr>
        <w:t xml:space="preserve">som sin mening </w:t>
      </w:r>
      <w:r w:rsidRPr="00E85902">
        <w:rPr>
          <w:szCs w:val="24"/>
        </w:rPr>
        <w:t>ge regeringen till känna.</w:t>
      </w:r>
    </w:p>
    <w:p w:rsidR="001E577E" w:rsidRPr="00E85902" w:rsidRDefault="001E577E" w:rsidP="00955A04">
      <w:pPr>
        <w:pStyle w:val="Rubrik1"/>
      </w:pPr>
      <w:bookmarkStart w:id="11" w:name="_Toc116960611"/>
      <w:r w:rsidRPr="00E85902">
        <w:t>HBT-kompetens</w:t>
      </w:r>
      <w:bookmarkEnd w:id="11"/>
    </w:p>
    <w:p w:rsidR="001E577E" w:rsidRPr="00E85902" w:rsidRDefault="001E577E" w:rsidP="001E577E">
      <w:r w:rsidRPr="00E85902">
        <w:t>Migrationsverket har hittills ansett sig vara tillräckligt kompeten</w:t>
      </w:r>
      <w:r w:rsidR="005128D6" w:rsidRPr="00E85902">
        <w:t>t</w:t>
      </w:r>
      <w:r w:rsidRPr="00E85902">
        <w:t xml:space="preserve"> att besluta i asylärenden utan ytterligare utbildning. Det finns dessvärre många exempel på beslut som grundar sig på bristande kunskap om HBT-personers situation. Migrationsverket bör därför få ett särskilt uppdrag att förbättra HBT-kompetensen hos samtliga beslutsfattare och handläggare. Det är viktigt att i sammanhanget tydliggöra att HBT-kompetens inte enbart avser kunskap om situationen hos HBT-personer i olika länder utan att det även handlar om grundläggande kunskaper om HBT-personers livssituation generellt. Detta bör riksdagen som sin mening ge regeringen till känna.</w:t>
      </w:r>
    </w:p>
    <w:p w:rsidR="002C430C" w:rsidRPr="00E85902" w:rsidRDefault="002C430C" w:rsidP="00611835">
      <w:pPr>
        <w:pStyle w:val="Rubrik1"/>
      </w:pPr>
      <w:bookmarkStart w:id="12" w:name="_Toc116889789"/>
      <w:bookmarkStart w:id="13" w:name="_Toc116960612"/>
      <w:r w:rsidRPr="00E85902">
        <w:t>Förföljelse inom den privat</w:t>
      </w:r>
      <w:r w:rsidR="005572A0" w:rsidRPr="00E85902">
        <w:t>a</w:t>
      </w:r>
      <w:r w:rsidRPr="00E85902">
        <w:t xml:space="preserve"> sfären som grund för flyktingskap</w:t>
      </w:r>
      <w:bookmarkEnd w:id="12"/>
      <w:bookmarkEnd w:id="13"/>
    </w:p>
    <w:p w:rsidR="00611835" w:rsidRPr="00E85902" w:rsidRDefault="002C430C" w:rsidP="002C430C">
      <w:pPr>
        <w:rPr>
          <w:szCs w:val="24"/>
        </w:rPr>
      </w:pPr>
      <w:r w:rsidRPr="00E85902">
        <w:rPr>
          <w:szCs w:val="24"/>
        </w:rPr>
        <w:t>I propositionen görs på sidan 28 utomordentligt snäva skrivningar, om när förföljelse inom den privata sfären kan utgöra grund för flyktingskap</w:t>
      </w:r>
      <w:r w:rsidR="00611835" w:rsidRPr="00E85902">
        <w:rPr>
          <w:szCs w:val="24"/>
        </w:rPr>
        <w:t>:</w:t>
      </w:r>
    </w:p>
    <w:p w:rsidR="00611835" w:rsidRPr="00E85902" w:rsidRDefault="00611835" w:rsidP="005128D6">
      <w:pPr>
        <w:pStyle w:val="Citatindrag"/>
        <w:spacing w:before="125"/>
        <w:ind w:firstLine="0"/>
      </w:pPr>
      <w:r w:rsidRPr="00E85902">
        <w:t>F</w:t>
      </w:r>
      <w:r w:rsidR="002C430C" w:rsidRPr="00E85902">
        <w:t>örföljelse som sker inom den privata sfären kan utgöra grund för fly</w:t>
      </w:r>
      <w:r w:rsidR="002C430C" w:rsidRPr="00E85902">
        <w:t>k</w:t>
      </w:r>
      <w:r w:rsidR="002C430C" w:rsidRPr="00E85902">
        <w:t xml:space="preserve">tingskap beroende på de motiv som ligger bakom statens oförmåga eller ovilja att ge skydd. Statens oförmåga kan </w:t>
      </w:r>
      <w:r w:rsidRPr="00E85902">
        <w:t xml:space="preserve">t.ex. </w:t>
      </w:r>
      <w:r w:rsidR="002C430C" w:rsidRPr="00E85902">
        <w:t>bero på resursbrist eller ineffektivitet vilket inte kan knytas till någon förföljelsegrund. Den utsa</w:t>
      </w:r>
      <w:r w:rsidR="002C430C" w:rsidRPr="00E85902">
        <w:t>t</w:t>
      </w:r>
      <w:r w:rsidR="002C430C" w:rsidRPr="00E85902">
        <w:t>te är då in</w:t>
      </w:r>
      <w:r w:rsidR="005128D6" w:rsidRPr="00E85902">
        <w:t>te en flykting i lagens mening.</w:t>
      </w:r>
    </w:p>
    <w:p w:rsidR="008974D3" w:rsidRPr="00E85902" w:rsidRDefault="002C430C" w:rsidP="005128D6">
      <w:r w:rsidRPr="00E85902">
        <w:t xml:space="preserve">Denna formulering är inte i överensstämmelse med internationell flyktingrätt av flera skäl: </w:t>
      </w:r>
      <w:r w:rsidR="005572A0" w:rsidRPr="00E85902">
        <w:t xml:space="preserve">a) den riskerar </w:t>
      </w:r>
      <w:r w:rsidRPr="00E85902">
        <w:t xml:space="preserve">i praktiken att bli diskriminerande då förföljelse som sker i den s.k. privata sfären (ett begrepp som dessutom inte är entydigt) ofta hänförs till kvinnor/flickor eller </w:t>
      </w:r>
      <w:r w:rsidR="00611835" w:rsidRPr="00E85902">
        <w:t>HBT-</w:t>
      </w:r>
      <w:r w:rsidRPr="00E85902">
        <w:t>personer</w:t>
      </w:r>
      <w:r w:rsidR="00611835" w:rsidRPr="00E85902">
        <w:t xml:space="preserve"> </w:t>
      </w:r>
      <w:r w:rsidRPr="00E85902">
        <w:t>(ex</w:t>
      </w:r>
      <w:r w:rsidR="00611835" w:rsidRPr="00E85902">
        <w:t>empel</w:t>
      </w:r>
      <w:r w:rsidRPr="00E85902">
        <w:t>vis våld av make eller annan familjemedlem) och dessa skulle därför ges sämre förutsättn</w:t>
      </w:r>
      <w:r w:rsidR="00611835" w:rsidRPr="00E85902">
        <w:t>ingar till flyktingstatus;</w:t>
      </w:r>
      <w:r w:rsidR="009F5DDA" w:rsidRPr="00E85902">
        <w:t xml:space="preserve"> </w:t>
      </w:r>
      <w:r w:rsidRPr="00E85902">
        <w:t xml:space="preserve">b) statens vilja och oförmåga att ge utsatta personer skydd skall bedömas vid </w:t>
      </w:r>
      <w:r w:rsidRPr="00E85902">
        <w:rPr>
          <w:i/>
          <w:iCs/>
        </w:rPr>
        <w:t>samtliga</w:t>
      </w:r>
      <w:r w:rsidRPr="00E85902">
        <w:t xml:space="preserve"> flyktingskaps bedömningar och resursbrist kan därmed vara en giltig indikation på oförmåga oavsett förövare </w:t>
      </w:r>
      <w:r w:rsidR="00611835" w:rsidRPr="00E85902">
        <w:t>eller var öve</w:t>
      </w:r>
      <w:r w:rsidR="00611835" w:rsidRPr="00E85902">
        <w:t>r</w:t>
      </w:r>
      <w:r w:rsidR="00611835" w:rsidRPr="00E85902">
        <w:t>greppet äger rum;</w:t>
      </w:r>
      <w:r w:rsidR="009F5DDA" w:rsidRPr="00E85902">
        <w:t xml:space="preserve"> </w:t>
      </w:r>
      <w:r w:rsidRPr="00E85902">
        <w:t>c) formuleringen är inte i överensstämmelse med UNHCR:s riktlinjer</w:t>
      </w:r>
      <w:r w:rsidR="005128D6" w:rsidRPr="00E85902">
        <w:t>,</w:t>
      </w:r>
      <w:r w:rsidRPr="00E85902">
        <w:t xml:space="preserve"> </w:t>
      </w:r>
      <w:r w:rsidR="008974D3" w:rsidRPr="00E85902">
        <w:t>vilka</w:t>
      </w:r>
      <w:r w:rsidRPr="00E85902">
        <w:t xml:space="preserve"> tydliggör att konventionsgrunden kan knytas a</w:t>
      </w:r>
      <w:r w:rsidRPr="00E85902">
        <w:t>n</w:t>
      </w:r>
      <w:r w:rsidRPr="00E85902">
        <w:t>tingen till förföljelse från en icke-statlig aktör eller till statens vilja eller fö</w:t>
      </w:r>
      <w:r w:rsidRPr="00E85902">
        <w:t>r</w:t>
      </w:r>
      <w:r w:rsidRPr="00E85902">
        <w:t>måga att ge skyd</w:t>
      </w:r>
      <w:r w:rsidR="00A86DB8" w:rsidRPr="00E85902">
        <w:t>d. I dessa riktlinjer anges:</w:t>
      </w:r>
    </w:p>
    <w:p w:rsidR="008974D3" w:rsidRPr="00E85902" w:rsidRDefault="002C430C" w:rsidP="005128D6">
      <w:pPr>
        <w:pStyle w:val="Citatindrag"/>
        <w:spacing w:before="125"/>
        <w:ind w:firstLine="0"/>
      </w:pPr>
      <w:r w:rsidRPr="00E85902">
        <w:t>I fall där det finns risk för förföljelse från en icke statlig aktör (t.ex. make, partner eller annan icke statlig aktör) av skäl som kan hänföras till en konventionsgrund, är orsakssambandet fastslaget vare sig avsaknaden av statligt skydd har anknytning till kon</w:t>
      </w:r>
      <w:r w:rsidR="00A86DB8" w:rsidRPr="00E85902">
        <w:t>ventionen eller ej. Alternativt</w:t>
      </w:r>
      <w:r w:rsidRPr="00E85902">
        <w:t>, där risken för förföljelse av en icke statlig aktör saknar konventionsankny</w:t>
      </w:r>
      <w:r w:rsidRPr="00E85902">
        <w:t>t</w:t>
      </w:r>
      <w:r w:rsidRPr="00E85902">
        <w:t>ning, men oförmågan eller oviljan</w:t>
      </w:r>
      <w:r w:rsidR="0021352D" w:rsidRPr="00E85902">
        <w:t xml:space="preserve"> </w:t>
      </w:r>
      <w:r w:rsidRPr="00E85902">
        <w:t>hos staten att erbjuda skydd</w:t>
      </w:r>
      <w:r w:rsidR="0021352D" w:rsidRPr="00E85902">
        <w:t xml:space="preserve"> </w:t>
      </w:r>
      <w:r w:rsidRPr="00E85902">
        <w:t>har en konventionsgrund</w:t>
      </w:r>
      <w:r w:rsidR="0021352D" w:rsidRPr="00E85902">
        <w:t xml:space="preserve"> </w:t>
      </w:r>
      <w:r w:rsidRPr="00E85902">
        <w:t xml:space="preserve">är orsakssambandet </w:t>
      </w:r>
      <w:r w:rsidR="0072685D" w:rsidRPr="00E85902">
        <w:t>fastslaget</w:t>
      </w:r>
      <w:r w:rsidR="009F5DDA" w:rsidRPr="00E85902">
        <w:t xml:space="preserve"> (vår </w:t>
      </w:r>
      <w:r w:rsidR="00A86DB8" w:rsidRPr="00E85902">
        <w:t>översättning)</w:t>
      </w:r>
      <w:r w:rsidR="0099535B" w:rsidRPr="00E85902">
        <w:t>.</w:t>
      </w:r>
    </w:p>
    <w:p w:rsidR="009F5DDA" w:rsidRPr="00E85902" w:rsidRDefault="00DF04B6" w:rsidP="005128D6">
      <w:r w:rsidRPr="00E85902">
        <w:t xml:space="preserve">Det är av avgörande vikt att frågan om förföljelse inom den privata sfären </w:t>
      </w:r>
      <w:r w:rsidR="00050E77" w:rsidRPr="00E85902">
        <w:t xml:space="preserve">som grund för flyktingskap </w:t>
      </w:r>
      <w:r w:rsidRPr="00E85902">
        <w:t>hanteras</w:t>
      </w:r>
      <w:r w:rsidR="00050E77" w:rsidRPr="00E85902">
        <w:t xml:space="preserve"> i överensstämmelse med internationell flyktingrätt i enlighet med det ovan angivna</w:t>
      </w:r>
      <w:r w:rsidR="008974D3" w:rsidRPr="00E85902">
        <w:t xml:space="preserve">. </w:t>
      </w:r>
      <w:r w:rsidR="002C430C" w:rsidRPr="00E85902">
        <w:t xml:space="preserve">Detta bör riksdagen </w:t>
      </w:r>
      <w:r w:rsidR="009F5DDA" w:rsidRPr="00E85902">
        <w:t xml:space="preserve">som sin mening </w:t>
      </w:r>
      <w:r w:rsidR="002C430C" w:rsidRPr="00E85902">
        <w:t>ge regeringen till känna.</w:t>
      </w:r>
    </w:p>
    <w:p w:rsidR="009F5DDA" w:rsidRPr="00E85902" w:rsidRDefault="002C430C" w:rsidP="004F5FAA">
      <w:pPr>
        <w:pStyle w:val="Normaltindrag"/>
      </w:pPr>
      <w:r w:rsidRPr="00E85902">
        <w:t>Ett typfall som rönt enorm uppmärksamhet i</w:t>
      </w:r>
      <w:r w:rsidR="009F5DDA" w:rsidRPr="00E85902">
        <w:t xml:space="preserve"> USA och över hela världen är ”Matter of Rodi Alvarado </w:t>
      </w:r>
      <w:r w:rsidRPr="00E85902">
        <w:t>Pena”</w:t>
      </w:r>
      <w:r w:rsidR="009F5DDA" w:rsidRPr="00E85902">
        <w:t>.</w:t>
      </w:r>
      <w:r w:rsidRPr="00E85902">
        <w:t xml:space="preserve"> Rodi Alvarado flydde från Guatemala efter att under flera år ha utsatts för brutalt våld från sin make och ansökte om politisk asyl i USA 1995. Hennes make hade upprepade gånger våldtagit och sparkat henne, slagit sönder hennes käke, försökt skära av hennes händer och krossat fönsterrutor med hennes huvud. Hon sökte hjälp hos polis och do</w:t>
      </w:r>
      <w:r w:rsidRPr="00E85902">
        <w:t>m</w:t>
      </w:r>
      <w:r w:rsidRPr="00E85902">
        <w:t>stolar i Guatemala, men vägrades skydd från myndigheterna. En immigr</w:t>
      </w:r>
      <w:r w:rsidRPr="00E85902">
        <w:t>a</w:t>
      </w:r>
      <w:r w:rsidRPr="00E85902">
        <w:t>tionsdomare i USA beviljade Rodi Alvarado asyl 1996, grundad på ett årtio</w:t>
      </w:r>
      <w:r w:rsidRPr="00E85902">
        <w:t>n</w:t>
      </w:r>
      <w:r w:rsidRPr="00E85902">
        <w:t>des våld av hennes make och myndigheternas underlåtenhet att ge henne skydd.</w:t>
      </w:r>
    </w:p>
    <w:p w:rsidR="009F5DDA" w:rsidRPr="00E85902" w:rsidRDefault="002C430C" w:rsidP="004F5FAA">
      <w:pPr>
        <w:pStyle w:val="Normaltindrag"/>
      </w:pPr>
      <w:r w:rsidRPr="00E85902">
        <w:t>The Board of Immigration Appeals (</w:t>
      </w:r>
      <w:r w:rsidR="009F5DDA" w:rsidRPr="00E85902">
        <w:t>BIA</w:t>
      </w:r>
      <w:r w:rsidRPr="00E85902">
        <w:t>) upphävde immigrationsdom</w:t>
      </w:r>
      <w:r w:rsidRPr="00E85902">
        <w:t>a</w:t>
      </w:r>
      <w:r w:rsidRPr="00E85902">
        <w:t xml:space="preserve">rens beslut, </w:t>
      </w:r>
      <w:r w:rsidR="005128D6" w:rsidRPr="00E85902">
        <w:t xml:space="preserve">dåvarande </w:t>
      </w:r>
      <w:r w:rsidRPr="00E85902">
        <w:t>jusitieministern Janet Reno ingrep och beordrade BIA att ta ett nytt beslut efter att ha föreslagit nya regler som klargör att offer för våld i hemmet</w:t>
      </w:r>
      <w:r w:rsidR="0021352D" w:rsidRPr="00E85902">
        <w:t xml:space="preserve"> </w:t>
      </w:r>
      <w:r w:rsidRPr="00E85902">
        <w:t>och annan könsrelaterad förföljelse</w:t>
      </w:r>
      <w:r w:rsidR="0021352D" w:rsidRPr="00E85902">
        <w:t xml:space="preserve"> </w:t>
      </w:r>
      <w:r w:rsidRPr="00E85902">
        <w:t>kan vara berättigade till asyl.</w:t>
      </w:r>
    </w:p>
    <w:p w:rsidR="00F7171F" w:rsidRPr="00E85902" w:rsidRDefault="009F5DDA" w:rsidP="00F7171F">
      <w:pPr>
        <w:pStyle w:val="Normaltindrag"/>
      </w:pPr>
      <w:r w:rsidRPr="00E85902">
        <w:t>UNHCR</w:t>
      </w:r>
      <w:r w:rsidR="002C430C" w:rsidRPr="00E85902">
        <w:t xml:space="preserve"> har den 9 januari 2004 avgivit ett 13-sidigt yttrande i fallet där rekvisiten för fl</w:t>
      </w:r>
      <w:r w:rsidRPr="00E85902">
        <w:t>yktingskapsbedömningen genomgås</w:t>
      </w:r>
      <w:r w:rsidR="002C430C" w:rsidRPr="00E85902">
        <w:t xml:space="preserve"> på ett systematiskt och pedagogiskt mycket klargörande sätt. Slutsatsen i yttrandet är att Rodi Alv</w:t>
      </w:r>
      <w:r w:rsidR="002C430C" w:rsidRPr="00E85902">
        <w:t>a</w:t>
      </w:r>
      <w:r w:rsidR="002C430C" w:rsidRPr="00E85902">
        <w:t xml:space="preserve">rado visat att hon inte bara utsatts för förföljelse på grund av medlemskap i en samhällsgrupp och sin politiska uppfattning, </w:t>
      </w:r>
      <w:r w:rsidR="005128D6" w:rsidRPr="00E85902">
        <w:t>utan</w:t>
      </w:r>
      <w:r w:rsidR="002C430C" w:rsidRPr="00E85902">
        <w:t xml:space="preserve"> även att hon hyser en vä</w:t>
      </w:r>
      <w:r w:rsidR="002C430C" w:rsidRPr="00E85902">
        <w:t>l</w:t>
      </w:r>
      <w:r w:rsidR="002C430C" w:rsidRPr="00E85902">
        <w:t>grundad fruktan för att i framtiden förföljas på dessa grunder. De myndigheter som kommer att tillämpa det utvidgade flyktingbegreppet måste tillägna sig det synsätt och den metodik som UNHCR ger uttryck för i detta yttrande. Utredn</w:t>
      </w:r>
      <w:r w:rsidRPr="00E85902">
        <w:t xml:space="preserve">ingens resonemang på sidan 126 </w:t>
      </w:r>
      <w:r w:rsidR="002C430C" w:rsidRPr="00E85902">
        <w:t>om att drivkraften till hustrumissha</w:t>
      </w:r>
      <w:r w:rsidR="002C430C" w:rsidRPr="00E85902">
        <w:t>n</w:t>
      </w:r>
      <w:r w:rsidR="002C430C" w:rsidRPr="00E85902">
        <w:t>del vanligtvis är svartsjuka och utgångspunkten är att hemlandsmyndighete</w:t>
      </w:r>
      <w:r w:rsidR="002C430C" w:rsidRPr="00E85902">
        <w:t>r</w:t>
      </w:r>
      <w:r w:rsidR="002C430C" w:rsidRPr="00E85902">
        <w:t xml:space="preserve">na skall erbjuda skydd riskerar att leda rättstillämpningen fel. Detta särskilt när det både i utredningen och </w:t>
      </w:r>
      <w:r w:rsidRPr="00E85902">
        <w:t xml:space="preserve">i </w:t>
      </w:r>
      <w:r w:rsidR="002C430C" w:rsidRPr="00E85902">
        <w:t>propositionen anförs att bristande skydd på grund av allmän ovilja, bristande effektivitet eller resurser inte skall grunda rätt till skydd. Sådana uttalanden riskerar att permanenta de nuvarande svåra bristerna i skyddet för asylsökande kvinnor. UNHCR</w:t>
      </w:r>
      <w:r w:rsidRPr="00E85902">
        <w:t xml:space="preserve">:s refererade </w:t>
      </w:r>
      <w:r w:rsidR="002C430C" w:rsidRPr="00E85902">
        <w:t>yttrande bör anses vägledande för svenska myndigheter när det gäller den flyktin</w:t>
      </w:r>
      <w:r w:rsidR="002C430C" w:rsidRPr="00E85902">
        <w:t>g</w:t>
      </w:r>
      <w:r w:rsidR="002C430C" w:rsidRPr="00E85902">
        <w:t xml:space="preserve">rättsliga bedömningen av våld i den privata sfären. Detta bör riksdagen </w:t>
      </w:r>
      <w:r w:rsidR="00F7171F" w:rsidRPr="00E85902">
        <w:t xml:space="preserve">som sin mening </w:t>
      </w:r>
      <w:r w:rsidR="002C430C" w:rsidRPr="00E85902">
        <w:t>ge regeringen till känna.</w:t>
      </w:r>
    </w:p>
    <w:p w:rsidR="00F7171F" w:rsidRPr="00E85902" w:rsidRDefault="002C430C" w:rsidP="00F7171F">
      <w:pPr>
        <w:pStyle w:val="Normaltindrag"/>
      </w:pPr>
      <w:r w:rsidRPr="00E85902">
        <w:t>Socialförsäkrin</w:t>
      </w:r>
      <w:r w:rsidR="009F5DDA" w:rsidRPr="00E85902">
        <w:t>gsutskottet har i b</w:t>
      </w:r>
      <w:r w:rsidR="005128D6" w:rsidRPr="00E85902">
        <w:t>etänkande</w:t>
      </w:r>
      <w:r w:rsidR="009F5DDA" w:rsidRPr="00E85902">
        <w:t xml:space="preserve"> </w:t>
      </w:r>
      <w:r w:rsidRPr="00E85902">
        <w:t>SfU</w:t>
      </w:r>
      <w:r w:rsidR="005128D6" w:rsidRPr="00E85902">
        <w:t>:</w:t>
      </w:r>
      <w:r w:rsidRPr="00E85902">
        <w:t>6</w:t>
      </w:r>
      <w:r w:rsidR="009F5DDA" w:rsidRPr="00E85902">
        <w:t>, som behandlar p</w:t>
      </w:r>
      <w:r w:rsidRPr="00E85902">
        <w:t>ropos</w:t>
      </w:r>
      <w:r w:rsidRPr="00E85902">
        <w:t>i</w:t>
      </w:r>
      <w:r w:rsidRPr="00E85902">
        <w:t>tion 2003/04:35 Människosmuggling och tidsbegränsat uppehållstillstånd för målsägande och vittnen m.m.</w:t>
      </w:r>
      <w:r w:rsidR="00A50908" w:rsidRPr="00E85902">
        <w:t>,</w:t>
      </w:r>
      <w:r w:rsidRPr="00E85902">
        <w:t xml:space="preserve"> anfört att den som på ett substantiellt sätt b</w:t>
      </w:r>
      <w:r w:rsidRPr="00E85902">
        <w:t>i</w:t>
      </w:r>
      <w:r w:rsidRPr="00E85902">
        <w:t>dragit till att någon lagförs för exempelvis människosmuggling eller männ</w:t>
      </w:r>
      <w:r w:rsidRPr="00E85902">
        <w:t>i</w:t>
      </w:r>
      <w:r w:rsidRPr="00E85902">
        <w:t>skohandel, borde kunna beredas skydd och beviljas permanent uppehållstil</w:t>
      </w:r>
      <w:r w:rsidRPr="00E85902">
        <w:t>l</w:t>
      </w:r>
      <w:r w:rsidRPr="00E85902">
        <w:t>stånd. Det är tveklöst så att också andra offer för människohandel</w:t>
      </w:r>
      <w:r w:rsidR="00CB0EF5" w:rsidRPr="00E85902">
        <w:t>,</w:t>
      </w:r>
      <w:r w:rsidRPr="00E85902">
        <w:t xml:space="preserve"> förutom de</w:t>
      </w:r>
      <w:r w:rsidR="005128D6" w:rsidRPr="00E85902">
        <w:t>m</w:t>
      </w:r>
      <w:r w:rsidRPr="00E85902">
        <w:t xml:space="preserve"> som kunnat bidra till lagföring av förövarna</w:t>
      </w:r>
      <w:r w:rsidR="00CB0EF5" w:rsidRPr="00E85902">
        <w:t>,</w:t>
      </w:r>
      <w:r w:rsidRPr="00E85902">
        <w:t xml:space="preserve"> kan hysa välgrundad fru</w:t>
      </w:r>
      <w:r w:rsidRPr="00E85902">
        <w:t>k</w:t>
      </w:r>
      <w:r w:rsidRPr="00E85902">
        <w:t xml:space="preserve">tan för förföljelse på en konventionsgrund. </w:t>
      </w:r>
      <w:r w:rsidR="00F7171F" w:rsidRPr="00E85902">
        <w:t xml:space="preserve">Regeringen bör därför tydliggöra att den som känner välgrundad fruktan för förföljelse på konventionsgrund för offer för människohandel bör kunna beredas skydd och beviljas permanent uppehållstillstånd. </w:t>
      </w:r>
      <w:r w:rsidRPr="00E85902">
        <w:t>Detta bör riksdagen ge regeringen till känna.</w:t>
      </w:r>
    </w:p>
    <w:p w:rsidR="002C430C" w:rsidRPr="00E85902" w:rsidRDefault="002C430C" w:rsidP="00F7171F">
      <w:pPr>
        <w:pStyle w:val="Normaltindrag"/>
      </w:pPr>
      <w:r w:rsidRPr="00E85902">
        <w:t>Ett exempel på ett helt annat och mer lyhört sätt att handlägga sådana ärenden är ett fall som handlagts av den kanadensiska immigrationsmyndi</w:t>
      </w:r>
      <w:r w:rsidRPr="00E85902">
        <w:t>g</w:t>
      </w:r>
      <w:r w:rsidRPr="00E85902">
        <w:t>heten, Refugee Board of Canada. En thailändsk prostituerad kvinna, som befann sig i ett skuldslav</w:t>
      </w:r>
      <w:r w:rsidR="005128D6" w:rsidRPr="00E85902">
        <w:t>s</w:t>
      </w:r>
      <w:r w:rsidRPr="00E85902">
        <w:t>förhållande till sin hallick i Thailand</w:t>
      </w:r>
      <w:r w:rsidR="005128D6" w:rsidRPr="00E85902">
        <w:t>,</w:t>
      </w:r>
      <w:r w:rsidRPr="00E85902">
        <w:t xml:space="preserve"> flydde och sökte asyl i </w:t>
      </w:r>
      <w:r w:rsidR="00A50908" w:rsidRPr="00E85902">
        <w:t>K</w:t>
      </w:r>
      <w:r w:rsidRPr="00E85902">
        <w:t>anada. Hon ansågs inte kunna påräkna något effektivt skydd av den thailändska polisen mot sin arbetsgivare och inte heller ha något inre flyktalternativ, varför hon tillerkändes flyktingstatus som tillhörande sa</w:t>
      </w:r>
      <w:r w:rsidRPr="00E85902">
        <w:t>m</w:t>
      </w:r>
      <w:r w:rsidRPr="00E85902">
        <w:t>hällsgruppe</w:t>
      </w:r>
      <w:r w:rsidR="009F5DDA" w:rsidRPr="00E85902">
        <w:t>n kvinnliga f</w:t>
      </w:r>
      <w:r w:rsidR="005128D6" w:rsidRPr="00E85902">
        <w:t>.</w:t>
      </w:r>
      <w:r w:rsidR="004350B7" w:rsidRPr="00E85902">
        <w:t>d</w:t>
      </w:r>
      <w:r w:rsidR="005128D6" w:rsidRPr="00E85902">
        <w:t>.</w:t>
      </w:r>
      <w:r w:rsidR="009F5DDA" w:rsidRPr="00E85902">
        <w:t xml:space="preserve"> prostituerade.</w:t>
      </w:r>
    </w:p>
    <w:p w:rsidR="002C430C" w:rsidRPr="00E85902" w:rsidRDefault="002C430C" w:rsidP="009F5DDA">
      <w:pPr>
        <w:pStyle w:val="Rubrik1"/>
      </w:pPr>
      <w:bookmarkStart w:id="14" w:name="_Toc116889790"/>
      <w:bookmarkStart w:id="15" w:name="_Toc116960613"/>
      <w:r w:rsidRPr="00E85902">
        <w:t>Frågan om alternativt skydd i hemlandet</w:t>
      </w:r>
      <w:bookmarkEnd w:id="14"/>
      <w:bookmarkEnd w:id="15"/>
    </w:p>
    <w:p w:rsidR="002C430C" w:rsidRPr="00E85902" w:rsidRDefault="002C430C" w:rsidP="002C430C">
      <w:r w:rsidRPr="00E85902">
        <w:t>Skyddet mot förföljelse i hemlandet skall vara effektivt och varaktigt. Det innebär att skydd inte får nekas med hän</w:t>
      </w:r>
      <w:r w:rsidR="009F5DDA" w:rsidRPr="00E85902">
        <w:t xml:space="preserve">visning till att det existerar </w:t>
      </w:r>
      <w:r w:rsidRPr="00E85902">
        <w:t>kvinnoo</w:t>
      </w:r>
      <w:r w:rsidRPr="00E85902">
        <w:t>r</w:t>
      </w:r>
      <w:r w:rsidRPr="00E85902">
        <w:t>ganisationer som organiserar skyddat boende i hemlandet, som naturligtvis inte utgör en ersättning för skydd genom staten. Liksom i Sverige är det skydd som erbjuds genom kvinnoorganisationer endast temporärt. Det är nödvändigt att det finns detaljerad information om situationen för de mänskl</w:t>
      </w:r>
      <w:r w:rsidRPr="00E85902">
        <w:t>i</w:t>
      </w:r>
      <w:r w:rsidRPr="00E85902">
        <w:t>ga rättigheterna i hemlandet för kvinnor, t.ex. beträffande s.k. hedersrelaterat våld, som underlag för en bedömning av frågan om skydd i hemlandet. Om tillförlitlig infor</w:t>
      </w:r>
      <w:r w:rsidR="009F5DDA" w:rsidRPr="00E85902">
        <w:t>mation saknas måste principen ”the benfit of the doubt</w:t>
      </w:r>
      <w:r w:rsidRPr="00E85902">
        <w:t>” ti</w:t>
      </w:r>
      <w:r w:rsidRPr="00E85902">
        <w:t>l</w:t>
      </w:r>
      <w:r w:rsidRPr="00E85902">
        <w:t>lämpas. Dessutom måste det alltid göras en bedömning av rimligheten</w:t>
      </w:r>
      <w:r w:rsidR="005128D6" w:rsidRPr="00E85902">
        <w:t xml:space="preserve"> i</w:t>
      </w:r>
      <w:r w:rsidRPr="00E85902">
        <w:t xml:space="preserve"> att begära av en kvinna att hon söker statens skydd i hemlandet. När det gäller möjligheten att hänvisa en asylsökande kvinna till ett </w:t>
      </w:r>
      <w:r w:rsidR="00B46829" w:rsidRPr="00E85902">
        <w:t>alternativt</w:t>
      </w:r>
      <w:r w:rsidRPr="00E85902">
        <w:t xml:space="preserve"> </w:t>
      </w:r>
      <w:r w:rsidR="00B46829" w:rsidRPr="00E85902">
        <w:t>skydd</w:t>
      </w:r>
      <w:r w:rsidRPr="00E85902">
        <w:t xml:space="preserve"> i he</w:t>
      </w:r>
      <w:r w:rsidRPr="00E85902">
        <w:t>m</w:t>
      </w:r>
      <w:r w:rsidRPr="00E85902">
        <w:t>landet måste detaljerad information finnas som underlag för bedömningen om det är rimligt att förvänta sig att hon flyttar till en annan del av landet. Här bör UNHCR</w:t>
      </w:r>
      <w:r w:rsidR="009F5DDA" w:rsidRPr="00E85902">
        <w:t>:</w:t>
      </w:r>
      <w:r w:rsidRPr="00E85902">
        <w:t>s riktlinjer beträffande tillämpligheten av inre flyktalternativ anvä</w:t>
      </w:r>
      <w:r w:rsidRPr="00E85902">
        <w:t>n</w:t>
      </w:r>
      <w:r w:rsidRPr="00E85902">
        <w:t>das. D</w:t>
      </w:r>
      <w:r w:rsidR="009F5DDA" w:rsidRPr="00E85902">
        <w:t>e</w:t>
      </w:r>
      <w:r w:rsidRPr="00E85902">
        <w:t xml:space="preserve">tta bör riksdagen </w:t>
      </w:r>
      <w:r w:rsidR="009F5DDA" w:rsidRPr="00E85902">
        <w:t xml:space="preserve">som sin mening </w:t>
      </w:r>
      <w:r w:rsidRPr="00E85902">
        <w:t>ge regeringen till känna.</w:t>
      </w:r>
    </w:p>
    <w:p w:rsidR="002C430C" w:rsidRPr="00E85902" w:rsidRDefault="002C430C" w:rsidP="009F5DDA">
      <w:pPr>
        <w:pStyle w:val="Rubrik1"/>
      </w:pPr>
      <w:bookmarkStart w:id="16" w:name="_Toc116889791"/>
      <w:bookmarkStart w:id="17" w:name="_Toc116960614"/>
      <w:r w:rsidRPr="00E85902">
        <w:t>UNHCR</w:t>
      </w:r>
      <w:r w:rsidR="009F5DDA" w:rsidRPr="00E85902">
        <w:t>:</w:t>
      </w:r>
      <w:r w:rsidRPr="00E85902">
        <w:t>s riktlinjer</w:t>
      </w:r>
      <w:bookmarkEnd w:id="16"/>
      <w:bookmarkEnd w:id="17"/>
    </w:p>
    <w:p w:rsidR="00FC160F" w:rsidRPr="00E85902" w:rsidRDefault="002C430C" w:rsidP="009B79BA">
      <w:r w:rsidRPr="00E85902">
        <w:t>UNHCR har i riktlinjer för flyktingkonventionens tillämpning uttalat att såväl kön som sexuell läggning inryms i en riktig tolkning av begreppet samhäll</w:t>
      </w:r>
      <w:r w:rsidRPr="00E85902">
        <w:t>s</w:t>
      </w:r>
      <w:r w:rsidRPr="00E85902">
        <w:t>grupp och att konventionen skall tolkas på ett genussensitivt sätt. Propositi</w:t>
      </w:r>
      <w:r w:rsidRPr="00E85902">
        <w:t>o</w:t>
      </w:r>
      <w:r w:rsidRPr="00E85902">
        <w:t>nen är varken lika utförlig eller i alla delar i öve</w:t>
      </w:r>
      <w:r w:rsidR="009F5DDA" w:rsidRPr="00E85902">
        <w:t>rensstämmelse med UNHCR:s</w:t>
      </w:r>
      <w:r w:rsidRPr="00E85902">
        <w:t xml:space="preserve"> riktlinjer. Fö</w:t>
      </w:r>
      <w:r w:rsidR="009F5DDA" w:rsidRPr="00E85902">
        <w:t xml:space="preserve">r att undvika att riktlinjerna </w:t>
      </w:r>
      <w:r w:rsidRPr="00E85902">
        <w:t>inte be</w:t>
      </w:r>
      <w:r w:rsidR="009F5DDA" w:rsidRPr="00E85902">
        <w:t>aktas eller tolkas restriktivt bör de aktuella riktlinjerna, ”</w:t>
      </w:r>
      <w:r w:rsidRPr="00E85902">
        <w:t>Guidelines on in</w:t>
      </w:r>
      <w:r w:rsidR="009F5DDA" w:rsidRPr="00E85902">
        <w:t xml:space="preserve">ternational protection: Gender-Related Persecution” </w:t>
      </w:r>
      <w:r w:rsidRPr="00E85902">
        <w:t xml:space="preserve">och </w:t>
      </w:r>
      <w:r w:rsidR="009F5DDA" w:rsidRPr="00E85902">
        <w:t>”</w:t>
      </w:r>
      <w:r w:rsidRPr="00E85902">
        <w:t>Guidelines on international protection: Membership of a</w:t>
      </w:r>
      <w:r w:rsidR="009F5DDA" w:rsidRPr="00E85902">
        <w:t xml:space="preserve"> particular social group”</w:t>
      </w:r>
      <w:r w:rsidR="005128D6" w:rsidRPr="00E85902">
        <w:t>,</w:t>
      </w:r>
      <w:r w:rsidR="009F5DDA" w:rsidRPr="00E85902">
        <w:t xml:space="preserve"> vara vägledande för </w:t>
      </w:r>
      <w:r w:rsidRPr="00E85902">
        <w:t>de svenska myndigheterna i deras tolkning av den nya bestämmelsen. Detta bör riksd</w:t>
      </w:r>
      <w:r w:rsidRPr="00E85902">
        <w:t>a</w:t>
      </w:r>
      <w:r w:rsidRPr="00E85902">
        <w:t xml:space="preserve">gen </w:t>
      </w:r>
      <w:r w:rsidR="009F5DDA" w:rsidRPr="00E85902">
        <w:t xml:space="preserve">som sin mening </w:t>
      </w:r>
      <w:r w:rsidRPr="00E85902">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28D6" w:rsidRPr="00E85902">
        <w:tblPrEx>
          <w:tblCellMar>
            <w:top w:w="0" w:type="dxa"/>
            <w:bottom w:w="0" w:type="dxa"/>
          </w:tblCellMar>
        </w:tblPrEx>
        <w:trPr>
          <w:cantSplit/>
        </w:trPr>
        <w:tc>
          <w:tcPr>
            <w:tcW w:w="3046" w:type="dxa"/>
          </w:tcPr>
          <w:p w:rsidR="005128D6" w:rsidRPr="00E85902" w:rsidRDefault="005128D6" w:rsidP="005128D6">
            <w:pPr>
              <w:pStyle w:val="UnderskriftDatum"/>
              <w:spacing w:before="240"/>
            </w:pPr>
            <w:r w:rsidRPr="00E85902">
              <w:t>Stockholm den 13 oktober 2005</w:t>
            </w:r>
          </w:p>
        </w:tc>
        <w:tc>
          <w:tcPr>
            <w:tcW w:w="3047" w:type="dxa"/>
          </w:tcPr>
          <w:p w:rsidR="005128D6" w:rsidRPr="00E85902" w:rsidRDefault="005128D6" w:rsidP="005128D6">
            <w:pPr>
              <w:pStyle w:val="Underskrifter"/>
              <w:spacing w:before="240"/>
            </w:pPr>
          </w:p>
        </w:tc>
      </w:tr>
      <w:tr w:rsidR="005128D6" w:rsidRPr="00E85902">
        <w:tblPrEx>
          <w:tblCellMar>
            <w:top w:w="0" w:type="dxa"/>
            <w:bottom w:w="0" w:type="dxa"/>
          </w:tblCellMar>
        </w:tblPrEx>
        <w:trPr>
          <w:cantSplit/>
        </w:trPr>
        <w:tc>
          <w:tcPr>
            <w:tcW w:w="3046" w:type="dxa"/>
          </w:tcPr>
          <w:p w:rsidR="005128D6" w:rsidRPr="00E85902" w:rsidRDefault="005128D6" w:rsidP="005128D6">
            <w:pPr>
              <w:pStyle w:val="Underskrifter"/>
            </w:pPr>
            <w:r w:rsidRPr="00E85902">
              <w:t>Lars Ohly (v)</w:t>
            </w:r>
          </w:p>
        </w:tc>
        <w:tc>
          <w:tcPr>
            <w:tcW w:w="3047" w:type="dxa"/>
          </w:tcPr>
          <w:p w:rsidR="005128D6" w:rsidRPr="00E85902" w:rsidRDefault="005128D6" w:rsidP="005128D6">
            <w:pPr>
              <w:pStyle w:val="Underskrifter"/>
            </w:pPr>
          </w:p>
        </w:tc>
      </w:tr>
      <w:tr w:rsidR="005128D6" w:rsidRPr="00E85902">
        <w:tblPrEx>
          <w:tblCellMar>
            <w:top w:w="0" w:type="dxa"/>
            <w:bottom w:w="0" w:type="dxa"/>
          </w:tblCellMar>
        </w:tblPrEx>
        <w:trPr>
          <w:cantSplit/>
        </w:trPr>
        <w:tc>
          <w:tcPr>
            <w:tcW w:w="3046" w:type="dxa"/>
          </w:tcPr>
          <w:p w:rsidR="005128D6" w:rsidRPr="00E85902" w:rsidRDefault="005128D6" w:rsidP="005128D6">
            <w:pPr>
              <w:pStyle w:val="Underskrifter"/>
            </w:pPr>
            <w:r w:rsidRPr="00E85902">
              <w:t>Lars Bäckström (v)</w:t>
            </w:r>
          </w:p>
        </w:tc>
        <w:tc>
          <w:tcPr>
            <w:tcW w:w="3047" w:type="dxa"/>
          </w:tcPr>
          <w:p w:rsidR="005128D6" w:rsidRPr="00E85902" w:rsidRDefault="005128D6" w:rsidP="005128D6">
            <w:pPr>
              <w:pStyle w:val="Underskrifter"/>
            </w:pPr>
            <w:r w:rsidRPr="00E85902">
              <w:t>Lennart Gustavsson (v)</w:t>
            </w:r>
          </w:p>
        </w:tc>
      </w:tr>
      <w:tr w:rsidR="005128D6" w:rsidRPr="00E85902">
        <w:tblPrEx>
          <w:tblCellMar>
            <w:top w:w="0" w:type="dxa"/>
            <w:bottom w:w="0" w:type="dxa"/>
          </w:tblCellMar>
        </w:tblPrEx>
        <w:trPr>
          <w:cantSplit/>
        </w:trPr>
        <w:tc>
          <w:tcPr>
            <w:tcW w:w="3046" w:type="dxa"/>
          </w:tcPr>
          <w:p w:rsidR="005128D6" w:rsidRPr="00E85902" w:rsidRDefault="005128D6" w:rsidP="005128D6">
            <w:pPr>
              <w:pStyle w:val="Underskrifter"/>
            </w:pPr>
            <w:r w:rsidRPr="00E85902">
              <w:t>Berit Jóhannesson (v)</w:t>
            </w:r>
          </w:p>
        </w:tc>
        <w:tc>
          <w:tcPr>
            <w:tcW w:w="3047" w:type="dxa"/>
          </w:tcPr>
          <w:p w:rsidR="005128D6" w:rsidRPr="00E85902" w:rsidRDefault="005128D6" w:rsidP="005128D6">
            <w:pPr>
              <w:pStyle w:val="Underskrifter"/>
            </w:pPr>
            <w:r w:rsidRPr="00E85902">
              <w:t>Alice Åström (v)</w:t>
            </w:r>
          </w:p>
        </w:tc>
      </w:tr>
      <w:tr w:rsidR="005128D6" w:rsidRPr="00E85902">
        <w:tblPrEx>
          <w:tblCellMar>
            <w:top w:w="0" w:type="dxa"/>
            <w:bottom w:w="0" w:type="dxa"/>
          </w:tblCellMar>
        </w:tblPrEx>
        <w:trPr>
          <w:cantSplit/>
        </w:trPr>
        <w:tc>
          <w:tcPr>
            <w:tcW w:w="3046" w:type="dxa"/>
          </w:tcPr>
          <w:p w:rsidR="005128D6" w:rsidRPr="00E85902" w:rsidRDefault="005128D6" w:rsidP="005128D6">
            <w:pPr>
              <w:pStyle w:val="Underskrifter"/>
            </w:pPr>
            <w:r w:rsidRPr="00E85902">
              <w:t>Sermin Özürküt (v)</w:t>
            </w:r>
          </w:p>
        </w:tc>
        <w:tc>
          <w:tcPr>
            <w:tcW w:w="3047" w:type="dxa"/>
          </w:tcPr>
          <w:p w:rsidR="005128D6" w:rsidRPr="00E85902" w:rsidRDefault="005128D6" w:rsidP="005128D6">
            <w:pPr>
              <w:pStyle w:val="Underskrifter"/>
            </w:pPr>
            <w:r w:rsidRPr="00E85902">
              <w:t>Ulla Hoffmann (v)</w:t>
            </w:r>
          </w:p>
        </w:tc>
      </w:tr>
    </w:tbl>
    <w:p w:rsidR="002C430C" w:rsidRPr="00E85902" w:rsidRDefault="002C430C" w:rsidP="005128D6">
      <w:pPr>
        <w:pStyle w:val="Normaltindrag"/>
      </w:pPr>
    </w:p>
    <w:sectPr w:rsidR="002C430C" w:rsidRPr="00E85902" w:rsidSect="005128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397" w:rsidRPr="00E85902" w:rsidRDefault="007B2397">
      <w:r w:rsidRPr="00E85902">
        <w:separator/>
      </w:r>
    </w:p>
  </w:endnote>
  <w:endnote w:type="continuationSeparator" w:id="0">
    <w:p w:rsidR="007B2397" w:rsidRPr="00E85902" w:rsidRDefault="007B2397">
      <w:r w:rsidRPr="00E859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7F1" w:rsidRPr="00E85902" w:rsidRDefault="00E85902" w:rsidP="005128D6">
    <w:pPr>
      <w:pStyle w:val="Sidfot"/>
    </w:pPr>
    <w:r w:rsidRPr="00E859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397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8D6" w:rsidRDefault="005128D6">
                          <w:pPr>
                            <w:pStyle w:val="NormalS5sidnrV"/>
                          </w:pPr>
                          <w:r>
                            <w:fldChar w:fldCharType="begin"/>
                          </w:r>
                          <w:r>
                            <w:instrText xml:space="preserve"> PAGE *\charformat</w:instrText>
                          </w:r>
                          <w:r>
                            <w:fldChar w:fldCharType="separate"/>
                          </w:r>
                          <w:r w:rsidR="0072685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28D6" w:rsidRDefault="005128D6">
                    <w:pPr>
                      <w:pStyle w:val="NormalS5sidnrV"/>
                    </w:pPr>
                    <w:r>
                      <w:fldChar w:fldCharType="begin"/>
                    </w:r>
                    <w:r>
                      <w:instrText xml:space="preserve"> PAGE *\charformat</w:instrText>
                    </w:r>
                    <w:r>
                      <w:fldChar w:fldCharType="separate"/>
                    </w:r>
                    <w:r w:rsidR="0072685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B21" w:rsidRPr="00E85902" w:rsidRDefault="00E85902" w:rsidP="005128D6">
    <w:pPr>
      <w:pStyle w:val="Sidfot"/>
    </w:pPr>
    <w:r w:rsidRPr="00E859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42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8D6" w:rsidRDefault="005128D6">
                          <w:pPr>
                            <w:pStyle w:val="NormalS5sidnrH"/>
                            <w:ind w:right="0"/>
                          </w:pPr>
                          <w:r>
                            <w:fldChar w:fldCharType="begin"/>
                          </w:r>
                          <w:r>
                            <w:instrText xml:space="preserve"> PAGE *\charformat</w:instrText>
                          </w:r>
                          <w:r>
                            <w:fldChar w:fldCharType="separate"/>
                          </w:r>
                          <w:r w:rsidR="0072685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28D6" w:rsidRDefault="005128D6">
                    <w:pPr>
                      <w:pStyle w:val="NormalS5sidnrH"/>
                      <w:ind w:right="0"/>
                    </w:pPr>
                    <w:r>
                      <w:fldChar w:fldCharType="begin"/>
                    </w:r>
                    <w:r>
                      <w:instrText xml:space="preserve"> PAGE *\charformat</w:instrText>
                    </w:r>
                    <w:r>
                      <w:fldChar w:fldCharType="separate"/>
                    </w:r>
                    <w:r w:rsidR="0072685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B21" w:rsidRPr="00E85902" w:rsidRDefault="00E85902" w:rsidP="005128D6">
    <w:pPr>
      <w:pStyle w:val="Sidfot"/>
    </w:pPr>
    <w:r w:rsidRPr="00E859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191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8D6" w:rsidRDefault="005128D6">
                          <w:pPr>
                            <w:pStyle w:val="NormalS5sidnrH"/>
                            <w:ind w:right="0"/>
                          </w:pPr>
                          <w:r>
                            <w:fldChar w:fldCharType="begin"/>
                          </w:r>
                          <w:r>
                            <w:instrText xml:space="preserve"> PAGE *\charformat</w:instrText>
                          </w:r>
                          <w:r>
                            <w:fldChar w:fldCharType="separate"/>
                          </w:r>
                          <w:r w:rsidR="007268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28D6" w:rsidRDefault="005128D6">
                    <w:pPr>
                      <w:pStyle w:val="NormalS5sidnrH"/>
                      <w:ind w:right="0"/>
                    </w:pPr>
                    <w:r>
                      <w:fldChar w:fldCharType="begin"/>
                    </w:r>
                    <w:r>
                      <w:instrText xml:space="preserve"> PAGE *\charformat</w:instrText>
                    </w:r>
                    <w:r>
                      <w:fldChar w:fldCharType="separate"/>
                    </w:r>
                    <w:r w:rsidR="0072685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397" w:rsidRPr="00E85902" w:rsidRDefault="007B2397">
      <w:r w:rsidRPr="00E85902">
        <w:separator/>
      </w:r>
    </w:p>
  </w:footnote>
  <w:footnote w:type="continuationSeparator" w:id="0">
    <w:p w:rsidR="007B2397" w:rsidRPr="00E85902" w:rsidRDefault="007B2397">
      <w:r w:rsidRPr="00E859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7F1" w:rsidRPr="00E85902" w:rsidRDefault="00E85902" w:rsidP="005128D6">
    <w:pPr>
      <w:pStyle w:val="Sidhuvud"/>
    </w:pPr>
    <w:r w:rsidRPr="00E859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247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8D6" w:rsidRDefault="005128D6">
                          <w:pPr>
                            <w:pStyle w:val="KantRubrikS5V"/>
                          </w:pPr>
                          <w:r>
                            <w:fldChar w:fldCharType="begin"/>
                          </w:r>
                          <w:r>
                            <w:instrText xml:space="preserve"> DOCPROPERTY "YearUser" *\charformat </w:instrText>
                          </w:r>
                          <w:r>
                            <w:fldChar w:fldCharType="separate"/>
                          </w:r>
                          <w:r w:rsidR="0072685D">
                            <w:t>2005/06</w:t>
                          </w:r>
                          <w:r>
                            <w:fldChar w:fldCharType="end"/>
                          </w:r>
                          <w:r>
                            <w:t>:</w:t>
                          </w:r>
                          <w:r>
                            <w:fldChar w:fldCharType="begin"/>
                          </w:r>
                          <w:r>
                            <w:instrText xml:space="preserve"> DOCPROPERTY "Motionsnummer" *\charformat </w:instrText>
                          </w:r>
                          <w:r>
                            <w:fldChar w:fldCharType="separate"/>
                          </w:r>
                          <w:r w:rsidR="0072685D">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28D6" w:rsidRDefault="005128D6">
                    <w:pPr>
                      <w:pStyle w:val="KantRubrikS5V"/>
                    </w:pPr>
                    <w:r>
                      <w:fldChar w:fldCharType="begin"/>
                    </w:r>
                    <w:r>
                      <w:instrText xml:space="preserve"> DOCPROPERTY "YearUser" *\charformat </w:instrText>
                    </w:r>
                    <w:r>
                      <w:fldChar w:fldCharType="separate"/>
                    </w:r>
                    <w:r w:rsidR="0072685D">
                      <w:t>2005/06</w:t>
                    </w:r>
                    <w:r>
                      <w:fldChar w:fldCharType="end"/>
                    </w:r>
                    <w:r>
                      <w:t>:</w:t>
                    </w:r>
                    <w:r>
                      <w:fldChar w:fldCharType="begin"/>
                    </w:r>
                    <w:r>
                      <w:instrText xml:space="preserve"> DOCPROPERTY "Motionsnummer" *\charformat </w:instrText>
                    </w:r>
                    <w:r>
                      <w:fldChar w:fldCharType="separate"/>
                    </w:r>
                    <w:r w:rsidR="0072685D">
                      <w:t>Sf1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B21" w:rsidRPr="00E85902" w:rsidRDefault="00E85902" w:rsidP="005128D6">
    <w:pPr>
      <w:pStyle w:val="Sidhuvud"/>
    </w:pPr>
    <w:r w:rsidRPr="00E859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6628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8D6" w:rsidRDefault="005128D6">
                          <w:pPr>
                            <w:pStyle w:val="KantRubrikS5H"/>
                            <w:ind w:right="0"/>
                          </w:pPr>
                          <w:r>
                            <w:fldChar w:fldCharType="begin"/>
                          </w:r>
                          <w:r>
                            <w:instrText xml:space="preserve"> DOCPROPERTY "YearUser" *\charformat </w:instrText>
                          </w:r>
                          <w:r>
                            <w:fldChar w:fldCharType="separate"/>
                          </w:r>
                          <w:r w:rsidR="0072685D">
                            <w:t>2005/06</w:t>
                          </w:r>
                          <w:r>
                            <w:fldChar w:fldCharType="end"/>
                          </w:r>
                          <w:r>
                            <w:t>:</w:t>
                          </w:r>
                          <w:r>
                            <w:fldChar w:fldCharType="begin"/>
                          </w:r>
                          <w:r>
                            <w:instrText xml:space="preserve"> DOCPROPERTY "Motionsnummer" *\charformat </w:instrText>
                          </w:r>
                          <w:r>
                            <w:fldChar w:fldCharType="separate"/>
                          </w:r>
                          <w:r w:rsidR="0072685D">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28D6" w:rsidRDefault="005128D6">
                    <w:pPr>
                      <w:pStyle w:val="KantRubrikS5H"/>
                      <w:ind w:right="0"/>
                    </w:pPr>
                    <w:r>
                      <w:fldChar w:fldCharType="begin"/>
                    </w:r>
                    <w:r>
                      <w:instrText xml:space="preserve"> DOCPROPERTY "YearUser" *\charformat </w:instrText>
                    </w:r>
                    <w:r>
                      <w:fldChar w:fldCharType="separate"/>
                    </w:r>
                    <w:r w:rsidR="0072685D">
                      <w:t>2005/06</w:t>
                    </w:r>
                    <w:r>
                      <w:fldChar w:fldCharType="end"/>
                    </w:r>
                    <w:r>
                      <w:t>:</w:t>
                    </w:r>
                    <w:r>
                      <w:fldChar w:fldCharType="begin"/>
                    </w:r>
                    <w:r>
                      <w:instrText xml:space="preserve"> DOCPROPERTY "Motionsnummer" *\charformat </w:instrText>
                    </w:r>
                    <w:r>
                      <w:fldChar w:fldCharType="separate"/>
                    </w:r>
                    <w:r w:rsidR="0072685D">
                      <w:t>Sf1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8D6" w:rsidRPr="00E85902" w:rsidRDefault="005128D6">
    <w:pPr>
      <w:pStyle w:val="FSHNormal"/>
      <w:tabs>
        <w:tab w:val="right" w:pos="5840"/>
      </w:tabs>
    </w:pPr>
    <w:r w:rsidRPr="00E85902">
      <w:br/>
    </w:r>
    <w:r w:rsidRPr="00E85902">
      <w:fldChar w:fldCharType="begin" w:fldLock="1"/>
    </w:r>
    <w:r w:rsidRPr="00E85902">
      <w:instrText xml:space="preserve"> DOCPROPERTY</w:instrText>
    </w:r>
    <w:r w:rsidRPr="00E85902">
      <w:rPr>
        <w:sz w:val="18"/>
      </w:rPr>
      <w:instrText xml:space="preserve"> "YearUser" *\charformat </w:instrText>
    </w:r>
    <w:r w:rsidRPr="00E85902">
      <w:fldChar w:fldCharType="separate"/>
    </w:r>
    <w:r w:rsidR="0072685D" w:rsidRPr="00E85902">
      <w:t>2005/06</w:t>
    </w:r>
    <w:r w:rsidRPr="00E85902">
      <w:fldChar w:fldCharType="end"/>
    </w:r>
    <w:r w:rsidRPr="00E85902">
      <w:t xml:space="preserve"> </w:t>
    </w:r>
    <w:r w:rsidRPr="00E85902">
      <w:tab/>
      <w:t xml:space="preserve">mnr: </w:t>
    </w:r>
    <w:r w:rsidRPr="00E85902">
      <w:fldChar w:fldCharType="begin" w:fldLock="1"/>
    </w:r>
    <w:r w:rsidRPr="00E85902">
      <w:instrText xml:space="preserve"> DOCPROPERTY</w:instrText>
    </w:r>
    <w:r w:rsidRPr="00E85902">
      <w:rPr>
        <w:sz w:val="18"/>
      </w:rPr>
      <w:instrText xml:space="preserve"> "Motionsnummer" *\charformat </w:instrText>
    </w:r>
    <w:r w:rsidRPr="00E85902">
      <w:fldChar w:fldCharType="separate"/>
    </w:r>
    <w:r w:rsidR="0072685D" w:rsidRPr="00E85902">
      <w:t>Sf1</w:t>
    </w:r>
    <w:r w:rsidRPr="00E85902">
      <w:fldChar w:fldCharType="end"/>
    </w:r>
    <w:r w:rsidRPr="00E85902">
      <w:br/>
    </w:r>
    <w:r w:rsidRPr="00E85902">
      <w:fldChar w:fldCharType="begin" w:fldLock="1"/>
    </w:r>
    <w:r w:rsidRPr="00E85902">
      <w:instrText xml:space="preserve"> DOCPROPERTY</w:instrText>
    </w:r>
    <w:r w:rsidRPr="00E85902">
      <w:rPr>
        <w:sz w:val="18"/>
      </w:rPr>
      <w:instrText xml:space="preserve"> "Samling" *\charformat </w:instrText>
    </w:r>
    <w:r w:rsidRPr="00E85902">
      <w:fldChar w:fldCharType="end"/>
    </w:r>
    <w:r w:rsidRPr="00E85902">
      <w:tab/>
      <w:t xml:space="preserve">pnr: </w:t>
    </w:r>
    <w:r w:rsidRPr="00E85902">
      <w:fldChar w:fldCharType="begin" w:fldLock="1"/>
    </w:r>
    <w:r w:rsidRPr="00E85902">
      <w:instrText xml:space="preserve"> DOCPROPERTY</w:instrText>
    </w:r>
    <w:r w:rsidRPr="00E85902">
      <w:rPr>
        <w:sz w:val="18"/>
      </w:rPr>
      <w:instrText xml:space="preserve"> "Partinummer" *\charformat </w:instrText>
    </w:r>
    <w:r w:rsidRPr="00E85902">
      <w:fldChar w:fldCharType="separate"/>
    </w:r>
    <w:r w:rsidR="0072685D" w:rsidRPr="00E85902">
      <w:t>v003</w:t>
    </w:r>
    <w:r w:rsidRPr="00E85902">
      <w:fldChar w:fldCharType="end"/>
    </w:r>
  </w:p>
  <w:p w:rsidR="005128D6" w:rsidRPr="00E85902" w:rsidRDefault="005128D6">
    <w:pPr>
      <w:pStyle w:val="FSHRub1"/>
    </w:pPr>
    <w:r w:rsidRPr="00E85902">
      <w:t>Motion till riksdagen</w:t>
    </w:r>
    <w:r w:rsidRPr="00E85902">
      <w:br/>
    </w:r>
    <w:r w:rsidRPr="00E85902">
      <w:fldChar w:fldCharType="begin" w:fldLock="1"/>
    </w:r>
    <w:r w:rsidRPr="00E85902">
      <w:instrText xml:space="preserve"> DOCPROPERTY "YearUser" *\charformat </w:instrText>
    </w:r>
    <w:r w:rsidRPr="00E85902">
      <w:fldChar w:fldCharType="separate"/>
    </w:r>
    <w:r w:rsidR="0072685D" w:rsidRPr="00E85902">
      <w:t>2005/06</w:t>
    </w:r>
    <w:r w:rsidRPr="00E85902">
      <w:fldChar w:fldCharType="end"/>
    </w:r>
    <w:r w:rsidRPr="00E85902">
      <w:t>:</w:t>
    </w:r>
    <w:r w:rsidRPr="00E85902">
      <w:fldChar w:fldCharType="begin" w:fldLock="1"/>
    </w:r>
    <w:r w:rsidRPr="00E85902">
      <w:instrText xml:space="preserve"> DOCPROPERTY "Motionsnummer" *\charformat </w:instrText>
    </w:r>
    <w:r w:rsidRPr="00E85902">
      <w:fldChar w:fldCharType="separate"/>
    </w:r>
    <w:r w:rsidR="0072685D" w:rsidRPr="00E85902">
      <w:t>Sf1</w:t>
    </w:r>
    <w:r w:rsidRPr="00E85902">
      <w:fldChar w:fldCharType="end"/>
    </w:r>
  </w:p>
  <w:p w:rsidR="005128D6" w:rsidRPr="00E85902" w:rsidRDefault="005128D6">
    <w:pPr>
      <w:pStyle w:val="FSHNormalS5"/>
    </w:pPr>
    <w:r w:rsidRPr="00E85902">
      <w:fldChar w:fldCharType="begin" w:fldLock="1"/>
    </w:r>
    <w:r w:rsidRPr="00E85902">
      <w:instrText xml:space="preserve"> DOCPROPERTY "MotionarText" *\charformat </w:instrText>
    </w:r>
    <w:r w:rsidRPr="00E85902">
      <w:fldChar w:fldCharType="separate"/>
    </w:r>
    <w:r w:rsidR="0072685D" w:rsidRPr="00E85902">
      <w:t>av Lars Ohly m.fl. (v)</w:t>
    </w:r>
    <w:r w:rsidRPr="00E85902">
      <w:fldChar w:fldCharType="end"/>
    </w:r>
    <w:r w:rsidRPr="00E85902">
      <w:br/>
    </w:r>
    <w:r w:rsidRPr="00E85902">
      <w:fldChar w:fldCharType="begin" w:fldLock="1"/>
    </w:r>
    <w:r w:rsidRPr="00E85902">
      <w:instrText xml:space="preserve"> DOCPROPERTY "SvarFrasKort" *\charformat </w:instrText>
    </w:r>
    <w:r w:rsidRPr="00E85902">
      <w:fldChar w:fldCharType="separate"/>
    </w:r>
    <w:r w:rsidR="0072685D" w:rsidRPr="00E85902">
      <w:t>med anledning av prop. 2005/06:6</w:t>
    </w:r>
    <w:r w:rsidRPr="00E85902">
      <w:fldChar w:fldCharType="end"/>
    </w:r>
  </w:p>
  <w:p w:rsidR="005128D6" w:rsidRPr="00E85902" w:rsidRDefault="005128D6">
    <w:pPr>
      <w:pStyle w:val="FSHTitel"/>
    </w:pPr>
    <w:r w:rsidRPr="00E85902">
      <w:fldChar w:fldCharType="begin" w:fldLock="1"/>
    </w:r>
    <w:r w:rsidRPr="00E85902">
      <w:instrText xml:space="preserve"> DOCPROPERTY</w:instrText>
    </w:r>
    <w:r w:rsidRPr="00E85902">
      <w:rPr>
        <w:sz w:val="18"/>
      </w:rPr>
      <w:instrText xml:space="preserve"> "RubrikSvar" *\charformat </w:instrText>
    </w:r>
    <w:r w:rsidRPr="00E85902">
      <w:fldChar w:fldCharType="separate"/>
    </w:r>
    <w:r w:rsidR="0072685D" w:rsidRPr="00E85902">
      <w:t>Flyktingskap och förföljelse på grund av kön eller sexuell läggning</w:t>
    </w:r>
    <w:r w:rsidRPr="00E85902">
      <w:fldChar w:fldCharType="end"/>
    </w:r>
  </w:p>
  <w:p w:rsidR="005128D6" w:rsidRPr="00E85902" w:rsidRDefault="005128D6" w:rsidP="005128D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021E3E"/>
    <w:multiLevelType w:val="multilevel"/>
    <w:tmpl w:val="8FEA84D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EEA7CD5"/>
    <w:multiLevelType w:val="hybridMultilevel"/>
    <w:tmpl w:val="E64EBC08"/>
    <w:lvl w:ilvl="0" w:tplc="2CE013B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59D77DC"/>
    <w:multiLevelType w:val="hybridMultilevel"/>
    <w:tmpl w:val="3BF0E784"/>
    <w:lvl w:ilvl="0" w:tplc="693A5A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3A65F78"/>
    <w:multiLevelType w:val="multilevel"/>
    <w:tmpl w:val="2A9AD5C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1D862B3"/>
    <w:multiLevelType w:val="multilevel"/>
    <w:tmpl w:val="A69C56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62749861">
    <w:abstractNumId w:val="17"/>
  </w:num>
  <w:num w:numId="2" w16cid:durableId="2015843565">
    <w:abstractNumId w:val="10"/>
  </w:num>
  <w:num w:numId="3" w16cid:durableId="1057164081">
    <w:abstractNumId w:val="12"/>
  </w:num>
  <w:num w:numId="4" w16cid:durableId="352195956">
    <w:abstractNumId w:val="15"/>
  </w:num>
  <w:num w:numId="5" w16cid:durableId="888490528">
    <w:abstractNumId w:val="8"/>
  </w:num>
  <w:num w:numId="6" w16cid:durableId="1933008820">
    <w:abstractNumId w:val="3"/>
  </w:num>
  <w:num w:numId="7" w16cid:durableId="978343925">
    <w:abstractNumId w:val="2"/>
  </w:num>
  <w:num w:numId="8" w16cid:durableId="705376657">
    <w:abstractNumId w:val="1"/>
  </w:num>
  <w:num w:numId="9" w16cid:durableId="1422407834">
    <w:abstractNumId w:val="0"/>
  </w:num>
  <w:num w:numId="10" w16cid:durableId="586426162">
    <w:abstractNumId w:val="9"/>
  </w:num>
  <w:num w:numId="11" w16cid:durableId="1406338082">
    <w:abstractNumId w:val="7"/>
  </w:num>
  <w:num w:numId="12" w16cid:durableId="1266958861">
    <w:abstractNumId w:val="6"/>
  </w:num>
  <w:num w:numId="13" w16cid:durableId="834613016">
    <w:abstractNumId w:val="5"/>
  </w:num>
  <w:num w:numId="14" w16cid:durableId="1514807190">
    <w:abstractNumId w:val="4"/>
  </w:num>
  <w:num w:numId="15" w16cid:durableId="1730300615">
    <w:abstractNumId w:val="13"/>
  </w:num>
  <w:num w:numId="16" w16cid:durableId="1990012094">
    <w:abstractNumId w:val="14"/>
  </w:num>
  <w:num w:numId="17" w16cid:durableId="863517946">
    <w:abstractNumId w:val="11"/>
  </w:num>
  <w:num w:numId="18" w16cid:durableId="366687327">
    <w:abstractNumId w:val="16"/>
  </w:num>
  <w:num w:numId="19" w16cid:durableId="17419049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A72D8A"/>
    <w:rsid w:val="000225CB"/>
    <w:rsid w:val="0004381F"/>
    <w:rsid w:val="00050E77"/>
    <w:rsid w:val="00064BC3"/>
    <w:rsid w:val="00066775"/>
    <w:rsid w:val="00072FB9"/>
    <w:rsid w:val="00100531"/>
    <w:rsid w:val="00177370"/>
    <w:rsid w:val="001828DA"/>
    <w:rsid w:val="00183F23"/>
    <w:rsid w:val="001A6A2C"/>
    <w:rsid w:val="001E577E"/>
    <w:rsid w:val="00201DFB"/>
    <w:rsid w:val="00204A63"/>
    <w:rsid w:val="00212FF1"/>
    <w:rsid w:val="0021352D"/>
    <w:rsid w:val="00230193"/>
    <w:rsid w:val="0025068A"/>
    <w:rsid w:val="002818D3"/>
    <w:rsid w:val="00286080"/>
    <w:rsid w:val="002C430C"/>
    <w:rsid w:val="002D11A8"/>
    <w:rsid w:val="002D6249"/>
    <w:rsid w:val="002D7B21"/>
    <w:rsid w:val="003C3BA9"/>
    <w:rsid w:val="003D0621"/>
    <w:rsid w:val="004107F1"/>
    <w:rsid w:val="004350B7"/>
    <w:rsid w:val="00445271"/>
    <w:rsid w:val="004A0504"/>
    <w:rsid w:val="004E38D9"/>
    <w:rsid w:val="004F5FAA"/>
    <w:rsid w:val="005128D6"/>
    <w:rsid w:val="005572A0"/>
    <w:rsid w:val="005B145B"/>
    <w:rsid w:val="00611835"/>
    <w:rsid w:val="006804B9"/>
    <w:rsid w:val="006F59F9"/>
    <w:rsid w:val="00707685"/>
    <w:rsid w:val="0072685D"/>
    <w:rsid w:val="00740D6D"/>
    <w:rsid w:val="00794149"/>
    <w:rsid w:val="007B2397"/>
    <w:rsid w:val="007B67A7"/>
    <w:rsid w:val="007C6092"/>
    <w:rsid w:val="0088203A"/>
    <w:rsid w:val="00884653"/>
    <w:rsid w:val="008974D3"/>
    <w:rsid w:val="00901B2B"/>
    <w:rsid w:val="00910DE6"/>
    <w:rsid w:val="00947863"/>
    <w:rsid w:val="00955A04"/>
    <w:rsid w:val="00977630"/>
    <w:rsid w:val="0099535B"/>
    <w:rsid w:val="009B79BA"/>
    <w:rsid w:val="009E20B8"/>
    <w:rsid w:val="009F5DDA"/>
    <w:rsid w:val="00A053C6"/>
    <w:rsid w:val="00A50908"/>
    <w:rsid w:val="00A72D8A"/>
    <w:rsid w:val="00A77F94"/>
    <w:rsid w:val="00A85DA2"/>
    <w:rsid w:val="00A86DB8"/>
    <w:rsid w:val="00A90227"/>
    <w:rsid w:val="00AF620F"/>
    <w:rsid w:val="00B13BF0"/>
    <w:rsid w:val="00B46829"/>
    <w:rsid w:val="00B71B8C"/>
    <w:rsid w:val="00B932DC"/>
    <w:rsid w:val="00BB0CC5"/>
    <w:rsid w:val="00BB6603"/>
    <w:rsid w:val="00C1285C"/>
    <w:rsid w:val="00C27B7D"/>
    <w:rsid w:val="00C352A8"/>
    <w:rsid w:val="00C50CF7"/>
    <w:rsid w:val="00CB0EF5"/>
    <w:rsid w:val="00CB364F"/>
    <w:rsid w:val="00CE4085"/>
    <w:rsid w:val="00CF7A43"/>
    <w:rsid w:val="00D1174F"/>
    <w:rsid w:val="00DC2B8A"/>
    <w:rsid w:val="00DC6C70"/>
    <w:rsid w:val="00DF04B6"/>
    <w:rsid w:val="00E22893"/>
    <w:rsid w:val="00E360DE"/>
    <w:rsid w:val="00E75D28"/>
    <w:rsid w:val="00E84F25"/>
    <w:rsid w:val="00E85902"/>
    <w:rsid w:val="00F7171F"/>
    <w:rsid w:val="00F921DB"/>
    <w:rsid w:val="00FA3374"/>
    <w:rsid w:val="00FB2CFB"/>
    <w:rsid w:val="00FC16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F3EBCF-61BC-4DBC-944A-D5A89C89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352A8"/>
    <w:pPr>
      <w:spacing w:before="125" w:line="250" w:lineRule="atLeast"/>
      <w:jc w:val="both"/>
    </w:pPr>
    <w:rPr>
      <w:sz w:val="19"/>
      <w:lang w:val="sv-SE" w:eastAsia="sv-SE"/>
    </w:rPr>
  </w:style>
  <w:style w:type="paragraph" w:styleId="Rubrik1">
    <w:name w:val="heading 1"/>
    <w:basedOn w:val="Normal"/>
    <w:next w:val="Normal"/>
    <w:qFormat/>
    <w:rsid w:val="0072685D"/>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2685D"/>
    <w:pPr>
      <w:numPr>
        <w:ilvl w:val="1"/>
      </w:numPr>
      <w:spacing w:before="500" w:line="250" w:lineRule="exact"/>
      <w:outlineLvl w:val="1"/>
    </w:pPr>
    <w:rPr>
      <w:sz w:val="27"/>
    </w:rPr>
  </w:style>
  <w:style w:type="paragraph" w:styleId="Rubrik3">
    <w:name w:val="heading 3"/>
    <w:aliases w:val="Mellanrubrik"/>
    <w:basedOn w:val="Rubrik2"/>
    <w:next w:val="Normal"/>
    <w:qFormat/>
    <w:rsid w:val="0072685D"/>
    <w:pPr>
      <w:numPr>
        <w:ilvl w:val="2"/>
      </w:numPr>
      <w:spacing w:before="250" w:after="0"/>
      <w:outlineLvl w:val="2"/>
    </w:pPr>
    <w:rPr>
      <w:b/>
      <w:sz w:val="21"/>
    </w:rPr>
  </w:style>
  <w:style w:type="paragraph" w:styleId="Rubrik4">
    <w:name w:val="heading 4"/>
    <w:aliases w:val="KursivRubrik"/>
    <w:basedOn w:val="Rubrik3"/>
    <w:next w:val="Normal"/>
    <w:qFormat/>
    <w:rsid w:val="0072685D"/>
    <w:pPr>
      <w:numPr>
        <w:ilvl w:val="3"/>
      </w:numPr>
      <w:outlineLvl w:val="3"/>
    </w:pPr>
    <w:rPr>
      <w:b w:val="0"/>
      <w:i/>
    </w:rPr>
  </w:style>
  <w:style w:type="paragraph" w:styleId="Rubrik5">
    <w:name w:val="heading 5"/>
    <w:aliases w:val="PackadFetRubrik,PackadKursivRubrik"/>
    <w:basedOn w:val="Rubrik4"/>
    <w:next w:val="Normal"/>
    <w:qFormat/>
    <w:rsid w:val="0072685D"/>
    <w:pPr>
      <w:numPr>
        <w:ilvl w:val="4"/>
      </w:numPr>
      <w:tabs>
        <w:tab w:val="clear" w:pos="1021"/>
      </w:tabs>
      <w:spacing w:before="125"/>
      <w:outlineLvl w:val="4"/>
    </w:pPr>
    <w:rPr>
      <w:i w:val="0"/>
      <w:sz w:val="19"/>
    </w:rPr>
  </w:style>
  <w:style w:type="paragraph" w:styleId="Rubrik6">
    <w:name w:val="heading 6"/>
    <w:basedOn w:val="Rubrik5"/>
    <w:next w:val="Normal"/>
    <w:qFormat/>
    <w:rsid w:val="0072685D"/>
    <w:pPr>
      <w:numPr>
        <w:ilvl w:val="5"/>
      </w:numPr>
      <w:spacing w:before="50" w:line="200" w:lineRule="exact"/>
      <w:outlineLvl w:val="5"/>
    </w:pPr>
    <w:rPr>
      <w:caps/>
      <w:sz w:val="14"/>
    </w:rPr>
  </w:style>
  <w:style w:type="paragraph" w:styleId="Rubrik7">
    <w:name w:val="heading 7"/>
    <w:basedOn w:val="Rubrik6"/>
    <w:next w:val="Normal"/>
    <w:qFormat/>
    <w:rsid w:val="0072685D"/>
    <w:pPr>
      <w:numPr>
        <w:ilvl w:val="6"/>
      </w:numPr>
      <w:spacing w:before="0"/>
      <w:outlineLvl w:val="6"/>
    </w:pPr>
  </w:style>
  <w:style w:type="paragraph" w:styleId="Rubrik8">
    <w:name w:val="heading 8"/>
    <w:basedOn w:val="Rubrik7"/>
    <w:next w:val="Normal"/>
    <w:qFormat/>
    <w:rsid w:val="0072685D"/>
    <w:pPr>
      <w:numPr>
        <w:ilvl w:val="7"/>
      </w:numPr>
      <w:outlineLvl w:val="7"/>
    </w:pPr>
  </w:style>
  <w:style w:type="paragraph" w:styleId="Rubrik9">
    <w:name w:val="heading 9"/>
    <w:basedOn w:val="Rubrik8"/>
    <w:next w:val="Normal"/>
    <w:qFormat/>
    <w:rsid w:val="0072685D"/>
    <w:pPr>
      <w:numPr>
        <w:ilvl w:val="8"/>
      </w:numPr>
      <w:outlineLvl w:val="8"/>
    </w:pPr>
  </w:style>
  <w:style w:type="character" w:default="1" w:styleId="Standardstycketeckensnitt">
    <w:name w:val="Default Paragraph Font"/>
    <w:semiHidden/>
    <w:rsid w:val="00C352A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352A8"/>
  </w:style>
  <w:style w:type="paragraph" w:styleId="Normaltindrag">
    <w:name w:val="Normal Indent"/>
    <w:aliases w:val="Normal_indrag,Normal Indrag"/>
    <w:basedOn w:val="Normal"/>
    <w:rsid w:val="00C352A8"/>
    <w:pPr>
      <w:spacing w:before="0"/>
      <w:ind w:firstLine="227"/>
    </w:pPr>
  </w:style>
  <w:style w:type="paragraph" w:styleId="Citat">
    <w:name w:val="Quote"/>
    <w:basedOn w:val="Normal"/>
    <w:next w:val="Normal"/>
    <w:qFormat/>
    <w:rsid w:val="00C352A8"/>
    <w:pPr>
      <w:spacing w:line="200" w:lineRule="exact"/>
      <w:ind w:left="340"/>
    </w:pPr>
  </w:style>
  <w:style w:type="paragraph" w:customStyle="1" w:styleId="Citatindrag">
    <w:name w:val="Citat_indrag"/>
    <w:aliases w:val="Packad"/>
    <w:basedOn w:val="Citat"/>
    <w:rsid w:val="00C352A8"/>
    <w:pPr>
      <w:spacing w:before="0"/>
      <w:ind w:firstLine="227"/>
    </w:pPr>
  </w:style>
  <w:style w:type="paragraph" w:customStyle="1" w:styleId="FSHNormal">
    <w:name w:val="FSH_Normal"/>
    <w:semiHidden/>
    <w:rsid w:val="00C352A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352A8"/>
    <w:pPr>
      <w:spacing w:line="240" w:lineRule="auto"/>
    </w:pPr>
  </w:style>
  <w:style w:type="paragraph" w:customStyle="1" w:styleId="FSHNormalS5">
    <w:name w:val="FSH_NormalS5"/>
    <w:basedOn w:val="FSHNormal"/>
    <w:next w:val="FSHNormal"/>
    <w:semiHidden/>
    <w:rsid w:val="00C352A8"/>
    <w:pPr>
      <w:keepNext/>
      <w:keepLines/>
      <w:widowControl/>
      <w:spacing w:before="230" w:after="520" w:line="250" w:lineRule="exact"/>
    </w:pPr>
    <w:rPr>
      <w:b/>
      <w:sz w:val="27"/>
    </w:rPr>
  </w:style>
  <w:style w:type="paragraph" w:customStyle="1" w:styleId="FSHNormL">
    <w:name w:val="FSH_NormLÖ"/>
    <w:basedOn w:val="FSHNormal"/>
    <w:next w:val="FSHNormal"/>
    <w:semiHidden/>
    <w:rsid w:val="00C352A8"/>
    <w:pPr>
      <w:pBdr>
        <w:top w:val="single" w:sz="12" w:space="1" w:color="auto"/>
      </w:pBdr>
    </w:pPr>
  </w:style>
  <w:style w:type="paragraph" w:customStyle="1" w:styleId="FSHRub1">
    <w:name w:val="FSH_Rub1"/>
    <w:aliases w:val="Rubrik1_S5,Huvudrubrik"/>
    <w:basedOn w:val="FSHNormal"/>
    <w:next w:val="FSHNormal"/>
    <w:semiHidden/>
    <w:rsid w:val="00C352A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352A8"/>
    <w:pPr>
      <w:spacing w:before="240" w:after="80" w:line="360" w:lineRule="exact"/>
    </w:pPr>
    <w:rPr>
      <w:sz w:val="36"/>
    </w:rPr>
  </w:style>
  <w:style w:type="paragraph" w:customStyle="1" w:styleId="FSHTitel">
    <w:name w:val="FSH_Titel"/>
    <w:aliases w:val="Dokumentrubrik"/>
    <w:basedOn w:val="FSHRub1"/>
    <w:next w:val="FSHNormal"/>
    <w:semiHidden/>
    <w:rsid w:val="00C352A8"/>
    <w:pPr>
      <w:pBdr>
        <w:bottom w:val="single" w:sz="4" w:space="3" w:color="auto"/>
      </w:pBdr>
      <w:spacing w:before="0" w:after="80" w:line="400" w:lineRule="exact"/>
    </w:pPr>
    <w:rPr>
      <w:sz w:val="40"/>
    </w:rPr>
  </w:style>
  <w:style w:type="paragraph" w:styleId="Ballongtext">
    <w:name w:val="Balloon Text"/>
    <w:basedOn w:val="Normal"/>
    <w:semiHidden/>
    <w:rsid w:val="00707685"/>
    <w:rPr>
      <w:rFonts w:ascii="Tahoma" w:hAnsi="Tahoma" w:cs="Tahoma"/>
      <w:sz w:val="16"/>
      <w:szCs w:val="16"/>
    </w:rPr>
  </w:style>
  <w:style w:type="paragraph" w:customStyle="1" w:styleId="Hemstlrubrik">
    <w:name w:val="Hemstl_rubrik"/>
    <w:basedOn w:val="Rubrik1"/>
    <w:next w:val="Normal"/>
    <w:rsid w:val="004107F1"/>
    <w:pPr>
      <w:spacing w:after="250"/>
    </w:pPr>
  </w:style>
  <w:style w:type="paragraph" w:customStyle="1" w:styleId="KantRubrikS5H">
    <w:name w:val="KantRubrikS5H"/>
    <w:semiHidden/>
    <w:rsid w:val="00C352A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352A8"/>
    <w:pPr>
      <w:spacing w:line="200" w:lineRule="exact"/>
    </w:pPr>
  </w:style>
  <w:style w:type="paragraph" w:customStyle="1" w:styleId="KantRubrikS5V">
    <w:name w:val="KantRubrikS5V"/>
    <w:basedOn w:val="KantRubrikS5H"/>
    <w:semiHidden/>
    <w:rsid w:val="00C352A8"/>
    <w:pPr>
      <w:tabs>
        <w:tab w:val="right" w:pos="1814"/>
        <w:tab w:val="left" w:pos="1899"/>
      </w:tabs>
      <w:ind w:right="0"/>
      <w:jc w:val="left"/>
    </w:pPr>
  </w:style>
  <w:style w:type="paragraph" w:customStyle="1" w:styleId="KantRubrikS5Vrad2">
    <w:name w:val="KantRubrikS5Vrad2"/>
    <w:basedOn w:val="KantRubrikS5V"/>
    <w:semiHidden/>
    <w:rsid w:val="00C352A8"/>
    <w:pPr>
      <w:tabs>
        <w:tab w:val="clear" w:pos="1814"/>
        <w:tab w:val="clear" w:pos="1899"/>
        <w:tab w:val="right" w:pos="1418"/>
        <w:tab w:val="left" w:pos="1503"/>
      </w:tabs>
    </w:pPr>
  </w:style>
  <w:style w:type="paragraph" w:customStyle="1" w:styleId="Lagtext">
    <w:name w:val="Lagtext"/>
    <w:basedOn w:val="Lagtextrubrik"/>
    <w:next w:val="Lagtextindrag"/>
    <w:rsid w:val="00C352A8"/>
    <w:pPr>
      <w:spacing w:before="0"/>
    </w:pPr>
    <w:rPr>
      <w:sz w:val="19"/>
    </w:rPr>
  </w:style>
  <w:style w:type="paragraph" w:customStyle="1" w:styleId="Lagtextrubrik">
    <w:name w:val="Lagtext_rubrik"/>
    <w:basedOn w:val="Normal"/>
    <w:next w:val="Normal"/>
    <w:rsid w:val="00C352A8"/>
    <w:pPr>
      <w:suppressAutoHyphens/>
      <w:spacing w:line="220" w:lineRule="exact"/>
    </w:pPr>
    <w:rPr>
      <w:i/>
      <w:sz w:val="21"/>
    </w:rPr>
  </w:style>
  <w:style w:type="paragraph" w:customStyle="1" w:styleId="Lagtextindrag">
    <w:name w:val="Lagtext_indrag"/>
    <w:basedOn w:val="Lagtext"/>
    <w:rsid w:val="00C352A8"/>
    <w:pPr>
      <w:ind w:firstLine="170"/>
    </w:pPr>
  </w:style>
  <w:style w:type="paragraph" w:customStyle="1" w:styleId="NormalA4fot">
    <w:name w:val="Normal_A4fot"/>
    <w:basedOn w:val="Normal"/>
    <w:semiHidden/>
    <w:rsid w:val="00C352A8"/>
    <w:pPr>
      <w:spacing w:before="240" w:line="240" w:lineRule="auto"/>
      <w:jc w:val="center"/>
    </w:pPr>
  </w:style>
  <w:style w:type="paragraph" w:customStyle="1" w:styleId="NormalA4sidnr">
    <w:name w:val="Normal_A4sidnr"/>
    <w:basedOn w:val="Normal"/>
    <w:semiHidden/>
    <w:rsid w:val="00C352A8"/>
    <w:pPr>
      <w:spacing w:after="240"/>
      <w:jc w:val="center"/>
    </w:pPr>
  </w:style>
  <w:style w:type="paragraph" w:customStyle="1" w:styleId="NormalS5sidnrH">
    <w:name w:val="Normal_S5sidnrH"/>
    <w:basedOn w:val="Normal"/>
    <w:semiHidden/>
    <w:rsid w:val="00C352A8"/>
    <w:pPr>
      <w:spacing w:before="0" w:line="240" w:lineRule="auto"/>
      <w:ind w:right="57"/>
      <w:jc w:val="right"/>
    </w:pPr>
  </w:style>
  <w:style w:type="paragraph" w:customStyle="1" w:styleId="NormalS5sidnrV">
    <w:name w:val="Normal_S5sidnrV"/>
    <w:basedOn w:val="NormalS5sidnrH"/>
    <w:semiHidden/>
    <w:rsid w:val="00C352A8"/>
    <w:pPr>
      <w:tabs>
        <w:tab w:val="right" w:pos="1814"/>
        <w:tab w:val="left" w:pos="1899"/>
      </w:tabs>
      <w:ind w:right="0"/>
      <w:jc w:val="left"/>
    </w:pPr>
  </w:style>
  <w:style w:type="paragraph" w:customStyle="1" w:styleId="Normal00">
    <w:name w:val="Normal00"/>
    <w:basedOn w:val="Normal"/>
    <w:semiHidden/>
    <w:rsid w:val="00C352A8"/>
    <w:pPr>
      <w:spacing w:before="0" w:line="240" w:lineRule="auto"/>
      <w:jc w:val="left"/>
    </w:pPr>
  </w:style>
  <w:style w:type="paragraph" w:customStyle="1" w:styleId="PunktlistaBomb">
    <w:name w:val="Punktlista_Bomb"/>
    <w:aliases w:val="Bomb"/>
    <w:basedOn w:val="Normal"/>
    <w:rsid w:val="00C352A8"/>
    <w:pPr>
      <w:numPr>
        <w:numId w:val="2"/>
      </w:numPr>
    </w:pPr>
  </w:style>
  <w:style w:type="paragraph" w:customStyle="1" w:styleId="PunktlistaNummer">
    <w:name w:val="Punktlista_Nummer"/>
    <w:aliases w:val="Nummerlista"/>
    <w:basedOn w:val="Normal"/>
    <w:rsid w:val="00C352A8"/>
    <w:pPr>
      <w:numPr>
        <w:numId w:val="3"/>
      </w:numPr>
    </w:pPr>
  </w:style>
  <w:style w:type="paragraph" w:customStyle="1" w:styleId="PunktlistaTankstreck">
    <w:name w:val="Punktlista_Tankstreck"/>
    <w:aliases w:val="Tankstreck"/>
    <w:basedOn w:val="Normal"/>
    <w:rsid w:val="00C352A8"/>
    <w:pPr>
      <w:numPr>
        <w:numId w:val="4"/>
      </w:numPr>
    </w:pPr>
  </w:style>
  <w:style w:type="paragraph" w:customStyle="1" w:styleId="RubrikSammanf">
    <w:name w:val="RubrikSammanf"/>
    <w:basedOn w:val="Rubrik1"/>
    <w:next w:val="Normal"/>
    <w:rsid w:val="00C352A8"/>
  </w:style>
  <w:style w:type="paragraph" w:customStyle="1" w:styleId="RubrikInnehllsf">
    <w:name w:val="RubrikInnehållsf"/>
    <w:basedOn w:val="RubrikSammanf"/>
    <w:next w:val="Normal"/>
    <w:rsid w:val="00C352A8"/>
  </w:style>
  <w:style w:type="paragraph" w:customStyle="1" w:styleId="Tabellochbildrubrik">
    <w:name w:val="Tabell och bildrubrik"/>
    <w:basedOn w:val="Normal"/>
    <w:next w:val="Normal"/>
    <w:rsid w:val="00C352A8"/>
    <w:pPr>
      <w:suppressAutoHyphens/>
      <w:spacing w:before="300" w:line="200" w:lineRule="exact"/>
      <w:jc w:val="left"/>
    </w:pPr>
    <w:rPr>
      <w:caps/>
      <w:sz w:val="14"/>
    </w:rPr>
  </w:style>
  <w:style w:type="paragraph" w:customStyle="1" w:styleId="Underskrifter">
    <w:name w:val="Underskrifter"/>
    <w:basedOn w:val="Normal"/>
    <w:rsid w:val="00C352A8"/>
    <w:pPr>
      <w:keepNext/>
      <w:keepLines/>
      <w:suppressAutoHyphens/>
      <w:spacing w:before="0" w:after="40" w:line="250" w:lineRule="exact"/>
    </w:pPr>
    <w:rPr>
      <w:i/>
    </w:rPr>
  </w:style>
  <w:style w:type="paragraph" w:customStyle="1" w:styleId="UnderskriftDatum">
    <w:name w:val="UnderskriftDatum"/>
    <w:basedOn w:val="Underskrifter"/>
    <w:next w:val="Underskrifter"/>
    <w:rsid w:val="00C352A8"/>
    <w:pPr>
      <w:spacing w:before="250" w:after="125"/>
    </w:pPr>
    <w:rPr>
      <w:i w:val="0"/>
    </w:rPr>
  </w:style>
  <w:style w:type="paragraph" w:styleId="Sidhuvud">
    <w:name w:val="header"/>
    <w:basedOn w:val="Normal"/>
    <w:semiHidden/>
    <w:rsid w:val="00C352A8"/>
    <w:pPr>
      <w:tabs>
        <w:tab w:val="center" w:pos="4536"/>
        <w:tab w:val="right" w:pos="9072"/>
      </w:tabs>
    </w:pPr>
  </w:style>
  <w:style w:type="paragraph" w:styleId="Sidfot">
    <w:name w:val="footer"/>
    <w:basedOn w:val="Normal"/>
    <w:semiHidden/>
    <w:rsid w:val="00C352A8"/>
    <w:pPr>
      <w:tabs>
        <w:tab w:val="center" w:pos="4536"/>
        <w:tab w:val="right" w:pos="9072"/>
      </w:tabs>
    </w:pPr>
  </w:style>
  <w:style w:type="paragraph" w:styleId="Innehll1">
    <w:name w:val="toc 1"/>
    <w:basedOn w:val="Normal"/>
    <w:next w:val="Innehll2"/>
    <w:semiHidden/>
    <w:rsid w:val="00C352A8"/>
    <w:pPr>
      <w:tabs>
        <w:tab w:val="right" w:leader="dot" w:pos="5953"/>
      </w:tabs>
      <w:suppressAutoHyphens/>
      <w:spacing w:before="0"/>
      <w:ind w:right="567"/>
      <w:jc w:val="left"/>
    </w:pPr>
  </w:style>
  <w:style w:type="paragraph" w:styleId="Innehll2">
    <w:name w:val="toc 2"/>
    <w:basedOn w:val="Innehll1"/>
    <w:next w:val="Innehll3"/>
    <w:semiHidden/>
    <w:rsid w:val="00C352A8"/>
    <w:pPr>
      <w:ind w:left="284"/>
    </w:pPr>
  </w:style>
  <w:style w:type="paragraph" w:styleId="Innehll3">
    <w:name w:val="toc 3"/>
    <w:basedOn w:val="Innehll2"/>
    <w:next w:val="Innehll4"/>
    <w:semiHidden/>
    <w:rsid w:val="00C352A8"/>
    <w:pPr>
      <w:ind w:left="567"/>
    </w:pPr>
  </w:style>
  <w:style w:type="paragraph" w:styleId="Innehll4">
    <w:name w:val="toc 4"/>
    <w:basedOn w:val="Innehll3"/>
    <w:next w:val="Normal"/>
    <w:semiHidden/>
    <w:rsid w:val="00C352A8"/>
  </w:style>
  <w:style w:type="paragraph" w:customStyle="1" w:styleId="Hemstlatt">
    <w:name w:val="Hemstl_att"/>
    <w:aliases w:val="HemstPunkt,HemstPunktFlera,HemställansPunkt,Förslagstext"/>
    <w:basedOn w:val="Normal"/>
    <w:next w:val="Normal"/>
    <w:rsid w:val="005128D6"/>
    <w:pPr>
      <w:keepLines/>
      <w:numPr>
        <w:numId w:val="16"/>
      </w:numPr>
      <w:spacing w:before="0"/>
    </w:pPr>
  </w:style>
  <w:style w:type="paragraph" w:styleId="Datum">
    <w:name w:val="Date"/>
    <w:basedOn w:val="Normal"/>
    <w:next w:val="Normal"/>
    <w:semiHidden/>
    <w:rsid w:val="00C352A8"/>
  </w:style>
  <w:style w:type="character" w:styleId="Hyperlnk">
    <w:name w:val="Hyperlink"/>
    <w:basedOn w:val="Standardstycketeckensnitt"/>
    <w:semiHidden/>
    <w:rsid w:val="00C352A8"/>
    <w:rPr>
      <w:color w:val="0000FF"/>
      <w:u w:val="single"/>
    </w:rPr>
  </w:style>
  <w:style w:type="paragraph" w:styleId="Indragetstycke">
    <w:name w:val="Block Text"/>
    <w:basedOn w:val="Normal"/>
    <w:semiHidden/>
    <w:rsid w:val="00C352A8"/>
    <w:pPr>
      <w:spacing w:after="120"/>
      <w:ind w:left="1440" w:right="1440"/>
    </w:pPr>
  </w:style>
  <w:style w:type="paragraph" w:styleId="Innehll5">
    <w:name w:val="toc 5"/>
    <w:basedOn w:val="Innehll4"/>
    <w:next w:val="Normal"/>
    <w:semiHidden/>
    <w:rsid w:val="00C352A8"/>
  </w:style>
  <w:style w:type="paragraph" w:styleId="Lista">
    <w:name w:val="List"/>
    <w:basedOn w:val="Normal"/>
    <w:semiHidden/>
    <w:rsid w:val="00C352A8"/>
    <w:pPr>
      <w:ind w:left="283" w:hanging="283"/>
    </w:pPr>
  </w:style>
  <w:style w:type="paragraph" w:styleId="Normalwebb">
    <w:name w:val="Normal (Web)"/>
    <w:basedOn w:val="Normal"/>
    <w:semiHidden/>
    <w:rsid w:val="00C352A8"/>
    <w:rPr>
      <w:szCs w:val="24"/>
    </w:rPr>
  </w:style>
  <w:style w:type="paragraph" w:styleId="Numreradlista">
    <w:name w:val="List Number"/>
    <w:basedOn w:val="Normal"/>
    <w:semiHidden/>
    <w:rsid w:val="00C352A8"/>
    <w:pPr>
      <w:numPr>
        <w:numId w:val="5"/>
      </w:numPr>
    </w:pPr>
  </w:style>
  <w:style w:type="paragraph" w:styleId="Punktlista">
    <w:name w:val="List Bullet"/>
    <w:basedOn w:val="Normal"/>
    <w:semiHidden/>
    <w:rsid w:val="00C352A8"/>
    <w:pPr>
      <w:numPr>
        <w:numId w:val="10"/>
      </w:numPr>
    </w:pPr>
  </w:style>
  <w:style w:type="character" w:styleId="Radnummer">
    <w:name w:val="line number"/>
    <w:basedOn w:val="Standardstycketeckensnitt"/>
    <w:semiHidden/>
    <w:rsid w:val="00C352A8"/>
  </w:style>
  <w:style w:type="character" w:styleId="Sidnummer">
    <w:name w:val="page number"/>
    <w:basedOn w:val="Standardstycketeckensnitt"/>
    <w:semiHidden/>
    <w:rsid w:val="00C352A8"/>
  </w:style>
  <w:style w:type="paragraph" w:styleId="Signatur">
    <w:name w:val="Signature"/>
    <w:basedOn w:val="Normal"/>
    <w:semiHidden/>
    <w:rsid w:val="00C352A8"/>
    <w:pPr>
      <w:ind w:left="4252"/>
    </w:pPr>
  </w:style>
  <w:style w:type="paragraph" w:styleId="Underrubrik">
    <w:name w:val="Subtitle"/>
    <w:basedOn w:val="Normal"/>
    <w:qFormat/>
    <w:rsid w:val="00C352A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2758</Words>
  <Characters>16356</Characters>
  <Application>Microsoft Office Word</Application>
  <DocSecurity>4</DocSecurity>
  <Lines>297</Lines>
  <Paragraphs>73</Paragraphs>
  <ScaleCrop>false</ScaleCrop>
  <HeadingPairs>
    <vt:vector size="2" baseType="variant">
      <vt:variant>
        <vt:lpstr>Rubrik</vt:lpstr>
      </vt:variant>
      <vt:variant>
        <vt:i4>1</vt:i4>
      </vt:variant>
    </vt:vector>
  </HeadingPairs>
  <TitlesOfParts>
    <vt:vector size="1" baseType="lpstr">
      <vt:lpstr>Sf1</vt:lpstr>
    </vt:vector>
  </TitlesOfParts>
  <Company>Riksdagen</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dc:title>
  <dc:subject>Sf1</dc:subject>
  <dc:creator>Riksdagen</dc:creator>
  <cp:keywords>Riksdagen</cp:keywords>
  <dc:description/>
  <cp:lastModifiedBy>Lars Brink</cp:lastModifiedBy>
  <cp:revision>2</cp:revision>
  <cp:lastPrinted>2005-10-21T11:20:00Z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mot2000_418_2005-10-11</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 Flyktingskap och förföljelse på grund av kön eller sexuell läggning</vt:lpwstr>
  </property>
  <property fmtid="{D5CDD505-2E9C-101B-9397-08002B2CF9AE}" pid="11" name="SvarFrasKort">
    <vt:lpwstr>med anledning av prop. 2005/06:6</vt:lpwstr>
  </property>
  <property fmtid="{D5CDD505-2E9C-101B-9397-08002B2CF9AE}" pid="12" name="Svar">
    <vt:lpwstr>proposition</vt:lpwstr>
  </property>
  <property fmtid="{D5CDD505-2E9C-101B-9397-08002B2CF9AE}" pid="13" name="SvarNr">
    <vt:lpwstr>2005/06:6</vt:lpwstr>
  </property>
  <property fmtid="{D5CDD505-2E9C-101B-9397-08002B2CF9AE}" pid="14" name="RubrikSvar">
    <vt:lpwstr>Flyktingskap och förföljelse på grund av kön eller sexuell läggning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v003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(v)\Hoffmann,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Ulla Hoffmann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20052006000000000118000000030080</vt:lpwstr>
  </property>
  <property fmtid="{D5CDD505-2E9C-101B-9397-08002B2CF9AE}" pid="47" name="datum">
    <vt:lpwstr>051013</vt:lpwstr>
  </property>
  <property fmtid="{D5CDD505-2E9C-101B-9397-08002B2CF9AE}" pid="48" name="avsändar-e-post">
    <vt:lpwstr>maya.ek@riksdagen.se</vt:lpwstr>
  </property>
  <property fmtid="{D5CDD505-2E9C-101B-9397-08002B2CF9AE}" pid="49" name="id">
    <vt:lpwstr>20052006000000000118000000030080</vt:lpwstr>
  </property>
  <property fmtid="{D5CDD505-2E9C-101B-9397-08002B2CF9AE}" pid="50" name="nummer">
    <vt:lpwstr>1</vt:lpwstr>
  </property>
  <property fmtid="{D5CDD505-2E9C-101B-9397-08002B2CF9AE}" pid="51" name="utskottsbeteckning">
    <vt:lpwstr>Sf</vt:lpwstr>
  </property>
</Properties>
</file>