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0AF" w:rsidRPr="00BE4283" w:rsidRDefault="007010AF" w:rsidP="007010AF">
      <w:pPr>
        <w:framePr w:w="4400" w:h="1644" w:wrap="notBeside" w:vAnchor="page" w:hAnchor="page" w:x="6573" w:y="721"/>
        <w:rPr>
          <w:rFonts w:ascii="OrigGarmnd BT" w:hAnsi="OrigGarmnd BT"/>
        </w:rPr>
      </w:pPr>
      <w:r w:rsidRPr="00BE4283">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010AF" w:rsidRPr="00BE4283" w:rsidTr="00A5536D">
        <w:tblPrEx>
          <w:tblCellMar>
            <w:top w:w="0" w:type="dxa"/>
            <w:bottom w:w="0" w:type="dxa"/>
          </w:tblCellMar>
        </w:tblPrEx>
        <w:tc>
          <w:tcPr>
            <w:tcW w:w="2268" w:type="dxa"/>
          </w:tcPr>
          <w:p w:rsidR="007010AF" w:rsidRPr="00BE4283" w:rsidRDefault="007010AF" w:rsidP="00A5536D">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7010AF" w:rsidRPr="00BE4283" w:rsidRDefault="007010AF" w:rsidP="00A5536D">
            <w:pPr>
              <w:framePr w:w="4400" w:h="1644" w:wrap="notBeside" w:vAnchor="page" w:hAnchor="page" w:x="6573" w:y="721"/>
              <w:rPr>
                <w:rFonts w:ascii="OrigGarmnd BT" w:hAnsi="OrigGarmnd BT"/>
                <w:i/>
                <w:sz w:val="18"/>
              </w:rPr>
            </w:pPr>
          </w:p>
        </w:tc>
      </w:tr>
      <w:tr w:rsidR="007010AF" w:rsidRPr="00BE4283" w:rsidTr="00A5536D">
        <w:tblPrEx>
          <w:tblCellMar>
            <w:top w:w="0" w:type="dxa"/>
            <w:bottom w:w="0" w:type="dxa"/>
          </w:tblCellMar>
        </w:tblPrEx>
        <w:tc>
          <w:tcPr>
            <w:tcW w:w="2268" w:type="dxa"/>
          </w:tcPr>
          <w:p w:rsidR="007010AF" w:rsidRPr="00BE4283" w:rsidRDefault="007010AF" w:rsidP="00A5536D">
            <w:pPr>
              <w:framePr w:w="4400" w:h="1644" w:wrap="notBeside" w:vAnchor="page" w:hAnchor="page" w:x="6573" w:y="721"/>
              <w:rPr>
                <w:rFonts w:ascii="OrigGarmnd BT" w:hAnsi="OrigGarmnd BT"/>
                <w:b/>
                <w:sz w:val="22"/>
              </w:rPr>
            </w:pPr>
            <w:r w:rsidRPr="00BE4283">
              <w:rPr>
                <w:rFonts w:ascii="OrigGarmnd BT" w:hAnsi="OrigGarmnd BT"/>
                <w:b/>
                <w:sz w:val="22"/>
              </w:rPr>
              <w:t>Kommenterad</w:t>
            </w:r>
          </w:p>
          <w:p w:rsidR="007010AF" w:rsidRPr="00BE4283" w:rsidRDefault="007010AF" w:rsidP="00A5536D">
            <w:pPr>
              <w:framePr w:w="4400" w:h="1644" w:wrap="notBeside" w:vAnchor="page" w:hAnchor="page" w:x="6573" w:y="721"/>
              <w:rPr>
                <w:rFonts w:ascii="OrigGarmnd BT" w:hAnsi="OrigGarmnd BT"/>
                <w:b/>
                <w:sz w:val="22"/>
              </w:rPr>
            </w:pPr>
            <w:r w:rsidRPr="00BE4283">
              <w:rPr>
                <w:rFonts w:ascii="OrigGarmnd BT" w:hAnsi="OrigGarmnd BT"/>
                <w:b/>
                <w:sz w:val="22"/>
              </w:rPr>
              <w:t>dagordning</w:t>
            </w:r>
          </w:p>
        </w:tc>
        <w:tc>
          <w:tcPr>
            <w:tcW w:w="2347" w:type="dxa"/>
            <w:gridSpan w:val="2"/>
          </w:tcPr>
          <w:p w:rsidR="007010AF" w:rsidRPr="00BE4283" w:rsidRDefault="007010AF" w:rsidP="00A5536D">
            <w:pPr>
              <w:framePr w:w="4400" w:h="1644" w:wrap="notBeside" w:vAnchor="page" w:hAnchor="page" w:x="6573" w:y="721"/>
              <w:rPr>
                <w:rFonts w:ascii="Helv" w:hAnsi="Helv" w:cs="Helv"/>
                <w:bCs/>
                <w:sz w:val="20"/>
              </w:rPr>
            </w:pPr>
            <w:r w:rsidRPr="00BE4283">
              <w:rPr>
                <w:rFonts w:ascii="Helv" w:hAnsi="Helv" w:cs="Helv"/>
                <w:bCs/>
                <w:sz w:val="20"/>
              </w:rPr>
              <w:t>Ju2011/1220/EU</w:t>
            </w:r>
          </w:p>
          <w:p w:rsidR="007010AF" w:rsidRPr="00BE4283" w:rsidRDefault="007010AF" w:rsidP="00A5536D">
            <w:pPr>
              <w:framePr w:w="4400" w:h="1644" w:wrap="notBeside" w:vAnchor="page" w:hAnchor="page" w:x="6573" w:y="721"/>
              <w:rPr>
                <w:rFonts w:ascii="Helv" w:hAnsi="Helv" w:cs="Helv"/>
                <w:bCs/>
                <w:sz w:val="20"/>
              </w:rPr>
            </w:pPr>
          </w:p>
          <w:p w:rsidR="007010AF" w:rsidRPr="00BE4283" w:rsidRDefault="007010AF" w:rsidP="00A5536D">
            <w:pPr>
              <w:framePr w:w="4400" w:h="1644" w:wrap="notBeside" w:vAnchor="page" w:hAnchor="page" w:x="6573" w:y="721"/>
              <w:rPr>
                <w:rFonts w:ascii="OrigGarmnd BT" w:hAnsi="OrigGarmnd BT"/>
                <w:sz w:val="22"/>
              </w:rPr>
            </w:pPr>
          </w:p>
        </w:tc>
      </w:tr>
      <w:tr w:rsidR="007010AF" w:rsidRPr="00BE4283" w:rsidTr="00A5536D">
        <w:tblPrEx>
          <w:tblCellMar>
            <w:top w:w="0" w:type="dxa"/>
            <w:bottom w:w="0" w:type="dxa"/>
          </w:tblCellMar>
        </w:tblPrEx>
        <w:tc>
          <w:tcPr>
            <w:tcW w:w="3402" w:type="dxa"/>
            <w:gridSpan w:val="2"/>
          </w:tcPr>
          <w:p w:rsidR="007010AF" w:rsidRPr="00BE4283" w:rsidRDefault="007010AF" w:rsidP="00A5536D">
            <w:pPr>
              <w:framePr w:w="4400" w:h="1644" w:wrap="notBeside" w:vAnchor="page" w:hAnchor="page" w:x="6573" w:y="721"/>
              <w:rPr>
                <w:rFonts w:ascii="OrigGarmnd BT" w:hAnsi="OrigGarmnd BT"/>
              </w:rPr>
            </w:pPr>
          </w:p>
        </w:tc>
        <w:tc>
          <w:tcPr>
            <w:tcW w:w="1213" w:type="dxa"/>
          </w:tcPr>
          <w:p w:rsidR="007010AF" w:rsidRPr="00BE4283" w:rsidRDefault="007010AF" w:rsidP="00A5536D">
            <w:pPr>
              <w:framePr w:w="4400" w:h="1644" w:wrap="notBeside" w:vAnchor="page" w:hAnchor="page" w:x="6573" w:y="721"/>
              <w:rPr>
                <w:rFonts w:ascii="OrigGarmnd BT" w:hAnsi="OrigGarmnd BT"/>
              </w:rPr>
            </w:pPr>
          </w:p>
        </w:tc>
      </w:tr>
      <w:tr w:rsidR="007010AF" w:rsidRPr="00BE4283" w:rsidTr="00A5536D">
        <w:tblPrEx>
          <w:tblCellMar>
            <w:top w:w="0" w:type="dxa"/>
            <w:bottom w:w="0" w:type="dxa"/>
          </w:tblCellMar>
        </w:tblPrEx>
        <w:tc>
          <w:tcPr>
            <w:tcW w:w="2268" w:type="dxa"/>
          </w:tcPr>
          <w:p w:rsidR="007010AF" w:rsidRPr="00BE4283" w:rsidRDefault="007010AF" w:rsidP="00A5536D">
            <w:pPr>
              <w:framePr w:w="4400" w:h="1644" w:wrap="notBeside" w:vAnchor="page" w:hAnchor="page" w:x="6573" w:y="721"/>
              <w:rPr>
                <w:rFonts w:ascii="OrigGarmnd BT" w:hAnsi="OrigGarmnd BT"/>
              </w:rPr>
            </w:pPr>
            <w:r w:rsidRPr="00BE4283">
              <w:rPr>
                <w:rFonts w:ascii="OrigGarmnd BT" w:hAnsi="OrigGarmnd BT"/>
              </w:rPr>
              <w:t>2011-09-12</w:t>
            </w:r>
          </w:p>
        </w:tc>
        <w:tc>
          <w:tcPr>
            <w:tcW w:w="2347" w:type="dxa"/>
            <w:gridSpan w:val="2"/>
          </w:tcPr>
          <w:p w:rsidR="007010AF" w:rsidRPr="00BE4283" w:rsidRDefault="007010AF" w:rsidP="00A5536D">
            <w:pPr>
              <w:framePr w:w="4400" w:h="1644" w:wrap="notBeside" w:vAnchor="page" w:hAnchor="page" w:x="6573" w:y="721"/>
              <w:rPr>
                <w:rFonts w:ascii="OrigGarmnd BT" w:hAnsi="OrigGarmnd BT"/>
              </w:rPr>
            </w:pPr>
          </w:p>
        </w:tc>
      </w:tr>
      <w:tr w:rsidR="007010AF" w:rsidRPr="00BE4283" w:rsidTr="00A5536D">
        <w:tblPrEx>
          <w:tblCellMar>
            <w:top w:w="0" w:type="dxa"/>
            <w:bottom w:w="0" w:type="dxa"/>
          </w:tblCellMar>
        </w:tblPrEx>
        <w:tc>
          <w:tcPr>
            <w:tcW w:w="2268" w:type="dxa"/>
          </w:tcPr>
          <w:p w:rsidR="007010AF" w:rsidRPr="00BE4283" w:rsidRDefault="007010AF" w:rsidP="00A5536D">
            <w:pPr>
              <w:framePr w:w="4400" w:h="1644" w:wrap="notBeside" w:vAnchor="page" w:hAnchor="page" w:x="6573" w:y="721"/>
              <w:rPr>
                <w:rFonts w:ascii="OrigGarmnd BT" w:hAnsi="OrigGarmnd BT"/>
              </w:rPr>
            </w:pPr>
          </w:p>
        </w:tc>
        <w:tc>
          <w:tcPr>
            <w:tcW w:w="2347" w:type="dxa"/>
            <w:gridSpan w:val="2"/>
          </w:tcPr>
          <w:p w:rsidR="007010AF" w:rsidRPr="00BE4283" w:rsidRDefault="007010AF" w:rsidP="00A5536D">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7010AF" w:rsidRPr="00BE4283" w:rsidTr="00A5536D">
        <w:tblPrEx>
          <w:tblCellMar>
            <w:top w:w="0" w:type="dxa"/>
            <w:bottom w:w="0" w:type="dxa"/>
          </w:tblCellMar>
        </w:tblPrEx>
        <w:trPr>
          <w:trHeight w:val="2400"/>
        </w:trPr>
        <w:tc>
          <w:tcPr>
            <w:tcW w:w="4911" w:type="dxa"/>
          </w:tcPr>
          <w:p w:rsidR="007010AF" w:rsidRPr="00BE4283" w:rsidRDefault="007010AF" w:rsidP="00A5536D">
            <w:pPr>
              <w:pStyle w:val="Avsndare"/>
              <w:framePr w:h="2483" w:wrap="notBeside" w:x="1504"/>
              <w:rPr>
                <w:rFonts w:ascii="OrigGarmnd BT" w:hAnsi="OrigGarmnd BT"/>
                <w:b/>
                <w:i w:val="0"/>
                <w:sz w:val="22"/>
              </w:rPr>
            </w:pPr>
            <w:r w:rsidRPr="00BE4283">
              <w:rPr>
                <w:rFonts w:ascii="OrigGarmnd BT" w:hAnsi="OrigGarmnd BT"/>
                <w:b/>
                <w:i w:val="0"/>
                <w:sz w:val="22"/>
              </w:rPr>
              <w:t>Justitiedepartementet</w:t>
            </w:r>
          </w:p>
          <w:p w:rsidR="007010AF" w:rsidRPr="00BE4283" w:rsidRDefault="007010AF" w:rsidP="00A5536D">
            <w:pPr>
              <w:pStyle w:val="Avsndare"/>
              <w:framePr w:h="2483" w:wrap="notBeside" w:x="1504"/>
              <w:rPr>
                <w:rFonts w:ascii="OrigGarmnd BT" w:hAnsi="OrigGarmnd BT"/>
              </w:rPr>
            </w:pPr>
          </w:p>
          <w:p w:rsidR="007010AF" w:rsidRPr="00BE4283" w:rsidRDefault="007010AF" w:rsidP="00A5536D">
            <w:pPr>
              <w:pStyle w:val="Avsndare"/>
              <w:framePr w:h="2483" w:wrap="notBeside" w:x="1504"/>
              <w:rPr>
                <w:rFonts w:ascii="OrigGarmnd BT" w:hAnsi="OrigGarmnd BT"/>
              </w:rPr>
            </w:pPr>
          </w:p>
          <w:p w:rsidR="007010AF" w:rsidRPr="00BE4283" w:rsidRDefault="007010AF" w:rsidP="00A5536D">
            <w:pPr>
              <w:pStyle w:val="Avsndare"/>
              <w:framePr w:h="2483" w:wrap="notBeside" w:x="1504"/>
              <w:rPr>
                <w:rFonts w:ascii="OrigGarmnd BT" w:hAnsi="OrigGarmnd BT"/>
                <w:b/>
                <w:i w:val="0"/>
                <w:sz w:val="22"/>
              </w:rPr>
            </w:pPr>
          </w:p>
        </w:tc>
      </w:tr>
    </w:tbl>
    <w:p w:rsidR="007010AF" w:rsidRPr="00BE4283" w:rsidRDefault="007010AF" w:rsidP="007010AF">
      <w:pPr>
        <w:framePr w:w="4400" w:h="2523" w:wrap="notBeside" w:vAnchor="page" w:hAnchor="page" w:x="6453" w:y="2445"/>
        <w:ind w:left="142"/>
        <w:rPr>
          <w:rFonts w:ascii="OrigGarmnd BT" w:hAnsi="OrigGarmnd BT"/>
        </w:rPr>
      </w:pPr>
    </w:p>
    <w:p w:rsidR="007010AF" w:rsidRPr="00BE4283" w:rsidRDefault="007010AF" w:rsidP="007010AF">
      <w:pPr>
        <w:framePr w:w="4400" w:h="2523" w:wrap="notBeside" w:vAnchor="page" w:hAnchor="page" w:x="6453" w:y="2445"/>
        <w:ind w:left="142"/>
        <w:rPr>
          <w:rFonts w:ascii="OrigGarmnd BT" w:hAnsi="OrigGarmnd BT"/>
        </w:rPr>
      </w:pPr>
      <w:r w:rsidRPr="00BE4283">
        <w:rPr>
          <w:rFonts w:ascii="OrigGarmnd BT" w:hAnsi="OrigGarmnd BT"/>
        </w:rPr>
        <w:t>EU-nämndens kansli</w:t>
      </w:r>
    </w:p>
    <w:p w:rsidR="007010AF" w:rsidRPr="00BE4283" w:rsidRDefault="007010AF" w:rsidP="007010AF">
      <w:pPr>
        <w:framePr w:w="4400" w:h="2523" w:wrap="notBeside" w:vAnchor="page" w:hAnchor="page" w:x="6453" w:y="2445"/>
        <w:ind w:left="142"/>
        <w:rPr>
          <w:rFonts w:ascii="OrigGarmnd BT" w:hAnsi="OrigGarmnd BT"/>
        </w:rPr>
      </w:pPr>
      <w:r w:rsidRPr="00BE4283">
        <w:rPr>
          <w:rFonts w:ascii="OrigGarmnd BT" w:hAnsi="OrigGarmnd BT"/>
        </w:rPr>
        <w:t>Riksdagen</w:t>
      </w:r>
    </w:p>
    <w:p w:rsidR="007010AF" w:rsidRPr="00BE4283" w:rsidRDefault="007010AF" w:rsidP="007010AF">
      <w:pPr>
        <w:framePr w:w="4400" w:h="2523" w:wrap="notBeside" w:vAnchor="page" w:hAnchor="page" w:x="6453" w:y="2445"/>
        <w:ind w:left="142"/>
        <w:rPr>
          <w:rFonts w:ascii="OrigGarmnd BT" w:hAnsi="OrigGarmnd BT"/>
        </w:rPr>
      </w:pPr>
    </w:p>
    <w:p w:rsidR="007010AF" w:rsidRPr="00BE4283" w:rsidRDefault="007010AF" w:rsidP="007010AF">
      <w:pPr>
        <w:framePr w:w="4400" w:h="2523" w:wrap="notBeside" w:vAnchor="page" w:hAnchor="page" w:x="6453" w:y="2445"/>
        <w:ind w:left="142"/>
        <w:rPr>
          <w:rFonts w:ascii="OrigGarmnd BT" w:hAnsi="OrigGarmnd BT"/>
        </w:rPr>
      </w:pPr>
      <w:r w:rsidRPr="00BE4283">
        <w:rPr>
          <w:rFonts w:ascii="OrigGarmnd BT" w:hAnsi="OrigGarmnd BT"/>
        </w:rPr>
        <w:t>Kopia: Justitieutskottets kansli</w:t>
      </w:r>
    </w:p>
    <w:p w:rsidR="007010AF" w:rsidRPr="00BE4283" w:rsidRDefault="007010AF" w:rsidP="007010AF">
      <w:pPr>
        <w:framePr w:w="4400" w:h="2523" w:wrap="notBeside" w:vAnchor="page" w:hAnchor="page" w:x="6453" w:y="2445"/>
        <w:ind w:left="142"/>
        <w:rPr>
          <w:rFonts w:ascii="OrigGarmnd BT" w:hAnsi="OrigGarmnd BT"/>
        </w:rPr>
      </w:pPr>
      <w:r w:rsidRPr="00BE4283">
        <w:rPr>
          <w:rFonts w:ascii="OrigGarmnd BT" w:hAnsi="OrigGarmnd BT"/>
        </w:rPr>
        <w:t>Kopia: Socialförsäkringsutskottets kansli</w:t>
      </w:r>
    </w:p>
    <w:p w:rsidR="007010AF" w:rsidRPr="00BE4283" w:rsidRDefault="007010AF" w:rsidP="007010AF">
      <w:pPr>
        <w:framePr w:w="4400" w:h="2523" w:wrap="notBeside" w:vAnchor="page" w:hAnchor="page" w:x="6453" w:y="2445"/>
        <w:ind w:left="142"/>
        <w:rPr>
          <w:rFonts w:ascii="OrigGarmnd BT" w:hAnsi="OrigGarmnd BT"/>
        </w:rPr>
      </w:pPr>
      <w:r w:rsidRPr="00BE4283">
        <w:rPr>
          <w:rFonts w:ascii="OrigGarmnd BT" w:hAnsi="OrigGarmnd BT"/>
        </w:rPr>
        <w:t>Kopia: Arbetsmarknadsutskottets kansli</w:t>
      </w:r>
    </w:p>
    <w:p w:rsidR="007010AF" w:rsidRPr="00BE4283" w:rsidRDefault="007010AF" w:rsidP="007010AF">
      <w:pPr>
        <w:framePr w:w="4400" w:h="2523" w:wrap="notBeside" w:vAnchor="page" w:hAnchor="page" w:x="6453" w:y="2445"/>
        <w:ind w:left="142"/>
        <w:rPr>
          <w:rFonts w:ascii="OrigGarmnd BT" w:hAnsi="OrigGarmnd BT"/>
        </w:rPr>
      </w:pPr>
      <w:r w:rsidRPr="00BE4283">
        <w:rPr>
          <w:rFonts w:ascii="OrigGarmnd BT" w:hAnsi="OrigGarmnd BT"/>
        </w:rPr>
        <w:t>Kopia: Konstitutionsutskottets kansli</w:t>
      </w:r>
    </w:p>
    <w:p w:rsidR="007010AF" w:rsidRPr="00BE4283" w:rsidRDefault="007010AF" w:rsidP="007010AF">
      <w:pPr>
        <w:pStyle w:val="RKrubrik"/>
        <w:pBdr>
          <w:bottom w:val="single" w:sz="6" w:space="1" w:color="auto"/>
        </w:pBdr>
        <w:spacing w:before="0" w:after="0"/>
        <w:rPr>
          <w:rFonts w:ascii="OrigGarmnd BT" w:hAnsi="OrigGarmnd BT"/>
          <w:sz w:val="24"/>
        </w:rPr>
      </w:pPr>
    </w:p>
    <w:p w:rsidR="007010AF" w:rsidRPr="00BE4283" w:rsidRDefault="007010AF" w:rsidP="007010AF">
      <w:pPr>
        <w:pStyle w:val="RKrubrik"/>
        <w:pBdr>
          <w:bottom w:val="single" w:sz="6" w:space="1" w:color="auto"/>
        </w:pBdr>
        <w:spacing w:before="0" w:after="0"/>
        <w:rPr>
          <w:rFonts w:ascii="OrigGarmnd BT" w:hAnsi="OrigGarmnd BT"/>
          <w:sz w:val="24"/>
        </w:rPr>
      </w:pPr>
      <w:r w:rsidRPr="00BE4283">
        <w:rPr>
          <w:rFonts w:ascii="OrigGarmnd BT" w:hAnsi="OrigGarmnd BT"/>
          <w:sz w:val="24"/>
        </w:rPr>
        <w:t>Kommenterad dagordning för ministerrådsmötet för rättsliga och inrikes frågor samt räddningstjänsten (RIF-rådet) i Bryssel den 22-23 september 2011</w:t>
      </w:r>
    </w:p>
    <w:p w:rsidR="007010AF" w:rsidRPr="00BE4283" w:rsidRDefault="007010AF" w:rsidP="007010AF">
      <w:pPr>
        <w:pStyle w:val="RKnormal"/>
      </w:pPr>
    </w:p>
    <w:p w:rsidR="007010AF" w:rsidRPr="00BE4283" w:rsidRDefault="007010AF" w:rsidP="007010AF">
      <w:pPr>
        <w:pStyle w:val="RKnormal"/>
      </w:pPr>
    </w:p>
    <w:p w:rsidR="007010AF" w:rsidRPr="00BE4283" w:rsidRDefault="007010AF" w:rsidP="007010AF">
      <w:pPr>
        <w:pStyle w:val="RKnormal"/>
        <w:rPr>
          <w:b/>
        </w:rPr>
      </w:pPr>
      <w:r w:rsidRPr="00BE4283">
        <w:rPr>
          <w:b/>
        </w:rPr>
        <w:t>1. Godkännande av den preliminära dagordningen</w:t>
      </w:r>
    </w:p>
    <w:p w:rsidR="007010AF" w:rsidRPr="00BE4283" w:rsidRDefault="007010AF" w:rsidP="007010AF">
      <w:pPr>
        <w:pStyle w:val="RKnormal"/>
      </w:pPr>
    </w:p>
    <w:p w:rsidR="007010AF" w:rsidRPr="00BE4283" w:rsidRDefault="007010AF" w:rsidP="007010AF">
      <w:pPr>
        <w:pStyle w:val="RKnormal"/>
      </w:pPr>
      <w:r w:rsidRPr="00BE4283">
        <w:t>Se bifogad preliminär dagordning.</w:t>
      </w:r>
    </w:p>
    <w:p w:rsidR="007010AF" w:rsidRPr="00BE4283" w:rsidRDefault="007010AF" w:rsidP="007010AF">
      <w:pPr>
        <w:pStyle w:val="RKnormal"/>
        <w:rPr>
          <w:b/>
        </w:rPr>
      </w:pPr>
    </w:p>
    <w:p w:rsidR="007010AF" w:rsidRPr="00BE4283" w:rsidRDefault="007010AF" w:rsidP="007010AF">
      <w:pPr>
        <w:rPr>
          <w:rFonts w:ascii="OrigGarmnd BT" w:hAnsi="OrigGarmnd BT"/>
          <w:b/>
        </w:rPr>
      </w:pPr>
    </w:p>
    <w:p w:rsidR="007010AF" w:rsidRPr="00BE4283" w:rsidRDefault="007010AF" w:rsidP="007010AF">
      <w:pPr>
        <w:rPr>
          <w:rFonts w:ascii="OrigGarmnd BT" w:hAnsi="OrigGarmnd BT"/>
          <w:b/>
        </w:rPr>
      </w:pPr>
      <w:r w:rsidRPr="00BE4283">
        <w:rPr>
          <w:rFonts w:ascii="OrigGarmnd BT" w:hAnsi="OrigGarmnd BT"/>
          <w:b/>
        </w:rPr>
        <w:t>INRIKES FRÅGOR</w:t>
      </w:r>
    </w:p>
    <w:p w:rsidR="007010AF" w:rsidRPr="00BE4283" w:rsidRDefault="007010AF" w:rsidP="007010AF">
      <w:pPr>
        <w:pStyle w:val="RKnormal"/>
        <w:rPr>
          <w:b/>
        </w:rPr>
      </w:pPr>
    </w:p>
    <w:p w:rsidR="007010AF" w:rsidRPr="00BE4283" w:rsidRDefault="007010AF" w:rsidP="007010AF">
      <w:pPr>
        <w:pStyle w:val="RKnormal"/>
        <w:rPr>
          <w:b/>
          <w:u w:val="single"/>
        </w:rPr>
      </w:pPr>
      <w:r w:rsidRPr="00BE4283">
        <w:rPr>
          <w:b/>
          <w:u w:val="single"/>
        </w:rPr>
        <w:t>Lagstiftningsöverläggningar</w:t>
      </w:r>
      <w:r w:rsidRPr="00BE4283">
        <w:rPr>
          <w:rStyle w:val="Fotnotsreferens"/>
          <w:b/>
          <w:u w:val="single"/>
        </w:rPr>
        <w:footnoteReference w:id="1"/>
      </w:r>
    </w:p>
    <w:p w:rsidR="007010AF" w:rsidRPr="00BE4283" w:rsidRDefault="007010AF" w:rsidP="007010AF">
      <w:pPr>
        <w:rPr>
          <w:rFonts w:ascii="OrigGarmnd BT" w:hAnsi="OrigGarmnd BT"/>
          <w:b/>
        </w:rPr>
      </w:pPr>
    </w:p>
    <w:p w:rsidR="007010AF" w:rsidRPr="00BE4283" w:rsidRDefault="007010AF" w:rsidP="007010AF">
      <w:pPr>
        <w:rPr>
          <w:rFonts w:ascii="OrigGarmnd BT" w:hAnsi="OrigGarmnd BT"/>
          <w:b/>
        </w:rPr>
      </w:pPr>
    </w:p>
    <w:p w:rsidR="007010AF" w:rsidRPr="00BE4283" w:rsidRDefault="007010AF" w:rsidP="007010AF">
      <w:pPr>
        <w:pStyle w:val="RKnormal"/>
        <w:rPr>
          <w:b/>
        </w:rPr>
      </w:pPr>
      <w:r w:rsidRPr="00BE4283">
        <w:rPr>
          <w:b/>
        </w:rPr>
        <w:t>2. Godkännande av A-punktslistan</w:t>
      </w:r>
    </w:p>
    <w:p w:rsidR="007010AF" w:rsidRPr="00BE4283" w:rsidRDefault="007010AF" w:rsidP="007010AF">
      <w:pPr>
        <w:pStyle w:val="RKnormal"/>
        <w:rPr>
          <w:b/>
        </w:rPr>
      </w:pPr>
    </w:p>
    <w:p w:rsidR="007010AF" w:rsidRPr="00BE4283" w:rsidRDefault="007010AF" w:rsidP="007010AF">
      <w:pPr>
        <w:pStyle w:val="RKnormal"/>
      </w:pPr>
      <w:r w:rsidRPr="00BE4283">
        <w:t>Det har ännu inte presenterats någon A-punktslista.</w:t>
      </w:r>
    </w:p>
    <w:p w:rsidR="007010AF" w:rsidRPr="00BE4283" w:rsidRDefault="007010AF" w:rsidP="007010AF">
      <w:pPr>
        <w:rPr>
          <w:rFonts w:ascii="OrigGarmnd BT" w:hAnsi="OrigGarmnd BT"/>
          <w:b/>
        </w:rPr>
      </w:pPr>
    </w:p>
    <w:p w:rsidR="007010AF" w:rsidRPr="00BE4283" w:rsidRDefault="007010AF" w:rsidP="007010AF">
      <w:pPr>
        <w:rPr>
          <w:rFonts w:ascii="OrigGarmnd BT" w:hAnsi="OrigGarmnd BT"/>
          <w:b/>
        </w:rPr>
      </w:pPr>
    </w:p>
    <w:p w:rsidR="007010AF" w:rsidRPr="00BE4283" w:rsidRDefault="007010AF" w:rsidP="007010AF">
      <w:pPr>
        <w:pStyle w:val="RKnormal"/>
        <w:rPr>
          <w:b/>
        </w:rPr>
      </w:pPr>
      <w:r w:rsidRPr="00BE4283">
        <w:rPr>
          <w:b/>
        </w:rPr>
        <w:t>3. Gemensamma europeiska asylsystemet (Sr Billström)</w:t>
      </w:r>
    </w:p>
    <w:p w:rsidR="007010AF" w:rsidRPr="00BE4283" w:rsidRDefault="007010AF" w:rsidP="007010AF">
      <w:pPr>
        <w:pStyle w:val="RKnormal"/>
        <w:rPr>
          <w:b/>
        </w:rPr>
      </w:pPr>
      <w:r w:rsidRPr="00BE4283">
        <w:rPr>
          <w:b/>
        </w:rPr>
        <w:t xml:space="preserve">– Lägesrapport/vägledning för de kommande förhandlingarna om det gemensamma europeiska asylsystemet   </w:t>
      </w:r>
    </w:p>
    <w:p w:rsidR="007010AF" w:rsidRPr="00BE4283" w:rsidRDefault="007010AF" w:rsidP="007010AF">
      <w:pPr>
        <w:pStyle w:val="RKnormal"/>
        <w:rPr>
          <w:b/>
        </w:rPr>
      </w:pPr>
    </w:p>
    <w:p w:rsidR="007010AF" w:rsidRPr="00BE4283" w:rsidRDefault="007010AF" w:rsidP="007010AF">
      <w:pPr>
        <w:outlineLvl w:val="0"/>
        <w:rPr>
          <w:rFonts w:ascii="OrigGarmnd BT" w:hAnsi="OrigGarmnd BT"/>
          <w:bCs/>
          <w:i/>
          <w:iCs/>
        </w:rPr>
      </w:pPr>
      <w:r w:rsidRPr="00BE4283">
        <w:rPr>
          <w:rFonts w:ascii="OrigGarmnd BT" w:hAnsi="OrigGarmnd BT"/>
          <w:bCs/>
          <w:i/>
          <w:iCs/>
        </w:rPr>
        <w:t>Bakgrund</w:t>
      </w:r>
    </w:p>
    <w:p w:rsidR="007010AF" w:rsidRPr="00BE4283" w:rsidRDefault="007010AF" w:rsidP="007010AF">
      <w:pPr>
        <w:pStyle w:val="RKnormal"/>
      </w:pPr>
      <w:r w:rsidRPr="00BE4283">
        <w:t xml:space="preserve">Inom ramen för det gemensamma europeiska asylsystemet fortsatte under våren det ungerska ordförandeskapet förhandlingarna om främst </w:t>
      </w:r>
      <w:r w:rsidRPr="00BE4283">
        <w:rPr>
          <w:i/>
        </w:rPr>
        <w:t>Dublinförordningen</w:t>
      </w:r>
      <w:r w:rsidRPr="00BE4283">
        <w:t xml:space="preserve"> och </w:t>
      </w:r>
      <w:r w:rsidRPr="00BE4283">
        <w:rPr>
          <w:i/>
        </w:rPr>
        <w:t>skyddsgrundsdirektivet</w:t>
      </w:r>
      <w:r w:rsidRPr="00BE4283">
        <w:t xml:space="preserve">. </w:t>
      </w:r>
      <w:r w:rsidRPr="00BE4283">
        <w:rPr>
          <w:bCs/>
        </w:rPr>
        <w:t xml:space="preserve">Beträffande </w:t>
      </w:r>
      <w:r w:rsidRPr="00BE4283">
        <w:rPr>
          <w:bCs/>
          <w:i/>
        </w:rPr>
        <w:t>Eurodacförordningen</w:t>
      </w:r>
      <w:r w:rsidRPr="00BE4283">
        <w:rPr>
          <w:bCs/>
        </w:rPr>
        <w:t xml:space="preserve"> har flera medlemsstater signalerat att man vill se ett förslag som ger brottsbekämpande myndigheter åtkomst till Eurodac innan man går vidare i förhandlingsarbetet, men det är osäkert när ett sådant förslag kan komma att presenteras.</w:t>
      </w:r>
    </w:p>
    <w:p w:rsidR="007010AF" w:rsidRPr="00BE4283" w:rsidRDefault="007010AF" w:rsidP="007010AF">
      <w:pPr>
        <w:pStyle w:val="RKnormal"/>
      </w:pPr>
    </w:p>
    <w:p w:rsidR="007010AF" w:rsidRPr="00BE4283" w:rsidRDefault="007010AF" w:rsidP="007010AF">
      <w:pPr>
        <w:pStyle w:val="RKnormal"/>
      </w:pPr>
      <w:r w:rsidRPr="00BE4283">
        <w:t xml:space="preserve">I maj 2011 trädde direktivet om ändringar av </w:t>
      </w:r>
      <w:r w:rsidRPr="00BE4283">
        <w:rPr>
          <w:i/>
        </w:rPr>
        <w:t>direktivet om varaktigt bosatta</w:t>
      </w:r>
      <w:r w:rsidRPr="00BE4283">
        <w:t xml:space="preserve"> ikraft. </w:t>
      </w:r>
    </w:p>
    <w:p w:rsidR="007010AF" w:rsidRPr="00BE4283" w:rsidRDefault="007010AF" w:rsidP="007010AF">
      <w:pPr>
        <w:pStyle w:val="RKnormal"/>
      </w:pPr>
    </w:p>
    <w:p w:rsidR="007010AF" w:rsidRPr="00BE4283" w:rsidRDefault="007010AF" w:rsidP="007010AF">
      <w:pPr>
        <w:pStyle w:val="RKnormal"/>
        <w:rPr>
          <w:lang w:eastAsia="sv-SE"/>
        </w:rPr>
      </w:pPr>
      <w:r w:rsidRPr="00BE4283">
        <w:t xml:space="preserve">Det ungerska ordförandeskapet presenterade ett nytt kompromissförslag avseende ett </w:t>
      </w:r>
      <w:r w:rsidRPr="00BE4283">
        <w:rPr>
          <w:i/>
        </w:rPr>
        <w:t>gemensamt vidarebosättningsprogram för EU</w:t>
      </w:r>
      <w:r w:rsidRPr="00BE4283">
        <w:t xml:space="preserve"> i maj 2011. Efter det har dock inga förhandlingar ägt rum. </w:t>
      </w:r>
    </w:p>
    <w:p w:rsidR="007010AF" w:rsidRPr="00BE4283" w:rsidRDefault="007010AF" w:rsidP="007010AF">
      <w:pPr>
        <w:pStyle w:val="RKnormal"/>
      </w:pPr>
    </w:p>
    <w:p w:rsidR="007010AF" w:rsidRPr="00BE4283" w:rsidRDefault="007010AF" w:rsidP="007010AF">
      <w:pPr>
        <w:pStyle w:val="RKnormal"/>
      </w:pPr>
      <w:r w:rsidRPr="00BE4283">
        <w:t xml:space="preserve">Den 1 juni 2011 antog kommissionen nya ändringsförslag vad gäller </w:t>
      </w:r>
      <w:r w:rsidRPr="00BE4283">
        <w:rPr>
          <w:i/>
        </w:rPr>
        <w:t xml:space="preserve">asylprocedur- och mottagandedirektiven </w:t>
      </w:r>
      <w:r w:rsidRPr="00BE4283">
        <w:t>och förhandlingarna av dessa direktiv har inletts i rådet.</w:t>
      </w:r>
    </w:p>
    <w:p w:rsidR="007010AF" w:rsidRPr="00BE4283" w:rsidRDefault="007010AF" w:rsidP="007010AF">
      <w:pPr>
        <w:pStyle w:val="RKnormal"/>
      </w:pPr>
    </w:p>
    <w:p w:rsidR="007010AF" w:rsidRPr="00BE4283" w:rsidRDefault="007010AF" w:rsidP="007010AF">
      <w:pPr>
        <w:pStyle w:val="RKnormal"/>
      </w:pPr>
      <w:r w:rsidRPr="00BE4283">
        <w:rPr>
          <w:i/>
        </w:rPr>
        <w:t>Det europeiska stödkontoret för asylfrågor</w:t>
      </w:r>
      <w:r w:rsidRPr="00BE4283">
        <w:t xml:space="preserve"> </w:t>
      </w:r>
      <w:r w:rsidR="00A40270" w:rsidRPr="00BE4283">
        <w:t xml:space="preserve">invigdes </w:t>
      </w:r>
      <w:r w:rsidRPr="00BE4283">
        <w:t>den 19 juni 2011.</w:t>
      </w:r>
    </w:p>
    <w:p w:rsidR="007010AF" w:rsidRPr="00BE4283" w:rsidRDefault="007010AF" w:rsidP="007010AF">
      <w:pPr>
        <w:pStyle w:val="RKnormal"/>
        <w:rPr>
          <w:b/>
        </w:rPr>
      </w:pPr>
    </w:p>
    <w:p w:rsidR="007010AF" w:rsidRPr="00BE4283" w:rsidRDefault="007010AF" w:rsidP="007010AF">
      <w:pPr>
        <w:pStyle w:val="RKnormal"/>
        <w:rPr>
          <w:i/>
        </w:rPr>
      </w:pPr>
      <w:r w:rsidRPr="00BE4283">
        <w:rPr>
          <w:i/>
        </w:rPr>
        <w:t>Svensk ståndpunkt</w:t>
      </w:r>
    </w:p>
    <w:p w:rsidR="007010AF" w:rsidRPr="00BE4283" w:rsidRDefault="007010AF" w:rsidP="007010AF">
      <w:pPr>
        <w:pStyle w:val="Punktlista"/>
        <w:numPr>
          <w:ilvl w:val="0"/>
          <w:numId w:val="0"/>
        </w:numPr>
      </w:pPr>
      <w:r w:rsidRPr="00BE4283">
        <w:t xml:space="preserve">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och att förändringar i regelverket inte medför ökad administration, onödigt långa handläggningstider eller omotiverat ökade utgifter. </w:t>
      </w:r>
      <w:r w:rsidR="00846CB6" w:rsidRPr="00BE4283">
        <w:t xml:space="preserve">Enskilda medlemsstater ska inte förhindras att ha en i förhållande till den enskilde mer generös inställning än den som EU, som helhet, har. </w:t>
      </w:r>
      <w:r w:rsidRPr="00BE4283">
        <w:t>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 Det är också viktigt att ett gemensamt vidarebosättnings</w:t>
      </w:r>
      <w:r w:rsidRPr="00BE4283">
        <w:softHyphen/>
        <w:t>program för EU inrättas.</w:t>
      </w:r>
    </w:p>
    <w:p w:rsidR="007010AF" w:rsidRPr="00BE4283" w:rsidRDefault="007010AF" w:rsidP="007010AF">
      <w:pPr>
        <w:pStyle w:val="Punktlista"/>
        <w:numPr>
          <w:ilvl w:val="0"/>
          <w:numId w:val="0"/>
        </w:numPr>
      </w:pPr>
      <w:r w:rsidRPr="00BE4283">
        <w:t xml:space="preserve"> </w:t>
      </w:r>
    </w:p>
    <w:p w:rsidR="007010AF" w:rsidRPr="00BE4283" w:rsidRDefault="007010AF" w:rsidP="007010AF">
      <w:pPr>
        <w:pStyle w:val="RKnormal"/>
        <w:rPr>
          <w:lang w:eastAsia="sv-SE"/>
        </w:rPr>
      </w:pPr>
      <w:r w:rsidRPr="00BE4283">
        <w:rPr>
          <w:lang w:eastAsia="sv-SE"/>
        </w:rPr>
        <w:t xml:space="preserve">Se vidare i </w:t>
      </w:r>
      <w:r w:rsidRPr="00BE4283">
        <w:rPr>
          <w:u w:val="single"/>
          <w:lang w:eastAsia="sv-SE"/>
        </w:rPr>
        <w:t>bifogad promemoria</w:t>
      </w:r>
      <w:r w:rsidRPr="00BE4283">
        <w:rPr>
          <w:lang w:eastAsia="sv-SE"/>
        </w:rPr>
        <w:t>.</w:t>
      </w:r>
    </w:p>
    <w:p w:rsidR="007010AF" w:rsidRPr="00BE4283" w:rsidRDefault="007010AF" w:rsidP="007010AF">
      <w:pPr>
        <w:pStyle w:val="RKnormal"/>
        <w:rPr>
          <w:lang w:eastAsia="sv-SE"/>
        </w:rPr>
      </w:pPr>
    </w:p>
    <w:p w:rsidR="007010AF" w:rsidRPr="00BE4283" w:rsidRDefault="007010AF" w:rsidP="007010AF">
      <w:pPr>
        <w:pStyle w:val="RKnormal"/>
        <w:rPr>
          <w:b/>
          <w:u w:val="single"/>
        </w:rPr>
      </w:pPr>
    </w:p>
    <w:p w:rsidR="00B357AB" w:rsidRPr="00BE4283" w:rsidRDefault="00B357AB" w:rsidP="007010AF">
      <w:pPr>
        <w:pStyle w:val="RKnormal"/>
        <w:rPr>
          <w:b/>
          <w:u w:val="single"/>
        </w:rPr>
      </w:pPr>
    </w:p>
    <w:p w:rsidR="007010AF" w:rsidRPr="00BE4283" w:rsidRDefault="007010AF" w:rsidP="007010AF">
      <w:pPr>
        <w:pStyle w:val="RKnormal"/>
        <w:rPr>
          <w:b/>
        </w:rPr>
      </w:pPr>
      <w:r w:rsidRPr="00BE4283">
        <w:rPr>
          <w:b/>
          <w:u w:val="single"/>
        </w:rPr>
        <w:t>Icke lagstiftande verksamhet</w:t>
      </w:r>
    </w:p>
    <w:p w:rsidR="007010AF" w:rsidRPr="00BE4283" w:rsidRDefault="007010AF" w:rsidP="007010AF">
      <w:pPr>
        <w:rPr>
          <w:rFonts w:ascii="OrigGarmnd BT" w:hAnsi="OrigGarmnd BT"/>
          <w:b/>
        </w:rPr>
      </w:pPr>
    </w:p>
    <w:p w:rsidR="007010AF" w:rsidRPr="00BE4283" w:rsidRDefault="007010AF" w:rsidP="007010AF">
      <w:pPr>
        <w:rPr>
          <w:rFonts w:ascii="OrigGarmnd BT" w:hAnsi="OrigGarmnd BT"/>
          <w:b/>
        </w:rPr>
      </w:pPr>
    </w:p>
    <w:p w:rsidR="007010AF" w:rsidRPr="00BE4283" w:rsidRDefault="007010AF" w:rsidP="007010AF">
      <w:pPr>
        <w:rPr>
          <w:rFonts w:ascii="OrigGarmnd BT" w:hAnsi="OrigGarmnd BT"/>
          <w:b/>
        </w:rPr>
      </w:pPr>
      <w:r w:rsidRPr="00BE4283">
        <w:rPr>
          <w:rFonts w:ascii="OrigGarmnd BT" w:hAnsi="OrigGarmnd BT"/>
          <w:b/>
        </w:rPr>
        <w:t>4. Godkännande av A-punktslistan</w:t>
      </w:r>
    </w:p>
    <w:p w:rsidR="007010AF" w:rsidRPr="00BE4283" w:rsidRDefault="007010AF" w:rsidP="007010AF">
      <w:pPr>
        <w:rPr>
          <w:rFonts w:ascii="OrigGarmnd BT" w:hAnsi="OrigGarmnd BT"/>
          <w:b/>
        </w:rPr>
      </w:pPr>
    </w:p>
    <w:p w:rsidR="007010AF" w:rsidRPr="00BE4283" w:rsidRDefault="007010AF" w:rsidP="007010AF">
      <w:pPr>
        <w:pStyle w:val="RKnormal"/>
      </w:pPr>
      <w:r w:rsidRPr="00BE4283">
        <w:t>Det har ännu inte presenterats någon A-punktslista.</w:t>
      </w:r>
    </w:p>
    <w:p w:rsidR="007010AF" w:rsidRPr="00BE4283" w:rsidRDefault="007010AF" w:rsidP="007010AF">
      <w:pPr>
        <w:rPr>
          <w:rFonts w:ascii="OrigGarmnd BT" w:hAnsi="OrigGarmnd BT"/>
          <w:b/>
          <w:u w:val="single"/>
        </w:rPr>
      </w:pPr>
    </w:p>
    <w:p w:rsidR="007010AF" w:rsidRPr="00BE4283" w:rsidRDefault="007010AF" w:rsidP="007010AF">
      <w:pPr>
        <w:rPr>
          <w:rFonts w:ascii="OrigGarmnd BT" w:hAnsi="OrigGarmnd BT"/>
          <w:b/>
          <w:u w:val="single"/>
        </w:rPr>
      </w:pPr>
    </w:p>
    <w:p w:rsidR="00B357AB" w:rsidRPr="00BE4283" w:rsidRDefault="00B357AB" w:rsidP="007010AF">
      <w:pPr>
        <w:ind w:left="567" w:hanging="567"/>
        <w:rPr>
          <w:rFonts w:ascii="OrigGarmnd BT" w:hAnsi="OrigGarmnd BT"/>
          <w:b/>
        </w:rPr>
      </w:pPr>
    </w:p>
    <w:p w:rsidR="00B357AB" w:rsidRPr="00BE4283" w:rsidRDefault="00B357AB" w:rsidP="007010AF">
      <w:pPr>
        <w:ind w:left="567" w:hanging="567"/>
        <w:rPr>
          <w:rFonts w:ascii="OrigGarmnd BT" w:hAnsi="OrigGarmnd BT"/>
          <w:b/>
        </w:rPr>
      </w:pPr>
    </w:p>
    <w:p w:rsidR="00B357AB" w:rsidRPr="00BE4283" w:rsidRDefault="00B357AB" w:rsidP="007010AF">
      <w:pPr>
        <w:ind w:left="567" w:hanging="567"/>
        <w:rPr>
          <w:rFonts w:ascii="OrigGarmnd BT" w:hAnsi="OrigGarmnd BT"/>
          <w:b/>
        </w:rPr>
      </w:pPr>
    </w:p>
    <w:p w:rsidR="007010AF" w:rsidRPr="00BE4283" w:rsidRDefault="007010AF" w:rsidP="007010AF">
      <w:pPr>
        <w:ind w:left="567" w:hanging="567"/>
        <w:rPr>
          <w:rFonts w:ascii="OrigGarmnd BT" w:hAnsi="OrigGarmnd BT"/>
          <w:b/>
        </w:rPr>
      </w:pPr>
      <w:r w:rsidRPr="00BE4283">
        <w:rPr>
          <w:rFonts w:ascii="OrigGarmnd BT" w:hAnsi="OrigGarmnd BT"/>
          <w:b/>
        </w:rPr>
        <w:t>5. (ev.) Utkast till rådets beslut om fullständig tillämpning av</w:t>
      </w:r>
    </w:p>
    <w:p w:rsidR="007010AF" w:rsidRPr="00BE4283" w:rsidRDefault="007010AF" w:rsidP="007010AF">
      <w:pPr>
        <w:ind w:left="567" w:hanging="567"/>
        <w:rPr>
          <w:rFonts w:ascii="OrigGarmnd BT" w:hAnsi="OrigGarmnd BT"/>
          <w:b/>
        </w:rPr>
      </w:pPr>
      <w:r w:rsidRPr="00BE4283">
        <w:rPr>
          <w:rFonts w:ascii="OrigGarmnd BT" w:hAnsi="OrigGarmnd BT"/>
          <w:b/>
        </w:rPr>
        <w:t>bestämmelserna i Schengenregelverket i Republiken Bulgarien och</w:t>
      </w:r>
    </w:p>
    <w:p w:rsidR="007010AF" w:rsidRPr="00BE4283" w:rsidRDefault="007010AF" w:rsidP="007010AF">
      <w:pPr>
        <w:autoSpaceDE w:val="0"/>
        <w:autoSpaceDN w:val="0"/>
        <w:adjustRightInd w:val="0"/>
        <w:ind w:left="360" w:hanging="360"/>
        <w:rPr>
          <w:rFonts w:ascii="OrigGarmnd BT" w:hAnsi="OrigGarmnd BT"/>
          <w:b/>
        </w:rPr>
      </w:pPr>
      <w:r w:rsidRPr="00BE4283">
        <w:rPr>
          <w:rFonts w:ascii="OrigGarmnd BT" w:hAnsi="OrigGarmnd BT"/>
          <w:b/>
        </w:rPr>
        <w:t xml:space="preserve">Rumänien </w:t>
      </w:r>
      <w:r w:rsidR="00BB37E3" w:rsidRPr="00BE4283">
        <w:rPr>
          <w:rFonts w:ascii="OrigGarmnd BT" w:hAnsi="OrigGarmnd BT"/>
          <w:b/>
        </w:rPr>
        <w:t>(</w:t>
      </w:r>
      <w:r w:rsidRPr="00BE4283">
        <w:rPr>
          <w:rFonts w:ascii="OrigGarmnd BT" w:hAnsi="OrigGarmnd BT"/>
          <w:b/>
        </w:rPr>
        <w:t>Sr Ask)</w:t>
      </w:r>
    </w:p>
    <w:p w:rsidR="007010AF" w:rsidRPr="00BE4283" w:rsidRDefault="007010AF" w:rsidP="007010AF">
      <w:pPr>
        <w:autoSpaceDE w:val="0"/>
        <w:autoSpaceDN w:val="0"/>
        <w:adjustRightInd w:val="0"/>
        <w:ind w:left="360" w:hanging="360"/>
        <w:rPr>
          <w:rFonts w:ascii="OrigGarmnd BT" w:hAnsi="OrigGarmnd BT"/>
          <w:b/>
        </w:rPr>
      </w:pPr>
      <w:r w:rsidRPr="00BE4283">
        <w:rPr>
          <w:rFonts w:ascii="OrigGarmnd BT" w:hAnsi="OrigGarmnd BT"/>
          <w:b/>
        </w:rPr>
        <w:t>=</w:t>
      </w:r>
      <w:r w:rsidRPr="00BE4283">
        <w:rPr>
          <w:rFonts w:ascii="OrigGarmnd BT" w:hAnsi="OrigGarmnd BT"/>
          <w:b/>
        </w:rPr>
        <w:tab/>
        <w:t xml:space="preserve">Antagande </w:t>
      </w:r>
    </w:p>
    <w:p w:rsidR="00BB37E3" w:rsidRPr="00BE4283" w:rsidRDefault="00BB37E3" w:rsidP="007010AF">
      <w:pPr>
        <w:autoSpaceDE w:val="0"/>
        <w:autoSpaceDN w:val="0"/>
        <w:adjustRightInd w:val="0"/>
        <w:ind w:left="360" w:hanging="360"/>
        <w:rPr>
          <w:rFonts w:ascii="OrigGarmnd BT" w:hAnsi="OrigGarmnd BT"/>
          <w:b/>
        </w:rPr>
      </w:pPr>
    </w:p>
    <w:p w:rsidR="00BB37E3" w:rsidRPr="00BE4283" w:rsidRDefault="00BB37E3" w:rsidP="00BB37E3">
      <w:pPr>
        <w:outlineLvl w:val="0"/>
        <w:rPr>
          <w:rFonts w:ascii="OrigGarmnd BT" w:hAnsi="OrigGarmnd BT"/>
          <w:i/>
          <w:iCs/>
        </w:rPr>
      </w:pPr>
      <w:r w:rsidRPr="00BE4283">
        <w:rPr>
          <w:rFonts w:ascii="OrigGarmnd BT" w:hAnsi="OrigGarmnd BT"/>
          <w:i/>
          <w:iCs/>
        </w:rPr>
        <w:t>Avsikten med behandlingen i rådet</w:t>
      </w:r>
    </w:p>
    <w:p w:rsidR="00BB37E3" w:rsidRPr="00BE4283" w:rsidRDefault="00BB37E3" w:rsidP="00BB37E3">
      <w:pPr>
        <w:pStyle w:val="RKnormal"/>
      </w:pPr>
      <w:r w:rsidRPr="00BE4283">
        <w:t>(ev.) Beslut om när Rumänien och Bulgarien formellt ansluts till Schengen.</w:t>
      </w:r>
    </w:p>
    <w:p w:rsidR="00BB37E3" w:rsidRPr="00BE4283" w:rsidRDefault="00BB37E3" w:rsidP="00BB37E3">
      <w:pPr>
        <w:rPr>
          <w:rFonts w:ascii="OrigGarmnd BT" w:hAnsi="OrigGarmnd BT"/>
        </w:rPr>
      </w:pPr>
    </w:p>
    <w:p w:rsidR="00BB37E3" w:rsidRPr="00BE4283" w:rsidRDefault="00BB37E3" w:rsidP="00BB37E3">
      <w:pPr>
        <w:rPr>
          <w:rFonts w:ascii="OrigGarmnd BT" w:hAnsi="OrigGarmnd BT"/>
        </w:rPr>
      </w:pPr>
      <w:r w:rsidRPr="00BE4283">
        <w:rPr>
          <w:rFonts w:ascii="OrigGarmnd BT" w:hAnsi="OrigGarmnd BT"/>
          <w:i/>
        </w:rPr>
        <w:t xml:space="preserve">Dokument: </w:t>
      </w:r>
      <w:r w:rsidRPr="00BE4283">
        <w:rPr>
          <w:rFonts w:ascii="OrigGarmnd BT" w:hAnsi="OrigGarmnd BT"/>
        </w:rPr>
        <w:t>det har ännu inte presenterats något dokument för behandlingen i rådet.</w:t>
      </w:r>
    </w:p>
    <w:p w:rsidR="00BB37E3" w:rsidRPr="00BE4283" w:rsidRDefault="00BB37E3" w:rsidP="00BB37E3">
      <w:pPr>
        <w:pStyle w:val="RKnormal"/>
      </w:pPr>
    </w:p>
    <w:p w:rsidR="00BB37E3" w:rsidRPr="00BE4283" w:rsidRDefault="00BB37E3" w:rsidP="00BB37E3">
      <w:pPr>
        <w:pStyle w:val="RKnormal"/>
      </w:pPr>
      <w:r w:rsidRPr="00BE4283">
        <w:rPr>
          <w:i/>
        </w:rPr>
        <w:t xml:space="preserve">Tidigare behandlad i EU-nämnden: </w:t>
      </w:r>
      <w:r w:rsidRPr="00BE4283">
        <w:t>24-25 februari 2011, 9-10 juni 2011</w:t>
      </w:r>
    </w:p>
    <w:p w:rsidR="00BB37E3" w:rsidRPr="00BE4283" w:rsidRDefault="00BB37E3" w:rsidP="00BB37E3">
      <w:pPr>
        <w:pStyle w:val="RKnormal"/>
      </w:pPr>
    </w:p>
    <w:p w:rsidR="00BB37E3" w:rsidRPr="00BE4283" w:rsidRDefault="00BB37E3" w:rsidP="00BB37E3">
      <w:pPr>
        <w:pStyle w:val="RKnormal"/>
        <w:rPr>
          <w:i/>
        </w:rPr>
      </w:pPr>
      <w:r w:rsidRPr="00BE4283">
        <w:rPr>
          <w:i/>
        </w:rPr>
        <w:t>Bakgrund</w:t>
      </w:r>
    </w:p>
    <w:p w:rsidR="00BB37E3" w:rsidRPr="00BE4283" w:rsidRDefault="00BB37E3" w:rsidP="00BB37E3">
      <w:pPr>
        <w:pStyle w:val="RKnormal"/>
        <w:rPr>
          <w:u w:val="single"/>
        </w:rPr>
      </w:pPr>
      <w:r w:rsidRPr="00BE4283">
        <w:t>I och med Amsterdamfördraget (1997/1999) inkorporerades Schengenregelverket i EU-rätten och blev således en del av den gemensamma EU-acquin.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BE4283">
        <w:rPr>
          <w:i/>
        </w:rPr>
        <w:t xml:space="preserve"> </w:t>
      </w:r>
      <w:r w:rsidRPr="00BE4283">
        <w:t>medlemsstatens förmåga att tillämpa regelverket på ett korrekt sätt.</w:t>
      </w:r>
    </w:p>
    <w:p w:rsidR="00BB37E3" w:rsidRPr="00BE4283" w:rsidRDefault="00BB37E3" w:rsidP="00BB37E3">
      <w:pPr>
        <w:pStyle w:val="RKnormal"/>
        <w:rPr>
          <w:u w:val="single"/>
        </w:rPr>
      </w:pPr>
    </w:p>
    <w:p w:rsidR="00BB37E3" w:rsidRPr="00BE4283" w:rsidRDefault="00BB37E3" w:rsidP="00BB37E3">
      <w:pPr>
        <w:pStyle w:val="RKnormal"/>
      </w:pPr>
      <w:r w:rsidRPr="00BE4283">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BB37E3" w:rsidRPr="00BE4283" w:rsidRDefault="00BB37E3" w:rsidP="00BB37E3">
      <w:pPr>
        <w:pStyle w:val="RKnormal"/>
        <w:numPr>
          <w:ilvl w:val="0"/>
          <w:numId w:val="2"/>
        </w:numPr>
      </w:pPr>
      <w:r w:rsidRPr="00BE4283">
        <w:t xml:space="preserve">gränskontrollen vid yttre gräns, </w:t>
      </w:r>
    </w:p>
    <w:p w:rsidR="00BB37E3" w:rsidRPr="00BE4283" w:rsidRDefault="00BB37E3" w:rsidP="00BB37E3">
      <w:pPr>
        <w:pStyle w:val="RKnormal"/>
        <w:numPr>
          <w:ilvl w:val="0"/>
          <w:numId w:val="2"/>
        </w:numPr>
      </w:pPr>
      <w:r w:rsidRPr="00BE4283">
        <w:t xml:space="preserve">hur polissamarbetet fungerar, </w:t>
      </w:r>
    </w:p>
    <w:p w:rsidR="00BB37E3" w:rsidRPr="00BE4283" w:rsidRDefault="00BB37E3" w:rsidP="00BB37E3">
      <w:pPr>
        <w:pStyle w:val="RKnormal"/>
        <w:numPr>
          <w:ilvl w:val="0"/>
          <w:numId w:val="2"/>
        </w:numPr>
      </w:pPr>
      <w:r w:rsidRPr="00BE4283">
        <w:t xml:space="preserve">om det finns ett adekvat dataskydd, </w:t>
      </w:r>
    </w:p>
    <w:p w:rsidR="00BB37E3" w:rsidRPr="00BE4283" w:rsidRDefault="00BB37E3" w:rsidP="00BB37E3">
      <w:pPr>
        <w:pStyle w:val="RKnormal"/>
        <w:numPr>
          <w:ilvl w:val="0"/>
          <w:numId w:val="2"/>
        </w:numPr>
      </w:pPr>
      <w:r w:rsidRPr="00BE4283">
        <w:t xml:space="preserve">hur viseringsutfärdandet fungerar och </w:t>
      </w:r>
    </w:p>
    <w:p w:rsidR="00BB37E3" w:rsidRPr="00BE4283" w:rsidRDefault="00BB37E3" w:rsidP="00BB37E3">
      <w:pPr>
        <w:pStyle w:val="RKnormal"/>
        <w:numPr>
          <w:ilvl w:val="0"/>
          <w:numId w:val="2"/>
        </w:numPr>
      </w:pPr>
      <w:r w:rsidRPr="00BE4283">
        <w:t>förmågan att nyttja Schengens informationssystem.</w:t>
      </w:r>
    </w:p>
    <w:p w:rsidR="00BB37E3" w:rsidRPr="00BE4283" w:rsidRDefault="00BB37E3" w:rsidP="00BB37E3">
      <w:pPr>
        <w:pStyle w:val="RKnormal"/>
      </w:pPr>
    </w:p>
    <w:p w:rsidR="00BB37E3" w:rsidRPr="00BE4283" w:rsidRDefault="00BB37E3" w:rsidP="00BB37E3">
      <w:pPr>
        <w:pStyle w:val="RKnormal"/>
      </w:pPr>
      <w:r w:rsidRPr="00BE4283">
        <w:t xml:space="preserve">Rådsarbetsgruppen med ansvar för Schengenutvärderingar upprättar rapporter över de utvärderade områdena. Med rapporterna som grund bereds sedan </w:t>
      </w:r>
      <w:r w:rsidRPr="00BE4283">
        <w:rPr>
          <w:i/>
        </w:rPr>
        <w:t>rådsslutsatser</w:t>
      </w:r>
      <w:r w:rsidRPr="00BE4283">
        <w:t xml:space="preserve"> där rådet konstaterar att kandidatlandet bedöms ha förutsättningar att tillämpa regelverket på ett korrekt sätt. Rådet antog under våren rådsslutsatser som konstaterade att Bulgarien och Rumänien </w:t>
      </w:r>
      <w:r w:rsidRPr="00BE4283">
        <w:rPr>
          <w:rFonts w:cs="OrigGarmnd BT"/>
          <w:color w:val="000000"/>
        </w:rPr>
        <w:t xml:space="preserve">formellt avslutat utvärderingsprocessen och visat sig redo att tillämpa Schengenregelverket på ett korrekt sätt. </w:t>
      </w:r>
      <w:r w:rsidRPr="00BE4283">
        <w:t xml:space="preserve">Därmed finns förutsättningar att genom ett </w:t>
      </w:r>
      <w:r w:rsidRPr="00BE4283">
        <w:rPr>
          <w:i/>
        </w:rPr>
        <w:t>rådsbeslut</w:t>
      </w:r>
      <w:r w:rsidRPr="00BE4283">
        <w:t xml:space="preserve"> formellt ange från vilket datum Schengenregelverket ska tillämpas i sin helhet i landet (m.a.o. datumet för när gränskontrollen vid inre gränser upphävs). </w:t>
      </w:r>
    </w:p>
    <w:p w:rsidR="00BB37E3" w:rsidRPr="00BE4283" w:rsidRDefault="00BB37E3" w:rsidP="00BB37E3">
      <w:pPr>
        <w:pStyle w:val="RKnormal"/>
      </w:pPr>
    </w:p>
    <w:p w:rsidR="00B357AB" w:rsidRPr="00BE4283" w:rsidRDefault="00B357AB" w:rsidP="007010AF">
      <w:pPr>
        <w:rPr>
          <w:rFonts w:ascii="OrigGarmnd BT" w:hAnsi="OrigGarmnd BT"/>
          <w:b/>
        </w:rPr>
      </w:pPr>
    </w:p>
    <w:p w:rsidR="00495083" w:rsidRPr="00BE4283" w:rsidRDefault="00495083" w:rsidP="007010AF">
      <w:pPr>
        <w:rPr>
          <w:rFonts w:ascii="OrigGarmnd BT" w:hAnsi="OrigGarmnd BT"/>
          <w:b/>
        </w:rPr>
      </w:pPr>
    </w:p>
    <w:p w:rsidR="007010AF" w:rsidRPr="00BE4283" w:rsidRDefault="007010AF" w:rsidP="007010AF">
      <w:pPr>
        <w:rPr>
          <w:rFonts w:ascii="OrigGarmnd BT" w:hAnsi="OrigGarmnd BT"/>
          <w:b/>
        </w:rPr>
      </w:pPr>
      <w:r w:rsidRPr="00BE4283">
        <w:rPr>
          <w:rFonts w:ascii="OrigGarmnd BT" w:hAnsi="OrigGarmnd BT"/>
          <w:b/>
        </w:rPr>
        <w:t>6. Avtalen om passageraruppgifter (Sr Ask)</w:t>
      </w:r>
    </w:p>
    <w:p w:rsidR="007010AF" w:rsidRPr="00BE4283" w:rsidRDefault="007010AF" w:rsidP="007010AF">
      <w:pPr>
        <w:rPr>
          <w:rFonts w:ascii="OrigGarmnd BT" w:hAnsi="OrigGarmnd BT"/>
          <w:b/>
        </w:rPr>
      </w:pPr>
      <w:r w:rsidRPr="00BE4283">
        <w:rPr>
          <w:rFonts w:ascii="OrigGarmnd BT" w:hAnsi="OrigGarmnd BT"/>
          <w:b/>
        </w:rPr>
        <w:t xml:space="preserve">a) </w:t>
      </w:r>
      <w:r w:rsidRPr="00BE4283">
        <w:rPr>
          <w:rFonts w:ascii="OrigGarmnd BT" w:hAnsi="OrigGarmnd BT"/>
          <w:b/>
          <w:color w:val="000000"/>
        </w:rPr>
        <w:t>Beslut om att underteckna</w:t>
      </w:r>
      <w:r w:rsidRPr="00BE4283">
        <w:rPr>
          <w:rFonts w:ascii="OrigGarmnd BT" w:hAnsi="OrigGarmnd BT"/>
          <w:b/>
        </w:rPr>
        <w:t xml:space="preserve"> PNR-avtalet mellan EU och Australien</w:t>
      </w:r>
    </w:p>
    <w:p w:rsidR="007010AF" w:rsidRPr="00BE4283" w:rsidRDefault="007010AF" w:rsidP="007010AF">
      <w:pPr>
        <w:rPr>
          <w:rFonts w:ascii="OrigGarmnd BT" w:hAnsi="OrigGarmnd BT"/>
          <w:b/>
        </w:rPr>
      </w:pPr>
      <w:r w:rsidRPr="00BE4283">
        <w:rPr>
          <w:rFonts w:ascii="OrigGarmnd BT" w:hAnsi="OrigGarmnd BT"/>
          <w:b/>
        </w:rPr>
        <w:t>b) Lägesrapport för andra avtal</w:t>
      </w:r>
    </w:p>
    <w:p w:rsidR="00A518B8" w:rsidRPr="00BE4283" w:rsidRDefault="00A518B8" w:rsidP="007010AF">
      <w:pPr>
        <w:rPr>
          <w:rFonts w:ascii="OrigGarmnd BT" w:hAnsi="OrigGarmnd BT"/>
          <w:b/>
        </w:rPr>
      </w:pPr>
    </w:p>
    <w:p w:rsidR="00A518B8" w:rsidRPr="00BE4283" w:rsidRDefault="00A518B8" w:rsidP="00A518B8">
      <w:pPr>
        <w:pStyle w:val="RKnormal"/>
        <w:rPr>
          <w:i/>
        </w:rPr>
      </w:pPr>
      <w:r w:rsidRPr="00BE4283">
        <w:rPr>
          <w:i/>
        </w:rPr>
        <w:t>Avsikten med behandlingen i rådet</w:t>
      </w:r>
    </w:p>
    <w:p w:rsidR="00A518B8" w:rsidRPr="00BE4283" w:rsidRDefault="005F215F" w:rsidP="00A518B8">
      <w:pPr>
        <w:pStyle w:val="RKnormal"/>
      </w:pPr>
      <w:r w:rsidRPr="00BE4283">
        <w:t xml:space="preserve">Rådet förväntas formellt ingå PNR-avtalet mellan EU och Australien. </w:t>
      </w:r>
      <w:r w:rsidR="00A518B8" w:rsidRPr="00BE4283">
        <w:t xml:space="preserve">Vidare väntas en information beträffande läget i förhandlingarna om PNR-avtal mellan EU och USA respektive Kanada. </w:t>
      </w:r>
    </w:p>
    <w:p w:rsidR="00A518B8" w:rsidRPr="00BE4283" w:rsidRDefault="00A518B8" w:rsidP="00A518B8">
      <w:pPr>
        <w:pStyle w:val="RKnormal"/>
      </w:pPr>
    </w:p>
    <w:p w:rsidR="00A518B8" w:rsidRPr="00BE4283" w:rsidRDefault="00A518B8" w:rsidP="00A518B8">
      <w:pPr>
        <w:pStyle w:val="RKnormal"/>
      </w:pPr>
      <w:r w:rsidRPr="00BE4283">
        <w:rPr>
          <w:i/>
        </w:rPr>
        <w:t>Bakgrund</w:t>
      </w:r>
    </w:p>
    <w:p w:rsidR="00A518B8" w:rsidRPr="00BE4283" w:rsidRDefault="00A518B8" w:rsidP="00A518B8">
      <w:pPr>
        <w:pStyle w:val="RKnormal"/>
      </w:pPr>
      <w:r w:rsidRPr="00BE4283">
        <w:t xml:space="preserve">I december 2010 beslutade rådet att ge kommissionen formellt mandat att omförhandla de tre internationella avtal om utbyte av s.k. PNR-uppgifter med USA, Kanada och Australien. </w:t>
      </w:r>
    </w:p>
    <w:p w:rsidR="00A518B8" w:rsidRPr="00BE4283" w:rsidRDefault="00A518B8" w:rsidP="00A518B8">
      <w:pPr>
        <w:pStyle w:val="RKnormal"/>
      </w:pPr>
    </w:p>
    <w:p w:rsidR="00A518B8" w:rsidRPr="00BE4283" w:rsidRDefault="00A518B8" w:rsidP="00A518B8">
      <w:pPr>
        <w:pStyle w:val="RKnormal"/>
      </w:pPr>
      <w:r w:rsidRPr="00BE4283">
        <w:t>Förhandlingarna med Australien har nu slutförts och avtalet har därefter undertecknats av parterna, dvs. Australien och kommissionen. För att avtalet sedan ska träda ikraft krävs enligt fördraget att det formellt ingås av rådet, vilket förväntas ske vid RIF-rådet den 22-23 september 2011.</w:t>
      </w:r>
    </w:p>
    <w:p w:rsidR="00A518B8" w:rsidRPr="00BE4283" w:rsidRDefault="00A518B8" w:rsidP="00A518B8">
      <w:pPr>
        <w:pStyle w:val="RKnormal"/>
      </w:pPr>
    </w:p>
    <w:p w:rsidR="00A518B8" w:rsidRPr="00BE4283" w:rsidRDefault="00A518B8" w:rsidP="00A518B8">
      <w:pPr>
        <w:pStyle w:val="RKnormal"/>
      </w:pPr>
      <w:r w:rsidRPr="00BE4283">
        <w:t>Vid rådsmötet förväntas också en information beträffande läget i förhandlingarna med USA och Kanada. Förhandlingsarbetet med dessa båda länder har ännu inte avslutats. För Kanada har ännu ingen text presenterats. För USA presenteras ett textförslag men parterna står fortfarande långt ifrån varandra. De utestående frågorna rör främst lagringstider för insamlade data och överföring av data till tredje land. I avtalet med Australien har denna lagringstid bestämts till 3 + 2½ år, först i en aktiv och därefter i en maskerad databas. Den aktiva databasen innehåller personuppgifter som är tillgängliga för sökning av behöriga myndigheters tjänstemän. Personuppgifterna i den maskerade databasen är inte längre läsbara vid normal sökning och får endast avmaskeras vid behov av utredning av särskilt grova brott, t.ex. terroristbrott. Vidare får endast vissa särskilt utpekade tjänstemän behörighet att söka i den maskerade databasen. För USA gäller f.n. en lagringstid om 5 + 10 år men den tiden är alltså fortfarande tvistig. Som en kompromiss finns i det avtalet en klausul om översyn av avtalet efter ett år och efter fyra år.</w:t>
      </w:r>
    </w:p>
    <w:p w:rsidR="00A518B8" w:rsidRPr="00BE4283" w:rsidRDefault="00A518B8" w:rsidP="00A518B8">
      <w:pPr>
        <w:pStyle w:val="RKnormal"/>
      </w:pPr>
    </w:p>
    <w:p w:rsidR="00A518B8" w:rsidRPr="00BE4283" w:rsidRDefault="00A518B8" w:rsidP="00A518B8">
      <w:pPr>
        <w:pStyle w:val="RKnormal"/>
        <w:rPr>
          <w:i/>
        </w:rPr>
      </w:pPr>
      <w:r w:rsidRPr="00BE4283">
        <w:rPr>
          <w:i/>
        </w:rPr>
        <w:t>Svensk ståndpunkt</w:t>
      </w:r>
    </w:p>
    <w:p w:rsidR="00A518B8" w:rsidRPr="00BE4283" w:rsidRDefault="00A518B8" w:rsidP="00A518B8">
      <w:pPr>
        <w:pStyle w:val="RKnormal"/>
      </w:pPr>
      <w:r w:rsidRPr="00BE4283">
        <w:t xml:space="preserve">Sverige välkomnar att kommissionen för förhandlingarna framåt så att avtal kan slutas med respektive land så snart som möjligt. </w:t>
      </w:r>
    </w:p>
    <w:p w:rsidR="00A518B8" w:rsidRPr="00BE4283" w:rsidRDefault="00A518B8" w:rsidP="00A518B8">
      <w:pPr>
        <w:pStyle w:val="RKnormal"/>
      </w:pPr>
    </w:p>
    <w:p w:rsidR="00A518B8" w:rsidRPr="00BE4283" w:rsidRDefault="00A518B8" w:rsidP="00A518B8">
      <w:pPr>
        <w:pStyle w:val="RKnormal"/>
      </w:pPr>
      <w:r w:rsidRPr="00BE4283">
        <w:t xml:space="preserve">Sverige anser att översändande, lagring och tillgång till PNR-uppgifter innebär ett intrång i den personliga integriteten och vill se en väl avvägd balans mellan å ena sidan behovet av tillgång till PNR-uppgifter för att kunna bekämpa grova brott, inklusive terrorism, och å andra sidan respekten för den personliga integriteten. </w:t>
      </w:r>
    </w:p>
    <w:p w:rsidR="00A518B8" w:rsidRPr="00BE4283" w:rsidRDefault="00A518B8" w:rsidP="00A518B8">
      <w:pPr>
        <w:pStyle w:val="RKnormal"/>
      </w:pPr>
    </w:p>
    <w:p w:rsidR="00A518B8" w:rsidRPr="00BE4283" w:rsidRDefault="00A518B8" w:rsidP="00A518B8">
      <w:pPr>
        <w:pStyle w:val="RKnormal"/>
      </w:pPr>
      <w:r w:rsidRPr="00BE4283">
        <w:t>Lagring av persondata är en viktig fråga. Lagringstiden bör vara så kort som möjligt. Beträffande avtalet med Australien är lagringstiden maximerad till 5½ år med en aktiv lagringsperiod om tre år och en inaktiv om 2½ år. En liknande tidsgräns bör gälla för Kanada. Beträffande USA föreslås en väsentligt längre lagringstid. Sverige hade föredragit en kortare tid men är samtidigt angelägen om att ett avtal kommer till stånd så snart som möjligt. Med beaktande av översynsklausulen kan Sverige godta avtalstexten i dess nuvarande utformning.</w:t>
      </w:r>
    </w:p>
    <w:p w:rsidR="00A518B8" w:rsidRPr="00BE4283" w:rsidRDefault="00A518B8" w:rsidP="00A518B8">
      <w:pPr>
        <w:pStyle w:val="RKnormal"/>
      </w:pPr>
    </w:p>
    <w:p w:rsidR="00A518B8" w:rsidRPr="00BE4283" w:rsidRDefault="00A518B8" w:rsidP="00A518B8">
      <w:pPr>
        <w:pStyle w:val="RKnormal"/>
      </w:pPr>
      <w:r w:rsidRPr="00BE4283">
        <w:t xml:space="preserve">Se vidare i </w:t>
      </w:r>
      <w:r w:rsidRPr="00BE4283">
        <w:rPr>
          <w:u w:val="single"/>
        </w:rPr>
        <w:t>bifogad promemoria</w:t>
      </w:r>
      <w:r w:rsidRPr="00BE4283">
        <w:t>.</w:t>
      </w:r>
    </w:p>
    <w:p w:rsidR="00A518B8" w:rsidRPr="00BE4283" w:rsidRDefault="00A518B8" w:rsidP="007010AF">
      <w:pPr>
        <w:rPr>
          <w:rFonts w:ascii="OrigGarmnd BT" w:hAnsi="OrigGarmnd BT"/>
          <w:b/>
        </w:rPr>
      </w:pPr>
    </w:p>
    <w:p w:rsidR="007010AF" w:rsidRPr="00BE4283" w:rsidRDefault="007010AF" w:rsidP="007010AF">
      <w:pPr>
        <w:tabs>
          <w:tab w:val="left" w:pos="360"/>
        </w:tabs>
        <w:jc w:val="both"/>
        <w:outlineLvl w:val="0"/>
        <w:rPr>
          <w:rFonts w:ascii="OrigGarmnd BT" w:hAnsi="OrigGarmnd BT"/>
          <w:b/>
        </w:rPr>
      </w:pPr>
    </w:p>
    <w:p w:rsidR="007010AF" w:rsidRPr="00BE4283" w:rsidRDefault="007010AF" w:rsidP="007010AF">
      <w:pPr>
        <w:ind w:left="567" w:hanging="567"/>
        <w:rPr>
          <w:rFonts w:ascii="OrigGarmnd BT" w:hAnsi="OrigGarmnd BT"/>
          <w:b/>
        </w:rPr>
      </w:pPr>
      <w:r w:rsidRPr="00BE4283">
        <w:rPr>
          <w:rFonts w:ascii="OrigGarmnd BT" w:hAnsi="OrigGarmnd BT"/>
          <w:b/>
        </w:rPr>
        <w:t>7. Meddelande från kommissionen om "Ett EU-system för att spåra</w:t>
      </w:r>
    </w:p>
    <w:p w:rsidR="007010AF" w:rsidRPr="00BE4283" w:rsidRDefault="007010AF" w:rsidP="007010AF">
      <w:pPr>
        <w:ind w:left="567" w:hanging="567"/>
        <w:rPr>
          <w:rFonts w:ascii="OrigGarmnd BT" w:hAnsi="OrigGarmnd BT"/>
          <w:b/>
        </w:rPr>
      </w:pPr>
      <w:r w:rsidRPr="00BE4283">
        <w:rPr>
          <w:rFonts w:ascii="OrigGarmnd BT" w:hAnsi="OrigGarmnd BT"/>
          <w:b/>
        </w:rPr>
        <w:t>finansiering av terrorism: tillgängliga alternativ" (Sr Ask)</w:t>
      </w:r>
    </w:p>
    <w:p w:rsidR="007010AF" w:rsidRPr="00BE4283" w:rsidRDefault="007010AF" w:rsidP="007010AF">
      <w:pPr>
        <w:ind w:left="567" w:hanging="567"/>
        <w:rPr>
          <w:rFonts w:ascii="OrigGarmnd BT" w:hAnsi="OrigGarmnd BT"/>
          <w:b/>
        </w:rPr>
      </w:pPr>
      <w:r w:rsidRPr="00BE4283">
        <w:rPr>
          <w:rFonts w:ascii="OrigGarmnd BT" w:hAnsi="OrigGarmnd BT"/>
          <w:b/>
        </w:rPr>
        <w:t>=</w:t>
      </w:r>
      <w:r w:rsidRPr="00BE4283">
        <w:rPr>
          <w:rFonts w:ascii="OrigGarmnd BT" w:hAnsi="OrigGarmnd BT"/>
          <w:b/>
        </w:rPr>
        <w:tab/>
        <w:t>Riktlinjedebatt</w:t>
      </w:r>
    </w:p>
    <w:p w:rsidR="00A518B8" w:rsidRPr="00BE4283" w:rsidRDefault="00A518B8" w:rsidP="007010AF">
      <w:pPr>
        <w:ind w:left="567" w:hanging="567"/>
        <w:rPr>
          <w:rFonts w:ascii="OrigGarmnd BT" w:hAnsi="OrigGarmnd BT"/>
          <w:b/>
        </w:rPr>
      </w:pPr>
    </w:p>
    <w:p w:rsidR="00A518B8" w:rsidRPr="00BE4283" w:rsidRDefault="00A518B8" w:rsidP="00A518B8">
      <w:pPr>
        <w:rPr>
          <w:rFonts w:ascii="OrigGarmnd BT" w:hAnsi="OrigGarmnd BT"/>
          <w:i/>
        </w:rPr>
      </w:pPr>
      <w:r w:rsidRPr="00BE4283">
        <w:rPr>
          <w:rFonts w:ascii="OrigGarmnd BT" w:hAnsi="OrigGarmnd BT"/>
          <w:i/>
        </w:rPr>
        <w:t>Avsikten med behandlingen i rådet</w:t>
      </w:r>
    </w:p>
    <w:p w:rsidR="00A518B8" w:rsidRPr="00BE4283" w:rsidRDefault="00A518B8" w:rsidP="00A518B8">
      <w:pPr>
        <w:rPr>
          <w:rFonts w:ascii="OrigGarmnd BT" w:hAnsi="OrigGarmnd BT"/>
        </w:rPr>
      </w:pPr>
      <w:r w:rsidRPr="00BE4283">
        <w:rPr>
          <w:rFonts w:ascii="OrigGarmnd BT" w:hAnsi="OrigGarmnd BT"/>
        </w:rPr>
        <w:t>Kommissionen ska presentera meddelandet ”Ett EU-system för att spåra finansiering av terrorism: tillgängliga alternativ” och rådet därefter föra en riktlinjedebatt om detta meddelande.</w:t>
      </w:r>
    </w:p>
    <w:p w:rsidR="00A518B8" w:rsidRPr="00BE4283" w:rsidRDefault="00A518B8" w:rsidP="00A518B8">
      <w:pPr>
        <w:rPr>
          <w:rFonts w:ascii="OrigGarmnd BT" w:hAnsi="OrigGarmnd BT"/>
          <w:i/>
        </w:rPr>
      </w:pPr>
    </w:p>
    <w:p w:rsidR="00A518B8" w:rsidRPr="00BE4283" w:rsidRDefault="00A518B8" w:rsidP="00A518B8">
      <w:pPr>
        <w:rPr>
          <w:rFonts w:ascii="OrigGarmnd BT" w:hAnsi="OrigGarmnd BT"/>
          <w:i/>
        </w:rPr>
      </w:pPr>
      <w:r w:rsidRPr="00BE4283">
        <w:rPr>
          <w:rFonts w:ascii="OrigGarmnd BT" w:hAnsi="OrigGarmnd BT"/>
          <w:i/>
        </w:rPr>
        <w:t>Bakgrund</w:t>
      </w:r>
    </w:p>
    <w:p w:rsidR="00A518B8" w:rsidRPr="00BE4283" w:rsidRDefault="00A518B8" w:rsidP="00A518B8">
      <w:pPr>
        <w:rPr>
          <w:rFonts w:ascii="OrigGarmnd BT" w:hAnsi="OrigGarmnd BT"/>
        </w:rPr>
      </w:pPr>
      <w:r w:rsidRPr="00BE4283">
        <w:rPr>
          <w:rFonts w:ascii="OrigGarmnd BT" w:hAnsi="OrigGarmnd BT"/>
        </w:rPr>
        <w:t>I juli 2010 ingick EU och USA ett avtal om översändande av banktransaktionsdata (Swift-data) till USA med syfte att bekämpa terrorism, inklusive finansiering av terrorism. Bakgrunden var att USA sedan år 2001 använt Swift-data inom TFTP</w:t>
      </w:r>
      <w:r w:rsidRPr="00BE4283">
        <w:rPr>
          <w:rStyle w:val="Fotnotsreferens"/>
          <w:rFonts w:ascii="OrigGarmnd BT" w:hAnsi="OrigGarmnd BT"/>
        </w:rPr>
        <w:footnoteReference w:id="2"/>
      </w:r>
      <w:r w:rsidRPr="00BE4283">
        <w:rPr>
          <w:rFonts w:ascii="OrigGarmnd BT" w:hAnsi="OrigGarmnd BT"/>
        </w:rPr>
        <w:t xml:space="preserve">. Efter att företaget Swift flyttat delar av sin verksamhet från USA till Europa i december 2009 kunde USA inte få tillgång till denna data utan ett internationellt avtal mellan EU och USA. </w:t>
      </w:r>
    </w:p>
    <w:p w:rsidR="00A518B8" w:rsidRPr="00BE4283" w:rsidRDefault="00A518B8" w:rsidP="00A518B8">
      <w:pPr>
        <w:rPr>
          <w:rFonts w:ascii="OrigGarmnd BT" w:hAnsi="OrigGarmnd BT"/>
        </w:rPr>
      </w:pPr>
    </w:p>
    <w:p w:rsidR="00A518B8" w:rsidRPr="00BE4283" w:rsidRDefault="00A518B8" w:rsidP="00A518B8">
      <w:pPr>
        <w:rPr>
          <w:rFonts w:ascii="OrigGarmnd BT" w:hAnsi="OrigGarmnd BT"/>
        </w:rPr>
      </w:pPr>
      <w:r w:rsidRPr="00BE4283">
        <w:rPr>
          <w:rFonts w:ascii="OrigGarmnd BT" w:hAnsi="OrigGarmnd BT"/>
        </w:rPr>
        <w:t>Samtidigt som avtalet mellan EU och USA ingicks beslutade rådet att ge kommissionen i uppdrag att inom ett år komma med förslag på hur ett motsvarande EU-system skulle kunna vara utformat. Syftet med detta var tudelat: dels hade TFTP visat sig vara ett mycket effektivt system för bekämpning av terrorism, dels ville rådet undvika att stora mängder data, bulk-data, rörande oskyldiga EU-medborgare skickades till ett tredje land. Med bulk-data avses större mängder obearbetade data (finansiella meddelanden) rörande enskilda banktransaktioner.</w:t>
      </w:r>
    </w:p>
    <w:p w:rsidR="00A518B8" w:rsidRPr="00BE4283" w:rsidRDefault="00A518B8" w:rsidP="00A518B8">
      <w:pPr>
        <w:rPr>
          <w:rFonts w:ascii="OrigGarmnd BT" w:hAnsi="OrigGarmnd BT"/>
        </w:rPr>
      </w:pPr>
    </w:p>
    <w:p w:rsidR="00A518B8" w:rsidRPr="00BE4283" w:rsidRDefault="00A518B8" w:rsidP="00A518B8">
      <w:pPr>
        <w:rPr>
          <w:rFonts w:ascii="OrigGarmnd BT" w:hAnsi="OrigGarmnd BT"/>
        </w:rPr>
      </w:pPr>
      <w:r w:rsidRPr="00BE4283">
        <w:rPr>
          <w:rFonts w:ascii="OrigGarmnd BT" w:hAnsi="OrigGarmnd BT"/>
        </w:rPr>
        <w:t>Under våren 2011 höll kommissionen flera expertmöten där man diskuterade alternativa lösningar och hur ett framtida TFTS</w:t>
      </w:r>
      <w:r w:rsidRPr="00BE4283">
        <w:rPr>
          <w:rStyle w:val="Fotnotsreferens"/>
          <w:rFonts w:ascii="OrigGarmnd BT" w:hAnsi="OrigGarmnd BT"/>
        </w:rPr>
        <w:footnoteReference w:id="3"/>
      </w:r>
      <w:r w:rsidRPr="00BE4283">
        <w:rPr>
          <w:rFonts w:ascii="OrigGarmnd BT" w:hAnsi="OrigGarmnd BT"/>
        </w:rPr>
        <w:t xml:space="preserve"> skulle kunna vara uppbyggt. Kommissionen har inför presentationen av meddelandet om ett EU-system för att spåra finansiering av terrorism aviserat att man vill ge mer tid för Europaparlamentet och rådet att debattera frågan innan ett slutligt förslag presenteras, vilket förväntas ske tidigast under början av år 2012. </w:t>
      </w:r>
    </w:p>
    <w:p w:rsidR="00A518B8" w:rsidRPr="00BE4283" w:rsidRDefault="00A518B8" w:rsidP="00A518B8"/>
    <w:p w:rsidR="00A518B8" w:rsidRPr="00BE4283" w:rsidRDefault="00A518B8" w:rsidP="00A518B8">
      <w:pPr>
        <w:rPr>
          <w:rFonts w:ascii="OrigGarmnd BT" w:hAnsi="OrigGarmnd BT"/>
          <w:i/>
        </w:rPr>
      </w:pPr>
      <w:r w:rsidRPr="00BE4283">
        <w:rPr>
          <w:rFonts w:ascii="OrigGarmnd BT" w:hAnsi="OrigGarmnd BT"/>
          <w:i/>
        </w:rPr>
        <w:t>Svensk ståndpunkt</w:t>
      </w:r>
    </w:p>
    <w:p w:rsidR="00A518B8" w:rsidRPr="00BE4283" w:rsidRDefault="00A518B8" w:rsidP="00A518B8">
      <w:pPr>
        <w:rPr>
          <w:rFonts w:ascii="OrigGarmnd BT" w:hAnsi="OrigGarmnd BT"/>
        </w:rPr>
      </w:pPr>
      <w:r w:rsidRPr="00BE4283">
        <w:rPr>
          <w:rFonts w:ascii="OrigGarmnd BT" w:hAnsi="OrigGarmnd BT"/>
        </w:rPr>
        <w:t xml:space="preserve">Sverige delar kommissionens uppfattning att det amerikanska TFTP-programmet varit ett effektivt och viktigt instrument i kampen mot terrorism. Samtidigt reser systemet en rad frågor av dataskydds-, rättssäkerhets- och integritetskaraktär eftersom det innefattar masslagring och massöverföring av data. </w:t>
      </w:r>
    </w:p>
    <w:p w:rsidR="00A518B8" w:rsidRPr="00BE4283" w:rsidRDefault="00A518B8" w:rsidP="00A518B8">
      <w:pPr>
        <w:rPr>
          <w:rFonts w:ascii="OrigGarmnd BT" w:hAnsi="OrigGarmnd BT"/>
        </w:rPr>
      </w:pPr>
    </w:p>
    <w:p w:rsidR="00A518B8" w:rsidRPr="00BE4283" w:rsidRDefault="00A518B8" w:rsidP="00A518B8">
      <w:pPr>
        <w:rPr>
          <w:rFonts w:ascii="OrigGarmnd BT" w:hAnsi="OrigGarmnd BT"/>
        </w:rPr>
      </w:pPr>
      <w:r w:rsidRPr="00BE4283">
        <w:rPr>
          <w:rFonts w:ascii="OrigGarmnd BT" w:hAnsi="OrigGarmnd BT"/>
        </w:rPr>
        <w:t xml:space="preserve">Balansen mellan effektivitet och dataskydd/rättssäkerhet/integritet i ett motsvarande system på EU-nivå, TFTS, måste granskas noggrant innan regeringen kan ta slutlig ställning till ett sådant förslag. Utgångspunkten inför en sådan bedömning bör bygga på försiktighet. </w:t>
      </w:r>
    </w:p>
    <w:p w:rsidR="00A518B8" w:rsidRPr="00BE4283" w:rsidRDefault="00A518B8" w:rsidP="00A518B8">
      <w:pPr>
        <w:rPr>
          <w:rFonts w:ascii="OrigGarmnd BT" w:hAnsi="OrigGarmnd BT"/>
        </w:rPr>
      </w:pPr>
    </w:p>
    <w:p w:rsidR="00A518B8" w:rsidRPr="00BE4283" w:rsidRDefault="00A518B8" w:rsidP="00A518B8">
      <w:pPr>
        <w:rPr>
          <w:rFonts w:ascii="OrigGarmnd BT" w:hAnsi="OrigGarmnd BT"/>
        </w:rPr>
      </w:pPr>
      <w:r w:rsidRPr="00BE4283">
        <w:rPr>
          <w:rFonts w:ascii="OrigGarmnd BT" w:hAnsi="OrigGarmnd BT"/>
        </w:rPr>
        <w:t xml:space="preserve">Vidare pekar allt på att kostnaderna för ett TFTS kommer att bli avsevärda. Det är ännu för tidigt att svara på hur stora dessa kostnader skulle bli. Dessutom är de tre alternativ som anges i meddelandet endast prototyper och alltför lite utvecklade för att Sverige ska kunna ta ställning till något av dem. Så snart ett slutligt alternativ har presenterats kommer Sverige på nytt att noggrant granska och ta ställning till frågan om kostnaderna står i proportion till nyttan. Beträffande de kostnader som ett framtida TFTS kommer att medföra så är utgångspunkten att de ekonomiska konsekvenserna ska hanteras inom befintliga ekonomiska ramar såväl nationellt som på EU-budgeten. </w:t>
      </w:r>
    </w:p>
    <w:p w:rsidR="00A518B8" w:rsidRPr="00BE4283" w:rsidRDefault="00A518B8" w:rsidP="00A518B8">
      <w:pPr>
        <w:rPr>
          <w:rFonts w:ascii="OrigGarmnd BT" w:hAnsi="OrigGarmnd BT"/>
        </w:rPr>
      </w:pPr>
    </w:p>
    <w:p w:rsidR="00A518B8" w:rsidRPr="00BE4283" w:rsidRDefault="00A518B8" w:rsidP="00A518B8">
      <w:pPr>
        <w:rPr>
          <w:rFonts w:ascii="OrigGarmnd BT" w:hAnsi="OrigGarmnd BT"/>
        </w:rPr>
      </w:pPr>
      <w:r w:rsidRPr="00BE4283">
        <w:rPr>
          <w:rFonts w:ascii="OrigGarmnd BT" w:hAnsi="OrigGarmnd BT"/>
        </w:rPr>
        <w:t xml:space="preserve">Se vidare i </w:t>
      </w:r>
      <w:r w:rsidRPr="00BE4283">
        <w:rPr>
          <w:rFonts w:ascii="OrigGarmnd BT" w:hAnsi="OrigGarmnd BT"/>
          <w:u w:val="single"/>
        </w:rPr>
        <w:t>bifogad promemoria</w:t>
      </w:r>
      <w:r w:rsidRPr="00BE4283">
        <w:rPr>
          <w:rFonts w:ascii="OrigGarmnd BT" w:hAnsi="OrigGarmnd BT"/>
        </w:rPr>
        <w:t>.</w:t>
      </w:r>
    </w:p>
    <w:p w:rsidR="00A518B8" w:rsidRPr="00BE4283" w:rsidRDefault="00A518B8" w:rsidP="007010AF">
      <w:pPr>
        <w:ind w:left="567" w:hanging="567"/>
        <w:rPr>
          <w:rFonts w:ascii="OrigGarmnd BT" w:hAnsi="OrigGarmnd BT"/>
          <w:b/>
        </w:rPr>
      </w:pPr>
    </w:p>
    <w:p w:rsidR="007010AF" w:rsidRPr="00BE4283" w:rsidRDefault="007010AF" w:rsidP="007010AF">
      <w:pPr>
        <w:ind w:left="360" w:hanging="360"/>
        <w:rPr>
          <w:rFonts w:ascii="OrigGarmnd BT" w:hAnsi="OrigGarmnd BT"/>
          <w:b/>
        </w:rPr>
      </w:pPr>
    </w:p>
    <w:p w:rsidR="007010AF" w:rsidRPr="00BE4283" w:rsidRDefault="007010AF" w:rsidP="007010AF">
      <w:pPr>
        <w:pStyle w:val="Akapitzlist"/>
        <w:ind w:left="360" w:hanging="360"/>
        <w:rPr>
          <w:rFonts w:ascii="OrigGarmnd BT" w:hAnsi="OrigGarmnd BT"/>
          <w:b/>
          <w:bCs/>
          <w:iCs/>
          <w:lang w:val="sv-SE"/>
        </w:rPr>
      </w:pPr>
      <w:r w:rsidRPr="00BE4283">
        <w:rPr>
          <w:rFonts w:ascii="OrigGarmnd BT" w:hAnsi="OrigGarmnd BT"/>
          <w:b/>
          <w:bCs/>
          <w:iCs/>
          <w:lang w:val="sv-SE"/>
        </w:rPr>
        <w:t>8. Meddelande om samarbete på området för</w:t>
      </w:r>
    </w:p>
    <w:p w:rsidR="007010AF" w:rsidRPr="00BE4283" w:rsidRDefault="007010AF" w:rsidP="007010AF">
      <w:pPr>
        <w:pStyle w:val="Akapitzlist"/>
        <w:ind w:left="360" w:hanging="360"/>
        <w:rPr>
          <w:rFonts w:ascii="OrigGarmnd BT" w:hAnsi="OrigGarmnd BT"/>
          <w:b/>
          <w:bCs/>
          <w:iCs/>
          <w:lang w:val="sv-SE"/>
        </w:rPr>
      </w:pPr>
      <w:r w:rsidRPr="00BE4283">
        <w:rPr>
          <w:rFonts w:ascii="OrigGarmnd BT" w:hAnsi="OrigGarmnd BT"/>
          <w:b/>
          <w:bCs/>
          <w:iCs/>
          <w:lang w:val="sv-SE"/>
        </w:rPr>
        <w:t>rättsliga och inrikes frågor inom det östliga partnerskapet</w:t>
      </w:r>
    </w:p>
    <w:p w:rsidR="007010AF" w:rsidRPr="00BE4283" w:rsidRDefault="007010AF" w:rsidP="007010AF">
      <w:pPr>
        <w:pStyle w:val="Akapitzlist"/>
        <w:ind w:left="360" w:hanging="360"/>
        <w:rPr>
          <w:rFonts w:ascii="OrigGarmnd BT" w:hAnsi="OrigGarmnd BT"/>
          <w:b/>
          <w:bCs/>
          <w:iCs/>
          <w:lang w:val="sv-SE"/>
        </w:rPr>
      </w:pPr>
      <w:r w:rsidRPr="00BE4283">
        <w:rPr>
          <w:rFonts w:ascii="OrigGarmnd BT" w:hAnsi="OrigGarmnd BT"/>
          <w:b/>
          <w:bCs/>
          <w:iCs/>
          <w:lang w:val="sv-SE"/>
        </w:rPr>
        <w:t>(Sr Ask/Sr Billström)</w:t>
      </w:r>
    </w:p>
    <w:p w:rsidR="007010AF" w:rsidRPr="00BE4283" w:rsidRDefault="007010AF" w:rsidP="007010AF">
      <w:pPr>
        <w:pStyle w:val="Akapitzlist"/>
        <w:ind w:left="360" w:hanging="360"/>
        <w:rPr>
          <w:rFonts w:ascii="OrigGarmnd BT" w:hAnsi="OrigGarmnd BT"/>
          <w:b/>
          <w:lang w:val="sv-SE"/>
        </w:rPr>
      </w:pPr>
      <w:r w:rsidRPr="00BE4283">
        <w:rPr>
          <w:rFonts w:ascii="OrigGarmnd BT" w:hAnsi="OrigGarmnd BT"/>
          <w:b/>
          <w:bCs/>
          <w:i/>
          <w:iCs/>
          <w:lang w:val="sv-SE"/>
        </w:rPr>
        <w:t xml:space="preserve"> =</w:t>
      </w:r>
      <w:r w:rsidRPr="00BE4283">
        <w:rPr>
          <w:rFonts w:ascii="OrigGarmnd BT" w:hAnsi="OrigGarmnd BT"/>
          <w:b/>
          <w:bCs/>
          <w:i/>
          <w:iCs/>
          <w:lang w:val="sv-SE"/>
        </w:rPr>
        <w:tab/>
      </w:r>
      <w:r w:rsidRPr="00BE4283">
        <w:rPr>
          <w:rFonts w:ascii="OrigGarmnd BT" w:hAnsi="OrigGarmnd BT"/>
          <w:b/>
          <w:bCs/>
          <w:iCs/>
          <w:lang w:val="sv-SE"/>
        </w:rPr>
        <w:t>Föredragning av kommissionen</w:t>
      </w:r>
      <w:r w:rsidRPr="00BE4283">
        <w:rPr>
          <w:rFonts w:ascii="OrigGarmnd BT" w:hAnsi="OrigGarmnd BT"/>
          <w:b/>
          <w:lang w:val="sv-SE"/>
        </w:rPr>
        <w:t xml:space="preserve"> </w:t>
      </w:r>
    </w:p>
    <w:p w:rsidR="007010AF" w:rsidRPr="00BE4283" w:rsidRDefault="007010AF" w:rsidP="007010AF">
      <w:pPr>
        <w:autoSpaceDE w:val="0"/>
        <w:autoSpaceDN w:val="0"/>
        <w:adjustRightInd w:val="0"/>
        <w:ind w:left="360" w:hanging="360"/>
        <w:rPr>
          <w:rFonts w:ascii="OrigGarmnd BT" w:hAnsi="OrigGarmnd BT"/>
          <w:b/>
          <w:i/>
          <w:u w:val="single"/>
        </w:rPr>
      </w:pPr>
    </w:p>
    <w:p w:rsidR="007010AF" w:rsidRPr="00BE4283" w:rsidRDefault="007010AF" w:rsidP="007010AF">
      <w:pPr>
        <w:outlineLvl w:val="0"/>
        <w:rPr>
          <w:rFonts w:ascii="OrigGarmnd BT" w:hAnsi="OrigGarmnd BT"/>
          <w:i/>
          <w:iCs/>
        </w:rPr>
      </w:pPr>
      <w:r w:rsidRPr="00BE4283">
        <w:rPr>
          <w:rFonts w:ascii="OrigGarmnd BT" w:hAnsi="OrigGarmnd BT"/>
          <w:i/>
          <w:iCs/>
        </w:rPr>
        <w:t>Syftet med behandlingen i rådet</w:t>
      </w:r>
    </w:p>
    <w:p w:rsidR="007010AF" w:rsidRPr="00BE4283" w:rsidRDefault="007010AF" w:rsidP="007010AF">
      <w:pPr>
        <w:autoSpaceDE w:val="0"/>
        <w:autoSpaceDN w:val="0"/>
        <w:adjustRightInd w:val="0"/>
        <w:ind w:left="360" w:hanging="360"/>
        <w:rPr>
          <w:rFonts w:ascii="OrigGarmnd BT" w:hAnsi="OrigGarmnd BT"/>
        </w:rPr>
      </w:pPr>
      <w:r w:rsidRPr="00BE4283">
        <w:rPr>
          <w:rFonts w:ascii="OrigGarmnd BT" w:hAnsi="OrigGarmnd BT"/>
        </w:rPr>
        <w:t>Information</w:t>
      </w:r>
    </w:p>
    <w:p w:rsidR="007010AF" w:rsidRPr="00BE4283" w:rsidRDefault="007010AF" w:rsidP="007010AF">
      <w:pPr>
        <w:autoSpaceDE w:val="0"/>
        <w:autoSpaceDN w:val="0"/>
        <w:adjustRightInd w:val="0"/>
        <w:ind w:left="360" w:hanging="360"/>
        <w:rPr>
          <w:rFonts w:ascii="OrigGarmnd BT" w:hAnsi="OrigGarmnd BT"/>
        </w:rPr>
      </w:pPr>
    </w:p>
    <w:p w:rsidR="007010AF" w:rsidRPr="00BE4283" w:rsidRDefault="007010AF" w:rsidP="007010AF">
      <w:pPr>
        <w:pStyle w:val="RKnormal"/>
      </w:pPr>
      <w:r w:rsidRPr="00BE4283">
        <w:rPr>
          <w:i/>
        </w:rPr>
        <w:t>Dokument</w:t>
      </w:r>
      <w:r w:rsidRPr="00BE4283">
        <w:t>: kommissionens meddelande är väntat till den 14 september 2011</w:t>
      </w:r>
    </w:p>
    <w:p w:rsidR="007010AF" w:rsidRPr="00BE4283" w:rsidRDefault="007010AF" w:rsidP="007010AF">
      <w:pPr>
        <w:pStyle w:val="RKnormal"/>
      </w:pPr>
    </w:p>
    <w:p w:rsidR="007010AF" w:rsidRPr="00BE4283" w:rsidRDefault="007010AF" w:rsidP="007010AF">
      <w:pPr>
        <w:pStyle w:val="RKnormal"/>
        <w:rPr>
          <w:i/>
        </w:rPr>
      </w:pPr>
      <w:r w:rsidRPr="00BE4283">
        <w:rPr>
          <w:i/>
        </w:rPr>
        <w:t>Bakgrund</w:t>
      </w:r>
    </w:p>
    <w:p w:rsidR="007010AF" w:rsidRPr="00BE4283" w:rsidRDefault="007010AF" w:rsidP="007010AF">
      <w:pPr>
        <w:pStyle w:val="RKnormal"/>
      </w:pPr>
      <w:r w:rsidRPr="00BE4283">
        <w:t xml:space="preserve">EU lanserade 2009 ett särskilt program, det s.k. Östliga partnerskapet (EaP) för samarbete med sex länder i östra Europa och södra Kaukasus (Armenien, Azerbajdzjan, Vitryssland, Georgien, Moldavien och Ukraina). Partnerskapet är en särskild östlig del av EU:s grannskapspolitik. </w:t>
      </w:r>
    </w:p>
    <w:p w:rsidR="007010AF" w:rsidRPr="00BE4283" w:rsidRDefault="007010AF" w:rsidP="007010AF">
      <w:pPr>
        <w:pStyle w:val="RKnormal"/>
      </w:pPr>
      <w:r w:rsidRPr="00BE4283">
        <w:t>EU ger stöd till ländernas arbete med politiska och ekonomiska reformer, bl.a. för att stärka demokratin och rättsstaten.</w:t>
      </w:r>
    </w:p>
    <w:p w:rsidR="007010AF" w:rsidRPr="00BE4283" w:rsidRDefault="007010AF" w:rsidP="007010AF">
      <w:pPr>
        <w:pStyle w:val="RKnormal"/>
      </w:pPr>
      <w:r w:rsidRPr="00BE4283">
        <w:t>I Stockholmsprogrammet lyfts samarbetet inom ramen för det östliga partnerskapet fram som en prioriterad fråga i EU:s relationer med tredjeländer på RIF-området.</w:t>
      </w:r>
    </w:p>
    <w:p w:rsidR="007010AF" w:rsidRPr="00BE4283" w:rsidRDefault="007010AF" w:rsidP="007010AF">
      <w:pPr>
        <w:pStyle w:val="RKnormal"/>
      </w:pPr>
    </w:p>
    <w:p w:rsidR="007010AF" w:rsidRPr="00BE4283" w:rsidRDefault="007010AF" w:rsidP="007010AF">
      <w:pPr>
        <w:pStyle w:val="RKnormal"/>
      </w:pPr>
      <w:r w:rsidRPr="00BE4283">
        <w:t xml:space="preserve">Kommissionen planerar till den 14 september att presentera sitt meddelande om ett vidgat och fördjupat samarbete i det östliga partnerskapet på RIF-området. Som exempel kan nämnas frågorna om laglig migration, samarbete om återtagande- och viseringsfrågor, gränsförvaltning samt kampen mot organiserad brottslighet, </w:t>
      </w:r>
      <w:r w:rsidR="00D05B1E" w:rsidRPr="00BE4283">
        <w:t>narkotika</w:t>
      </w:r>
      <w:r w:rsidRPr="00BE4283">
        <w:t xml:space="preserve"> och korruption. Ett särskilt toppmöte om Östliga partnerskapet kommer att äga rum den 29-30 september i Warszawa.</w:t>
      </w:r>
    </w:p>
    <w:p w:rsidR="007010AF" w:rsidRPr="00BE4283" w:rsidRDefault="007010AF" w:rsidP="007010AF">
      <w:pPr>
        <w:autoSpaceDE w:val="0"/>
        <w:autoSpaceDN w:val="0"/>
        <w:adjustRightInd w:val="0"/>
        <w:ind w:left="360" w:hanging="360"/>
        <w:rPr>
          <w:rFonts w:ascii="OrigGarmnd BT" w:hAnsi="OrigGarmnd BT"/>
          <w:b/>
        </w:rPr>
      </w:pPr>
    </w:p>
    <w:p w:rsidR="007010AF" w:rsidRPr="00BE4283" w:rsidRDefault="007010AF" w:rsidP="007010AF">
      <w:pPr>
        <w:autoSpaceDE w:val="0"/>
        <w:autoSpaceDN w:val="0"/>
        <w:adjustRightInd w:val="0"/>
        <w:ind w:left="360" w:hanging="360"/>
        <w:rPr>
          <w:rFonts w:ascii="OrigGarmnd BT" w:hAnsi="OrigGarmnd BT"/>
          <w:b/>
        </w:rPr>
      </w:pPr>
    </w:p>
    <w:p w:rsidR="007010AF" w:rsidRPr="00BE4283" w:rsidRDefault="007010AF" w:rsidP="007010AF">
      <w:pPr>
        <w:autoSpaceDE w:val="0"/>
        <w:autoSpaceDN w:val="0"/>
        <w:adjustRightInd w:val="0"/>
        <w:ind w:left="360" w:hanging="360"/>
        <w:rPr>
          <w:rFonts w:ascii="OrigGarmnd BT" w:hAnsi="OrigGarmnd BT"/>
          <w:b/>
        </w:rPr>
      </w:pPr>
      <w:r w:rsidRPr="00BE4283">
        <w:rPr>
          <w:rFonts w:ascii="OrigGarmnd BT" w:hAnsi="OrigGarmnd BT"/>
          <w:b/>
        </w:rPr>
        <w:t>9.</w:t>
      </w:r>
      <w:r w:rsidRPr="00BE4283">
        <w:rPr>
          <w:rFonts w:ascii="OrigGarmnd BT" w:hAnsi="OrigGarmnd BT"/>
          <w:b/>
        </w:rPr>
        <w:tab/>
        <w:t>Meddelande från kommissionen – Europeisk agenda för</w:t>
      </w:r>
    </w:p>
    <w:p w:rsidR="007010AF" w:rsidRPr="00BE4283" w:rsidRDefault="007010AF" w:rsidP="007010AF">
      <w:pPr>
        <w:autoSpaceDE w:val="0"/>
        <w:autoSpaceDN w:val="0"/>
        <w:adjustRightInd w:val="0"/>
        <w:ind w:left="360" w:hanging="360"/>
        <w:rPr>
          <w:rFonts w:ascii="OrigGarmnd BT" w:hAnsi="OrigGarmnd BT"/>
          <w:b/>
        </w:rPr>
      </w:pPr>
      <w:r w:rsidRPr="00BE4283">
        <w:rPr>
          <w:rFonts w:ascii="OrigGarmnd BT" w:hAnsi="OrigGarmnd BT"/>
          <w:b/>
        </w:rPr>
        <w:t>integration av tredjelandsmedborgare (Sr Ullenhag)</w:t>
      </w:r>
    </w:p>
    <w:p w:rsidR="007010AF" w:rsidRPr="00BE4283" w:rsidRDefault="007010AF" w:rsidP="007010AF">
      <w:pPr>
        <w:autoSpaceDE w:val="0"/>
        <w:autoSpaceDN w:val="0"/>
        <w:adjustRightInd w:val="0"/>
        <w:ind w:left="360" w:hanging="360"/>
        <w:rPr>
          <w:rFonts w:ascii="OrigGarmnd BT" w:hAnsi="OrigGarmnd BT"/>
          <w:b/>
        </w:rPr>
      </w:pPr>
      <w:r w:rsidRPr="00BE4283">
        <w:rPr>
          <w:rFonts w:ascii="OrigGarmnd BT" w:hAnsi="OrigGarmnd BT"/>
          <w:b/>
        </w:rPr>
        <w:t>=</w:t>
      </w:r>
      <w:r w:rsidRPr="00BE4283">
        <w:rPr>
          <w:rFonts w:ascii="OrigGarmnd BT" w:hAnsi="OrigGarmnd BT"/>
          <w:b/>
        </w:rPr>
        <w:tab/>
      </w:r>
      <w:r w:rsidRPr="00BE4283">
        <w:rPr>
          <w:rFonts w:ascii="OrigGarmnd BT" w:hAnsi="OrigGarmnd BT"/>
          <w:b/>
          <w:bCs/>
          <w:iCs/>
        </w:rPr>
        <w:t>Föredragning av kommissionen</w:t>
      </w:r>
      <w:r w:rsidRPr="00BE4283">
        <w:rPr>
          <w:rFonts w:ascii="OrigGarmnd BT" w:hAnsi="OrigGarmnd BT"/>
          <w:b/>
        </w:rPr>
        <w:t xml:space="preserve"> och en första diskussion</w:t>
      </w:r>
    </w:p>
    <w:p w:rsidR="00BB37E3" w:rsidRPr="00BE4283" w:rsidRDefault="00BB37E3" w:rsidP="007010AF">
      <w:pPr>
        <w:autoSpaceDE w:val="0"/>
        <w:autoSpaceDN w:val="0"/>
        <w:adjustRightInd w:val="0"/>
        <w:ind w:left="360" w:hanging="360"/>
        <w:rPr>
          <w:rFonts w:ascii="OrigGarmnd BT" w:hAnsi="OrigGarmnd BT"/>
          <w:b/>
        </w:rPr>
      </w:pPr>
    </w:p>
    <w:p w:rsidR="00BB37E3" w:rsidRPr="00BE4283" w:rsidRDefault="00BB37E3" w:rsidP="00BB37E3">
      <w:pPr>
        <w:pStyle w:val="RKnormal"/>
        <w:rPr>
          <w:i/>
          <w:lang w:eastAsia="sv-SE"/>
        </w:rPr>
      </w:pPr>
      <w:r w:rsidRPr="00BE4283">
        <w:rPr>
          <w:i/>
          <w:lang w:eastAsia="sv-SE"/>
        </w:rPr>
        <w:t>Avsikten med behandlingen i rådet:</w:t>
      </w:r>
    </w:p>
    <w:p w:rsidR="00BB37E3" w:rsidRPr="00BE4283" w:rsidRDefault="00BB37E3" w:rsidP="00BB37E3">
      <w:pPr>
        <w:pStyle w:val="RKnormal"/>
        <w:rPr>
          <w:lang w:eastAsia="sv-SE"/>
        </w:rPr>
      </w:pPr>
      <w:r w:rsidRPr="00BE4283">
        <w:rPr>
          <w:lang w:eastAsia="sv-SE"/>
        </w:rPr>
        <w:t>Kommissionens presentation av meddelandet Europeisk agenda för integration av tredjelandsmedborgare följt av en första diskussion.</w:t>
      </w:r>
    </w:p>
    <w:p w:rsidR="00BB37E3" w:rsidRPr="00BE4283" w:rsidRDefault="00BB37E3" w:rsidP="00BB37E3">
      <w:pPr>
        <w:pStyle w:val="RKnormal"/>
        <w:rPr>
          <w:lang w:eastAsia="sv-SE"/>
        </w:rPr>
      </w:pPr>
    </w:p>
    <w:p w:rsidR="00BB37E3" w:rsidRPr="00BE4283" w:rsidRDefault="00BB37E3" w:rsidP="00BB37E3">
      <w:pPr>
        <w:pStyle w:val="RKnormal"/>
        <w:rPr>
          <w:i/>
          <w:iCs/>
          <w:lang w:eastAsia="sv-SE"/>
        </w:rPr>
      </w:pPr>
      <w:r w:rsidRPr="00BE4283">
        <w:rPr>
          <w:i/>
          <w:lang w:eastAsia="sv-SE"/>
        </w:rPr>
        <w:t>Dokument</w:t>
      </w:r>
      <w:r w:rsidRPr="00BE4283">
        <w:rPr>
          <w:lang w:eastAsia="sv-SE"/>
        </w:rPr>
        <w:t>: 13290/11 MIGR 135 SOC 669 + ADD 1 (bifogas)</w:t>
      </w:r>
    </w:p>
    <w:p w:rsidR="00BB37E3" w:rsidRPr="00BE4283" w:rsidRDefault="00BB37E3" w:rsidP="00BB37E3">
      <w:pPr>
        <w:pStyle w:val="RKnormal"/>
        <w:rPr>
          <w:lang w:eastAsia="sv-SE"/>
        </w:rPr>
      </w:pPr>
    </w:p>
    <w:p w:rsidR="00BB37E3" w:rsidRPr="00BE4283" w:rsidRDefault="00BB37E3" w:rsidP="00BB37E3">
      <w:pPr>
        <w:pStyle w:val="RKnormal"/>
        <w:rPr>
          <w:i/>
          <w:iCs/>
          <w:lang w:eastAsia="sv-SE"/>
        </w:rPr>
      </w:pPr>
      <w:r w:rsidRPr="00BE4283">
        <w:rPr>
          <w:i/>
          <w:lang w:eastAsia="sv-SE"/>
        </w:rPr>
        <w:t>Tidigare dokument</w:t>
      </w:r>
      <w:r w:rsidRPr="00BE4283">
        <w:rPr>
          <w:lang w:eastAsia="sv-SE"/>
        </w:rPr>
        <w:t>:</w:t>
      </w:r>
    </w:p>
    <w:p w:rsidR="00BB37E3" w:rsidRPr="00BE4283" w:rsidRDefault="00BB37E3" w:rsidP="00BB37E3">
      <w:pPr>
        <w:pStyle w:val="RKnormal"/>
        <w:rPr>
          <w:iCs/>
          <w:lang w:eastAsia="sv-SE"/>
        </w:rPr>
      </w:pPr>
      <w:r w:rsidRPr="00BE4283">
        <w:rPr>
          <w:iCs/>
          <w:lang w:eastAsia="sv-SE"/>
        </w:rPr>
        <w:t>Faktapromemoria 2010/11:FPM146</w:t>
      </w:r>
    </w:p>
    <w:p w:rsidR="00BB37E3" w:rsidRPr="00BE4283" w:rsidRDefault="00BB37E3" w:rsidP="00BB37E3">
      <w:pPr>
        <w:pStyle w:val="RKnormal"/>
        <w:rPr>
          <w:iCs/>
          <w:lang w:eastAsia="sv-SE"/>
        </w:rPr>
      </w:pPr>
    </w:p>
    <w:p w:rsidR="00BB37E3" w:rsidRPr="00BE4283" w:rsidRDefault="00BB37E3" w:rsidP="00BB37E3">
      <w:pPr>
        <w:pStyle w:val="RKnormal"/>
        <w:rPr>
          <w:lang w:eastAsia="sv-SE"/>
        </w:rPr>
      </w:pPr>
      <w:r w:rsidRPr="00BE4283">
        <w:rPr>
          <w:i/>
          <w:lang w:eastAsia="sv-SE"/>
        </w:rPr>
        <w:t>Tidigare behandling i EU-nämnden</w:t>
      </w:r>
      <w:r w:rsidRPr="00BE4283">
        <w:rPr>
          <w:i/>
          <w:iCs/>
          <w:lang w:eastAsia="sv-SE"/>
        </w:rPr>
        <w:t xml:space="preserve"> </w:t>
      </w:r>
      <w:r w:rsidRPr="00BE4283">
        <w:rPr>
          <w:i/>
          <w:lang w:eastAsia="sv-SE"/>
        </w:rPr>
        <w:t>och ev. i riksdagsutskott</w:t>
      </w:r>
      <w:r w:rsidRPr="00BE4283">
        <w:rPr>
          <w:lang w:eastAsia="sv-SE"/>
        </w:rPr>
        <w:t xml:space="preserve">: </w:t>
      </w:r>
    </w:p>
    <w:p w:rsidR="00BB37E3" w:rsidRPr="00BE4283" w:rsidRDefault="00BB37E3" w:rsidP="00BB37E3">
      <w:pPr>
        <w:pStyle w:val="RKnormal"/>
        <w:rPr>
          <w:lang w:eastAsia="sv-SE"/>
        </w:rPr>
      </w:pPr>
      <w:r w:rsidRPr="00BE4283">
        <w:rPr>
          <w:lang w:eastAsia="sv-SE"/>
        </w:rPr>
        <w:t>Meddelande har inte tidigare behandlats i nämnden. Nämnden har dock tidigare tagit ställning till rådsslutsatser om integration, senast inför RIF-rådet 3-4 juni 2010.</w:t>
      </w:r>
    </w:p>
    <w:p w:rsidR="00BB37E3" w:rsidRPr="00BE4283" w:rsidRDefault="00BB37E3" w:rsidP="00BB37E3">
      <w:pPr>
        <w:pStyle w:val="RKnormal"/>
        <w:rPr>
          <w:lang w:eastAsia="sv-SE"/>
        </w:rPr>
      </w:pPr>
    </w:p>
    <w:p w:rsidR="00BB37E3" w:rsidRPr="00BE4283" w:rsidRDefault="00BB37E3" w:rsidP="00BB37E3">
      <w:pPr>
        <w:pStyle w:val="RKnormal"/>
        <w:rPr>
          <w:lang w:eastAsia="sv-SE"/>
        </w:rPr>
      </w:pPr>
      <w:r w:rsidRPr="00BE4283">
        <w:rPr>
          <w:i/>
          <w:lang w:eastAsia="sv-SE"/>
        </w:rPr>
        <w:t>Bakgrund</w:t>
      </w:r>
      <w:r w:rsidRPr="00BE4283">
        <w:rPr>
          <w:lang w:eastAsia="sv-SE"/>
        </w:rPr>
        <w:t>:</w:t>
      </w:r>
    </w:p>
    <w:p w:rsidR="00BB37E3" w:rsidRPr="00BE4283" w:rsidRDefault="00BB37E3" w:rsidP="00BB37E3">
      <w:pPr>
        <w:pStyle w:val="RKnormal"/>
      </w:pPr>
      <w:r w:rsidRPr="00BE4283">
        <w:t xml:space="preserve">Kommissionens meddelande om Europeisk agenda för integration av tredjelandsmedborgare antogs den 20 juli 2011.  Meddelandet bygger på Stockholmsprogrammet och EU 2020-strategin och ska ses som en del av kommissionens migrationspaket som lades fram i maj 2011. </w:t>
      </w:r>
    </w:p>
    <w:p w:rsidR="00BB37E3" w:rsidRPr="00BE4283" w:rsidRDefault="00BB37E3" w:rsidP="00BB37E3">
      <w:pPr>
        <w:pStyle w:val="RKnormal"/>
        <w:rPr>
          <w:lang w:eastAsia="sv-SE"/>
        </w:rPr>
      </w:pPr>
    </w:p>
    <w:p w:rsidR="00BB37E3" w:rsidRPr="00BE4283" w:rsidRDefault="00BB37E3" w:rsidP="00BB37E3">
      <w:pPr>
        <w:pStyle w:val="RKnormal"/>
        <w:rPr>
          <w:i/>
          <w:lang w:eastAsia="sv-SE"/>
        </w:rPr>
      </w:pPr>
      <w:r w:rsidRPr="00BE4283">
        <w:rPr>
          <w:i/>
          <w:lang w:eastAsia="sv-SE"/>
        </w:rPr>
        <w:t xml:space="preserve">Svensk ståndpunkt </w:t>
      </w:r>
    </w:p>
    <w:p w:rsidR="00BB37E3" w:rsidRPr="00BE4283" w:rsidRDefault="00BB37E3" w:rsidP="00BB37E3">
      <w:pPr>
        <w:pStyle w:val="RKnormal"/>
      </w:pPr>
      <w:r w:rsidRPr="00BE4283">
        <w:t>Sverige välkomnar kommissionens meddelande och anser att en lyckad och effektiv integration är en förutsättning för att både samhället och individer ska dra nytta av migrationens positiva potential.</w:t>
      </w:r>
    </w:p>
    <w:p w:rsidR="00BB37E3" w:rsidRPr="00BE4283" w:rsidRDefault="00BB37E3" w:rsidP="00BB37E3">
      <w:pPr>
        <w:pStyle w:val="RKnormal"/>
      </w:pPr>
    </w:p>
    <w:p w:rsidR="00BB37E3" w:rsidRPr="00BE4283" w:rsidRDefault="00BB37E3" w:rsidP="00BB37E3">
      <w:pPr>
        <w:pStyle w:val="RKnormal"/>
      </w:pPr>
      <w:r w:rsidRPr="00BE4283">
        <w:t xml:space="preserve">Se vidare i </w:t>
      </w:r>
      <w:r w:rsidRPr="00BE4283">
        <w:rPr>
          <w:u w:val="single"/>
        </w:rPr>
        <w:t>bifogad rådspromemoria</w:t>
      </w:r>
      <w:r w:rsidRPr="00BE4283">
        <w:t>.</w:t>
      </w:r>
    </w:p>
    <w:p w:rsidR="00BB37E3" w:rsidRPr="00BE4283" w:rsidRDefault="00BB37E3" w:rsidP="007010AF">
      <w:pPr>
        <w:autoSpaceDE w:val="0"/>
        <w:autoSpaceDN w:val="0"/>
        <w:adjustRightInd w:val="0"/>
        <w:ind w:left="360" w:hanging="360"/>
        <w:rPr>
          <w:rFonts w:ascii="OrigGarmnd BT" w:hAnsi="OrigGarmnd BT"/>
          <w:b/>
        </w:rPr>
      </w:pPr>
    </w:p>
    <w:p w:rsidR="007010AF" w:rsidRPr="00BE4283" w:rsidRDefault="007010AF" w:rsidP="007010AF">
      <w:pPr>
        <w:pStyle w:val="RKnormal"/>
        <w:rPr>
          <w:b/>
          <w:bCs/>
        </w:rPr>
      </w:pPr>
    </w:p>
    <w:p w:rsidR="00495083" w:rsidRPr="00BE4283" w:rsidRDefault="00495083" w:rsidP="007010AF">
      <w:pPr>
        <w:pStyle w:val="RKnormal"/>
        <w:rPr>
          <w:b/>
          <w:bCs/>
        </w:rPr>
      </w:pPr>
    </w:p>
    <w:p w:rsidR="007010AF" w:rsidRPr="00BE4283" w:rsidRDefault="007010AF" w:rsidP="007010AF">
      <w:pPr>
        <w:pStyle w:val="RKnormal"/>
        <w:rPr>
          <w:b/>
          <w:bCs/>
        </w:rPr>
      </w:pPr>
      <w:r w:rsidRPr="00BE4283">
        <w:rPr>
          <w:b/>
          <w:bCs/>
        </w:rPr>
        <w:t>10. Övriga frågor</w:t>
      </w:r>
    </w:p>
    <w:p w:rsidR="007010AF" w:rsidRPr="00BE4283" w:rsidRDefault="007010AF" w:rsidP="007010AF">
      <w:pPr>
        <w:pStyle w:val="RKnormal"/>
        <w:rPr>
          <w:b/>
          <w:bCs/>
        </w:rPr>
      </w:pPr>
      <w:r w:rsidRPr="00BE4283">
        <w:rPr>
          <w:b/>
          <w:bCs/>
        </w:rPr>
        <w:t xml:space="preserve">- </w:t>
      </w:r>
    </w:p>
    <w:p w:rsidR="007010AF" w:rsidRPr="00BE4283" w:rsidRDefault="007010AF" w:rsidP="007010AF">
      <w:pPr>
        <w:pStyle w:val="RKnormal"/>
        <w:rPr>
          <w:lang w:eastAsia="sv-SE"/>
        </w:rPr>
      </w:pPr>
    </w:p>
    <w:p w:rsidR="007010AF" w:rsidRPr="00BE4283" w:rsidRDefault="007010AF" w:rsidP="007010AF">
      <w:pPr>
        <w:pStyle w:val="RKnormal"/>
        <w:rPr>
          <w:b/>
        </w:rPr>
      </w:pPr>
    </w:p>
    <w:p w:rsidR="007010AF" w:rsidRPr="00BE4283" w:rsidRDefault="007010AF" w:rsidP="007010AF">
      <w:pPr>
        <w:pStyle w:val="RKnormal"/>
        <w:rPr>
          <w:b/>
        </w:rPr>
      </w:pPr>
    </w:p>
    <w:p w:rsidR="007010AF" w:rsidRPr="00BE4283" w:rsidRDefault="007010AF" w:rsidP="007010AF">
      <w:pPr>
        <w:pStyle w:val="RKnormal"/>
        <w:rPr>
          <w:b/>
        </w:rPr>
      </w:pPr>
      <w:r w:rsidRPr="00BE4283">
        <w:rPr>
          <w:b/>
        </w:rPr>
        <w:t>RÄTTSLIGA FRÅGOR</w:t>
      </w:r>
    </w:p>
    <w:p w:rsidR="007010AF" w:rsidRPr="00BE4283" w:rsidRDefault="007010AF" w:rsidP="007010AF">
      <w:pPr>
        <w:pStyle w:val="RKnormal"/>
        <w:rPr>
          <w:b/>
        </w:rPr>
      </w:pPr>
    </w:p>
    <w:p w:rsidR="007010AF" w:rsidRPr="00BE4283" w:rsidRDefault="007010AF" w:rsidP="007010AF">
      <w:pPr>
        <w:pStyle w:val="RKnormal"/>
        <w:rPr>
          <w:b/>
          <w:u w:val="single"/>
        </w:rPr>
      </w:pPr>
      <w:r w:rsidRPr="00BE4283">
        <w:rPr>
          <w:b/>
          <w:u w:val="single"/>
        </w:rPr>
        <w:t>Lagstiftningsöverläggningar</w:t>
      </w:r>
    </w:p>
    <w:p w:rsidR="007010AF" w:rsidRPr="00BE4283" w:rsidRDefault="007010AF" w:rsidP="007010AF">
      <w:pPr>
        <w:pStyle w:val="RKnormal"/>
        <w:rPr>
          <w:b/>
        </w:rPr>
      </w:pPr>
    </w:p>
    <w:p w:rsidR="007010AF" w:rsidRPr="00BE4283" w:rsidRDefault="007010AF" w:rsidP="007010AF">
      <w:pPr>
        <w:rPr>
          <w:rFonts w:ascii="OrigGarmnd BT" w:hAnsi="OrigGarmnd BT"/>
          <w:b/>
        </w:rPr>
      </w:pPr>
      <w:r w:rsidRPr="00BE4283">
        <w:rPr>
          <w:rFonts w:ascii="OrigGarmnd BT" w:hAnsi="OrigGarmnd BT"/>
          <w:b/>
        </w:rPr>
        <w:t>11. Utkast till direktiv om den europeiska skyddsordern i straffrättsliga förfaranden</w:t>
      </w:r>
    </w:p>
    <w:p w:rsidR="007010AF" w:rsidRPr="00BE4283" w:rsidRDefault="007010AF" w:rsidP="007010AF">
      <w:pPr>
        <w:rPr>
          <w:rFonts w:ascii="OrigGarmnd BT" w:hAnsi="OrigGarmnd BT"/>
          <w:b/>
        </w:rPr>
      </w:pPr>
      <w:r w:rsidRPr="00BE4283">
        <w:rPr>
          <w:rFonts w:ascii="OrigGarmnd BT" w:hAnsi="OrigGarmnd BT"/>
          <w:b/>
        </w:rPr>
        <w:t>(Sr Ask)</w:t>
      </w:r>
    </w:p>
    <w:p w:rsidR="007010AF" w:rsidRPr="00BE4283" w:rsidRDefault="007010AF" w:rsidP="007010AF">
      <w:pPr>
        <w:rPr>
          <w:rFonts w:ascii="OrigGarmnd BT" w:hAnsi="OrigGarmnd BT"/>
          <w:b/>
        </w:rPr>
      </w:pPr>
      <w:r w:rsidRPr="00BE4283">
        <w:rPr>
          <w:rFonts w:ascii="OrigGarmnd BT" w:hAnsi="OrigGarmnd BT"/>
          <w:b/>
        </w:rPr>
        <w:t>=</w:t>
      </w:r>
      <w:r w:rsidRPr="00BE4283">
        <w:rPr>
          <w:rFonts w:ascii="OrigGarmnd BT" w:hAnsi="OrigGarmnd BT"/>
          <w:b/>
        </w:rPr>
        <w:tab/>
        <w:t>Rådets ståndpunkt vid första behandlingen</w:t>
      </w:r>
    </w:p>
    <w:p w:rsidR="007010AF" w:rsidRPr="00BE4283" w:rsidRDefault="007010AF" w:rsidP="007010AF">
      <w:pPr>
        <w:rPr>
          <w:rFonts w:ascii="OrigGarmnd BT" w:hAnsi="OrigGarmnd BT"/>
          <w:b/>
        </w:rPr>
      </w:pPr>
    </w:p>
    <w:p w:rsidR="00A518B8" w:rsidRPr="00BE4283" w:rsidRDefault="00A518B8" w:rsidP="00A518B8">
      <w:pPr>
        <w:pStyle w:val="RKnormal"/>
        <w:rPr>
          <w:i/>
        </w:rPr>
      </w:pPr>
      <w:r w:rsidRPr="00BE4283">
        <w:rPr>
          <w:i/>
        </w:rPr>
        <w:t>Avsikten med behandlingen i rådet</w:t>
      </w:r>
    </w:p>
    <w:p w:rsidR="00A518B8" w:rsidRPr="00BE4283" w:rsidRDefault="00A518B8" w:rsidP="00A518B8">
      <w:pPr>
        <w:pStyle w:val="RKnormal"/>
        <w:rPr>
          <w:iCs/>
        </w:rPr>
      </w:pPr>
      <w:r w:rsidRPr="00BE4283">
        <w:t>Enligt dagordningen är syftet med den aktuella behand</w:t>
      </w:r>
      <w:r w:rsidRPr="00BE4283">
        <w:softHyphen/>
        <w:t>lingen i rådet att enas om en rådsposition i första läsningen. Innan rådet kan rösta om en ny ståndpunkt i frågan måste dock ståndpunkten stämmas av med Europaparlamentet, varför mycket talar för att det endast kommer att bli fråga om en läges</w:t>
      </w:r>
      <w:r w:rsidRPr="00BE4283">
        <w:softHyphen/>
        <w:t>rapport.</w:t>
      </w:r>
    </w:p>
    <w:p w:rsidR="00A518B8" w:rsidRPr="00BE4283" w:rsidRDefault="00A518B8" w:rsidP="00A518B8">
      <w:pPr>
        <w:pStyle w:val="RKnormal"/>
        <w:rPr>
          <w:i/>
        </w:rPr>
      </w:pPr>
    </w:p>
    <w:p w:rsidR="00A518B8" w:rsidRPr="00BE4283" w:rsidRDefault="00A518B8" w:rsidP="00A518B8">
      <w:pPr>
        <w:pStyle w:val="RKnormal"/>
        <w:rPr>
          <w:i/>
        </w:rPr>
      </w:pPr>
      <w:r w:rsidRPr="00BE4283">
        <w:rPr>
          <w:i/>
        </w:rPr>
        <w:t>Bakgrund</w:t>
      </w:r>
    </w:p>
    <w:p w:rsidR="00A518B8" w:rsidRPr="00BE4283" w:rsidRDefault="00A518B8" w:rsidP="00A518B8">
      <w:pPr>
        <w:pStyle w:val="RKnormal"/>
      </w:pPr>
      <w:r w:rsidRPr="00BE4283">
        <w:t>I december 2009 presenterade tolv medlemsstater, däribland Sverige, ett för</w:t>
      </w:r>
      <w:r w:rsidRPr="00BE4283">
        <w:softHyphen/>
        <w:t>slag till direktiv om den europeiska skyddsordern (the European Protection Order, EPO). Direktivet ska göra det möjligt att från en medlems</w:t>
      </w:r>
      <w:r w:rsidRPr="00BE4283">
        <w:softHyphen/>
        <w:t>stat till en annan överföra åtgärder som vidtagits till skydd för en hotad person när personen flyttar till en annan stat. De skydds</w:t>
      </w:r>
      <w:r w:rsidRPr="00BE4283">
        <w:softHyphen/>
        <w:t>åtgärder som avses omfattas av direktivet är vad som i svensk rätt när</w:t>
      </w:r>
      <w:r w:rsidRPr="00BE4283">
        <w:softHyphen/>
        <w:t>mast motsvaras av besöks</w:t>
      </w:r>
      <w:r w:rsidRPr="00BE4283">
        <w:softHyphen/>
        <w:t>förbud. På RIF-rådet i juni 2010 träffades överens</w:t>
      </w:r>
      <w:r w:rsidRPr="00BE4283">
        <w:softHyphen/>
        <w:t>kommelse om en allmän rikt</w:t>
      </w:r>
      <w:r w:rsidRPr="00BE4283">
        <w:softHyphen/>
        <w:t>linje kring ett förslag med brett tillämp</w:t>
      </w:r>
      <w:r w:rsidRPr="00BE4283">
        <w:softHyphen/>
        <w:t>nings</w:t>
      </w:r>
      <w:r w:rsidRPr="00BE4283">
        <w:softHyphen/>
        <w:t>område, dvs. skyddsåtgärder beslutade i såväl straffrättsliga som civilrättsliga och administrativa för</w:t>
      </w:r>
      <w:r w:rsidRPr="00BE4283">
        <w:softHyphen/>
        <w:t>faranden skulle omfattas. En överens</w:t>
      </w:r>
      <w:r w:rsidRPr="00BE4283">
        <w:softHyphen/>
        <w:t>kom</w:t>
      </w:r>
      <w:r w:rsidRPr="00BE4283">
        <w:softHyphen/>
        <w:t>mel</w:t>
      </w:r>
      <w:r w:rsidRPr="00BE4283">
        <w:softHyphen/>
        <w:t>se med EP beträffande den texten upp</w:t>
      </w:r>
      <w:r w:rsidRPr="00BE4283">
        <w:softHyphen/>
        <w:t>nåddes genom omröstning i EP i december 2010. Efter det fram</w:t>
      </w:r>
      <w:r w:rsidRPr="00BE4283">
        <w:softHyphen/>
        <w:t>kom att det inom rådet fanns en blocke</w:t>
      </w:r>
      <w:r w:rsidRPr="00BE4283">
        <w:softHyphen/>
        <w:t>rande minoritet mot den överenskomna texten med det breda tillämp</w:t>
      </w:r>
      <w:r w:rsidRPr="00BE4283">
        <w:softHyphen/>
        <w:t>nings</w:t>
      </w:r>
      <w:r w:rsidRPr="00BE4283">
        <w:softHyphen/>
        <w:t>området.</w:t>
      </w:r>
    </w:p>
    <w:p w:rsidR="00A518B8" w:rsidRPr="00BE4283" w:rsidRDefault="00A518B8" w:rsidP="00A518B8">
      <w:pPr>
        <w:pStyle w:val="RKnormal"/>
      </w:pPr>
    </w:p>
    <w:p w:rsidR="00A518B8" w:rsidRPr="00BE4283" w:rsidRDefault="00A518B8" w:rsidP="00A518B8">
      <w:pPr>
        <w:pStyle w:val="RKnormal"/>
      </w:pPr>
      <w:r w:rsidRPr="00BE4283">
        <w:t>I maj 2011 presenterade kommissionen ett brotts</w:t>
      </w:r>
      <w:r w:rsidRPr="00BE4283">
        <w:softHyphen/>
        <w:t>offerpaket, där ett förslag till förordning om ömsesidigt erkän</w:t>
      </w:r>
      <w:r w:rsidRPr="00BE4283">
        <w:softHyphen/>
        <w:t>nande av civilrättsliga skydds</w:t>
      </w:r>
      <w:r w:rsidRPr="00BE4283">
        <w:softHyphen/>
        <w:t>åtgärder ingår. Det ursprungliga förslaget till direktiv har i samband därmed begränsats till att gälla enbart för straff</w:t>
      </w:r>
      <w:r w:rsidRPr="00BE4283">
        <w:softHyphen/>
        <w:t>rätts</w:t>
      </w:r>
      <w:r w:rsidRPr="00BE4283">
        <w:softHyphen/>
        <w:t>liga förhållanden med krav på att misstanke om ett brottsligt beteende ligger till grund för beslutet om skyddsåtgärden. Krav på samordning av förhandlingarna av de båda förslagen har framställts. På det informella ministermötet för rättsliga och inrikes frågor i juli 2011 var dock en majoritet av medlemsstaterna överens om att förhandlingarna om det straffrättsliga direktivet ska prioriteras och inte för</w:t>
      </w:r>
      <w:r w:rsidRPr="00BE4283">
        <w:softHyphen/>
        <w:t>dröjas av för</w:t>
      </w:r>
      <w:r w:rsidRPr="00BE4283">
        <w:softHyphen/>
        <w:t>hand</w:t>
      </w:r>
      <w:r w:rsidRPr="00BE4283">
        <w:softHyphen/>
        <w:t xml:space="preserve">lingarna om den civilrättsliga förordningen. </w:t>
      </w:r>
    </w:p>
    <w:p w:rsidR="00A518B8" w:rsidRPr="00BE4283" w:rsidRDefault="00A518B8" w:rsidP="00A518B8">
      <w:pPr>
        <w:pStyle w:val="RKnormal"/>
      </w:pPr>
    </w:p>
    <w:p w:rsidR="00A518B8" w:rsidRPr="00BE4283" w:rsidRDefault="00A518B8" w:rsidP="00A518B8">
      <w:pPr>
        <w:pStyle w:val="RKnormal"/>
        <w:rPr>
          <w:iCs/>
        </w:rPr>
      </w:pPr>
      <w:r w:rsidRPr="00BE4283">
        <w:rPr>
          <w:iCs/>
        </w:rPr>
        <w:t>Med hänsyn till att det nu finns två initiativ för erkännande och verk</w:t>
      </w:r>
      <w:r w:rsidRPr="00BE4283">
        <w:rPr>
          <w:iCs/>
        </w:rPr>
        <w:softHyphen/>
        <w:t>ställighet av skyddsåtgärder har det konstaterats att en samordning av tillämpningsområdena för de båda rättsakterna behövs, för att så många skydds</w:t>
      </w:r>
      <w:r w:rsidRPr="00BE4283">
        <w:rPr>
          <w:iCs/>
        </w:rPr>
        <w:softHyphen/>
        <w:t>åtgärder som möjligt ska omfattas av det EU-rättsliga regelverket. Detta har också kommit till uttryck i den färdplan för brotts</w:t>
      </w:r>
      <w:r w:rsidRPr="00BE4283">
        <w:rPr>
          <w:iCs/>
        </w:rPr>
        <w:softHyphen/>
        <w:t>offer</w:t>
      </w:r>
      <w:r w:rsidRPr="00BE4283">
        <w:rPr>
          <w:iCs/>
        </w:rPr>
        <w:softHyphen/>
        <w:t>rättig</w:t>
      </w:r>
      <w:r w:rsidRPr="00BE4283">
        <w:rPr>
          <w:iCs/>
        </w:rPr>
        <w:softHyphen/>
        <w:t>heter som antogs på RIF-rådet i juni 2011. För att åstadkomma denna samord</w:t>
      </w:r>
      <w:r w:rsidRPr="00BE4283">
        <w:rPr>
          <w:iCs/>
        </w:rPr>
        <w:softHyphen/>
        <w:t>ning har en deklaration utarbetats, där rådet uttalar som sin intention att prioritera arbetet med den civilrättsliga förordningen och tillse att den komp</w:t>
      </w:r>
      <w:r w:rsidRPr="00BE4283">
        <w:rPr>
          <w:iCs/>
        </w:rPr>
        <w:softHyphen/>
        <w:t xml:space="preserve">letterar direktivet beträffande tillämpningsområdet. Deklarationen ska antas vid antagandet av det straffrättsliga direktivet. </w:t>
      </w:r>
    </w:p>
    <w:p w:rsidR="00A518B8" w:rsidRPr="00BE4283" w:rsidRDefault="00A518B8" w:rsidP="00A518B8">
      <w:pPr>
        <w:pStyle w:val="RKnormal"/>
      </w:pPr>
    </w:p>
    <w:p w:rsidR="00A518B8" w:rsidRPr="00BE4283" w:rsidRDefault="00A518B8" w:rsidP="00A518B8">
      <w:pPr>
        <w:pStyle w:val="RKnormal"/>
        <w:rPr>
          <w:i/>
        </w:rPr>
      </w:pPr>
      <w:r w:rsidRPr="00BE4283">
        <w:rPr>
          <w:i/>
        </w:rPr>
        <w:t>Svensk ståndpunkt</w:t>
      </w:r>
    </w:p>
    <w:p w:rsidR="00A518B8" w:rsidRPr="00BE4283" w:rsidRDefault="00A518B8" w:rsidP="00A518B8">
      <w:pPr>
        <w:pStyle w:val="RKnormal"/>
      </w:pPr>
      <w:r w:rsidRPr="00BE4283">
        <w:t>Sverige är positivt till direktivets syfte, dvs. att stärka skyddet för perso</w:t>
      </w:r>
      <w:r w:rsidRPr="00BE4283">
        <w:softHyphen/>
        <w:t>ner som lever under hot från en annan person och att öka deras möjlig</w:t>
      </w:r>
      <w:r w:rsidRPr="00BE4283">
        <w:softHyphen/>
        <w:t xml:space="preserve">heter att fritt röra sig inom EU. </w:t>
      </w:r>
    </w:p>
    <w:p w:rsidR="00A518B8" w:rsidRPr="00BE4283" w:rsidRDefault="00A518B8" w:rsidP="00A518B8">
      <w:pPr>
        <w:pStyle w:val="RKnormal"/>
      </w:pPr>
    </w:p>
    <w:p w:rsidR="00A518B8" w:rsidRPr="00BE4283" w:rsidRDefault="00A518B8" w:rsidP="00A518B8">
      <w:pPr>
        <w:pStyle w:val="RKnormal"/>
      </w:pPr>
      <w:r w:rsidRPr="00BE4283">
        <w:t>Sverige har ända sedan för</w:t>
      </w:r>
      <w:r w:rsidRPr="00BE4283">
        <w:softHyphen/>
        <w:t>hand</w:t>
      </w:r>
      <w:r w:rsidRPr="00BE4283">
        <w:softHyphen/>
        <w:t>lingarna om direktivet påbörjades strävat efter att få ett brett tillämp</w:t>
      </w:r>
      <w:r w:rsidRPr="00BE4283">
        <w:softHyphen/>
        <w:t>ningsområde för att så många skyddsåtgärder som möjligt ska träffas av regleringen. När det nu blir två instrument på området, och direktivet därmed får ett begrän</w:t>
      </w:r>
      <w:r w:rsidRPr="00BE4283">
        <w:softHyphen/>
        <w:t>sat tillämpningsområde, är det viktigt att verka för en samordning av tillämpningsområdet med det civilrättsliga förslaget för att så många skydds</w:t>
      </w:r>
      <w:r w:rsidRPr="00BE4283">
        <w:softHyphen/>
        <w:t xml:space="preserve">åtgärder som möjligt ska omfattas av det EU-rättsliga regelverket. Ett antagande av den föreslagna rådsdeklarationen bidrar till en sådan samordning.  </w:t>
      </w:r>
    </w:p>
    <w:p w:rsidR="00A518B8" w:rsidRPr="00BE4283" w:rsidRDefault="00A518B8" w:rsidP="00A518B8">
      <w:pPr>
        <w:pStyle w:val="RKnormal"/>
      </w:pPr>
    </w:p>
    <w:p w:rsidR="00A518B8" w:rsidRPr="00BE4283" w:rsidRDefault="00A518B8" w:rsidP="00A518B8">
      <w:pPr>
        <w:pStyle w:val="RKnormal"/>
      </w:pPr>
      <w:r w:rsidRPr="00BE4283">
        <w:t>Förhandlingarna om direktivet är nu redo för ett avslut. Kommissio</w:t>
      </w:r>
      <w:r w:rsidRPr="00BE4283">
        <w:softHyphen/>
        <w:t>nens förordning om mot</w:t>
      </w:r>
      <w:r w:rsidRPr="00BE4283">
        <w:softHyphen/>
        <w:t>sva</w:t>
      </w:r>
      <w:r w:rsidRPr="00BE4283">
        <w:softHyphen/>
      </w:r>
      <w:r w:rsidRPr="00BE4283">
        <w:softHyphen/>
        <w:t>ran</w:t>
      </w:r>
      <w:r w:rsidRPr="00BE4283">
        <w:softHyphen/>
        <w:t>de åtgärder under civilrättsliga förhållan</w:t>
      </w:r>
      <w:r w:rsidRPr="00BE4283">
        <w:softHyphen/>
        <w:t>den har nyligen börjat behandlas i civilrättskommitténs arbets</w:t>
      </w:r>
      <w:r w:rsidRPr="00BE4283">
        <w:softHyphen/>
        <w:t>grupp. Det kvar</w:t>
      </w:r>
      <w:r w:rsidRPr="00BE4283">
        <w:softHyphen/>
        <w:t>står mycket arbete med förordningen innan den är färdig för antagande. Att för</w:t>
      </w:r>
      <w:r w:rsidRPr="00BE4283">
        <w:softHyphen/>
        <w:t>dröj</w:t>
      </w:r>
      <w:r w:rsidRPr="00BE4283">
        <w:softHyphen/>
        <w:t>a antagandet av direktivet för att invänta förhand</w:t>
      </w:r>
      <w:r w:rsidRPr="00BE4283">
        <w:softHyphen/>
        <w:t>lingarna om förordningen skulle vara till men för brottsoffer och perso</w:t>
      </w:r>
      <w:r w:rsidRPr="00BE4283">
        <w:softHyphen/>
        <w:t>ner som riskerar att utsättas för brott. Det är därför positivt att rådet nu slutför arbetet med direktivet.</w:t>
      </w:r>
    </w:p>
    <w:p w:rsidR="00A518B8" w:rsidRPr="00BE4283" w:rsidRDefault="00A518B8" w:rsidP="00A518B8">
      <w:pPr>
        <w:pStyle w:val="RKnormal"/>
      </w:pPr>
    </w:p>
    <w:p w:rsidR="00A518B8" w:rsidRPr="00BE4283" w:rsidRDefault="00A518B8" w:rsidP="00A518B8">
      <w:pPr>
        <w:pStyle w:val="RKnormal"/>
      </w:pPr>
      <w:r w:rsidRPr="00BE4283">
        <w:t xml:space="preserve">Sammanfattningsvis är Sverige positivt till och stödjer ordförandeskapets förslag. </w:t>
      </w:r>
    </w:p>
    <w:p w:rsidR="007010AF" w:rsidRPr="00BE4283" w:rsidRDefault="007010AF" w:rsidP="007010AF">
      <w:pPr>
        <w:rPr>
          <w:rFonts w:ascii="OrigGarmnd BT" w:hAnsi="OrigGarmnd BT"/>
          <w:b/>
        </w:rPr>
      </w:pPr>
    </w:p>
    <w:p w:rsidR="00A518B8" w:rsidRPr="00BE4283" w:rsidRDefault="00A518B8" w:rsidP="007010AF">
      <w:pPr>
        <w:rPr>
          <w:rFonts w:ascii="OrigGarmnd BT" w:hAnsi="OrigGarmnd BT"/>
        </w:rPr>
      </w:pPr>
      <w:r w:rsidRPr="00BE4283">
        <w:rPr>
          <w:rFonts w:ascii="OrigGarmnd BT" w:hAnsi="OrigGarmnd BT"/>
        </w:rPr>
        <w:t xml:space="preserve">Se vidare i </w:t>
      </w:r>
      <w:r w:rsidRPr="00BE4283">
        <w:rPr>
          <w:rFonts w:ascii="OrigGarmnd BT" w:hAnsi="OrigGarmnd BT"/>
          <w:u w:val="single"/>
        </w:rPr>
        <w:t>bifogad promemoria</w:t>
      </w:r>
      <w:r w:rsidRPr="00BE4283">
        <w:rPr>
          <w:rFonts w:ascii="OrigGarmnd BT" w:hAnsi="OrigGarmnd BT"/>
        </w:rPr>
        <w:t>.</w:t>
      </w:r>
    </w:p>
    <w:p w:rsidR="00A518B8" w:rsidRPr="00BE4283" w:rsidRDefault="00A518B8" w:rsidP="007010AF">
      <w:pPr>
        <w:rPr>
          <w:rFonts w:ascii="OrigGarmnd BT" w:hAnsi="OrigGarmnd BT"/>
          <w:b/>
        </w:rPr>
      </w:pPr>
    </w:p>
    <w:p w:rsidR="00A518B8" w:rsidRPr="00BE4283" w:rsidRDefault="00A518B8" w:rsidP="007010AF">
      <w:pPr>
        <w:rPr>
          <w:rFonts w:ascii="OrigGarmnd BT" w:hAnsi="OrigGarmnd BT"/>
          <w:b/>
        </w:rPr>
      </w:pPr>
    </w:p>
    <w:p w:rsidR="007010AF" w:rsidRPr="00BE4283" w:rsidRDefault="007010AF" w:rsidP="007010AF">
      <w:pPr>
        <w:rPr>
          <w:rFonts w:ascii="OrigGarmnd BT" w:hAnsi="OrigGarmnd BT"/>
          <w:b/>
        </w:rPr>
      </w:pPr>
      <w:r w:rsidRPr="00BE4283">
        <w:rPr>
          <w:rFonts w:ascii="OrigGarmnd BT" w:hAnsi="OrigGarmnd BT"/>
          <w:b/>
        </w:rPr>
        <w:t>12. (ev.) Förslag till Europaparlamentets och rådets direktiv om rätten till information i brottmål  (Sr Ask)</w:t>
      </w:r>
    </w:p>
    <w:p w:rsidR="007010AF" w:rsidRPr="00BE4283" w:rsidRDefault="007010AF" w:rsidP="007010AF">
      <w:pPr>
        <w:rPr>
          <w:rFonts w:ascii="OrigGarmnd BT" w:hAnsi="OrigGarmnd BT"/>
          <w:b/>
        </w:rPr>
      </w:pPr>
      <w:r w:rsidRPr="00BE4283">
        <w:rPr>
          <w:rFonts w:ascii="OrigGarmnd BT" w:hAnsi="OrigGarmnd BT"/>
          <w:b/>
        </w:rPr>
        <w:t>=</w:t>
      </w:r>
      <w:r w:rsidRPr="00BE4283">
        <w:rPr>
          <w:rFonts w:ascii="OrigGarmnd BT" w:hAnsi="OrigGarmnd BT"/>
          <w:b/>
        </w:rPr>
        <w:tab/>
        <w:t>Lägesrapport</w:t>
      </w:r>
    </w:p>
    <w:p w:rsidR="0026722A" w:rsidRPr="00BE4283" w:rsidRDefault="0026722A" w:rsidP="007010AF">
      <w:pPr>
        <w:rPr>
          <w:rFonts w:ascii="OrigGarmnd BT" w:hAnsi="OrigGarmnd BT"/>
          <w:b/>
        </w:rPr>
      </w:pPr>
    </w:p>
    <w:p w:rsidR="0026722A" w:rsidRPr="00BE4283" w:rsidRDefault="0026722A" w:rsidP="007010AF">
      <w:pPr>
        <w:rPr>
          <w:rFonts w:ascii="OrigGarmnd BT" w:hAnsi="OrigGarmnd BT"/>
          <w:i/>
        </w:rPr>
      </w:pPr>
      <w:r w:rsidRPr="00BE4283">
        <w:rPr>
          <w:rFonts w:ascii="OrigGarmnd BT" w:hAnsi="OrigGarmnd BT"/>
          <w:i/>
        </w:rPr>
        <w:t>Avsikten med behandlingen i rådet</w:t>
      </w:r>
    </w:p>
    <w:p w:rsidR="0026722A" w:rsidRPr="00BE4283" w:rsidRDefault="00E65479" w:rsidP="0026722A">
      <w:pPr>
        <w:pStyle w:val="RKnormal"/>
      </w:pPr>
      <w:r w:rsidRPr="00BE4283">
        <w:t>Information om läget i förhandlingarna om förslaget till direktiv om rätt till information i straffrättsliga förfaranden.</w:t>
      </w:r>
      <w:r w:rsidR="0026722A" w:rsidRPr="00BE4283">
        <w:t xml:space="preserve"> </w:t>
      </w:r>
    </w:p>
    <w:p w:rsidR="0026722A" w:rsidRPr="00BE4283" w:rsidRDefault="0026722A" w:rsidP="0026722A">
      <w:pPr>
        <w:pStyle w:val="RKnormal"/>
        <w:rPr>
          <w:i/>
        </w:rPr>
      </w:pPr>
      <w:r w:rsidRPr="00BE4283">
        <w:rPr>
          <w:i/>
        </w:rPr>
        <w:t>Dokument</w:t>
      </w:r>
    </w:p>
    <w:p w:rsidR="0026722A" w:rsidRPr="00BE4283" w:rsidRDefault="0026722A" w:rsidP="0026722A">
      <w:pPr>
        <w:pStyle w:val="RKnormal"/>
      </w:pPr>
      <w:r w:rsidRPr="00BE4283">
        <w:t>Det har ännu inte presenterats något dokument för behandling i rådet</w:t>
      </w:r>
    </w:p>
    <w:p w:rsidR="0026722A" w:rsidRPr="00BE4283" w:rsidRDefault="0026722A" w:rsidP="0026722A">
      <w:pPr>
        <w:pStyle w:val="RKnormal"/>
      </w:pPr>
    </w:p>
    <w:p w:rsidR="0026722A" w:rsidRPr="00BE4283" w:rsidRDefault="0026722A" w:rsidP="0026722A">
      <w:pPr>
        <w:pStyle w:val="RKnormal"/>
        <w:rPr>
          <w:i/>
        </w:rPr>
      </w:pPr>
      <w:r w:rsidRPr="00BE4283">
        <w:rPr>
          <w:i/>
        </w:rPr>
        <w:t>Tidigare dokument</w:t>
      </w:r>
    </w:p>
    <w:p w:rsidR="0026722A" w:rsidRPr="00BE4283" w:rsidRDefault="0026722A" w:rsidP="0026722A">
      <w:pPr>
        <w:pStyle w:val="RKnormal"/>
      </w:pPr>
      <w:r w:rsidRPr="00BE4283">
        <w:t>12564/10</w:t>
      </w:r>
      <w:r w:rsidR="00BB37E3" w:rsidRPr="00BE4283">
        <w:t xml:space="preserve"> DROIPEN 83 COPEN 162 CODEC 727</w:t>
      </w:r>
    </w:p>
    <w:p w:rsidR="0026722A" w:rsidRPr="00BE4283" w:rsidRDefault="0026722A" w:rsidP="0026722A">
      <w:pPr>
        <w:pStyle w:val="RKnormal"/>
      </w:pPr>
    </w:p>
    <w:p w:rsidR="0026722A" w:rsidRPr="00BE4283" w:rsidRDefault="0026722A" w:rsidP="0026722A">
      <w:pPr>
        <w:pStyle w:val="RKnormal"/>
      </w:pPr>
      <w:r w:rsidRPr="00BE4283">
        <w:t>Faktapromemoria Justitiedepartementet 2009/10:FPM117</w:t>
      </w:r>
    </w:p>
    <w:p w:rsidR="00BB37E3" w:rsidRPr="00BE4283" w:rsidRDefault="00BB37E3" w:rsidP="0026722A">
      <w:pPr>
        <w:pStyle w:val="RKnormal"/>
        <w:rPr>
          <w:i/>
        </w:rPr>
      </w:pPr>
    </w:p>
    <w:p w:rsidR="00BB37E3" w:rsidRPr="00BE4283" w:rsidRDefault="00BB37E3" w:rsidP="0026722A">
      <w:pPr>
        <w:pStyle w:val="RKnormal"/>
        <w:rPr>
          <w:i/>
        </w:rPr>
      </w:pPr>
      <w:r w:rsidRPr="00BE4283">
        <w:rPr>
          <w:i/>
        </w:rPr>
        <w:t>Tidigare behandlad vid samråd med EU-nämnden</w:t>
      </w:r>
    </w:p>
    <w:p w:rsidR="0026722A" w:rsidRPr="00BE4283" w:rsidRDefault="0026722A" w:rsidP="0026722A">
      <w:pPr>
        <w:pStyle w:val="RKnormal"/>
      </w:pPr>
      <w:r w:rsidRPr="00BE4283">
        <w:t>2010-10-01, 2010-11-26, 2011-02-18, 2011-04-08</w:t>
      </w:r>
    </w:p>
    <w:p w:rsidR="00BB37E3" w:rsidRPr="00BE4283" w:rsidRDefault="00BB37E3" w:rsidP="0026722A">
      <w:pPr>
        <w:pStyle w:val="RKnormal"/>
      </w:pPr>
    </w:p>
    <w:p w:rsidR="00BB37E3" w:rsidRPr="00BE4283" w:rsidRDefault="00BB37E3" w:rsidP="0026722A">
      <w:pPr>
        <w:pStyle w:val="RKnormal"/>
        <w:rPr>
          <w:i/>
        </w:rPr>
      </w:pPr>
      <w:r w:rsidRPr="00BE4283">
        <w:rPr>
          <w:i/>
        </w:rPr>
        <w:t>Bakgrund</w:t>
      </w:r>
    </w:p>
    <w:p w:rsidR="0026722A" w:rsidRPr="00BE4283" w:rsidRDefault="0026722A" w:rsidP="0026722A">
      <w:pPr>
        <w:pStyle w:val="RKnormal"/>
      </w:pPr>
      <w:r w:rsidRPr="00BE4283">
        <w:t xml:space="preserve">I juli 2010 lade </w:t>
      </w:r>
      <w:r w:rsidR="00BB37E3" w:rsidRPr="00BE4283">
        <w:t>kommissionen</w:t>
      </w:r>
      <w:r w:rsidRPr="00BE4283">
        <w:t xml:space="preserve"> fram förslaget till direktiv om rätt till information i straffrättsliga förfaranden. Förslaget behandlar misstänktas och tilltalades rätt till information i straffrättsliga förfaranden. Den som är misstänkt eller tilltalad i sådana förfaranden ska ha rätt till information om sina rättigheter och om anklagelsen. Den som frihetsberövats ska få skriftlig rättighetsinformation, ett s.k. rättighetsblad. En person som frihetsberövats eller dennes försvarare ska få tillgång till information hos de behöriga myndigheterna för att kunna pröva lagligheten av frihetsberövandet. Senast när åtal väcks ska den tilltalade eller dennes försvarare få tillgång till den materiella bevisningen för eller mot den tilltalade.</w:t>
      </w:r>
    </w:p>
    <w:p w:rsidR="0026722A" w:rsidRPr="00BE4283" w:rsidRDefault="0026722A" w:rsidP="0026722A">
      <w:pPr>
        <w:pStyle w:val="RKnormal"/>
      </w:pPr>
    </w:p>
    <w:p w:rsidR="0026722A" w:rsidRPr="00BE4283" w:rsidRDefault="0026722A" w:rsidP="0026722A">
      <w:pPr>
        <w:pStyle w:val="RKnormal"/>
      </w:pPr>
      <w:r w:rsidRPr="00BE4283">
        <w:t xml:space="preserve">Direktivförslaget utgör det andra steget i färdplanen för processuella rättigheter i straffrättsliga förfaranden som antogs av RIF-rådet den 30 november 2009. Förslaget förhandlades intensivt under hösten 2010. En allmän inriktning om förslaget uppnåddes vid rådets möte (rättsliga och inrikes frågor) i december. Europaparlamentet har i mars i år lämnat ändringsförslag i enlighet med </w:t>
      </w:r>
      <w:r w:rsidR="00BB37E3" w:rsidRPr="00BE4283">
        <w:t>det ordinarie lagstiftningsförfarandet</w:t>
      </w:r>
      <w:r w:rsidRPr="00BE4283">
        <w:t>.</w:t>
      </w:r>
      <w:r w:rsidR="00BB37E3" w:rsidRPr="00BE4283">
        <w:t xml:space="preserve"> Förfarandet innebär att både rådets och parlamentets godkännande krävs för att förslaget till direktiv ska antas.</w:t>
      </w:r>
      <w:r w:rsidRPr="00BE4283">
        <w:t xml:space="preserve"> Under våren och sommaren har trilogförhandlingar </w:t>
      </w:r>
      <w:r w:rsidR="00BB37E3" w:rsidRPr="00BE4283">
        <w:t xml:space="preserve">mellan rådet, Europaparlamentet och kommissionen </w:t>
      </w:r>
      <w:r w:rsidRPr="00BE4283">
        <w:t xml:space="preserve">hållits vid flera tillfällen. Dessa är ännu inte avslutade. Nästa diskussion på expertnivå äger rum den 15 september. </w:t>
      </w:r>
    </w:p>
    <w:p w:rsidR="0026722A" w:rsidRPr="00BE4283" w:rsidRDefault="0026722A" w:rsidP="007010AF">
      <w:pPr>
        <w:rPr>
          <w:rFonts w:ascii="OrigGarmnd BT" w:hAnsi="OrigGarmnd BT"/>
          <w:i/>
        </w:rPr>
      </w:pPr>
    </w:p>
    <w:p w:rsidR="007010AF" w:rsidRPr="00BE4283" w:rsidRDefault="007010AF" w:rsidP="007010AF">
      <w:pPr>
        <w:rPr>
          <w:rFonts w:ascii="OrigGarmnd BT" w:hAnsi="OrigGarmnd BT"/>
          <w:b/>
        </w:rPr>
      </w:pPr>
    </w:p>
    <w:p w:rsidR="007010AF" w:rsidRPr="00BE4283" w:rsidRDefault="007010AF" w:rsidP="007010AF">
      <w:pPr>
        <w:ind w:left="567" w:hanging="567"/>
        <w:rPr>
          <w:rFonts w:ascii="OrigGarmnd BT" w:hAnsi="OrigGarmnd BT"/>
          <w:b/>
        </w:rPr>
      </w:pPr>
      <w:r w:rsidRPr="00BE4283">
        <w:rPr>
          <w:rFonts w:ascii="OrigGarmnd BT" w:hAnsi="OrigGarmnd BT"/>
          <w:b/>
        </w:rPr>
        <w:t>13. Förslag till Europaparlamentets och rådets direktiv om rätt till</w:t>
      </w:r>
    </w:p>
    <w:p w:rsidR="009A1D77" w:rsidRPr="00BE4283" w:rsidRDefault="009A1D77" w:rsidP="007010AF">
      <w:pPr>
        <w:ind w:left="567" w:hanging="567"/>
        <w:rPr>
          <w:rFonts w:ascii="OrigGarmnd BT" w:hAnsi="OrigGarmnd BT"/>
          <w:b/>
        </w:rPr>
      </w:pPr>
      <w:r w:rsidRPr="00BE4283">
        <w:rPr>
          <w:rFonts w:ascii="OrigGarmnd BT" w:hAnsi="OrigGarmnd BT"/>
          <w:b/>
        </w:rPr>
        <w:t>tillgång till försvarare i</w:t>
      </w:r>
      <w:r w:rsidR="007010AF" w:rsidRPr="00BE4283">
        <w:rPr>
          <w:rFonts w:ascii="OrigGarmnd BT" w:hAnsi="OrigGarmnd BT"/>
          <w:b/>
        </w:rPr>
        <w:t xml:space="preserve"> straffrättsliga förfaranden o</w:t>
      </w:r>
      <w:r w:rsidRPr="00BE4283">
        <w:rPr>
          <w:rFonts w:ascii="OrigGarmnd BT" w:hAnsi="OrigGarmnd BT"/>
          <w:b/>
        </w:rPr>
        <w:t>ch rätt till kontakt</w:t>
      </w:r>
    </w:p>
    <w:p w:rsidR="007010AF" w:rsidRPr="00BE4283" w:rsidRDefault="007010AF" w:rsidP="007010AF">
      <w:pPr>
        <w:ind w:left="567" w:hanging="567"/>
        <w:rPr>
          <w:rFonts w:ascii="OrigGarmnd BT" w:hAnsi="OrigGarmnd BT"/>
          <w:b/>
        </w:rPr>
      </w:pPr>
      <w:r w:rsidRPr="00BE4283">
        <w:rPr>
          <w:rFonts w:ascii="OrigGarmnd BT" w:hAnsi="OrigGarmnd BT"/>
          <w:b/>
        </w:rPr>
        <w:t>med tredje</w:t>
      </w:r>
      <w:r w:rsidR="009A1D77" w:rsidRPr="00BE4283">
        <w:rPr>
          <w:rFonts w:ascii="OrigGarmnd BT" w:hAnsi="OrigGarmnd BT"/>
          <w:b/>
        </w:rPr>
        <w:t xml:space="preserve"> </w:t>
      </w:r>
      <w:r w:rsidRPr="00BE4283">
        <w:rPr>
          <w:rFonts w:ascii="OrigGarmnd BT" w:hAnsi="OrigGarmnd BT"/>
          <w:b/>
        </w:rPr>
        <w:t>part vid frihetsberövande (Sr Ask)</w:t>
      </w:r>
    </w:p>
    <w:p w:rsidR="007010AF" w:rsidRPr="00BE4283" w:rsidRDefault="007010AF" w:rsidP="007010AF">
      <w:pPr>
        <w:ind w:left="567" w:hanging="567"/>
        <w:rPr>
          <w:rFonts w:ascii="OrigGarmnd BT" w:hAnsi="OrigGarmnd BT"/>
          <w:b/>
        </w:rPr>
      </w:pPr>
      <w:r w:rsidRPr="00BE4283">
        <w:rPr>
          <w:rFonts w:ascii="OrigGarmnd BT" w:hAnsi="OrigGarmnd BT"/>
          <w:b/>
        </w:rPr>
        <w:t>=</w:t>
      </w:r>
      <w:r w:rsidRPr="00BE4283">
        <w:rPr>
          <w:rFonts w:ascii="OrigGarmnd BT" w:hAnsi="OrigGarmnd BT"/>
          <w:b/>
        </w:rPr>
        <w:tab/>
        <w:t>Föredragning av kommissionen</w:t>
      </w:r>
    </w:p>
    <w:p w:rsidR="00BB37E3" w:rsidRPr="00BE4283" w:rsidRDefault="00BB37E3" w:rsidP="007010AF">
      <w:pPr>
        <w:ind w:left="567" w:hanging="567"/>
        <w:rPr>
          <w:rFonts w:ascii="OrigGarmnd BT" w:hAnsi="OrigGarmnd BT"/>
          <w:b/>
        </w:rPr>
      </w:pPr>
    </w:p>
    <w:p w:rsidR="00BB37E3" w:rsidRPr="00BE4283" w:rsidRDefault="00BB37E3" w:rsidP="00BB37E3">
      <w:pPr>
        <w:pStyle w:val="RKnormal"/>
        <w:rPr>
          <w:i/>
        </w:rPr>
      </w:pPr>
      <w:r w:rsidRPr="00BE4283">
        <w:rPr>
          <w:i/>
        </w:rPr>
        <w:t>Avsikten med behandlingen i rådet</w:t>
      </w:r>
    </w:p>
    <w:p w:rsidR="00BB37E3" w:rsidRPr="00BE4283" w:rsidRDefault="00BB37E3" w:rsidP="00BB37E3">
      <w:pPr>
        <w:pStyle w:val="RKnormal"/>
      </w:pPr>
      <w:r w:rsidRPr="00BE4283">
        <w:t>Kommissionen avser att presentera förslaget till direktiv om rätt till   försvarare i straffrättsliga förfaranden och rätt att kommunicera vid frihetsberövande.</w:t>
      </w:r>
    </w:p>
    <w:p w:rsidR="00B357AB" w:rsidRPr="00BE4283" w:rsidRDefault="00B357AB" w:rsidP="00BB37E3">
      <w:pPr>
        <w:pStyle w:val="RKnormal"/>
      </w:pPr>
    </w:p>
    <w:p w:rsidR="00BB37E3" w:rsidRPr="00BE4283" w:rsidRDefault="00BB37E3" w:rsidP="00BB37E3">
      <w:pPr>
        <w:pStyle w:val="RKnormal"/>
      </w:pPr>
    </w:p>
    <w:p w:rsidR="00BB37E3" w:rsidRPr="00BE4283" w:rsidRDefault="00BB37E3" w:rsidP="00BB37E3">
      <w:pPr>
        <w:pStyle w:val="RKnormal"/>
        <w:rPr>
          <w:i/>
        </w:rPr>
      </w:pPr>
      <w:r w:rsidRPr="00BE4283">
        <w:rPr>
          <w:i/>
        </w:rPr>
        <w:t>Dokument</w:t>
      </w:r>
    </w:p>
    <w:p w:rsidR="00BB37E3" w:rsidRPr="00BE4283" w:rsidRDefault="00BB37E3" w:rsidP="00BB37E3">
      <w:pPr>
        <w:pStyle w:val="RKnormal"/>
      </w:pPr>
      <w:r w:rsidRPr="00BE4283">
        <w:t>11497/11 DROIPEN 61 COPEN 152 CODEC 1018 (bifogas)</w:t>
      </w:r>
    </w:p>
    <w:p w:rsidR="00BB37E3" w:rsidRPr="00BE4283" w:rsidRDefault="00BB37E3" w:rsidP="00BB37E3">
      <w:pPr>
        <w:pStyle w:val="RKnormal"/>
      </w:pPr>
    </w:p>
    <w:p w:rsidR="00BB37E3" w:rsidRPr="00BE4283" w:rsidRDefault="00BB37E3" w:rsidP="00BB37E3">
      <w:pPr>
        <w:pStyle w:val="RKnormal"/>
        <w:rPr>
          <w:i/>
        </w:rPr>
      </w:pPr>
      <w:r w:rsidRPr="00BE4283">
        <w:rPr>
          <w:i/>
        </w:rPr>
        <w:t>Tidigare dokument</w:t>
      </w:r>
    </w:p>
    <w:p w:rsidR="00BB37E3" w:rsidRPr="00BE4283" w:rsidRDefault="00BB37E3" w:rsidP="00BB37E3">
      <w:pPr>
        <w:pStyle w:val="RKnormal"/>
      </w:pPr>
      <w:r w:rsidRPr="00BE4283">
        <w:t>Faktapromemoria Justitiedepartementet 2010/11:FPM126</w:t>
      </w:r>
    </w:p>
    <w:p w:rsidR="00BB37E3" w:rsidRPr="00BE4283" w:rsidRDefault="00BB37E3" w:rsidP="00BB37E3">
      <w:pPr>
        <w:pStyle w:val="RKnormal"/>
      </w:pPr>
    </w:p>
    <w:p w:rsidR="00BB37E3" w:rsidRPr="00BE4283" w:rsidRDefault="00BB37E3" w:rsidP="00BB37E3">
      <w:pPr>
        <w:pStyle w:val="RKnormal"/>
        <w:rPr>
          <w:i/>
        </w:rPr>
      </w:pPr>
      <w:r w:rsidRPr="00BE4283">
        <w:rPr>
          <w:i/>
        </w:rPr>
        <w:t>Tidigare behandling i EU-nämnden: -</w:t>
      </w:r>
    </w:p>
    <w:p w:rsidR="00BB37E3" w:rsidRPr="00BE4283" w:rsidRDefault="00BB37E3" w:rsidP="00BB37E3">
      <w:pPr>
        <w:pStyle w:val="RKnormal"/>
      </w:pPr>
    </w:p>
    <w:p w:rsidR="00BB37E3" w:rsidRPr="00BE4283" w:rsidRDefault="00BB37E3" w:rsidP="00BB37E3">
      <w:pPr>
        <w:pStyle w:val="RKnormal"/>
        <w:rPr>
          <w:i/>
        </w:rPr>
      </w:pPr>
      <w:r w:rsidRPr="00BE4283">
        <w:rPr>
          <w:i/>
        </w:rPr>
        <w:t>Bakgrund</w:t>
      </w:r>
    </w:p>
    <w:p w:rsidR="00BB37E3" w:rsidRPr="00BE4283" w:rsidRDefault="00BB37E3" w:rsidP="00BB37E3">
      <w:pPr>
        <w:pStyle w:val="RKnormal"/>
      </w:pPr>
      <w:r w:rsidRPr="00BE4283">
        <w:t xml:space="preserve">Den 8 juni 2011 lade kommissionen fram förslaget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kommunicera med en tredje person, såsom en anhörig. </w:t>
      </w:r>
    </w:p>
    <w:p w:rsidR="00BB37E3" w:rsidRPr="00BE4283" w:rsidRDefault="00BB37E3" w:rsidP="00BB37E3">
      <w:pPr>
        <w:pStyle w:val="RKnormal"/>
      </w:pPr>
    </w:p>
    <w:p w:rsidR="00BB37E3" w:rsidRPr="00BE4283" w:rsidRDefault="00BB37E3" w:rsidP="00BB37E3">
      <w:pPr>
        <w:pStyle w:val="RKnormal"/>
      </w:pPr>
      <w:r w:rsidRPr="00BE4283">
        <w:t xml:space="preserve">Direktivförslaget utgör en del av det tredje och fjärde steget i färdplanen för processuella rättigheter i straffrättsliga förfaranden som antogs av RIF-rådet den 30 november 2009. </w:t>
      </w:r>
      <w:r w:rsidR="009A1D77" w:rsidRPr="00BE4283">
        <w:t>Förhandlingarna om förslaget inleddes på rådsarbetsgruppsnivå under sommaren 2011.</w:t>
      </w:r>
    </w:p>
    <w:p w:rsidR="00BB37E3" w:rsidRPr="00BE4283" w:rsidRDefault="00BB37E3" w:rsidP="00BB37E3">
      <w:pPr>
        <w:pStyle w:val="RKnormal"/>
      </w:pPr>
    </w:p>
    <w:p w:rsidR="009A1D77" w:rsidRPr="00BE4283" w:rsidRDefault="009A1D77" w:rsidP="00BB37E3">
      <w:pPr>
        <w:pStyle w:val="RKnormal"/>
        <w:rPr>
          <w:i/>
        </w:rPr>
      </w:pPr>
      <w:r w:rsidRPr="00BE4283">
        <w:rPr>
          <w:i/>
        </w:rPr>
        <w:t>Svensk ståndpunkt</w:t>
      </w:r>
    </w:p>
    <w:p w:rsidR="009A1D77" w:rsidRPr="00BE4283" w:rsidRDefault="00BB37E3" w:rsidP="009A1D77">
      <w:pPr>
        <w:ind w:left="567" w:hanging="567"/>
        <w:rPr>
          <w:rFonts w:ascii="OrigGarmnd BT" w:hAnsi="OrigGarmnd BT"/>
        </w:rPr>
      </w:pPr>
      <w:r w:rsidRPr="00BE4283">
        <w:rPr>
          <w:rFonts w:ascii="OrigGarmnd BT" w:hAnsi="OrigGarmnd BT"/>
        </w:rPr>
        <w:t>Sverige välkomnar förslaget</w:t>
      </w:r>
      <w:r w:rsidR="009A1D77" w:rsidRPr="00BE4283">
        <w:rPr>
          <w:rFonts w:ascii="OrigGarmnd BT" w:hAnsi="OrigGarmnd BT"/>
        </w:rPr>
        <w:t xml:space="preserve"> till direktiv om rätt till</w:t>
      </w:r>
    </w:p>
    <w:p w:rsidR="009A1D77" w:rsidRPr="00BE4283" w:rsidRDefault="009A1D77" w:rsidP="009A1D77">
      <w:pPr>
        <w:ind w:left="567" w:hanging="567"/>
        <w:rPr>
          <w:rFonts w:ascii="OrigGarmnd BT" w:hAnsi="OrigGarmnd BT"/>
        </w:rPr>
      </w:pPr>
      <w:r w:rsidRPr="00BE4283">
        <w:rPr>
          <w:rFonts w:ascii="OrigGarmnd BT" w:hAnsi="OrigGarmnd BT"/>
        </w:rPr>
        <w:t>tillgång till försvarare i straffrättsliga förfaranden och rätt till kontakt</w:t>
      </w:r>
    </w:p>
    <w:p w:rsidR="00394A35" w:rsidRPr="00BE4283" w:rsidRDefault="009A1D77" w:rsidP="00394A35">
      <w:pPr>
        <w:pStyle w:val="RKnormal"/>
      </w:pPr>
      <w:r w:rsidRPr="00BE4283">
        <w:t>med tredje part vid frihetsberövande</w:t>
      </w:r>
      <w:r w:rsidRPr="00BE4283">
        <w:rPr>
          <w:b/>
        </w:rPr>
        <w:t xml:space="preserve"> </w:t>
      </w:r>
      <w:r w:rsidR="00BB37E3" w:rsidRPr="00BE4283">
        <w:t xml:space="preserve">och ställer sig i stort bakom innehållet i det. Sverige har emellertid problem med </w:t>
      </w:r>
      <w:r w:rsidR="009468B2" w:rsidRPr="00BE4283">
        <w:rPr>
          <w:rFonts w:cs="OrigGarmnd BT"/>
          <w:color w:val="000000"/>
          <w:szCs w:val="24"/>
          <w:lang w:eastAsia="sv-SE"/>
        </w:rPr>
        <w:t>ett par artiklar i förslaget</w:t>
      </w:r>
      <w:r w:rsidRPr="00BE4283">
        <w:t xml:space="preserve"> </w:t>
      </w:r>
      <w:r w:rsidR="00BB37E3" w:rsidRPr="00BE4283">
        <w:t xml:space="preserve">eftersom </w:t>
      </w:r>
      <w:r w:rsidR="00394A35" w:rsidRPr="00BE4283">
        <w:t>de</w:t>
      </w:r>
      <w:r w:rsidR="00394A35" w:rsidRPr="00BE4283">
        <w:rPr>
          <w:rFonts w:cs="OrigGarmnd BT"/>
          <w:color w:val="000000"/>
          <w:szCs w:val="24"/>
          <w:lang w:eastAsia="sv-SE"/>
        </w:rPr>
        <w:t xml:space="preserve"> innehåller regler som begränsar möjligheten att presentera bevisning i rättegången (s.k. bevistillåtlighetsregler). Förslaget innebär bl.a. att om en misstänkt person i vissa fall lämnar uppgifter i polisförhör utan att försvararen får närvara vid förhöret så ska dessa uppgifter inte få användas som bevis mot honom eller henne. Sådana regler går emot vår grundläggande princip om fri bevisföring. </w:t>
      </w:r>
      <w:r w:rsidR="00394A35" w:rsidRPr="00BE4283">
        <w:t xml:space="preserve">Enligt svensk rätt är som huvudregel alla bevismedel tillåtna. En annan sak är att bevisvärdet av ett sådant bevis kan vara lågt. Europadomstolen har i sin praxis inte heller uppställt några regler om tillåtlighet av bevisning, vilket primärt är en fråga för nationell  lagstiftning. </w:t>
      </w:r>
    </w:p>
    <w:p w:rsidR="00394A35" w:rsidRPr="00BE4283" w:rsidRDefault="00394A35" w:rsidP="009A1D77">
      <w:pPr>
        <w:pStyle w:val="RKnormal"/>
      </w:pPr>
    </w:p>
    <w:p w:rsidR="00E65479" w:rsidRPr="00BE4283" w:rsidRDefault="00E65479" w:rsidP="009A1D77">
      <w:pPr>
        <w:pStyle w:val="RKnormal"/>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495083" w:rsidRPr="00BE4283" w:rsidRDefault="00495083" w:rsidP="007010AF">
      <w:pPr>
        <w:ind w:left="567" w:hanging="567"/>
        <w:rPr>
          <w:rFonts w:ascii="OrigGarmnd BT" w:hAnsi="OrigGarmnd BT"/>
          <w:b/>
          <w:lang w:eastAsia="pl-PL"/>
        </w:rPr>
      </w:pPr>
    </w:p>
    <w:p w:rsidR="007010AF" w:rsidRPr="00BE4283" w:rsidRDefault="007010AF" w:rsidP="007010AF">
      <w:pPr>
        <w:ind w:left="567" w:hanging="567"/>
        <w:rPr>
          <w:rFonts w:ascii="OrigGarmnd BT" w:hAnsi="OrigGarmnd BT"/>
          <w:b/>
          <w:lang w:eastAsia="pl-PL"/>
        </w:rPr>
      </w:pPr>
      <w:r w:rsidRPr="00BE4283">
        <w:rPr>
          <w:rFonts w:ascii="OrigGarmnd BT" w:hAnsi="OrigGarmnd BT"/>
          <w:b/>
          <w:lang w:eastAsia="pl-PL"/>
        </w:rPr>
        <w:t>14. Förslag till Europaparlamentets och rådets förordning om</w:t>
      </w:r>
    </w:p>
    <w:p w:rsidR="007010AF" w:rsidRPr="00BE4283" w:rsidRDefault="007010AF" w:rsidP="007010AF">
      <w:pPr>
        <w:ind w:left="567" w:hanging="567"/>
        <w:rPr>
          <w:rFonts w:ascii="OrigGarmnd BT" w:hAnsi="OrigGarmnd BT"/>
          <w:b/>
          <w:lang w:eastAsia="pl-PL"/>
        </w:rPr>
      </w:pPr>
      <w:r w:rsidRPr="00BE4283">
        <w:rPr>
          <w:rFonts w:ascii="OrigGarmnd BT" w:hAnsi="OrigGarmnd BT"/>
          <w:b/>
          <w:lang w:eastAsia="pl-PL"/>
        </w:rPr>
        <w:t>införande av ett europeiskt föreläggande om bevarande av</w:t>
      </w:r>
    </w:p>
    <w:p w:rsidR="007010AF" w:rsidRPr="00BE4283" w:rsidRDefault="007010AF" w:rsidP="007010AF">
      <w:pPr>
        <w:ind w:left="567" w:hanging="567"/>
        <w:rPr>
          <w:rFonts w:ascii="OrigGarmnd BT" w:hAnsi="OrigGarmnd BT"/>
          <w:b/>
          <w:lang w:eastAsia="pl-PL"/>
        </w:rPr>
      </w:pPr>
      <w:r w:rsidRPr="00BE4283">
        <w:rPr>
          <w:rFonts w:ascii="OrigGarmnd BT" w:hAnsi="OrigGarmnd BT"/>
          <w:b/>
          <w:lang w:eastAsia="pl-PL"/>
        </w:rPr>
        <w:t>bankkontotillgångar för att underlätta gränsöverskridande</w:t>
      </w:r>
    </w:p>
    <w:p w:rsidR="007010AF" w:rsidRPr="00BE4283" w:rsidRDefault="007010AF" w:rsidP="007010AF">
      <w:pPr>
        <w:ind w:left="567" w:hanging="567"/>
        <w:rPr>
          <w:rFonts w:ascii="OrigGarmnd BT" w:hAnsi="OrigGarmnd BT"/>
          <w:b/>
          <w:lang w:eastAsia="pl-PL"/>
        </w:rPr>
      </w:pPr>
      <w:r w:rsidRPr="00BE4283">
        <w:rPr>
          <w:rFonts w:ascii="OrigGarmnd BT" w:hAnsi="OrigGarmnd BT"/>
          <w:b/>
          <w:lang w:eastAsia="pl-PL"/>
        </w:rPr>
        <w:t>skuldindrivning i mål och ärenden av civil eller kommersiell natur</w:t>
      </w:r>
    </w:p>
    <w:p w:rsidR="007010AF" w:rsidRPr="00BE4283" w:rsidRDefault="007010AF" w:rsidP="007010AF">
      <w:pPr>
        <w:autoSpaceDE w:val="0"/>
        <w:autoSpaceDN w:val="0"/>
        <w:adjustRightInd w:val="0"/>
        <w:rPr>
          <w:rFonts w:ascii="OrigGarmnd BT" w:hAnsi="OrigGarmnd BT"/>
          <w:b/>
        </w:rPr>
      </w:pPr>
      <w:r w:rsidRPr="00BE4283">
        <w:rPr>
          <w:rFonts w:ascii="OrigGarmnd BT" w:hAnsi="OrigGarmnd BT"/>
          <w:b/>
          <w:lang w:eastAsia="pl-PL"/>
        </w:rPr>
        <w:t xml:space="preserve"> (Sr Ask)</w:t>
      </w:r>
    </w:p>
    <w:p w:rsidR="007010AF" w:rsidRPr="00BE4283" w:rsidRDefault="007010AF" w:rsidP="007010AF">
      <w:pPr>
        <w:pStyle w:val="RKnormal"/>
        <w:tabs>
          <w:tab w:val="clear" w:pos="2835"/>
          <w:tab w:val="left" w:pos="540"/>
        </w:tabs>
        <w:rPr>
          <w:b/>
          <w:bCs/>
          <w:iCs/>
        </w:rPr>
      </w:pPr>
      <w:r w:rsidRPr="00BE4283">
        <w:rPr>
          <w:b/>
        </w:rPr>
        <w:t>=</w:t>
      </w:r>
      <w:r w:rsidRPr="00BE4283">
        <w:rPr>
          <w:b/>
        </w:rPr>
        <w:tab/>
      </w:r>
      <w:r w:rsidRPr="00BE4283">
        <w:rPr>
          <w:b/>
          <w:bCs/>
          <w:iCs/>
        </w:rPr>
        <w:t>Föredragning av kommissionen</w:t>
      </w:r>
    </w:p>
    <w:p w:rsidR="0026722A" w:rsidRPr="00BE4283" w:rsidRDefault="0026722A" w:rsidP="007010AF">
      <w:pPr>
        <w:pStyle w:val="RKnormal"/>
        <w:tabs>
          <w:tab w:val="clear" w:pos="2835"/>
          <w:tab w:val="left" w:pos="540"/>
        </w:tabs>
        <w:rPr>
          <w:b/>
          <w:bCs/>
          <w:iCs/>
        </w:rPr>
      </w:pPr>
    </w:p>
    <w:p w:rsidR="0026722A" w:rsidRPr="00BE4283" w:rsidRDefault="0026722A" w:rsidP="0026722A">
      <w:pPr>
        <w:pStyle w:val="RKnormal"/>
        <w:ind w:right="-189"/>
        <w:rPr>
          <w:i/>
        </w:rPr>
      </w:pPr>
      <w:r w:rsidRPr="00BE4283">
        <w:rPr>
          <w:i/>
        </w:rPr>
        <w:t>Avsikten med behandlingen i rådet</w:t>
      </w:r>
    </w:p>
    <w:p w:rsidR="0026722A" w:rsidRPr="00BE4283" w:rsidRDefault="0026722A" w:rsidP="0026722A">
      <w:pPr>
        <w:pStyle w:val="RKnormal"/>
        <w:ind w:right="-189"/>
      </w:pPr>
      <w:r w:rsidRPr="00BE4283">
        <w:t>Kommissionen avser att presentera förslaget till förordning om kvarstad på bankmedel.</w:t>
      </w:r>
    </w:p>
    <w:p w:rsidR="00B357AB" w:rsidRPr="00BE4283" w:rsidRDefault="00B357AB" w:rsidP="0026722A">
      <w:pPr>
        <w:pStyle w:val="RKnormal"/>
        <w:ind w:right="-189"/>
      </w:pPr>
    </w:p>
    <w:p w:rsidR="0026722A" w:rsidRPr="00BE4283" w:rsidRDefault="0026722A" w:rsidP="0026722A">
      <w:pPr>
        <w:pStyle w:val="RKnormal"/>
        <w:ind w:right="-369"/>
        <w:rPr>
          <w:i/>
        </w:rPr>
      </w:pPr>
      <w:r w:rsidRPr="00BE4283">
        <w:rPr>
          <w:i/>
        </w:rPr>
        <w:t>Dokument</w:t>
      </w:r>
    </w:p>
    <w:p w:rsidR="0026722A" w:rsidRPr="00BE4283" w:rsidRDefault="0026722A" w:rsidP="0026722A">
      <w:pPr>
        <w:pStyle w:val="RKnormal"/>
        <w:ind w:right="-369"/>
      </w:pPr>
      <w:r w:rsidRPr="00BE4283">
        <w:t>Det har ännu inte presenterats något dokument för behandlingen i rådet.</w:t>
      </w:r>
    </w:p>
    <w:p w:rsidR="0026722A" w:rsidRPr="00BE4283" w:rsidRDefault="0026722A" w:rsidP="0026722A">
      <w:pPr>
        <w:pStyle w:val="RKnormal"/>
        <w:ind w:right="-369"/>
      </w:pPr>
    </w:p>
    <w:p w:rsidR="0026722A" w:rsidRPr="00BE4283" w:rsidRDefault="0026722A" w:rsidP="0026722A">
      <w:pPr>
        <w:pStyle w:val="RKnormal"/>
        <w:ind w:right="-369"/>
        <w:rPr>
          <w:i/>
        </w:rPr>
      </w:pPr>
      <w:r w:rsidRPr="00BE4283">
        <w:rPr>
          <w:i/>
        </w:rPr>
        <w:t>Tidigare dokument</w:t>
      </w:r>
    </w:p>
    <w:p w:rsidR="0026722A" w:rsidRPr="00BE4283" w:rsidRDefault="0026722A" w:rsidP="0026722A">
      <w:pPr>
        <w:pStyle w:val="RKnormal"/>
      </w:pPr>
      <w:r w:rsidRPr="00BE4283">
        <w:t xml:space="preserve">Förslag till Europaparlamentets och rådets förordning </w:t>
      </w:r>
      <w:r w:rsidRPr="00BE4283">
        <w:rPr>
          <w:iCs/>
        </w:rPr>
        <w:t>om införande av ett europeiskt föreläggande om bevarande av bankkontotillgångar för att underlätta gränsöverskridande skuldindrivning i mål eller ärenden av civil eller kommersiell natur</w:t>
      </w:r>
      <w:r w:rsidRPr="00BE4283">
        <w:t>: KOM(2011)445 (bifogas)</w:t>
      </w:r>
    </w:p>
    <w:p w:rsidR="0026722A" w:rsidRPr="00BE4283" w:rsidRDefault="0026722A" w:rsidP="0026722A">
      <w:pPr>
        <w:pStyle w:val="RKnormal"/>
      </w:pPr>
    </w:p>
    <w:p w:rsidR="0026722A" w:rsidRPr="00BE4283" w:rsidRDefault="0026722A" w:rsidP="0026722A">
      <w:pPr>
        <w:pStyle w:val="RKnormal"/>
      </w:pPr>
      <w:r w:rsidRPr="00BE4283">
        <w:rPr>
          <w:i/>
        </w:rPr>
        <w:t>Tidigare behandling i EU-nämnden</w:t>
      </w:r>
      <w:r w:rsidRPr="00BE4283">
        <w:t>: -</w:t>
      </w:r>
    </w:p>
    <w:p w:rsidR="0026722A" w:rsidRPr="00BE4283" w:rsidRDefault="0026722A" w:rsidP="0026722A">
      <w:pPr>
        <w:ind w:right="-369"/>
      </w:pPr>
    </w:p>
    <w:p w:rsidR="0026722A" w:rsidRPr="00BE4283" w:rsidRDefault="0026722A" w:rsidP="0026722A">
      <w:pPr>
        <w:ind w:right="-369"/>
        <w:rPr>
          <w:rFonts w:ascii="OrigGarmnd BT" w:hAnsi="OrigGarmnd BT"/>
          <w:i/>
        </w:rPr>
      </w:pPr>
      <w:r w:rsidRPr="00BE4283">
        <w:rPr>
          <w:rFonts w:ascii="OrigGarmnd BT" w:hAnsi="OrigGarmnd BT"/>
          <w:i/>
        </w:rPr>
        <w:t>Bakgrund</w:t>
      </w:r>
    </w:p>
    <w:p w:rsidR="0026722A" w:rsidRPr="00BE4283" w:rsidRDefault="0026722A" w:rsidP="0026722A">
      <w:pPr>
        <w:ind w:right="-369"/>
        <w:rPr>
          <w:rFonts w:ascii="OrigGarmnd BT" w:hAnsi="OrigGarmnd BT"/>
        </w:rPr>
      </w:pPr>
      <w:r w:rsidRPr="00BE4283">
        <w:rPr>
          <w:rFonts w:ascii="OrigGarmnd BT" w:hAnsi="OrigGarmnd BT"/>
        </w:rPr>
        <w:t xml:space="preserve">Kommissionen har lagt fram ett förslag till en förordning om kvarstad på bankmedel. Syftet med förslaget är att förbättra förutsättningarna för att driva in skulder över gränserna. Förslaget innebär att det inrättas ett självständigt europeiskt förfarande för kvarstad, som kommer att verka oberoende av och som ett alternativ till medlemsstaternas nationella förfaranden. Förslaget innehåller också bestämmelser som innebär att kvarstadsbeslut ska erkännas och verkställas i en annan medlemsstat utan föregående verkställbarhetsförfarande. Grundkonstruktionen i förslaget överensstämmer i stora delar med svensk lagstiftning om kvarstad. </w:t>
      </w:r>
    </w:p>
    <w:p w:rsidR="0026722A" w:rsidRPr="00BE4283" w:rsidRDefault="0026722A" w:rsidP="0026722A">
      <w:pPr>
        <w:rPr>
          <w:rFonts w:ascii="OrigGarmnd BT" w:hAnsi="OrigGarmnd BT"/>
        </w:rPr>
      </w:pPr>
    </w:p>
    <w:p w:rsidR="0026722A" w:rsidRPr="00BE4283" w:rsidRDefault="0026722A" w:rsidP="0026722A">
      <w:pPr>
        <w:ind w:right="-189"/>
        <w:rPr>
          <w:rFonts w:ascii="OrigGarmnd BT" w:hAnsi="OrigGarmnd BT"/>
        </w:rPr>
      </w:pPr>
      <w:r w:rsidRPr="00BE4283">
        <w:rPr>
          <w:rFonts w:ascii="OrigGarmnd BT" w:hAnsi="OrigGarmnd BT"/>
        </w:rPr>
        <w:t>Förhandlingar angående förslaget har nyligen inletts i behörig rådsarbetsgrupp.</w:t>
      </w:r>
    </w:p>
    <w:p w:rsidR="0026722A" w:rsidRPr="00BE4283" w:rsidRDefault="0026722A" w:rsidP="007010AF">
      <w:pPr>
        <w:pStyle w:val="RKnormal"/>
        <w:tabs>
          <w:tab w:val="clear" w:pos="2835"/>
          <w:tab w:val="left" w:pos="540"/>
        </w:tabs>
        <w:rPr>
          <w:b/>
        </w:rPr>
      </w:pPr>
    </w:p>
    <w:p w:rsidR="007010AF" w:rsidRPr="00BE4283" w:rsidRDefault="007010AF" w:rsidP="007010AF">
      <w:pPr>
        <w:pStyle w:val="RKnormal"/>
      </w:pPr>
    </w:p>
    <w:p w:rsidR="007010AF" w:rsidRPr="00BE4283" w:rsidRDefault="007010AF" w:rsidP="007010AF">
      <w:pPr>
        <w:pStyle w:val="RKnormal"/>
        <w:rPr>
          <w:b/>
          <w:bCs/>
        </w:rPr>
      </w:pPr>
    </w:p>
    <w:p w:rsidR="007010AF" w:rsidRPr="00BE4283" w:rsidRDefault="007010AF" w:rsidP="007010AF">
      <w:pPr>
        <w:pStyle w:val="RKnormal"/>
        <w:rPr>
          <w:b/>
          <w:u w:val="single"/>
        </w:rPr>
      </w:pPr>
      <w:r w:rsidRPr="00BE4283">
        <w:rPr>
          <w:b/>
          <w:u w:val="single"/>
        </w:rPr>
        <w:t>Icke lagstiftande verksamhet</w:t>
      </w:r>
    </w:p>
    <w:p w:rsidR="007010AF" w:rsidRPr="00BE4283" w:rsidRDefault="007010AF" w:rsidP="007010AF">
      <w:pPr>
        <w:pStyle w:val="RKnormal"/>
        <w:rPr>
          <w:b/>
          <w:bCs/>
        </w:rPr>
      </w:pPr>
    </w:p>
    <w:p w:rsidR="00B357AB" w:rsidRPr="00BE4283" w:rsidRDefault="00B357AB" w:rsidP="007010AF">
      <w:pPr>
        <w:rPr>
          <w:rFonts w:ascii="OrigGarmnd BT" w:hAnsi="OrigGarmnd BT"/>
          <w:b/>
        </w:rPr>
      </w:pPr>
    </w:p>
    <w:p w:rsidR="007010AF" w:rsidRPr="00BE4283" w:rsidRDefault="007010AF" w:rsidP="007010AF">
      <w:pPr>
        <w:rPr>
          <w:rFonts w:ascii="OrigGarmnd BT" w:hAnsi="OrigGarmnd BT"/>
          <w:b/>
        </w:rPr>
      </w:pPr>
      <w:r w:rsidRPr="00BE4283">
        <w:rPr>
          <w:rFonts w:ascii="OrigGarmnd BT" w:hAnsi="OrigGarmnd BT"/>
          <w:b/>
        </w:rPr>
        <w:t>15. Rättslig utbildning (Sr Ask)</w:t>
      </w:r>
    </w:p>
    <w:p w:rsidR="007010AF" w:rsidRPr="00BE4283" w:rsidRDefault="007010AF" w:rsidP="007010AF">
      <w:pPr>
        <w:tabs>
          <w:tab w:val="left" w:pos="540"/>
        </w:tabs>
        <w:rPr>
          <w:rFonts w:ascii="OrigGarmnd BT" w:hAnsi="OrigGarmnd BT"/>
          <w:b/>
          <w:bCs/>
          <w:iCs/>
        </w:rPr>
      </w:pPr>
      <w:r w:rsidRPr="00BE4283">
        <w:rPr>
          <w:rFonts w:ascii="OrigGarmnd BT" w:hAnsi="OrigGarmnd BT"/>
          <w:b/>
        </w:rPr>
        <w:t xml:space="preserve">= </w:t>
      </w:r>
      <w:r w:rsidRPr="00BE4283">
        <w:rPr>
          <w:rFonts w:ascii="OrigGarmnd BT" w:hAnsi="OrigGarmnd BT"/>
          <w:b/>
        </w:rPr>
        <w:tab/>
      </w:r>
      <w:r w:rsidRPr="00BE4283">
        <w:rPr>
          <w:rFonts w:ascii="OrigGarmnd BT" w:hAnsi="OrigGarmnd BT"/>
          <w:b/>
          <w:bCs/>
          <w:iCs/>
        </w:rPr>
        <w:t>Föredragning av kommissionen</w:t>
      </w:r>
    </w:p>
    <w:p w:rsidR="007010AF" w:rsidRPr="00BE4283" w:rsidRDefault="007010AF" w:rsidP="007010AF">
      <w:pPr>
        <w:tabs>
          <w:tab w:val="left" w:pos="540"/>
        </w:tabs>
        <w:rPr>
          <w:rFonts w:ascii="OrigGarmnd BT" w:hAnsi="OrigGarmnd BT"/>
          <w:b/>
          <w:bCs/>
          <w:iCs/>
        </w:rPr>
      </w:pPr>
    </w:p>
    <w:p w:rsidR="0026722A" w:rsidRPr="00BE4283" w:rsidRDefault="0026722A" w:rsidP="0026722A">
      <w:pPr>
        <w:pStyle w:val="RKnormal"/>
        <w:ind w:right="-189"/>
        <w:rPr>
          <w:i/>
        </w:rPr>
      </w:pPr>
      <w:r w:rsidRPr="00BE4283">
        <w:rPr>
          <w:i/>
        </w:rPr>
        <w:t>Avsikten med behandlingen i rådet</w:t>
      </w:r>
    </w:p>
    <w:p w:rsidR="0026722A" w:rsidRPr="00BE4283" w:rsidRDefault="0026722A" w:rsidP="0026722A">
      <w:pPr>
        <w:pStyle w:val="RKnormal"/>
        <w:ind w:right="-189"/>
      </w:pPr>
      <w:r w:rsidRPr="00BE4283">
        <w:t xml:space="preserve">Kommissionen ska informera om europarättslig utbildning. </w:t>
      </w:r>
    </w:p>
    <w:p w:rsidR="0026722A" w:rsidRPr="00BE4283" w:rsidRDefault="0026722A" w:rsidP="0026722A">
      <w:pPr>
        <w:pStyle w:val="RKnormal"/>
        <w:ind w:right="-369"/>
      </w:pPr>
    </w:p>
    <w:p w:rsidR="00495083" w:rsidRPr="00BE4283" w:rsidRDefault="00495083" w:rsidP="0026722A">
      <w:pPr>
        <w:pStyle w:val="RKnormal"/>
        <w:ind w:right="-369"/>
      </w:pPr>
    </w:p>
    <w:p w:rsidR="0026722A" w:rsidRPr="00BE4283" w:rsidRDefault="0026722A" w:rsidP="0026722A">
      <w:pPr>
        <w:pStyle w:val="RKnormal"/>
        <w:ind w:right="-369"/>
        <w:rPr>
          <w:i/>
        </w:rPr>
      </w:pPr>
      <w:r w:rsidRPr="00BE4283">
        <w:rPr>
          <w:i/>
        </w:rPr>
        <w:t>Dokument</w:t>
      </w:r>
    </w:p>
    <w:p w:rsidR="0026722A" w:rsidRPr="00BE4283" w:rsidRDefault="0026722A" w:rsidP="0026722A">
      <w:pPr>
        <w:pStyle w:val="RKnormal"/>
        <w:ind w:right="-369"/>
      </w:pPr>
      <w:r w:rsidRPr="00BE4283">
        <w:t>Det har ännu inte presenterats något dokument för behandlingen i rådet.</w:t>
      </w:r>
    </w:p>
    <w:p w:rsidR="0026722A" w:rsidRPr="00BE4283" w:rsidRDefault="0026722A" w:rsidP="0026722A">
      <w:pPr>
        <w:pStyle w:val="RKnormal"/>
        <w:ind w:right="-369"/>
      </w:pPr>
    </w:p>
    <w:p w:rsidR="0026722A" w:rsidRPr="00BE4283" w:rsidRDefault="0026722A" w:rsidP="0026722A">
      <w:pPr>
        <w:pStyle w:val="RKnormal"/>
        <w:ind w:right="-369"/>
      </w:pPr>
      <w:r w:rsidRPr="00BE4283">
        <w:rPr>
          <w:i/>
        </w:rPr>
        <w:t>Tidigare dokument</w:t>
      </w:r>
      <w:r w:rsidRPr="00BE4283">
        <w:t xml:space="preserve">: - </w:t>
      </w:r>
    </w:p>
    <w:p w:rsidR="0026722A" w:rsidRPr="00BE4283" w:rsidRDefault="0026722A" w:rsidP="0026722A">
      <w:pPr>
        <w:pStyle w:val="RKnormal"/>
        <w:ind w:right="-369"/>
      </w:pPr>
    </w:p>
    <w:p w:rsidR="0026722A" w:rsidRPr="00BE4283" w:rsidRDefault="0026722A" w:rsidP="0026722A">
      <w:pPr>
        <w:pStyle w:val="RKnormal"/>
        <w:ind w:right="-369"/>
      </w:pPr>
      <w:r w:rsidRPr="00BE4283">
        <w:rPr>
          <w:i/>
        </w:rPr>
        <w:t>Tidigare behandling i EU-nämnden:</w:t>
      </w:r>
      <w:r w:rsidRPr="00BE4283">
        <w:t xml:space="preserve"> -</w:t>
      </w:r>
    </w:p>
    <w:p w:rsidR="0026722A" w:rsidRPr="00BE4283" w:rsidRDefault="0026722A" w:rsidP="0026722A">
      <w:pPr>
        <w:pStyle w:val="RKnormal"/>
      </w:pPr>
    </w:p>
    <w:p w:rsidR="0026722A" w:rsidRPr="00BE4283" w:rsidRDefault="0026722A" w:rsidP="0026722A">
      <w:pPr>
        <w:pStyle w:val="RKnormal"/>
        <w:ind w:right="-189"/>
        <w:rPr>
          <w:i/>
        </w:rPr>
      </w:pPr>
      <w:r w:rsidRPr="00BE4283">
        <w:rPr>
          <w:i/>
        </w:rPr>
        <w:t>Bakgrund</w:t>
      </w:r>
    </w:p>
    <w:p w:rsidR="0026722A" w:rsidRPr="00BE4283" w:rsidRDefault="0026722A" w:rsidP="0026722A">
      <w:pPr>
        <w:pStyle w:val="RKnormal"/>
        <w:ind w:right="-189"/>
      </w:pPr>
      <w:r w:rsidRPr="00BE4283">
        <w:t>Frågan om utbildning av yrkesverksamma jurister har under senare år uppmärksammats allt mer i EU-sammanhang. I Stockholmsprogrammet har angetts att ökade kunskaper i EU-rätt är en nyckelfaktor för att förbättra det ömsesidiga förtroendet mellan medlemsstaterna. I programmet upp</w:t>
      </w:r>
      <w:r w:rsidRPr="00BE4283">
        <w:softHyphen/>
        <w:t xml:space="preserve">manades kommissionen att lägga fram en handlingsplan för att se till att hälften av alla jurister som verkar i ett europeiskt sammanhang erbjuds att delta i europeiska utbildningsprogram. Utbildningsfrågor har även uppmärksammats i en rådsresolution från år 2008 och i en resolution från Europaparlamentet år 2010. </w:t>
      </w:r>
      <w:r w:rsidR="00E65479" w:rsidRPr="00BE4283">
        <w:t xml:space="preserve">Ett samrådsförfarande </w:t>
      </w:r>
      <w:r w:rsidRPr="00BE4283">
        <w:t>har inlett</w:t>
      </w:r>
      <w:r w:rsidR="00E65479" w:rsidRPr="00BE4283">
        <w:t>s</w:t>
      </w:r>
      <w:r w:rsidRPr="00BE4283">
        <w:t xml:space="preserve"> </w:t>
      </w:r>
      <w:r w:rsidR="00E65479" w:rsidRPr="00BE4283">
        <w:t>av kommissionen</w:t>
      </w:r>
      <w:r w:rsidRPr="00BE4283">
        <w:t xml:space="preserve"> för att samla in synpunkter om europarättslig utbildning. Frågan har även diskuterats på ett informellt ministermöte för rättsliga och inrikes frågor i januari 2011. </w:t>
      </w:r>
    </w:p>
    <w:p w:rsidR="0026722A" w:rsidRPr="00BE4283" w:rsidRDefault="0026722A" w:rsidP="0026722A">
      <w:pPr>
        <w:pStyle w:val="RKnormal"/>
        <w:ind w:right="-189"/>
      </w:pPr>
    </w:p>
    <w:p w:rsidR="0026722A" w:rsidRPr="00BE4283" w:rsidRDefault="0026722A" w:rsidP="0026722A">
      <w:pPr>
        <w:pStyle w:val="RKnormal"/>
        <w:ind w:right="-189"/>
      </w:pPr>
      <w:r w:rsidRPr="00BE4283">
        <w:t xml:space="preserve">Kommissionen har tidigare aviserat att den under hösten ska presentera ett meddelande </w:t>
      </w:r>
      <w:r w:rsidRPr="00BE4283">
        <w:rPr>
          <w:rFonts w:eastAsia="SimSun"/>
          <w:szCs w:val="24"/>
          <w:lang w:eastAsia="zh-CN"/>
        </w:rPr>
        <w:t>om en handlingsplan för europarättslig utbildning</w:t>
      </w:r>
      <w:r w:rsidRPr="00BE4283">
        <w:t xml:space="preserve">. </w:t>
      </w:r>
    </w:p>
    <w:p w:rsidR="0026722A" w:rsidRPr="00BE4283" w:rsidRDefault="0026722A" w:rsidP="0026722A">
      <w:pPr>
        <w:pStyle w:val="RKnormal"/>
        <w:ind w:right="-189"/>
      </w:pPr>
    </w:p>
    <w:p w:rsidR="0026722A" w:rsidRPr="00BE4283" w:rsidRDefault="0026722A" w:rsidP="0026722A">
      <w:pPr>
        <w:pStyle w:val="RKnormal"/>
        <w:ind w:right="-189"/>
      </w:pPr>
    </w:p>
    <w:p w:rsidR="007010AF" w:rsidRPr="00BE4283" w:rsidRDefault="007010AF" w:rsidP="007010AF">
      <w:pPr>
        <w:tabs>
          <w:tab w:val="left" w:pos="540"/>
        </w:tabs>
        <w:rPr>
          <w:rFonts w:ascii="OrigGarmnd BT" w:hAnsi="OrigGarmnd BT"/>
          <w:b/>
          <w:bCs/>
          <w:iCs/>
        </w:rPr>
      </w:pPr>
      <w:r w:rsidRPr="00BE4283">
        <w:rPr>
          <w:rFonts w:ascii="OrigGarmnd BT" w:hAnsi="OrigGarmnd BT"/>
          <w:b/>
          <w:bCs/>
          <w:iCs/>
        </w:rPr>
        <w:t>16. Övriga frågor</w:t>
      </w:r>
    </w:p>
    <w:p w:rsidR="007010AF" w:rsidRPr="00BE4283" w:rsidRDefault="007010AF" w:rsidP="007010AF">
      <w:pPr>
        <w:tabs>
          <w:tab w:val="left" w:pos="540"/>
        </w:tabs>
        <w:rPr>
          <w:rFonts w:ascii="OrigGarmnd BT" w:hAnsi="OrigGarmnd BT"/>
          <w:b/>
          <w:bCs/>
          <w:iCs/>
        </w:rPr>
      </w:pPr>
    </w:p>
    <w:p w:rsidR="007010AF" w:rsidRPr="00BE4283" w:rsidRDefault="007010AF" w:rsidP="007010AF">
      <w:pPr>
        <w:tabs>
          <w:tab w:val="left" w:pos="540"/>
        </w:tabs>
        <w:rPr>
          <w:rFonts w:ascii="OrigGarmnd BT" w:hAnsi="OrigGarmnd BT"/>
          <w:b/>
        </w:rPr>
      </w:pPr>
      <w:r w:rsidRPr="00BE4283">
        <w:rPr>
          <w:rFonts w:ascii="OrigGarmnd BT" w:hAnsi="OrigGarmnd BT"/>
          <w:b/>
          <w:bCs/>
          <w:iCs/>
        </w:rPr>
        <w:t>-</w:t>
      </w:r>
    </w:p>
    <w:p w:rsidR="007010AF" w:rsidRPr="00BE4283" w:rsidRDefault="007010AF" w:rsidP="007010AF">
      <w:pPr>
        <w:tabs>
          <w:tab w:val="left" w:pos="360"/>
        </w:tabs>
        <w:ind w:left="360" w:hanging="360"/>
        <w:jc w:val="both"/>
        <w:outlineLvl w:val="0"/>
        <w:rPr>
          <w:bCs/>
        </w:rPr>
      </w:pPr>
    </w:p>
    <w:p w:rsidR="007010AF" w:rsidRPr="00BE4283" w:rsidRDefault="007010AF" w:rsidP="007010AF">
      <w:pPr>
        <w:pStyle w:val="RKnormal"/>
        <w:rPr>
          <w:b/>
          <w:bCs/>
        </w:rPr>
      </w:pPr>
    </w:p>
    <w:p w:rsidR="007010AF" w:rsidRPr="00BE4283" w:rsidRDefault="007010AF" w:rsidP="007010AF">
      <w:pPr>
        <w:rPr>
          <w:rFonts w:ascii="OrigGarmnd BT" w:hAnsi="OrigGarmnd BT"/>
          <w:b/>
          <w:u w:val="single"/>
        </w:rPr>
      </w:pPr>
    </w:p>
    <w:p w:rsidR="007010AF" w:rsidRPr="00BE4283" w:rsidRDefault="007010AF" w:rsidP="007010AF">
      <w:pPr>
        <w:rPr>
          <w:rFonts w:ascii="OrigGarmnd BT" w:hAnsi="OrigGarmnd BT"/>
          <w:b/>
          <w:i/>
          <w:u w:val="single"/>
        </w:rPr>
      </w:pPr>
      <w:r w:rsidRPr="00BE4283">
        <w:rPr>
          <w:rFonts w:ascii="OrigGarmnd BT" w:hAnsi="OrigGarmnd BT"/>
          <w:b/>
          <w:u w:val="single"/>
        </w:rPr>
        <w:t>I anslutning till rådets möte:</w:t>
      </w:r>
    </w:p>
    <w:p w:rsidR="007010AF" w:rsidRPr="00BE4283" w:rsidRDefault="007010AF" w:rsidP="007010AF">
      <w:pPr>
        <w:outlineLvl w:val="0"/>
        <w:rPr>
          <w:rFonts w:ascii="OrigGarmnd BT" w:hAnsi="OrigGarmnd BT"/>
          <w:b/>
          <w:u w:val="single"/>
        </w:rPr>
      </w:pPr>
    </w:p>
    <w:p w:rsidR="007010AF" w:rsidRPr="00BE4283" w:rsidRDefault="007010AF" w:rsidP="007010AF">
      <w:pPr>
        <w:outlineLvl w:val="0"/>
        <w:rPr>
          <w:rFonts w:ascii="OrigGarmnd BT" w:hAnsi="OrigGarmnd BT"/>
          <w:b/>
          <w:u w:val="single"/>
        </w:rPr>
      </w:pPr>
    </w:p>
    <w:p w:rsidR="007010AF" w:rsidRPr="00BE4283" w:rsidRDefault="007010AF" w:rsidP="007010AF">
      <w:pPr>
        <w:outlineLvl w:val="0"/>
        <w:rPr>
          <w:rFonts w:ascii="OrigGarmnd BT" w:hAnsi="OrigGarmnd BT"/>
          <w:b/>
        </w:rPr>
      </w:pPr>
      <w:r w:rsidRPr="00BE4283">
        <w:rPr>
          <w:rFonts w:ascii="OrigGarmnd BT" w:hAnsi="OrigGarmnd BT"/>
          <w:b/>
        </w:rPr>
        <w:t>DEN GEMENSAMMA KOMMITTÉN</w:t>
      </w:r>
    </w:p>
    <w:p w:rsidR="007010AF" w:rsidRPr="00BE4283" w:rsidRDefault="007010AF" w:rsidP="007010AF">
      <w:pPr>
        <w:rPr>
          <w:rFonts w:ascii="OrigGarmnd BT" w:hAnsi="OrigGarmnd BT"/>
          <w:b/>
        </w:rPr>
      </w:pPr>
    </w:p>
    <w:p w:rsidR="007010AF" w:rsidRPr="00BE4283" w:rsidRDefault="007010AF" w:rsidP="007010AF">
      <w:pPr>
        <w:pStyle w:val="RKnormal"/>
      </w:pPr>
    </w:p>
    <w:p w:rsidR="007010AF" w:rsidRPr="00BE4283" w:rsidRDefault="007010AF" w:rsidP="007010AF">
      <w:pPr>
        <w:pStyle w:val="RKnormal"/>
        <w:rPr>
          <w:b/>
          <w:bCs/>
        </w:rPr>
      </w:pPr>
      <w:r w:rsidRPr="00BE4283">
        <w:rPr>
          <w:b/>
          <w:bCs/>
        </w:rPr>
        <w:t>1. Informationssystemet för viseringar, VIS (Sr Billström)</w:t>
      </w:r>
    </w:p>
    <w:p w:rsidR="007010AF" w:rsidRPr="00BE4283" w:rsidRDefault="007010AF" w:rsidP="007010AF">
      <w:pPr>
        <w:pStyle w:val="RKnormal"/>
        <w:rPr>
          <w:b/>
          <w:bCs/>
        </w:rPr>
      </w:pPr>
      <w:r w:rsidRPr="00BE4283">
        <w:rPr>
          <w:b/>
          <w:bCs/>
        </w:rPr>
        <w:t>= Lägesrapport</w:t>
      </w:r>
    </w:p>
    <w:p w:rsidR="007010AF" w:rsidRPr="00BE4283" w:rsidRDefault="007010AF" w:rsidP="007010AF">
      <w:pPr>
        <w:pStyle w:val="RKnormal"/>
        <w:rPr>
          <w:b/>
          <w:bCs/>
        </w:rPr>
      </w:pPr>
    </w:p>
    <w:p w:rsidR="007010AF" w:rsidRPr="00BE4283" w:rsidRDefault="007010AF" w:rsidP="007010AF">
      <w:pPr>
        <w:outlineLvl w:val="0"/>
        <w:rPr>
          <w:rFonts w:ascii="OrigGarmnd BT" w:hAnsi="OrigGarmnd BT"/>
          <w:i/>
          <w:iCs/>
        </w:rPr>
      </w:pPr>
      <w:r w:rsidRPr="00BE4283">
        <w:rPr>
          <w:rFonts w:ascii="OrigGarmnd BT" w:hAnsi="OrigGarmnd BT"/>
          <w:i/>
          <w:iCs/>
        </w:rPr>
        <w:t>Syftet med behandlingen i rådet</w:t>
      </w:r>
    </w:p>
    <w:p w:rsidR="007010AF" w:rsidRPr="00BE4283" w:rsidRDefault="007010AF" w:rsidP="007010AF">
      <w:pPr>
        <w:rPr>
          <w:rFonts w:ascii="OrigGarmnd BT" w:hAnsi="OrigGarmnd BT" w:cs="Courier New"/>
          <w:color w:val="000000"/>
        </w:rPr>
      </w:pPr>
      <w:r w:rsidRPr="00BE4283">
        <w:rPr>
          <w:rFonts w:ascii="OrigGarmnd BT" w:hAnsi="OrigGarmnd BT" w:cs="Courier New"/>
          <w:color w:val="000000"/>
        </w:rPr>
        <w:t>Information</w:t>
      </w:r>
    </w:p>
    <w:p w:rsidR="007010AF" w:rsidRPr="00BE4283" w:rsidRDefault="007010AF" w:rsidP="007010AF">
      <w:pPr>
        <w:ind w:left="-567"/>
        <w:rPr>
          <w:rFonts w:ascii="OrigGarmnd BT" w:hAnsi="OrigGarmnd BT" w:cs="Courier New"/>
          <w:b/>
          <w:bCs/>
          <w:color w:val="000000"/>
        </w:rPr>
      </w:pPr>
    </w:p>
    <w:p w:rsidR="007010AF" w:rsidRPr="00BE4283" w:rsidRDefault="007010AF" w:rsidP="007010AF">
      <w:pPr>
        <w:rPr>
          <w:rFonts w:ascii="OrigGarmnd BT" w:hAnsi="OrigGarmnd BT" w:cs="Courier New"/>
          <w:bCs/>
          <w:i/>
          <w:color w:val="000000"/>
        </w:rPr>
      </w:pPr>
      <w:r w:rsidRPr="00BE4283">
        <w:rPr>
          <w:rFonts w:ascii="OrigGarmnd BT" w:hAnsi="OrigGarmnd BT" w:cs="Courier New"/>
          <w:bCs/>
          <w:i/>
          <w:color w:val="000000"/>
        </w:rPr>
        <w:t>Dokument</w:t>
      </w:r>
    </w:p>
    <w:p w:rsidR="007010AF" w:rsidRPr="00BE4283" w:rsidRDefault="007010AF" w:rsidP="007010AF">
      <w:pPr>
        <w:rPr>
          <w:rFonts w:ascii="OrigGarmnd BT" w:hAnsi="OrigGarmnd BT" w:cs="Courier New"/>
          <w:bCs/>
          <w:color w:val="000000"/>
        </w:rPr>
      </w:pPr>
      <w:r w:rsidRPr="00BE4283">
        <w:rPr>
          <w:rFonts w:ascii="OrigGarmnd BT" w:hAnsi="OrigGarmnd BT" w:cs="Courier New"/>
          <w:bCs/>
          <w:color w:val="000000"/>
        </w:rPr>
        <w:t>Det kan förväntas att ett dokument cirkuleras efter att rådsarbetsgruppen Friends of VIS sammanträtt den 13 september.</w:t>
      </w:r>
    </w:p>
    <w:p w:rsidR="007010AF" w:rsidRPr="00BE4283" w:rsidRDefault="007010AF" w:rsidP="007010AF">
      <w:pPr>
        <w:ind w:left="-567"/>
        <w:rPr>
          <w:rFonts w:ascii="OrigGarmnd BT" w:hAnsi="OrigGarmnd BT" w:cs="Courier New"/>
          <w:bCs/>
          <w:i/>
          <w:color w:val="000000"/>
        </w:rPr>
      </w:pPr>
    </w:p>
    <w:p w:rsidR="00495083" w:rsidRPr="00BE4283" w:rsidRDefault="00495083" w:rsidP="007010AF">
      <w:pPr>
        <w:ind w:left="-567"/>
        <w:rPr>
          <w:rFonts w:ascii="OrigGarmnd BT" w:hAnsi="OrigGarmnd BT" w:cs="Courier New"/>
          <w:bCs/>
          <w:i/>
          <w:color w:val="000000"/>
        </w:rPr>
      </w:pPr>
    </w:p>
    <w:p w:rsidR="007010AF" w:rsidRPr="00BE4283" w:rsidRDefault="007010AF" w:rsidP="007010AF">
      <w:pPr>
        <w:rPr>
          <w:rFonts w:ascii="OrigGarmnd BT" w:hAnsi="OrigGarmnd BT"/>
          <w:i/>
        </w:rPr>
      </w:pPr>
      <w:r w:rsidRPr="00BE4283">
        <w:rPr>
          <w:rFonts w:ascii="OrigGarmnd BT" w:hAnsi="OrigGarmnd BT"/>
          <w:i/>
        </w:rPr>
        <w:t>Tidigare dokument</w:t>
      </w:r>
    </w:p>
    <w:p w:rsidR="007010AF" w:rsidRPr="00BE4283" w:rsidRDefault="007010AF" w:rsidP="007010AF">
      <w:pPr>
        <w:rPr>
          <w:rFonts w:ascii="OrigGarmnd BT" w:hAnsi="OrigGarmnd BT"/>
        </w:rPr>
      </w:pPr>
      <w:r w:rsidRPr="00BE4283">
        <w:rPr>
          <w:rFonts w:ascii="OrigGarmnd BT" w:hAnsi="OrigGarmnd BT" w:cs="Courier New"/>
          <w:bCs/>
          <w:color w:val="000000"/>
        </w:rPr>
        <w:t>8164/11   VISA 51   COMIX 178     LIMITE</w:t>
      </w:r>
      <w:r w:rsidRPr="00BE4283">
        <w:rPr>
          <w:rFonts w:ascii="OrigGarmnd BT" w:hAnsi="OrigGarmnd BT"/>
        </w:rPr>
        <w:t xml:space="preserve"> </w:t>
      </w:r>
    </w:p>
    <w:p w:rsidR="007010AF" w:rsidRPr="00BE4283" w:rsidRDefault="007010AF" w:rsidP="007010AF">
      <w:pPr>
        <w:rPr>
          <w:rFonts w:ascii="OrigGarmnd BT" w:hAnsi="OrigGarmnd BT"/>
        </w:rPr>
      </w:pPr>
      <w:r w:rsidRPr="00BE4283">
        <w:rPr>
          <w:rFonts w:ascii="OrigGarmnd BT" w:hAnsi="OrigGarmnd BT"/>
        </w:rPr>
        <w:t xml:space="preserve">6427/11    VISA 29   COMIX 91      LIMITE </w:t>
      </w:r>
    </w:p>
    <w:p w:rsidR="007010AF" w:rsidRPr="00BE4283" w:rsidRDefault="007010AF" w:rsidP="007010AF">
      <w:pPr>
        <w:rPr>
          <w:rFonts w:ascii="OrigGarmnd BT" w:hAnsi="OrigGarmnd BT" w:cs="Courier New"/>
          <w:bCs/>
          <w:i/>
          <w:color w:val="000000"/>
        </w:rPr>
      </w:pPr>
      <w:r w:rsidRPr="00BE4283">
        <w:rPr>
          <w:rFonts w:ascii="OrigGarmnd BT" w:hAnsi="OrigGarmnd BT"/>
        </w:rPr>
        <w:t xml:space="preserve">Faktapromemoria 2004/05:FPM49 Förordning om VIS  </w:t>
      </w:r>
    </w:p>
    <w:p w:rsidR="007010AF" w:rsidRPr="00BE4283" w:rsidRDefault="007010AF" w:rsidP="007010AF">
      <w:pPr>
        <w:ind w:left="-567"/>
        <w:rPr>
          <w:rFonts w:ascii="OrigGarmnd BT" w:hAnsi="OrigGarmnd BT" w:cs="Courier New"/>
          <w:bCs/>
          <w:color w:val="000000"/>
        </w:rPr>
      </w:pPr>
    </w:p>
    <w:p w:rsidR="007010AF" w:rsidRPr="00BE4283" w:rsidRDefault="007010AF" w:rsidP="007010AF">
      <w:pPr>
        <w:rPr>
          <w:rFonts w:ascii="OrigGarmnd BT" w:hAnsi="OrigGarmnd BT" w:cs="Courier New"/>
          <w:bCs/>
          <w:i/>
          <w:color w:val="000000"/>
        </w:rPr>
      </w:pPr>
      <w:r w:rsidRPr="00BE4283">
        <w:rPr>
          <w:rFonts w:ascii="OrigGarmnd BT" w:hAnsi="OrigGarmnd BT" w:cs="Courier New"/>
          <w:bCs/>
          <w:i/>
          <w:color w:val="000000"/>
        </w:rPr>
        <w:t>Tidigare behandling i EU-nämnden och riksdagsutskott</w:t>
      </w:r>
    </w:p>
    <w:p w:rsidR="007010AF" w:rsidRPr="00BE4283" w:rsidRDefault="007010AF" w:rsidP="007010AF">
      <w:pPr>
        <w:outlineLvl w:val="0"/>
        <w:rPr>
          <w:rFonts w:ascii="OrigGarmnd BT" w:hAnsi="OrigGarmnd BT"/>
          <w:bCs/>
          <w:iCs/>
        </w:rPr>
      </w:pPr>
      <w:r w:rsidRPr="00BE4283">
        <w:rPr>
          <w:rFonts w:ascii="OrigGarmnd BT" w:hAnsi="OrigGarmnd BT"/>
          <w:bCs/>
          <w:iCs/>
        </w:rPr>
        <w:t>Inför RIF-rådet 9-10 juni 2011</w:t>
      </w:r>
    </w:p>
    <w:p w:rsidR="007010AF" w:rsidRPr="00BE4283" w:rsidRDefault="007010AF" w:rsidP="007010AF">
      <w:pPr>
        <w:ind w:left="-567"/>
        <w:outlineLvl w:val="0"/>
        <w:rPr>
          <w:rFonts w:ascii="OrigGarmnd BT" w:hAnsi="OrigGarmnd BT"/>
          <w:bCs/>
          <w:i/>
          <w:iCs/>
        </w:rPr>
      </w:pPr>
    </w:p>
    <w:p w:rsidR="007010AF" w:rsidRPr="00BE4283" w:rsidRDefault="007010AF" w:rsidP="007010AF">
      <w:pPr>
        <w:outlineLvl w:val="0"/>
        <w:rPr>
          <w:rFonts w:ascii="OrigGarmnd BT" w:hAnsi="OrigGarmnd BT"/>
          <w:bCs/>
          <w:i/>
          <w:iCs/>
        </w:rPr>
      </w:pPr>
      <w:r w:rsidRPr="00BE4283">
        <w:rPr>
          <w:rFonts w:ascii="OrigGarmnd BT" w:hAnsi="OrigGarmnd BT"/>
          <w:bCs/>
          <w:i/>
          <w:iCs/>
        </w:rPr>
        <w:t>Bakgrund</w:t>
      </w:r>
    </w:p>
    <w:p w:rsidR="007010AF" w:rsidRPr="00BE4283" w:rsidRDefault="007010AF" w:rsidP="007010AF">
      <w:pPr>
        <w:rPr>
          <w:rFonts w:ascii="OrigGarmnd BT" w:hAnsi="OrigGarmnd BT"/>
        </w:rPr>
      </w:pPr>
      <w:r w:rsidRPr="00BE4283">
        <w:rPr>
          <w:rFonts w:ascii="OrigGarmnd BT" w:hAnsi="OrigGarmnd BT"/>
        </w:rPr>
        <w:t xml:space="preserve">Det är planerat att VIS ska tas i bruk för första gången den 11 oktober 2011. Utrullningen av systemet kommer att ske stegvis. Den första regionen i utrullningen är </w:t>
      </w:r>
      <w:r w:rsidRPr="00BE4283">
        <w:rPr>
          <w:rFonts w:ascii="OrigGarmnd BT" w:hAnsi="OrigGarmnd BT"/>
          <w:color w:val="000000"/>
        </w:rPr>
        <w:t xml:space="preserve">Algeriet, Egypten, Libyen, Mauretanien, Marocko och Tunisien. När en utvärdering gjorts av införandet i den första regionen följer nästa region. Länderna som då står på tur är Israel, Jordanien, Libanon och Syrien. </w:t>
      </w:r>
      <w:r w:rsidRPr="00BE4283">
        <w:rPr>
          <w:rFonts w:ascii="OrigGarmnd BT" w:hAnsi="OrigGarmnd BT"/>
          <w:bCs/>
          <w:color w:val="000000"/>
        </w:rPr>
        <w:t xml:space="preserve">Tredje regionen består av </w:t>
      </w:r>
      <w:r w:rsidRPr="00BE4283">
        <w:rPr>
          <w:rFonts w:ascii="OrigGarmnd BT" w:hAnsi="OrigGarmnd BT"/>
          <w:color w:val="000000"/>
        </w:rPr>
        <w:t>Afghanistan, Iran och Gulfstaterna.</w:t>
      </w:r>
    </w:p>
    <w:p w:rsidR="007010AF" w:rsidRPr="00BE4283" w:rsidRDefault="007010AF" w:rsidP="007010AF">
      <w:pPr>
        <w:ind w:left="-567"/>
        <w:rPr>
          <w:rFonts w:ascii="OrigGarmnd BT" w:hAnsi="OrigGarmnd BT"/>
        </w:rPr>
      </w:pPr>
    </w:p>
    <w:p w:rsidR="007010AF" w:rsidRPr="00BE4283" w:rsidRDefault="007010AF" w:rsidP="007010AF">
      <w:pPr>
        <w:rPr>
          <w:rFonts w:ascii="OrigGarmnd BT" w:hAnsi="OrigGarmnd BT"/>
        </w:rPr>
      </w:pPr>
      <w:r w:rsidRPr="00BE4283">
        <w:rPr>
          <w:rFonts w:ascii="OrigGarmnd BT" w:hAnsi="OrigGarmnd BT"/>
        </w:rPr>
        <w:t xml:space="preserve">I enlighet med VIS-förordningen är det kommissionen som fattar officiellt beslut om när VIS ska tas i bruk. Dessförinnan måste alla medlemsstater ha notifierat kommissionen om att de är redo med sina nationella system i de respektive länder där VIS rullas ut. Avseende den första regionen notifierade Sverige kommissionen den 4 augusti 2011. </w:t>
      </w:r>
    </w:p>
    <w:p w:rsidR="007010AF" w:rsidRPr="00BE4283" w:rsidRDefault="007010AF" w:rsidP="007010AF">
      <w:pPr>
        <w:rPr>
          <w:rFonts w:ascii="OrigGarmnd BT" w:hAnsi="OrigGarmnd BT"/>
        </w:rPr>
      </w:pPr>
    </w:p>
    <w:p w:rsidR="007010AF" w:rsidRPr="00BE4283" w:rsidRDefault="007010AF" w:rsidP="007010AF">
      <w:pPr>
        <w:rPr>
          <w:rFonts w:ascii="OrigGarmnd BT" w:hAnsi="OrigGarmnd BT"/>
        </w:rPr>
      </w:pPr>
      <w:r w:rsidRPr="00BE4283">
        <w:rPr>
          <w:rFonts w:ascii="OrigGarmnd BT" w:hAnsi="OrigGarmnd BT"/>
        </w:rPr>
        <w:t xml:space="preserve">Rådet beslutade den 8 juni 2004 om inrättandet av ett gemensamt europeiskt system för utbyte av viseringsinformation (VIS). I rådets förordning (EG) nr 767/2008 om informationssystemet för viseringar anges dess ändamål och funktion. När VIS tagits i bruk kommer biometri (fingeravtryck och ansiktsfoto) att tas upp vid varje förstagångsansökan om visering. VIS syftar bland annat till att säkerställa identifieringen av den som söker visering och öka möjligheterna att identifiera dokumentlösa asylsökande. </w:t>
      </w:r>
    </w:p>
    <w:p w:rsidR="007010AF" w:rsidRPr="00BE4283" w:rsidRDefault="007010AF" w:rsidP="007010AF">
      <w:pPr>
        <w:ind w:left="-567"/>
        <w:rPr>
          <w:rFonts w:ascii="OrigGarmnd BT" w:hAnsi="OrigGarmnd BT"/>
        </w:rPr>
      </w:pPr>
    </w:p>
    <w:p w:rsidR="007010AF" w:rsidRPr="00BE4283" w:rsidRDefault="007010AF" w:rsidP="007010AF">
      <w:pPr>
        <w:ind w:left="-567"/>
        <w:rPr>
          <w:b/>
        </w:rPr>
      </w:pPr>
    </w:p>
    <w:p w:rsidR="007010AF" w:rsidRPr="00BE4283" w:rsidRDefault="007010AF" w:rsidP="007010AF">
      <w:pPr>
        <w:pStyle w:val="EntEmet"/>
        <w:tabs>
          <w:tab w:val="clear" w:pos="284"/>
          <w:tab w:val="clear" w:pos="567"/>
          <w:tab w:val="clear" w:pos="851"/>
          <w:tab w:val="clear" w:pos="1134"/>
          <w:tab w:val="clear" w:pos="1418"/>
        </w:tabs>
        <w:ind w:left="240" w:hanging="240"/>
        <w:rPr>
          <w:rFonts w:ascii="OrigGarmnd BT" w:hAnsi="OrigGarmnd BT"/>
          <w:b/>
        </w:rPr>
      </w:pPr>
      <w:r w:rsidRPr="00BE4283">
        <w:rPr>
          <w:rFonts w:ascii="OrigGarmnd BT" w:hAnsi="OrigGarmnd BT"/>
          <w:b/>
        </w:rPr>
        <w:t>2. SIS II (Sr Ask)</w:t>
      </w:r>
    </w:p>
    <w:p w:rsidR="007010AF" w:rsidRPr="00BE4283" w:rsidRDefault="007010AF" w:rsidP="007010AF">
      <w:pPr>
        <w:pStyle w:val="EntEmet"/>
        <w:tabs>
          <w:tab w:val="clear" w:pos="284"/>
          <w:tab w:val="clear" w:pos="567"/>
          <w:tab w:val="clear" w:pos="851"/>
          <w:tab w:val="clear" w:pos="1134"/>
          <w:tab w:val="clear" w:pos="1418"/>
        </w:tabs>
        <w:ind w:left="240" w:hanging="240"/>
        <w:rPr>
          <w:rFonts w:ascii="OrigGarmnd BT" w:hAnsi="OrigGarmnd BT"/>
          <w:b/>
        </w:rPr>
      </w:pPr>
      <w:r w:rsidRPr="00BE4283">
        <w:rPr>
          <w:rFonts w:ascii="OrigGarmnd BT" w:hAnsi="OrigGarmnd BT"/>
          <w:b/>
        </w:rPr>
        <w:t>=</w:t>
      </w:r>
      <w:r w:rsidRPr="00BE4283">
        <w:rPr>
          <w:rFonts w:ascii="OrigGarmnd BT" w:hAnsi="OrigGarmnd BT"/>
          <w:b/>
        </w:rPr>
        <w:tab/>
        <w:t>Lägesrapport</w:t>
      </w:r>
    </w:p>
    <w:p w:rsidR="00D01C28" w:rsidRPr="00BE4283" w:rsidRDefault="00D01C28" w:rsidP="007010AF">
      <w:pPr>
        <w:pStyle w:val="EntEmet"/>
        <w:tabs>
          <w:tab w:val="clear" w:pos="284"/>
          <w:tab w:val="clear" w:pos="567"/>
          <w:tab w:val="clear" w:pos="851"/>
          <w:tab w:val="clear" w:pos="1134"/>
          <w:tab w:val="clear" w:pos="1418"/>
        </w:tabs>
        <w:ind w:left="240" w:hanging="240"/>
        <w:rPr>
          <w:rFonts w:ascii="OrigGarmnd BT" w:hAnsi="OrigGarmnd BT"/>
          <w:b/>
        </w:rPr>
      </w:pPr>
    </w:p>
    <w:p w:rsidR="00D01C28" w:rsidRPr="00BE4283" w:rsidRDefault="00D01C28" w:rsidP="00D01C28">
      <w:pPr>
        <w:outlineLvl w:val="0"/>
        <w:rPr>
          <w:rFonts w:ascii="OrigGarmnd BT" w:hAnsi="OrigGarmnd BT"/>
          <w:i/>
          <w:iCs/>
        </w:rPr>
      </w:pPr>
      <w:r w:rsidRPr="00BE4283">
        <w:rPr>
          <w:rFonts w:ascii="OrigGarmnd BT" w:hAnsi="OrigGarmnd BT"/>
          <w:i/>
          <w:iCs/>
        </w:rPr>
        <w:t>Avsikten med behandlingen i rådet</w:t>
      </w:r>
    </w:p>
    <w:p w:rsidR="00D01C28" w:rsidRPr="00BE4283" w:rsidRDefault="00D01C28" w:rsidP="00D01C28">
      <w:pPr>
        <w:pStyle w:val="RKnormal"/>
      </w:pPr>
      <w:r w:rsidRPr="00BE4283">
        <w:t xml:space="preserve">Information om den senaste utvecklingen i SIS II-projektet. </w:t>
      </w:r>
    </w:p>
    <w:p w:rsidR="00D01C28" w:rsidRPr="00BE4283" w:rsidRDefault="00D01C28" w:rsidP="00D01C28">
      <w:pPr>
        <w:rPr>
          <w:rFonts w:ascii="OrigGarmnd BT" w:hAnsi="OrigGarmnd BT"/>
        </w:rPr>
      </w:pPr>
    </w:p>
    <w:p w:rsidR="00D01C28" w:rsidRPr="00BE4283" w:rsidRDefault="00D01C28" w:rsidP="00D01C28">
      <w:pPr>
        <w:rPr>
          <w:rFonts w:ascii="OrigGarmnd BT" w:hAnsi="OrigGarmnd BT"/>
        </w:rPr>
      </w:pPr>
      <w:r w:rsidRPr="00BE4283">
        <w:rPr>
          <w:rFonts w:ascii="OrigGarmnd BT" w:hAnsi="OrigGarmnd BT"/>
          <w:i/>
        </w:rPr>
        <w:t xml:space="preserve">Dokument: </w:t>
      </w:r>
      <w:r w:rsidRPr="00BE4283">
        <w:rPr>
          <w:rFonts w:ascii="OrigGarmnd BT" w:hAnsi="OrigGarmnd BT"/>
        </w:rPr>
        <w:t>det har ännu inte presenterats något dokument för behandlingen i rådet.</w:t>
      </w:r>
    </w:p>
    <w:p w:rsidR="00D01C28" w:rsidRPr="00BE4283" w:rsidRDefault="00D01C28" w:rsidP="00D01C28">
      <w:pPr>
        <w:pStyle w:val="RKnormal"/>
      </w:pPr>
    </w:p>
    <w:p w:rsidR="00D01C28" w:rsidRPr="00BE4283" w:rsidRDefault="00D01C28" w:rsidP="00D01C28">
      <w:pPr>
        <w:pStyle w:val="RKnormal"/>
      </w:pPr>
      <w:r w:rsidRPr="00BE4283">
        <w:rPr>
          <w:i/>
        </w:rPr>
        <w:t xml:space="preserve">Tidigare behandlad i EU-nämnden: </w:t>
      </w:r>
      <w:r w:rsidRPr="00BE4283">
        <w:t>26 november 2010, 18 februari 2011, 8 april 2011, 9-10 juni 2011</w:t>
      </w:r>
    </w:p>
    <w:p w:rsidR="00D01C28" w:rsidRPr="00BE4283" w:rsidRDefault="00D01C28" w:rsidP="00D01C28">
      <w:pPr>
        <w:pStyle w:val="RKnormal"/>
      </w:pPr>
    </w:p>
    <w:p w:rsidR="00D01C28" w:rsidRPr="00BE4283" w:rsidRDefault="00D01C28" w:rsidP="00D01C28">
      <w:pPr>
        <w:pStyle w:val="RKnormal"/>
        <w:rPr>
          <w:i/>
        </w:rPr>
      </w:pPr>
      <w:r w:rsidRPr="00BE4283">
        <w:rPr>
          <w:i/>
        </w:rPr>
        <w:t>Bakgrund</w:t>
      </w:r>
    </w:p>
    <w:p w:rsidR="00D01C28" w:rsidRPr="00BE4283" w:rsidRDefault="00D01C28" w:rsidP="00D01C28">
      <w:pPr>
        <w:pStyle w:val="RKnormal"/>
        <w:rPr>
          <w:rFonts w:cs="OrigGarmnd BT"/>
          <w:color w:val="000000"/>
          <w:szCs w:val="24"/>
          <w:lang w:eastAsia="sv-SE"/>
        </w:rPr>
      </w:pPr>
      <w:r w:rsidRPr="00BE4283">
        <w:rPr>
          <w:rFonts w:cs="OrigGarmnd BT"/>
          <w:color w:val="000000"/>
          <w:szCs w:val="24"/>
          <w:lang w:eastAsia="sv-SE"/>
        </w:rPr>
        <w:t>Schengens informationssystem är det gemensamma efterlysnings- och spaningsregister som används av de länder som deltar i Schengensamarbetet. Sverige anslöts till systemet 2001. Utvecklingen av SIS II pågår under kommissionens ledning sedan länge. Utvecklingen av systemet har drabbats av ett flertal förseningar. Tidpunkten för driftsättning av systemet är nu satt till senast mars 2013.</w:t>
      </w:r>
    </w:p>
    <w:p w:rsidR="00D01C28" w:rsidRPr="00BE4283" w:rsidRDefault="00D01C28" w:rsidP="00D01C28">
      <w:pPr>
        <w:pStyle w:val="RKnormal"/>
      </w:pPr>
    </w:p>
    <w:p w:rsidR="00D01C28" w:rsidRPr="00BE4283" w:rsidRDefault="00D01C28" w:rsidP="00D01C28">
      <w:pPr>
        <w:pStyle w:val="RKnormal"/>
      </w:pPr>
      <w:r w:rsidRPr="00BE4283">
        <w:t xml:space="preserve">Vid rådets möte i oktober 2010 antogs nya rådsslutsatser relaterade till utvecklingsarbetet av SIS II (andra generationen av Schengens informationssystem) i samband med att kommissionens nya planering för projektet noterades. I slutsatserna uppmanades kommissionen bl.a. att hålla ministerrådet och Europaparlamentet underrättade om den vidare utvecklingen av projektet. Kommissionen kommer därför ge en uppdaterad redovisning av läget i projektet. Inga beslut eller nya slutsatser av rådet är aktuella. </w:t>
      </w:r>
    </w:p>
    <w:p w:rsidR="00495083" w:rsidRPr="00BE4283" w:rsidRDefault="00495083" w:rsidP="007010AF">
      <w:pPr>
        <w:pStyle w:val="EntEmet"/>
        <w:tabs>
          <w:tab w:val="clear" w:pos="284"/>
          <w:tab w:val="clear" w:pos="567"/>
          <w:tab w:val="clear" w:pos="851"/>
          <w:tab w:val="clear" w:pos="1134"/>
          <w:tab w:val="clear" w:pos="1418"/>
        </w:tabs>
        <w:ind w:left="360" w:hanging="360"/>
        <w:rPr>
          <w:rFonts w:ascii="OrigGarmnd BT" w:hAnsi="OrigGarmnd BT"/>
          <w:b/>
        </w:rPr>
      </w:pPr>
    </w:p>
    <w:p w:rsidR="00495083" w:rsidRPr="00BE4283" w:rsidRDefault="00495083" w:rsidP="007010AF">
      <w:pPr>
        <w:pStyle w:val="EntEmet"/>
        <w:tabs>
          <w:tab w:val="clear" w:pos="284"/>
          <w:tab w:val="clear" w:pos="567"/>
          <w:tab w:val="clear" w:pos="851"/>
          <w:tab w:val="clear" w:pos="1134"/>
          <w:tab w:val="clear" w:pos="1418"/>
        </w:tabs>
        <w:ind w:left="360" w:hanging="360"/>
        <w:rPr>
          <w:rFonts w:ascii="OrigGarmnd BT" w:hAnsi="OrigGarmnd BT"/>
          <w:b/>
        </w:rPr>
      </w:pPr>
    </w:p>
    <w:p w:rsidR="007010AF" w:rsidRPr="00BE4283" w:rsidRDefault="007010AF" w:rsidP="007010AF">
      <w:pPr>
        <w:pStyle w:val="EntEmet"/>
        <w:tabs>
          <w:tab w:val="clear" w:pos="284"/>
          <w:tab w:val="clear" w:pos="567"/>
          <w:tab w:val="clear" w:pos="851"/>
          <w:tab w:val="clear" w:pos="1134"/>
          <w:tab w:val="clear" w:pos="1418"/>
        </w:tabs>
        <w:ind w:left="360" w:hanging="360"/>
        <w:rPr>
          <w:rFonts w:ascii="OrigGarmnd BT" w:hAnsi="OrigGarmnd BT"/>
          <w:b/>
        </w:rPr>
      </w:pPr>
      <w:r w:rsidRPr="00BE4283">
        <w:rPr>
          <w:rFonts w:ascii="OrigGarmnd BT" w:hAnsi="OrigGarmnd BT"/>
          <w:b/>
        </w:rPr>
        <w:t>3. (ev.) Utkast till rådets beslut om fullständig tillämpning av</w:t>
      </w:r>
    </w:p>
    <w:p w:rsidR="007010AF" w:rsidRPr="00BE4283" w:rsidRDefault="007010AF" w:rsidP="007010AF">
      <w:pPr>
        <w:pStyle w:val="EntEmet"/>
        <w:tabs>
          <w:tab w:val="clear" w:pos="284"/>
          <w:tab w:val="clear" w:pos="567"/>
          <w:tab w:val="clear" w:pos="851"/>
          <w:tab w:val="clear" w:pos="1134"/>
          <w:tab w:val="clear" w:pos="1418"/>
        </w:tabs>
        <w:ind w:left="360" w:hanging="360"/>
        <w:rPr>
          <w:rFonts w:ascii="OrigGarmnd BT" w:hAnsi="OrigGarmnd BT"/>
          <w:b/>
        </w:rPr>
      </w:pPr>
      <w:r w:rsidRPr="00BE4283">
        <w:rPr>
          <w:rFonts w:ascii="OrigGarmnd BT" w:hAnsi="OrigGarmnd BT"/>
          <w:b/>
        </w:rPr>
        <w:t>bestämmelserna i Schengenregelverket i Republiken Bulgarien och</w:t>
      </w:r>
    </w:p>
    <w:p w:rsidR="007010AF" w:rsidRPr="00BE4283" w:rsidRDefault="007010AF" w:rsidP="007010AF">
      <w:pPr>
        <w:pStyle w:val="EntEmet"/>
        <w:tabs>
          <w:tab w:val="clear" w:pos="284"/>
          <w:tab w:val="clear" w:pos="567"/>
          <w:tab w:val="clear" w:pos="851"/>
          <w:tab w:val="clear" w:pos="1134"/>
          <w:tab w:val="clear" w:pos="1418"/>
        </w:tabs>
        <w:ind w:left="360" w:hanging="360"/>
        <w:rPr>
          <w:rFonts w:ascii="OrigGarmnd BT" w:hAnsi="OrigGarmnd BT"/>
          <w:b/>
        </w:rPr>
      </w:pPr>
      <w:r w:rsidRPr="00BE4283">
        <w:rPr>
          <w:rFonts w:ascii="OrigGarmnd BT" w:hAnsi="OrigGarmnd BT"/>
          <w:b/>
        </w:rPr>
        <w:t>Rumänien (Sr Ask)</w:t>
      </w:r>
    </w:p>
    <w:p w:rsidR="007010AF" w:rsidRPr="00BE4283" w:rsidRDefault="007010AF" w:rsidP="007010AF">
      <w:pPr>
        <w:pStyle w:val="EntEmet"/>
        <w:tabs>
          <w:tab w:val="clear" w:pos="284"/>
          <w:tab w:val="clear" w:pos="567"/>
          <w:tab w:val="clear" w:pos="851"/>
          <w:tab w:val="clear" w:pos="1134"/>
          <w:tab w:val="clear" w:pos="1418"/>
        </w:tabs>
        <w:ind w:left="360" w:hanging="360"/>
        <w:rPr>
          <w:rFonts w:ascii="OrigGarmnd BT" w:hAnsi="OrigGarmnd BT"/>
          <w:b/>
        </w:rPr>
      </w:pPr>
    </w:p>
    <w:p w:rsidR="00BB37E3" w:rsidRPr="00BE4283" w:rsidRDefault="00BB37E3" w:rsidP="007010AF">
      <w:pPr>
        <w:pStyle w:val="EntEmet"/>
        <w:tabs>
          <w:tab w:val="clear" w:pos="284"/>
          <w:tab w:val="clear" w:pos="567"/>
          <w:tab w:val="clear" w:pos="851"/>
          <w:tab w:val="clear" w:pos="1134"/>
          <w:tab w:val="clear" w:pos="1418"/>
        </w:tabs>
        <w:ind w:left="360" w:hanging="360"/>
        <w:rPr>
          <w:rFonts w:ascii="OrigGarmnd BT" w:hAnsi="OrigGarmnd BT"/>
        </w:rPr>
      </w:pPr>
      <w:r w:rsidRPr="00BE4283">
        <w:rPr>
          <w:rFonts w:ascii="OrigGarmnd BT" w:hAnsi="OrigGarmnd BT"/>
        </w:rPr>
        <w:t>Se rådets dagordning, icke lagstiftande verksamhet, dagordningspunkten</w:t>
      </w:r>
    </w:p>
    <w:p w:rsidR="00BB37E3" w:rsidRPr="00BE4283" w:rsidRDefault="00BB37E3" w:rsidP="007010AF">
      <w:pPr>
        <w:pStyle w:val="EntEmet"/>
        <w:tabs>
          <w:tab w:val="clear" w:pos="284"/>
          <w:tab w:val="clear" w:pos="567"/>
          <w:tab w:val="clear" w:pos="851"/>
          <w:tab w:val="clear" w:pos="1134"/>
          <w:tab w:val="clear" w:pos="1418"/>
        </w:tabs>
        <w:ind w:left="360" w:hanging="360"/>
        <w:rPr>
          <w:rFonts w:ascii="OrigGarmnd BT" w:hAnsi="OrigGarmnd BT"/>
        </w:rPr>
      </w:pPr>
      <w:r w:rsidRPr="00BE4283">
        <w:rPr>
          <w:rFonts w:ascii="OrigGarmnd BT" w:hAnsi="OrigGarmnd BT"/>
        </w:rPr>
        <w:t>5.</w:t>
      </w:r>
    </w:p>
    <w:p w:rsidR="00B357AB" w:rsidRPr="00BE4283" w:rsidRDefault="00B357AB" w:rsidP="007010AF">
      <w:pPr>
        <w:pStyle w:val="EntEmet"/>
        <w:tabs>
          <w:tab w:val="clear" w:pos="284"/>
          <w:tab w:val="clear" w:pos="567"/>
          <w:tab w:val="clear" w:pos="851"/>
          <w:tab w:val="clear" w:pos="1134"/>
          <w:tab w:val="clear" w:pos="1418"/>
        </w:tabs>
        <w:ind w:left="360" w:hanging="360"/>
        <w:rPr>
          <w:rFonts w:ascii="OrigGarmnd BT" w:hAnsi="OrigGarmnd BT"/>
        </w:rPr>
      </w:pPr>
    </w:p>
    <w:p w:rsidR="007010AF" w:rsidRPr="00BE4283" w:rsidRDefault="007010AF" w:rsidP="007010AF">
      <w:pPr>
        <w:pStyle w:val="EntEmet"/>
        <w:tabs>
          <w:tab w:val="clear" w:pos="284"/>
          <w:tab w:val="clear" w:pos="567"/>
          <w:tab w:val="clear" w:pos="851"/>
          <w:tab w:val="clear" w:pos="1134"/>
          <w:tab w:val="clear" w:pos="1418"/>
        </w:tabs>
        <w:ind w:left="360" w:hanging="360"/>
        <w:rPr>
          <w:rFonts w:ascii="OrigGarmnd BT" w:hAnsi="OrigGarmnd BT"/>
          <w:b/>
        </w:rPr>
      </w:pPr>
      <w:r w:rsidRPr="00BE4283">
        <w:rPr>
          <w:rFonts w:ascii="OrigGarmnd BT" w:hAnsi="OrigGarmnd BT"/>
          <w:b/>
        </w:rPr>
        <w:tab/>
      </w:r>
    </w:p>
    <w:p w:rsidR="007010AF" w:rsidRPr="00BE4283" w:rsidRDefault="007010AF" w:rsidP="007010AF">
      <w:pPr>
        <w:ind w:left="567" w:hanging="567"/>
        <w:rPr>
          <w:rFonts w:ascii="OrigGarmnd BT" w:hAnsi="OrigGarmnd BT"/>
          <w:b/>
        </w:rPr>
      </w:pPr>
      <w:r w:rsidRPr="00BE4283">
        <w:rPr>
          <w:rFonts w:ascii="OrigGarmnd BT" w:hAnsi="OrigGarmnd BT"/>
          <w:b/>
        </w:rPr>
        <w:t>4. Schengensamarbetet: Meddelande från kommissionen åtföljt av</w:t>
      </w:r>
    </w:p>
    <w:p w:rsidR="007010AF" w:rsidRPr="00BE4283" w:rsidRDefault="007010AF" w:rsidP="007010AF">
      <w:pPr>
        <w:ind w:left="567" w:hanging="567"/>
        <w:rPr>
          <w:rFonts w:ascii="OrigGarmnd BT" w:hAnsi="OrigGarmnd BT"/>
          <w:b/>
        </w:rPr>
      </w:pPr>
      <w:r w:rsidRPr="00BE4283">
        <w:rPr>
          <w:rFonts w:ascii="OrigGarmnd BT" w:hAnsi="OrigGarmnd BT"/>
          <w:b/>
        </w:rPr>
        <w:t>lagstiftningsförslag (Sr Ask)</w:t>
      </w:r>
    </w:p>
    <w:p w:rsidR="007010AF" w:rsidRPr="00BE4283" w:rsidRDefault="007010AF" w:rsidP="007010AF">
      <w:pPr>
        <w:tabs>
          <w:tab w:val="left" w:pos="540"/>
        </w:tabs>
        <w:ind w:left="567" w:hanging="567"/>
        <w:rPr>
          <w:rFonts w:ascii="OrigGarmnd BT" w:hAnsi="OrigGarmnd BT"/>
          <w:b/>
          <w:bCs/>
          <w:iCs/>
        </w:rPr>
      </w:pPr>
      <w:r w:rsidRPr="00BE4283">
        <w:rPr>
          <w:rFonts w:ascii="OrigGarmnd BT" w:hAnsi="OrigGarmnd BT"/>
          <w:b/>
          <w:bCs/>
          <w:iCs/>
        </w:rPr>
        <w:t>=</w:t>
      </w:r>
      <w:r w:rsidRPr="00BE4283">
        <w:rPr>
          <w:rFonts w:ascii="OrigGarmnd BT" w:hAnsi="OrigGarmnd BT"/>
          <w:b/>
          <w:bCs/>
          <w:iCs/>
        </w:rPr>
        <w:tab/>
        <w:t>Föredragning av kommissionen</w:t>
      </w:r>
    </w:p>
    <w:p w:rsidR="00BB37E3" w:rsidRPr="00BE4283" w:rsidRDefault="00BB37E3" w:rsidP="007010AF">
      <w:pPr>
        <w:tabs>
          <w:tab w:val="left" w:pos="540"/>
        </w:tabs>
        <w:ind w:left="567" w:hanging="567"/>
        <w:rPr>
          <w:rFonts w:ascii="OrigGarmnd BT" w:hAnsi="OrigGarmnd BT"/>
          <w:b/>
          <w:bCs/>
          <w:iCs/>
        </w:rPr>
      </w:pPr>
    </w:p>
    <w:p w:rsidR="00BB37E3" w:rsidRPr="00BE4283" w:rsidRDefault="00BB37E3" w:rsidP="00BB37E3">
      <w:pPr>
        <w:pStyle w:val="RKnormal"/>
        <w:rPr>
          <w:i/>
        </w:rPr>
      </w:pPr>
      <w:r w:rsidRPr="00BE4283">
        <w:rPr>
          <w:i/>
        </w:rPr>
        <w:t>Avsikten med behandlingen i rådet</w:t>
      </w:r>
    </w:p>
    <w:p w:rsidR="00BB37E3" w:rsidRPr="00BE4283" w:rsidRDefault="00BB37E3" w:rsidP="00BB37E3">
      <w:pPr>
        <w:pStyle w:val="RKnormal"/>
      </w:pPr>
      <w:r w:rsidRPr="00BE4283">
        <w:t>Presentation av kommissionen</w:t>
      </w:r>
    </w:p>
    <w:p w:rsidR="00BB37E3" w:rsidRPr="00BE4283" w:rsidRDefault="00BB37E3" w:rsidP="00BB37E3">
      <w:pPr>
        <w:pStyle w:val="RKnormal"/>
      </w:pPr>
    </w:p>
    <w:p w:rsidR="00BB37E3" w:rsidRPr="00BE4283" w:rsidRDefault="00BB37E3" w:rsidP="00BB37E3">
      <w:pPr>
        <w:pStyle w:val="RKnormal"/>
        <w:rPr>
          <w:i/>
        </w:rPr>
      </w:pPr>
      <w:r w:rsidRPr="00BE4283">
        <w:rPr>
          <w:i/>
        </w:rPr>
        <w:t>Dokument</w:t>
      </w:r>
    </w:p>
    <w:p w:rsidR="00BB37E3" w:rsidRPr="00BE4283" w:rsidRDefault="00BB37E3" w:rsidP="00BB37E3">
      <w:pPr>
        <w:pStyle w:val="RKnormal"/>
      </w:pPr>
      <w:r w:rsidRPr="00BE4283">
        <w:t>Kommissionen har ännu inte presenterat sitt meddelande och sina förslag.</w:t>
      </w:r>
    </w:p>
    <w:p w:rsidR="00BB37E3" w:rsidRPr="00BE4283" w:rsidRDefault="00BB37E3" w:rsidP="00BB37E3">
      <w:pPr>
        <w:pStyle w:val="RKnormal"/>
      </w:pPr>
    </w:p>
    <w:p w:rsidR="00BB37E3" w:rsidRPr="00BE4283" w:rsidRDefault="00BB37E3" w:rsidP="00BB37E3">
      <w:pPr>
        <w:pStyle w:val="RKnormal"/>
        <w:rPr>
          <w:i/>
        </w:rPr>
      </w:pPr>
      <w:r w:rsidRPr="00BE4283">
        <w:rPr>
          <w:i/>
        </w:rPr>
        <w:t>Bakgrund</w:t>
      </w:r>
    </w:p>
    <w:p w:rsidR="00BB37E3" w:rsidRPr="00BE4283" w:rsidRDefault="00BB37E3" w:rsidP="00BB37E3">
      <w:pPr>
        <w:pStyle w:val="RKnormal"/>
      </w:pPr>
      <w:r w:rsidRPr="00BE4283">
        <w:rPr>
          <w:szCs w:val="24"/>
        </w:rPr>
        <w:t xml:space="preserve">Schengensamarbetet står inför ett antal utmaningar. Det gäller till exempel svårigheter att </w:t>
      </w:r>
      <w:r w:rsidRPr="00BE4283">
        <w:t>kontrollera den yttre gränsen, omdiskuterade kontroller vid de inre gränserna och strandade förhandlingar om kommissionens förslag till en reviderad Schengenutvärderingsmekanism</w:t>
      </w:r>
      <w:r w:rsidRPr="00BE4283">
        <w:rPr>
          <w:rStyle w:val="Fotnotsreferens"/>
        </w:rPr>
        <w:footnoteReference w:id="4"/>
      </w:r>
      <w:r w:rsidRPr="00BE4283">
        <w:t>. Detta föranledde kommissionen att i sitt meddelande om migration, KOM (2011) 248, från den 4 maj 2011 avisera ett förslag till en mekanism för att hantera situationer där antingen en medlemsstat inte klarar att kontrollera sin del av den yttre gränsen, eller då en viss del av den yttre gränsen hamnar under oväntat och kraftigt tryck. En sådan mekanism skulle omfatta en möjlighet att på EU-nivå besluta om att återinföra kontrollen vid den inre gränsen mot en medlemsstat.</w:t>
      </w:r>
    </w:p>
    <w:p w:rsidR="00BB37E3" w:rsidRPr="00BE4283" w:rsidRDefault="00BB37E3" w:rsidP="00BB37E3">
      <w:pPr>
        <w:pStyle w:val="RKnormal"/>
      </w:pPr>
    </w:p>
    <w:p w:rsidR="00BB37E3" w:rsidRPr="00BE4283" w:rsidRDefault="00BB37E3" w:rsidP="00BB37E3">
      <w:pPr>
        <w:rPr>
          <w:rFonts w:ascii="OrigGarmnd BT" w:hAnsi="OrigGarmnd BT"/>
        </w:rPr>
      </w:pPr>
      <w:r w:rsidRPr="00BE4283">
        <w:rPr>
          <w:rFonts w:ascii="OrigGarmnd BT" w:hAnsi="OrigGarmnd BT"/>
        </w:rPr>
        <w:t>Europeiska rådet angav i sina slutsatser från mötet den 23-24 juni 2011 att tillämpningen av gemensamma regler, särskilt genom Schengenutvärdering, bör förbättras. Man bör införa en mekanism för att reagera på exceptionella omständigheter som kan äventyra det övergripande Schengensamarbetet. Mekanismen bör omfatta en rad åtgärder för att stödja en medlemsstat som står inför hårt tryck vid de yttre gränserna. Som en allra sista utväg skulle en skyddsklausul undantagsvis tillåta ett återinförande av kontroll vid den inre gränsen när en medlemsstat inte längre kan uppfylla sina skyldigheter enligt Schengenregelverket. Europeiska rådet uppmanade slutligen kommissionen att i september lägga fram förslag till en sådan mekanism.</w:t>
      </w:r>
    </w:p>
    <w:p w:rsidR="00BB37E3" w:rsidRPr="00BE4283" w:rsidRDefault="00BB37E3" w:rsidP="00BB37E3">
      <w:pPr>
        <w:pStyle w:val="RKnormal"/>
      </w:pPr>
    </w:p>
    <w:p w:rsidR="00BB37E3" w:rsidRPr="00BE4283" w:rsidRDefault="00BB37E3" w:rsidP="007010AF">
      <w:pPr>
        <w:tabs>
          <w:tab w:val="left" w:pos="540"/>
        </w:tabs>
        <w:ind w:left="567" w:hanging="567"/>
        <w:rPr>
          <w:rFonts w:ascii="OrigGarmnd BT" w:hAnsi="OrigGarmnd BT"/>
          <w:b/>
        </w:rPr>
      </w:pPr>
    </w:p>
    <w:p w:rsidR="007010AF" w:rsidRPr="00BE4283" w:rsidRDefault="007010AF" w:rsidP="007010AF">
      <w:pPr>
        <w:ind w:left="567" w:hanging="567"/>
        <w:rPr>
          <w:rFonts w:ascii="OrigGarmnd BT" w:hAnsi="OrigGarmnd BT"/>
          <w:b/>
        </w:rPr>
      </w:pPr>
      <w:r w:rsidRPr="00BE4283">
        <w:rPr>
          <w:rFonts w:ascii="OrigGarmnd BT" w:hAnsi="OrigGarmnd BT"/>
          <w:b/>
        </w:rPr>
        <w:t>5. Förslag till Europaparlamentets och rådets förordning om ändring</w:t>
      </w:r>
    </w:p>
    <w:p w:rsidR="007010AF" w:rsidRPr="00BE4283" w:rsidRDefault="007010AF" w:rsidP="007010AF">
      <w:pPr>
        <w:ind w:left="567" w:hanging="567"/>
        <w:rPr>
          <w:rFonts w:ascii="OrigGarmnd BT" w:hAnsi="OrigGarmnd BT"/>
          <w:b/>
        </w:rPr>
      </w:pPr>
      <w:r w:rsidRPr="00BE4283">
        <w:rPr>
          <w:rFonts w:ascii="OrigGarmnd BT" w:hAnsi="OrigGarmnd BT"/>
          <w:b/>
        </w:rPr>
        <w:t>av förordning (EG) nr 1931/2006 vad gäller inlemmande av</w:t>
      </w:r>
    </w:p>
    <w:p w:rsidR="007010AF" w:rsidRPr="00BE4283" w:rsidRDefault="007010AF" w:rsidP="007010AF">
      <w:pPr>
        <w:ind w:left="567" w:hanging="567"/>
        <w:rPr>
          <w:rFonts w:ascii="OrigGarmnd BT" w:hAnsi="OrigGarmnd BT"/>
          <w:b/>
        </w:rPr>
      </w:pPr>
      <w:r w:rsidRPr="00BE4283">
        <w:rPr>
          <w:rFonts w:ascii="OrigGarmnd BT" w:hAnsi="OrigGarmnd BT"/>
          <w:b/>
        </w:rPr>
        <w:t>Kaliningradområdet och vissa polska administrativa distrikt i det</w:t>
      </w:r>
    </w:p>
    <w:p w:rsidR="007010AF" w:rsidRPr="00BE4283" w:rsidRDefault="007010AF" w:rsidP="007010AF">
      <w:pPr>
        <w:ind w:left="567" w:hanging="567"/>
        <w:rPr>
          <w:rFonts w:ascii="OrigGarmnd BT" w:hAnsi="OrigGarmnd BT"/>
          <w:b/>
        </w:rPr>
      </w:pPr>
      <w:r w:rsidRPr="00BE4283">
        <w:rPr>
          <w:rFonts w:ascii="OrigGarmnd BT" w:hAnsi="OrigGarmnd BT"/>
          <w:b/>
        </w:rPr>
        <w:t>område som anses som gränsområde (Sr Ask)</w:t>
      </w:r>
    </w:p>
    <w:p w:rsidR="007010AF" w:rsidRPr="00BE4283" w:rsidRDefault="007010AF" w:rsidP="007010AF">
      <w:pPr>
        <w:pStyle w:val="EntEmet"/>
        <w:tabs>
          <w:tab w:val="clear" w:pos="851"/>
          <w:tab w:val="left" w:pos="360"/>
        </w:tabs>
        <w:ind w:left="360" w:hanging="360"/>
        <w:rPr>
          <w:rFonts w:ascii="OrigGarmnd BT" w:hAnsi="OrigGarmnd BT"/>
          <w:b/>
        </w:rPr>
      </w:pPr>
      <w:r w:rsidRPr="00BE4283">
        <w:rPr>
          <w:rFonts w:ascii="OrigGarmnd BT" w:hAnsi="OrigGarmnd BT"/>
          <w:b/>
        </w:rPr>
        <w:t>=</w:t>
      </w:r>
      <w:r w:rsidRPr="00BE4283">
        <w:rPr>
          <w:rFonts w:ascii="OrigGarmnd BT" w:hAnsi="OrigGarmnd BT"/>
          <w:b/>
        </w:rPr>
        <w:tab/>
      </w:r>
      <w:r w:rsidRPr="00BE4283">
        <w:rPr>
          <w:rFonts w:ascii="OrigGarmnd BT" w:hAnsi="OrigGarmnd BT"/>
          <w:b/>
        </w:rPr>
        <w:tab/>
      </w:r>
      <w:r w:rsidRPr="00BE4283">
        <w:rPr>
          <w:rFonts w:ascii="OrigGarmnd BT" w:hAnsi="OrigGarmnd BT"/>
          <w:b/>
        </w:rPr>
        <w:tab/>
      </w:r>
      <w:r w:rsidRPr="00BE4283">
        <w:rPr>
          <w:rFonts w:ascii="OrigGarmnd BT" w:hAnsi="OrigGarmnd BT"/>
          <w:b/>
          <w:bCs/>
          <w:iCs/>
        </w:rPr>
        <w:t>Föredragning av kommissionen</w:t>
      </w:r>
      <w:r w:rsidRPr="00BE4283">
        <w:rPr>
          <w:rFonts w:ascii="OrigGarmnd BT" w:hAnsi="OrigGarmnd BT"/>
          <w:b/>
        </w:rPr>
        <w:t xml:space="preserve"> och en första diskussion</w:t>
      </w:r>
    </w:p>
    <w:p w:rsidR="007010AF" w:rsidRPr="00BE4283" w:rsidRDefault="007010AF" w:rsidP="007010AF">
      <w:pPr>
        <w:pStyle w:val="RKnormal"/>
        <w:rPr>
          <w:rFonts w:cs="Helv"/>
          <w:b/>
          <w:color w:val="000000"/>
          <w:szCs w:val="24"/>
          <w:lang w:eastAsia="sv-SE"/>
        </w:rPr>
      </w:pPr>
    </w:p>
    <w:p w:rsidR="00A518B8" w:rsidRPr="00BE4283" w:rsidRDefault="00A518B8" w:rsidP="00A518B8">
      <w:pPr>
        <w:rPr>
          <w:rFonts w:ascii="OrigGarmnd BT" w:hAnsi="OrigGarmnd BT" w:cs="Helv"/>
          <w:i/>
          <w:color w:val="000000"/>
        </w:rPr>
      </w:pPr>
      <w:r w:rsidRPr="00BE4283">
        <w:rPr>
          <w:rFonts w:ascii="OrigGarmnd BT" w:hAnsi="OrigGarmnd BT" w:cs="Helv"/>
          <w:i/>
          <w:color w:val="000000"/>
        </w:rPr>
        <w:t>Avsikten med behandlingen i rådet</w:t>
      </w:r>
    </w:p>
    <w:p w:rsidR="00A518B8" w:rsidRPr="00BE4283" w:rsidRDefault="00A518B8" w:rsidP="00A518B8">
      <w:pPr>
        <w:rPr>
          <w:rFonts w:ascii="OrigGarmnd BT" w:hAnsi="OrigGarmnd BT"/>
        </w:rPr>
      </w:pPr>
      <w:r w:rsidRPr="00BE4283">
        <w:rPr>
          <w:rFonts w:ascii="OrigGarmnd BT" w:hAnsi="OrigGarmnd BT"/>
        </w:rPr>
        <w:t>Kommissionen ska presentera sitt förslag till ändring av förordningen om lokal gränstrafik och därefter ska ett första meningsutbyte äga rum.</w:t>
      </w:r>
    </w:p>
    <w:p w:rsidR="00A518B8" w:rsidRPr="00BE4283" w:rsidRDefault="00A518B8" w:rsidP="00A518B8">
      <w:pPr>
        <w:rPr>
          <w:rFonts w:ascii="OrigGarmnd BT" w:hAnsi="OrigGarmnd BT" w:cs="Helv"/>
          <w:i/>
          <w:color w:val="000000"/>
        </w:rPr>
      </w:pPr>
    </w:p>
    <w:p w:rsidR="00A518B8" w:rsidRPr="00BE4283" w:rsidRDefault="00A518B8" w:rsidP="00A518B8">
      <w:pPr>
        <w:rPr>
          <w:rFonts w:ascii="OrigGarmnd BT" w:hAnsi="OrigGarmnd BT" w:cs="Helv"/>
          <w:i/>
          <w:color w:val="000000"/>
        </w:rPr>
      </w:pPr>
      <w:r w:rsidRPr="00BE4283">
        <w:rPr>
          <w:rFonts w:ascii="OrigGarmnd BT" w:hAnsi="OrigGarmnd BT" w:cs="Helv"/>
          <w:i/>
          <w:color w:val="000000"/>
        </w:rPr>
        <w:t>Bakgrund</w:t>
      </w:r>
    </w:p>
    <w:p w:rsidR="00A518B8" w:rsidRPr="00BE4283" w:rsidRDefault="00A518B8" w:rsidP="00A518B8">
      <w:pPr>
        <w:rPr>
          <w:rFonts w:ascii="OrigGarmnd BT" w:hAnsi="OrigGarmnd BT" w:cs="Helv"/>
          <w:color w:val="000000"/>
        </w:rPr>
      </w:pPr>
      <w:r w:rsidRPr="00BE4283">
        <w:rPr>
          <w:rFonts w:ascii="OrigGarmnd BT" w:hAnsi="OrigGarmnd BT" w:cs="Helv"/>
          <w:color w:val="000000"/>
        </w:rPr>
        <w:t>Förordningen om lokal gränstrafik (1931/2006) antogs 2006 och innehåller bestämmelser för ingående av avtal mellan ett EU-land och ett med landgräns angränsande tredjeland om undantag från de ordinarie viseringskraven inom EU. Ett avtal om lokal gränstrafik medför att de personer som bor inom i avtalet definierat område (normalt 30 km men maximalt 50 km på varsin sida om Schengengränsen) får röra sig fritt inom området utan visering. I stället för visering ska ett LBT-tillstånd (Local Border Traffic) utfärdas av berörda myndigheter. Detta gäller reciprokt även för berörda EU-medborgare.</w:t>
      </w:r>
    </w:p>
    <w:p w:rsidR="00A518B8" w:rsidRPr="00BE4283" w:rsidRDefault="00A518B8" w:rsidP="00A518B8">
      <w:pPr>
        <w:rPr>
          <w:rFonts w:ascii="OrigGarmnd BT" w:hAnsi="OrigGarmnd BT" w:cs="Helv"/>
          <w:color w:val="000000"/>
        </w:rPr>
      </w:pPr>
    </w:p>
    <w:p w:rsidR="00A518B8" w:rsidRPr="00BE4283" w:rsidRDefault="00A518B8" w:rsidP="00A518B8">
      <w:pPr>
        <w:rPr>
          <w:rFonts w:ascii="OrigGarmnd BT" w:hAnsi="OrigGarmnd BT"/>
        </w:rPr>
      </w:pPr>
      <w:r w:rsidRPr="00BE4283">
        <w:rPr>
          <w:rFonts w:ascii="OrigGarmnd BT" w:hAnsi="OrigGarmnd BT"/>
        </w:rPr>
        <w:t>Kommissionen har granskat tillämpningen av förordningen vid två tillfällen, senast i en andra rapport</w:t>
      </w:r>
      <w:r w:rsidRPr="00BE4283">
        <w:rPr>
          <w:rStyle w:val="Fotnotsreferens"/>
          <w:rFonts w:ascii="OrigGarmnd BT" w:hAnsi="OrigGarmnd BT"/>
        </w:rPr>
        <w:footnoteReference w:id="5"/>
      </w:r>
      <w:r w:rsidRPr="00BE4283">
        <w:rPr>
          <w:rFonts w:ascii="OrigGarmnd BT" w:hAnsi="OrigGarmnd BT"/>
        </w:rPr>
        <w:t xml:space="preserve"> i februari 2011. Kommissionen drog i den andra rapporten slutsatsen att ordningen för lokal gränstrafik underlättar livet för människor som bor nära medlemsstaternas yttre landgränser och det finns inget särskilt som tyder på att systemet missbrukas. Kommissionen konstaterade också att på grund av den särskilda situationen i Kaliningrad – Kaliningradområdet i Ryska federationen med en befolkning på nästan en miljon invånare blev den enda enklaven inom EU efter utvidgningen år 2004 – kan en ändring av förordningen om lokal gränstrafik vara motiverad för att möjliggöra att hela området kan omfattas av ett avtal om lokal gränstrafik. Det finns inga andra områden i Europa som utgör en sådan enklav och det finns därför behov att underlätta resor för invånarna i området för att undvika att Kaliningrad isoleras från sina grannar.</w:t>
      </w:r>
    </w:p>
    <w:p w:rsidR="00A518B8" w:rsidRPr="00BE4283" w:rsidRDefault="00A518B8" w:rsidP="00A518B8">
      <w:pPr>
        <w:pStyle w:val="RKnormal"/>
        <w:rPr>
          <w:iCs/>
        </w:rPr>
      </w:pPr>
    </w:p>
    <w:p w:rsidR="00A518B8" w:rsidRPr="00BE4283" w:rsidRDefault="00A518B8" w:rsidP="00A518B8">
      <w:pPr>
        <w:pStyle w:val="RKnormal"/>
        <w:outlineLvl w:val="0"/>
        <w:rPr>
          <w:rFonts w:cs="Helv"/>
          <w:i/>
          <w:color w:val="000000"/>
          <w:szCs w:val="24"/>
          <w:lang w:eastAsia="sv-SE"/>
        </w:rPr>
      </w:pPr>
      <w:r w:rsidRPr="00BE4283">
        <w:rPr>
          <w:rFonts w:cs="Helv"/>
          <w:i/>
          <w:color w:val="000000"/>
          <w:szCs w:val="24"/>
          <w:lang w:eastAsia="sv-SE"/>
        </w:rPr>
        <w:t>Svensk ståndpunkt</w:t>
      </w:r>
    </w:p>
    <w:p w:rsidR="00A518B8" w:rsidRPr="00BE4283" w:rsidRDefault="00A518B8" w:rsidP="00A518B8">
      <w:pPr>
        <w:pStyle w:val="RKnormal"/>
        <w:outlineLvl w:val="0"/>
        <w:rPr>
          <w:color w:val="000000"/>
          <w:szCs w:val="24"/>
        </w:rPr>
      </w:pPr>
      <w:r w:rsidRPr="00BE4283">
        <w:rPr>
          <w:rFonts w:cs="Helv"/>
          <w:color w:val="000000"/>
          <w:szCs w:val="24"/>
          <w:lang w:eastAsia="sv-SE"/>
        </w:rPr>
        <w:t>Förordningen om lokal gränstrafik utgör ett undantag från gemensamma och grundläggande viseringskrav inom EU.</w:t>
      </w:r>
      <w:r w:rsidRPr="00BE4283">
        <w:rPr>
          <w:lang w:eastAsia="sv-SE"/>
        </w:rPr>
        <w:t xml:space="preserve"> För Sverige är det viktigt att en ändring av förordningen inte skapar prejudikat för att undanta även andra gränsnära områden än de som nu föreslås, medför</w:t>
      </w:r>
      <w:r w:rsidRPr="00BE4283">
        <w:rPr>
          <w:rFonts w:cs="OrigGarmnd BT"/>
          <w:lang w:eastAsia="sv-SE"/>
        </w:rPr>
        <w:t xml:space="preserve"> säkerhetsrisker eller sådan rörlighet som bidrar till ökade utgifter för statsbudgeten.</w:t>
      </w:r>
    </w:p>
    <w:p w:rsidR="00A518B8" w:rsidRPr="00BE4283" w:rsidRDefault="00A518B8" w:rsidP="00A518B8">
      <w:pPr>
        <w:rPr>
          <w:rFonts w:ascii="OrigGarmnd BT" w:hAnsi="OrigGarmnd BT" w:cs="Helv"/>
          <w:color w:val="000000"/>
        </w:rPr>
      </w:pPr>
      <w:r w:rsidRPr="00BE4283">
        <w:rPr>
          <w:rFonts w:ascii="OrigGarmnd BT" w:hAnsi="OrigGarmnd BT"/>
          <w:color w:val="000000"/>
        </w:rPr>
        <w:t>Sverige</w:t>
      </w:r>
      <w:r w:rsidRPr="00BE4283">
        <w:rPr>
          <w:rFonts w:ascii="OrigGarmnd BT" w:hAnsi="OrigGarmnd BT" w:cs="Helv"/>
          <w:color w:val="000000"/>
        </w:rPr>
        <w:t xml:space="preserve"> välkomnar att kommissionen presenterat ett förslag till lösning på den särskilda situationen med Kaliningrad. Sverige kan ge stöd till att i detta specifika fall göra ett undantag och inkludera hela Kaliningradområdet i ett avtal om lokal gränstrafik trots att det är större än det idag tillåtna gränsområdet enligt gällande förordning på maximalt 50 km, eftersom det inte bör kunna leda till prejudicerande effekt i övrigt. </w:t>
      </w:r>
    </w:p>
    <w:p w:rsidR="00A518B8" w:rsidRPr="00BE4283" w:rsidRDefault="00A518B8" w:rsidP="00A518B8">
      <w:pPr>
        <w:pStyle w:val="RKnormal"/>
        <w:outlineLvl w:val="0"/>
        <w:rPr>
          <w:rFonts w:cs="Helv"/>
          <w:color w:val="000000"/>
          <w:szCs w:val="24"/>
          <w:lang w:eastAsia="sv-SE"/>
        </w:rPr>
      </w:pPr>
    </w:p>
    <w:p w:rsidR="00A518B8" w:rsidRPr="00BE4283" w:rsidRDefault="00A518B8" w:rsidP="00A518B8">
      <w:pPr>
        <w:pStyle w:val="RKnormal"/>
        <w:outlineLvl w:val="0"/>
        <w:rPr>
          <w:rFonts w:cs="Helv"/>
          <w:color w:val="000000"/>
          <w:szCs w:val="24"/>
          <w:lang w:eastAsia="sv-SE"/>
        </w:rPr>
      </w:pPr>
      <w:r w:rsidRPr="00BE4283">
        <w:rPr>
          <w:rFonts w:cs="Helv"/>
          <w:color w:val="000000"/>
          <w:szCs w:val="24"/>
          <w:lang w:eastAsia="sv-SE"/>
        </w:rPr>
        <w:t>Vad gäller frågan om utvidgningen av ett motsvarande område på den polska sidan anser Sverige att motiveringen i kommissionens förslag är bristfällig och behöver därför ytterligare information innan ställning kan tas i frågan. Risken är att ett sådant undantag får en prejudicerande effekt på övriga länder som har ingått eller som kan komma att ingå avtal med tredje land om lokal gränstrafik.</w:t>
      </w:r>
    </w:p>
    <w:p w:rsidR="00A518B8" w:rsidRPr="00BE4283" w:rsidRDefault="00A518B8" w:rsidP="00A518B8">
      <w:pPr>
        <w:pStyle w:val="RKnormal"/>
        <w:outlineLvl w:val="0"/>
        <w:rPr>
          <w:rFonts w:cs="Helv"/>
          <w:color w:val="000000"/>
          <w:szCs w:val="24"/>
          <w:lang w:eastAsia="sv-SE"/>
        </w:rPr>
      </w:pPr>
    </w:p>
    <w:p w:rsidR="00A518B8" w:rsidRPr="00BE4283" w:rsidRDefault="00A518B8" w:rsidP="00A518B8">
      <w:pPr>
        <w:pStyle w:val="RKnormal"/>
        <w:outlineLvl w:val="0"/>
        <w:rPr>
          <w:rFonts w:cs="Helv"/>
          <w:color w:val="000000"/>
          <w:szCs w:val="24"/>
          <w:lang w:eastAsia="sv-SE"/>
        </w:rPr>
      </w:pPr>
      <w:r w:rsidRPr="00BE4283">
        <w:rPr>
          <w:rFonts w:cs="Helv"/>
          <w:color w:val="000000"/>
          <w:szCs w:val="24"/>
          <w:lang w:eastAsia="sv-SE"/>
        </w:rPr>
        <w:t xml:space="preserve">Se vidare i </w:t>
      </w:r>
      <w:r w:rsidRPr="00BE4283">
        <w:rPr>
          <w:rFonts w:cs="Helv"/>
          <w:color w:val="000000"/>
          <w:szCs w:val="24"/>
          <w:u w:val="single"/>
          <w:lang w:eastAsia="sv-SE"/>
        </w:rPr>
        <w:t>bifogad promemoria</w:t>
      </w:r>
      <w:r w:rsidRPr="00BE4283">
        <w:rPr>
          <w:rFonts w:cs="Helv"/>
          <w:color w:val="000000"/>
          <w:szCs w:val="24"/>
          <w:lang w:eastAsia="sv-SE"/>
        </w:rPr>
        <w:t>.</w:t>
      </w:r>
    </w:p>
    <w:p w:rsidR="00B357AB" w:rsidRPr="00BE4283" w:rsidRDefault="00B357AB" w:rsidP="00A518B8">
      <w:pPr>
        <w:pStyle w:val="RKnormal"/>
        <w:outlineLvl w:val="0"/>
        <w:rPr>
          <w:rFonts w:cs="Helv"/>
          <w:color w:val="000000"/>
          <w:szCs w:val="24"/>
          <w:lang w:eastAsia="sv-SE"/>
        </w:rPr>
      </w:pPr>
    </w:p>
    <w:p w:rsidR="00B357AB" w:rsidRPr="00BE4283" w:rsidRDefault="00B357AB" w:rsidP="00A518B8">
      <w:pPr>
        <w:pStyle w:val="RKnormal"/>
        <w:outlineLvl w:val="0"/>
        <w:rPr>
          <w:rFonts w:cs="Helv"/>
          <w:color w:val="000000"/>
          <w:szCs w:val="24"/>
          <w:lang w:eastAsia="sv-SE"/>
        </w:rPr>
      </w:pPr>
    </w:p>
    <w:p w:rsidR="00B357AB" w:rsidRPr="00BE4283" w:rsidRDefault="00B357AB" w:rsidP="00A518B8">
      <w:pPr>
        <w:pStyle w:val="RKnormal"/>
        <w:outlineLvl w:val="0"/>
        <w:rPr>
          <w:rFonts w:cs="Helv"/>
          <w:color w:val="000000"/>
          <w:szCs w:val="24"/>
          <w:lang w:eastAsia="sv-SE"/>
        </w:rPr>
      </w:pPr>
      <w:r w:rsidRPr="00BE4283">
        <w:rPr>
          <w:rFonts w:cs="Helv"/>
          <w:color w:val="000000"/>
          <w:szCs w:val="24"/>
          <w:lang w:eastAsia="sv-SE"/>
        </w:rPr>
        <w:tab/>
        <w:t>* * *</w:t>
      </w:r>
    </w:p>
    <w:p w:rsidR="007010AF" w:rsidRPr="00BE4283" w:rsidRDefault="007010AF" w:rsidP="007010AF">
      <w:pPr>
        <w:pStyle w:val="RKnormal"/>
        <w:rPr>
          <w:b/>
          <w:color w:val="000000"/>
        </w:rPr>
      </w:pPr>
    </w:p>
    <w:p w:rsidR="007010AF" w:rsidRPr="00BE4283" w:rsidRDefault="007010AF" w:rsidP="007010AF">
      <w:pPr>
        <w:rPr>
          <w:rFonts w:ascii="OrigGarmnd BT" w:hAnsi="OrigGarmnd BT"/>
          <w:b/>
        </w:rPr>
      </w:pPr>
    </w:p>
    <w:p w:rsidR="000B0968" w:rsidRPr="00BE4283" w:rsidRDefault="000B0968"/>
    <w:sectPr w:rsidR="000B0968" w:rsidRPr="00BE4283" w:rsidSect="00A5536D">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A37" w:rsidRPr="00BE4283" w:rsidRDefault="00244A37">
      <w:r w:rsidRPr="00BE4283">
        <w:separator/>
      </w:r>
    </w:p>
  </w:endnote>
  <w:endnote w:type="continuationSeparator" w:id="0">
    <w:p w:rsidR="00244A37" w:rsidRPr="00BE4283" w:rsidRDefault="00244A37">
      <w:r w:rsidRPr="00BE4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A37" w:rsidRPr="00BE4283" w:rsidRDefault="00244A37">
      <w:r w:rsidRPr="00BE4283">
        <w:separator/>
      </w:r>
    </w:p>
  </w:footnote>
  <w:footnote w:type="continuationSeparator" w:id="0">
    <w:p w:rsidR="00244A37" w:rsidRPr="00BE4283" w:rsidRDefault="00244A37">
      <w:r w:rsidRPr="00BE4283">
        <w:continuationSeparator/>
      </w:r>
    </w:p>
  </w:footnote>
  <w:footnote w:id="1">
    <w:p w:rsidR="0026722A" w:rsidRPr="00BE4283" w:rsidRDefault="0026722A" w:rsidP="007010AF">
      <w:pPr>
        <w:pStyle w:val="Fotnotstext"/>
        <w:rPr>
          <w:rFonts w:ascii="OrigGarmnd BT" w:hAnsi="OrigGarmnd BT"/>
          <w:lang w:val="sv-SE"/>
        </w:rPr>
      </w:pPr>
      <w:r w:rsidRPr="00BE4283">
        <w:rPr>
          <w:rStyle w:val="Fotnotsreferens"/>
          <w:lang w:val="sv-SE"/>
        </w:rPr>
        <w:footnoteRef/>
      </w:r>
      <w:r w:rsidRPr="00BE4283">
        <w:rPr>
          <w:rFonts w:ascii="OrigGarmnd BT" w:hAnsi="OrigGarmnd BT"/>
          <w:lang w:val="sv-SE"/>
        </w:rPr>
        <w:t xml:space="preserve"> I enlighet med rådets arbetsordning delas dagordningen upp i två delar “</w:t>
      </w:r>
      <w:r w:rsidRPr="00BE4283">
        <w:rPr>
          <w:rFonts w:ascii="OrigGarmnd BT" w:hAnsi="OrigGarmnd BT"/>
          <w:i/>
          <w:lang w:val="sv-SE"/>
        </w:rPr>
        <w:t>Lagstiftningsöverläggningar</w:t>
      </w:r>
      <w:r w:rsidRPr="00BE4283">
        <w:rPr>
          <w:rFonts w:ascii="OrigGarmnd BT" w:hAnsi="OrigGarmnd BT"/>
          <w:lang w:val="sv-SE"/>
        </w:rPr>
        <w:t>” respektive “</w:t>
      </w:r>
      <w:r w:rsidRPr="00BE4283">
        <w:rPr>
          <w:rFonts w:ascii="OrigGarmnd BT" w:hAnsi="OrigGarmnd BT"/>
          <w:i/>
          <w:lang w:val="sv-SE"/>
        </w:rPr>
        <w:t>Överläggningar om icke lagstiftande verksamhet</w:t>
      </w:r>
      <w:r w:rsidRPr="00BE4283">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 w:id="2">
    <w:p w:rsidR="00A518B8" w:rsidRPr="00BE4283" w:rsidRDefault="00A518B8" w:rsidP="00A518B8">
      <w:pPr>
        <w:pStyle w:val="Fotnotstext"/>
        <w:rPr>
          <w:rFonts w:ascii="OrigGarmnd BT" w:hAnsi="OrigGarmnd BT"/>
          <w:lang w:val="sv-SE"/>
        </w:rPr>
      </w:pPr>
      <w:r w:rsidRPr="00BE4283">
        <w:rPr>
          <w:rStyle w:val="Fotnotsreferens"/>
          <w:lang w:val="sv-SE"/>
        </w:rPr>
        <w:footnoteRef/>
      </w:r>
      <w:r w:rsidRPr="00BE4283">
        <w:rPr>
          <w:lang w:val="sv-SE"/>
        </w:rPr>
        <w:t xml:space="preserve"> </w:t>
      </w:r>
      <w:r w:rsidRPr="00BE4283">
        <w:rPr>
          <w:rFonts w:ascii="OrigGarmnd BT" w:hAnsi="OrigGarmnd BT"/>
          <w:lang w:val="sv-SE"/>
        </w:rPr>
        <w:t>I syfte att bekämpa terrorism och finansiering därav initierade USA år 2001 ett system för inhämtande och analys av meddelanden om finansiella transaktioner från det på marknaden dominerande företaget Swift (Society for Worldwide Intrabank Financial Transactions). Systemet kallas Terrorist Finance Tracking Program(TFTP).</w:t>
      </w:r>
    </w:p>
  </w:footnote>
  <w:footnote w:id="3">
    <w:p w:rsidR="00A518B8" w:rsidRPr="00BE4283" w:rsidRDefault="00A518B8" w:rsidP="00A518B8">
      <w:pPr>
        <w:pStyle w:val="Kommentarer"/>
        <w:spacing w:line="240" w:lineRule="auto"/>
        <w:rPr>
          <w:rFonts w:ascii="OrigGarmnd BT" w:hAnsi="OrigGarmnd BT"/>
        </w:rPr>
      </w:pPr>
      <w:r w:rsidRPr="00BE4283">
        <w:rPr>
          <w:rStyle w:val="Fotnotsreferens"/>
          <w:rFonts w:ascii="OrigGarmnd BT" w:hAnsi="OrigGarmnd BT"/>
        </w:rPr>
        <w:footnoteRef/>
      </w:r>
      <w:r w:rsidRPr="00BE4283">
        <w:rPr>
          <w:rFonts w:ascii="OrigGarmnd BT" w:hAnsi="OrigGarmnd BT"/>
        </w:rPr>
        <w:t xml:space="preserve"> TFTS – Terrorist Finance Tracking System. Kommissionens namn på ett eventuellt framtida EU-system.</w:t>
      </w:r>
    </w:p>
    <w:p w:rsidR="00A518B8" w:rsidRPr="00BE4283" w:rsidRDefault="00A518B8" w:rsidP="00A518B8">
      <w:pPr>
        <w:pStyle w:val="Fotnotstext"/>
        <w:rPr>
          <w:lang w:val="sv-SE"/>
        </w:rPr>
      </w:pPr>
    </w:p>
  </w:footnote>
  <w:footnote w:id="4">
    <w:p w:rsidR="00BB37E3" w:rsidRPr="00BE4283" w:rsidRDefault="00BB37E3" w:rsidP="00BB37E3">
      <w:pPr>
        <w:pStyle w:val="Fotnotstext"/>
        <w:rPr>
          <w:lang w:val="sv-SE"/>
        </w:rPr>
      </w:pPr>
      <w:r w:rsidRPr="00BE4283">
        <w:rPr>
          <w:rStyle w:val="Fotnotsreferens"/>
          <w:lang w:val="sv-SE"/>
        </w:rPr>
        <w:footnoteRef/>
      </w:r>
      <w:r w:rsidRPr="00BE4283">
        <w:rPr>
          <w:lang w:val="sv-SE"/>
        </w:rPr>
        <w:t xml:space="preserve"> </w:t>
      </w:r>
      <w:r w:rsidRPr="00BE4283">
        <w:rPr>
          <w:rFonts w:ascii="OrigGarmnd BT" w:hAnsi="OrigGarmnd BT"/>
          <w:lang w:val="sv-SE"/>
        </w:rPr>
        <w:t>Rådsarbetsgruppen för Schengenutvärdering ska bl.a. kontrollera att Schengenregelverket tillämpas korrekt i alla Schengenstater. Kontrollen sker främst genom skriftlig information och inspektioner på plats. Kommissionens förslag skulle medföra viss överföring av ansvar från medlemsstaterna till kommissionen</w:t>
      </w:r>
      <w:r w:rsidRPr="00BE4283">
        <w:rPr>
          <w:lang w:val="sv-SE"/>
        </w:rPr>
        <w:t xml:space="preserve">. </w:t>
      </w:r>
    </w:p>
  </w:footnote>
  <w:footnote w:id="5">
    <w:p w:rsidR="00A518B8" w:rsidRPr="00BE4283" w:rsidRDefault="00A518B8" w:rsidP="00A518B8">
      <w:pPr>
        <w:pStyle w:val="Fotnotstext"/>
        <w:rPr>
          <w:szCs w:val="24"/>
          <w:lang w:val="sv-SE"/>
        </w:rPr>
      </w:pPr>
      <w:r w:rsidRPr="00BE4283">
        <w:rPr>
          <w:rStyle w:val="Fotnotsreferens"/>
          <w:szCs w:val="24"/>
          <w:lang w:val="sv-SE"/>
        </w:rPr>
        <w:footnoteRef/>
      </w:r>
      <w:r w:rsidRPr="00BE4283">
        <w:rPr>
          <w:szCs w:val="24"/>
          <w:lang w:val="sv-SE"/>
        </w:rPr>
        <w:tab/>
        <w:t>KOM(2011) 47 av den 9 februari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2A" w:rsidRPr="00BE4283" w:rsidRDefault="0026722A">
    <w:pPr>
      <w:pStyle w:val="Sidhuvud"/>
      <w:framePr w:wrap="around" w:vAnchor="text" w:hAnchor="margin" w:xAlign="right" w:y="1"/>
      <w:rPr>
        <w:rStyle w:val="Sidnummer"/>
      </w:rPr>
    </w:pPr>
    <w:r w:rsidRPr="00BE4283">
      <w:rPr>
        <w:rStyle w:val="Sidnummer"/>
      </w:rPr>
      <w:fldChar w:fldCharType="begin" w:fldLock="1"/>
    </w:r>
    <w:r w:rsidRPr="00BE4283">
      <w:rPr>
        <w:rStyle w:val="Sidnummer"/>
      </w:rPr>
      <w:instrText xml:space="preserve">PAGE  </w:instrText>
    </w:r>
    <w:r w:rsidRPr="00BE4283">
      <w:rPr>
        <w:rStyle w:val="Sidnummer"/>
      </w:rPr>
      <w:fldChar w:fldCharType="separate"/>
    </w:r>
    <w:r w:rsidRPr="00BE4283">
      <w:rPr>
        <w:rStyle w:val="Sidnummer"/>
      </w:rPr>
      <w:t>4</w:t>
    </w:r>
    <w:r w:rsidRPr="00BE4283">
      <w:rPr>
        <w:rStyle w:val="Sidnummer"/>
      </w:rPr>
      <w:fldChar w:fldCharType="end"/>
    </w:r>
  </w:p>
  <w:p w:rsidR="0026722A" w:rsidRPr="00BE4283" w:rsidRDefault="0026722A">
    <w:pPr>
      <w:pStyle w:val="Sidhuvud"/>
      <w:ind w:right="360"/>
    </w:pPr>
  </w:p>
  <w:p w:rsidR="0026722A" w:rsidRPr="00BE4283" w:rsidRDefault="0026722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2A" w:rsidRPr="00BE4283" w:rsidRDefault="0026722A">
    <w:pPr>
      <w:pStyle w:val="Sidhuvud"/>
      <w:framePr w:wrap="around" w:vAnchor="text" w:hAnchor="margin" w:xAlign="right" w:y="1"/>
      <w:rPr>
        <w:rStyle w:val="Sidnummer"/>
      </w:rPr>
    </w:pPr>
    <w:r w:rsidRPr="00BE4283">
      <w:rPr>
        <w:rStyle w:val="Sidnummer"/>
      </w:rPr>
      <w:fldChar w:fldCharType="begin" w:fldLock="1"/>
    </w:r>
    <w:r w:rsidRPr="00BE4283">
      <w:rPr>
        <w:rStyle w:val="Sidnummer"/>
      </w:rPr>
      <w:instrText xml:space="preserve">PAGE  </w:instrText>
    </w:r>
    <w:r w:rsidRPr="00BE4283">
      <w:rPr>
        <w:rStyle w:val="Sidnummer"/>
      </w:rPr>
      <w:fldChar w:fldCharType="separate"/>
    </w:r>
    <w:r w:rsidR="007F2791" w:rsidRPr="00BE4283">
      <w:rPr>
        <w:rStyle w:val="Sidnummer"/>
      </w:rPr>
      <w:t>2</w:t>
    </w:r>
    <w:r w:rsidRPr="00BE4283">
      <w:rPr>
        <w:rStyle w:val="Sidnummer"/>
      </w:rPr>
      <w:fldChar w:fldCharType="end"/>
    </w:r>
  </w:p>
  <w:p w:rsidR="0026722A" w:rsidRPr="00BE4283" w:rsidRDefault="0026722A">
    <w:pPr>
      <w:pStyle w:val="Sidhuvud"/>
      <w:ind w:right="360"/>
    </w:pPr>
  </w:p>
  <w:p w:rsidR="0026722A" w:rsidRPr="00BE4283" w:rsidRDefault="0026722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22A" w:rsidRPr="00BE4283" w:rsidRDefault="00BE4283">
    <w:pPr>
      <w:framePr w:w="2948" w:h="1321" w:hRule="exact" w:wrap="notBeside" w:vAnchor="page" w:hAnchor="page" w:x="1362" w:y="653"/>
    </w:pPr>
    <w:r w:rsidRPr="00BE428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6722A" w:rsidRPr="00BE4283" w:rsidRDefault="002672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90F"/>
    <w:multiLevelType w:val="hybridMultilevel"/>
    <w:tmpl w:val="21B8F52C"/>
    <w:lvl w:ilvl="0" w:tplc="E28813AA">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72824782">
    <w:abstractNumId w:val="0"/>
  </w:num>
  <w:num w:numId="2" w16cid:durableId="61802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AF"/>
    <w:rsid w:val="000B0968"/>
    <w:rsid w:val="001872C3"/>
    <w:rsid w:val="00244A37"/>
    <w:rsid w:val="0026722A"/>
    <w:rsid w:val="00394A35"/>
    <w:rsid w:val="00431566"/>
    <w:rsid w:val="00495083"/>
    <w:rsid w:val="0058478E"/>
    <w:rsid w:val="005A0963"/>
    <w:rsid w:val="005E451D"/>
    <w:rsid w:val="005F215F"/>
    <w:rsid w:val="007010AF"/>
    <w:rsid w:val="007F2791"/>
    <w:rsid w:val="00846CB6"/>
    <w:rsid w:val="009468B2"/>
    <w:rsid w:val="009A1D77"/>
    <w:rsid w:val="00A40270"/>
    <w:rsid w:val="00A518B8"/>
    <w:rsid w:val="00A5536D"/>
    <w:rsid w:val="00A91D91"/>
    <w:rsid w:val="00AA3109"/>
    <w:rsid w:val="00B357AB"/>
    <w:rsid w:val="00BB37E3"/>
    <w:rsid w:val="00BE4283"/>
    <w:rsid w:val="00D01C28"/>
    <w:rsid w:val="00D05B1E"/>
    <w:rsid w:val="00E155CB"/>
    <w:rsid w:val="00E654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414A0B-F517-420B-B2EE-AE8965A4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0AF"/>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010A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7010A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7010A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rsid w:val="007010AF"/>
    <w:pPr>
      <w:keepNext/>
      <w:tabs>
        <w:tab w:val="left" w:pos="1134"/>
      </w:tabs>
      <w:spacing w:before="360" w:after="120"/>
    </w:pPr>
    <w:rPr>
      <w:rFonts w:ascii="TradeGothic" w:hAnsi="TradeGothic"/>
      <w:b/>
      <w:sz w:val="22"/>
    </w:rPr>
  </w:style>
  <w:style w:type="character" w:styleId="Sidnummer">
    <w:name w:val="page number"/>
    <w:basedOn w:val="Standardstycketeckensnitt"/>
    <w:rsid w:val="007010AF"/>
  </w:style>
  <w:style w:type="paragraph" w:styleId="Fotnotstext">
    <w:name w:val="footnote text"/>
    <w:basedOn w:val="Normal"/>
    <w:link w:val="FotnotstextChar"/>
    <w:semiHidden/>
    <w:rsid w:val="007010AF"/>
    <w:rPr>
      <w:sz w:val="20"/>
      <w:szCs w:val="20"/>
      <w:lang w:val="en-GB" w:eastAsia="en-US"/>
    </w:rPr>
  </w:style>
  <w:style w:type="character" w:styleId="Fotnotsreferens">
    <w:name w:val="footnote reference"/>
    <w:basedOn w:val="Standardstycketeckensnitt"/>
    <w:semiHidden/>
    <w:rsid w:val="007010AF"/>
    <w:rPr>
      <w:vertAlign w:val="superscript"/>
    </w:rPr>
  </w:style>
  <w:style w:type="character" w:customStyle="1" w:styleId="RKnormalChar">
    <w:name w:val="RKnormal Char"/>
    <w:basedOn w:val="Standardstycketeckensnitt"/>
    <w:link w:val="RKnormal"/>
    <w:rsid w:val="007010AF"/>
    <w:rPr>
      <w:rFonts w:ascii="OrigGarmnd BT" w:hAnsi="OrigGarmnd BT"/>
      <w:sz w:val="24"/>
      <w:lang w:val="sv-SE" w:eastAsia="en-US" w:bidi="ar-SA"/>
    </w:rPr>
  </w:style>
  <w:style w:type="character" w:customStyle="1" w:styleId="FotnotstextChar">
    <w:name w:val="Fotnotstext Char"/>
    <w:basedOn w:val="Standardstycketeckensnitt"/>
    <w:link w:val="Fotnotstext"/>
    <w:rsid w:val="007010AF"/>
    <w:rPr>
      <w:lang w:val="en-GB" w:eastAsia="en-US" w:bidi="ar-SA"/>
    </w:rPr>
  </w:style>
  <w:style w:type="character" w:customStyle="1" w:styleId="RKrubrikChar">
    <w:name w:val="RKrubrik Char"/>
    <w:basedOn w:val="RKnormalChar"/>
    <w:link w:val="RKrubrik"/>
    <w:locked/>
    <w:rsid w:val="007010AF"/>
    <w:rPr>
      <w:rFonts w:ascii="TradeGothic" w:hAnsi="TradeGothic"/>
      <w:b/>
      <w:sz w:val="22"/>
      <w:lang w:val="sv-SE" w:eastAsia="en-US" w:bidi="ar-SA"/>
    </w:rPr>
  </w:style>
  <w:style w:type="paragraph" w:styleId="Punktlista">
    <w:name w:val="List Bullet"/>
    <w:basedOn w:val="Normal"/>
    <w:rsid w:val="007010AF"/>
    <w:pPr>
      <w:numPr>
        <w:numId w:val="1"/>
      </w:numPr>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EntEmet">
    <w:name w:val="EntEmet"/>
    <w:basedOn w:val="Normal"/>
    <w:rsid w:val="007010AF"/>
    <w:pPr>
      <w:widowControl w:val="0"/>
      <w:tabs>
        <w:tab w:val="left" w:pos="284"/>
        <w:tab w:val="left" w:pos="567"/>
        <w:tab w:val="left" w:pos="851"/>
        <w:tab w:val="left" w:pos="1134"/>
        <w:tab w:val="left" w:pos="1418"/>
      </w:tabs>
      <w:spacing w:before="40"/>
    </w:pPr>
    <w:rPr>
      <w:szCs w:val="20"/>
      <w:lang w:eastAsia="fr-BE"/>
    </w:rPr>
  </w:style>
  <w:style w:type="paragraph" w:customStyle="1" w:styleId="Akapitzlist">
    <w:name w:val="Akapit z listą"/>
    <w:basedOn w:val="Normal"/>
    <w:qFormat/>
    <w:rsid w:val="007010AF"/>
    <w:pPr>
      <w:ind w:left="708"/>
    </w:pPr>
    <w:rPr>
      <w:lang w:val="pl-PL" w:eastAsia="pl-PL"/>
    </w:rPr>
  </w:style>
  <w:style w:type="paragraph" w:styleId="Kommentarer">
    <w:name w:val="annotation text"/>
    <w:basedOn w:val="Normal"/>
    <w:semiHidden/>
    <w:rsid w:val="00A518B8"/>
    <w:pPr>
      <w:spacing w:before="122" w:line="245"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4711</Words>
  <Characters>28977</Characters>
  <Application>Microsoft Office Word</Application>
  <DocSecurity>4</DocSecurity>
  <Lines>783</Lines>
  <Paragraphs>283</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2011-09-12T12:06:00Z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