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241F7B" w:rsidRPr="00022044">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241F7B" w:rsidRPr="00022044" w:rsidRDefault="00022044" w:rsidP="00241F7B">
            <w:pPr>
              <w:pStyle w:val="EntLogo"/>
            </w:pPr>
            <w:r w:rsidRPr="00022044">
              <w:rPr>
                <w:noProof/>
              </w:rPr>
              <w:drawing>
                <wp:anchor distT="0" distB="0" distL="114300" distR="114300" simplePos="0" relativeHeight="25166028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98619341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41F7B" w:rsidRPr="00022044">
        <w:tblPrEx>
          <w:tblCellMar>
            <w:top w:w="0" w:type="dxa"/>
            <w:left w:w="0" w:type="dxa"/>
            <w:bottom w:w="0" w:type="dxa"/>
            <w:right w:w="0" w:type="dxa"/>
          </w:tblCellMar>
        </w:tblPrEx>
        <w:trPr>
          <w:cantSplit/>
          <w:trHeight w:val="1120"/>
        </w:trPr>
        <w:tc>
          <w:tcPr>
            <w:tcW w:w="4820" w:type="dxa"/>
            <w:gridSpan w:val="2"/>
          </w:tcPr>
          <w:p w:rsidR="00241F7B" w:rsidRPr="00022044" w:rsidRDefault="00241F7B" w:rsidP="00241F7B">
            <w:pPr>
              <w:pStyle w:val="EntInstit"/>
            </w:pPr>
            <w:r w:rsidRPr="00022044">
              <w:t>COUNCIL OF</w:t>
            </w:r>
          </w:p>
          <w:p w:rsidR="00241F7B" w:rsidRPr="00022044" w:rsidRDefault="00241F7B" w:rsidP="00241F7B">
            <w:pPr>
              <w:pStyle w:val="EntInstit"/>
            </w:pPr>
            <w:r w:rsidRPr="00022044">
              <w:t>THE EUROPEAN UNION</w:t>
            </w:r>
          </w:p>
          <w:p w:rsidR="00241F7B" w:rsidRPr="00022044" w:rsidRDefault="00241F7B" w:rsidP="00241F7B">
            <w:pPr>
              <w:pStyle w:val="EntInstit"/>
            </w:pPr>
          </w:p>
          <w:p w:rsidR="00241F7B" w:rsidRPr="00022044" w:rsidRDefault="00241F7B" w:rsidP="00241F7B">
            <w:pPr>
              <w:pStyle w:val="EntInstit"/>
            </w:pPr>
          </w:p>
        </w:tc>
        <w:tc>
          <w:tcPr>
            <w:tcW w:w="1701" w:type="dxa"/>
          </w:tcPr>
          <w:p w:rsidR="00241F7B" w:rsidRPr="00022044" w:rsidRDefault="00241F7B" w:rsidP="00241F7B">
            <w:pPr>
              <w:jc w:val="right"/>
              <w:rPr>
                <w:b/>
              </w:rPr>
            </w:pPr>
          </w:p>
        </w:tc>
        <w:tc>
          <w:tcPr>
            <w:tcW w:w="4820" w:type="dxa"/>
            <w:gridSpan w:val="2"/>
          </w:tcPr>
          <w:p w:rsidR="00241F7B" w:rsidRPr="00022044" w:rsidRDefault="00241F7B" w:rsidP="00241F7B">
            <w:pPr>
              <w:pStyle w:val="EntRefer"/>
            </w:pPr>
            <w:bookmarkStart w:id="0" w:name="Lieu"/>
            <w:bookmarkEnd w:id="0"/>
            <w:r w:rsidRPr="00022044">
              <w:t xml:space="preserve">Brussels, </w:t>
            </w:r>
            <w:bookmarkStart w:id="1" w:name="Date"/>
            <w:bookmarkEnd w:id="1"/>
            <w:r w:rsidRPr="00022044">
              <w:t>2</w:t>
            </w:r>
            <w:r w:rsidR="008B77FC" w:rsidRPr="00022044">
              <w:t>6</w:t>
            </w:r>
            <w:r w:rsidRPr="00022044">
              <w:t xml:space="preserve"> June 2006 </w:t>
            </w:r>
            <w:bookmarkStart w:id="2" w:name="DateEntree"/>
            <w:bookmarkEnd w:id="2"/>
          </w:p>
          <w:p w:rsidR="00241F7B" w:rsidRPr="00022044" w:rsidRDefault="00241F7B" w:rsidP="00241F7B">
            <w:pPr>
              <w:pStyle w:val="EntRefer"/>
            </w:pPr>
            <w:bookmarkStart w:id="3" w:name="LangueOrig"/>
            <w:bookmarkEnd w:id="3"/>
          </w:p>
        </w:tc>
      </w:tr>
      <w:tr w:rsidR="00241F7B" w:rsidRPr="00022044">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241F7B" w:rsidRPr="00022044" w:rsidRDefault="00241F7B" w:rsidP="00241F7B">
            <w:pPr>
              <w:pStyle w:val="EntRefer"/>
              <w:jc w:val="center"/>
            </w:pPr>
            <w:bookmarkStart w:id="4" w:name="DossierInterInst"/>
            <w:bookmarkEnd w:id="4"/>
          </w:p>
        </w:tc>
        <w:tc>
          <w:tcPr>
            <w:tcW w:w="1701" w:type="dxa"/>
            <w:vAlign w:val="center"/>
          </w:tcPr>
          <w:p w:rsidR="00241F7B" w:rsidRPr="00022044" w:rsidRDefault="00241F7B" w:rsidP="00241F7B">
            <w:pPr>
              <w:rPr>
                <w:b/>
              </w:rPr>
            </w:pPr>
          </w:p>
        </w:tc>
        <w:tc>
          <w:tcPr>
            <w:tcW w:w="3969" w:type="dxa"/>
          </w:tcPr>
          <w:p w:rsidR="00241F7B" w:rsidRPr="00022044" w:rsidRDefault="00241F7B" w:rsidP="00241F7B">
            <w:pPr>
              <w:pStyle w:val="EntRefer"/>
            </w:pPr>
            <w:bookmarkStart w:id="5" w:name="Cote"/>
            <w:bookmarkEnd w:id="5"/>
            <w:r w:rsidRPr="00022044">
              <w:t>10851/06</w:t>
            </w:r>
          </w:p>
          <w:p w:rsidR="00241F7B" w:rsidRPr="00022044" w:rsidRDefault="00241F7B" w:rsidP="00241F7B">
            <w:pPr>
              <w:pStyle w:val="EntRefer"/>
            </w:pPr>
            <w:bookmarkStart w:id="6" w:name="CoteRev"/>
            <w:bookmarkEnd w:id="6"/>
            <w:r w:rsidRPr="00022044">
              <w:t xml:space="preserve">ADD </w:t>
            </w:r>
            <w:r w:rsidR="008B77FC" w:rsidRPr="00022044">
              <w:t>1</w:t>
            </w:r>
          </w:p>
          <w:p w:rsidR="00241F7B" w:rsidRPr="00022044" w:rsidRDefault="00241F7B" w:rsidP="00241F7B">
            <w:pPr>
              <w:pStyle w:val="EntRefer"/>
            </w:pPr>
          </w:p>
          <w:p w:rsidR="00241F7B" w:rsidRPr="00022044" w:rsidRDefault="00241F7B" w:rsidP="00241F7B">
            <w:pPr>
              <w:pStyle w:val="EntRefer"/>
            </w:pPr>
            <w:bookmarkStart w:id="7" w:name="CoteSec"/>
            <w:bookmarkEnd w:id="7"/>
          </w:p>
          <w:p w:rsidR="00241F7B" w:rsidRPr="00022044" w:rsidRDefault="00241F7B" w:rsidP="00241F7B">
            <w:pPr>
              <w:pStyle w:val="EntRefer"/>
            </w:pPr>
          </w:p>
        </w:tc>
      </w:tr>
      <w:tr w:rsidR="00241F7B" w:rsidRPr="00022044">
        <w:tblPrEx>
          <w:tblCellMar>
            <w:top w:w="0" w:type="dxa"/>
            <w:left w:w="0" w:type="dxa"/>
            <w:bottom w:w="0" w:type="dxa"/>
            <w:right w:w="0" w:type="dxa"/>
          </w:tblCellMar>
        </w:tblPrEx>
        <w:trPr>
          <w:gridBefore w:val="3"/>
          <w:gridAfter w:val="1"/>
          <w:wBefore w:w="6521" w:type="dxa"/>
          <w:wAfter w:w="851" w:type="dxa"/>
          <w:cantSplit/>
          <w:trHeight w:val="800"/>
        </w:trPr>
        <w:tc>
          <w:tcPr>
            <w:tcW w:w="3969" w:type="dxa"/>
          </w:tcPr>
          <w:p w:rsidR="00241F7B" w:rsidRPr="00022044" w:rsidRDefault="004C54C3" w:rsidP="00241F7B">
            <w:pPr>
              <w:pStyle w:val="EntRefer"/>
            </w:pPr>
            <w:r w:rsidRPr="00022044">
              <w:t>AGRI  232</w:t>
            </w:r>
          </w:p>
          <w:p w:rsidR="004C54C3" w:rsidRPr="00022044" w:rsidRDefault="004C54C3" w:rsidP="00241F7B">
            <w:pPr>
              <w:pStyle w:val="EntRefer"/>
            </w:pPr>
            <w:r w:rsidRPr="00022044">
              <w:t>AGRIFIN  43</w:t>
            </w:r>
          </w:p>
        </w:tc>
      </w:tr>
    </w:tbl>
    <w:p w:rsidR="00241F7B" w:rsidRPr="00022044" w:rsidRDefault="00241F7B" w:rsidP="00241F7B">
      <w:pPr>
        <w:pStyle w:val="EntRefer"/>
      </w:pPr>
    </w:p>
    <w:p w:rsidR="00241F7B" w:rsidRPr="00022044" w:rsidRDefault="00241F7B" w:rsidP="00241F7B">
      <w:pPr>
        <w:pStyle w:val="EntRefer"/>
        <w:outlineLvl w:val="0"/>
      </w:pPr>
      <w:bookmarkStart w:id="8" w:name="txt_Ntr"/>
      <w:r w:rsidRPr="00022044">
        <w:t>COVER NOTE</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241F7B" w:rsidRPr="00022044">
        <w:tblPrEx>
          <w:tblCellMar>
            <w:top w:w="0" w:type="dxa"/>
            <w:left w:w="0" w:type="dxa"/>
            <w:bottom w:w="0" w:type="dxa"/>
            <w:right w:w="0" w:type="dxa"/>
          </w:tblCellMar>
        </w:tblPrEx>
        <w:tc>
          <w:tcPr>
            <w:tcW w:w="1985" w:type="dxa"/>
            <w:tcBorders>
              <w:top w:val="single" w:sz="4" w:space="0" w:color="auto"/>
            </w:tcBorders>
          </w:tcPr>
          <w:p w:rsidR="00241F7B" w:rsidRPr="00022044" w:rsidRDefault="00241F7B" w:rsidP="00241F7B">
            <w:pPr>
              <w:pStyle w:val="EntEmet"/>
            </w:pPr>
            <w:r w:rsidRPr="00022044">
              <w:t>from:</w:t>
            </w:r>
          </w:p>
        </w:tc>
        <w:tc>
          <w:tcPr>
            <w:tcW w:w="7654" w:type="dxa"/>
            <w:tcBorders>
              <w:top w:val="single" w:sz="4" w:space="0" w:color="auto"/>
            </w:tcBorders>
          </w:tcPr>
          <w:p w:rsidR="00241F7B" w:rsidRPr="00022044" w:rsidRDefault="00241F7B" w:rsidP="00241F7B">
            <w:pPr>
              <w:pStyle w:val="EntEmet"/>
            </w:pPr>
            <w:bookmarkStart w:id="9" w:name="From"/>
            <w:bookmarkEnd w:id="9"/>
            <w:r w:rsidRPr="00022044">
              <w:t>Secretary-General of the European Commission,</w:t>
            </w:r>
          </w:p>
          <w:p w:rsidR="00241F7B" w:rsidRPr="00022044" w:rsidRDefault="00241F7B" w:rsidP="00241F7B">
            <w:pPr>
              <w:pStyle w:val="EntEmet"/>
            </w:pPr>
            <w:r w:rsidRPr="00022044">
              <w:t>signed by Mr Jordi AYET PUIGARNAU, Director</w:t>
            </w:r>
          </w:p>
        </w:tc>
      </w:tr>
      <w:tr w:rsidR="00241F7B" w:rsidRPr="00022044">
        <w:tblPrEx>
          <w:tblCellMar>
            <w:top w:w="0" w:type="dxa"/>
            <w:left w:w="0" w:type="dxa"/>
            <w:bottom w:w="0" w:type="dxa"/>
            <w:right w:w="0" w:type="dxa"/>
          </w:tblCellMar>
        </w:tblPrEx>
        <w:tc>
          <w:tcPr>
            <w:tcW w:w="1985" w:type="dxa"/>
          </w:tcPr>
          <w:p w:rsidR="00241F7B" w:rsidRPr="00022044" w:rsidRDefault="00241F7B" w:rsidP="00241F7B">
            <w:pPr>
              <w:pStyle w:val="EntEmet"/>
            </w:pPr>
            <w:r w:rsidRPr="00022044">
              <w:t>date of receipt:</w:t>
            </w:r>
          </w:p>
        </w:tc>
        <w:tc>
          <w:tcPr>
            <w:tcW w:w="7654" w:type="dxa"/>
          </w:tcPr>
          <w:p w:rsidR="00241F7B" w:rsidRPr="00022044" w:rsidRDefault="004C54C3" w:rsidP="00241F7B">
            <w:pPr>
              <w:pStyle w:val="EntEmet"/>
            </w:pPr>
            <w:r w:rsidRPr="00022044">
              <w:t>23 June 2006</w:t>
            </w:r>
          </w:p>
        </w:tc>
      </w:tr>
      <w:tr w:rsidR="00241F7B" w:rsidRPr="00022044">
        <w:tblPrEx>
          <w:tblCellMar>
            <w:top w:w="0" w:type="dxa"/>
            <w:left w:w="0" w:type="dxa"/>
            <w:bottom w:w="0" w:type="dxa"/>
            <w:right w:w="0" w:type="dxa"/>
          </w:tblCellMar>
        </w:tblPrEx>
        <w:tc>
          <w:tcPr>
            <w:tcW w:w="1985" w:type="dxa"/>
            <w:tcBorders>
              <w:bottom w:val="single" w:sz="4" w:space="0" w:color="auto"/>
            </w:tcBorders>
          </w:tcPr>
          <w:p w:rsidR="00241F7B" w:rsidRPr="00022044" w:rsidRDefault="00241F7B" w:rsidP="00241F7B">
            <w:pPr>
              <w:pStyle w:val="EntEmet"/>
            </w:pPr>
            <w:r w:rsidRPr="00022044">
              <w:t>to:</w:t>
            </w:r>
          </w:p>
        </w:tc>
        <w:tc>
          <w:tcPr>
            <w:tcW w:w="7654" w:type="dxa"/>
            <w:tcBorders>
              <w:bottom w:val="single" w:sz="4" w:space="0" w:color="auto"/>
            </w:tcBorders>
          </w:tcPr>
          <w:p w:rsidR="00241F7B" w:rsidRPr="00022044" w:rsidRDefault="00241F7B" w:rsidP="00241F7B">
            <w:pPr>
              <w:pStyle w:val="EntEmet"/>
            </w:pPr>
            <w:r w:rsidRPr="00022044">
              <w:t>Mr Javier SOLANA, Secretary-General/High Representative</w:t>
            </w:r>
          </w:p>
        </w:tc>
      </w:tr>
      <w:tr w:rsidR="00241F7B" w:rsidRPr="00022044">
        <w:tblPrEx>
          <w:tblCellMar>
            <w:top w:w="0" w:type="dxa"/>
            <w:left w:w="0" w:type="dxa"/>
            <w:bottom w:w="0" w:type="dxa"/>
            <w:right w:w="0" w:type="dxa"/>
          </w:tblCellMar>
        </w:tblPrEx>
        <w:tc>
          <w:tcPr>
            <w:tcW w:w="1985" w:type="dxa"/>
            <w:tcBorders>
              <w:top w:val="single" w:sz="4" w:space="0" w:color="auto"/>
              <w:bottom w:val="single" w:sz="4" w:space="0" w:color="auto"/>
            </w:tcBorders>
          </w:tcPr>
          <w:p w:rsidR="00241F7B" w:rsidRPr="00022044" w:rsidRDefault="00241F7B" w:rsidP="00241F7B">
            <w:pPr>
              <w:pStyle w:val="EntEmet"/>
            </w:pPr>
            <w:r w:rsidRPr="00022044">
              <w:t>Subject:</w:t>
            </w:r>
          </w:p>
        </w:tc>
        <w:tc>
          <w:tcPr>
            <w:tcW w:w="7654" w:type="dxa"/>
            <w:tcBorders>
              <w:top w:val="single" w:sz="4" w:space="0" w:color="auto"/>
              <w:bottom w:val="single" w:sz="4" w:space="0" w:color="auto"/>
            </w:tcBorders>
          </w:tcPr>
          <w:p w:rsidR="00241F7B" w:rsidRPr="00022044" w:rsidRDefault="00241F7B" w:rsidP="00241F7B">
            <w:pPr>
              <w:pStyle w:val="EntEmet"/>
            </w:pPr>
            <w:bookmarkStart w:id="10" w:name="Subject_Ntr"/>
            <w:bookmarkEnd w:id="10"/>
            <w:r w:rsidRPr="00022044">
              <w:t>Communication from the Commission to the Council and the European Parliament: Towards a sustainable European wine sector</w:t>
            </w:r>
          </w:p>
          <w:p w:rsidR="004C54C3" w:rsidRPr="00022044" w:rsidRDefault="004C54C3" w:rsidP="00241F7B">
            <w:pPr>
              <w:pStyle w:val="EntEmet"/>
              <w:rPr>
                <w:b/>
              </w:rPr>
            </w:pPr>
            <w:r w:rsidRPr="00022044">
              <w:rPr>
                <w:b/>
              </w:rPr>
              <w:t>-</w:t>
            </w:r>
            <w:r w:rsidRPr="00022044">
              <w:rPr>
                <w:b/>
              </w:rPr>
              <w:tab/>
              <w:t>Summary of the Impact Assessment annexed to the Communication</w:t>
            </w:r>
          </w:p>
        </w:tc>
      </w:tr>
    </w:tbl>
    <w:p w:rsidR="00241F7B" w:rsidRPr="00022044" w:rsidRDefault="00241F7B" w:rsidP="00241F7B">
      <w:pPr>
        <w:pStyle w:val="NormalConseil"/>
      </w:pPr>
    </w:p>
    <w:p w:rsidR="00241F7B" w:rsidRPr="00022044" w:rsidRDefault="00241F7B" w:rsidP="00241F7B">
      <w:pPr>
        <w:pStyle w:val="NormalConseil"/>
      </w:pPr>
    </w:p>
    <w:p w:rsidR="00241F7B" w:rsidRPr="00022044" w:rsidRDefault="00241F7B" w:rsidP="00241F7B">
      <w:pPr>
        <w:pStyle w:val="NormalConseil"/>
        <w:outlineLvl w:val="0"/>
      </w:pPr>
      <w:r w:rsidRPr="00022044">
        <w:t xml:space="preserve">Delegations will find attached Commission document </w:t>
      </w:r>
      <w:bookmarkStart w:id="11" w:name="CoteDocCom"/>
      <w:bookmarkEnd w:id="11"/>
      <w:r w:rsidRPr="00022044">
        <w:t>SEC(2006) 780.</w:t>
      </w:r>
    </w:p>
    <w:p w:rsidR="00241F7B" w:rsidRPr="00022044" w:rsidRDefault="00241F7B" w:rsidP="00241F7B">
      <w:pPr>
        <w:pStyle w:val="NormalConseil"/>
      </w:pPr>
    </w:p>
    <w:p w:rsidR="00241F7B" w:rsidRPr="00022044" w:rsidRDefault="00241F7B" w:rsidP="00241F7B">
      <w:pPr>
        <w:pStyle w:val="NormalConseil"/>
      </w:pPr>
    </w:p>
    <w:p w:rsidR="00241F7B" w:rsidRPr="00022044" w:rsidRDefault="00241F7B" w:rsidP="00241F7B">
      <w:pPr>
        <w:pStyle w:val="NormalConseil"/>
        <w:jc w:val="center"/>
      </w:pPr>
      <w:r w:rsidRPr="00022044">
        <w:t>________________________</w:t>
      </w:r>
    </w:p>
    <w:p w:rsidR="00241F7B" w:rsidRPr="00022044" w:rsidRDefault="00241F7B" w:rsidP="00241F7B">
      <w:pPr>
        <w:pStyle w:val="NormalConseil"/>
      </w:pPr>
    </w:p>
    <w:p w:rsidR="00241F7B" w:rsidRPr="00022044" w:rsidRDefault="00241F7B" w:rsidP="00241F7B">
      <w:pPr>
        <w:pStyle w:val="NormalConseil"/>
      </w:pPr>
    </w:p>
    <w:p w:rsidR="00241F7B" w:rsidRPr="00022044" w:rsidRDefault="00241F7B" w:rsidP="00241F7B">
      <w:pPr>
        <w:pStyle w:val="NormalConseil"/>
        <w:outlineLvl w:val="0"/>
      </w:pPr>
      <w:r w:rsidRPr="00022044">
        <w:rPr>
          <w:u w:val="single"/>
        </w:rPr>
        <w:t>Encl.</w:t>
      </w:r>
      <w:r w:rsidRPr="00022044">
        <w:t xml:space="preserve">: </w:t>
      </w:r>
      <w:bookmarkStart w:id="12" w:name="pj_Ntr"/>
      <w:bookmarkEnd w:id="12"/>
      <w:r w:rsidRPr="00022044">
        <w:t>SEC(2006) 780</w:t>
      </w:r>
    </w:p>
    <w:p w:rsidR="00241F7B" w:rsidRPr="00022044" w:rsidRDefault="00241F7B" w:rsidP="00241F7B">
      <w:pPr>
        <w:pStyle w:val="NormalConseil"/>
        <w:outlineLvl w:val="0"/>
      </w:pPr>
    </w:p>
    <w:p w:rsidR="00241F7B" w:rsidRPr="00022044" w:rsidRDefault="00241F7B" w:rsidP="00241F7B">
      <w:pPr>
        <w:pStyle w:val="NormalConseil"/>
      </w:pPr>
    </w:p>
    <w:bookmarkEnd w:id="8"/>
    <w:p w:rsidR="00241F7B" w:rsidRPr="00022044" w:rsidRDefault="00241F7B" w:rsidP="00241F7B">
      <w:pPr>
        <w:pStyle w:val="NormalConseil"/>
        <w:sectPr w:rsidR="00241F7B" w:rsidRPr="00022044">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7B1FAC" w:rsidRPr="00022044">
        <w:tblPrEx>
          <w:tblCellMar>
            <w:top w:w="0" w:type="dxa"/>
            <w:left w:w="0" w:type="dxa"/>
            <w:bottom w:w="0" w:type="dxa"/>
            <w:right w:w="0" w:type="dxa"/>
          </w:tblCellMar>
        </w:tblPrEx>
        <w:trPr>
          <w:trHeight w:hRule="exact" w:val="1440"/>
        </w:trPr>
        <w:tc>
          <w:tcPr>
            <w:tcW w:w="1814" w:type="dxa"/>
          </w:tcPr>
          <w:p w:rsidR="007B1FAC" w:rsidRPr="00022044" w:rsidRDefault="00022044" w:rsidP="005D09EB">
            <w:pPr>
              <w:pStyle w:val="Nomdelinstitution"/>
            </w:pPr>
            <w:r w:rsidRPr="00022044">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7B1FAC" w:rsidRPr="00022044" w:rsidRDefault="007B1FAC" w:rsidP="005D09EB">
            <w:pPr>
              <w:pStyle w:val="Nomdelinstitution"/>
            </w:pPr>
            <w:r w:rsidRPr="00022044">
              <w:t>COMMISSION OF THE EUROPEAN COMMUNITIES</w:t>
            </w:r>
          </w:p>
        </w:tc>
      </w:tr>
    </w:tbl>
    <w:p w:rsidR="007B1FAC" w:rsidRPr="00022044" w:rsidRDefault="007B1FAC" w:rsidP="007B1FAC">
      <w:pPr>
        <w:pStyle w:val="Emission"/>
      </w:pPr>
      <w:r w:rsidRPr="00022044">
        <w:t xml:space="preserve">Brussels, </w:t>
      </w:r>
      <w:r w:rsidR="00AF7717" w:rsidRPr="00022044">
        <w:t>22.06.2006</w:t>
      </w:r>
    </w:p>
    <w:p w:rsidR="007B1FAC" w:rsidRPr="00022044" w:rsidRDefault="007B1FAC" w:rsidP="007B1FAC">
      <w:pPr>
        <w:pStyle w:val="Rfrenceinstitutionelle"/>
      </w:pPr>
      <w:r w:rsidRPr="00022044">
        <w:t xml:space="preserve">SEC(2006) </w:t>
      </w:r>
      <w:r w:rsidR="00737AFB" w:rsidRPr="00022044">
        <w:t>780</w:t>
      </w:r>
    </w:p>
    <w:p w:rsidR="007B1FAC" w:rsidRPr="00022044" w:rsidRDefault="007B1FAC" w:rsidP="007B1FAC">
      <w:pPr>
        <w:pStyle w:val="Confidentialit"/>
      </w:pPr>
      <w:r w:rsidRPr="00022044">
        <w:fldChar w:fldCharType="begin" w:fldLock="1"/>
      </w:r>
      <w:r w:rsidRPr="00022044">
        <w:instrText xml:space="preserve"> DOCPROPERTY "Classification" </w:instrText>
      </w:r>
      <w:r w:rsidRPr="00022044">
        <w:fldChar w:fldCharType="separate"/>
      </w:r>
      <w:r w:rsidR="008C38A6" w:rsidRPr="00022044">
        <w:t xml:space="preserve"> </w:t>
      </w:r>
      <w:r w:rsidRPr="00022044">
        <w:fldChar w:fldCharType="end"/>
      </w:r>
    </w:p>
    <w:p w:rsidR="00AF7717" w:rsidRPr="00022044" w:rsidRDefault="005D09EB">
      <w:pPr>
        <w:pStyle w:val="Annexetitreacte"/>
        <w:rPr>
          <w:u w:val="none"/>
        </w:rPr>
        <w:sectPr w:rsidR="00AF7717" w:rsidRPr="00022044" w:rsidSect="00241F7B">
          <w:footerReference w:type="default" r:id="rId10"/>
          <w:footerReference w:type="first" r:id="rId11"/>
          <w:pgSz w:w="12240" w:h="15840" w:code="1"/>
          <w:pgMar w:top="1418" w:right="1418" w:bottom="1418" w:left="1418" w:header="720" w:footer="720" w:gutter="0"/>
          <w:pgNumType w:start="1"/>
          <w:cols w:space="720"/>
          <w:rtlGutter/>
          <w:docGrid w:linePitch="326"/>
        </w:sectPr>
      </w:pPr>
      <w:r w:rsidRPr="00022044">
        <w:rPr>
          <w:caps/>
          <w:szCs w:val="24"/>
        </w:rPr>
        <w:t>Annex</w:t>
      </w:r>
      <w:r w:rsidRPr="00022044">
        <w:br/>
      </w:r>
      <w:r w:rsidRPr="00022044">
        <w:br/>
      </w:r>
      <w:r w:rsidRPr="00022044">
        <w:rPr>
          <w:caps/>
          <w:szCs w:val="24"/>
        </w:rPr>
        <w:t>Summary</w:t>
      </w:r>
      <w:r w:rsidRPr="00022044">
        <w:rPr>
          <w:caps/>
          <w:szCs w:val="24"/>
          <w:u w:val="none"/>
        </w:rPr>
        <w:br/>
        <w:t>of the Impact Assessment</w:t>
      </w:r>
      <w:r w:rsidRPr="00022044">
        <w:br/>
      </w:r>
      <w:r w:rsidRPr="00022044">
        <w:rPr>
          <w:u w:val="none"/>
        </w:rPr>
        <w:t>annexed to the</w:t>
      </w:r>
      <w:r w:rsidRPr="00022044">
        <w:rPr>
          <w:u w:val="none"/>
        </w:rPr>
        <w:br/>
      </w:r>
      <w:r w:rsidRPr="00022044">
        <w:rPr>
          <w:u w:val="none"/>
        </w:rPr>
        <w:br/>
        <w:t>COMMUNICATION FROM THE COMMISSION</w:t>
      </w:r>
      <w:r w:rsidRPr="00022044">
        <w:rPr>
          <w:u w:val="none"/>
        </w:rPr>
        <w:br/>
        <w:t>TO THE COUNCIL AND THE EUROPEAN PARLIAMENT</w:t>
      </w:r>
      <w:r w:rsidRPr="00022044">
        <w:rPr>
          <w:u w:val="none"/>
        </w:rPr>
        <w:br/>
      </w:r>
      <w:r w:rsidRPr="00022044">
        <w:rPr>
          <w:u w:val="none"/>
        </w:rPr>
        <w:br/>
        <w:t>Towards a sustainable European wine sector</w:t>
      </w:r>
      <w:r w:rsidRPr="00022044">
        <w:rPr>
          <w:u w:val="none"/>
        </w:rPr>
        <w:br/>
      </w:r>
      <w:r w:rsidRPr="00022044">
        <w:rPr>
          <w:u w:val="none"/>
        </w:rPr>
        <w:br/>
        <w:t>{COM(2006) 319}</w:t>
      </w:r>
      <w:r w:rsidRPr="00022044">
        <w:rPr>
          <w:u w:val="none"/>
        </w:rPr>
        <w:br/>
      </w:r>
    </w:p>
    <w:p w:rsidR="005D09EB" w:rsidRPr="00022044" w:rsidRDefault="005D09EB">
      <w:pPr>
        <w:pBdr>
          <w:top w:val="single" w:sz="4" w:space="1" w:color="auto"/>
          <w:left w:val="single" w:sz="4" w:space="4" w:color="auto"/>
          <w:bottom w:val="single" w:sz="4" w:space="1" w:color="auto"/>
          <w:right w:val="single" w:sz="4" w:space="4" w:color="auto"/>
        </w:pBdr>
        <w:spacing w:before="0" w:after="0"/>
        <w:jc w:val="center"/>
      </w:pPr>
      <w:r w:rsidRPr="00022044">
        <w:rPr>
          <w:b/>
          <w:u w:val="single"/>
        </w:rPr>
        <w:t>NOTE</w:t>
      </w:r>
      <w:r w:rsidRPr="00022044">
        <w:t>:</w:t>
      </w:r>
    </w:p>
    <w:p w:rsidR="005D09EB" w:rsidRPr="00022044" w:rsidRDefault="005D09EB">
      <w:pPr>
        <w:pBdr>
          <w:top w:val="single" w:sz="4" w:space="1" w:color="auto"/>
          <w:left w:val="single" w:sz="4" w:space="4" w:color="auto"/>
          <w:bottom w:val="single" w:sz="4" w:space="1" w:color="auto"/>
          <w:right w:val="single" w:sz="4" w:space="4" w:color="auto"/>
        </w:pBdr>
        <w:jc w:val="left"/>
        <w:rPr>
          <w:i/>
        </w:rPr>
      </w:pPr>
      <w:r w:rsidRPr="00022044">
        <w:rPr>
          <w:i/>
        </w:rPr>
        <w:t>Given the requirements in terms of number of pages, this summary is limited to the main findings of the impact assessment, which is available only in English.</w:t>
      </w:r>
    </w:p>
    <w:p w:rsidR="005D09EB" w:rsidRPr="00022044" w:rsidRDefault="005D09EB">
      <w:pPr>
        <w:pStyle w:val="Rubrik1"/>
      </w:pPr>
      <w:bookmarkStart w:id="18" w:name="_Toc134329244"/>
      <w:r w:rsidRPr="00022044">
        <w:t>Policy options</w:t>
      </w:r>
      <w:bookmarkEnd w:id="18"/>
      <w:r w:rsidRPr="00022044">
        <w:t xml:space="preserve"> </w:t>
      </w:r>
    </w:p>
    <w:p w:rsidR="005D09EB" w:rsidRPr="00022044" w:rsidRDefault="005D09EB">
      <w:r w:rsidRPr="00022044">
        <w:t>Four alternative options for the reform of the wine CMO have been identified in the impact assessment.</w:t>
      </w:r>
    </w:p>
    <w:p w:rsidR="005D09EB" w:rsidRPr="00022044" w:rsidRDefault="005D09EB">
      <w:pPr>
        <w:rPr>
          <w:b/>
        </w:rPr>
      </w:pPr>
      <w:r w:rsidRPr="00022044">
        <w:rPr>
          <w:b/>
          <w:u w:val="single"/>
        </w:rPr>
        <w:t>Option 1</w:t>
      </w:r>
      <w:r w:rsidRPr="00022044">
        <w:rPr>
          <w:b/>
        </w:rPr>
        <w:t>: Status quo, with possibly some limited adaptations</w:t>
      </w:r>
    </w:p>
    <w:p w:rsidR="005D09EB" w:rsidRPr="00022044" w:rsidRDefault="005D09EB">
      <w:pPr>
        <w:rPr>
          <w:b/>
        </w:rPr>
      </w:pPr>
      <w:r w:rsidRPr="00022044">
        <w:rPr>
          <w:b/>
          <w:u w:val="single"/>
        </w:rPr>
        <w:t>Option 2</w:t>
      </w:r>
      <w:r w:rsidRPr="00022044">
        <w:rPr>
          <w:b/>
        </w:rPr>
        <w:t>: Profound reform of the CMO</w:t>
      </w:r>
    </w:p>
    <w:p w:rsidR="005D09EB" w:rsidRPr="00022044" w:rsidRDefault="005D09EB">
      <w:pPr>
        <w:rPr>
          <w:b/>
        </w:rPr>
      </w:pPr>
      <w:r w:rsidRPr="00022044">
        <w:rPr>
          <w:b/>
          <w:u w:val="single"/>
        </w:rPr>
        <w:t>Option 3</w:t>
      </w:r>
      <w:r w:rsidRPr="00022044">
        <w:rPr>
          <w:b/>
        </w:rPr>
        <w:t>: Reform along CAP reform lines</w:t>
      </w:r>
    </w:p>
    <w:p w:rsidR="005D09EB" w:rsidRPr="00022044" w:rsidRDefault="005D09EB">
      <w:r w:rsidRPr="00022044">
        <w:rPr>
          <w:b/>
          <w:u w:val="single"/>
        </w:rPr>
        <w:t>Option 4</w:t>
      </w:r>
      <w:r w:rsidRPr="00022044">
        <w:rPr>
          <w:b/>
        </w:rPr>
        <w:t>: Deregulation of the wine market</w:t>
      </w:r>
    </w:p>
    <w:p w:rsidR="005D09EB" w:rsidRPr="00022044" w:rsidRDefault="005D09EB">
      <w:r w:rsidRPr="00022044">
        <w:t>The description of the policy options is summarised under table 1.</w:t>
      </w:r>
    </w:p>
    <w:p w:rsidR="005D09EB" w:rsidRPr="00022044" w:rsidRDefault="005D09EB">
      <w:pPr>
        <w:sectPr w:rsidR="005D09EB" w:rsidRPr="00022044" w:rsidSect="008C38A6">
          <w:footerReference w:type="default" r:id="rId12"/>
          <w:footerReference w:type="first" r:id="rId13"/>
          <w:pgSz w:w="12240" w:h="15840" w:code="1"/>
          <w:pgMar w:top="1418" w:right="1418" w:bottom="1418" w:left="1418" w:header="720" w:footer="720" w:gutter="0"/>
          <w:cols w:space="720"/>
          <w:rtlGutter/>
          <w:docGrid w:linePitch="326"/>
        </w:sectPr>
      </w:pPr>
    </w:p>
    <w:p w:rsidR="005D09EB" w:rsidRPr="00022044" w:rsidRDefault="005D09EB">
      <w:pPr>
        <w:pStyle w:val="NormalCentered"/>
        <w:rPr>
          <w:b/>
          <w:bCs/>
        </w:rPr>
      </w:pPr>
      <w:r w:rsidRPr="00022044">
        <w:rPr>
          <w:b/>
          <w:bCs/>
        </w:rPr>
        <w:t>Table 1: Overview of the policy options</w:t>
      </w:r>
    </w:p>
    <w:tbl>
      <w:tblPr>
        <w:tblW w:w="15300" w:type="dxa"/>
        <w:tblInd w:w="-72" w:type="dxa"/>
        <w:tblLayout w:type="fixed"/>
        <w:tblLook w:val="0000" w:firstRow="0" w:lastRow="0" w:firstColumn="0" w:lastColumn="0" w:noHBand="0" w:noVBand="0"/>
      </w:tblPr>
      <w:tblGrid>
        <w:gridCol w:w="914"/>
        <w:gridCol w:w="1004"/>
        <w:gridCol w:w="1172"/>
        <w:gridCol w:w="930"/>
        <w:gridCol w:w="23"/>
        <w:gridCol w:w="936"/>
        <w:gridCol w:w="939"/>
        <w:gridCol w:w="993"/>
        <w:gridCol w:w="946"/>
        <w:gridCol w:w="993"/>
        <w:gridCol w:w="1080"/>
        <w:gridCol w:w="1080"/>
        <w:gridCol w:w="1080"/>
        <w:gridCol w:w="1080"/>
        <w:gridCol w:w="1080"/>
        <w:gridCol w:w="1050"/>
      </w:tblGrid>
      <w:tr w:rsidR="005D09EB" w:rsidRPr="00022044">
        <w:tblPrEx>
          <w:tblCellMar>
            <w:top w:w="0" w:type="dxa"/>
            <w:bottom w:w="0" w:type="dxa"/>
          </w:tblCellMar>
        </w:tblPrEx>
        <w:trPr>
          <w:trHeight w:val="377"/>
        </w:trPr>
        <w:tc>
          <w:tcPr>
            <w:tcW w:w="914" w:type="dxa"/>
            <w:tcBorders>
              <w:top w:val="single" w:sz="18" w:space="0" w:color="auto"/>
              <w:left w:val="single" w:sz="18" w:space="0" w:color="auto"/>
              <w:bottom w:val="single" w:sz="18"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b/>
                <w:bCs/>
                <w:color w:val="000000"/>
                <w:sz w:val="16"/>
                <w:szCs w:val="16"/>
              </w:rPr>
            </w:pPr>
            <w:bookmarkStart w:id="19" w:name="_Hlk137180271"/>
          </w:p>
        </w:tc>
        <w:tc>
          <w:tcPr>
            <w:tcW w:w="3129" w:type="dxa"/>
            <w:gridSpan w:val="4"/>
            <w:tcBorders>
              <w:top w:val="single" w:sz="18" w:space="0" w:color="auto"/>
              <w:left w:val="single" w:sz="18" w:space="0" w:color="auto"/>
              <w:bottom w:val="single" w:sz="6" w:space="0" w:color="auto"/>
              <w:right w:val="single" w:sz="12"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b/>
                <w:bCs/>
                <w:color w:val="000000"/>
                <w:sz w:val="16"/>
                <w:szCs w:val="16"/>
              </w:rPr>
            </w:pPr>
            <w:r w:rsidRPr="00022044">
              <w:rPr>
                <w:rFonts w:ascii="Arial" w:hAnsi="Arial" w:cs="Arial"/>
                <w:b/>
                <w:bCs/>
                <w:color w:val="000000"/>
                <w:sz w:val="16"/>
                <w:szCs w:val="16"/>
              </w:rPr>
              <w:t>Potential</w:t>
            </w:r>
          </w:p>
        </w:tc>
        <w:tc>
          <w:tcPr>
            <w:tcW w:w="8047" w:type="dxa"/>
            <w:gridSpan w:val="8"/>
            <w:tcBorders>
              <w:top w:val="single" w:sz="18" w:space="0" w:color="auto"/>
              <w:left w:val="single" w:sz="12"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b/>
                <w:bCs/>
                <w:color w:val="000000"/>
                <w:sz w:val="16"/>
                <w:szCs w:val="16"/>
              </w:rPr>
            </w:pPr>
            <w:r w:rsidRPr="00022044">
              <w:rPr>
                <w:rFonts w:ascii="Arial" w:hAnsi="Arial" w:cs="Arial"/>
                <w:b/>
                <w:bCs/>
                <w:color w:val="000000"/>
                <w:sz w:val="16"/>
                <w:szCs w:val="16"/>
              </w:rPr>
              <w:t>Market measures</w:t>
            </w:r>
          </w:p>
        </w:tc>
        <w:tc>
          <w:tcPr>
            <w:tcW w:w="3210" w:type="dxa"/>
            <w:gridSpan w:val="3"/>
            <w:tcBorders>
              <w:top w:val="single" w:sz="18" w:space="0" w:color="auto"/>
              <w:left w:val="single" w:sz="18"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b/>
                <w:bCs/>
                <w:color w:val="000000"/>
                <w:sz w:val="16"/>
                <w:szCs w:val="16"/>
              </w:rPr>
            </w:pPr>
            <w:r w:rsidRPr="00022044">
              <w:rPr>
                <w:rFonts w:ascii="Arial" w:hAnsi="Arial" w:cs="Arial"/>
                <w:b/>
                <w:bCs/>
                <w:color w:val="000000"/>
                <w:sz w:val="16"/>
                <w:szCs w:val="16"/>
              </w:rPr>
              <w:t>Regulatory measures</w:t>
            </w:r>
          </w:p>
        </w:tc>
      </w:tr>
      <w:tr w:rsidR="005D09EB" w:rsidRPr="00022044">
        <w:tblPrEx>
          <w:tblCellMar>
            <w:top w:w="0" w:type="dxa"/>
            <w:bottom w:w="0" w:type="dxa"/>
          </w:tblCellMar>
        </w:tblPrEx>
        <w:trPr>
          <w:trHeight w:val="648"/>
        </w:trPr>
        <w:tc>
          <w:tcPr>
            <w:tcW w:w="914" w:type="dxa"/>
            <w:tcBorders>
              <w:top w:val="single" w:sz="18" w:space="0" w:color="auto"/>
              <w:left w:val="single" w:sz="18"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Options</w:t>
            </w:r>
          </w:p>
        </w:tc>
        <w:tc>
          <w:tcPr>
            <w:tcW w:w="1004" w:type="dxa"/>
            <w:tcBorders>
              <w:top w:val="single" w:sz="6" w:space="0" w:color="auto"/>
              <w:left w:val="single" w:sz="18"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Ban of new plantings</w:t>
            </w:r>
          </w:p>
        </w:tc>
        <w:tc>
          <w:tcPr>
            <w:tcW w:w="1172"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Permanent abandonment (grubbing-up)</w:t>
            </w:r>
          </w:p>
        </w:tc>
        <w:tc>
          <w:tcPr>
            <w:tcW w:w="953" w:type="dxa"/>
            <w:gridSpan w:val="2"/>
            <w:tcBorders>
              <w:top w:val="single" w:sz="6" w:space="0" w:color="auto"/>
              <w:left w:val="single" w:sz="6" w:space="0" w:color="auto"/>
              <w:bottom w:val="single" w:sz="6" w:space="0" w:color="auto"/>
              <w:right w:val="single" w:sz="12"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Restruct. of vineyards</w:t>
            </w:r>
          </w:p>
        </w:tc>
        <w:tc>
          <w:tcPr>
            <w:tcW w:w="936" w:type="dxa"/>
            <w:tcBorders>
              <w:top w:val="single" w:sz="6" w:space="0" w:color="auto"/>
              <w:left w:val="single" w:sz="12"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By-products distillation</w:t>
            </w:r>
          </w:p>
        </w:tc>
        <w:tc>
          <w:tcPr>
            <w:tcW w:w="939"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Dual purposes distillation</w:t>
            </w:r>
          </w:p>
        </w:tc>
        <w:tc>
          <w:tcPr>
            <w:tcW w:w="993"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Potable alcohol distillation</w:t>
            </w:r>
          </w:p>
        </w:tc>
        <w:tc>
          <w:tcPr>
            <w:tcW w:w="946"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Crisis distillation</w:t>
            </w:r>
          </w:p>
        </w:tc>
        <w:tc>
          <w:tcPr>
            <w:tcW w:w="993"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Private storage</w:t>
            </w:r>
          </w:p>
        </w:tc>
        <w:tc>
          <w:tcPr>
            <w:tcW w:w="1080"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Aid to grape juice</w:t>
            </w:r>
          </w:p>
        </w:tc>
        <w:tc>
          <w:tcPr>
            <w:tcW w:w="1080"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Aid to musts (enrichment)</w:t>
            </w:r>
          </w:p>
        </w:tc>
        <w:tc>
          <w:tcPr>
            <w:tcW w:w="1080" w:type="dxa"/>
            <w:tcBorders>
              <w:top w:val="single" w:sz="6" w:space="0" w:color="auto"/>
              <w:left w:val="single" w:sz="6"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Export refunds</w:t>
            </w:r>
          </w:p>
        </w:tc>
        <w:tc>
          <w:tcPr>
            <w:tcW w:w="1080" w:type="dxa"/>
            <w:tcBorders>
              <w:top w:val="single" w:sz="6" w:space="0" w:color="auto"/>
              <w:left w:val="single" w:sz="18"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Wine-making practices</w:t>
            </w:r>
          </w:p>
        </w:tc>
        <w:tc>
          <w:tcPr>
            <w:tcW w:w="1080"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Quality policy, GI protection</w:t>
            </w:r>
          </w:p>
        </w:tc>
        <w:tc>
          <w:tcPr>
            <w:tcW w:w="1050" w:type="dxa"/>
            <w:tcBorders>
              <w:top w:val="single" w:sz="6" w:space="0" w:color="auto"/>
              <w:left w:val="single" w:sz="6"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Labelling</w:t>
            </w:r>
          </w:p>
        </w:tc>
      </w:tr>
      <w:tr w:rsidR="005D09EB" w:rsidRPr="00022044">
        <w:tblPrEx>
          <w:tblCellMar>
            <w:top w:w="0" w:type="dxa"/>
            <w:bottom w:w="0" w:type="dxa"/>
          </w:tblCellMar>
        </w:tblPrEx>
        <w:trPr>
          <w:trHeight w:val="1246"/>
        </w:trPr>
        <w:tc>
          <w:tcPr>
            <w:tcW w:w="914" w:type="dxa"/>
            <w:tcBorders>
              <w:top w:val="single" w:sz="6" w:space="0" w:color="auto"/>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u w:val="single"/>
              </w:rPr>
              <w:t>Option 1</w:t>
            </w:r>
            <w:r w:rsidRPr="00022044">
              <w:rPr>
                <w:rFonts w:ascii="Arial" w:hAnsi="Arial" w:cs="Arial"/>
                <w:b/>
                <w:bCs/>
                <w:color w:val="000000"/>
                <w:sz w:val="14"/>
                <w:szCs w:val="14"/>
              </w:rPr>
              <w:t>:</w:t>
            </w:r>
          </w:p>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Improved status quo</w:t>
            </w:r>
          </w:p>
        </w:tc>
        <w:tc>
          <w:tcPr>
            <w:tcW w:w="1004" w:type="dxa"/>
            <w:tcBorders>
              <w:top w:val="single" w:sz="6" w:space="0" w:color="auto"/>
              <w:left w:val="single" w:sz="18"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Prolongation</w:t>
            </w:r>
          </w:p>
        </w:tc>
        <w:tc>
          <w:tcPr>
            <w:tcW w:w="1172"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Maintained</w:t>
            </w:r>
          </w:p>
        </w:tc>
        <w:tc>
          <w:tcPr>
            <w:tcW w:w="953" w:type="dxa"/>
            <w:gridSpan w:val="2"/>
            <w:tcBorders>
              <w:top w:val="single" w:sz="6" w:space="0" w:color="auto"/>
              <w:left w:val="single" w:sz="6" w:space="0" w:color="auto"/>
              <w:bottom w:val="single" w:sz="6" w:space="0" w:color="auto"/>
              <w:right w:val="single" w:sz="12"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Maintained, improved monitoring</w:t>
            </w:r>
          </w:p>
        </w:tc>
        <w:tc>
          <w:tcPr>
            <w:tcW w:w="936" w:type="dxa"/>
            <w:tcBorders>
              <w:top w:val="single" w:sz="6" w:space="0" w:color="auto"/>
              <w:left w:val="single" w:sz="12"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Maintained</w:t>
            </w:r>
          </w:p>
        </w:tc>
        <w:tc>
          <w:tcPr>
            <w:tcW w:w="939"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Maintained</w:t>
            </w:r>
          </w:p>
        </w:tc>
        <w:tc>
          <w:tcPr>
            <w:tcW w:w="993"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Maintained, possibly with reduction of price</w:t>
            </w:r>
          </w:p>
        </w:tc>
        <w:tc>
          <w:tcPr>
            <w:tcW w:w="946"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Maintained, possibly with links with grubbing-up</w:t>
            </w:r>
          </w:p>
        </w:tc>
        <w:tc>
          <w:tcPr>
            <w:tcW w:w="993"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Maintained</w:t>
            </w:r>
          </w:p>
        </w:tc>
        <w:tc>
          <w:tcPr>
            <w:tcW w:w="1080"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Maintained</w:t>
            </w:r>
          </w:p>
        </w:tc>
        <w:tc>
          <w:tcPr>
            <w:tcW w:w="1080"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Maintained (despite pressure from sugar price)</w:t>
            </w:r>
          </w:p>
        </w:tc>
        <w:tc>
          <w:tcPr>
            <w:tcW w:w="1080" w:type="dxa"/>
            <w:tcBorders>
              <w:top w:val="single" w:sz="6" w:space="0" w:color="auto"/>
              <w:left w:val="single" w:sz="6"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Phasing out according WTO commitments</w:t>
            </w:r>
          </w:p>
        </w:tc>
        <w:tc>
          <w:tcPr>
            <w:tcW w:w="1080" w:type="dxa"/>
            <w:tcBorders>
              <w:top w:val="single" w:sz="6" w:space="0" w:color="auto"/>
              <w:left w:val="single" w:sz="18"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no substantial change</w:t>
            </w:r>
          </w:p>
        </w:tc>
        <w:tc>
          <w:tcPr>
            <w:tcW w:w="1080"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no substantial change</w:t>
            </w:r>
          </w:p>
        </w:tc>
        <w:tc>
          <w:tcPr>
            <w:tcW w:w="1050" w:type="dxa"/>
            <w:tcBorders>
              <w:top w:val="single" w:sz="6" w:space="0" w:color="auto"/>
              <w:left w:val="single" w:sz="6"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no substantial change</w:t>
            </w:r>
          </w:p>
        </w:tc>
      </w:tr>
      <w:tr w:rsidR="005D09EB" w:rsidRPr="00022044">
        <w:tblPrEx>
          <w:tblCellMar>
            <w:top w:w="0" w:type="dxa"/>
            <w:bottom w:w="0" w:type="dxa"/>
          </w:tblCellMar>
        </w:tblPrEx>
        <w:trPr>
          <w:trHeight w:val="1946"/>
        </w:trPr>
        <w:tc>
          <w:tcPr>
            <w:tcW w:w="914" w:type="dxa"/>
            <w:tcBorders>
              <w:top w:val="single" w:sz="6" w:space="0" w:color="auto"/>
              <w:left w:val="single" w:sz="18" w:space="0" w:color="auto"/>
              <w:bottom w:val="single" w:sz="6" w:space="0" w:color="auto"/>
              <w:right w:val="single" w:sz="18" w:space="0" w:color="auto"/>
            </w:tcBorders>
            <w:vAlign w:val="center"/>
          </w:tcPr>
          <w:p w:rsidR="005D09EB" w:rsidRPr="00022044" w:rsidRDefault="00022044">
            <w:pPr>
              <w:autoSpaceDE w:val="0"/>
              <w:autoSpaceDN w:val="0"/>
              <w:adjustRightInd w:val="0"/>
              <w:spacing w:before="60" w:after="46"/>
              <w:jc w:val="center"/>
              <w:rPr>
                <w:rFonts w:ascii="Arial" w:hAnsi="Arial" w:cs="Arial"/>
                <w:b/>
                <w:bCs/>
                <w:color w:val="000000"/>
                <w:sz w:val="14"/>
                <w:szCs w:val="14"/>
              </w:rPr>
            </w:pPr>
            <w:r w:rsidRPr="00022044">
              <w:rPr>
                <w:noProof/>
                <w:lang w:eastAsia="en-GB"/>
              </w:rPr>
              <mc:AlternateContent>
                <mc:Choice Requires="wps">
                  <w:drawing>
                    <wp:anchor distT="0" distB="0" distL="114300" distR="114300" simplePos="0" relativeHeight="251657216" behindDoc="0" locked="0" layoutInCell="0" allowOverlap="1">
                      <wp:simplePos x="0" y="0"/>
                      <wp:positionH relativeFrom="column">
                        <wp:posOffset>6172200</wp:posOffset>
                      </wp:positionH>
                      <wp:positionV relativeFrom="paragraph">
                        <wp:posOffset>730885</wp:posOffset>
                      </wp:positionV>
                      <wp:extent cx="609600" cy="484505"/>
                      <wp:effectExtent l="0" t="0" r="0" b="0"/>
                      <wp:wrapNone/>
                      <wp:docPr id="687279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84505"/>
                              </a:xfrm>
                              <a:prstGeom prst="rect">
                                <a:avLst/>
                              </a:prstGeom>
                              <a:solidFill>
                                <a:srgbClr val="FFFFFF"/>
                              </a:solidFill>
                              <a:ln w="9525">
                                <a:solidFill>
                                  <a:srgbClr val="000000"/>
                                </a:solidFill>
                                <a:miter lim="800000"/>
                                <a:headEnd/>
                                <a:tailEnd/>
                              </a:ln>
                            </wps:spPr>
                            <wps:txbx>
                              <w:txbxContent>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ban on the use</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of sucrose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6pt;margin-top:57.55pt;width:48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" o:allowincell="f">
                      <v:textbox>
                        <w:txbxContent>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ban on the use</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of sucrose</w:t>
                            </w:r>
                          </w:p>
                        </w:txbxContent>
                      </v:textbox>
                    </v:shape>
                  </w:pict>
                </mc:Fallback>
              </mc:AlternateContent>
            </w:r>
            <w:r w:rsidRPr="00022044">
              <w:rPr>
                <w:noProof/>
                <w:lang w:eastAsia="en-GB"/>
              </w:rPr>
              <mc:AlternateContent>
                <mc:Choice Requires="wps">
                  <w:drawing>
                    <wp:anchor distT="0" distB="0" distL="114300" distR="114300" simplePos="0" relativeHeight="251655168" behindDoc="0" locked="0" layoutInCell="0" allowOverlap="1">
                      <wp:simplePos x="0" y="0"/>
                      <wp:positionH relativeFrom="column">
                        <wp:posOffset>2514600</wp:posOffset>
                      </wp:positionH>
                      <wp:positionV relativeFrom="paragraph">
                        <wp:posOffset>730885</wp:posOffset>
                      </wp:positionV>
                      <wp:extent cx="609600" cy="484505"/>
                      <wp:effectExtent l="0" t="0" r="0" b="0"/>
                      <wp:wrapNone/>
                      <wp:docPr id="1894191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84505"/>
                              </a:xfrm>
                              <a:prstGeom prst="rect">
                                <a:avLst/>
                              </a:prstGeom>
                              <a:solidFill>
                                <a:srgbClr val="FFFFFF"/>
                              </a:solidFill>
                              <a:ln w="9525">
                                <a:solidFill>
                                  <a:srgbClr val="000000"/>
                                </a:solidFill>
                                <a:miter lim="800000"/>
                                <a:headEnd/>
                                <a:tailEnd/>
                              </a:ln>
                            </wps:spPr>
                            <wps:txbx>
                              <w:txbxContent>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maintaining prohibition on overpressing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8pt;margin-top:57.55pt;width:48pt;height:3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" o:allowincell="f">
                      <v:textbox>
                        <w:txbxContent>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maintaining prohibition on overpressing</w:t>
                            </w:r>
                          </w:p>
                        </w:txbxContent>
                      </v:textbox>
                    </v:shape>
                  </w:pict>
                </mc:Fallback>
              </mc:AlternateContent>
            </w:r>
            <w:r w:rsidR="005D09EB" w:rsidRPr="00022044">
              <w:rPr>
                <w:rFonts w:ascii="Arial" w:hAnsi="Arial" w:cs="Arial"/>
                <w:b/>
                <w:bCs/>
                <w:color w:val="000000"/>
                <w:sz w:val="14"/>
                <w:szCs w:val="14"/>
                <w:u w:val="single"/>
              </w:rPr>
              <w:t>Option 2</w:t>
            </w:r>
            <w:r w:rsidR="005D09EB" w:rsidRPr="00022044">
              <w:rPr>
                <w:rFonts w:ascii="Arial" w:hAnsi="Arial" w:cs="Arial"/>
                <w:b/>
                <w:bCs/>
                <w:color w:val="000000"/>
                <w:sz w:val="14"/>
                <w:szCs w:val="14"/>
              </w:rPr>
              <w:t>:</w:t>
            </w:r>
          </w:p>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Profound reform of CMO</w:t>
            </w:r>
          </w:p>
        </w:tc>
        <w:tc>
          <w:tcPr>
            <w:tcW w:w="1004" w:type="dxa"/>
            <w:tcBorders>
              <w:top w:val="single" w:sz="6" w:space="0" w:color="auto"/>
              <w:left w:val="single" w:sz="18"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Extension for a few years</w:t>
            </w:r>
          </w:p>
        </w:tc>
        <w:tc>
          <w:tcPr>
            <w:tcW w:w="1172"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Important strengthening</w:t>
            </w:r>
          </w:p>
        </w:tc>
        <w:tc>
          <w:tcPr>
            <w:tcW w:w="953" w:type="dxa"/>
            <w:gridSpan w:val="2"/>
            <w:tcBorders>
              <w:top w:val="single" w:sz="6" w:space="0" w:color="auto"/>
              <w:left w:val="single" w:sz="6" w:space="0" w:color="auto"/>
              <w:bottom w:val="single" w:sz="12" w:space="0" w:color="auto"/>
              <w:right w:val="single" w:sz="12"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Maintained, link with grubbing-up. Possible reduction of envelope with shift to national envelope or 2nd pillar</w:t>
            </w:r>
          </w:p>
        </w:tc>
        <w:tc>
          <w:tcPr>
            <w:tcW w:w="6967" w:type="dxa"/>
            <w:gridSpan w:val="7"/>
            <w:tcBorders>
              <w:top w:val="single" w:sz="6" w:space="0" w:color="auto"/>
              <w:left w:val="single" w:sz="12"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Abolition – budget replaced by national envelopes or shifted to 2nd pillar for wine regions</w:t>
            </w:r>
          </w:p>
        </w:tc>
        <w:tc>
          <w:tcPr>
            <w:tcW w:w="1080" w:type="dxa"/>
            <w:tcBorders>
              <w:top w:val="single" w:sz="6" w:space="0" w:color="auto"/>
              <w:left w:val="single" w:sz="6"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Abolition and replacement through promotion and information measures</w:t>
            </w:r>
          </w:p>
        </w:tc>
        <w:tc>
          <w:tcPr>
            <w:tcW w:w="1080" w:type="dxa"/>
            <w:tcBorders>
              <w:top w:val="single" w:sz="6" w:space="0" w:color="auto"/>
              <w:left w:val="single" w:sz="18"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Competence to the Commission, link to OIV practices, special practices for export, end of ban for imported musts</w:t>
            </w:r>
          </w:p>
        </w:tc>
        <w:tc>
          <w:tcPr>
            <w:tcW w:w="1080"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Simplification, alignment on WTO-TRIPS and on PGI/PDO system, revision of wine classification system</w:t>
            </w:r>
          </w:p>
        </w:tc>
        <w:tc>
          <w:tcPr>
            <w:tcW w:w="1050" w:type="dxa"/>
            <w:tcBorders>
              <w:top w:val="single" w:sz="6" w:space="0" w:color="auto"/>
              <w:left w:val="single" w:sz="6"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Competence to Commission, unique tools for all wines, more flexibility</w:t>
            </w:r>
          </w:p>
        </w:tc>
      </w:tr>
      <w:tr w:rsidR="005D09EB" w:rsidRPr="00022044">
        <w:tblPrEx>
          <w:tblCellMar>
            <w:top w:w="0" w:type="dxa"/>
            <w:bottom w:w="0" w:type="dxa"/>
          </w:tblCellMar>
        </w:tblPrEx>
        <w:trPr>
          <w:trHeight w:val="1946"/>
        </w:trPr>
        <w:tc>
          <w:tcPr>
            <w:tcW w:w="914" w:type="dxa"/>
            <w:tcBorders>
              <w:top w:val="single" w:sz="6" w:space="0" w:color="auto"/>
              <w:left w:val="single" w:sz="18" w:space="0" w:color="auto"/>
              <w:bottom w:val="single" w:sz="6" w:space="0" w:color="auto"/>
              <w:right w:val="single" w:sz="18" w:space="0" w:color="auto"/>
            </w:tcBorders>
            <w:vAlign w:val="center"/>
          </w:tcPr>
          <w:p w:rsidR="005D09EB" w:rsidRPr="00022044" w:rsidRDefault="00022044">
            <w:pPr>
              <w:autoSpaceDE w:val="0"/>
              <w:autoSpaceDN w:val="0"/>
              <w:adjustRightInd w:val="0"/>
              <w:spacing w:before="60" w:after="46"/>
              <w:jc w:val="center"/>
              <w:rPr>
                <w:rFonts w:ascii="Arial" w:hAnsi="Arial" w:cs="Arial"/>
                <w:b/>
                <w:bCs/>
                <w:color w:val="000000"/>
                <w:sz w:val="14"/>
                <w:szCs w:val="14"/>
              </w:rPr>
            </w:pPr>
            <w:r w:rsidRPr="00022044">
              <w:rPr>
                <w:noProof/>
                <w:lang w:eastAsia="en-GB"/>
              </w:rPr>
              <mc:AlternateContent>
                <mc:Choice Requires="wps">
                  <w:drawing>
                    <wp:anchor distT="0" distB="0" distL="114300" distR="114300" simplePos="0" relativeHeight="251656192" behindDoc="0" locked="0" layoutInCell="0" allowOverlap="1">
                      <wp:simplePos x="0" y="0"/>
                      <wp:positionH relativeFrom="column">
                        <wp:posOffset>2514600</wp:posOffset>
                      </wp:positionH>
                      <wp:positionV relativeFrom="paragraph">
                        <wp:posOffset>742950</wp:posOffset>
                      </wp:positionV>
                      <wp:extent cx="609600" cy="484505"/>
                      <wp:effectExtent l="0" t="0" r="0" b="0"/>
                      <wp:wrapNone/>
                      <wp:docPr id="907594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84505"/>
                              </a:xfrm>
                              <a:prstGeom prst="rect">
                                <a:avLst/>
                              </a:prstGeom>
                              <a:solidFill>
                                <a:srgbClr val="FFFFFF"/>
                              </a:solidFill>
                              <a:ln w="9525">
                                <a:solidFill>
                                  <a:srgbClr val="000000"/>
                                </a:solidFill>
                                <a:miter lim="800000"/>
                                <a:headEnd/>
                                <a:tailEnd/>
                              </a:ln>
                            </wps:spPr>
                            <wps:txbx>
                              <w:txbxContent>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maintaining prohibition on overpressing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98pt;margin-top:58.5pt;width:48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" o:allowincell="f">
                      <v:textbox>
                        <w:txbxContent>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maintaining prohibition on overpressing</w:t>
                            </w:r>
                          </w:p>
                        </w:txbxContent>
                      </v:textbox>
                    </v:shape>
                  </w:pict>
                </mc:Fallback>
              </mc:AlternateContent>
            </w:r>
            <w:r w:rsidRPr="00022044">
              <w:rPr>
                <w:noProof/>
                <w:lang w:eastAsia="en-GB"/>
              </w:rPr>
              <mc:AlternateContent>
                <mc:Choice Requires="wps">
                  <w:drawing>
                    <wp:anchor distT="0" distB="0" distL="114300" distR="114300" simplePos="0" relativeHeight="251658240" behindDoc="0" locked="0" layoutInCell="0" allowOverlap="1">
                      <wp:simplePos x="0" y="0"/>
                      <wp:positionH relativeFrom="column">
                        <wp:posOffset>6172200</wp:posOffset>
                      </wp:positionH>
                      <wp:positionV relativeFrom="paragraph">
                        <wp:posOffset>742950</wp:posOffset>
                      </wp:positionV>
                      <wp:extent cx="609600" cy="484505"/>
                      <wp:effectExtent l="0" t="0" r="0" b="0"/>
                      <wp:wrapNone/>
                      <wp:docPr id="1766630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84505"/>
                              </a:xfrm>
                              <a:prstGeom prst="rect">
                                <a:avLst/>
                              </a:prstGeom>
                              <a:solidFill>
                                <a:srgbClr val="FFFFFF"/>
                              </a:solidFill>
                              <a:ln w="9525">
                                <a:solidFill>
                                  <a:srgbClr val="000000"/>
                                </a:solidFill>
                                <a:miter lim="800000"/>
                                <a:headEnd/>
                                <a:tailEnd/>
                              </a:ln>
                            </wps:spPr>
                            <wps:txbx>
                              <w:txbxContent>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ban on the use</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of sucrose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86pt;margin-top:58.5pt;width:48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" o:allowincell="f">
                      <v:textbox>
                        <w:txbxContent>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ban on the use</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of sucrose</w:t>
                            </w:r>
                          </w:p>
                        </w:txbxContent>
                      </v:textbox>
                    </v:shape>
                  </w:pict>
                </mc:Fallback>
              </mc:AlternateContent>
            </w:r>
            <w:r w:rsidR="005D09EB" w:rsidRPr="00022044">
              <w:rPr>
                <w:rFonts w:ascii="Arial" w:hAnsi="Arial" w:cs="Arial"/>
                <w:b/>
                <w:bCs/>
                <w:color w:val="000000"/>
                <w:sz w:val="14"/>
                <w:szCs w:val="14"/>
                <w:u w:val="single"/>
              </w:rPr>
              <w:t>Option 3</w:t>
            </w:r>
            <w:r w:rsidR="005D09EB" w:rsidRPr="00022044">
              <w:rPr>
                <w:rFonts w:ascii="Arial" w:hAnsi="Arial" w:cs="Arial"/>
                <w:b/>
                <w:bCs/>
                <w:color w:val="000000"/>
                <w:sz w:val="14"/>
                <w:szCs w:val="14"/>
              </w:rPr>
              <w:t>:</w:t>
            </w:r>
          </w:p>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Reform along CAP reform lines</w:t>
            </w:r>
          </w:p>
        </w:tc>
        <w:tc>
          <w:tcPr>
            <w:tcW w:w="1004" w:type="dxa"/>
            <w:tcBorders>
              <w:top w:val="single" w:sz="6" w:space="0" w:color="auto"/>
              <w:left w:val="single" w:sz="18"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Extension for a few years</w:t>
            </w:r>
          </w:p>
        </w:tc>
        <w:tc>
          <w:tcPr>
            <w:tcW w:w="1172" w:type="dxa"/>
            <w:tcBorders>
              <w:top w:val="single" w:sz="6" w:space="0" w:color="auto"/>
              <w:left w:val="single" w:sz="6" w:space="0" w:color="auto"/>
              <w:bottom w:val="single" w:sz="6" w:space="0" w:color="auto"/>
              <w:right w:val="single" w:sz="12"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Abolition</w:t>
            </w:r>
          </w:p>
        </w:tc>
        <w:tc>
          <w:tcPr>
            <w:tcW w:w="9000" w:type="dxa"/>
            <w:gridSpan w:val="10"/>
            <w:tcBorders>
              <w:top w:val="single" w:sz="12" w:space="0" w:color="auto"/>
              <w:left w:val="single" w:sz="12" w:space="0" w:color="auto"/>
              <w:bottom w:val="single" w:sz="12"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Conversion of budget into SPS entitlements</w:t>
            </w:r>
          </w:p>
        </w:tc>
        <w:tc>
          <w:tcPr>
            <w:tcW w:w="1080" w:type="dxa"/>
            <w:tcBorders>
              <w:top w:val="single" w:sz="6" w:space="0" w:color="auto"/>
              <w:left w:val="single" w:sz="18"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Competence to the Commission, link to OIV practices, special practices for export, end of ban for imported musts</w:t>
            </w:r>
          </w:p>
        </w:tc>
        <w:tc>
          <w:tcPr>
            <w:tcW w:w="1080" w:type="dxa"/>
            <w:tcBorders>
              <w:top w:val="single" w:sz="6" w:space="0" w:color="auto"/>
              <w:left w:val="single" w:sz="6" w:space="0" w:color="auto"/>
              <w:bottom w:val="single" w:sz="6"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Simplification, alignment on WTO-TRIPS and on PDO/PGI system, revision of wine classification system</w:t>
            </w:r>
          </w:p>
        </w:tc>
        <w:tc>
          <w:tcPr>
            <w:tcW w:w="1050" w:type="dxa"/>
            <w:tcBorders>
              <w:top w:val="single" w:sz="6" w:space="0" w:color="auto"/>
              <w:left w:val="single" w:sz="6"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Competence to Commission, unique tools for all wines, more flexibility</w:t>
            </w:r>
          </w:p>
        </w:tc>
      </w:tr>
      <w:tr w:rsidR="005D09EB" w:rsidRPr="00022044">
        <w:tblPrEx>
          <w:tblCellMar>
            <w:top w:w="0" w:type="dxa"/>
            <w:bottom w:w="0" w:type="dxa"/>
          </w:tblCellMar>
        </w:tblPrEx>
        <w:trPr>
          <w:trHeight w:val="1308"/>
        </w:trPr>
        <w:tc>
          <w:tcPr>
            <w:tcW w:w="914" w:type="dxa"/>
            <w:tcBorders>
              <w:top w:val="single" w:sz="6" w:space="0" w:color="auto"/>
              <w:left w:val="single" w:sz="18" w:space="0" w:color="auto"/>
              <w:bottom w:val="single" w:sz="18" w:space="0" w:color="auto"/>
              <w:right w:val="single" w:sz="18" w:space="0" w:color="auto"/>
            </w:tcBorders>
            <w:vAlign w:val="center"/>
          </w:tcPr>
          <w:p w:rsidR="005D09EB" w:rsidRPr="00022044" w:rsidRDefault="00022044">
            <w:pPr>
              <w:autoSpaceDE w:val="0"/>
              <w:autoSpaceDN w:val="0"/>
              <w:adjustRightInd w:val="0"/>
              <w:spacing w:before="60" w:after="46"/>
              <w:jc w:val="center"/>
              <w:rPr>
                <w:rFonts w:ascii="Arial" w:hAnsi="Arial" w:cs="Arial"/>
                <w:b/>
                <w:bCs/>
                <w:color w:val="000000"/>
                <w:sz w:val="14"/>
                <w:szCs w:val="14"/>
              </w:rPr>
            </w:pPr>
            <w:r w:rsidRPr="00022044">
              <w:rPr>
                <w:noProof/>
                <w:lang w:eastAsia="en-GB"/>
              </w:rPr>
              <mc:AlternateContent>
                <mc:Choice Requires="wps">
                  <w:drawing>
                    <wp:anchor distT="0" distB="0" distL="114300" distR="114300" simplePos="0" relativeHeight="251659264" behindDoc="0" locked="0" layoutInCell="0" allowOverlap="1">
                      <wp:simplePos x="0" y="0"/>
                      <wp:positionH relativeFrom="column">
                        <wp:posOffset>6172200</wp:posOffset>
                      </wp:positionH>
                      <wp:positionV relativeFrom="paragraph">
                        <wp:posOffset>288290</wp:posOffset>
                      </wp:positionV>
                      <wp:extent cx="609600" cy="484505"/>
                      <wp:effectExtent l="0" t="0" r="0" b="0"/>
                      <wp:wrapNone/>
                      <wp:docPr id="706553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84505"/>
                              </a:xfrm>
                              <a:prstGeom prst="rect">
                                <a:avLst/>
                              </a:prstGeom>
                              <a:solidFill>
                                <a:srgbClr val="FFFFFF"/>
                              </a:solidFill>
                              <a:ln w="9525">
                                <a:solidFill>
                                  <a:srgbClr val="000000"/>
                                </a:solidFill>
                                <a:miter lim="800000"/>
                                <a:headEnd/>
                                <a:tailEnd/>
                              </a:ln>
                            </wps:spPr>
                            <wps:txbx>
                              <w:txbxContent>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 xml:space="preserve">status quo </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on the use of sucrose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486pt;margin-top:22.7pt;width:48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" o:allowincell="f">
                      <v:textbox>
                        <w:txbxContent>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 xml:space="preserve">status quo </w:t>
                            </w:r>
                          </w:p>
                          <w:p w:rsidR="00241F7B" w:rsidRPr="00022044" w:rsidRDefault="00241F7B">
                            <w:pPr>
                              <w:spacing w:before="0" w:after="0"/>
                              <w:ind w:left="-120" w:right="-180"/>
                              <w:jc w:val="center"/>
                              <w:rPr>
                                <w:rFonts w:ascii="Arial" w:hAnsi="Arial" w:cs="Arial"/>
                                <w:sz w:val="12"/>
                                <w:szCs w:val="12"/>
                              </w:rPr>
                            </w:pPr>
                            <w:r w:rsidRPr="00022044">
                              <w:rPr>
                                <w:rFonts w:ascii="Arial" w:hAnsi="Arial" w:cs="Arial"/>
                                <w:sz w:val="12"/>
                                <w:szCs w:val="12"/>
                              </w:rPr>
                              <w:t>on the use of sucrose</w:t>
                            </w:r>
                          </w:p>
                        </w:txbxContent>
                      </v:textbox>
                    </v:shape>
                  </w:pict>
                </mc:Fallback>
              </mc:AlternateContent>
            </w:r>
            <w:r w:rsidR="005D09EB" w:rsidRPr="00022044">
              <w:rPr>
                <w:rFonts w:ascii="Arial" w:hAnsi="Arial" w:cs="Arial"/>
                <w:b/>
                <w:bCs/>
                <w:color w:val="000000"/>
                <w:sz w:val="14"/>
                <w:szCs w:val="14"/>
                <w:u w:val="single"/>
              </w:rPr>
              <w:t>Option 4</w:t>
            </w:r>
            <w:r w:rsidR="005D09EB" w:rsidRPr="00022044">
              <w:rPr>
                <w:rFonts w:ascii="Arial" w:hAnsi="Arial" w:cs="Arial"/>
                <w:b/>
                <w:bCs/>
                <w:color w:val="000000"/>
                <w:sz w:val="14"/>
                <w:szCs w:val="14"/>
              </w:rPr>
              <w:t>:</w:t>
            </w:r>
          </w:p>
          <w:p w:rsidR="005D09EB" w:rsidRPr="00022044" w:rsidRDefault="005D09EB">
            <w:pPr>
              <w:autoSpaceDE w:val="0"/>
              <w:autoSpaceDN w:val="0"/>
              <w:adjustRightInd w:val="0"/>
              <w:spacing w:before="60" w:after="46"/>
              <w:jc w:val="center"/>
              <w:rPr>
                <w:rFonts w:ascii="Arial" w:hAnsi="Arial" w:cs="Arial"/>
                <w:b/>
                <w:bCs/>
                <w:color w:val="000000"/>
                <w:sz w:val="14"/>
                <w:szCs w:val="14"/>
              </w:rPr>
            </w:pPr>
            <w:r w:rsidRPr="00022044">
              <w:rPr>
                <w:rFonts w:ascii="Arial" w:hAnsi="Arial" w:cs="Arial"/>
                <w:b/>
                <w:bCs/>
                <w:color w:val="000000"/>
                <w:sz w:val="14"/>
                <w:szCs w:val="14"/>
              </w:rPr>
              <w:t>Deregul</w:t>
            </w:r>
            <w:r w:rsidRPr="00022044">
              <w:rPr>
                <w:rFonts w:ascii="Arial" w:hAnsi="Arial" w:cs="Arial"/>
                <w:b/>
                <w:bCs/>
                <w:color w:val="000000"/>
                <w:sz w:val="14"/>
                <w:szCs w:val="14"/>
              </w:rPr>
              <w:softHyphen/>
              <w:t xml:space="preserve">ation of the wine market </w:t>
            </w:r>
          </w:p>
        </w:tc>
        <w:tc>
          <w:tcPr>
            <w:tcW w:w="1004" w:type="dxa"/>
            <w:tcBorders>
              <w:top w:val="single" w:sz="6" w:space="0" w:color="auto"/>
              <w:left w:val="single" w:sz="18" w:space="0" w:color="auto"/>
              <w:bottom w:val="single" w:sz="18"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Abolition</w:t>
            </w:r>
          </w:p>
        </w:tc>
        <w:tc>
          <w:tcPr>
            <w:tcW w:w="1172" w:type="dxa"/>
            <w:tcBorders>
              <w:top w:val="single" w:sz="6" w:space="0" w:color="auto"/>
              <w:left w:val="single" w:sz="6" w:space="0" w:color="auto"/>
              <w:bottom w:val="single" w:sz="18"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Abolition</w:t>
            </w:r>
          </w:p>
        </w:tc>
        <w:tc>
          <w:tcPr>
            <w:tcW w:w="930" w:type="dxa"/>
            <w:tcBorders>
              <w:top w:val="single" w:sz="12" w:space="0" w:color="auto"/>
              <w:left w:val="single" w:sz="6" w:space="0" w:color="auto"/>
              <w:bottom w:val="single" w:sz="18" w:space="0" w:color="auto"/>
              <w:right w:val="single" w:sz="12"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Abolition or shift to 2nd pillar</w:t>
            </w:r>
          </w:p>
        </w:tc>
        <w:tc>
          <w:tcPr>
            <w:tcW w:w="8070" w:type="dxa"/>
            <w:gridSpan w:val="9"/>
            <w:tcBorders>
              <w:top w:val="single" w:sz="6" w:space="0" w:color="auto"/>
              <w:left w:val="single" w:sz="12" w:space="0" w:color="auto"/>
              <w:bottom w:val="single" w:sz="18"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Abolition or shift to 2nd pillar</w:t>
            </w:r>
          </w:p>
        </w:tc>
        <w:tc>
          <w:tcPr>
            <w:tcW w:w="1080" w:type="dxa"/>
            <w:tcBorders>
              <w:top w:val="single" w:sz="6" w:space="0" w:color="auto"/>
              <w:left w:val="single" w:sz="18" w:space="0" w:color="auto"/>
              <w:bottom w:val="single" w:sz="18"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OIV rules as only regulatory framework</w:t>
            </w:r>
          </w:p>
        </w:tc>
        <w:tc>
          <w:tcPr>
            <w:tcW w:w="1080" w:type="dxa"/>
            <w:tcBorders>
              <w:top w:val="single" w:sz="6" w:space="0" w:color="auto"/>
              <w:left w:val="single" w:sz="6" w:space="0" w:color="auto"/>
              <w:bottom w:val="single" w:sz="18" w:space="0" w:color="auto"/>
              <w:right w:val="single" w:sz="6"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Full integration in the PDO/PGI system</w:t>
            </w:r>
          </w:p>
        </w:tc>
        <w:tc>
          <w:tcPr>
            <w:tcW w:w="1050" w:type="dxa"/>
            <w:tcBorders>
              <w:top w:val="single" w:sz="6" w:space="0" w:color="auto"/>
              <w:left w:val="single" w:sz="6" w:space="0" w:color="auto"/>
              <w:bottom w:val="single" w:sz="18"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4"/>
                <w:szCs w:val="14"/>
              </w:rPr>
            </w:pPr>
            <w:r w:rsidRPr="00022044">
              <w:rPr>
                <w:rFonts w:ascii="Arial" w:hAnsi="Arial" w:cs="Arial"/>
                <w:color w:val="000000"/>
                <w:sz w:val="14"/>
                <w:szCs w:val="14"/>
              </w:rPr>
              <w:t>Full integration in horizontal directive of labelling of foodstuff</w:t>
            </w:r>
          </w:p>
        </w:tc>
      </w:tr>
      <w:bookmarkEnd w:id="19"/>
    </w:tbl>
    <w:p w:rsidR="005D09EB" w:rsidRPr="00022044" w:rsidRDefault="005D09EB">
      <w:pPr>
        <w:sectPr w:rsidR="005D09EB" w:rsidRPr="00022044" w:rsidSect="008C38A6">
          <w:headerReference w:type="default" r:id="rId14"/>
          <w:footerReference w:type="default" r:id="rId15"/>
          <w:headerReference w:type="first" r:id="rId16"/>
          <w:footerReference w:type="first" r:id="rId17"/>
          <w:pgSz w:w="15840" w:h="12240" w:orient="landscape" w:code="1"/>
          <w:pgMar w:top="1418" w:right="1418" w:bottom="1418" w:left="540" w:header="720" w:footer="720" w:gutter="0"/>
          <w:cols w:space="720"/>
          <w:docGrid w:linePitch="326"/>
        </w:sectPr>
      </w:pPr>
    </w:p>
    <w:p w:rsidR="005D09EB" w:rsidRPr="00022044" w:rsidRDefault="005D09EB">
      <w:pPr>
        <w:pStyle w:val="Rubrik1"/>
      </w:pPr>
      <w:bookmarkStart w:id="20" w:name="_Toc134329249"/>
      <w:r w:rsidRPr="00022044">
        <w:t>Analysis of impacts</w:t>
      </w:r>
      <w:bookmarkEnd w:id="20"/>
    </w:p>
    <w:p w:rsidR="005D09EB" w:rsidRPr="00022044" w:rsidRDefault="005D09EB">
      <w:pPr>
        <w:pStyle w:val="Rubrik2"/>
      </w:pPr>
      <w:bookmarkStart w:id="21" w:name="_Toc134329250"/>
      <w:r w:rsidRPr="00022044">
        <w:t>Economic impact</w:t>
      </w:r>
      <w:bookmarkEnd w:id="21"/>
    </w:p>
    <w:p w:rsidR="005D09EB" w:rsidRPr="00022044" w:rsidRDefault="005D09EB">
      <w:pPr>
        <w:pStyle w:val="Rubrik3"/>
      </w:pPr>
      <w:bookmarkStart w:id="22" w:name="_Toc134329251"/>
      <w:r w:rsidRPr="00022044">
        <w:t>Market balance</w:t>
      </w:r>
      <w:bookmarkEnd w:id="22"/>
    </w:p>
    <w:p w:rsidR="005D09EB" w:rsidRPr="00022044" w:rsidRDefault="005D09EB">
      <w:r w:rsidRPr="00022044">
        <w:t>In the light of the mid-term outlook for the EU-27 (see annex 1), maintaining today's wine regime (option 1), even if slightly adjusted, would lead to increasing surpluses, thus appearing unsustainable.</w:t>
      </w:r>
    </w:p>
    <w:p w:rsidR="005D09EB" w:rsidRPr="00022044" w:rsidRDefault="005D09EB">
      <w:r w:rsidRPr="00022044">
        <w:t xml:space="preserve">In all other policy options, the abolition of market measures would guarantee a better market orientation of wine production, and therefore the achievement of the equilibrium </w:t>
      </w:r>
      <w:r w:rsidRPr="00022044">
        <w:rPr>
          <w:b/>
        </w:rPr>
        <w:t>in the long term</w:t>
      </w:r>
      <w:r w:rsidRPr="00022044">
        <w:t>.</w:t>
      </w:r>
    </w:p>
    <w:p w:rsidR="005D09EB" w:rsidRPr="00022044" w:rsidRDefault="005D09EB">
      <w:r w:rsidRPr="00022044">
        <w:t xml:space="preserve">However, </w:t>
      </w:r>
      <w:r w:rsidRPr="00022044">
        <w:rPr>
          <w:b/>
        </w:rPr>
        <w:t>options 2–3–4</w:t>
      </w:r>
      <w:r w:rsidRPr="00022044">
        <w:t xml:space="preserve"> would produce different impacts on market balance </w:t>
      </w:r>
      <w:r w:rsidRPr="00022044">
        <w:rPr>
          <w:b/>
        </w:rPr>
        <w:t>in the short term</w:t>
      </w:r>
      <w:r w:rsidRPr="00022044">
        <w:t>.</w:t>
      </w:r>
    </w:p>
    <w:p w:rsidR="005D09EB" w:rsidRPr="00022044" w:rsidRDefault="005D09EB">
      <w:r w:rsidRPr="00022044">
        <w:t xml:space="preserve">In particular, </w:t>
      </w:r>
      <w:r w:rsidRPr="00022044">
        <w:rPr>
          <w:b/>
        </w:rPr>
        <w:t>option 2</w:t>
      </w:r>
      <w:r w:rsidRPr="00022044">
        <w:t xml:space="preserve"> would allow achieving the </w:t>
      </w:r>
      <w:r w:rsidRPr="00022044">
        <w:rPr>
          <w:b/>
        </w:rPr>
        <w:t>smoothest and most rapid absorption of wine surplus</w:t>
      </w:r>
      <w:r w:rsidRPr="00022044">
        <w:t xml:space="preserve">, by enhancing the reduction of production potential (grubbing-up programme) and supporting the structural adjustment in the sector. On the other hand, in </w:t>
      </w:r>
      <w:r w:rsidRPr="00022044">
        <w:rPr>
          <w:b/>
        </w:rPr>
        <w:t>options 3 and 4</w:t>
      </w:r>
      <w:r w:rsidRPr="00022044">
        <w:t xml:space="preserve">, the absence of structural measures would make the </w:t>
      </w:r>
      <w:r w:rsidRPr="00022044">
        <w:rPr>
          <w:b/>
        </w:rPr>
        <w:t>transition to the market equilibrium more difficult</w:t>
      </w:r>
      <w:r w:rsidRPr="00022044">
        <w:t>. This would produce an intense suffering for the sector, which has been relying for many decades on traditional instruments of market intervention and would now have the complete responsibility to adapt to the changed market situation.</w:t>
      </w:r>
    </w:p>
    <w:p w:rsidR="005D09EB" w:rsidRPr="00022044" w:rsidRDefault="005D09EB">
      <w:pPr>
        <w:pStyle w:val="Rubrik3"/>
      </w:pPr>
      <w:bookmarkStart w:id="23" w:name="_Toc134329252"/>
      <w:r w:rsidRPr="00022044">
        <w:t>Prices and incomes</w:t>
      </w:r>
      <w:bookmarkEnd w:id="23"/>
    </w:p>
    <w:p w:rsidR="005D09EB" w:rsidRPr="00022044" w:rsidRDefault="005D09EB">
      <w:r w:rsidRPr="00022044">
        <w:t xml:space="preserve">Under the </w:t>
      </w:r>
      <w:r w:rsidRPr="00022044">
        <w:rPr>
          <w:b/>
        </w:rPr>
        <w:t>status quo</w:t>
      </w:r>
      <w:r w:rsidRPr="00022044">
        <w:t xml:space="preserve">, growing surpluses will generate increasing pressure on intervention measures and on the EU budget. Market tools will progressively encounter difficulties in clearing effectively wine stocks. Recurrent crises would entail a </w:t>
      </w:r>
      <w:r w:rsidRPr="00022044">
        <w:rPr>
          <w:b/>
        </w:rPr>
        <w:t>deterioration of prices, and thus of farm incomes</w:t>
      </w:r>
      <w:r w:rsidRPr="00022044">
        <w:t>.</w:t>
      </w:r>
    </w:p>
    <w:p w:rsidR="005D09EB" w:rsidRPr="00022044" w:rsidRDefault="005D09EB">
      <w:r w:rsidRPr="00022044">
        <w:rPr>
          <w:b/>
        </w:rPr>
        <w:t>All other options</w:t>
      </w:r>
      <w:r w:rsidRPr="00022044">
        <w:t xml:space="preserve"> would lead, </w:t>
      </w:r>
      <w:r w:rsidRPr="00022044">
        <w:rPr>
          <w:b/>
        </w:rPr>
        <w:t>in the long term</w:t>
      </w:r>
      <w:r w:rsidRPr="00022044">
        <w:t xml:space="preserve">, to a </w:t>
      </w:r>
      <w:r w:rsidRPr="00022044">
        <w:rPr>
          <w:b/>
        </w:rPr>
        <w:t>satisfactory level of prices and incomes</w:t>
      </w:r>
      <w:r w:rsidRPr="00022044">
        <w:t>, which is a direct consequence of the achievement of market equilibrium.</w:t>
      </w:r>
    </w:p>
    <w:p w:rsidR="005D09EB" w:rsidRPr="00022044" w:rsidRDefault="005D09EB">
      <w:r w:rsidRPr="00022044">
        <w:t xml:space="preserve">However, irrespective of the policy option chosen, wine producers will have in general to face a </w:t>
      </w:r>
      <w:r w:rsidRPr="00022044">
        <w:rPr>
          <w:b/>
        </w:rPr>
        <w:t>price drop and income losses</w:t>
      </w:r>
      <w:r w:rsidRPr="00022044">
        <w:t xml:space="preserve"> </w:t>
      </w:r>
      <w:r w:rsidRPr="00022044">
        <w:rPr>
          <w:b/>
        </w:rPr>
        <w:t>in the short term</w:t>
      </w:r>
      <w:r w:rsidRPr="00022044">
        <w:t>, as the stabilisation of the market situation will require an important effort of structural adjustment.</w:t>
      </w:r>
    </w:p>
    <w:p w:rsidR="005D09EB" w:rsidRPr="00022044" w:rsidRDefault="005D09EB">
      <w:r w:rsidRPr="00022044">
        <w:t>To assess the impacts of the four policy options, a two-steps simulation was carried out:</w:t>
      </w:r>
    </w:p>
    <w:p w:rsidR="005D09EB" w:rsidRPr="00022044" w:rsidRDefault="005D09EB">
      <w:pPr>
        <w:pStyle w:val="NumPar1"/>
        <w:spacing w:before="60"/>
        <w:ind w:left="851" w:hanging="851"/>
      </w:pPr>
      <w:r w:rsidRPr="00022044">
        <w:t>on the basis of the statistical relation determined between table wine prices and total wine stocks, wine prices were extrapolated.</w:t>
      </w:r>
    </w:p>
    <w:p w:rsidR="005D09EB" w:rsidRPr="00022044" w:rsidRDefault="005D09EB">
      <w:pPr>
        <w:pStyle w:val="NumPar1"/>
        <w:spacing w:before="60"/>
        <w:ind w:left="851" w:hanging="851"/>
      </w:pPr>
      <w:r w:rsidRPr="00022044">
        <w:t>with the information of the Farm Accountancy Data Network (FADN), and based on seven “model farms”, representing the most significant typologies of table wine producers in five large wine-producing EU regions, the impact on incomes generated by the forecasted price drops was simulated.</w:t>
      </w:r>
    </w:p>
    <w:p w:rsidR="005D09EB" w:rsidRPr="00022044" w:rsidRDefault="005D09EB">
      <w:r w:rsidRPr="00022044">
        <w:t xml:space="preserve">The results of this exercise (see annexes 2 and 3) indicate that the </w:t>
      </w:r>
      <w:r w:rsidRPr="00022044">
        <w:rPr>
          <w:b/>
        </w:rPr>
        <w:t>status quo and the complete deregulation</w:t>
      </w:r>
      <w:r w:rsidRPr="00022044">
        <w:t xml:space="preserve"> would produce </w:t>
      </w:r>
      <w:r w:rsidRPr="00022044">
        <w:rPr>
          <w:b/>
        </w:rPr>
        <w:t>the most severe impacts on prices and incomes</w:t>
      </w:r>
      <w:r w:rsidRPr="00022044">
        <w:t>.</w:t>
      </w:r>
    </w:p>
    <w:p w:rsidR="005D09EB" w:rsidRPr="00022044" w:rsidRDefault="005D09EB">
      <w:r w:rsidRPr="00022044">
        <w:rPr>
          <w:b/>
        </w:rPr>
        <w:t>Option 2</w:t>
      </w:r>
      <w:r w:rsidRPr="00022044">
        <w:t xml:space="preserve"> would generally have a </w:t>
      </w:r>
      <w:r w:rsidRPr="00022044">
        <w:rPr>
          <w:b/>
        </w:rPr>
        <w:t>less pronounced impact, although still quite significant, on incomes</w:t>
      </w:r>
      <w:r w:rsidRPr="00022044">
        <w:t xml:space="preserve"> in the short term, and would ensure their rapid stabilisation over time.</w:t>
      </w:r>
    </w:p>
    <w:p w:rsidR="005D09EB" w:rsidRPr="00022044" w:rsidRDefault="005D09EB">
      <w:r w:rsidRPr="00022044">
        <w:rPr>
          <w:b/>
        </w:rPr>
        <w:t>Option 3</w:t>
      </w:r>
      <w:r w:rsidRPr="00022044">
        <w:t xml:space="preserve"> would be generally the </w:t>
      </w:r>
      <w:r w:rsidRPr="00022044">
        <w:rPr>
          <w:b/>
        </w:rPr>
        <w:t xml:space="preserve">most attractive option </w:t>
      </w:r>
      <w:r w:rsidRPr="00022044">
        <w:t>for wine producers</w:t>
      </w:r>
      <w:r w:rsidRPr="00022044">
        <w:rPr>
          <w:b/>
        </w:rPr>
        <w:t xml:space="preserve"> in the very short term</w:t>
      </w:r>
      <w:r w:rsidRPr="00022044">
        <w:t xml:space="preserve">, since the decoupled payment would initially at least compensate the drop in wine price; however, the </w:t>
      </w:r>
      <w:r w:rsidRPr="00022044">
        <w:rPr>
          <w:b/>
        </w:rPr>
        <w:t>slow recovery in the market balance</w:t>
      </w:r>
      <w:r w:rsidRPr="00022044">
        <w:t xml:space="preserve"> and the </w:t>
      </w:r>
      <w:r w:rsidRPr="00022044">
        <w:rPr>
          <w:b/>
        </w:rPr>
        <w:t>steep downward price evolution</w:t>
      </w:r>
      <w:r w:rsidRPr="00022044">
        <w:t xml:space="preserve"> could evoke a </w:t>
      </w:r>
      <w:r w:rsidRPr="00022044">
        <w:rPr>
          <w:b/>
        </w:rPr>
        <w:t>degradation of income</w:t>
      </w:r>
      <w:r w:rsidRPr="00022044">
        <w:t xml:space="preserve"> </w:t>
      </w:r>
      <w:r w:rsidRPr="00022044">
        <w:rPr>
          <w:b/>
        </w:rPr>
        <w:t>in the mid term</w:t>
      </w:r>
      <w:r w:rsidRPr="00022044">
        <w:t>.</w:t>
      </w:r>
    </w:p>
    <w:p w:rsidR="005D09EB" w:rsidRPr="00022044" w:rsidRDefault="005D09EB">
      <w:pPr>
        <w:pStyle w:val="Rubrik3"/>
      </w:pPr>
      <w:bookmarkStart w:id="24" w:name="_Toc134329253"/>
      <w:r w:rsidRPr="00022044">
        <w:t>Competitiveness</w:t>
      </w:r>
      <w:bookmarkEnd w:id="24"/>
    </w:p>
    <w:p w:rsidR="005D09EB" w:rsidRPr="00022044" w:rsidRDefault="005D09EB">
      <w:pPr>
        <w:autoSpaceDE w:val="0"/>
        <w:autoSpaceDN w:val="0"/>
        <w:adjustRightInd w:val="0"/>
        <w:spacing w:after="240"/>
        <w:rPr>
          <w:szCs w:val="26"/>
        </w:rPr>
      </w:pPr>
      <w:r w:rsidRPr="00022044">
        <w:rPr>
          <w:szCs w:val="26"/>
        </w:rPr>
        <w:t xml:space="preserve">The EU wine industry has currently </w:t>
      </w:r>
      <w:r w:rsidRPr="00022044">
        <w:rPr>
          <w:b/>
          <w:szCs w:val="26"/>
        </w:rPr>
        <w:t>some handicaps</w:t>
      </w:r>
      <w:r w:rsidRPr="00022044">
        <w:rPr>
          <w:szCs w:val="26"/>
        </w:rPr>
        <w:t xml:space="preserve"> compared to its competitors:</w:t>
      </w:r>
    </w:p>
    <w:p w:rsidR="005D09EB" w:rsidRPr="00022044" w:rsidRDefault="005D09EB">
      <w:pPr>
        <w:pStyle w:val="Tiret0"/>
        <w:spacing w:before="0" w:after="0"/>
        <w:ind w:left="851" w:hanging="851"/>
      </w:pPr>
      <w:r w:rsidRPr="00022044">
        <w:rPr>
          <w:b/>
        </w:rPr>
        <w:t>smaller production structures</w:t>
      </w:r>
      <w:r w:rsidRPr="00022044">
        <w:t>, with higher production costs and smaller volumes for the needs of large-scale retailers,</w:t>
      </w:r>
    </w:p>
    <w:p w:rsidR="005D09EB" w:rsidRPr="00022044" w:rsidRDefault="005D09EB">
      <w:pPr>
        <w:pStyle w:val="Tiret0"/>
        <w:spacing w:before="0" w:after="0"/>
        <w:ind w:left="851" w:hanging="851"/>
      </w:pPr>
      <w:r w:rsidRPr="00022044">
        <w:rPr>
          <w:b/>
        </w:rPr>
        <w:t>less dynamic marketing strategy,</w:t>
      </w:r>
    </w:p>
    <w:p w:rsidR="005D09EB" w:rsidRPr="00022044" w:rsidRDefault="005D09EB">
      <w:pPr>
        <w:pStyle w:val="Tiret0"/>
        <w:spacing w:before="0"/>
        <w:ind w:left="851" w:hanging="851"/>
      </w:pPr>
      <w:r w:rsidRPr="00022044">
        <w:rPr>
          <w:b/>
        </w:rPr>
        <w:t>higher regulatory constraints.</w:t>
      </w:r>
    </w:p>
    <w:p w:rsidR="005D09EB" w:rsidRPr="00022044" w:rsidRDefault="005D09EB">
      <w:r w:rsidRPr="00022044">
        <w:t xml:space="preserve">In this respect, </w:t>
      </w:r>
      <w:r w:rsidRPr="00022044">
        <w:rPr>
          <w:b/>
        </w:rPr>
        <w:t>option 1</w:t>
      </w:r>
      <w:r w:rsidRPr="00022044">
        <w:t xml:space="preserve"> would not improve the current problems.</w:t>
      </w:r>
    </w:p>
    <w:p w:rsidR="005D09EB" w:rsidRPr="00022044" w:rsidRDefault="005D09EB">
      <w:r w:rsidRPr="00022044">
        <w:rPr>
          <w:b/>
        </w:rPr>
        <w:t>Options 2–3–4</w:t>
      </w:r>
      <w:r w:rsidRPr="00022044">
        <w:t xml:space="preserve"> would all partly </w:t>
      </w:r>
      <w:r w:rsidRPr="00022044">
        <w:rPr>
          <w:b/>
        </w:rPr>
        <w:t>correctly address the problems</w:t>
      </w:r>
      <w:r w:rsidRPr="00022044">
        <w:t xml:space="preserve"> through:</w:t>
      </w:r>
    </w:p>
    <w:p w:rsidR="005D09EB" w:rsidRPr="00022044" w:rsidRDefault="005D09EB">
      <w:pPr>
        <w:pStyle w:val="Tiret0"/>
        <w:spacing w:before="0" w:after="0"/>
        <w:ind w:left="851" w:hanging="851"/>
      </w:pPr>
      <w:r w:rsidRPr="00022044">
        <w:t>better market orientation,</w:t>
      </w:r>
    </w:p>
    <w:p w:rsidR="005D09EB" w:rsidRPr="00022044" w:rsidRDefault="005D09EB">
      <w:pPr>
        <w:pStyle w:val="Tiret0"/>
        <w:spacing w:before="0" w:after="0"/>
        <w:ind w:left="851" w:hanging="851"/>
      </w:pPr>
      <w:r w:rsidRPr="00022044">
        <w:t>more flexibility on wine-making practices and labelling rules,</w:t>
      </w:r>
    </w:p>
    <w:p w:rsidR="005D09EB" w:rsidRPr="00022044" w:rsidRDefault="005D09EB">
      <w:pPr>
        <w:pStyle w:val="Tiret0"/>
        <w:spacing w:before="0"/>
        <w:ind w:left="851" w:hanging="851"/>
      </w:pPr>
      <w:r w:rsidRPr="00022044">
        <w:t>less regulatory constraints.</w:t>
      </w:r>
    </w:p>
    <w:p w:rsidR="005D09EB" w:rsidRPr="00022044" w:rsidRDefault="005D09EB">
      <w:r w:rsidRPr="00022044">
        <w:t xml:space="preserve">In particular, lifting the </w:t>
      </w:r>
      <w:r w:rsidRPr="00022044">
        <w:rPr>
          <w:b/>
        </w:rPr>
        <w:t>ban of new plantings would be an asset for competitiveness</w:t>
      </w:r>
      <w:r w:rsidRPr="00022044">
        <w:t>, allowing to the most efficient producers to optimise the size of their holding and to operate at the most convenient production scale.</w:t>
      </w:r>
    </w:p>
    <w:p w:rsidR="005D09EB" w:rsidRPr="00022044" w:rsidRDefault="005D09EB">
      <w:r w:rsidRPr="00022044">
        <w:t xml:space="preserve">Finally, the proposed </w:t>
      </w:r>
      <w:r w:rsidRPr="00022044">
        <w:rPr>
          <w:b/>
        </w:rPr>
        <w:t>ban on the use of sucrose</w:t>
      </w:r>
      <w:r w:rsidRPr="00022044">
        <w:t xml:space="preserve"> </w:t>
      </w:r>
      <w:r w:rsidRPr="00022044">
        <w:rPr>
          <w:b/>
        </w:rPr>
        <w:t>for enrichment could have a negative effect on the competitiveness</w:t>
      </w:r>
      <w:r w:rsidRPr="00022044">
        <w:t xml:space="preserve"> of the concerned production, as production costs could increase by 15–25%</w:t>
      </w:r>
      <w:r w:rsidRPr="00022044">
        <w:rPr>
          <w:rStyle w:val="Fotnotsreferens"/>
        </w:rPr>
        <w:footnoteReference w:id="1"/>
      </w:r>
      <w:r w:rsidRPr="00022044">
        <w:t>.</w:t>
      </w:r>
    </w:p>
    <w:p w:rsidR="005D09EB" w:rsidRPr="00022044" w:rsidRDefault="005D09EB">
      <w:pPr>
        <w:pStyle w:val="Rubrik2"/>
      </w:pPr>
      <w:bookmarkStart w:id="25" w:name="_Toc134329254"/>
      <w:r w:rsidRPr="00022044">
        <w:t>Economic and social impact on rural areas</w:t>
      </w:r>
      <w:bookmarkEnd w:id="25"/>
    </w:p>
    <w:p w:rsidR="005D09EB" w:rsidRPr="00022044" w:rsidRDefault="005D09EB">
      <w:r w:rsidRPr="00022044">
        <w:t xml:space="preserve">In </w:t>
      </w:r>
      <w:r w:rsidRPr="00022044">
        <w:rPr>
          <w:b/>
        </w:rPr>
        <w:t>option 1</w:t>
      </w:r>
      <w:r w:rsidRPr="00022044">
        <w:t xml:space="preserve">, the deterioration of the market situation in the wine sector would lead to increasing </w:t>
      </w:r>
      <w:r w:rsidRPr="00022044">
        <w:rPr>
          <w:b/>
        </w:rPr>
        <w:t>economic and social</w:t>
      </w:r>
      <w:r w:rsidRPr="00022044">
        <w:t xml:space="preserve"> </w:t>
      </w:r>
      <w:r w:rsidRPr="00022044">
        <w:rPr>
          <w:b/>
        </w:rPr>
        <w:t>difficulties in rural areas of wine regions</w:t>
      </w:r>
      <w:r w:rsidRPr="00022044">
        <w:t>.</w:t>
      </w:r>
    </w:p>
    <w:p w:rsidR="005D09EB" w:rsidRPr="00022044" w:rsidRDefault="005D09EB">
      <w:pPr>
        <w:spacing w:before="60"/>
      </w:pPr>
      <w:r w:rsidRPr="00022044">
        <w:t xml:space="preserve">With </w:t>
      </w:r>
      <w:r w:rsidRPr="00022044">
        <w:rPr>
          <w:b/>
        </w:rPr>
        <w:t>option 2</w:t>
      </w:r>
      <w:r w:rsidRPr="00022044">
        <w:t xml:space="preserve">, the smooth stabilisation of the market balance, and hence the achievement of the economic sustainability of wine production, would also have a positive economic and social impact on rural areas as a whole. Funds allocated to the national envelope and to the strengthening of Rural Development policy would </w:t>
      </w:r>
      <w:r w:rsidRPr="00022044">
        <w:rPr>
          <w:b/>
        </w:rPr>
        <w:t>facilitate the structural adjustment</w:t>
      </w:r>
      <w:r w:rsidRPr="00022044">
        <w:t xml:space="preserve"> of the sector and mitigate the effects of the downscaling of wine production.</w:t>
      </w:r>
    </w:p>
    <w:p w:rsidR="005D09EB" w:rsidRPr="00022044" w:rsidRDefault="005D09EB">
      <w:pPr>
        <w:spacing w:before="60"/>
      </w:pPr>
      <w:r w:rsidRPr="00022044">
        <w:t xml:space="preserve">In </w:t>
      </w:r>
      <w:r w:rsidRPr="00022044">
        <w:rPr>
          <w:b/>
        </w:rPr>
        <w:t>options 3 and 4</w:t>
      </w:r>
      <w:r w:rsidRPr="00022044">
        <w:t xml:space="preserve">, the lack of specific structural measures accompanying the cessation of market tools and helping the structural adjustment in the wine sector would entail </w:t>
      </w:r>
      <w:r w:rsidRPr="00022044">
        <w:rPr>
          <w:b/>
        </w:rPr>
        <w:t>significant risks for the cohesion of wine-producing regions</w:t>
      </w:r>
      <w:r w:rsidRPr="00022044">
        <w:t xml:space="preserve">. In particular, </w:t>
      </w:r>
      <w:r w:rsidRPr="00022044">
        <w:rPr>
          <w:b/>
        </w:rPr>
        <w:t>option 4</w:t>
      </w:r>
      <w:r w:rsidRPr="00022044">
        <w:t xml:space="preserve"> would produce the </w:t>
      </w:r>
      <w:r w:rsidRPr="00022044">
        <w:rPr>
          <w:b/>
        </w:rPr>
        <w:t>most radical impacts</w:t>
      </w:r>
      <w:r w:rsidRPr="00022044">
        <w:t>.</w:t>
      </w:r>
    </w:p>
    <w:p w:rsidR="005D09EB" w:rsidRPr="00022044" w:rsidRDefault="005D09EB">
      <w:pPr>
        <w:pStyle w:val="Rubrik2"/>
      </w:pPr>
      <w:bookmarkStart w:id="26" w:name="_Toc134329255"/>
      <w:r w:rsidRPr="00022044">
        <w:t>Impact on the environment</w:t>
      </w:r>
      <w:bookmarkEnd w:id="26"/>
    </w:p>
    <w:p w:rsidR="005D09EB" w:rsidRPr="00022044" w:rsidRDefault="005D09EB">
      <w:r w:rsidRPr="00022044">
        <w:t>Wine production exerts a number of environmental pressures:</w:t>
      </w:r>
    </w:p>
    <w:p w:rsidR="005D09EB" w:rsidRPr="00022044" w:rsidRDefault="005D09EB">
      <w:pPr>
        <w:pStyle w:val="Tiret0"/>
        <w:spacing w:before="0" w:after="0"/>
        <w:rPr>
          <w:lang w:eastAsia="en-GB"/>
        </w:rPr>
      </w:pPr>
      <w:r w:rsidRPr="00022044">
        <w:rPr>
          <w:lang w:eastAsia="en-GB"/>
        </w:rPr>
        <w:t>impacts on the soil (erosion, compaction, loss of organic matter),</w:t>
      </w:r>
    </w:p>
    <w:p w:rsidR="005D09EB" w:rsidRPr="00022044" w:rsidRDefault="005D09EB">
      <w:pPr>
        <w:pStyle w:val="Tiret0"/>
        <w:spacing w:before="0" w:after="0"/>
        <w:rPr>
          <w:lang w:eastAsia="en-GB"/>
        </w:rPr>
      </w:pPr>
      <w:r w:rsidRPr="00022044">
        <w:t>intense use of plant protection products (in particular fungicides),</w:t>
      </w:r>
    </w:p>
    <w:p w:rsidR="005D09EB" w:rsidRPr="00022044" w:rsidRDefault="005D09EB">
      <w:pPr>
        <w:pStyle w:val="Tiret0"/>
        <w:spacing w:before="0" w:after="0"/>
        <w:rPr>
          <w:lang w:eastAsia="en-GB"/>
        </w:rPr>
      </w:pPr>
      <w:r w:rsidRPr="00022044">
        <w:t>disposal of by-products of wine making,</w:t>
      </w:r>
    </w:p>
    <w:p w:rsidR="005D09EB" w:rsidRPr="00022044" w:rsidRDefault="005D09EB">
      <w:pPr>
        <w:pStyle w:val="Tiret0"/>
        <w:spacing w:before="0" w:after="0"/>
        <w:rPr>
          <w:lang w:eastAsia="en-GB"/>
        </w:rPr>
      </w:pPr>
      <w:r w:rsidRPr="00022044">
        <w:t>increasing use of irrigation in certain regions,</w:t>
      </w:r>
    </w:p>
    <w:p w:rsidR="005D09EB" w:rsidRPr="00022044" w:rsidRDefault="005D09EB">
      <w:pPr>
        <w:pStyle w:val="Tiret0"/>
        <w:spacing w:before="0" w:after="0"/>
        <w:rPr>
          <w:lang w:eastAsia="en-GB"/>
        </w:rPr>
      </w:pPr>
      <w:r w:rsidRPr="00022044">
        <w:t>excessive specialisation,</w:t>
      </w:r>
    </w:p>
    <w:p w:rsidR="005D09EB" w:rsidRPr="00022044" w:rsidRDefault="005D09EB">
      <w:pPr>
        <w:pStyle w:val="Tiret0"/>
        <w:spacing w:before="0"/>
        <w:ind w:left="851" w:hanging="851"/>
        <w:rPr>
          <w:u w:val="single"/>
          <w:lang w:eastAsia="en-GB"/>
        </w:rPr>
      </w:pPr>
      <w:r w:rsidRPr="00022044">
        <w:t>risks resulting from a disordered grubbing-up.</w:t>
      </w:r>
    </w:p>
    <w:p w:rsidR="005D09EB" w:rsidRPr="00022044" w:rsidRDefault="005D09EB">
      <w:r w:rsidRPr="00022044">
        <w:t>The status quo would result in the continuation of all pressures on the environment.</w:t>
      </w:r>
    </w:p>
    <w:p w:rsidR="005D09EB" w:rsidRPr="00022044" w:rsidRDefault="005D09EB">
      <w:pPr>
        <w:spacing w:before="60"/>
      </w:pPr>
      <w:r w:rsidRPr="00022044">
        <w:t xml:space="preserve">With option 2 there is </w:t>
      </w:r>
      <w:r w:rsidRPr="00022044">
        <w:rPr>
          <w:b/>
        </w:rPr>
        <w:t>no easy way to enforce the respect of the environmental baseline on the whole vine area, since</w:t>
      </w:r>
      <w:r w:rsidRPr="00022044">
        <w:t xml:space="preserve"> wine farms would not necessarily receive direct payments, which could be subject to cuts in case of non-respect of cross-compliance. However, a solution could consist in making all support measures (including those eligible to the national envelope and to Rural Development) conditional to the respect of cross-compliance obligations. The </w:t>
      </w:r>
      <w:r w:rsidRPr="00022044">
        <w:rPr>
          <w:b/>
        </w:rPr>
        <w:t>strengthening of grubbing-up</w:t>
      </w:r>
      <w:r w:rsidRPr="00022044">
        <w:t xml:space="preserve"> could have globally positive impacts on the environment, as it generally reduces monoculture. However, it could also lead to environmental risks if the land is abandoned or replaced by more intensive crops.</w:t>
      </w:r>
    </w:p>
    <w:p w:rsidR="005D09EB" w:rsidRPr="00022044" w:rsidRDefault="005D09EB">
      <w:pPr>
        <w:spacing w:before="60"/>
      </w:pPr>
      <w:r w:rsidRPr="00022044">
        <w:t xml:space="preserve">The main asset of </w:t>
      </w:r>
      <w:r w:rsidRPr="00022044">
        <w:rPr>
          <w:b/>
        </w:rPr>
        <w:t>option 3</w:t>
      </w:r>
      <w:r w:rsidRPr="00022044">
        <w:t xml:space="preserve"> consists in the fact that </w:t>
      </w:r>
      <w:r w:rsidRPr="00022044">
        <w:rPr>
          <w:b/>
        </w:rPr>
        <w:t>the environmental baseline would be automatically covered by cross compliance</w:t>
      </w:r>
      <w:r w:rsidRPr="00022044">
        <w:t>.</w:t>
      </w:r>
    </w:p>
    <w:p w:rsidR="005D09EB" w:rsidRPr="00022044" w:rsidRDefault="005D09EB">
      <w:pPr>
        <w:spacing w:before="60"/>
      </w:pPr>
      <w:r w:rsidRPr="00022044">
        <w:t xml:space="preserve">Under </w:t>
      </w:r>
      <w:r w:rsidRPr="00022044">
        <w:rPr>
          <w:b/>
        </w:rPr>
        <w:t>option 4</w:t>
      </w:r>
      <w:r w:rsidRPr="00022044">
        <w:t xml:space="preserve">, </w:t>
      </w:r>
      <w:r w:rsidRPr="00022044">
        <w:rPr>
          <w:b/>
        </w:rPr>
        <w:t>the implementation of an environmental baseline would be very difficult to achieve</w:t>
      </w:r>
      <w:r w:rsidRPr="00022044">
        <w:t>, since no support would be granted to vine growers in the framework of the wine CMO.</w:t>
      </w:r>
    </w:p>
    <w:p w:rsidR="005D09EB" w:rsidRPr="00022044" w:rsidRDefault="005D09EB">
      <w:pPr>
        <w:spacing w:before="60"/>
      </w:pPr>
      <w:r w:rsidRPr="00022044">
        <w:t xml:space="preserve">The removal of all </w:t>
      </w:r>
      <w:r w:rsidRPr="00022044">
        <w:rPr>
          <w:b/>
        </w:rPr>
        <w:t>distillation measures,</w:t>
      </w:r>
      <w:r w:rsidRPr="00022044">
        <w:t xml:space="preserve"> as under options 2–3–4, may have positive impacts on the environment, provided that that the by-products of wine-making are dealt with in a sound manner.</w:t>
      </w:r>
    </w:p>
    <w:p w:rsidR="005D09EB" w:rsidRPr="00022044" w:rsidRDefault="005D09EB">
      <w:pPr>
        <w:pStyle w:val="Rubrik2"/>
      </w:pPr>
      <w:bookmarkStart w:id="27" w:name="_Toc134329256"/>
      <w:r w:rsidRPr="00022044">
        <w:t>Impact on trade and WTO conformity</w:t>
      </w:r>
      <w:bookmarkEnd w:id="27"/>
    </w:p>
    <w:p w:rsidR="005D09EB" w:rsidRPr="00022044" w:rsidRDefault="005D09EB">
      <w:pPr>
        <w:keepNext/>
      </w:pPr>
      <w:r w:rsidRPr="00022044">
        <w:t>For the wine sector, the main issues at stake in the context of the WTO are:</w:t>
      </w:r>
    </w:p>
    <w:p w:rsidR="005D09EB" w:rsidRPr="00022044" w:rsidRDefault="005D09EB">
      <w:pPr>
        <w:pStyle w:val="Tiret0"/>
        <w:spacing w:before="0" w:after="0"/>
      </w:pPr>
      <w:r w:rsidRPr="00022044">
        <w:rPr>
          <w:b/>
        </w:rPr>
        <w:t>internal support</w:t>
      </w:r>
      <w:r w:rsidRPr="00022044">
        <w:t>:</w:t>
      </w:r>
      <w:r w:rsidRPr="00022044">
        <w:tab/>
      </w:r>
      <w:r w:rsidRPr="00022044">
        <w:br/>
        <w:t>large part of the annual wine CMO expenditure is classified as amber box, that is the most trade distorting type of support.</w:t>
      </w:r>
    </w:p>
    <w:p w:rsidR="005D09EB" w:rsidRPr="00022044" w:rsidRDefault="005D09EB">
      <w:pPr>
        <w:pStyle w:val="Tiret0"/>
        <w:spacing w:before="0" w:after="0"/>
      </w:pPr>
      <w:r w:rsidRPr="00022044">
        <w:rPr>
          <w:b/>
        </w:rPr>
        <w:t>quality policy/GIs</w:t>
      </w:r>
      <w:r w:rsidRPr="00022044">
        <w:t>:</w:t>
      </w:r>
      <w:r w:rsidRPr="00022044">
        <w:tab/>
      </w:r>
      <w:r w:rsidRPr="00022044">
        <w:br/>
        <w:t>the existing quality regulatory framework does not allow an optimal international protection of our geographical indications under WTO-TRIPS Agreement.</w:t>
      </w:r>
    </w:p>
    <w:p w:rsidR="005D09EB" w:rsidRPr="00022044" w:rsidRDefault="005D09EB">
      <w:pPr>
        <w:pStyle w:val="Tiret0"/>
        <w:spacing w:before="0"/>
      </w:pPr>
      <w:r w:rsidRPr="00022044">
        <w:rPr>
          <w:b/>
        </w:rPr>
        <w:t>labelling provisions</w:t>
      </w:r>
      <w:r w:rsidRPr="00022044">
        <w:t>:</w:t>
      </w:r>
      <w:r w:rsidRPr="00022044">
        <w:tab/>
      </w:r>
      <w:r w:rsidRPr="00022044">
        <w:br/>
        <w:t>our rules are considered discriminatory from non-EU countries.</w:t>
      </w:r>
    </w:p>
    <w:p w:rsidR="005D09EB" w:rsidRPr="00022044" w:rsidRDefault="005D09EB">
      <w:r w:rsidRPr="00022044">
        <w:t xml:space="preserve">With </w:t>
      </w:r>
      <w:r w:rsidRPr="00022044">
        <w:rPr>
          <w:b/>
        </w:rPr>
        <w:t>option 1</w:t>
      </w:r>
      <w:r w:rsidRPr="00022044">
        <w:t xml:space="preserve"> almost all WTO problems of the existing wine regime would remain unsolved; therefore </w:t>
      </w:r>
      <w:r w:rsidRPr="00022044">
        <w:rPr>
          <w:b/>
        </w:rPr>
        <w:t>many provisions of the CMO could be under attack in future</w:t>
      </w:r>
      <w:r w:rsidRPr="00022044">
        <w:t>.</w:t>
      </w:r>
    </w:p>
    <w:p w:rsidR="005D09EB" w:rsidRPr="00022044" w:rsidRDefault="005D09EB">
      <w:pPr>
        <w:spacing w:before="60"/>
      </w:pPr>
      <w:r w:rsidRPr="00022044">
        <w:rPr>
          <w:b/>
        </w:rPr>
        <w:t>All other options</w:t>
      </w:r>
      <w:r w:rsidRPr="00022044">
        <w:t xml:space="preserve"> would be </w:t>
      </w:r>
      <w:r w:rsidRPr="00022044">
        <w:rPr>
          <w:b/>
        </w:rPr>
        <w:t>completely WTO-friendly</w:t>
      </w:r>
      <w:r w:rsidRPr="00022044">
        <w:t>, although for the national envelope under option 2 the Green Box status should be verified on the basis of the concrete application of the eligible measures.</w:t>
      </w:r>
    </w:p>
    <w:p w:rsidR="005D09EB" w:rsidRPr="00022044" w:rsidRDefault="005D09EB">
      <w:pPr>
        <w:pStyle w:val="Rubrik2"/>
      </w:pPr>
      <w:bookmarkStart w:id="28" w:name="_Toc134329257"/>
      <w:r w:rsidRPr="00022044">
        <w:t>Impact on wine quality, health and consumer protection</w:t>
      </w:r>
      <w:bookmarkEnd w:id="28"/>
    </w:p>
    <w:p w:rsidR="005D09EB" w:rsidRPr="00022044" w:rsidRDefault="005D09EB">
      <w:pPr>
        <w:pStyle w:val="Rubrik3"/>
      </w:pPr>
      <w:bookmarkStart w:id="29" w:name="_Toc134329258"/>
      <w:r w:rsidRPr="00022044">
        <w:t>Wine quality</w:t>
      </w:r>
      <w:bookmarkEnd w:id="29"/>
    </w:p>
    <w:p w:rsidR="005D09EB" w:rsidRPr="00022044" w:rsidRDefault="005D09EB">
      <w:r w:rsidRPr="00022044">
        <w:rPr>
          <w:b/>
        </w:rPr>
        <w:t>Option 1</w:t>
      </w:r>
      <w:r w:rsidRPr="00022044">
        <w:t xml:space="preserve"> would not have impacts on wine quality.</w:t>
      </w:r>
    </w:p>
    <w:p w:rsidR="005D09EB" w:rsidRPr="00022044" w:rsidRDefault="005D09EB">
      <w:pPr>
        <w:spacing w:before="60"/>
      </w:pPr>
      <w:r w:rsidRPr="00022044">
        <w:t xml:space="preserve">Under the </w:t>
      </w:r>
      <w:r w:rsidRPr="00022044">
        <w:rPr>
          <w:b/>
        </w:rPr>
        <w:t>options 2–3–4</w:t>
      </w:r>
      <w:r w:rsidRPr="00022044">
        <w:t xml:space="preserve">, the better market orientation achieved through the abolition of market measures should tend to </w:t>
      </w:r>
      <w:r w:rsidRPr="00022044">
        <w:rPr>
          <w:b/>
        </w:rPr>
        <w:t>favour the segment of higher quality wines</w:t>
      </w:r>
      <w:r w:rsidRPr="00022044">
        <w:t>.</w:t>
      </w:r>
    </w:p>
    <w:p w:rsidR="005D09EB" w:rsidRPr="00022044" w:rsidRDefault="005D09EB">
      <w:pPr>
        <w:pStyle w:val="Rubrik3"/>
      </w:pPr>
      <w:bookmarkStart w:id="30" w:name="_Toc134329259"/>
      <w:r w:rsidRPr="00022044">
        <w:t>Health and consumer protection</w:t>
      </w:r>
      <w:bookmarkEnd w:id="30"/>
    </w:p>
    <w:p w:rsidR="005D09EB" w:rsidRPr="00022044" w:rsidRDefault="005D09EB">
      <w:r w:rsidRPr="00022044">
        <w:t xml:space="preserve">In the existing wine CMO, </w:t>
      </w:r>
      <w:r w:rsidRPr="00022044">
        <w:rPr>
          <w:b/>
        </w:rPr>
        <w:t>potable alcohol distillation</w:t>
      </w:r>
      <w:r w:rsidRPr="00022044">
        <w:t xml:space="preserve"> has a negative impact on public health, because it subsidises the transformation of wine into a beverage with higher alcohol content. By allowing the production of wine spirits at lower costs, it encourages their consumption, which is in conflict with health concerns.</w:t>
      </w:r>
    </w:p>
    <w:p w:rsidR="005D09EB" w:rsidRPr="00022044" w:rsidRDefault="005D09EB">
      <w:pPr>
        <w:spacing w:before="60"/>
      </w:pPr>
      <w:r w:rsidRPr="00022044">
        <w:t xml:space="preserve">In </w:t>
      </w:r>
      <w:r w:rsidRPr="00022044">
        <w:rPr>
          <w:b/>
        </w:rPr>
        <w:t>option 1</w:t>
      </w:r>
      <w:r w:rsidRPr="00022044">
        <w:t xml:space="preserve">, subsidies to potable alcohol distillation are maintained or only partly reduced, so that the </w:t>
      </w:r>
      <w:r w:rsidRPr="00022044">
        <w:rPr>
          <w:b/>
        </w:rPr>
        <w:t>inconsistency with public health policy</w:t>
      </w:r>
      <w:r w:rsidRPr="00022044">
        <w:t xml:space="preserve"> would remain.</w:t>
      </w:r>
    </w:p>
    <w:p w:rsidR="005D09EB" w:rsidRPr="00022044" w:rsidRDefault="005D09EB">
      <w:pPr>
        <w:spacing w:before="60"/>
      </w:pPr>
      <w:r w:rsidRPr="00022044">
        <w:t xml:space="preserve">In </w:t>
      </w:r>
      <w:r w:rsidRPr="00022044">
        <w:rPr>
          <w:b/>
        </w:rPr>
        <w:t>options 2–3–4</w:t>
      </w:r>
      <w:r w:rsidRPr="00022044">
        <w:t xml:space="preserve">, the abolition of the subsidised potable alcohol distillation and, more in general, the aim of reducing surpluses through a better market orientation of the production, are likely to have a </w:t>
      </w:r>
      <w:r w:rsidRPr="00022044">
        <w:rPr>
          <w:b/>
        </w:rPr>
        <w:t>positive impact on public health</w:t>
      </w:r>
      <w:r w:rsidRPr="00022044">
        <w:t>. Option 2 would allow the most rapid absorption of the wine surplus.</w:t>
      </w:r>
    </w:p>
    <w:p w:rsidR="005D09EB" w:rsidRPr="00022044" w:rsidRDefault="005D09EB">
      <w:pPr>
        <w:spacing w:before="60"/>
      </w:pPr>
      <w:r w:rsidRPr="00022044">
        <w:t xml:space="preserve">Moreover, the simplifications proposed for the quality policy, geographical indication system and labelling rules, as well as </w:t>
      </w:r>
      <w:r w:rsidRPr="00022044">
        <w:rPr>
          <w:rFonts w:cs="Courier New"/>
        </w:rPr>
        <w:t xml:space="preserve">education and information campaigns under option 2, </w:t>
      </w:r>
      <w:r w:rsidRPr="00022044">
        <w:t xml:space="preserve">could </w:t>
      </w:r>
      <w:r w:rsidRPr="00022044">
        <w:rPr>
          <w:b/>
        </w:rPr>
        <w:t>enhance transparency for the consumers</w:t>
      </w:r>
      <w:r w:rsidRPr="00022044">
        <w:t>.</w:t>
      </w:r>
    </w:p>
    <w:p w:rsidR="005D09EB" w:rsidRPr="00022044" w:rsidRDefault="005D09EB">
      <w:pPr>
        <w:pStyle w:val="Rubrik2"/>
      </w:pPr>
      <w:bookmarkStart w:id="31" w:name="_Toc134329260"/>
      <w:r w:rsidRPr="00022044">
        <w:t>Impact on management efficiency</w:t>
      </w:r>
      <w:bookmarkEnd w:id="31"/>
    </w:p>
    <w:p w:rsidR="005D09EB" w:rsidRPr="00022044" w:rsidRDefault="005D09EB">
      <w:pPr>
        <w:spacing w:after="240"/>
        <w:rPr>
          <w:lang w:eastAsia="en-US"/>
        </w:rPr>
      </w:pPr>
      <w:r w:rsidRPr="00022044">
        <w:rPr>
          <w:b/>
          <w:lang w:eastAsia="en-US"/>
        </w:rPr>
        <w:t>Management efficiency</w:t>
      </w:r>
      <w:r w:rsidRPr="00022044">
        <w:rPr>
          <w:lang w:eastAsia="en-US"/>
        </w:rPr>
        <w:t xml:space="preserve"> can be increased through a </w:t>
      </w:r>
      <w:r w:rsidRPr="00022044">
        <w:rPr>
          <w:b/>
          <w:lang w:eastAsia="en-US"/>
        </w:rPr>
        <w:t>simplification</w:t>
      </w:r>
      <w:r w:rsidRPr="00022044">
        <w:rPr>
          <w:lang w:eastAsia="en-US"/>
        </w:rPr>
        <w:t xml:space="preserve"> of the regulatory framework, which would facilitate the implementation of the system and controls, thus limiting the risks of frauds and misuse of public funding, and reduce administrative and statistical monitoring costs. A further contribution to efficiency is provided by a higher level of </w:t>
      </w:r>
      <w:r w:rsidRPr="00022044">
        <w:rPr>
          <w:b/>
          <w:lang w:eastAsia="en-US"/>
        </w:rPr>
        <w:t>subsidiarity</w:t>
      </w:r>
      <w:r w:rsidRPr="00022044">
        <w:rPr>
          <w:lang w:eastAsia="en-US"/>
        </w:rPr>
        <w:t xml:space="preserve"> to respond, at MS level, to specific policy needs.</w:t>
      </w:r>
    </w:p>
    <w:p w:rsidR="005D09EB" w:rsidRPr="00022044" w:rsidRDefault="005D09EB">
      <w:pPr>
        <w:spacing w:before="60"/>
        <w:rPr>
          <w:lang w:eastAsia="en-US"/>
        </w:rPr>
      </w:pPr>
      <w:r w:rsidRPr="00022044">
        <w:rPr>
          <w:b/>
          <w:lang w:eastAsia="en-US"/>
        </w:rPr>
        <w:t>Option 1</w:t>
      </w:r>
      <w:r w:rsidRPr="00022044">
        <w:rPr>
          <w:lang w:eastAsia="en-US"/>
        </w:rPr>
        <w:t xml:space="preserve"> would globally bring </w:t>
      </w:r>
      <w:r w:rsidRPr="00022044">
        <w:rPr>
          <w:b/>
          <w:lang w:eastAsia="en-US"/>
        </w:rPr>
        <w:t>no improvements</w:t>
      </w:r>
      <w:r w:rsidRPr="00022044">
        <w:rPr>
          <w:lang w:eastAsia="en-US"/>
        </w:rPr>
        <w:t xml:space="preserve"> </w:t>
      </w:r>
      <w:r w:rsidRPr="00022044">
        <w:rPr>
          <w:b/>
          <w:lang w:eastAsia="en-US"/>
        </w:rPr>
        <w:t>in management efficiency</w:t>
      </w:r>
      <w:r w:rsidRPr="00022044">
        <w:rPr>
          <w:lang w:eastAsia="en-US"/>
        </w:rPr>
        <w:t>, while budgetary resources allocated to the wine sector would be subject to increasing pressure.</w:t>
      </w:r>
    </w:p>
    <w:p w:rsidR="005D09EB" w:rsidRPr="00022044" w:rsidRDefault="005D09EB">
      <w:pPr>
        <w:spacing w:before="60"/>
        <w:rPr>
          <w:lang w:eastAsia="en-US"/>
        </w:rPr>
      </w:pPr>
      <w:r w:rsidRPr="00022044">
        <w:rPr>
          <w:b/>
          <w:lang w:eastAsia="en-US"/>
        </w:rPr>
        <w:t>The other three options would have positive impacts</w:t>
      </w:r>
      <w:r w:rsidRPr="00022044">
        <w:rPr>
          <w:lang w:eastAsia="en-US"/>
        </w:rPr>
        <w:t>, although to a different extent.</w:t>
      </w:r>
    </w:p>
    <w:p w:rsidR="005D09EB" w:rsidRPr="00022044" w:rsidRDefault="005D09EB">
      <w:pPr>
        <w:spacing w:before="60"/>
        <w:rPr>
          <w:lang w:eastAsia="en-US"/>
        </w:rPr>
      </w:pPr>
      <w:r w:rsidRPr="00022044">
        <w:rPr>
          <w:b/>
          <w:lang w:eastAsia="en-US"/>
        </w:rPr>
        <w:t>Options 2</w:t>
      </w:r>
      <w:r w:rsidRPr="00022044">
        <w:rPr>
          <w:lang w:eastAsia="en-US"/>
        </w:rPr>
        <w:t xml:space="preserve"> would provide for </w:t>
      </w:r>
      <w:r w:rsidRPr="00022044">
        <w:rPr>
          <w:b/>
          <w:lang w:eastAsia="en-US"/>
        </w:rPr>
        <w:t>important simplification</w:t>
      </w:r>
      <w:r w:rsidRPr="00022044">
        <w:rPr>
          <w:lang w:eastAsia="en-US"/>
        </w:rPr>
        <w:t xml:space="preserve"> due to the abolition, in some case after a transitional period, of some complex measures (planting rights, distillations, wine private storage and alcohol public storage). It would also </w:t>
      </w:r>
      <w:r w:rsidRPr="00022044">
        <w:rPr>
          <w:b/>
          <w:lang w:eastAsia="en-US"/>
        </w:rPr>
        <w:t>increase the level of subsidiarity</w:t>
      </w:r>
      <w:r w:rsidRPr="00022044">
        <w:rPr>
          <w:lang w:eastAsia="en-US"/>
        </w:rPr>
        <w:t xml:space="preserve"> by introducing a national envelope, allowing Member States to choose between a set of alternative measures, and increasing the funds to Rural Development in wine regions.</w:t>
      </w:r>
    </w:p>
    <w:p w:rsidR="005D09EB" w:rsidRPr="00022044" w:rsidRDefault="005D09EB">
      <w:pPr>
        <w:spacing w:before="60"/>
        <w:rPr>
          <w:lang w:eastAsia="en-US"/>
        </w:rPr>
      </w:pPr>
      <w:r w:rsidRPr="00022044">
        <w:rPr>
          <w:b/>
          <w:lang w:eastAsia="en-US"/>
        </w:rPr>
        <w:t>Option 3</w:t>
      </w:r>
      <w:r w:rsidRPr="00022044">
        <w:rPr>
          <w:lang w:eastAsia="en-US"/>
        </w:rPr>
        <w:t xml:space="preserve"> would provide for higher </w:t>
      </w:r>
      <w:r w:rsidRPr="00022044">
        <w:rPr>
          <w:b/>
          <w:lang w:eastAsia="en-US"/>
        </w:rPr>
        <w:t>simplification</w:t>
      </w:r>
      <w:r w:rsidRPr="00022044">
        <w:rPr>
          <w:lang w:eastAsia="en-US"/>
        </w:rPr>
        <w:t xml:space="preserve">, as the introduction of the Single Payment Scheme (SPS) and the end of crop specific measures would allow a reduction in the complexity of the regime. In terms of </w:t>
      </w:r>
      <w:r w:rsidRPr="00022044">
        <w:rPr>
          <w:b/>
          <w:lang w:eastAsia="en-US"/>
        </w:rPr>
        <w:t>subsidiarity</w:t>
      </w:r>
      <w:r w:rsidRPr="00022044">
        <w:rPr>
          <w:lang w:eastAsia="en-US"/>
        </w:rPr>
        <w:t xml:space="preserve">, </w:t>
      </w:r>
      <w:r w:rsidRPr="00022044">
        <w:rPr>
          <w:b/>
          <w:lang w:eastAsia="en-US"/>
        </w:rPr>
        <w:t>certain flexibility</w:t>
      </w:r>
      <w:r w:rsidRPr="00022044">
        <w:rPr>
          <w:lang w:eastAsia="en-US"/>
        </w:rPr>
        <w:t xml:space="preserve"> would be granted through a specific implementation of the SPS system.</w:t>
      </w:r>
    </w:p>
    <w:p w:rsidR="005D09EB" w:rsidRPr="00022044" w:rsidRDefault="005D09EB">
      <w:pPr>
        <w:spacing w:before="60"/>
        <w:rPr>
          <w:lang w:eastAsia="en-US"/>
        </w:rPr>
      </w:pPr>
      <w:r w:rsidRPr="00022044">
        <w:rPr>
          <w:b/>
          <w:lang w:eastAsia="en-US"/>
        </w:rPr>
        <w:t>Option 4</w:t>
      </w:r>
      <w:r w:rsidRPr="00022044">
        <w:rPr>
          <w:lang w:eastAsia="en-US"/>
        </w:rPr>
        <w:t xml:space="preserve"> would allow a </w:t>
      </w:r>
      <w:r w:rsidRPr="00022044">
        <w:rPr>
          <w:b/>
          <w:lang w:eastAsia="en-US"/>
        </w:rPr>
        <w:t>radical legal simplification</w:t>
      </w:r>
      <w:r w:rsidRPr="00022044">
        <w:rPr>
          <w:lang w:eastAsia="en-US"/>
        </w:rPr>
        <w:t xml:space="preserve"> and a reduction of budget needs, although the socio-economic consequences of this option, in particular for acceding Member States, would entail budgetary risks in the long term.</w:t>
      </w:r>
    </w:p>
    <w:p w:rsidR="005D09EB" w:rsidRPr="00022044" w:rsidRDefault="005D09EB">
      <w:pPr>
        <w:pStyle w:val="Rubrik1"/>
      </w:pPr>
      <w:bookmarkStart w:id="32" w:name="_Toc134329261"/>
      <w:r w:rsidRPr="00022044">
        <w:t>Comparing the options</w:t>
      </w:r>
      <w:bookmarkEnd w:id="32"/>
    </w:p>
    <w:p w:rsidR="005D09EB" w:rsidRPr="00022044" w:rsidRDefault="005D09EB">
      <w:bookmarkStart w:id="33" w:name="OLE_LINK9"/>
      <w:bookmarkStart w:id="34" w:name="OLE_LINK10"/>
      <w:r w:rsidRPr="00022044">
        <w:t>Table 2 summarises the various impacts of the different policy options</w:t>
      </w:r>
      <w:bookmarkEnd w:id="33"/>
      <w:bookmarkEnd w:id="34"/>
      <w:r w:rsidRPr="00022044">
        <w:t>.</w:t>
      </w:r>
    </w:p>
    <w:p w:rsidR="005D09EB" w:rsidRPr="00022044" w:rsidRDefault="005D09EB">
      <w:pPr>
        <w:pStyle w:val="Text1"/>
        <w:sectPr w:rsidR="005D09EB" w:rsidRPr="00022044" w:rsidSect="008C38A6">
          <w:headerReference w:type="default" r:id="rId18"/>
          <w:footerReference w:type="default" r:id="rId19"/>
          <w:headerReference w:type="first" r:id="rId20"/>
          <w:footerReference w:type="first" r:id="rId21"/>
          <w:pgSz w:w="12240" w:h="15840" w:code="1"/>
          <w:pgMar w:top="1418" w:right="1418" w:bottom="1418" w:left="1418" w:header="720" w:footer="720" w:gutter="0"/>
          <w:cols w:space="720"/>
          <w:docGrid w:linePitch="326"/>
        </w:sectPr>
      </w:pPr>
    </w:p>
    <w:p w:rsidR="005D09EB" w:rsidRPr="00022044" w:rsidRDefault="005D09EB">
      <w:pPr>
        <w:pStyle w:val="NormalCentered"/>
        <w:keepNext/>
        <w:rPr>
          <w:b/>
          <w:bCs/>
        </w:rPr>
      </w:pPr>
      <w:r w:rsidRPr="00022044">
        <w:rPr>
          <w:b/>
          <w:bCs/>
        </w:rPr>
        <w:t>Table 2: Overview on the impacts of the options</w:t>
      </w:r>
    </w:p>
    <w:tbl>
      <w:tblPr>
        <w:tblW w:w="15300" w:type="dxa"/>
        <w:jc w:val="center"/>
        <w:tblLayout w:type="fixed"/>
        <w:tblLook w:val="0000" w:firstRow="0" w:lastRow="0" w:firstColumn="0" w:lastColumn="0" w:noHBand="0" w:noVBand="0"/>
      </w:tblPr>
      <w:tblGrid>
        <w:gridCol w:w="1905"/>
        <w:gridCol w:w="2724"/>
        <w:gridCol w:w="3440"/>
        <w:gridCol w:w="3499"/>
        <w:gridCol w:w="3732"/>
      </w:tblGrid>
      <w:tr w:rsidR="005D09EB" w:rsidRPr="00022044">
        <w:tblPrEx>
          <w:tblCellMar>
            <w:top w:w="0" w:type="dxa"/>
            <w:bottom w:w="0" w:type="dxa"/>
          </w:tblCellMar>
        </w:tblPrEx>
        <w:trPr>
          <w:trHeight w:val="20"/>
          <w:jc w:val="center"/>
        </w:trPr>
        <w:tc>
          <w:tcPr>
            <w:tcW w:w="1905" w:type="dxa"/>
            <w:tcBorders>
              <w:top w:val="single" w:sz="18" w:space="0" w:color="auto"/>
              <w:left w:val="single" w:sz="18" w:space="0" w:color="auto"/>
              <w:right w:val="single" w:sz="18" w:space="0" w:color="auto"/>
            </w:tcBorders>
            <w:shd w:val="solid" w:color="C0C0C0" w:fill="auto"/>
            <w:vAlign w:val="center"/>
          </w:tcPr>
          <w:p w:rsidR="005D09EB" w:rsidRPr="00022044" w:rsidRDefault="005D09EB">
            <w:pPr>
              <w:autoSpaceDE w:val="0"/>
              <w:autoSpaceDN w:val="0"/>
              <w:adjustRightInd w:val="0"/>
              <w:spacing w:before="60" w:after="46"/>
              <w:jc w:val="center"/>
              <w:rPr>
                <w:rFonts w:ascii="Arial" w:hAnsi="Arial" w:cs="Arial"/>
                <w:b/>
                <w:bCs/>
                <w:color w:val="000000"/>
                <w:sz w:val="16"/>
                <w:szCs w:val="16"/>
              </w:rPr>
            </w:pPr>
            <w:r w:rsidRPr="00022044">
              <w:rPr>
                <w:rFonts w:ascii="Arial" w:hAnsi="Arial" w:cs="Arial"/>
                <w:b/>
                <w:bCs/>
                <w:color w:val="000000"/>
                <w:sz w:val="16"/>
                <w:szCs w:val="16"/>
              </w:rPr>
              <w:t>SUMMARY IMPACTS</w:t>
            </w:r>
          </w:p>
        </w:tc>
        <w:tc>
          <w:tcPr>
            <w:tcW w:w="2724" w:type="dxa"/>
            <w:tcBorders>
              <w:top w:val="single" w:sz="18" w:space="0" w:color="auto"/>
              <w:left w:val="single" w:sz="18" w:space="0" w:color="auto"/>
              <w:right w:val="single" w:sz="18" w:space="0" w:color="auto"/>
            </w:tcBorders>
            <w:shd w:val="solid" w:color="C0C0C0" w:fill="auto"/>
            <w:vAlign w:val="center"/>
          </w:tcPr>
          <w:p w:rsidR="005D09EB" w:rsidRPr="00022044" w:rsidRDefault="005D09EB">
            <w:pPr>
              <w:autoSpaceDE w:val="0"/>
              <w:autoSpaceDN w:val="0"/>
              <w:adjustRightInd w:val="0"/>
              <w:spacing w:before="60" w:after="46"/>
              <w:jc w:val="center"/>
              <w:rPr>
                <w:rFonts w:ascii="Arial" w:hAnsi="Arial" w:cs="Arial"/>
                <w:b/>
                <w:bCs/>
                <w:color w:val="000000"/>
                <w:sz w:val="16"/>
                <w:szCs w:val="16"/>
              </w:rPr>
            </w:pPr>
            <w:r w:rsidRPr="00022044">
              <w:rPr>
                <w:rFonts w:ascii="Arial" w:hAnsi="Arial" w:cs="Arial"/>
                <w:b/>
                <w:bCs/>
                <w:color w:val="000000"/>
                <w:sz w:val="16"/>
                <w:szCs w:val="16"/>
                <w:u w:val="single"/>
              </w:rPr>
              <w:t>Option 1</w:t>
            </w:r>
            <w:r w:rsidRPr="00022044">
              <w:rPr>
                <w:rFonts w:ascii="Arial" w:hAnsi="Arial" w:cs="Arial"/>
                <w:b/>
                <w:bCs/>
                <w:color w:val="000000"/>
                <w:sz w:val="16"/>
                <w:szCs w:val="16"/>
              </w:rPr>
              <w:t>: Improved status quo</w:t>
            </w:r>
          </w:p>
        </w:tc>
        <w:tc>
          <w:tcPr>
            <w:tcW w:w="3440" w:type="dxa"/>
            <w:tcBorders>
              <w:top w:val="single" w:sz="18" w:space="0" w:color="auto"/>
              <w:left w:val="single" w:sz="18" w:space="0" w:color="auto"/>
              <w:right w:val="single" w:sz="18" w:space="0" w:color="auto"/>
            </w:tcBorders>
            <w:shd w:val="solid" w:color="C0C0C0" w:fill="auto"/>
            <w:vAlign w:val="center"/>
          </w:tcPr>
          <w:p w:rsidR="005D09EB" w:rsidRPr="00022044" w:rsidRDefault="005D09EB">
            <w:pPr>
              <w:autoSpaceDE w:val="0"/>
              <w:autoSpaceDN w:val="0"/>
              <w:adjustRightInd w:val="0"/>
              <w:spacing w:before="60" w:after="46"/>
              <w:jc w:val="center"/>
              <w:rPr>
                <w:rFonts w:ascii="Arial" w:hAnsi="Arial" w:cs="Arial"/>
                <w:b/>
                <w:bCs/>
                <w:color w:val="000000"/>
                <w:sz w:val="16"/>
                <w:szCs w:val="16"/>
              </w:rPr>
            </w:pPr>
            <w:r w:rsidRPr="00022044">
              <w:rPr>
                <w:rFonts w:ascii="Arial" w:hAnsi="Arial" w:cs="Arial"/>
                <w:b/>
                <w:bCs/>
                <w:color w:val="000000"/>
                <w:sz w:val="16"/>
                <w:szCs w:val="16"/>
                <w:u w:val="single"/>
              </w:rPr>
              <w:t>Option 2</w:t>
            </w:r>
            <w:r w:rsidRPr="00022044">
              <w:rPr>
                <w:rFonts w:ascii="Arial" w:hAnsi="Arial" w:cs="Arial"/>
                <w:b/>
                <w:bCs/>
                <w:color w:val="000000"/>
                <w:sz w:val="16"/>
                <w:szCs w:val="16"/>
              </w:rPr>
              <w:t>: Profound reform of the CMO</w:t>
            </w:r>
          </w:p>
        </w:tc>
        <w:tc>
          <w:tcPr>
            <w:tcW w:w="3499" w:type="dxa"/>
            <w:tcBorders>
              <w:top w:val="single" w:sz="18" w:space="0" w:color="auto"/>
              <w:left w:val="single" w:sz="18" w:space="0" w:color="auto"/>
              <w:right w:val="single" w:sz="18" w:space="0" w:color="auto"/>
            </w:tcBorders>
            <w:shd w:val="solid" w:color="C0C0C0" w:fill="auto"/>
            <w:vAlign w:val="center"/>
          </w:tcPr>
          <w:p w:rsidR="005D09EB" w:rsidRPr="00022044" w:rsidRDefault="005D09EB">
            <w:pPr>
              <w:autoSpaceDE w:val="0"/>
              <w:autoSpaceDN w:val="0"/>
              <w:adjustRightInd w:val="0"/>
              <w:spacing w:before="60" w:after="46"/>
              <w:jc w:val="center"/>
              <w:rPr>
                <w:rFonts w:ascii="Arial" w:hAnsi="Arial" w:cs="Arial"/>
                <w:b/>
                <w:bCs/>
                <w:color w:val="000000"/>
                <w:sz w:val="16"/>
                <w:szCs w:val="16"/>
              </w:rPr>
            </w:pPr>
            <w:r w:rsidRPr="00022044">
              <w:rPr>
                <w:rFonts w:ascii="Arial" w:hAnsi="Arial" w:cs="Arial"/>
                <w:b/>
                <w:bCs/>
                <w:color w:val="000000"/>
                <w:sz w:val="16"/>
                <w:szCs w:val="16"/>
                <w:u w:val="single"/>
              </w:rPr>
              <w:t>Option 3</w:t>
            </w:r>
            <w:r w:rsidRPr="00022044">
              <w:rPr>
                <w:rFonts w:ascii="Arial" w:hAnsi="Arial" w:cs="Arial"/>
                <w:b/>
                <w:bCs/>
                <w:color w:val="000000"/>
                <w:sz w:val="16"/>
                <w:szCs w:val="16"/>
              </w:rPr>
              <w:t>: Reform along CAP reform lines</w:t>
            </w:r>
          </w:p>
        </w:tc>
        <w:tc>
          <w:tcPr>
            <w:tcW w:w="3732" w:type="dxa"/>
            <w:tcBorders>
              <w:top w:val="single" w:sz="18" w:space="0" w:color="auto"/>
              <w:left w:val="single" w:sz="18" w:space="0" w:color="auto"/>
              <w:right w:val="single" w:sz="18" w:space="0" w:color="auto"/>
            </w:tcBorders>
            <w:shd w:val="solid" w:color="C0C0C0" w:fill="auto"/>
            <w:vAlign w:val="center"/>
          </w:tcPr>
          <w:p w:rsidR="005D09EB" w:rsidRPr="00022044" w:rsidRDefault="005D09EB">
            <w:pPr>
              <w:autoSpaceDE w:val="0"/>
              <w:autoSpaceDN w:val="0"/>
              <w:adjustRightInd w:val="0"/>
              <w:spacing w:before="60" w:after="46"/>
              <w:jc w:val="center"/>
              <w:rPr>
                <w:rFonts w:ascii="Arial" w:hAnsi="Arial" w:cs="Arial"/>
                <w:b/>
                <w:bCs/>
                <w:color w:val="000000"/>
                <w:sz w:val="16"/>
                <w:szCs w:val="16"/>
              </w:rPr>
            </w:pPr>
            <w:r w:rsidRPr="00022044">
              <w:rPr>
                <w:rFonts w:ascii="Arial" w:hAnsi="Arial" w:cs="Arial"/>
                <w:b/>
                <w:bCs/>
                <w:color w:val="000000"/>
                <w:sz w:val="16"/>
                <w:szCs w:val="16"/>
                <w:u w:val="single"/>
              </w:rPr>
              <w:t>Option 4</w:t>
            </w:r>
            <w:r w:rsidRPr="00022044">
              <w:rPr>
                <w:rFonts w:ascii="Arial" w:hAnsi="Arial" w:cs="Arial"/>
                <w:b/>
                <w:bCs/>
                <w:color w:val="000000"/>
                <w:sz w:val="16"/>
                <w:szCs w:val="16"/>
              </w:rPr>
              <w:t>: Deregulation</w:t>
            </w:r>
          </w:p>
        </w:tc>
      </w:tr>
      <w:tr w:rsidR="005D09EB" w:rsidRPr="00022044">
        <w:tblPrEx>
          <w:tblCellMar>
            <w:top w:w="0" w:type="dxa"/>
            <w:bottom w:w="0" w:type="dxa"/>
          </w:tblCellMar>
        </w:tblPrEx>
        <w:trPr>
          <w:trHeight w:val="20"/>
          <w:jc w:val="center"/>
        </w:trPr>
        <w:tc>
          <w:tcPr>
            <w:tcW w:w="1905" w:type="dxa"/>
            <w:vMerge w:val="restart"/>
            <w:tcBorders>
              <w:top w:val="single" w:sz="18" w:space="0" w:color="auto"/>
              <w:left w:val="single" w:sz="18"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Market balance</w:t>
            </w:r>
          </w:p>
        </w:tc>
        <w:tc>
          <w:tcPr>
            <w:tcW w:w="2724" w:type="dxa"/>
            <w:vMerge w:val="restart"/>
            <w:tcBorders>
              <w:top w:val="single" w:sz="18" w:space="0" w:color="auto"/>
              <w:left w:val="single" w:sz="18"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Increasing surplus </w:t>
            </w:r>
          </w:p>
        </w:tc>
        <w:tc>
          <w:tcPr>
            <w:tcW w:w="3440" w:type="dxa"/>
            <w:vMerge w:val="restart"/>
            <w:tcBorders>
              <w:top w:val="single" w:sz="18" w:space="0" w:color="auto"/>
              <w:left w:val="single" w:sz="18"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Smoothest achievement of balance </w:t>
            </w:r>
          </w:p>
        </w:tc>
        <w:tc>
          <w:tcPr>
            <w:tcW w:w="3499" w:type="dxa"/>
            <w:tcBorders>
              <w:top w:val="single" w:sz="18"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Increasing surplus in the short and mid term </w:t>
            </w:r>
          </w:p>
        </w:tc>
        <w:tc>
          <w:tcPr>
            <w:tcW w:w="3732" w:type="dxa"/>
            <w:tcBorders>
              <w:top w:val="single" w:sz="18"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Increasing surplus in the short and mid term</w:t>
            </w:r>
          </w:p>
        </w:tc>
      </w:tr>
      <w:tr w:rsidR="005D09EB" w:rsidRPr="00022044">
        <w:tblPrEx>
          <w:tblCellMar>
            <w:top w:w="0" w:type="dxa"/>
            <w:bottom w:w="0" w:type="dxa"/>
          </w:tblCellMar>
        </w:tblPrEx>
        <w:trPr>
          <w:trHeight w:val="20"/>
          <w:jc w:val="center"/>
        </w:trPr>
        <w:tc>
          <w:tcPr>
            <w:tcW w:w="1905" w:type="dxa"/>
            <w:vMerge/>
            <w:tcBorders>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p>
        </w:tc>
        <w:tc>
          <w:tcPr>
            <w:tcW w:w="2724" w:type="dxa"/>
            <w:vMerge/>
            <w:tcBorders>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p>
        </w:tc>
        <w:tc>
          <w:tcPr>
            <w:tcW w:w="3440" w:type="dxa"/>
            <w:vMerge/>
            <w:tcBorders>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p>
        </w:tc>
        <w:tc>
          <w:tcPr>
            <w:tcW w:w="3499"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Market equilibrium in the long term</w:t>
            </w:r>
          </w:p>
        </w:tc>
        <w:tc>
          <w:tcPr>
            <w:tcW w:w="3732"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Market equilibrium in the long term</w:t>
            </w:r>
          </w:p>
        </w:tc>
      </w:tr>
      <w:tr w:rsidR="005D09EB" w:rsidRPr="00022044">
        <w:tblPrEx>
          <w:tblCellMar>
            <w:top w:w="0" w:type="dxa"/>
            <w:bottom w:w="0" w:type="dxa"/>
          </w:tblCellMar>
        </w:tblPrEx>
        <w:trPr>
          <w:trHeight w:val="20"/>
          <w:jc w:val="center"/>
        </w:trPr>
        <w:tc>
          <w:tcPr>
            <w:tcW w:w="1905" w:type="dxa"/>
            <w:vMerge w:val="restart"/>
            <w:tcBorders>
              <w:top w:val="single" w:sz="6" w:space="0" w:color="auto"/>
              <w:left w:val="single" w:sz="18"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Prices</w:t>
            </w:r>
          </w:p>
        </w:tc>
        <w:tc>
          <w:tcPr>
            <w:tcW w:w="2724" w:type="dxa"/>
            <w:vMerge w:val="restart"/>
            <w:tcBorders>
              <w:top w:val="single" w:sz="6" w:space="0" w:color="auto"/>
              <w:left w:val="single" w:sz="18"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Sharp decrease due to unsustainability of the system</w:t>
            </w:r>
          </w:p>
        </w:tc>
        <w:tc>
          <w:tcPr>
            <w:tcW w:w="3440" w:type="dxa"/>
            <w:tcBorders>
              <w:top w:val="single" w:sz="6" w:space="0" w:color="auto"/>
              <w:left w:val="single" w:sz="18"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Decrease in the short term </w:t>
            </w:r>
          </w:p>
        </w:tc>
        <w:tc>
          <w:tcPr>
            <w:tcW w:w="3499" w:type="dxa"/>
            <w:tcBorders>
              <w:top w:val="single" w:sz="6"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Sharp decrease in the short and mid term</w:t>
            </w:r>
          </w:p>
        </w:tc>
        <w:tc>
          <w:tcPr>
            <w:tcW w:w="3732" w:type="dxa"/>
            <w:tcBorders>
              <w:top w:val="single" w:sz="6" w:space="0" w:color="auto"/>
              <w:left w:val="single" w:sz="18" w:space="0" w:color="auto"/>
              <w:bottom w:val="single" w:sz="6" w:space="0" w:color="auto"/>
              <w:right w:val="single" w:sz="6"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Very sharp decrease in the short and mid term</w:t>
            </w:r>
          </w:p>
        </w:tc>
      </w:tr>
      <w:tr w:rsidR="005D09EB" w:rsidRPr="00022044">
        <w:tblPrEx>
          <w:tblCellMar>
            <w:top w:w="0" w:type="dxa"/>
            <w:bottom w:w="0" w:type="dxa"/>
          </w:tblCellMar>
        </w:tblPrEx>
        <w:trPr>
          <w:trHeight w:val="20"/>
          <w:jc w:val="center"/>
        </w:trPr>
        <w:tc>
          <w:tcPr>
            <w:tcW w:w="1905" w:type="dxa"/>
            <w:vMerge/>
            <w:tcBorders>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p>
        </w:tc>
        <w:tc>
          <w:tcPr>
            <w:tcW w:w="2724" w:type="dxa"/>
            <w:vMerge/>
            <w:tcBorders>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p>
        </w:tc>
        <w:tc>
          <w:tcPr>
            <w:tcW w:w="3440"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Recovery after achievement of balance </w:t>
            </w:r>
          </w:p>
        </w:tc>
        <w:tc>
          <w:tcPr>
            <w:tcW w:w="3499"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Recovery after achievement of balance </w:t>
            </w:r>
          </w:p>
        </w:tc>
        <w:tc>
          <w:tcPr>
            <w:tcW w:w="3732"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Recovery after achievement of balance </w:t>
            </w:r>
          </w:p>
        </w:tc>
      </w:tr>
      <w:tr w:rsidR="005D09EB" w:rsidRPr="00022044">
        <w:tblPrEx>
          <w:tblCellMar>
            <w:top w:w="0" w:type="dxa"/>
            <w:bottom w:w="0" w:type="dxa"/>
          </w:tblCellMar>
        </w:tblPrEx>
        <w:trPr>
          <w:trHeight w:val="20"/>
          <w:jc w:val="center"/>
        </w:trPr>
        <w:tc>
          <w:tcPr>
            <w:tcW w:w="1905" w:type="dxa"/>
            <w:vMerge w:val="restart"/>
            <w:tcBorders>
              <w:top w:val="single" w:sz="6" w:space="0" w:color="auto"/>
              <w:left w:val="single" w:sz="18"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Agricultural incomes</w:t>
            </w:r>
          </w:p>
        </w:tc>
        <w:tc>
          <w:tcPr>
            <w:tcW w:w="2724" w:type="dxa"/>
            <w:vMerge w:val="restart"/>
            <w:tcBorders>
              <w:top w:val="single" w:sz="6" w:space="0" w:color="auto"/>
              <w:left w:val="single" w:sz="18"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Progressive decrease due to unsustainability of the system</w:t>
            </w:r>
          </w:p>
        </w:tc>
        <w:tc>
          <w:tcPr>
            <w:tcW w:w="3440" w:type="dxa"/>
            <w:tcBorders>
              <w:top w:val="single" w:sz="6" w:space="0" w:color="auto"/>
              <w:left w:val="single" w:sz="18"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Decrease in the short term </w:t>
            </w:r>
          </w:p>
        </w:tc>
        <w:tc>
          <w:tcPr>
            <w:tcW w:w="3499" w:type="dxa"/>
            <w:tcBorders>
              <w:top w:val="single" w:sz="6" w:space="0" w:color="auto"/>
              <w:left w:val="single" w:sz="18"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Decrease in the mid term</w:t>
            </w:r>
          </w:p>
        </w:tc>
        <w:tc>
          <w:tcPr>
            <w:tcW w:w="3732" w:type="dxa"/>
            <w:tcBorders>
              <w:top w:val="single" w:sz="6"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Very sharp decrease in the short and mid term </w:t>
            </w:r>
          </w:p>
        </w:tc>
      </w:tr>
      <w:tr w:rsidR="005D09EB" w:rsidRPr="00022044">
        <w:tblPrEx>
          <w:tblCellMar>
            <w:top w:w="0" w:type="dxa"/>
            <w:bottom w:w="0" w:type="dxa"/>
          </w:tblCellMar>
        </w:tblPrEx>
        <w:trPr>
          <w:trHeight w:val="20"/>
          <w:jc w:val="center"/>
        </w:trPr>
        <w:tc>
          <w:tcPr>
            <w:tcW w:w="1905" w:type="dxa"/>
            <w:vMerge/>
            <w:tcBorders>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p>
        </w:tc>
        <w:tc>
          <w:tcPr>
            <w:tcW w:w="2724" w:type="dxa"/>
            <w:vMerge/>
            <w:tcBorders>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p>
        </w:tc>
        <w:tc>
          <w:tcPr>
            <w:tcW w:w="3440"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Recovery after achievement of balance </w:t>
            </w:r>
          </w:p>
        </w:tc>
        <w:tc>
          <w:tcPr>
            <w:tcW w:w="3499" w:type="dxa"/>
            <w:tcBorders>
              <w:top w:val="single" w:sz="6" w:space="0" w:color="auto"/>
              <w:left w:val="single" w:sz="18"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Recovery after achievement of balance</w:t>
            </w:r>
          </w:p>
          <w:p w:rsidR="005D09EB" w:rsidRPr="00022044" w:rsidRDefault="005D09EB">
            <w:pPr>
              <w:autoSpaceDE w:val="0"/>
              <w:autoSpaceDN w:val="0"/>
              <w:adjustRightInd w:val="0"/>
              <w:spacing w:before="0" w:after="46"/>
              <w:jc w:val="center"/>
              <w:rPr>
                <w:rFonts w:ascii="Arial" w:hAnsi="Arial" w:cs="Arial"/>
                <w:color w:val="000000"/>
                <w:sz w:val="16"/>
                <w:szCs w:val="16"/>
              </w:rPr>
            </w:pPr>
            <w:r w:rsidRPr="00022044">
              <w:rPr>
                <w:rFonts w:ascii="Arial" w:hAnsi="Arial" w:cs="Arial"/>
                <w:color w:val="000000"/>
                <w:sz w:val="16"/>
                <w:szCs w:val="16"/>
              </w:rPr>
              <w:t>No safety net mechanism</w:t>
            </w:r>
          </w:p>
        </w:tc>
        <w:tc>
          <w:tcPr>
            <w:tcW w:w="3732" w:type="dxa"/>
            <w:tcBorders>
              <w:top w:val="single" w:sz="6" w:space="0" w:color="auto"/>
              <w:left w:val="single" w:sz="18"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Recovery after achievement of balance</w:t>
            </w:r>
          </w:p>
          <w:p w:rsidR="005D09EB" w:rsidRPr="00022044" w:rsidRDefault="005D09EB">
            <w:pPr>
              <w:autoSpaceDE w:val="0"/>
              <w:autoSpaceDN w:val="0"/>
              <w:adjustRightInd w:val="0"/>
              <w:spacing w:before="0" w:after="46"/>
              <w:jc w:val="center"/>
              <w:rPr>
                <w:rFonts w:ascii="Arial" w:hAnsi="Arial" w:cs="Arial"/>
                <w:color w:val="000000"/>
                <w:sz w:val="16"/>
                <w:szCs w:val="16"/>
              </w:rPr>
            </w:pPr>
            <w:r w:rsidRPr="00022044">
              <w:rPr>
                <w:rFonts w:ascii="Arial" w:hAnsi="Arial" w:cs="Arial"/>
                <w:color w:val="000000"/>
                <w:sz w:val="16"/>
                <w:szCs w:val="16"/>
              </w:rPr>
              <w:t>No safety net mechanism</w:t>
            </w:r>
          </w:p>
        </w:tc>
      </w:tr>
      <w:tr w:rsidR="005D09EB" w:rsidRPr="00022044">
        <w:tblPrEx>
          <w:tblCellMar>
            <w:top w:w="0" w:type="dxa"/>
            <w:bottom w:w="0" w:type="dxa"/>
          </w:tblCellMar>
        </w:tblPrEx>
        <w:trPr>
          <w:trHeight w:val="20"/>
          <w:jc w:val="center"/>
        </w:trPr>
        <w:tc>
          <w:tcPr>
            <w:tcW w:w="1905" w:type="dxa"/>
            <w:tcBorders>
              <w:top w:val="single" w:sz="6" w:space="0" w:color="auto"/>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Competitiveness</w:t>
            </w:r>
          </w:p>
        </w:tc>
        <w:tc>
          <w:tcPr>
            <w:tcW w:w="2724" w:type="dxa"/>
            <w:tcBorders>
              <w:top w:val="single" w:sz="6"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No improvement</w:t>
            </w:r>
          </w:p>
        </w:tc>
        <w:tc>
          <w:tcPr>
            <w:tcW w:w="3440"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Rapid improvement through economic sustainability and improved regulatory measures allowing flexibility and innovation</w:t>
            </w:r>
          </w:p>
        </w:tc>
        <w:tc>
          <w:tcPr>
            <w:tcW w:w="3499"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Improvement in the long run </w:t>
            </w:r>
            <w:r w:rsidRPr="00022044">
              <w:rPr>
                <w:rFonts w:ascii="Arial" w:hAnsi="Arial" w:cs="Arial"/>
                <w:color w:val="000000"/>
                <w:sz w:val="16"/>
                <w:szCs w:val="16"/>
              </w:rPr>
              <w:br/>
              <w:t xml:space="preserve">through economic sustainability and </w:t>
            </w:r>
            <w:r w:rsidRPr="00022044">
              <w:rPr>
                <w:rFonts w:ascii="Arial" w:hAnsi="Arial" w:cs="Arial"/>
                <w:color w:val="000000"/>
                <w:sz w:val="16"/>
                <w:szCs w:val="16"/>
              </w:rPr>
              <w:br/>
              <w:t xml:space="preserve">improved regulatory measures </w:t>
            </w:r>
            <w:r w:rsidRPr="00022044">
              <w:rPr>
                <w:rFonts w:ascii="Arial" w:hAnsi="Arial" w:cs="Arial"/>
                <w:color w:val="000000"/>
                <w:sz w:val="16"/>
                <w:szCs w:val="16"/>
              </w:rPr>
              <w:br/>
              <w:t>allowing flexibility and innovation</w:t>
            </w:r>
          </w:p>
        </w:tc>
        <w:tc>
          <w:tcPr>
            <w:tcW w:w="3732"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Strong improvement in the long run through economic sustainability, freedom to farm </w:t>
            </w:r>
            <w:r w:rsidRPr="00022044">
              <w:rPr>
                <w:rFonts w:ascii="Arial" w:hAnsi="Arial" w:cs="Arial"/>
                <w:color w:val="000000"/>
                <w:sz w:val="16"/>
                <w:szCs w:val="16"/>
              </w:rPr>
              <w:br/>
              <w:t xml:space="preserve">and improved regulatory measures </w:t>
            </w:r>
            <w:r w:rsidRPr="00022044">
              <w:rPr>
                <w:rFonts w:ascii="Arial" w:hAnsi="Arial" w:cs="Arial"/>
                <w:color w:val="000000"/>
                <w:sz w:val="16"/>
                <w:szCs w:val="16"/>
              </w:rPr>
              <w:br/>
              <w:t>allowing flexibility and innovation</w:t>
            </w:r>
          </w:p>
        </w:tc>
      </w:tr>
      <w:tr w:rsidR="005D09EB" w:rsidRPr="00022044">
        <w:tblPrEx>
          <w:tblCellMar>
            <w:top w:w="0" w:type="dxa"/>
            <w:bottom w:w="0" w:type="dxa"/>
          </w:tblCellMar>
        </w:tblPrEx>
        <w:trPr>
          <w:trHeight w:val="20"/>
          <w:jc w:val="center"/>
        </w:trPr>
        <w:tc>
          <w:tcPr>
            <w:tcW w:w="1905" w:type="dxa"/>
            <w:tcBorders>
              <w:top w:val="single" w:sz="6" w:space="0" w:color="auto"/>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ind w:left="-123"/>
              <w:jc w:val="center"/>
              <w:rPr>
                <w:rFonts w:ascii="Arial" w:hAnsi="Arial" w:cs="Arial"/>
                <w:color w:val="000000"/>
                <w:sz w:val="16"/>
                <w:szCs w:val="16"/>
              </w:rPr>
            </w:pPr>
            <w:r w:rsidRPr="00022044">
              <w:rPr>
                <w:rFonts w:ascii="Arial" w:hAnsi="Arial" w:cs="Arial"/>
                <w:color w:val="000000"/>
                <w:sz w:val="16"/>
                <w:szCs w:val="16"/>
              </w:rPr>
              <w:t xml:space="preserve">Economic and social impacts on rural areas </w:t>
            </w:r>
          </w:p>
        </w:tc>
        <w:tc>
          <w:tcPr>
            <w:tcW w:w="2724" w:type="dxa"/>
            <w:tcBorders>
              <w:top w:val="single" w:sz="6" w:space="0" w:color="auto"/>
              <w:left w:val="single" w:sz="18"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Progressive deterioration due to unsustainability of the system</w:t>
            </w:r>
          </w:p>
        </w:tc>
        <w:tc>
          <w:tcPr>
            <w:tcW w:w="3440"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Improvement due to smooth achievement</w:t>
            </w:r>
            <w:r w:rsidRPr="00022044">
              <w:rPr>
                <w:rFonts w:ascii="Arial" w:hAnsi="Arial" w:cs="Arial"/>
                <w:color w:val="000000"/>
                <w:sz w:val="16"/>
                <w:szCs w:val="16"/>
              </w:rPr>
              <w:br/>
              <w:t>of economic sustainability</w:t>
            </w:r>
          </w:p>
        </w:tc>
        <w:tc>
          <w:tcPr>
            <w:tcW w:w="3499" w:type="dxa"/>
            <w:tcBorders>
              <w:top w:val="single" w:sz="6"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Risks due to heavy</w:t>
            </w:r>
            <w:r w:rsidRPr="00022044">
              <w:rPr>
                <w:rFonts w:ascii="Arial" w:hAnsi="Arial" w:cs="Arial"/>
                <w:color w:val="000000"/>
                <w:sz w:val="16"/>
                <w:szCs w:val="16"/>
              </w:rPr>
              <w:br/>
              <w:t>restructuring needs</w:t>
            </w:r>
          </w:p>
        </w:tc>
        <w:tc>
          <w:tcPr>
            <w:tcW w:w="3732" w:type="dxa"/>
            <w:tcBorders>
              <w:top w:val="single" w:sz="6"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Important risks due to</w:t>
            </w:r>
            <w:r w:rsidRPr="00022044">
              <w:rPr>
                <w:rFonts w:ascii="Arial" w:hAnsi="Arial" w:cs="Arial"/>
                <w:color w:val="000000"/>
                <w:sz w:val="16"/>
                <w:szCs w:val="16"/>
              </w:rPr>
              <w:br/>
              <w:t>heavy restructuring needs and</w:t>
            </w:r>
            <w:r w:rsidRPr="00022044">
              <w:rPr>
                <w:rFonts w:ascii="Arial" w:hAnsi="Arial" w:cs="Arial"/>
                <w:color w:val="000000"/>
                <w:sz w:val="16"/>
                <w:szCs w:val="16"/>
              </w:rPr>
              <w:br/>
              <w:t>possible production shifts between regions</w:t>
            </w:r>
          </w:p>
        </w:tc>
      </w:tr>
      <w:tr w:rsidR="005D09EB" w:rsidRPr="00022044">
        <w:tblPrEx>
          <w:tblCellMar>
            <w:top w:w="0" w:type="dxa"/>
            <w:bottom w:w="0" w:type="dxa"/>
          </w:tblCellMar>
        </w:tblPrEx>
        <w:trPr>
          <w:trHeight w:val="20"/>
          <w:jc w:val="center"/>
        </w:trPr>
        <w:tc>
          <w:tcPr>
            <w:tcW w:w="1905" w:type="dxa"/>
            <w:tcBorders>
              <w:top w:val="single" w:sz="6" w:space="0" w:color="auto"/>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Environment</w:t>
            </w:r>
          </w:p>
        </w:tc>
        <w:tc>
          <w:tcPr>
            <w:tcW w:w="2724" w:type="dxa"/>
            <w:tcBorders>
              <w:top w:val="single" w:sz="6"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No improvement</w:t>
            </w:r>
          </w:p>
        </w:tc>
        <w:tc>
          <w:tcPr>
            <w:tcW w:w="3440" w:type="dxa"/>
            <w:tcBorders>
              <w:top w:val="single" w:sz="6" w:space="0" w:color="auto"/>
              <w:left w:val="single" w:sz="18"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No easy solution to apply</w:t>
            </w:r>
            <w:r w:rsidRPr="00022044">
              <w:rPr>
                <w:rFonts w:ascii="Arial" w:hAnsi="Arial" w:cs="Arial"/>
                <w:color w:val="000000"/>
                <w:sz w:val="16"/>
                <w:szCs w:val="16"/>
              </w:rPr>
              <w:br/>
              <w:t>cross-compliance on all vine area</w:t>
            </w:r>
          </w:p>
          <w:p w:rsidR="005D09EB" w:rsidRPr="00022044" w:rsidRDefault="005D09EB">
            <w:pPr>
              <w:autoSpaceDE w:val="0"/>
              <w:autoSpaceDN w:val="0"/>
              <w:adjustRightInd w:val="0"/>
              <w:spacing w:before="0" w:after="46"/>
              <w:jc w:val="center"/>
              <w:rPr>
                <w:rFonts w:ascii="Arial" w:hAnsi="Arial" w:cs="Arial"/>
                <w:color w:val="000000"/>
                <w:sz w:val="16"/>
                <w:szCs w:val="16"/>
              </w:rPr>
            </w:pPr>
            <w:r w:rsidRPr="00022044">
              <w:rPr>
                <w:rFonts w:ascii="Arial" w:hAnsi="Arial" w:cs="Arial"/>
                <w:color w:val="000000"/>
                <w:sz w:val="16"/>
                <w:szCs w:val="16"/>
              </w:rPr>
              <w:t>Shifts to RD can be used to encourage</w:t>
            </w:r>
            <w:r w:rsidRPr="00022044">
              <w:rPr>
                <w:rFonts w:ascii="Arial" w:hAnsi="Arial" w:cs="Arial"/>
                <w:color w:val="000000"/>
                <w:sz w:val="16"/>
                <w:szCs w:val="16"/>
              </w:rPr>
              <w:br/>
              <w:t>more environmentally-friendly measures</w:t>
            </w:r>
          </w:p>
        </w:tc>
        <w:tc>
          <w:tcPr>
            <w:tcW w:w="3499"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Direct applicability of</w:t>
            </w:r>
            <w:r w:rsidRPr="00022044">
              <w:rPr>
                <w:rFonts w:ascii="Arial" w:hAnsi="Arial" w:cs="Arial"/>
                <w:color w:val="000000"/>
                <w:sz w:val="16"/>
                <w:szCs w:val="16"/>
              </w:rPr>
              <w:br/>
              <w:t xml:space="preserve">general cross-compliance </w:t>
            </w:r>
          </w:p>
        </w:tc>
        <w:tc>
          <w:tcPr>
            <w:tcW w:w="3732" w:type="dxa"/>
            <w:tcBorders>
              <w:top w:val="single" w:sz="6"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Very difficult to apply cross-compliance</w:t>
            </w:r>
          </w:p>
          <w:p w:rsidR="005D09EB" w:rsidRPr="00022044" w:rsidRDefault="005D09EB">
            <w:pPr>
              <w:autoSpaceDE w:val="0"/>
              <w:autoSpaceDN w:val="0"/>
              <w:adjustRightInd w:val="0"/>
              <w:spacing w:before="0" w:after="46"/>
              <w:jc w:val="center"/>
              <w:rPr>
                <w:rFonts w:ascii="Arial" w:hAnsi="Arial" w:cs="Arial"/>
                <w:color w:val="000000"/>
                <w:sz w:val="16"/>
                <w:szCs w:val="16"/>
              </w:rPr>
            </w:pPr>
            <w:r w:rsidRPr="00022044">
              <w:rPr>
                <w:rFonts w:ascii="Arial" w:hAnsi="Arial" w:cs="Arial"/>
                <w:color w:val="000000"/>
                <w:sz w:val="16"/>
                <w:szCs w:val="16"/>
              </w:rPr>
              <w:t>No available funds to encourage more environmentally</w:t>
            </w:r>
            <w:r w:rsidRPr="00022044">
              <w:rPr>
                <w:rFonts w:ascii="Arial" w:hAnsi="Arial" w:cs="Arial"/>
                <w:color w:val="000000"/>
                <w:sz w:val="16"/>
                <w:szCs w:val="16"/>
              </w:rPr>
              <w:noBreakHyphen/>
              <w:t>friendly measures</w:t>
            </w:r>
          </w:p>
        </w:tc>
      </w:tr>
      <w:tr w:rsidR="005D09EB" w:rsidRPr="00022044">
        <w:tblPrEx>
          <w:tblCellMar>
            <w:top w:w="0" w:type="dxa"/>
            <w:bottom w:w="0" w:type="dxa"/>
          </w:tblCellMar>
        </w:tblPrEx>
        <w:trPr>
          <w:trHeight w:val="20"/>
          <w:jc w:val="center"/>
        </w:trPr>
        <w:tc>
          <w:tcPr>
            <w:tcW w:w="1905" w:type="dxa"/>
            <w:tcBorders>
              <w:top w:val="single" w:sz="6" w:space="0" w:color="auto"/>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Trade WTO compatible</w:t>
            </w:r>
          </w:p>
        </w:tc>
        <w:tc>
          <w:tcPr>
            <w:tcW w:w="2724" w:type="dxa"/>
            <w:tcBorders>
              <w:top w:val="single" w:sz="6"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Different measures </w:t>
            </w:r>
            <w:r w:rsidRPr="00022044">
              <w:rPr>
                <w:rFonts w:ascii="Arial" w:hAnsi="Arial" w:cs="Arial"/>
                <w:color w:val="000000"/>
                <w:sz w:val="16"/>
                <w:szCs w:val="16"/>
              </w:rPr>
              <w:br/>
              <w:t>potentially under attack</w:t>
            </w:r>
          </w:p>
        </w:tc>
        <w:tc>
          <w:tcPr>
            <w:tcW w:w="3440"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Most problems solved</w:t>
            </w:r>
          </w:p>
        </w:tc>
        <w:tc>
          <w:tcPr>
            <w:tcW w:w="3499"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Most problems solved</w:t>
            </w:r>
          </w:p>
        </w:tc>
        <w:tc>
          <w:tcPr>
            <w:tcW w:w="3732"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Most problems solved</w:t>
            </w:r>
          </w:p>
        </w:tc>
      </w:tr>
      <w:tr w:rsidR="005D09EB" w:rsidRPr="00022044">
        <w:tblPrEx>
          <w:tblCellMar>
            <w:top w:w="0" w:type="dxa"/>
            <w:bottom w:w="0" w:type="dxa"/>
          </w:tblCellMar>
        </w:tblPrEx>
        <w:trPr>
          <w:trHeight w:val="20"/>
          <w:jc w:val="center"/>
        </w:trPr>
        <w:tc>
          <w:tcPr>
            <w:tcW w:w="1905" w:type="dxa"/>
            <w:tcBorders>
              <w:top w:val="single" w:sz="6" w:space="0" w:color="auto"/>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Wine quality</w:t>
            </w:r>
          </w:p>
        </w:tc>
        <w:tc>
          <w:tcPr>
            <w:tcW w:w="2724" w:type="dxa"/>
            <w:tcBorders>
              <w:top w:val="single" w:sz="6" w:space="0" w:color="auto"/>
              <w:left w:val="single" w:sz="18" w:space="0" w:color="auto"/>
              <w:bottom w:val="single" w:sz="6" w:space="0" w:color="auto"/>
              <w:right w:val="single" w:sz="18" w:space="0" w:color="auto"/>
            </w:tcBorders>
            <w:shd w:val="solid" w:color="FFFFFF"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Neutral</w:t>
            </w:r>
          </w:p>
        </w:tc>
        <w:tc>
          <w:tcPr>
            <w:tcW w:w="3440"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Increase through better market orientation</w:t>
            </w:r>
          </w:p>
        </w:tc>
        <w:tc>
          <w:tcPr>
            <w:tcW w:w="3499"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Increase through better market orientation</w:t>
            </w:r>
          </w:p>
        </w:tc>
        <w:tc>
          <w:tcPr>
            <w:tcW w:w="3732"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Increase through better market orientation</w:t>
            </w:r>
          </w:p>
        </w:tc>
      </w:tr>
      <w:tr w:rsidR="005D09EB" w:rsidRPr="00022044">
        <w:tblPrEx>
          <w:tblCellMar>
            <w:top w:w="0" w:type="dxa"/>
            <w:bottom w:w="0" w:type="dxa"/>
          </w:tblCellMar>
        </w:tblPrEx>
        <w:trPr>
          <w:trHeight w:val="20"/>
          <w:jc w:val="center"/>
        </w:trPr>
        <w:tc>
          <w:tcPr>
            <w:tcW w:w="1905" w:type="dxa"/>
            <w:tcBorders>
              <w:top w:val="single" w:sz="6" w:space="0" w:color="auto"/>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Health / consumer</w:t>
            </w:r>
          </w:p>
        </w:tc>
        <w:tc>
          <w:tcPr>
            <w:tcW w:w="2724" w:type="dxa"/>
            <w:tcBorders>
              <w:top w:val="single" w:sz="6"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No improvement</w:t>
            </w:r>
          </w:p>
        </w:tc>
        <w:tc>
          <w:tcPr>
            <w:tcW w:w="3440"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Stop to unacceptable support to</w:t>
            </w:r>
            <w:r w:rsidRPr="00022044">
              <w:rPr>
                <w:rFonts w:ascii="Arial" w:hAnsi="Arial" w:cs="Arial"/>
                <w:color w:val="000000"/>
                <w:sz w:val="16"/>
                <w:szCs w:val="16"/>
              </w:rPr>
              <w:br/>
              <w:t>distillation into potable alcohol</w:t>
            </w:r>
          </w:p>
          <w:p w:rsidR="005D09EB" w:rsidRPr="00022044" w:rsidRDefault="005D09EB">
            <w:pPr>
              <w:autoSpaceDE w:val="0"/>
              <w:autoSpaceDN w:val="0"/>
              <w:adjustRightInd w:val="0"/>
              <w:spacing w:before="0" w:after="46"/>
              <w:jc w:val="center"/>
              <w:rPr>
                <w:rFonts w:ascii="Arial" w:hAnsi="Arial" w:cs="Arial"/>
                <w:color w:val="000000"/>
                <w:sz w:val="16"/>
                <w:szCs w:val="16"/>
              </w:rPr>
            </w:pPr>
            <w:r w:rsidRPr="00022044">
              <w:rPr>
                <w:rFonts w:ascii="Arial" w:hAnsi="Arial" w:cs="Arial"/>
                <w:color w:val="000000"/>
                <w:sz w:val="16"/>
                <w:szCs w:val="16"/>
              </w:rPr>
              <w:t>Labelling rules more transparent</w:t>
            </w:r>
            <w:r w:rsidRPr="00022044">
              <w:rPr>
                <w:rFonts w:ascii="Arial" w:hAnsi="Arial" w:cs="Arial"/>
                <w:color w:val="000000"/>
                <w:sz w:val="16"/>
                <w:szCs w:val="16"/>
              </w:rPr>
              <w:br/>
              <w:t>and consumer oriented</w:t>
            </w:r>
          </w:p>
        </w:tc>
        <w:tc>
          <w:tcPr>
            <w:tcW w:w="3499"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 xml:space="preserve">Stop to unacceptable support to </w:t>
            </w:r>
            <w:r w:rsidRPr="00022044">
              <w:rPr>
                <w:rFonts w:ascii="Arial" w:hAnsi="Arial" w:cs="Arial"/>
                <w:color w:val="000000"/>
                <w:sz w:val="16"/>
                <w:szCs w:val="16"/>
              </w:rPr>
              <w:br/>
              <w:t>distillation into potable alcohol</w:t>
            </w:r>
          </w:p>
          <w:p w:rsidR="005D09EB" w:rsidRPr="00022044" w:rsidRDefault="005D09EB">
            <w:pPr>
              <w:autoSpaceDE w:val="0"/>
              <w:autoSpaceDN w:val="0"/>
              <w:adjustRightInd w:val="0"/>
              <w:spacing w:before="0" w:after="46"/>
              <w:jc w:val="center"/>
              <w:rPr>
                <w:rFonts w:ascii="Arial" w:hAnsi="Arial" w:cs="Arial"/>
                <w:color w:val="000000"/>
                <w:sz w:val="16"/>
                <w:szCs w:val="16"/>
              </w:rPr>
            </w:pPr>
            <w:r w:rsidRPr="00022044">
              <w:rPr>
                <w:rFonts w:ascii="Arial" w:hAnsi="Arial" w:cs="Arial"/>
                <w:color w:val="000000"/>
                <w:sz w:val="16"/>
                <w:szCs w:val="16"/>
              </w:rPr>
              <w:t>Labelling rules more transparent</w:t>
            </w:r>
            <w:r w:rsidRPr="00022044">
              <w:rPr>
                <w:rFonts w:ascii="Arial" w:hAnsi="Arial" w:cs="Arial"/>
                <w:color w:val="000000"/>
                <w:sz w:val="16"/>
                <w:szCs w:val="16"/>
              </w:rPr>
              <w:br/>
              <w:t>and consumer oriented</w:t>
            </w:r>
          </w:p>
        </w:tc>
        <w:tc>
          <w:tcPr>
            <w:tcW w:w="3732"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Stop to unacceptable support to</w:t>
            </w:r>
            <w:r w:rsidRPr="00022044">
              <w:rPr>
                <w:rFonts w:ascii="Arial" w:hAnsi="Arial" w:cs="Arial"/>
                <w:color w:val="000000"/>
                <w:sz w:val="16"/>
                <w:szCs w:val="16"/>
              </w:rPr>
              <w:br/>
              <w:t>distillation into potable alcohol</w:t>
            </w:r>
          </w:p>
          <w:p w:rsidR="005D09EB" w:rsidRPr="00022044" w:rsidRDefault="005D09EB">
            <w:pPr>
              <w:autoSpaceDE w:val="0"/>
              <w:autoSpaceDN w:val="0"/>
              <w:adjustRightInd w:val="0"/>
              <w:spacing w:before="0" w:after="46"/>
              <w:jc w:val="center"/>
              <w:rPr>
                <w:rFonts w:ascii="Arial" w:hAnsi="Arial" w:cs="Arial"/>
                <w:color w:val="000000"/>
                <w:sz w:val="16"/>
                <w:szCs w:val="16"/>
              </w:rPr>
            </w:pPr>
            <w:r w:rsidRPr="00022044">
              <w:rPr>
                <w:rFonts w:ascii="Arial" w:hAnsi="Arial" w:cs="Arial"/>
                <w:color w:val="000000"/>
                <w:sz w:val="16"/>
                <w:szCs w:val="16"/>
              </w:rPr>
              <w:t>Labelling rules more transparent</w:t>
            </w:r>
            <w:r w:rsidRPr="00022044">
              <w:rPr>
                <w:rFonts w:ascii="Arial" w:hAnsi="Arial" w:cs="Arial"/>
                <w:color w:val="000000"/>
                <w:sz w:val="16"/>
                <w:szCs w:val="16"/>
              </w:rPr>
              <w:br/>
              <w:t>and consumer oriented</w:t>
            </w:r>
          </w:p>
        </w:tc>
      </w:tr>
      <w:tr w:rsidR="005D09EB" w:rsidRPr="00022044">
        <w:tblPrEx>
          <w:tblCellMar>
            <w:top w:w="0" w:type="dxa"/>
            <w:bottom w:w="0" w:type="dxa"/>
          </w:tblCellMar>
        </w:tblPrEx>
        <w:trPr>
          <w:trHeight w:val="20"/>
          <w:jc w:val="center"/>
        </w:trPr>
        <w:tc>
          <w:tcPr>
            <w:tcW w:w="1905" w:type="dxa"/>
            <w:tcBorders>
              <w:top w:val="single" w:sz="6" w:space="0" w:color="auto"/>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Budget</w:t>
            </w:r>
          </w:p>
        </w:tc>
        <w:tc>
          <w:tcPr>
            <w:tcW w:w="2724" w:type="dxa"/>
            <w:tcBorders>
              <w:top w:val="single" w:sz="6"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Increasing pressure</w:t>
            </w:r>
          </w:p>
        </w:tc>
        <w:tc>
          <w:tcPr>
            <w:tcW w:w="3440" w:type="dxa"/>
            <w:tcBorders>
              <w:top w:val="single" w:sz="6" w:space="0" w:color="auto"/>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Neutral</w:t>
            </w:r>
          </w:p>
        </w:tc>
        <w:tc>
          <w:tcPr>
            <w:tcW w:w="3499" w:type="dxa"/>
            <w:tcBorders>
              <w:top w:val="single" w:sz="6" w:space="0" w:color="auto"/>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Neutral</w:t>
            </w:r>
          </w:p>
        </w:tc>
        <w:tc>
          <w:tcPr>
            <w:tcW w:w="3732"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Possibility of savings</w:t>
            </w:r>
          </w:p>
        </w:tc>
      </w:tr>
      <w:tr w:rsidR="005D09EB" w:rsidRPr="00022044">
        <w:tblPrEx>
          <w:tblCellMar>
            <w:top w:w="0" w:type="dxa"/>
            <w:bottom w:w="0" w:type="dxa"/>
          </w:tblCellMar>
        </w:tblPrEx>
        <w:trPr>
          <w:trHeight w:val="20"/>
          <w:jc w:val="center"/>
        </w:trPr>
        <w:tc>
          <w:tcPr>
            <w:tcW w:w="1905" w:type="dxa"/>
            <w:tcBorders>
              <w:top w:val="single" w:sz="6" w:space="0" w:color="auto"/>
              <w:left w:val="single" w:sz="18" w:space="0" w:color="auto"/>
              <w:bottom w:val="single" w:sz="6"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Subsidiarity</w:t>
            </w:r>
          </w:p>
        </w:tc>
        <w:tc>
          <w:tcPr>
            <w:tcW w:w="2724" w:type="dxa"/>
            <w:tcBorders>
              <w:top w:val="single" w:sz="6" w:space="0" w:color="auto"/>
              <w:left w:val="single" w:sz="18" w:space="0" w:color="auto"/>
              <w:bottom w:val="single" w:sz="6"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No improvement</w:t>
            </w:r>
          </w:p>
        </w:tc>
        <w:tc>
          <w:tcPr>
            <w:tcW w:w="3440" w:type="dxa"/>
            <w:tcBorders>
              <w:top w:val="single" w:sz="6" w:space="0" w:color="auto"/>
              <w:left w:val="single" w:sz="18" w:space="0" w:color="auto"/>
              <w:bottom w:val="single" w:sz="6"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Much more flexibility with national envelope</w:t>
            </w:r>
            <w:r w:rsidRPr="00022044">
              <w:rPr>
                <w:rFonts w:ascii="Arial" w:hAnsi="Arial" w:cs="Arial"/>
                <w:color w:val="000000"/>
                <w:sz w:val="16"/>
                <w:szCs w:val="16"/>
              </w:rPr>
              <w:br/>
              <w:t>and increased RD funds</w:t>
            </w:r>
          </w:p>
        </w:tc>
        <w:tc>
          <w:tcPr>
            <w:tcW w:w="3499" w:type="dxa"/>
            <w:tcBorders>
              <w:top w:val="single" w:sz="6" w:space="0" w:color="auto"/>
              <w:left w:val="single" w:sz="18"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Flexibility in the implementation of the SPS</w:t>
            </w:r>
          </w:p>
        </w:tc>
        <w:tc>
          <w:tcPr>
            <w:tcW w:w="3732" w:type="dxa"/>
            <w:tcBorders>
              <w:top w:val="single" w:sz="6" w:space="0" w:color="auto"/>
              <w:left w:val="single" w:sz="18" w:space="0" w:color="auto"/>
              <w:bottom w:val="single" w:sz="6"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Possibly more flexibility via shift to RD</w:t>
            </w:r>
          </w:p>
        </w:tc>
      </w:tr>
      <w:tr w:rsidR="005D09EB" w:rsidRPr="00022044">
        <w:tblPrEx>
          <w:tblCellMar>
            <w:top w:w="0" w:type="dxa"/>
            <w:bottom w:w="0" w:type="dxa"/>
          </w:tblCellMar>
        </w:tblPrEx>
        <w:trPr>
          <w:trHeight w:val="20"/>
          <w:jc w:val="center"/>
        </w:trPr>
        <w:tc>
          <w:tcPr>
            <w:tcW w:w="1905" w:type="dxa"/>
            <w:tcBorders>
              <w:top w:val="single" w:sz="6" w:space="0" w:color="auto"/>
              <w:left w:val="single" w:sz="18" w:space="0" w:color="auto"/>
              <w:bottom w:val="single" w:sz="18" w:space="0" w:color="auto"/>
              <w:right w:val="single" w:sz="18" w:space="0" w:color="auto"/>
            </w:tcBorders>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Simplification, applicability, controllability</w:t>
            </w:r>
          </w:p>
        </w:tc>
        <w:tc>
          <w:tcPr>
            <w:tcW w:w="2724" w:type="dxa"/>
            <w:tcBorders>
              <w:top w:val="single" w:sz="6" w:space="0" w:color="auto"/>
              <w:left w:val="single" w:sz="18" w:space="0" w:color="auto"/>
              <w:bottom w:val="single" w:sz="18" w:space="0" w:color="auto"/>
              <w:right w:val="single" w:sz="18" w:space="0" w:color="auto"/>
            </w:tcBorders>
            <w:shd w:val="solid" w:color="FF00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No improvement</w:t>
            </w:r>
          </w:p>
        </w:tc>
        <w:tc>
          <w:tcPr>
            <w:tcW w:w="3440" w:type="dxa"/>
            <w:tcBorders>
              <w:top w:val="single" w:sz="6" w:space="0" w:color="auto"/>
              <w:left w:val="single" w:sz="18" w:space="0" w:color="auto"/>
              <w:bottom w:val="single" w:sz="18"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Moderate simplification</w:t>
            </w:r>
          </w:p>
        </w:tc>
        <w:tc>
          <w:tcPr>
            <w:tcW w:w="3499" w:type="dxa"/>
            <w:tcBorders>
              <w:top w:val="single" w:sz="6" w:space="0" w:color="auto"/>
              <w:left w:val="single" w:sz="18" w:space="0" w:color="auto"/>
              <w:bottom w:val="single" w:sz="18" w:space="0" w:color="auto"/>
              <w:right w:val="single" w:sz="18" w:space="0" w:color="auto"/>
            </w:tcBorders>
            <w:shd w:val="solid" w:color="FF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Strong simplification, but specific operational difficulties in implementing SPS in wine sector</w:t>
            </w:r>
          </w:p>
        </w:tc>
        <w:tc>
          <w:tcPr>
            <w:tcW w:w="3732" w:type="dxa"/>
            <w:tcBorders>
              <w:top w:val="single" w:sz="6" w:space="0" w:color="auto"/>
              <w:left w:val="single" w:sz="18" w:space="0" w:color="auto"/>
              <w:bottom w:val="single" w:sz="18" w:space="0" w:color="auto"/>
              <w:right w:val="single" w:sz="18" w:space="0" w:color="auto"/>
            </w:tcBorders>
            <w:shd w:val="solid" w:color="00FF00" w:fill="auto"/>
            <w:vAlign w:val="center"/>
          </w:tcPr>
          <w:p w:rsidR="005D09EB" w:rsidRPr="00022044" w:rsidRDefault="005D09EB">
            <w:pPr>
              <w:autoSpaceDE w:val="0"/>
              <w:autoSpaceDN w:val="0"/>
              <w:adjustRightInd w:val="0"/>
              <w:spacing w:before="60" w:after="46"/>
              <w:jc w:val="center"/>
              <w:rPr>
                <w:rFonts w:ascii="Arial" w:hAnsi="Arial" w:cs="Arial"/>
                <w:color w:val="000000"/>
                <w:sz w:val="16"/>
                <w:szCs w:val="16"/>
              </w:rPr>
            </w:pPr>
            <w:r w:rsidRPr="00022044">
              <w:rPr>
                <w:rFonts w:ascii="Arial" w:hAnsi="Arial" w:cs="Arial"/>
                <w:color w:val="000000"/>
                <w:sz w:val="16"/>
                <w:szCs w:val="16"/>
              </w:rPr>
              <w:t>Most problem solved</w:t>
            </w:r>
          </w:p>
        </w:tc>
      </w:tr>
    </w:tbl>
    <w:p w:rsidR="005D09EB" w:rsidRPr="00022044" w:rsidRDefault="005D09EB">
      <w:pPr>
        <w:pStyle w:val="NormalCentered"/>
        <w:spacing w:before="0" w:after="0"/>
      </w:pPr>
    </w:p>
    <w:p w:rsidR="005D09EB" w:rsidRPr="00022044" w:rsidRDefault="005D09EB">
      <w:pPr>
        <w:pStyle w:val="Text1"/>
        <w:sectPr w:rsidR="005D09EB" w:rsidRPr="00022044" w:rsidSect="008C38A6">
          <w:headerReference w:type="default" r:id="rId22"/>
          <w:footerReference w:type="default" r:id="rId23"/>
          <w:headerReference w:type="first" r:id="rId24"/>
          <w:footerReference w:type="first" r:id="rId25"/>
          <w:pgSz w:w="15840" w:h="12240" w:orient="landscape" w:code="1"/>
          <w:pgMar w:top="680" w:right="255" w:bottom="624" w:left="255" w:header="624" w:footer="567" w:gutter="0"/>
          <w:cols w:space="720"/>
          <w:docGrid w:linePitch="326"/>
        </w:sectPr>
      </w:pPr>
    </w:p>
    <w:p w:rsidR="005D09EB" w:rsidRPr="00022044" w:rsidRDefault="005D09EB">
      <w:pPr>
        <w:pStyle w:val="Annexetitreacte"/>
        <w:keepNext/>
        <w:spacing w:after="240"/>
        <w:rPr>
          <w:u w:val="none"/>
        </w:rPr>
      </w:pPr>
      <w:bookmarkStart w:id="35" w:name="_Toc134329265"/>
      <w:r w:rsidRPr="00022044">
        <w:rPr>
          <w:u w:val="none"/>
        </w:rPr>
        <w:t xml:space="preserve">Annex 1: </w:t>
      </w:r>
      <w:r w:rsidRPr="00022044">
        <w:rPr>
          <w:u w:val="none"/>
        </w:rPr>
        <w:br/>
        <w:t>Mid-term forecasts for the EU-27 wine sector for 2010–11</w:t>
      </w:r>
      <w:bookmarkEnd w:id="35"/>
    </w:p>
    <w:p w:rsidR="005D09EB" w:rsidRPr="00022044" w:rsidRDefault="00022044">
      <w:pPr>
        <w:pStyle w:val="NormalCentered"/>
        <w:spacing w:before="0" w:after="0"/>
      </w:pPr>
      <w:r w:rsidRPr="00022044">
        <w:rPr>
          <w:noProof/>
        </w:rPr>
        <w:drawing>
          <wp:inline distT="0" distB="0" distL="0" distR="0">
            <wp:extent cx="5905500" cy="31076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5500" cy="3107690"/>
                    </a:xfrm>
                    <a:prstGeom prst="rect">
                      <a:avLst/>
                    </a:prstGeom>
                    <a:noFill/>
                    <a:ln>
                      <a:noFill/>
                    </a:ln>
                  </pic:spPr>
                </pic:pic>
              </a:graphicData>
            </a:graphic>
          </wp:inline>
        </w:drawing>
      </w:r>
    </w:p>
    <w:p w:rsidR="005D09EB" w:rsidRPr="00022044" w:rsidRDefault="005D09EB">
      <w:pPr>
        <w:pStyle w:val="Text1"/>
        <w:sectPr w:rsidR="005D09EB" w:rsidRPr="00022044" w:rsidSect="008C38A6">
          <w:headerReference w:type="default" r:id="rId27"/>
          <w:footerReference w:type="default" r:id="rId28"/>
          <w:headerReference w:type="first" r:id="rId29"/>
          <w:footerReference w:type="first" r:id="rId30"/>
          <w:pgSz w:w="12240" w:h="15840" w:code="1"/>
          <w:pgMar w:top="1418" w:right="1418" w:bottom="1418" w:left="1418" w:header="720" w:footer="720" w:gutter="0"/>
          <w:cols w:space="720"/>
          <w:docGrid w:linePitch="326"/>
        </w:sectPr>
      </w:pPr>
    </w:p>
    <w:p w:rsidR="005D09EB" w:rsidRPr="00022044" w:rsidRDefault="005D09EB">
      <w:pPr>
        <w:pStyle w:val="Annexetitreacte"/>
        <w:rPr>
          <w:u w:val="none"/>
        </w:rPr>
      </w:pPr>
      <w:bookmarkStart w:id="36" w:name="_Toc134329266"/>
      <w:r w:rsidRPr="00022044">
        <w:rPr>
          <w:u w:val="none"/>
        </w:rPr>
        <w:t xml:space="preserve">Annex 2: </w:t>
      </w:r>
      <w:r w:rsidRPr="00022044">
        <w:rPr>
          <w:u w:val="none"/>
        </w:rPr>
        <w:br/>
        <w:t>Impact on prices</w:t>
      </w:r>
      <w:bookmarkEnd w:id="36"/>
    </w:p>
    <w:p w:rsidR="005D09EB" w:rsidRPr="00022044" w:rsidRDefault="005D09EB">
      <w:pPr>
        <w:pStyle w:val="NormalCentered"/>
        <w:rPr>
          <w:b/>
          <w:bCs/>
        </w:rPr>
      </w:pPr>
      <w:r w:rsidRPr="00022044">
        <w:rPr>
          <w:b/>
          <w:bCs/>
        </w:rPr>
        <w:t>Regression analysis between average annual prices of table wine and wine stocks</w:t>
      </w:r>
      <w:r w:rsidRPr="00022044">
        <w:rPr>
          <w:b/>
          <w:bCs/>
        </w:rPr>
        <w:tab/>
      </w:r>
      <w:r w:rsidRPr="00022044">
        <w:rPr>
          <w:b/>
          <w:bCs/>
        </w:rPr>
        <w:br/>
      </w:r>
      <w:r w:rsidRPr="00022044">
        <w:rPr>
          <w:b/>
          <w:bCs/>
        </w:rPr>
        <w:br/>
        <w:t>Option 1: Status quo</w:t>
      </w:r>
    </w:p>
    <w:p w:rsidR="005D09EB" w:rsidRPr="00022044" w:rsidRDefault="00022044">
      <w:pPr>
        <w:jc w:val="center"/>
      </w:pPr>
      <w:r w:rsidRPr="00022044">
        <w:rPr>
          <w:noProof/>
        </w:rPr>
        <w:drawing>
          <wp:inline distT="0" distB="0" distL="0" distR="0">
            <wp:extent cx="5922010" cy="28409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22010" cy="2840990"/>
                    </a:xfrm>
                    <a:prstGeom prst="rect">
                      <a:avLst/>
                    </a:prstGeom>
                    <a:noFill/>
                    <a:ln>
                      <a:noFill/>
                    </a:ln>
                  </pic:spPr>
                </pic:pic>
              </a:graphicData>
            </a:graphic>
          </wp:inline>
        </w:drawing>
      </w:r>
    </w:p>
    <w:p w:rsidR="005D09EB" w:rsidRPr="00022044" w:rsidRDefault="005D09EB">
      <w:pPr>
        <w:keepNext/>
        <w:jc w:val="center"/>
        <w:rPr>
          <w:b/>
        </w:rPr>
      </w:pPr>
      <w:r w:rsidRPr="00022044">
        <w:rPr>
          <w:b/>
        </w:rPr>
        <w:t>Option 2: Profound reform of the CMO</w:t>
      </w:r>
    </w:p>
    <w:p w:rsidR="005D09EB" w:rsidRPr="00022044" w:rsidRDefault="00022044">
      <w:pPr>
        <w:jc w:val="center"/>
      </w:pPr>
      <w:r w:rsidRPr="00022044">
        <w:rPr>
          <w:noProof/>
        </w:rPr>
        <w:drawing>
          <wp:inline distT="0" distB="0" distL="0" distR="0">
            <wp:extent cx="5937885" cy="28301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7885" cy="2830195"/>
                    </a:xfrm>
                    <a:prstGeom prst="rect">
                      <a:avLst/>
                    </a:prstGeom>
                    <a:noFill/>
                    <a:ln>
                      <a:noFill/>
                    </a:ln>
                  </pic:spPr>
                </pic:pic>
              </a:graphicData>
            </a:graphic>
          </wp:inline>
        </w:drawing>
      </w:r>
    </w:p>
    <w:p w:rsidR="005D09EB" w:rsidRPr="00022044" w:rsidRDefault="005D09EB">
      <w:pPr>
        <w:spacing w:after="240"/>
        <w:jc w:val="center"/>
        <w:rPr>
          <w:b/>
        </w:rPr>
      </w:pPr>
      <w:r w:rsidRPr="00022044">
        <w:br w:type="page"/>
      </w:r>
      <w:r w:rsidRPr="00022044">
        <w:rPr>
          <w:b/>
        </w:rPr>
        <w:t>Option 3: Reform along CAP reform lines</w:t>
      </w:r>
    </w:p>
    <w:p w:rsidR="005D09EB" w:rsidRPr="00022044" w:rsidRDefault="00022044">
      <w:pPr>
        <w:pStyle w:val="NormalCentered"/>
      </w:pPr>
      <w:r w:rsidRPr="00022044">
        <w:rPr>
          <w:noProof/>
        </w:rPr>
        <w:drawing>
          <wp:inline distT="0" distB="0" distL="0" distR="0">
            <wp:extent cx="5937885" cy="28301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7885" cy="2830195"/>
                    </a:xfrm>
                    <a:prstGeom prst="rect">
                      <a:avLst/>
                    </a:prstGeom>
                    <a:noFill/>
                    <a:ln>
                      <a:noFill/>
                    </a:ln>
                  </pic:spPr>
                </pic:pic>
              </a:graphicData>
            </a:graphic>
          </wp:inline>
        </w:drawing>
      </w:r>
    </w:p>
    <w:p w:rsidR="005D09EB" w:rsidRPr="00022044" w:rsidRDefault="005D09EB">
      <w:pPr>
        <w:pStyle w:val="NormalCentered"/>
        <w:keepNext/>
        <w:spacing w:before="240"/>
        <w:rPr>
          <w:b/>
          <w:bCs/>
        </w:rPr>
      </w:pPr>
      <w:r w:rsidRPr="00022044">
        <w:rPr>
          <w:b/>
          <w:bCs/>
        </w:rPr>
        <w:t>Option 4: Complete deregulation</w:t>
      </w:r>
    </w:p>
    <w:p w:rsidR="005D09EB" w:rsidRPr="00022044" w:rsidRDefault="00022044">
      <w:pPr>
        <w:pStyle w:val="NormalCentered"/>
      </w:pPr>
      <w:r w:rsidRPr="00022044">
        <w:rPr>
          <w:noProof/>
        </w:rPr>
        <w:drawing>
          <wp:inline distT="0" distB="0" distL="0" distR="0">
            <wp:extent cx="5937885" cy="283019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7885" cy="2830195"/>
                    </a:xfrm>
                    <a:prstGeom prst="rect">
                      <a:avLst/>
                    </a:prstGeom>
                    <a:noFill/>
                    <a:ln>
                      <a:noFill/>
                    </a:ln>
                  </pic:spPr>
                </pic:pic>
              </a:graphicData>
            </a:graphic>
          </wp:inline>
        </w:drawing>
      </w:r>
    </w:p>
    <w:p w:rsidR="005D09EB" w:rsidRPr="00022044" w:rsidRDefault="005D09EB">
      <w:pPr>
        <w:sectPr w:rsidR="005D09EB" w:rsidRPr="00022044" w:rsidSect="008C38A6">
          <w:footnotePr>
            <w:numRestart w:val="eachSect"/>
          </w:footnotePr>
          <w:pgSz w:w="12240" w:h="15840" w:code="1"/>
          <w:pgMar w:top="540" w:right="1418" w:bottom="1418" w:left="1418" w:header="720" w:footer="720" w:gutter="0"/>
          <w:cols w:space="720"/>
          <w:docGrid w:linePitch="326"/>
        </w:sectPr>
      </w:pPr>
    </w:p>
    <w:p w:rsidR="005D09EB" w:rsidRPr="00022044" w:rsidRDefault="005D09EB">
      <w:pPr>
        <w:pStyle w:val="Annexetitreacte"/>
        <w:spacing w:before="60"/>
        <w:rPr>
          <w:u w:val="none"/>
        </w:rPr>
      </w:pPr>
      <w:bookmarkStart w:id="37" w:name="_Toc134329267"/>
      <w:r w:rsidRPr="00022044">
        <w:rPr>
          <w:u w:val="none"/>
        </w:rPr>
        <w:t xml:space="preserve">Annex 3: </w:t>
      </w:r>
      <w:r w:rsidRPr="00022044">
        <w:rPr>
          <w:u w:val="none"/>
        </w:rPr>
        <w:br/>
        <w:t>Impacts on agricultural incomes</w:t>
      </w:r>
      <w:bookmarkEnd w:id="37"/>
    </w:p>
    <w:p w:rsidR="005D09EB" w:rsidRPr="00022044" w:rsidRDefault="005D09EB">
      <w:pPr>
        <w:pStyle w:val="NormalCentered"/>
        <w:spacing w:before="60"/>
        <w:rPr>
          <w:b/>
          <w:bCs/>
        </w:rPr>
      </w:pPr>
      <w:r w:rsidRPr="00022044">
        <w:rPr>
          <w:b/>
          <w:bCs/>
        </w:rPr>
        <w:t>Summary results of a model-farm approach on table wine farms in some EU regions – Source: DG AGRI – FADN</w:t>
      </w:r>
    </w:p>
    <w:p w:rsidR="005D09EB" w:rsidRPr="00022044" w:rsidRDefault="005D09EB">
      <w:pPr>
        <w:pStyle w:val="NormalCentered"/>
        <w:spacing w:before="0"/>
        <w:rPr>
          <w:b/>
          <w:bCs/>
        </w:rPr>
      </w:pPr>
      <w:r w:rsidRPr="00022044">
        <w:rPr>
          <w:b/>
          <w:bCs/>
        </w:rPr>
        <w:t>Variation of Farm Net Value Added per Annual Working Unit (FNVA/AWU) in %</w:t>
      </w:r>
    </w:p>
    <w:p w:rsidR="005D09EB" w:rsidRPr="00022044" w:rsidRDefault="00022044">
      <w:pPr>
        <w:pStyle w:val="NormalCentered"/>
        <w:spacing w:before="0" w:after="0"/>
      </w:pPr>
      <w:r w:rsidRPr="00022044">
        <w:rPr>
          <w:noProof/>
        </w:rPr>
        <w:drawing>
          <wp:inline distT="0" distB="0" distL="0" distR="0">
            <wp:extent cx="8229600" cy="146431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29600" cy="1464310"/>
                    </a:xfrm>
                    <a:prstGeom prst="rect">
                      <a:avLst/>
                    </a:prstGeom>
                    <a:noFill/>
                    <a:ln>
                      <a:noFill/>
                    </a:ln>
                  </pic:spPr>
                </pic:pic>
              </a:graphicData>
            </a:graphic>
          </wp:inline>
        </w:drawing>
      </w:r>
    </w:p>
    <w:p w:rsidR="005D09EB" w:rsidRPr="00022044" w:rsidRDefault="005D09EB">
      <w:pPr>
        <w:pStyle w:val="NormalCentered"/>
        <w:keepNext/>
        <w:spacing w:before="240" w:after="60"/>
        <w:rPr>
          <w:b/>
          <w:bCs/>
        </w:rPr>
      </w:pPr>
      <w:r w:rsidRPr="00022044">
        <w:rPr>
          <w:b/>
          <w:bCs/>
        </w:rPr>
        <w:t>FNVA/AWU in the second year after the reform</w:t>
      </w:r>
    </w:p>
    <w:p w:rsidR="005D09EB" w:rsidRPr="00022044" w:rsidRDefault="00022044">
      <w:pPr>
        <w:pStyle w:val="NormalCentered"/>
        <w:spacing w:before="0" w:after="0"/>
        <w:rPr>
          <w:b/>
        </w:rPr>
      </w:pPr>
      <w:r w:rsidRPr="00022044">
        <w:rPr>
          <w:b/>
          <w:noProof/>
        </w:rPr>
        <w:drawing>
          <wp:inline distT="0" distB="0" distL="0" distR="0">
            <wp:extent cx="7282815" cy="349440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282815" cy="3494405"/>
                    </a:xfrm>
                    <a:prstGeom prst="rect">
                      <a:avLst/>
                    </a:prstGeom>
                    <a:noFill/>
                    <a:ln>
                      <a:noFill/>
                    </a:ln>
                  </pic:spPr>
                </pic:pic>
              </a:graphicData>
            </a:graphic>
          </wp:inline>
        </w:drawing>
      </w:r>
    </w:p>
    <w:p w:rsidR="005D09EB" w:rsidRPr="00022044" w:rsidRDefault="005D09EB">
      <w:pPr>
        <w:pStyle w:val="NormalCentered"/>
        <w:keepNext/>
        <w:rPr>
          <w:b/>
          <w:bCs/>
        </w:rPr>
      </w:pPr>
      <w:r w:rsidRPr="00022044">
        <w:rPr>
          <w:b/>
          <w:bCs/>
        </w:rPr>
        <w:t>Variation of FNVA/AWU in the year 2 of the reform</w:t>
      </w:r>
    </w:p>
    <w:p w:rsidR="005D09EB" w:rsidRPr="00022044" w:rsidRDefault="00022044">
      <w:pPr>
        <w:pStyle w:val="NormalCentered"/>
        <w:spacing w:before="0" w:after="0"/>
      </w:pPr>
      <w:r w:rsidRPr="00022044">
        <w:rPr>
          <w:noProof/>
        </w:rPr>
        <w:drawing>
          <wp:inline distT="0" distB="0" distL="0" distR="0">
            <wp:extent cx="8191500" cy="353250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191500" cy="3532505"/>
                    </a:xfrm>
                    <a:prstGeom prst="rect">
                      <a:avLst/>
                    </a:prstGeom>
                    <a:noFill/>
                    <a:ln>
                      <a:noFill/>
                    </a:ln>
                  </pic:spPr>
                </pic:pic>
              </a:graphicData>
            </a:graphic>
          </wp:inline>
        </w:drawing>
      </w:r>
    </w:p>
    <w:sectPr w:rsidR="005D09EB" w:rsidRPr="00022044" w:rsidSect="008C38A6">
      <w:headerReference w:type="default" r:id="rId38"/>
      <w:footerReference w:type="default" r:id="rId39"/>
      <w:headerReference w:type="first" r:id="rId40"/>
      <w:footerReference w:type="first" r:id="rId41"/>
      <w:pgSz w:w="15840" w:h="12240" w:orient="landscape" w:code="1"/>
      <w:pgMar w:top="510" w:right="255" w:bottom="454" w:left="255" w:header="454"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708" w:rsidRPr="00022044" w:rsidRDefault="00044708">
      <w:r w:rsidRPr="00022044">
        <w:separator/>
      </w:r>
    </w:p>
  </w:endnote>
  <w:endnote w:type="continuationSeparator" w:id="0">
    <w:p w:rsidR="00044708" w:rsidRPr="00022044" w:rsidRDefault="00044708">
      <w:r w:rsidRPr="000220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022044" w:rsidRDefault="00241F7B">
    <w:pPr>
      <w:pStyle w:val="FooterConseil"/>
      <w:pBdr>
        <w:bottom w:val="single" w:sz="4" w:space="1" w:color="auto"/>
      </w:pBdr>
      <w:spacing w:after="60"/>
    </w:pPr>
  </w:p>
  <w:p w:rsidR="00241F7B" w:rsidRPr="00022044" w:rsidRDefault="00241F7B">
    <w:pPr>
      <w:pStyle w:val="FooterConseil"/>
    </w:pPr>
    <w:bookmarkStart w:id="13" w:name="CoteFooter"/>
    <w:bookmarkEnd w:id="13"/>
    <w:r w:rsidRPr="00022044">
      <w:t xml:space="preserve">10851/06 ADD </w:t>
    </w:r>
    <w:r w:rsidR="008B77FC" w:rsidRPr="00022044">
      <w:t>1</w:t>
    </w:r>
    <w:r w:rsidRPr="00022044">
      <w:tab/>
    </w:r>
    <w:r w:rsidRPr="00022044">
      <w:tab/>
    </w:r>
    <w:bookmarkStart w:id="14" w:name="Init"/>
    <w:bookmarkEnd w:id="14"/>
    <w:r w:rsidRPr="00022044">
      <w:t>br</w:t>
    </w:r>
    <w:r w:rsidRPr="00022044">
      <w:tab/>
    </w:r>
    <w:r w:rsidRPr="00022044">
      <w:fldChar w:fldCharType="begin" w:fldLock="1"/>
    </w:r>
    <w:r w:rsidRPr="00022044">
      <w:instrText xml:space="preserve"> PAGE </w:instrText>
    </w:r>
    <w:r w:rsidRPr="00022044">
      <w:fldChar w:fldCharType="separate"/>
    </w:r>
    <w:r w:rsidR="008B77FC" w:rsidRPr="00022044">
      <w:t>1</w:t>
    </w:r>
    <w:r w:rsidRPr="00022044">
      <w:fldChar w:fldCharType="end"/>
    </w:r>
  </w:p>
  <w:p w:rsidR="00241F7B" w:rsidRPr="00022044" w:rsidRDefault="00241F7B">
    <w:pPr>
      <w:pStyle w:val="FooterConseil"/>
      <w:tabs>
        <w:tab w:val="clear" w:pos="7371"/>
      </w:tabs>
      <w:spacing w:line="280" w:lineRule="exact"/>
      <w:rPr>
        <w:position w:val="-4"/>
      </w:rPr>
    </w:pPr>
    <w:r w:rsidRPr="00022044">
      <w:tab/>
    </w:r>
    <w:bookmarkStart w:id="15" w:name="DG"/>
    <w:bookmarkEnd w:id="15"/>
    <w:r w:rsidRPr="00022044">
      <w:t>DG B I</w:t>
    </w:r>
    <w:r w:rsidRPr="00022044">
      <w:tab/>
    </w:r>
    <w:bookmarkStart w:id="16" w:name="FooterCoteSec"/>
    <w:r w:rsidRPr="00022044">
      <w:rPr>
        <w:b/>
        <w:position w:val="-4"/>
        <w:sz w:val="36"/>
      </w:rPr>
      <w:t xml:space="preserve"> </w:t>
    </w:r>
    <w:bookmarkEnd w:id="16"/>
    <w:r w:rsidRPr="00022044">
      <w:rPr>
        <w:position w:val="-4"/>
      </w:rPr>
      <w:t> </w:t>
    </w:r>
    <w:bookmarkStart w:id="17" w:name="Langue"/>
    <w:r w:rsidRPr="00022044">
      <w:rPr>
        <w:b/>
        <w:position w:val="-4"/>
        <w:sz w:val="36"/>
      </w:rPr>
      <w:t>EN</w:t>
    </w:r>
    <w:bookmarkEnd w:id="17"/>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022044" w:rsidRDefault="00241F7B" w:rsidP="008C38A6">
    <w:pPr>
      <w:pStyle w:val="FooterLandscape"/>
      <w:rPr>
        <w:rFonts w:ascii="Arial" w:hAnsi="Arial" w:cs="Arial"/>
        <w:b/>
        <w:sz w:val="48"/>
      </w:rPr>
    </w:pPr>
    <w:r w:rsidRPr="00022044">
      <w:rPr>
        <w:rFonts w:ascii="Arial" w:hAnsi="Arial" w:cs="Arial"/>
        <w:b/>
        <w:sz w:val="48"/>
      </w:rPr>
      <w:t>EN</w:t>
    </w:r>
    <w:r w:rsidRPr="00022044">
      <w:rPr>
        <w:rFonts w:ascii="Arial" w:hAnsi="Arial" w:cs="Arial"/>
        <w:b/>
        <w:sz w:val="48"/>
      </w:rPr>
      <w:tab/>
    </w:r>
    <w:r w:rsidRPr="00022044">
      <w:fldChar w:fldCharType="begin" w:fldLock="1"/>
    </w:r>
    <w:r w:rsidRPr="00022044">
      <w:instrText xml:space="preserve"> PAGE  \* MERGEFORMAT </w:instrText>
    </w:r>
    <w:r w:rsidRPr="00022044">
      <w:fldChar w:fldCharType="separate"/>
    </w:r>
    <w:r w:rsidR="008B77FC" w:rsidRPr="00022044">
      <w:t>9</w:t>
    </w:r>
    <w:r w:rsidRPr="00022044">
      <w:fldChar w:fldCharType="end"/>
    </w:r>
    <w:r w:rsidRPr="00022044">
      <w:tab/>
    </w:r>
    <w:fldSimple w:instr=" DOCPROPERTY &quot;Classification&quot; \* MERGEFORMAT " w:fldLock="1">
      <w:r w:rsidR="008B77FC" w:rsidRPr="00022044">
        <w:t xml:space="preserve"> </w:t>
      </w:r>
    </w:fldSimple>
    <w:r w:rsidRPr="00022044">
      <w:tab/>
    </w:r>
    <w:r w:rsidRPr="00022044">
      <w:rPr>
        <w:rFonts w:ascii="Arial" w:hAnsi="Arial" w:cs="Arial"/>
        <w:b/>
        <w:sz w:val="48"/>
      </w:rPr>
      <w:t>EN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022044" w:rsidRDefault="00241F7B" w:rsidP="008C38A6">
    <w:pPr>
      <w:pStyle w:val="Sidfot"/>
      <w:rPr>
        <w:rFonts w:ascii="Arial" w:hAnsi="Arial" w:cs="Arial"/>
        <w:b/>
        <w:sz w:val="48"/>
      </w:rPr>
    </w:pPr>
    <w:r w:rsidRPr="00022044">
      <w:rPr>
        <w:rFonts w:ascii="Arial" w:hAnsi="Arial" w:cs="Arial"/>
        <w:b/>
        <w:sz w:val="48"/>
      </w:rPr>
      <w:t>EN</w:t>
    </w:r>
    <w:r w:rsidRPr="00022044">
      <w:rPr>
        <w:rFonts w:ascii="Arial" w:hAnsi="Arial" w:cs="Arial"/>
        <w:b/>
        <w:sz w:val="48"/>
      </w:rPr>
      <w:tab/>
    </w:r>
    <w:r w:rsidRPr="00022044">
      <w:fldChar w:fldCharType="begin" w:fldLock="1"/>
    </w:r>
    <w:r w:rsidRPr="00022044">
      <w:instrText xml:space="preserve"> PAGE  \* MERGEFORMAT </w:instrText>
    </w:r>
    <w:r w:rsidRPr="00022044">
      <w:fldChar w:fldCharType="separate"/>
    </w:r>
    <w:r w:rsidR="008B77FC" w:rsidRPr="00022044">
      <w:t>12</w:t>
    </w:r>
    <w:r w:rsidRPr="00022044">
      <w:fldChar w:fldCharType="end"/>
    </w:r>
    <w:r w:rsidRPr="00022044">
      <w:tab/>
    </w:r>
    <w:fldSimple w:instr=" DOCPROPERTY &quot;Classification&quot; \* MERGEFORMAT " w:fldLock="1">
      <w:r w:rsidR="008B77FC" w:rsidRPr="00022044">
        <w:t xml:space="preserve"> </w:t>
      </w:r>
    </w:fldSimple>
    <w:r w:rsidRPr="00022044">
      <w:tab/>
    </w:r>
    <w:r w:rsidRPr="00022044">
      <w:rPr>
        <w:rFonts w:ascii="Arial" w:hAnsi="Arial" w:cs="Arial"/>
        <w:b/>
        <w:sz w:val="48"/>
      </w:rPr>
      <w:t>EN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022044" w:rsidRDefault="00241F7B" w:rsidP="008C38A6">
    <w:pPr>
      <w:pStyle w:val="FooterLandscape"/>
      <w:rPr>
        <w:rFonts w:ascii="Arial" w:hAnsi="Arial" w:cs="Arial"/>
        <w:b/>
        <w:sz w:val="48"/>
      </w:rPr>
    </w:pPr>
    <w:r w:rsidRPr="00022044">
      <w:rPr>
        <w:rFonts w:ascii="Arial" w:hAnsi="Arial" w:cs="Arial"/>
        <w:b/>
        <w:sz w:val="48"/>
      </w:rPr>
      <w:t>EN</w:t>
    </w:r>
    <w:r w:rsidRPr="00022044">
      <w:rPr>
        <w:rFonts w:ascii="Arial" w:hAnsi="Arial" w:cs="Arial"/>
        <w:b/>
        <w:sz w:val="48"/>
      </w:rPr>
      <w:tab/>
    </w:r>
    <w:r w:rsidRPr="00022044">
      <w:fldChar w:fldCharType="begin" w:fldLock="1"/>
    </w:r>
    <w:r w:rsidRPr="00022044">
      <w:instrText xml:space="preserve"> PAGE  \* MERGEFORMAT </w:instrText>
    </w:r>
    <w:r w:rsidRPr="00022044">
      <w:fldChar w:fldCharType="separate"/>
    </w:r>
    <w:r w:rsidR="008B77FC" w:rsidRPr="00022044">
      <w:t>14</w:t>
    </w:r>
    <w:r w:rsidRPr="00022044">
      <w:fldChar w:fldCharType="end"/>
    </w:r>
    <w:r w:rsidRPr="00022044">
      <w:tab/>
    </w:r>
    <w:fldSimple w:instr=" DOCPROPERTY &quot;Classification&quot; \* MERGEFORMAT " w:fldLock="1">
      <w:r w:rsidR="008B77FC" w:rsidRPr="00022044">
        <w:t xml:space="preserve"> </w:t>
      </w:r>
    </w:fldSimple>
    <w:r w:rsidRPr="00022044">
      <w:tab/>
    </w:r>
    <w:r w:rsidRPr="00022044">
      <w:rPr>
        <w:rFonts w:ascii="Arial" w:hAnsi="Arial" w:cs="Arial"/>
        <w:b/>
        <w:sz w:val="48"/>
      </w:rPr>
      <w:t>EN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FooterLandscap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022044" w:rsidRDefault="00241F7B" w:rsidP="008C38A6">
    <w:pPr>
      <w:pStyle w:val="Sidfot"/>
      <w:rPr>
        <w:rFonts w:ascii="Arial" w:hAnsi="Arial" w:cs="Arial"/>
        <w:b/>
        <w:sz w:val="48"/>
      </w:rPr>
    </w:pPr>
    <w:r w:rsidRPr="00022044">
      <w:rPr>
        <w:rFonts w:ascii="Arial" w:hAnsi="Arial" w:cs="Arial"/>
        <w:b/>
        <w:sz w:val="48"/>
      </w:rPr>
      <w:t>EN</w:t>
    </w:r>
    <w:r w:rsidRPr="00022044">
      <w:rPr>
        <w:rFonts w:ascii="Arial" w:hAnsi="Arial" w:cs="Arial"/>
        <w:b/>
        <w:sz w:val="48"/>
      </w:rPr>
      <w:tab/>
    </w:r>
    <w:r w:rsidRPr="00022044">
      <w:rPr>
        <w:rFonts w:ascii="Arial" w:hAnsi="Arial" w:cs="Arial"/>
        <w:b/>
        <w:sz w:val="48"/>
      </w:rPr>
      <w:tab/>
    </w:r>
    <w:fldSimple w:instr=" DOCPROPERTY &quot;Classification&quot; \* MERGEFORMAT " w:fldLock="1">
      <w:r w:rsidR="008B77FC" w:rsidRPr="00022044">
        <w:t xml:space="preserve"> </w:t>
      </w:r>
    </w:fldSimple>
    <w:r w:rsidRPr="00022044">
      <w:tab/>
    </w:r>
    <w:r w:rsidRPr="0002204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022044" w:rsidRDefault="00241F7B" w:rsidP="008C38A6">
    <w:pPr>
      <w:pStyle w:val="Sidfot"/>
      <w:rPr>
        <w:rFonts w:ascii="Arial" w:hAnsi="Arial" w:cs="Arial"/>
        <w:b/>
        <w:sz w:val="48"/>
      </w:rPr>
    </w:pPr>
    <w:r w:rsidRPr="00022044">
      <w:rPr>
        <w:rFonts w:ascii="Arial" w:hAnsi="Arial" w:cs="Arial"/>
        <w:b/>
        <w:sz w:val="48"/>
      </w:rPr>
      <w:t>EN</w:t>
    </w:r>
    <w:r w:rsidRPr="00022044">
      <w:rPr>
        <w:rFonts w:ascii="Arial" w:hAnsi="Arial" w:cs="Arial"/>
        <w:b/>
        <w:sz w:val="48"/>
      </w:rPr>
      <w:tab/>
    </w:r>
    <w:r w:rsidRPr="00022044">
      <w:fldChar w:fldCharType="begin" w:fldLock="1"/>
    </w:r>
    <w:r w:rsidRPr="00022044">
      <w:instrText xml:space="preserve"> PAGE  \* MERGEFORMAT </w:instrText>
    </w:r>
    <w:r w:rsidRPr="00022044">
      <w:fldChar w:fldCharType="separate"/>
    </w:r>
    <w:r w:rsidR="008B77FC" w:rsidRPr="00022044">
      <w:t>2</w:t>
    </w:r>
    <w:r w:rsidRPr="00022044">
      <w:fldChar w:fldCharType="end"/>
    </w:r>
    <w:r w:rsidRPr="00022044">
      <w:tab/>
    </w:r>
    <w:fldSimple w:instr=" DOCPROPERTY &quot;Classification&quot; \* MERGEFORMAT " w:fldLock="1">
      <w:r w:rsidR="008B77FC" w:rsidRPr="00022044">
        <w:t xml:space="preserve"> </w:t>
      </w:r>
    </w:fldSimple>
    <w:r w:rsidRPr="00022044">
      <w:tab/>
    </w:r>
    <w:r w:rsidRPr="0002204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022044" w:rsidRDefault="00241F7B" w:rsidP="008C38A6">
    <w:pPr>
      <w:pStyle w:val="FooterLandscape"/>
      <w:rPr>
        <w:rFonts w:ascii="Arial" w:hAnsi="Arial" w:cs="Arial"/>
        <w:b/>
        <w:sz w:val="48"/>
      </w:rPr>
    </w:pPr>
    <w:r w:rsidRPr="00022044">
      <w:rPr>
        <w:rFonts w:ascii="Arial" w:hAnsi="Arial" w:cs="Arial"/>
        <w:b/>
        <w:sz w:val="48"/>
      </w:rPr>
      <w:t>EN</w:t>
    </w:r>
    <w:r w:rsidRPr="00022044">
      <w:rPr>
        <w:rFonts w:ascii="Arial" w:hAnsi="Arial" w:cs="Arial"/>
        <w:b/>
        <w:sz w:val="48"/>
      </w:rPr>
      <w:tab/>
    </w:r>
    <w:r w:rsidRPr="00022044">
      <w:fldChar w:fldCharType="begin" w:fldLock="1"/>
    </w:r>
    <w:r w:rsidRPr="00022044">
      <w:instrText xml:space="preserve"> PAGE  \* MERGEFORMAT </w:instrText>
    </w:r>
    <w:r w:rsidRPr="00022044">
      <w:fldChar w:fldCharType="separate"/>
    </w:r>
    <w:r w:rsidR="008B77FC" w:rsidRPr="00022044">
      <w:t>3</w:t>
    </w:r>
    <w:r w:rsidRPr="00022044">
      <w:fldChar w:fldCharType="end"/>
    </w:r>
    <w:r w:rsidRPr="00022044">
      <w:tab/>
    </w:r>
    <w:fldSimple w:instr=" DOCPROPERTY &quot;Classification&quot; \* MERGEFORMAT " w:fldLock="1">
      <w:r w:rsidR="008B77FC" w:rsidRPr="00022044">
        <w:t xml:space="preserve"> </w:t>
      </w:r>
    </w:fldSimple>
    <w:r w:rsidRPr="00022044">
      <w:tab/>
    </w:r>
    <w:r w:rsidRPr="00022044">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022044" w:rsidRDefault="00241F7B" w:rsidP="008C38A6">
    <w:pPr>
      <w:pStyle w:val="Sidfot"/>
      <w:rPr>
        <w:rFonts w:ascii="Arial" w:hAnsi="Arial" w:cs="Arial"/>
        <w:b/>
        <w:sz w:val="48"/>
      </w:rPr>
    </w:pPr>
    <w:r w:rsidRPr="00022044">
      <w:rPr>
        <w:rFonts w:ascii="Arial" w:hAnsi="Arial" w:cs="Arial"/>
        <w:b/>
        <w:sz w:val="48"/>
      </w:rPr>
      <w:t>EN</w:t>
    </w:r>
    <w:r w:rsidRPr="00022044">
      <w:rPr>
        <w:rFonts w:ascii="Arial" w:hAnsi="Arial" w:cs="Arial"/>
        <w:b/>
        <w:sz w:val="48"/>
      </w:rPr>
      <w:tab/>
    </w:r>
    <w:r w:rsidRPr="00022044">
      <w:fldChar w:fldCharType="begin" w:fldLock="1"/>
    </w:r>
    <w:r w:rsidRPr="00022044">
      <w:instrText xml:space="preserve"> PAGE  \* MERGEFORMAT </w:instrText>
    </w:r>
    <w:r w:rsidRPr="00022044">
      <w:fldChar w:fldCharType="separate"/>
    </w:r>
    <w:r w:rsidR="008B77FC" w:rsidRPr="00022044">
      <w:t>8</w:t>
    </w:r>
    <w:r w:rsidRPr="00022044">
      <w:fldChar w:fldCharType="end"/>
    </w:r>
    <w:r w:rsidRPr="00022044">
      <w:tab/>
    </w:r>
    <w:fldSimple w:instr=" DOCPROPERTY &quot;Classification&quot; \* MERGEFORMAT " w:fldLock="1">
      <w:r w:rsidR="008B77FC" w:rsidRPr="00022044">
        <w:t xml:space="preserve"> </w:t>
      </w:r>
    </w:fldSimple>
    <w:r w:rsidRPr="00022044">
      <w:tab/>
    </w:r>
    <w:r w:rsidRPr="00022044">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708" w:rsidRPr="00022044" w:rsidRDefault="00044708">
      <w:r w:rsidRPr="00022044">
        <w:separator/>
      </w:r>
    </w:p>
  </w:footnote>
  <w:footnote w:type="continuationSeparator" w:id="0">
    <w:p w:rsidR="00044708" w:rsidRPr="00022044" w:rsidRDefault="00044708">
      <w:r w:rsidRPr="00022044">
        <w:continuationSeparator/>
      </w:r>
    </w:p>
  </w:footnote>
  <w:footnote w:id="1">
    <w:p w:rsidR="00241F7B" w:rsidRPr="00022044" w:rsidRDefault="00241F7B">
      <w:pPr>
        <w:pStyle w:val="Fotnotstext"/>
      </w:pPr>
      <w:r w:rsidRPr="00022044">
        <w:rPr>
          <w:rStyle w:val="Fotnotsreferens"/>
        </w:rPr>
        <w:footnoteRef/>
      </w:r>
      <w:r w:rsidRPr="00022044">
        <w:tab/>
        <w:t>Source: the enrichment of wine in the European Community, Wageningen University, EUR report 13239,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HeaderLandscap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7311F4" w:rsidRDefault="00241F7B" w:rsidP="008C38A6">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8C38A6" w:rsidRDefault="00241F7B" w:rsidP="008C38A6">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F7B" w:rsidRPr="007311F4" w:rsidRDefault="00241F7B" w:rsidP="008C38A6">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F30937E"/>
    <w:lvl w:ilvl="0">
      <w:start w:val="1"/>
      <w:numFmt w:val="decimal"/>
      <w:lvlText w:val="%1."/>
      <w:lvlJc w:val="left"/>
      <w:pPr>
        <w:tabs>
          <w:tab w:val="num" w:pos="1440"/>
        </w:tabs>
        <w:ind w:left="1440" w:hanging="360"/>
      </w:pPr>
      <w:rPr>
        <w:rFonts w:cs="Times New Roman"/>
      </w:rPr>
    </w:lvl>
  </w:abstractNum>
  <w:abstractNum w:abstractNumId="1" w15:restartNumberingAfterBreak="0">
    <w:nsid w:val="FFFFFF7E"/>
    <w:multiLevelType w:val="singleLevel"/>
    <w:tmpl w:val="2BEC7874"/>
    <w:lvl w:ilvl="0">
      <w:start w:val="1"/>
      <w:numFmt w:val="decimal"/>
      <w:lvlText w:val="%1."/>
      <w:lvlJc w:val="left"/>
      <w:pPr>
        <w:tabs>
          <w:tab w:val="num" w:pos="1080"/>
        </w:tabs>
        <w:ind w:left="1080" w:hanging="360"/>
      </w:pPr>
      <w:rPr>
        <w:rFonts w:cs="Times New Roman"/>
      </w:rPr>
    </w:lvl>
  </w:abstractNum>
  <w:abstractNum w:abstractNumId="2" w15:restartNumberingAfterBreak="0">
    <w:nsid w:val="FFFFFF7F"/>
    <w:multiLevelType w:val="singleLevel"/>
    <w:tmpl w:val="3CC0E526"/>
    <w:lvl w:ilvl="0">
      <w:start w:val="1"/>
      <w:numFmt w:val="decimal"/>
      <w:lvlText w:val="%1."/>
      <w:lvlJc w:val="left"/>
      <w:pPr>
        <w:tabs>
          <w:tab w:val="num" w:pos="720"/>
        </w:tabs>
        <w:ind w:left="720" w:hanging="360"/>
      </w:pPr>
      <w:rPr>
        <w:rFonts w:cs="Times New Roman"/>
      </w:rPr>
    </w:lvl>
  </w:abstractNum>
  <w:abstractNum w:abstractNumId="3" w15:restartNumberingAfterBreak="0">
    <w:nsid w:val="FFFFFF81"/>
    <w:multiLevelType w:val="singleLevel"/>
    <w:tmpl w:val="296C7F92"/>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C64D70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3CBA2C2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028F76A"/>
    <w:lvl w:ilvl="0">
      <w:start w:val="1"/>
      <w:numFmt w:val="decimal"/>
      <w:lvlText w:val="%1."/>
      <w:lvlJc w:val="left"/>
      <w:pPr>
        <w:tabs>
          <w:tab w:val="num" w:pos="360"/>
        </w:tabs>
        <w:ind w:left="360" w:hanging="360"/>
      </w:pPr>
      <w:rPr>
        <w:rFonts w:cs="Times New Roman"/>
      </w:rPr>
    </w:lvl>
  </w:abstractNum>
  <w:abstractNum w:abstractNumId="7" w15:restartNumberingAfterBreak="0">
    <w:nsid w:val="FFFFFF89"/>
    <w:multiLevelType w:val="singleLevel"/>
    <w:tmpl w:val="FFE6E4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E497A"/>
    <w:multiLevelType w:val="singleLevel"/>
    <w:tmpl w:val="34180612"/>
    <w:name w:val="List Bullet 1"/>
    <w:lvl w:ilvl="0">
      <w:start w:val="1"/>
      <w:numFmt w:val="bullet"/>
      <w:lvlRestart w:val="0"/>
      <w:pStyle w:val="ListBullet1"/>
      <w:lvlText w:val=""/>
      <w:lvlJc w:val="left"/>
      <w:pPr>
        <w:tabs>
          <w:tab w:val="num" w:pos="1134"/>
        </w:tabs>
        <w:ind w:left="1134" w:hanging="283"/>
      </w:pPr>
      <w:rPr>
        <w:rFonts w:ascii="Symbol" w:hAnsi="Symbol"/>
      </w:rPr>
    </w:lvl>
  </w:abstractNum>
  <w:abstractNum w:abstractNumId="9" w15:restartNumberingAfterBreak="0">
    <w:nsid w:val="046F33CE"/>
    <w:multiLevelType w:val="multilevel"/>
    <w:tmpl w:val="F76ED738"/>
    <w:name w:val="List Number 2"/>
    <w:lvl w:ilvl="0">
      <w:start w:val="1"/>
      <w:numFmt w:val="decimal"/>
      <w:lvlRestart w:val="0"/>
      <w:pStyle w:val="Numreradlist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86F37DE"/>
    <w:multiLevelType w:val="multilevel"/>
    <w:tmpl w:val="285C9CA8"/>
    <w:name w:val="List Number 3"/>
    <w:lvl w:ilvl="0">
      <w:start w:val="1"/>
      <w:numFmt w:val="decimal"/>
      <w:lvlRestart w:val="0"/>
      <w:pStyle w:val="Numreradlist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B877276"/>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CE85528"/>
    <w:multiLevelType w:val="singleLevel"/>
    <w:tmpl w:val="7BA29BAC"/>
    <w:name w:val="List Bullet 3"/>
    <w:lvl w:ilvl="0">
      <w:start w:val="1"/>
      <w:numFmt w:val="bullet"/>
      <w:lvlRestart w:val="0"/>
      <w:pStyle w:val="Punktlista3"/>
      <w:lvlText w:val=""/>
      <w:lvlJc w:val="left"/>
      <w:pPr>
        <w:tabs>
          <w:tab w:val="num" w:pos="1134"/>
        </w:tabs>
        <w:ind w:left="1134" w:hanging="283"/>
      </w:pPr>
      <w:rPr>
        <w:rFonts w:ascii="Symbol" w:hAnsi="Symbol"/>
      </w:rPr>
    </w:lvl>
  </w:abstractNum>
  <w:abstractNum w:abstractNumId="13" w15:restartNumberingAfterBreak="0">
    <w:nsid w:val="0E557D20"/>
    <w:multiLevelType w:val="singleLevel"/>
    <w:tmpl w:val="29AE4C22"/>
    <w:name w:val="List Bullet 2"/>
    <w:lvl w:ilvl="0">
      <w:start w:val="1"/>
      <w:numFmt w:val="bullet"/>
      <w:lvlRestart w:val="0"/>
      <w:pStyle w:val="Punktlista2"/>
      <w:lvlText w:val=""/>
      <w:lvlJc w:val="left"/>
      <w:pPr>
        <w:tabs>
          <w:tab w:val="num" w:pos="1134"/>
        </w:tabs>
        <w:ind w:left="1134" w:hanging="283"/>
      </w:pPr>
      <w:rPr>
        <w:rFonts w:ascii="Symbol" w:hAnsi="Symbol"/>
      </w:rPr>
    </w:lvl>
  </w:abstractNum>
  <w:abstractNum w:abstractNumId="14" w15:restartNumberingAfterBreak="0">
    <w:nsid w:val="10C32F8E"/>
    <w:multiLevelType w:val="singleLevel"/>
    <w:tmpl w:val="7D32806C"/>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15" w15:restartNumberingAfterBreak="0">
    <w:nsid w:val="13C34E21"/>
    <w:multiLevelType w:val="multilevel"/>
    <w:tmpl w:val="C236103A"/>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835"/>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177349BE"/>
    <w:multiLevelType w:val="singleLevel"/>
    <w:tmpl w:val="63CC21A2"/>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7" w15:restartNumberingAfterBreak="0">
    <w:nsid w:val="18F82A41"/>
    <w:multiLevelType w:val="multilevel"/>
    <w:tmpl w:val="52A03670"/>
    <w:name w:val="Default"/>
    <w:lvl w:ilvl="0">
      <w:start w:val="1"/>
      <w:numFmt w:val="decimal"/>
      <w:lvlRestart w:val="0"/>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7AA4D49"/>
    <w:multiLevelType w:val="multilevel"/>
    <w:tmpl w:val="362490F8"/>
    <w:name w:val="List Number 4"/>
    <w:lvl w:ilvl="0">
      <w:start w:val="1"/>
      <w:numFmt w:val="decimal"/>
      <w:lvlRestart w:val="0"/>
      <w:pStyle w:val="Numreradlist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CD34FFD"/>
    <w:multiLevelType w:val="singleLevel"/>
    <w:tmpl w:val="40B842A2"/>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E2331E4"/>
    <w:multiLevelType w:val="hybridMultilevel"/>
    <w:tmpl w:val="43BCE12A"/>
    <w:lvl w:ilvl="0" w:tplc="FFFFFFFF">
      <w:start w:val="1"/>
      <w:numFmt w:val="bullet"/>
      <w:lvlText w:val="-"/>
      <w:lvlJc w:val="left"/>
      <w:pPr>
        <w:tabs>
          <w:tab w:val="num" w:pos="2874"/>
        </w:tabs>
        <w:ind w:left="2874"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F50C4"/>
    <w:multiLevelType w:val="singleLevel"/>
    <w:tmpl w:val="CF7C6E98"/>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37922D01"/>
    <w:multiLevelType w:val="hybridMultilevel"/>
    <w:tmpl w:val="6B120756"/>
    <w:lvl w:ilvl="0" w:tplc="08090001">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BC2859"/>
    <w:multiLevelType w:val="multilevel"/>
    <w:tmpl w:val="A738782E"/>
    <w:name w:val="List Number 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5842BB8"/>
    <w:multiLevelType w:val="singleLevel"/>
    <w:tmpl w:val="9EB6589E"/>
    <w:lvl w:ilvl="0">
      <w:start w:val="1"/>
      <w:numFmt w:val="bullet"/>
      <w:lvlRestart w:val="0"/>
      <w:pStyle w:val="Punktlista4"/>
      <w:lvlText w:val=""/>
      <w:lvlJc w:val="left"/>
      <w:pPr>
        <w:tabs>
          <w:tab w:val="num" w:pos="1134"/>
        </w:tabs>
        <w:ind w:left="1134" w:hanging="283"/>
      </w:pPr>
      <w:rPr>
        <w:rFonts w:ascii="Symbol" w:hAnsi="Symbol"/>
      </w:rPr>
    </w:lvl>
  </w:abstractNum>
  <w:abstractNum w:abstractNumId="25" w15:restartNumberingAfterBreak="0">
    <w:nsid w:val="49C8346C"/>
    <w:multiLevelType w:val="multilevel"/>
    <w:tmpl w:val="C0145086"/>
    <w:name w:val="List Bullet 4"/>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60F45FC"/>
    <w:multiLevelType w:val="singleLevel"/>
    <w:tmpl w:val="3F3EA308"/>
    <w:name w:val="NumPar"/>
    <w:lvl w:ilvl="0">
      <w:start w:val="1"/>
      <w:numFmt w:val="bullet"/>
      <w:lvlRestart w:val="0"/>
      <w:pStyle w:val="Punktlista"/>
      <w:lvlText w:val=""/>
      <w:lvlJc w:val="left"/>
      <w:pPr>
        <w:tabs>
          <w:tab w:val="num" w:pos="283"/>
        </w:tabs>
        <w:ind w:left="283" w:hanging="283"/>
      </w:pPr>
      <w:rPr>
        <w:rFonts w:ascii="Symbol" w:hAnsi="Symbol"/>
      </w:rPr>
    </w:lvl>
  </w:abstractNum>
  <w:abstractNum w:abstractNumId="27" w15:restartNumberingAfterBreak="0">
    <w:nsid w:val="576A32C9"/>
    <w:multiLevelType w:val="multilevel"/>
    <w:tmpl w:val="9FA4C1EA"/>
    <w:lvl w:ilvl="0">
      <w:start w:val="1"/>
      <w:numFmt w:val="decimal"/>
      <w:lvlRestart w:val="0"/>
      <w:pStyle w:val="Rubrik1"/>
      <w:lvlText w:val="%1."/>
      <w:lvlJc w:val="left"/>
      <w:pPr>
        <w:tabs>
          <w:tab w:val="num" w:pos="850"/>
        </w:tabs>
        <w:ind w:left="850" w:hanging="850"/>
      </w:pPr>
      <w:rPr>
        <w:rFonts w:cs="Times New Roman"/>
      </w:rPr>
    </w:lvl>
    <w:lvl w:ilvl="1">
      <w:start w:val="1"/>
      <w:numFmt w:val="decimal"/>
      <w:pStyle w:val="Rubrik2"/>
      <w:lvlText w:val="%1.%2."/>
      <w:lvlJc w:val="left"/>
      <w:pPr>
        <w:tabs>
          <w:tab w:val="num" w:pos="850"/>
        </w:tabs>
        <w:ind w:left="850" w:hanging="850"/>
      </w:pPr>
      <w:rPr>
        <w:rFonts w:cs="Times New Roman"/>
      </w:rPr>
    </w:lvl>
    <w:lvl w:ilvl="2">
      <w:start w:val="1"/>
      <w:numFmt w:val="decimal"/>
      <w:pStyle w:val="Rubrik3"/>
      <w:lvlText w:val="%1.%2.%3."/>
      <w:lvlJc w:val="left"/>
      <w:pPr>
        <w:tabs>
          <w:tab w:val="num" w:pos="850"/>
        </w:tabs>
        <w:ind w:left="850" w:hanging="850"/>
      </w:pPr>
      <w:rPr>
        <w:rFonts w:cs="Times New Roman"/>
      </w:rPr>
    </w:lvl>
    <w:lvl w:ilvl="3">
      <w:start w:val="1"/>
      <w:numFmt w:val="decimal"/>
      <w:pStyle w:val="Rubrik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6272686E"/>
    <w:multiLevelType w:val="singleLevel"/>
    <w:tmpl w:val="6292DC68"/>
    <w:name w:val="List Bullet"/>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9" w15:restartNumberingAfterBreak="0">
    <w:nsid w:val="62910FBB"/>
    <w:multiLevelType w:val="multilevel"/>
    <w:tmpl w:val="F4782DB6"/>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30E4DAD"/>
    <w:multiLevelType w:val="singleLevel"/>
    <w:tmpl w:val="DC928774"/>
    <w:name w:val="List Dash 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1" w15:restartNumberingAfterBreak="0">
    <w:nsid w:val="668A10F7"/>
    <w:multiLevelType w:val="singleLevel"/>
    <w:tmpl w:val="BD783356"/>
    <w:name w:val="LegalNumbering"/>
    <w:lvl w:ilvl="0">
      <w:start w:val="1"/>
      <w:numFmt w:val="bullet"/>
      <w:pStyle w:val="Disclaimer"/>
      <w:lvlText w:val="–"/>
      <w:lvlJc w:val="left"/>
      <w:pPr>
        <w:tabs>
          <w:tab w:val="num" w:pos="1360"/>
        </w:tabs>
        <w:ind w:left="1360" w:hanging="283"/>
      </w:pPr>
      <w:rPr>
        <w:rFonts w:ascii="Times New Roman" w:hAnsi="Times New Roman"/>
      </w:rPr>
    </w:lvl>
  </w:abstractNum>
  <w:abstractNum w:abstractNumId="32" w15:restartNumberingAfterBreak="0">
    <w:nsid w:val="67EC134D"/>
    <w:multiLevelType w:val="singleLevel"/>
    <w:tmpl w:val="C9963BB4"/>
    <w:lvl w:ilvl="0">
      <w:start w:val="1"/>
      <w:numFmt w:val="bullet"/>
      <w:lvlRestart w:val="0"/>
      <w:pStyle w:val="Tiret3"/>
      <w:lvlText w:val="–"/>
      <w:lvlJc w:val="left"/>
      <w:pPr>
        <w:tabs>
          <w:tab w:val="num" w:pos="2551"/>
        </w:tabs>
        <w:ind w:left="2551" w:hanging="567"/>
      </w:pPr>
    </w:lvl>
  </w:abstractNum>
  <w:abstractNum w:abstractNumId="33" w15:restartNumberingAfterBreak="0">
    <w:nsid w:val="69A53F65"/>
    <w:multiLevelType w:val="multilevel"/>
    <w:tmpl w:val="C3B20EB4"/>
    <w:name w:val="List Dash 3"/>
    <w:lvl w:ilvl="0">
      <w:start w:val="1"/>
      <w:numFmt w:val="decimal"/>
      <w:lvlRestart w:val="0"/>
      <w:pStyle w:val="Numrerad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12154A4"/>
    <w:multiLevelType w:val="singleLevel"/>
    <w:tmpl w:val="99F26DBE"/>
    <w:name w:val="Tiret 3"/>
    <w:lvl w:ilvl="0">
      <w:start w:val="1"/>
      <w:numFmt w:val="bullet"/>
      <w:lvlRestart w:val="0"/>
      <w:pStyle w:val="Tiret4"/>
      <w:lvlText w:val="–"/>
      <w:lvlJc w:val="left"/>
      <w:pPr>
        <w:tabs>
          <w:tab w:val="num" w:pos="3118"/>
        </w:tabs>
        <w:ind w:left="3118" w:hanging="567"/>
      </w:pPr>
    </w:lvl>
  </w:abstractNum>
  <w:abstractNum w:abstractNumId="35" w15:restartNumberingAfterBreak="0">
    <w:nsid w:val="781A51BE"/>
    <w:multiLevelType w:val="hybridMultilevel"/>
    <w:tmpl w:val="4EB03362"/>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E66D97"/>
    <w:multiLevelType w:val="singleLevel"/>
    <w:tmpl w:val="AAB21E0E"/>
    <w:name w:val="List Number"/>
    <w:lvl w:ilvl="0">
      <w:start w:val="1"/>
      <w:numFmt w:val="bullet"/>
      <w:lvlRestart w:val="0"/>
      <w:pStyle w:val="Tiret0"/>
      <w:lvlText w:val="–"/>
      <w:lvlJc w:val="left"/>
      <w:pPr>
        <w:tabs>
          <w:tab w:val="num" w:pos="850"/>
        </w:tabs>
        <w:ind w:left="850" w:hanging="850"/>
      </w:pPr>
    </w:lvl>
  </w:abstractNum>
  <w:abstractNum w:abstractNumId="37" w15:restartNumberingAfterBreak="0">
    <w:nsid w:val="7F0F3B56"/>
    <w:multiLevelType w:val="singleLevel"/>
    <w:tmpl w:val="175453F2"/>
    <w:name w:val="Tiret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8" w15:restartNumberingAfterBreak="0">
    <w:nsid w:val="7F7575D0"/>
    <w:multiLevelType w:val="singleLevel"/>
    <w:tmpl w:val="123E1F50"/>
    <w:name w:val="Tiret 0"/>
    <w:lvl w:ilvl="0">
      <w:start w:val="1"/>
      <w:numFmt w:val="bullet"/>
      <w:lvlRestart w:val="0"/>
      <w:pStyle w:val="ListDash"/>
      <w:lvlText w:val="–"/>
      <w:lvlJc w:val="left"/>
      <w:pPr>
        <w:tabs>
          <w:tab w:val="num" w:pos="283"/>
        </w:tabs>
        <w:ind w:left="283" w:hanging="283"/>
      </w:pPr>
      <w:rPr>
        <w:rFonts w:ascii="Times New Roman" w:hAnsi="Times New Roman"/>
      </w:rPr>
    </w:lvl>
  </w:abstractNum>
  <w:num w:numId="1" w16cid:durableId="963317594">
    <w:abstractNumId w:val="7"/>
  </w:num>
  <w:num w:numId="2" w16cid:durableId="898055974">
    <w:abstractNumId w:val="5"/>
  </w:num>
  <w:num w:numId="3" w16cid:durableId="1581523809">
    <w:abstractNumId w:val="4"/>
  </w:num>
  <w:num w:numId="4" w16cid:durableId="78988556">
    <w:abstractNumId w:val="3"/>
  </w:num>
  <w:num w:numId="5" w16cid:durableId="441386520">
    <w:abstractNumId w:val="6"/>
  </w:num>
  <w:num w:numId="6" w16cid:durableId="2045868128">
    <w:abstractNumId w:val="2"/>
  </w:num>
  <w:num w:numId="7" w16cid:durableId="1197743186">
    <w:abstractNumId w:val="1"/>
  </w:num>
  <w:num w:numId="8" w16cid:durableId="750740292">
    <w:abstractNumId w:val="0"/>
  </w:num>
  <w:num w:numId="9" w16cid:durableId="1898855623">
    <w:abstractNumId w:val="7"/>
  </w:num>
  <w:num w:numId="10" w16cid:durableId="1523977150">
    <w:abstractNumId w:val="5"/>
  </w:num>
  <w:num w:numId="11" w16cid:durableId="581722674">
    <w:abstractNumId w:val="4"/>
  </w:num>
  <w:num w:numId="12" w16cid:durableId="1647006896">
    <w:abstractNumId w:val="3"/>
  </w:num>
  <w:num w:numId="13" w16cid:durableId="677274972">
    <w:abstractNumId w:val="6"/>
  </w:num>
  <w:num w:numId="14" w16cid:durableId="944311203">
    <w:abstractNumId w:val="2"/>
  </w:num>
  <w:num w:numId="15" w16cid:durableId="276301041">
    <w:abstractNumId w:val="1"/>
  </w:num>
  <w:num w:numId="16" w16cid:durableId="783573105">
    <w:abstractNumId w:val="0"/>
  </w:num>
  <w:num w:numId="17" w16cid:durableId="300308536">
    <w:abstractNumId w:val="36"/>
  </w:num>
  <w:num w:numId="18" w16cid:durableId="380179981">
    <w:abstractNumId w:val="21"/>
  </w:num>
  <w:num w:numId="19" w16cid:durableId="438525833">
    <w:abstractNumId w:val="19"/>
  </w:num>
  <w:num w:numId="20" w16cid:durableId="1592398236">
    <w:abstractNumId w:val="32"/>
  </w:num>
  <w:num w:numId="21" w16cid:durableId="1073237378">
    <w:abstractNumId w:val="34"/>
  </w:num>
  <w:num w:numId="22" w16cid:durableId="1082407697">
    <w:abstractNumId w:val="25"/>
  </w:num>
  <w:num w:numId="23" w16cid:durableId="925846588">
    <w:abstractNumId w:val="27"/>
  </w:num>
  <w:num w:numId="24" w16cid:durableId="1337613165">
    <w:abstractNumId w:val="26"/>
  </w:num>
  <w:num w:numId="25" w16cid:durableId="623654991">
    <w:abstractNumId w:val="8"/>
  </w:num>
  <w:num w:numId="26" w16cid:durableId="1584605334">
    <w:abstractNumId w:val="13"/>
  </w:num>
  <w:num w:numId="27" w16cid:durableId="1200243734">
    <w:abstractNumId w:val="12"/>
  </w:num>
  <w:num w:numId="28" w16cid:durableId="796066883">
    <w:abstractNumId w:val="24"/>
  </w:num>
  <w:num w:numId="29" w16cid:durableId="956256321">
    <w:abstractNumId w:val="38"/>
  </w:num>
  <w:num w:numId="30" w16cid:durableId="637877020">
    <w:abstractNumId w:val="28"/>
  </w:num>
  <w:num w:numId="31" w16cid:durableId="1707680626">
    <w:abstractNumId w:val="16"/>
  </w:num>
  <w:num w:numId="32" w16cid:durableId="62221015">
    <w:abstractNumId w:val="30"/>
  </w:num>
  <w:num w:numId="33" w16cid:durableId="272443681">
    <w:abstractNumId w:val="37"/>
  </w:num>
  <w:num w:numId="34" w16cid:durableId="99037171">
    <w:abstractNumId w:val="33"/>
  </w:num>
  <w:num w:numId="35" w16cid:durableId="1111435130">
    <w:abstractNumId w:val="23"/>
  </w:num>
  <w:num w:numId="36" w16cid:durableId="931668539">
    <w:abstractNumId w:val="9"/>
  </w:num>
  <w:num w:numId="37" w16cid:durableId="2088067491">
    <w:abstractNumId w:val="10"/>
  </w:num>
  <w:num w:numId="38" w16cid:durableId="3167530">
    <w:abstractNumId w:val="18"/>
  </w:num>
  <w:num w:numId="39" w16cid:durableId="1877891753">
    <w:abstractNumId w:val="14"/>
  </w:num>
  <w:num w:numId="40" w16cid:durableId="1553151463">
    <w:abstractNumId w:val="31"/>
  </w:num>
  <w:num w:numId="41" w16cid:durableId="279842098">
    <w:abstractNumId w:val="35"/>
  </w:num>
  <w:num w:numId="42" w16cid:durableId="1864630631">
    <w:abstractNumId w:val="22"/>
  </w:num>
  <w:num w:numId="43" w16cid:durableId="1758792030">
    <w:abstractNumId w:val="20"/>
  </w:num>
  <w:num w:numId="44" w16cid:durableId="214509388">
    <w:abstractNumId w:val="11"/>
  </w:num>
  <w:num w:numId="45" w16cid:durableId="1186602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LW_DocType" w:val="COM"/>
    <w:docVar w:name="VSSDB_IniPath" w:val="\\at100\user\wovo\SEILEG\vss\srcsafe.ini"/>
    <w:docVar w:name="VSSDB_ProjectPath" w:val="$/LegisWrite/DOT/COM"/>
  </w:docVars>
  <w:rsids>
    <w:rsidRoot w:val="00FB636D"/>
    <w:rsid w:val="00022044"/>
    <w:rsid w:val="00044708"/>
    <w:rsid w:val="00241F7B"/>
    <w:rsid w:val="002C5EE7"/>
    <w:rsid w:val="00387F68"/>
    <w:rsid w:val="004C54C3"/>
    <w:rsid w:val="004E005A"/>
    <w:rsid w:val="005D09EB"/>
    <w:rsid w:val="00693360"/>
    <w:rsid w:val="006F06AB"/>
    <w:rsid w:val="007311F4"/>
    <w:rsid w:val="00737AFB"/>
    <w:rsid w:val="007B1FAC"/>
    <w:rsid w:val="00882CD6"/>
    <w:rsid w:val="008B77FC"/>
    <w:rsid w:val="008C38A6"/>
    <w:rsid w:val="00AF7717"/>
    <w:rsid w:val="00B257EB"/>
    <w:rsid w:val="00FB63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9F34FC88-E5BE-4300-AFE4-9E2451A7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z w:val="24"/>
      <w:lang w:val="sv-SE" w:eastAsia="zh-CN"/>
    </w:rPr>
  </w:style>
  <w:style w:type="paragraph" w:styleId="Rubrik1">
    <w:name w:val="heading 1"/>
    <w:basedOn w:val="Normal"/>
    <w:next w:val="Text1"/>
    <w:qFormat/>
    <w:pPr>
      <w:keepNext/>
      <w:numPr>
        <w:numId w:val="23"/>
      </w:numPr>
      <w:spacing w:before="360"/>
      <w:outlineLvl w:val="0"/>
    </w:pPr>
    <w:rPr>
      <w:b/>
      <w:smallCaps/>
    </w:rPr>
  </w:style>
  <w:style w:type="paragraph" w:styleId="Rubrik2">
    <w:name w:val="heading 2"/>
    <w:basedOn w:val="Normal"/>
    <w:next w:val="Text2"/>
    <w:qFormat/>
    <w:pPr>
      <w:keepNext/>
      <w:numPr>
        <w:ilvl w:val="1"/>
        <w:numId w:val="23"/>
      </w:numPr>
      <w:outlineLvl w:val="1"/>
    </w:pPr>
    <w:rPr>
      <w:b/>
    </w:rPr>
  </w:style>
  <w:style w:type="paragraph" w:styleId="Rubrik3">
    <w:name w:val="heading 3"/>
    <w:basedOn w:val="Normal"/>
    <w:next w:val="Text3"/>
    <w:qFormat/>
    <w:pPr>
      <w:keepNext/>
      <w:numPr>
        <w:ilvl w:val="2"/>
        <w:numId w:val="23"/>
      </w:numPr>
      <w:outlineLvl w:val="2"/>
    </w:pPr>
    <w:rPr>
      <w:i/>
    </w:rPr>
  </w:style>
  <w:style w:type="paragraph" w:styleId="Rubrik4">
    <w:name w:val="heading 4"/>
    <w:basedOn w:val="Normal"/>
    <w:next w:val="Text4"/>
    <w:qFormat/>
    <w:pPr>
      <w:keepNext/>
      <w:numPr>
        <w:ilvl w:val="3"/>
        <w:numId w:val="23"/>
      </w:numPr>
      <w:outlineLvl w:val="3"/>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semiHidden/>
    <w:pPr>
      <w:spacing w:before="0" w:after="0"/>
      <w:ind w:left="720" w:hanging="720"/>
    </w:pPr>
    <w:rPr>
      <w:sz w:val="20"/>
    </w:rPr>
  </w:style>
  <w:style w:type="paragraph" w:styleId="Punktlista">
    <w:name w:val="List Bullet"/>
    <w:basedOn w:val="Normal"/>
    <w:pPr>
      <w:numPr>
        <w:numId w:val="24"/>
      </w:numPr>
    </w:pPr>
  </w:style>
  <w:style w:type="paragraph" w:styleId="Punktlista2">
    <w:name w:val="List Bullet 2"/>
    <w:basedOn w:val="Normal"/>
    <w:pPr>
      <w:numPr>
        <w:numId w:val="26"/>
      </w:numPr>
    </w:pPr>
  </w:style>
  <w:style w:type="paragraph" w:styleId="Punktlista3">
    <w:name w:val="List Bullet 3"/>
    <w:basedOn w:val="Normal"/>
    <w:pPr>
      <w:numPr>
        <w:numId w:val="27"/>
      </w:numPr>
    </w:pPr>
  </w:style>
  <w:style w:type="paragraph" w:styleId="Punktlista4">
    <w:name w:val="List Bullet 4"/>
    <w:basedOn w:val="Normal"/>
    <w:pPr>
      <w:numPr>
        <w:numId w:val="28"/>
      </w:numPr>
    </w:pPr>
  </w:style>
  <w:style w:type="paragraph" w:styleId="Numreradlista">
    <w:name w:val="List Number"/>
    <w:basedOn w:val="Normal"/>
    <w:pPr>
      <w:numPr>
        <w:numId w:val="34"/>
      </w:numPr>
    </w:pPr>
  </w:style>
  <w:style w:type="paragraph" w:styleId="Numreradlista2">
    <w:name w:val="List Number 2"/>
    <w:basedOn w:val="Normal"/>
    <w:pPr>
      <w:numPr>
        <w:numId w:val="36"/>
      </w:numPr>
    </w:pPr>
  </w:style>
  <w:style w:type="paragraph" w:styleId="Numreradlista3">
    <w:name w:val="List Number 3"/>
    <w:basedOn w:val="Normal"/>
    <w:pPr>
      <w:numPr>
        <w:numId w:val="37"/>
      </w:numPr>
    </w:pPr>
  </w:style>
  <w:style w:type="paragraph" w:styleId="Numreradlista4">
    <w:name w:val="List Number 4"/>
    <w:basedOn w:val="Normal"/>
    <w:pPr>
      <w:numPr>
        <w:numId w:val="38"/>
      </w:numPr>
    </w:p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Pr>
      <w:rFonts w:cs="Times New Roman"/>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2"/>
    <w:pPr>
      <w:numPr>
        <w:ilvl w:val="1"/>
        <w:numId w:val="22"/>
      </w:numPr>
    </w:pPr>
  </w:style>
  <w:style w:type="paragraph" w:customStyle="1" w:styleId="NumPar3">
    <w:name w:val="NumPar 3"/>
    <w:basedOn w:val="Normal"/>
    <w:next w:val="Text3"/>
    <w:pPr>
      <w:numPr>
        <w:ilvl w:val="2"/>
        <w:numId w:val="22"/>
      </w:numPr>
    </w:pPr>
  </w:style>
  <w:style w:type="paragraph" w:customStyle="1" w:styleId="NumPar4">
    <w:name w:val="NumPar 4"/>
    <w:basedOn w:val="Normal"/>
    <w:next w:val="Text4"/>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ListBullet1">
    <w:name w:val="List Bullet 1"/>
    <w:basedOn w:val="Normal"/>
    <w:pPr>
      <w:numPr>
        <w:numId w:val="25"/>
      </w:numPr>
    </w:pPr>
  </w:style>
  <w:style w:type="paragraph" w:customStyle="1" w:styleId="ListDash">
    <w:name w:val="List Dash"/>
    <w:basedOn w:val="Normal"/>
    <w:pPr>
      <w:numPr>
        <w:numId w:val="29"/>
      </w:numPr>
    </w:pPr>
  </w:style>
  <w:style w:type="paragraph" w:customStyle="1" w:styleId="ListDash1">
    <w:name w:val="List Dash 1"/>
    <w:basedOn w:val="Normal"/>
    <w:pPr>
      <w:numPr>
        <w:numId w:val="30"/>
      </w:numPr>
    </w:pPr>
  </w:style>
  <w:style w:type="paragraph" w:customStyle="1" w:styleId="ListDash2">
    <w:name w:val="List Dash 2"/>
    <w:basedOn w:val="Normal"/>
    <w:pPr>
      <w:numPr>
        <w:numId w:val="31"/>
      </w:numPr>
    </w:pPr>
  </w:style>
  <w:style w:type="paragraph" w:customStyle="1" w:styleId="ListDash3">
    <w:name w:val="List Dash 3"/>
    <w:basedOn w:val="Normal"/>
    <w:pPr>
      <w:numPr>
        <w:numId w:val="32"/>
      </w:numPr>
    </w:pPr>
  </w:style>
  <w:style w:type="paragraph" w:customStyle="1" w:styleId="ListDash4">
    <w:name w:val="List Dash 4"/>
    <w:basedOn w:val="Normal"/>
    <w:pPr>
      <w:numPr>
        <w:numId w:val="33"/>
      </w:numPr>
    </w:pPr>
  </w:style>
  <w:style w:type="paragraph" w:customStyle="1" w:styleId="ListNumber1">
    <w:name w:val="List Number 1"/>
    <w:basedOn w:val="Text1"/>
    <w:pPr>
      <w:numPr>
        <w:numId w:val="35"/>
      </w:numPr>
    </w:pPr>
  </w:style>
  <w:style w:type="paragraph" w:customStyle="1" w:styleId="ListNumberLevel2">
    <w:name w:val="List Number (Level 2)"/>
    <w:basedOn w:val="Normal"/>
    <w:pPr>
      <w:numPr>
        <w:ilvl w:val="1"/>
        <w:numId w:val="34"/>
      </w:numPr>
    </w:pPr>
  </w:style>
  <w:style w:type="paragraph" w:customStyle="1" w:styleId="ListNumber1Level2">
    <w:name w:val="List Number 1 (Level 2)"/>
    <w:basedOn w:val="Text1"/>
    <w:pPr>
      <w:numPr>
        <w:ilvl w:val="1"/>
        <w:numId w:val="35"/>
      </w:numPr>
    </w:pPr>
  </w:style>
  <w:style w:type="paragraph" w:customStyle="1" w:styleId="ListNumber2Level2">
    <w:name w:val="List Number 2 (Level 2)"/>
    <w:basedOn w:val="Text2"/>
    <w:pPr>
      <w:numPr>
        <w:ilvl w:val="1"/>
        <w:numId w:val="36"/>
      </w:numPr>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8"/>
      </w:numPr>
    </w:pPr>
  </w:style>
  <w:style w:type="paragraph" w:customStyle="1" w:styleId="ListNumberLevel3">
    <w:name w:val="List Number (Level 3)"/>
    <w:basedOn w:val="Normal"/>
    <w:pPr>
      <w:numPr>
        <w:ilvl w:val="2"/>
        <w:numId w:val="34"/>
      </w:numPr>
    </w:pPr>
  </w:style>
  <w:style w:type="paragraph" w:customStyle="1" w:styleId="ListNumber1Level3">
    <w:name w:val="List Number 1 (Level 3)"/>
    <w:basedOn w:val="Text1"/>
    <w:pPr>
      <w:numPr>
        <w:ilvl w:val="2"/>
        <w:numId w:val="35"/>
      </w:numPr>
    </w:pPr>
  </w:style>
  <w:style w:type="paragraph" w:customStyle="1" w:styleId="ListNumber2Level3">
    <w:name w:val="List Number 2 (Level 3)"/>
    <w:basedOn w:val="Text2"/>
    <w:pPr>
      <w:numPr>
        <w:ilvl w:val="2"/>
        <w:numId w:val="36"/>
      </w:numPr>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8"/>
      </w:numPr>
    </w:pPr>
  </w:style>
  <w:style w:type="paragraph" w:customStyle="1" w:styleId="ListNumberLevel4">
    <w:name w:val="List Number (Level 4)"/>
    <w:basedOn w:val="Normal"/>
    <w:pPr>
      <w:numPr>
        <w:ilvl w:val="3"/>
        <w:numId w:val="34"/>
      </w:numPr>
    </w:pPr>
  </w:style>
  <w:style w:type="paragraph" w:customStyle="1" w:styleId="ListNumber1Level4">
    <w:name w:val="List Number 1 (Level 4)"/>
    <w:basedOn w:val="Text1"/>
    <w:pPr>
      <w:numPr>
        <w:ilvl w:val="3"/>
        <w:numId w:val="35"/>
      </w:numPr>
    </w:pPr>
  </w:style>
  <w:style w:type="paragraph" w:customStyle="1" w:styleId="ListNumber2Level4">
    <w:name w:val="List Number 2 (Level 4)"/>
    <w:basedOn w:val="Text2"/>
    <w:pPr>
      <w:numPr>
        <w:ilvl w:val="3"/>
        <w:numId w:val="36"/>
      </w:numPr>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8"/>
      </w:numPr>
    </w:p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rFonts w:cs="Times New Roman"/>
      <w:color w:val="0000FF"/>
    </w:rPr>
  </w:style>
  <w:style w:type="character" w:customStyle="1" w:styleId="Marker1">
    <w:name w:val="Marker1"/>
    <w:basedOn w:val="Standardstycketeckensnitt"/>
    <w:rPr>
      <w:rFonts w:cs="Times New Roman"/>
      <w:color w:val="008000"/>
    </w:rPr>
  </w:style>
  <w:style w:type="character" w:customStyle="1" w:styleId="Marker2">
    <w:name w:val="Marker2"/>
    <w:basedOn w:val="Standardstycketeckensnitt"/>
    <w:rPr>
      <w:rFonts w:cs="Times New Roman"/>
      <w:color w:val="FF0000"/>
    </w:rPr>
  </w:style>
  <w:style w:type="paragraph" w:customStyle="1" w:styleId="TOCHeading">
    <w:name w:val="TOC Heading"/>
    <w:basedOn w:val="Normal"/>
    <w:next w:val="Normal"/>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rFonts w:cs="Times New Roman"/>
      <w:b/>
      <w:u w:val="single"/>
    </w:rPr>
  </w:style>
  <w:style w:type="character" w:customStyle="1" w:styleId="Deleted">
    <w:name w:val="Deleted"/>
    <w:basedOn w:val="Standardstycketeckensnitt"/>
    <w:rPr>
      <w:rFonts w:cs="Times New Roman"/>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paragraph" w:styleId="Beskrivning">
    <w:name w:val="caption"/>
    <w:basedOn w:val="Normal"/>
    <w:next w:val="Normal"/>
    <w:qFormat/>
    <w:rPr>
      <w:b/>
      <w:bCs/>
      <w:szCs w:val="24"/>
      <w:lang w:eastAsia="en-US"/>
    </w:rPr>
  </w:style>
  <w:style w:type="paragraph" w:customStyle="1" w:styleId="Disclaimer">
    <w:name w:val="Disclaimer"/>
    <w:basedOn w:val="Normal"/>
    <w:pPr>
      <w:keepLines/>
      <w:numPr>
        <w:numId w:val="40"/>
      </w:numPr>
      <w:pBdr>
        <w:top w:val="single" w:sz="4" w:space="1" w:color="auto"/>
      </w:pBdr>
      <w:tabs>
        <w:tab w:val="clear" w:pos="1360"/>
      </w:tabs>
      <w:spacing w:before="480" w:after="0"/>
      <w:ind w:left="0" w:firstLine="0"/>
    </w:pPr>
    <w:rPr>
      <w:i/>
      <w:iCs/>
      <w:szCs w:val="24"/>
      <w:lang w:eastAsia="en-US"/>
    </w:rPr>
  </w:style>
  <w:style w:type="character" w:styleId="Kommentarsreferens">
    <w:name w:val="annotation reference"/>
    <w:basedOn w:val="Standardstycketeckensnitt"/>
    <w:semiHidden/>
    <w:rPr>
      <w:rFonts w:cs="Times New Roman"/>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rFonts w:cs="Times New Roman"/>
      <w:color w:val="0000FF"/>
      <w:u w:val="single"/>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rsid w:val="00241F7B"/>
    <w:pPr>
      <w:shd w:val="clear" w:color="auto" w:fill="000080"/>
    </w:pPr>
    <w:rPr>
      <w:rFonts w:ascii="Tahoma" w:hAnsi="Tahoma" w:cs="Tahoma"/>
    </w:rPr>
  </w:style>
  <w:style w:type="paragraph" w:customStyle="1" w:styleId="EntInstit">
    <w:name w:val="EntInstit"/>
    <w:basedOn w:val="NormalConseil"/>
    <w:rsid w:val="00241F7B"/>
    <w:pPr>
      <w:jc w:val="right"/>
    </w:pPr>
    <w:rPr>
      <w:b/>
    </w:rPr>
  </w:style>
  <w:style w:type="paragraph" w:customStyle="1" w:styleId="NormalConseil">
    <w:name w:val="NormalConseil"/>
    <w:basedOn w:val="Normal"/>
    <w:rsid w:val="00241F7B"/>
    <w:pPr>
      <w:spacing w:before="0" w:after="0"/>
      <w:jc w:val="left"/>
    </w:pPr>
    <w:rPr>
      <w:lang w:eastAsia="fr-BE"/>
    </w:rPr>
  </w:style>
  <w:style w:type="paragraph" w:customStyle="1" w:styleId="EntRefer">
    <w:name w:val="EntRefer"/>
    <w:basedOn w:val="NormalConseil"/>
    <w:rsid w:val="00241F7B"/>
    <w:rPr>
      <w:b/>
    </w:rPr>
  </w:style>
  <w:style w:type="paragraph" w:customStyle="1" w:styleId="EntEmet">
    <w:name w:val="EntEmet"/>
    <w:basedOn w:val="NormalConseil"/>
    <w:rsid w:val="00241F7B"/>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241F7B"/>
    <w:pPr>
      <w:spacing w:line="360" w:lineRule="auto"/>
    </w:pPr>
    <w:rPr>
      <w:b/>
    </w:rPr>
  </w:style>
  <w:style w:type="paragraph" w:customStyle="1" w:styleId="FooterConseil">
    <w:name w:val="FooterConseil"/>
    <w:basedOn w:val="NormalConseil"/>
    <w:rsid w:val="00241F7B"/>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image" Target="media/image3.emf"/><Relationship Id="rId39" Type="http://schemas.openxmlformats.org/officeDocument/2006/relationships/footer" Target="footer14.xml"/><Relationship Id="rId21" Type="http://schemas.openxmlformats.org/officeDocument/2006/relationships/footer" Target="footer9.xml"/><Relationship Id="rId34" Type="http://schemas.openxmlformats.org/officeDocument/2006/relationships/image" Target="media/image7.emf"/><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image" Target="media/image5.emf"/><Relationship Id="rId37" Type="http://schemas.openxmlformats.org/officeDocument/2006/relationships/image" Target="media/image10.emf"/><Relationship Id="rId40"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footer" Target="footer12.xml"/><Relationship Id="rId36" Type="http://schemas.openxmlformats.org/officeDocument/2006/relationships/image" Target="media/image9.emf"/><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image" Target="media/image8.emf"/><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image" Target="media/image6.emf"/><Relationship Id="rId38"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CoverNoteEn.dot</Template>
  <TotalTime>0</TotalTime>
  <Pages>2</Pages>
  <Words>2715</Words>
  <Characters>15424</Characters>
  <Application>Microsoft Office Word</Application>
  <DocSecurity>4</DocSecurity>
  <Lines>571</Lines>
  <Paragraphs>302</Paragraphs>
  <ScaleCrop>false</ScaleCrop>
  <HeadingPairs>
    <vt:vector size="2" baseType="variant">
      <vt:variant>
        <vt:lpstr>Title</vt:lpstr>
      </vt:variant>
      <vt:variant>
        <vt:i4>1</vt:i4>
      </vt:variant>
    </vt:vector>
  </HeadingPairs>
  <TitlesOfParts>
    <vt:vector size="1" baseType="lpstr">
      <vt:lpstr>EN</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2006-06-26T08:55:00Z</cp:lastPrinted>
  <dcterms:created xsi:type="dcterms:W3CDTF">2025-12-16T23:18:00Z</dcterms:created>
  <dcterms:modified xsi:type="dcterms:W3CDTF">2025-12-16T23:18:00Z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5.4.2.5</vt:lpwstr>
  </property>
  <property fmtid="{D5CDD505-2E9C-101B-9397-08002B2CF9AE}" pid="5" name="Last edited using">
    <vt:lpwstr>LW 5.4, Build 20051126</vt:lpwstr>
  </property>
  <property fmtid="{D5CDD505-2E9C-101B-9397-08002B2CF9AE}" pid="6" name="Created using">
    <vt:lpwstr>LW 5.4, Build 20051126</vt:lpwstr>
  </property>
  <property fmtid="{D5CDD505-2E9C-101B-9397-08002B2CF9AE}" pid="7" name="_NewReviewCycle">
    <vt:lpwstr/>
  </property>
</Properties>
</file>