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271" w:rsidRPr="0008481A" w:rsidRDefault="003B3271">
      <w:pPr>
        <w:spacing w:before="0"/>
        <w:jc w:val="left"/>
        <w:sectPr w:rsidR="00000000" w:rsidRPr="0008481A">
          <w:headerReference w:type="default" r:id="rId7"/>
          <w:footerReference w:type="default" r:id="rId8"/>
          <w:headerReference w:type="first" r:id="rId9"/>
          <w:footerReference w:type="first" r:id="rId10"/>
          <w:pgSz w:w="11906" w:h="16838" w:code="9"/>
          <w:pgMar w:top="3969" w:right="5102" w:bottom="1106" w:left="907" w:header="57" w:footer="57" w:gutter="0"/>
          <w:cols w:space="720"/>
          <w:titlePg/>
        </w:sectPr>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spacing w:before="0"/>
        <w:jc w:val="left"/>
      </w:pPr>
    </w:p>
    <w:p w:rsidR="003B3271" w:rsidRPr="0008481A" w:rsidRDefault="003B3271">
      <w:pPr>
        <w:pStyle w:val="Normaltindrag"/>
      </w:pPr>
    </w:p>
    <w:p w:rsidR="003B3271" w:rsidRPr="0008481A" w:rsidRDefault="003B3271">
      <w:pPr>
        <w:pStyle w:val="Normaltindrag"/>
      </w:pPr>
    </w:p>
    <w:p w:rsidR="003B3271" w:rsidRPr="0008481A" w:rsidRDefault="003B3271">
      <w:pPr>
        <w:pStyle w:val="Normaltindrag"/>
      </w:pPr>
    </w:p>
    <w:p w:rsidR="003B3271" w:rsidRPr="0008481A" w:rsidRDefault="003B3271">
      <w:pPr>
        <w:pStyle w:val="Normaltindrag"/>
      </w:pPr>
    </w:p>
    <w:p w:rsidR="003B3271" w:rsidRPr="0008481A" w:rsidRDefault="003B3271">
      <w:pPr>
        <w:spacing w:before="0"/>
        <w:jc w:val="left"/>
      </w:pPr>
    </w:p>
    <w:p w:rsidR="003B3271" w:rsidRPr="0008481A" w:rsidRDefault="003B3271">
      <w:pPr>
        <w:spacing w:before="0"/>
        <w:jc w:val="left"/>
        <w:rPr>
          <w:sz w:val="16"/>
        </w:rPr>
      </w:pPr>
      <w:r w:rsidRPr="0008481A">
        <w:rPr>
          <w:sz w:val="16"/>
        </w:rPr>
        <w:t>Omslag Eva Lena Johansson</w:t>
      </w:r>
    </w:p>
    <w:p w:rsidR="003B3271" w:rsidRPr="0008481A" w:rsidRDefault="003B3271">
      <w:pPr>
        <w:spacing w:before="0"/>
        <w:jc w:val="left"/>
        <w:rPr>
          <w:sz w:val="16"/>
        </w:rPr>
      </w:pPr>
      <w:r w:rsidRPr="0008481A">
        <w:rPr>
          <w:sz w:val="16"/>
        </w:rPr>
        <w:t>Översättning till engelska av Summary in English: David Jones</w:t>
      </w:r>
    </w:p>
    <w:p w:rsidR="003B3271" w:rsidRPr="0008481A" w:rsidRDefault="003B3271">
      <w:pPr>
        <w:spacing w:before="0"/>
        <w:jc w:val="left"/>
        <w:rPr>
          <w:sz w:val="16"/>
        </w:rPr>
      </w:pPr>
      <w:r w:rsidRPr="0008481A">
        <w:rPr>
          <w:sz w:val="16"/>
        </w:rPr>
        <w:t>ISSN 0282-0560</w:t>
      </w:r>
    </w:p>
    <w:p w:rsidR="003B3271" w:rsidRPr="0008481A" w:rsidRDefault="003B3271">
      <w:pPr>
        <w:pStyle w:val="Rubrik1"/>
        <w:spacing w:before="0"/>
      </w:pPr>
      <w:r w:rsidRPr="0008481A">
        <w:rPr>
          <w:sz w:val="16"/>
        </w:rPr>
        <w:t>Elanders Gotab, Stockholm 2000</w:t>
      </w:r>
    </w:p>
    <w:p w:rsidR="003B3271" w:rsidRPr="0008481A" w:rsidRDefault="003B3271">
      <w:pPr>
        <w:pStyle w:val="Rubrik1"/>
        <w:spacing w:before="0"/>
        <w:sectPr w:rsidR="00000000" w:rsidRPr="0008481A">
          <w:headerReference w:type="default" r:id="rId11"/>
          <w:pgSz w:w="11906" w:h="16838" w:code="9"/>
          <w:pgMar w:top="3969" w:right="5103" w:bottom="1106" w:left="907" w:header="57" w:footer="57" w:gutter="0"/>
          <w:cols w:space="720"/>
        </w:sectPr>
      </w:pPr>
    </w:p>
    <w:p w:rsidR="003B3271" w:rsidRPr="0008481A" w:rsidRDefault="003B3271">
      <w:pPr>
        <w:pStyle w:val="Rubrik1"/>
        <w:spacing w:before="0"/>
      </w:pPr>
      <w:r w:rsidRPr="0008481A">
        <w:t>Innehåll</w:t>
      </w:r>
    </w:p>
    <w:p w:rsidR="003B3271" w:rsidRPr="0008481A" w:rsidRDefault="003B3271">
      <w:pPr>
        <w:pStyle w:val="innehJO"/>
        <w:ind w:left="0"/>
      </w:pPr>
      <w:r w:rsidRPr="0008481A">
        <w:t>Skrivelse till riksdagen</w:t>
      </w:r>
      <w:r w:rsidRPr="0008481A">
        <w:tab/>
      </w:r>
      <w:r w:rsidRPr="0008481A">
        <w:tab/>
        <w:t>14</w:t>
      </w:r>
    </w:p>
    <w:p w:rsidR="003B3271" w:rsidRPr="0008481A" w:rsidRDefault="003B3271">
      <w:pPr>
        <w:pStyle w:val="Rubrik3"/>
      </w:pPr>
      <w:r w:rsidRPr="0008481A">
        <w:t xml:space="preserve"> Allmänna domstolar m.m.</w:t>
      </w:r>
    </w:p>
    <w:p w:rsidR="003B3271" w:rsidRPr="0008481A" w:rsidRDefault="003B3271">
      <w:pPr>
        <w:pStyle w:val="innehJO"/>
      </w:pPr>
      <w:r w:rsidRPr="0008481A">
        <w:t>Åtal mot en domare med anledning av hans handläggning av ett antal tvistemål (684-1995)</w:t>
      </w:r>
      <w:r w:rsidRPr="0008481A">
        <w:tab/>
      </w:r>
      <w:r w:rsidRPr="0008481A">
        <w:tab/>
        <w:t>34</w:t>
      </w:r>
    </w:p>
    <w:p w:rsidR="003B3271" w:rsidRPr="0008481A" w:rsidRDefault="003B3271">
      <w:pPr>
        <w:pStyle w:val="innehJO"/>
      </w:pPr>
      <w:r w:rsidRPr="0008481A">
        <w:t>En tingsrätts handläggning av ett mål om umgängesrätt m.m. där svaranden hade s.k. fingerade personuppgifter (1806-1998)</w:t>
      </w:r>
      <w:r w:rsidRPr="0008481A">
        <w:tab/>
      </w:r>
      <w:r w:rsidRPr="0008481A">
        <w:tab/>
        <w:t>36</w:t>
      </w:r>
    </w:p>
    <w:p w:rsidR="003B3271" w:rsidRPr="0008481A" w:rsidRDefault="003B3271">
      <w:pPr>
        <w:pStyle w:val="innehJO"/>
      </w:pPr>
      <w:r w:rsidRPr="0008481A">
        <w:t xml:space="preserve">Fråga om förutsättningar förelåg att förordna god man i ett faderskapsmål (2349-1998) </w:t>
      </w:r>
      <w:r w:rsidRPr="0008481A">
        <w:tab/>
      </w:r>
      <w:r w:rsidRPr="0008481A">
        <w:tab/>
        <w:t>40</w:t>
      </w:r>
    </w:p>
    <w:p w:rsidR="003B3271" w:rsidRPr="0008481A" w:rsidRDefault="003B3271">
      <w:pPr>
        <w:pStyle w:val="innehJO"/>
      </w:pPr>
      <w:r w:rsidRPr="0008481A">
        <w:t>En tingsrätts hantering av s.k. skyddade personuppgifter vilka erhållits från en part i ett förenklat tvistemål (FT-mål) (2350-1998)</w:t>
      </w:r>
      <w:r w:rsidRPr="0008481A">
        <w:tab/>
      </w:r>
      <w:r w:rsidRPr="0008481A">
        <w:tab/>
        <w:t>44</w:t>
      </w:r>
    </w:p>
    <w:p w:rsidR="003B3271" w:rsidRPr="0008481A" w:rsidRDefault="003B3271">
      <w:pPr>
        <w:pStyle w:val="innehJO"/>
      </w:pPr>
      <w:r w:rsidRPr="0008481A">
        <w:t xml:space="preserve">En tingsrätts hantering av s.k. skyddade personuppgifter vilka erhållits från en part i ett familjemål (2351-1998) </w:t>
      </w:r>
      <w:r w:rsidRPr="0008481A">
        <w:tab/>
      </w:r>
      <w:r w:rsidRPr="0008481A">
        <w:tab/>
        <w:t>50</w:t>
      </w:r>
    </w:p>
    <w:p w:rsidR="003B3271" w:rsidRPr="0008481A" w:rsidRDefault="003B3271">
      <w:pPr>
        <w:pStyle w:val="innehJO"/>
      </w:pPr>
      <w:r w:rsidRPr="0008481A">
        <w:t xml:space="preserve">En rådman vägrade att hålla häktningsförhandling med hänvisning till att åklagaren inte hade tillhandahållit rätten något skriftligt utredningsmaterial (2086-1999) </w:t>
      </w:r>
      <w:r w:rsidRPr="0008481A">
        <w:tab/>
      </w:r>
      <w:r w:rsidRPr="0008481A">
        <w:tab/>
        <w:t>55</w:t>
      </w:r>
    </w:p>
    <w:p w:rsidR="003B3271" w:rsidRPr="0008481A" w:rsidRDefault="003B3271">
      <w:pPr>
        <w:pStyle w:val="Rubrik3"/>
      </w:pPr>
      <w:r w:rsidRPr="0008481A">
        <w:t>Åklagar- och polisväsendena</w:t>
      </w:r>
    </w:p>
    <w:p w:rsidR="003B3271" w:rsidRPr="0008481A" w:rsidRDefault="003B3271">
      <w:pPr>
        <w:pStyle w:val="innehJO"/>
      </w:pPr>
      <w:r w:rsidRPr="0008481A">
        <w:t>Möjligheten för en polismyndighet att lägga ned en förunder</w:t>
      </w:r>
      <w:r w:rsidRPr="0008481A">
        <w:softHyphen/>
        <w:t>sökning med motiv</w:t>
      </w:r>
      <w:r w:rsidRPr="0008481A">
        <w:t>e</w:t>
      </w:r>
      <w:r w:rsidRPr="0008481A">
        <w:t>ringen ”brott kan ej styrkas” (2567-1996)</w:t>
      </w:r>
      <w:r w:rsidRPr="0008481A">
        <w:tab/>
      </w:r>
      <w:r w:rsidRPr="0008481A">
        <w:tab/>
        <w:t>62</w:t>
      </w:r>
    </w:p>
    <w:p w:rsidR="003B3271" w:rsidRPr="0008481A" w:rsidRDefault="003B3271">
      <w:pPr>
        <w:pStyle w:val="innehJO"/>
      </w:pPr>
      <w:r w:rsidRPr="0008481A">
        <w:t>Handläggningen av framställningar om utredningsåtgärder efter det att en brottmålsdom vunnit laga kraft (4267-1997)</w:t>
      </w:r>
      <w:r w:rsidRPr="0008481A">
        <w:tab/>
      </w:r>
      <w:r w:rsidRPr="0008481A">
        <w:tab/>
        <w:t>69</w:t>
      </w:r>
    </w:p>
    <w:p w:rsidR="003B3271" w:rsidRPr="0008481A" w:rsidRDefault="003B3271">
      <w:pPr>
        <w:pStyle w:val="innehJO"/>
      </w:pPr>
      <w:r w:rsidRPr="0008481A">
        <w:t xml:space="preserve">Kritik mot en polismyndighet för vissa ingripanden i samband med en </w:t>
      </w:r>
      <w:bookmarkStart w:id="16" w:name="Här"/>
      <w:bookmarkEnd w:id="16"/>
      <w:r w:rsidRPr="0008481A">
        <w:t>allmän sammankomst (4439-1997)</w:t>
      </w:r>
      <w:r w:rsidRPr="0008481A">
        <w:tab/>
      </w:r>
      <w:r w:rsidRPr="0008481A">
        <w:tab/>
        <w:t>75</w:t>
      </w:r>
    </w:p>
    <w:p w:rsidR="003B3271" w:rsidRPr="0008481A" w:rsidRDefault="003B3271">
      <w:pPr>
        <w:pStyle w:val="innehJO"/>
      </w:pPr>
      <w:r w:rsidRPr="0008481A">
        <w:t>Kritik mot en polismyndighet för att ha inlett utredning enligt 31 § lagen (1964:167) med särskilda bestämmelser för unga lagöverträdare (LUL) mot barn under 15 år samt fråga om underrättelseskyldighet enligt nämnda lag och fö</w:t>
      </w:r>
      <w:r w:rsidRPr="0008481A">
        <w:t>r</w:t>
      </w:r>
      <w:r w:rsidRPr="0008481A">
        <w:t>hör med barn (983-1998)</w:t>
      </w:r>
      <w:r w:rsidRPr="0008481A">
        <w:tab/>
      </w:r>
      <w:r w:rsidRPr="0008481A">
        <w:tab/>
        <w:t>90</w:t>
      </w:r>
    </w:p>
    <w:p w:rsidR="003B3271" w:rsidRPr="0008481A" w:rsidRDefault="003B3271">
      <w:pPr>
        <w:pStyle w:val="innehJO"/>
      </w:pPr>
      <w:r w:rsidRPr="0008481A">
        <w:t>Polisens handläggning av en begäran om handräckning enligt lagen (1991:1128) om psykiatrisk tvångsvård samt uttalanden om polisens möjligheter att överlämna uppdrag till Kriminal</w:t>
      </w:r>
      <w:r w:rsidRPr="0008481A">
        <w:softHyphen/>
        <w:t>vårdens tran</w:t>
      </w:r>
      <w:r w:rsidRPr="0008481A">
        <w:t>s</w:t>
      </w:r>
      <w:r w:rsidRPr="0008481A">
        <w:t>porttjänst (1872-1998)</w:t>
      </w:r>
      <w:r w:rsidRPr="0008481A">
        <w:tab/>
      </w:r>
      <w:r w:rsidRPr="0008481A">
        <w:tab/>
        <w:t>95</w:t>
      </w:r>
    </w:p>
    <w:p w:rsidR="003B3271" w:rsidRPr="0008481A" w:rsidRDefault="003B3271">
      <w:pPr>
        <w:pStyle w:val="innehJO"/>
      </w:pPr>
      <w:r w:rsidRPr="0008481A">
        <w:t>Åklagares handläggning av en förundersökning om misshandel där målsäganden pekat ut en polisman som gärningsman (2198-1998)</w:t>
      </w:r>
      <w:r w:rsidRPr="0008481A">
        <w:tab/>
      </w:r>
      <w:r w:rsidRPr="0008481A">
        <w:tab/>
        <w:t>100</w:t>
      </w:r>
    </w:p>
    <w:p w:rsidR="003B3271" w:rsidRPr="0008481A" w:rsidRDefault="003B3271">
      <w:pPr>
        <w:pStyle w:val="innehJO"/>
      </w:pPr>
      <w:r w:rsidRPr="0008481A">
        <w:t>Uttalanden om principerna för fördelningen inom en åklagarmyndighet av anmälningar mot polismän (2206-1998)</w:t>
      </w:r>
      <w:r w:rsidRPr="0008481A">
        <w:tab/>
      </w:r>
      <w:r w:rsidRPr="0008481A">
        <w:tab/>
        <w:t>106</w:t>
      </w:r>
    </w:p>
    <w:p w:rsidR="003B3271" w:rsidRPr="0008481A" w:rsidRDefault="003B3271">
      <w:pPr>
        <w:pStyle w:val="innehJO"/>
      </w:pPr>
      <w:r w:rsidRPr="0008481A">
        <w:t>Fråga om polisens handlande i samband med anvisning av färdväg för chartrad buss med hemvändande fotbollssupportrar samt dokument</w:t>
      </w:r>
      <w:r w:rsidRPr="0008481A">
        <w:t>a</w:t>
      </w:r>
      <w:r w:rsidRPr="0008481A">
        <w:t>tionen av ingr</w:t>
      </w:r>
      <w:r w:rsidRPr="0008481A">
        <w:t>i</w:t>
      </w:r>
      <w:r w:rsidRPr="0008481A">
        <w:t>pandet</w:t>
      </w:r>
      <w:r w:rsidRPr="0008481A">
        <w:rPr>
          <w:b/>
        </w:rPr>
        <w:t xml:space="preserve"> </w:t>
      </w:r>
      <w:r w:rsidRPr="0008481A">
        <w:t>(3116-1998)</w:t>
      </w:r>
      <w:r w:rsidRPr="0008481A">
        <w:tab/>
      </w:r>
      <w:r w:rsidRPr="0008481A">
        <w:tab/>
        <w:t>110</w:t>
      </w:r>
    </w:p>
    <w:p w:rsidR="003B3271" w:rsidRPr="0008481A" w:rsidRDefault="003B3271">
      <w:pPr>
        <w:pStyle w:val="innehJO"/>
      </w:pPr>
      <w:r w:rsidRPr="0008481A">
        <w:t>Fråga om rättsenligheten av polisens spaningsmetod att använda en inköpt motorcykel av märket Harley-Davidson som ”lockbete” i brottsutredningar samt vissa uttalanden om de problem som kan up</w:t>
      </w:r>
      <w:r w:rsidRPr="0008481A">
        <w:t>p</w:t>
      </w:r>
      <w:r w:rsidRPr="0008481A">
        <w:t>komma till följd av skador på eller vållade av ett polisen tillhörigt motorfo</w:t>
      </w:r>
      <w:r w:rsidRPr="0008481A">
        <w:t>r</w:t>
      </w:r>
      <w:r w:rsidRPr="0008481A">
        <w:t>don som är försäkrat (3240-1998)</w:t>
      </w:r>
      <w:r w:rsidRPr="0008481A">
        <w:tab/>
      </w:r>
      <w:r w:rsidRPr="0008481A">
        <w:tab/>
        <w:t>118</w:t>
      </w:r>
    </w:p>
    <w:p w:rsidR="003B3271" w:rsidRPr="0008481A" w:rsidRDefault="003B3271">
      <w:pPr>
        <w:pStyle w:val="innehJO"/>
      </w:pPr>
      <w:r w:rsidRPr="0008481A">
        <w:t>”Snattefonen” – polisens användning av förenklad utredning vid b</w:t>
      </w:r>
      <w:r w:rsidRPr="0008481A">
        <w:t>u</w:t>
      </w:r>
      <w:r w:rsidRPr="0008481A">
        <w:t>tikssna</w:t>
      </w:r>
      <w:r w:rsidRPr="0008481A">
        <w:t>t</w:t>
      </w:r>
      <w:r w:rsidRPr="0008481A">
        <w:t>terier (4538-1998)</w:t>
      </w:r>
      <w:r w:rsidRPr="0008481A">
        <w:tab/>
      </w:r>
      <w:r w:rsidRPr="0008481A">
        <w:tab/>
        <w:t>137</w:t>
      </w:r>
    </w:p>
    <w:p w:rsidR="003B3271" w:rsidRPr="0008481A" w:rsidRDefault="003B3271">
      <w:pPr>
        <w:pStyle w:val="innehJO"/>
      </w:pPr>
      <w:r w:rsidRPr="0008481A">
        <w:t>Kritik mot en polismyndighet för långsam handläggning av ärenden vid dess i</w:t>
      </w:r>
      <w:r w:rsidRPr="0008481A">
        <w:t>n</w:t>
      </w:r>
      <w:r w:rsidRPr="0008481A">
        <w:t>ternutredningsenhet (296-1999)</w:t>
      </w:r>
      <w:r w:rsidRPr="0008481A">
        <w:tab/>
      </w:r>
      <w:r w:rsidRPr="0008481A">
        <w:tab/>
        <w:t>173</w:t>
      </w:r>
    </w:p>
    <w:p w:rsidR="003B3271" w:rsidRPr="0008481A" w:rsidRDefault="003B3271">
      <w:pPr>
        <w:pStyle w:val="innehJO"/>
      </w:pPr>
      <w:r w:rsidRPr="0008481A">
        <w:t>I ärenden om påstådda brott av polismän har åklagare för</w:t>
      </w:r>
      <w:r w:rsidRPr="0008481A">
        <w:softHyphen/>
        <w:t>anstaltat om förhör med bl.a. utpekad gärningsman innan beslut i frågan om inledande av förundersökning fattats (1929-1999 och 1930-1999)</w:t>
      </w:r>
      <w:r w:rsidRPr="0008481A">
        <w:tab/>
      </w:r>
      <w:r w:rsidRPr="0008481A">
        <w:tab/>
        <w:t>178</w:t>
      </w:r>
    </w:p>
    <w:p w:rsidR="003B3271" w:rsidRPr="0008481A" w:rsidRDefault="003B3271">
      <w:pPr>
        <w:pStyle w:val="innehJO"/>
      </w:pPr>
      <w:r w:rsidRPr="0008481A">
        <w:t>Fråga om tillämpningen av bestämmelserna i 20 kap. 5 § brottsbalken vid prövning av om förundersökning skulle inledas med anledning av en polisanmälan om förolämpning, i vilken det påstods att gärningen inträffat i samband med utövningen av anställningen vid en polismyndighet (1933-1999)</w:t>
      </w:r>
      <w:r w:rsidRPr="0008481A">
        <w:tab/>
      </w:r>
      <w:r w:rsidRPr="0008481A">
        <w:tab/>
        <w:t>184</w:t>
      </w:r>
    </w:p>
    <w:p w:rsidR="003B3271" w:rsidRPr="0008481A" w:rsidRDefault="003B3271">
      <w:pPr>
        <w:pStyle w:val="innehJO"/>
      </w:pPr>
      <w:r w:rsidRPr="0008481A">
        <w:t>Handläggningen av en förundersökning med anledning av en polisrapport i vilken uppgavs att ett statsråd hade gjort sig skyldig till olovlig körning (2132-1999)</w:t>
      </w:r>
      <w:r w:rsidRPr="0008481A">
        <w:tab/>
      </w:r>
      <w:r w:rsidRPr="0008481A">
        <w:tab/>
        <w:t>190</w:t>
      </w:r>
    </w:p>
    <w:p w:rsidR="003B3271" w:rsidRPr="0008481A" w:rsidRDefault="003B3271">
      <w:pPr>
        <w:pStyle w:val="innehJO"/>
      </w:pPr>
      <w:r w:rsidRPr="0008481A">
        <w:t>Handläggningen hos överåklagare av en anmälan mot en kammaråklagare för försummelser i tjänsten (2909-1999)</w:t>
      </w:r>
      <w:r w:rsidRPr="0008481A">
        <w:tab/>
      </w:r>
      <w:r w:rsidRPr="0008481A">
        <w:tab/>
        <w:t>197</w:t>
      </w:r>
    </w:p>
    <w:p w:rsidR="003B3271" w:rsidRPr="0008481A" w:rsidRDefault="003B3271">
      <w:pPr>
        <w:pStyle w:val="innehJO"/>
      </w:pPr>
      <w:r w:rsidRPr="0008481A">
        <w:t>Möjligheten att inhämta skrift</w:t>
      </w:r>
      <w:r w:rsidRPr="0008481A">
        <w:softHyphen/>
        <w:t>liga berättelser från målsägande och vittnen (4617-1999)</w:t>
      </w:r>
      <w:r w:rsidRPr="0008481A">
        <w:tab/>
      </w:r>
      <w:r w:rsidRPr="0008481A">
        <w:tab/>
        <w:t>201</w:t>
      </w:r>
    </w:p>
    <w:p w:rsidR="003B3271" w:rsidRPr="0008481A" w:rsidRDefault="003B3271">
      <w:pPr>
        <w:pStyle w:val="innehJO"/>
      </w:pPr>
      <w:r w:rsidRPr="0008481A">
        <w:t>Skrivelse till Justitiedepartementet med synpunkter med an</w:t>
      </w:r>
      <w:r w:rsidRPr="0008481A">
        <w:softHyphen/>
        <w:t>ledning av iakttagelser gjorda under inspektioner vid vissa av polisens internutredningsenheter m.m. (1418-1998 m.fl.)</w:t>
      </w:r>
      <w:r w:rsidRPr="0008481A">
        <w:tab/>
      </w:r>
      <w:r w:rsidRPr="0008481A">
        <w:tab/>
        <w:t>204</w:t>
      </w:r>
    </w:p>
    <w:p w:rsidR="003B3271" w:rsidRPr="0008481A" w:rsidRDefault="003B3271">
      <w:pPr>
        <w:pStyle w:val="Rubrik3"/>
      </w:pPr>
      <w:r w:rsidRPr="0008481A">
        <w:t>Kriminalvård</w:t>
      </w:r>
    </w:p>
    <w:p w:rsidR="003B3271" w:rsidRPr="0008481A" w:rsidRDefault="003B3271">
      <w:pPr>
        <w:pStyle w:val="innehJO"/>
      </w:pPr>
      <w:r w:rsidRPr="0008481A">
        <w:t>Uttalanden om tillvägagångssättet vid visitation och urin</w:t>
      </w:r>
      <w:r w:rsidRPr="0008481A">
        <w:softHyphen/>
        <w:t>provstagning på en kvinnlig intagen (519-1999)</w:t>
      </w:r>
      <w:r w:rsidRPr="0008481A">
        <w:tab/>
      </w:r>
      <w:r w:rsidRPr="0008481A">
        <w:tab/>
        <w:t>218</w:t>
      </w:r>
    </w:p>
    <w:p w:rsidR="003B3271" w:rsidRPr="0008481A" w:rsidRDefault="003B3271">
      <w:pPr>
        <w:pStyle w:val="innehJO"/>
      </w:pPr>
      <w:r w:rsidRPr="0008481A">
        <w:t>Rutiner för delgivning av beslut (692-1999)</w:t>
      </w:r>
      <w:r w:rsidRPr="0008481A">
        <w:tab/>
      </w:r>
      <w:r w:rsidRPr="0008481A">
        <w:tab/>
        <w:t>222</w:t>
      </w:r>
    </w:p>
    <w:p w:rsidR="003B3271" w:rsidRPr="0008481A" w:rsidRDefault="003B3271">
      <w:pPr>
        <w:pStyle w:val="innehJO"/>
      </w:pPr>
      <w:r w:rsidRPr="0008481A">
        <w:t>En intagens rätt att samtala enskilt med sin offentlige försvarare (4776-1998)</w:t>
      </w:r>
      <w:r w:rsidRPr="0008481A">
        <w:tab/>
      </w:r>
      <w:r w:rsidRPr="0008481A">
        <w:tab/>
        <w:t>223</w:t>
      </w:r>
    </w:p>
    <w:p w:rsidR="003B3271" w:rsidRPr="0008481A" w:rsidRDefault="003B3271">
      <w:pPr>
        <w:pStyle w:val="innehJO"/>
      </w:pPr>
      <w:r w:rsidRPr="0008481A">
        <w:t>Fråga om lämpligheten av ett påverkansprogram för intagna dömda för ekonomiska brott (3099-1998)</w:t>
      </w:r>
      <w:r w:rsidRPr="0008481A">
        <w:tab/>
      </w:r>
      <w:r w:rsidRPr="0008481A">
        <w:tab/>
        <w:t>225</w:t>
      </w:r>
    </w:p>
    <w:p w:rsidR="003B3271" w:rsidRPr="0008481A" w:rsidRDefault="003B3271">
      <w:pPr>
        <w:pStyle w:val="Rubrik3"/>
      </w:pPr>
      <w:r w:rsidRPr="0008481A">
        <w:t>Exekutiva ärenden</w:t>
      </w:r>
    </w:p>
    <w:p w:rsidR="003B3271" w:rsidRPr="0008481A" w:rsidRDefault="003B3271">
      <w:pPr>
        <w:pStyle w:val="innehJO"/>
      </w:pPr>
      <w:r w:rsidRPr="0008481A">
        <w:t>Kronofogdemyndighet har inte behandlat en skrivelse som ett överklagande (1954-1999)</w:t>
      </w:r>
      <w:r w:rsidRPr="0008481A">
        <w:tab/>
      </w:r>
      <w:r w:rsidRPr="0008481A">
        <w:tab/>
        <w:t>228</w:t>
      </w:r>
    </w:p>
    <w:p w:rsidR="003B3271" w:rsidRPr="0008481A" w:rsidRDefault="003B3271">
      <w:pPr>
        <w:pStyle w:val="innehJO"/>
      </w:pPr>
      <w:r w:rsidRPr="0008481A">
        <w:t>Kronofogdemyndighet har dröjt med att översända ett över</w:t>
      </w:r>
      <w:r w:rsidRPr="0008481A">
        <w:softHyphen/>
        <w:t>klagande till domstol (4696-1998)</w:t>
      </w:r>
      <w:r w:rsidRPr="0008481A">
        <w:tab/>
      </w:r>
      <w:r w:rsidRPr="0008481A">
        <w:tab/>
        <w:t>229</w:t>
      </w:r>
    </w:p>
    <w:p w:rsidR="003B3271" w:rsidRPr="0008481A" w:rsidRDefault="003B3271">
      <w:pPr>
        <w:pStyle w:val="Rubrik3"/>
      </w:pPr>
      <w:r w:rsidRPr="0008481A">
        <w:t>Förvaltningsdomstolar</w:t>
      </w:r>
    </w:p>
    <w:p w:rsidR="003B3271" w:rsidRPr="0008481A" w:rsidRDefault="003B3271">
      <w:pPr>
        <w:pStyle w:val="innehJO"/>
      </w:pPr>
      <w:r w:rsidRPr="0008481A">
        <w:t>Fråga om en länsrätts beslut att inte pröva eventuella framtida yrkanden m.m. (710-1999)</w:t>
      </w:r>
      <w:r w:rsidRPr="0008481A">
        <w:tab/>
      </w:r>
      <w:r w:rsidRPr="0008481A">
        <w:tab/>
        <w:t>232</w:t>
      </w:r>
    </w:p>
    <w:p w:rsidR="003B3271" w:rsidRPr="0008481A" w:rsidRDefault="003B3271">
      <w:pPr>
        <w:pStyle w:val="Rubrik3"/>
      </w:pPr>
      <w:r w:rsidRPr="0008481A">
        <w:t>Central statsförvaltning, arbetsmarknadsmyndigheter m.m.</w:t>
      </w:r>
    </w:p>
    <w:p w:rsidR="003B3271" w:rsidRPr="0008481A" w:rsidRDefault="003B3271">
      <w:pPr>
        <w:pStyle w:val="innehJO"/>
      </w:pPr>
      <w:r w:rsidRPr="0008481A">
        <w:t>På JO:s initiativ upptagen fråga om bemyndigande förelegat för Arbets</w:t>
      </w:r>
      <w:r w:rsidRPr="0008481A">
        <w:softHyphen/>
        <w:t>marknadsstyrelsen att utfärda vissa föreskrifter till förordningen (1987:405) om den arbetsmarknadspolitiska verk</w:t>
      </w:r>
      <w:r w:rsidRPr="0008481A">
        <w:softHyphen/>
        <w:t>samheten (1328-1999)</w:t>
      </w:r>
      <w:r w:rsidRPr="0008481A">
        <w:tab/>
      </w:r>
      <w:r w:rsidRPr="0008481A">
        <w:tab/>
        <w:t>234</w:t>
      </w:r>
    </w:p>
    <w:p w:rsidR="003B3271" w:rsidRPr="0008481A" w:rsidRDefault="003B3271">
      <w:pPr>
        <w:pStyle w:val="innehJO"/>
      </w:pPr>
      <w:r w:rsidRPr="0008481A">
        <w:t>Fråga om myndighetsutövning och därmed kommunicerings</w:t>
      </w:r>
      <w:r w:rsidRPr="0008481A">
        <w:softHyphen/>
        <w:t>skyldighet förelegat hos Arbetsmarknads</w:t>
      </w:r>
      <w:r w:rsidRPr="0008481A">
        <w:softHyphen/>
        <w:t>styrelsen i ett ärende rörande åtalsanmälan (2404-1998)</w:t>
      </w:r>
      <w:r w:rsidRPr="0008481A">
        <w:tab/>
      </w:r>
      <w:r w:rsidRPr="0008481A">
        <w:tab/>
        <w:t>237</w:t>
      </w:r>
    </w:p>
    <w:p w:rsidR="003B3271" w:rsidRPr="0008481A" w:rsidRDefault="003B3271">
      <w:pPr>
        <w:pStyle w:val="innehJO"/>
      </w:pPr>
      <w:r w:rsidRPr="0008481A">
        <w:t>En arbetsförmedling bör regelbundet förvissa sig om att de grundläggande uppgifterna i arbetsförmedlingsregistret är korrekta (2472-1998 och 1180-1999)</w:t>
      </w:r>
      <w:r w:rsidRPr="0008481A">
        <w:tab/>
      </w:r>
      <w:r w:rsidRPr="0008481A">
        <w:tab/>
        <w:t>242</w:t>
      </w:r>
    </w:p>
    <w:p w:rsidR="003B3271" w:rsidRPr="0008481A" w:rsidRDefault="003B3271">
      <w:pPr>
        <w:pStyle w:val="innehJO"/>
      </w:pPr>
      <w:r w:rsidRPr="0008481A">
        <w:t>Kan en arbetsförmedling kräva att en sökande skall skriva på svenska? Även fråga om formuleringen av ett sådant krav (739-1999)</w:t>
      </w:r>
      <w:r w:rsidRPr="0008481A">
        <w:tab/>
      </w:r>
      <w:r w:rsidRPr="0008481A">
        <w:tab/>
        <w:t>245</w:t>
      </w:r>
    </w:p>
    <w:p w:rsidR="003B3271" w:rsidRPr="0008481A" w:rsidRDefault="003B3271">
      <w:pPr>
        <w:pStyle w:val="innehJO"/>
      </w:pPr>
      <w:r w:rsidRPr="0008481A">
        <w:t>Överenskommelse har träffats om återbetalning av felaktigt utgiven arbetslöshetsersättning genom avräkning vid senare utbetalning av arbetslöshetsersättning. Fråga om kvittnings</w:t>
      </w:r>
      <w:r w:rsidRPr="0008481A">
        <w:softHyphen/>
        <w:t>överenskommelsen kunde betecknas som frivillig. Även fråga om arbetslöshetskassans ansvar att beakta den återbetalnings</w:t>
      </w:r>
      <w:r w:rsidRPr="0008481A">
        <w:softHyphen/>
        <w:t>skyldiges sociala situation (1352-1998)</w:t>
      </w:r>
      <w:r w:rsidRPr="0008481A">
        <w:tab/>
      </w:r>
      <w:r w:rsidRPr="0008481A">
        <w:tab/>
        <w:t>247</w:t>
      </w:r>
    </w:p>
    <w:p w:rsidR="003B3271" w:rsidRPr="0008481A" w:rsidRDefault="003B3271">
      <w:pPr>
        <w:pStyle w:val="innehJO"/>
      </w:pPr>
      <w:r w:rsidRPr="0008481A">
        <w:t>Kritik mot en arbetslöshetskassa för utebliven verkställighet av en länsrättsdom (2640-1998)</w:t>
      </w:r>
      <w:r w:rsidRPr="0008481A">
        <w:tab/>
      </w:r>
      <w:r w:rsidRPr="0008481A">
        <w:tab/>
        <w:t>252</w:t>
      </w:r>
    </w:p>
    <w:p w:rsidR="003B3271" w:rsidRPr="0008481A" w:rsidRDefault="003B3271">
      <w:pPr>
        <w:pStyle w:val="Rubrik3"/>
      </w:pPr>
      <w:r w:rsidRPr="0008481A">
        <w:t>Utlänningsärenden</w:t>
      </w:r>
    </w:p>
    <w:p w:rsidR="003B3271" w:rsidRPr="0008481A" w:rsidRDefault="003B3271">
      <w:pPr>
        <w:pStyle w:val="innehJO"/>
      </w:pPr>
      <w:r w:rsidRPr="0008481A">
        <w:t>Fråga om skyldighet för en svensk ambassad att ta emot asylansökningar och sända dem vidare till behörig besluts</w:t>
      </w:r>
      <w:r w:rsidRPr="0008481A">
        <w:softHyphen/>
        <w:t>fattare (3145-1999)</w:t>
      </w:r>
      <w:r w:rsidRPr="0008481A">
        <w:tab/>
      </w:r>
      <w:r w:rsidRPr="0008481A">
        <w:tab/>
        <w:t>256</w:t>
      </w:r>
    </w:p>
    <w:p w:rsidR="003B3271" w:rsidRPr="0008481A" w:rsidRDefault="003B3271">
      <w:pPr>
        <w:pStyle w:val="Rubrik3"/>
      </w:pPr>
      <w:r w:rsidRPr="0008481A">
        <w:t>Försvaret</w:t>
      </w:r>
    </w:p>
    <w:p w:rsidR="003B3271" w:rsidRPr="0008481A" w:rsidRDefault="003B3271">
      <w:pPr>
        <w:pStyle w:val="innehJO"/>
      </w:pPr>
      <w:r w:rsidRPr="0008481A">
        <w:t>Kränkande särbehandling av en värnpliktig (2610-1999)</w:t>
      </w:r>
      <w:r w:rsidRPr="0008481A">
        <w:tab/>
      </w:r>
      <w:r w:rsidRPr="0008481A">
        <w:tab/>
        <w:t>259</w:t>
      </w:r>
    </w:p>
    <w:p w:rsidR="003B3271" w:rsidRPr="0008481A" w:rsidRDefault="003B3271">
      <w:pPr>
        <w:pStyle w:val="innehJO"/>
      </w:pPr>
      <w:r w:rsidRPr="0008481A">
        <w:t>Handläggningen av ett ärende rörande ändring av vitsord (209-1999)</w:t>
      </w:r>
      <w:r w:rsidRPr="0008481A">
        <w:tab/>
      </w:r>
      <w:r w:rsidRPr="0008481A">
        <w:tab/>
        <w:t>260</w:t>
      </w:r>
    </w:p>
    <w:p w:rsidR="003B3271" w:rsidRPr="0008481A" w:rsidRDefault="003B3271">
      <w:pPr>
        <w:pStyle w:val="innehJO"/>
      </w:pPr>
      <w:r w:rsidRPr="0008481A">
        <w:t>Försvarsmakten har med en militär helikopter deltagit i polisens spaning efter misstänkta vapentjuvar; fråga om rättsenligheten härav (4110-1998)</w:t>
      </w:r>
      <w:r w:rsidRPr="0008481A">
        <w:tab/>
      </w:r>
      <w:r w:rsidRPr="0008481A">
        <w:tab/>
        <w:t>262</w:t>
      </w:r>
    </w:p>
    <w:p w:rsidR="003B3271" w:rsidRPr="0008481A" w:rsidRDefault="003B3271">
      <w:pPr>
        <w:pStyle w:val="Rubrik3"/>
      </w:pPr>
      <w:r w:rsidRPr="0008481A">
        <w:t>Länsförvaltningen</w:t>
      </w:r>
    </w:p>
    <w:p w:rsidR="003B3271" w:rsidRPr="0008481A" w:rsidRDefault="003B3271">
      <w:pPr>
        <w:pStyle w:val="innehJO"/>
      </w:pPr>
      <w:r w:rsidRPr="0008481A">
        <w:t>Fråga huruvida en länsstyrelse överlämnat förvaltningsupp</w:t>
      </w:r>
      <w:r w:rsidRPr="0008481A">
        <w:softHyphen/>
        <w:t>gifter som innefattar myndighetsutövning till en jägar</w:t>
      </w:r>
      <w:r w:rsidRPr="0008481A">
        <w:softHyphen/>
        <w:t>organisa</w:t>
      </w:r>
      <w:r w:rsidRPr="0008481A">
        <w:softHyphen/>
        <w:t>tion (488-1998)</w:t>
      </w:r>
      <w:r w:rsidRPr="0008481A">
        <w:tab/>
      </w:r>
      <w:r w:rsidRPr="0008481A">
        <w:tab/>
        <w:t>269</w:t>
      </w:r>
    </w:p>
    <w:p w:rsidR="003B3271" w:rsidRPr="0008481A" w:rsidRDefault="003B3271">
      <w:pPr>
        <w:pStyle w:val="Rubrik3"/>
        <w:rPr>
          <w:b w:val="0"/>
        </w:rPr>
      </w:pPr>
      <w:r w:rsidRPr="0008481A">
        <w:t>Taxering och uppbörd samt folkbokföring</w:t>
      </w:r>
    </w:p>
    <w:p w:rsidR="003B3271" w:rsidRPr="0008481A" w:rsidRDefault="003B3271">
      <w:pPr>
        <w:pStyle w:val="innehJO"/>
      </w:pPr>
      <w:r w:rsidRPr="0008481A">
        <w:t>Skattemyndighet har underlåtit att kommunicera uppgifter vilka senare lagts till grund för beslut i ett folkbokföringsärende (4109-1998)</w:t>
      </w:r>
      <w:r w:rsidRPr="0008481A">
        <w:tab/>
      </w:r>
      <w:r w:rsidRPr="0008481A">
        <w:tab/>
        <w:t>283</w:t>
      </w:r>
    </w:p>
    <w:p w:rsidR="003B3271" w:rsidRPr="0008481A" w:rsidRDefault="003B3271">
      <w:pPr>
        <w:pStyle w:val="Rubrik3"/>
      </w:pPr>
      <w:r w:rsidRPr="0008481A">
        <w:t>Socialtjänst</w:t>
      </w:r>
    </w:p>
    <w:p w:rsidR="003B3271" w:rsidRPr="0008481A" w:rsidRDefault="003B3271">
      <w:pPr>
        <w:pStyle w:val="Rubrik4"/>
        <w:spacing w:before="240"/>
      </w:pPr>
      <w:r w:rsidRPr="0008481A">
        <w:t>Socialtjänstlagen (SoL)</w:t>
      </w:r>
    </w:p>
    <w:p w:rsidR="003B3271" w:rsidRPr="0008481A" w:rsidRDefault="003B3271">
      <w:pPr>
        <w:pStyle w:val="innehJO"/>
      </w:pPr>
      <w:r w:rsidRPr="0008481A">
        <w:t>Fråga om socialtjänstens möjlighet att, vid tvist mellan två föräldrar, medverka när den ene föräldern avser att hämta ett gemensamt barn från den andre föräldern (3870-1997)</w:t>
      </w:r>
      <w:r w:rsidRPr="0008481A">
        <w:tab/>
      </w:r>
      <w:r w:rsidRPr="0008481A">
        <w:tab/>
        <w:t>285</w:t>
      </w:r>
    </w:p>
    <w:p w:rsidR="003B3271" w:rsidRPr="0008481A" w:rsidRDefault="003B3271">
      <w:pPr>
        <w:pStyle w:val="innehJO"/>
      </w:pPr>
      <w:r w:rsidRPr="0008481A">
        <w:t>En socialförvaltning kan inte neka den som har ett s.k. egna</w:t>
      </w:r>
      <w:r w:rsidRPr="0008481A">
        <w:softHyphen/>
        <w:t>medelskonto att göra ett uttag av pengar som finns på kontot (565-1998)</w:t>
      </w:r>
      <w:r w:rsidRPr="0008481A">
        <w:tab/>
      </w:r>
      <w:r w:rsidRPr="0008481A">
        <w:tab/>
        <w:t>290</w:t>
      </w:r>
    </w:p>
    <w:p w:rsidR="003B3271" w:rsidRPr="0008481A" w:rsidRDefault="003B3271">
      <w:pPr>
        <w:pStyle w:val="innehJO"/>
      </w:pPr>
      <w:r w:rsidRPr="0008481A">
        <w:t>Om en ansökan om bistånd är oklar skall socialnämnden försöka klarlägga vad sökanden begär bistånd till (3480-1998)</w:t>
      </w:r>
      <w:r w:rsidRPr="0008481A">
        <w:tab/>
      </w:r>
      <w:r w:rsidRPr="0008481A">
        <w:tab/>
        <w:t>292</w:t>
      </w:r>
    </w:p>
    <w:p w:rsidR="003B3271" w:rsidRPr="0008481A" w:rsidRDefault="003B3271">
      <w:pPr>
        <w:pStyle w:val="innehJO"/>
      </w:pPr>
      <w:r w:rsidRPr="0008481A">
        <w:t>Fråga om en socialnämnd har iakttagit bl.a. föreskrifterna i 33 § SoL när nämnden har beviljat bistånd mot återbetalning (306-1999)</w:t>
      </w:r>
      <w:r w:rsidRPr="0008481A">
        <w:tab/>
      </w:r>
      <w:r w:rsidRPr="0008481A">
        <w:tab/>
        <w:t>293</w:t>
      </w:r>
    </w:p>
    <w:p w:rsidR="003B3271" w:rsidRPr="0008481A" w:rsidRDefault="003B3271">
      <w:pPr>
        <w:pStyle w:val="innehJO"/>
      </w:pPr>
      <w:r w:rsidRPr="0008481A">
        <w:t>Fråga om en socialnämnds ansvar för personer med psykiska funktionshinder (727-1999)</w:t>
      </w:r>
      <w:r w:rsidRPr="0008481A">
        <w:tab/>
      </w:r>
      <w:r w:rsidRPr="0008481A">
        <w:tab/>
        <w:t>297</w:t>
      </w:r>
    </w:p>
    <w:p w:rsidR="003B3271" w:rsidRPr="0008481A" w:rsidRDefault="003B3271">
      <w:pPr>
        <w:pStyle w:val="innehJO"/>
      </w:pPr>
      <w:r w:rsidRPr="0008481A">
        <w:t>Principen om helhetssyn skall gälla vid handläggningen av ett ärende inom socialtjänsten (3882-1999)</w:t>
      </w:r>
      <w:r w:rsidRPr="0008481A">
        <w:tab/>
      </w:r>
      <w:r w:rsidRPr="0008481A">
        <w:tab/>
        <w:t>301</w:t>
      </w:r>
    </w:p>
    <w:p w:rsidR="003B3271" w:rsidRPr="0008481A" w:rsidRDefault="003B3271">
      <w:pPr>
        <w:pStyle w:val="Rubrik4"/>
      </w:pPr>
      <w:r w:rsidRPr="0008481A">
        <w:t>Lagen med särskilda bestämmelser om vård av unga (LVU)</w:t>
      </w:r>
    </w:p>
    <w:p w:rsidR="003B3271" w:rsidRPr="0008481A" w:rsidRDefault="003B3271">
      <w:pPr>
        <w:pStyle w:val="innehJO"/>
      </w:pPr>
      <w:r w:rsidRPr="0008481A">
        <w:t>Efter att polisen till socialnämnden anmält att en yngling var misstänkt för tillgrepp av en moped beslutades att den unge skulle omhändertas med stöd av 6 § LVU. Vid samtal med socialnämndens handläggare förnekade dock den unge att han tillgripit mopeden och hans uppgift visade sig senare vara riktig. Genom att inte omgående efter samtalet med den unge närmare undersöka vad som låg till grund för polisens misstankar har nämnden brustit i sitt ansvar för utredningen. (855-1998)</w:t>
      </w:r>
      <w:r w:rsidRPr="0008481A">
        <w:tab/>
      </w:r>
      <w:r w:rsidRPr="0008481A">
        <w:tab/>
        <w:t>305</w:t>
      </w:r>
    </w:p>
    <w:p w:rsidR="003B3271" w:rsidRPr="0008481A" w:rsidRDefault="003B3271">
      <w:pPr>
        <w:pStyle w:val="innehJO"/>
      </w:pPr>
      <w:r w:rsidRPr="0008481A">
        <w:t>Fråga om en socialnämnd ägt placera en flicka i nedre tonåren, som vårdades med stöd av 2 § LVU, i ett ”eget boende” (1624-1998)</w:t>
      </w:r>
      <w:r w:rsidRPr="0008481A">
        <w:tab/>
      </w:r>
      <w:r w:rsidRPr="0008481A">
        <w:tab/>
        <w:t>307</w:t>
      </w:r>
    </w:p>
    <w:p w:rsidR="003B3271" w:rsidRPr="0008481A" w:rsidRDefault="003B3271">
      <w:pPr>
        <w:pStyle w:val="Rubrik4"/>
      </w:pPr>
      <w:r w:rsidRPr="0008481A">
        <w:t>Lagen om vård av missbrukare i vissa fall (LVM)</w:t>
      </w:r>
    </w:p>
    <w:p w:rsidR="003B3271" w:rsidRPr="0008481A" w:rsidRDefault="003B3271">
      <w:pPr>
        <w:pStyle w:val="innehJO"/>
      </w:pPr>
      <w:r w:rsidRPr="0008481A">
        <w:t>Fråga om föreståndaren för ett LVM-hem haft rätt att om</w:t>
      </w:r>
      <w:r w:rsidRPr="0008481A">
        <w:softHyphen/>
        <w:t>händerta ett bankomatkort och en legitimationshandling från en person som vårdades vid hemmet (1138-1999)</w:t>
      </w:r>
      <w:r w:rsidRPr="0008481A">
        <w:tab/>
      </w:r>
      <w:r w:rsidRPr="0008481A">
        <w:tab/>
        <w:t>310</w:t>
      </w:r>
    </w:p>
    <w:p w:rsidR="003B3271" w:rsidRPr="0008481A" w:rsidRDefault="003B3271">
      <w:pPr>
        <w:pStyle w:val="Rubrik4"/>
      </w:pPr>
      <w:r w:rsidRPr="0008481A">
        <w:t>Handläggning</w:t>
      </w:r>
    </w:p>
    <w:p w:rsidR="003B3271" w:rsidRPr="0008481A" w:rsidRDefault="003B3271">
      <w:pPr>
        <w:pStyle w:val="innehJO"/>
      </w:pPr>
      <w:r w:rsidRPr="0008481A">
        <w:t>En person erhöll av en socialnämnd bistånd mot återbetalnings</w:t>
      </w:r>
      <w:r w:rsidRPr="0008481A">
        <w:softHyphen/>
        <w:t>skyldighet och utfärdade i samband med beslutet fullmakt för socialnämnden att från hennes arbetsgivare uppbära kommande lön. Fråga om en tjänsteman vid  socialförvaltningen i efterhand i fullmakten kunnat fylla i det belopp som arbetsgivaren skulle betala till socialnämnden (4205-1997)</w:t>
      </w:r>
      <w:r w:rsidRPr="0008481A">
        <w:tab/>
      </w:r>
      <w:r w:rsidRPr="0008481A">
        <w:tab/>
        <w:t>314</w:t>
      </w:r>
    </w:p>
    <w:p w:rsidR="003B3271" w:rsidRPr="0008481A" w:rsidRDefault="003B3271">
      <w:pPr>
        <w:pStyle w:val="innehJO"/>
      </w:pPr>
      <w:r w:rsidRPr="0008481A">
        <w:t>Fråga om rätt till partsinsyn under handläggningen av en vård</w:t>
      </w:r>
      <w:r w:rsidRPr="0008481A">
        <w:softHyphen/>
        <w:t>nadsutredning (1523-1998)</w:t>
      </w:r>
      <w:r w:rsidRPr="0008481A">
        <w:tab/>
      </w:r>
      <w:r w:rsidRPr="0008481A">
        <w:tab/>
        <w:t xml:space="preserve">317 </w:t>
      </w:r>
    </w:p>
    <w:p w:rsidR="003B3271" w:rsidRPr="0008481A" w:rsidRDefault="003B3271">
      <w:pPr>
        <w:pStyle w:val="innehJO"/>
      </w:pPr>
      <w:r w:rsidRPr="0008481A">
        <w:t>En länsrätt handlade ett mål angående verkställighet av en dom rörande umgängesrätt. Fråga om en tjänsteman vid en social</w:t>
      </w:r>
      <w:r w:rsidRPr="0008481A">
        <w:softHyphen/>
        <w:t>förvaltning självmant ägt rätt att tillskriva länsrätten och ge uttryck för sin uppfattning i umgängesfrågan (2908-1998)</w:t>
      </w:r>
      <w:r w:rsidRPr="0008481A">
        <w:tab/>
      </w:r>
      <w:r w:rsidRPr="0008481A">
        <w:tab/>
        <w:t>325</w:t>
      </w:r>
    </w:p>
    <w:p w:rsidR="003B3271" w:rsidRPr="0008481A" w:rsidRDefault="003B3271">
      <w:pPr>
        <w:pStyle w:val="innehJO"/>
      </w:pPr>
      <w:r w:rsidRPr="0008481A">
        <w:t>En tingsrätt handlade ett mål angående umgänge med barn. Fråga om lämpligheten av att två tjänstemän vid en socialför</w:t>
      </w:r>
      <w:r w:rsidRPr="0008481A">
        <w:softHyphen/>
        <w:t>valtning, som svarat för s.k. samarbetssamtal mellan för</w:t>
      </w:r>
      <w:r w:rsidRPr="0008481A">
        <w:softHyphen/>
        <w:t>äldrarna, i en skrivelse till den ena förälderns ombud i målet uttalade sin uppfattning i umgängesfrågan (1409-1999)</w:t>
      </w:r>
      <w:r w:rsidRPr="0008481A">
        <w:tab/>
      </w:r>
      <w:r w:rsidRPr="0008481A">
        <w:tab/>
        <w:t>329</w:t>
      </w:r>
    </w:p>
    <w:p w:rsidR="003B3271" w:rsidRPr="0008481A" w:rsidRDefault="003B3271">
      <w:pPr>
        <w:pStyle w:val="innehJO"/>
      </w:pPr>
      <w:r w:rsidRPr="0008481A">
        <w:t>Fråga bl.a. om utformningen av ett beslut enligt 6 kap. 19 § för</w:t>
      </w:r>
      <w:r w:rsidRPr="0008481A">
        <w:softHyphen/>
        <w:t>äldrabalken att utse en vårdnadsutredare (2569-1998)</w:t>
      </w:r>
      <w:r w:rsidRPr="0008481A">
        <w:tab/>
      </w:r>
      <w:r w:rsidRPr="0008481A">
        <w:tab/>
        <w:t>332</w:t>
      </w:r>
    </w:p>
    <w:p w:rsidR="003B3271" w:rsidRPr="0008481A" w:rsidRDefault="003B3271">
      <w:pPr>
        <w:pStyle w:val="innehJO"/>
      </w:pPr>
      <w:r w:rsidRPr="0008481A">
        <w:t>En tjänsteman vid en socialförvaltning har förtydligat ett läkarintyg efter kontakt med den läkare som utfärdat intyget. Tjänstemannen borde därvid ha gjort en notering om bl.a. vem som hade gjort tillägget (3389-1999)</w:t>
      </w:r>
      <w:r w:rsidRPr="0008481A">
        <w:tab/>
      </w:r>
      <w:r w:rsidRPr="0008481A">
        <w:tab/>
        <w:t>337</w:t>
      </w:r>
    </w:p>
    <w:p w:rsidR="003B3271" w:rsidRPr="0008481A" w:rsidRDefault="003B3271">
      <w:pPr>
        <w:pStyle w:val="Rubrik3"/>
      </w:pPr>
      <w:r w:rsidRPr="0008481A">
        <w:t>Hälso- och sjukvård</w:t>
      </w:r>
    </w:p>
    <w:p w:rsidR="003B3271" w:rsidRPr="0008481A" w:rsidRDefault="003B3271">
      <w:pPr>
        <w:pStyle w:val="innehJO"/>
      </w:pPr>
      <w:r w:rsidRPr="0008481A">
        <w:t>Kritik mot en överläkare för det sätt på vilket en psykiskt utvecklingsstörd pojke återförts till sjukhus enligt bestämmel</w:t>
      </w:r>
      <w:r w:rsidRPr="0008481A">
        <w:softHyphen/>
        <w:t>serna i lagen (1991:1128) om psykiatrisk tvångsvård (LPT). Även fråga om omfattningen av polisens skyldighet att lämna handräckningsbiträde enligt 47 § LPT (1338-1998)</w:t>
      </w:r>
      <w:r w:rsidRPr="0008481A">
        <w:tab/>
      </w:r>
      <w:r w:rsidRPr="0008481A">
        <w:tab/>
        <w:t>339</w:t>
      </w:r>
    </w:p>
    <w:p w:rsidR="003B3271" w:rsidRPr="0008481A" w:rsidRDefault="003B3271">
      <w:pPr>
        <w:pStyle w:val="innehJO"/>
      </w:pPr>
      <w:r w:rsidRPr="0008481A">
        <w:t>Uttalanden rörande förutsättningarna att inom ramen för vård enligt bestämmelserna i lagen (1991:1129) om rättspsykiatrisk vård omhän</w:t>
      </w:r>
      <w:r w:rsidRPr="0008481A">
        <w:softHyphen/>
        <w:t>derta patients bankkort (minutenkort). Kritik för underlåtenhet att do</w:t>
      </w:r>
      <w:r w:rsidRPr="0008481A">
        <w:softHyphen/>
        <w:t>kumentera åtgärden i patientens journal (2563-1999)</w:t>
      </w:r>
      <w:r w:rsidRPr="0008481A">
        <w:tab/>
      </w:r>
      <w:r w:rsidRPr="0008481A">
        <w:tab/>
        <w:t>343</w:t>
      </w:r>
    </w:p>
    <w:p w:rsidR="003B3271" w:rsidRPr="0008481A" w:rsidRDefault="003B3271">
      <w:pPr>
        <w:pStyle w:val="innehJO"/>
      </w:pPr>
      <w:r w:rsidRPr="0008481A">
        <w:t>Kritik mot rättspsykiatrisk enhet för genomförandet av ytliga kroppsbesiktningar och kontroll av brevförsändelser. Även kritik för underlåtenhet att dokumentera dessa tvångsåtgärder i patientjournalen (3890-1999)</w:t>
      </w:r>
      <w:r w:rsidRPr="0008481A">
        <w:tab/>
      </w:r>
      <w:r w:rsidRPr="0008481A">
        <w:tab/>
        <w:t>346</w:t>
      </w:r>
    </w:p>
    <w:p w:rsidR="003B3271" w:rsidRPr="0008481A" w:rsidRDefault="003B3271">
      <w:pPr>
        <w:pStyle w:val="innehJO"/>
      </w:pPr>
      <w:r w:rsidRPr="0008481A">
        <w:t>Handläggningen av ett ärende avseende journalförstöring – fråga om Socialstyrelsen haft att pröva en ny framställan i samma sak oaktat det först avgjorda ärendet var föremål för överprövning i domstol (4840-1998)</w:t>
      </w:r>
      <w:r w:rsidRPr="0008481A">
        <w:tab/>
      </w:r>
      <w:r w:rsidRPr="0008481A">
        <w:tab/>
        <w:t>349</w:t>
      </w:r>
    </w:p>
    <w:p w:rsidR="003B3271" w:rsidRPr="0008481A" w:rsidRDefault="003B3271">
      <w:pPr>
        <w:pStyle w:val="innehJO"/>
      </w:pPr>
      <w:r w:rsidRPr="0008481A">
        <w:t>Disciplinansvar för en överläkare vars felaktiga journal</w:t>
      </w:r>
      <w:r w:rsidRPr="0008481A">
        <w:softHyphen/>
        <w:t>anteckningar lett till beslut om återintagning av patient till sjuk</w:t>
      </w:r>
      <w:r w:rsidRPr="0008481A">
        <w:softHyphen/>
        <w:t>vårdsinrättning oaktat stöd härför sak</w:t>
      </w:r>
      <w:r w:rsidRPr="0008481A">
        <w:softHyphen/>
        <w:t>nats i bestämmel</w:t>
      </w:r>
      <w:r w:rsidRPr="0008481A">
        <w:softHyphen/>
        <w:t>serna i lagen (1991:1128) om psykiatrisk tvångsvård (3972-1998)</w:t>
      </w:r>
      <w:r w:rsidRPr="0008481A">
        <w:tab/>
      </w:r>
      <w:r w:rsidRPr="0008481A">
        <w:tab/>
        <w:t>353</w:t>
      </w:r>
    </w:p>
    <w:p w:rsidR="003B3271" w:rsidRPr="0008481A" w:rsidRDefault="003B3271">
      <w:pPr>
        <w:pStyle w:val="Rubrik3"/>
      </w:pPr>
      <w:r w:rsidRPr="0008481A">
        <w:t xml:space="preserve">Stöd och service till vissa funktionshindrade </w:t>
      </w:r>
    </w:p>
    <w:p w:rsidR="003B3271" w:rsidRPr="0008481A" w:rsidRDefault="003B3271">
      <w:pPr>
        <w:pStyle w:val="innehJO"/>
      </w:pPr>
      <w:r w:rsidRPr="0008481A">
        <w:t>Kritik mot kommun för bristande rutiner och åtgärder vid en anställds övergrepp mot boende i ett kommunalt gruppboende (585-1999)</w:t>
      </w:r>
      <w:r w:rsidRPr="0008481A">
        <w:tab/>
      </w:r>
      <w:r w:rsidRPr="0008481A">
        <w:tab/>
        <w:t>359</w:t>
      </w:r>
    </w:p>
    <w:p w:rsidR="003B3271" w:rsidRPr="0008481A" w:rsidRDefault="003B3271">
      <w:pPr>
        <w:pStyle w:val="Rubrik3"/>
      </w:pPr>
      <w:r w:rsidRPr="0008481A">
        <w:t>Socialförsäkring</w:t>
      </w:r>
    </w:p>
    <w:p w:rsidR="003B3271" w:rsidRPr="0008481A" w:rsidRDefault="003B3271">
      <w:pPr>
        <w:pStyle w:val="innehJO"/>
      </w:pPr>
      <w:r w:rsidRPr="0008481A">
        <w:t>En tjänsteman vid försäkringskassa har kritiserats för att ha överskridit sin behörighet (1827-1999)</w:t>
      </w:r>
      <w:r w:rsidRPr="0008481A">
        <w:tab/>
      </w:r>
      <w:r w:rsidRPr="0008481A">
        <w:tab/>
        <w:t>363</w:t>
      </w:r>
    </w:p>
    <w:p w:rsidR="003B3271" w:rsidRPr="0008481A" w:rsidRDefault="003B3271">
      <w:pPr>
        <w:pStyle w:val="innehJO"/>
        <w:rPr>
          <w:b/>
        </w:rPr>
      </w:pPr>
      <w:r w:rsidRPr="0008481A">
        <w:t>Kritik mot en försäkringskassa för fel som uppstått med an</w:t>
      </w:r>
      <w:r w:rsidRPr="0008481A">
        <w:softHyphen/>
        <w:t>ledning av att en akt i ett arbetsskadeärende inte kunnat åter</w:t>
      </w:r>
      <w:r w:rsidRPr="0008481A">
        <w:softHyphen/>
        <w:t>finnas och heller inte efterforskats (3149-1998)</w:t>
      </w:r>
      <w:r w:rsidRPr="0008481A">
        <w:tab/>
      </w:r>
      <w:r w:rsidRPr="0008481A">
        <w:tab/>
        <w:t>366</w:t>
      </w:r>
    </w:p>
    <w:p w:rsidR="003B3271" w:rsidRPr="0008481A" w:rsidRDefault="003B3271">
      <w:pPr>
        <w:pStyle w:val="innehJO"/>
      </w:pPr>
      <w:r w:rsidRPr="0008481A">
        <w:t>En försäkringskassa har gjort en rad fel vid handläggningen av ett sjukbidragsärende (4192-1998)</w:t>
      </w:r>
      <w:r w:rsidRPr="0008481A">
        <w:tab/>
      </w:r>
      <w:r w:rsidRPr="0008481A">
        <w:tab/>
        <w:t>367</w:t>
      </w:r>
    </w:p>
    <w:p w:rsidR="003B3271" w:rsidRPr="0008481A" w:rsidRDefault="003B3271">
      <w:pPr>
        <w:pStyle w:val="innehJO"/>
      </w:pPr>
      <w:r w:rsidRPr="0008481A">
        <w:t>Kritik mot två försäkringskassor för att de inte har prövat en anmälan om en skada enligt lagen (1977:265) om statligt personskadeskydd (1512-1999)</w:t>
      </w:r>
      <w:r w:rsidRPr="0008481A">
        <w:tab/>
      </w:r>
      <w:r w:rsidRPr="0008481A">
        <w:tab/>
        <w:t>372</w:t>
      </w:r>
    </w:p>
    <w:p w:rsidR="003B3271" w:rsidRPr="0008481A" w:rsidRDefault="003B3271">
      <w:pPr>
        <w:pStyle w:val="innehJO"/>
      </w:pPr>
      <w:r w:rsidRPr="0008481A">
        <w:t>Ett initiativärende rörande handläggning av ärenden enligt 17 kap. 1 § andra stycket lagen (1962:381) om all</w:t>
      </w:r>
      <w:r w:rsidRPr="0008481A">
        <w:softHyphen/>
        <w:t>män för</w:t>
      </w:r>
      <w:r w:rsidRPr="0008481A">
        <w:softHyphen/>
        <w:t>säk</w:t>
      </w:r>
      <w:r w:rsidRPr="0008481A">
        <w:softHyphen/>
        <w:t>ring (4837-1998)</w:t>
      </w:r>
      <w:r w:rsidRPr="0008481A">
        <w:tab/>
      </w:r>
      <w:r w:rsidRPr="0008481A">
        <w:tab/>
        <w:t>375</w:t>
      </w:r>
    </w:p>
    <w:p w:rsidR="003B3271" w:rsidRPr="0008481A" w:rsidRDefault="003B3271">
      <w:pPr>
        <w:pStyle w:val="innehJO"/>
      </w:pPr>
      <w:r w:rsidRPr="0008481A">
        <w:t>Fråga om behov av kommunicering i ärende där det inte av den försäkrades ansökan framgick om den avsåg förtidspension eller sjukbidrag (3632-1998)</w:t>
      </w:r>
      <w:r w:rsidRPr="0008481A">
        <w:tab/>
      </w:r>
      <w:r w:rsidRPr="0008481A">
        <w:tab/>
        <w:t>380</w:t>
      </w:r>
    </w:p>
    <w:p w:rsidR="003B3271" w:rsidRPr="0008481A" w:rsidRDefault="003B3271">
      <w:pPr>
        <w:pStyle w:val="innehJO"/>
      </w:pPr>
      <w:r w:rsidRPr="0008481A">
        <w:t>Initiativärende angående ansökningar om fö</w:t>
      </w:r>
      <w:r w:rsidRPr="0008481A">
        <w:t>r</w:t>
      </w:r>
      <w:r w:rsidRPr="0008481A">
        <w:t>längt under</w:t>
      </w:r>
      <w:r w:rsidRPr="0008481A">
        <w:softHyphen/>
        <w:t>hållsstöd som undertecknats enbart av underåriga (723-1999)</w:t>
      </w:r>
      <w:r w:rsidRPr="0008481A">
        <w:tab/>
      </w:r>
      <w:r w:rsidRPr="0008481A">
        <w:tab/>
        <w:t>384</w:t>
      </w:r>
    </w:p>
    <w:p w:rsidR="003B3271" w:rsidRPr="0008481A" w:rsidRDefault="003B3271">
      <w:pPr>
        <w:pStyle w:val="innehJO"/>
      </w:pPr>
      <w:r w:rsidRPr="0008481A">
        <w:t>Ett initiativärende angående försäkringskassas utrednings</w:t>
      </w:r>
      <w:r w:rsidRPr="0008481A">
        <w:softHyphen/>
        <w:t>skyldighet i ett ärende om underhållsstöd (572-1999)</w:t>
      </w:r>
      <w:r w:rsidRPr="0008481A">
        <w:tab/>
      </w:r>
      <w:r w:rsidRPr="0008481A">
        <w:tab/>
        <w:t>388</w:t>
      </w:r>
    </w:p>
    <w:p w:rsidR="003B3271" w:rsidRPr="0008481A" w:rsidRDefault="003B3271">
      <w:pPr>
        <w:pStyle w:val="innehJO"/>
      </w:pPr>
      <w:r w:rsidRPr="0008481A">
        <w:t>Fråga om lämpligheten av kommunicering i ett ärende om bostadsbidrag (4923-1998)</w:t>
      </w:r>
      <w:r w:rsidRPr="0008481A">
        <w:tab/>
      </w:r>
      <w:r w:rsidRPr="0008481A">
        <w:tab/>
        <w:t>391</w:t>
      </w:r>
    </w:p>
    <w:p w:rsidR="003B3271" w:rsidRPr="0008481A" w:rsidRDefault="003B3271">
      <w:pPr>
        <w:pStyle w:val="innehJO"/>
        <w:rPr>
          <w:b/>
        </w:rPr>
      </w:pPr>
      <w:r w:rsidRPr="0008481A">
        <w:t>Kritik mot försäkringskassa angående utformningen av en kommuniceringsskrivelse (1216-1999)</w:t>
      </w:r>
      <w:r w:rsidRPr="0008481A">
        <w:tab/>
      </w:r>
      <w:r w:rsidRPr="0008481A">
        <w:tab/>
        <w:t>392</w:t>
      </w:r>
    </w:p>
    <w:p w:rsidR="003B3271" w:rsidRPr="0008481A" w:rsidRDefault="003B3271">
      <w:pPr>
        <w:pStyle w:val="innehJO"/>
      </w:pPr>
      <w:r w:rsidRPr="0008481A">
        <w:t>Ett initiativärende rörande utformningen av provisoriskt beslut om sjukbidrag (1261-1999)</w:t>
      </w:r>
      <w:r w:rsidRPr="0008481A">
        <w:tab/>
      </w:r>
      <w:r w:rsidRPr="0008481A">
        <w:tab/>
        <w:t>394</w:t>
      </w:r>
    </w:p>
    <w:p w:rsidR="003B3271" w:rsidRPr="0008481A" w:rsidRDefault="003B3271">
      <w:pPr>
        <w:pStyle w:val="innehJO"/>
      </w:pPr>
      <w:r w:rsidRPr="0008481A">
        <w:t>Fråga om dröjsmål med att fatta beslut i ett ärende rörande handikappersättning. Även fråga om rättelse av en underrättelse om beslut (4431-1998)</w:t>
      </w:r>
      <w:r w:rsidRPr="0008481A">
        <w:tab/>
      </w:r>
      <w:r w:rsidRPr="0008481A">
        <w:tab/>
        <w:t>396</w:t>
      </w:r>
    </w:p>
    <w:p w:rsidR="003B3271" w:rsidRPr="0008481A" w:rsidRDefault="003B3271">
      <w:pPr>
        <w:pStyle w:val="innehJO"/>
      </w:pPr>
      <w:r w:rsidRPr="0008481A">
        <w:t>Ett initiativärende rörande återbetalning av utgivna bidrags</w:t>
      </w:r>
      <w:r w:rsidRPr="0008481A">
        <w:softHyphen/>
        <w:t>belopp i ett ärende om un</w:t>
      </w:r>
      <w:r w:rsidRPr="0008481A">
        <w:softHyphen/>
        <w:t>der</w:t>
      </w:r>
      <w:r w:rsidRPr="0008481A">
        <w:softHyphen/>
        <w:t>hålls</w:t>
      </w:r>
      <w:r w:rsidRPr="0008481A">
        <w:softHyphen/>
        <w:t>stöd. Även fråga om försäk</w:t>
      </w:r>
      <w:r w:rsidRPr="0008481A">
        <w:softHyphen/>
        <w:t>ringskassas dröjsmål med att verkställa en länsrättsdom (1426-1999)</w:t>
      </w:r>
      <w:r w:rsidRPr="0008481A">
        <w:tab/>
      </w:r>
      <w:r w:rsidRPr="0008481A">
        <w:tab/>
        <w:t>399</w:t>
      </w:r>
    </w:p>
    <w:p w:rsidR="003B3271" w:rsidRPr="0008481A" w:rsidRDefault="003B3271">
      <w:pPr>
        <w:pStyle w:val="innehJO"/>
      </w:pPr>
      <w:r w:rsidRPr="0008481A">
        <w:t>Kritik mot försäkringskassa i fråga om utformningen av en underrättelse om ett av socialförsäkringsnämnden fattat beslut (439-2000)</w:t>
      </w:r>
      <w:r w:rsidRPr="0008481A">
        <w:tab/>
      </w:r>
      <w:r w:rsidRPr="0008481A">
        <w:tab/>
        <w:t>402</w:t>
      </w:r>
    </w:p>
    <w:p w:rsidR="003B3271" w:rsidRPr="0008481A" w:rsidRDefault="003B3271">
      <w:pPr>
        <w:pStyle w:val="innehJO"/>
      </w:pPr>
      <w:r w:rsidRPr="0008481A">
        <w:t>En försäkringskassa har dröjt med att expediera beslut i ett liv</w:t>
      </w:r>
      <w:r w:rsidRPr="0008481A">
        <w:softHyphen/>
        <w:t>ränteärende (2499-1999)</w:t>
      </w:r>
      <w:r w:rsidRPr="0008481A">
        <w:tab/>
      </w:r>
      <w:r w:rsidRPr="0008481A">
        <w:tab/>
        <w:t>403</w:t>
      </w:r>
    </w:p>
    <w:p w:rsidR="003B3271" w:rsidRPr="0008481A" w:rsidRDefault="003B3271">
      <w:pPr>
        <w:pStyle w:val="innehJO"/>
      </w:pPr>
      <w:r w:rsidRPr="0008481A">
        <w:t>Allmän försäkringskassas rutiner för utsändande av under</w:t>
      </w:r>
      <w:r w:rsidRPr="0008481A">
        <w:softHyphen/>
        <w:t>rättelser om beslut (2318-1999)</w:t>
      </w:r>
      <w:r w:rsidRPr="0008481A">
        <w:tab/>
      </w:r>
      <w:r w:rsidRPr="0008481A">
        <w:tab/>
        <w:t>406</w:t>
      </w:r>
    </w:p>
    <w:p w:rsidR="003B3271" w:rsidRPr="0008481A" w:rsidRDefault="003B3271">
      <w:pPr>
        <w:pStyle w:val="innehJO"/>
        <w:rPr>
          <w:b/>
        </w:rPr>
      </w:pPr>
      <w:r w:rsidRPr="0008481A">
        <w:t>Kritik mot en försäkringskassa för handläggningstiden i ett om</w:t>
      </w:r>
      <w:r w:rsidRPr="0008481A">
        <w:softHyphen/>
        <w:t>prövningsärende (3050-1999)</w:t>
      </w:r>
      <w:r w:rsidRPr="0008481A">
        <w:tab/>
      </w:r>
      <w:r w:rsidRPr="0008481A">
        <w:tab/>
        <w:t>409</w:t>
      </w:r>
    </w:p>
    <w:p w:rsidR="003B3271" w:rsidRPr="0008481A" w:rsidRDefault="003B3271">
      <w:pPr>
        <w:pStyle w:val="innehJO"/>
      </w:pPr>
      <w:r w:rsidRPr="0008481A">
        <w:t>Fråga om tjänstemans underlåtenhet att tillse att ett över</w:t>
      </w:r>
      <w:r w:rsidRPr="0008481A">
        <w:softHyphen/>
        <w:t>klagande i ett ärende rörande sjukpenning vidarebefordrades till länsrätt (2279-1999)</w:t>
      </w:r>
      <w:r w:rsidRPr="0008481A">
        <w:tab/>
      </w:r>
      <w:r w:rsidRPr="0008481A">
        <w:tab/>
        <w:t>411</w:t>
      </w:r>
    </w:p>
    <w:p w:rsidR="003B3271" w:rsidRPr="0008481A" w:rsidRDefault="003B3271">
      <w:pPr>
        <w:pStyle w:val="innehJO"/>
        <w:rPr>
          <w:b/>
        </w:rPr>
      </w:pPr>
      <w:r w:rsidRPr="0008481A">
        <w:t>Ett initiativärende angående försäkringskassas dröjsmål med att verkställa en länsrättsdom (1963-1998)</w:t>
      </w:r>
      <w:r w:rsidRPr="0008481A">
        <w:tab/>
      </w:r>
      <w:r w:rsidRPr="0008481A">
        <w:tab/>
        <w:t>417</w:t>
      </w:r>
    </w:p>
    <w:p w:rsidR="003B3271" w:rsidRPr="0008481A" w:rsidRDefault="003B3271">
      <w:pPr>
        <w:pStyle w:val="innehJO"/>
      </w:pPr>
      <w:r w:rsidRPr="0008481A">
        <w:t>Riksförsäkringsverkets dröjsmål med att ändra i Allmänna råd med anledning av en av Regeringsrätten meddelad dom (1142-2000)</w:t>
      </w:r>
      <w:r w:rsidRPr="0008481A">
        <w:tab/>
      </w:r>
      <w:r w:rsidRPr="0008481A">
        <w:tab/>
        <w:t>419</w:t>
      </w:r>
    </w:p>
    <w:p w:rsidR="003B3271" w:rsidRPr="0008481A" w:rsidRDefault="003B3271">
      <w:pPr>
        <w:pStyle w:val="Rubrik3"/>
      </w:pPr>
      <w:r w:rsidRPr="0008481A">
        <w:t>Miljö- och hälsoskydd samt djurskydd</w:t>
      </w:r>
    </w:p>
    <w:p w:rsidR="003B3271" w:rsidRPr="0008481A" w:rsidRDefault="003B3271">
      <w:pPr>
        <w:pStyle w:val="innehJO"/>
      </w:pPr>
      <w:r w:rsidRPr="0008481A">
        <w:t>Tillsynsmyndighets skyldighet att utreda och fatta beslut vid klagomål om överträdelser av villkor i täkttillstånd (1016-1998)</w:t>
      </w:r>
      <w:r w:rsidRPr="0008481A">
        <w:tab/>
      </w:r>
      <w:r w:rsidRPr="0008481A">
        <w:tab/>
        <w:t>422</w:t>
      </w:r>
    </w:p>
    <w:p w:rsidR="003B3271" w:rsidRPr="0008481A" w:rsidRDefault="003B3271">
      <w:pPr>
        <w:pStyle w:val="innehJO"/>
      </w:pPr>
      <w:r w:rsidRPr="0008481A">
        <w:t>Kritik mot Veterinära ansvarsnämnden för att i ett beslut ha kritiserat anmälarna (1436-1998)</w:t>
      </w:r>
      <w:r w:rsidRPr="0008481A">
        <w:tab/>
      </w:r>
      <w:r w:rsidRPr="0008481A">
        <w:tab/>
        <w:t>425</w:t>
      </w:r>
    </w:p>
    <w:p w:rsidR="003B3271" w:rsidRPr="0008481A" w:rsidRDefault="003B3271">
      <w:pPr>
        <w:pStyle w:val="Rubrik3"/>
      </w:pPr>
      <w:r w:rsidRPr="0008481A">
        <w:t>Utbildnings- och kultursektorn</w:t>
      </w:r>
    </w:p>
    <w:p w:rsidR="003B3271" w:rsidRPr="0008481A" w:rsidRDefault="003B3271">
      <w:pPr>
        <w:pStyle w:val="innehJO"/>
        <w:rPr>
          <w:caps/>
        </w:rPr>
      </w:pPr>
      <w:r w:rsidRPr="0008481A">
        <w:t>Kritik mot en skola som mottagit ett barn som elev under falskt namn och utan att känna till eller försöka få kännedom om barnets riktiga personuppgifter. Kritik även för att skolan inte kontrollerade uppgiften om vem som var vårdnadshavare för barnet (3328-1998)</w:t>
      </w:r>
      <w:r w:rsidRPr="0008481A">
        <w:tab/>
      </w:r>
      <w:r w:rsidRPr="0008481A">
        <w:tab/>
        <w:t>429</w:t>
      </w:r>
    </w:p>
    <w:p w:rsidR="003B3271" w:rsidRPr="0008481A" w:rsidRDefault="003B3271">
      <w:pPr>
        <w:pStyle w:val="innehJO"/>
      </w:pPr>
      <w:r w:rsidRPr="0008481A">
        <w:t>Ett på JO:s initiativ upptaget ärende mot institutionen för lingvistik vid Uppsala universitet angående strykning av tidigare meddelade kurspoäng utan att höra studenterna (3421-1998)</w:t>
      </w:r>
      <w:r w:rsidRPr="0008481A">
        <w:tab/>
      </w:r>
      <w:r w:rsidRPr="0008481A">
        <w:tab/>
        <w:t>434</w:t>
      </w:r>
    </w:p>
    <w:p w:rsidR="003B3271" w:rsidRPr="0008481A" w:rsidRDefault="003B3271">
      <w:pPr>
        <w:pStyle w:val="innehJO"/>
      </w:pPr>
      <w:r w:rsidRPr="0008481A">
        <w:t>Kritik mot Högskoleverket för genomförandet av ändrade an</w:t>
      </w:r>
      <w:r w:rsidRPr="0008481A">
        <w:softHyphen/>
        <w:t>tagningsregler till högskolan avseende sökanden med utländska gymnasieb</w:t>
      </w:r>
      <w:r w:rsidRPr="0008481A">
        <w:t>e</w:t>
      </w:r>
      <w:r w:rsidRPr="0008481A">
        <w:t>tyg (3534-1998)</w:t>
      </w:r>
      <w:r w:rsidRPr="0008481A">
        <w:tab/>
      </w:r>
      <w:r w:rsidRPr="0008481A">
        <w:tab/>
        <w:t>438</w:t>
      </w:r>
    </w:p>
    <w:p w:rsidR="003B3271" w:rsidRPr="0008481A" w:rsidRDefault="003B3271">
      <w:pPr>
        <w:pStyle w:val="innehJO"/>
      </w:pPr>
      <w:r w:rsidRPr="0008481A">
        <w:t>En kursföreståndare vid institutionen för idéhistoria vid Umeå universitet har efterforskat vem som lämnat vissa uppgifter i en kursutvärdering. Fråga om lagligheten respektive lämpligheten av den vidtagna åtgärden (216-1999)</w:t>
      </w:r>
      <w:r w:rsidRPr="0008481A">
        <w:tab/>
      </w:r>
      <w:r w:rsidRPr="0008481A">
        <w:tab/>
        <w:t>452</w:t>
      </w:r>
    </w:p>
    <w:p w:rsidR="003B3271" w:rsidRPr="0008481A" w:rsidRDefault="003B3271">
      <w:pPr>
        <w:pStyle w:val="innehJO"/>
      </w:pPr>
      <w:r w:rsidRPr="0008481A">
        <w:t>Kritik mot Kommunal vuxenutbildning (komvux) bl.a. för att utan rättsligt stöd ta ut avgifter av eleverna för stenciler (4082-1998)</w:t>
      </w:r>
      <w:r w:rsidRPr="0008481A">
        <w:tab/>
      </w:r>
      <w:r w:rsidRPr="0008481A">
        <w:tab/>
        <w:t>456</w:t>
      </w:r>
    </w:p>
    <w:p w:rsidR="003B3271" w:rsidRPr="0008481A" w:rsidRDefault="003B3271">
      <w:pPr>
        <w:pStyle w:val="innehJO"/>
      </w:pPr>
      <w:r w:rsidRPr="0008481A">
        <w:t>Kritik mot barn- och grundskolenämnd för underlåtenhet att individuellt pröva en elevs rätt till fortsatt skolskjuts m.m. (4295-1998)</w:t>
      </w:r>
      <w:r w:rsidRPr="0008481A">
        <w:tab/>
      </w:r>
      <w:r w:rsidRPr="0008481A">
        <w:tab/>
        <w:t>459</w:t>
      </w:r>
    </w:p>
    <w:p w:rsidR="003B3271" w:rsidRPr="0008481A" w:rsidRDefault="003B3271">
      <w:pPr>
        <w:pStyle w:val="innehJO"/>
      </w:pPr>
      <w:r w:rsidRPr="0008481A">
        <w:t>Handläggningen av ett ärende rörande utökad tid inom barn</w:t>
      </w:r>
      <w:r w:rsidRPr="0008481A">
        <w:softHyphen/>
        <w:t>omsorgen, bl.a. fråga om sökanden begärt beslut i saken eller endast information. – Kritik mot Barn- och ungdomsnämnden för bl.a. dröjsmål med att fatta beslut i ärendet (2062-1999)</w:t>
      </w:r>
      <w:r w:rsidRPr="0008481A">
        <w:tab/>
      </w:r>
      <w:r w:rsidRPr="0008481A">
        <w:tab/>
        <w:t>463</w:t>
      </w:r>
    </w:p>
    <w:p w:rsidR="003B3271" w:rsidRPr="0008481A" w:rsidRDefault="003B3271">
      <w:pPr>
        <w:pStyle w:val="innehJO"/>
      </w:pPr>
      <w:r w:rsidRPr="0008481A">
        <w:t>Kritik mot socialförvaltning och grundskola för bristande åtgärder vad gäller skolelevers fullgörande av skolplikt (1530-1999 och 3204-1999)</w:t>
      </w:r>
      <w:r w:rsidRPr="0008481A">
        <w:tab/>
      </w:r>
      <w:r w:rsidRPr="0008481A">
        <w:tab/>
        <w:t>466</w:t>
      </w:r>
    </w:p>
    <w:p w:rsidR="003B3271" w:rsidRPr="0008481A" w:rsidRDefault="003B3271">
      <w:pPr>
        <w:pStyle w:val="innehJO"/>
      </w:pPr>
      <w:r w:rsidRPr="0008481A">
        <w:t>Kritik mot psykologenhet för genomförande av ett s.k. begåv</w:t>
      </w:r>
      <w:r w:rsidRPr="0008481A">
        <w:softHyphen/>
        <w:t>ningstest av ett barn utan att ha inhämtat tillstånd därtill från båda vårdnadshavarna (1834-1999)</w:t>
      </w:r>
      <w:r w:rsidRPr="0008481A">
        <w:tab/>
      </w:r>
      <w:r w:rsidRPr="0008481A">
        <w:tab/>
        <w:t>472</w:t>
      </w:r>
    </w:p>
    <w:p w:rsidR="003B3271" w:rsidRPr="0008481A" w:rsidRDefault="003B3271">
      <w:pPr>
        <w:pStyle w:val="Rubrik3"/>
      </w:pPr>
      <w:r w:rsidRPr="0008481A">
        <w:t>Kommunikationsväsendet</w:t>
      </w:r>
    </w:p>
    <w:p w:rsidR="003B3271" w:rsidRPr="0008481A" w:rsidRDefault="003B3271">
      <w:pPr>
        <w:pStyle w:val="innehJO"/>
      </w:pPr>
      <w:r w:rsidRPr="0008481A">
        <w:t>Fråga om skyldighet för Aktiebolaget Svensk Bilprovning att vid kontrollbesiktningsförrättningar upplysa om ett alternativ till att efterkomma förelägganden (provning vid verkstad av särskilt slag) – med hänsyn till utformningen av regerings</w:t>
      </w:r>
      <w:r w:rsidRPr="0008481A">
        <w:softHyphen/>
        <w:t>författningen på området och till föreskrifter i övrigt (670-2000)</w:t>
      </w:r>
      <w:r w:rsidRPr="0008481A">
        <w:tab/>
      </w:r>
      <w:r w:rsidRPr="0008481A">
        <w:tab/>
        <w:t>476</w:t>
      </w:r>
    </w:p>
    <w:p w:rsidR="003B3271" w:rsidRPr="0008481A" w:rsidRDefault="003B3271">
      <w:pPr>
        <w:pStyle w:val="Rubrik3"/>
      </w:pPr>
      <w:r w:rsidRPr="0008481A">
        <w:t>Kyrkliga ärenden</w:t>
      </w:r>
    </w:p>
    <w:p w:rsidR="003B3271" w:rsidRPr="0008481A" w:rsidRDefault="003B3271">
      <w:pPr>
        <w:pStyle w:val="innehJO"/>
      </w:pPr>
      <w:r w:rsidRPr="0008481A">
        <w:t>Fråga om riktigheten av att justeringen av protokoll förda vid sammanträde med kyrkorådets arbetsutskott inte tillkännages på pastoratets anslagstavla (2505-1998)</w:t>
      </w:r>
      <w:r w:rsidRPr="0008481A">
        <w:tab/>
      </w:r>
      <w:r w:rsidRPr="0008481A">
        <w:tab/>
        <w:t>479</w:t>
      </w:r>
    </w:p>
    <w:p w:rsidR="003B3271" w:rsidRPr="0008481A" w:rsidRDefault="003B3271">
      <w:pPr>
        <w:pStyle w:val="Rubrik3"/>
      </w:pPr>
      <w:r w:rsidRPr="0008481A">
        <w:t>Plan- och byggnadsväsendet</w:t>
      </w:r>
    </w:p>
    <w:p w:rsidR="003B3271" w:rsidRPr="0008481A" w:rsidRDefault="003B3271">
      <w:pPr>
        <w:pStyle w:val="innehJO"/>
      </w:pPr>
      <w:r w:rsidRPr="0008481A">
        <w:t>Byggnadsnämnd har meddelat beslut på felaktiga grunder och avvikit från vad som gällt för dess prövning (3267-1998 och 3855-1999)</w:t>
      </w:r>
      <w:r w:rsidRPr="0008481A">
        <w:tab/>
      </w:r>
      <w:r w:rsidRPr="0008481A">
        <w:tab/>
        <w:t>481</w:t>
      </w:r>
    </w:p>
    <w:p w:rsidR="003B3271" w:rsidRPr="0008481A" w:rsidRDefault="003B3271">
      <w:pPr>
        <w:pStyle w:val="innehJO"/>
      </w:pPr>
      <w:r w:rsidRPr="0008481A">
        <w:t>Byggnadsnämnd har vidhållit ett krav på avgift enligt plan- och bygglagen, på annan grund än vad länsstyrelsen vid över</w:t>
      </w:r>
      <w:r w:rsidRPr="0008481A">
        <w:softHyphen/>
        <w:t>prövning underkänt och för ett tillstånd som inte utgjort för</w:t>
      </w:r>
      <w:r w:rsidRPr="0008481A">
        <w:softHyphen/>
        <w:t>handsbesked eller någon annan i lagen föreskriven form av beslut. Serviceskyldighet med avseende på ansökningar om sådant tillstånd (1674-1999)</w:t>
      </w:r>
      <w:r w:rsidRPr="0008481A">
        <w:tab/>
      </w:r>
      <w:r w:rsidRPr="0008481A">
        <w:tab/>
        <w:t>484</w:t>
      </w:r>
    </w:p>
    <w:p w:rsidR="003B3271" w:rsidRPr="0008481A" w:rsidRDefault="003B3271">
      <w:pPr>
        <w:pStyle w:val="innehJO"/>
      </w:pPr>
      <w:r w:rsidRPr="0008481A">
        <w:t>Olämpligheten av att en myndighet i beslutsliknande former tolkar (”förtydligar”) egna beslut (2174-1998)</w:t>
      </w:r>
      <w:r w:rsidRPr="0008481A">
        <w:tab/>
      </w:r>
      <w:r w:rsidRPr="0008481A">
        <w:tab/>
        <w:t>490</w:t>
      </w:r>
    </w:p>
    <w:p w:rsidR="003B3271" w:rsidRPr="0008481A" w:rsidRDefault="003B3271">
      <w:pPr>
        <w:pStyle w:val="innehJO"/>
      </w:pPr>
      <w:r w:rsidRPr="0008481A">
        <w:t>Tiden för överklagande av beslut (4150-1999)</w:t>
      </w:r>
      <w:r w:rsidRPr="0008481A">
        <w:tab/>
      </w:r>
      <w:r w:rsidRPr="0008481A">
        <w:tab/>
        <w:t>495</w:t>
      </w:r>
    </w:p>
    <w:p w:rsidR="003B3271" w:rsidRPr="0008481A" w:rsidRDefault="003B3271">
      <w:pPr>
        <w:pStyle w:val="Rubrik3"/>
      </w:pPr>
      <w:r w:rsidRPr="0008481A">
        <w:t>Överförmyndarnämnder och överförmyndare</w:t>
      </w:r>
    </w:p>
    <w:p w:rsidR="003B3271" w:rsidRPr="0008481A" w:rsidRDefault="003B3271">
      <w:pPr>
        <w:pStyle w:val="innehJO"/>
      </w:pPr>
      <w:r w:rsidRPr="0008481A">
        <w:t>Vissa iakttagelser och uttalanden med anknytning till för</w:t>
      </w:r>
      <w:r w:rsidRPr="0008481A">
        <w:softHyphen/>
        <w:t>mynderskapslagstiftningen</w:t>
      </w:r>
      <w:r w:rsidRPr="0008481A">
        <w:tab/>
      </w:r>
      <w:r w:rsidRPr="0008481A">
        <w:tab/>
        <w:t>496</w:t>
      </w:r>
    </w:p>
    <w:p w:rsidR="003B3271" w:rsidRPr="0008481A" w:rsidRDefault="003B3271">
      <w:pPr>
        <w:pStyle w:val="innehJO"/>
      </w:pPr>
      <w:r w:rsidRPr="0008481A">
        <w:t>Kritik mot en överförmyndare för underlåtenhet att kommuni</w:t>
      </w:r>
      <w:r w:rsidRPr="0008481A">
        <w:softHyphen/>
        <w:t>cera ett arvodesyrkande med dödsbo m.m. (3290-1998)</w:t>
      </w:r>
      <w:r w:rsidRPr="0008481A">
        <w:tab/>
      </w:r>
      <w:r w:rsidRPr="0008481A">
        <w:tab/>
        <w:t>498</w:t>
      </w:r>
    </w:p>
    <w:p w:rsidR="003B3271" w:rsidRPr="0008481A" w:rsidRDefault="003B3271">
      <w:pPr>
        <w:pStyle w:val="innehJO"/>
      </w:pPr>
      <w:r w:rsidRPr="0008481A">
        <w:t>Fråga om en överförmyndare varit jävig vid handläggningen av ett förvaltarskapsärende (4046-1999)</w:t>
      </w:r>
      <w:r w:rsidRPr="0008481A">
        <w:tab/>
      </w:r>
      <w:r w:rsidRPr="0008481A">
        <w:tab/>
        <w:t>501</w:t>
      </w:r>
    </w:p>
    <w:p w:rsidR="003B3271" w:rsidRPr="0008481A" w:rsidRDefault="003B3271">
      <w:pPr>
        <w:pStyle w:val="innehJO"/>
      </w:pPr>
      <w:r w:rsidRPr="0008481A">
        <w:t>Kritik mot överförmyndare för handläggningen av en god mans begäran om försäljning av huvudmannens fastighetsandel m.m. (400-1999)</w:t>
      </w:r>
      <w:r w:rsidRPr="0008481A">
        <w:tab/>
      </w:r>
      <w:r w:rsidRPr="0008481A">
        <w:tab/>
        <w:t>504</w:t>
      </w:r>
    </w:p>
    <w:p w:rsidR="003B3271" w:rsidRPr="0008481A" w:rsidRDefault="003B3271">
      <w:pPr>
        <w:pStyle w:val="innehJO"/>
      </w:pPr>
      <w:r w:rsidRPr="0008481A">
        <w:t>Ett på JO:s initiativ upptaget ärende angående handläggningen av ett ärende om godmanskap (352-2000)</w:t>
      </w:r>
      <w:r w:rsidRPr="0008481A">
        <w:tab/>
      </w:r>
      <w:r w:rsidRPr="0008481A">
        <w:tab/>
        <w:t>506</w:t>
      </w:r>
    </w:p>
    <w:p w:rsidR="003B3271" w:rsidRPr="0008481A" w:rsidRDefault="003B3271">
      <w:pPr>
        <w:pStyle w:val="Rubrik3"/>
      </w:pPr>
      <w:r w:rsidRPr="0008481A">
        <w:t>Övriga kommunalförvaltningsärenden</w:t>
      </w:r>
    </w:p>
    <w:p w:rsidR="003B3271" w:rsidRPr="0008481A" w:rsidRDefault="003B3271">
      <w:pPr>
        <w:pStyle w:val="innehJO"/>
      </w:pPr>
      <w:r w:rsidRPr="0008481A">
        <w:t>Fråga rörande myndigheters skyldighet att vara tillgängliga via elektronisk post, e-post (2146-1999)</w:t>
      </w:r>
      <w:r w:rsidRPr="0008481A">
        <w:tab/>
      </w:r>
      <w:r w:rsidRPr="0008481A">
        <w:tab/>
        <w:t>510</w:t>
      </w:r>
    </w:p>
    <w:p w:rsidR="003B3271" w:rsidRPr="0008481A" w:rsidRDefault="003B3271">
      <w:pPr>
        <w:pStyle w:val="Rubrik3"/>
      </w:pPr>
      <w:r w:rsidRPr="0008481A">
        <w:t>Offentlighet och sekretess samt yttrande- och tryckfrihet</w:t>
      </w:r>
    </w:p>
    <w:p w:rsidR="003B3271" w:rsidRPr="0008481A" w:rsidRDefault="003B3271">
      <w:pPr>
        <w:pStyle w:val="Rubrik4"/>
        <w:spacing w:before="240"/>
      </w:pPr>
      <w:r w:rsidRPr="0008481A">
        <w:t>Socialtjänst samt hälso- och sjukvård</w:t>
      </w:r>
    </w:p>
    <w:p w:rsidR="003B3271" w:rsidRPr="0008481A" w:rsidRDefault="003B3271">
      <w:pPr>
        <w:pStyle w:val="innehJO"/>
      </w:pPr>
      <w:r w:rsidRPr="0008481A">
        <w:t>Läkare har utan medgivande lämnat ut sekretesskyddade upp</w:t>
      </w:r>
      <w:r w:rsidRPr="0008481A">
        <w:softHyphen/>
        <w:t>gifter rörande patient och dennes make till polis och över</w:t>
      </w:r>
      <w:r w:rsidRPr="0008481A">
        <w:softHyphen/>
        <w:t>förmyndare – Fråga om läkaren haft lagstöd för sina åtgärder (Dnr 4228-1998)</w:t>
      </w:r>
      <w:r w:rsidRPr="0008481A">
        <w:tab/>
      </w:r>
      <w:r w:rsidRPr="0008481A">
        <w:tab/>
        <w:t>512</w:t>
      </w:r>
    </w:p>
    <w:p w:rsidR="003B3271" w:rsidRPr="0008481A" w:rsidRDefault="003B3271">
      <w:pPr>
        <w:pStyle w:val="innehJO"/>
      </w:pPr>
      <w:r w:rsidRPr="0008481A">
        <w:t>Ett på JO:s initiativ upptaget ärende mot Kriminalvårds</w:t>
      </w:r>
      <w:r w:rsidRPr="0008481A">
        <w:softHyphen/>
        <w:t>myndigheten Örebro, anstalten Hinseberg, och Kriminalvårds</w:t>
      </w:r>
      <w:r w:rsidRPr="0008481A">
        <w:softHyphen/>
        <w:t>myndigheten Kumla (sjukvårdsavdelningarna) angående hanteringen av vissa sekretessbelagda handlingar (1808-1999)</w:t>
      </w:r>
      <w:r w:rsidRPr="0008481A">
        <w:tab/>
      </w:r>
      <w:r w:rsidRPr="0008481A">
        <w:tab/>
        <w:t>518</w:t>
      </w:r>
    </w:p>
    <w:p w:rsidR="003B3271" w:rsidRPr="0008481A" w:rsidRDefault="003B3271">
      <w:pPr>
        <w:pStyle w:val="innehJO"/>
        <w:rPr>
          <w:b/>
          <w:i/>
        </w:rPr>
      </w:pPr>
      <w:r w:rsidRPr="0008481A">
        <w:t xml:space="preserve">Uttalanden rörande Socialnämnds handläggning av inkomna handlingar, särskilt fråga om diarieföring av anmälan enligt </w:t>
      </w:r>
      <w:r w:rsidRPr="0008481A">
        <w:br/>
        <w:t>71 a § socialtjänstlagen (</w:t>
      </w:r>
      <w:r w:rsidRPr="0008481A">
        <w:rPr>
          <w:i/>
        </w:rPr>
        <w:t xml:space="preserve">lex Sara) </w:t>
      </w:r>
      <w:r w:rsidRPr="0008481A">
        <w:t>(Dnr 3967-1999)</w:t>
      </w:r>
      <w:r w:rsidRPr="0008481A">
        <w:tab/>
      </w:r>
      <w:r w:rsidRPr="0008481A">
        <w:tab/>
        <w:t>522</w:t>
      </w:r>
    </w:p>
    <w:p w:rsidR="003B3271" w:rsidRPr="0008481A" w:rsidRDefault="003B3271">
      <w:pPr>
        <w:pStyle w:val="innehJO"/>
        <w:rPr>
          <w:caps/>
        </w:rPr>
      </w:pPr>
      <w:r w:rsidRPr="0008481A">
        <w:t xml:space="preserve">Uttalande rörande av sjukhus utfärdade </w:t>
      </w:r>
      <w:r w:rsidRPr="0008481A">
        <w:rPr>
          <w:i/>
        </w:rPr>
        <w:t>Riktlinjer för ut</w:t>
      </w:r>
      <w:r w:rsidRPr="0008481A">
        <w:rPr>
          <w:i/>
        </w:rPr>
        <w:softHyphen/>
        <w:t>lämnande av löneuppgift</w:t>
      </w:r>
      <w:r w:rsidRPr="0008481A">
        <w:t>. Fråga om riktlinjerna stått i strid med det s.k. efterforsk</w:t>
      </w:r>
      <w:r w:rsidRPr="0008481A">
        <w:softHyphen/>
        <w:t>ningsförbudet i 2 kap. 14 § tryckfrihetsför</w:t>
      </w:r>
      <w:r w:rsidRPr="0008481A">
        <w:softHyphen/>
        <w:t>ordningen (TF) (2975-1998)</w:t>
      </w:r>
      <w:r w:rsidRPr="0008481A">
        <w:tab/>
      </w:r>
      <w:r w:rsidRPr="0008481A">
        <w:tab/>
        <w:t>527</w:t>
      </w:r>
    </w:p>
    <w:p w:rsidR="003B3271" w:rsidRPr="0008481A" w:rsidRDefault="003B3271">
      <w:pPr>
        <w:pStyle w:val="innehJO"/>
      </w:pPr>
      <w:r w:rsidRPr="0008481A">
        <w:t>Uttalanden rörande omfattningen av allmänhetens möjligheter att per telefon komma i direkt kontakt med en myndighets tjänstemän; särskilt fråga om skyldigheten att lämna ut tjänste</w:t>
      </w:r>
      <w:r w:rsidRPr="0008481A">
        <w:softHyphen/>
        <w:t>männens direktnummer (3656-1999)</w:t>
      </w:r>
      <w:r w:rsidRPr="0008481A">
        <w:tab/>
      </w:r>
      <w:r w:rsidRPr="0008481A">
        <w:tab/>
        <w:t>529</w:t>
      </w:r>
    </w:p>
    <w:p w:rsidR="003B3271" w:rsidRPr="0008481A" w:rsidRDefault="003B3271">
      <w:pPr>
        <w:pStyle w:val="Rubrik4"/>
      </w:pPr>
      <w:r w:rsidRPr="0008481A">
        <w:t>Socialförsäkring</w:t>
      </w:r>
    </w:p>
    <w:p w:rsidR="003B3271" w:rsidRPr="0008481A" w:rsidRDefault="003B3271">
      <w:pPr>
        <w:pStyle w:val="innehJO"/>
      </w:pPr>
      <w:r w:rsidRPr="0008481A">
        <w:t>Ett ärende gällande ifrågasatt dataintrång och sekretessbrott hos allmän försäkringskassa (370-1999)</w:t>
      </w:r>
      <w:r w:rsidRPr="0008481A">
        <w:tab/>
      </w:r>
      <w:r w:rsidRPr="0008481A">
        <w:tab/>
        <w:t>533</w:t>
      </w:r>
    </w:p>
    <w:p w:rsidR="003B3271" w:rsidRPr="0008481A" w:rsidRDefault="003B3271">
      <w:pPr>
        <w:pStyle w:val="innehJO"/>
      </w:pPr>
      <w:r w:rsidRPr="0008481A">
        <w:t>En försäkringskassa har mot den försäkrades vilja lämnat ut handlingar till utländsk my</w:t>
      </w:r>
      <w:r w:rsidRPr="0008481A">
        <w:t>n</w:t>
      </w:r>
      <w:r w:rsidRPr="0008481A">
        <w:t>dighet (1960-1999)</w:t>
      </w:r>
      <w:r w:rsidRPr="0008481A">
        <w:tab/>
      </w:r>
      <w:r w:rsidRPr="0008481A">
        <w:tab/>
        <w:t>539</w:t>
      </w:r>
    </w:p>
    <w:p w:rsidR="003B3271" w:rsidRPr="0008481A" w:rsidRDefault="003B3271">
      <w:pPr>
        <w:pStyle w:val="Rubrik4"/>
      </w:pPr>
      <w:r w:rsidRPr="0008481A">
        <w:t>Meddelarfrihet</w:t>
      </w:r>
    </w:p>
    <w:p w:rsidR="003B3271" w:rsidRPr="0008481A" w:rsidRDefault="003B3271">
      <w:pPr>
        <w:pStyle w:val="innehJO"/>
      </w:pPr>
      <w:r w:rsidRPr="0008481A">
        <w:t>Åtal mot en tjänsteman för brott mot efterforskningsförbudet i 2 kap. 4 och 5 §§ yttrandefrihetsgrundlagen (610-1996)</w:t>
      </w:r>
      <w:r w:rsidRPr="0008481A">
        <w:tab/>
      </w:r>
      <w:r w:rsidRPr="0008481A">
        <w:tab/>
        <w:t>542</w:t>
      </w:r>
    </w:p>
    <w:p w:rsidR="003B3271" w:rsidRPr="0008481A" w:rsidRDefault="003B3271">
      <w:pPr>
        <w:pStyle w:val="innehJO"/>
      </w:pPr>
      <w:r w:rsidRPr="0008481A">
        <w:t>Ifrågasatta inskränkningar i yttrandefriheten (96-1998)</w:t>
      </w:r>
      <w:r w:rsidRPr="0008481A">
        <w:tab/>
      </w:r>
      <w:r w:rsidRPr="0008481A">
        <w:tab/>
        <w:t>544</w:t>
      </w:r>
    </w:p>
    <w:p w:rsidR="003B3271" w:rsidRPr="0008481A" w:rsidRDefault="003B3271">
      <w:pPr>
        <w:pStyle w:val="Rubrik4"/>
      </w:pPr>
      <w:r w:rsidRPr="0008481A">
        <w:t>Övriga områden</w:t>
      </w:r>
    </w:p>
    <w:p w:rsidR="003B3271" w:rsidRPr="0008481A" w:rsidRDefault="003B3271">
      <w:pPr>
        <w:pStyle w:val="innehJO"/>
      </w:pPr>
      <w:r w:rsidRPr="0008481A">
        <w:t>Handläggningen av en begäran om utfående av allmänna handlingar som inte förvarades hos myndigheten m.m. (4569-1998)</w:t>
      </w:r>
      <w:r w:rsidRPr="0008481A">
        <w:tab/>
      </w:r>
      <w:r w:rsidRPr="0008481A">
        <w:tab/>
        <w:t>552</w:t>
      </w:r>
    </w:p>
    <w:p w:rsidR="003B3271" w:rsidRPr="0008481A" w:rsidRDefault="003B3271">
      <w:pPr>
        <w:pStyle w:val="innehJO"/>
      </w:pPr>
      <w:r w:rsidRPr="0008481A">
        <w:t>Fråga bl.a. om uppgifter i upptagningar för ADB varit tillgängliga på sådant sätt att de utgjort allmän handling (826-1998)</w:t>
      </w:r>
      <w:r w:rsidRPr="0008481A">
        <w:tab/>
      </w:r>
      <w:r w:rsidRPr="0008481A">
        <w:tab/>
        <w:t>557</w:t>
      </w:r>
    </w:p>
    <w:p w:rsidR="003B3271" w:rsidRPr="0008481A" w:rsidRDefault="003B3271">
      <w:pPr>
        <w:pStyle w:val="innehJO"/>
      </w:pPr>
      <w:r w:rsidRPr="0008481A">
        <w:t>Kommunala nämnder har inte registrerat (diariefört) allmänna handlingar i ärenden om färdtjänst. Fråga om registrerings</w:t>
      </w:r>
      <w:r w:rsidRPr="0008481A">
        <w:softHyphen/>
        <w:t>skyldighet föreligger (4051-1999 och 4052-1999)</w:t>
      </w:r>
      <w:r w:rsidRPr="0008481A">
        <w:tab/>
      </w:r>
      <w:r w:rsidRPr="0008481A">
        <w:tab/>
        <w:t>560</w:t>
      </w:r>
    </w:p>
    <w:p w:rsidR="003B3271" w:rsidRPr="0008481A" w:rsidRDefault="003B3271">
      <w:pPr>
        <w:pStyle w:val="innehJO"/>
      </w:pPr>
      <w:r w:rsidRPr="0008481A">
        <w:t>Lämpligheten av att en länsarbetsnämnd i förväg ger företag möjlighet att efterge sekretess i ärenden om varsel enligt lagen (1974:13) om vissa anställningsfrämjande åtgärder (1759-1999)</w:t>
      </w:r>
      <w:r w:rsidRPr="0008481A">
        <w:tab/>
      </w:r>
      <w:r w:rsidRPr="0008481A">
        <w:tab/>
        <w:t>564</w:t>
      </w:r>
    </w:p>
    <w:p w:rsidR="003B3271" w:rsidRPr="0008481A" w:rsidRDefault="003B3271">
      <w:pPr>
        <w:pStyle w:val="innehJO"/>
      </w:pPr>
      <w:r w:rsidRPr="0008481A">
        <w:t>Kritik mot en skattemyndighet för handläggningen av en begäran om utlämnande av allmän handling och uppgifter ur sådan handling (3731-1998)</w:t>
      </w:r>
      <w:r w:rsidRPr="0008481A">
        <w:tab/>
      </w:r>
      <w:r w:rsidRPr="0008481A">
        <w:tab/>
        <w:t>567</w:t>
      </w:r>
    </w:p>
    <w:p w:rsidR="003B3271" w:rsidRPr="0008481A" w:rsidRDefault="003B3271">
      <w:pPr>
        <w:pStyle w:val="innehJO"/>
        <w:rPr>
          <w:b/>
        </w:rPr>
      </w:pPr>
      <w:r w:rsidRPr="0008481A">
        <w:t>Försvarsmaktens handläggning av en begäran om kopior på allmänna handlingar (1389-1999)</w:t>
      </w:r>
      <w:r w:rsidRPr="0008481A">
        <w:tab/>
      </w:r>
      <w:r w:rsidRPr="0008481A">
        <w:tab/>
        <w:t>572</w:t>
      </w:r>
    </w:p>
    <w:p w:rsidR="003B3271" w:rsidRPr="0008481A" w:rsidRDefault="003B3271">
      <w:pPr>
        <w:pStyle w:val="innehJO"/>
      </w:pPr>
      <w:r w:rsidRPr="0008481A">
        <w:t>Ifrågasatt inskränkning av yttrandefriheten för chef i Försvars</w:t>
      </w:r>
      <w:r w:rsidRPr="0008481A">
        <w:softHyphen/>
        <w:t>makten (4433- -4435-1999)</w:t>
      </w:r>
      <w:r w:rsidRPr="0008481A">
        <w:tab/>
      </w:r>
      <w:r w:rsidRPr="0008481A">
        <w:tab/>
        <w:t>575</w:t>
      </w:r>
    </w:p>
    <w:p w:rsidR="003B3271" w:rsidRPr="0008481A" w:rsidRDefault="003B3271">
      <w:pPr>
        <w:pStyle w:val="innehJO"/>
      </w:pPr>
      <w:r w:rsidRPr="0008481A">
        <w:t>Handläggningen av en begäran om utlämnande av allmän handling. Kritik mot Husie stadsdelsfullmäktige för att sökanden avkrävts identitetsuppgift. – Fråga om efterforsk</w:t>
      </w:r>
      <w:r w:rsidRPr="0008481A">
        <w:softHyphen/>
        <w:t>ningsförbudet i 2 kap. 14 § tredje stycket tryckfrihetsför</w:t>
      </w:r>
      <w:r w:rsidRPr="0008481A">
        <w:softHyphen/>
        <w:t>ordningen (TF) överträtts (1084-1998)</w:t>
      </w:r>
      <w:r w:rsidRPr="0008481A">
        <w:tab/>
      </w:r>
      <w:r w:rsidRPr="0008481A">
        <w:tab/>
        <w:t>578</w:t>
      </w:r>
    </w:p>
    <w:p w:rsidR="003B3271" w:rsidRPr="0008481A" w:rsidRDefault="003B3271">
      <w:pPr>
        <w:pStyle w:val="innehJO"/>
      </w:pPr>
      <w:r w:rsidRPr="0008481A">
        <w:t>Förvaltningschef har utfärdat riktlinjer rörande lärares och elevers kontakter med massmedia. – Fråga om förvaltnings</w:t>
      </w:r>
      <w:r w:rsidRPr="0008481A">
        <w:softHyphen/>
        <w:t xml:space="preserve"> chefen härigenom kränkt den enskildes meddelar- och yttrande</w:t>
      </w:r>
      <w:r w:rsidRPr="0008481A">
        <w:softHyphen/>
        <w:t>frihet (2031-1999)</w:t>
      </w:r>
      <w:r w:rsidRPr="0008481A">
        <w:tab/>
      </w:r>
      <w:r w:rsidRPr="0008481A">
        <w:tab/>
        <w:t>581</w:t>
      </w:r>
    </w:p>
    <w:p w:rsidR="003B3271" w:rsidRPr="0008481A" w:rsidRDefault="003B3271">
      <w:pPr>
        <w:pStyle w:val="Rubrik3"/>
        <w:spacing w:before="360"/>
      </w:pPr>
      <w:r w:rsidRPr="0008481A">
        <w:t>JO:s tillsynskompetens</w:t>
      </w:r>
    </w:p>
    <w:p w:rsidR="003B3271" w:rsidRPr="0008481A" w:rsidRDefault="003B3271">
      <w:pPr>
        <w:pStyle w:val="innehJO"/>
      </w:pPr>
      <w:r w:rsidRPr="0008481A">
        <w:t>Anmälan mot Biskopen i Stockholms stift. – Fråga om räck</w:t>
      </w:r>
      <w:r w:rsidRPr="0008481A">
        <w:softHyphen/>
        <w:t>vidden av JO:s tillsynskompetens (4641-1999)</w:t>
      </w:r>
      <w:r w:rsidRPr="0008481A">
        <w:tab/>
      </w:r>
      <w:r w:rsidRPr="0008481A">
        <w:tab/>
        <w:t>585</w:t>
      </w:r>
    </w:p>
    <w:p w:rsidR="003B3271" w:rsidRPr="0008481A" w:rsidRDefault="003B3271">
      <w:pPr>
        <w:pStyle w:val="Rubrik3"/>
        <w:spacing w:before="360"/>
      </w:pPr>
      <w:r w:rsidRPr="0008481A">
        <w:t>Bilagor</w:t>
      </w:r>
    </w:p>
    <w:p w:rsidR="003B3271" w:rsidRPr="0008481A" w:rsidRDefault="003B3271">
      <w:pPr>
        <w:pStyle w:val="innehJO"/>
        <w:spacing w:before="100"/>
      </w:pPr>
      <w:r w:rsidRPr="0008481A">
        <w:t>Instruktion för Riksdagens ombudsmän</w:t>
      </w:r>
      <w:r w:rsidRPr="0008481A">
        <w:tab/>
      </w:r>
      <w:r w:rsidRPr="0008481A">
        <w:tab/>
        <w:t>586</w:t>
      </w:r>
    </w:p>
    <w:p w:rsidR="003B3271" w:rsidRPr="0008481A" w:rsidRDefault="003B3271">
      <w:pPr>
        <w:pStyle w:val="innehJO"/>
        <w:spacing w:before="100"/>
      </w:pPr>
      <w:r w:rsidRPr="0008481A">
        <w:t>Arbetsordning för riksdagens ombudsmannaexpedition</w:t>
      </w:r>
      <w:r w:rsidRPr="0008481A">
        <w:tab/>
      </w:r>
      <w:r w:rsidRPr="0008481A">
        <w:tab/>
        <w:t>592</w:t>
      </w:r>
    </w:p>
    <w:p w:rsidR="003B3271" w:rsidRPr="0008481A" w:rsidRDefault="003B3271">
      <w:pPr>
        <w:pStyle w:val="innehJO"/>
        <w:spacing w:before="100"/>
      </w:pPr>
      <w:r w:rsidRPr="0008481A">
        <w:t>Personalorganisationen</w:t>
      </w:r>
      <w:r w:rsidRPr="0008481A">
        <w:tab/>
      </w:r>
      <w:r w:rsidRPr="0008481A">
        <w:tab/>
        <w:t>598</w:t>
      </w:r>
    </w:p>
    <w:p w:rsidR="003B3271" w:rsidRPr="0008481A" w:rsidRDefault="003B3271">
      <w:pPr>
        <w:pStyle w:val="innehJO"/>
        <w:spacing w:before="100"/>
      </w:pPr>
      <w:r w:rsidRPr="0008481A">
        <w:t>Sakregister</w:t>
      </w:r>
      <w:r w:rsidRPr="0008481A">
        <w:tab/>
      </w:r>
      <w:r w:rsidRPr="0008481A">
        <w:tab/>
        <w:t>599</w:t>
      </w:r>
    </w:p>
    <w:p w:rsidR="003B3271" w:rsidRPr="0008481A" w:rsidRDefault="003B3271">
      <w:pPr>
        <w:pStyle w:val="innehJO"/>
        <w:spacing w:before="100"/>
      </w:pPr>
      <w:r w:rsidRPr="0008481A">
        <w:t>Summary in English</w:t>
      </w:r>
      <w:r w:rsidRPr="0008481A">
        <w:tab/>
      </w:r>
      <w:r w:rsidRPr="0008481A">
        <w:tab/>
        <w:t>632</w:t>
      </w:r>
    </w:p>
    <w:p w:rsidR="003B3271" w:rsidRPr="0008481A" w:rsidRDefault="003B3271">
      <w:pPr>
        <w:pStyle w:val="Rubrik1"/>
        <w:spacing w:before="0"/>
      </w:pPr>
      <w:r w:rsidRPr="0008481A">
        <w:br w:type="page"/>
        <w:t>Till RIKSDAGEN</w:t>
      </w:r>
    </w:p>
    <w:p w:rsidR="003B3271" w:rsidRPr="0008481A" w:rsidRDefault="003B3271">
      <w:pPr>
        <w:rPr>
          <w:b/>
          <w:sz w:val="28"/>
        </w:rPr>
      </w:pPr>
      <w:r w:rsidRPr="0008481A">
        <w:t>Riksdagens ombudsmän överlämnar härmed enligt 11 § lagen (1986:765) med instruktion för Riksdagens ombudsmän (fortsättningsvis benämnd instruktionen) ämbetsberättelse för tiden den 1 juli 1999–den 30 juni 2000.</w:t>
      </w:r>
    </w:p>
    <w:p w:rsidR="003B3271" w:rsidRPr="0008481A" w:rsidRDefault="003B3271">
      <w:pPr>
        <w:pStyle w:val="Rubrik1"/>
      </w:pPr>
      <w:r w:rsidRPr="0008481A">
        <w:t>1 Organisationen m.m.</w:t>
      </w:r>
    </w:p>
    <w:p w:rsidR="003B3271" w:rsidRPr="0008481A" w:rsidRDefault="003B3271">
      <w:pPr>
        <w:pStyle w:val="Rubrik2"/>
        <w:spacing w:before="240"/>
      </w:pPr>
      <w:r w:rsidRPr="0008481A">
        <w:t>1.1 Val och entlediganden</w:t>
      </w:r>
    </w:p>
    <w:p w:rsidR="003B3271" w:rsidRPr="0008481A" w:rsidRDefault="003B3271">
      <w:r w:rsidRPr="0008481A">
        <w:t xml:space="preserve">Riksdagen omvalde den 13 oktober 1999 </w:t>
      </w:r>
      <w:r w:rsidRPr="0008481A">
        <w:rPr>
          <w:i/>
        </w:rPr>
        <w:t>Claes Eklundh</w:t>
      </w:r>
      <w:r w:rsidRPr="0008481A">
        <w:t xml:space="preserve"> att vara chefs</w:t>
      </w:r>
      <w:r w:rsidRPr="0008481A">
        <w:softHyphen/>
        <w:t>justitieombudsman från valet till dess att nytt val genomförts under fjärde året därefter.</w:t>
      </w:r>
    </w:p>
    <w:p w:rsidR="003B3271" w:rsidRPr="0008481A" w:rsidRDefault="003B3271">
      <w:pPr>
        <w:pStyle w:val="Normaltindrag"/>
      </w:pPr>
      <w:r w:rsidRPr="0008481A">
        <w:t xml:space="preserve">Riksdagen valde den 13 oktober 1999 </w:t>
      </w:r>
      <w:r w:rsidRPr="0008481A">
        <w:rPr>
          <w:i/>
        </w:rPr>
        <w:t>Nils-Olof Berggren</w:t>
      </w:r>
      <w:r w:rsidRPr="0008481A">
        <w:t xml:space="preserve"> att vara justitie</w:t>
      </w:r>
      <w:r w:rsidRPr="0008481A">
        <w:softHyphen/>
        <w:t>ombudsman fr.o.m den 1 december 1999 till dess att nytt val genom</w:t>
      </w:r>
      <w:r w:rsidRPr="0008481A">
        <w:softHyphen/>
        <w:t>förts under fjärde året därefter. Nils-Olof Berggren övertog vid sitt tillträde ansvarsområde 4 enligt arbetsordningen.</w:t>
      </w:r>
    </w:p>
    <w:p w:rsidR="003B3271" w:rsidRPr="0008481A" w:rsidRDefault="003B3271">
      <w:pPr>
        <w:pStyle w:val="Normaltindrag"/>
      </w:pPr>
      <w:r w:rsidRPr="0008481A">
        <w:t xml:space="preserve">Riksdagen omvalde den 7 december 1999 </w:t>
      </w:r>
      <w:r w:rsidRPr="0008481A">
        <w:rPr>
          <w:i/>
        </w:rPr>
        <w:t>Gunnel Norell Söderblom</w:t>
      </w:r>
      <w:r w:rsidRPr="0008481A">
        <w:t xml:space="preserve"> att vara ställföreträdande ombudsman under en period av två år fr.o.m. den </w:t>
      </w:r>
      <w:r w:rsidRPr="0008481A">
        <w:br/>
        <w:t>1 januari 2000.</w:t>
      </w:r>
    </w:p>
    <w:p w:rsidR="003B3271" w:rsidRPr="0008481A" w:rsidRDefault="003B3271">
      <w:pPr>
        <w:pStyle w:val="Rubrik3"/>
      </w:pPr>
      <w:r w:rsidRPr="0008481A">
        <w:t>1.2 Förändringar i tillsynens omfattning</w:t>
      </w:r>
    </w:p>
    <w:p w:rsidR="003B3271" w:rsidRPr="0008481A" w:rsidRDefault="003B3271">
      <w:r w:rsidRPr="0008481A">
        <w:t>Som en konsekvens av Svenska kyrkans skiljande från staten omfattas Svenska kyrkan fr.o.m. den 1 januari 2000 inte längre av JO:s tillsyn. Begravningsväsendet samt frågor om statsbidrag till trossamfund är fort</w:t>
      </w:r>
      <w:r w:rsidRPr="0008481A">
        <w:softHyphen/>
        <w:t>farande föremål för JO:s tillsyn och tillhör ansvarsområde 4 enligt arbets</w:t>
      </w:r>
      <w:r w:rsidRPr="0008481A">
        <w:softHyphen/>
        <w:t xml:space="preserve">ordningen. </w:t>
      </w:r>
    </w:p>
    <w:p w:rsidR="003B3271" w:rsidRPr="0008481A" w:rsidRDefault="003B3271">
      <w:pPr>
        <w:pStyle w:val="Rubrik3"/>
      </w:pPr>
      <w:r w:rsidRPr="0008481A">
        <w:t>1.3 Ställföreträdande ombudsmännens tjänstgöring</w:t>
      </w:r>
    </w:p>
    <w:p w:rsidR="003B3271" w:rsidRPr="0008481A" w:rsidRDefault="003B3271">
      <w:pPr>
        <w:tabs>
          <w:tab w:val="left" w:pos="284"/>
        </w:tabs>
      </w:pPr>
      <w:r w:rsidRPr="0008481A">
        <w:rPr>
          <w:i/>
        </w:rPr>
        <w:t>Stf ombudsmannen Gunnel Norell Söderblom</w:t>
      </w:r>
      <w:r w:rsidRPr="0008481A">
        <w:t xml:space="preserve"> tjänstgjorde med handläggning och avgörande av tillsynsärenden den 15–16, 19–23 och 26–30 juli 1999, den 3, 5–6, 16–20, 24 och 27 augusti 1999, den 8–12 och 15–19 november 1999, den 13–15 och 20 december 1999, den 1–3, 6</w:t>
      </w:r>
      <w:r w:rsidRPr="0008481A">
        <w:softHyphen/>
        <w:t xml:space="preserve">–10 och 13–15 mars 2000, den 25–28 april 2000 samt den 2–5, 9–10, 12, 16, 18–19 och 25 maj 2000. Hon var också förordnad att tjänstgöra den 8–12 september 1999 för att deltaga i en internationell konferens i Paris. </w:t>
      </w:r>
    </w:p>
    <w:p w:rsidR="003B3271" w:rsidRPr="0008481A" w:rsidRDefault="003B3271">
      <w:pPr>
        <w:pStyle w:val="Normaltindrag"/>
      </w:pPr>
      <w:r w:rsidRPr="0008481A">
        <w:rPr>
          <w:i/>
        </w:rPr>
        <w:t xml:space="preserve">Stf ombudsmannen Leif Ekberg </w:t>
      </w:r>
      <w:r w:rsidRPr="0008481A">
        <w:t xml:space="preserve">tjänstgjorde under tiden den 23 augusti–30 november 1999 med ansvar för ansvarsområde 4 enligt arbetsordningen. Vidare tjänstgjorde Leif Ekberg med handläggning och avgörande av tillsynsärenden den 1–3, 8–10, 13–17 och 30 december 1999, den 10–14, 21 och 28 januari 2000, den 3–4, 7, 10–11, 14–17, 21–25 och 28–29 februari 2000, den 1–2, 9 och 30–31 mars 2000, den 3–7 och 10–12 april 2000, den 4, 9 och 15–19 maj 2000 samt den 7–9, 20–21 och 27–28 juni 2000. </w:t>
      </w:r>
    </w:p>
    <w:p w:rsidR="003B3271" w:rsidRPr="0008481A" w:rsidRDefault="003B3271">
      <w:pPr>
        <w:pStyle w:val="Rubrik3"/>
      </w:pPr>
      <w:r w:rsidRPr="0008481A">
        <w:t>1.4 Ändring i instruktionen</w:t>
      </w:r>
    </w:p>
    <w:p w:rsidR="003B3271" w:rsidRPr="0008481A" w:rsidRDefault="003B3271">
      <w:r w:rsidRPr="0008481A">
        <w:t>2 § tredje stycket 2 samt 29 § instruktionen har ändrats genom lag (2000:424) med ikraftträdande den 1 juli 2000. Ändringen innebär en an</w:t>
      </w:r>
      <w:r w:rsidRPr="0008481A">
        <w:softHyphen/>
        <w:t>passning till den nya organisationen av riksdagsförvaltningen med bl.a. till</w:t>
      </w:r>
      <w:r w:rsidRPr="0008481A">
        <w:softHyphen/>
        <w:t>skapandet av det nya organet riksdagsstyrelsen.</w:t>
      </w:r>
    </w:p>
    <w:p w:rsidR="003B3271" w:rsidRPr="0008481A" w:rsidRDefault="003B3271">
      <w:pPr>
        <w:pStyle w:val="Rubrik3"/>
      </w:pPr>
      <w:r w:rsidRPr="0008481A">
        <w:t>1.5 Bilagor</w:t>
      </w:r>
    </w:p>
    <w:p w:rsidR="003B3271" w:rsidRPr="0008481A" w:rsidRDefault="003B3271">
      <w:pPr>
        <w:tabs>
          <w:tab w:val="left" w:pos="284"/>
        </w:tabs>
      </w:pPr>
      <w:r w:rsidRPr="0008481A">
        <w:t>Instruktionen i aktuell lydelse den 30 juni 2000 finns intagen som bilaga 1.</w:t>
      </w:r>
    </w:p>
    <w:p w:rsidR="003B3271" w:rsidRPr="0008481A" w:rsidRDefault="003B3271">
      <w:pPr>
        <w:pStyle w:val="Normaltindrag"/>
      </w:pPr>
      <w:r w:rsidRPr="0008481A">
        <w:t xml:space="preserve">Arbetsordningen i aktuell lydelse den </w:t>
      </w:r>
      <w:r w:rsidRPr="0008481A">
        <w:rPr>
          <w:rFonts w:ascii="Garamond" w:hAnsi="Garamond"/>
        </w:rPr>
        <w:t xml:space="preserve">30 juni 2000 </w:t>
      </w:r>
      <w:r w:rsidRPr="0008481A">
        <w:t>finns intagen som bilaga 2.</w:t>
      </w:r>
    </w:p>
    <w:p w:rsidR="003B3271" w:rsidRPr="0008481A" w:rsidRDefault="003B3271">
      <w:pPr>
        <w:pStyle w:val="Normaltindrag"/>
      </w:pPr>
      <w:r w:rsidRPr="0008481A">
        <w:t>En redogörelse för personalorganisationen under verksamhetsåret finns i bilaga 3.</w:t>
      </w:r>
    </w:p>
    <w:p w:rsidR="003B3271" w:rsidRPr="0008481A" w:rsidRDefault="003B3271">
      <w:pPr>
        <w:pStyle w:val="Rubrik1"/>
      </w:pPr>
      <w:r w:rsidRPr="0008481A">
        <w:t>2 Verksamheten</w:t>
      </w:r>
    </w:p>
    <w:p w:rsidR="003B3271" w:rsidRPr="0008481A" w:rsidRDefault="003B3271">
      <w:pPr>
        <w:pStyle w:val="Rubrik3"/>
        <w:tabs>
          <w:tab w:val="left" w:pos="284"/>
        </w:tabs>
        <w:spacing w:before="240"/>
      </w:pPr>
      <w:r w:rsidRPr="0008481A">
        <w:t>2.1 Totalstatistiken</w:t>
      </w:r>
    </w:p>
    <w:p w:rsidR="003B3271" w:rsidRPr="0008481A" w:rsidRDefault="003B3271">
      <w:pPr>
        <w:pStyle w:val="Rubrik4"/>
        <w:spacing w:before="240"/>
      </w:pPr>
      <w:r w:rsidRPr="0008481A">
        <w:t>Balansläget</w:t>
      </w:r>
    </w:p>
    <w:p w:rsidR="003B3271" w:rsidRPr="0008481A" w:rsidRDefault="003B3271">
      <w:pPr>
        <w:tabs>
          <w:tab w:val="left" w:pos="284"/>
        </w:tabs>
        <w:spacing w:before="0"/>
        <w:rPr>
          <w:i/>
        </w:rPr>
      </w:pPr>
    </w:p>
    <w:tbl>
      <w:tblPr>
        <w:tblW w:w="0" w:type="auto"/>
        <w:tblInd w:w="-70" w:type="dxa"/>
        <w:tblLayout w:type="fixed"/>
        <w:tblCellMar>
          <w:left w:w="70" w:type="dxa"/>
          <w:right w:w="70" w:type="dxa"/>
        </w:tblCellMar>
        <w:tblLook w:val="0000" w:firstRow="0" w:lastRow="0" w:firstColumn="0" w:lastColumn="0" w:noHBand="0" w:noVBand="0"/>
      </w:tblPr>
      <w:tblGrid>
        <w:gridCol w:w="4606"/>
        <w:gridCol w:w="851"/>
        <w:gridCol w:w="850"/>
      </w:tblGrid>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Ingående balans</w:t>
            </w:r>
          </w:p>
        </w:tc>
        <w:tc>
          <w:tcPr>
            <w:tcW w:w="851" w:type="dxa"/>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r w:rsidRPr="0008481A">
              <w:t>1 107</w:t>
            </w: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Nya ärenden</w:t>
            </w:r>
          </w:p>
        </w:tc>
        <w:tc>
          <w:tcPr>
            <w:tcW w:w="851" w:type="dxa"/>
            <w:tcBorders>
              <w:left w:val="nil"/>
            </w:tcBorders>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 xml:space="preserve"> Remisser och andra skrivelser från myndigheter</w:t>
            </w:r>
          </w:p>
        </w:tc>
        <w:tc>
          <w:tcPr>
            <w:tcW w:w="851" w:type="dxa"/>
          </w:tcPr>
          <w:p w:rsidR="003B3271" w:rsidRPr="0008481A" w:rsidRDefault="003B3271">
            <w:pPr>
              <w:tabs>
                <w:tab w:val="left" w:pos="284"/>
              </w:tabs>
              <w:ind w:right="-1"/>
              <w:jc w:val="right"/>
            </w:pPr>
            <w:r w:rsidRPr="0008481A">
              <w:t>47</w:t>
            </w:r>
          </w:p>
        </w:tc>
        <w:tc>
          <w:tcPr>
            <w:tcW w:w="850" w:type="dxa"/>
          </w:tcPr>
          <w:p w:rsidR="003B3271" w:rsidRPr="0008481A" w:rsidRDefault="003B3271">
            <w:pPr>
              <w:tabs>
                <w:tab w:val="left" w:pos="284"/>
              </w:tabs>
              <w:ind w:right="-1"/>
              <w:jc w:val="right"/>
            </w:pP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 xml:space="preserve"> Klagomål och andra framställningar från enskilda</w:t>
            </w:r>
          </w:p>
        </w:tc>
        <w:tc>
          <w:tcPr>
            <w:tcW w:w="851" w:type="dxa"/>
            <w:tcBorders>
              <w:left w:val="nil"/>
            </w:tcBorders>
          </w:tcPr>
          <w:p w:rsidR="003B3271" w:rsidRPr="0008481A" w:rsidRDefault="003B3271">
            <w:pPr>
              <w:tabs>
                <w:tab w:val="left" w:pos="284"/>
              </w:tabs>
              <w:ind w:right="-1"/>
              <w:jc w:val="right"/>
            </w:pPr>
            <w:r w:rsidRPr="0008481A">
              <w:t>4 579</w:t>
            </w:r>
          </w:p>
        </w:tc>
        <w:tc>
          <w:tcPr>
            <w:tcW w:w="850" w:type="dxa"/>
          </w:tcPr>
          <w:p w:rsidR="003B3271" w:rsidRPr="0008481A" w:rsidRDefault="003B3271">
            <w:pPr>
              <w:tabs>
                <w:tab w:val="left" w:pos="284"/>
              </w:tabs>
              <w:ind w:right="-1"/>
              <w:jc w:val="right"/>
            </w:pP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 xml:space="preserve"> Initiativärenden med anledning av inspektioner</w:t>
            </w:r>
          </w:p>
        </w:tc>
        <w:tc>
          <w:tcPr>
            <w:tcW w:w="851" w:type="dxa"/>
          </w:tcPr>
          <w:p w:rsidR="003B3271" w:rsidRPr="0008481A" w:rsidRDefault="003B3271">
            <w:pPr>
              <w:tabs>
                <w:tab w:val="left" w:pos="284"/>
              </w:tabs>
              <w:ind w:right="-1"/>
              <w:jc w:val="right"/>
            </w:pPr>
            <w:r w:rsidRPr="0008481A">
              <w:t>47</w:t>
            </w:r>
          </w:p>
        </w:tc>
        <w:tc>
          <w:tcPr>
            <w:tcW w:w="850" w:type="dxa"/>
          </w:tcPr>
          <w:p w:rsidR="003B3271" w:rsidRPr="0008481A" w:rsidRDefault="003B3271">
            <w:pPr>
              <w:tabs>
                <w:tab w:val="left" w:pos="284"/>
              </w:tabs>
              <w:ind w:right="-1"/>
              <w:jc w:val="right"/>
            </w:pP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 xml:space="preserve"> Initiativärenden på grund av uppgifter i massmedia m.m.</w:t>
            </w:r>
          </w:p>
        </w:tc>
        <w:tc>
          <w:tcPr>
            <w:tcW w:w="851" w:type="dxa"/>
            <w:tcBorders>
              <w:left w:val="nil"/>
              <w:bottom w:val="single" w:sz="4" w:space="0" w:color="auto"/>
            </w:tcBorders>
          </w:tcPr>
          <w:p w:rsidR="003B3271" w:rsidRPr="0008481A" w:rsidRDefault="003B3271">
            <w:pPr>
              <w:tabs>
                <w:tab w:val="left" w:pos="284"/>
              </w:tabs>
              <w:ind w:right="-1"/>
              <w:jc w:val="right"/>
            </w:pPr>
            <w:r w:rsidRPr="0008481A">
              <w:t>66</w:t>
            </w:r>
          </w:p>
        </w:tc>
        <w:tc>
          <w:tcPr>
            <w:tcW w:w="850" w:type="dxa"/>
          </w:tcPr>
          <w:p w:rsidR="003B3271" w:rsidRPr="0008481A" w:rsidRDefault="003B3271">
            <w:pPr>
              <w:tabs>
                <w:tab w:val="left" w:pos="284"/>
              </w:tabs>
              <w:ind w:right="-1"/>
              <w:jc w:val="right"/>
            </w:pP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p>
        </w:tc>
        <w:tc>
          <w:tcPr>
            <w:tcW w:w="851" w:type="dxa"/>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r w:rsidRPr="0008481A">
              <w:t>4 739</w:t>
            </w: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Summa balanserade och nya ärenden</w:t>
            </w:r>
          </w:p>
        </w:tc>
        <w:tc>
          <w:tcPr>
            <w:tcW w:w="851" w:type="dxa"/>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r w:rsidRPr="0008481A">
              <w:t>5 846</w:t>
            </w: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Avslutade ärenden</w:t>
            </w:r>
          </w:p>
        </w:tc>
        <w:tc>
          <w:tcPr>
            <w:tcW w:w="851" w:type="dxa"/>
            <w:tcBorders>
              <w:left w:val="nil"/>
            </w:tcBorders>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r w:rsidRPr="0008481A">
              <w:t>4 986</w:t>
            </w:r>
          </w:p>
        </w:tc>
      </w:tr>
      <w:tr w:rsidR="00000000" w:rsidRPr="0008481A">
        <w:tblPrEx>
          <w:tblCellMar>
            <w:top w:w="0" w:type="dxa"/>
            <w:bottom w:w="0" w:type="dxa"/>
          </w:tblCellMar>
        </w:tblPrEx>
        <w:tc>
          <w:tcPr>
            <w:tcW w:w="4606" w:type="dxa"/>
          </w:tcPr>
          <w:p w:rsidR="003B3271" w:rsidRPr="0008481A" w:rsidRDefault="003B3271">
            <w:pPr>
              <w:tabs>
                <w:tab w:val="left" w:pos="284"/>
              </w:tabs>
              <w:ind w:right="-1"/>
            </w:pPr>
            <w:r w:rsidRPr="0008481A">
              <w:t>Utgående balans</w:t>
            </w:r>
          </w:p>
        </w:tc>
        <w:tc>
          <w:tcPr>
            <w:tcW w:w="851" w:type="dxa"/>
          </w:tcPr>
          <w:p w:rsidR="003B3271" w:rsidRPr="0008481A" w:rsidRDefault="003B3271">
            <w:pPr>
              <w:tabs>
                <w:tab w:val="left" w:pos="284"/>
              </w:tabs>
              <w:ind w:right="-1"/>
              <w:jc w:val="right"/>
            </w:pPr>
          </w:p>
        </w:tc>
        <w:tc>
          <w:tcPr>
            <w:tcW w:w="850" w:type="dxa"/>
          </w:tcPr>
          <w:p w:rsidR="003B3271" w:rsidRPr="0008481A" w:rsidRDefault="003B3271">
            <w:pPr>
              <w:tabs>
                <w:tab w:val="left" w:pos="284"/>
              </w:tabs>
              <w:ind w:right="-1"/>
              <w:jc w:val="right"/>
            </w:pPr>
            <w:r w:rsidRPr="0008481A">
              <w:t>860</w:t>
            </w:r>
          </w:p>
        </w:tc>
      </w:tr>
    </w:tbl>
    <w:p w:rsidR="003B3271" w:rsidRPr="0008481A" w:rsidRDefault="003B3271">
      <w:pPr>
        <w:spacing w:before="240"/>
      </w:pPr>
      <w:r w:rsidRPr="0008481A">
        <w:t xml:space="preserve">Under perioden nyregistrerades 4 739 ärenden, en minskning med 199 </w:t>
      </w:r>
      <w:r w:rsidRPr="0008481A">
        <w:br/>
        <w:t>(4,0 %) i förhållande till verksamhetsåret 1998/99. Antalet nya inspektions- eller andra initiativärenden var 113, en minskning med 34 jämfört med föregående verksamhetsår. 47 ärenden föranleddes av remisser, huvudsak</w:t>
      </w:r>
      <w:r w:rsidRPr="0008481A">
        <w:softHyphen/>
        <w:t xml:space="preserve">ligen från Regeringskansliet – en minskning med ett. Klagomålsärendena uppgick till 4 579, vilket innebär en nedgång med 164 (3,5 %) sedan 1998/99. </w:t>
      </w:r>
    </w:p>
    <w:p w:rsidR="003B3271" w:rsidRPr="0008481A" w:rsidRDefault="003B3271">
      <w:pPr>
        <w:pStyle w:val="Normaltindrag"/>
      </w:pPr>
      <w:r w:rsidRPr="0008481A">
        <w:t xml:space="preserve">Antalet avgjorda ärenden uppgick till 4 986, vilket innebär en ökning med 31 eller 0,6 % från föregående års nivå. Av de avslutade ärendena var </w:t>
      </w:r>
      <w:r w:rsidRPr="0008481A">
        <w:t>4 798 klagomålsärenden, 55 remissärenden och 133 inspektions- eller andra initiativärenden.</w:t>
      </w:r>
    </w:p>
    <w:p w:rsidR="003B3271" w:rsidRPr="0008481A" w:rsidRDefault="003B3271">
      <w:pPr>
        <w:pStyle w:val="Normaltindrag"/>
      </w:pPr>
      <w:r w:rsidRPr="0008481A">
        <w:t xml:space="preserve">De oavgjorda ärendena i balans var vid verksamhetsårets slut 860. Detta betyder att balansen under året gått ned med 247 ärenden (22,2 %). Den utgående ärendebalansen är den lägsta sedan 1993. </w:t>
      </w:r>
    </w:p>
    <w:p w:rsidR="003B3271" w:rsidRPr="0008481A" w:rsidRDefault="003B3271">
      <w:pPr>
        <w:pStyle w:val="Rubrik4"/>
        <w:spacing w:after="40"/>
      </w:pPr>
      <w:r w:rsidRPr="0008481A">
        <w:t>Anmälnings- och initiativärenden 1.7.1988 – 30.6.2000</w:t>
      </w:r>
    </w:p>
    <w:tbl>
      <w:tblPr>
        <w:tblW w:w="0" w:type="auto"/>
        <w:tblInd w:w="-70" w:type="dxa"/>
        <w:tblLayout w:type="fixed"/>
        <w:tblCellMar>
          <w:left w:w="70" w:type="dxa"/>
          <w:right w:w="70" w:type="dxa"/>
        </w:tblCellMar>
        <w:tblLook w:val="0000" w:firstRow="0" w:lastRow="0" w:firstColumn="0" w:lastColumn="0" w:noHBand="0" w:noVBand="0"/>
      </w:tblPr>
      <w:tblGrid>
        <w:gridCol w:w="1913"/>
        <w:gridCol w:w="2693"/>
        <w:gridCol w:w="2694"/>
      </w:tblGrid>
      <w:tr w:rsidR="00000000" w:rsidRPr="0008481A">
        <w:tblPrEx>
          <w:tblCellMar>
            <w:top w:w="0" w:type="dxa"/>
            <w:bottom w:w="0" w:type="dxa"/>
          </w:tblCellMar>
        </w:tblPrEx>
        <w:tc>
          <w:tcPr>
            <w:tcW w:w="1913" w:type="dxa"/>
            <w:tcBorders>
              <w:top w:val="single" w:sz="4" w:space="0" w:color="auto"/>
              <w:bottom w:val="single" w:sz="6" w:space="0" w:color="auto"/>
            </w:tcBorders>
          </w:tcPr>
          <w:p w:rsidR="003B3271" w:rsidRPr="0008481A" w:rsidRDefault="003B3271">
            <w:pPr>
              <w:tabs>
                <w:tab w:val="left" w:pos="284"/>
              </w:tabs>
              <w:ind w:right="-1"/>
              <w:jc w:val="center"/>
            </w:pPr>
            <w:r w:rsidRPr="0008481A">
              <w:t>År</w:t>
            </w:r>
          </w:p>
        </w:tc>
        <w:tc>
          <w:tcPr>
            <w:tcW w:w="2693" w:type="dxa"/>
            <w:tcBorders>
              <w:top w:val="single" w:sz="4" w:space="0" w:color="auto"/>
              <w:bottom w:val="single" w:sz="6" w:space="0" w:color="auto"/>
            </w:tcBorders>
          </w:tcPr>
          <w:p w:rsidR="003B3271" w:rsidRPr="0008481A" w:rsidRDefault="003B3271">
            <w:pPr>
              <w:tabs>
                <w:tab w:val="left" w:pos="284"/>
              </w:tabs>
              <w:ind w:right="-1"/>
              <w:jc w:val="center"/>
            </w:pPr>
            <w:r w:rsidRPr="0008481A">
              <w:t xml:space="preserve">Klagomålsärenden </w:t>
            </w:r>
            <w:r w:rsidRPr="0008481A">
              <w:br/>
              <w:t>och remisser</w:t>
            </w:r>
          </w:p>
        </w:tc>
        <w:tc>
          <w:tcPr>
            <w:tcW w:w="2694" w:type="dxa"/>
            <w:tcBorders>
              <w:top w:val="single" w:sz="4" w:space="0" w:color="auto"/>
              <w:bottom w:val="single" w:sz="6" w:space="0" w:color="auto"/>
            </w:tcBorders>
          </w:tcPr>
          <w:p w:rsidR="003B3271" w:rsidRPr="0008481A" w:rsidRDefault="003B3271">
            <w:pPr>
              <w:tabs>
                <w:tab w:val="left" w:pos="284"/>
              </w:tabs>
              <w:ind w:right="-1"/>
              <w:jc w:val="center"/>
            </w:pPr>
            <w:r w:rsidRPr="0008481A">
              <w:t>Initiativärenden</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1988/89</w:t>
            </w:r>
          </w:p>
        </w:tc>
        <w:tc>
          <w:tcPr>
            <w:tcW w:w="2693" w:type="dxa"/>
          </w:tcPr>
          <w:p w:rsidR="003B3271" w:rsidRPr="0008481A" w:rsidRDefault="003B3271">
            <w:pPr>
              <w:tabs>
                <w:tab w:val="left" w:pos="284"/>
              </w:tabs>
              <w:spacing w:before="80"/>
              <w:jc w:val="center"/>
            </w:pPr>
            <w:r w:rsidRPr="0008481A">
              <w:t>2 891</w:t>
            </w:r>
          </w:p>
        </w:tc>
        <w:tc>
          <w:tcPr>
            <w:tcW w:w="2694" w:type="dxa"/>
          </w:tcPr>
          <w:p w:rsidR="003B3271" w:rsidRPr="0008481A" w:rsidRDefault="003B3271">
            <w:pPr>
              <w:tabs>
                <w:tab w:val="left" w:pos="284"/>
              </w:tabs>
              <w:spacing w:before="80"/>
              <w:jc w:val="center"/>
            </w:pPr>
            <w:r w:rsidRPr="0008481A">
              <w:t>163</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1989/90</w:t>
            </w:r>
          </w:p>
        </w:tc>
        <w:tc>
          <w:tcPr>
            <w:tcW w:w="2693" w:type="dxa"/>
          </w:tcPr>
          <w:p w:rsidR="003B3271" w:rsidRPr="0008481A" w:rsidRDefault="003B3271">
            <w:pPr>
              <w:tabs>
                <w:tab w:val="left" w:pos="284"/>
              </w:tabs>
              <w:spacing w:before="80"/>
              <w:jc w:val="center"/>
            </w:pPr>
            <w:r w:rsidRPr="0008481A">
              <w:t>3 512</w:t>
            </w:r>
          </w:p>
        </w:tc>
        <w:tc>
          <w:tcPr>
            <w:tcW w:w="2694" w:type="dxa"/>
          </w:tcPr>
          <w:p w:rsidR="003B3271" w:rsidRPr="0008481A" w:rsidRDefault="003B3271">
            <w:pPr>
              <w:tabs>
                <w:tab w:val="left" w:pos="284"/>
              </w:tabs>
              <w:spacing w:before="80"/>
              <w:jc w:val="center"/>
            </w:pPr>
            <w:r w:rsidRPr="0008481A">
              <w:t>176</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1990/91</w:t>
            </w:r>
          </w:p>
        </w:tc>
        <w:tc>
          <w:tcPr>
            <w:tcW w:w="2693" w:type="dxa"/>
          </w:tcPr>
          <w:p w:rsidR="003B3271" w:rsidRPr="0008481A" w:rsidRDefault="003B3271">
            <w:pPr>
              <w:tabs>
                <w:tab w:val="left" w:pos="284"/>
              </w:tabs>
              <w:spacing w:before="80"/>
              <w:jc w:val="center"/>
            </w:pPr>
            <w:r w:rsidRPr="0008481A">
              <w:t>3 883</w:t>
            </w:r>
          </w:p>
        </w:tc>
        <w:tc>
          <w:tcPr>
            <w:tcW w:w="2694" w:type="dxa"/>
          </w:tcPr>
          <w:p w:rsidR="003B3271" w:rsidRPr="0008481A" w:rsidRDefault="003B3271">
            <w:pPr>
              <w:tabs>
                <w:tab w:val="left" w:pos="284"/>
              </w:tabs>
              <w:spacing w:before="80"/>
              <w:jc w:val="center"/>
            </w:pPr>
            <w:r w:rsidRPr="0008481A">
              <w:t>260</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1991/92</w:t>
            </w:r>
          </w:p>
        </w:tc>
        <w:tc>
          <w:tcPr>
            <w:tcW w:w="2693" w:type="dxa"/>
          </w:tcPr>
          <w:p w:rsidR="003B3271" w:rsidRPr="0008481A" w:rsidRDefault="003B3271">
            <w:pPr>
              <w:tabs>
                <w:tab w:val="left" w:pos="284"/>
              </w:tabs>
              <w:spacing w:before="80"/>
              <w:jc w:val="center"/>
            </w:pPr>
            <w:r w:rsidRPr="0008481A">
              <w:t>4 076</w:t>
            </w:r>
          </w:p>
        </w:tc>
        <w:tc>
          <w:tcPr>
            <w:tcW w:w="2694" w:type="dxa"/>
          </w:tcPr>
          <w:p w:rsidR="003B3271" w:rsidRPr="0008481A" w:rsidRDefault="003B3271">
            <w:pPr>
              <w:tabs>
                <w:tab w:val="left" w:pos="284"/>
              </w:tabs>
              <w:spacing w:before="80"/>
              <w:jc w:val="center"/>
            </w:pPr>
            <w:r w:rsidRPr="0008481A">
              <w:t>213</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1992/93</w:t>
            </w:r>
          </w:p>
        </w:tc>
        <w:tc>
          <w:tcPr>
            <w:tcW w:w="2693" w:type="dxa"/>
          </w:tcPr>
          <w:p w:rsidR="003B3271" w:rsidRPr="0008481A" w:rsidRDefault="003B3271">
            <w:pPr>
              <w:tabs>
                <w:tab w:val="left" w:pos="284"/>
              </w:tabs>
              <w:spacing w:before="80"/>
              <w:jc w:val="center"/>
            </w:pPr>
            <w:r w:rsidRPr="0008481A">
              <w:t>4 468</w:t>
            </w:r>
          </w:p>
        </w:tc>
        <w:tc>
          <w:tcPr>
            <w:tcW w:w="2694" w:type="dxa"/>
          </w:tcPr>
          <w:p w:rsidR="003B3271" w:rsidRPr="0008481A" w:rsidRDefault="003B3271">
            <w:pPr>
              <w:tabs>
                <w:tab w:val="left" w:pos="284"/>
              </w:tabs>
              <w:spacing w:before="80"/>
              <w:jc w:val="center"/>
            </w:pPr>
            <w:r w:rsidRPr="0008481A">
              <w:t>233</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1993/94</w:t>
            </w:r>
          </w:p>
        </w:tc>
        <w:tc>
          <w:tcPr>
            <w:tcW w:w="2693" w:type="dxa"/>
          </w:tcPr>
          <w:p w:rsidR="003B3271" w:rsidRPr="0008481A" w:rsidRDefault="003B3271">
            <w:pPr>
              <w:tabs>
                <w:tab w:val="left" w:pos="284"/>
              </w:tabs>
              <w:spacing w:before="80"/>
              <w:jc w:val="center"/>
            </w:pPr>
            <w:r w:rsidRPr="0008481A">
              <w:t>4 634</w:t>
            </w:r>
          </w:p>
        </w:tc>
        <w:tc>
          <w:tcPr>
            <w:tcW w:w="2694" w:type="dxa"/>
          </w:tcPr>
          <w:p w:rsidR="003B3271" w:rsidRPr="0008481A" w:rsidRDefault="003B3271">
            <w:pPr>
              <w:tabs>
                <w:tab w:val="left" w:pos="284"/>
              </w:tabs>
              <w:spacing w:before="80"/>
              <w:jc w:val="center"/>
            </w:pPr>
            <w:r w:rsidRPr="0008481A">
              <w:t>107</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1994/95</w:t>
            </w:r>
          </w:p>
        </w:tc>
        <w:tc>
          <w:tcPr>
            <w:tcW w:w="2693" w:type="dxa"/>
          </w:tcPr>
          <w:p w:rsidR="003B3271" w:rsidRPr="0008481A" w:rsidRDefault="003B3271">
            <w:pPr>
              <w:tabs>
                <w:tab w:val="left" w:pos="284"/>
              </w:tabs>
              <w:spacing w:before="80"/>
              <w:jc w:val="center"/>
            </w:pPr>
            <w:r w:rsidRPr="0008481A">
              <w:t>4 764</w:t>
            </w:r>
          </w:p>
        </w:tc>
        <w:tc>
          <w:tcPr>
            <w:tcW w:w="2694" w:type="dxa"/>
          </w:tcPr>
          <w:p w:rsidR="003B3271" w:rsidRPr="0008481A" w:rsidRDefault="003B3271">
            <w:pPr>
              <w:tabs>
                <w:tab w:val="left" w:pos="284"/>
              </w:tabs>
              <w:spacing w:before="80"/>
              <w:jc w:val="center"/>
            </w:pPr>
            <w:r w:rsidRPr="0008481A">
              <w:t>127</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1995/96</w:t>
            </w:r>
          </w:p>
        </w:tc>
        <w:tc>
          <w:tcPr>
            <w:tcW w:w="2693" w:type="dxa"/>
          </w:tcPr>
          <w:p w:rsidR="003B3271" w:rsidRPr="0008481A" w:rsidRDefault="003B3271">
            <w:pPr>
              <w:tabs>
                <w:tab w:val="left" w:pos="284"/>
              </w:tabs>
              <w:spacing w:before="80"/>
              <w:jc w:val="center"/>
            </w:pPr>
            <w:r w:rsidRPr="0008481A">
              <w:t>4 990</w:t>
            </w:r>
          </w:p>
        </w:tc>
        <w:tc>
          <w:tcPr>
            <w:tcW w:w="2694" w:type="dxa"/>
          </w:tcPr>
          <w:p w:rsidR="003B3271" w:rsidRPr="0008481A" w:rsidRDefault="003B3271">
            <w:pPr>
              <w:tabs>
                <w:tab w:val="left" w:pos="284"/>
              </w:tabs>
              <w:spacing w:before="80"/>
              <w:jc w:val="center"/>
            </w:pPr>
            <w:r w:rsidRPr="0008481A">
              <w:t>125</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1996/97</w:t>
            </w:r>
          </w:p>
        </w:tc>
        <w:tc>
          <w:tcPr>
            <w:tcW w:w="2693" w:type="dxa"/>
          </w:tcPr>
          <w:p w:rsidR="003B3271" w:rsidRPr="0008481A" w:rsidRDefault="003B3271">
            <w:pPr>
              <w:tabs>
                <w:tab w:val="left" w:pos="284"/>
              </w:tabs>
              <w:spacing w:before="80"/>
              <w:jc w:val="center"/>
            </w:pPr>
            <w:r w:rsidRPr="0008481A">
              <w:t>4 840</w:t>
            </w:r>
          </w:p>
        </w:tc>
        <w:tc>
          <w:tcPr>
            <w:tcW w:w="2694" w:type="dxa"/>
          </w:tcPr>
          <w:p w:rsidR="003B3271" w:rsidRPr="0008481A" w:rsidRDefault="003B3271">
            <w:pPr>
              <w:tabs>
                <w:tab w:val="left" w:pos="284"/>
              </w:tabs>
              <w:spacing w:before="80"/>
              <w:jc w:val="center"/>
            </w:pPr>
            <w:r w:rsidRPr="0008481A">
              <w:t xml:space="preserve"> 64</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1997/98</w:t>
            </w:r>
          </w:p>
        </w:tc>
        <w:tc>
          <w:tcPr>
            <w:tcW w:w="2693" w:type="dxa"/>
          </w:tcPr>
          <w:p w:rsidR="003B3271" w:rsidRPr="0008481A" w:rsidRDefault="003B3271">
            <w:pPr>
              <w:tabs>
                <w:tab w:val="left" w:pos="284"/>
              </w:tabs>
              <w:spacing w:before="80"/>
              <w:jc w:val="center"/>
            </w:pPr>
            <w:r w:rsidRPr="0008481A">
              <w:t>4 885</w:t>
            </w:r>
          </w:p>
        </w:tc>
        <w:tc>
          <w:tcPr>
            <w:tcW w:w="2694" w:type="dxa"/>
          </w:tcPr>
          <w:p w:rsidR="003B3271" w:rsidRPr="0008481A" w:rsidRDefault="003B3271">
            <w:pPr>
              <w:tabs>
                <w:tab w:val="left" w:pos="284"/>
              </w:tabs>
              <w:spacing w:before="80"/>
              <w:jc w:val="center"/>
            </w:pPr>
            <w:r w:rsidRPr="0008481A">
              <w:t>118</w:t>
            </w:r>
          </w:p>
        </w:tc>
      </w:tr>
      <w:tr w:rsidR="00000000" w:rsidRPr="0008481A">
        <w:tblPrEx>
          <w:tblCellMar>
            <w:top w:w="0" w:type="dxa"/>
            <w:bottom w:w="0" w:type="dxa"/>
          </w:tblCellMar>
        </w:tblPrEx>
        <w:tc>
          <w:tcPr>
            <w:tcW w:w="1913" w:type="dxa"/>
          </w:tcPr>
          <w:p w:rsidR="003B3271" w:rsidRPr="0008481A" w:rsidRDefault="003B3271">
            <w:pPr>
              <w:tabs>
                <w:tab w:val="left" w:pos="284"/>
              </w:tabs>
              <w:spacing w:before="80"/>
              <w:jc w:val="center"/>
            </w:pPr>
            <w:r w:rsidRPr="0008481A">
              <w:t>1998/99</w:t>
            </w:r>
          </w:p>
        </w:tc>
        <w:tc>
          <w:tcPr>
            <w:tcW w:w="2693" w:type="dxa"/>
          </w:tcPr>
          <w:p w:rsidR="003B3271" w:rsidRPr="0008481A" w:rsidRDefault="003B3271">
            <w:pPr>
              <w:tabs>
                <w:tab w:val="left" w:pos="284"/>
              </w:tabs>
              <w:spacing w:before="80"/>
              <w:jc w:val="center"/>
            </w:pPr>
            <w:r w:rsidRPr="0008481A">
              <w:t>4 791</w:t>
            </w:r>
          </w:p>
        </w:tc>
        <w:tc>
          <w:tcPr>
            <w:tcW w:w="2694" w:type="dxa"/>
          </w:tcPr>
          <w:p w:rsidR="003B3271" w:rsidRPr="0008481A" w:rsidRDefault="003B3271">
            <w:pPr>
              <w:tabs>
                <w:tab w:val="left" w:pos="284"/>
              </w:tabs>
              <w:spacing w:before="80"/>
              <w:jc w:val="center"/>
            </w:pPr>
            <w:r w:rsidRPr="0008481A">
              <w:t>147</w:t>
            </w:r>
          </w:p>
        </w:tc>
      </w:tr>
      <w:tr w:rsidR="00000000" w:rsidRPr="0008481A">
        <w:tblPrEx>
          <w:tblCellMar>
            <w:top w:w="0" w:type="dxa"/>
            <w:bottom w:w="0" w:type="dxa"/>
          </w:tblCellMar>
        </w:tblPrEx>
        <w:tc>
          <w:tcPr>
            <w:tcW w:w="1913" w:type="dxa"/>
            <w:tcBorders>
              <w:bottom w:val="single" w:sz="6" w:space="0" w:color="auto"/>
            </w:tcBorders>
          </w:tcPr>
          <w:p w:rsidR="003B3271" w:rsidRPr="0008481A" w:rsidRDefault="003B3271">
            <w:pPr>
              <w:tabs>
                <w:tab w:val="left" w:pos="284"/>
              </w:tabs>
              <w:spacing w:before="80"/>
              <w:jc w:val="center"/>
            </w:pPr>
            <w:r w:rsidRPr="0008481A">
              <w:t>1999/2000</w:t>
            </w:r>
          </w:p>
        </w:tc>
        <w:tc>
          <w:tcPr>
            <w:tcW w:w="2693" w:type="dxa"/>
            <w:tcBorders>
              <w:bottom w:val="single" w:sz="6" w:space="0" w:color="auto"/>
            </w:tcBorders>
          </w:tcPr>
          <w:p w:rsidR="003B3271" w:rsidRPr="0008481A" w:rsidRDefault="003B3271">
            <w:pPr>
              <w:tabs>
                <w:tab w:val="left" w:pos="284"/>
              </w:tabs>
              <w:spacing w:before="80"/>
              <w:jc w:val="center"/>
            </w:pPr>
            <w:r w:rsidRPr="0008481A">
              <w:t>4 626</w:t>
            </w:r>
          </w:p>
        </w:tc>
        <w:tc>
          <w:tcPr>
            <w:tcW w:w="2694" w:type="dxa"/>
            <w:tcBorders>
              <w:bottom w:val="single" w:sz="6" w:space="0" w:color="auto"/>
            </w:tcBorders>
          </w:tcPr>
          <w:p w:rsidR="003B3271" w:rsidRPr="0008481A" w:rsidRDefault="003B3271">
            <w:pPr>
              <w:tabs>
                <w:tab w:val="left" w:pos="284"/>
              </w:tabs>
              <w:spacing w:before="80"/>
              <w:jc w:val="center"/>
            </w:pPr>
            <w:r w:rsidRPr="0008481A">
              <w:t>113</w:t>
            </w:r>
          </w:p>
        </w:tc>
      </w:tr>
    </w:tbl>
    <w:p w:rsidR="003B3271" w:rsidRPr="0008481A" w:rsidRDefault="003B3271">
      <w:pPr>
        <w:spacing w:line="240" w:lineRule="auto"/>
      </w:pPr>
    </w:p>
    <w:p w:rsidR="003B3271" w:rsidRPr="0008481A" w:rsidRDefault="003B3271">
      <w:pPr>
        <w:spacing w:before="240" w:line="240" w:lineRule="auto"/>
      </w:pPr>
      <w:r w:rsidRPr="0008481A">
        <w:br w:type="page"/>
      </w:r>
      <w:r w:rsidRPr="0008481A">
        <w:object w:dxaOrig="12270" w:dyaOrig="9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15pt;margin-top:15.8pt;width:346.45pt;height:255.5pt;z-index:251658752;mso-position-horizontal:absolute;mso-position-horizontal-relative:text;mso-position-vertical:absolute;mso-position-vertical-relative:text" o:allowincell="f">
            <v:imagedata r:id="rId12" o:title=""/>
            <w10:wrap type="topAndBottom"/>
            <w10:anchorlock/>
          </v:shape>
          <o:OLEObject Type="Embed" ProgID="Excel.Sheet.8" ShapeID="_x0000_s2052" DrawAspect="Content" ObjectID="_1827352848" r:id="rId13"/>
        </w:object>
      </w:r>
    </w:p>
    <w:p w:rsidR="003B3271" w:rsidRPr="0008481A" w:rsidRDefault="003B3271">
      <w:pPr>
        <w:pStyle w:val="Rubrik4"/>
        <w:spacing w:after="80"/>
      </w:pPr>
      <w:r w:rsidRPr="0008481A">
        <w:t>Månadsöversikt över ärendena under verksamhetsåret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1842"/>
        <w:gridCol w:w="1985"/>
        <w:gridCol w:w="1842"/>
      </w:tblGrid>
      <w:tr w:rsidR="00000000" w:rsidRPr="0008481A">
        <w:tblPrEx>
          <w:tblCellMar>
            <w:top w:w="0" w:type="dxa"/>
            <w:bottom w:w="0" w:type="dxa"/>
          </w:tblCellMar>
        </w:tblPrEx>
        <w:tc>
          <w:tcPr>
            <w:tcW w:w="1630" w:type="dxa"/>
            <w:tcBorders>
              <w:top w:val="single" w:sz="4" w:space="0" w:color="auto"/>
              <w:bottom w:val="single" w:sz="6" w:space="0" w:color="auto"/>
            </w:tcBorders>
          </w:tcPr>
          <w:p w:rsidR="003B3271" w:rsidRPr="0008481A" w:rsidRDefault="003B3271">
            <w:pPr>
              <w:tabs>
                <w:tab w:val="left" w:pos="284"/>
              </w:tabs>
              <w:ind w:right="-1"/>
            </w:pPr>
            <w:r w:rsidRPr="0008481A">
              <w:t>Månad</w:t>
            </w:r>
          </w:p>
        </w:tc>
        <w:tc>
          <w:tcPr>
            <w:tcW w:w="1842" w:type="dxa"/>
            <w:tcBorders>
              <w:top w:val="single" w:sz="4" w:space="0" w:color="auto"/>
              <w:bottom w:val="single" w:sz="6" w:space="0" w:color="auto"/>
            </w:tcBorders>
          </w:tcPr>
          <w:p w:rsidR="003B3271" w:rsidRPr="0008481A" w:rsidRDefault="003B3271">
            <w:pPr>
              <w:tabs>
                <w:tab w:val="left" w:pos="284"/>
              </w:tabs>
              <w:ind w:right="-1"/>
              <w:jc w:val="center"/>
            </w:pPr>
            <w:r w:rsidRPr="0008481A">
              <w:t>Nya</w:t>
            </w:r>
          </w:p>
        </w:tc>
        <w:tc>
          <w:tcPr>
            <w:tcW w:w="1985" w:type="dxa"/>
            <w:tcBorders>
              <w:top w:val="single" w:sz="4" w:space="0" w:color="auto"/>
              <w:bottom w:val="single" w:sz="6" w:space="0" w:color="auto"/>
            </w:tcBorders>
          </w:tcPr>
          <w:p w:rsidR="003B3271" w:rsidRPr="0008481A" w:rsidRDefault="003B3271">
            <w:pPr>
              <w:tabs>
                <w:tab w:val="left" w:pos="284"/>
              </w:tabs>
              <w:ind w:right="-1"/>
              <w:jc w:val="center"/>
            </w:pPr>
            <w:r w:rsidRPr="0008481A">
              <w:t>Avslutade</w:t>
            </w:r>
          </w:p>
        </w:tc>
        <w:tc>
          <w:tcPr>
            <w:tcW w:w="1842" w:type="dxa"/>
            <w:tcBorders>
              <w:top w:val="single" w:sz="4" w:space="0" w:color="auto"/>
              <w:bottom w:val="single" w:sz="6" w:space="0" w:color="auto"/>
            </w:tcBorders>
          </w:tcPr>
          <w:p w:rsidR="003B3271" w:rsidRPr="0008481A" w:rsidRDefault="003B3271">
            <w:pPr>
              <w:tabs>
                <w:tab w:val="left" w:pos="284"/>
              </w:tabs>
              <w:ind w:right="-1"/>
              <w:jc w:val="center"/>
            </w:pPr>
            <w:r w:rsidRPr="0008481A">
              <w:t>Balans</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Juli</w:t>
            </w:r>
          </w:p>
        </w:tc>
        <w:tc>
          <w:tcPr>
            <w:tcW w:w="1842" w:type="dxa"/>
          </w:tcPr>
          <w:p w:rsidR="003B3271" w:rsidRPr="0008481A" w:rsidRDefault="003B3271">
            <w:pPr>
              <w:tabs>
                <w:tab w:val="left" w:pos="284"/>
              </w:tabs>
              <w:spacing w:before="80"/>
              <w:ind w:right="-1"/>
              <w:jc w:val="center"/>
            </w:pPr>
            <w:r w:rsidRPr="0008481A">
              <w:t>323</w:t>
            </w:r>
          </w:p>
        </w:tc>
        <w:tc>
          <w:tcPr>
            <w:tcW w:w="1985" w:type="dxa"/>
          </w:tcPr>
          <w:p w:rsidR="003B3271" w:rsidRPr="0008481A" w:rsidRDefault="003B3271">
            <w:pPr>
              <w:tabs>
                <w:tab w:val="left" w:pos="284"/>
              </w:tabs>
              <w:spacing w:before="80"/>
              <w:ind w:right="-1"/>
              <w:jc w:val="center"/>
            </w:pPr>
            <w:r w:rsidRPr="0008481A">
              <w:t>114</w:t>
            </w:r>
          </w:p>
        </w:tc>
        <w:tc>
          <w:tcPr>
            <w:tcW w:w="1842" w:type="dxa"/>
          </w:tcPr>
          <w:p w:rsidR="003B3271" w:rsidRPr="0008481A" w:rsidRDefault="003B3271">
            <w:pPr>
              <w:tabs>
                <w:tab w:val="left" w:pos="284"/>
              </w:tabs>
              <w:spacing w:before="80"/>
              <w:ind w:right="-1"/>
              <w:jc w:val="center"/>
            </w:pPr>
            <w:r w:rsidRPr="0008481A">
              <w:t>1 316</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Augusti</w:t>
            </w:r>
          </w:p>
        </w:tc>
        <w:tc>
          <w:tcPr>
            <w:tcW w:w="1842" w:type="dxa"/>
          </w:tcPr>
          <w:p w:rsidR="003B3271" w:rsidRPr="0008481A" w:rsidRDefault="003B3271">
            <w:pPr>
              <w:tabs>
                <w:tab w:val="left" w:pos="284"/>
              </w:tabs>
              <w:spacing w:before="80"/>
              <w:ind w:right="-1"/>
              <w:jc w:val="center"/>
            </w:pPr>
            <w:r w:rsidRPr="0008481A">
              <w:t>312</w:t>
            </w:r>
          </w:p>
        </w:tc>
        <w:tc>
          <w:tcPr>
            <w:tcW w:w="1985" w:type="dxa"/>
          </w:tcPr>
          <w:p w:rsidR="003B3271" w:rsidRPr="0008481A" w:rsidRDefault="003B3271">
            <w:pPr>
              <w:tabs>
                <w:tab w:val="left" w:pos="284"/>
              </w:tabs>
              <w:spacing w:before="80"/>
              <w:ind w:right="-1"/>
              <w:jc w:val="center"/>
            </w:pPr>
            <w:r w:rsidRPr="0008481A">
              <w:t>479</w:t>
            </w:r>
          </w:p>
        </w:tc>
        <w:tc>
          <w:tcPr>
            <w:tcW w:w="1842" w:type="dxa"/>
          </w:tcPr>
          <w:p w:rsidR="003B3271" w:rsidRPr="0008481A" w:rsidRDefault="003B3271">
            <w:pPr>
              <w:tabs>
                <w:tab w:val="left" w:pos="284"/>
              </w:tabs>
              <w:spacing w:before="80"/>
              <w:ind w:right="-1"/>
              <w:jc w:val="center"/>
            </w:pPr>
            <w:r w:rsidRPr="0008481A">
              <w:t>1 149</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September</w:t>
            </w:r>
          </w:p>
        </w:tc>
        <w:tc>
          <w:tcPr>
            <w:tcW w:w="1842" w:type="dxa"/>
          </w:tcPr>
          <w:p w:rsidR="003B3271" w:rsidRPr="0008481A" w:rsidRDefault="003B3271">
            <w:pPr>
              <w:tabs>
                <w:tab w:val="left" w:pos="284"/>
              </w:tabs>
              <w:spacing w:before="80"/>
              <w:ind w:right="-1"/>
              <w:jc w:val="center"/>
            </w:pPr>
            <w:r w:rsidRPr="0008481A">
              <w:t>427</w:t>
            </w:r>
          </w:p>
        </w:tc>
        <w:tc>
          <w:tcPr>
            <w:tcW w:w="1985" w:type="dxa"/>
          </w:tcPr>
          <w:p w:rsidR="003B3271" w:rsidRPr="0008481A" w:rsidRDefault="003B3271">
            <w:pPr>
              <w:tabs>
                <w:tab w:val="left" w:pos="284"/>
              </w:tabs>
              <w:spacing w:before="80"/>
              <w:ind w:right="-1"/>
              <w:jc w:val="center"/>
            </w:pPr>
            <w:r w:rsidRPr="0008481A">
              <w:t>425</w:t>
            </w:r>
          </w:p>
        </w:tc>
        <w:tc>
          <w:tcPr>
            <w:tcW w:w="1842" w:type="dxa"/>
          </w:tcPr>
          <w:p w:rsidR="003B3271" w:rsidRPr="0008481A" w:rsidRDefault="003B3271">
            <w:pPr>
              <w:tabs>
                <w:tab w:val="left" w:pos="284"/>
              </w:tabs>
              <w:spacing w:before="80"/>
              <w:ind w:right="-1"/>
              <w:jc w:val="center"/>
            </w:pPr>
            <w:r w:rsidRPr="0008481A">
              <w:t>1 151</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Oktober</w:t>
            </w:r>
          </w:p>
        </w:tc>
        <w:tc>
          <w:tcPr>
            <w:tcW w:w="1842" w:type="dxa"/>
          </w:tcPr>
          <w:p w:rsidR="003B3271" w:rsidRPr="0008481A" w:rsidRDefault="003B3271">
            <w:pPr>
              <w:tabs>
                <w:tab w:val="left" w:pos="284"/>
              </w:tabs>
              <w:spacing w:before="80"/>
              <w:ind w:right="-1"/>
              <w:jc w:val="center"/>
            </w:pPr>
            <w:r w:rsidRPr="0008481A">
              <w:t>467</w:t>
            </w:r>
          </w:p>
        </w:tc>
        <w:tc>
          <w:tcPr>
            <w:tcW w:w="1985" w:type="dxa"/>
          </w:tcPr>
          <w:p w:rsidR="003B3271" w:rsidRPr="0008481A" w:rsidRDefault="003B3271">
            <w:pPr>
              <w:tabs>
                <w:tab w:val="left" w:pos="284"/>
              </w:tabs>
              <w:spacing w:before="80"/>
              <w:ind w:right="-1"/>
              <w:jc w:val="center"/>
            </w:pPr>
            <w:r w:rsidRPr="0008481A">
              <w:t>494</w:t>
            </w:r>
          </w:p>
        </w:tc>
        <w:tc>
          <w:tcPr>
            <w:tcW w:w="1842" w:type="dxa"/>
          </w:tcPr>
          <w:p w:rsidR="003B3271" w:rsidRPr="0008481A" w:rsidRDefault="003B3271">
            <w:pPr>
              <w:tabs>
                <w:tab w:val="left" w:pos="284"/>
              </w:tabs>
              <w:spacing w:before="80"/>
              <w:ind w:right="-1"/>
              <w:jc w:val="center"/>
            </w:pPr>
            <w:r w:rsidRPr="0008481A">
              <w:t>1 124</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November</w:t>
            </w:r>
          </w:p>
        </w:tc>
        <w:tc>
          <w:tcPr>
            <w:tcW w:w="1842" w:type="dxa"/>
          </w:tcPr>
          <w:p w:rsidR="003B3271" w:rsidRPr="0008481A" w:rsidRDefault="003B3271">
            <w:pPr>
              <w:tabs>
                <w:tab w:val="left" w:pos="284"/>
              </w:tabs>
              <w:spacing w:before="80"/>
              <w:ind w:right="-1"/>
              <w:jc w:val="center"/>
            </w:pPr>
            <w:r w:rsidRPr="0008481A">
              <w:t>445</w:t>
            </w:r>
          </w:p>
        </w:tc>
        <w:tc>
          <w:tcPr>
            <w:tcW w:w="1985" w:type="dxa"/>
          </w:tcPr>
          <w:p w:rsidR="003B3271" w:rsidRPr="0008481A" w:rsidRDefault="003B3271">
            <w:pPr>
              <w:tabs>
                <w:tab w:val="left" w:pos="284"/>
              </w:tabs>
              <w:spacing w:before="80"/>
              <w:ind w:right="-1"/>
              <w:jc w:val="center"/>
            </w:pPr>
            <w:r w:rsidRPr="0008481A">
              <w:t>518</w:t>
            </w:r>
          </w:p>
        </w:tc>
        <w:tc>
          <w:tcPr>
            <w:tcW w:w="1842" w:type="dxa"/>
          </w:tcPr>
          <w:p w:rsidR="003B3271" w:rsidRPr="0008481A" w:rsidRDefault="003B3271">
            <w:pPr>
              <w:tabs>
                <w:tab w:val="left" w:pos="284"/>
              </w:tabs>
              <w:spacing w:before="80"/>
              <w:ind w:right="-1"/>
              <w:jc w:val="center"/>
            </w:pPr>
            <w:r w:rsidRPr="0008481A">
              <w:t>1 051</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December</w:t>
            </w:r>
          </w:p>
        </w:tc>
        <w:tc>
          <w:tcPr>
            <w:tcW w:w="1842" w:type="dxa"/>
          </w:tcPr>
          <w:p w:rsidR="003B3271" w:rsidRPr="0008481A" w:rsidRDefault="003B3271">
            <w:pPr>
              <w:tabs>
                <w:tab w:val="left" w:pos="284"/>
              </w:tabs>
              <w:spacing w:before="80"/>
              <w:ind w:right="-1"/>
              <w:jc w:val="center"/>
            </w:pPr>
            <w:r w:rsidRPr="0008481A">
              <w:t>429</w:t>
            </w:r>
          </w:p>
        </w:tc>
        <w:tc>
          <w:tcPr>
            <w:tcW w:w="1985" w:type="dxa"/>
          </w:tcPr>
          <w:p w:rsidR="003B3271" w:rsidRPr="0008481A" w:rsidRDefault="003B3271">
            <w:pPr>
              <w:tabs>
                <w:tab w:val="left" w:pos="284"/>
              </w:tabs>
              <w:spacing w:before="80"/>
              <w:ind w:right="-1"/>
              <w:jc w:val="center"/>
            </w:pPr>
            <w:r w:rsidRPr="0008481A">
              <w:t>436</w:t>
            </w:r>
          </w:p>
        </w:tc>
        <w:tc>
          <w:tcPr>
            <w:tcW w:w="1842" w:type="dxa"/>
          </w:tcPr>
          <w:p w:rsidR="003B3271" w:rsidRPr="0008481A" w:rsidRDefault="003B3271">
            <w:pPr>
              <w:tabs>
                <w:tab w:val="left" w:pos="284"/>
              </w:tabs>
              <w:spacing w:before="80"/>
              <w:ind w:right="-1"/>
              <w:jc w:val="center"/>
            </w:pPr>
            <w:r w:rsidRPr="0008481A">
              <w:t>1 044</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Januari</w:t>
            </w:r>
          </w:p>
        </w:tc>
        <w:tc>
          <w:tcPr>
            <w:tcW w:w="1842" w:type="dxa"/>
          </w:tcPr>
          <w:p w:rsidR="003B3271" w:rsidRPr="0008481A" w:rsidRDefault="003B3271">
            <w:pPr>
              <w:tabs>
                <w:tab w:val="left" w:pos="284"/>
              </w:tabs>
              <w:spacing w:before="80"/>
              <w:ind w:right="-1"/>
              <w:jc w:val="center"/>
            </w:pPr>
            <w:r w:rsidRPr="0008481A">
              <w:t>404</w:t>
            </w:r>
          </w:p>
        </w:tc>
        <w:tc>
          <w:tcPr>
            <w:tcW w:w="1985" w:type="dxa"/>
          </w:tcPr>
          <w:p w:rsidR="003B3271" w:rsidRPr="0008481A" w:rsidRDefault="003B3271">
            <w:pPr>
              <w:tabs>
                <w:tab w:val="left" w:pos="284"/>
              </w:tabs>
              <w:spacing w:before="80"/>
              <w:ind w:right="-1"/>
              <w:jc w:val="center"/>
            </w:pPr>
            <w:r w:rsidRPr="0008481A">
              <w:t>407</w:t>
            </w:r>
          </w:p>
        </w:tc>
        <w:tc>
          <w:tcPr>
            <w:tcW w:w="1842" w:type="dxa"/>
          </w:tcPr>
          <w:p w:rsidR="003B3271" w:rsidRPr="0008481A" w:rsidRDefault="003B3271">
            <w:pPr>
              <w:tabs>
                <w:tab w:val="left" w:pos="284"/>
              </w:tabs>
              <w:spacing w:before="80"/>
              <w:ind w:right="-1"/>
              <w:jc w:val="center"/>
            </w:pPr>
            <w:r w:rsidRPr="0008481A">
              <w:t>1 041</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Februari</w:t>
            </w:r>
          </w:p>
        </w:tc>
        <w:tc>
          <w:tcPr>
            <w:tcW w:w="1842" w:type="dxa"/>
          </w:tcPr>
          <w:p w:rsidR="003B3271" w:rsidRPr="0008481A" w:rsidRDefault="003B3271">
            <w:pPr>
              <w:tabs>
                <w:tab w:val="left" w:pos="284"/>
              </w:tabs>
              <w:spacing w:before="80"/>
              <w:ind w:right="-1"/>
              <w:jc w:val="center"/>
            </w:pPr>
            <w:r w:rsidRPr="0008481A">
              <w:t>426</w:t>
            </w:r>
          </w:p>
        </w:tc>
        <w:tc>
          <w:tcPr>
            <w:tcW w:w="1985" w:type="dxa"/>
          </w:tcPr>
          <w:p w:rsidR="003B3271" w:rsidRPr="0008481A" w:rsidRDefault="003B3271">
            <w:pPr>
              <w:tabs>
                <w:tab w:val="left" w:pos="284"/>
              </w:tabs>
              <w:spacing w:before="80"/>
              <w:ind w:right="-1"/>
              <w:jc w:val="center"/>
            </w:pPr>
            <w:r w:rsidRPr="0008481A">
              <w:t>463</w:t>
            </w:r>
          </w:p>
        </w:tc>
        <w:tc>
          <w:tcPr>
            <w:tcW w:w="1842" w:type="dxa"/>
          </w:tcPr>
          <w:p w:rsidR="003B3271" w:rsidRPr="0008481A" w:rsidRDefault="003B3271">
            <w:pPr>
              <w:tabs>
                <w:tab w:val="left" w:pos="284"/>
              </w:tabs>
              <w:spacing w:before="80"/>
              <w:ind w:right="-1"/>
              <w:jc w:val="center"/>
            </w:pPr>
            <w:r w:rsidRPr="0008481A">
              <w:t>1 004</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Mars</w:t>
            </w:r>
          </w:p>
        </w:tc>
        <w:tc>
          <w:tcPr>
            <w:tcW w:w="1842" w:type="dxa"/>
          </w:tcPr>
          <w:p w:rsidR="003B3271" w:rsidRPr="0008481A" w:rsidRDefault="003B3271">
            <w:pPr>
              <w:tabs>
                <w:tab w:val="left" w:pos="284"/>
              </w:tabs>
              <w:spacing w:before="80"/>
              <w:ind w:right="-1"/>
              <w:jc w:val="center"/>
            </w:pPr>
            <w:r w:rsidRPr="0008481A">
              <w:t>428</w:t>
            </w:r>
          </w:p>
        </w:tc>
        <w:tc>
          <w:tcPr>
            <w:tcW w:w="1985" w:type="dxa"/>
          </w:tcPr>
          <w:p w:rsidR="003B3271" w:rsidRPr="0008481A" w:rsidRDefault="003B3271">
            <w:pPr>
              <w:tabs>
                <w:tab w:val="left" w:pos="284"/>
              </w:tabs>
              <w:spacing w:before="80"/>
              <w:ind w:right="-1"/>
              <w:jc w:val="center"/>
            </w:pPr>
            <w:r w:rsidRPr="0008481A">
              <w:t>519</w:t>
            </w:r>
          </w:p>
        </w:tc>
        <w:tc>
          <w:tcPr>
            <w:tcW w:w="1842" w:type="dxa"/>
          </w:tcPr>
          <w:p w:rsidR="003B3271" w:rsidRPr="0008481A" w:rsidRDefault="003B3271">
            <w:pPr>
              <w:tabs>
                <w:tab w:val="left" w:pos="284"/>
              </w:tabs>
              <w:spacing w:before="80"/>
              <w:ind w:right="-1"/>
              <w:jc w:val="center"/>
            </w:pPr>
            <w:r w:rsidRPr="0008481A">
              <w:t xml:space="preserve"> 913</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April</w:t>
            </w:r>
          </w:p>
        </w:tc>
        <w:tc>
          <w:tcPr>
            <w:tcW w:w="1842" w:type="dxa"/>
          </w:tcPr>
          <w:p w:rsidR="003B3271" w:rsidRPr="0008481A" w:rsidRDefault="003B3271">
            <w:pPr>
              <w:tabs>
                <w:tab w:val="left" w:pos="284"/>
              </w:tabs>
              <w:spacing w:before="80"/>
              <w:ind w:right="-1"/>
              <w:jc w:val="center"/>
            </w:pPr>
            <w:r w:rsidRPr="0008481A">
              <w:t>372</w:t>
            </w:r>
          </w:p>
        </w:tc>
        <w:tc>
          <w:tcPr>
            <w:tcW w:w="1985" w:type="dxa"/>
          </w:tcPr>
          <w:p w:rsidR="003B3271" w:rsidRPr="0008481A" w:rsidRDefault="003B3271">
            <w:pPr>
              <w:tabs>
                <w:tab w:val="left" w:pos="284"/>
              </w:tabs>
              <w:spacing w:before="80"/>
              <w:ind w:right="-1"/>
              <w:jc w:val="center"/>
            </w:pPr>
            <w:r w:rsidRPr="0008481A">
              <w:t>373</w:t>
            </w:r>
          </w:p>
        </w:tc>
        <w:tc>
          <w:tcPr>
            <w:tcW w:w="1842" w:type="dxa"/>
          </w:tcPr>
          <w:p w:rsidR="003B3271" w:rsidRPr="0008481A" w:rsidRDefault="003B3271">
            <w:pPr>
              <w:tabs>
                <w:tab w:val="left" w:pos="284"/>
              </w:tabs>
              <w:spacing w:before="80"/>
              <w:ind w:right="-1"/>
              <w:jc w:val="center"/>
            </w:pPr>
            <w:r w:rsidRPr="0008481A">
              <w:t xml:space="preserve"> 912</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Maj</w:t>
            </w:r>
          </w:p>
        </w:tc>
        <w:tc>
          <w:tcPr>
            <w:tcW w:w="1842" w:type="dxa"/>
          </w:tcPr>
          <w:p w:rsidR="003B3271" w:rsidRPr="0008481A" w:rsidRDefault="003B3271">
            <w:pPr>
              <w:tabs>
                <w:tab w:val="left" w:pos="284"/>
              </w:tabs>
              <w:spacing w:before="80"/>
              <w:ind w:right="-1"/>
              <w:jc w:val="center"/>
            </w:pPr>
            <w:r w:rsidRPr="0008481A">
              <w:t>364</w:t>
            </w:r>
          </w:p>
        </w:tc>
        <w:tc>
          <w:tcPr>
            <w:tcW w:w="1985" w:type="dxa"/>
          </w:tcPr>
          <w:p w:rsidR="003B3271" w:rsidRPr="0008481A" w:rsidRDefault="003B3271">
            <w:pPr>
              <w:tabs>
                <w:tab w:val="left" w:pos="284"/>
              </w:tabs>
              <w:spacing w:before="80"/>
              <w:ind w:right="-1"/>
              <w:jc w:val="center"/>
            </w:pPr>
            <w:r w:rsidRPr="0008481A">
              <w:t>449</w:t>
            </w:r>
          </w:p>
        </w:tc>
        <w:tc>
          <w:tcPr>
            <w:tcW w:w="1842" w:type="dxa"/>
          </w:tcPr>
          <w:p w:rsidR="003B3271" w:rsidRPr="0008481A" w:rsidRDefault="003B3271">
            <w:pPr>
              <w:tabs>
                <w:tab w:val="left" w:pos="284"/>
              </w:tabs>
              <w:spacing w:before="80"/>
              <w:ind w:right="-1"/>
              <w:jc w:val="center"/>
            </w:pPr>
            <w:r w:rsidRPr="0008481A">
              <w:t xml:space="preserve"> 827</w:t>
            </w:r>
          </w:p>
        </w:tc>
      </w:tr>
      <w:tr w:rsidR="00000000" w:rsidRPr="0008481A">
        <w:tblPrEx>
          <w:tblCellMar>
            <w:top w:w="0" w:type="dxa"/>
            <w:bottom w:w="0" w:type="dxa"/>
          </w:tblCellMar>
        </w:tblPrEx>
        <w:tc>
          <w:tcPr>
            <w:tcW w:w="1630" w:type="dxa"/>
          </w:tcPr>
          <w:p w:rsidR="003B3271" w:rsidRPr="0008481A" w:rsidRDefault="003B3271">
            <w:pPr>
              <w:tabs>
                <w:tab w:val="left" w:pos="284"/>
              </w:tabs>
              <w:spacing w:before="80"/>
              <w:ind w:right="-1"/>
            </w:pPr>
            <w:r w:rsidRPr="0008481A">
              <w:t>Juni</w:t>
            </w:r>
          </w:p>
        </w:tc>
        <w:tc>
          <w:tcPr>
            <w:tcW w:w="1842" w:type="dxa"/>
            <w:tcBorders>
              <w:bottom w:val="single" w:sz="6" w:space="0" w:color="auto"/>
            </w:tcBorders>
          </w:tcPr>
          <w:p w:rsidR="003B3271" w:rsidRPr="0008481A" w:rsidRDefault="003B3271">
            <w:pPr>
              <w:tabs>
                <w:tab w:val="left" w:pos="284"/>
              </w:tabs>
              <w:spacing w:before="80"/>
              <w:ind w:right="-1"/>
              <w:jc w:val="center"/>
            </w:pPr>
            <w:r w:rsidRPr="0008481A">
              <w:t>342</w:t>
            </w:r>
          </w:p>
        </w:tc>
        <w:tc>
          <w:tcPr>
            <w:tcW w:w="1985" w:type="dxa"/>
            <w:tcBorders>
              <w:bottom w:val="single" w:sz="6" w:space="0" w:color="auto"/>
            </w:tcBorders>
          </w:tcPr>
          <w:p w:rsidR="003B3271" w:rsidRPr="0008481A" w:rsidRDefault="003B3271">
            <w:pPr>
              <w:tabs>
                <w:tab w:val="left" w:pos="284"/>
              </w:tabs>
              <w:spacing w:before="80"/>
              <w:ind w:right="-1"/>
              <w:jc w:val="center"/>
            </w:pPr>
            <w:r w:rsidRPr="0008481A">
              <w:t>309</w:t>
            </w:r>
          </w:p>
        </w:tc>
        <w:tc>
          <w:tcPr>
            <w:tcW w:w="1842" w:type="dxa"/>
            <w:tcBorders>
              <w:bottom w:val="single" w:sz="6" w:space="0" w:color="auto"/>
            </w:tcBorders>
          </w:tcPr>
          <w:p w:rsidR="003B3271" w:rsidRPr="0008481A" w:rsidRDefault="003B3271">
            <w:pPr>
              <w:tabs>
                <w:tab w:val="left" w:pos="284"/>
              </w:tabs>
              <w:spacing w:before="80"/>
              <w:ind w:right="-1"/>
              <w:jc w:val="center"/>
            </w:pPr>
            <w:r w:rsidRPr="0008481A">
              <w:t xml:space="preserve"> 860</w:t>
            </w:r>
          </w:p>
        </w:tc>
      </w:tr>
      <w:tr w:rsidR="00000000" w:rsidRPr="0008481A">
        <w:tblPrEx>
          <w:tblCellMar>
            <w:top w:w="0" w:type="dxa"/>
            <w:bottom w:w="0" w:type="dxa"/>
          </w:tblCellMar>
        </w:tblPrEx>
        <w:tc>
          <w:tcPr>
            <w:tcW w:w="1630" w:type="dxa"/>
            <w:tcBorders>
              <w:bottom w:val="single" w:sz="6" w:space="0" w:color="auto"/>
            </w:tcBorders>
          </w:tcPr>
          <w:p w:rsidR="003B3271" w:rsidRPr="0008481A" w:rsidRDefault="003B3271">
            <w:pPr>
              <w:tabs>
                <w:tab w:val="left" w:pos="284"/>
              </w:tabs>
              <w:spacing w:before="80"/>
              <w:ind w:right="-1"/>
            </w:pPr>
            <w:r w:rsidRPr="0008481A">
              <w:t>Summa</w:t>
            </w:r>
          </w:p>
        </w:tc>
        <w:tc>
          <w:tcPr>
            <w:tcW w:w="1842" w:type="dxa"/>
            <w:tcBorders>
              <w:bottom w:val="single" w:sz="6" w:space="0" w:color="auto"/>
            </w:tcBorders>
          </w:tcPr>
          <w:p w:rsidR="003B3271" w:rsidRPr="0008481A" w:rsidRDefault="003B3271">
            <w:pPr>
              <w:tabs>
                <w:tab w:val="left" w:pos="284"/>
              </w:tabs>
              <w:spacing w:before="80"/>
              <w:ind w:right="-1"/>
              <w:jc w:val="center"/>
            </w:pPr>
            <w:r w:rsidRPr="0008481A">
              <w:t>4 739</w:t>
            </w:r>
          </w:p>
        </w:tc>
        <w:tc>
          <w:tcPr>
            <w:tcW w:w="1985" w:type="dxa"/>
            <w:tcBorders>
              <w:bottom w:val="single" w:sz="6" w:space="0" w:color="auto"/>
            </w:tcBorders>
          </w:tcPr>
          <w:p w:rsidR="003B3271" w:rsidRPr="0008481A" w:rsidRDefault="003B3271">
            <w:pPr>
              <w:tabs>
                <w:tab w:val="left" w:pos="284"/>
              </w:tabs>
              <w:spacing w:before="80"/>
              <w:ind w:right="-1"/>
              <w:jc w:val="center"/>
            </w:pPr>
            <w:r w:rsidRPr="0008481A">
              <w:t>4 986</w:t>
            </w:r>
          </w:p>
        </w:tc>
        <w:tc>
          <w:tcPr>
            <w:tcW w:w="1842" w:type="dxa"/>
            <w:tcBorders>
              <w:bottom w:val="single" w:sz="6" w:space="0" w:color="auto"/>
            </w:tcBorders>
          </w:tcPr>
          <w:p w:rsidR="003B3271" w:rsidRPr="0008481A" w:rsidRDefault="003B3271">
            <w:pPr>
              <w:tabs>
                <w:tab w:val="left" w:pos="284"/>
              </w:tabs>
              <w:spacing w:before="80"/>
              <w:ind w:right="-1"/>
              <w:jc w:val="center"/>
            </w:pPr>
          </w:p>
        </w:tc>
      </w:tr>
    </w:tbl>
    <w:p w:rsidR="003B3271" w:rsidRPr="0008481A" w:rsidRDefault="003B3271">
      <w:pPr>
        <w:tabs>
          <w:tab w:val="left" w:pos="284"/>
        </w:tabs>
        <w:spacing w:before="0" w:after="40"/>
      </w:pPr>
      <w:r w:rsidRPr="0008481A">
        <w:rPr>
          <w:i/>
        </w:rPr>
        <w:br w:type="page"/>
        <w:t>Tablå över utgången i de under tiden 1 juli 1999–30 juni 2000 avgjorda inspektionsärendena och övriga initiativärendena</w:t>
      </w: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1913"/>
        <w:gridCol w:w="992"/>
        <w:gridCol w:w="709"/>
        <w:gridCol w:w="992"/>
        <w:gridCol w:w="1276"/>
        <w:gridCol w:w="992"/>
        <w:gridCol w:w="851"/>
      </w:tblGrid>
      <w:tr w:rsidR="00000000" w:rsidRPr="0008481A">
        <w:tblPrEx>
          <w:tblCellMar>
            <w:top w:w="0" w:type="dxa"/>
            <w:bottom w:w="0" w:type="dxa"/>
          </w:tblCellMar>
        </w:tblPrEx>
        <w:tc>
          <w:tcPr>
            <w:tcW w:w="1913" w:type="dxa"/>
            <w:tcBorders>
              <w:top w:val="single" w:sz="4" w:space="0" w:color="auto"/>
              <w:bottom w:val="single" w:sz="4" w:space="0" w:color="auto"/>
            </w:tcBorders>
          </w:tcPr>
          <w:p w:rsidR="003B3271" w:rsidRPr="0008481A" w:rsidRDefault="003B3271">
            <w:pPr>
              <w:tabs>
                <w:tab w:val="left" w:pos="284"/>
              </w:tabs>
              <w:ind w:right="-1"/>
              <w:jc w:val="left"/>
            </w:pPr>
            <w:r w:rsidRPr="0008481A">
              <w:t>Sakområde</w:t>
            </w:r>
          </w:p>
        </w:tc>
        <w:tc>
          <w:tcPr>
            <w:tcW w:w="992" w:type="dxa"/>
            <w:tcBorders>
              <w:top w:val="single" w:sz="4" w:space="0" w:color="auto"/>
              <w:bottom w:val="single" w:sz="4" w:space="0" w:color="auto"/>
            </w:tcBorders>
          </w:tcPr>
          <w:p w:rsidR="003B3271" w:rsidRPr="0008481A" w:rsidRDefault="003B3271">
            <w:pPr>
              <w:tabs>
                <w:tab w:val="left" w:pos="284"/>
              </w:tabs>
              <w:ind w:right="-1"/>
              <w:jc w:val="left"/>
            </w:pPr>
            <w:r w:rsidRPr="0008481A">
              <w:t>Avgjorda utan slut- lig anled- ning till kritik</w:t>
            </w:r>
          </w:p>
        </w:tc>
        <w:tc>
          <w:tcPr>
            <w:tcW w:w="709" w:type="dxa"/>
            <w:tcBorders>
              <w:top w:val="single" w:sz="4" w:space="0" w:color="auto"/>
              <w:bottom w:val="single" w:sz="4" w:space="0" w:color="auto"/>
            </w:tcBorders>
          </w:tcPr>
          <w:p w:rsidR="003B3271" w:rsidRPr="0008481A" w:rsidRDefault="003B3271">
            <w:pPr>
              <w:tabs>
                <w:tab w:val="left" w:pos="284"/>
              </w:tabs>
              <w:ind w:right="-1"/>
              <w:jc w:val="left"/>
            </w:pPr>
            <w:r w:rsidRPr="0008481A">
              <w:t>Erinran eller annan kritik</w:t>
            </w:r>
          </w:p>
        </w:tc>
        <w:tc>
          <w:tcPr>
            <w:tcW w:w="992" w:type="dxa"/>
            <w:tcBorders>
              <w:top w:val="single" w:sz="4" w:space="0" w:color="auto"/>
              <w:bottom w:val="single" w:sz="4" w:space="0" w:color="auto"/>
            </w:tcBorders>
          </w:tcPr>
          <w:p w:rsidR="003B3271" w:rsidRPr="0008481A" w:rsidRDefault="003B3271">
            <w:pPr>
              <w:tabs>
                <w:tab w:val="left" w:pos="284"/>
              </w:tabs>
              <w:ind w:right="-1"/>
              <w:jc w:val="left"/>
            </w:pPr>
            <w:r w:rsidRPr="0008481A">
              <w:t>Åtal eller anmälan för disci</w:t>
            </w:r>
            <w:r w:rsidRPr="0008481A">
              <w:softHyphen/>
              <w:t>plinär be-straffning</w:t>
            </w:r>
          </w:p>
        </w:tc>
        <w:tc>
          <w:tcPr>
            <w:tcW w:w="1276" w:type="dxa"/>
            <w:tcBorders>
              <w:top w:val="single" w:sz="4" w:space="0" w:color="auto"/>
              <w:bottom w:val="single" w:sz="4" w:space="0" w:color="auto"/>
            </w:tcBorders>
          </w:tcPr>
          <w:p w:rsidR="003B3271" w:rsidRPr="0008481A" w:rsidRDefault="003B3271">
            <w:pPr>
              <w:tabs>
                <w:tab w:val="left" w:pos="284"/>
              </w:tabs>
              <w:ind w:right="-1"/>
              <w:jc w:val="left"/>
            </w:pPr>
            <w:r w:rsidRPr="0008481A">
              <w:t>Överlämnande till annan myndighet enligt 18 § instruktionen</w:t>
            </w:r>
          </w:p>
        </w:tc>
        <w:tc>
          <w:tcPr>
            <w:tcW w:w="992" w:type="dxa"/>
            <w:tcBorders>
              <w:top w:val="single" w:sz="4" w:space="0" w:color="auto"/>
              <w:bottom w:val="single" w:sz="4" w:space="0" w:color="auto"/>
            </w:tcBorders>
          </w:tcPr>
          <w:p w:rsidR="003B3271" w:rsidRPr="0008481A" w:rsidRDefault="003B3271">
            <w:pPr>
              <w:tabs>
                <w:tab w:val="left" w:pos="284"/>
              </w:tabs>
              <w:ind w:right="-1"/>
              <w:jc w:val="left"/>
            </w:pPr>
            <w:r w:rsidRPr="0008481A">
              <w:t>Framställ-ning till riksdagen eller rege-ringen</w:t>
            </w:r>
          </w:p>
        </w:tc>
        <w:tc>
          <w:tcPr>
            <w:tcW w:w="851" w:type="dxa"/>
            <w:tcBorders>
              <w:top w:val="single" w:sz="4" w:space="0" w:color="auto"/>
              <w:bottom w:val="single" w:sz="4" w:space="0" w:color="auto"/>
            </w:tcBorders>
          </w:tcPr>
          <w:p w:rsidR="003B3271" w:rsidRPr="0008481A" w:rsidRDefault="003B3271">
            <w:pPr>
              <w:tabs>
                <w:tab w:val="left" w:pos="284"/>
              </w:tabs>
              <w:ind w:right="-1"/>
              <w:jc w:val="left"/>
            </w:pPr>
            <w:r w:rsidRPr="0008481A">
              <w:t>Summa ärenden</w:t>
            </w:r>
          </w:p>
        </w:tc>
      </w:tr>
      <w:tr w:rsidR="00000000" w:rsidRPr="0008481A">
        <w:tblPrEx>
          <w:tblCellMar>
            <w:top w:w="0" w:type="dxa"/>
            <w:bottom w:w="0" w:type="dxa"/>
          </w:tblCellMar>
        </w:tblPrEx>
        <w:tc>
          <w:tcPr>
            <w:tcW w:w="1913" w:type="dxa"/>
            <w:tcBorders>
              <w:top w:val="nil"/>
            </w:tcBorders>
          </w:tcPr>
          <w:p w:rsidR="003B3271" w:rsidRPr="0008481A" w:rsidRDefault="003B3271">
            <w:pPr>
              <w:tabs>
                <w:tab w:val="left" w:pos="284"/>
              </w:tabs>
              <w:ind w:right="-1"/>
              <w:jc w:val="left"/>
            </w:pPr>
            <w:r w:rsidRPr="0008481A">
              <w:t>Domstolsväsendet</w:t>
            </w:r>
          </w:p>
        </w:tc>
        <w:tc>
          <w:tcPr>
            <w:tcW w:w="992" w:type="dxa"/>
            <w:tcBorders>
              <w:top w:val="nil"/>
            </w:tcBorders>
          </w:tcPr>
          <w:p w:rsidR="003B3271" w:rsidRPr="0008481A" w:rsidRDefault="003B3271">
            <w:pPr>
              <w:tabs>
                <w:tab w:val="left" w:pos="284"/>
              </w:tabs>
              <w:ind w:right="-1"/>
              <w:jc w:val="center"/>
            </w:pPr>
            <w:r w:rsidRPr="0008481A">
              <w:t>3</w:t>
            </w:r>
          </w:p>
        </w:tc>
        <w:tc>
          <w:tcPr>
            <w:tcW w:w="709" w:type="dxa"/>
            <w:tcBorders>
              <w:top w:val="nil"/>
            </w:tcBorders>
          </w:tcPr>
          <w:p w:rsidR="003B3271" w:rsidRPr="0008481A" w:rsidRDefault="003B3271">
            <w:pPr>
              <w:tabs>
                <w:tab w:val="left" w:pos="284"/>
              </w:tabs>
              <w:ind w:right="-1"/>
              <w:jc w:val="center"/>
            </w:pPr>
            <w:r w:rsidRPr="0008481A">
              <w:t>7</w:t>
            </w:r>
          </w:p>
        </w:tc>
        <w:tc>
          <w:tcPr>
            <w:tcW w:w="992" w:type="dxa"/>
            <w:tcBorders>
              <w:top w:val="nil"/>
            </w:tcBorders>
          </w:tcPr>
          <w:p w:rsidR="003B3271" w:rsidRPr="0008481A" w:rsidRDefault="003B3271">
            <w:pPr>
              <w:tabs>
                <w:tab w:val="left" w:pos="284"/>
              </w:tabs>
              <w:ind w:right="-1"/>
              <w:jc w:val="center"/>
            </w:pPr>
            <w:r w:rsidRPr="0008481A">
              <w:t>–</w:t>
            </w:r>
          </w:p>
        </w:tc>
        <w:tc>
          <w:tcPr>
            <w:tcW w:w="1276" w:type="dxa"/>
            <w:tcBorders>
              <w:top w:val="nil"/>
            </w:tcBorders>
          </w:tcPr>
          <w:p w:rsidR="003B3271" w:rsidRPr="0008481A" w:rsidRDefault="003B3271">
            <w:pPr>
              <w:tabs>
                <w:tab w:val="left" w:pos="284"/>
              </w:tabs>
              <w:ind w:right="-1"/>
              <w:jc w:val="center"/>
            </w:pPr>
            <w:r w:rsidRPr="0008481A">
              <w:t>–</w:t>
            </w:r>
          </w:p>
        </w:tc>
        <w:tc>
          <w:tcPr>
            <w:tcW w:w="992" w:type="dxa"/>
            <w:tcBorders>
              <w:top w:val="nil"/>
            </w:tcBorders>
          </w:tcPr>
          <w:p w:rsidR="003B3271" w:rsidRPr="0008481A" w:rsidRDefault="003B3271">
            <w:pPr>
              <w:tabs>
                <w:tab w:val="left" w:pos="284"/>
              </w:tabs>
              <w:ind w:right="-1"/>
              <w:jc w:val="center"/>
            </w:pPr>
            <w:r w:rsidRPr="0008481A">
              <w:t>–</w:t>
            </w:r>
          </w:p>
        </w:tc>
        <w:tc>
          <w:tcPr>
            <w:tcW w:w="851" w:type="dxa"/>
            <w:tcBorders>
              <w:top w:val="nil"/>
            </w:tcBorders>
          </w:tcPr>
          <w:p w:rsidR="003B3271" w:rsidRPr="0008481A" w:rsidRDefault="003B3271">
            <w:pPr>
              <w:tabs>
                <w:tab w:val="left" w:pos="284"/>
              </w:tabs>
              <w:ind w:right="-1"/>
              <w:jc w:val="center"/>
            </w:pPr>
            <w:r w:rsidRPr="0008481A">
              <w:t>10</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Åklagarväsendet</w:t>
            </w:r>
          </w:p>
        </w:tc>
        <w:tc>
          <w:tcPr>
            <w:tcW w:w="992" w:type="dxa"/>
          </w:tcPr>
          <w:p w:rsidR="003B3271" w:rsidRPr="0008481A" w:rsidRDefault="003B3271">
            <w:pPr>
              <w:tabs>
                <w:tab w:val="left" w:pos="284"/>
              </w:tabs>
              <w:ind w:right="-1"/>
              <w:jc w:val="center"/>
            </w:pPr>
            <w:r w:rsidRPr="0008481A">
              <w:t>2</w:t>
            </w:r>
          </w:p>
        </w:tc>
        <w:tc>
          <w:tcPr>
            <w:tcW w:w="709" w:type="dxa"/>
          </w:tcPr>
          <w:p w:rsidR="003B3271" w:rsidRPr="0008481A" w:rsidRDefault="003B3271">
            <w:pPr>
              <w:tabs>
                <w:tab w:val="left" w:pos="284"/>
              </w:tabs>
              <w:ind w:right="-1"/>
              <w:jc w:val="center"/>
            </w:pPr>
            <w:r w:rsidRPr="0008481A">
              <w:t>12</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14</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Polisväsendet</w:t>
            </w:r>
          </w:p>
        </w:tc>
        <w:tc>
          <w:tcPr>
            <w:tcW w:w="992" w:type="dxa"/>
          </w:tcPr>
          <w:p w:rsidR="003B3271" w:rsidRPr="0008481A" w:rsidRDefault="003B3271">
            <w:pPr>
              <w:tabs>
                <w:tab w:val="left" w:pos="284"/>
              </w:tabs>
              <w:ind w:right="-1"/>
              <w:jc w:val="center"/>
            </w:pPr>
            <w:r w:rsidRPr="0008481A">
              <w:t>4</w:t>
            </w:r>
          </w:p>
        </w:tc>
        <w:tc>
          <w:tcPr>
            <w:tcW w:w="709" w:type="dxa"/>
          </w:tcPr>
          <w:p w:rsidR="003B3271" w:rsidRPr="0008481A" w:rsidRDefault="003B3271">
            <w:pPr>
              <w:tabs>
                <w:tab w:val="left" w:pos="284"/>
              </w:tabs>
              <w:ind w:right="-1"/>
              <w:jc w:val="center"/>
            </w:pPr>
            <w:r w:rsidRPr="0008481A">
              <w:t>25</w:t>
            </w:r>
          </w:p>
        </w:tc>
        <w:tc>
          <w:tcPr>
            <w:tcW w:w="992" w:type="dxa"/>
          </w:tcPr>
          <w:p w:rsidR="003B3271" w:rsidRPr="0008481A" w:rsidRDefault="003B3271">
            <w:pPr>
              <w:tabs>
                <w:tab w:val="left" w:pos="284"/>
              </w:tabs>
              <w:ind w:right="-1"/>
              <w:jc w:val="center"/>
            </w:pPr>
            <w:r w:rsidRPr="0008481A">
              <w:t>1</w:t>
            </w:r>
          </w:p>
        </w:tc>
        <w:tc>
          <w:tcPr>
            <w:tcW w:w="1276" w:type="dxa"/>
          </w:tcPr>
          <w:p w:rsidR="003B3271" w:rsidRPr="0008481A" w:rsidRDefault="003B3271">
            <w:pPr>
              <w:tabs>
                <w:tab w:val="left" w:pos="284"/>
              </w:tabs>
              <w:ind w:right="-1"/>
              <w:jc w:val="center"/>
            </w:pPr>
            <w:r w:rsidRPr="0008481A">
              <w:t>4</w:t>
            </w:r>
          </w:p>
        </w:tc>
        <w:tc>
          <w:tcPr>
            <w:tcW w:w="992" w:type="dxa"/>
          </w:tcPr>
          <w:p w:rsidR="003B3271" w:rsidRPr="0008481A" w:rsidRDefault="003B3271">
            <w:pPr>
              <w:tabs>
                <w:tab w:val="left" w:pos="284"/>
              </w:tabs>
              <w:ind w:right="-1"/>
              <w:jc w:val="center"/>
            </w:pPr>
            <w:r w:rsidRPr="0008481A">
              <w:t>1</w:t>
            </w:r>
          </w:p>
        </w:tc>
        <w:tc>
          <w:tcPr>
            <w:tcW w:w="851" w:type="dxa"/>
          </w:tcPr>
          <w:p w:rsidR="003B3271" w:rsidRPr="0008481A" w:rsidRDefault="003B3271">
            <w:pPr>
              <w:tabs>
                <w:tab w:val="left" w:pos="284"/>
              </w:tabs>
              <w:ind w:right="-1"/>
              <w:jc w:val="center"/>
            </w:pPr>
            <w:r w:rsidRPr="0008481A">
              <w:t>35</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Försvarsväsendet</w:t>
            </w:r>
          </w:p>
        </w:tc>
        <w:tc>
          <w:tcPr>
            <w:tcW w:w="992" w:type="dxa"/>
          </w:tcPr>
          <w:p w:rsidR="003B3271" w:rsidRPr="0008481A" w:rsidRDefault="003B3271">
            <w:pPr>
              <w:tabs>
                <w:tab w:val="left" w:pos="284"/>
              </w:tabs>
              <w:ind w:right="-1"/>
              <w:jc w:val="center"/>
            </w:pPr>
            <w:r w:rsidRPr="0008481A">
              <w:t>1</w:t>
            </w:r>
          </w:p>
        </w:tc>
        <w:tc>
          <w:tcPr>
            <w:tcW w:w="709"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1</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Kriminalvård</w:t>
            </w:r>
          </w:p>
        </w:tc>
        <w:tc>
          <w:tcPr>
            <w:tcW w:w="992" w:type="dxa"/>
          </w:tcPr>
          <w:p w:rsidR="003B3271" w:rsidRPr="0008481A" w:rsidRDefault="003B3271">
            <w:pPr>
              <w:tabs>
                <w:tab w:val="left" w:pos="284"/>
              </w:tabs>
              <w:ind w:right="-1"/>
              <w:jc w:val="center"/>
            </w:pPr>
            <w:r w:rsidRPr="0008481A">
              <w:t>2</w:t>
            </w:r>
          </w:p>
        </w:tc>
        <w:tc>
          <w:tcPr>
            <w:tcW w:w="709" w:type="dxa"/>
          </w:tcPr>
          <w:p w:rsidR="003B3271" w:rsidRPr="0008481A" w:rsidRDefault="003B3271">
            <w:pPr>
              <w:tabs>
                <w:tab w:val="left" w:pos="284"/>
              </w:tabs>
              <w:ind w:right="-1"/>
              <w:jc w:val="center"/>
            </w:pPr>
            <w:r w:rsidRPr="0008481A">
              <w:t>8</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10</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Socialtjänst</w:t>
            </w:r>
          </w:p>
        </w:tc>
        <w:tc>
          <w:tcPr>
            <w:tcW w:w="992" w:type="dxa"/>
          </w:tcPr>
          <w:p w:rsidR="003B3271" w:rsidRPr="0008481A" w:rsidRDefault="003B3271">
            <w:pPr>
              <w:tabs>
                <w:tab w:val="left" w:pos="284"/>
              </w:tabs>
              <w:ind w:right="-1"/>
              <w:jc w:val="center"/>
            </w:pPr>
            <w:r w:rsidRPr="0008481A">
              <w:t>3</w:t>
            </w:r>
          </w:p>
        </w:tc>
        <w:tc>
          <w:tcPr>
            <w:tcW w:w="709" w:type="dxa"/>
          </w:tcPr>
          <w:p w:rsidR="003B3271" w:rsidRPr="0008481A" w:rsidRDefault="003B3271">
            <w:pPr>
              <w:tabs>
                <w:tab w:val="left" w:pos="284"/>
              </w:tabs>
              <w:ind w:right="-1"/>
              <w:jc w:val="center"/>
            </w:pPr>
            <w:r w:rsidRPr="0008481A">
              <w:t>4</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7</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Hälso- och sjukvård</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1</w:t>
            </w:r>
          </w:p>
        </w:tc>
        <w:tc>
          <w:tcPr>
            <w:tcW w:w="992" w:type="dxa"/>
          </w:tcPr>
          <w:p w:rsidR="003B3271" w:rsidRPr="0008481A" w:rsidRDefault="003B3271">
            <w:pPr>
              <w:tabs>
                <w:tab w:val="left" w:pos="284"/>
              </w:tabs>
              <w:ind w:right="-1"/>
              <w:jc w:val="center"/>
            </w:pPr>
            <w:r w:rsidRPr="0008481A">
              <w:t>1</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2</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Allmän försäkring</w:t>
            </w:r>
          </w:p>
        </w:tc>
        <w:tc>
          <w:tcPr>
            <w:tcW w:w="992" w:type="dxa"/>
          </w:tcPr>
          <w:p w:rsidR="003B3271" w:rsidRPr="0008481A" w:rsidRDefault="003B3271">
            <w:pPr>
              <w:tabs>
                <w:tab w:val="left" w:pos="284"/>
              </w:tabs>
              <w:ind w:right="-1"/>
              <w:jc w:val="center"/>
            </w:pPr>
            <w:r w:rsidRPr="0008481A">
              <w:t>2</w:t>
            </w:r>
          </w:p>
        </w:tc>
        <w:tc>
          <w:tcPr>
            <w:tcW w:w="709" w:type="dxa"/>
          </w:tcPr>
          <w:p w:rsidR="003B3271" w:rsidRPr="0008481A" w:rsidRDefault="003B3271">
            <w:pPr>
              <w:tabs>
                <w:tab w:val="left" w:pos="284"/>
              </w:tabs>
              <w:ind w:right="-1"/>
              <w:jc w:val="center"/>
            </w:pPr>
            <w:r w:rsidRPr="0008481A">
              <w:t>9</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1</w:t>
            </w:r>
          </w:p>
        </w:tc>
        <w:tc>
          <w:tcPr>
            <w:tcW w:w="851" w:type="dxa"/>
          </w:tcPr>
          <w:p w:rsidR="003B3271" w:rsidRPr="0008481A" w:rsidRDefault="003B3271">
            <w:pPr>
              <w:tabs>
                <w:tab w:val="left" w:pos="284"/>
              </w:tabs>
              <w:ind w:right="-1"/>
              <w:jc w:val="center"/>
            </w:pPr>
            <w:r w:rsidRPr="0008481A">
              <w:t>12</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 xml:space="preserve">Arbetsmarknad </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1</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1</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Exekutionsväsendet</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1</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1</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Utbildning och kultur</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6</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6</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Beskattning, folk</w:t>
            </w:r>
            <w:r w:rsidRPr="0008481A">
              <w:softHyphen/>
              <w:t xml:space="preserve">bokföring, tull </w:t>
            </w:r>
          </w:p>
        </w:tc>
        <w:tc>
          <w:tcPr>
            <w:tcW w:w="992" w:type="dxa"/>
          </w:tcPr>
          <w:p w:rsidR="003B3271" w:rsidRPr="0008481A" w:rsidRDefault="003B3271">
            <w:pPr>
              <w:tabs>
                <w:tab w:val="left" w:pos="284"/>
              </w:tabs>
              <w:ind w:right="-1"/>
              <w:jc w:val="center"/>
            </w:pPr>
            <w:r w:rsidRPr="0008481A">
              <w:t>1</w:t>
            </w:r>
          </w:p>
        </w:tc>
        <w:tc>
          <w:tcPr>
            <w:tcW w:w="709" w:type="dxa"/>
          </w:tcPr>
          <w:p w:rsidR="003B3271" w:rsidRPr="0008481A" w:rsidRDefault="003B3271">
            <w:pPr>
              <w:tabs>
                <w:tab w:val="left" w:pos="284"/>
              </w:tabs>
              <w:ind w:right="-1"/>
              <w:jc w:val="center"/>
            </w:pPr>
            <w:r w:rsidRPr="0008481A">
              <w:t>1</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2</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Jordbruk, miljö- och hälsoskydd, djurskydd</w:t>
            </w:r>
          </w:p>
        </w:tc>
        <w:tc>
          <w:tcPr>
            <w:tcW w:w="992" w:type="dxa"/>
          </w:tcPr>
          <w:p w:rsidR="003B3271" w:rsidRPr="0008481A" w:rsidRDefault="003B3271">
            <w:pPr>
              <w:tabs>
                <w:tab w:val="left" w:pos="284"/>
              </w:tabs>
              <w:ind w:right="-1"/>
              <w:jc w:val="center"/>
            </w:pPr>
            <w:r w:rsidRPr="0008481A">
              <w:t>1</w:t>
            </w:r>
          </w:p>
        </w:tc>
        <w:tc>
          <w:tcPr>
            <w:tcW w:w="709" w:type="dxa"/>
          </w:tcPr>
          <w:p w:rsidR="003B3271" w:rsidRPr="0008481A" w:rsidRDefault="003B3271">
            <w:pPr>
              <w:tabs>
                <w:tab w:val="left" w:pos="284"/>
              </w:tabs>
              <w:ind w:right="-1"/>
              <w:jc w:val="center"/>
            </w:pPr>
            <w:r w:rsidRPr="0008481A">
              <w:t>7</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8</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Plan- och byggnads</w:t>
            </w:r>
            <w:r w:rsidRPr="0008481A">
              <w:softHyphen/>
              <w:t>väsendet</w:t>
            </w:r>
          </w:p>
        </w:tc>
        <w:tc>
          <w:tcPr>
            <w:tcW w:w="992" w:type="dxa"/>
          </w:tcPr>
          <w:p w:rsidR="003B3271" w:rsidRPr="0008481A" w:rsidRDefault="003B3271">
            <w:pPr>
              <w:tabs>
                <w:tab w:val="left" w:pos="284"/>
              </w:tabs>
              <w:ind w:right="-1"/>
              <w:jc w:val="center"/>
            </w:pPr>
            <w:r w:rsidRPr="0008481A">
              <w:t>1</w:t>
            </w:r>
          </w:p>
        </w:tc>
        <w:tc>
          <w:tcPr>
            <w:tcW w:w="709" w:type="dxa"/>
          </w:tcPr>
          <w:p w:rsidR="003B3271" w:rsidRPr="0008481A" w:rsidRDefault="003B3271">
            <w:pPr>
              <w:tabs>
                <w:tab w:val="left" w:pos="284"/>
              </w:tabs>
              <w:ind w:right="-1"/>
              <w:jc w:val="center"/>
            </w:pPr>
            <w:r w:rsidRPr="0008481A">
              <w:t>4</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5</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Väg- och kommunika</w:t>
            </w:r>
            <w:r w:rsidRPr="0008481A">
              <w:softHyphen/>
              <w:t>tionsväsendet</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5</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5</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Överförmyndar</w:t>
            </w:r>
            <w:r w:rsidRPr="0008481A">
              <w:softHyphen/>
              <w:t>väsendet</w:t>
            </w:r>
          </w:p>
        </w:tc>
        <w:tc>
          <w:tcPr>
            <w:tcW w:w="992" w:type="dxa"/>
          </w:tcPr>
          <w:p w:rsidR="003B3271" w:rsidRPr="0008481A" w:rsidRDefault="003B3271">
            <w:pPr>
              <w:tabs>
                <w:tab w:val="left" w:pos="284"/>
              </w:tabs>
              <w:ind w:right="-1"/>
              <w:jc w:val="center"/>
            </w:pPr>
            <w:r w:rsidRPr="0008481A">
              <w:t>–</w:t>
            </w:r>
          </w:p>
        </w:tc>
        <w:tc>
          <w:tcPr>
            <w:tcW w:w="709" w:type="dxa"/>
          </w:tcPr>
          <w:p w:rsidR="003B3271" w:rsidRPr="0008481A" w:rsidRDefault="003B3271">
            <w:pPr>
              <w:tabs>
                <w:tab w:val="left" w:pos="284"/>
              </w:tabs>
              <w:ind w:right="-1"/>
              <w:jc w:val="center"/>
            </w:pPr>
            <w:r w:rsidRPr="0008481A">
              <w:t>5</w:t>
            </w:r>
          </w:p>
        </w:tc>
        <w:tc>
          <w:tcPr>
            <w:tcW w:w="992" w:type="dxa"/>
          </w:tcPr>
          <w:p w:rsidR="003B3271" w:rsidRPr="0008481A" w:rsidRDefault="003B3271">
            <w:pPr>
              <w:tabs>
                <w:tab w:val="left" w:pos="284"/>
              </w:tabs>
              <w:ind w:right="-1"/>
              <w:jc w:val="center"/>
            </w:pPr>
            <w:r w:rsidRPr="0008481A">
              <w:t>–</w:t>
            </w:r>
          </w:p>
        </w:tc>
        <w:tc>
          <w:tcPr>
            <w:tcW w:w="1276" w:type="dxa"/>
          </w:tcPr>
          <w:p w:rsidR="003B3271" w:rsidRPr="0008481A" w:rsidRDefault="003B3271">
            <w:pPr>
              <w:tabs>
                <w:tab w:val="left" w:pos="284"/>
              </w:tabs>
              <w:ind w:right="-1"/>
              <w:jc w:val="center"/>
            </w:pPr>
            <w:r w:rsidRPr="0008481A">
              <w:t>–</w:t>
            </w:r>
          </w:p>
        </w:tc>
        <w:tc>
          <w:tcPr>
            <w:tcW w:w="992" w:type="dxa"/>
          </w:tcPr>
          <w:p w:rsidR="003B3271" w:rsidRPr="0008481A" w:rsidRDefault="003B3271">
            <w:pPr>
              <w:tabs>
                <w:tab w:val="left" w:pos="284"/>
              </w:tabs>
              <w:ind w:right="-1"/>
              <w:jc w:val="center"/>
            </w:pPr>
            <w:r w:rsidRPr="0008481A">
              <w:t>–</w:t>
            </w:r>
          </w:p>
        </w:tc>
        <w:tc>
          <w:tcPr>
            <w:tcW w:w="851" w:type="dxa"/>
          </w:tcPr>
          <w:p w:rsidR="003B3271" w:rsidRPr="0008481A" w:rsidRDefault="003B3271">
            <w:pPr>
              <w:tabs>
                <w:tab w:val="left" w:pos="284"/>
              </w:tabs>
              <w:ind w:right="-1"/>
              <w:jc w:val="center"/>
            </w:pPr>
            <w:r w:rsidRPr="0008481A">
              <w:t xml:space="preserve"> 5</w:t>
            </w:r>
          </w:p>
        </w:tc>
      </w:tr>
      <w:tr w:rsidR="00000000" w:rsidRPr="0008481A">
        <w:tblPrEx>
          <w:tblCellMar>
            <w:top w:w="0" w:type="dxa"/>
            <w:bottom w:w="0" w:type="dxa"/>
          </w:tblCellMar>
        </w:tblPrEx>
        <w:tc>
          <w:tcPr>
            <w:tcW w:w="1913" w:type="dxa"/>
          </w:tcPr>
          <w:p w:rsidR="003B3271" w:rsidRPr="0008481A" w:rsidRDefault="003B3271">
            <w:pPr>
              <w:tabs>
                <w:tab w:val="left" w:pos="284"/>
              </w:tabs>
              <w:ind w:right="-1"/>
              <w:jc w:val="left"/>
            </w:pPr>
            <w:r w:rsidRPr="0008481A">
              <w:t>Offentlighet, sekre</w:t>
            </w:r>
            <w:r w:rsidRPr="0008481A">
              <w:softHyphen/>
              <w:t xml:space="preserve">tess, yttrandefrihet </w:t>
            </w:r>
          </w:p>
        </w:tc>
        <w:tc>
          <w:tcPr>
            <w:tcW w:w="992" w:type="dxa"/>
            <w:tcBorders>
              <w:top w:val="nil"/>
              <w:bottom w:val="single" w:sz="4" w:space="0" w:color="auto"/>
            </w:tcBorders>
          </w:tcPr>
          <w:p w:rsidR="003B3271" w:rsidRPr="0008481A" w:rsidRDefault="003B3271">
            <w:pPr>
              <w:tabs>
                <w:tab w:val="left" w:pos="284"/>
              </w:tabs>
              <w:ind w:right="-1"/>
              <w:jc w:val="center"/>
            </w:pPr>
            <w:r w:rsidRPr="0008481A">
              <w:t>2</w:t>
            </w:r>
          </w:p>
        </w:tc>
        <w:tc>
          <w:tcPr>
            <w:tcW w:w="709" w:type="dxa"/>
            <w:tcBorders>
              <w:top w:val="nil"/>
              <w:bottom w:val="single" w:sz="4" w:space="0" w:color="auto"/>
            </w:tcBorders>
          </w:tcPr>
          <w:p w:rsidR="003B3271" w:rsidRPr="0008481A" w:rsidRDefault="003B3271">
            <w:pPr>
              <w:tabs>
                <w:tab w:val="left" w:pos="284"/>
              </w:tabs>
              <w:ind w:right="-1"/>
              <w:jc w:val="center"/>
            </w:pPr>
            <w:r w:rsidRPr="0008481A">
              <w:t>7</w:t>
            </w:r>
          </w:p>
        </w:tc>
        <w:tc>
          <w:tcPr>
            <w:tcW w:w="992" w:type="dxa"/>
            <w:tcBorders>
              <w:top w:val="nil"/>
              <w:bottom w:val="single" w:sz="4" w:space="0" w:color="auto"/>
            </w:tcBorders>
          </w:tcPr>
          <w:p w:rsidR="003B3271" w:rsidRPr="0008481A" w:rsidRDefault="003B3271">
            <w:pPr>
              <w:tabs>
                <w:tab w:val="left" w:pos="284"/>
              </w:tabs>
              <w:ind w:right="-1"/>
              <w:jc w:val="center"/>
            </w:pPr>
            <w:r w:rsidRPr="0008481A">
              <w:t>–</w:t>
            </w:r>
          </w:p>
        </w:tc>
        <w:tc>
          <w:tcPr>
            <w:tcW w:w="1276" w:type="dxa"/>
            <w:tcBorders>
              <w:top w:val="nil"/>
              <w:bottom w:val="single" w:sz="4" w:space="0" w:color="auto"/>
            </w:tcBorders>
          </w:tcPr>
          <w:p w:rsidR="003B3271" w:rsidRPr="0008481A" w:rsidRDefault="003B3271">
            <w:pPr>
              <w:tabs>
                <w:tab w:val="left" w:pos="284"/>
              </w:tabs>
              <w:ind w:right="-1"/>
              <w:jc w:val="center"/>
            </w:pPr>
            <w:r w:rsidRPr="0008481A">
              <w:t>–</w:t>
            </w:r>
          </w:p>
        </w:tc>
        <w:tc>
          <w:tcPr>
            <w:tcW w:w="992" w:type="dxa"/>
            <w:tcBorders>
              <w:top w:val="nil"/>
              <w:bottom w:val="single" w:sz="4" w:space="0" w:color="auto"/>
            </w:tcBorders>
          </w:tcPr>
          <w:p w:rsidR="003B3271" w:rsidRPr="0008481A" w:rsidRDefault="003B3271">
            <w:pPr>
              <w:tabs>
                <w:tab w:val="left" w:pos="284"/>
              </w:tabs>
              <w:ind w:right="-1"/>
              <w:jc w:val="center"/>
            </w:pPr>
            <w:r w:rsidRPr="0008481A">
              <w:t>–</w:t>
            </w:r>
          </w:p>
        </w:tc>
        <w:tc>
          <w:tcPr>
            <w:tcW w:w="851" w:type="dxa"/>
            <w:tcBorders>
              <w:top w:val="nil"/>
              <w:bottom w:val="single" w:sz="4" w:space="0" w:color="auto"/>
            </w:tcBorders>
          </w:tcPr>
          <w:p w:rsidR="003B3271" w:rsidRPr="0008481A" w:rsidRDefault="003B3271">
            <w:pPr>
              <w:tabs>
                <w:tab w:val="left" w:pos="284"/>
              </w:tabs>
              <w:ind w:right="-1"/>
              <w:jc w:val="center"/>
            </w:pPr>
            <w:r w:rsidRPr="0008481A">
              <w:t xml:space="preserve"> 9</w:t>
            </w:r>
          </w:p>
        </w:tc>
      </w:tr>
      <w:tr w:rsidR="00000000" w:rsidRPr="0008481A">
        <w:tblPrEx>
          <w:tblCellMar>
            <w:top w:w="0" w:type="dxa"/>
            <w:bottom w:w="0" w:type="dxa"/>
          </w:tblCellMar>
        </w:tblPrEx>
        <w:tc>
          <w:tcPr>
            <w:tcW w:w="1913" w:type="dxa"/>
            <w:tcBorders>
              <w:bottom w:val="single" w:sz="4" w:space="0" w:color="auto"/>
            </w:tcBorders>
          </w:tcPr>
          <w:p w:rsidR="003B3271" w:rsidRPr="0008481A" w:rsidRDefault="003B3271">
            <w:pPr>
              <w:tabs>
                <w:tab w:val="left" w:pos="284"/>
              </w:tabs>
              <w:ind w:right="-1"/>
              <w:jc w:val="left"/>
            </w:pPr>
            <w:r w:rsidRPr="0008481A">
              <w:t>Summa ärenden</w:t>
            </w:r>
          </w:p>
        </w:tc>
        <w:tc>
          <w:tcPr>
            <w:tcW w:w="992" w:type="dxa"/>
            <w:tcBorders>
              <w:top w:val="nil"/>
              <w:bottom w:val="single" w:sz="4" w:space="0" w:color="auto"/>
            </w:tcBorders>
          </w:tcPr>
          <w:p w:rsidR="003B3271" w:rsidRPr="0008481A" w:rsidRDefault="003B3271">
            <w:pPr>
              <w:tabs>
                <w:tab w:val="left" w:pos="284"/>
              </w:tabs>
              <w:ind w:right="-1"/>
              <w:jc w:val="center"/>
              <w:rPr>
                <w:b/>
              </w:rPr>
            </w:pPr>
            <w:r w:rsidRPr="0008481A">
              <w:rPr>
                <w:b/>
              </w:rPr>
              <w:t>22</w:t>
            </w:r>
          </w:p>
        </w:tc>
        <w:tc>
          <w:tcPr>
            <w:tcW w:w="709" w:type="dxa"/>
            <w:tcBorders>
              <w:top w:val="nil"/>
              <w:bottom w:val="single" w:sz="4" w:space="0" w:color="auto"/>
            </w:tcBorders>
          </w:tcPr>
          <w:p w:rsidR="003B3271" w:rsidRPr="0008481A" w:rsidRDefault="003B3271">
            <w:pPr>
              <w:tabs>
                <w:tab w:val="left" w:pos="284"/>
              </w:tabs>
              <w:ind w:right="-1"/>
              <w:jc w:val="center"/>
              <w:rPr>
                <w:b/>
              </w:rPr>
            </w:pPr>
            <w:r w:rsidRPr="0008481A">
              <w:rPr>
                <w:b/>
              </w:rPr>
              <w:t>103</w:t>
            </w:r>
          </w:p>
        </w:tc>
        <w:tc>
          <w:tcPr>
            <w:tcW w:w="992" w:type="dxa"/>
            <w:tcBorders>
              <w:top w:val="nil"/>
              <w:bottom w:val="single" w:sz="4" w:space="0" w:color="auto"/>
            </w:tcBorders>
          </w:tcPr>
          <w:p w:rsidR="003B3271" w:rsidRPr="0008481A" w:rsidRDefault="003B3271">
            <w:pPr>
              <w:tabs>
                <w:tab w:val="left" w:pos="284"/>
              </w:tabs>
              <w:ind w:right="-1"/>
              <w:jc w:val="center"/>
              <w:rPr>
                <w:b/>
              </w:rPr>
            </w:pPr>
            <w:r w:rsidRPr="0008481A">
              <w:rPr>
                <w:b/>
              </w:rPr>
              <w:t>2</w:t>
            </w:r>
          </w:p>
        </w:tc>
        <w:tc>
          <w:tcPr>
            <w:tcW w:w="1276" w:type="dxa"/>
            <w:tcBorders>
              <w:top w:val="nil"/>
              <w:bottom w:val="single" w:sz="4" w:space="0" w:color="auto"/>
            </w:tcBorders>
          </w:tcPr>
          <w:p w:rsidR="003B3271" w:rsidRPr="0008481A" w:rsidRDefault="003B3271">
            <w:pPr>
              <w:tabs>
                <w:tab w:val="left" w:pos="284"/>
              </w:tabs>
              <w:ind w:right="-1"/>
              <w:jc w:val="center"/>
              <w:rPr>
                <w:b/>
              </w:rPr>
            </w:pPr>
            <w:r w:rsidRPr="0008481A">
              <w:rPr>
                <w:b/>
              </w:rPr>
              <w:t>4</w:t>
            </w:r>
          </w:p>
        </w:tc>
        <w:tc>
          <w:tcPr>
            <w:tcW w:w="992" w:type="dxa"/>
            <w:tcBorders>
              <w:top w:val="nil"/>
              <w:bottom w:val="single" w:sz="4" w:space="0" w:color="auto"/>
            </w:tcBorders>
          </w:tcPr>
          <w:p w:rsidR="003B3271" w:rsidRPr="0008481A" w:rsidRDefault="003B3271">
            <w:pPr>
              <w:tabs>
                <w:tab w:val="left" w:pos="284"/>
              </w:tabs>
              <w:ind w:right="-1"/>
              <w:jc w:val="center"/>
              <w:rPr>
                <w:b/>
              </w:rPr>
            </w:pPr>
            <w:r w:rsidRPr="0008481A">
              <w:rPr>
                <w:b/>
              </w:rPr>
              <w:t>2</w:t>
            </w:r>
          </w:p>
        </w:tc>
        <w:tc>
          <w:tcPr>
            <w:tcW w:w="851" w:type="dxa"/>
            <w:tcBorders>
              <w:top w:val="nil"/>
              <w:bottom w:val="single" w:sz="4" w:space="0" w:color="auto"/>
            </w:tcBorders>
          </w:tcPr>
          <w:p w:rsidR="003B3271" w:rsidRPr="0008481A" w:rsidRDefault="003B3271">
            <w:pPr>
              <w:tabs>
                <w:tab w:val="left" w:pos="284"/>
              </w:tabs>
              <w:ind w:right="-1"/>
              <w:jc w:val="center"/>
              <w:rPr>
                <w:b/>
              </w:rPr>
            </w:pPr>
            <w:r w:rsidRPr="0008481A">
              <w:rPr>
                <w:b/>
              </w:rPr>
              <w:t>133</w:t>
            </w:r>
          </w:p>
        </w:tc>
      </w:tr>
    </w:tbl>
    <w:p w:rsidR="003B3271" w:rsidRPr="0008481A" w:rsidRDefault="003B3271">
      <w:pPr>
        <w:pStyle w:val="Rubrik4"/>
        <w:spacing w:before="0" w:after="40"/>
      </w:pPr>
      <w:r w:rsidRPr="0008481A">
        <w:rPr>
          <w:i w:val="0"/>
        </w:rPr>
        <w:br w:type="page"/>
      </w:r>
      <w:r w:rsidRPr="0008481A">
        <w:t>Tablå över utgången i de under tiden 1 juli 1999– 30 juni 2000 avgjorda klagomålsärendena</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771"/>
        <w:gridCol w:w="936"/>
        <w:gridCol w:w="850"/>
        <w:gridCol w:w="879"/>
        <w:gridCol w:w="992"/>
        <w:gridCol w:w="907"/>
        <w:gridCol w:w="868"/>
        <w:gridCol w:w="736"/>
      </w:tblGrid>
      <w:tr w:rsidR="00000000" w:rsidRPr="0008481A">
        <w:tblPrEx>
          <w:tblCellMar>
            <w:top w:w="0" w:type="dxa"/>
            <w:bottom w:w="0" w:type="dxa"/>
          </w:tblCellMar>
        </w:tblPrEx>
        <w:tc>
          <w:tcPr>
            <w:tcW w:w="1771"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Sakområde</w:t>
            </w:r>
          </w:p>
        </w:tc>
        <w:tc>
          <w:tcPr>
            <w:tcW w:w="936"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Avvisning eller av</w:t>
            </w:r>
            <w:r w:rsidRPr="0008481A">
              <w:rPr>
                <w:sz w:val="18"/>
              </w:rPr>
              <w:softHyphen/>
              <w:t xml:space="preserve">görande </w:t>
            </w:r>
            <w:r w:rsidRPr="0008481A">
              <w:rPr>
                <w:sz w:val="18"/>
              </w:rPr>
              <w:br/>
              <w:t>utan sär</w:t>
            </w:r>
            <w:r w:rsidRPr="0008481A">
              <w:rPr>
                <w:sz w:val="18"/>
              </w:rPr>
              <w:softHyphen/>
              <w:t>skild ut</w:t>
            </w:r>
            <w:r w:rsidRPr="0008481A">
              <w:rPr>
                <w:sz w:val="18"/>
              </w:rPr>
              <w:softHyphen/>
              <w:t>redning</w:t>
            </w:r>
          </w:p>
        </w:tc>
        <w:tc>
          <w:tcPr>
            <w:tcW w:w="850" w:type="dxa"/>
            <w:tcBorders>
              <w:top w:val="single" w:sz="4" w:space="0" w:color="auto"/>
              <w:bottom w:val="single" w:sz="6" w:space="0" w:color="808080"/>
            </w:tcBorders>
          </w:tcPr>
          <w:p w:rsidR="003B3271" w:rsidRPr="0008481A" w:rsidRDefault="003B3271">
            <w:pPr>
              <w:tabs>
                <w:tab w:val="left" w:pos="284"/>
              </w:tabs>
              <w:spacing w:before="40" w:after="40" w:line="40" w:lineRule="atLeast"/>
              <w:jc w:val="left"/>
              <w:rPr>
                <w:sz w:val="18"/>
              </w:rPr>
            </w:pPr>
            <w:r w:rsidRPr="0008481A">
              <w:rPr>
                <w:sz w:val="18"/>
              </w:rPr>
              <w:t>Överläm</w:t>
            </w:r>
            <w:r w:rsidRPr="0008481A">
              <w:rPr>
                <w:sz w:val="18"/>
              </w:rPr>
              <w:softHyphen/>
              <w:t xml:space="preserve">nande enligt </w:t>
            </w:r>
            <w:r w:rsidRPr="0008481A">
              <w:rPr>
                <w:sz w:val="18"/>
              </w:rPr>
              <w:br/>
              <w:t>18 § instruk</w:t>
            </w:r>
            <w:r w:rsidRPr="0008481A">
              <w:rPr>
                <w:sz w:val="18"/>
              </w:rPr>
              <w:softHyphen/>
              <w:t>tionen</w:t>
            </w:r>
          </w:p>
        </w:tc>
        <w:tc>
          <w:tcPr>
            <w:tcW w:w="879"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Avgjorda efter utredning; ingen kritik</w:t>
            </w:r>
          </w:p>
        </w:tc>
        <w:tc>
          <w:tcPr>
            <w:tcW w:w="992"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Erinran eller annan kritik; Väg</w:t>
            </w:r>
            <w:r w:rsidRPr="0008481A">
              <w:rPr>
                <w:sz w:val="18"/>
              </w:rPr>
              <w:softHyphen/>
              <w:t xml:space="preserve">ledande uttalanden </w:t>
            </w:r>
          </w:p>
        </w:tc>
        <w:tc>
          <w:tcPr>
            <w:tcW w:w="907"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Åtal eller anmälan för disciplinär åtgärd</w:t>
            </w:r>
          </w:p>
        </w:tc>
        <w:tc>
          <w:tcPr>
            <w:tcW w:w="868" w:type="dxa"/>
            <w:tcBorders>
              <w:top w:val="single" w:sz="4" w:space="0" w:color="auto"/>
              <w:bottom w:val="single" w:sz="6" w:space="0" w:color="808080"/>
            </w:tcBorders>
          </w:tcPr>
          <w:p w:rsidR="003B3271" w:rsidRPr="0008481A" w:rsidRDefault="003B3271">
            <w:pPr>
              <w:tabs>
                <w:tab w:val="left" w:pos="284"/>
              </w:tabs>
              <w:spacing w:before="40" w:after="40" w:line="40" w:lineRule="atLeast"/>
              <w:ind w:right="-1"/>
              <w:jc w:val="left"/>
              <w:rPr>
                <w:sz w:val="18"/>
              </w:rPr>
            </w:pPr>
            <w:r w:rsidRPr="0008481A">
              <w:rPr>
                <w:sz w:val="18"/>
              </w:rPr>
              <w:t>Förunder-sökning inledd; nedlagd utan att åtal väckts</w:t>
            </w:r>
          </w:p>
        </w:tc>
        <w:tc>
          <w:tcPr>
            <w:tcW w:w="736" w:type="dxa"/>
            <w:tcBorders>
              <w:top w:val="single" w:sz="4" w:space="0" w:color="auto"/>
              <w:bottom w:val="single" w:sz="6" w:space="0" w:color="808080"/>
            </w:tcBorders>
          </w:tcPr>
          <w:p w:rsidR="003B3271" w:rsidRPr="0008481A" w:rsidRDefault="003B3271">
            <w:pPr>
              <w:tabs>
                <w:tab w:val="left" w:pos="284"/>
                <w:tab w:val="left" w:pos="781"/>
              </w:tabs>
              <w:spacing w:before="40" w:after="40" w:line="40" w:lineRule="atLeast"/>
              <w:ind w:right="-212"/>
              <w:jc w:val="left"/>
              <w:rPr>
                <w:sz w:val="18"/>
              </w:rPr>
            </w:pPr>
            <w:r w:rsidRPr="0008481A">
              <w:rPr>
                <w:sz w:val="18"/>
              </w:rPr>
              <w:t>Summa ärenden</w:t>
            </w:r>
          </w:p>
        </w:tc>
      </w:tr>
      <w:tr w:rsidR="00000000" w:rsidRPr="0008481A">
        <w:tblPrEx>
          <w:tblCellMar>
            <w:top w:w="0" w:type="dxa"/>
            <w:bottom w:w="0" w:type="dxa"/>
          </w:tblCellMar>
        </w:tblPrEx>
        <w:tc>
          <w:tcPr>
            <w:tcW w:w="1771" w:type="dxa"/>
            <w:tcBorders>
              <w:top w:val="nil"/>
            </w:tcBorders>
          </w:tcPr>
          <w:p w:rsidR="003B3271" w:rsidRPr="0008481A" w:rsidRDefault="003B3271">
            <w:pPr>
              <w:tabs>
                <w:tab w:val="left" w:pos="284"/>
              </w:tabs>
              <w:spacing w:before="20" w:after="20" w:line="40" w:lineRule="atLeast"/>
              <w:ind w:right="-1"/>
              <w:jc w:val="left"/>
              <w:rPr>
                <w:sz w:val="18"/>
              </w:rPr>
            </w:pPr>
            <w:r w:rsidRPr="0008481A">
              <w:rPr>
                <w:sz w:val="18"/>
              </w:rPr>
              <w:t xml:space="preserve">Allmänna domstolar  </w:t>
            </w:r>
          </w:p>
        </w:tc>
        <w:tc>
          <w:tcPr>
            <w:tcW w:w="936"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145</w:t>
            </w:r>
          </w:p>
        </w:tc>
        <w:tc>
          <w:tcPr>
            <w:tcW w:w="850"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181</w:t>
            </w:r>
          </w:p>
        </w:tc>
        <w:tc>
          <w:tcPr>
            <w:tcW w:w="992"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15</w:t>
            </w:r>
          </w:p>
        </w:tc>
        <w:tc>
          <w:tcPr>
            <w:tcW w:w="907"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1</w:t>
            </w:r>
          </w:p>
        </w:tc>
        <w:tc>
          <w:tcPr>
            <w:tcW w:w="868"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Borders>
              <w:top w:val="nil"/>
            </w:tcBorders>
          </w:tcPr>
          <w:p w:rsidR="003B3271" w:rsidRPr="0008481A" w:rsidRDefault="003B3271">
            <w:pPr>
              <w:tabs>
                <w:tab w:val="left" w:pos="284"/>
              </w:tabs>
              <w:spacing w:before="20" w:after="20" w:line="40" w:lineRule="atLeast"/>
              <w:ind w:right="-1"/>
              <w:jc w:val="center"/>
              <w:rPr>
                <w:sz w:val="18"/>
              </w:rPr>
            </w:pPr>
            <w:r w:rsidRPr="0008481A">
              <w:rPr>
                <w:sz w:val="18"/>
              </w:rPr>
              <w:t>342</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Förvaltningsdomstolar</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40</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54</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96</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Åklagarväsendet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72</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10</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125</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14</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221</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Polisväsendet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164</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21</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229</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51</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2</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467</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Försvarsväsendet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18</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24</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Kriminalvård</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323</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185</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42</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550</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Socialtjänst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204</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20</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368</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84</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676</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Hälso-och sjukvård</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94</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108</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25</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236</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Allmän försäkring</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141</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83</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76</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300</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Arbetsmarknad m.m.</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46</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22</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56</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25</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149</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Plan- och byggnads</w:t>
            </w:r>
            <w:r w:rsidRPr="0008481A">
              <w:rPr>
                <w:sz w:val="18"/>
              </w:rPr>
              <w:softHyphen/>
              <w:t>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41</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37</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24</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102</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Exekutionsväsendet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99</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50</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13</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162</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Kommunal själv</w:t>
            </w:r>
            <w:r w:rsidRPr="0008481A">
              <w:rPr>
                <w:sz w:val="18"/>
              </w:rPr>
              <w:softHyphen/>
              <w:t>styrelse</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53</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28</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90</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Väg- och kommu</w:t>
            </w:r>
            <w:r w:rsidRPr="0008481A">
              <w:rPr>
                <w:sz w:val="18"/>
              </w:rPr>
              <w:softHyphen/>
              <w:t>nikationsväsendet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96</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41</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13</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150</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Beskattning, folk</w:t>
            </w:r>
            <w:r w:rsidRPr="0008481A">
              <w:rPr>
                <w:sz w:val="18"/>
              </w:rPr>
              <w:softHyphen/>
              <w:t xml:space="preserve">bokföring, tull </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101</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51</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45</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198</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Utbildning och  kultur</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76</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86</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25</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195</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Kyrkoärenden</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3</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13</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Överförmyndar</w:t>
            </w:r>
            <w:r w:rsidRPr="0008481A">
              <w:rPr>
                <w:sz w:val="18"/>
              </w:rPr>
              <w:softHyphen/>
              <w:t>väsendet</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22</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11</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7</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40</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Jordbruk, djurskydd, miljö- och hälsoskydd m.m.</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44</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43</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19</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106</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Utlänningsärenden</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40</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23</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6</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69</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Övriga läns</w:t>
            </w:r>
            <w:r w:rsidRPr="0008481A">
              <w:rPr>
                <w:sz w:val="18"/>
              </w:rPr>
              <w:softHyphen/>
              <w:t>styrelse</w:t>
            </w:r>
            <w:r w:rsidRPr="0008481A">
              <w:rPr>
                <w:sz w:val="18"/>
              </w:rPr>
              <w:softHyphen/>
              <w:t>ärenden, serverings</w:t>
            </w:r>
            <w:r w:rsidRPr="0008481A">
              <w:rPr>
                <w:sz w:val="18"/>
              </w:rPr>
              <w:softHyphen/>
              <w:t>tillstånd, spel</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12</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21</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Tjänstemannaärenden</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53</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25</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5</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83</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Yttrandefrihet; offent</w:t>
            </w:r>
            <w:r w:rsidRPr="0008481A">
              <w:rPr>
                <w:sz w:val="18"/>
              </w:rPr>
              <w:softHyphen/>
              <w:t>lighet och sekretess</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91</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1</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119</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96</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1</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308</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Riksdags- samt utrikesförvaltning; allm. val</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23</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8</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31</w:t>
            </w:r>
          </w:p>
        </w:tc>
      </w:tr>
      <w:tr w:rsidR="00000000" w:rsidRPr="0008481A">
        <w:tblPrEx>
          <w:tblCellMar>
            <w:top w:w="0" w:type="dxa"/>
            <w:bottom w:w="0" w:type="dxa"/>
          </w:tblCellMar>
        </w:tblPrEx>
        <w:tc>
          <w:tcPr>
            <w:tcW w:w="1771" w:type="dxa"/>
          </w:tcPr>
          <w:p w:rsidR="003B3271" w:rsidRPr="0008481A" w:rsidRDefault="003B3271">
            <w:pPr>
              <w:tabs>
                <w:tab w:val="left" w:pos="284"/>
              </w:tabs>
              <w:spacing w:before="20" w:after="20" w:line="40" w:lineRule="atLeast"/>
              <w:ind w:right="-1"/>
              <w:jc w:val="left"/>
              <w:rPr>
                <w:sz w:val="18"/>
              </w:rPr>
            </w:pPr>
            <w:r w:rsidRPr="0008481A">
              <w:rPr>
                <w:sz w:val="18"/>
              </w:rPr>
              <w:t>Övrig förvaltning</w:t>
            </w:r>
          </w:p>
        </w:tc>
        <w:tc>
          <w:tcPr>
            <w:tcW w:w="9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35</w:t>
            </w:r>
          </w:p>
        </w:tc>
        <w:tc>
          <w:tcPr>
            <w:tcW w:w="850"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28</w:t>
            </w:r>
          </w:p>
        </w:tc>
        <w:tc>
          <w:tcPr>
            <w:tcW w:w="992"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6</w:t>
            </w:r>
          </w:p>
        </w:tc>
        <w:tc>
          <w:tcPr>
            <w:tcW w:w="907"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Pr>
          <w:p w:rsidR="003B3271" w:rsidRPr="0008481A" w:rsidRDefault="003B3271">
            <w:pPr>
              <w:tabs>
                <w:tab w:val="left" w:pos="284"/>
              </w:tabs>
              <w:spacing w:before="20" w:after="20" w:line="40" w:lineRule="atLeast"/>
              <w:ind w:right="-1"/>
              <w:jc w:val="center"/>
              <w:rPr>
                <w:sz w:val="18"/>
              </w:rPr>
            </w:pPr>
            <w:r w:rsidRPr="0008481A">
              <w:rPr>
                <w:sz w:val="18"/>
              </w:rPr>
              <w:t xml:space="preserve"> 69</w:t>
            </w:r>
          </w:p>
        </w:tc>
      </w:tr>
      <w:tr w:rsidR="00000000" w:rsidRPr="0008481A">
        <w:tblPrEx>
          <w:tblCellMar>
            <w:top w:w="0" w:type="dxa"/>
            <w:bottom w:w="0" w:type="dxa"/>
          </w:tblCellMar>
        </w:tblPrEx>
        <w:tc>
          <w:tcPr>
            <w:tcW w:w="1771" w:type="dxa"/>
            <w:tcBorders>
              <w:bottom w:val="nil"/>
            </w:tcBorders>
          </w:tcPr>
          <w:p w:rsidR="003B3271" w:rsidRPr="0008481A" w:rsidRDefault="003B3271">
            <w:pPr>
              <w:tabs>
                <w:tab w:val="left" w:pos="284"/>
              </w:tabs>
              <w:spacing w:before="20" w:after="20" w:line="40" w:lineRule="atLeast"/>
              <w:ind w:right="-1"/>
              <w:jc w:val="left"/>
              <w:rPr>
                <w:sz w:val="18"/>
              </w:rPr>
            </w:pPr>
            <w:r w:rsidRPr="0008481A">
              <w:rPr>
                <w:sz w:val="18"/>
              </w:rPr>
              <w:t>Frågor utom kompe</w:t>
            </w:r>
            <w:r w:rsidRPr="0008481A">
              <w:rPr>
                <w:sz w:val="18"/>
              </w:rPr>
              <w:softHyphen/>
              <w:t>tensområdet; oklara yrkanden</w:t>
            </w:r>
          </w:p>
        </w:tc>
        <w:tc>
          <w:tcPr>
            <w:tcW w:w="936"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100</w:t>
            </w:r>
          </w:p>
        </w:tc>
        <w:tc>
          <w:tcPr>
            <w:tcW w:w="850"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79"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992"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907"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868"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w:t>
            </w:r>
          </w:p>
        </w:tc>
        <w:tc>
          <w:tcPr>
            <w:tcW w:w="736" w:type="dxa"/>
            <w:tcBorders>
              <w:bottom w:val="nil"/>
            </w:tcBorders>
          </w:tcPr>
          <w:p w:rsidR="003B3271" w:rsidRPr="0008481A" w:rsidRDefault="003B3271">
            <w:pPr>
              <w:tabs>
                <w:tab w:val="left" w:pos="284"/>
              </w:tabs>
              <w:spacing w:before="20" w:after="20" w:line="40" w:lineRule="atLeast"/>
              <w:ind w:right="-1"/>
              <w:jc w:val="center"/>
              <w:rPr>
                <w:sz w:val="18"/>
              </w:rPr>
            </w:pPr>
            <w:r w:rsidRPr="0008481A">
              <w:rPr>
                <w:sz w:val="18"/>
              </w:rPr>
              <w:t>100</w:t>
            </w:r>
          </w:p>
        </w:tc>
      </w:tr>
      <w:tr w:rsidR="00000000" w:rsidRPr="0008481A">
        <w:tblPrEx>
          <w:tblCellMar>
            <w:top w:w="0" w:type="dxa"/>
            <w:bottom w:w="0" w:type="dxa"/>
          </w:tblCellMar>
        </w:tblPrEx>
        <w:tc>
          <w:tcPr>
            <w:tcW w:w="1771" w:type="dxa"/>
            <w:tcBorders>
              <w:top w:val="nil"/>
              <w:bottom w:val="single" w:sz="4" w:space="0" w:color="auto"/>
            </w:tcBorders>
          </w:tcPr>
          <w:p w:rsidR="003B3271" w:rsidRPr="0008481A" w:rsidRDefault="003B3271">
            <w:pPr>
              <w:tabs>
                <w:tab w:val="left" w:pos="284"/>
              </w:tabs>
              <w:spacing w:before="20" w:after="20" w:line="40" w:lineRule="atLeast"/>
              <w:ind w:right="-1"/>
              <w:jc w:val="left"/>
              <w:rPr>
                <w:sz w:val="18"/>
              </w:rPr>
            </w:pPr>
            <w:r w:rsidRPr="0008481A">
              <w:rPr>
                <w:sz w:val="18"/>
              </w:rPr>
              <w:t>Summa ärenden</w:t>
            </w:r>
          </w:p>
        </w:tc>
        <w:tc>
          <w:tcPr>
            <w:tcW w:w="936"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2 142</w:t>
            </w:r>
          </w:p>
        </w:tc>
        <w:tc>
          <w:tcPr>
            <w:tcW w:w="850"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93</w:t>
            </w:r>
          </w:p>
        </w:tc>
        <w:tc>
          <w:tcPr>
            <w:tcW w:w="879"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1 953</w:t>
            </w:r>
          </w:p>
        </w:tc>
        <w:tc>
          <w:tcPr>
            <w:tcW w:w="992"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606</w:t>
            </w:r>
          </w:p>
        </w:tc>
        <w:tc>
          <w:tcPr>
            <w:tcW w:w="907"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2</w:t>
            </w:r>
          </w:p>
        </w:tc>
        <w:tc>
          <w:tcPr>
            <w:tcW w:w="868"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2</w:t>
            </w:r>
          </w:p>
        </w:tc>
        <w:tc>
          <w:tcPr>
            <w:tcW w:w="736" w:type="dxa"/>
            <w:tcBorders>
              <w:top w:val="nil"/>
              <w:bottom w:val="single" w:sz="4" w:space="0" w:color="auto"/>
            </w:tcBorders>
          </w:tcPr>
          <w:p w:rsidR="003B3271" w:rsidRPr="0008481A" w:rsidRDefault="003B3271">
            <w:pPr>
              <w:tabs>
                <w:tab w:val="left" w:pos="284"/>
              </w:tabs>
              <w:spacing w:before="20" w:after="20" w:line="40" w:lineRule="atLeast"/>
              <w:ind w:right="-1"/>
              <w:jc w:val="center"/>
              <w:rPr>
                <w:b/>
                <w:sz w:val="18"/>
              </w:rPr>
            </w:pPr>
            <w:r w:rsidRPr="0008481A">
              <w:rPr>
                <w:b/>
                <w:sz w:val="18"/>
              </w:rPr>
              <w:t>4 798</w:t>
            </w:r>
          </w:p>
        </w:tc>
      </w:tr>
    </w:tbl>
    <w:p w:rsidR="003B3271" w:rsidRPr="0008481A" w:rsidRDefault="003B3271">
      <w:pPr>
        <w:pStyle w:val="Rubrik3"/>
        <w:spacing w:before="0" w:line="240" w:lineRule="auto"/>
      </w:pPr>
    </w:p>
    <w:bookmarkStart w:id="17" w:name="_MON_1031666385"/>
    <w:bookmarkEnd w:id="17"/>
    <w:p w:rsidR="003B3271" w:rsidRPr="0008481A" w:rsidRDefault="003B3271">
      <w:pPr>
        <w:pStyle w:val="Rubrik3"/>
        <w:spacing w:before="0" w:line="240" w:lineRule="auto"/>
      </w:pPr>
      <w:r w:rsidRPr="0008481A">
        <w:object w:dxaOrig="12270" w:dyaOrig="9045">
          <v:shape id="_x0000_i1025" type="#_x0000_t75" style="width:369.45pt;height:272.55pt" o:ole="" fillcolor="window">
            <v:imagedata r:id="rId14" o:title=""/>
          </v:shape>
          <o:OLEObject Type="Embed" ProgID="Excel.Sheet.8" ShapeID="_x0000_i1025" DrawAspect="Content" ObjectID="_1827352842" r:id="rId15"/>
        </w:object>
      </w:r>
      <w:bookmarkStart w:id="18" w:name="_MON_1031396401"/>
      <w:bookmarkStart w:id="19" w:name="_MON_1031396423"/>
      <w:bookmarkStart w:id="20" w:name="_MON_1031396442"/>
      <w:bookmarkStart w:id="21" w:name="_MON_1031396453"/>
      <w:bookmarkStart w:id="22" w:name="_MON_1031396472"/>
      <w:bookmarkStart w:id="23" w:name="_MON_1031396489"/>
      <w:bookmarkStart w:id="24" w:name="_MON_1031396505"/>
      <w:bookmarkStart w:id="25" w:name="_MON_1031666549"/>
      <w:bookmarkEnd w:id="18"/>
      <w:bookmarkEnd w:id="19"/>
      <w:bookmarkEnd w:id="20"/>
      <w:bookmarkEnd w:id="21"/>
      <w:bookmarkEnd w:id="22"/>
      <w:bookmarkEnd w:id="23"/>
      <w:bookmarkEnd w:id="24"/>
      <w:bookmarkEnd w:id="25"/>
      <w:r w:rsidRPr="0008481A">
        <w:object w:dxaOrig="12276" w:dyaOrig="9050">
          <v:shape id="_x0000_i1026" type="#_x0000_t75" style="width:369pt;height:273pt" o:ole="" fillcolor="window">
            <v:imagedata r:id="rId16" o:title=""/>
          </v:shape>
          <o:OLEObject Type="Embed" ProgID="Excel.Sheet.8" ShapeID="_x0000_i1026" DrawAspect="Content" ObjectID="_1827352843" r:id="rId17"/>
        </w:object>
      </w:r>
    </w:p>
    <w:p w:rsidR="003B3271" w:rsidRPr="0008481A" w:rsidRDefault="003B3271"/>
    <w:p w:rsidR="003B3271" w:rsidRPr="0008481A" w:rsidRDefault="003B3271">
      <w:pPr>
        <w:pStyle w:val="Normaltindrag"/>
        <w:spacing w:line="240" w:lineRule="auto"/>
      </w:pPr>
    </w:p>
    <w:bookmarkStart w:id="26" w:name="_MON_1031666751"/>
    <w:bookmarkEnd w:id="26"/>
    <w:p w:rsidR="003B3271" w:rsidRPr="0008481A" w:rsidRDefault="003B3271">
      <w:pPr>
        <w:pStyle w:val="Normaltindrag"/>
        <w:spacing w:line="240" w:lineRule="auto"/>
        <w:ind w:firstLine="0"/>
      </w:pPr>
      <w:r w:rsidRPr="0008481A">
        <w:object w:dxaOrig="12281" w:dyaOrig="9050">
          <v:shape id="_x0000_i1027" type="#_x0000_t75" style="width:362.15pt;height:266.55pt" o:ole="" fillcolor="window">
            <v:imagedata r:id="rId18" o:title=""/>
          </v:shape>
          <o:OLEObject Type="Embed" ProgID="Excel.Sheet.8" ShapeID="_x0000_i1027" DrawAspect="Content" ObjectID="_1827352844" r:id="rId19"/>
        </w:object>
      </w:r>
    </w:p>
    <w:bookmarkStart w:id="27" w:name="_MON_1031666795"/>
    <w:bookmarkEnd w:id="27"/>
    <w:p w:rsidR="003B3271" w:rsidRPr="0008481A" w:rsidRDefault="003B3271">
      <w:pPr>
        <w:pStyle w:val="Rubrik3"/>
        <w:spacing w:before="0" w:line="240" w:lineRule="auto"/>
      </w:pPr>
      <w:r w:rsidRPr="0008481A">
        <w:object w:dxaOrig="12285" w:dyaOrig="9045">
          <v:shape id="_x0000_i1028" type="#_x0000_t75" style="width:363pt;height:267.45pt" o:ole="" fillcolor="window">
            <v:imagedata r:id="rId20" o:title=""/>
          </v:shape>
          <o:OLEObject Type="Embed" ProgID="Excel.Sheet.8" ShapeID="_x0000_i1028" DrawAspect="Content" ObjectID="_1827352845" r:id="rId21"/>
        </w:object>
      </w:r>
      <w:r w:rsidRPr="0008481A">
        <w:br w:type="page"/>
      </w:r>
    </w:p>
    <w:bookmarkStart w:id="28" w:name="_MON_1031396540"/>
    <w:bookmarkStart w:id="29" w:name="_MON_1031396570"/>
    <w:bookmarkStart w:id="30" w:name="_MON_1031666849"/>
    <w:bookmarkStart w:id="31" w:name="_MON_1031666862"/>
    <w:bookmarkEnd w:id="28"/>
    <w:bookmarkEnd w:id="29"/>
    <w:bookmarkEnd w:id="30"/>
    <w:bookmarkEnd w:id="31"/>
    <w:p w:rsidR="003B3271" w:rsidRPr="0008481A" w:rsidRDefault="003B3271">
      <w:pPr>
        <w:pStyle w:val="Rubrik3"/>
        <w:spacing w:before="0" w:line="240" w:lineRule="auto"/>
      </w:pPr>
      <w:r w:rsidRPr="0008481A">
        <w:object w:dxaOrig="12285" w:dyaOrig="9045">
          <v:shape id="_x0000_i1029" type="#_x0000_t75" style="width:363pt;height:267.85pt" o:ole="" fillcolor="window">
            <v:imagedata r:id="rId22" o:title=""/>
          </v:shape>
          <o:OLEObject Type="Embed" ProgID="Excel.Sheet.8" ShapeID="_x0000_i1029" DrawAspect="Content" ObjectID="_1827352846" r:id="rId23"/>
        </w:object>
      </w:r>
      <w:r w:rsidRPr="0008481A">
        <w:br w:type="page"/>
        <w:t>2.2 Besvarande av remisser</w:t>
      </w:r>
    </w:p>
    <w:p w:rsidR="003B3271" w:rsidRPr="0008481A" w:rsidRDefault="003B3271">
      <w:r w:rsidRPr="0008481A">
        <w:t>Riksdagens ombudsmän har besvarat 55 remisser, flertalet från olika departement inom Regeringskansliet.</w:t>
      </w:r>
    </w:p>
    <w:p w:rsidR="003B3271" w:rsidRPr="0008481A" w:rsidRDefault="003B3271">
      <w:r w:rsidRPr="0008481A">
        <w:rPr>
          <w:i/>
        </w:rPr>
        <w:t xml:space="preserve">ChefsJO Eklundh </w:t>
      </w:r>
      <w:r w:rsidRPr="0008481A">
        <w:t>har yttrat sig till</w:t>
      </w:r>
    </w:p>
    <w:p w:rsidR="003B3271" w:rsidRPr="0008481A" w:rsidRDefault="003B3271">
      <w:pPr>
        <w:pStyle w:val="Normaltindrag"/>
      </w:pPr>
      <w:r w:rsidRPr="0008481A">
        <w:t>1) Justitiedepartementet över betänkandet (SOU 1999:15) Nytt system för prövning av hyres- och arrendemål</w:t>
      </w:r>
    </w:p>
    <w:p w:rsidR="003B3271" w:rsidRPr="0008481A" w:rsidRDefault="003B3271">
      <w:pPr>
        <w:pStyle w:val="Normaltindrag"/>
      </w:pPr>
      <w:r w:rsidRPr="0008481A">
        <w:t>2) Riksdagens revisorer över rapporten Organisationsförändringar inom rättsväsendet</w:t>
      </w:r>
    </w:p>
    <w:p w:rsidR="003B3271" w:rsidRPr="0008481A" w:rsidRDefault="003B3271">
      <w:pPr>
        <w:pStyle w:val="Normaltindrag"/>
      </w:pPr>
      <w:r w:rsidRPr="0008481A">
        <w:t>3) Justitiedepartementet över departementspromemorian (Ds 1999:31) Polissamarbete m.m. med anledning av Schengen</w:t>
      </w:r>
    </w:p>
    <w:p w:rsidR="003B3271" w:rsidRPr="0008481A" w:rsidRDefault="003B3271">
      <w:pPr>
        <w:pStyle w:val="Normaltindrag"/>
      </w:pPr>
      <w:r w:rsidRPr="0008481A">
        <w:t>4) Justitiedepartementet över ett förslag om ett utökat verksamhetsområde för beredskapsstyrkan med uppgift att bekämpa terroraktioner m.m.</w:t>
      </w:r>
    </w:p>
    <w:p w:rsidR="003B3271" w:rsidRPr="0008481A" w:rsidRDefault="003B3271">
      <w:pPr>
        <w:pStyle w:val="Normaltindrag"/>
      </w:pPr>
      <w:r w:rsidRPr="0008481A">
        <w:t>5) Justitiedepartementet över departementspromemorian (Ds 1999:56) Ömsesidig rättslig hjälp i brottmål</w:t>
      </w:r>
    </w:p>
    <w:p w:rsidR="003B3271" w:rsidRPr="0008481A" w:rsidRDefault="003B3271">
      <w:pPr>
        <w:pStyle w:val="Normaltindrag"/>
      </w:pPr>
      <w:r w:rsidRPr="0008481A">
        <w:t>6) Justitiedepartementet över promemorian Avtal om polisiärt samarbete i Öresundsregionen (Ju 1999/4715/PÅ)</w:t>
      </w:r>
    </w:p>
    <w:p w:rsidR="003B3271" w:rsidRPr="0008481A" w:rsidRDefault="003B3271">
      <w:pPr>
        <w:pStyle w:val="Normaltindrag"/>
      </w:pPr>
      <w:r w:rsidRPr="0008481A">
        <w:t>7) Justitiedepartementet över betänkandet (SOU 1999:108) Handläggning av ungdomsmål – en utvärdering av 1995 års ungdomsreform</w:t>
      </w:r>
    </w:p>
    <w:p w:rsidR="003B3271" w:rsidRPr="0008481A" w:rsidRDefault="003B3271">
      <w:pPr>
        <w:pStyle w:val="Normaltindrag"/>
      </w:pPr>
      <w:r w:rsidRPr="0008481A">
        <w:t>8) Justitiedepartementet över departementspromemorian (Ds 1999:57) Gemensam vårdnad för ogifta föräldrar samt en språklig och redaktionell översyn av 6 kap. föräldrabalken</w:t>
      </w:r>
    </w:p>
    <w:p w:rsidR="003B3271" w:rsidRPr="0008481A" w:rsidRDefault="003B3271">
      <w:pPr>
        <w:pStyle w:val="Normaltindrag"/>
      </w:pPr>
      <w:r w:rsidRPr="0008481A">
        <w:t>9) Justitiedepartementet över en promemoria avseende sekretess för uppgift som har tillförts register för uppbörd av domstolsböter</w:t>
      </w:r>
    </w:p>
    <w:p w:rsidR="003B3271" w:rsidRPr="0008481A" w:rsidRDefault="003B3271">
      <w:pPr>
        <w:pStyle w:val="Normaltindrag"/>
      </w:pPr>
      <w:r w:rsidRPr="0008481A">
        <w:t>10) Justitiedepartementet över departementspromemorian (Ds 2000:3) Sveriges tillträde till 1996 års EU-konvention om utlämning</w:t>
      </w:r>
    </w:p>
    <w:p w:rsidR="003B3271" w:rsidRPr="0008481A" w:rsidRDefault="003B3271">
      <w:pPr>
        <w:pStyle w:val="Normaltindrag"/>
      </w:pPr>
      <w:r w:rsidRPr="0008481A">
        <w:t>11) Justitiedepartementet över promemorian Inställda huvudförhandlingar (Ju 2000/109)</w:t>
      </w:r>
    </w:p>
    <w:p w:rsidR="003B3271" w:rsidRPr="0008481A" w:rsidRDefault="003B3271">
      <w:pPr>
        <w:pStyle w:val="Normaltindrag"/>
      </w:pPr>
      <w:r w:rsidRPr="0008481A">
        <w:t>12) Justitiedepartementet över promemorian Vissa processrättsliga frågor rörande olika forumregler (Ju 2000/250)</w:t>
      </w:r>
    </w:p>
    <w:p w:rsidR="003B3271" w:rsidRPr="0008481A" w:rsidRDefault="003B3271">
      <w:pPr>
        <w:pStyle w:val="Normaltindrag"/>
      </w:pPr>
      <w:r w:rsidRPr="0008481A">
        <w:t>13) Justitiedepartementet över promemorian Europarådets civilrättsliga konvention mot korruption (Ju 1999/2290/L2).</w:t>
      </w:r>
    </w:p>
    <w:p w:rsidR="003B3271" w:rsidRPr="0008481A" w:rsidRDefault="003B3271">
      <w:r w:rsidRPr="0008481A">
        <w:rPr>
          <w:i/>
        </w:rPr>
        <w:t>JO Pennlöv</w:t>
      </w:r>
      <w:r w:rsidRPr="0008481A">
        <w:t xml:space="preserve"> har yttrat sig till</w:t>
      </w:r>
    </w:p>
    <w:p w:rsidR="003B3271" w:rsidRPr="0008481A" w:rsidRDefault="003B3271">
      <w:pPr>
        <w:pStyle w:val="Normaltindrag"/>
      </w:pPr>
      <w:r w:rsidRPr="0008481A">
        <w:t>1) Försvarsdepartementet över betänkandet (SOU 1999:37) Under</w:t>
      </w:r>
      <w:r w:rsidRPr="0008481A">
        <w:softHyphen/>
        <w:t>rättelse</w:t>
      </w:r>
      <w:r w:rsidRPr="0008481A">
        <w:softHyphen/>
        <w:t>tjänsten – en översyn</w:t>
      </w:r>
    </w:p>
    <w:p w:rsidR="003B3271" w:rsidRPr="0008481A" w:rsidRDefault="003B3271">
      <w:pPr>
        <w:pStyle w:val="Normaltindrag"/>
      </w:pPr>
      <w:r w:rsidRPr="0008481A">
        <w:t>2) Finansdepartementet över betänkandet (SOU 1999:54) En ny tullag</w:t>
      </w:r>
    </w:p>
    <w:p w:rsidR="003B3271" w:rsidRPr="0008481A" w:rsidRDefault="003B3271">
      <w:pPr>
        <w:pStyle w:val="Normaltindrag"/>
      </w:pPr>
      <w:r w:rsidRPr="0008481A">
        <w:t>3) Justitiedepartementet över departementspromemorian (Ds 1999:23) Överförande av straffverkställighet utan den dömdes samtycke</w:t>
      </w:r>
    </w:p>
    <w:p w:rsidR="003B3271" w:rsidRPr="0008481A" w:rsidRDefault="003B3271">
      <w:pPr>
        <w:pStyle w:val="Normaltindrag"/>
      </w:pPr>
      <w:r w:rsidRPr="0008481A">
        <w:t>4) Försvarsdepartementet över Rikspolisstyrelsens förslag om ändring i förordningen (1986:1111) om militär medverkan i civil verksamhet</w:t>
      </w:r>
    </w:p>
    <w:p w:rsidR="003B3271" w:rsidRPr="0008481A" w:rsidRDefault="003B3271">
      <w:pPr>
        <w:pStyle w:val="Normaltindrag"/>
      </w:pPr>
      <w:r w:rsidRPr="0008481A">
        <w:t>5) Finansdepartementet över departementspromemorian (Ds 1999:38) AP-fondernas organisation och placeringsregler i det reformerade pensions</w:t>
      </w:r>
      <w:r w:rsidRPr="0008481A">
        <w:softHyphen/>
        <w:t>systemet</w:t>
      </w:r>
    </w:p>
    <w:p w:rsidR="003B3271" w:rsidRPr="0008481A" w:rsidRDefault="003B3271">
      <w:pPr>
        <w:pStyle w:val="Normaltindrag"/>
      </w:pPr>
      <w:r w:rsidRPr="0008481A">
        <w:t>6) Socialdepartementet över departementspromemorian (Ds 1999:43) Automatisk balansering av ålderspensionssystemet – regler för avsteg från inkomstindex</w:t>
      </w:r>
    </w:p>
    <w:p w:rsidR="003B3271" w:rsidRPr="0008481A" w:rsidRDefault="003B3271">
      <w:pPr>
        <w:pStyle w:val="Normaltindrag"/>
      </w:pPr>
      <w:r w:rsidRPr="0008481A">
        <w:t>7) Finansdepartementet över Europeiska kommissionens förslag till tillägg till penningtvättsdirektivet</w:t>
      </w:r>
    </w:p>
    <w:p w:rsidR="003B3271" w:rsidRPr="0008481A" w:rsidRDefault="003B3271">
      <w:pPr>
        <w:pStyle w:val="Normaltindrag"/>
      </w:pPr>
      <w:r w:rsidRPr="0008481A">
        <w:t>8) Finansdepartementet över betänkandet (SOU 1999:105) Skatt, Tull, Exekution; Normer för behandling av personuppgifter</w:t>
      </w:r>
    </w:p>
    <w:p w:rsidR="003B3271" w:rsidRPr="0008481A" w:rsidRDefault="003B3271">
      <w:pPr>
        <w:pStyle w:val="Normaltindrag"/>
      </w:pPr>
      <w:r w:rsidRPr="0008481A">
        <w:t>9) Försvarsdepartementet över betänkandet (SOU 1999:128) Ja till fyr</w:t>
      </w:r>
      <w:r w:rsidRPr="0008481A">
        <w:softHyphen/>
        <w:t>verkerier – men med färre skador</w:t>
      </w:r>
    </w:p>
    <w:p w:rsidR="003B3271" w:rsidRPr="0008481A" w:rsidRDefault="003B3271">
      <w:pPr>
        <w:pStyle w:val="Normaltindrag"/>
      </w:pPr>
      <w:r w:rsidRPr="0008481A">
        <w:t>10) Finansdepartementet över departementspromemorian (Ds 2000:2) Internationellt tullsamarbete</w:t>
      </w:r>
    </w:p>
    <w:p w:rsidR="003B3271" w:rsidRPr="0008481A" w:rsidRDefault="003B3271">
      <w:pPr>
        <w:pStyle w:val="Normaltindrag"/>
      </w:pPr>
      <w:r w:rsidRPr="0008481A">
        <w:t>11) Finansdepartementet över departementspromemorian (Ds 2000:4) Ny insiderlagstiftning m.m.</w:t>
      </w:r>
    </w:p>
    <w:p w:rsidR="003B3271" w:rsidRPr="0008481A" w:rsidRDefault="003B3271">
      <w:pPr>
        <w:pStyle w:val="Normaltindrag"/>
      </w:pPr>
      <w:r w:rsidRPr="0008481A">
        <w:t>12) Finansdepartementet över en promemoria angående ändring i för</w:t>
      </w:r>
      <w:r w:rsidRPr="0008481A">
        <w:softHyphen/>
        <w:t>ordningen (1958:272) om tjänstekort</w:t>
      </w:r>
    </w:p>
    <w:p w:rsidR="003B3271" w:rsidRPr="0008481A" w:rsidRDefault="003B3271">
      <w:pPr>
        <w:pStyle w:val="Normaltindrag"/>
      </w:pPr>
      <w:r w:rsidRPr="0008481A">
        <w:t>13) Finansdepartementet över en skrivelse från Riksskatteverket med hemställan om ändring i sekretessförordningen (1980:657); (Fi 2000/999)</w:t>
      </w:r>
    </w:p>
    <w:p w:rsidR="003B3271" w:rsidRPr="0008481A" w:rsidRDefault="003B3271">
      <w:pPr>
        <w:pStyle w:val="Normaltindrag"/>
      </w:pPr>
      <w:r w:rsidRPr="0008481A">
        <w:t xml:space="preserve">14) Finansdepartementet över departementspromemorian (Ds 2000:31) Behandling av personuppgifter i Tullverkets brottsbekämpande verksamhet. </w:t>
      </w:r>
    </w:p>
    <w:p w:rsidR="003B3271" w:rsidRPr="0008481A" w:rsidRDefault="003B3271">
      <w:r w:rsidRPr="0008481A">
        <w:rPr>
          <w:i/>
        </w:rPr>
        <w:t>JO André har</w:t>
      </w:r>
      <w:r w:rsidRPr="0008481A">
        <w:t xml:space="preserve"> yttrat sig till</w:t>
      </w:r>
    </w:p>
    <w:p w:rsidR="003B3271" w:rsidRPr="0008481A" w:rsidRDefault="003B3271">
      <w:pPr>
        <w:pStyle w:val="Normaltindrag"/>
      </w:pPr>
      <w:r w:rsidRPr="0008481A">
        <w:t>1) Socialdepartementet över betänkandet (SOU 1999:51) Smittskydd, samhälle och individ</w:t>
      </w:r>
    </w:p>
    <w:p w:rsidR="003B3271" w:rsidRPr="0008481A" w:rsidRDefault="003B3271">
      <w:pPr>
        <w:pStyle w:val="Normaltindrag"/>
      </w:pPr>
      <w:r w:rsidRPr="0008481A">
        <w:t>2) Utbildningsdepartementet över betänkandet (SOU 1999:63) Att lära och leda – en lärarutbildning för samverkan och utveckling</w:t>
      </w:r>
    </w:p>
    <w:p w:rsidR="003B3271" w:rsidRPr="0008481A" w:rsidRDefault="003B3271">
      <w:pPr>
        <w:pStyle w:val="Normaltindrag"/>
      </w:pPr>
      <w:r w:rsidRPr="0008481A">
        <w:t>3) Socialdepartementet över betänkandet (SOU 1999:73) Översyn av Handikappombudsmannens framtida förutsättningar och arbetsuppgifter</w:t>
      </w:r>
    </w:p>
    <w:p w:rsidR="003B3271" w:rsidRPr="0008481A" w:rsidRDefault="003B3271">
      <w:pPr>
        <w:pStyle w:val="Normaltindrag"/>
      </w:pPr>
      <w:r w:rsidRPr="0008481A">
        <w:t>4) Socialdepartementet över betänkandet (SOU 1999:65) Barnombuds</w:t>
      </w:r>
      <w:r w:rsidRPr="0008481A">
        <w:softHyphen/>
        <w:t>mannen – företrädare för barn och ungdomar</w:t>
      </w:r>
    </w:p>
    <w:p w:rsidR="003B3271" w:rsidRPr="0008481A" w:rsidRDefault="003B3271">
      <w:pPr>
        <w:pStyle w:val="Normaltindrag"/>
      </w:pPr>
      <w:r w:rsidRPr="0008481A">
        <w:t>5) Socialdepartementet över betänkandet (SOU 1999:97) Socialtjänst i utveckling</w:t>
      </w:r>
    </w:p>
    <w:p w:rsidR="003B3271" w:rsidRPr="0008481A" w:rsidRDefault="003B3271">
      <w:pPr>
        <w:pStyle w:val="Normaltindrag"/>
      </w:pPr>
      <w:r w:rsidRPr="0008481A">
        <w:t>6) Socialdepartementet över betänkandet (SOU 1999:46) Ökade social</w:t>
      </w:r>
      <w:r w:rsidRPr="0008481A">
        <w:softHyphen/>
        <w:t>bidrag – en studie om inkomster och socialbidrag under åren 1990 till 1996</w:t>
      </w:r>
    </w:p>
    <w:p w:rsidR="003B3271" w:rsidRPr="0008481A" w:rsidRDefault="003B3271">
      <w:pPr>
        <w:pStyle w:val="Normaltindrag"/>
      </w:pPr>
      <w:r w:rsidRPr="0008481A">
        <w:t>7) Socialdepartementet över betänkandet (SOU 1999:99) Översyn av stiftelsen för internationell rapportering av läkemedelsbiverkningar</w:t>
      </w:r>
    </w:p>
    <w:p w:rsidR="003B3271" w:rsidRPr="0008481A" w:rsidRDefault="003B3271">
      <w:pPr>
        <w:pStyle w:val="Normaltindrag"/>
      </w:pPr>
      <w:r w:rsidRPr="0008481A">
        <w:t>8) Socialdepartementet över betänkandet (SOU 1999:109) Behandling av personuppgifter inom socialtjänsten</w:t>
      </w:r>
    </w:p>
    <w:p w:rsidR="003B3271" w:rsidRPr="0008481A" w:rsidRDefault="003B3271">
      <w:pPr>
        <w:pStyle w:val="Normaltindrag"/>
      </w:pPr>
      <w:r w:rsidRPr="0008481A">
        <w:t>9) Socialdepartementet över betänkandet (SOU 1999:66) God vård på lika villkor? – om statens styrning av hälso- och sjukvården</w:t>
      </w:r>
    </w:p>
    <w:p w:rsidR="003B3271" w:rsidRPr="0008481A" w:rsidRDefault="003B3271">
      <w:pPr>
        <w:pStyle w:val="Normaltindrag"/>
      </w:pPr>
      <w:r w:rsidRPr="0008481A">
        <w:t>10) Socialdepartementet över departementspromemorian (Ds 2000:5) Om</w:t>
      </w:r>
      <w:r w:rsidRPr="0008481A">
        <w:softHyphen/>
        <w:t>skärelse av pojkar</w:t>
      </w:r>
    </w:p>
    <w:p w:rsidR="003B3271" w:rsidRPr="0008481A" w:rsidRDefault="003B3271">
      <w:pPr>
        <w:pStyle w:val="Normaltindrag"/>
      </w:pPr>
      <w:r w:rsidRPr="0008481A">
        <w:t>11) Socialdepartementet över betänkandet (SOU 1999:149) Upphandling av hälso- och sjukvårdstjänster</w:t>
      </w:r>
    </w:p>
    <w:p w:rsidR="003B3271" w:rsidRPr="0008481A" w:rsidRDefault="003B3271">
      <w:pPr>
        <w:pStyle w:val="Normaltindrag"/>
      </w:pPr>
      <w:r w:rsidRPr="0008481A">
        <w:t xml:space="preserve">12) Socialdepartementet över promemorian (S 2000/2921/J) Sjukhus med vinstsyfte. </w:t>
      </w:r>
    </w:p>
    <w:p w:rsidR="003B3271" w:rsidRPr="0008481A" w:rsidRDefault="003B3271">
      <w:r w:rsidRPr="0008481A">
        <w:rPr>
          <w:i/>
        </w:rPr>
        <w:t xml:space="preserve">JO Berggren </w:t>
      </w:r>
      <w:r w:rsidRPr="0008481A">
        <w:t>har yttrat sig till</w:t>
      </w:r>
    </w:p>
    <w:p w:rsidR="003B3271" w:rsidRPr="0008481A" w:rsidRDefault="003B3271">
      <w:pPr>
        <w:pStyle w:val="Normaltindrag"/>
      </w:pPr>
      <w:r w:rsidRPr="0008481A">
        <w:t>1) Näringsdepartementet över betänkandet (SOU 1998:169) Miljöstyrande vägavgifter i tätort</w:t>
      </w:r>
    </w:p>
    <w:p w:rsidR="003B3271" w:rsidRPr="0008481A" w:rsidRDefault="003B3271">
      <w:pPr>
        <w:pStyle w:val="Normaltindrag"/>
        <w:rPr>
          <w:u w:val="double"/>
        </w:rPr>
      </w:pPr>
      <w:r w:rsidRPr="0008481A">
        <w:t>2) Näringsdepartementet över departementspromemorian (Ds 1999:54) Samverkan för färre bidrag och fler jobb</w:t>
      </w:r>
    </w:p>
    <w:p w:rsidR="003B3271" w:rsidRPr="0008481A" w:rsidRDefault="003B3271">
      <w:pPr>
        <w:pStyle w:val="Normaltindrag"/>
      </w:pPr>
      <w:r w:rsidRPr="0008481A">
        <w:t>3) Näringsdepartementet över departementspromemorian (Ds 1999:73) Elektroniska signaturer</w:t>
      </w:r>
    </w:p>
    <w:p w:rsidR="003B3271" w:rsidRPr="0008481A" w:rsidRDefault="003B3271">
      <w:pPr>
        <w:pStyle w:val="Normaltindrag"/>
      </w:pPr>
      <w:r w:rsidRPr="0008481A">
        <w:t>4) Justitiedepartementet över betänkandet (SOU 1999:53) Ekonomisk brottslighet och sekretess</w:t>
      </w:r>
    </w:p>
    <w:p w:rsidR="003B3271" w:rsidRPr="0008481A" w:rsidRDefault="003B3271">
      <w:pPr>
        <w:pStyle w:val="Normaltindrag"/>
      </w:pPr>
      <w:r w:rsidRPr="0008481A">
        <w:t>5) Justitiedepartementet över promemorian (Ju 2000/1070) Video</w:t>
      </w:r>
      <w:r w:rsidRPr="0008481A">
        <w:softHyphen/>
        <w:t>konferens och telefonkonferens i allmän förvaltningsdomstol m.m.</w:t>
      </w:r>
    </w:p>
    <w:p w:rsidR="003B3271" w:rsidRPr="0008481A" w:rsidRDefault="003B3271">
      <w:pPr>
        <w:pStyle w:val="Normaltindrag"/>
      </w:pPr>
      <w:r w:rsidRPr="0008481A">
        <w:t>6) Näringsdepartementet över Domännamnsutredningens betänkande (SOU 2000:30) ”.se”</w:t>
      </w:r>
    </w:p>
    <w:p w:rsidR="003B3271" w:rsidRPr="0008481A" w:rsidRDefault="003B3271">
      <w:pPr>
        <w:pStyle w:val="Normaltindrag"/>
      </w:pPr>
      <w:r w:rsidRPr="0008481A">
        <w:t>7) Justitiedepartementet över departementspromemorian (Ds 2000:30) Ombudskrav, prioritet och elektronisk ingivning – några frågor om patent och växtförädlarrätt.</w:t>
      </w:r>
    </w:p>
    <w:p w:rsidR="003B3271" w:rsidRPr="0008481A" w:rsidRDefault="003B3271">
      <w:r w:rsidRPr="0008481A">
        <w:rPr>
          <w:i/>
        </w:rPr>
        <w:t xml:space="preserve">Stf ombudsmannen Norell Söderblom </w:t>
      </w:r>
      <w:r w:rsidRPr="0008481A">
        <w:t>har yttrat sig till</w:t>
      </w:r>
    </w:p>
    <w:p w:rsidR="003B3271" w:rsidRPr="0008481A" w:rsidRDefault="003B3271">
      <w:pPr>
        <w:pStyle w:val="Normaltindrag"/>
      </w:pPr>
      <w:r w:rsidRPr="0008481A">
        <w:t>Socialdepartementet över promemorian Nationell handlingsplan mot tobak.</w:t>
      </w:r>
    </w:p>
    <w:p w:rsidR="003B3271" w:rsidRPr="0008481A" w:rsidRDefault="003B3271">
      <w:pPr>
        <w:tabs>
          <w:tab w:val="left" w:pos="284"/>
        </w:tabs>
      </w:pPr>
      <w:r w:rsidRPr="0008481A">
        <w:rPr>
          <w:i/>
        </w:rPr>
        <w:t xml:space="preserve">Stf ombudsmannen Ekberg </w:t>
      </w:r>
      <w:r w:rsidRPr="0008481A">
        <w:t>har yttrat sig till</w:t>
      </w:r>
    </w:p>
    <w:p w:rsidR="003B3271" w:rsidRPr="0008481A" w:rsidRDefault="003B3271">
      <w:pPr>
        <w:pStyle w:val="Normaltindrag"/>
      </w:pPr>
      <w:r w:rsidRPr="0008481A">
        <w:t>1) Kulturdepartementet över betänkandet (SOU 1999:34) Svenskt med</w:t>
      </w:r>
      <w:r w:rsidRPr="0008481A">
        <w:softHyphen/>
        <w:t>borgarskap</w:t>
      </w:r>
    </w:p>
    <w:p w:rsidR="003B3271" w:rsidRPr="0008481A" w:rsidRDefault="003B3271">
      <w:pPr>
        <w:pStyle w:val="Normaltindrag"/>
      </w:pPr>
      <w:r w:rsidRPr="0008481A">
        <w:t>2) Jordbruksdepartementet över betänkandet (SOU 1999:25) Samerna – ett ursprungsfolk i Sverige</w:t>
      </w:r>
    </w:p>
    <w:p w:rsidR="003B3271" w:rsidRPr="0008481A" w:rsidRDefault="003B3271">
      <w:pPr>
        <w:pStyle w:val="Normaltindrag"/>
      </w:pPr>
      <w:r w:rsidRPr="0008481A">
        <w:t>3) Utrikesdepartementet över betänkandet (SOU 1999:16) Ny instans- och processordning i utlänningsärenden samt betänkandet (SOU 1997:152) av Anknytningsutredningen</w:t>
      </w:r>
    </w:p>
    <w:p w:rsidR="003B3271" w:rsidRPr="0008481A" w:rsidRDefault="003B3271">
      <w:pPr>
        <w:pStyle w:val="Normaltindrag"/>
      </w:pPr>
      <w:r w:rsidRPr="0008481A">
        <w:t>4) Kulturdepartementet över betänkandet (SOU 1999:30) Yttrandefriheten och konkurrensen. Förslag till mediekoncentrationslag m.m.</w:t>
      </w:r>
    </w:p>
    <w:p w:rsidR="003B3271" w:rsidRPr="0008481A" w:rsidRDefault="003B3271">
      <w:pPr>
        <w:pStyle w:val="Normaltindrag"/>
      </w:pPr>
      <w:r w:rsidRPr="0008481A">
        <w:t>5) Justitiedepartementet över betänkandet (SOU 1999:31) Tillsyn över advokater m.m.</w:t>
      </w:r>
    </w:p>
    <w:p w:rsidR="003B3271" w:rsidRPr="0008481A" w:rsidRDefault="003B3271">
      <w:pPr>
        <w:pStyle w:val="Normaltindrag"/>
      </w:pPr>
      <w:r w:rsidRPr="0008481A">
        <w:t>6) Justitiedepartementet över en promemoria om ändringar i avgifts</w:t>
      </w:r>
      <w:r w:rsidRPr="0008481A">
        <w:softHyphen/>
        <w:t>systemet i rättshjälpslagen</w:t>
      </w:r>
    </w:p>
    <w:p w:rsidR="003B3271" w:rsidRPr="0008481A" w:rsidRDefault="003B3271">
      <w:pPr>
        <w:pStyle w:val="Normaltindrag"/>
      </w:pPr>
      <w:r w:rsidRPr="0008481A">
        <w:t>7) Kulturdepartementet över betänkandet (SOU 1999:55) Konvergens och förändring. Samordning av lagstiftningen för medie- och telesektorerna</w:t>
      </w:r>
    </w:p>
    <w:p w:rsidR="003B3271" w:rsidRPr="0008481A" w:rsidRDefault="003B3271">
      <w:pPr>
        <w:pStyle w:val="Normaltindrag"/>
      </w:pPr>
      <w:r w:rsidRPr="0008481A">
        <w:t>8) Justitiedepartementet över lagrådsremissen Upphovsrätten och offent</w:t>
      </w:r>
      <w:r w:rsidRPr="0008481A">
        <w:softHyphen/>
        <w:t>lighetsprincipen II.</w:t>
      </w:r>
    </w:p>
    <w:p w:rsidR="003B3271" w:rsidRPr="0008481A" w:rsidRDefault="003B3271">
      <w:pPr>
        <w:pStyle w:val="Rubrik3"/>
      </w:pPr>
      <w:r w:rsidRPr="0008481A">
        <w:t>2.3 Framställningar och överlämnande av beslut till riksdagen respektive regeringen</w:t>
      </w:r>
    </w:p>
    <w:p w:rsidR="003B3271" w:rsidRPr="0008481A" w:rsidRDefault="003B3271">
      <w:r w:rsidRPr="0008481A">
        <w:rPr>
          <w:i/>
        </w:rPr>
        <w:t xml:space="preserve">ChefsJO Eklundh </w:t>
      </w:r>
      <w:r w:rsidRPr="0008481A">
        <w:t>har gjort en framställning till regeringen med stöd av 4 § instruktionen om övervägande av lagändring för att avhjälpa en brist på uttryckligt lagstöd för en polismyndighet att till Kriminalvårdens transport</w:t>
      </w:r>
      <w:r w:rsidRPr="0008481A">
        <w:softHyphen/>
        <w:t>tjänst överlämna verkställigheten av ett handräckningsbeslut avseende transport av en frihetsberövad person, se s. 95</w:t>
      </w:r>
    </w:p>
    <w:p w:rsidR="003B3271" w:rsidRPr="0008481A" w:rsidRDefault="003B3271">
      <w:pPr>
        <w:pStyle w:val="Normaltindrag"/>
      </w:pPr>
      <w:r w:rsidRPr="0008481A">
        <w:rPr>
          <w:i/>
        </w:rPr>
        <w:t xml:space="preserve">JO Pennlöv </w:t>
      </w:r>
      <w:r w:rsidRPr="0008481A">
        <w:t>har efter samråd med chefsJO Eklundh gjort en framställning till regeringen (Socialdepartementet) med stöd av 4 § instruktionen om övervägande av författningsändring i anledning av vissa brister i lagen (1996:1030) om underhållsstöd, se s. 384</w:t>
      </w:r>
    </w:p>
    <w:p w:rsidR="003B3271" w:rsidRPr="0008481A" w:rsidRDefault="003B3271">
      <w:pPr>
        <w:pStyle w:val="Normaltindrag"/>
      </w:pPr>
      <w:r w:rsidRPr="0008481A">
        <w:t>40 beslut har överlämnats till riksdagsutskott, departement inom Rege</w:t>
      </w:r>
      <w:r w:rsidRPr="0008481A">
        <w:softHyphen/>
        <w:t>rings</w:t>
      </w:r>
      <w:r w:rsidRPr="0008481A">
        <w:softHyphen/>
        <w:t>kansliet eller myndigheter. Överlämnandena har gjorts för att fästa veder</w:t>
      </w:r>
      <w:r w:rsidRPr="0008481A">
        <w:softHyphen/>
        <w:t>börandes uppmärksamhet på förhållanden som framkommit under ärendets utredning eller för kännedom. Av de överlämnade besluten tillhör 5 ansvarsområde 1 enligt arbetsordningen, 25 ansvarsområde 2, 8 ansvars</w:t>
      </w:r>
      <w:r w:rsidRPr="0008481A">
        <w:softHyphen/>
        <w:t>område 3 och 2 ansvarsområde 4.</w:t>
      </w:r>
    </w:p>
    <w:p w:rsidR="003B3271" w:rsidRPr="0008481A" w:rsidRDefault="003B3271">
      <w:pPr>
        <w:pStyle w:val="Rubrik3"/>
      </w:pPr>
      <w:r w:rsidRPr="0008481A">
        <w:t>2.4 Åtal, anmälningar för vidtagande av disciplinär åtgärd, över</w:t>
      </w:r>
      <w:r w:rsidRPr="0008481A">
        <w:softHyphen/>
        <w:t>lämnande av klagomål till annan myndighet m.m.</w:t>
      </w:r>
    </w:p>
    <w:p w:rsidR="003B3271" w:rsidRPr="0008481A" w:rsidRDefault="003B3271">
      <w:r w:rsidRPr="0008481A">
        <w:t>Under verksamhetsåret har ett åtal väckts.</w:t>
      </w:r>
    </w:p>
    <w:p w:rsidR="003B3271" w:rsidRPr="0008481A" w:rsidRDefault="003B3271">
      <w:r w:rsidRPr="0008481A">
        <w:rPr>
          <w:i/>
        </w:rPr>
        <w:t xml:space="preserve">ChefsJO Eklundh </w:t>
      </w:r>
      <w:r w:rsidRPr="0008481A">
        <w:t>har åtalat en åklagare för tjänstefel – bl.a. fråga om beslag utan författningsstöd av medel på ett postgirokonto (dnr 2626-1999).</w:t>
      </w:r>
    </w:p>
    <w:p w:rsidR="003B3271" w:rsidRPr="0008481A" w:rsidRDefault="003B3271">
      <w:pPr>
        <w:pStyle w:val="Normaltindrag"/>
      </w:pPr>
      <w:r w:rsidRPr="0008481A">
        <w:t>En anmälan har gjorts för vidtagande av disciplinär åtgärd mot en tjänste</w:t>
      </w:r>
      <w:r w:rsidRPr="0008481A">
        <w:softHyphen/>
        <w:t>man.</w:t>
      </w:r>
    </w:p>
    <w:p w:rsidR="003B3271" w:rsidRPr="0008481A" w:rsidRDefault="003B3271">
      <w:pPr>
        <w:pStyle w:val="Normaltindrag"/>
      </w:pPr>
      <w:r w:rsidRPr="0008481A">
        <w:rPr>
          <w:i/>
        </w:rPr>
        <w:t xml:space="preserve">JO Berggren </w:t>
      </w:r>
      <w:r w:rsidRPr="0008481A">
        <w:t>har anmält en befattningshavare vid Statens kriminaltekniska laboratorium till Rikspolisstyrelsens personalansvarsnämnd för tjänste</w:t>
      </w:r>
      <w:r w:rsidRPr="0008481A">
        <w:softHyphen/>
        <w:t xml:space="preserve">förseelse – bl.a. fråga om fel vid undersökning/vägning av i beslag tagen narkotika (dnr 3689-1998).  </w:t>
      </w:r>
    </w:p>
    <w:p w:rsidR="003B3271" w:rsidRPr="0008481A" w:rsidRDefault="003B3271">
      <w:pPr>
        <w:pStyle w:val="Normaltindrag"/>
      </w:pPr>
      <w:r w:rsidRPr="0008481A">
        <w:t>Med stöd av 18 § instruktionen har 4 initiativärenden och 93 klago</w:t>
      </w:r>
      <w:r w:rsidRPr="0008481A">
        <w:softHyphen/>
        <w:t xml:space="preserve">målsärenden lämnats över till annan tillsynsmyndighet för prövning och avgörande. (Motsvarande antal under verksamhetsåret 1997/98 var </w:t>
      </w:r>
      <w:r w:rsidRPr="0008481A">
        <w:br/>
        <w:t>1 initiativärende och 48 klagomålsärenden.) Av de överlämnade ärendena tillhörde 35 ansvarsområde 1, 1 ansvarsområde 2, 38 ansvarsområde 3 och 23 ärenden ansvarsområde 4 enligt arbetsordningen.</w:t>
      </w:r>
    </w:p>
    <w:p w:rsidR="003B3271" w:rsidRPr="0008481A" w:rsidRDefault="003B3271">
      <w:pPr>
        <w:pStyle w:val="Rubrik3"/>
      </w:pPr>
      <w:r w:rsidRPr="0008481A">
        <w:t xml:space="preserve">2.5 Inspektioner </w:t>
      </w:r>
    </w:p>
    <w:p w:rsidR="003B3271" w:rsidRPr="0008481A" w:rsidRDefault="003B3271">
      <w:r w:rsidRPr="0008481A">
        <w:rPr>
          <w:i/>
        </w:rPr>
        <w:t>ChefsJO Eklundh</w:t>
      </w:r>
      <w:r w:rsidRPr="0008481A">
        <w:t xml:space="preserve"> har inspekterat Polismyndigheten i Stockholms län, City polismästardistrikt, närpolisområde Centralstationen, Polismyndigheten i Stockholms län, City polismästardistrikt, närpolisområde Klara, samt Polismyndigheten i Hallands län. </w:t>
      </w:r>
      <w:r w:rsidRPr="0008481A">
        <w:rPr>
          <w:i/>
        </w:rPr>
        <w:t xml:space="preserve">Byråchefen Owe Hultin </w:t>
      </w:r>
      <w:r w:rsidRPr="0008481A">
        <w:t>har på chefsJO Eklundhs uppdrag inspekterat Örnsköldsviks tingsrätt. Inspektionerna har omfattat sammanlagt 10 dagar.</w:t>
      </w:r>
    </w:p>
    <w:p w:rsidR="003B3271" w:rsidRPr="0008481A" w:rsidRDefault="003B3271">
      <w:pPr>
        <w:pStyle w:val="Normaltindrag"/>
      </w:pPr>
      <w:r w:rsidRPr="0008481A">
        <w:rPr>
          <w:i/>
        </w:rPr>
        <w:t>JO Pennlöv</w:t>
      </w:r>
      <w:r w:rsidRPr="0008481A">
        <w:t xml:space="preserve"> har inspekterat Kriminalvårdsstyrelsen, Kriminal</w:t>
      </w:r>
      <w:r w:rsidRPr="0008481A">
        <w:softHyphen/>
        <w:t>vårds</w:t>
      </w:r>
      <w:r w:rsidRPr="0008481A">
        <w:softHyphen/>
        <w:t>myndigheten Göteborg Hisingen/förorter, anstalten Skogome, frivården Hisingen/förorter och Övervakningsnämnden Hisingen/förorter, Kriminal</w:t>
      </w:r>
      <w:r w:rsidRPr="0008481A">
        <w:softHyphen/>
        <w:t>vårdsmyndigheten Göteborg Centrum, häktet Göteborg, Kriminalvårds</w:t>
      </w:r>
      <w:r w:rsidRPr="0008481A">
        <w:softHyphen/>
        <w:t>myndigheten Stockholm Söder, anstalten Asptuna, Kriminalvårds</w:t>
      </w:r>
      <w:r w:rsidRPr="0008481A">
        <w:softHyphen/>
        <w:t>myndig</w:t>
      </w:r>
      <w:r w:rsidRPr="0008481A">
        <w:softHyphen/>
        <w:t>heten Norrköping, anstalten Norrköping, Västra Götalands läns allmänna försäkringskassa, Värmlands läns allmänna försäkringskassa, Stockholms läns allmänna försäkringskassa, lokalkon</w:t>
      </w:r>
      <w:r w:rsidRPr="0008481A">
        <w:t>toret Hässelby, Vällingby och Bromma, Skattemyndigheten i Göteborg, skattekontoren Hisingen och Östra Göteborg, Kronofogdemyndigheten i Jönköping, Överförmyndaren i Orsa kommun, Överförmyndarnämnden i Leksands kommun, Överförmyndaren i Falu kommun samt Överförmyndarnämnden i Göteborgs kommun. Inspektionerna har omfattat sammanlagt 22 dagar.</w:t>
      </w:r>
    </w:p>
    <w:p w:rsidR="003B3271" w:rsidRPr="0008481A" w:rsidRDefault="003B3271">
      <w:pPr>
        <w:pStyle w:val="Normaltindrag"/>
      </w:pPr>
      <w:r w:rsidRPr="0008481A">
        <w:rPr>
          <w:i/>
        </w:rPr>
        <w:t>JO André</w:t>
      </w:r>
      <w:r w:rsidRPr="0008481A">
        <w:t xml:space="preserve"> har inspekterat Socialnämnden i Kalmar kommun, Omsorgs</w:t>
      </w:r>
      <w:r w:rsidRPr="0008481A">
        <w:softHyphen/>
        <w:t>nämnden i Kalmar kommun, Kalmarsunds gymnasieförbund, Social- och omvårdnadsnämnden samt Utbildningsnämnden i Upplands Väsby kommun (såvitt avser dessa nämnders verksamhet enligt lagen (1993:387) om stöd och service till vissa funktionshindrade (LSS), Centrala studiestödsnämnden (CSN) i Stockholm samt Centrala studiestödsnämnden (CSN) i Sundsvall. Inspektionerna har omfattat sammanlagt 15 dagar.</w:t>
      </w:r>
    </w:p>
    <w:p w:rsidR="003B3271" w:rsidRPr="0008481A" w:rsidRDefault="003B3271">
      <w:pPr>
        <w:pStyle w:val="Normaltindrag"/>
      </w:pPr>
      <w:r w:rsidRPr="0008481A">
        <w:rPr>
          <w:i/>
        </w:rPr>
        <w:t xml:space="preserve">JO Berggren </w:t>
      </w:r>
      <w:r w:rsidRPr="0008481A">
        <w:t>har inspekterat Byggnads- och miljönämnden i Gävle kommun såvitt avser plan- och byggväsendet, Byggnads- och miljönämnden i Gävle kommun såvitt avser miljö- och hälsoskyddsfrågor, Tekniska nämnden i Gävle kommun, Miljönämnden i Vellinge kommun, Byggnads</w:t>
      </w:r>
      <w:r w:rsidRPr="0008481A">
        <w:softHyphen/>
        <w:t>nämnden i Vellinge kommun samt M-nämnden i Vellinge kommun såvitt avser färdtjänstärenden. Inspektionerna har omfattat sammanlagt 6 dagar.</w:t>
      </w:r>
    </w:p>
    <w:p w:rsidR="003B3271" w:rsidRPr="0008481A" w:rsidRDefault="003B3271">
      <w:pPr>
        <w:pStyle w:val="Normaltindrag"/>
      </w:pPr>
      <w:r w:rsidRPr="0008481A">
        <w:rPr>
          <w:i/>
        </w:rPr>
        <w:t>Stf ombudsmannen Ekberg</w:t>
      </w:r>
      <w:r w:rsidRPr="0008481A">
        <w:t xml:space="preserve"> har inspekterat Teknik- och idrottsnämnden i Västerås kommun såvitt avser färdtjänstärenden, Byggnadsnämnden i Västerås kommun, Miljö- och hälsoskyddsnämnden i Västerås kommun, Socialnämnden i Norrköpings kommun såvitt avser färdtjänstärenden samt Vuxennämnden i Eskilstuna kommun, färdtjänstenheten. Inspektionerna har omfattat sammanlagt 4 dagar.</w:t>
      </w:r>
    </w:p>
    <w:p w:rsidR="003B3271" w:rsidRPr="0008481A" w:rsidRDefault="003B3271">
      <w:pPr>
        <w:pStyle w:val="Normaltindrag"/>
      </w:pPr>
      <w:r w:rsidRPr="0008481A">
        <w:t xml:space="preserve">Totalt har 57 dagar ägnats åt inspektioner (föregående verksamhetsår 45 dagar). </w:t>
      </w:r>
    </w:p>
    <w:p w:rsidR="003B3271" w:rsidRPr="0008481A" w:rsidRDefault="003B3271">
      <w:pPr>
        <w:pStyle w:val="Rubrik3"/>
      </w:pPr>
      <w:r w:rsidRPr="0008481A">
        <w:t>2.6 Samråd med riksdagens konstitutionsutskott m.m.</w:t>
      </w:r>
    </w:p>
    <w:p w:rsidR="003B3271" w:rsidRPr="0008481A" w:rsidRDefault="003B3271">
      <w:r w:rsidRPr="0008481A">
        <w:t xml:space="preserve">I samband med överlämnandet till riksdagen av ämbetsberättelsen 1999/2000 besökte </w:t>
      </w:r>
      <w:r w:rsidRPr="0008481A">
        <w:rPr>
          <w:i/>
        </w:rPr>
        <w:t xml:space="preserve">ChefsJO Eklundh, JO Pennlöv, JO André, stf ombudsmännen Norell Söderblom och Ekberg </w:t>
      </w:r>
      <w:r w:rsidRPr="0008481A">
        <w:t xml:space="preserve">samt </w:t>
      </w:r>
      <w:r w:rsidRPr="0008481A">
        <w:rPr>
          <w:i/>
        </w:rPr>
        <w:t xml:space="preserve">kanslichefen Swanström </w:t>
      </w:r>
      <w:r w:rsidRPr="0008481A">
        <w:t>den 25 november 1999    konstitutionsutskottet och informerade dess ledamöter om ämbetsberättelsens innehåll och i övrigt om verksamheten under 1998/99 samt besvarade ledamöternas frågor.</w:t>
      </w:r>
    </w:p>
    <w:p w:rsidR="003B3271" w:rsidRPr="0008481A" w:rsidRDefault="003B3271">
      <w:pPr>
        <w:pStyle w:val="Normaltindrag"/>
      </w:pPr>
      <w:r w:rsidRPr="0008481A">
        <w:t>Två tjänstemän vid konstitutionsutskottets kansli besökte ombudsmanna- expeditionen den 8 november 1999 för att orientera sig om verksamheten och arbetsläget.</w:t>
      </w:r>
    </w:p>
    <w:p w:rsidR="003B3271" w:rsidRPr="0008481A" w:rsidRDefault="003B3271">
      <w:pPr>
        <w:pStyle w:val="Normaltindrag"/>
      </w:pPr>
      <w:r w:rsidRPr="0008481A">
        <w:t>De fyra justitieombudsmännen och kanslichefen diskuterade vid ett möte den 9 mars 2000 budgetfrågor med konstitutionsutskottets presidium och kanslichef.</w:t>
      </w:r>
      <w:r w:rsidRPr="0008481A">
        <w:tab/>
      </w:r>
    </w:p>
    <w:p w:rsidR="003B3271" w:rsidRPr="0008481A" w:rsidRDefault="003B3271">
      <w:pPr>
        <w:pStyle w:val="Normaltindrag"/>
      </w:pPr>
      <w:r w:rsidRPr="0008481A">
        <w:t>I övrigt har frågor av principiellt och gemensamt intresse dryftats vid infor</w:t>
      </w:r>
      <w:r w:rsidRPr="0008481A">
        <w:softHyphen/>
        <w:t>mella kontakter mellan ombudsmännen – särskilt chefsJO – och före</w:t>
      </w:r>
      <w:r w:rsidRPr="0008481A">
        <w:softHyphen/>
        <w:t>trädare för konstitutionsutskottet, främst dess presidium. I åtskilliga ange</w:t>
      </w:r>
      <w:r w:rsidRPr="0008481A">
        <w:softHyphen/>
        <w:t>lägenheter har samråd skett mellan kanslicheferna.</w:t>
      </w:r>
    </w:p>
    <w:p w:rsidR="003B3271" w:rsidRPr="0008481A" w:rsidRDefault="003B3271">
      <w:pPr>
        <w:pStyle w:val="Rubrik3"/>
      </w:pPr>
      <w:r w:rsidRPr="0008481A">
        <w:t>2.7 Justitieombudsmännens och vissa tjänstemäns deltagande i konferenser, seminarier och utbildningsverksamhet m.m. inom Sverige</w:t>
      </w:r>
    </w:p>
    <w:p w:rsidR="003B3271" w:rsidRPr="0008481A" w:rsidRDefault="003B3271">
      <w:pPr>
        <w:tabs>
          <w:tab w:val="left" w:pos="284"/>
        </w:tabs>
      </w:pPr>
      <w:r w:rsidRPr="0008481A">
        <w:rPr>
          <w:i/>
        </w:rPr>
        <w:t xml:space="preserve">ChefsJO Eklundh </w:t>
      </w:r>
      <w:r w:rsidRPr="0008481A">
        <w:t xml:space="preserve">deltog tillsammans med </w:t>
      </w:r>
      <w:r w:rsidRPr="0008481A">
        <w:rPr>
          <w:i/>
        </w:rPr>
        <w:t>kanslichefen Swanström</w:t>
      </w:r>
      <w:r w:rsidRPr="0008481A">
        <w:t xml:space="preserve"> den 23 augusti 1999 på inbjudan av riksdagen i ett seminarium i presentationsteknik och metodik samt den 8 september 1999 i seminariet Parliamentary Demo</w:t>
      </w:r>
      <w:r w:rsidRPr="0008481A">
        <w:softHyphen/>
        <w:t xml:space="preserve">cracy and Management of Parliaments, organiserat av SIDA International i samarbete med riksdagen. Vidare deltog chefsJO Eklundh den 15 september 1999 i ett av Rikspolisstyrelsen anordnat kompetensutvecklingsseminarium för personer som anlitas i RPS tillsyns- och inspektionsverksamhet (även </w:t>
      </w:r>
      <w:r w:rsidRPr="0008481A">
        <w:rPr>
          <w:i/>
        </w:rPr>
        <w:t xml:space="preserve">byråcheferna Hultin </w:t>
      </w:r>
      <w:r w:rsidRPr="0008481A">
        <w:t>o</w:t>
      </w:r>
      <w:r w:rsidRPr="0008481A">
        <w:t xml:space="preserve">ch </w:t>
      </w:r>
      <w:r w:rsidRPr="0008481A">
        <w:rPr>
          <w:i/>
        </w:rPr>
        <w:t xml:space="preserve">Manninen </w:t>
      </w:r>
      <w:r w:rsidRPr="0008481A">
        <w:t>medverkade) samt föreläste den 16 september 1999 om olika tillsynsfrågor, bl.a. polisens nya tillsyns</w:t>
      </w:r>
      <w:r w:rsidRPr="0008481A">
        <w:softHyphen/>
        <w:t xml:space="preserve">organisation. ChefsJO Eklundh föreläste vid fyra tillfällen vid av Raoul Wallenberginstitutet i Lund anordnade kurser och seminarier: den 28 september 1999 inom Advanced Programme on Administration of Justice in Kenya, den 22 februari 2000 inom Advanced Programme on Human Rights för deltagare från Palestina, den 15 mars 2000 vid ett seminarium för en grupp åklagare och domare från Etiopien samt </w:t>
      </w:r>
      <w:r w:rsidRPr="0008481A">
        <w:t>den 22 maj 2000 inom Advanced International Programme on Human Rights. Han medverkade den 7 oktober 1999 vid ett seminarium på Balingsholms kursgård på inbjudan av Kommittén om domstolschefens roll och utnämningen av högre domare och den 8 oktober 1999 – tillsammans med kanslichefen Swanström – i ett seminarium om riksdagens kontrollmakt, anordnat av riksdagen för en besökande delegation från Lettlands parlament. Slutligen föreläste han den 13 oktober 1999 vid en av Riksåklagaren anordnad åklagarkurs, den 2</w:t>
      </w:r>
      <w:r w:rsidRPr="0008481A">
        <w:t>3 november 1999 vid Svensk juriststämma i Älvsjö samt den 7 april 2000 på Polishögskolan.</w:t>
      </w:r>
    </w:p>
    <w:p w:rsidR="003B3271" w:rsidRPr="0008481A" w:rsidRDefault="003B3271">
      <w:pPr>
        <w:pStyle w:val="Normaltindrag"/>
        <w:rPr>
          <w:i/>
        </w:rPr>
      </w:pPr>
      <w:r w:rsidRPr="0008481A">
        <w:rPr>
          <w:i/>
        </w:rPr>
        <w:t>JO Pennlöv</w:t>
      </w:r>
      <w:r w:rsidRPr="0008481A">
        <w:t xml:space="preserve"> höll föredrag och deltog i diskussioner den 9 maj 2000 vid ett av Försäkringskasseförbundet anordnat seminarium för försäkringskassornas ordförande, vice ordförande och direktörer, den 18 maj 2000 vid ett möte i Malmö för handläggare vid Skåne läns allmänna försäkringskassa samt den 30 maj 2000 vid ett seminarium på Sjudarhöjdens kursgård för ledamöter av socialförsäkringsnämnder.</w:t>
      </w:r>
      <w:r w:rsidRPr="0008481A">
        <w:rPr>
          <w:i/>
        </w:rPr>
        <w:t xml:space="preserve"> </w:t>
      </w:r>
    </w:p>
    <w:p w:rsidR="003B3271" w:rsidRPr="0008481A" w:rsidRDefault="003B3271">
      <w:pPr>
        <w:pStyle w:val="Normaltindrag"/>
      </w:pPr>
      <w:r w:rsidRPr="0008481A">
        <w:rPr>
          <w:i/>
        </w:rPr>
        <w:t xml:space="preserve">JO André </w:t>
      </w:r>
      <w:r w:rsidRPr="0008481A">
        <w:t xml:space="preserve">deltog den 13 april 2000 tillsammans med </w:t>
      </w:r>
      <w:r w:rsidRPr="0008481A">
        <w:rPr>
          <w:i/>
        </w:rPr>
        <w:t xml:space="preserve">byråchefen Sjöstedt </w:t>
      </w:r>
      <w:r w:rsidRPr="0008481A">
        <w:t>i ett kompetensutvecklingsseminarium för personal inom tillsyns</w:t>
      </w:r>
      <w:r w:rsidRPr="0008481A">
        <w:softHyphen/>
        <w:t>enheten vid Skolverket.</w:t>
      </w:r>
    </w:p>
    <w:p w:rsidR="003B3271" w:rsidRPr="0008481A" w:rsidRDefault="003B3271">
      <w:pPr>
        <w:pStyle w:val="Normaltindrag"/>
        <w:rPr>
          <w:sz w:val="20"/>
        </w:rPr>
      </w:pPr>
      <w:r w:rsidRPr="0008481A">
        <w:rPr>
          <w:i/>
        </w:rPr>
        <w:t xml:space="preserve">JO Berggren </w:t>
      </w:r>
      <w:r w:rsidRPr="0008481A">
        <w:t>och</w:t>
      </w:r>
      <w:r w:rsidRPr="0008481A">
        <w:rPr>
          <w:i/>
        </w:rPr>
        <w:t xml:space="preserve"> byråchefen Hedbom Blomkvist</w:t>
      </w:r>
      <w:r w:rsidRPr="0008481A">
        <w:t xml:space="preserve"> deltog den 23 maj 2000 i en konferens i Göteborg, anordnad av Föreningen för länsstyrelsernas chefs</w:t>
      </w:r>
      <w:r w:rsidRPr="0008481A">
        <w:softHyphen/>
        <w:t>jurister.</w:t>
      </w:r>
      <w:r w:rsidRPr="0008481A">
        <w:rPr>
          <w:sz w:val="20"/>
        </w:rPr>
        <w:t xml:space="preserve"> </w:t>
      </w:r>
    </w:p>
    <w:p w:rsidR="003B3271" w:rsidRPr="0008481A" w:rsidRDefault="003B3271">
      <w:pPr>
        <w:pStyle w:val="Normaltindrag"/>
      </w:pPr>
      <w:r w:rsidRPr="0008481A">
        <w:rPr>
          <w:i/>
        </w:rPr>
        <w:t xml:space="preserve">Byråchefen Hedbom Blomkvist </w:t>
      </w:r>
      <w:r w:rsidRPr="0008481A">
        <w:t>föreläste den 18 januari 2000 vid ett av Vägverket anordnat seminarium i Örebro för anställda inom myndig</w:t>
      </w:r>
      <w:r w:rsidRPr="0008481A">
        <w:softHyphen/>
        <w:t xml:space="preserve">heten. </w:t>
      </w:r>
    </w:p>
    <w:p w:rsidR="003B3271" w:rsidRPr="0008481A" w:rsidRDefault="003B3271">
      <w:pPr>
        <w:pStyle w:val="Normaltindrag"/>
      </w:pPr>
      <w:r w:rsidRPr="0008481A">
        <w:rPr>
          <w:i/>
        </w:rPr>
        <w:t>Byråchefen Sjöstedt</w:t>
      </w:r>
      <w:r w:rsidRPr="0008481A">
        <w:t xml:space="preserve"> medverkade den 9 november 1999 vid en av Sveriges kommunaltjänstemannaförbund anordnad konferens i Göteborg angående yttrandefrihet och meddelarfrihet för anställda vid myndigheter m.m.</w:t>
      </w:r>
    </w:p>
    <w:p w:rsidR="003B3271" w:rsidRPr="0008481A" w:rsidRDefault="003B3271">
      <w:pPr>
        <w:pStyle w:val="Normaltindrag"/>
      </w:pPr>
      <w:r w:rsidRPr="0008481A">
        <w:t xml:space="preserve">Vidare föreläste han vid av SIPU anordnade kurser om offentlighet och sekretess dels den 22 september 1999, dels den 11 januari 2000. </w:t>
      </w:r>
    </w:p>
    <w:p w:rsidR="003B3271" w:rsidRPr="0008481A" w:rsidRDefault="003B3271">
      <w:pPr>
        <w:pStyle w:val="Normaltindrag"/>
      </w:pPr>
      <w:r w:rsidRPr="0008481A">
        <w:rPr>
          <w:i/>
        </w:rPr>
        <w:t xml:space="preserve">Byråchefen Johnson </w:t>
      </w:r>
      <w:r w:rsidRPr="0008481A">
        <w:t xml:space="preserve">och </w:t>
      </w:r>
      <w:r w:rsidRPr="0008481A">
        <w:rPr>
          <w:i/>
        </w:rPr>
        <w:t>områdesansvariga föredraganden von Sivers</w:t>
      </w:r>
      <w:r w:rsidRPr="0008481A">
        <w:t xml:space="preserve"> höll föredrag samt deltog i diskussion dels vid en av Försäkrings</w:t>
      </w:r>
      <w:r w:rsidRPr="0008481A">
        <w:softHyphen/>
        <w:t>kasseförbundet anordnad hearing i Ronneby den 25 augusti 1999, dels för förtroendevalda i styrelse och socialförsäkringsnämnder inom Hallands läns allmänna försäkringskassa den 6 juni 2000.</w:t>
      </w:r>
      <w:r w:rsidRPr="0008481A">
        <w:tab/>
      </w:r>
    </w:p>
    <w:p w:rsidR="003B3271" w:rsidRPr="0008481A" w:rsidRDefault="003B3271">
      <w:pPr>
        <w:pStyle w:val="Normaltindrag"/>
      </w:pPr>
      <w:r w:rsidRPr="0008481A">
        <w:t xml:space="preserve">Justitieombudsmännen och kanslichefen har vid möten med företrädare för Riksdagens revisorer den 27 oktober 1999 och den 29 maj 2000 diskuterat frågor av gemensamt intresse. </w:t>
      </w:r>
      <w:r w:rsidRPr="0008481A">
        <w:rPr>
          <w:i/>
        </w:rPr>
        <w:t>Stf ombudsmannen Ekberg</w:t>
      </w:r>
      <w:r w:rsidRPr="0008481A">
        <w:t xml:space="preserve"> deltog i mötet den 27 oktober 1999.</w:t>
      </w:r>
    </w:p>
    <w:p w:rsidR="003B3271" w:rsidRPr="0008481A" w:rsidRDefault="003B3271">
      <w:pPr>
        <w:pStyle w:val="Normaltindrag"/>
      </w:pPr>
      <w:r w:rsidRPr="0008481A">
        <w:br w:type="page"/>
        <w:t xml:space="preserve">Justitieombudsmännen och kanslichefen deltog i ett möte för information och utbyte av erfarenheter med de av regeringen tillsatta ombudsmännen (KO, DO, JämO, BO, HO och HomO) den 26 november 1999 samt i ett av Handikappombudsmannen anordnat seminarium den 2 februari 2000. </w:t>
      </w:r>
      <w:r w:rsidRPr="0008481A">
        <w:rPr>
          <w:i/>
        </w:rPr>
        <w:t>Stf ombudsmannen Ekberg</w:t>
      </w:r>
      <w:r w:rsidRPr="0008481A">
        <w:t xml:space="preserve"> deltog i mötet den 26 november 1999. </w:t>
      </w:r>
    </w:p>
    <w:p w:rsidR="003B3271" w:rsidRPr="0008481A" w:rsidRDefault="003B3271">
      <w:pPr>
        <w:pStyle w:val="Rubrik1"/>
      </w:pPr>
      <w:r w:rsidRPr="0008481A">
        <w:t xml:space="preserve">3 Internationellt samarbete </w:t>
      </w:r>
    </w:p>
    <w:p w:rsidR="003B3271" w:rsidRPr="0008481A" w:rsidRDefault="003B3271">
      <w:pPr>
        <w:pStyle w:val="Rubrik3"/>
        <w:spacing w:before="240"/>
      </w:pPr>
      <w:r w:rsidRPr="0008481A">
        <w:t>3.1 Deltagande i internationella konferenser och seminarier, bilaterala besök m.m.</w:t>
      </w:r>
    </w:p>
    <w:p w:rsidR="003B3271" w:rsidRPr="0008481A" w:rsidRDefault="003B3271">
      <w:r w:rsidRPr="0008481A">
        <w:rPr>
          <w:i/>
        </w:rPr>
        <w:t xml:space="preserve">ChefsJO Eklundh, JO Pennlöv, JO André och kanslichefen </w:t>
      </w:r>
      <w:r w:rsidRPr="0008481A">
        <w:t>Swanström besökte den 6–13 november 1999 Folkrepubliken Kina på inbjudan av det kinesiska övervakningsministeriet (Ministry of Supervision). I detta dele</w:t>
      </w:r>
      <w:r w:rsidRPr="0008481A">
        <w:softHyphen/>
        <w:t>gationsbesök deltog också konstitutionsutskottets presidium och kanslichef.</w:t>
      </w:r>
    </w:p>
    <w:p w:rsidR="003B3271" w:rsidRPr="0008481A" w:rsidRDefault="003B3271">
      <w:pPr>
        <w:pStyle w:val="Normaltindrag"/>
        <w:rPr>
          <w:i/>
        </w:rPr>
      </w:pPr>
      <w:r w:rsidRPr="0008481A">
        <w:rPr>
          <w:i/>
        </w:rPr>
        <w:t xml:space="preserve">ChefsJO Eklundh, JO Pennlöv, JO André och kanslichefen Swanström </w:t>
      </w:r>
      <w:r w:rsidRPr="0008481A">
        <w:t xml:space="preserve">besökte den 13–17 november 1999 Mongoliet på inbjudan av det mongoliska parlamentet  </w:t>
      </w:r>
      <w:r w:rsidRPr="0008481A">
        <w:rPr>
          <w:i/>
        </w:rPr>
        <w:t>(State Great Hural).</w:t>
      </w:r>
    </w:p>
    <w:p w:rsidR="003B3271" w:rsidRPr="0008481A" w:rsidRDefault="003B3271">
      <w:pPr>
        <w:pStyle w:val="Normaltindrag"/>
      </w:pPr>
      <w:r w:rsidRPr="0008481A">
        <w:rPr>
          <w:i/>
        </w:rPr>
        <w:t xml:space="preserve">ChefsJO Eklundh, JO André och JO Berggren </w:t>
      </w:r>
      <w:r w:rsidRPr="0008481A">
        <w:t xml:space="preserve">deltog den 6–7 februari 2000 i en av den finska riksdagens justitieombudsman anordnad konferens i Helsingfors i anledning av det finska JO-ämbetets 80-årsjubileum. </w:t>
      </w:r>
    </w:p>
    <w:p w:rsidR="003B3271" w:rsidRPr="0008481A" w:rsidRDefault="003B3271">
      <w:pPr>
        <w:pStyle w:val="Normaltindrag"/>
      </w:pPr>
      <w:r w:rsidRPr="0008481A">
        <w:rPr>
          <w:i/>
        </w:rPr>
        <w:t xml:space="preserve">ChefsJO Eklundh </w:t>
      </w:r>
      <w:r w:rsidRPr="0008481A">
        <w:t>deltog i möten med styrelsen för Europäisches Om</w:t>
      </w:r>
      <w:r w:rsidRPr="0008481A">
        <w:softHyphen/>
        <w:t>budsmann Institut (EOI) dels den 28 augusti 1999 i Berlin, dels den 12 maj 2000 i Barcelona. Vidare deltog han i ett möte den 26 juni 2000 i Frankfurt med en kommitté med företrädare för EOI och International Ombudsman Institute (IOI).</w:t>
      </w:r>
    </w:p>
    <w:p w:rsidR="003B3271" w:rsidRPr="0008481A" w:rsidRDefault="003B3271">
      <w:pPr>
        <w:pStyle w:val="Normaltindrag"/>
      </w:pPr>
      <w:r w:rsidRPr="0008481A">
        <w:rPr>
          <w:i/>
        </w:rPr>
        <w:t>ChefsJO Eklundh</w:t>
      </w:r>
      <w:r w:rsidRPr="0008481A">
        <w:t xml:space="preserve"> medverkade den 8–10 december 1999 i ett forskar</w:t>
      </w:r>
      <w:r w:rsidRPr="0008481A">
        <w:softHyphen/>
        <w:t>seminarium i Istanbul om ombudsmannainstitutionen, arrangerat av Sveriges generalkonsulat i Istanbul i samverkan med turkiska myndigheter.</w:t>
      </w:r>
    </w:p>
    <w:p w:rsidR="003B3271" w:rsidRPr="0008481A" w:rsidRDefault="003B3271">
      <w:pPr>
        <w:pStyle w:val="Normaltindrag"/>
      </w:pPr>
      <w:r w:rsidRPr="0008481A">
        <w:rPr>
          <w:i/>
        </w:rPr>
        <w:t>ChefsJO Eklundh</w:t>
      </w:r>
      <w:r w:rsidRPr="0008481A">
        <w:t xml:space="preserve"> medverkade den 15–16 januari 2000 vid en kongress i Ankara angående frågor om kvalitet i rättsväsendet m.m., anordnad av Ankaras advokatsamfund.</w:t>
      </w:r>
    </w:p>
    <w:p w:rsidR="003B3271" w:rsidRPr="0008481A" w:rsidRDefault="003B3271">
      <w:pPr>
        <w:pStyle w:val="Normaltindrag"/>
      </w:pPr>
      <w:r w:rsidRPr="0008481A">
        <w:rPr>
          <w:i/>
        </w:rPr>
        <w:t xml:space="preserve">ChefsJO Eklundh </w:t>
      </w:r>
      <w:r w:rsidRPr="0008481A">
        <w:t>medverkade den 25 januari–3 februari 2000 i ett seminarium i Hanoi rörande tillsyn över rättsväsendets olika grenar, ingående i ett demokratiutvecklings- och samarbetsprojekt mellan riksdagen och Vietnams nationalförsamling.</w:t>
      </w:r>
    </w:p>
    <w:p w:rsidR="003B3271" w:rsidRPr="0008481A" w:rsidRDefault="003B3271">
      <w:pPr>
        <w:pStyle w:val="Normaltindrag"/>
      </w:pPr>
      <w:r w:rsidRPr="0008481A">
        <w:rPr>
          <w:i/>
        </w:rPr>
        <w:t xml:space="preserve">ChefsJO Eklundh </w:t>
      </w:r>
      <w:r w:rsidRPr="0008481A">
        <w:t>besökte den 12–16 april 2000 Tunisien på inbjudan av den tunisiska ombudsmannainstitutionen och Svenska institutet och deltog därvid i ett seminarium i Tunis.</w:t>
      </w:r>
    </w:p>
    <w:p w:rsidR="003B3271" w:rsidRPr="0008481A" w:rsidRDefault="003B3271">
      <w:pPr>
        <w:pStyle w:val="Normaltindrag"/>
      </w:pPr>
      <w:r w:rsidRPr="0008481A">
        <w:rPr>
          <w:i/>
        </w:rPr>
        <w:t xml:space="preserve">ChefsJO Eklundh </w:t>
      </w:r>
      <w:r w:rsidRPr="0008481A">
        <w:t>medverkade den 27–28 april 2000 i en konferens i Prag på temat Ombudsmannainstitutionens roll, anordnad av Tjeckiska republikens parlament.</w:t>
      </w:r>
    </w:p>
    <w:p w:rsidR="003B3271" w:rsidRPr="0008481A" w:rsidRDefault="003B3271">
      <w:pPr>
        <w:pStyle w:val="Normaltindrag"/>
      </w:pPr>
      <w:r w:rsidRPr="0008481A">
        <w:rPr>
          <w:i/>
        </w:rPr>
        <w:t>ChefsJO Eklundh</w:t>
      </w:r>
      <w:r w:rsidRPr="0008481A">
        <w:t xml:space="preserve"> deltog den 24–26 maj 2000 i konferensen ”Quality of Justice in an International Perspective” i Maastricht, Nederländerna.</w:t>
      </w:r>
    </w:p>
    <w:p w:rsidR="003B3271" w:rsidRPr="0008481A" w:rsidRDefault="003B3271">
      <w:pPr>
        <w:pStyle w:val="Normaltindrag"/>
      </w:pPr>
      <w:r w:rsidRPr="0008481A">
        <w:rPr>
          <w:i/>
        </w:rPr>
        <w:t>ChefsJO Eklundh</w:t>
      </w:r>
      <w:r w:rsidRPr="0008481A">
        <w:t xml:space="preserve"> besökte den 7–9 juni 2000 Bulgarien och deltog därvid i ett seminarium i Sofia rörande eventuell etablering av en ombuds</w:t>
      </w:r>
      <w:r w:rsidRPr="0008481A">
        <w:softHyphen/>
        <w:t>manna</w:t>
      </w:r>
      <w:r w:rsidRPr="0008481A">
        <w:softHyphen/>
        <w:t>institution i landet m.m.</w:t>
      </w:r>
    </w:p>
    <w:p w:rsidR="003B3271" w:rsidRPr="0008481A" w:rsidRDefault="003B3271">
      <w:pPr>
        <w:pStyle w:val="Normaltindrag"/>
      </w:pPr>
      <w:r w:rsidRPr="0008481A">
        <w:rPr>
          <w:i/>
        </w:rPr>
        <w:t>JO André</w:t>
      </w:r>
      <w:r w:rsidRPr="0008481A">
        <w:t xml:space="preserve"> deltog den 13–14 december 1999 i ett av Europarådet och den ungerska ombudsmannen för mänskliga rättigheter anordnat regionalt möte i Budapest om oberoende nationella institutioner för mänskliga rättigheter. </w:t>
      </w:r>
    </w:p>
    <w:p w:rsidR="003B3271" w:rsidRPr="0008481A" w:rsidRDefault="003B3271">
      <w:pPr>
        <w:pStyle w:val="Normaltindrag"/>
      </w:pPr>
      <w:r w:rsidRPr="0008481A">
        <w:rPr>
          <w:i/>
        </w:rPr>
        <w:t xml:space="preserve">Stf ombudsmannen Norell Söderblom </w:t>
      </w:r>
      <w:r w:rsidRPr="0008481A">
        <w:t xml:space="preserve">och </w:t>
      </w:r>
      <w:r w:rsidRPr="0008481A">
        <w:rPr>
          <w:i/>
        </w:rPr>
        <w:t>byråchefen Hedbom Blomkvist</w:t>
      </w:r>
      <w:r w:rsidRPr="0008481A">
        <w:t xml:space="preserve"> medverkade den 9–10 september 1999 i seminariet ”Ombudsmen, the treaty of Amsterdam and European Integration” i Paris, anordnat av den franska ombudsmannainstitutionen (Le Médiateur de la République) och Europa</w:t>
      </w:r>
      <w:r w:rsidRPr="0008481A">
        <w:softHyphen/>
        <w:t>parlamentet.</w:t>
      </w:r>
    </w:p>
    <w:p w:rsidR="003B3271" w:rsidRPr="0008481A" w:rsidRDefault="003B3271">
      <w:pPr>
        <w:pStyle w:val="Normaltindrag"/>
      </w:pPr>
      <w:r w:rsidRPr="0008481A">
        <w:rPr>
          <w:i/>
        </w:rPr>
        <w:t>Kanslichefen Swanström</w:t>
      </w:r>
      <w:r w:rsidRPr="0008481A">
        <w:t xml:space="preserve"> medverkade den 11–18 december 1999 i seminariet ”Perfection of Mechanism for Inspection, Control and Supervision” i Hanoi, anordnat av Vietnam State Inspectorate i samverkan med Rättsvetenskapliga institutionen vid Umeå universitet.</w:t>
      </w:r>
    </w:p>
    <w:p w:rsidR="003B3271" w:rsidRPr="0008481A" w:rsidRDefault="003B3271">
      <w:pPr>
        <w:pStyle w:val="Normaltindrag"/>
      </w:pPr>
      <w:r w:rsidRPr="0008481A">
        <w:rPr>
          <w:i/>
        </w:rPr>
        <w:t>Kanslichefen Swanström</w:t>
      </w:r>
      <w:r w:rsidRPr="0008481A">
        <w:t xml:space="preserve"> medverkade den 12–15 april 2000 i en konferens i Podgorica, Montenegro om nationella institutioner till skydd för mänskliga rättigheter samt eventuell etablering av en ombudsmannainstitution i Montenegro, anordnad av justitieministeriet i Montenegro i samarbete med OSCE och ODIHR.</w:t>
      </w:r>
    </w:p>
    <w:p w:rsidR="003B3271" w:rsidRPr="0008481A" w:rsidRDefault="003B3271">
      <w:pPr>
        <w:pStyle w:val="Normaltindrag"/>
      </w:pPr>
      <w:r w:rsidRPr="0008481A">
        <w:rPr>
          <w:i/>
        </w:rPr>
        <w:t>Enhetschefen för internationella frågor von der Esch</w:t>
      </w:r>
      <w:r w:rsidRPr="0008481A">
        <w:t xml:space="preserve"> deltog i en av SIPU International anordnad studieresa till EU-institutioner i Bryssel och Luxemburg den 6–10 oktober 1999.</w:t>
      </w:r>
    </w:p>
    <w:p w:rsidR="003B3271" w:rsidRPr="0008481A" w:rsidRDefault="003B3271">
      <w:pPr>
        <w:pStyle w:val="Normaltindrag"/>
      </w:pPr>
      <w:r w:rsidRPr="0008481A">
        <w:rPr>
          <w:i/>
        </w:rPr>
        <w:t>Enhetschefen för internationella frågor von der Esch</w:t>
      </w:r>
      <w:r w:rsidRPr="0008481A">
        <w:t xml:space="preserve"> medverkade den 5–7 juni 2000 i en av Europarådet anordnad konferens i Strasbourg på temat ”Task Force on Good Governance” inom ramen för Stabilitetspakten för sydöstra Europa.</w:t>
      </w:r>
    </w:p>
    <w:p w:rsidR="003B3271" w:rsidRPr="0008481A" w:rsidRDefault="003B3271">
      <w:pPr>
        <w:pStyle w:val="Normaltindrag"/>
      </w:pPr>
      <w:r w:rsidRPr="0008481A">
        <w:rPr>
          <w:i/>
        </w:rPr>
        <w:t xml:space="preserve">Rättssakkunniga föredragandena Åhgren </w:t>
      </w:r>
      <w:r w:rsidRPr="0008481A">
        <w:t>och</w:t>
      </w:r>
      <w:r w:rsidRPr="0008481A">
        <w:rPr>
          <w:i/>
        </w:rPr>
        <w:t xml:space="preserve"> Schultzberg</w:t>
      </w:r>
      <w:r w:rsidRPr="0008481A">
        <w:t xml:space="preserve"> deltog i det nordiska juristmötet i Oslo den 17–21 augusti 1999.</w:t>
      </w:r>
    </w:p>
    <w:p w:rsidR="003B3271" w:rsidRPr="0008481A" w:rsidRDefault="003B3271">
      <w:pPr>
        <w:pStyle w:val="Rubrik3"/>
      </w:pPr>
      <w:r w:rsidRPr="0008481A">
        <w:t>3.2 Flerdagsbesök hos JO för studier, information och diskussion m.m.</w:t>
      </w:r>
    </w:p>
    <w:p w:rsidR="003B3271" w:rsidRPr="0008481A" w:rsidRDefault="003B3271">
      <w:pPr>
        <w:tabs>
          <w:tab w:val="left" w:pos="284"/>
        </w:tabs>
      </w:pPr>
      <w:r w:rsidRPr="0008481A">
        <w:t xml:space="preserve">En delegation från ombudsmannainstitutionen i Litauen (Seimo Kontrolieriu Istaiga) under ledning av Ombudsmannen Kestutis Milkeraitis besökte Riksdagens ombudsmän den 27–29 oktober 1999. Vid besöket medverkade </w:t>
      </w:r>
      <w:r w:rsidRPr="0008481A">
        <w:rPr>
          <w:i/>
        </w:rPr>
        <w:t>chefsJO Eklundh, JO Pennlöv, JO André, stf ombudsmannen Ekberg, kansli</w:t>
      </w:r>
      <w:r w:rsidRPr="0008481A">
        <w:rPr>
          <w:i/>
        </w:rPr>
        <w:softHyphen/>
        <w:t xml:space="preserve">chefen Swanström, enhetschefen för internationella frågor von der Esch </w:t>
      </w:r>
      <w:r w:rsidRPr="0008481A">
        <w:t xml:space="preserve">samt </w:t>
      </w:r>
      <w:r w:rsidRPr="0008481A">
        <w:rPr>
          <w:i/>
        </w:rPr>
        <w:t>vissa byråchefer</w:t>
      </w:r>
      <w:r w:rsidRPr="0008481A">
        <w:t>.</w:t>
      </w:r>
    </w:p>
    <w:p w:rsidR="003B3271" w:rsidRPr="0008481A" w:rsidRDefault="003B3271">
      <w:pPr>
        <w:pStyle w:val="Normaltindrag"/>
        <w:rPr>
          <w:b/>
        </w:rPr>
      </w:pPr>
      <w:r w:rsidRPr="0008481A">
        <w:t xml:space="preserve">En delegation från lagutskottet vid Nationalförsamlingen i Vietnam, ledd av utskottets vice ordförande Tran The Vuong, avlade ett studiebesök hos riksdagen den 18–26 mars 2000. Härvid gästade delegationen Riksdagens ombudsmän den 20 och 23 mars. Från JO:s sida medverkade </w:t>
      </w:r>
      <w:r w:rsidRPr="0008481A">
        <w:rPr>
          <w:i/>
        </w:rPr>
        <w:t>de fyra justitieombudsmännen</w:t>
      </w:r>
      <w:r w:rsidRPr="0008481A">
        <w:t xml:space="preserve"> samt </w:t>
      </w:r>
      <w:r w:rsidRPr="0008481A">
        <w:rPr>
          <w:i/>
        </w:rPr>
        <w:t>kanslichefen</w:t>
      </w:r>
      <w:r w:rsidRPr="0008481A">
        <w:t>. Vid mötet hos JO den 20 mars medverkade också en företrädare för Riksåklagaren.</w:t>
      </w:r>
    </w:p>
    <w:p w:rsidR="003B3271" w:rsidRPr="0008481A" w:rsidRDefault="003B3271">
      <w:pPr>
        <w:pStyle w:val="Normaltindrag"/>
        <w:rPr>
          <w:b/>
        </w:rPr>
      </w:pPr>
      <w:r w:rsidRPr="0008481A">
        <w:t xml:space="preserve">Riksdagens ombudsmän besöktes den 18–19 april 2000 av biträdande ombudsmannen R.M. Soerahman från National Ombudsman Commission i Indonesien. Under besöket, som även innefattade möten med företrädare för konstitutionsutskottet, Barnombudsmannen och SIDA, medverkade från JO:s sida </w:t>
      </w:r>
      <w:r w:rsidRPr="0008481A">
        <w:rPr>
          <w:i/>
        </w:rPr>
        <w:t xml:space="preserve">chefsJO Eklundh, kanslichefen Swanström </w:t>
      </w:r>
      <w:r w:rsidRPr="0008481A">
        <w:t xml:space="preserve">och </w:t>
      </w:r>
      <w:r w:rsidRPr="0008481A">
        <w:rPr>
          <w:i/>
        </w:rPr>
        <w:t>enhetschefen von der Esch</w:t>
      </w:r>
      <w:r w:rsidRPr="0008481A">
        <w:t>.</w:t>
      </w:r>
    </w:p>
    <w:p w:rsidR="003B3271" w:rsidRPr="0008481A" w:rsidRDefault="003B3271">
      <w:pPr>
        <w:pStyle w:val="Normaltindrag"/>
      </w:pPr>
      <w:r w:rsidRPr="0008481A">
        <w:t xml:space="preserve">The Public Protector (Ombudsman) i Sydafrika Selby Baqwa besökte Riksdagens ombudsmän den 8–11 maj 2000. Under besöket, som även innefattade ett möte med företrädare för konstitutionsutskottet, medverkade från JO:s sida de fyra </w:t>
      </w:r>
      <w:r w:rsidRPr="0008481A">
        <w:rPr>
          <w:i/>
        </w:rPr>
        <w:t xml:space="preserve">justitieombudsmännen, kanslichefen, byråcheferna </w:t>
      </w:r>
      <w:r w:rsidRPr="0008481A">
        <w:t>samt</w:t>
      </w:r>
      <w:r w:rsidRPr="0008481A">
        <w:rPr>
          <w:i/>
        </w:rPr>
        <w:t xml:space="preserve"> enhetschefen för internationella frågor</w:t>
      </w:r>
      <w:r w:rsidRPr="0008481A">
        <w:t xml:space="preserve">. </w:t>
      </w:r>
    </w:p>
    <w:p w:rsidR="003B3271" w:rsidRPr="0008481A" w:rsidRDefault="003B3271">
      <w:pPr>
        <w:pStyle w:val="Normaltindrag"/>
      </w:pPr>
      <w:r w:rsidRPr="0008481A">
        <w:t>Riksdagens ombudsmän var i samarbete med Utrikesdepartementet värd för ett seminarium den 8–14 maj 2000 inom ramen för Stabilitetspakten för sydöstra Europa med deltagande av representanter för ombuds</w:t>
      </w:r>
      <w:r w:rsidRPr="0008481A">
        <w:softHyphen/>
        <w:t>manna</w:t>
      </w:r>
      <w:r w:rsidRPr="0008481A">
        <w:softHyphen/>
        <w:t xml:space="preserve">institutionerna i Albanien, Bosnien-Hercegovina, Kroatien och Makedonien. Seminariets två första dagar ägde rum hos JO under medverkan av de fyra </w:t>
      </w:r>
      <w:r w:rsidRPr="0008481A">
        <w:rPr>
          <w:i/>
        </w:rPr>
        <w:t>justitieombudsmännen,</w:t>
      </w:r>
      <w:r w:rsidRPr="0008481A">
        <w:t xml:space="preserve"> </w:t>
      </w:r>
      <w:r w:rsidRPr="0008481A">
        <w:rPr>
          <w:i/>
        </w:rPr>
        <w:t>kanslichefen, byråcheferna</w:t>
      </w:r>
      <w:r w:rsidRPr="0008481A">
        <w:t xml:space="preserve"> samt </w:t>
      </w:r>
      <w:r w:rsidRPr="0008481A">
        <w:rPr>
          <w:i/>
        </w:rPr>
        <w:t>enhetschefen för internationella frågor</w:t>
      </w:r>
      <w:r w:rsidRPr="0008481A">
        <w:t>.</w:t>
      </w:r>
    </w:p>
    <w:p w:rsidR="003B3271" w:rsidRPr="0008481A" w:rsidRDefault="003B3271">
      <w:pPr>
        <w:pStyle w:val="Normaltindrag"/>
      </w:pPr>
      <w:r w:rsidRPr="0008481A">
        <w:t>Riksdagens ombudsmän besöktes den 11–13 maj 2000 av en delegation från Ministry of Law, Justice and Parliamentary Affairs i Bangladesh, ledd av Afzal Hossain Ahmed. Under besöket, som även innefattade möten med företrädare för konstitutionsutskottet, Justitiekansl</w:t>
      </w:r>
      <w:r w:rsidRPr="0008481A">
        <w:t>ern och Jämställdhets</w:t>
      </w:r>
      <w:r w:rsidRPr="0008481A">
        <w:softHyphen/>
        <w:t xml:space="preserve">ombudsmannen, medverkade från JO:s sida </w:t>
      </w:r>
      <w:r w:rsidRPr="0008481A">
        <w:rPr>
          <w:i/>
        </w:rPr>
        <w:t>chefsJO Eklundh, JO André, JO Berggren, kanslichefen Swanström samt enhetschefen von der Esch</w:t>
      </w:r>
      <w:r w:rsidRPr="0008481A">
        <w:t>.</w:t>
      </w:r>
    </w:p>
    <w:p w:rsidR="003B3271" w:rsidRPr="0008481A" w:rsidRDefault="003B3271">
      <w:pPr>
        <w:pStyle w:val="Normaltindrag"/>
        <w:rPr>
          <w:i/>
        </w:rPr>
      </w:pPr>
      <w:r w:rsidRPr="0008481A">
        <w:t>Riksdagens ombudsmän och konstitutionsutskottet gästades den 14–19 maj 2000 av en delegation från Övervakningsministeriet (Ministry of Super</w:t>
      </w:r>
      <w:r w:rsidRPr="0008481A">
        <w:softHyphen/>
        <w:t>vision) i Folkrepubliken Kina under ledning av Senior Supervisory Commissioner Cao Qingze. Delegationen åtföljdes av företrädare för Kinas ambassad i Stockholm. Under besöket, som genomfördes i samverkan med Svenska institutet, arrangerades möten med företrädare för regeringen (Justitiedepartementet), Justitiekanslern, Hälso- och sjukvårdens ansvars</w:t>
      </w:r>
      <w:r w:rsidRPr="0008481A">
        <w:softHyphen/>
        <w:t>nämnd, Riksrevisionsverket, Tidningsutgivarna/Pressens opinions</w:t>
      </w:r>
      <w:r w:rsidRPr="0008481A">
        <w:softHyphen/>
        <w:t>nämnd, Rikspolisstyrelsen, Hovrätten över Skåne och Blekinge, Malmö kommun samt Länsstyrelsen i</w:t>
      </w:r>
      <w:r w:rsidRPr="0008481A">
        <w:t xml:space="preserve"> Skåne län, sociala funktionen. Från JO:s sida medverkade </w:t>
      </w:r>
      <w:r w:rsidRPr="0008481A">
        <w:rPr>
          <w:i/>
        </w:rPr>
        <w:t xml:space="preserve">de fyra justitieombudsmännen, kanslichefen </w:t>
      </w:r>
      <w:r w:rsidRPr="0008481A">
        <w:t>samt</w:t>
      </w:r>
      <w:r w:rsidRPr="0008481A">
        <w:rPr>
          <w:i/>
        </w:rPr>
        <w:t xml:space="preserve"> enhetschefen för internationella frågor.</w:t>
      </w:r>
    </w:p>
    <w:p w:rsidR="003B3271" w:rsidRPr="0008481A" w:rsidRDefault="003B3271">
      <w:pPr>
        <w:pStyle w:val="Rubrik3"/>
      </w:pPr>
      <w:r w:rsidRPr="0008481A">
        <w:t>3.3 Endagsbesök hos JO för information och diskussion</w:t>
      </w:r>
    </w:p>
    <w:p w:rsidR="003B3271" w:rsidRPr="0008481A" w:rsidRDefault="003B3271">
      <w:pPr>
        <w:rPr>
          <w:b/>
        </w:rPr>
      </w:pPr>
      <w:r w:rsidRPr="0008481A">
        <w:t>Riksdagens ombudsmän besöktes den 10 augusti 1999 av den italienske parlamentsledamoten Tiziana Maiolo, den 13 augusti 1999 av professor Zeev Segal från Israel, den 2 september 1999 av journalisten Mustafa Kemal Majunder från Bangladesh, den 7 oktober 1999 av en grupp stipendiater från Frankrike inom ramen för ett av Fondation Nationale Entreprise et Performance och Svenska institutet anordnat program, den 8 oktober 1999 av en tjänstemannadelegation från parlamentet (Saeima) i Lettland under ledning av den</w:t>
      </w:r>
      <w:r w:rsidRPr="0008481A">
        <w:t xml:space="preserve"> lettiske riksdagsdirektören (besök hos KU, JO och Riks</w:t>
      </w:r>
      <w:r w:rsidRPr="0008481A">
        <w:softHyphen/>
        <w:t>dagens revisorer gemensamt), den 11 oktober 1999 av två representanter för den schweiziska ”Utredningskommissionen underrättelsetjänst” samt Schweiz ambassadör och försvarsattaché i Sverige, den 19 oktober 1999 av en delegation från Nationella kommissionen för enighet och försoning i Rwanda, den 1 november 1999 av en delegation från Federationsrådet i Ryssland under ledning av guvernören i Tjeljabinsk Pjotr Ivanovitj Sumin, den 3 november 1999 av en pa</w:t>
      </w:r>
      <w:r w:rsidRPr="0008481A">
        <w:t xml:space="preserve">rlamentarikerdelegation från State Great Hural i Mongoliet, ledd av Mr Nyaamaa Tuvshintugs, den 24 november 1999 av en delegation från justitieministeriet i Litauen, åtföljd av två svenska domare och en representant för Domstolsverket, den 24 februari 2000 av en delegation från Zambia, ledd av landets justitieminister Vincent Malambo, den 25 februari 2000 av en delegation från Indonesien, ledd av landets minister för mänskliga rättigheter Hasballah M. Saad och åtföljd av landets ambassadör i Stockholm, den </w:t>
      </w:r>
      <w:r w:rsidRPr="0008481A">
        <w:t>1 mars 2000 av fyra stipendiater från Université de Québec i Kanada, den 5 april 2000 av Bolivias chargé d´affairs i Stockholm Dr Antonio Mariaca, den 7 april 2000 av en tjänstemanna</w:t>
      </w:r>
      <w:r w:rsidRPr="0008481A">
        <w:softHyphen/>
        <w:t>delegation från parlamentet (Saeima) i Lettland under ledning av Inese Petersone, den 11 april 2000 av Mr Richard Jenkins från Constitutional and Community Policy Directorate vid Home Office i Storbritannien, den 18 april 2000 av en parlamentarikerdelegation från People´s Consultative Assembly i Indonesien, den 3 maj 2000 av en</w:t>
      </w:r>
      <w:r w:rsidRPr="0008481A">
        <w:t xml:space="preserve"> grupp från Vietnam, deltagande i ett av SIPU International och SIDA organiserat utbildnings</w:t>
      </w:r>
      <w:r w:rsidRPr="0008481A">
        <w:softHyphen/>
        <w:t>program på temat Training of trainers, den 9 maj 2000 av Dr Fasil Nahum, särskild rådgivare till premiärministern i Etiopien, den 10 maj 2000 av en delegation från petitionsutskottet vid det tjeckiska parlamentets deputerade</w:t>
      </w:r>
      <w:r w:rsidRPr="0008481A">
        <w:softHyphen/>
        <w:t>kammare under ledning av utskottets ordförande Katerina Dostlálová, den 22 maj 2000 av en grupp studerande från olika utvecklings</w:t>
      </w:r>
      <w:r w:rsidRPr="0008481A">
        <w:softHyphen/>
        <w:t>länder, deltagare i Comparative Seminar on Law and Development a</w:t>
      </w:r>
      <w:r w:rsidRPr="0008481A">
        <w:t>rrangerat av Institutet för rättsutvecklingsstöd, den 29 maj 2000 av en tjänstemannadelegation från Ministeriet för parlamentariska frågor i Kuweit under ledning av Mr Ali Saqer Al-Adwani, den 6 juni 2000 av professor Fukashi Utsunomiya från Tokai University i Japan, den 6 juni 2000 även av en delegation från Högsta domstolen i Laos, ledd av domstolens president Thongsy Inthaphonh, den 13 juni 2000 av en delegation från State Inspectorate i Vietnam, ledd av Inspector General Ta Huu Thanh, den 14 juni 2000 a</w:t>
      </w:r>
      <w:r w:rsidRPr="0008481A">
        <w:t xml:space="preserve">v en delegation från franska nationalförsamlingens försvarsutskott, åtföljd av försvarsattachén vid Frankrikes ambassad i Stockholm, samt den 16 juni 2000 av Manuelo Prada, företrädare för Defensoria del Pueblo (ombudsmannainstitutionen) i Venezuela. </w:t>
      </w:r>
    </w:p>
    <w:p w:rsidR="003B3271" w:rsidRPr="0008481A" w:rsidRDefault="003B3271">
      <w:pPr>
        <w:pStyle w:val="UnderskriftDatum"/>
      </w:pPr>
      <w:r w:rsidRPr="0008481A">
        <w:t>Stockholm i november 2000</w:t>
      </w:r>
    </w:p>
    <w:p w:rsidR="003B3271" w:rsidRPr="0008481A" w:rsidRDefault="003B3271">
      <w:pPr>
        <w:pStyle w:val="Underskrifter"/>
      </w:pPr>
    </w:p>
    <w:p w:rsidR="003B3271" w:rsidRPr="0008481A" w:rsidRDefault="003B3271">
      <w:pPr>
        <w:pStyle w:val="Underskrifter"/>
      </w:pPr>
      <w:r w:rsidRPr="0008481A">
        <w:t>Claes Eklundh</w:t>
      </w:r>
      <w:r w:rsidRPr="0008481A">
        <w:tab/>
      </w:r>
      <w:r w:rsidRPr="0008481A">
        <w:tab/>
      </w:r>
      <w:r w:rsidRPr="0008481A">
        <w:tab/>
        <w:t>Jan Pennlöv</w:t>
      </w:r>
    </w:p>
    <w:p w:rsidR="003B3271" w:rsidRPr="0008481A" w:rsidRDefault="003B3271">
      <w:pPr>
        <w:pStyle w:val="Underskrifter"/>
      </w:pPr>
    </w:p>
    <w:p w:rsidR="003B3271" w:rsidRPr="0008481A" w:rsidRDefault="003B3271">
      <w:pPr>
        <w:pStyle w:val="Underskrifter"/>
      </w:pPr>
      <w:r w:rsidRPr="0008481A">
        <w:t>Kerstin André</w:t>
      </w:r>
      <w:r w:rsidRPr="0008481A">
        <w:tab/>
      </w:r>
      <w:r w:rsidRPr="0008481A">
        <w:tab/>
      </w:r>
      <w:r w:rsidRPr="0008481A">
        <w:tab/>
        <w:t>Nils-Olof Berggren</w:t>
      </w:r>
    </w:p>
    <w:p w:rsidR="003B3271" w:rsidRPr="0008481A" w:rsidRDefault="003B3271">
      <w:pPr>
        <w:pStyle w:val="Underskrifter"/>
      </w:pPr>
    </w:p>
    <w:p w:rsidR="003B3271" w:rsidRPr="0008481A" w:rsidRDefault="003B3271">
      <w:pPr>
        <w:pStyle w:val="Underskrifter"/>
      </w:pPr>
      <w:r w:rsidRPr="0008481A">
        <w:t>Gunnel Norell Söderblom</w:t>
      </w:r>
      <w:r w:rsidRPr="0008481A">
        <w:tab/>
      </w:r>
      <w:r w:rsidRPr="0008481A">
        <w:tab/>
        <w:t xml:space="preserve">Leif Ekberg  </w:t>
      </w:r>
    </w:p>
    <w:p w:rsidR="003B3271" w:rsidRPr="0008481A" w:rsidRDefault="003B3271">
      <w:pPr>
        <w:pStyle w:val="Underskrifter"/>
      </w:pPr>
    </w:p>
    <w:p w:rsidR="003B3271" w:rsidRPr="0008481A" w:rsidRDefault="003B3271">
      <w:pPr>
        <w:pStyle w:val="Underskrifter"/>
      </w:pPr>
      <w:r w:rsidRPr="0008481A">
        <w:t>/Kjell Swanström</w:t>
      </w:r>
    </w:p>
    <w:p w:rsidR="003B3271" w:rsidRPr="0008481A" w:rsidRDefault="003B3271">
      <w:pPr>
        <w:pStyle w:val="Rubrik1"/>
        <w:spacing w:before="0"/>
      </w:pPr>
      <w:r w:rsidRPr="0008481A">
        <w:br w:type="page"/>
        <w:t>Allmänna domstolar m.m.</w:t>
      </w:r>
    </w:p>
    <w:p w:rsidR="003B3271" w:rsidRPr="0008481A" w:rsidRDefault="003B3271">
      <w:pPr>
        <w:pStyle w:val="Rubrik2"/>
      </w:pPr>
      <w:r w:rsidRPr="0008481A">
        <w:t>Åtal mot en domare med anledning av hans handläggning av ett antal tvistemål</w:t>
      </w:r>
    </w:p>
    <w:p w:rsidR="003B3271" w:rsidRPr="0008481A" w:rsidRDefault="003B3271">
      <w:r w:rsidRPr="0008481A">
        <w:t>(684-1995)</w:t>
      </w:r>
    </w:p>
    <w:p w:rsidR="003B3271" w:rsidRPr="0008481A" w:rsidRDefault="003B3271">
      <w:r w:rsidRPr="0008481A">
        <w:t>I en anmälan begärdes att JO skulle granska numera pensionerade rådmannen Bo Severins vid Lunds tingsrätt handläggning av ett visst tvistemål samt meddelandet av tredskodom i målet. Enligt anmälaren framstod Bo Severins handläggning av målet som partisk till nackdel för svaranden. Anmälaren nämnde i sammanhanget även Bo Severins hand</w:t>
      </w:r>
      <w:r w:rsidRPr="0008481A">
        <w:softHyphen/>
        <w:t>läggning av ett annat tvistemål.</w:t>
      </w:r>
    </w:p>
    <w:p w:rsidR="003B3271" w:rsidRPr="0008481A" w:rsidRDefault="003B3271">
      <w:pPr>
        <w:pStyle w:val="Normaltindrag"/>
      </w:pPr>
      <w:r w:rsidRPr="0008481A">
        <w:t xml:space="preserve">Med anledning bl.a. av vad som hade anförts i anmälan besökte befattningshavare vid JO-expeditionen tingsrätten. Vid detta besök granskades ett antal tvistemålsakter. </w:t>
      </w:r>
    </w:p>
    <w:p w:rsidR="003B3271" w:rsidRPr="0008481A" w:rsidRDefault="003B3271">
      <w:pPr>
        <w:pStyle w:val="Normaltindrag"/>
      </w:pPr>
      <w:r w:rsidRPr="0008481A">
        <w:rPr>
          <w:i/>
        </w:rPr>
        <w:t xml:space="preserve">ChefsJO Eklundh </w:t>
      </w:r>
      <w:r w:rsidRPr="0008481A">
        <w:t>konstaterade i ett beslut den 29 september 1995 att vad som h</w:t>
      </w:r>
      <w:r w:rsidRPr="0008481A">
        <w:t>a</w:t>
      </w:r>
      <w:r w:rsidRPr="0008481A">
        <w:t xml:space="preserve">de kommit fram vid granskningen gav vid handen att det fanns anledning anta att tjänstefel enligt 20 kap. 1 § brottsbalken (BrB) hade begåtts. </w:t>
      </w:r>
      <w:r w:rsidRPr="0008481A">
        <w:rPr>
          <w:i/>
        </w:rPr>
        <w:t xml:space="preserve">ChefsJO Eklundh </w:t>
      </w:r>
      <w:r w:rsidRPr="0008481A">
        <w:t>beslutade därför att inleda förundersökning och uppdrog åt överåklagaren Hans Lindberg vid dåvarande Regionåklagar</w:t>
      </w:r>
      <w:r w:rsidRPr="0008481A">
        <w:softHyphen/>
        <w:t>myndigheten i Västerås att låta verkställa utredningen.</w:t>
      </w:r>
    </w:p>
    <w:p w:rsidR="003B3271" w:rsidRPr="0008481A" w:rsidRDefault="003B3271">
      <w:pPr>
        <w:pStyle w:val="Normaltindrag"/>
      </w:pPr>
      <w:r w:rsidRPr="0008481A">
        <w:t>Det kom därefter till JO in en anmälan från en annan person i vilken anmälaren hävdade att Bo Severin utan grund hade dö</w:t>
      </w:r>
      <w:r w:rsidRPr="0008481A">
        <w:t>mt ut viten mot svarandena i ett ang</w:t>
      </w:r>
      <w:r w:rsidRPr="0008481A">
        <w:t>i</w:t>
      </w:r>
      <w:r w:rsidRPr="0008481A">
        <w:t>vet tvistemål.</w:t>
      </w:r>
    </w:p>
    <w:p w:rsidR="003B3271" w:rsidRPr="0008481A" w:rsidRDefault="003B3271">
      <w:pPr>
        <w:pStyle w:val="Normaltindrag"/>
      </w:pPr>
      <w:r w:rsidRPr="0008481A">
        <w:t xml:space="preserve">Sedan </w:t>
      </w:r>
      <w:r w:rsidRPr="0008481A">
        <w:rPr>
          <w:i/>
        </w:rPr>
        <w:t>chefsJO Eklundh</w:t>
      </w:r>
      <w:r w:rsidRPr="0008481A">
        <w:t xml:space="preserve"> granskat akten i detta mål konstaterade han i ett beslut den 14 februari 1996 att vad som hade kommit fram vid granskningen gav vid handen att det fanns anledning att anta att tjänstefel enligt 20 kap. 1 § BrB hade begåtts. </w:t>
      </w:r>
      <w:r w:rsidRPr="0008481A">
        <w:rPr>
          <w:i/>
        </w:rPr>
        <w:t>ChefsJO Eklundh</w:t>
      </w:r>
      <w:r w:rsidRPr="0008481A">
        <w:t xml:space="preserve"> beslutade därför att inleda förundersökning och up</w:t>
      </w:r>
      <w:r w:rsidRPr="0008481A">
        <w:t>p</w:t>
      </w:r>
      <w:r w:rsidRPr="0008481A">
        <w:t>drog åt Hans Lindberg att verkställa även denna utredning.</w:t>
      </w:r>
    </w:p>
    <w:p w:rsidR="003B3271" w:rsidRPr="0008481A" w:rsidRDefault="003B3271">
      <w:pPr>
        <w:pStyle w:val="Normaltindrag"/>
      </w:pPr>
      <w:r w:rsidRPr="0008481A">
        <w:t>Under förundersökningen hördes Bo Severin som skäligen misstänkt för tjänst</w:t>
      </w:r>
      <w:r w:rsidRPr="0008481A">
        <w:t>e</w:t>
      </w:r>
      <w:r w:rsidRPr="0008481A">
        <w:t>fel. Misstankarna gällde i huvudsak att Bo Severin vid handläggningen av 23 tvistemål  hade åsidosatt rättegångsbalkens bestämmelser genom att avgöra målen utan att dessförinnan förbereda dessa för avgörande. Underlåtenheten medförde att målen inte var utredda på ett tillfredsställande sätt och att förutsättningar att avgöra målen på sätt som skett därför inte förelåg. Bo Severin bestred ansvar.</w:t>
      </w:r>
    </w:p>
    <w:p w:rsidR="003B3271" w:rsidRPr="0008481A" w:rsidRDefault="003B3271">
      <w:pPr>
        <w:pStyle w:val="Normaltindrag"/>
      </w:pPr>
      <w:r w:rsidRPr="0008481A">
        <w:t xml:space="preserve">På grund av vad som hade framkommit under utredningen beslutade </w:t>
      </w:r>
      <w:r w:rsidRPr="0008481A">
        <w:rPr>
          <w:i/>
        </w:rPr>
        <w:t>chefsJO E</w:t>
      </w:r>
      <w:r w:rsidRPr="0008481A">
        <w:rPr>
          <w:i/>
        </w:rPr>
        <w:t>k</w:t>
      </w:r>
      <w:r w:rsidRPr="0008481A">
        <w:rPr>
          <w:i/>
        </w:rPr>
        <w:t xml:space="preserve">lundh </w:t>
      </w:r>
      <w:r w:rsidRPr="0008481A">
        <w:t>den 18 april 1997 att lägga ned förundersökningen med avseende på han</w:t>
      </w:r>
      <w:r w:rsidRPr="0008481A">
        <w:t>d</w:t>
      </w:r>
      <w:r w:rsidRPr="0008481A">
        <w:t>läggningen av ett av målen. Förundersökningen beträffande de andra målen for</w:t>
      </w:r>
      <w:r w:rsidRPr="0008481A">
        <w:t>t</w:t>
      </w:r>
      <w:r w:rsidRPr="0008481A">
        <w:t>satte.</w:t>
      </w:r>
    </w:p>
    <w:p w:rsidR="003B3271" w:rsidRPr="0008481A" w:rsidRDefault="003B3271">
      <w:pPr>
        <w:pStyle w:val="Normaltindrag"/>
      </w:pPr>
      <w:r w:rsidRPr="0008481A">
        <w:t xml:space="preserve">Efter slutförd förundersökning beslutade </w:t>
      </w:r>
      <w:r w:rsidRPr="0008481A">
        <w:rPr>
          <w:i/>
        </w:rPr>
        <w:t>chefsJO Eklundh</w:t>
      </w:r>
      <w:r w:rsidRPr="0008481A">
        <w:t xml:space="preserve"> den 13 oktober 1997 att åtal för tjänstefel skulle väckas mot Bo Severin för hans hand</w:t>
      </w:r>
      <w:r w:rsidRPr="0008481A">
        <w:softHyphen/>
        <w:t>läggning av 22 tvi</w:t>
      </w:r>
      <w:r w:rsidRPr="0008481A">
        <w:t>s</w:t>
      </w:r>
      <w:r w:rsidRPr="0008481A">
        <w:t>temål. Åtalet, som omfattade 22 åtalspunkter, grunderna för detta samt Bo S</w:t>
      </w:r>
      <w:r w:rsidRPr="0008481A">
        <w:t>e</w:t>
      </w:r>
      <w:r w:rsidRPr="0008481A">
        <w:t>verins inställning till de särskilda åtalspunkterna redovisas utförligt i Hovrättens över Skåne och Blekinge dom.</w:t>
      </w:r>
    </w:p>
    <w:p w:rsidR="003B3271" w:rsidRPr="0008481A" w:rsidRDefault="003B3271">
      <w:pPr>
        <w:spacing w:before="0"/>
      </w:pPr>
      <w:r w:rsidRPr="0008481A">
        <w:br w:type="page"/>
        <w:t>Hovrätten över Skåne och Blekinge fann i en dom den 2 december 1998 att Bo Severin hade gjort sig skyldig till tjänstefel i 19 fall samt bestämde påföljden till 120 dagsböter. Åtalet ogillades i 10 f</w:t>
      </w:r>
      <w:r w:rsidRPr="0008481A">
        <w:t>all.</w:t>
      </w:r>
    </w:p>
    <w:p w:rsidR="003B3271" w:rsidRPr="0008481A" w:rsidRDefault="003B3271">
      <w:r w:rsidRPr="0008481A">
        <w:t>Under rubriken Sammanfattning anförde hovrätten bl.a. följande.</w:t>
      </w:r>
    </w:p>
    <w:p w:rsidR="003B3271" w:rsidRPr="0008481A" w:rsidRDefault="003B3271">
      <w:pPr>
        <w:pStyle w:val="Citat"/>
      </w:pPr>
      <w:r w:rsidRPr="0008481A">
        <w:t>Enligt åtalet hade rådmannen vid handläggning av tvistemål på olika sätt åsidosatt vad som gällt för uppgiften. Främst hade det rört att rådmannen avgjort mål utan att hålla huvudförhandling trots att förutsättningar härför inte förelegat.</w:t>
      </w:r>
    </w:p>
    <w:p w:rsidR="003B3271" w:rsidRPr="0008481A" w:rsidRDefault="003B3271">
      <w:pPr>
        <w:pStyle w:val="Citatindrag"/>
      </w:pPr>
      <w:r w:rsidRPr="0008481A">
        <w:t xml:space="preserve">Rådmannen förnekade att han åsidosatt vad som gällt för uppgiften och </w:t>
      </w:r>
      <w:r w:rsidRPr="0008481A">
        <w:softHyphen/>
        <w:t>– om han ändå skulle anses ha gjort det – att han gjort detta uppsåtligen eller av oaktsamhet, något som krävs för straffansvar. I vart fall hade felen enligt rådmannen varit ringa och därför inte straffbara.</w:t>
      </w:r>
    </w:p>
    <w:p w:rsidR="003B3271" w:rsidRPr="0008481A" w:rsidRDefault="003B3271">
      <w:pPr>
        <w:pStyle w:val="Citatindrag"/>
      </w:pPr>
      <w:r w:rsidRPr="0008481A">
        <w:t>Hovrätten slår fast att endast regler i lagar och andra föreskrifter skall beak</w:t>
      </w:r>
      <w:r w:rsidRPr="0008481A">
        <w:softHyphen/>
        <w:t>tas vid bedömningen av om rådmannen på ett straffbart sätt åsidosatt vad som gällde för uppgiften. En annan sak, framhå</w:t>
      </w:r>
      <w:r w:rsidRPr="0008481A">
        <w:t>l</w:t>
      </w:r>
      <w:r w:rsidRPr="0008481A">
        <w:t>ler hovrätten, är att en domare i sin verksamhet beaktar även högre domstolars avgöranden (s.k. prejudikat), uttalanden i förarbeten och andra rättskällor. Hovrätten konsta</w:t>
      </w:r>
      <w:r w:rsidRPr="0008481A">
        <w:softHyphen/>
        <w:t>terar vidare – i enlighet med vad Högsta domstolen uttalat i flera avgöran</w:t>
      </w:r>
      <w:r w:rsidRPr="0008481A">
        <w:softHyphen/>
        <w:t>den – att det inom rättstillämpningen måste finnas ett betydande utrymme för olika uppfattningar i tolknings- och tillämpningsfrågor samt att e</w:t>
      </w:r>
      <w:r w:rsidRPr="0008481A">
        <w:t>ndast mera klara felbedömningar kan anses vara ett åsidosättande av vad som gällt för uppgiften.</w:t>
      </w:r>
    </w:p>
    <w:p w:rsidR="003B3271" w:rsidRPr="0008481A" w:rsidRDefault="003B3271">
      <w:pPr>
        <w:pStyle w:val="Citatindrag"/>
      </w:pPr>
      <w:r w:rsidRPr="0008481A">
        <w:t>Fler än hälften av åtalspunkterna gäller tvistemål som överlämnats till tingsrätten efter att först ha handlagts som mål om betalningsföreläggande vid kronofogdemyndighet. Rådmannen har som regel avgjort målen efter att enbart ha berett pa</w:t>
      </w:r>
      <w:r w:rsidRPr="0008481A">
        <w:t>r</w:t>
      </w:r>
      <w:r w:rsidRPr="0008481A">
        <w:t>terna tillfälle att slutföra sin talan.</w:t>
      </w:r>
    </w:p>
    <w:p w:rsidR="003B3271" w:rsidRPr="0008481A" w:rsidRDefault="003B3271">
      <w:pPr>
        <w:pStyle w:val="Citatindrag"/>
      </w:pPr>
      <w:r w:rsidRPr="0008481A">
        <w:t>Hovrätten anser i likhet med åklagaren att en sådan handläggning i och för sig kan vara tillräcklig. Förutsättningen är emellertid att någon ytterligare förberedelse inte behövs vid tingsrätten. Denna förutsättning är nästan aldrig uppfylld i praktiken anser hovrätten. Tvärtom – slår hovrätten fast – är rätten enligt lag skyldig att</w:t>
      </w:r>
      <w:r w:rsidRPr="0008481A">
        <w:rPr>
          <w:b/>
        </w:rPr>
        <w:t xml:space="preserve"> </w:t>
      </w:r>
      <w:r w:rsidRPr="0008481A">
        <w:t>genom olika åtgärder verka för att klarlägga vilka skäl och bevis pa</w:t>
      </w:r>
      <w:r w:rsidRPr="0008481A">
        <w:t>r</w:t>
      </w:r>
      <w:r w:rsidRPr="0008481A">
        <w:t>terna vill lä</w:t>
      </w:r>
      <w:r w:rsidRPr="0008481A">
        <w:t>g</w:t>
      </w:r>
      <w:r w:rsidRPr="0008481A">
        <w:t>ga fram och vad de yrkar i målet.</w:t>
      </w:r>
    </w:p>
    <w:p w:rsidR="003B3271" w:rsidRPr="0008481A" w:rsidRDefault="003B3271">
      <w:pPr>
        <w:pStyle w:val="Citatindrag"/>
      </w:pPr>
      <w:r w:rsidRPr="0008481A">
        <w:t>I två av målen anser hovrätten inte att rådmannen gjorde fel. Hovrätten kommer när det gäller de andra målen fram till att rådmannen inte borde ha avgjort dem utan att reda ut parternas yrkanden, grunder eller bevisning. I dessa mål har rådmannen därför enligt hovrätten på olika sätt åsidosatt vad som gällde för uppgiften. Till skillnad från vad åklagaren påstått finner hovrätten inte att rå</w:t>
      </w:r>
      <w:r w:rsidRPr="0008481A">
        <w:t>d</w:t>
      </w:r>
      <w:r w:rsidRPr="0008481A">
        <w:t>mannen gjort detta uppsåtligen. Han har emellertid enligt hovrätten - utom i ett fall - varit oaktsam.</w:t>
      </w:r>
    </w:p>
    <w:p w:rsidR="003B3271" w:rsidRPr="0008481A" w:rsidRDefault="003B3271">
      <w:pPr>
        <w:pStyle w:val="Citatindrag"/>
      </w:pPr>
      <w:r w:rsidRPr="0008481A">
        <w:t>I två fall där hovrätten finner att rådmannen av oaktsamhet meddelat felakti</w:t>
      </w:r>
      <w:r w:rsidRPr="0008481A">
        <w:softHyphen/>
        <w:t>ga domslut dömer ho</w:t>
      </w:r>
      <w:r w:rsidRPr="0008481A">
        <w:t>v</w:t>
      </w:r>
      <w:r w:rsidRPr="0008481A">
        <w:t>rätten honom. I det ena fallet hade svaranden förplik</w:t>
      </w:r>
      <w:r w:rsidRPr="0008481A">
        <w:softHyphen/>
        <w:t>tats att betala ett belopp trots att käranden bara hade yrkat att svarandens fastighet skulle tas i anspråk. Det andra fallet gäller att rådmannen me</w:t>
      </w:r>
      <w:r w:rsidRPr="0008481A">
        <w:t>d</w:t>
      </w:r>
      <w:r w:rsidRPr="0008481A">
        <w:t>delat dom mot en svarande som inte var part i målet.</w:t>
      </w:r>
    </w:p>
    <w:p w:rsidR="003B3271" w:rsidRPr="0008481A" w:rsidRDefault="003B3271">
      <w:pPr>
        <w:pStyle w:val="Citatindrag"/>
      </w:pPr>
      <w:r w:rsidRPr="0008481A">
        <w:t>Även i två andra mål som rådmannen avgjort finner hovrätten att han av oaktsamhet meddelat fe</w:t>
      </w:r>
      <w:r w:rsidRPr="0008481A">
        <w:t>l</w:t>
      </w:r>
      <w:r w:rsidRPr="0008481A">
        <w:t>aktiga domslut men ogillar åtalet därför att gärning</w:t>
      </w:r>
      <w:r w:rsidRPr="0008481A">
        <w:softHyphen/>
        <w:t>arna är ringa. I det ena fallet hade svaranden förpliktats att betala 4 000 kr mer än käranden hade yrkat i målet. Felet hängde samman med att krono</w:t>
      </w:r>
      <w:r w:rsidRPr="0008481A">
        <w:softHyphen/>
        <w:t>fogdemyndigheten hade gjort fel när svaranden bestred ansökningen om betalningsförelä</w:t>
      </w:r>
      <w:r w:rsidRPr="0008481A">
        <w:t>g</w:t>
      </w:r>
      <w:r w:rsidRPr="0008481A">
        <w:t>gande. I det andra fallet hade rådmannen förpliktat en svarande att som rättegångskostnad betala ett belopp som egentligen borde vara en del av kapitalbeloppet i ett domslut.</w:t>
      </w:r>
    </w:p>
    <w:p w:rsidR="003B3271" w:rsidRPr="0008481A" w:rsidRDefault="003B3271">
      <w:pPr>
        <w:pStyle w:val="Citatindrag"/>
      </w:pPr>
      <w:r w:rsidRPr="0008481A">
        <w:t>Hovrätten dömer också rådmannen för att han i et</w:t>
      </w:r>
      <w:r w:rsidRPr="0008481A">
        <w:t>t mål dröjt för länge med att meddela tredsk</w:t>
      </w:r>
      <w:r w:rsidRPr="0008481A">
        <w:t>o</w:t>
      </w:r>
      <w:r w:rsidRPr="0008481A">
        <w:t>dom och för att han i ett annat mål hållit huvudförhand</w:t>
      </w:r>
      <w:r w:rsidRPr="0008481A">
        <w:softHyphen/>
        <w:t>ling trots att ett vittne inte hade kommit. Däremot ogillar hovrätten åtalet för att rådmannen i ett mål felaktigt skulle ha avvisat bevisning, tillåtit en person som var försatt i konkurs att uppträda som ombud och förelagt denne att komma in med fullmakt samt meddelat tredskodom när fullmakten kom in. På en punkt där åklagaren p</w:t>
      </w:r>
      <w:r w:rsidRPr="0008481A">
        <w:t>å</w:t>
      </w:r>
      <w:r w:rsidRPr="0008481A">
        <w:t>stått att rådmannen utan laga grund förplik</w:t>
      </w:r>
      <w:r w:rsidRPr="0008481A">
        <w:softHyphen/>
        <w:t>tat två svarande att betala vite f</w:t>
      </w:r>
      <w:r w:rsidRPr="0008481A">
        <w:t>ör att de inte kommit till en förhandling anser hovrätten inte att rådmannen gjort fel och ogillar åtalet.</w:t>
      </w:r>
    </w:p>
    <w:p w:rsidR="003B3271" w:rsidRPr="0008481A" w:rsidRDefault="003B3271">
      <w:r w:rsidRPr="0008481A">
        <w:t xml:space="preserve">Bo Severin överklagade hovrättens dom med yrkande att åtalet skulle ogillas. </w:t>
      </w:r>
      <w:r w:rsidRPr="0008481A">
        <w:rPr>
          <w:i/>
        </w:rPr>
        <w:t xml:space="preserve">ChefsJO Eklundh </w:t>
      </w:r>
      <w:r w:rsidRPr="0008481A">
        <w:t xml:space="preserve">bestred ändring. </w:t>
      </w:r>
    </w:p>
    <w:p w:rsidR="003B3271" w:rsidRPr="0008481A" w:rsidRDefault="003B3271">
      <w:pPr>
        <w:pStyle w:val="Normaltindrag"/>
      </w:pPr>
      <w:r w:rsidRPr="0008481A">
        <w:t>I en dom den 21 mars 2000 fastställde Högsta domstolen hovrättens domslut.</w:t>
      </w:r>
    </w:p>
    <w:p w:rsidR="003B3271" w:rsidRPr="0008481A" w:rsidRDefault="003B3271">
      <w:pPr>
        <w:pStyle w:val="Normaltindrag"/>
      </w:pPr>
      <w:r w:rsidRPr="0008481A">
        <w:t>Hovrättens dom, Bo Severins överklagandeskrift,</w:t>
      </w:r>
      <w:r w:rsidRPr="0008481A">
        <w:rPr>
          <w:i/>
        </w:rPr>
        <w:t xml:space="preserve"> chefsJO Eklundhs </w:t>
      </w:r>
      <w:r w:rsidRPr="0008481A">
        <w:t>svarsskrive</w:t>
      </w:r>
      <w:r w:rsidRPr="0008481A">
        <w:t>l</w:t>
      </w:r>
      <w:r w:rsidRPr="0008481A">
        <w:t>se till Högsta domstolen samt Högsta domstolens dom återges i en bilaga till de</w:t>
      </w:r>
      <w:r w:rsidRPr="0008481A">
        <w:t>n</w:t>
      </w:r>
      <w:r w:rsidRPr="0008481A">
        <w:t>na ämbetsberättelse.</w:t>
      </w:r>
    </w:p>
    <w:p w:rsidR="003B3271" w:rsidRPr="0008481A" w:rsidRDefault="003B3271">
      <w:pPr>
        <w:pStyle w:val="Rubrik2"/>
      </w:pPr>
      <w:r w:rsidRPr="0008481A">
        <w:t>En tingsrätts handläggning av ett mål om umgängesrätt m.m. där sv</w:t>
      </w:r>
      <w:r w:rsidRPr="0008481A">
        <w:t>a</w:t>
      </w:r>
      <w:r w:rsidRPr="0008481A">
        <w:t>randen hade s.k. fingerade personuppgifter</w:t>
      </w:r>
    </w:p>
    <w:p w:rsidR="003B3271" w:rsidRPr="0008481A" w:rsidRDefault="003B3271">
      <w:r w:rsidRPr="0008481A">
        <w:t>(Dnr 1806-1998)</w:t>
      </w:r>
    </w:p>
    <w:p w:rsidR="003B3271" w:rsidRPr="0008481A" w:rsidRDefault="003B3271">
      <w:r w:rsidRPr="0008481A">
        <w:t xml:space="preserve">I ett beslut den 6 december 1999 anförde </w:t>
      </w:r>
      <w:r w:rsidRPr="0008481A">
        <w:rPr>
          <w:i/>
        </w:rPr>
        <w:t>chefsJO Eklundh</w:t>
      </w:r>
      <w:r w:rsidRPr="0008481A">
        <w:t xml:space="preserve"> bl.a. följande.</w:t>
      </w:r>
    </w:p>
    <w:p w:rsidR="003B3271" w:rsidRPr="0008481A" w:rsidRDefault="003B3271">
      <w:pPr>
        <w:pStyle w:val="Rubrik3"/>
      </w:pPr>
      <w:r w:rsidRPr="0008481A">
        <w:t>Anmälan</w:t>
      </w:r>
    </w:p>
    <w:p w:rsidR="003B3271" w:rsidRPr="0008481A" w:rsidRDefault="003B3271">
      <w:r w:rsidRPr="0008481A">
        <w:t xml:space="preserve">I en anmälan till JO framförde K. I. klagomål mot att han, trots att han i en dom från Stockholms tingsrätt har medgivits umgängesrätt med sin son, inte får träffa sin son eftersom modern har skyddad identitet och adress. </w:t>
      </w:r>
    </w:p>
    <w:p w:rsidR="003B3271" w:rsidRPr="0008481A" w:rsidRDefault="003B3271">
      <w:pPr>
        <w:pStyle w:val="Rubrik3"/>
      </w:pPr>
      <w:r w:rsidRPr="0008481A">
        <w:t>Utredning</w:t>
      </w:r>
    </w:p>
    <w:p w:rsidR="003B3271" w:rsidRPr="0008481A" w:rsidRDefault="003B3271">
      <w:r w:rsidRPr="0008481A">
        <w:t xml:space="preserve">Stockholms tingsrätts, avd. 7, mål T – – – infordrades. Av handlingarna i målet framgår bl.a. följande. </w:t>
      </w:r>
    </w:p>
    <w:p w:rsidR="003B3271" w:rsidRPr="0008481A" w:rsidRDefault="003B3271">
      <w:pPr>
        <w:pStyle w:val="Normaltindrag"/>
      </w:pPr>
      <w:r w:rsidRPr="0008481A">
        <w:t>K. I. och J. K. har varit gifta med varandra och har tillsammans sonen S., född år 1991. Den 13 oktober 1994 dömde Hedemora tingsrätt till äktenskapsskillnad mellan makarna och anförtrodde J. K. vårdnaden om S. Hedemora tingsrätt lä</w:t>
      </w:r>
      <w:r w:rsidRPr="0008481A">
        <w:t>m</w:t>
      </w:r>
      <w:r w:rsidRPr="0008481A">
        <w:t>nade i en dom den 19 september 1996 K. I:s yrkande om umgängesrätt med S. utan bifall. Svea hovrätt, avd. 12, som den 9 februari 1996 fastställde tingsrättens domslut, anförde bl.a. följande. ”I enlighet med tingsrättens bedömning finns det anledning att befara att K. I. återigen olovligen bortför S. Härtill kommer att ett umgänge i närvaro av kontaktperson torde vara praktiskt ogenomförbart med hä</w:t>
      </w:r>
      <w:r w:rsidRPr="0008481A">
        <w:t>n</w:t>
      </w:r>
      <w:r w:rsidRPr="0008481A">
        <w:t xml:space="preserve">syn till att J. K. bytt identitet och det är ovisst var hon och S. befinner sig.” </w:t>
      </w:r>
    </w:p>
    <w:p w:rsidR="003B3271" w:rsidRPr="0008481A" w:rsidRDefault="003B3271">
      <w:pPr>
        <w:pStyle w:val="Normaltindrag"/>
      </w:pPr>
      <w:r w:rsidRPr="0008481A">
        <w:t>I maj 1997 väckte K. I. på</w:t>
      </w:r>
      <w:r w:rsidRPr="0008481A">
        <w:t xml:space="preserve"> nytt talan vid Hedemora tingsrätt om rätt till umgänge med sin son. Tingsrätten förelade chefen för Lokala skattekontoret i Avesta att uppge i vilken kommun S. var folkbokförd samt huruvida adressen till Lokala skattekontoret kunde användas för delgivning av handlingar i målet. Skattemy</w:t>
      </w:r>
      <w:r w:rsidRPr="0008481A">
        <w:t>n</w:t>
      </w:r>
      <w:r w:rsidRPr="0008481A">
        <w:t>digheten i Dalarnas län meddelade tingsrätten att berörd person var registrerad som obefintlig i myndighetens register och att post till denne vidaresänds till Rikspolisstyrelsen. Tingsrätten överlämnade, med stöd av 10 kap</w:t>
      </w:r>
      <w:r w:rsidRPr="0008481A">
        <w:t>. 20 a § rätt</w:t>
      </w:r>
      <w:r w:rsidRPr="0008481A">
        <w:t>e</w:t>
      </w:r>
      <w:r w:rsidRPr="0008481A">
        <w:t>gångsbalken och 6 kap. 17 § första stycket föräldrabalken, målet till Stockholms tingsrätt och anförde följande. ”Käranden har inte visat att barnet har sitt hemvist i denna tingsrätts domsaga. Med hänsyn till vad som i målet blivit upplyst kan det inte heller utrönas någon annan behörig domstol inom vars domsaga barnet har sitt he</w:t>
      </w:r>
      <w:r w:rsidRPr="0008481A">
        <w:t>m</w:t>
      </w:r>
      <w:r w:rsidRPr="0008481A">
        <w:t xml:space="preserve">vist. Målet skall således tas upp av Stockholms tingsrätt.” </w:t>
      </w:r>
    </w:p>
    <w:p w:rsidR="003B3271" w:rsidRPr="0008481A" w:rsidRDefault="003B3271">
      <w:pPr>
        <w:pStyle w:val="Normaltindrag"/>
      </w:pPr>
      <w:r w:rsidRPr="0008481A">
        <w:t>Den 24 juni 1997 utfärdade Stockholms tingsrätt stämning å J. K. med adress c/o Chefen för Lokala skatt</w:t>
      </w:r>
      <w:r w:rsidRPr="0008481A">
        <w:t>ekontoret i Avesta. Den 30 juni 1997 antecknades på da</w:t>
      </w:r>
      <w:r w:rsidRPr="0008481A">
        <w:t>g</w:t>
      </w:r>
      <w:r w:rsidRPr="0008481A">
        <w:t>boksbladet att Lokala skattekontoret i Avesta hade meddelat att Rikspolisstyre</w:t>
      </w:r>
      <w:r w:rsidRPr="0008481A">
        <w:t>l</w:t>
      </w:r>
      <w:r w:rsidRPr="0008481A">
        <w:t>sen skulle försöka ta reda på J. K:s adress. Enligt en anteckning på dagboksbladet från den 20 oktober 1997 har Aimée Jillger vid Rikspolisstyrelsen uppgett att hon varit i kontakt med svaranden och framfört att denna på något sätt borde ingå i svaromål och att svaranden – såvitt fick förstås – inte hade för avsikt att på något sätt bidra till målets handläggning.</w:t>
      </w:r>
    </w:p>
    <w:p w:rsidR="003B3271" w:rsidRPr="0008481A" w:rsidRDefault="003B3271">
      <w:pPr>
        <w:pStyle w:val="Normaltindrag"/>
      </w:pPr>
      <w:r w:rsidRPr="0008481A">
        <w:t>I en skrive</w:t>
      </w:r>
      <w:r w:rsidRPr="0008481A">
        <w:t>lse daterad den 27 oktober 1997 förklarade sig advokaten – – – villig att åta sig uppdraget som god man om tingsrätten skulle förordna en sådan för sv</w:t>
      </w:r>
      <w:r w:rsidRPr="0008481A">
        <w:t>a</w:t>
      </w:r>
      <w:r w:rsidRPr="0008481A">
        <w:t xml:space="preserve">randen. Den 28 oktober 1997 förordnade tingsrätten, enligt 11 kap. 3 a § och 20 kap. 2 § föräldrabalken, – – – till god man för att tillvarata J. K:s rätt i det aktuella målet. Samma dag inkom K. I:s ombud, advokaten </w:t>
      </w:r>
      <w:r w:rsidRPr="0008481A">
        <w:br/>
        <w:t>– – –, till tingsrätten med en skrivelse i vilken han hemställde om polis</w:t>
      </w:r>
      <w:r w:rsidRPr="0008481A">
        <w:softHyphen/>
        <w:t xml:space="preserve">delgivning med svaranden via Rikspolisstyrelsen om svaranden ännu ej </w:t>
      </w:r>
      <w:r w:rsidRPr="0008481A">
        <w:t>blivit delgiven. Enligt en tjänsteantec</w:t>
      </w:r>
      <w:r w:rsidRPr="0008481A">
        <w:t>k</w:t>
      </w:r>
      <w:r w:rsidRPr="0008481A">
        <w:t>ning den 29 oktober 1997 påkallade K. I:s ombud inte något beslut i fråga om delgi</w:t>
      </w:r>
      <w:r w:rsidRPr="0008481A">
        <w:t>v</w:t>
      </w:r>
      <w:r w:rsidRPr="0008481A">
        <w:t xml:space="preserve">ning då han mottagit underrättelse om god man för svaranden.  </w:t>
      </w:r>
    </w:p>
    <w:p w:rsidR="003B3271" w:rsidRPr="0008481A" w:rsidRDefault="003B3271">
      <w:pPr>
        <w:pStyle w:val="Normaltindrag"/>
      </w:pPr>
      <w:r w:rsidRPr="0008481A">
        <w:t>Genom Stockholms tingsrätts, avd. 7, dom den 14 januari 1998, tillerkändes K. I. rätt till umgänge med S. vartannat veckoslut, lördag eller söndag, i den o</w:t>
      </w:r>
      <w:r w:rsidRPr="0008481A">
        <w:t>m</w:t>
      </w:r>
      <w:r w:rsidRPr="0008481A">
        <w:t xml:space="preserve">fattning som kontaktperson som utses av socialtjänsten i Avesta kommun kan medverka. Av tingsrättens domskäl framgår att tingsrätten vid sin bedömning bortsåg från frågan huruvida verkställighet av domen kan ske.    </w:t>
      </w:r>
    </w:p>
    <w:p w:rsidR="003B3271" w:rsidRPr="0008481A" w:rsidRDefault="003B3271">
      <w:pPr>
        <w:pStyle w:val="Normaltindrag"/>
      </w:pPr>
      <w:r w:rsidRPr="0008481A">
        <w:t>Anmälan remitterades till tingsrätten för upplysningar enligt följande.</w:t>
      </w:r>
    </w:p>
    <w:p w:rsidR="003B3271" w:rsidRPr="0008481A" w:rsidRDefault="003B3271">
      <w:pPr>
        <w:pStyle w:val="Normaltindrag"/>
      </w:pPr>
      <w:r w:rsidRPr="0008481A">
        <w:t>1. Vilka överväganden gjordes i samband med delgivningen av stämningen med svaranden i juni 1997? Vilka åtgärder vidtog tingsrätten för att erhålla information om svarandens personuppgifter (jfr prop. 1990/91:153 s. 119).</w:t>
      </w:r>
    </w:p>
    <w:p w:rsidR="003B3271" w:rsidRPr="0008481A" w:rsidRDefault="003B3271">
      <w:pPr>
        <w:pStyle w:val="Normaltindrag"/>
      </w:pPr>
      <w:r w:rsidRPr="0008481A">
        <w:t>2. Vilka överväganden gjordes inför förordnandet av god man för svaranden?</w:t>
      </w:r>
    </w:p>
    <w:p w:rsidR="003B3271" w:rsidRPr="0008481A" w:rsidRDefault="003B3271">
      <w:pPr>
        <w:pStyle w:val="Normaltindrag"/>
      </w:pPr>
      <w:r w:rsidRPr="0008481A">
        <w:t>3. Den meddelade domen går sannolikt inte att verkställa så länge svaranden har fingerade personuppgifter. Vilka överväganden gjorde tings</w:t>
      </w:r>
      <w:r w:rsidRPr="0008481A">
        <w:softHyphen/>
        <w:t>rätten i detta avsee</w:t>
      </w:r>
      <w:r w:rsidRPr="0008481A">
        <w:t>n</w:t>
      </w:r>
      <w:r w:rsidRPr="0008481A">
        <w:t>de?</w:t>
      </w:r>
    </w:p>
    <w:p w:rsidR="003B3271" w:rsidRPr="0008481A" w:rsidRDefault="003B3271">
      <w:pPr>
        <w:pStyle w:val="Normaltindrag"/>
      </w:pPr>
      <w:r w:rsidRPr="0008481A">
        <w:t>Tingsrätten skulle vidare i ett yttrande redovisa sin bedömning av det som kommit fram.</w:t>
      </w:r>
    </w:p>
    <w:p w:rsidR="003B3271" w:rsidRPr="0008481A" w:rsidRDefault="003B3271">
      <w:pPr>
        <w:pStyle w:val="Normaltindrag"/>
      </w:pPr>
      <w:r w:rsidRPr="0008481A">
        <w:t>Tingsrätten (lagmannen Lena Berke) kom in med följande yttrande.</w:t>
      </w:r>
    </w:p>
    <w:p w:rsidR="003B3271" w:rsidRPr="0008481A" w:rsidRDefault="003B3271">
      <w:pPr>
        <w:pStyle w:val="Citat"/>
      </w:pPr>
      <w:r w:rsidRPr="0008481A">
        <w:t>Vederbörande rådman Peter Wiking-Johnsson har yttrat sig i ärendet och anfört följande: Eftersom svaranden hade medgivits att använda fingerade personuppgifter gick den väg som stod till buds för delgivning av stämning via Lokala skattemyndigheten i Avesta och Rikspolisstyrelsen. Några andra försök till delgivning än på detta sätt gjordes inte. – Sedan det efter fyra månader slutligt framgått att svaranden inte ville låta sig delges eller över huvud bidra till handläggningen av målet ansåg jag att förutsät</w:t>
      </w:r>
      <w:r w:rsidRPr="0008481A">
        <w:t>tningar förelåg att i överensstämmelse med 20 kap. 2 § första stycket föräl</w:t>
      </w:r>
      <w:r w:rsidRPr="0008481A">
        <w:t>d</w:t>
      </w:r>
      <w:r w:rsidRPr="0008481A">
        <w:t>rabalken förordna god man för svaranden. – Beträffande tingsrättens överväganden avseende mö</w:t>
      </w:r>
      <w:r w:rsidRPr="0008481A">
        <w:t>j</w:t>
      </w:r>
      <w:r w:rsidRPr="0008481A">
        <w:t>lighet till verkställighet, utöver vad som framgår av domskälen i domen, kan följande anföras. Målet rörde frågan om rätten till umgänge mellan käranden och parternas son, inte svarandens behov av skydd gentemot käranden. Det kunde inte uteslutas att svaranden skulle kunna tänka sig att, i barnets intresse, medverka till ett umgänge under fö</w:t>
      </w:r>
      <w:r w:rsidRPr="0008481A">
        <w:t>r henne betryggande omständigheter. Att praktiskt ordna ett sådant umgänge torde inte vara omöjligt. Kontaktpersonens medverkan skulle garantera att käranden inte skulle kunna utröna svarandens eller barnets personuppgifter. Jag kan för egen del endast konstatera följande. Den förordnade gode mannen överklagade inte tingsrättens dom. Vid de överväganden som tingsrätten gjort, blir frågan om verkställighet närmast en fråga för länsrätten.</w:t>
      </w:r>
    </w:p>
    <w:p w:rsidR="003B3271" w:rsidRPr="0008481A" w:rsidRDefault="003B3271">
      <w:pPr>
        <w:pStyle w:val="Rubrik3"/>
      </w:pPr>
      <w:r w:rsidRPr="0008481A">
        <w:t>Rättslig reglering</w:t>
      </w:r>
    </w:p>
    <w:p w:rsidR="003B3271" w:rsidRPr="0008481A" w:rsidRDefault="003B3271">
      <w:r w:rsidRPr="0008481A">
        <w:t>Enligt 1 § första stycket lagen (1991:483) om fingerade personuppgifter (i dess lydelse före den 1 januari 1998) fick Stockholms tingsrätt efter skriftlig ansökan medge en person som var folkbokförd i landet att använda andra personuppgifter om sig själv än de verkliga (fingerade personuppgifter) under högst fem år om det fanns en uppenbar risk att personen kunde bli utsatt för särskilt allvarlig brottsli</w:t>
      </w:r>
      <w:r w:rsidRPr="0008481A">
        <w:t>g</w:t>
      </w:r>
      <w:r w:rsidRPr="0008481A">
        <w:t xml:space="preserve">het som riktade sig mot dennes liv, hälsa eller frihet och om personen inte kunde ges tillräckligt skydd på annat sätt. Frågor om användande av fingerade personuppgifter handlades i övrigt av Rikspolisstyrelsen.  </w:t>
      </w:r>
    </w:p>
    <w:p w:rsidR="003B3271" w:rsidRPr="0008481A" w:rsidRDefault="003B3271">
      <w:pPr>
        <w:pStyle w:val="Normaltindrag"/>
      </w:pPr>
      <w:r w:rsidRPr="0008481A">
        <w:t>Av 7 kap. 15 § första stycket sekretesslagen (1980:100) följer att sekretess gäller i verksamhet som avser folkbokföringen eller annan liknande registrering av b</w:t>
      </w:r>
      <w:r w:rsidRPr="0008481A">
        <w:t>e</w:t>
      </w:r>
      <w:r w:rsidRPr="0008481A">
        <w:t>folkningen för uppgift om enskilds personliga förhållanden, om det av särskild anledning kan antas att den enskilde eller någon honom närstående lider men om uppgiften röjs. Enligt andra stycket i samma paragraf gäller sekretess i ärende om fingerade personuppgifter för uppgift om enskilds personliga förhållanden om det inte står klart att uppgiften kan röjas utan att den enskilde eller någon honom nä</w:t>
      </w:r>
      <w:r w:rsidRPr="0008481A">
        <w:t>r</w:t>
      </w:r>
      <w:r w:rsidRPr="0008481A">
        <w:t>ståe</w:t>
      </w:r>
      <w:r w:rsidRPr="0008481A">
        <w:t>n</w:t>
      </w:r>
      <w:r w:rsidRPr="0008481A">
        <w:t xml:space="preserve">de lider men. </w:t>
      </w:r>
    </w:p>
    <w:p w:rsidR="003B3271" w:rsidRPr="0008481A" w:rsidRDefault="003B3271">
      <w:pPr>
        <w:pStyle w:val="Normaltindrag"/>
      </w:pPr>
      <w:r w:rsidRPr="0008481A">
        <w:t xml:space="preserve">I 14 kap. 2 § tredje stycket sekretesslagen föreskrivs att sekretess inte hindrar att </w:t>
      </w:r>
      <w:r w:rsidRPr="0008481A">
        <w:t>uppgift om enskilds adress, telefonnummer och arbetsplats lämnas till en myndi</w:t>
      </w:r>
      <w:r w:rsidRPr="0008481A">
        <w:t>g</w:t>
      </w:r>
      <w:r w:rsidRPr="0008481A">
        <w:t>het, om uppgi</w:t>
      </w:r>
      <w:r w:rsidRPr="0008481A">
        <w:t>f</w:t>
      </w:r>
      <w:r w:rsidRPr="0008481A">
        <w:t>ten behövs där för delgivning enligt delgivnings</w:t>
      </w:r>
      <w:r w:rsidRPr="0008481A">
        <w:softHyphen/>
        <w:t xml:space="preserve">lagen (1970:428). </w:t>
      </w:r>
    </w:p>
    <w:p w:rsidR="003B3271" w:rsidRPr="0008481A" w:rsidRDefault="003B3271">
      <w:pPr>
        <w:pStyle w:val="Normaltindrag"/>
      </w:pPr>
      <w:r w:rsidRPr="0008481A">
        <w:t>Erhåller domstol i sin rättskipande eller rättsvårdande verksamhet från domstol eller annan myndighet uppgift som är sekretessbelagd där, gäller sekretessen oc</w:t>
      </w:r>
      <w:r w:rsidRPr="0008481A">
        <w:t>k</w:t>
      </w:r>
      <w:r w:rsidRPr="0008481A">
        <w:t xml:space="preserve">så hos domstolen (12 kap. 1 § första stycket sekretesslagen).   </w:t>
      </w:r>
    </w:p>
    <w:p w:rsidR="003B3271" w:rsidRPr="0008481A" w:rsidRDefault="003B3271">
      <w:pPr>
        <w:pStyle w:val="Normaltindrag"/>
      </w:pPr>
      <w:r w:rsidRPr="0008481A">
        <w:t xml:space="preserve">I 20 kap. 2 § första stycket föräldrabalken (FB) föreskrivs att om den, mot vilken talan enligt balken riktas, vistas på okänd ort, skall hans rätt i saken bevakas av god man enligt 11 kap. Av 11 kap. 3 a § FB följer att i de fall som anges i 20 kap. 2 § första stycket FB god man skall förordnas av rätten.  </w:t>
      </w:r>
    </w:p>
    <w:p w:rsidR="003B3271" w:rsidRPr="0008481A" w:rsidRDefault="003B3271">
      <w:pPr>
        <w:pStyle w:val="Rubrik3"/>
      </w:pPr>
      <w:r w:rsidRPr="0008481A">
        <w:t xml:space="preserve">Bedömning </w:t>
      </w:r>
    </w:p>
    <w:p w:rsidR="003B3271" w:rsidRPr="0008481A" w:rsidRDefault="003B3271">
      <w:r w:rsidRPr="0008481A">
        <w:t>I det mål som kom att handläggas av Stockholms tingsrätt använde svara</w:t>
      </w:r>
      <w:r w:rsidRPr="0008481A">
        <w:t>n</w:t>
      </w:r>
      <w:r w:rsidRPr="0008481A">
        <w:t xml:space="preserve">den, J. K., fingerade personuppgifter. Av uppgifterna i ärendet framgår att tingsrätten hade varit i kontakt med Lokala skattekontoret i Avesta och Rikspolisstyrelsen i syfte att delge svaranden stämning i målet. När J. K. ännu fyra månader efter det att stämning hade utfärdats inte hade delgivits stämningen, förordnade tingsrätten en god man för att bevaka hennes rätt i målet. </w:t>
      </w:r>
    </w:p>
    <w:p w:rsidR="003B3271" w:rsidRPr="0008481A" w:rsidRDefault="003B3271">
      <w:pPr>
        <w:pStyle w:val="Normaltindrag"/>
      </w:pPr>
      <w:r w:rsidRPr="0008481A">
        <w:t>Syftet med fingerade personuppgifter är att hindra att en eller flera förföljare, med hjälp av uppgifter i allmänna handlingar ho</w:t>
      </w:r>
      <w:r w:rsidRPr="0008481A">
        <w:t>s en myndighet, får kännedom om var den person som behöver skyddas bor eller vistas. Det finns däremot inte någon laglig möjlighet för den som använder fingerade personuppgifter att undandra sig några förpliktelser. Personen i fråga har inte heller rätt att vägra medverka i ett rättsligt förfarande med hänvisning till att han har fått fingerade personuppgifter. Det är inte otänkbart att personen i fråga kan bli skyldig att inställa sig personl</w:t>
      </w:r>
      <w:r w:rsidRPr="0008481A">
        <w:t>i</w:t>
      </w:r>
      <w:r w:rsidRPr="0008481A">
        <w:t>gen exempelvis inför allmän domstol (se prop. 1997/98:9 s. 54 f.</w:t>
      </w:r>
      <w:r w:rsidRPr="0008481A">
        <w:t xml:space="preserve"> och s. 72). I fö</w:t>
      </w:r>
      <w:r w:rsidRPr="0008481A">
        <w:t>r</w:t>
      </w:r>
      <w:r w:rsidRPr="0008481A">
        <w:t>arbetena till lagen om fingerade personuppgifter uttalas bl.a. att det beträffande de riktiga uppgifterna i folkbokföringen skall framgå att personen i fråga använder fingerade personuppgifter. Syftet härmed är att minska problemen för borgenärer och myndigheter m.fl. som har ett legitimt intresse av att komma i kontakt med personen och för att det skall finnas en reell möjlighet för en myndighet eller en tredje man att få klart för sig att den person som de söker nu har registrerats under</w:t>
      </w:r>
      <w:r w:rsidRPr="0008481A">
        <w:t xml:space="preserve"> andra personuppgifter och att de – om de behöver tillgång till dessa uppgifter – kan ha anledning att begära en prövning av om uppgifterna kan lämnas ut till dem (prop. 1990/91:153 s. 119). </w:t>
      </w:r>
    </w:p>
    <w:p w:rsidR="003B3271" w:rsidRPr="0008481A" w:rsidRDefault="003B3271">
      <w:pPr>
        <w:pStyle w:val="Normaltindrag"/>
      </w:pPr>
      <w:r w:rsidRPr="0008481A">
        <w:t>Att en person använder fingerade personuppgifter innebär alltså inte att det e</w:t>
      </w:r>
      <w:r w:rsidRPr="0008481A">
        <w:t>n</w:t>
      </w:r>
      <w:r w:rsidRPr="0008481A">
        <w:t>bart är Rikspolisstyrelsen som kan få ta del av de sekretessbelagda uppgifterna beträffande personen i fråga. Om en myndighet eller en enskild begär att få ta del av sådana uppgifter skall myndigheten i varje enskilt fall göra en prövning om det föreligger hinder härför på grund av en bestämmelse om se</w:t>
      </w:r>
      <w:r w:rsidRPr="0008481A">
        <w:t>k</w:t>
      </w:r>
      <w:r w:rsidRPr="0008481A">
        <w:t xml:space="preserve">retess.  </w:t>
      </w:r>
    </w:p>
    <w:p w:rsidR="003B3271" w:rsidRPr="0008481A" w:rsidRDefault="003B3271">
      <w:pPr>
        <w:pStyle w:val="Normaltindrag"/>
      </w:pPr>
      <w:r w:rsidRPr="0008481A">
        <w:t>Enligt 15 kap. 5 § sekretesslagen skall en myndighet på begäran av en annan myndighet lämna uppgift som den förfogar över i den mån hinder inte möter på grund av bestämmelse om sekretess eller av h</w:t>
      </w:r>
      <w:r w:rsidRPr="0008481A">
        <w:t>änsyn till arbetets behöriga gång. Av bestämmelsen i 14 kap. 2 § tredje stycket sekretesslagen följer att sekretess inte hindrar att uppgift om bl.a. den enskildes adress lämnas till en myndighet om uppgiften behövs där för delgivning. Enligt 2 § delgivningslagen (1970:428) är det den myndighet där målet eller ärendet handläggs som ombesörjer delgivning. Käranden skall visserligen i stämningsansökan ange bl.a. svarandens adress och förhållanden i övrigt av betydelse för delgivning med honom (33 kap. 1 § rät</w:t>
      </w:r>
      <w:r w:rsidRPr="0008481A">
        <w:t>t</w:t>
      </w:r>
      <w:r w:rsidRPr="0008481A">
        <w:t>e</w:t>
      </w:r>
      <w:r w:rsidRPr="0008481A">
        <w:t>gångsbalken). Med hänsyn till att det för K. I. torde ha varit nästintill omöjligt att ange sådana uppgifter om J. K. ålåg det tingsrätten, i varje fall sedan det visat sig att J. K. inte avsåg att bidra till målets handläggning, att få fram uppgi</w:t>
      </w:r>
      <w:r w:rsidRPr="0008481A">
        <w:t>f</w:t>
      </w:r>
      <w:r w:rsidRPr="0008481A">
        <w:t xml:space="preserve">terna.      </w:t>
      </w:r>
    </w:p>
    <w:p w:rsidR="003B3271" w:rsidRPr="0008481A" w:rsidRDefault="003B3271">
      <w:pPr>
        <w:pStyle w:val="Normaltindrag"/>
      </w:pPr>
      <w:r w:rsidRPr="0008481A">
        <w:t>Tingsrätten borde således hos t.ex. Rikspolisstyrelsen ha begärt att få del av J. K:s adress eftersom denna behövdes för delgivning. Sekretess för adressup</w:t>
      </w:r>
      <w:r w:rsidRPr="0008481A">
        <w:t>p</w:t>
      </w:r>
      <w:r w:rsidRPr="0008481A">
        <w:t xml:space="preserve">giften hade gällt även i tingsrätten till följd av 12 kap. 1 § sekretesslagen. Det kan anmärkas att ett sådant sekretesskydd numera följer direkt av 7 kap. 15 § andra stycket andra meningen sekretesslagen. </w:t>
      </w:r>
    </w:p>
    <w:p w:rsidR="003B3271" w:rsidRPr="0008481A" w:rsidRDefault="003B3271">
      <w:pPr>
        <w:pStyle w:val="Normaltindrag"/>
      </w:pPr>
      <w:r w:rsidRPr="0008481A">
        <w:t>Eftersom tingsrätten inte vidtog tillräckliga åtgärder för att delge svaranden eller eftersöka dennas adress saknades underlag för att fastslå att hon vistades på okänd ort. Tingsrättens beslut att förorda god man för svaranden enligt 20 kap 2 § första stycket föräldrabalken var därför inte lagligen gru</w:t>
      </w:r>
      <w:r w:rsidRPr="0008481A">
        <w:t xml:space="preserve">ndat.  </w:t>
      </w:r>
    </w:p>
    <w:p w:rsidR="003B3271" w:rsidRPr="0008481A" w:rsidRDefault="003B3271">
      <w:pPr>
        <w:pStyle w:val="Normaltindrag"/>
      </w:pPr>
      <w:r w:rsidRPr="0008481A">
        <w:t>Tingsrättens dom den 14 januari 1998 innebar att K. I. tillerkändes rätt till visst umgänge med sin son. Umgänget skulle ske i närvaro av kontaktperson. Möjlighet att mot J. K:s vilja verkställa denna dom synes inte föreligga så länge hon har fi</w:t>
      </w:r>
      <w:r w:rsidRPr="0008481A">
        <w:t>n</w:t>
      </w:r>
      <w:r w:rsidRPr="0008481A">
        <w:t>gerade personuppgifter. Det är visserligen riktigt att frågor om verkställighet pr</w:t>
      </w:r>
      <w:r w:rsidRPr="0008481A">
        <w:t>ö</w:t>
      </w:r>
      <w:r w:rsidRPr="0008481A">
        <w:t>vas av länsrätten som första instans. Det kan dock ifrågasättas det lämpliga i att i ett mål om vårdnad eller umgänge meddela en dom som man kan förutse inte  kommer att kunna verkställas (jfr NJA 1992 s. 93).</w:t>
      </w:r>
    </w:p>
    <w:p w:rsidR="003B3271" w:rsidRPr="0008481A" w:rsidRDefault="003B3271">
      <w:pPr>
        <w:pStyle w:val="Rubrik2"/>
      </w:pPr>
      <w:r w:rsidRPr="0008481A">
        <w:t>Fråga om förutsättningar förelåg att förordna god man i ett fade</w:t>
      </w:r>
      <w:r w:rsidRPr="0008481A">
        <w:t>r</w:t>
      </w:r>
      <w:r w:rsidRPr="0008481A">
        <w:t>skapsmål</w:t>
      </w:r>
    </w:p>
    <w:p w:rsidR="003B3271" w:rsidRPr="0008481A" w:rsidRDefault="003B3271">
      <w:r w:rsidRPr="0008481A">
        <w:t>(Dnr 2349-1998)</w:t>
      </w:r>
    </w:p>
    <w:p w:rsidR="003B3271" w:rsidRPr="0008481A" w:rsidRDefault="003B3271">
      <w:r w:rsidRPr="0008481A">
        <w:t xml:space="preserve">I ett beslut den 7 december 1999 anförde </w:t>
      </w:r>
      <w:r w:rsidRPr="0008481A">
        <w:rPr>
          <w:i/>
        </w:rPr>
        <w:t>chefsJO Eklundh</w:t>
      </w:r>
      <w:r w:rsidRPr="0008481A">
        <w:t xml:space="preserve"> bl.a. följande.</w:t>
      </w:r>
    </w:p>
    <w:p w:rsidR="003B3271" w:rsidRPr="0008481A" w:rsidRDefault="003B3271">
      <w:pPr>
        <w:pStyle w:val="Rubrik3"/>
      </w:pPr>
      <w:r w:rsidRPr="0008481A">
        <w:t>Bakgrund</w:t>
      </w:r>
    </w:p>
    <w:p w:rsidR="003B3271" w:rsidRPr="0008481A" w:rsidRDefault="003B3271">
      <w:r w:rsidRPr="0008481A">
        <w:t>I samband med en inspektion vid Köpings tingsrätt den 5 och 6 maj 1998 fra</w:t>
      </w:r>
      <w:r w:rsidRPr="0008481A">
        <w:t>m</w:t>
      </w:r>
      <w:r w:rsidRPr="0008481A">
        <w:t xml:space="preserve">kom följande vid granskningen av akten i mål – – –. </w:t>
      </w:r>
    </w:p>
    <w:p w:rsidR="003B3271" w:rsidRPr="0008481A" w:rsidRDefault="003B3271">
      <w:pPr>
        <w:pStyle w:val="Normaltindrag"/>
      </w:pPr>
      <w:r w:rsidRPr="0008481A">
        <w:t>Matilda A., född i oktober 1992, ansökte genom sin mor M. A. den 3 septem</w:t>
      </w:r>
      <w:r w:rsidRPr="0008481A">
        <w:softHyphen/>
        <w:t>ber 1996 om stämning på indonesiske medborgaren A. P., adress okänd, och yrkade att tingsrätten skulle fastställa att han var far till henne. Vidare yrkades att en god man skulle förordnas för tillvaratagande av A. P:s rätt i målet. I stämningsansökan anfördes bl.a. följande.</w:t>
      </w:r>
    </w:p>
    <w:p w:rsidR="003B3271" w:rsidRPr="0008481A" w:rsidRDefault="003B3271">
      <w:pPr>
        <w:pStyle w:val="Citat"/>
        <w:rPr>
          <w:sz w:val="20"/>
        </w:rPr>
      </w:pPr>
      <w:r w:rsidRPr="0008481A">
        <w:t>M. A. har lärt känna A. P. redan 1987. Denne var sjöman och arbetade på ett fartyg, Meandra, som anlöpte Köpings hamn fram till våren 1992. M. A. och A. P. inledde intim förbindelse i början av 1990. M. A. uppger att hon inte haft int</w:t>
      </w:r>
      <w:r w:rsidRPr="0008481A">
        <w:t>imt umgänge med någon annan man under konceptionst</w:t>
      </w:r>
      <w:r w:rsidRPr="0008481A">
        <w:t>i</w:t>
      </w:r>
      <w:r w:rsidRPr="0008481A">
        <w:t>den än med A. P.</w:t>
      </w:r>
    </w:p>
    <w:p w:rsidR="003B3271" w:rsidRPr="0008481A" w:rsidRDefault="003B3271">
      <w:pPr>
        <w:pStyle w:val="Citatindrag"/>
      </w:pPr>
      <w:r w:rsidRPr="0008481A">
        <w:t>Fartyget Meandra ägdes av rederi (</w:t>
      </w:r>
      <w:r w:rsidRPr="0008481A">
        <w:rPr>
          <w:i/>
        </w:rPr>
        <w:t>firma och adress)</w:t>
      </w:r>
      <w:r w:rsidRPr="0008481A">
        <w:t>, Rotterdam, Hol</w:t>
      </w:r>
      <w:r w:rsidRPr="0008481A">
        <w:softHyphen/>
        <w:t>land. A. P. var anställd hos rederiet. Fartyget lär ha sålts och M. A. har inte längre någon kontakt med A. P. Denne har tillskr</w:t>
      </w:r>
      <w:r w:rsidRPr="0008481A">
        <w:t>i</w:t>
      </w:r>
      <w:r w:rsidRPr="0008481A">
        <w:t>vits från socialförvaltningen i Köping men har inte låtit sig avhöras. Han har tillskrivits under rederiets adress. Socialförvaltningens brev avsändes den 16 februari 1995.</w:t>
      </w:r>
    </w:p>
    <w:p w:rsidR="003B3271" w:rsidRPr="0008481A" w:rsidRDefault="003B3271">
      <w:r w:rsidRPr="0008481A">
        <w:t>Till stämningsansökan fanns fogat ett protokoll avseende utredning för fastställan</w:t>
      </w:r>
      <w:r w:rsidRPr="0008481A">
        <w:softHyphen/>
        <w:t>de av faderskap upprättat av Köpings kommuns socialnämnd den 4 november 1992. Av protokollet framgår bl.a. att M. A. i november 1992 fortfarande hade kontakt med A. P., att han arbetade på fartyget Meandra som anlöpt Köpings hamn kontinuerligt, att fartyget inte längre skulle komma kontinuerligt samt att A. P. beräknades komma till Köping först i februari 1993. Till stäm</w:t>
      </w:r>
      <w:r w:rsidRPr="0008481A">
        <w:softHyphen/>
        <w:t>nings</w:t>
      </w:r>
      <w:r w:rsidRPr="0008481A">
        <w:softHyphen/>
        <w:t>ansökan fanns också fogad en skrivelse upprättad av Majbritt Jansson den 16 feb</w:t>
      </w:r>
      <w:r w:rsidRPr="0008481A">
        <w:softHyphen/>
        <w:t>ruari 1995 och ställd till A. P. under rederiets ad</w:t>
      </w:r>
      <w:r w:rsidRPr="0008481A">
        <w:t>ress. Av denna framgick fö</w:t>
      </w:r>
      <w:r w:rsidRPr="0008481A">
        <w:t>l</w:t>
      </w:r>
      <w:r w:rsidRPr="0008481A">
        <w:t>jande.</w:t>
      </w:r>
    </w:p>
    <w:p w:rsidR="003B3271" w:rsidRPr="0008481A" w:rsidRDefault="003B3271">
      <w:pPr>
        <w:pStyle w:val="Citat"/>
      </w:pPr>
      <w:r w:rsidRPr="0008481A">
        <w:t>M. A. har uppgett Dig som far till den flicka Matilda som hon födde i oktober 1992. M. A. har försökt nå Dig men inte lyckats. Översänder ett protokoll där Du skall lämna uppgifter om Ditt förhållande till M. A. och om Din inställning till faderskapet. Om Du anser Dig vara far kan Du hos Din ambassad underteckna faderskapsbekräftelsen i tre exemplar och få Din namnteckning bevittnad. Medsänder också ett frågeformulär ang. Dina ekonomiska förhållanden som Du också kan få hjä</w:t>
      </w:r>
      <w:r w:rsidRPr="0008481A">
        <w:t>lp att fylla i hos Din ambassad. Om Du inte är beredd att underteckna faderskapsb</w:t>
      </w:r>
      <w:r w:rsidRPr="0008481A">
        <w:t>e</w:t>
      </w:r>
      <w:r w:rsidRPr="0008481A">
        <w:t>kräf</w:t>
      </w:r>
      <w:r w:rsidRPr="0008481A">
        <w:softHyphen/>
        <w:t>telsen sänd då protokollet med Dina uppgifter tillbaka med angivande av Dina skäl till att Du inte vill bekräfta faderskapet. Ärendet måste då lämnas till advokat för rättslig prövning och för blod</w:t>
      </w:r>
      <w:r w:rsidRPr="0008481A">
        <w:softHyphen/>
        <w:t>provstagning. Emotser han</w:t>
      </w:r>
      <w:r w:rsidRPr="0008481A">
        <w:t>d</w:t>
      </w:r>
      <w:r w:rsidRPr="0008481A">
        <w:t>lingarna åter före den 28 februari 1995.</w:t>
      </w:r>
    </w:p>
    <w:p w:rsidR="003B3271" w:rsidRPr="0008481A" w:rsidRDefault="003B3271">
      <w:r w:rsidRPr="0008481A">
        <w:t>Tingsrätten konstaterade i ett beslut den 6 september 1996 att A. P. fick antas sa</w:t>
      </w:r>
      <w:r w:rsidRPr="0008481A">
        <w:t>k</w:t>
      </w:r>
      <w:r w:rsidRPr="0008481A">
        <w:t>na känt hemvist och att det inte kunde klarläggas var han uppehöll sig varför hans rätt i målet skulle bevakas av en god man jämlikt 20 kap. 2 § första stycket föräl</w:t>
      </w:r>
      <w:r w:rsidRPr="0008481A">
        <w:t>d</w:t>
      </w:r>
      <w:r w:rsidRPr="0008481A">
        <w:t>rabalken. Samma dag utfärdades stämning på A. P. genom den gode ma</w:t>
      </w:r>
      <w:r w:rsidRPr="0008481A">
        <w:t>n</w:t>
      </w:r>
      <w:r w:rsidRPr="0008481A">
        <w:t>nen.</w:t>
      </w:r>
    </w:p>
    <w:p w:rsidR="003B3271" w:rsidRPr="0008481A" w:rsidRDefault="003B3271">
      <w:pPr>
        <w:pStyle w:val="Normaltindrag"/>
      </w:pPr>
      <w:r w:rsidRPr="0008481A">
        <w:t>I svaromålet, som inkom till tingsrätten i november 1996, anförde den gode man</w:t>
      </w:r>
      <w:r w:rsidRPr="0008481A">
        <w:softHyphen/>
        <w:t>nen – utan att ange vilka efterforskningsåtgärder han hade vidtagit – att han hade försökt få kontakt med A. P. men inte lyckats. Han uppgav att han med anle</w:t>
      </w:r>
      <w:r w:rsidRPr="0008481A">
        <w:t>d</w:t>
      </w:r>
      <w:r w:rsidRPr="0008481A">
        <w:t>ning av detta varken kunde medge eller bestrida det yrkande som hade fram</w:t>
      </w:r>
      <w:r w:rsidRPr="0008481A">
        <w:softHyphen/>
        <w:t>ställts.</w:t>
      </w:r>
    </w:p>
    <w:p w:rsidR="003B3271" w:rsidRPr="0008481A" w:rsidRDefault="003B3271">
      <w:pPr>
        <w:pStyle w:val="Normaltindrag"/>
      </w:pPr>
      <w:r w:rsidRPr="0008481A">
        <w:t>Tingsrätten kallade därefter Matilda A., genom M. A., och A. P., genom den gode mannen, till en muntlig förberedelse den 24 januari 1997. Vid förhand</w:t>
      </w:r>
      <w:r w:rsidRPr="0008481A">
        <w:softHyphen/>
        <w:t>lingen i</w:t>
      </w:r>
      <w:r w:rsidRPr="0008481A">
        <w:t>n</w:t>
      </w:r>
      <w:r w:rsidRPr="0008481A">
        <w:t>gavs tre fotografier av A. P. tagna under 1991–1992 samt ett brev från A. P. till M. A. I protokollet från förberedelsen antecknades bl.a. fö</w:t>
      </w:r>
      <w:r w:rsidRPr="0008481A">
        <w:t>l</w:t>
      </w:r>
      <w:r w:rsidRPr="0008481A">
        <w:t>jande.</w:t>
      </w:r>
    </w:p>
    <w:p w:rsidR="003B3271" w:rsidRPr="0008481A" w:rsidRDefault="003B3271">
      <w:pPr>
        <w:pStyle w:val="Citat"/>
        <w:rPr>
          <w:sz w:val="20"/>
        </w:rPr>
      </w:pPr>
      <w:r w:rsidRPr="0008481A">
        <w:t>M. A. uppger att hon inte vet var A. P. uppehåller sig.</w:t>
      </w:r>
    </w:p>
    <w:p w:rsidR="003B3271" w:rsidRPr="0008481A" w:rsidRDefault="003B3271">
      <w:pPr>
        <w:pStyle w:val="Citatindrag"/>
      </w:pPr>
      <w:r w:rsidRPr="0008481A">
        <w:t>Käranden yrkar att tingsrätten måtte förklara att A. P. är far till Matilda A.</w:t>
      </w:r>
    </w:p>
    <w:p w:rsidR="003B3271" w:rsidRPr="0008481A" w:rsidRDefault="003B3271">
      <w:pPr>
        <w:pStyle w:val="Citatindrag"/>
      </w:pPr>
      <w:r w:rsidRPr="0008481A">
        <w:t>Den gode mannen förklarar att yrkandet varken kan medges eller bestridas då han inte lyckats få kontakt med A. P. Det finns emellertid inte någon anledning att betvivla M. A:s uppgif</w:t>
      </w:r>
      <w:r w:rsidRPr="0008481A">
        <w:softHyphen/>
        <w:t>ter.</w:t>
      </w:r>
    </w:p>
    <w:p w:rsidR="003B3271" w:rsidRPr="0008481A" w:rsidRDefault="003B3271">
      <w:pPr>
        <w:pStyle w:val="Citatindrag"/>
      </w:pPr>
      <w:r w:rsidRPr="0008481A">
        <w:t>Käranden anger och utvecklar grunden till käromålet enligt stämnings</w:t>
      </w:r>
      <w:r w:rsidRPr="0008481A">
        <w:softHyphen/>
        <w:t xml:space="preserve">ansökan aktbil. 1 samt anför därvid följande. M. A. och A. P. träffades hos en kompis 1987 och blev goda vänner. – – – </w:t>
      </w:r>
      <w:r w:rsidRPr="0008481A">
        <w:softHyphen/>
        <w:t xml:space="preserve">De inledde ett förhållande 1990. Under perioden 1991 till den 27 mars 1992 besökte A. P., </w:t>
      </w:r>
      <w:r w:rsidRPr="0008481A">
        <w:softHyphen/>
        <w:t>som jobbade på fartyget Meandra, M. A. på sin lediga tid när fartyget låg i Köpings hamn. Un</w:t>
      </w:r>
      <w:r w:rsidRPr="0008481A">
        <w:softHyphen/>
        <w:t>der våren 1992 – – – hade de intimt umgänge. A. P. umgicks också med M. A:s familj och var bl.a. med på M. A:s mammas födelsedag den 28 december 1991. Den 27 mars 1992 var senaste gången M. A. och A. P. träf</w:t>
      </w:r>
      <w:r w:rsidRPr="0008481A">
        <w:t>fades. Därefter åkte A. P. tillbaka till Indone</w:t>
      </w:r>
      <w:r w:rsidRPr="0008481A">
        <w:softHyphen/>
        <w:t>sien. M. A. fick därefter ett brev från honom någon gång under april–maj 1992. Vidare ringde A. P. till M. A. i septe</w:t>
      </w:r>
      <w:r w:rsidRPr="0008481A">
        <w:t>m</w:t>
      </w:r>
      <w:r w:rsidRPr="0008481A">
        <w:t>ber 1992.</w:t>
      </w:r>
    </w:p>
    <w:p w:rsidR="003B3271" w:rsidRPr="0008481A" w:rsidRDefault="003B3271">
      <w:pPr>
        <w:pStyle w:val="Citatindrag"/>
      </w:pPr>
      <w:r w:rsidRPr="0008481A">
        <w:t xml:space="preserve">M. A. fick reda på att hon var gravid någon gång i februari 1992 och hon berättade detta för A. P. innan han åkte tillbaka till Indonesien. </w:t>
      </w:r>
      <w:r w:rsidRPr="0008481A">
        <w:rPr>
          <w:rFonts w:ascii="Garamond" w:hAnsi="Garamond"/>
        </w:rPr>
        <w:t>– – –</w:t>
      </w:r>
    </w:p>
    <w:p w:rsidR="003B3271" w:rsidRPr="0008481A" w:rsidRDefault="003B3271">
      <w:pPr>
        <w:pStyle w:val="Citatindrag"/>
      </w:pPr>
      <w:r w:rsidRPr="0008481A">
        <w:t>M. A. uppger vidare att A. P. kommer från ön Ambon i Indonesien. Han har jobbat som sjöman i ca 12 år och är enligt sitt ID-kort född den 25 d</w:t>
      </w:r>
      <w:r w:rsidRPr="0008481A">
        <w:t>e</w:t>
      </w:r>
      <w:r w:rsidRPr="0008481A">
        <w:t>cember 1954.</w:t>
      </w:r>
    </w:p>
    <w:p w:rsidR="003B3271" w:rsidRPr="0008481A" w:rsidRDefault="003B3271">
      <w:pPr>
        <w:pStyle w:val="Citatindrag"/>
      </w:pPr>
      <w:r w:rsidRPr="0008481A">
        <w:t>Med parternas samtycke företas målet till huvudförhandling i förenklad form. – – –</w:t>
      </w:r>
    </w:p>
    <w:p w:rsidR="003B3271" w:rsidRPr="0008481A" w:rsidRDefault="003B3271">
      <w:pPr>
        <w:pStyle w:val="Citatindrag"/>
      </w:pPr>
      <w:r w:rsidRPr="0008481A">
        <w:t>Förhandlingen, som pågått kl. 10.30–12.00 förklaras avslutad med tillkännagivande av att dom kommer att meddelas senare under dagen.</w:t>
      </w:r>
    </w:p>
    <w:p w:rsidR="003B3271" w:rsidRPr="0008481A" w:rsidRDefault="003B3271">
      <w:r w:rsidRPr="0008481A">
        <w:t>Genom en dom samma dag förklarade tingsrätten A. P. vara far till Matilda A. Under ”DOMSKÄL” gjorde tingsrätten följande bedömning.</w:t>
      </w:r>
    </w:p>
    <w:p w:rsidR="003B3271" w:rsidRPr="0008481A" w:rsidRDefault="003B3271">
      <w:pPr>
        <w:pStyle w:val="Citat"/>
      </w:pPr>
      <w:r w:rsidRPr="0008481A">
        <w:t>M. A. har lämnat sina uppgifter om vid vilka tidpunkter som hon träffat A. P. med stöd av antec</w:t>
      </w:r>
      <w:r w:rsidRPr="0008481A">
        <w:t>k</w:t>
      </w:r>
      <w:r w:rsidRPr="0008481A">
        <w:t>ningar som hon gjort i en almanacka och som hon påstår att hon skrivit i anslutning till de dagar de hänför sig till. Hennes dotter Matilda A. har varit närvarande vid förhandlingen och har därvid pekat på den man som M. A. har förklarat vara A. P. på fotografierna och kallat honom för pappa. Det har därvid också lätt kunnat konstateras att barnet företett likheter med A. P. M. A. har också uppgivit att dottern Matilda har fått sitt namn Patricia efter A. P:s mor såsom varande barnets farmor. M. A:s uppgif</w:t>
      </w:r>
      <w:r w:rsidRPr="0008481A">
        <w:t>ter är enligt tingsrättens mening mycket trovärdiga. Uppgifterna vinner dessutom stöd av fotografier och ett åberopat brev samt annan ut</w:t>
      </w:r>
      <w:r w:rsidRPr="0008481A">
        <w:softHyphen/>
        <w:t>redning. Tingsrätten finner därför att det är utrett att A. P. har haft samlag med barnets mor under tid då barnet kan vara avlat. Ting</w:t>
      </w:r>
      <w:r w:rsidRPr="0008481A">
        <w:t>s</w:t>
      </w:r>
      <w:r w:rsidRPr="0008481A">
        <w:t>rätten finner också med hänsyn till samtliga omständighe</w:t>
      </w:r>
      <w:r w:rsidRPr="0008481A">
        <w:softHyphen/>
        <w:t>ter att det är sannolikt att barnet har avlats av honom. A. P. skall därför förklaras vara fader till Matilda A.</w:t>
      </w:r>
    </w:p>
    <w:p w:rsidR="003B3271" w:rsidRPr="0008481A" w:rsidRDefault="003B3271">
      <w:r w:rsidRPr="0008481A">
        <w:t>Domen överklagades inte.</w:t>
      </w:r>
    </w:p>
    <w:p w:rsidR="003B3271" w:rsidRPr="0008481A" w:rsidRDefault="003B3271">
      <w:pPr>
        <w:pStyle w:val="Rubrik3"/>
      </w:pPr>
      <w:r w:rsidRPr="0008481A">
        <w:t xml:space="preserve">Utredning </w:t>
      </w:r>
    </w:p>
    <w:p w:rsidR="003B3271" w:rsidRPr="0008481A" w:rsidRDefault="003B3271">
      <w:r w:rsidRPr="0008481A">
        <w:t>Ärendet remitterades till Köpings tingsrätt för upplysningar enligt fö</w:t>
      </w:r>
      <w:r w:rsidRPr="0008481A">
        <w:t>l</w:t>
      </w:r>
      <w:r w:rsidRPr="0008481A">
        <w:t xml:space="preserve">jande. </w:t>
      </w:r>
    </w:p>
    <w:p w:rsidR="003B3271" w:rsidRPr="0008481A" w:rsidRDefault="003B3271">
      <w:pPr>
        <w:pStyle w:val="Normaltindrag"/>
      </w:pPr>
      <w:r w:rsidRPr="0008481A">
        <w:t>I 20 kap. 2 § första stycket föräldrabalken (FB) föreskrivs att om den, mot vilken talan enligt föräldrabalken riktas, vistas på okänd ort, skall hans rätt i saken bev</w:t>
      </w:r>
      <w:r w:rsidRPr="0008481A">
        <w:t>a</w:t>
      </w:r>
      <w:r w:rsidRPr="0008481A">
        <w:t>kas av god man enligt 11 kap. Tingsrätten förordnade med stöd av denna bestä</w:t>
      </w:r>
      <w:r w:rsidRPr="0008481A">
        <w:t>m</w:t>
      </w:r>
      <w:r w:rsidRPr="0008481A">
        <w:t>melse en god man för svaranden i mål – – – med motiveringen att svaranden fick antas sakna känt hemvist och att det inte kunde klarläggas var han uppehöll sig.</w:t>
      </w:r>
    </w:p>
    <w:p w:rsidR="003B3271" w:rsidRPr="0008481A" w:rsidRDefault="003B3271">
      <w:pPr>
        <w:pStyle w:val="Normaltindrag"/>
      </w:pPr>
      <w:r w:rsidRPr="0008481A">
        <w:t>1. Vilka åtgärder vidtog tingsrätten innan beslutet fattades för att få klarlagt att svaranden befann sig på okänd ort?</w:t>
      </w:r>
    </w:p>
    <w:p w:rsidR="003B3271" w:rsidRPr="0008481A" w:rsidRDefault="003B3271">
      <w:pPr>
        <w:pStyle w:val="Normaltindrag"/>
      </w:pPr>
      <w:r w:rsidRPr="0008481A">
        <w:t>2. Tillfrågades den gode mannen någon gång under handläggningen om vilka e</w:t>
      </w:r>
      <w:r w:rsidRPr="0008481A">
        <w:t>f</w:t>
      </w:r>
      <w:r w:rsidRPr="0008481A">
        <w:t>terforskningsåtgärder han hade vidtagit?</w:t>
      </w:r>
    </w:p>
    <w:p w:rsidR="003B3271" w:rsidRPr="0008481A" w:rsidRDefault="003B3271">
      <w:pPr>
        <w:pStyle w:val="Normaltindrag"/>
      </w:pPr>
      <w:r w:rsidRPr="0008481A">
        <w:t>3. Vilka åtgärder vidtog tingsrätten med anledning av de uppgifter om svarandens hemort som käranden lämnade under förberedelsen?</w:t>
      </w:r>
    </w:p>
    <w:p w:rsidR="003B3271" w:rsidRPr="0008481A" w:rsidRDefault="003B3271">
      <w:r w:rsidRPr="0008481A">
        <w:t>Tingsrätten skulle vidare yttra sig och redovisa sin bedömning av det som kom</w:t>
      </w:r>
      <w:r w:rsidRPr="0008481A">
        <w:softHyphen/>
        <w:t>mit fram.</w:t>
      </w:r>
    </w:p>
    <w:p w:rsidR="003B3271" w:rsidRPr="0008481A" w:rsidRDefault="003B3271">
      <w:pPr>
        <w:pStyle w:val="Normaltindrag"/>
        <w:rPr>
          <w:i/>
        </w:rPr>
      </w:pPr>
      <w:r w:rsidRPr="0008481A">
        <w:t>Köpings tingsrätt (lagmannen Urban Sandén) inkom med ett yttrande i vilket hä</w:t>
      </w:r>
      <w:r w:rsidRPr="0008481A">
        <w:t>n</w:t>
      </w:r>
      <w:r w:rsidRPr="0008481A">
        <w:t xml:space="preserve">visades till ett bifogat yttrande från rådmannen Ove Svensson.  </w:t>
      </w:r>
    </w:p>
    <w:p w:rsidR="003B3271" w:rsidRPr="0008481A" w:rsidRDefault="003B3271">
      <w:pPr>
        <w:pStyle w:val="Underskrifter"/>
      </w:pPr>
      <w:r w:rsidRPr="0008481A">
        <w:t xml:space="preserve">Ove Svensson </w:t>
      </w:r>
    </w:p>
    <w:p w:rsidR="003B3271" w:rsidRPr="0008481A" w:rsidRDefault="003B3271">
      <w:pPr>
        <w:pStyle w:val="Citat"/>
      </w:pPr>
      <w:r w:rsidRPr="0008481A">
        <w:t>1. Jag kan inte erinra mig att jag vidtog några andra åtgärder än att jag med ledning av de upply</w:t>
      </w:r>
      <w:r w:rsidRPr="0008481A">
        <w:t>s</w:t>
      </w:r>
      <w:r w:rsidRPr="0008481A">
        <w:t xml:space="preserve">ningar som fanns i handlingarna om att svaranden hade tjänstgjort som sjöman på ett fartyg som fram till våren 1992 anlöpt Köpings hamn kontinuerligt men som sedan sålts av rederiet där han var anställd, att barnets mor enligt socialnämndens i Köpings kommun brev den 16 februari 1996 (skall rätteligen vara 1995; </w:t>
      </w:r>
      <w:r w:rsidRPr="0008481A">
        <w:rPr>
          <w:i/>
        </w:rPr>
        <w:t>JO:s anmärkning</w:t>
      </w:r>
      <w:r w:rsidRPr="0008481A">
        <w:t>) till den av modern uppgivne fadern till barnet hade försökt nå honom men ej lyckats, att socialnämnden ej fått svar på brevet som avsänts under red</w:t>
      </w:r>
      <w:r w:rsidRPr="0008481A">
        <w:t>e</w:t>
      </w:r>
      <w:r w:rsidRPr="0008481A">
        <w:t>riets adress och att modern inte</w:t>
      </w:r>
      <w:r w:rsidRPr="0008481A">
        <w:t xml:space="preserve"> längre hade någon kontakt med svaranden, vilken angavs ha okänd adress kunde konstatera att svaranden vistades på okänd ort och att 20 kap 2 § 1 st 1 p föräldraba</w:t>
      </w:r>
      <w:r w:rsidRPr="0008481A">
        <w:t>l</w:t>
      </w:r>
      <w:r w:rsidRPr="0008481A">
        <w:t>ken därför var tillämplig.</w:t>
      </w:r>
    </w:p>
    <w:p w:rsidR="003B3271" w:rsidRPr="0008481A" w:rsidRDefault="003B3271">
      <w:pPr>
        <w:pStyle w:val="Citat"/>
      </w:pPr>
      <w:r w:rsidRPr="0008481A">
        <w:t>2. Detta är möjligt och till och med troligt eftersom tingsrätten har tät kontakt i olika mål med de advokater som ofta uppträder vid tingsrätten. Tingsrätten fick i vart fall under</w:t>
      </w:r>
      <w:r w:rsidRPr="0008481A">
        <w:softHyphen/>
        <w:t>rättelse om de åtgä</w:t>
      </w:r>
      <w:r w:rsidRPr="0008481A">
        <w:t>r</w:t>
      </w:r>
      <w:r w:rsidRPr="0008481A">
        <w:t>der den gode mannen vidtagit genom att han i sitt svaromål av den 22 november 1996 angav att han hade försökt få kontakt med svaranden men inte lyckats. Nyligen tillfrågad därom har adv</w:t>
      </w:r>
      <w:r w:rsidRPr="0008481A">
        <w:t>o</w:t>
      </w:r>
      <w:r w:rsidRPr="0008481A">
        <w:t>katen Jonas Wiklund uppgivit att även han tillskrev svaranden under rederiets adress i Holland, till vilken adress han även skickade domen.</w:t>
      </w:r>
    </w:p>
    <w:p w:rsidR="003B3271" w:rsidRPr="0008481A" w:rsidRDefault="003B3271">
      <w:pPr>
        <w:pStyle w:val="Citat"/>
      </w:pPr>
      <w:r w:rsidRPr="0008481A">
        <w:t xml:space="preserve">3. Jag bedömde inte uppgiften om att svaranden hade återvänt till Indonesien och att han kom från ön Ambon som tillräckliga för att det skulle vara meningsfullt att </w:t>
      </w:r>
      <w:r w:rsidRPr="0008481A">
        <w:t>igångsätta efterforskningar och för att det skulle finnas anledning att ändra den tidigare bedöm</w:t>
      </w:r>
      <w:r w:rsidRPr="0008481A">
        <w:softHyphen/>
        <w:t>ningen att han vistades på okänd ort. Till detta bidrog säkert konstaterandet att svaran</w:t>
      </w:r>
      <w:r w:rsidRPr="0008481A">
        <w:softHyphen/>
        <w:t>den varit noga med att det i Holland pos</w:t>
      </w:r>
      <w:r w:rsidRPr="0008481A">
        <w:t>t</w:t>
      </w:r>
      <w:r w:rsidRPr="0008481A">
        <w:t>stämplade brevet inte ange någon adress. Några åtgärder vidtogs därför inte.</w:t>
      </w:r>
    </w:p>
    <w:p w:rsidR="003B3271" w:rsidRPr="0008481A" w:rsidRDefault="003B3271">
      <w:pPr>
        <w:pStyle w:val="Underskrifter"/>
        <w:rPr>
          <w:u w:val="single"/>
        </w:rPr>
      </w:pPr>
      <w:r w:rsidRPr="0008481A">
        <w:t xml:space="preserve">Urban Sandén </w:t>
      </w:r>
    </w:p>
    <w:p w:rsidR="003B3271" w:rsidRPr="0008481A" w:rsidRDefault="003B3271">
      <w:pPr>
        <w:pStyle w:val="Citat"/>
      </w:pPr>
      <w:r w:rsidRPr="0008481A">
        <w:t>Såvitt gäller de åtgärder som vidtagits i målet av rotelinnehavaren, råd</w:t>
      </w:r>
      <w:r w:rsidRPr="0008481A">
        <w:softHyphen/>
        <w:t>mannen Ove Svensson, i de avseenden som remissen omfattar hänvisar tingsrätten till b</w:t>
      </w:r>
      <w:r w:rsidRPr="0008481A">
        <w:t>i</w:t>
      </w:r>
      <w:r w:rsidRPr="0008481A">
        <w:t>fogat yttrande av denne.</w:t>
      </w:r>
    </w:p>
    <w:p w:rsidR="003B3271" w:rsidRPr="0008481A" w:rsidRDefault="003B3271">
      <w:pPr>
        <w:pStyle w:val="Citatindrag"/>
        <w:rPr>
          <w:sz w:val="20"/>
        </w:rPr>
      </w:pPr>
      <w:r w:rsidRPr="0008481A">
        <w:t>Som framgår av Ove Svenssons yttrande vidtog tingsrätten inte någon åtgärd för att få klarlagt att svaranden i målet befann sig på okänd ort, utan beslutet om att förordna god man fattades enbart med ledning av de uppgifter som fanns i handlingarna i målet. Det kan ifrågasättas om inte ting</w:t>
      </w:r>
      <w:r w:rsidRPr="0008481A">
        <w:t>s</w:t>
      </w:r>
      <w:r w:rsidRPr="0008481A">
        <w:t>rätten, med ledning av de uppgifter som fanns om svaranden, borde ha vidtagit ytterligare åtgärder för att få kompletterande upplysningar om svaranden (jfr NJA 1983 s 639) och om möjligt få kla</w:t>
      </w:r>
      <w:r w:rsidRPr="0008481A">
        <w:t>r</w:t>
      </w:r>
      <w:r w:rsidRPr="0008481A">
        <w:t>het i huruvida denne befann sig på okänd ort. Närmast till hands hade kanske varit att även ting</w:t>
      </w:r>
      <w:r w:rsidRPr="0008481A">
        <w:t>s</w:t>
      </w:r>
      <w:r w:rsidRPr="0008481A">
        <w:t>rätten försökte få kontakt med svarandens uppgivna arbetsgivare. Möjligen skulle även en kontakt med Utrikesdepartementets rättsavdelning kunna ha gett underlag för ytterligare efterforskningar. Mot bakgrund av de upplys</w:t>
      </w:r>
      <w:r w:rsidRPr="0008481A">
        <w:t>ningar som fanns om svaranden, och då ytterligare rimliga efterfors</w:t>
      </w:r>
      <w:r w:rsidRPr="0008481A">
        <w:t>k</w:t>
      </w:r>
      <w:r w:rsidRPr="0008481A">
        <w:t>ningar med hänsyn till omständigheterna sannolikt inte hade gett något resultat, anser sig dock tingsrätten inte vilja ifrågasätta att det fanns förutsättningar för att på det befintliga underlaget förordna en god man för svaranden.</w:t>
      </w:r>
    </w:p>
    <w:p w:rsidR="003B3271" w:rsidRPr="0008481A" w:rsidRDefault="003B3271">
      <w:pPr>
        <w:pStyle w:val="Citatindrag"/>
        <w:rPr>
          <w:sz w:val="20"/>
        </w:rPr>
      </w:pPr>
      <w:r w:rsidRPr="0008481A">
        <w:t>Enligt vad Ove Svensson anfört i sitt yttrande är det möjligt att den gode mannen under handläg</w:t>
      </w:r>
      <w:r w:rsidRPr="0008481A">
        <w:t>g</w:t>
      </w:r>
      <w:r w:rsidRPr="0008481A">
        <w:t>ningen tillfrågades om vilka efterforskningsåtgärder denne vidtagit. Mot bakgrund av bestämme</w:t>
      </w:r>
      <w:r w:rsidRPr="0008481A">
        <w:t>l</w:t>
      </w:r>
      <w:r w:rsidRPr="0008481A">
        <w:t>sen i 20 kap 2 § 3 st föräldra</w:t>
      </w:r>
      <w:r w:rsidRPr="0008481A">
        <w:softHyphen/>
        <w:t>balken, enligt vilken en god man skall samråda med den för vilken han har förordnats i den mån det kan ske, borde tingsrätten under hand</w:t>
      </w:r>
      <w:r w:rsidRPr="0008481A">
        <w:softHyphen/>
        <w:t>läggningen av målet ha tagit kontakt med den gode mannen, och givetvis skulle vad som därvid framkommit ha dokumenterats i akten.</w:t>
      </w:r>
    </w:p>
    <w:p w:rsidR="003B3271" w:rsidRPr="0008481A" w:rsidRDefault="003B3271">
      <w:pPr>
        <w:pStyle w:val="Citatindrag"/>
      </w:pPr>
      <w:r w:rsidRPr="0008481A">
        <w:t>Som Ove Svensson vidare anfört vidtog inte tingsrätten någon åtgärd med anledning av de up</w:t>
      </w:r>
      <w:r w:rsidRPr="0008481A">
        <w:t>p</w:t>
      </w:r>
      <w:r w:rsidRPr="0008481A">
        <w:t>gifter om svarandens hemort som käranden lämnade under förberedelsen i målet. Även härvidlag kan det kanske ifrågasättas om inte tingsrätten exempelvis genom en kontakt med Utrikesdepart</w:t>
      </w:r>
      <w:r w:rsidRPr="0008481A">
        <w:t>e</w:t>
      </w:r>
      <w:r w:rsidRPr="0008481A">
        <w:t>mentets rättsavdelning borde ha undersökt möjligheterna att få tillgång till ytterligare uppgifter om svaranden. Men med hänsyn till vad Ove Svensson anfört anser tingsrätten att det enbart på grund av den nya uppgiften om eventuell hemort för svaranden i Indonesien inte fanns anledning till ett ändrat ställnings</w:t>
      </w:r>
      <w:r w:rsidRPr="0008481A">
        <w:softHyphen/>
        <w:t>tagande n</w:t>
      </w:r>
      <w:r w:rsidRPr="0008481A">
        <w:t>är det gäller frågan om svaranden skulle anses vistas på okänd ort.</w:t>
      </w:r>
    </w:p>
    <w:p w:rsidR="003B3271" w:rsidRPr="0008481A" w:rsidRDefault="003B3271">
      <w:pPr>
        <w:pStyle w:val="Rubrik3"/>
      </w:pPr>
      <w:r w:rsidRPr="0008481A">
        <w:t xml:space="preserve">Bedömning </w:t>
      </w:r>
    </w:p>
    <w:p w:rsidR="003B3271" w:rsidRPr="0008481A" w:rsidRDefault="003B3271">
      <w:r w:rsidRPr="0008481A">
        <w:t xml:space="preserve">I mål av nu aktuellt slag skall en god man förordnas för en svarande bl.a. under förutsättning att denne vistas på okänd ort. </w:t>
      </w:r>
    </w:p>
    <w:p w:rsidR="003B3271" w:rsidRPr="0008481A" w:rsidRDefault="003B3271">
      <w:pPr>
        <w:pStyle w:val="Normaltindrag"/>
      </w:pPr>
      <w:r w:rsidRPr="0008481A">
        <w:t>Enligt 2 § delgivningslagen (1970:428) är det den myndighet där målet eller äre</w:t>
      </w:r>
      <w:r w:rsidRPr="0008481A">
        <w:t>n</w:t>
      </w:r>
      <w:r w:rsidRPr="0008481A">
        <w:t>det handläggs som ombesörjer delgivning. Käranden skall i stämningsansökan ange bl.a. svarandens personnummer och adress samt förhållanden i övrigt av b</w:t>
      </w:r>
      <w:r w:rsidRPr="0008481A">
        <w:t>e</w:t>
      </w:r>
      <w:r w:rsidRPr="0008481A">
        <w:t>tydelse för delgivning med honom. Om svaranden saknar känd adress skall up</w:t>
      </w:r>
      <w:r w:rsidRPr="0008481A">
        <w:t>p</w:t>
      </w:r>
      <w:r w:rsidRPr="0008481A">
        <w:t>gift lämnas om den utredning som gjorts för att fastställa detta (33 kap. 1 § rätt</w:t>
      </w:r>
      <w:r w:rsidRPr="0008481A">
        <w:t>e</w:t>
      </w:r>
      <w:r w:rsidRPr="0008481A">
        <w:t xml:space="preserve">gångsbalken [RB]). Av 33 kap. 10 § RB följer att rätten i indispositiva mål inte kan avvisa en stämningsansökan som inte uppfyller föreskrifterna i 33 kap. 1 § RB. Däremot kan rätten avvisa kärandens </w:t>
      </w:r>
      <w:r w:rsidRPr="0008481A">
        <w:t xml:space="preserve">talan om uppgifterna om svaranden är sådana att denne inte på ett tillfredsställande sätt kan identifieras (se NJA 1983 s. 639). Rätten kan i indispositiva mål inte heller avvisa stämningsansökan på den grunden att käranden inte antar ett erbjudande att själv ombesörja delgivningen (33 kap. 6 § RB).      </w:t>
      </w:r>
    </w:p>
    <w:p w:rsidR="003B3271" w:rsidRPr="0008481A" w:rsidRDefault="003B3271">
      <w:pPr>
        <w:pStyle w:val="Normaltindrag"/>
      </w:pPr>
      <w:r w:rsidRPr="0008481A">
        <w:t>I stämningsansökan fanns uppgifter om det fartyg på vilket svaranden hade tjäns</w:t>
      </w:r>
      <w:r w:rsidRPr="0008481A">
        <w:t>t</w:t>
      </w:r>
      <w:r w:rsidRPr="0008481A">
        <w:t>gjort och adressen till det rederi där denne var eller hade varit anställd. En naturlig åtgärd hade därför varit att tingsrätten hade försökt få till stånd delgivning med svaranden via rederiet. Som tingsrätten anfört i sitt yttrande hade den även kunnat vända sig till Utrikesdepartementet för upplysningar (se kungörelsen [1933:618] angående biträde av Utrikesdepartementet för del</w:t>
      </w:r>
      <w:r w:rsidRPr="0008481A">
        <w:softHyphen/>
        <w:t xml:space="preserve">givning av handlingar i utlandet).  </w:t>
      </w:r>
    </w:p>
    <w:p w:rsidR="003B3271" w:rsidRPr="0008481A" w:rsidRDefault="003B3271">
      <w:pPr>
        <w:pStyle w:val="Normaltindrag"/>
      </w:pPr>
      <w:r w:rsidRPr="0008481A">
        <w:t>Det kan noteras att det brev som socialförvaltningen hade skickat till svaranden under red</w:t>
      </w:r>
      <w:r w:rsidRPr="0008481A">
        <w:t>eriets adress var skrivet på svenska och att det inte förelåg någon utre</w:t>
      </w:r>
      <w:r w:rsidRPr="0008481A">
        <w:t>d</w:t>
      </w:r>
      <w:r w:rsidRPr="0008481A">
        <w:t>ning om huruvida svaranden behärskade svenska språket. Det förhållandet att sv</w:t>
      </w:r>
      <w:r w:rsidRPr="0008481A">
        <w:t>a</w:t>
      </w:r>
      <w:r w:rsidRPr="0008481A">
        <w:t xml:space="preserve">randen inte hört av sig kan därför inte tas till intäkt för att han inte hade nåtts av brevet.   </w:t>
      </w:r>
    </w:p>
    <w:p w:rsidR="003B3271" w:rsidRPr="0008481A" w:rsidRDefault="003B3271">
      <w:pPr>
        <w:pStyle w:val="Normaltindrag"/>
      </w:pPr>
      <w:r w:rsidRPr="0008481A">
        <w:t>Eftersom tingsrätten inte vidtog några åtgärder för att delge svaranden eller efte</w:t>
      </w:r>
      <w:r w:rsidRPr="0008481A">
        <w:t>r</w:t>
      </w:r>
      <w:r w:rsidRPr="0008481A">
        <w:t>söka dennes adress var tingsrättens underlag för beslutet att förordna god man enligt 20 kap. 2 § första stycket FB bristfälligt. Tingsrättens hand</w:t>
      </w:r>
      <w:r w:rsidRPr="0008481A">
        <w:softHyphen/>
        <w:t>läggning i denna del är därför inte invändningsfri. Jag finner emellertid inte anledning att vidta n</w:t>
      </w:r>
      <w:r w:rsidRPr="0008481A">
        <w:t>å</w:t>
      </w:r>
      <w:r w:rsidRPr="0008481A">
        <w:t>gon ytterligare åtgärd i s</w:t>
      </w:r>
      <w:r w:rsidRPr="0008481A">
        <w:t>a</w:t>
      </w:r>
      <w:r w:rsidRPr="0008481A">
        <w:t xml:space="preserve">ken.  </w:t>
      </w:r>
    </w:p>
    <w:p w:rsidR="003B3271" w:rsidRPr="0008481A" w:rsidRDefault="003B3271">
      <w:pPr>
        <w:pStyle w:val="Normaltindrag"/>
      </w:pPr>
      <w:r w:rsidRPr="0008481A">
        <w:t>Vad som i övrigt framkommit föranleder ingen ytterligare åtgärd eller något u</w:t>
      </w:r>
      <w:r w:rsidRPr="0008481A">
        <w:t>t</w:t>
      </w:r>
      <w:r w:rsidRPr="0008481A">
        <w:t>talande från min sida.</w:t>
      </w:r>
    </w:p>
    <w:p w:rsidR="003B3271" w:rsidRPr="0008481A" w:rsidRDefault="003B3271">
      <w:pPr>
        <w:pStyle w:val="Rubrik2"/>
        <w:rPr>
          <w:sz w:val="28"/>
        </w:rPr>
      </w:pPr>
      <w:r w:rsidRPr="0008481A">
        <w:t>En tingsrätts hantering av s.k. skyddade personuppgifter vilka erhållits från en part i ett förenklat tvistemål (FT-mål)</w:t>
      </w:r>
    </w:p>
    <w:p w:rsidR="003B3271" w:rsidRPr="0008481A" w:rsidRDefault="003B3271">
      <w:r w:rsidRPr="0008481A">
        <w:t>(Dnr 2350-1998)</w:t>
      </w:r>
    </w:p>
    <w:p w:rsidR="003B3271" w:rsidRPr="0008481A" w:rsidRDefault="003B3271">
      <w:pPr>
        <w:outlineLvl w:val="0"/>
      </w:pPr>
      <w:r w:rsidRPr="0008481A">
        <w:t xml:space="preserve">I ett beslut den 6 december 1999 anförde </w:t>
      </w:r>
      <w:r w:rsidRPr="0008481A">
        <w:rPr>
          <w:i/>
        </w:rPr>
        <w:t xml:space="preserve">chefsJO Eklundh </w:t>
      </w:r>
      <w:r w:rsidRPr="0008481A">
        <w:t>bl.a. följande.</w:t>
      </w:r>
    </w:p>
    <w:p w:rsidR="003B3271" w:rsidRPr="0008481A" w:rsidRDefault="003B3271">
      <w:pPr>
        <w:pStyle w:val="Rubrik3"/>
      </w:pPr>
      <w:r w:rsidRPr="0008481A">
        <w:t>Bakgrund</w:t>
      </w:r>
    </w:p>
    <w:p w:rsidR="003B3271" w:rsidRPr="0008481A" w:rsidRDefault="003B3271">
      <w:r w:rsidRPr="0008481A">
        <w:t>I samband med en inspektion vid Köpings tingsrätt den 5 och 6 maj 1998 fra</w:t>
      </w:r>
      <w:r w:rsidRPr="0008481A">
        <w:t>m</w:t>
      </w:r>
      <w:r w:rsidRPr="0008481A">
        <w:t xml:space="preserve">kom följande vid granskningen av akten i mål FT – – –. </w:t>
      </w:r>
    </w:p>
    <w:p w:rsidR="003B3271" w:rsidRPr="0008481A" w:rsidRDefault="003B3271">
      <w:pPr>
        <w:pStyle w:val="Normaltindrag"/>
      </w:pPr>
      <w:r w:rsidRPr="0008481A">
        <w:t>Efter ansökan av Trafikförsäkringsföreningen utfärdade Kronofogde</w:t>
      </w:r>
      <w:r w:rsidRPr="0008481A">
        <w:softHyphen/>
        <w:t xml:space="preserve">myndigheten i Västerås den 16 juli 1997 föreläggande för svaranden (ett </w:t>
      </w:r>
      <w:r w:rsidRPr="0008481A">
        <w:rPr>
          <w:i/>
        </w:rPr>
        <w:t>angivet personnu</w:t>
      </w:r>
      <w:r w:rsidRPr="0008481A">
        <w:rPr>
          <w:i/>
        </w:rPr>
        <w:t>m</w:t>
      </w:r>
      <w:r w:rsidRPr="0008481A">
        <w:rPr>
          <w:i/>
        </w:rPr>
        <w:t xml:space="preserve">mer, här uteslutet) </w:t>
      </w:r>
      <w:r w:rsidRPr="0008481A">
        <w:t xml:space="preserve">SKYDDADE PERSONUPPGIFTER att svara på föreningens yrkanden. Enligt ett delgivningskvitto delgavs svaranden, som undertecknade kvittot med sitt namn, föreläggandet den 22 augusti 1997. Svaranden kom den 27 augusti 1997 in med ett bestridande undertecknat med dennes namn (aktbil. 1 s. 8). Trafikförsäkringsföreningen begärde därefter att målet mellan föreningen och ”Skyddade personuppgifter </w:t>
      </w:r>
      <w:r w:rsidRPr="0008481A">
        <w:rPr>
          <w:i/>
        </w:rPr>
        <w:t>(ett angive</w:t>
      </w:r>
      <w:r w:rsidRPr="0008481A">
        <w:rPr>
          <w:i/>
        </w:rPr>
        <w:t>t personnummer)</w:t>
      </w:r>
      <w:r w:rsidRPr="0008481A">
        <w:t>” skulle överlämnas till tingsrätten. Till begäran fanns fogat bl.a. ett utdrag ur centrala bilregistret av vi</w:t>
      </w:r>
      <w:r w:rsidRPr="0008481A">
        <w:t>l</w:t>
      </w:r>
      <w:r w:rsidRPr="0008481A">
        <w:t xml:space="preserve">ket framgick att ”personuppgiften” för personen med personnummer </w:t>
      </w:r>
      <w:r w:rsidRPr="0008481A">
        <w:rPr>
          <w:i/>
        </w:rPr>
        <w:t>(ett angivet perso</w:t>
      </w:r>
      <w:r w:rsidRPr="0008481A">
        <w:rPr>
          <w:i/>
        </w:rPr>
        <w:softHyphen/>
        <w:t>n</w:t>
      </w:r>
      <w:r w:rsidRPr="0008481A">
        <w:rPr>
          <w:i/>
        </w:rPr>
        <w:softHyphen/>
        <w:t>nummer)</w:t>
      </w:r>
      <w:r w:rsidRPr="0008481A">
        <w:t xml:space="preserve"> var sky</w:t>
      </w:r>
      <w:r w:rsidRPr="0008481A">
        <w:t>d</w:t>
      </w:r>
      <w:r w:rsidRPr="0008481A">
        <w:t xml:space="preserve">dad.   </w:t>
      </w:r>
    </w:p>
    <w:p w:rsidR="003B3271" w:rsidRPr="0008481A" w:rsidRDefault="003B3271">
      <w:pPr>
        <w:pStyle w:val="Normaltindrag"/>
      </w:pPr>
      <w:r w:rsidRPr="0008481A">
        <w:t>Handlingarna inkom till tingsrätten den 9 oktober 1997. På beslutet om överlä</w:t>
      </w:r>
      <w:r w:rsidRPr="0008481A">
        <w:t>m</w:t>
      </w:r>
      <w:r w:rsidRPr="0008481A">
        <w:t xml:space="preserve">nande (aktbil. 1 s. 1) fanns en lapp med uppgift om svarandens namn och adress.   </w:t>
      </w:r>
    </w:p>
    <w:p w:rsidR="003B3271" w:rsidRPr="0008481A" w:rsidRDefault="003B3271">
      <w:pPr>
        <w:pStyle w:val="Normaltindrag"/>
      </w:pPr>
      <w:r w:rsidRPr="0008481A">
        <w:t xml:space="preserve">Tingsrätten utfärdade därefter den 17 oktober 1997 föreläggande för svaranden att komma in med svaromål vid äventyr av tredskodom (aktbil. 16). I föreläggandet angavs svarandens namn och adress. </w:t>
      </w:r>
    </w:p>
    <w:p w:rsidR="003B3271" w:rsidRPr="0008481A" w:rsidRDefault="003B3271">
      <w:pPr>
        <w:pStyle w:val="Normaltindrag"/>
      </w:pPr>
      <w:r w:rsidRPr="0008481A">
        <w:t>Svaranden kom den 6 november 1997 in med svaromål och angav där bl.a. sitt efternamn och en ny adress (aktbil. 17). Svaranden bifogade därvid ett brev från föreningen som innehöll uppgift om bl.a. svarandens namn och den nya adressen (aktbil. 18). Tingsrätten förelade svaranden att klargöra sin inställning till kär</w:t>
      </w:r>
      <w:r w:rsidRPr="0008481A">
        <w:t>o</w:t>
      </w:r>
      <w:r w:rsidRPr="0008481A">
        <w:t>målet, varefter detta medgavs (aktbil. 19 och 20). Både föreläggandet och medg</w:t>
      </w:r>
      <w:r w:rsidRPr="0008481A">
        <w:t>i</w:t>
      </w:r>
      <w:r w:rsidRPr="0008481A">
        <w:t>vandet innehöll uppgift om svarandens namn och den senaste adre</w:t>
      </w:r>
      <w:r w:rsidRPr="0008481A">
        <w:t>s</w:t>
      </w:r>
      <w:r w:rsidRPr="0008481A">
        <w:t xml:space="preserve">sen. </w:t>
      </w:r>
    </w:p>
    <w:p w:rsidR="003B3271" w:rsidRPr="0008481A" w:rsidRDefault="003B3271">
      <w:pPr>
        <w:pStyle w:val="Normaltindrag"/>
      </w:pPr>
      <w:r w:rsidRPr="0008481A">
        <w:t>Sedan föreningen hade yrkat bifall till sin talan, meddelade tingsrätten den 15 d</w:t>
      </w:r>
      <w:r w:rsidRPr="0008481A">
        <w:t>e</w:t>
      </w:r>
      <w:r w:rsidRPr="0008481A">
        <w:t>cember 1997 en dom med följande innehåll.</w:t>
      </w:r>
    </w:p>
    <w:p w:rsidR="003B3271" w:rsidRPr="0008481A" w:rsidRDefault="003B3271">
      <w:pPr>
        <w:pStyle w:val="Rubrik2"/>
        <w:rPr>
          <w:sz w:val="20"/>
        </w:rPr>
      </w:pPr>
      <w:r w:rsidRPr="0008481A">
        <w:t>PARTER</w:t>
      </w:r>
    </w:p>
    <w:p w:rsidR="003B3271" w:rsidRPr="0008481A" w:rsidRDefault="003B3271">
      <w:pPr>
        <w:pStyle w:val="Rubrik3"/>
        <w:spacing w:before="120"/>
      </w:pPr>
      <w:r w:rsidRPr="0008481A">
        <w:t xml:space="preserve">Kärande </w:t>
      </w:r>
    </w:p>
    <w:p w:rsidR="003B3271" w:rsidRPr="0008481A" w:rsidRDefault="003B3271">
      <w:pPr>
        <w:pStyle w:val="Citat"/>
        <w:rPr>
          <w:sz w:val="20"/>
        </w:rPr>
      </w:pPr>
      <w:r w:rsidRPr="0008481A">
        <w:t>Trafikförsäkringsföreningen – – –</w:t>
      </w:r>
    </w:p>
    <w:p w:rsidR="003B3271" w:rsidRPr="0008481A" w:rsidRDefault="003B3271">
      <w:pPr>
        <w:pStyle w:val="Rubrik3"/>
        <w:spacing w:before="120"/>
      </w:pPr>
      <w:r w:rsidRPr="0008481A">
        <w:t>Svarande</w:t>
      </w:r>
    </w:p>
    <w:p w:rsidR="003B3271" w:rsidRPr="0008481A" w:rsidRDefault="003B3271">
      <w:pPr>
        <w:pStyle w:val="Citat"/>
        <w:rPr>
          <w:sz w:val="20"/>
        </w:rPr>
      </w:pPr>
      <w:r w:rsidRPr="0008481A">
        <w:t>Skyddade personuppgifter, (ett angivet personnummer)</w:t>
      </w:r>
    </w:p>
    <w:p w:rsidR="003B3271" w:rsidRPr="0008481A" w:rsidRDefault="003B3271">
      <w:pPr>
        <w:rPr>
          <w:sz w:val="20"/>
        </w:rPr>
      </w:pPr>
      <w:r w:rsidRPr="0008481A">
        <w:rPr>
          <w:sz w:val="20"/>
        </w:rPr>
        <w:t>– – –</w:t>
      </w:r>
    </w:p>
    <w:p w:rsidR="003B3271" w:rsidRPr="0008481A" w:rsidRDefault="003B3271">
      <w:pPr>
        <w:pStyle w:val="Rubrik2"/>
        <w:rPr>
          <w:sz w:val="20"/>
        </w:rPr>
      </w:pPr>
      <w:r w:rsidRPr="0008481A">
        <w:t>DOMSLUT</w:t>
      </w:r>
    </w:p>
    <w:p w:rsidR="003B3271" w:rsidRPr="0008481A" w:rsidRDefault="003B3271">
      <w:pPr>
        <w:pStyle w:val="PunktlistaNummer"/>
      </w:pPr>
      <w:r w:rsidRPr="0008481A">
        <w:t xml:space="preserve">1. (Ett angivet personnummer) skall till Trafikförsäkringsföreningen utge </w:t>
      </w:r>
      <w:r w:rsidRPr="0008481A">
        <w:br/>
        <w:t>– – – 997 kr jämte ränta – – –.</w:t>
      </w:r>
    </w:p>
    <w:p w:rsidR="003B3271" w:rsidRPr="0008481A" w:rsidRDefault="003B3271">
      <w:pPr>
        <w:pStyle w:val="PunktlistaNummer"/>
      </w:pPr>
      <w:r w:rsidRPr="0008481A">
        <w:t xml:space="preserve">2. (Ett angivet personnummer) skall ersätta Trafikförsäkringsföreningen dels för inkassokostnader med – – – 150 kr, dels för rättegångskostnader med </w:t>
      </w:r>
      <w:r w:rsidRPr="0008481A">
        <w:br/>
        <w:t>– – – 615 kr, varav 315 kr i ombudsarv</w:t>
      </w:r>
      <w:r w:rsidRPr="0008481A">
        <w:t>o</w:t>
      </w:r>
      <w:r w:rsidRPr="0008481A">
        <w:t xml:space="preserve">de.   </w:t>
      </w:r>
    </w:p>
    <w:p w:rsidR="003B3271" w:rsidRPr="0008481A" w:rsidRDefault="003B3271">
      <w:r w:rsidRPr="0008481A">
        <w:t>Vid JO:s genomgång konstaterades att lappen med svarandens namn och adress, aktbil. 1 s. 8 samt aktbil. 16–20 lagts i ett förseglat kuvert på vilket antecknats ”HEMLIG Enl 12 kap. 1 § sekretessl</w:t>
      </w:r>
      <w:r w:rsidRPr="0008481A">
        <w:t>a</w:t>
      </w:r>
      <w:r w:rsidRPr="0008481A">
        <w:t>gen”.</w:t>
      </w:r>
    </w:p>
    <w:p w:rsidR="003B3271" w:rsidRPr="0008481A" w:rsidRDefault="003B3271">
      <w:pPr>
        <w:pStyle w:val="Rubrik3"/>
      </w:pPr>
      <w:r w:rsidRPr="0008481A">
        <w:t>Utredning</w:t>
      </w:r>
    </w:p>
    <w:p w:rsidR="003B3271" w:rsidRPr="0008481A" w:rsidRDefault="003B3271">
      <w:pPr>
        <w:outlineLvl w:val="0"/>
      </w:pPr>
      <w:r w:rsidRPr="0008481A">
        <w:t xml:space="preserve">Ärendet remitterades till Köpings tingsrätt för upplysningar över </w:t>
      </w:r>
    </w:p>
    <w:p w:rsidR="003B3271" w:rsidRPr="0008481A" w:rsidRDefault="003B3271">
      <w:pPr>
        <w:pStyle w:val="PunktlistaNummer"/>
      </w:pPr>
      <w:r w:rsidRPr="0008481A">
        <w:t xml:space="preserve">1. tingsrättens överväganden vad gäller sekretesskyddet för svarandens personuppgifter när målet överlämnades från kronofogdemyndigheten (det är därvid av intresse att få reda på vilken information tingsrätten erhöll om sekretesskyddet och varifrån den erhölls) </w:t>
      </w:r>
    </w:p>
    <w:p w:rsidR="003B3271" w:rsidRPr="0008481A" w:rsidRDefault="003B3271">
      <w:pPr>
        <w:pStyle w:val="PunktlistaNummer"/>
      </w:pPr>
      <w:r w:rsidRPr="0008481A">
        <w:t>2. den rättsliga grunden för att utelämna uppgifter om svaranden i domshuvudet och i domslutet</w:t>
      </w:r>
    </w:p>
    <w:p w:rsidR="003B3271" w:rsidRPr="0008481A" w:rsidRDefault="003B3271">
      <w:pPr>
        <w:pStyle w:val="PunktlistaNummer"/>
      </w:pPr>
      <w:r w:rsidRPr="0008481A">
        <w:t xml:space="preserve">3. en rättsliga grunden för sekretessförklaringen. </w:t>
      </w:r>
    </w:p>
    <w:p w:rsidR="003B3271" w:rsidRPr="0008481A" w:rsidRDefault="003B3271">
      <w:r w:rsidRPr="0008481A">
        <w:t xml:space="preserve">Tingsrätten skulle vidare yttra sig och redovisa sin bedömning av det som kommit fram. </w:t>
      </w:r>
    </w:p>
    <w:p w:rsidR="003B3271" w:rsidRPr="0008481A" w:rsidRDefault="003B3271">
      <w:r w:rsidRPr="0008481A">
        <w:t>Köpings tingsrätt (lagmannen Urban Sandén) inkom med ett yttrande i vilket hä</w:t>
      </w:r>
      <w:r w:rsidRPr="0008481A">
        <w:t>n</w:t>
      </w:r>
      <w:r w:rsidRPr="0008481A">
        <w:t xml:space="preserve">visades till ett bilagt yttrande från tingsfiskalen Marisa Gilli. </w:t>
      </w:r>
    </w:p>
    <w:p w:rsidR="003B3271" w:rsidRPr="0008481A" w:rsidRDefault="003B3271">
      <w:pPr>
        <w:pStyle w:val="Underskrifter"/>
      </w:pPr>
      <w:r w:rsidRPr="0008481A">
        <w:t>Marisa Gilli</w:t>
      </w:r>
    </w:p>
    <w:p w:rsidR="003B3271" w:rsidRPr="0008481A" w:rsidRDefault="003B3271">
      <w:pPr>
        <w:pStyle w:val="Citat"/>
      </w:pPr>
      <w:r w:rsidRPr="0008481A">
        <w:t>Målet initierades genom en ansökan om betalningsföreläggande hos kronofogdemyn</w:t>
      </w:r>
      <w:r w:rsidRPr="0008481A">
        <w:softHyphen/>
        <w:t>digheten i Västerås, varvid Trafikförsäkringsföreningen yrkade visst kapitalbelopp jämte ränta att utges av ”svaranden (ett angivet personnummer) skyddade personuppgifter”. Ansökan bestreds och när målet överlämnades från kronofogdemyndigheten till tingsrätten an</w:t>
      </w:r>
      <w:r w:rsidRPr="0008481A">
        <w:softHyphen/>
        <w:t>gavs (i kronofogdemyndigh</w:t>
      </w:r>
      <w:r w:rsidRPr="0008481A">
        <w:t>e</w:t>
      </w:r>
      <w:r w:rsidRPr="0008481A">
        <w:t>tens beslut) svaranden som ”(ett angivet person</w:t>
      </w:r>
      <w:r w:rsidRPr="0008481A">
        <w:softHyphen/>
        <w:t>nummer) skyddade personuppgifter”. Bland de handlingar som bi</w:t>
      </w:r>
      <w:r w:rsidRPr="0008481A">
        <w:softHyphen/>
        <w:t>fogades beslutet om överlämnande åter</w:t>
      </w:r>
      <w:r w:rsidRPr="0008481A">
        <w:softHyphen/>
        <w:t>fanns ett delgivningskvitto under</w:t>
      </w:r>
      <w:r w:rsidRPr="0008481A">
        <w:softHyphen/>
        <w:t>tecknat av svaranden. Namnunderskriften</w:t>
      </w:r>
      <w:r w:rsidRPr="0008481A">
        <w:t xml:space="preserve"> saknade dock namnförtydligande och var otydbar. Vidare hade svaranden undertecknat sitt bestridande med sitt namn. På beslutet om överlämnande fanns en gul ”post it”-lapp. Där fanns svarandens namn och adress nedtecknad för hand. Tingsrätten utgick från att någon tjänsteman på kronofogdemyndigheten hade lämnat denna notering för att underlätta tingsrä</w:t>
      </w:r>
      <w:r w:rsidRPr="0008481A">
        <w:t>t</w:t>
      </w:r>
      <w:r w:rsidRPr="0008481A">
        <w:t>tens hantering av målet.</w:t>
      </w:r>
    </w:p>
    <w:p w:rsidR="003B3271" w:rsidRPr="0008481A" w:rsidRDefault="003B3271">
      <w:pPr>
        <w:pStyle w:val="Citatindrag"/>
      </w:pPr>
      <w:r w:rsidRPr="0008481A">
        <w:t>Vid den skriftväxling som följde under tingsrättens handläggning av målet uppgav svaranden sin nya adress samt undertecknade skrifte</w:t>
      </w:r>
      <w:r w:rsidRPr="0008481A">
        <w:t>rna med sitt namn.</w:t>
      </w:r>
    </w:p>
    <w:p w:rsidR="003B3271" w:rsidRPr="0008481A" w:rsidRDefault="003B3271">
      <w:pPr>
        <w:pStyle w:val="Citatindrag"/>
      </w:pPr>
      <w:r w:rsidRPr="0008481A">
        <w:t>Då målet avgjordes genom dom den 15 december 1997 fann tingsrätten att skäl för sekretess kunde föreligga vad avsåg svarandens namn och adress då det kunde antas att den enskilde kunde lida skada för det fall uppgifterna röjdes. Detta behov av sek</w:t>
      </w:r>
      <w:r w:rsidRPr="0008481A">
        <w:softHyphen/>
        <w:t>retess befanns kunna föreligga oaktat att svaranden själv vid skriftväxling uppgivit sitt namn och adress. Tingsrätten saknade kännedom om orsaken till varför svarandens personuppgifter är skyddade och undertecknad kan inte längre p</w:t>
      </w:r>
      <w:r w:rsidRPr="0008481A">
        <w:t>å</w:t>
      </w:r>
      <w:r w:rsidRPr="0008481A">
        <w:t>minna sig om någon kontroll i SPAR gjordes för att undersöka huruvida personuppgifterna verkl</w:t>
      </w:r>
      <w:r w:rsidRPr="0008481A">
        <w:t>i</w:t>
      </w:r>
      <w:r w:rsidRPr="0008481A">
        <w:t>gen var skydd</w:t>
      </w:r>
      <w:r w:rsidRPr="0008481A">
        <w:softHyphen/>
        <w:t>ade. Det är dock troligt att sådan kontroll gjo</w:t>
      </w:r>
      <w:r w:rsidRPr="0008481A">
        <w:t>r</w:t>
      </w:r>
      <w:r w:rsidRPr="0008481A">
        <w:t>des.</w:t>
      </w:r>
    </w:p>
    <w:p w:rsidR="003B3271" w:rsidRPr="0008481A" w:rsidRDefault="003B3271">
      <w:pPr>
        <w:pStyle w:val="Citatindrag"/>
      </w:pPr>
      <w:r w:rsidRPr="0008481A">
        <w:t>En förutsättning för att få hemligstämpla en allmän handling är att det kan antas att hinder mot utlämnande av uppgif</w:t>
      </w:r>
      <w:r w:rsidRPr="0008481A">
        <w:t>t i handlingen föreligger enligt någon tillämplig sek</w:t>
      </w:r>
      <w:r w:rsidRPr="0008481A">
        <w:softHyphen/>
        <w:t>retessbestämmelse. U</w:t>
      </w:r>
      <w:r w:rsidRPr="0008481A">
        <w:t>n</w:t>
      </w:r>
      <w:r w:rsidRPr="0008481A">
        <w:t>dertecknad gjorde bedömningen att då svarandens namn och adress ursprungligen kommit till tingsrättens kännedom genom en ”post-it”-lapp från kronofogdemyndigheten, där de aktuella up</w:t>
      </w:r>
      <w:r w:rsidRPr="0008481A">
        <w:t>p</w:t>
      </w:r>
      <w:r w:rsidRPr="0008481A">
        <w:t>gifterna uppenbarligen var sekretessbe</w:t>
      </w:r>
      <w:r w:rsidRPr="0008481A">
        <w:softHyphen/>
        <w:t>lagda, så gäller sekretess enligt 12 kap 1 § sekretesslagen. Tingsrätten hemligstämp</w:t>
      </w:r>
      <w:r w:rsidRPr="0008481A">
        <w:softHyphen/>
        <w:t>lade därför de aktbilagor vari svarandens namn och adress framgick. En myndighets åtgärd att hemligstämpla en handling innebär doc</w:t>
      </w:r>
      <w:r w:rsidRPr="0008481A">
        <w:t>k inte något bindande avgörande av sekretessfrågan. En handling med hemligstämpel kan mycket väl vara offentlig. En hemligstämpel tjänar bara som påminnelse om behovet av en noggrann sekre</w:t>
      </w:r>
      <w:r w:rsidRPr="0008481A">
        <w:softHyphen/>
        <w:t>tessprövning för det fall att fråga om utlämnande av handlingen eller uppgift därur uppkommer. (Se Corell m.fl., Sekretesslagen – Kommentar till 1980 års lag med änd</w:t>
      </w:r>
      <w:r w:rsidRPr="0008481A">
        <w:softHyphen/>
        <w:t>ringar, tredje uppl., 1992, s 436).</w:t>
      </w:r>
    </w:p>
    <w:p w:rsidR="003B3271" w:rsidRPr="0008481A" w:rsidRDefault="003B3271">
      <w:pPr>
        <w:pStyle w:val="Citatindrag"/>
      </w:pPr>
      <w:r w:rsidRPr="0008481A">
        <w:t>Vad gäller det faktum att tingsrätten i domshuvudet inte angav svarandens namn och adress kan konstateras att enligt 17 k</w:t>
      </w:r>
      <w:r w:rsidRPr="0008481A">
        <w:t>ap 7 § första stycket andra punkten rättegångs</w:t>
      </w:r>
      <w:r w:rsidRPr="0008481A">
        <w:softHyphen/>
        <w:t>balken skall parterna a</w:t>
      </w:r>
      <w:r w:rsidRPr="0008481A">
        <w:t>n</w:t>
      </w:r>
      <w:r w:rsidRPr="0008481A">
        <w:t>ges. Tingsrätten fann att detta tillgodosågs genom att svaran</w:t>
      </w:r>
      <w:r w:rsidRPr="0008481A">
        <w:softHyphen/>
        <w:t>den identifierades med personnumret. Någon uttrycklig bestämmelse om att en parts namn eller adress måste anges om parten på annat sätt kan identifieras kunde tings</w:t>
      </w:r>
      <w:r w:rsidRPr="0008481A">
        <w:softHyphen/>
        <w:t>rätten vid domstillfället inte finna. Riktigheten av detta överväga</w:t>
      </w:r>
      <w:r w:rsidRPr="0008481A">
        <w:t>n</w:t>
      </w:r>
      <w:r w:rsidRPr="0008481A">
        <w:t>de kan dock ifråga</w:t>
      </w:r>
      <w:r w:rsidRPr="0008481A">
        <w:softHyphen/>
        <w:t>sättas.</w:t>
      </w:r>
    </w:p>
    <w:p w:rsidR="003B3271" w:rsidRPr="0008481A" w:rsidRDefault="003B3271">
      <w:pPr>
        <w:pStyle w:val="Underskrifter"/>
        <w:rPr>
          <w:u w:val="single"/>
        </w:rPr>
      </w:pPr>
      <w:r w:rsidRPr="0008481A">
        <w:t>Urban Sandén</w:t>
      </w:r>
    </w:p>
    <w:p w:rsidR="003B3271" w:rsidRPr="0008481A" w:rsidRDefault="003B3271">
      <w:pPr>
        <w:pStyle w:val="Citat"/>
      </w:pPr>
      <w:r w:rsidRPr="0008481A">
        <w:t>Beträffande handläggningen av målet och vilka överväganden som gjordes i de avse</w:t>
      </w:r>
      <w:r w:rsidRPr="0008481A">
        <w:softHyphen/>
        <w:t>enden som tagits upp i JO:s remiss hänvisar tingsrätten till bifogat yttrande från rotelinnehavaren, tingsfisk</w:t>
      </w:r>
      <w:r w:rsidRPr="0008481A">
        <w:t>a</w:t>
      </w:r>
      <w:r w:rsidRPr="0008481A">
        <w:t>len Marisa Gilli.</w:t>
      </w:r>
    </w:p>
    <w:p w:rsidR="003B3271" w:rsidRPr="0008481A" w:rsidRDefault="003B3271">
      <w:pPr>
        <w:pStyle w:val="Citatindrag"/>
      </w:pPr>
      <w:r w:rsidRPr="0008481A">
        <w:t>Som framgår av akten i målet angavs svaranden som ”(ett angivet personnummer) skyddade per</w:t>
      </w:r>
      <w:r w:rsidRPr="0008481A">
        <w:softHyphen/>
        <w:t>sonuppgifter” i de handlingar som upprättades vid kronofogdemyndigheten. Någon annan info</w:t>
      </w:r>
      <w:r w:rsidRPr="0008481A">
        <w:t>r</w:t>
      </w:r>
      <w:r w:rsidRPr="0008481A">
        <w:t>mation om vad denna upp</w:t>
      </w:r>
      <w:r w:rsidRPr="0008481A">
        <w:softHyphen/>
        <w:t>gift innebar och varifrån den kommit synes dock inte ha lämnats i sa</w:t>
      </w:r>
      <w:r w:rsidRPr="0008481A">
        <w:t>m</w:t>
      </w:r>
      <w:r w:rsidRPr="0008481A">
        <w:softHyphen/>
        <w:t>band med att målet överlämnades från kronofogdemyndigheten till tings</w:t>
      </w:r>
      <w:r w:rsidRPr="0008481A">
        <w:softHyphen/>
        <w:t>rätten. Som underlag för tingsrättens fortsatta handläggning av målet borde därför tingsrätten ha tagit reda på vad som låg till grund för uppgiften att svarandens personuppgifter var skyddade. Det kan antas att bakgrunden till anteckningen var den att svar</w:t>
      </w:r>
      <w:r w:rsidRPr="0008481A">
        <w:t>andens samtliga personuppgifter var spärrade under den aktuella tiden (se JO:s aktbil 2), dvs. att skattemyndigheten av någon anledning fört in en sekretessmarke</w:t>
      </w:r>
      <w:r w:rsidRPr="0008481A">
        <w:softHyphen/>
        <w:t>ring i folkbokföringsregistret. Förfarandet med sekretessmarkering är inte närmare lagreglerat men torde motsvara vad som gäller för den hemligstämpel som kan åsättas en allmän handling enligt 15 kap 3 § sekretesslagen (se prop 1997/98:9 s 34 ff). Sek</w:t>
      </w:r>
      <w:r w:rsidRPr="0008481A">
        <w:softHyphen/>
        <w:t>retessmarkeringen i sig innebär alltså inte något beslut om att sekretess skall iakttas. Därför bo</w:t>
      </w:r>
      <w:r w:rsidRPr="0008481A">
        <w:t>rde tingsrätten lämpligen även ha kontaktat skatte</w:t>
      </w:r>
      <w:r w:rsidRPr="0008481A">
        <w:softHyphen/>
        <w:t>myndigheten för att efter</w:t>
      </w:r>
      <w:r w:rsidRPr="0008481A">
        <w:softHyphen/>
        <w:t>höra om svarandens personuppgifter omfattats av sekretess hos skattemyndigheten, dvs. om uppgifterna belagts med sekretess enligt 7 kap 15 § sekretesslagen. Om det förhöll sig på det sättet gällde sekretessen enligt 12 kap 1 § sekretesslagen också hos ting</w:t>
      </w:r>
      <w:r w:rsidRPr="0008481A">
        <w:t>s</w:t>
      </w:r>
      <w:r w:rsidRPr="0008481A">
        <w:t>rätten. Av akten i målet framgår att svaranden undertecknat såväl sitt bestridande till krono</w:t>
      </w:r>
      <w:r w:rsidRPr="0008481A">
        <w:softHyphen/>
        <w:t>fogd</w:t>
      </w:r>
      <w:r w:rsidRPr="0008481A">
        <w:t>e</w:t>
      </w:r>
      <w:r w:rsidRPr="0008481A">
        <w:t>myndigheten som svaromålet med sitt namn och att hon i svaromålet och i ett kom</w:t>
      </w:r>
      <w:r w:rsidRPr="0008481A">
        <w:t>pletterande yttrande (aktbil 17 och 20) även angett sin aktuella adress. Enligt vad som framgår av akten har dessa uppgifter vidarebefordrats till käranden. Om dessa personuppgifter var sekretessbelagda kan det ifrågasättas om så borde ha skett. En lämplig åtgärd hade kanske varit att kontakta svaranden och med henne ta upp frågan om se</w:t>
      </w:r>
      <w:r w:rsidRPr="0008481A">
        <w:t>k</w:t>
      </w:r>
      <w:r w:rsidRPr="0008481A">
        <w:t>retesskyddet.</w:t>
      </w:r>
    </w:p>
    <w:p w:rsidR="003B3271" w:rsidRPr="0008481A" w:rsidRDefault="003B3271">
      <w:pPr>
        <w:pStyle w:val="Citatindrag"/>
      </w:pPr>
      <w:r w:rsidRPr="0008481A">
        <w:t>Enligt 17 kap 7 § rättegångsbalken skall dom i tvistemål avfattas skrift</w:t>
      </w:r>
      <w:r w:rsidRPr="0008481A">
        <w:softHyphen/>
        <w:t>ligen och i skilda avde</w:t>
      </w:r>
      <w:r w:rsidRPr="0008481A">
        <w:t>l</w:t>
      </w:r>
      <w:r w:rsidRPr="0008481A">
        <w:t>ningar ange, såvitt nu är av intresse, parterna och deras ombud eller biträ</w:t>
      </w:r>
      <w:r w:rsidRPr="0008481A">
        <w:softHyphen/>
        <w:t>den och domslutet. Det torde inte finnas några närmare föreskrifter om vilka uppgifter om parterna som domen skall inn</w:t>
      </w:r>
      <w:r w:rsidRPr="0008481A">
        <w:t>e</w:t>
      </w:r>
      <w:r w:rsidRPr="0008481A">
        <w:t>hålla. I förordningen (1976:819) om avfattning av dom i tvistemål m.m. före</w:t>
      </w:r>
      <w:r w:rsidRPr="0008481A">
        <w:softHyphen/>
        <w:t>skrevs att tingsrätt skulle tillämpa särskilda ”Bestämmelser om av</w:t>
      </w:r>
      <w:r w:rsidRPr="0008481A">
        <w:softHyphen/>
        <w:t>fattning av dom i tvistemål m.m. vid tingsrätt”, enligt vilka en dom skulle av</w:t>
      </w:r>
      <w:r w:rsidRPr="0008481A">
        <w:softHyphen/>
        <w:t>fattas på särskilda blanketter med uppgifter om parternas fullständiga</w:t>
      </w:r>
      <w:r w:rsidRPr="0008481A">
        <w:t xml:space="preserve"> namn, yrke eller titel, personnummer eller motsvarande och postadress. Dessa före</w:t>
      </w:r>
      <w:r w:rsidRPr="0008481A">
        <w:softHyphen/>
        <w:t>skrifter upphö</w:t>
      </w:r>
      <w:r w:rsidRPr="0008481A">
        <w:t>r</w:t>
      </w:r>
      <w:r w:rsidRPr="0008481A">
        <w:t>de att gälla vid utgången av september 1994 enligt för</w:t>
      </w:r>
      <w:r w:rsidRPr="0008481A">
        <w:softHyphen/>
        <w:t>ordningen (1994:1055) om upphä</w:t>
      </w:r>
      <w:r w:rsidRPr="0008481A">
        <w:softHyphen/>
        <w:t>vande av den nyss nämnda förordningen. Även om det alltså numera inte finns några detaljföreskrifter om vilka uppgifter om parterna som en tvistemålsdom skall inne</w:t>
      </w:r>
      <w:r w:rsidRPr="0008481A">
        <w:softHyphen/>
        <w:t>hålla måste enligt tingsrättens mening bestämmelsen i 17 kap 7 § rättegångsbalken tolkas så att parterna bör identifieras med i vart fall namn, personnummer eller m</w:t>
      </w:r>
      <w:r w:rsidRPr="0008481A">
        <w:t>ot</w:t>
      </w:r>
      <w:r w:rsidRPr="0008481A">
        <w:softHyphen/>
        <w:t>svarande och en adress. Att som i domen i det aktuella målet som svarande endast ange ”Skyddade personuppgifter” och ett personnummer är därför otillräckligt. Om en parts personuppgifter är sekretessbelagda och sekretessen skall bestå när dom med</w:t>
      </w:r>
      <w:r w:rsidRPr="0008481A">
        <w:softHyphen/>
        <w:t>delas skall domstolen i domen förordna om det. De uppgifter som omfattas av sekre</w:t>
      </w:r>
      <w:r w:rsidRPr="0008481A">
        <w:softHyphen/>
        <w:t>tessförordnandet kan då t.ex. bifogas domen i en särskild bilaga, vartill hänvisning sker i domen. I så fall kan i domsl</w:t>
      </w:r>
      <w:r w:rsidRPr="0008481A">
        <w:t>u</w:t>
      </w:r>
      <w:r w:rsidRPr="0008481A">
        <w:t>tet vederbörande part anges som ”käranden” eller ”svaranden</w:t>
      </w:r>
      <w:r w:rsidRPr="0008481A">
        <w:t>”.</w:t>
      </w:r>
    </w:p>
    <w:p w:rsidR="003B3271" w:rsidRPr="0008481A" w:rsidRDefault="003B3271">
      <w:r w:rsidRPr="0008481A">
        <w:t>Enligt upplysningar från Skatteförvaltningen i Köping var samtliga personup</w:t>
      </w:r>
      <w:r w:rsidRPr="0008481A">
        <w:t>p</w:t>
      </w:r>
      <w:r w:rsidRPr="0008481A">
        <w:t xml:space="preserve">gifter – däribland adressen – spärrade avseende </w:t>
      </w:r>
      <w:r w:rsidRPr="0008481A">
        <w:rPr>
          <w:i/>
        </w:rPr>
        <w:t>(ett angivet person</w:t>
      </w:r>
      <w:r w:rsidRPr="0008481A">
        <w:rPr>
          <w:i/>
        </w:rPr>
        <w:softHyphen/>
        <w:t>nummer)</w:t>
      </w:r>
      <w:r w:rsidRPr="0008481A">
        <w:t xml:space="preserve"> under tiden oktober–december 1997 och personen i fråga hade inte bytt identitet. </w:t>
      </w:r>
    </w:p>
    <w:p w:rsidR="003B3271" w:rsidRPr="0008481A" w:rsidRDefault="003B3271">
      <w:pPr>
        <w:pStyle w:val="Rubrik3"/>
      </w:pPr>
      <w:r w:rsidRPr="0008481A">
        <w:t xml:space="preserve">Rättslig reglering </w:t>
      </w:r>
    </w:p>
    <w:p w:rsidR="003B3271" w:rsidRPr="0008481A" w:rsidRDefault="003B3271">
      <w:r w:rsidRPr="0008481A">
        <w:t>Av 7 kap. 15 § första stycket sekretesslagen (1980:100) framgår att sekretess gä</w:t>
      </w:r>
      <w:r w:rsidRPr="0008481A">
        <w:t>l</w:t>
      </w:r>
      <w:r w:rsidRPr="0008481A">
        <w:t>ler i verksamhet som avser folkbokföringen eller annan liknande registrering av befolkningen och, i den utsträckning som regeringen före</w:t>
      </w:r>
      <w:r w:rsidRPr="0008481A">
        <w:softHyphen/>
        <w:t>skriver det, i annan ver</w:t>
      </w:r>
      <w:r w:rsidRPr="0008481A">
        <w:t>k</w:t>
      </w:r>
      <w:r w:rsidRPr="0008481A">
        <w:t>samhet som avser registrering av betydande del av befolkningen, för uppgift om enskilds personliga förhållanden, om det av särskild anledning kan antas att den enskilde eller någon honom närstående lider men om up</w:t>
      </w:r>
      <w:r w:rsidRPr="0008481A">
        <w:t>p</w:t>
      </w:r>
      <w:r w:rsidRPr="0008481A">
        <w:t xml:space="preserve">giften röjs. </w:t>
      </w:r>
    </w:p>
    <w:p w:rsidR="003B3271" w:rsidRPr="0008481A" w:rsidRDefault="003B3271">
      <w:pPr>
        <w:pStyle w:val="Normaltindrag"/>
      </w:pPr>
      <w:r w:rsidRPr="0008481A">
        <w:t>Bestämmelsen innebär att det normalt inte gäller någon sekretess för t.ex. en adressuppgift. För att en sådan uppgift ska</w:t>
      </w:r>
      <w:r w:rsidRPr="0008481A">
        <w:t>ll få hemlighållas krävs att det finns någon särskild anledning till detta. Om det kan antas att utlämnande av uppgifter rörande en viss person innebär men för personen, exempelvis risk för förföljelse, kan skattemyndigheten i folkbokföringsregistret lägga in en markering för särskild sekretessprövning, s.k. sekretessmarkering (spärr</w:t>
      </w:r>
      <w:r w:rsidRPr="0008481A">
        <w:softHyphen/>
        <w:t>markering). Sekretessmarkerin</w:t>
      </w:r>
      <w:r w:rsidRPr="0008481A">
        <w:t>g</w:t>
      </w:r>
      <w:r w:rsidRPr="0008481A">
        <w:t>en innebär att särskild försiktighet bör iakttas vid bedömningen av om uppgifter om personen i fråga bör lämnas ut. Sekretess</w:t>
      </w:r>
      <w:r w:rsidRPr="0008481A">
        <w:softHyphen/>
        <w:t xml:space="preserve">markering motsvarar </w:t>
      </w:r>
      <w:r w:rsidRPr="0008481A">
        <w:t xml:space="preserve">det som gäller för den hemligstämpel som enligt 15 kap. 3 § sekretesslagen kan åsättas en allmän handling (prop. 1997/98:9 s. 34 f.).  </w:t>
      </w:r>
    </w:p>
    <w:p w:rsidR="003B3271" w:rsidRPr="0008481A" w:rsidRDefault="003B3271">
      <w:pPr>
        <w:pStyle w:val="Normaltindrag"/>
      </w:pPr>
      <w:r w:rsidRPr="0008481A">
        <w:t>Sekretess enligt 7 kap. 15 § sekretesslagen gäller utanför det område som anges i paragrafen endast i den begränsade utsträckning som följer av sekretess</w:t>
      </w:r>
      <w:r w:rsidRPr="0008481A">
        <w:softHyphen/>
        <w:t>lagens olika bestämmelser om överföring av sekretess. För uppgifter som lämnas till en domstol kan emellertid sekretessen överföras enligt 12 kap. 1 § sekretesslagen. Erhåller domstol i sin rättskipande eller rätts</w:t>
      </w:r>
      <w:r w:rsidRPr="0008481A">
        <w:softHyphen/>
        <w:t>vårdande verksamhet från domstol eller annan myndighet uppgift som är sekretess</w:t>
      </w:r>
      <w:r w:rsidRPr="0008481A">
        <w:softHyphen/>
        <w:t>belagd där, gäller sekretessen oc</w:t>
      </w:r>
      <w:r w:rsidRPr="0008481A">
        <w:t>k</w:t>
      </w:r>
      <w:r w:rsidRPr="0008481A">
        <w:t>så hos domstolen (s.k. sekundär sekretess). Av samma lagrum framgår att överf</w:t>
      </w:r>
      <w:r w:rsidRPr="0008481A">
        <w:t>ö</w:t>
      </w:r>
      <w:r w:rsidRPr="0008481A">
        <w:t>ring av sekretess inte äger rum om en sekretessbestämmelse till skydd för samma intresse ändå är tillämp</w:t>
      </w:r>
      <w:r w:rsidRPr="0008481A">
        <w:t xml:space="preserve">lig på uppgiften hos den mottagande domstolen. </w:t>
      </w:r>
    </w:p>
    <w:p w:rsidR="003B3271" w:rsidRPr="0008481A" w:rsidRDefault="003B3271">
      <w:pPr>
        <w:pStyle w:val="Normaltindrag"/>
      </w:pPr>
      <w:r w:rsidRPr="0008481A">
        <w:t>Att vissa uppgifter hos en domstol eller annan myndighet är sekre</w:t>
      </w:r>
      <w:r w:rsidRPr="0008481A">
        <w:softHyphen/>
        <w:t>tess</w:t>
      </w:r>
      <w:r w:rsidRPr="0008481A">
        <w:softHyphen/>
        <w:t>belagda i</w:t>
      </w:r>
      <w:r w:rsidRPr="0008481A">
        <w:t>n</w:t>
      </w:r>
      <w:r w:rsidRPr="0008481A">
        <w:t>nebär inte automatiskt att sekretessen gäller gentemot en part, se 14 kap. 5 § se</w:t>
      </w:r>
      <w:r w:rsidRPr="0008481A">
        <w:t>k</w:t>
      </w:r>
      <w:r w:rsidRPr="0008481A">
        <w:t xml:space="preserve">retesslagen. </w:t>
      </w:r>
    </w:p>
    <w:p w:rsidR="003B3271" w:rsidRPr="0008481A" w:rsidRDefault="003B3271">
      <w:pPr>
        <w:pStyle w:val="Normaltindrag"/>
        <w:rPr>
          <w:b/>
        </w:rPr>
      </w:pPr>
      <w:r w:rsidRPr="0008481A">
        <w:t xml:space="preserve">Regler om vilka uppgifter en tvistemålsdom skall innehålla finns i 17 kap. 7 § rättegångsbalken. Där föreskrivs att en dom skall avfattas skriftligen och i skilda avdelningar ange bl.a. parterna och deras ombud eller biträden samt domslutet.    </w:t>
      </w:r>
    </w:p>
    <w:p w:rsidR="003B3271" w:rsidRPr="0008481A" w:rsidRDefault="003B3271">
      <w:pPr>
        <w:pStyle w:val="Rubrik3"/>
      </w:pPr>
      <w:r w:rsidRPr="0008481A">
        <w:t xml:space="preserve">Bedömning </w:t>
      </w:r>
    </w:p>
    <w:p w:rsidR="003B3271" w:rsidRPr="0008481A" w:rsidRDefault="003B3271">
      <w:r w:rsidRPr="0008481A">
        <w:t>Skattemyndigheten kan i vissa fall med stöd av 7 kap. 15 § sekretesslagen besluta att inte lämna ut personuppgifter i folkbokföringsregistret. För att myndigheten skall kunna veta när den bör vara försiktig och göra en särskild prövning av u</w:t>
      </w:r>
      <w:r w:rsidRPr="0008481A">
        <w:t>t</w:t>
      </w:r>
      <w:r w:rsidRPr="0008481A">
        <w:t>lämnandefrågan kan den föra in en sekretessmarkering i registret. En sådan ma</w:t>
      </w:r>
      <w:r w:rsidRPr="0008481A">
        <w:t>r</w:t>
      </w:r>
      <w:r w:rsidRPr="0008481A">
        <w:t>kering fanns beträffande svaranden i det aktuella målet under den tid som målet var a</w:t>
      </w:r>
      <w:r w:rsidRPr="0008481A">
        <w:t>n</w:t>
      </w:r>
      <w:r w:rsidRPr="0008481A">
        <w:t xml:space="preserve">hängigt vid tingsrätten.  </w:t>
      </w:r>
    </w:p>
    <w:p w:rsidR="003B3271" w:rsidRPr="0008481A" w:rsidRDefault="003B3271">
      <w:pPr>
        <w:pStyle w:val="Normaltindrag"/>
      </w:pPr>
      <w:r w:rsidRPr="0008481A">
        <w:t>När det aktuella målet kom in till tingsrätten fanns bland handlingarna ett utdrag ur centrala bilregistret av vilket framgick att ”personuppgiften” för svaranden var skyddad. Kronofogdemyndigheten hade dessutom genom</w:t>
      </w:r>
      <w:r w:rsidRPr="0008481A">
        <w:softHyphen/>
        <w:t>gående kallat svaranden ”skyddade personuppgifter” med angivande av per</w:t>
      </w:r>
      <w:r w:rsidRPr="0008481A">
        <w:softHyphen/>
        <w:t>son</w:t>
      </w:r>
      <w:r w:rsidRPr="0008481A">
        <w:softHyphen/>
      </w:r>
      <w:r w:rsidRPr="0008481A">
        <w:softHyphen/>
        <w:t>nummer. Huruvida ting</w:t>
      </w:r>
      <w:r w:rsidRPr="0008481A">
        <w:t>s</w:t>
      </w:r>
      <w:r w:rsidRPr="0008481A">
        <w:t>rätten gjorde någon kontroll hos skatte</w:t>
      </w:r>
      <w:r w:rsidRPr="0008481A">
        <w:softHyphen/>
        <w:t>myndig</w:t>
      </w:r>
      <w:r w:rsidRPr="0008481A">
        <w:softHyphen/>
        <w:t>heten om hur det förhöll sig med svarandens personuppgifter är inte klarlagt. Vid en sådan kontroll hade tingsrätten  fått kännedom om att det hos skattemyndigheten fanns en sekretessmarkering b</w:t>
      </w:r>
      <w:r w:rsidRPr="0008481A">
        <w:t>e</w:t>
      </w:r>
      <w:r w:rsidRPr="0008481A">
        <w:t>träffande svarandens personuppgifter. Eftersom tingsrätten emellertid inte hade fått uppgifterna om svaranden från skattemyndigheten hade inte någon överföring av denna s</w:t>
      </w:r>
      <w:r w:rsidRPr="0008481A">
        <w:t>ekretess kunnat ske till domstolen enligt 12 kap. 1 § sekretessl</w:t>
      </w:r>
      <w:r w:rsidRPr="0008481A">
        <w:t>a</w:t>
      </w:r>
      <w:r w:rsidRPr="0008481A">
        <w:t>gen.</w:t>
      </w:r>
    </w:p>
    <w:p w:rsidR="003B3271" w:rsidRPr="0008481A" w:rsidRDefault="003B3271">
      <w:pPr>
        <w:pStyle w:val="Normaltindrag"/>
      </w:pPr>
      <w:r w:rsidRPr="0008481A">
        <w:t>I målet hade svaranden själv, redan till kronofogdemyndigheten, gett in handlin</w:t>
      </w:r>
      <w:r w:rsidRPr="0008481A">
        <w:t>g</w:t>
      </w:r>
      <w:r w:rsidRPr="0008481A">
        <w:t>ar med uppgift om sitt namn. I skrivelser till tingsrätten angav svaranden både sitt namn och sin nya adress. Överföring av sekretess enligt 12 kap. 1 § sekretesslagen kan ske endast beträffande uppgifter som en domstol erhåller från en annan my</w:t>
      </w:r>
      <w:r w:rsidRPr="0008481A">
        <w:t>n</w:t>
      </w:r>
      <w:r w:rsidRPr="0008481A">
        <w:t>dighet där uppgifterna omfattas av sekretess. Det kan alltså inte bli fråga om se</w:t>
      </w:r>
      <w:r w:rsidRPr="0008481A">
        <w:t>k</w:t>
      </w:r>
      <w:r w:rsidRPr="0008481A">
        <w:t>retessöverföring beträffande uppgifter som parten själv ger in i målet eller ärendet.  Någon motsvarighet till den regel som nu finns beträffande sekretess i ärende om fingerade perso</w:t>
      </w:r>
      <w:r w:rsidRPr="0008481A">
        <w:t>n</w:t>
      </w:r>
      <w:r w:rsidRPr="0008481A">
        <w:softHyphen/>
        <w:t>uppgifter (7 kap. 15 § andra stycket sekretesslagen), dvs. att se</w:t>
      </w:r>
      <w:r w:rsidRPr="0008481A">
        <w:t>k</w:t>
      </w:r>
      <w:r w:rsidRPr="0008481A">
        <w:t>retess även gäller hos den myndighet till vilken en sådan sekretessbelagd uppgift har lämnats, finns inte i fråga om uppgifter som är sekretessbelagda enligt 7 kap. 15 § första stycket sekretesslagen. Inte heller någon annan sekretess</w:t>
      </w:r>
      <w:r w:rsidRPr="0008481A">
        <w:softHyphen/>
        <w:t>bestämmelse har gällt vid tingsrätten för svarandens pers</w:t>
      </w:r>
      <w:r w:rsidRPr="0008481A">
        <w:t>o</w:t>
      </w:r>
      <w:r w:rsidRPr="0008481A">
        <w:t xml:space="preserve">nuppgifter i målet. </w:t>
      </w:r>
    </w:p>
    <w:p w:rsidR="003B3271" w:rsidRPr="0008481A" w:rsidRDefault="003B3271">
      <w:pPr>
        <w:pStyle w:val="Normaltindrag"/>
      </w:pPr>
      <w:r w:rsidRPr="0008481A">
        <w:t>Tingsrätten har lagt alla handlingar i vilka svarandens namn och adressuppgift framgår i ett förseglat kuvert på vilket angivits ”</w:t>
      </w:r>
      <w:r w:rsidRPr="0008481A">
        <w:t>HEMLIG Enl 12 kap. 1 § sekr</w:t>
      </w:r>
      <w:r w:rsidRPr="0008481A">
        <w:t>e</w:t>
      </w:r>
      <w:r w:rsidRPr="0008481A">
        <w:t>tesslagen”. Som nyss har konstaterats omfattades svar</w:t>
      </w:r>
      <w:r w:rsidRPr="0008481A">
        <w:softHyphen/>
        <w:t>andens personuppgifter i målet inte av sekretess. Någon rättslig grund för att vägra att lämna ut dessa up</w:t>
      </w:r>
      <w:r w:rsidRPr="0008481A">
        <w:t>p</w:t>
      </w:r>
      <w:r w:rsidRPr="0008481A">
        <w:t>gifter fanns således inte varför det saknades för</w:t>
      </w:r>
      <w:r w:rsidRPr="0008481A">
        <w:softHyphen/>
        <w:t>ut</w:t>
      </w:r>
      <w:r w:rsidRPr="0008481A">
        <w:softHyphen/>
        <w:t>sättningar att hemligstämpla handlingar som innehöll dessa uppgifter. För övrigt kan anmärkas att hemli</w:t>
      </w:r>
      <w:r w:rsidRPr="0008481A">
        <w:t>g</w:t>
      </w:r>
      <w:r w:rsidRPr="0008481A">
        <w:t>stämpling av en allmän handling med an</w:t>
      </w:r>
      <w:r w:rsidRPr="0008481A">
        <w:softHyphen/>
        <w:t>givande av 12 kap. 1 § sekretesslagen inte ger någon upplysning om den egentliga grunden för sekretessen, eftersom par</w:t>
      </w:r>
      <w:r w:rsidRPr="0008481A">
        <w:t>a</w:t>
      </w:r>
      <w:r w:rsidRPr="0008481A">
        <w:t>grafen e</w:t>
      </w:r>
      <w:r w:rsidRPr="0008481A">
        <w:t xml:space="preserve">ndast behandlar frågan om överföring av sekretess som följer av andra regler.   </w:t>
      </w:r>
    </w:p>
    <w:p w:rsidR="003B3271" w:rsidRPr="0008481A" w:rsidRDefault="003B3271">
      <w:pPr>
        <w:pStyle w:val="Normaltindrag"/>
      </w:pPr>
      <w:r w:rsidRPr="0008481A">
        <w:t>I 17 kap. 7 § rättegångsbalken föreskrivs att parterna skall anges i domen. Det finns inga bestämmelser som reglerar vilka uppgifter beträffande parterna som därvid skall anges. Enligt stadgad domstolspraxis anges i domen, när det gäller fysiska personer, parternas namn, personnummer och adress. När det gäller brot</w:t>
      </w:r>
      <w:r w:rsidRPr="0008481A">
        <w:t>t</w:t>
      </w:r>
      <w:r w:rsidRPr="0008481A">
        <w:t>målsdomar har Domstolsverket utfärdat före</w:t>
      </w:r>
      <w:r w:rsidRPr="0008481A">
        <w:softHyphen/>
        <w:t>skrifter om avfattningen av dessa (DVFS 1993:21, B 86; ändr. DVFS 1998:4). Enligt föreskrifterna skall bl.a. den tilltalades alla namn, person</w:t>
      </w:r>
      <w:r w:rsidRPr="0008481A">
        <w:softHyphen/>
        <w:t xml:space="preserve">nummer och adress anges i domen och för en tilltalad vars adress är skyddad av sekretess skrivs ”Skyddad adressuppgift”. </w:t>
      </w:r>
    </w:p>
    <w:p w:rsidR="003B3271" w:rsidRPr="0008481A" w:rsidRDefault="003B3271">
      <w:pPr>
        <w:pStyle w:val="Normaltindrag"/>
      </w:pPr>
      <w:r w:rsidRPr="0008481A">
        <w:t>Syftet med att ange parterna i domen är naturligtvis att dessa skall kunna identifi</w:t>
      </w:r>
      <w:r w:rsidRPr="0008481A">
        <w:t>e</w:t>
      </w:r>
      <w:r w:rsidRPr="0008481A">
        <w:t>ras så att domen kan verkställas. När det inte föreligger sekretess beträffande nå</w:t>
      </w:r>
      <w:r w:rsidRPr="0008481A">
        <w:t>g</w:t>
      </w:r>
      <w:r w:rsidRPr="0008481A">
        <w:t xml:space="preserve">ra personuppgifter är det således en lämplighetsfråga vilka av dessa uppgifter som skall anges i domen.   </w:t>
      </w:r>
    </w:p>
    <w:p w:rsidR="003B3271" w:rsidRPr="0008481A" w:rsidRDefault="003B3271">
      <w:pPr>
        <w:pStyle w:val="Normaltindrag"/>
      </w:pPr>
      <w:r w:rsidRPr="0008481A">
        <w:t>Som framgår av det sagda har tingsrättens hantering av svarandens person</w:t>
      </w:r>
      <w:r w:rsidRPr="0008481A">
        <w:softHyphen/>
        <w:t>uppgi</w:t>
      </w:r>
      <w:r w:rsidRPr="0008481A">
        <w:t>f</w:t>
      </w:r>
      <w:r w:rsidRPr="0008481A">
        <w:t>ter varit behäftad med brister. Jag finner emellertid inte anledning att vidta någon ytterligare åtgärd i saken.</w:t>
      </w:r>
    </w:p>
    <w:p w:rsidR="003B3271" w:rsidRPr="0008481A" w:rsidRDefault="003B3271">
      <w:pPr>
        <w:pStyle w:val="Rubrik2"/>
      </w:pPr>
      <w:r w:rsidRPr="0008481A">
        <w:t>En tingsrätts hantering av s.k. skyddade personuppgifter vilka erhållits från en part i ett familjemål</w:t>
      </w:r>
    </w:p>
    <w:p w:rsidR="003B3271" w:rsidRPr="0008481A" w:rsidRDefault="003B3271">
      <w:r w:rsidRPr="0008481A">
        <w:t>(Dnr 2351-1998)</w:t>
      </w:r>
    </w:p>
    <w:p w:rsidR="003B3271" w:rsidRPr="0008481A" w:rsidRDefault="003B3271">
      <w:r w:rsidRPr="0008481A">
        <w:t xml:space="preserve">I ett beslut den 6 december 1999 anförde </w:t>
      </w:r>
      <w:r w:rsidRPr="0008481A">
        <w:rPr>
          <w:i/>
        </w:rPr>
        <w:t>chefsJO Eklundh</w:t>
      </w:r>
      <w:r w:rsidRPr="0008481A">
        <w:t xml:space="preserve"> bl.a följande.</w:t>
      </w:r>
    </w:p>
    <w:p w:rsidR="003B3271" w:rsidRPr="0008481A" w:rsidRDefault="003B3271">
      <w:pPr>
        <w:pStyle w:val="Rubrik3"/>
      </w:pPr>
      <w:r w:rsidRPr="0008481A">
        <w:t>Bakgrund</w:t>
      </w:r>
    </w:p>
    <w:p w:rsidR="003B3271" w:rsidRPr="0008481A" w:rsidRDefault="003B3271">
      <w:r w:rsidRPr="0008481A">
        <w:t>I samband med en inspektion vid Köpings tingsrätt den 5 och 6 maj 1998 fra</w:t>
      </w:r>
      <w:r w:rsidRPr="0008481A">
        <w:t>m</w:t>
      </w:r>
      <w:r w:rsidRPr="0008481A">
        <w:t>kom följande vid granskning av akten i mål T – – –.</w:t>
      </w:r>
    </w:p>
    <w:p w:rsidR="003B3271" w:rsidRPr="0008481A" w:rsidRDefault="003B3271">
      <w:pPr>
        <w:pStyle w:val="Normaltindrag"/>
      </w:pPr>
      <w:r w:rsidRPr="0008481A">
        <w:t>I en ansökan om stämning som inkom till tingsrätten den 22 augusti 1996 yrkade L. E. genom sin advokat att tingsrätten skulle döma till äktenskaps</w:t>
      </w:r>
      <w:r w:rsidRPr="0008481A">
        <w:softHyphen/>
        <w:t>skillnad mellan henne och K. E. L. E. angav därvid att hon kunde nås på sin advokats adress. Uppgift om L. E:s personnummer saknades. Till stämnings</w:t>
      </w:r>
      <w:r w:rsidRPr="0008481A">
        <w:softHyphen/>
        <w:t>ansökan fanns fogad bl.a. en särskild skrivelse från L. E:s advokat till tingsrätten, ett brev från Skatt</w:t>
      </w:r>
      <w:r w:rsidRPr="0008481A">
        <w:t>e</w:t>
      </w:r>
      <w:r w:rsidRPr="0008481A">
        <w:t>myndigheten i Västmanlands län till L. E. (aktbil. 3), ett personbevis (aktbil. 4) och en ans</w:t>
      </w:r>
      <w:r w:rsidRPr="0008481A">
        <w:t>ö</w:t>
      </w:r>
      <w:r w:rsidRPr="0008481A">
        <w:t xml:space="preserve">kan om rättshjälp för L. E. (aktbil. 5). </w:t>
      </w:r>
    </w:p>
    <w:p w:rsidR="003B3271" w:rsidRPr="0008481A" w:rsidRDefault="003B3271">
      <w:pPr>
        <w:pStyle w:val="Normaltindrag"/>
      </w:pPr>
      <w:r w:rsidRPr="0008481A">
        <w:t>I den särskilda skrivelsen till tingsrätten upplyste L. E:s advokat att L. E. och he</w:t>
      </w:r>
      <w:r w:rsidRPr="0008481A">
        <w:t>n</w:t>
      </w:r>
      <w:r w:rsidRPr="0008481A">
        <w:t>nes barn hade sekretesskyddade personuppgifter, varför sekretess också borde gälla beträffande dessa i tingsrätten. Av brevet från skatte</w:t>
      </w:r>
      <w:r w:rsidRPr="0008481A">
        <w:softHyphen/>
        <w:t>myndigheten ställt till L. E. under adressen A (aktbil. 3) framgick fö</w:t>
      </w:r>
      <w:r w:rsidRPr="0008481A">
        <w:t>l</w:t>
      </w:r>
      <w:r w:rsidRPr="0008481A">
        <w:t>jande.</w:t>
      </w:r>
    </w:p>
    <w:p w:rsidR="003B3271" w:rsidRPr="0008481A" w:rsidRDefault="003B3271">
      <w:pPr>
        <w:pStyle w:val="Citat"/>
      </w:pPr>
      <w:r w:rsidRPr="0008481A">
        <w:t>Vi fick en beställning på personbevis för äktenskapsmål från Din advokat. Eftersom jag inte fick tag på Dig på telefon, skickar jag personbeviset till Dig f v b till advokaten. Jag vill samtidigt i</w:t>
      </w:r>
      <w:r w:rsidRPr="0008481A">
        <w:t>n</w:t>
      </w:r>
      <w:r w:rsidRPr="0008481A">
        <w:t>formera om att skatte</w:t>
      </w:r>
      <w:r w:rsidRPr="0008481A">
        <w:softHyphen/>
        <w:t>myndig</w:t>
      </w:r>
      <w:r w:rsidRPr="0008481A">
        <w:softHyphen/>
        <w:t>hetens spärrmarkering inte automatiskt förs över till tingsrätter. Hand</w:t>
      </w:r>
      <w:r w:rsidRPr="0008481A">
        <w:softHyphen/>
        <w:t>läggning av Din skilsmässa i tingsrätten är offentlig – om Du inte själv ber om spärrmark</w:t>
      </w:r>
      <w:r w:rsidRPr="0008481A">
        <w:t>e</w:t>
      </w:r>
      <w:r w:rsidRPr="0008481A">
        <w:t>ring där.</w:t>
      </w:r>
    </w:p>
    <w:p w:rsidR="003B3271" w:rsidRPr="0008481A" w:rsidRDefault="003B3271">
      <w:r w:rsidRPr="0008481A">
        <w:t>Personbeviset (aktbil. 4), som var utfärdat för äktenskapsmålet, innehöll bl.a. uppgift om parterna, deras barn samt parternas bostadsadress. Bostads</w:t>
      </w:r>
      <w:r w:rsidRPr="0008481A">
        <w:softHyphen/>
        <w:t>adressen var densamma för dem båda, nämligen A. Rättshjälpsansökan (aktbil. 5) innehöll samma uppgift om L. E:s adress. Uppgift om hennes personnummer saknades emellertid.</w:t>
      </w:r>
    </w:p>
    <w:p w:rsidR="003B3271" w:rsidRPr="0008481A" w:rsidRDefault="003B3271">
      <w:pPr>
        <w:pStyle w:val="Normaltindrag"/>
      </w:pPr>
      <w:r w:rsidRPr="0008481A">
        <w:t>Sedan stämning utfärdats på K. E. och denne blivit delgiven i mars 1997 beslutade tingsrätten den 8 april 1997 att äktenskapsskillnaden skulle föregås av betänketid (aktbil. 14). L. E:s adress angavs därvid i protokollet vara en c/o-adress till hennes adv</w:t>
      </w:r>
      <w:r w:rsidRPr="0008481A">
        <w:t>o</w:t>
      </w:r>
      <w:r w:rsidRPr="0008481A">
        <w:t>kat. Av protokollet framgick L. E:s person</w:t>
      </w:r>
      <w:r w:rsidRPr="0008481A">
        <w:softHyphen/>
        <w:t>nummer.</w:t>
      </w:r>
    </w:p>
    <w:p w:rsidR="003B3271" w:rsidRPr="0008481A" w:rsidRDefault="003B3271">
      <w:pPr>
        <w:pStyle w:val="Normaltindrag"/>
      </w:pPr>
      <w:r w:rsidRPr="0008481A">
        <w:t>Efter lagstadgad betänketid yrkade L. E. genom sin advokat att tingsrätten skulle döma till äktenskapsskillnad mellan henne och K. E. Advokaten uppgav därvid på nytt att L. E. och hennes barn hade sekretesskyddade person</w:t>
      </w:r>
      <w:r w:rsidRPr="0008481A">
        <w:softHyphen/>
        <w:t>uppgifter. Av ett bif</w:t>
      </w:r>
      <w:r w:rsidRPr="0008481A">
        <w:t>o</w:t>
      </w:r>
      <w:r w:rsidRPr="0008481A">
        <w:t xml:space="preserve">gat personbevis framgick att L. E. numera hade en annan adress (aktbil. 18). </w:t>
      </w:r>
    </w:p>
    <w:p w:rsidR="003B3271" w:rsidRPr="0008481A" w:rsidRDefault="003B3271">
      <w:pPr>
        <w:pStyle w:val="Normaltindrag"/>
      </w:pPr>
      <w:r w:rsidRPr="0008481A">
        <w:t>Genom en dom den 3 oktober 1997 dömde tingsrätten till äktenskaps</w:t>
      </w:r>
      <w:r w:rsidRPr="0008481A">
        <w:softHyphen/>
        <w:t xml:space="preserve">skillnad mellan parterna. I domshuvudet angavs såvitt avsåg L. E. hennes personnummer samt en c/o-adress till advokaten. </w:t>
      </w:r>
    </w:p>
    <w:p w:rsidR="003B3271" w:rsidRPr="0008481A" w:rsidRDefault="003B3271">
      <w:pPr>
        <w:pStyle w:val="Normaltindrag"/>
      </w:pPr>
      <w:r w:rsidRPr="0008481A">
        <w:t>I samband med JO:s granskning konstaterades att tingsrätten lagt aktbil. 4, 14 och 18 i ett förseglat kuvert och på kuvertet stämplat ”HEMLIG Enl ...........§ sekr</w:t>
      </w:r>
      <w:r w:rsidRPr="0008481A">
        <w:t>e</w:t>
      </w:r>
      <w:r w:rsidRPr="0008481A">
        <w:t>tesslagen”.</w:t>
      </w:r>
    </w:p>
    <w:p w:rsidR="003B3271" w:rsidRPr="0008481A" w:rsidRDefault="003B3271">
      <w:pPr>
        <w:pStyle w:val="Rubrik3"/>
      </w:pPr>
      <w:r w:rsidRPr="0008481A">
        <w:t xml:space="preserve">Utredning </w:t>
      </w:r>
    </w:p>
    <w:p w:rsidR="003B3271" w:rsidRPr="0008481A" w:rsidRDefault="003B3271">
      <w:r w:rsidRPr="0008481A">
        <w:t>Ärendet remitterades till Köpings tingsrätt för upplysningar över på vilket sätt L.E:s ombuds begäran om att kärandens personuppgifter borde vara sekretessky</w:t>
      </w:r>
      <w:r w:rsidRPr="0008481A">
        <w:t>d</w:t>
      </w:r>
      <w:r w:rsidRPr="0008481A">
        <w:t>dade i tingsrätten hade hanterats och beaktats under målets handläggning. (Jfr tingsrättens aktbilaga 2 och 9 kap. 15 § sekretessl</w:t>
      </w:r>
      <w:r w:rsidRPr="0008481A">
        <w:t>a</w:t>
      </w:r>
      <w:r w:rsidRPr="0008481A">
        <w:t>gen.)</w:t>
      </w:r>
    </w:p>
    <w:p w:rsidR="003B3271" w:rsidRPr="0008481A" w:rsidRDefault="003B3271">
      <w:pPr>
        <w:pStyle w:val="Normaltindrag"/>
      </w:pPr>
      <w:r w:rsidRPr="0008481A">
        <w:t>Tingsrätten skulle vidare yttra sig och redovisa sin bedömning av det som kommit fram.</w:t>
      </w:r>
    </w:p>
    <w:p w:rsidR="003B3271" w:rsidRPr="0008481A" w:rsidRDefault="003B3271">
      <w:pPr>
        <w:pStyle w:val="Normaltindrag"/>
      </w:pPr>
      <w:r w:rsidRPr="0008481A">
        <w:t>Köpings tingsrätt (lagmannen Urban Sandén) inkom med ett yttrande i vilket hä</w:t>
      </w:r>
      <w:r w:rsidRPr="0008481A">
        <w:t>n</w:t>
      </w:r>
      <w:r w:rsidRPr="0008481A">
        <w:t xml:space="preserve">visades till ett bifogat yttrande från rådmannen Catharina Sars.  </w:t>
      </w:r>
    </w:p>
    <w:p w:rsidR="003B3271" w:rsidRPr="0008481A" w:rsidRDefault="003B3271">
      <w:pPr>
        <w:pStyle w:val="Underskrifter"/>
      </w:pPr>
      <w:r w:rsidRPr="0008481A">
        <w:t>Catharina Sars</w:t>
      </w:r>
    </w:p>
    <w:p w:rsidR="003B3271" w:rsidRPr="0008481A" w:rsidRDefault="003B3271">
      <w:pPr>
        <w:pStyle w:val="Citat"/>
      </w:pPr>
      <w:r w:rsidRPr="0008481A">
        <w:t>L. E. yrkade genom ansökan om stämning, ab 1, äktenskapsskillnad från K. E. I ansökan fanns inte L. E:s personnummer angivet och hennes adress var uppgiven till c/o ombudet, advokaten – – –. Samtidigt med ansökan ingavs en skrivelse från ombudet, ab 2, vari angavs att L. E. och hennes barn hade sekretesskyddade personuppgifter och att sekretess också borde gälla för dessa uppgifter i tingsrätten. Med ansökan följde även kopia av en skrivelse från skattemyndigheten till L. E., ab 3, där det påpekades att sk</w:t>
      </w:r>
      <w:r w:rsidRPr="0008481A">
        <w:t>atte</w:t>
      </w:r>
      <w:r w:rsidRPr="0008481A">
        <w:softHyphen/>
        <w:t>myndighetens spärrmarkering inte automatiskt överfördes till tingsrä</w:t>
      </w:r>
      <w:r w:rsidRPr="0008481A">
        <w:t>t</w:t>
      </w:r>
      <w:r w:rsidRPr="0008481A">
        <w:t xml:space="preserve">ter. Samtidigt med ansökan ingavs personbevis, ab 4, och ansökan om allmän rättshjälp, ab 5. Enligt personbeviset hade L. E. och K. E. samma adress, </w:t>
      </w:r>
      <w:r w:rsidRPr="0008481A">
        <w:br/>
        <w:t>– – – i Köping. Även i ansökan om allmän rättshjälp uppgavs L. E:s adress vara – – – i Köping. Hennes personnummer hade strukits över. Av ansökan framgick att ärendet påbörjats den 29 maj 1996.</w:t>
      </w:r>
    </w:p>
    <w:p w:rsidR="003B3271" w:rsidRPr="0008481A" w:rsidRDefault="003B3271">
      <w:pPr>
        <w:pStyle w:val="Citatindrag"/>
      </w:pPr>
      <w:r w:rsidRPr="0008481A">
        <w:t>Jag har vid handläggningen av målet gjort följande överväganden.</w:t>
      </w:r>
    </w:p>
    <w:p w:rsidR="003B3271" w:rsidRPr="0008481A" w:rsidRDefault="003B3271">
      <w:pPr>
        <w:pStyle w:val="Citatindrag"/>
      </w:pPr>
      <w:r w:rsidRPr="0008481A">
        <w:t>På personbeviset var samma adress, – – – , antecknad på båda parter. Samma adress fanns angiven för L. E. i ansökan om allmän rättshjälp. I stämningsansökan var hennes adress angiven till c/o ombudet. Dessa upp</w:t>
      </w:r>
      <w:r w:rsidRPr="0008481A">
        <w:softHyphen/>
        <w:t>gifter, sammanställda med vad som i ansökan uppgivits om sekretes</w:t>
      </w:r>
      <w:r w:rsidRPr="0008481A">
        <w:softHyphen/>
        <w:t>skyddade personuppgifter, uppfattade jag som att - - -  var den adress där parterna bott tillsammans och att L. E. nu flyttat till annan adress, vilken var sekre</w:t>
      </w:r>
      <w:r w:rsidRPr="0008481A">
        <w:softHyphen/>
        <w:t>tesskyddad hos skattemyndigheten, och att hon ön</w:t>
      </w:r>
      <w:r w:rsidRPr="0008481A">
        <w:t>s</w:t>
      </w:r>
      <w:r w:rsidRPr="0008481A">
        <w:t>kade sekretess för denna även i tingsrätten.</w:t>
      </w:r>
    </w:p>
    <w:p w:rsidR="003B3271" w:rsidRPr="0008481A" w:rsidRDefault="003B3271">
      <w:pPr>
        <w:pStyle w:val="Citatindrag"/>
      </w:pPr>
      <w:r w:rsidRPr="0008481A">
        <w:t>L. E:s personnummer hade strukits över på ansökan om allmän rättshjälp och fanns inte angivet i stämningsansökan. Detta, sammanställt med vad som i ansökan uppgivits om sekretesskyddade per</w:t>
      </w:r>
      <w:r w:rsidRPr="0008481A">
        <w:t>sonuppgifter, uppfattade jag som att L. E:s personnummer var sekretesskyddat hos skattemy</w:t>
      </w:r>
      <w:r w:rsidRPr="0008481A">
        <w:t>n</w:t>
      </w:r>
      <w:r w:rsidRPr="0008481A">
        <w:t>digh</w:t>
      </w:r>
      <w:r w:rsidRPr="0008481A">
        <w:t>e</w:t>
      </w:r>
      <w:r w:rsidRPr="0008481A">
        <w:t>ten och att hon önskade sekretess för detta även i tingsrätten.</w:t>
      </w:r>
    </w:p>
    <w:p w:rsidR="003B3271" w:rsidRPr="0008481A" w:rsidRDefault="003B3271">
      <w:pPr>
        <w:pStyle w:val="Citatindrag"/>
      </w:pPr>
      <w:r w:rsidRPr="0008481A">
        <w:t>Mot bakgrund av att det var fråga om ett äktenskapsskillnadsmål, och då det av ansökan framgick att mannen inte velat skriva under en gemensam ansökan samt hustrun och barnen hade skyddade personuppgifter hos skatte</w:t>
      </w:r>
      <w:r w:rsidRPr="0008481A">
        <w:softHyphen/>
        <w:t>myndigheten ansåg jag att det kunde antas att hon eller någon henne närstående kunde lida skada eller men om uppgifterna röjdes. Någon efterforskning om anlednin</w:t>
      </w:r>
      <w:r w:rsidRPr="0008481A">
        <w:t>g</w:t>
      </w:r>
      <w:r w:rsidRPr="0008481A">
        <w:t>en till begäran om sekretess företogs därför inte.</w:t>
      </w:r>
    </w:p>
    <w:p w:rsidR="003B3271" w:rsidRPr="0008481A" w:rsidRDefault="003B3271">
      <w:pPr>
        <w:pStyle w:val="Citatindrag"/>
      </w:pPr>
      <w:r w:rsidRPr="0008481A">
        <w:t>Hemligstämpel sattes på personbeviset och utanpå akten.</w:t>
      </w:r>
    </w:p>
    <w:p w:rsidR="003B3271" w:rsidRPr="0008481A" w:rsidRDefault="003B3271">
      <w:pPr>
        <w:pStyle w:val="Citatindrag"/>
      </w:pPr>
      <w:r w:rsidRPr="0008481A">
        <w:t>K. E. delgavs stämningsansökan den 5 mars 1997. I samband med att beslut om betänketid skulle skrivas bad jag rotelsekreteraren ringa skatte</w:t>
      </w:r>
      <w:r w:rsidRPr="0008481A">
        <w:softHyphen/>
        <w:t>myndigheten för att kontrollera om L. E. fått nytt personnummer. Jag nämnde därvid att hon då lämpligen kunde kontakta Gudrun Moe på skatt</w:t>
      </w:r>
      <w:r w:rsidRPr="0008481A">
        <w:t>e</w:t>
      </w:r>
      <w:r w:rsidRPr="0008481A">
        <w:t>myndigheten, som var den som skrivit till L. E. angående myndig</w:t>
      </w:r>
      <w:r w:rsidRPr="0008481A">
        <w:softHyphen/>
        <w:t>hetens spärrmarkering. Jag fick besked från rotelsekreteraren att L. E. inte bytt personnummer. Av den anledningen uppgavs L. E:s personnummer i beslutet om betänketid. Hennes adress angavs till c/o omb</w:t>
      </w:r>
      <w:r w:rsidRPr="0008481A">
        <w:t>u</w:t>
      </w:r>
      <w:r w:rsidRPr="0008481A">
        <w:t>det.</w:t>
      </w:r>
    </w:p>
    <w:p w:rsidR="003B3271" w:rsidRPr="0008481A" w:rsidRDefault="003B3271">
      <w:pPr>
        <w:pStyle w:val="Citatindrag"/>
      </w:pPr>
      <w:r w:rsidRPr="0008481A">
        <w:t>I samband med begäran om yttrande från JO har rotelsekreteraren uppgivit att hon inte kontaktade ska</w:t>
      </w:r>
      <w:r w:rsidRPr="0008481A">
        <w:t>ttemyndigheten per telefon utan hämtade upp</w:t>
      </w:r>
      <w:r w:rsidRPr="0008481A">
        <w:softHyphen/>
        <w:t>gifterna angående L. E. från SPAR och att hon där fick fram uppgift om namn och personnummer för L. E., men inte hennes adress.</w:t>
      </w:r>
    </w:p>
    <w:p w:rsidR="003B3271" w:rsidRPr="0008481A" w:rsidRDefault="003B3271">
      <w:pPr>
        <w:pStyle w:val="Citatindrag"/>
      </w:pPr>
      <w:r w:rsidRPr="0008481A">
        <w:t>L. E. fullföljde ansökan om äktenskapsskillnad och ingav i samband därmed nya personbevis, ab 16. Av personbeviset framgick att L. E. hade en ny adress. I domen angavs, liksom i betänketid</w:t>
      </w:r>
      <w:r w:rsidRPr="0008481A">
        <w:t>s</w:t>
      </w:r>
      <w:r w:rsidRPr="0008481A">
        <w:t>beslutet, L. E:s person</w:t>
      </w:r>
      <w:r w:rsidRPr="0008481A">
        <w:softHyphen/>
        <w:t>nummer samt adress c/o ombudet, vilket jag fann smidigare än att uppge den nya, skyddade, adressen och sedan förordna om sekretess för den i dom</w:t>
      </w:r>
      <w:r w:rsidRPr="0008481A">
        <w:softHyphen/>
        <w:t>slutet. Hemligstämpel sattes på personbeviset. Inför domsskrivningen kontaktades skattemyndigheten per telefon med förfrågan om L. E:s personnummer. Skattemyndigheten uppgav att hon hade samma person</w:t>
      </w:r>
      <w:r w:rsidRPr="0008481A">
        <w:softHyphen/>
        <w:t>nu</w:t>
      </w:r>
      <w:r w:rsidRPr="0008481A">
        <w:t>m</w:t>
      </w:r>
      <w:r w:rsidRPr="0008481A">
        <w:t>mer som tidigare (se dagboksbladet).</w:t>
      </w:r>
    </w:p>
    <w:p w:rsidR="003B3271" w:rsidRPr="0008481A" w:rsidRDefault="003B3271">
      <w:pPr>
        <w:pStyle w:val="Citatindrag"/>
      </w:pPr>
      <w:r w:rsidRPr="0008481A">
        <w:t xml:space="preserve">I samband med målets avslutande lades båda personbevisen i ett kuvert. I detta lades även beslutet om </w:t>
      </w:r>
      <w:r w:rsidRPr="0008481A">
        <w:t>betänketid. Tanken med detta var att göra det enklare vid en begäran om utlämnande av han</w:t>
      </w:r>
      <w:r w:rsidRPr="0008481A">
        <w:t>d</w:t>
      </w:r>
      <w:r w:rsidRPr="0008481A">
        <w:t>lingar i målet eftersom man då snabbt skulle kunna se att personnumret inte sekretessbelagts. På kuvertet sattes en hemligstämpel. Någon avsikt att därmed hemligstämpla betänke</w:t>
      </w:r>
      <w:r w:rsidRPr="0008481A">
        <w:softHyphen/>
        <w:t>tids</w:t>
      </w:r>
      <w:r w:rsidRPr="0008481A">
        <w:softHyphen/>
        <w:t>beslutet har naturligtvis inte förelegat. Hemligstämpeln på personbevisen innehöll inte uppgift om tillämplig bestämmelse i sekretesslagen, 9 kap 15 §, vilket den borde ha gjort (15 kap 3 § sekretesslagen).</w:t>
      </w:r>
    </w:p>
    <w:p w:rsidR="003B3271" w:rsidRPr="0008481A" w:rsidRDefault="003B3271">
      <w:pPr>
        <w:pStyle w:val="Citatindrag"/>
      </w:pPr>
      <w:r w:rsidRPr="0008481A">
        <w:t>Åtgärden att hemligstämpla en han</w:t>
      </w:r>
      <w:r w:rsidRPr="0008481A">
        <w:t>dling innebär inte något bindande avgörande av sekretessfrågan utan är endast en påminnelse om behovet av en noggrann sekretessprövning för det fall att fråga om utlämnande av handlingen, eller uppgift därur, uppkommer. Det är domstolen som avgör i vilken utsträckning det finns anledning att hemligstämpla en handling. (se Corell m fl i Komme</w:t>
      </w:r>
      <w:r w:rsidRPr="0008481A">
        <w:t>n</w:t>
      </w:r>
      <w:r w:rsidRPr="0008481A">
        <w:t>tar till sekretesslagen, s. 436). Någon begäran om utlämnande av handling har inte framställts i målet.</w:t>
      </w:r>
    </w:p>
    <w:p w:rsidR="003B3271" w:rsidRPr="0008481A" w:rsidRDefault="003B3271">
      <w:pPr>
        <w:pStyle w:val="Underskrifter"/>
      </w:pPr>
      <w:r w:rsidRPr="0008481A">
        <w:t xml:space="preserve">Urban Sandén </w:t>
      </w:r>
    </w:p>
    <w:p w:rsidR="003B3271" w:rsidRPr="0008481A" w:rsidRDefault="003B3271">
      <w:pPr>
        <w:pStyle w:val="Citat"/>
      </w:pPr>
      <w:r w:rsidRPr="0008481A">
        <w:t>När det gäller handläggningen av det aktuella målet och de åtgärder som vidtagits av rotelinneh</w:t>
      </w:r>
      <w:r w:rsidRPr="0008481A">
        <w:t>a</w:t>
      </w:r>
      <w:r w:rsidRPr="0008481A">
        <w:t>varen, rådmannen Catharina Sars, såvitt gäller de frågor som remissen avser hänvisar tingsrätten till hennes bifogade yttrande.</w:t>
      </w:r>
    </w:p>
    <w:p w:rsidR="003B3271" w:rsidRPr="0008481A" w:rsidRDefault="003B3271">
      <w:pPr>
        <w:pStyle w:val="Citatindrag"/>
      </w:pPr>
      <w:r w:rsidRPr="0008481A">
        <w:t>Enligt 9 kap 15 § sekretesslagen (1980:100) gäller sekretess hos domstol bl.a. i äktenskapsmål för uppgift om enskilds personliga eller ekonomiska förhållanden, om part begär det och det kan antas att den enskilde eller någon honom närstående lider skada eller men om uppgiften röjs. I det akt</w:t>
      </w:r>
      <w:r w:rsidRPr="0008481A">
        <w:t>u</w:t>
      </w:r>
      <w:r w:rsidRPr="0008481A">
        <w:t>ella målet begärde kärandens ombud i samband med att stämningsansökan gavs in (aktbil 2) att sekretess borde gälla i tingsrätten för kärandens och hennes barns personuppgifter, varvid hänvis</w:t>
      </w:r>
      <w:r w:rsidRPr="0008481A">
        <w:t>a</w:t>
      </w:r>
      <w:r w:rsidRPr="0008481A">
        <w:t>des till att dessa uppgifter var sekretesskyddade vid skattemyndigheten. Det framgick dock inte närmare vilka personuppgifter som avsågs eller skälen till kärandens begäran. Som underlag för tingsrättens ställningstagande i sekretessfrågan under målets fortsatta handläggning borde därför tingsrätten redan inledningsvis</w:t>
      </w:r>
      <w:r w:rsidRPr="0008481A">
        <w:t xml:space="preserve"> ha begärt komplettering i dessa avseenden (jfr JO:s ämbetsberätte</w:t>
      </w:r>
      <w:r w:rsidRPr="0008481A">
        <w:t>l</w:t>
      </w:r>
      <w:r w:rsidRPr="0008481A">
        <w:t>se 1984/85 s 284). Trots att detta underlag saknades synes dock tingsrätten, enligt vad Catharina Sars anfört i sitt yttrande, ha utgått från att begäran om sekretess i tingsrätten omfattade kärandens och hennes barns personnummer och adress och funnit anledning till antagande att det förelåg hinder mot att lämna ut dessa upp</w:t>
      </w:r>
      <w:r w:rsidRPr="0008481A">
        <w:softHyphen/>
        <w:t>gifter. Detta ställningstagande kom till uttryck genom att ett i målet ingivet personbevis försågs med en hemligstämp</w:t>
      </w:r>
      <w:r w:rsidRPr="0008481A">
        <w:t>el. Tingsrätten återkommer strax till en bedömning av utformningen av denna.</w:t>
      </w:r>
    </w:p>
    <w:p w:rsidR="003B3271" w:rsidRPr="0008481A" w:rsidRDefault="003B3271">
      <w:pPr>
        <w:pStyle w:val="Citatindrag"/>
      </w:pPr>
      <w:r w:rsidRPr="0008481A">
        <w:t>Inte heller senare under målets handläggning synes någon åtgärd ha vidtagits för att undersöka vad som låg bakom kärandens begäran om sekretess i tingsrätten och vilka personuppgifter som denna begäran avsåg. Likväl synes tingsrätten, enligt vad Catharina Sars anfört, ha funnit att sekretessen inte skulle omfatta kärandens personnummer. Enligt tingsrättens mening finns det anledning att ifrågasätta riktigheten av detta ställnings</w:t>
      </w:r>
      <w:r w:rsidRPr="0008481A">
        <w:softHyphen/>
        <w:t xml:space="preserve">tagande mot bakgrund av det bristfälliga underlag som förelåg; den kontroll i det statliga person- </w:t>
      </w:r>
      <w:r w:rsidRPr="0008481A">
        <w:softHyphen/>
        <w:t>och adressregistret (SPAR) som gjordes har inte varit en tillräcklig åtgärd härvidlag.</w:t>
      </w:r>
    </w:p>
    <w:p w:rsidR="003B3271" w:rsidRPr="0008481A" w:rsidRDefault="003B3271">
      <w:pPr>
        <w:pStyle w:val="Citatindrag"/>
      </w:pPr>
      <w:r w:rsidRPr="0008481A">
        <w:t>Tingsrätten finner inte anledning att ifrågasätta riktigheten av att kärandens adress i domen angavs c/o ombudet, advokaten – – –, som också var den adress som angetts i stämningsans</w:t>
      </w:r>
      <w:r w:rsidRPr="0008481A">
        <w:t>ö</w:t>
      </w:r>
      <w:r w:rsidRPr="0008481A">
        <w:t>kan.</w:t>
      </w:r>
    </w:p>
    <w:p w:rsidR="003B3271" w:rsidRPr="0008481A" w:rsidRDefault="003B3271">
      <w:pPr>
        <w:pStyle w:val="Citatindrag"/>
      </w:pPr>
      <w:r w:rsidRPr="0008481A">
        <w:t>Enligt 15 kap 3 § 1 st sekretesslagen får en myndighet, om det kan antas att hinder mot utlämnande av uppgift i allmän handling föreligger enligt sekretessbestämmelser i denna lag eller annan fö</w:t>
      </w:r>
      <w:r w:rsidRPr="0008481A">
        <w:t>r</w:t>
      </w:r>
      <w:r w:rsidRPr="0008481A">
        <w:t>fattning, utmärka detta genom särskild anteckning. Enligt samma stycke skall en sådan anteckning innehålla beteckningen hemlig samt ange tillämplig bestämmelse, dagen för anteckningen och den myndighet som har låtit göra den. Som framgår av Catharina Sars yttrande och akten i målet fö</w:t>
      </w:r>
      <w:r w:rsidRPr="0008481A">
        <w:t>r</w:t>
      </w:r>
      <w:r w:rsidRPr="0008481A">
        <w:t>sågs de båda ingivna person</w:t>
      </w:r>
      <w:r w:rsidRPr="0008481A">
        <w:softHyphen/>
        <w:t>bevisen med hemligstämpel. Någon anteckning om tillämplig b</w:t>
      </w:r>
      <w:r w:rsidRPr="0008481A">
        <w:t>e</w:t>
      </w:r>
      <w:r w:rsidRPr="0008481A">
        <w:t>stämmelse, datum för resp. anteckning och att det var tingsrätten som låtit göra dem gjordes dock inte. Det kan också ifrågasättas om int</w:t>
      </w:r>
      <w:r w:rsidRPr="0008481A">
        <w:t>e personbevisen borde ha försetts med anteckningar om att endast vissa uppgifter i dem omfattades av hemligstämplingen (se Corell m fl Kommentar till sekretesslagen, 3 uppl s 437 och JO:s ämbetsberättelse 1971 s 333). Ett sådant förtydligande hade varit lämpligare än att lägga beslutet om betänketid, som ju inte innehöll någon sekretessbelagd uppgift, i det kuvert i vilket de båda personbevisen lades.</w:t>
      </w:r>
    </w:p>
    <w:p w:rsidR="003B3271" w:rsidRPr="0008481A" w:rsidRDefault="003B3271">
      <w:r w:rsidRPr="0008481A">
        <w:t>Enligt upplysningar från Skatteförvaltningen i Köping var L. E:s samtliga pers</w:t>
      </w:r>
      <w:r w:rsidRPr="0008481A">
        <w:t>o</w:t>
      </w:r>
      <w:r w:rsidRPr="0008481A">
        <w:t xml:space="preserve">nuppgifter spärrade under tiden augusti 1996–oktober 1997 och L. E. hade inte bytt identitet. </w:t>
      </w:r>
    </w:p>
    <w:p w:rsidR="003B3271" w:rsidRPr="0008481A" w:rsidRDefault="003B3271">
      <w:pPr>
        <w:pStyle w:val="Rubrik3"/>
      </w:pPr>
      <w:r w:rsidRPr="0008481A">
        <w:t>Rättslig reglering</w:t>
      </w:r>
    </w:p>
    <w:p w:rsidR="003B3271" w:rsidRPr="0008481A" w:rsidRDefault="003B3271">
      <w:r w:rsidRPr="0008481A">
        <w:t>Av 7 kap. 15 § första stycket sekretesslagen (1980:100) framgår att sekretess gä</w:t>
      </w:r>
      <w:r w:rsidRPr="0008481A">
        <w:t>l</w:t>
      </w:r>
      <w:r w:rsidRPr="0008481A">
        <w:t>ler i verksamhet som avser folkbokföringen eller annan liknande registrering av befolkningen för uppgift om enskilds personliga förhållanden, om det av särskild anledning kan antas att den enskilde eller någon honom när</w:t>
      </w:r>
      <w:r w:rsidRPr="0008481A">
        <w:softHyphen/>
      </w:r>
      <w:r w:rsidRPr="0008481A">
        <w:softHyphen/>
        <w:t>stående lider men om up</w:t>
      </w:r>
      <w:r w:rsidRPr="0008481A">
        <w:t>p</w:t>
      </w:r>
      <w:r w:rsidRPr="0008481A">
        <w:t xml:space="preserve">giften röjs. </w:t>
      </w:r>
    </w:p>
    <w:p w:rsidR="003B3271" w:rsidRPr="0008481A" w:rsidRDefault="003B3271">
      <w:pPr>
        <w:pStyle w:val="Normaltindrag"/>
      </w:pPr>
      <w:r w:rsidRPr="0008481A">
        <w:t>Bestämmelsen innebär att det normalt inte gäller någon sekretess för t.ex. en adressuppgift. För att en sådan uppgift skall få hemlighållas krävs att det finns någon särskild anledning till detta. Om det kan antas att utlämnande av uppgifter rörande en</w:t>
      </w:r>
      <w:r w:rsidRPr="0008481A">
        <w:t xml:space="preserve"> viss person innebär men för personen, exempelvis risk för förföljelse, kan skattemyndigheten i folkbokföringsregistret lägga in en markering för särskild sekretessprövning, s.k. sekretessmarkering (spärr</w:t>
      </w:r>
      <w:r w:rsidRPr="0008481A">
        <w:softHyphen/>
        <w:t>markering). Sekretessmarkerin</w:t>
      </w:r>
      <w:r w:rsidRPr="0008481A">
        <w:t>g</w:t>
      </w:r>
      <w:r w:rsidRPr="0008481A">
        <w:t>en innebär att särskild försiktighet bör iakttas vid bedömningen av om uppgifter om personen i fråga bör lämnas ut. Sekretess</w:t>
      </w:r>
      <w:r w:rsidRPr="0008481A">
        <w:softHyphen/>
        <w:t>markering motsvarar det som gäller för den hemligstämpel som enligt 15 kap. 3 § sekretesslagen kan åsättas en allmän handling (prop. 1997/98:9 s. 33 f.</w:t>
      </w:r>
      <w:r w:rsidRPr="0008481A">
        <w:t xml:space="preserve">).  </w:t>
      </w:r>
    </w:p>
    <w:p w:rsidR="003B3271" w:rsidRPr="0008481A" w:rsidRDefault="003B3271">
      <w:pPr>
        <w:pStyle w:val="Normaltindrag"/>
      </w:pPr>
      <w:r w:rsidRPr="0008481A">
        <w:t>Sekretess enligt 7 kap. 15 § sekretesslagen gäller utanför det område som anges i paragrafen endast i den begränsade utsträckning som följer av sekretesslagens olika bestämmelser om överföring av sekretess. För uppgifter som lämnas till en domstol kan emellertid sekretessen överföras enligt 12 kap. 1 § sekretesslagen. Erhåller domstol i sin rättskipande eller rätts</w:t>
      </w:r>
      <w:r w:rsidRPr="0008481A">
        <w:softHyphen/>
        <w:t>vårdande verksamhet från domstol eller annan myndighet uppgift som är sekretessbelagd där, gäller sekretessen oc</w:t>
      </w:r>
      <w:r w:rsidRPr="0008481A">
        <w:t>k</w:t>
      </w:r>
      <w:r w:rsidRPr="0008481A">
        <w:t>så hos domstolen (s.k. sekundär sekretess). Av samma lagrum framgår att överf</w:t>
      </w:r>
      <w:r w:rsidRPr="0008481A">
        <w:t>ö</w:t>
      </w:r>
      <w:r w:rsidRPr="0008481A">
        <w:t>ring av sekretess inte äger rum om en sekretessbestämmelse till skydd för samma intresse ändå är tillämplig på uppgiften hos den mottagande domst</w:t>
      </w:r>
      <w:r w:rsidRPr="0008481A">
        <w:t>o</w:t>
      </w:r>
      <w:r w:rsidRPr="0008481A">
        <w:t xml:space="preserve">len. </w:t>
      </w:r>
    </w:p>
    <w:p w:rsidR="003B3271" w:rsidRPr="0008481A" w:rsidRDefault="003B3271">
      <w:pPr>
        <w:pStyle w:val="Normaltindrag"/>
        <w:rPr>
          <w:i/>
        </w:rPr>
      </w:pPr>
      <w:r w:rsidRPr="0008481A">
        <w:t>Enligt 9 kap. 15 § sekretesslagen gäller sekretess hos domstol i äktenskapsmål samt mål och ärenden enligt föräldrabalken, för uppgift om enskilds personliga eller ekon</w:t>
      </w:r>
      <w:r w:rsidRPr="0008481A">
        <w:t>omiska förhållanden, om part begär det och det kan antas att den enski</w:t>
      </w:r>
      <w:r w:rsidRPr="0008481A">
        <w:t>l</w:t>
      </w:r>
      <w:r w:rsidRPr="0008481A">
        <w:t xml:space="preserve">de eller någon honom närstående lider skada eller men om uppgiften röjs. </w:t>
      </w:r>
    </w:p>
    <w:p w:rsidR="003B3271" w:rsidRPr="0008481A" w:rsidRDefault="003B3271">
      <w:pPr>
        <w:pStyle w:val="Normaltindrag"/>
      </w:pPr>
      <w:r w:rsidRPr="0008481A">
        <w:t>Att vissa uppgifter hos en domstol eller annan myndighet är sekretess</w:t>
      </w:r>
      <w:r w:rsidRPr="0008481A">
        <w:softHyphen/>
        <w:t>belagda i</w:t>
      </w:r>
      <w:r w:rsidRPr="0008481A">
        <w:t>n</w:t>
      </w:r>
      <w:r w:rsidRPr="0008481A">
        <w:t>nebär inte automatiskt att sekretessen gäller gentemot en part, se 14 kap. 5 § se</w:t>
      </w:r>
      <w:r w:rsidRPr="0008481A">
        <w:t>k</w:t>
      </w:r>
      <w:r w:rsidRPr="0008481A">
        <w:t xml:space="preserve">retesslagen. </w:t>
      </w:r>
    </w:p>
    <w:p w:rsidR="003B3271" w:rsidRPr="0008481A" w:rsidRDefault="003B3271">
      <w:pPr>
        <w:pStyle w:val="Normaltindrag"/>
      </w:pPr>
      <w:r w:rsidRPr="0008481A">
        <w:t>Kan det antas att hinder mot utlämnande av uppgift i allmän handling föreligger enligt någon sekretessbestämmelse får myndighet utmärka detta genom särskild anteckning (hemligstämpling). En sådan anteckning skall inne</w:t>
      </w:r>
      <w:r w:rsidRPr="0008481A">
        <w:softHyphen/>
        <w:t>hålla beteckningen hemlig samt ange tillämplig bestämmelse, dagen för anteckningen och den my</w:t>
      </w:r>
      <w:r w:rsidRPr="0008481A">
        <w:t>n</w:t>
      </w:r>
      <w:r w:rsidRPr="0008481A">
        <w:t>dighet som har låtit göra den (15 kap. 3 § första stycket sekretes</w:t>
      </w:r>
      <w:r w:rsidRPr="0008481A">
        <w:t>s</w:t>
      </w:r>
      <w:r w:rsidRPr="0008481A">
        <w:t xml:space="preserve">lagen).  </w:t>
      </w:r>
    </w:p>
    <w:p w:rsidR="003B3271" w:rsidRPr="0008481A" w:rsidRDefault="003B3271">
      <w:pPr>
        <w:pStyle w:val="Rubrik3"/>
      </w:pPr>
      <w:r w:rsidRPr="0008481A">
        <w:t>Bedömning</w:t>
      </w:r>
    </w:p>
    <w:p w:rsidR="003B3271" w:rsidRPr="0008481A" w:rsidRDefault="003B3271">
      <w:r w:rsidRPr="0008481A">
        <w:t>I en till ansökan om stämning bifogad skrivelse uppgav kärandens ombud att k</w:t>
      </w:r>
      <w:r w:rsidRPr="0008481A">
        <w:t>ä</w:t>
      </w:r>
      <w:r w:rsidRPr="0008481A">
        <w:t>randen och hennes barn hade sekretesskyddade personuppgifter, varför sekretess också borde gälla beträffande uppgifterna i tingsrätten. För eventu</w:t>
      </w:r>
      <w:r w:rsidRPr="0008481A">
        <w:softHyphen/>
        <w:t>ella förfrå</w:t>
      </w:r>
      <w:r w:rsidRPr="0008481A">
        <w:t>g</w:t>
      </w:r>
      <w:r w:rsidRPr="0008481A">
        <w:t>ningar angående uppgifterna hänvisade ombudet till en namn</w:t>
      </w:r>
      <w:r w:rsidRPr="0008481A">
        <w:softHyphen/>
        <w:t>given befattningsh</w:t>
      </w:r>
      <w:r w:rsidRPr="0008481A">
        <w:t>a</w:t>
      </w:r>
      <w:r w:rsidRPr="0008481A">
        <w:t xml:space="preserve">vare vid lokala skattekontoret i Köping. </w:t>
      </w:r>
    </w:p>
    <w:p w:rsidR="003B3271" w:rsidRPr="0008481A" w:rsidRDefault="003B3271">
      <w:pPr>
        <w:pStyle w:val="Normaltindrag"/>
      </w:pPr>
      <w:r w:rsidRPr="0008481A">
        <w:t>Som ovan nämnts gäller inte sekretess enligt 7 kap. 15 § första stycket sekretes</w:t>
      </w:r>
      <w:r w:rsidRPr="0008481A">
        <w:t>s</w:t>
      </w:r>
      <w:r w:rsidRPr="0008481A">
        <w:t>lagen automatiskt inom andra verksamhetsområden än det som anges i paragrafen. Överföring av sekretess enligt 12 kap. 1 § sekretesslagen kan endast ske beträ</w:t>
      </w:r>
      <w:r w:rsidRPr="0008481A">
        <w:t>f</w:t>
      </w:r>
      <w:r w:rsidRPr="0008481A">
        <w:t>fande uppgifter som en domstol erhåller från en annan myndighet där uppgifterna omfattas av sekretess. Eftersom domstolen inte hade erhållit kärandens personuppgifter från någon myndighet gällde så</w:t>
      </w:r>
      <w:r w:rsidRPr="0008481A">
        <w:softHyphen/>
        <w:t xml:space="preserve">ledes inte någon sekretess enligt 7 kap. 15 § första stycket sekretesslagen beträffande dessa.  </w:t>
      </w:r>
    </w:p>
    <w:p w:rsidR="003B3271" w:rsidRPr="0008481A" w:rsidRDefault="003B3271">
      <w:pPr>
        <w:pStyle w:val="Normaltindrag"/>
      </w:pPr>
      <w:r w:rsidRPr="0008481A">
        <w:t xml:space="preserve">Skrivelsen från kärandens ombud måste i stället uppfattas </w:t>
      </w:r>
      <w:r w:rsidRPr="0008481A">
        <w:t>som en begäran om se</w:t>
      </w:r>
      <w:r w:rsidRPr="0008481A">
        <w:t>k</w:t>
      </w:r>
      <w:r w:rsidRPr="0008481A">
        <w:t>retess enligt 9 kap. 15 § sekretesslagen. Av skrivelsen framgick dock inte vilka personuppgifter som käranden ville ha skyddade av sekretess eller skälen för de</w:t>
      </w:r>
      <w:r w:rsidRPr="0008481A">
        <w:t>t</w:t>
      </w:r>
      <w:r w:rsidRPr="0008481A">
        <w:t>ta. Tingsrätten uppfattade begäran så att käranden önskade sekretess beträffande sin nya adress och sitt personnummer. Catharina Sars har i sitt yttrande uppgett att hon på grund av vissa omständigheter ansåg att det kunde antas att käranden eller någon denna närstående kunde lida skada eller men om uppgifterna röjdes. Efter att</w:t>
      </w:r>
      <w:r w:rsidRPr="0008481A">
        <w:t xml:space="preserve"> ha kontrollerat att käranden inte bytt personnummer antog tingsrätten emelle</w:t>
      </w:r>
      <w:r w:rsidRPr="0008481A">
        <w:t>r</w:t>
      </w:r>
      <w:r w:rsidRPr="0008481A">
        <w:t>tid att kärandens personnummer inte omfattades av någon sekretess. Tingsrättens handläggning i detta av</w:t>
      </w:r>
      <w:r w:rsidRPr="0008481A">
        <w:softHyphen/>
        <w:t>seende, dvs. att gissa sig till vilka uppgifter som skulle omfattas av sekretess och vad som låg till grund för kärandens begäran därom, kan inte anses acceptabel. Som tingsrätten anfört i sitt yttrande borde den redan inlednings</w:t>
      </w:r>
      <w:r w:rsidRPr="0008481A">
        <w:softHyphen/>
        <w:t>vis ha begärt in en komplettering från kärandeombudet i dessa avsee</w:t>
      </w:r>
      <w:r w:rsidRPr="0008481A">
        <w:t>n</w:t>
      </w:r>
      <w:r w:rsidRPr="0008481A">
        <w:t>den för att möjliggöra ett ställ</w:t>
      </w:r>
      <w:r w:rsidRPr="0008481A">
        <w:t>ningstagande i sekretessfrågan under målets fortsatta handläg</w:t>
      </w:r>
      <w:r w:rsidRPr="0008481A">
        <w:t>g</w:t>
      </w:r>
      <w:r w:rsidRPr="0008481A">
        <w:t>ning.</w:t>
      </w:r>
    </w:p>
    <w:p w:rsidR="003B3271" w:rsidRPr="0008481A" w:rsidRDefault="003B3271">
      <w:pPr>
        <w:pStyle w:val="Normaltindrag"/>
      </w:pPr>
      <w:r w:rsidRPr="0008481A">
        <w:t>När beslutet om betänktetid meddelades hade tingsrätten gjort bedöm</w:t>
      </w:r>
      <w:r w:rsidRPr="0008481A">
        <w:softHyphen/>
        <w:t>ningen att endast uppgifter om kärandens adress omfattades av sekretess. Eftersom beslutet om betänktetid inte innehöll någon sådan uppgift framstår tingsrättens åtgärd att förvara beslutet om betänktetid i ett kuvert med hem</w:t>
      </w:r>
      <w:r w:rsidRPr="0008481A">
        <w:softHyphen/>
        <w:t>lig</w:t>
      </w:r>
      <w:r w:rsidRPr="0008481A">
        <w:softHyphen/>
        <w:t>stämpel som förvånand</w:t>
      </w:r>
      <w:r w:rsidRPr="0008481A">
        <w:t>e</w:t>
      </w:r>
      <w:r w:rsidRPr="0008481A">
        <w:t>.</w:t>
      </w:r>
    </w:p>
    <w:p w:rsidR="003B3271" w:rsidRPr="0008481A" w:rsidRDefault="003B3271">
      <w:pPr>
        <w:pStyle w:val="Normaltindrag"/>
      </w:pPr>
      <w:r w:rsidRPr="0008481A">
        <w:t xml:space="preserve">Att hemligstämpla handlingar utan att ange tillämplig bestämmelse, dagen för anteckningen och vilken myndighet som försett handlingen med stämpeln är inte förenligt med bestämmelserna i 15 kap. 3 § sekretesslagen. </w:t>
      </w:r>
    </w:p>
    <w:p w:rsidR="003B3271" w:rsidRPr="0008481A" w:rsidRDefault="003B3271">
      <w:pPr>
        <w:pStyle w:val="Normaltindrag"/>
      </w:pPr>
      <w:r w:rsidRPr="0008481A">
        <w:t>Som tingsrätten anfört i sitt yttrande är det ingenting som hindrar att en antec</w:t>
      </w:r>
      <w:r w:rsidRPr="0008481A">
        <w:t>k</w:t>
      </w:r>
      <w:r w:rsidRPr="0008481A">
        <w:t>ning enligt 15 kap. 3 § sekretesslagen förses med en precisering av vilka uppgifter som o</w:t>
      </w:r>
      <w:r w:rsidRPr="0008481A">
        <w:t>m</w:t>
      </w:r>
      <w:r w:rsidRPr="0008481A">
        <w:t xml:space="preserve">fattas av sekretess.  </w:t>
      </w:r>
    </w:p>
    <w:p w:rsidR="003B3271" w:rsidRPr="0008481A" w:rsidRDefault="003B3271">
      <w:pPr>
        <w:pStyle w:val="Normaltindrag"/>
      </w:pPr>
      <w:r w:rsidRPr="0008481A">
        <w:t>Av det sagda framgår att tingsrättens hantering av L. E:s personuppgifter har varit behäftad med brister. Jag finner emellertid inte anledning att vidta någon ytterlig</w:t>
      </w:r>
      <w:r w:rsidRPr="0008481A">
        <w:t>a</w:t>
      </w:r>
      <w:r w:rsidRPr="0008481A">
        <w:t>re åtgärd i saken.</w:t>
      </w:r>
    </w:p>
    <w:p w:rsidR="003B3271" w:rsidRPr="0008481A" w:rsidRDefault="003B3271">
      <w:pPr>
        <w:pStyle w:val="Rubrik2"/>
      </w:pPr>
      <w:r w:rsidRPr="0008481A">
        <w:t>En rådman vägrade att hålla häktningsförhandling med hänvi</w:t>
      </w:r>
      <w:r w:rsidRPr="0008481A">
        <w:t>s</w:t>
      </w:r>
      <w:r w:rsidRPr="0008481A">
        <w:t>ning till att åklagaren inte hade tillhandahållit rätten något skrif</w:t>
      </w:r>
      <w:r w:rsidRPr="0008481A">
        <w:t>t</w:t>
      </w:r>
      <w:r w:rsidRPr="0008481A">
        <w:t>ligt utre</w:t>
      </w:r>
      <w:r w:rsidRPr="0008481A">
        <w:t>d</w:t>
      </w:r>
      <w:r w:rsidRPr="0008481A">
        <w:t>ningsmaterial</w:t>
      </w:r>
    </w:p>
    <w:p w:rsidR="003B3271" w:rsidRPr="0008481A" w:rsidRDefault="003B3271">
      <w:r w:rsidRPr="0008481A">
        <w:t>(Dnr 2086-1999)</w:t>
      </w:r>
    </w:p>
    <w:p w:rsidR="003B3271" w:rsidRPr="0008481A" w:rsidRDefault="003B3271">
      <w:r w:rsidRPr="0008481A">
        <w:t xml:space="preserve">I ett beslut den 14 december 1999 anförde </w:t>
      </w:r>
      <w:r w:rsidRPr="0008481A">
        <w:rPr>
          <w:i/>
        </w:rPr>
        <w:t>chefsJO Eklundh</w:t>
      </w:r>
      <w:r w:rsidRPr="0008481A">
        <w:t xml:space="preserve"> bl.a. följande.</w:t>
      </w:r>
    </w:p>
    <w:p w:rsidR="003B3271" w:rsidRPr="0008481A" w:rsidRDefault="003B3271">
      <w:pPr>
        <w:pStyle w:val="Rubrik3"/>
      </w:pPr>
      <w:r w:rsidRPr="0008481A">
        <w:t>Bakgrund</w:t>
      </w:r>
    </w:p>
    <w:p w:rsidR="003B3271" w:rsidRPr="0008481A" w:rsidRDefault="003B3271">
      <w:r w:rsidRPr="0008481A">
        <w:t>Med anledning av vad som anförts i en artikel i Norrköpings Tidningar den 21 maj 1999 om handläggningen vid en häktningsförhandling den 20 maj 1999 vid Norrköpings tingsrätt besl</w:t>
      </w:r>
      <w:r w:rsidRPr="0008481A">
        <w:t>u</w:t>
      </w:r>
      <w:r w:rsidRPr="0008481A">
        <w:t>tade jag att ta upp förhållandena till utredning.</w:t>
      </w:r>
    </w:p>
    <w:p w:rsidR="003B3271" w:rsidRPr="0008481A" w:rsidRDefault="003B3271">
      <w:pPr>
        <w:pStyle w:val="Rubrik3"/>
      </w:pPr>
      <w:r w:rsidRPr="0008481A">
        <w:t>Utredningsåtgärder</w:t>
      </w:r>
    </w:p>
    <w:p w:rsidR="003B3271" w:rsidRPr="0008481A" w:rsidRDefault="003B3271">
      <w:pPr>
        <w:pStyle w:val="Rubrik4"/>
        <w:spacing w:before="120"/>
      </w:pPr>
      <w:r w:rsidRPr="0008481A">
        <w:t>Inledande åtgärder</w:t>
      </w:r>
    </w:p>
    <w:p w:rsidR="003B3271" w:rsidRPr="0008481A" w:rsidRDefault="003B3271">
      <w:r w:rsidRPr="0008481A">
        <w:t>Handlingar i Norrköpings tingsrätts mål B – – – granskades. Av handlingarna framgick i korthet följande.</w:t>
      </w:r>
    </w:p>
    <w:p w:rsidR="003B3271" w:rsidRPr="0008481A" w:rsidRDefault="003B3271">
      <w:pPr>
        <w:pStyle w:val="Normaltindrag"/>
      </w:pPr>
      <w:r w:rsidRPr="0008481A">
        <w:t>Den 20 maj 1999 gjorde åklagaren en muntlig häktningsframställning beträffande F.L. Målet sattes ut till häktningsförhandling samma dag kl. 13.00. När målet r</w:t>
      </w:r>
      <w:r w:rsidRPr="0008481A">
        <w:t>o</w:t>
      </w:r>
      <w:r w:rsidRPr="0008481A">
        <w:t>pades på uppgav kammaråklagaren Britt-Louise Viklund på fråga från ordföra</w:t>
      </w:r>
      <w:r w:rsidRPr="0008481A">
        <w:t>n</w:t>
      </w:r>
      <w:r w:rsidRPr="0008481A">
        <w:t>den, rådmannen Johan Östling, att någon häktnings</w:t>
      </w:r>
      <w:r w:rsidRPr="0008481A">
        <w:softHyphen/>
        <w:t>promemoria eller annan skrif</w:t>
      </w:r>
      <w:r w:rsidRPr="0008481A">
        <w:t>t</w:t>
      </w:r>
      <w:r w:rsidRPr="0008481A">
        <w:t>lig utredning inte fanns tillgänglig. Tingsrätten beslutade därefter att flytta fram häktningsförhandlingen till samma dag kl.15.00 ”för att ge åklagaren tillfälle att sammanställa en häktnings</w:t>
      </w:r>
      <w:r w:rsidRPr="0008481A">
        <w:softHyphen/>
        <w:t>promemoria  eller  andra handlingar”. Till förhandlin</w:t>
      </w:r>
      <w:r w:rsidRPr="0008481A">
        <w:t>g</w:t>
      </w:r>
      <w:r w:rsidRPr="0008481A">
        <w:t>en kl. 15.00 inställde sig även chefsåklagaren Torsten Angervåg, Åklagarkamm</w:t>
      </w:r>
      <w:r w:rsidRPr="0008481A">
        <w:t>a</w:t>
      </w:r>
      <w:r w:rsidRPr="0008481A">
        <w:t>ren i Norrköping. Torsten Angerv</w:t>
      </w:r>
      <w:r w:rsidRPr="0008481A">
        <w:t>åg anmälde jäv mot Johan Östling och hänförde sig beträffande grunderna för jävsanmälan till innehållet i en tidigare till tings</w:t>
      </w:r>
      <w:r w:rsidRPr="0008481A">
        <w:softHyphen/>
        <w:t>rä</w:t>
      </w:r>
      <w:r w:rsidRPr="0008481A">
        <w:t>t</w:t>
      </w:r>
      <w:r w:rsidRPr="0008481A">
        <w:t>ten faxad inlaga. I denna inlaga gjordes gällande bl.a. att Britt-Louise Viklund hade förklarat för Johan Östling att någon häktningspromemoria inte hade kunnat upprättas med hänsyn till arbetssituationen och att hon av denna anledning hade tagit med sig en förhörsledare till förhandlingen, att Johan Östling inte accepter</w:t>
      </w:r>
      <w:r w:rsidRPr="0008481A">
        <w:t>a</w:t>
      </w:r>
      <w:r w:rsidRPr="0008481A">
        <w:t>de detta utan krävde en skriftlig häktningspromemoria sa</w:t>
      </w:r>
      <w:r w:rsidRPr="0008481A">
        <w:t>mt att Johan Östling i samband med att han beslutade att skjuta upp förhandlingen hade uttalat att det fanns risk att tingsrätten på grund av bristande underlag inte skulle häkta F.L. om det då inte fanns några hand</w:t>
      </w:r>
      <w:r w:rsidRPr="0008481A">
        <w:softHyphen/>
        <w:t>lingar tillgängliga. Vidare anfördes i inlagan att det saknades lagstöd för att kräva en häktningspromemoria. Lagmannen Lars Dahlstedt övertog ord</w:t>
      </w:r>
      <w:r w:rsidRPr="0008481A">
        <w:softHyphen/>
        <w:t>förande</w:t>
      </w:r>
      <w:r w:rsidRPr="0008481A">
        <w:softHyphen/>
        <w:t>skapet vid förhandlingen, varefter denna genomfö</w:t>
      </w:r>
      <w:r w:rsidRPr="0008481A">
        <w:t>r</w:t>
      </w:r>
      <w:r w:rsidRPr="0008481A">
        <w:t xml:space="preserve">des och beslut i häktningsfrågan meddelades. Lars Dahlstedt övergick sedan till prövning av </w:t>
      </w:r>
      <w:r w:rsidRPr="0008481A">
        <w:t>jävsfrågan och parterna yttrade sig i saken. Beslut i den delen me</w:t>
      </w:r>
      <w:r w:rsidRPr="0008481A">
        <w:t>d</w:t>
      </w:r>
      <w:r w:rsidRPr="0008481A">
        <w:t>delades den 21 maj 1999 kl. 15.00.</w:t>
      </w:r>
    </w:p>
    <w:p w:rsidR="003B3271" w:rsidRPr="0008481A" w:rsidRDefault="003B3271">
      <w:pPr>
        <w:pStyle w:val="Normaltindrag"/>
      </w:pPr>
      <w:r w:rsidRPr="0008481A">
        <w:t xml:space="preserve">Vad som hade kommit fram i ärendet föranledde mig att den 3 juni 1999 inleda förundersökning rörande tjänstefel. </w:t>
      </w:r>
    </w:p>
    <w:p w:rsidR="003B3271" w:rsidRPr="0008481A" w:rsidRDefault="003B3271">
      <w:pPr>
        <w:pStyle w:val="Rubrik4"/>
      </w:pPr>
      <w:r w:rsidRPr="0008481A">
        <w:t>Förundersökningen</w:t>
      </w:r>
    </w:p>
    <w:p w:rsidR="003B3271" w:rsidRPr="0008481A" w:rsidRDefault="003B3271">
      <w:r w:rsidRPr="0008481A">
        <w:t>Ytterligare handlingar ur tingsrättens akt i mål B – – – granskades.</w:t>
      </w:r>
    </w:p>
    <w:p w:rsidR="003B3271" w:rsidRPr="0008481A" w:rsidRDefault="003B3271">
      <w:pPr>
        <w:pStyle w:val="Normaltindrag"/>
      </w:pPr>
      <w:r w:rsidRPr="0008481A">
        <w:t>Förhör hölls med advokaten Bengt Lejefors (F.L:s offentlige försvarare), ka</w:t>
      </w:r>
      <w:r w:rsidRPr="0008481A">
        <w:t>m</w:t>
      </w:r>
      <w:r w:rsidRPr="0008481A">
        <w:t>mar</w:t>
      </w:r>
      <w:r w:rsidRPr="0008481A">
        <w:t>å</w:t>
      </w:r>
      <w:r w:rsidRPr="0008481A">
        <w:t>klagaren Britt-Louise Viklund och domstolssekreteraren Margareta Wetterström.</w:t>
      </w:r>
    </w:p>
    <w:p w:rsidR="003B3271" w:rsidRPr="0008481A" w:rsidRDefault="003B3271">
      <w:pPr>
        <w:pStyle w:val="Normaltindrag"/>
      </w:pPr>
      <w:r w:rsidRPr="0008481A">
        <w:t>Med anledning av vad som kommit fram under förhören beslutade jag den 16 september 1999 att rådmannen Johan Östling skulle delges misstanke om tjänst</w:t>
      </w:r>
      <w:r w:rsidRPr="0008481A">
        <w:t>e</w:t>
      </w:r>
      <w:r w:rsidRPr="0008481A">
        <w:t>fel enligt följande gärningsb</w:t>
      </w:r>
      <w:r w:rsidRPr="0008481A">
        <w:t>e</w:t>
      </w:r>
      <w:r w:rsidRPr="0008481A">
        <w:t>skrivning.</w:t>
      </w:r>
    </w:p>
    <w:p w:rsidR="003B3271" w:rsidRPr="0008481A" w:rsidRDefault="003B3271">
      <w:pPr>
        <w:pStyle w:val="Citat"/>
      </w:pPr>
      <w:r w:rsidRPr="0008481A">
        <w:t>Rådmannen Johan Östling avbröt den 20 maj 1999 i Norrköping en kl. 13.00 påbörjad häktning</w:t>
      </w:r>
      <w:r w:rsidRPr="0008481A">
        <w:t>s</w:t>
      </w:r>
      <w:r w:rsidRPr="0008481A">
        <w:t>förhandling i Norrköpings tingsrätts mål B – – – under hänvisning till att varken en häktningspr</w:t>
      </w:r>
      <w:r w:rsidRPr="0008481A">
        <w:t>o</w:t>
      </w:r>
      <w:r w:rsidRPr="0008481A">
        <w:t>memoria eller annat skriftligt utredningsmaterial fanns tillgängligt vid förhandlingen. För att ge åklagaren tillfälle att sammanställa en häktningspromemoria eller andra handlingar beslutade J</w:t>
      </w:r>
      <w:r w:rsidRPr="0008481A">
        <w:t>o</w:t>
      </w:r>
      <w:r w:rsidRPr="0008481A">
        <w:t>han Östling, utan föregående samråd med parterna, att skjuta upp förhandlingen till kl. 15.00 samma dag. I anslutning till att beskedet om en ny tid för förhandling lämnades gav Johan Östling uttryck för uppfattningen at</w:t>
      </w:r>
      <w:r w:rsidRPr="0008481A">
        <w:t>t om det då inte fanns några handlingar tillgängliga förelåg det risk för att tingsrätten, på grund av bristande underlag, inte skulle häkta den mis</w:t>
      </w:r>
      <w:r w:rsidRPr="0008481A">
        <w:t>s</w:t>
      </w:r>
      <w:r w:rsidRPr="0008481A">
        <w:t>tänkte.</w:t>
      </w:r>
    </w:p>
    <w:p w:rsidR="003B3271" w:rsidRPr="0008481A" w:rsidRDefault="003B3271">
      <w:pPr>
        <w:pStyle w:val="Citatindrag"/>
      </w:pPr>
      <w:r w:rsidRPr="0008481A">
        <w:t>Någon laglig skyldighet för åklagaren att förebringa en häktnings</w:t>
      </w:r>
      <w:r w:rsidRPr="0008481A">
        <w:softHyphen/>
        <w:t>promemoria eller annat skriftligt utredningsmaterial vid en häktnings</w:t>
      </w:r>
      <w:r w:rsidRPr="0008481A">
        <w:softHyphen/>
        <w:t>förhandling förelåg inte. Johan Östling har därför genom sitt handlande uppsåtligen eller av oaktsamhet vid myndighetsutövning åsidosatt vad som gällde för hans uppgift som ordförande vid häktningsförhandlingen.</w:t>
      </w:r>
    </w:p>
    <w:p w:rsidR="003B3271" w:rsidRPr="0008481A" w:rsidRDefault="003B3271">
      <w:r w:rsidRPr="0008481A">
        <w:t>Vid förhöret vitsordade Johan Östling i huvudsak de faktiska omständig</w:t>
      </w:r>
      <w:r w:rsidRPr="0008481A">
        <w:softHyphen/>
        <w:t>heterna så som de återgetts i gärningsbeskrivningen men invände att förhandlingen kl. 13.00 enligt hans uppfattning inte hade påbörjats. Han bestred ansvar för brott och up</w:t>
      </w:r>
      <w:r w:rsidRPr="0008481A">
        <w:t>p</w:t>
      </w:r>
      <w:r w:rsidRPr="0008481A">
        <w:t>gav som grund för bestridandet att han anser att rätten enligt stadgad praxis har rätt att kräva in de handlingar som finns i ärendet, även om detta inte är klart u</w:t>
      </w:r>
      <w:r w:rsidRPr="0008481A">
        <w:t>t</w:t>
      </w:r>
      <w:r w:rsidRPr="0008481A">
        <w:t>tryckt i la</w:t>
      </w:r>
      <w:r w:rsidRPr="0008481A">
        <w:t>g</w:t>
      </w:r>
      <w:r w:rsidRPr="0008481A">
        <w:t>text.</w:t>
      </w:r>
    </w:p>
    <w:p w:rsidR="003B3271" w:rsidRPr="0008481A" w:rsidRDefault="003B3271">
      <w:pPr>
        <w:pStyle w:val="Normaltindrag"/>
      </w:pPr>
      <w:r w:rsidRPr="0008481A">
        <w:t>Utredningens resultat föranledde mig att den 15 oktober 1999 lägga ned förunde</w:t>
      </w:r>
      <w:r w:rsidRPr="0008481A">
        <w:t>r</w:t>
      </w:r>
      <w:r w:rsidRPr="0008481A">
        <w:t>sökningen, eftersom det inte längre kunde antas att Johan Östling hade gjort sig skyldig till tjänstefel vid sin befattning med målet.</w:t>
      </w:r>
    </w:p>
    <w:p w:rsidR="003B3271" w:rsidRPr="0008481A" w:rsidRDefault="003B3271">
      <w:pPr>
        <w:pStyle w:val="Rubrik3"/>
      </w:pPr>
      <w:r w:rsidRPr="0008481A">
        <w:t>Utredningens resultat</w:t>
      </w:r>
    </w:p>
    <w:p w:rsidR="003B3271" w:rsidRPr="0008481A" w:rsidRDefault="003B3271">
      <w:r w:rsidRPr="0008481A">
        <w:t>Av utredningen framgår i huvudsak följande.</w:t>
      </w:r>
    </w:p>
    <w:p w:rsidR="003B3271" w:rsidRPr="0008481A" w:rsidRDefault="003B3271">
      <w:pPr>
        <w:pStyle w:val="Normaltindrag"/>
      </w:pPr>
      <w:r w:rsidRPr="0008481A">
        <w:t>Sedan målet hade ropats på kl. 13.00 konstaterade Johan Östling vilka som hade inställt sig till förhandlingen. Han frågade vidare Britt-Louise Viklund om hon hade någon häktningspromemoria eller andra handlingar att lämna till rätten. Hon förklarade då att det inte hade funnits tid att färdigställa några handlingar och att hon därför hade tagit med sig utredningsmannen, som vid behov skulle kunna bistå henne med upplysningar vid förhandlingen. Johan Östling förklarade att rä</w:t>
      </w:r>
      <w:r w:rsidRPr="0008481A">
        <w:t>t</w:t>
      </w:r>
      <w:r w:rsidRPr="0008481A">
        <w:t>ten ville ha en häktningspromemoria samt att förhandlingen kunde skjutas upp till kl. 15.00 för att ge åklagaren tid att sammanställa en sådan. Britt-Louise Viklund invände att det inte fanns tid att färdigställa några handlingar samt hänvisade till att det sedan slutet av 1980-talet inte föreligger någon laglig skyldighet för åkl</w:t>
      </w:r>
      <w:r w:rsidRPr="0008481A">
        <w:t>a</w:t>
      </w:r>
      <w:r w:rsidRPr="0008481A">
        <w:t>garen att ge in en häkt</w:t>
      </w:r>
      <w:r w:rsidRPr="0008481A">
        <w:softHyphen/>
        <w:t>nings</w:t>
      </w:r>
      <w:r w:rsidRPr="0008481A">
        <w:softHyphen/>
        <w:t>promem</w:t>
      </w:r>
      <w:r w:rsidRPr="0008481A">
        <w:t>o</w:t>
      </w:r>
      <w:r w:rsidRPr="0008481A">
        <w:t>ria till rätten.</w:t>
      </w:r>
    </w:p>
    <w:p w:rsidR="003B3271" w:rsidRPr="0008481A" w:rsidRDefault="003B3271">
      <w:pPr>
        <w:pStyle w:val="Normaltindrag"/>
      </w:pPr>
      <w:r w:rsidRPr="0008481A">
        <w:t>Johan Östling har uppgett att han naturligtvis känner till att bestämmelsen om ingivande av en häktningspromemoria har upphä</w:t>
      </w:r>
      <w:r w:rsidRPr="0008481A">
        <w:t>vts. Han fann det emellertid ut</w:t>
      </w:r>
      <w:r w:rsidRPr="0008481A">
        <w:t>e</w:t>
      </w:r>
      <w:r w:rsidRPr="0008481A">
        <w:t>slutet att det inte skulle finnas några handlingar, såsom polis</w:t>
      </w:r>
      <w:r w:rsidRPr="0008481A">
        <w:softHyphen/>
        <w:t>anmälan och prot</w:t>
      </w:r>
      <w:r w:rsidRPr="0008481A">
        <w:t>o</w:t>
      </w:r>
      <w:r w:rsidRPr="0008481A">
        <w:t>koll över anhållningsförhör med F.L., eftersom F.L. vid tidpunkten för häktning</w:t>
      </w:r>
      <w:r w:rsidRPr="0008481A">
        <w:t>s</w:t>
      </w:r>
      <w:r w:rsidRPr="0008481A">
        <w:t>förhandlingen hade varit anhållen några dagar. Åklagaren borde ha kunnat kopiera dessa handlingar. I den mån några hand</w:t>
      </w:r>
      <w:r w:rsidRPr="0008481A">
        <w:softHyphen/>
        <w:t>lingar inte hade upprättats under anhål</w:t>
      </w:r>
      <w:r w:rsidRPr="0008481A">
        <w:t>l</w:t>
      </w:r>
      <w:r w:rsidRPr="0008481A">
        <w:t>ningstiden vore detta ett så anmärk</w:t>
      </w:r>
      <w:r w:rsidRPr="0008481A">
        <w:softHyphen/>
        <w:t>nings</w:t>
      </w:r>
      <w:r w:rsidRPr="0008481A">
        <w:softHyphen/>
        <w:t>värt förhållande att försiktighet vid prövningen av häktningsyrkandet var påkallad. Enligt Johan Östlings mening är d</w:t>
      </w:r>
      <w:r w:rsidRPr="0008481A">
        <w:t>et ett mycket starkt rätts</w:t>
      </w:r>
      <w:r w:rsidRPr="0008481A">
        <w:softHyphen/>
        <w:t>säker</w:t>
      </w:r>
      <w:r w:rsidRPr="0008481A">
        <w:softHyphen/>
      </w:r>
      <w:r w:rsidRPr="0008481A">
        <w:softHyphen/>
        <w:t>hets</w:t>
      </w:r>
      <w:r w:rsidRPr="0008481A">
        <w:softHyphen/>
        <w:t>intresse att handlingar finns tillgängliga, så att det inte uppkommer några missförstånd eller missuppfattningar vid prövningen av häk</w:t>
      </w:r>
      <w:r w:rsidRPr="0008481A">
        <w:t>t</w:t>
      </w:r>
      <w:r w:rsidRPr="0008481A">
        <w:t>nings</w:t>
      </w:r>
      <w:r w:rsidRPr="0008481A">
        <w:softHyphen/>
        <w:t>frågan.</w:t>
      </w:r>
    </w:p>
    <w:p w:rsidR="003B3271" w:rsidRPr="0008481A" w:rsidRDefault="003B3271">
      <w:pPr>
        <w:pStyle w:val="Normaltindrag"/>
      </w:pPr>
      <w:r w:rsidRPr="0008481A">
        <w:t>Bengt Lejefors och Britt-Louise Viklund har berättat att Johan Östling, efter det att åklagaren hänvisat till lagändringen, uttalade något av innebörd att ”tingsrätten inte är någon skrivbyrå eller skrivcentral till åklagarna”. Johan Östling har förkl</w:t>
      </w:r>
      <w:r w:rsidRPr="0008481A">
        <w:t>a</w:t>
      </w:r>
      <w:r w:rsidRPr="0008481A">
        <w:t xml:space="preserve">rat att han inte kan utesluta att han sagt så. </w:t>
      </w:r>
    </w:p>
    <w:p w:rsidR="003B3271" w:rsidRPr="0008481A" w:rsidRDefault="003B3271">
      <w:pPr>
        <w:pStyle w:val="Normaltindrag"/>
      </w:pPr>
      <w:r w:rsidRPr="0008481A">
        <w:t>Bengt Lejefors, Britt-Louise Viklund och Margareta Wetterström har omvittnat att stämningen i rättssalen blev irriterad, dock utan att någon höjde rösten. Johan Östling har uppgett att det var fråga om en kort diskussion med bara klara ko</w:t>
      </w:r>
      <w:r w:rsidRPr="0008481A">
        <w:t>n</w:t>
      </w:r>
      <w:r w:rsidRPr="0008481A">
        <w:t>stateranden. Enligt hans uppfattning var stä</w:t>
      </w:r>
      <w:r w:rsidRPr="0008481A">
        <w:t>m</w:t>
      </w:r>
      <w:r w:rsidRPr="0008481A">
        <w:t>ningen inte irriterad.</w:t>
      </w:r>
    </w:p>
    <w:p w:rsidR="003B3271" w:rsidRPr="0008481A" w:rsidRDefault="003B3271">
      <w:pPr>
        <w:pStyle w:val="Normaltindrag"/>
      </w:pPr>
      <w:r w:rsidRPr="0008481A">
        <w:t>Britt-Louise Viklund har vidare berättat att hon för Johan Östling uppgav att hon skulle ta fram det begärda materialet om chefsåklagaren beordrade henne att göra detta. Enligt Johan Östling är det möjligt att detta bidrog till hans beslut att skjuta upp förhandlingen, eftersom han skulle börja en annan förhandling en halvtimme senare och det i detta skede inte fanns tid att ta kontakt med chefsåklagaren per tel</w:t>
      </w:r>
      <w:r w:rsidRPr="0008481A">
        <w:t>e</w:t>
      </w:r>
      <w:r w:rsidRPr="0008481A">
        <w:t>fon. Detta var emellertid inte någonting som han delgav parterna.</w:t>
      </w:r>
    </w:p>
    <w:p w:rsidR="003B3271" w:rsidRPr="0008481A" w:rsidRDefault="003B3271">
      <w:pPr>
        <w:pStyle w:val="Normaltindrag"/>
      </w:pPr>
      <w:r w:rsidRPr="0008481A">
        <w:t>Johan Östling beslutade härefter att skjuta upp förhandlingen till kl. 15.00 samma dag. Enligt Bengt Lejefors och Britt-Louise Viklunds uppfattning ägde inte något samråd rum dessförinnan. Johan Östling har i denna del uppgett att han fick den uppfattningen att försvararen nickade bifall eller i varje fall inte hade någon i</w:t>
      </w:r>
      <w:r w:rsidRPr="0008481A">
        <w:t>n</w:t>
      </w:r>
      <w:r w:rsidRPr="0008481A">
        <w:t>vändning, medan åklagaren däremot uppgav att utredningsmannen kanske skulle få svårt att medverka då. Johan Östlings påstående vad gäller försvararens han</w:t>
      </w:r>
      <w:r w:rsidRPr="0008481A">
        <w:t>d</w:t>
      </w:r>
      <w:r w:rsidRPr="0008481A">
        <w:t>lande vinner stöd av vad Marg</w:t>
      </w:r>
      <w:r w:rsidRPr="0008481A">
        <w:t>a</w:t>
      </w:r>
      <w:r w:rsidRPr="0008481A">
        <w:t xml:space="preserve">reta Wetterström har uppgett. </w:t>
      </w:r>
    </w:p>
    <w:p w:rsidR="003B3271" w:rsidRPr="0008481A" w:rsidRDefault="003B3271">
      <w:pPr>
        <w:pStyle w:val="Normaltindrag"/>
      </w:pPr>
      <w:r w:rsidRPr="0008481A">
        <w:t>Johan Östling har uppgett att han, efter att ha avkunnat sitt beslut att skjuta upp förhandlingen, sade att det var tveksamt om häktningsframställningen kunde b</w:t>
      </w:r>
      <w:r w:rsidRPr="0008481A">
        <w:t>i</w:t>
      </w:r>
      <w:r w:rsidRPr="0008481A">
        <w:t>fallas om det då inte fanns några handlingar. Möjligen lade han till ”av formella skäl eller liknade”. Bengt Lejefors och Britt-Louise Viklund har beskrivit uttala</w:t>
      </w:r>
      <w:r w:rsidRPr="0008481A">
        <w:t>n</w:t>
      </w:r>
      <w:r w:rsidRPr="0008481A">
        <w:t>det något annorlunda såtillvida att Johan Östling enligt deras mening skulle ha sagt att om det då inte fanns några handlingar så fanns det risk för att F.L. kunde komma att försättas på fri fot eller inte bli häktad på grund av bristande u</w:t>
      </w:r>
      <w:r w:rsidRPr="0008481A">
        <w:t>n</w:t>
      </w:r>
      <w:r w:rsidRPr="0008481A">
        <w:t>derlag.</w:t>
      </w:r>
    </w:p>
    <w:p w:rsidR="003B3271" w:rsidRPr="0008481A" w:rsidRDefault="003B3271">
      <w:pPr>
        <w:pStyle w:val="Normaltindrag"/>
      </w:pPr>
      <w:r w:rsidRPr="0008481A">
        <w:t>Britt-Louise Viklund uppfattade Johan Östlings uttalande som en stark varning att det fanns risk f</w:t>
      </w:r>
      <w:r w:rsidRPr="0008481A">
        <w:t>ör att F.L. skulle friges om hon inte skaffade fram handlingar till den senare förhandlingen. Hon såg därför till att ha med sig handlingar, eftersom hon inte vågade riskera att Johan Östling ”fortfarande skulle vara så känslopåve</w:t>
      </w:r>
      <w:r w:rsidRPr="0008481A">
        <w:t>r</w:t>
      </w:r>
      <w:r w:rsidRPr="0008481A">
        <w:t>kad till den mån att han lät det här få inflytande på h</w:t>
      </w:r>
      <w:r w:rsidRPr="0008481A">
        <w:t>o</w:t>
      </w:r>
      <w:r w:rsidRPr="0008481A">
        <w:t>nom”.</w:t>
      </w:r>
    </w:p>
    <w:p w:rsidR="003B3271" w:rsidRPr="0008481A" w:rsidRDefault="003B3271">
      <w:pPr>
        <w:pStyle w:val="Normaltindrag"/>
      </w:pPr>
      <w:r w:rsidRPr="0008481A">
        <w:t>I övrigt har framkommit att det vid tingsrätten är ytterst ovanligt att det saknas häktningspromemoria och att detta gäller även i de s.k. jourhäktnings</w:t>
      </w:r>
      <w:r w:rsidRPr="0008481A">
        <w:softHyphen/>
        <w:t>fallen, samt att ingen av dem som hörts i ärendet har varit med om att en förhandling har skj</w:t>
      </w:r>
      <w:r w:rsidRPr="0008481A">
        <w:t>u</w:t>
      </w:r>
      <w:r w:rsidRPr="0008481A">
        <w:t>tits upp eller ställts in på grund av att det inte funnits någon häktningspromemoria. Johan Östling har uppgett att han aldrig tidigare hade varit med om att åklagaren inte hade gett in skriftligt material inför en häktningsförhandling. Han har tillagt att domstolssekreterarna är irriterade över att åklagarna allt oftare ringer och gör muntliga häktnings</w:t>
      </w:r>
      <w:r w:rsidRPr="0008481A">
        <w:softHyphen/>
        <w:t>framställningar, vilka medför merarbete för dem, samt att de</w:t>
      </w:r>
      <w:r w:rsidRPr="0008481A">
        <w:t>t inom tings</w:t>
      </w:r>
      <w:r w:rsidRPr="0008481A">
        <w:softHyphen/>
        <w:t>rätten har uttalats att tingsrätten inte skall vara en skrivbyrå åt åkl</w:t>
      </w:r>
      <w:r w:rsidRPr="0008481A">
        <w:t>a</w:t>
      </w:r>
      <w:r w:rsidRPr="0008481A">
        <w:t xml:space="preserve">garna.   </w:t>
      </w:r>
    </w:p>
    <w:p w:rsidR="003B3271" w:rsidRPr="0008481A" w:rsidRDefault="003B3271">
      <w:pPr>
        <w:pStyle w:val="Rubrik3"/>
      </w:pPr>
      <w:r w:rsidRPr="0008481A">
        <w:t>Bedömning</w:t>
      </w:r>
    </w:p>
    <w:p w:rsidR="003B3271" w:rsidRPr="0008481A" w:rsidRDefault="003B3271">
      <w:r w:rsidRPr="0008481A">
        <w:t>Det kan inledningsvis konstateras att de redogörelser som har lämnats under fö</w:t>
      </w:r>
      <w:r w:rsidRPr="0008481A">
        <w:t>r</w:t>
      </w:r>
      <w:r w:rsidRPr="0008481A">
        <w:t>hören i allt väsentligt är samstämmiga och att divergerande uppgifter har lämnats endast rörande d</w:t>
      </w:r>
      <w:r w:rsidRPr="0008481A">
        <w:t>e</w:t>
      </w:r>
      <w:r w:rsidRPr="0008481A">
        <w:t xml:space="preserve">taljer som är utan betydelse för den nu aktuella bedömningen. </w:t>
      </w:r>
    </w:p>
    <w:p w:rsidR="003B3271" w:rsidRPr="0008481A" w:rsidRDefault="003B3271">
      <w:pPr>
        <w:pStyle w:val="Normaltindrag"/>
      </w:pPr>
      <w:r w:rsidRPr="0008481A">
        <w:t xml:space="preserve">Med anledning av innehållet i den misstanke om tjänstefel som har delgetts Johan Östling har han invänt att han aldrig påbörjade den förhandling som var utsatt till kl. 13.00. </w:t>
      </w:r>
    </w:p>
    <w:p w:rsidR="003B3271" w:rsidRPr="0008481A" w:rsidRDefault="003B3271">
      <w:pPr>
        <w:pStyle w:val="Normaltindrag"/>
      </w:pPr>
      <w:r w:rsidRPr="0008481A">
        <w:t>Bestämmelser om häktningsförhandlingar finns i 24 kap. rättegångsbalken (RB). I 13 § föreskrivs att rätten, när en häktningsframställning har gjorts, utan dröjsmål skall hålla förhandling i häktningsfrågan. Föreskrifter om förhandlingens gång och om meddelande av beslut i häktningsfrågan finns i 14–16 §§. Inget av dessa lagrum ger emellertid besked om när en häktnings</w:t>
      </w:r>
      <w:r w:rsidRPr="0008481A">
        <w:softHyphen/>
        <w:t>förhandling skall anses påbö</w:t>
      </w:r>
      <w:r w:rsidRPr="0008481A">
        <w:t>r</w:t>
      </w:r>
      <w:r w:rsidRPr="0008481A">
        <w:t>jad. När det gäller handläggningen vid huvud</w:t>
      </w:r>
      <w:r w:rsidRPr="0008481A">
        <w:softHyphen/>
        <w:t>förhandling i brottmål anges i 46 kap. 1–3 §§ RB bl.a. vilka åtgärder som skall vidtas i syfte att utröna om hinder mot huvudförhandling föreligger samt under vilka omständigheter en huvudfö</w:t>
      </w:r>
      <w:r w:rsidRPr="0008481A">
        <w:t>r</w:t>
      </w:r>
      <w:r w:rsidRPr="0008481A">
        <w:t>handling skall ställas in. Av  46 kap. 6 § RB framgår sedan att handläggningen inleds med att åklagaren framställer sitt yrkande. Det är naturligt att anlägga mo</w:t>
      </w:r>
      <w:r w:rsidRPr="0008481A">
        <w:t>t</w:t>
      </w:r>
      <w:r w:rsidRPr="0008481A">
        <w:t>svarande betraktelse</w:t>
      </w:r>
      <w:r w:rsidRPr="0008481A">
        <w:softHyphen/>
        <w:t>sätt beträffande frågan när en häktningsförhandling skall a</w:t>
      </w:r>
      <w:r w:rsidRPr="0008481A">
        <w:t>n</w:t>
      </w:r>
      <w:r w:rsidRPr="0008481A">
        <w:t>ses</w:t>
      </w:r>
      <w:r w:rsidRPr="0008481A">
        <w:t xml:space="preserve"> påbörjad. Eftersom åklagaren aldrig fick tillfälle att framställa häktningsy</w:t>
      </w:r>
      <w:r w:rsidRPr="0008481A">
        <w:t>r</w:t>
      </w:r>
      <w:r w:rsidRPr="0008481A">
        <w:t>kandet, godtar jag därför Johan Östlings invändning att han inte hade påbörjat häktningsförhandlingen när frågan om häktningspromemorian fördes på tal.</w:t>
      </w:r>
    </w:p>
    <w:p w:rsidR="003B3271" w:rsidRPr="0008481A" w:rsidRDefault="003B3271">
      <w:pPr>
        <w:pStyle w:val="Normaltindrag"/>
      </w:pPr>
      <w:r w:rsidRPr="0008481A">
        <w:t>Det kan således konstateras att det genom utredningen är klarlagt att Johan Ös</w:t>
      </w:r>
      <w:r w:rsidRPr="0008481A">
        <w:t>t</w:t>
      </w:r>
      <w:r w:rsidRPr="0008481A">
        <w:t>ling sköt upp den till kl. 13.00 utsatta häktningsförhandlingen till kl. 15.00 samt att han i övrigt handlat på det sätt som påståtts i den gärnings</w:t>
      </w:r>
      <w:r w:rsidRPr="0008481A">
        <w:softHyphen/>
        <w:t>beskrivning som delgetts h</w:t>
      </w:r>
      <w:r w:rsidRPr="0008481A">
        <w:t>o</w:t>
      </w:r>
      <w:r w:rsidRPr="0008481A">
        <w:t xml:space="preserve">nom. </w:t>
      </w:r>
    </w:p>
    <w:p w:rsidR="003B3271" w:rsidRPr="0008481A" w:rsidRDefault="003B3271">
      <w:pPr>
        <w:pStyle w:val="Normaltindrag"/>
      </w:pPr>
      <w:r w:rsidRPr="0008481A">
        <w:t>Utredningen visar att anledningen till att Johan Östling sköt upp häktnings</w:t>
      </w:r>
      <w:r w:rsidRPr="0008481A">
        <w:softHyphen/>
        <w:t>fö</w:t>
      </w:r>
      <w:r w:rsidRPr="0008481A">
        <w:t>r</w:t>
      </w:r>
      <w:r w:rsidRPr="0008481A">
        <w:t>handlingen var att det inte fanns någon häkt</w:t>
      </w:r>
      <w:r w:rsidRPr="0008481A">
        <w:softHyphen/>
        <w:t>ningspromemoria eller annat skriftligt utredningsmaterial tillgängligt för rätten. Sedan den 12 april 1988 föreligger emellertid inte någon i lag fastlagd skyldighet för åkla</w:t>
      </w:r>
      <w:r w:rsidRPr="0008481A">
        <w:softHyphen/>
        <w:t>garen att i samband med häktningsframställningen överlämna en häktningsprome</w:t>
      </w:r>
      <w:r w:rsidRPr="0008481A">
        <w:softHyphen/>
        <w:t>moria till rätten. Anle</w:t>
      </w:r>
      <w:r w:rsidRPr="0008481A">
        <w:t>d</w:t>
      </w:r>
      <w:r w:rsidRPr="0008481A">
        <w:t>ningen till slopandet av detta krav var de snäva tidsfrister som föreslogs gälla i fråga om prövningen av häktningsfrågan. Föredragande departementschefen framhöll emellertid (prop. 1986/</w:t>
      </w:r>
      <w:r w:rsidRPr="0008481A">
        <w:t>87:112 s. 76) att handläggningen givetvis skulle underlättas, om åklagaren hade möjlighet att före förhandlingen sammanställa material som kunde ha betydelse för häktningsfrågans bedömande. Depart</w:t>
      </w:r>
      <w:r w:rsidRPr="0008481A">
        <w:t>e</w:t>
      </w:r>
      <w:r w:rsidRPr="0008481A">
        <w:t>mentschefen påpekade vidare att många gånger åtminstone en anmälan om brottet och ett protokoll över anhållningsförhöret hade upprättats före häktningsförhan</w:t>
      </w:r>
      <w:r w:rsidRPr="0008481A">
        <w:t>d</w:t>
      </w:r>
      <w:r w:rsidRPr="0008481A">
        <w:t>lingen (jfr Fitger, Rättegång</w:t>
      </w:r>
      <w:r w:rsidRPr="0008481A">
        <w:t>s</w:t>
      </w:r>
      <w:r w:rsidRPr="0008481A">
        <w:t xml:space="preserve">balken I, del 2, s. 24:41). </w:t>
      </w:r>
    </w:p>
    <w:p w:rsidR="003B3271" w:rsidRPr="0008481A" w:rsidRDefault="003B3271">
      <w:pPr>
        <w:pStyle w:val="Normaltindrag"/>
      </w:pPr>
      <w:r w:rsidRPr="0008481A">
        <w:t>Någon i lag fastlagd skyldighet för åklagaren att inge en häktnings</w:t>
      </w:r>
      <w:r w:rsidRPr="0008481A">
        <w:softHyphen/>
        <w:t>promemoria eller annat skriftligt material till rätten förelåg således inte vid det aktuella tillfä</w:t>
      </w:r>
      <w:r w:rsidRPr="0008481A">
        <w:t>l</w:t>
      </w:r>
      <w:r w:rsidRPr="0008481A">
        <w:t>let. Johan Östling har emellertid hävdat att gällande rätt medger att rätten kräver att åklagaren lämnar in handlingar oavsett om detta står i lag eller inte. Han har vidare framhållit att det är angeläget att det inte uppkommer några missför</w:t>
      </w:r>
      <w:r w:rsidRPr="0008481A">
        <w:softHyphen/>
        <w:t>stånd eller missuppfattningar vid prövningen av en häktningsfråga och att det därför är ett mycket stort rättssäkerhetsintresse att handlingar finns tillgängliga vid en</w:t>
      </w:r>
      <w:r w:rsidRPr="0008481A">
        <w:t xml:space="preserve"> s</w:t>
      </w:r>
      <w:r w:rsidRPr="0008481A">
        <w:t>å</w:t>
      </w:r>
      <w:r w:rsidRPr="0008481A">
        <w:t>dan förhandling. Som framgår av den nyss lämnade redogörelsen för skälen till slopandet av kravet att åklagaren skall ge in en häktningspromemoria, kan det emellertid inte råda något tvivel om att lagstiftarens avsikt har varit att få till stånd en förändring av rättsläget i det aktuella hänseendet. Det finns inte heller några rättsfall eller uttalanden i doktrinen som ger stöd för uppfattningen att en skyldi</w:t>
      </w:r>
      <w:r w:rsidRPr="0008481A">
        <w:t>g</w:t>
      </w:r>
      <w:r w:rsidRPr="0008481A">
        <w:t>het för åklagaren att på begäran av rätten ge in skriftligt material vid en häktning</w:t>
      </w:r>
      <w:r w:rsidRPr="0008481A">
        <w:t>s</w:t>
      </w:r>
      <w:r w:rsidRPr="0008481A">
        <w:t>förhandling</w:t>
      </w:r>
      <w:r w:rsidRPr="0008481A">
        <w:t xml:space="preserve"> skulle kunna härledas ur allmänna rättsgrundsatser eller något slag av processrättslig sedvan</w:t>
      </w:r>
      <w:r w:rsidRPr="0008481A">
        <w:t>e</w:t>
      </w:r>
      <w:r w:rsidRPr="0008481A">
        <w:t xml:space="preserve">rätt.  </w:t>
      </w:r>
    </w:p>
    <w:p w:rsidR="003B3271" w:rsidRPr="0008481A" w:rsidRDefault="003B3271">
      <w:pPr>
        <w:pStyle w:val="Normaltindrag"/>
      </w:pPr>
      <w:r w:rsidRPr="0008481A">
        <w:t>Sedan Johan Östling hade konstaterat att åklagaren inte avsåg att ge in någon häktningspromemoria eller annat skriftligt utredningsmaterial, borde han därför ha påbörjat förhandlingen och låtit parterna framställa sina yrkanden och utveckla sina ståndpunkter i häktningsfrågan. Det hade sedan ankommit på Johan Östling att fatta beslut i häktningsfrågan på grundval av vad som hade förekommit under förhandlin</w:t>
      </w:r>
      <w:r w:rsidRPr="0008481A">
        <w:t>gen. Jag vill i sammanhanget erinra om att det allmänt åligger den som är ordförande vid en förhandling inför rätten att genom frågor eller erinringar fö</w:t>
      </w:r>
      <w:r w:rsidRPr="0008481A">
        <w:t>r</w:t>
      </w:r>
      <w:r w:rsidRPr="0008481A">
        <w:t>söka klara ut de oklarheter som kan finnas i parternas framställnin</w:t>
      </w:r>
      <w:r w:rsidRPr="0008481A">
        <w:t>g</w:t>
      </w:r>
      <w:r w:rsidRPr="0008481A">
        <w:t>ar.</w:t>
      </w:r>
    </w:p>
    <w:p w:rsidR="003B3271" w:rsidRPr="0008481A" w:rsidRDefault="003B3271">
      <w:pPr>
        <w:pStyle w:val="Normaltindrag"/>
      </w:pPr>
      <w:r w:rsidRPr="0008481A">
        <w:t>Det kan mot den nu angivna bakgrunden konstateras att Johan Östling, genom att skjuta på förhandlingen på det sätt som skedde, vid myndighets</w:t>
      </w:r>
      <w:r w:rsidRPr="0008481A">
        <w:softHyphen/>
        <w:t>utövning har ås</w:t>
      </w:r>
      <w:r w:rsidRPr="0008481A">
        <w:t>i</w:t>
      </w:r>
      <w:r w:rsidRPr="0008481A">
        <w:t xml:space="preserve">dosatt vad som gäller för uppgiften. </w:t>
      </w:r>
    </w:p>
    <w:p w:rsidR="003B3271" w:rsidRPr="0008481A" w:rsidRDefault="003B3271">
      <w:pPr>
        <w:pStyle w:val="Normaltindrag"/>
      </w:pPr>
      <w:r w:rsidRPr="0008481A">
        <w:t>Det finns inte anledning att betvivla att Johan Östling vid det aktuella tillfället faktiskt hade den här återgivna uppfattningen om innebörden av gällande rätt. Jag har därför inte grund för att hävda att han uppsåtligen har handlat felaktigt. Det kan dä</w:t>
      </w:r>
      <w:r w:rsidRPr="0008481A">
        <w:t>r</w:t>
      </w:r>
      <w:r w:rsidRPr="0008481A">
        <w:t xml:space="preserve">emot konstateras att han har bedömt rättsläget på ett oriktigt sätt. </w:t>
      </w:r>
    </w:p>
    <w:p w:rsidR="003B3271" w:rsidRPr="0008481A" w:rsidRDefault="003B3271">
      <w:pPr>
        <w:pStyle w:val="Normaltindrag"/>
      </w:pPr>
      <w:r w:rsidRPr="0008481A">
        <w:t>Johan Östling har tjänstgjort som rådman under 14 år och han har enligt egen uppgift aldrig varit med om att en åklagare inte har gett in skriftligt material till en häktningsförhandling. Han har beskrivit den nu aktuella situationen som öve</w:t>
      </w:r>
      <w:r w:rsidRPr="0008481A">
        <w:t>r</w:t>
      </w:r>
      <w:r w:rsidRPr="0008481A">
        <w:t>rumplande. Med hänsyn bl.a. till dessa omständigheter anser jag mig inte heller kunna göra gällande att Johan Östlings oriktiga handlande har haft sin grund i straffbar oak</w:t>
      </w:r>
      <w:r w:rsidRPr="0008481A">
        <w:t>t</w:t>
      </w:r>
      <w:r w:rsidRPr="0008481A">
        <w:t>samhet från hans sida.</w:t>
      </w:r>
    </w:p>
    <w:p w:rsidR="003B3271" w:rsidRPr="0008481A" w:rsidRDefault="003B3271">
      <w:pPr>
        <w:pStyle w:val="Normaltindrag"/>
      </w:pPr>
      <w:r w:rsidRPr="0008481A">
        <w:t>Jag har av nu angivna skäl lagt ned förundersökningen mot Johan Östling. Det förhållandet att dennes handlande inte omfattas av straffbestämmelsen om tjänst</w:t>
      </w:r>
      <w:r w:rsidRPr="0008481A">
        <w:t>e</w:t>
      </w:r>
      <w:r w:rsidRPr="0008481A">
        <w:t>fel innebär emellertid inte att det är godtagbart. Som redan har nämnts saknar hans uppfattning om innehållet i gällande rätt stöd i tillgängliga rättskällor. Det finns vidare anledning att se allvarligt på hans uttalande i anslutning till den inställda förhandlingen, att det var tveksamt om häktningsframställningen kunde bifallas om det inte förelåg några handlingar vid förhandlingen kl. 15.00. Detta uttalande ger ett intryck av att Johan Östling inte var främmande för att ta ovidkommande hänsyn vid prövn</w:t>
      </w:r>
      <w:r w:rsidRPr="0008481A">
        <w:t>ingen av häktningsfrågan i syfte att få sin vilja fram vad gällde det skriftliga materialet, och det har därmed försatt åklagaren i en utpressnings</w:t>
      </w:r>
      <w:r w:rsidRPr="0008481A">
        <w:softHyphen/>
        <w:t>li</w:t>
      </w:r>
      <w:r w:rsidRPr="0008481A">
        <w:t>k</w:t>
      </w:r>
      <w:r w:rsidRPr="0008481A">
        <w:t xml:space="preserve">nande situation. </w:t>
      </w:r>
    </w:p>
    <w:p w:rsidR="003B3271" w:rsidRPr="0008481A" w:rsidRDefault="003B3271">
      <w:pPr>
        <w:pStyle w:val="Normaltindrag"/>
      </w:pPr>
      <w:r w:rsidRPr="0008481A">
        <w:t>Genom att på det sätt som skedde påfordra att åklagaren skulle ge in handlingar till rätten har Johan Östling därför – även om man utgår från hans egen uppfat</w:t>
      </w:r>
      <w:r w:rsidRPr="0008481A">
        <w:t>t</w:t>
      </w:r>
      <w:r w:rsidRPr="0008481A">
        <w:t>ning om innebörden av gällande rätt – åsidosatt det allmänna objektivitetskrav som gäller för en domare. Det finns således anledning att rikta allvarlig kritik mot honom med anledning av hans handläggning av häktnings</w:t>
      </w:r>
      <w:r w:rsidRPr="0008481A">
        <w:softHyphen/>
        <w:t>fr</w:t>
      </w:r>
      <w:r w:rsidRPr="0008481A">
        <w:t>å</w:t>
      </w:r>
      <w:r w:rsidRPr="0008481A">
        <w:t>gan.</w:t>
      </w:r>
    </w:p>
    <w:p w:rsidR="003B3271" w:rsidRPr="0008481A" w:rsidRDefault="003B3271">
      <w:pPr>
        <w:pStyle w:val="Rubrik1"/>
        <w:spacing w:before="0"/>
      </w:pPr>
      <w:r w:rsidRPr="0008481A">
        <w:br w:type="page"/>
        <w:t>Åklagar- och polisväsendena</w:t>
      </w:r>
    </w:p>
    <w:p w:rsidR="003B3271" w:rsidRPr="0008481A" w:rsidRDefault="003B3271">
      <w:pPr>
        <w:pStyle w:val="Rubrik2"/>
      </w:pPr>
      <w:r w:rsidRPr="0008481A">
        <w:t>Möjligheten för en polismyndighet att lägga ned en förundersökning med motiv</w:t>
      </w:r>
      <w:r w:rsidRPr="0008481A">
        <w:t>e</w:t>
      </w:r>
      <w:r w:rsidRPr="0008481A">
        <w:t>ringen ”brott kan ej styrkas”</w:t>
      </w:r>
    </w:p>
    <w:p w:rsidR="003B3271" w:rsidRPr="0008481A" w:rsidRDefault="003B3271">
      <w:r w:rsidRPr="0008481A">
        <w:t>(Dnr 2567-1996)</w:t>
      </w:r>
    </w:p>
    <w:p w:rsidR="003B3271" w:rsidRPr="0008481A" w:rsidRDefault="003B3271">
      <w:pPr>
        <w:pStyle w:val="Rubrik3"/>
      </w:pPr>
      <w:r w:rsidRPr="0008481A">
        <w:t>Bakgrund</w:t>
      </w:r>
    </w:p>
    <w:p w:rsidR="003B3271" w:rsidRPr="0008481A" w:rsidRDefault="003B3271">
      <w:r w:rsidRPr="0008481A">
        <w:t>Vid en inspektion av Polismyndigheten i Uppsala, trafikavdelningen, den 6 juni 1996 framkom att flera förundersökningar hade lagts ned av polis</w:t>
      </w:r>
      <w:r w:rsidRPr="0008481A">
        <w:softHyphen/>
        <w:t>myndigheten med motiveringen ”brott kan ej styrkas”. I protokollet som fördes vid inspektionen antecknades i denna del bl.a. fö</w:t>
      </w:r>
      <w:r w:rsidRPr="0008481A">
        <w:t>l</w:t>
      </w:r>
      <w:r w:rsidRPr="0008481A">
        <w:t xml:space="preserve">jande. </w:t>
      </w:r>
    </w:p>
    <w:p w:rsidR="003B3271" w:rsidRPr="0008481A" w:rsidRDefault="003B3271">
      <w:pPr>
        <w:pStyle w:val="Citat"/>
      </w:pPr>
      <w:r w:rsidRPr="0008481A">
        <w:t>I en skrivelse den 12 februari 1991 – – – från polisintendenten Gunnar Månsson till chefsåklagaren vid Åklagarmyndigheten i Uppsala sägs bl.a. följande. ”Vad gäller beslut är det polismyndighetens uppfattning att i de ärenden som handläggs vid trafikavdelningen kan stf. avdelningschefen ta b</w:t>
      </w:r>
      <w:r w:rsidRPr="0008481A">
        <w:t>e</w:t>
      </w:r>
      <w:r w:rsidRPr="0008481A">
        <w:t xml:space="preserve">slut med motiveringen </w:t>
      </w:r>
      <w:r w:rsidRPr="0008481A">
        <w:rPr>
          <w:b/>
        </w:rPr>
        <w:t xml:space="preserve">brott kan ej styrkas </w:t>
      </w:r>
      <w:r w:rsidRPr="0008481A">
        <w:t xml:space="preserve">och </w:t>
      </w:r>
      <w:r w:rsidRPr="0008481A">
        <w:rPr>
          <w:b/>
        </w:rPr>
        <w:t>gärningen ej brott.</w:t>
      </w:r>
      <w:r w:rsidRPr="0008481A">
        <w:t>” Enligt skrivelsen skulle vad däri upptagits tillämpas från och med den 12 februari 1991.</w:t>
      </w:r>
    </w:p>
    <w:p w:rsidR="003B3271" w:rsidRPr="0008481A" w:rsidRDefault="003B3271">
      <w:r w:rsidRPr="0008481A">
        <w:rPr>
          <w:i/>
        </w:rPr>
        <w:t xml:space="preserve">ChefsJO Eklundh </w:t>
      </w:r>
      <w:r w:rsidRPr="0008481A">
        <w:t>beslutade att till granskning i ett särskilt ärende ta upp frågan om lämpligheten i att en polismyndighet lägger ned en förunder</w:t>
      </w:r>
      <w:r w:rsidRPr="0008481A">
        <w:softHyphen/>
        <w:t>sökning med b</w:t>
      </w:r>
      <w:r w:rsidRPr="0008481A">
        <w:t>e</w:t>
      </w:r>
      <w:r w:rsidRPr="0008481A">
        <w:t>slutsmotiveringen ”brott kan ej styrkas”.</w:t>
      </w:r>
    </w:p>
    <w:p w:rsidR="003B3271" w:rsidRPr="0008481A" w:rsidRDefault="003B3271">
      <w:pPr>
        <w:pStyle w:val="Rubrik3"/>
      </w:pPr>
      <w:r w:rsidRPr="0008481A">
        <w:t>Utredning</w:t>
      </w:r>
    </w:p>
    <w:p w:rsidR="003B3271" w:rsidRPr="0008481A" w:rsidRDefault="003B3271">
      <w:r w:rsidRPr="0008481A">
        <w:t>Rikspolisstyrelsen och Riksåklagaren anmodades att inkomma med yttrande över den aktuella frågan.</w:t>
      </w:r>
    </w:p>
    <w:p w:rsidR="003B3271" w:rsidRPr="0008481A" w:rsidRDefault="003B3271">
      <w:pPr>
        <w:pStyle w:val="Normaltindrag"/>
      </w:pPr>
      <w:r w:rsidRPr="0008481A">
        <w:t>Rikspolisstyrelsen (rikspolischefen Sten Heckscher) anförde i remissvaret följa</w:t>
      </w:r>
      <w:r w:rsidRPr="0008481A">
        <w:t>n</w:t>
      </w:r>
      <w:r w:rsidRPr="0008481A">
        <w:t>de.</w:t>
      </w:r>
    </w:p>
    <w:p w:rsidR="003B3271" w:rsidRPr="0008481A" w:rsidRDefault="003B3271">
      <w:pPr>
        <w:pStyle w:val="Citat"/>
      </w:pPr>
      <w:r w:rsidRPr="0008481A">
        <w:t>Vem som är behörig att lägga ned en förundersökning anges inte närmare i rättegångsbalken (RB), på annat sätt än att nedläggning enligt 23 kap. 4 a § RB endast får beslutas av åklagare. En naturlig slutsats av detta skulle kunna vara att den som leder en förundersökning normalt sett också är b</w:t>
      </w:r>
      <w:r w:rsidRPr="0008481A">
        <w:t>e</w:t>
      </w:r>
      <w:r w:rsidRPr="0008481A">
        <w:t>hörig att – i andra fall än som avses i den nyss nämnda bestämmelsen – besluta om att lägga ned undersökningen, jfr t.ex. 23 kap. 4 § andra stycket RB.</w:t>
      </w:r>
    </w:p>
    <w:p w:rsidR="003B3271" w:rsidRPr="0008481A" w:rsidRDefault="003B3271">
      <w:pPr>
        <w:pStyle w:val="Citatindrag"/>
      </w:pPr>
      <w:r w:rsidRPr="0008481A">
        <w:t>Rikspolisstyrelsen och Riksåklagaren har, utifrån bestämmelserna i 23 kap. 3 § första stycket RB, i samråd fastställt att polismyndighet leder förunder</w:t>
      </w:r>
      <w:r w:rsidRPr="0008481A">
        <w:softHyphen/>
        <w:t>sökningen när fråga är om brott av s.k. enkel beskaffenhet. Se Rikspolis</w:t>
      </w:r>
      <w:r w:rsidRPr="0008481A">
        <w:softHyphen/>
        <w:t>styrelsens allmänna råd angående förundersökningsledning i brottmål (FAP 403-5).</w:t>
      </w:r>
    </w:p>
    <w:p w:rsidR="003B3271" w:rsidRPr="0008481A" w:rsidRDefault="003B3271">
      <w:pPr>
        <w:pStyle w:val="Citatindrag"/>
      </w:pPr>
      <w:r w:rsidRPr="0008481A">
        <w:t xml:space="preserve">I ett beslut av JO (1982/83 s. 104) har uttalats att beslutsmotiveringen ”brott ej styrkt” normalt inte bör användas av polisen. Rikspolisstyrelsen har därefter år 1986 i föreskrifter och allmänna råd för anmälningsrutinen angivit vilka beslutsmotiveringar som skall användas vid nedläggningsbeslut (FAP 403-6, blad 15). Där anges bl.a. motiveringen ”Brott </w:t>
      </w:r>
      <w:r w:rsidRPr="0008481A">
        <w:t>kan ej styrkas” för det fallet att det inte kan styrkas att brott föreligger. Rikspolisstyrelsen ansåg alltså redan år 1986, enligt vad som fra</w:t>
      </w:r>
      <w:r w:rsidRPr="0008481A">
        <w:t>m</w:t>
      </w:r>
      <w:r w:rsidRPr="0008481A">
        <w:t>går av föreskriften, att en polis</w:t>
      </w:r>
      <w:r w:rsidRPr="0008481A">
        <w:softHyphen/>
        <w:t>myndighet kan lägga ned förundersökning på denna grund. Innan före</w:t>
      </w:r>
      <w:r w:rsidRPr="0008481A">
        <w:softHyphen/>
        <w:t>skriften beslutades ägde för övrigt samråd rum med Riksåklagaren, som inte hade någon i</w:t>
      </w:r>
      <w:r w:rsidRPr="0008481A">
        <w:t>n</w:t>
      </w:r>
      <w:r w:rsidRPr="0008481A">
        <w:t>vändning däremot.</w:t>
      </w:r>
    </w:p>
    <w:p w:rsidR="003B3271" w:rsidRPr="0008481A" w:rsidRDefault="003B3271">
      <w:pPr>
        <w:pStyle w:val="Citatindrag"/>
      </w:pPr>
      <w:r w:rsidRPr="0008481A">
        <w:t>Till det anförda vill Rikspolisstyrelsen foga den synpunkten att den hänvisning till s. 25 i prop. 1981/82:41 som görs i 1982 års JO-beslut inte ger stöd för upp</w:t>
      </w:r>
      <w:r w:rsidRPr="0008481A">
        <w:t>fattningen att en polismyndighet är förhindrad att lägga ned en förundersökning på den angivna grunden. Departementschefen uttalar där att det inte finns anledning för lagstiftaren att ingripa i frågan om fördelningen av beslutsko</w:t>
      </w:r>
      <w:r w:rsidRPr="0008481A">
        <w:t>m</w:t>
      </w:r>
      <w:r w:rsidRPr="0008481A">
        <w:t>petensen mellan polis och åklagare när det gäller nedläggning av förundersökningar när det inte längre finns anledning att fullfölja under</w:t>
      </w:r>
      <w:r w:rsidRPr="0008481A">
        <w:softHyphen/>
        <w:t>sökningen. Någon antydan om att polisens beslutskomp</w:t>
      </w:r>
      <w:r w:rsidRPr="0008481A">
        <w:t>e</w:t>
      </w:r>
      <w:r w:rsidRPr="0008481A">
        <w:t>tens borde vara begränsad till vissa nedläggningsgrunder finns inte där, fortfarande bort</w:t>
      </w:r>
      <w:r w:rsidRPr="0008481A">
        <w:t>sett från de särskilda fall som avses i 23 kap. 4 a § RB.</w:t>
      </w:r>
    </w:p>
    <w:p w:rsidR="003B3271" w:rsidRPr="0008481A" w:rsidRDefault="003B3271">
      <w:pPr>
        <w:pStyle w:val="Citatindrag"/>
      </w:pPr>
      <w:r w:rsidRPr="0008481A">
        <w:t>Om det angivna förfarandet alltså inte kan sägas vara formellt felaktigt, bör den frågan ställas om det kan finnas några andra invändningar mot att polisen har befogenhet att lägga ned förundersö</w:t>
      </w:r>
      <w:r w:rsidRPr="0008481A">
        <w:t>k</w:t>
      </w:r>
      <w:r w:rsidRPr="0008481A">
        <w:t>ningar på den grunden att brott inte kan styrkas. Styrelsen har för sin del svårt att se några sådana. Att under en förundersökning bedöma den föreliggande bevisningens styrka och avgöra om det föreligger tillräckliga skäl för åtal kan för det mesta inte vara svårare än att avgöra om den gärning som är föremål för utredning täcks av rekvisiten i en straffbestämmelse eller om förundersöknin</w:t>
      </w:r>
      <w:r w:rsidRPr="0008481A">
        <w:t>g</w:t>
      </w:r>
      <w:r w:rsidRPr="0008481A">
        <w:t>en skall läggas ned med motiveringen ”gärningen ej brott”.</w:t>
      </w:r>
    </w:p>
    <w:p w:rsidR="003B3271" w:rsidRPr="0008481A" w:rsidRDefault="003B3271">
      <w:pPr>
        <w:pStyle w:val="Citatindrag"/>
      </w:pPr>
      <w:r w:rsidRPr="0008481A">
        <w:t>Det nu anförda skall även ses mot bakgrund av att polisen ä</w:t>
      </w:r>
      <w:r w:rsidRPr="0008481A">
        <w:t>r förunder</w:t>
      </w:r>
      <w:r w:rsidRPr="0008481A">
        <w:softHyphen/>
        <w:t>sökningsledare bara i äre</w:t>
      </w:r>
      <w:r w:rsidRPr="0008481A">
        <w:t>n</w:t>
      </w:r>
      <w:r w:rsidRPr="0008481A">
        <w:t>den av enkel beskaffenhet. Den angivna ordningen synes inte heller inge några betänkligheter från rättssäkerhetssynpunkt.</w:t>
      </w:r>
    </w:p>
    <w:p w:rsidR="003B3271" w:rsidRPr="0008481A" w:rsidRDefault="003B3271">
      <w:pPr>
        <w:pStyle w:val="Citatindrag"/>
      </w:pPr>
      <w:r w:rsidRPr="0008481A">
        <w:t>Rikspolisstyrelsen vill även påpeka att inte minst det alltmer uttalade kravet på att resurserna skall utnyttjas så effektivt som möjligt i brotts</w:t>
      </w:r>
      <w:r w:rsidRPr="0008481A">
        <w:softHyphen/>
        <w:t>bekämpningen med styrka talar för att polisen bör kunna lägga ned en för</w:t>
      </w:r>
      <w:r w:rsidRPr="0008481A">
        <w:softHyphen/>
        <w:t>undersökning även i nu aktuella fall.</w:t>
      </w:r>
    </w:p>
    <w:p w:rsidR="003B3271" w:rsidRPr="0008481A" w:rsidRDefault="003B3271">
      <w:pPr>
        <w:pStyle w:val="Citatindrag"/>
      </w:pPr>
      <w:r w:rsidRPr="0008481A">
        <w:t>Regeringen beslutade i september 1996 att åklagar- och polisväsendena gemensamt skall utveckla former för arbetet med prioriteringar i den brotts</w:t>
      </w:r>
      <w:r w:rsidRPr="0008481A">
        <w:softHyphen/>
        <w:t>utredande verksamheten. Som en följd av detta har Riksåklagaren i samråd med Rikspolisstyrelsen tillsatt en arbetsgrupp, bestående av företrädare för åklagarväsendet och polisen. En av gruppens uppgifter är att överväga formerna för beslut att lägga ned förundersökning i de fall polisen är för</w:t>
      </w:r>
      <w:r w:rsidRPr="0008481A">
        <w:softHyphen/>
        <w:t>undersökningsledare. I det arbetet kommer styre</w:t>
      </w:r>
      <w:r w:rsidRPr="0008481A">
        <w:t>l</w:t>
      </w:r>
      <w:r w:rsidRPr="0008481A">
        <w:t>sen att hävda den upp</w:t>
      </w:r>
      <w:r w:rsidRPr="0008481A">
        <w:softHyphen/>
        <w:t>fattning som framgår av detta yttrande. Uppdraget skall redovisas den 1 april 1997.</w:t>
      </w:r>
    </w:p>
    <w:p w:rsidR="003B3271" w:rsidRPr="0008481A" w:rsidRDefault="003B3271">
      <w:r w:rsidRPr="0008481A">
        <w:t>Riksåklagaren Klas Bergenstrand anförde i sitt remissvar bl.a.</w:t>
      </w:r>
      <w:r w:rsidRPr="0008481A">
        <w:t xml:space="preserve"> följande.</w:t>
      </w:r>
    </w:p>
    <w:p w:rsidR="003B3271" w:rsidRPr="0008481A" w:rsidRDefault="003B3271">
      <w:pPr>
        <w:pStyle w:val="Citat"/>
      </w:pPr>
      <w:r w:rsidRPr="0008481A">
        <w:t>Av remissen framgår att stf avdelningschef vid trafikavdelningen vid polis</w:t>
      </w:r>
      <w:r w:rsidRPr="0008481A">
        <w:softHyphen/>
        <w:t>myndigheten i Uppsala bemyndigats att i ärenden som handläggs vid trafik</w:t>
      </w:r>
      <w:r w:rsidRPr="0008481A">
        <w:softHyphen/>
        <w:t>avdelningen fatta beslut om nedläggande av förundersökning med motiveringen ”brott kan ej styrkas”.</w:t>
      </w:r>
    </w:p>
    <w:p w:rsidR="003B3271" w:rsidRPr="0008481A" w:rsidRDefault="003B3271">
      <w:pPr>
        <w:pStyle w:val="Citatindrag"/>
      </w:pPr>
      <w:r w:rsidRPr="0008481A">
        <w:t>Enligt 23 kap. 4 § andra stycket rättegångsbalken skall en förundersökning läggas ned så snart det inte längre finns anledning att fullfölja den. Bortsett från fall som avses i 4 a § om s.k. förunde</w:t>
      </w:r>
      <w:r w:rsidRPr="0008481A">
        <w:t>r</w:t>
      </w:r>
      <w:r w:rsidRPr="0008481A">
        <w:t>sökningsbegränsning finns det inte några regler som uttryckligen begränsar polismyndighetens behörighet att lägga ned en undersökning i de ärenden där myndigheten leder förunder</w:t>
      </w:r>
      <w:r w:rsidRPr="0008481A">
        <w:softHyphen/>
        <w:t>sökningen (jfr Gullnäs m.fl. Rättegångsbalken, 23:28).</w:t>
      </w:r>
    </w:p>
    <w:p w:rsidR="003B3271" w:rsidRPr="0008481A" w:rsidRDefault="003B3271">
      <w:pPr>
        <w:pStyle w:val="Citatindrag"/>
      </w:pPr>
      <w:r w:rsidRPr="0008481A">
        <w:t>I det JO-ärende till vilket remissen hänvisar har JO emellertid uttalat att beslutsmotiveringen ”brott ej styrkt” normalt inte bör användas av polismyndighet vid nedläggning av förundersökning. Om det finns någon som är skäligen misstänkt för brottet skall utredningen enligt JO</w:t>
      </w:r>
      <w:r w:rsidRPr="0008481A">
        <w:t xml:space="preserve"> redovisas till åklagare för beslut i åtalsfrågan. Om man däremot inte har kommit så långt att någon blivit skäl</w:t>
      </w:r>
      <w:r w:rsidRPr="0008481A">
        <w:t>i</w:t>
      </w:r>
      <w:r w:rsidRPr="0008481A">
        <w:t>gen misstänkt får polismyndigheten som förunder</w:t>
      </w:r>
      <w:r w:rsidRPr="0008481A">
        <w:softHyphen/>
        <w:t>sökningsledare fatta beslut om nedläggning av förundersökningen. I sådana fall är det enligt JO motiveringen ”ej spaningsresultat” som ofta li</w:t>
      </w:r>
      <w:r w:rsidRPr="0008481A">
        <w:t>g</w:t>
      </w:r>
      <w:r w:rsidRPr="0008481A">
        <w:t>ger närmast till hands.</w:t>
      </w:r>
    </w:p>
    <w:p w:rsidR="003B3271" w:rsidRPr="0008481A" w:rsidRDefault="003B3271">
      <w:pPr>
        <w:pStyle w:val="Citatindrag"/>
      </w:pPr>
      <w:r w:rsidRPr="0008481A">
        <w:t>Till det sagda bör läggas att Riksåklagaren för att få till stånd en större enhetlighet mellan olika beslutsformer föreskrivit att ett avskrivningsbeslut bör ges formen av ett negativt</w:t>
      </w:r>
      <w:r w:rsidRPr="0008481A">
        <w:t xml:space="preserve"> åtalsbeslut i de fall där den misstänkte slutligt underrättats om utredningen enligt bestämmelsen i 23 kap. 18 § rätte</w:t>
      </w:r>
      <w:r w:rsidRPr="0008481A">
        <w:softHyphen/>
        <w:t>gångs</w:t>
      </w:r>
      <w:r w:rsidRPr="0008481A">
        <w:softHyphen/>
        <w:t>balken. I andra fall bör avskrivningsbeslut meddelas i form av ett beslut att lägga ned förundersökningen (RÅC I:107).</w:t>
      </w:r>
    </w:p>
    <w:p w:rsidR="003B3271" w:rsidRPr="0008481A" w:rsidRDefault="003B3271">
      <w:pPr>
        <w:pStyle w:val="Citatindrag"/>
      </w:pPr>
      <w:r w:rsidRPr="0008481A">
        <w:t>Tills vidare bör enligt min mening huvudregeln fortfarande vara den som kommer till uttryck i det angivna JO-uttalandet. Prövningen av bevisningens styrka får i dessa fall anses innefatta sådana rättsliga överväganden som det åligger åklagare att göra (jfr SOU 1985:6</w:t>
      </w:r>
      <w:r w:rsidRPr="0008481A">
        <w:t>2 s. 215). Jag vill dock samtidigt tillägga att Riksåklagaren i samråd med Rikspolisstyrelsen har tillsatt en arbetsgrupp för att överväga frågor om förundersökningsprotokollet och dess utformning. I uppdraget ingår bl.a. att undersöka möjligheterna för polisen att lägga ned förundersökningen i de fall polisen är föru</w:t>
      </w:r>
      <w:r w:rsidRPr="0008481A">
        <w:t>n</w:t>
      </w:r>
      <w:r w:rsidRPr="0008481A">
        <w:t>de</w:t>
      </w:r>
      <w:r w:rsidRPr="0008481A">
        <w:t>r</w:t>
      </w:r>
      <w:r w:rsidRPr="0008481A">
        <w:t>sökningsledare. Den aktuella frågan kommer således att övervägas i det sammanhanget. – – –</w:t>
      </w:r>
    </w:p>
    <w:p w:rsidR="003B3271" w:rsidRPr="0008481A" w:rsidRDefault="003B3271">
      <w:r w:rsidRPr="0008481A">
        <w:t xml:space="preserve">Senare under utredningen tog </w:t>
      </w:r>
      <w:r w:rsidRPr="0008481A">
        <w:rPr>
          <w:i/>
        </w:rPr>
        <w:t>chefsJO Eklundh</w:t>
      </w:r>
      <w:r w:rsidRPr="0008481A">
        <w:t xml:space="preserve"> även del av den i remissvaren o</w:t>
      </w:r>
      <w:r w:rsidRPr="0008481A">
        <w:t>m</w:t>
      </w:r>
      <w:r w:rsidRPr="0008481A">
        <w:t>nämnda arbetsgruppens rapport ”Några steg på vägen mot effektivare förunde</w:t>
      </w:r>
      <w:r w:rsidRPr="0008481A">
        <w:t>r</w:t>
      </w:r>
      <w:r w:rsidRPr="0008481A">
        <w:t xml:space="preserve">sökningar” och en sammanställning av remissvar över rapporten. </w:t>
      </w:r>
    </w:p>
    <w:p w:rsidR="003B3271" w:rsidRPr="0008481A" w:rsidRDefault="003B3271">
      <w:pPr>
        <w:pStyle w:val="Normaltindrag"/>
      </w:pPr>
      <w:r w:rsidRPr="0008481A">
        <w:t xml:space="preserve">I ett beslut den 15 september 1999 anförde </w:t>
      </w:r>
      <w:r w:rsidRPr="0008481A">
        <w:rPr>
          <w:i/>
        </w:rPr>
        <w:t xml:space="preserve">chefsJO Eklundh </w:t>
      </w:r>
      <w:r w:rsidRPr="0008481A">
        <w:t>följande.</w:t>
      </w:r>
    </w:p>
    <w:p w:rsidR="003B3271" w:rsidRPr="0008481A" w:rsidRDefault="003B3271">
      <w:pPr>
        <w:pStyle w:val="Rubrik3"/>
      </w:pPr>
      <w:r w:rsidRPr="0008481A">
        <w:t>Rättslig reglering</w:t>
      </w:r>
    </w:p>
    <w:p w:rsidR="003B3271" w:rsidRPr="0008481A" w:rsidRDefault="003B3271">
      <w:pPr>
        <w:pStyle w:val="Rubrik4"/>
        <w:spacing w:before="120"/>
      </w:pPr>
      <w:r w:rsidRPr="0008481A">
        <w:t xml:space="preserve">Inledning </w:t>
      </w:r>
    </w:p>
    <w:p w:rsidR="003B3271" w:rsidRPr="0008481A" w:rsidRDefault="003B3271">
      <w:r w:rsidRPr="0008481A">
        <w:t>De grundläggande bestämmelserna om förundersökning finns i 23 kap. rätt</w:t>
      </w:r>
      <w:r w:rsidRPr="0008481A">
        <w:t>e</w:t>
      </w:r>
      <w:r w:rsidRPr="0008481A">
        <w:softHyphen/>
      </w:r>
      <w:r w:rsidRPr="0008481A">
        <w:softHyphen/>
        <w:t>gångsbalken (RB). I det följande lämnas en redogörelse för bl.a. reglerna om fö</w:t>
      </w:r>
      <w:r w:rsidRPr="0008481A">
        <w:t>r</w:t>
      </w:r>
      <w:r w:rsidRPr="0008481A">
        <w:t>undersökningsledarskap och nedläg</w:t>
      </w:r>
      <w:r w:rsidRPr="0008481A">
        <w:t>g</w:t>
      </w:r>
      <w:r w:rsidRPr="0008481A">
        <w:t>ning av förunder</w:t>
      </w:r>
      <w:r w:rsidRPr="0008481A">
        <w:softHyphen/>
        <w:t>sök</w:t>
      </w:r>
      <w:r w:rsidRPr="0008481A">
        <w:softHyphen/>
        <w:t xml:space="preserve">ning. </w:t>
      </w:r>
    </w:p>
    <w:p w:rsidR="003B3271" w:rsidRPr="0008481A" w:rsidRDefault="003B3271">
      <w:pPr>
        <w:pStyle w:val="Normaltindrag"/>
      </w:pPr>
      <w:r w:rsidRPr="0008481A">
        <w:t>Allmänna råd om ledningen av förundersökning i brottmål har sedan den 1 januari 1980 funnits i det av Riksåklagaren i samråd med Rikspolisstyrelsen fastställda s.k. fö</w:t>
      </w:r>
      <w:r w:rsidRPr="0008481A">
        <w:t>r</w:t>
      </w:r>
      <w:r w:rsidRPr="0008481A">
        <w:t xml:space="preserve">delningscirkuläret. </w:t>
      </w:r>
    </w:p>
    <w:p w:rsidR="003B3271" w:rsidRPr="0008481A" w:rsidRDefault="003B3271">
      <w:pPr>
        <w:pStyle w:val="Normaltindrag"/>
      </w:pPr>
      <w:r w:rsidRPr="0008481A">
        <w:t>Den arbetsgrupp som Rikspolisstyrelsen och Riksåklagaren omnämner i remissv</w:t>
      </w:r>
      <w:r w:rsidRPr="0008481A">
        <w:t>a</w:t>
      </w:r>
      <w:r w:rsidRPr="0008481A">
        <w:t>ren tillsattes i slutet av 1996 med syfte att överväga frågor om för</w:t>
      </w:r>
      <w:r w:rsidRPr="0008481A">
        <w:softHyphen/>
        <w:t>undersökning</w:t>
      </w:r>
      <w:r w:rsidRPr="0008481A">
        <w:t>s</w:t>
      </w:r>
      <w:r w:rsidRPr="0008481A">
        <w:t>protokollet och dess utformning. Enligt arbetsgruppens rapport, som samma</w:t>
      </w:r>
      <w:r w:rsidRPr="0008481A">
        <w:t>n</w:t>
      </w:r>
      <w:r w:rsidRPr="0008481A">
        <w:t>ställdes under våren 1997, var ett av de övergripande målen för uppdraget att överväga former för beslut om nedläggande av förundersökning i de fall där pol</w:t>
      </w:r>
      <w:r w:rsidRPr="0008481A">
        <w:t>i</w:t>
      </w:r>
      <w:r w:rsidRPr="0008481A">
        <w:t>sen är förundersökning</w:t>
      </w:r>
      <w:r w:rsidRPr="0008481A">
        <w:t>s</w:t>
      </w:r>
      <w:r w:rsidRPr="0008481A">
        <w:t xml:space="preserve">ledare.  </w:t>
      </w:r>
    </w:p>
    <w:p w:rsidR="003B3271" w:rsidRPr="0008481A" w:rsidRDefault="003B3271">
      <w:pPr>
        <w:pStyle w:val="Normaltindrag"/>
      </w:pPr>
      <w:r w:rsidRPr="0008481A">
        <w:t xml:space="preserve">Riksåklagaren och Rikspolisstyrelsen beslutade i december 1997 nya allmänna råd om ledningen av förundersökning i brottmål (Riksåklagarens författningssamling, RÅFS </w:t>
      </w:r>
      <w:r w:rsidRPr="0008481A">
        <w:t xml:space="preserve">1997:12, vilket motsvaras av Rikspolisstyrelsens FAP 403-5). </w:t>
      </w:r>
    </w:p>
    <w:p w:rsidR="003B3271" w:rsidRPr="0008481A" w:rsidRDefault="003B3271">
      <w:pPr>
        <w:pStyle w:val="Rubrik4"/>
      </w:pPr>
      <w:r w:rsidRPr="0008481A">
        <w:t xml:space="preserve">Förundersökningsledarskap </w:t>
      </w:r>
    </w:p>
    <w:p w:rsidR="003B3271" w:rsidRPr="0008481A" w:rsidRDefault="003B3271">
      <w:r w:rsidRPr="0008481A">
        <w:t>Ett beslut att inleda en förundersökning skall fattas av polismyndigheten eller åklagaren. Har förundersökningen inletts av polismyndigheten och är saken inte av enkel beskaffenhet, skall ledningen av förundersökningen avseende brottet övertas av åklagaren, så snart någon skäligen kan misstänkas för brottet. Åklag</w:t>
      </w:r>
      <w:r w:rsidRPr="0008481A">
        <w:t>a</w:t>
      </w:r>
      <w:r w:rsidRPr="0008481A">
        <w:t>ren skall också i annat fall överta ledningen när det är påkallat av särskilda skäl (23 kap. 3 § första stycket RB).</w:t>
      </w:r>
    </w:p>
    <w:p w:rsidR="003B3271" w:rsidRPr="0008481A" w:rsidRDefault="003B3271">
      <w:pPr>
        <w:pStyle w:val="Normaltindrag"/>
      </w:pPr>
      <w:r w:rsidRPr="0008481A">
        <w:t>I de allmänna råden från december 1997 uttalas att målsättningen skall vara att polismyndigheten är förundersökningsledare i ärenden av s.k. var</w:t>
      </w:r>
      <w:r w:rsidRPr="0008481A">
        <w:softHyphen/>
        <w:t>dags</w:t>
      </w:r>
      <w:r w:rsidRPr="0008481A">
        <w:softHyphen/>
        <w:t>karaktär och att åklagarna koncentrerar sina krafter på de mer kom</w:t>
      </w:r>
      <w:r w:rsidRPr="0008481A">
        <w:softHyphen/>
        <w:t>pli</w:t>
      </w:r>
      <w:r w:rsidRPr="0008481A">
        <w:softHyphen/>
        <w:t>cerade ärendena. Vidare sägs att frågan vad som kan anses innefattas i begreppet enkel beskaffenhet får avgöras främst med hänsyn till brottets generella straffvärde, ärendets karaktär och svårighetsgrad i övrigt samt till den kompetens som finns vid de enskilda p</w:t>
      </w:r>
      <w:r w:rsidRPr="0008481A">
        <w:t>o</w:t>
      </w:r>
      <w:r w:rsidRPr="0008481A">
        <w:t>lismyndigheterna. En närmare bestämning av fördelningen mellan polis och åkl</w:t>
      </w:r>
      <w:r w:rsidRPr="0008481A">
        <w:t>a</w:t>
      </w:r>
      <w:r w:rsidRPr="0008481A">
        <w:t>gare om ansvaret för förundersökningsledningen bör emellertid göras genom l</w:t>
      </w:r>
      <w:r w:rsidRPr="0008481A">
        <w:t>o</w:t>
      </w:r>
      <w:r w:rsidRPr="0008481A">
        <w:t>kala överens</w:t>
      </w:r>
      <w:r w:rsidRPr="0008481A">
        <w:softHyphen/>
        <w:t>komm</w:t>
      </w:r>
      <w:r w:rsidRPr="0008481A">
        <w:t>elser (punkt 2.1 i RÅFS 1997:12). Det ges dock vissa rik</w:t>
      </w:r>
      <w:r w:rsidRPr="0008481A">
        <w:t>t</w:t>
      </w:r>
      <w:r w:rsidRPr="0008481A">
        <w:t>linjer om vilka brott och övriga fall där åklagaren bör leda förundersökningen (se punkterna 2.2–2.4).</w:t>
      </w:r>
    </w:p>
    <w:p w:rsidR="003B3271" w:rsidRPr="0008481A" w:rsidRDefault="003B3271">
      <w:pPr>
        <w:pStyle w:val="Rubrik4"/>
      </w:pPr>
      <w:r w:rsidRPr="0008481A">
        <w:t>Nedläggande av förundersökning m.m.</w:t>
      </w:r>
    </w:p>
    <w:p w:rsidR="003B3271" w:rsidRPr="0008481A" w:rsidRDefault="003B3271">
      <w:r w:rsidRPr="0008481A">
        <w:t xml:space="preserve">En förundersökning skall läggas ned om det inte längre finns anledning till dess fullföljande (23 kap. 4 § andra stycket RB). </w:t>
      </w:r>
    </w:p>
    <w:p w:rsidR="003B3271" w:rsidRPr="0008481A" w:rsidRDefault="003B3271">
      <w:pPr>
        <w:pStyle w:val="Normaltindrag"/>
      </w:pPr>
      <w:r w:rsidRPr="0008481A">
        <w:t>En förundersökning får vidare läggas ned om det föreligger förutsättningar att tillämpa reglerna i 23 kap. 4 a § RB om förundersökningsbegränsning. En</w:t>
      </w:r>
      <w:r w:rsidRPr="0008481A">
        <w:softHyphen/>
        <w:t>ligt denna bestämmelse får en förundersökning läggas ned om fortsatt utredning skulle kräva kostnader som inte står i rimligt förhållande till sakens betydelse och det dessutom kan antas att brottet i händelse av lagföring inte skulle leda till någon svårare påföljd än böter. Vidare får ett sådant beslut fattas om det kan antas att åtal för brottet inte skulle komma att ske till följd av bestämmelser om åtalsu</w:t>
      </w:r>
      <w:r w:rsidRPr="0008481A">
        <w:t>n</w:t>
      </w:r>
      <w:r w:rsidRPr="0008481A">
        <w:t>derlåtelse i 20 kap. RB eller om särskild åtals</w:t>
      </w:r>
      <w:r w:rsidRPr="0008481A">
        <w:softHyphen/>
        <w:t>prövning samt något väsentligt al</w:t>
      </w:r>
      <w:r w:rsidRPr="0008481A">
        <w:t>l</w:t>
      </w:r>
      <w:r w:rsidRPr="0008481A">
        <w:t>mänt eller ensk</w:t>
      </w:r>
      <w:r w:rsidRPr="0008481A">
        <w:t>ilt intresse inte åsidosätts genom att förundersö</w:t>
      </w:r>
      <w:r w:rsidRPr="0008481A">
        <w:t>k</w:t>
      </w:r>
      <w:r w:rsidRPr="0008481A">
        <w:t xml:space="preserve">ningen läggs ned. </w:t>
      </w:r>
    </w:p>
    <w:p w:rsidR="003B3271" w:rsidRPr="0008481A" w:rsidRDefault="003B3271">
      <w:pPr>
        <w:pStyle w:val="Normaltindrag"/>
        <w:rPr>
          <w:b/>
        </w:rPr>
      </w:pPr>
      <w:r w:rsidRPr="0008481A">
        <w:t>Ett beslut om att lägga ned en förundersökning enligt 23 kap. 4 § andra stycket RB kan fattas av undersökningsledaren och faller således inom polismyndighetens formella kompetensområde i de fall där myndigheten är förundersökningsledare (jfr Fitger, Rättegångsbalken, del 2, s. 23:28). Ett nedläggningsbeslut med stöd av reglerna om förundersökningsbegränsning får däremot fattas endast av åklagare (23 kap. 4 a § tredje stycket RB).</w:t>
      </w:r>
    </w:p>
    <w:p w:rsidR="003B3271" w:rsidRPr="0008481A" w:rsidRDefault="003B3271">
      <w:pPr>
        <w:pStyle w:val="Normaltindrag"/>
      </w:pPr>
      <w:r w:rsidRPr="0008481A">
        <w:t>Frågan om vilken befogenhet en polismyndighet i vissa fall har att avbryta en fö</w:t>
      </w:r>
      <w:r w:rsidRPr="0008481A">
        <w:t>r</w:t>
      </w:r>
      <w:r w:rsidRPr="0008481A">
        <w:t>undersökning har redan tidigare varit föremål för JO:s ställnings</w:t>
      </w:r>
      <w:r w:rsidRPr="0008481A">
        <w:softHyphen/>
        <w:t>taga</w:t>
      </w:r>
      <w:r w:rsidRPr="0008481A">
        <w:t>n</w:t>
      </w:r>
      <w:r w:rsidRPr="0008481A">
        <w:t>de. JO Wigelius uttalade i ärendet JO 1982/83 s. 104 att polismyndig</w:t>
      </w:r>
      <w:r w:rsidRPr="0008481A">
        <w:softHyphen/>
        <w:t>heten normalt inte bör använda beslutsmotiveringen ”brott kan ej styrkas” vid nedläggning av föru</w:t>
      </w:r>
      <w:r w:rsidRPr="0008481A">
        <w:t>n</w:t>
      </w:r>
      <w:r w:rsidRPr="0008481A">
        <w:t>dersökningar. I ärendet uttalades vidare att utredningen skall redovisas till åklag</w:t>
      </w:r>
      <w:r w:rsidRPr="0008481A">
        <w:t>a</w:t>
      </w:r>
      <w:r w:rsidRPr="0008481A">
        <w:t>re för beslut i åtalsfrågan om det finns någon som är skäligen misstänkt för bro</w:t>
      </w:r>
      <w:r w:rsidRPr="0008481A">
        <w:t>t</w:t>
      </w:r>
      <w:r w:rsidRPr="0008481A">
        <w:t>tet. Om man däremot inte kommit så långt att någon har blivit skäligen misstänkt får polismyndigheten som fö</w:t>
      </w:r>
      <w:r w:rsidRPr="0008481A">
        <w:t>rundersök</w:t>
      </w:r>
      <w:r w:rsidRPr="0008481A">
        <w:softHyphen/>
        <w:t>nings</w:t>
      </w:r>
      <w:r w:rsidRPr="0008481A">
        <w:softHyphen/>
        <w:t>ledare fatta beslut om nedläggning av undersökningen. I sådana fall sägs emellertid formuleringen ”ej spaningsresultat” ofta ligga närmast till hands.</w:t>
      </w:r>
    </w:p>
    <w:p w:rsidR="003B3271" w:rsidRPr="0008481A" w:rsidRDefault="003B3271">
      <w:pPr>
        <w:pStyle w:val="Normaltindrag"/>
      </w:pPr>
      <w:r w:rsidRPr="0008481A">
        <w:t>I 1981 års polisberednings slutbetänkande (SOU 1985:62 s. 215) framhölls att det i doktrin och praxis har ansetts att nedläggande av förundersökning ankommer på åklagare om någon har hörts som skäligen misstänkt för brott. Beslut om nedlä</w:t>
      </w:r>
      <w:r w:rsidRPr="0008481A">
        <w:t>g</w:t>
      </w:r>
      <w:r w:rsidRPr="0008481A">
        <w:t>gande har i dessa fall uppfattats som ett ställningstagande i åtalsfrågan och dä</w:t>
      </w:r>
      <w:r w:rsidRPr="0008481A">
        <w:t>r</w:t>
      </w:r>
      <w:r w:rsidRPr="0008481A">
        <w:t>med en uppgift som uteslutande ankommer på åklagare. Vidare uttalades i betä</w:t>
      </w:r>
      <w:r w:rsidRPr="0008481A">
        <w:t>n</w:t>
      </w:r>
      <w:r w:rsidRPr="0008481A">
        <w:t>kandet att polismyndigheten emellertid av praktiska skäl anses ha rätt att lägga ned en förundersökning, förutom då spaningen inte har lett till misstanke mot n</w:t>
      </w:r>
      <w:r w:rsidRPr="0008481A">
        <w:t>å</w:t>
      </w:r>
      <w:r w:rsidRPr="0008481A">
        <w:t>gon person, i sådana fall då den misstänkte har avlidit och i vissa fall också då brott inte har förelegat.</w:t>
      </w:r>
    </w:p>
    <w:p w:rsidR="003B3271" w:rsidRPr="0008481A" w:rsidRDefault="003B3271">
      <w:r w:rsidRPr="0008481A">
        <w:t>I de allmänna råden om ledningen av förundersökning i brottmål (punkt 3) a</w:t>
      </w:r>
      <w:r w:rsidRPr="0008481A">
        <w:t>n</w:t>
      </w:r>
      <w:r w:rsidRPr="0008481A">
        <w:t>förs i denna del numera bl.a. följa</w:t>
      </w:r>
      <w:r w:rsidRPr="0008481A">
        <w:t>n</w:t>
      </w:r>
      <w:r w:rsidRPr="0008481A">
        <w:t>de.</w:t>
      </w:r>
    </w:p>
    <w:p w:rsidR="003B3271" w:rsidRPr="0008481A" w:rsidRDefault="003B3271">
      <w:pPr>
        <w:pStyle w:val="Citat"/>
      </w:pPr>
      <w:r w:rsidRPr="0008481A">
        <w:t>Frågan om var gränsen går mellan när en förundersökning skall läggas ned och när ett negativt åtalsbeslut skall fattas finns inte reglerad i författnings</w:t>
      </w:r>
      <w:r w:rsidRPr="0008481A">
        <w:softHyphen/>
        <w:t>text. Negativa åtalsbeslut fattas alltid av åklagaren. I ett år 1985 utfärdat cirkulär (RÅC I:107) uttalade Riksåklagaren att åklagarna fortsät</w:t>
      </w:r>
      <w:r w:rsidRPr="0008481A">
        <w:t>t</w:t>
      </w:r>
      <w:r w:rsidRPr="0008481A">
        <w:t>ningsvis borde låta gränsen för när en förundersökning kan läggas ned gå vid när s.k. slutdelgi</w:t>
      </w:r>
      <w:r w:rsidRPr="0008481A">
        <w:t>v</w:t>
      </w:r>
      <w:r w:rsidRPr="0008481A">
        <w:t xml:space="preserve">ning enligt 23 kap. 18 § RB ägt rum. Skälet till detta var att denna gränsdragning bättre stod i överensstämmelse med de utvidgade reglerna om förundersökningsbegränsning som infördes år 1982. Innan slutdelgivning ägt rum kan alltså en förundersökning läggas ned. </w:t>
      </w:r>
    </w:p>
    <w:p w:rsidR="003B3271" w:rsidRPr="0008481A" w:rsidRDefault="003B3271">
      <w:pPr>
        <w:pStyle w:val="Citatindrag"/>
      </w:pPr>
      <w:r w:rsidRPr="0008481A">
        <w:t>Beslut</w:t>
      </w:r>
      <w:r w:rsidRPr="0008481A">
        <w:t xml:space="preserve"> om nedläggning kan, utom i fall som avses i 23 kap. 4 a § RB, fattas av undersökningsled</w:t>
      </w:r>
      <w:r w:rsidRPr="0008481A">
        <w:t>a</w:t>
      </w:r>
      <w:r w:rsidRPr="0008481A">
        <w:t>ren och faller således inom polismyndighetens formella kompetensområde i de fall där myndigh</w:t>
      </w:r>
      <w:r w:rsidRPr="0008481A">
        <w:t>e</w:t>
      </w:r>
      <w:r w:rsidRPr="0008481A">
        <w:t>ten är förundersökningsledare (Fitger. P, Rättegångsbalken, del 2, sid 23:28).</w:t>
      </w:r>
    </w:p>
    <w:p w:rsidR="003B3271" w:rsidRPr="0008481A" w:rsidRDefault="003B3271">
      <w:pPr>
        <w:pStyle w:val="Citatindrag"/>
      </w:pPr>
      <w:r w:rsidRPr="0008481A">
        <w:t>Några formella hinder mot att polismyndigheten lägger ned förunder</w:t>
      </w:r>
      <w:r w:rsidRPr="0008481A">
        <w:softHyphen/>
        <w:t>sökningar med motiveringen att brott inte kan styrkas finns alltså inte. Det måste emellertid ske en noggrann bedömning av b</w:t>
      </w:r>
      <w:r w:rsidRPr="0008481A">
        <w:t>e</w:t>
      </w:r>
      <w:r w:rsidRPr="0008481A">
        <w:t>visläget i varje enskilt fall. Beslutet innebär att det görs en prognos av huruvida det kan förväntas en fällande dom eller inte. Den som skall göra en sådan bedömning måste ha nödvändig komp</w:t>
      </w:r>
      <w:r w:rsidRPr="0008481A">
        <w:t>e</w:t>
      </w:r>
      <w:r w:rsidRPr="0008481A">
        <w:t>tens för detta. I osäkra eller på annat sätt komplicerade fall bör därför förundersökningsledningen överlämnas till åklagaren för av</w:t>
      </w:r>
      <w:r w:rsidRPr="0008481A">
        <w:softHyphen/>
        <w:t>görande om ärendets fortsatta handläggning. Den närmare a</w:t>
      </w:r>
      <w:r w:rsidRPr="0008481A">
        <w:t>v</w:t>
      </w:r>
      <w:r w:rsidRPr="0008481A">
        <w:t>grä</w:t>
      </w:r>
      <w:r w:rsidRPr="0008481A">
        <w:t>nsningen i denna fråga bör bestämmas inom ramen för de lokala överenskommelserna angåe</w:t>
      </w:r>
      <w:r w:rsidRPr="0008481A">
        <w:t>n</w:t>
      </w:r>
      <w:r w:rsidRPr="0008481A">
        <w:t>de fö</w:t>
      </w:r>
      <w:r w:rsidRPr="0008481A">
        <w:t>r</w:t>
      </w:r>
      <w:r w:rsidRPr="0008481A">
        <w:t>delningen av förundersökningsledningen.</w:t>
      </w:r>
    </w:p>
    <w:p w:rsidR="003B3271" w:rsidRPr="0008481A" w:rsidRDefault="003B3271">
      <w:pPr>
        <w:pStyle w:val="Rubrik3"/>
      </w:pPr>
      <w:r w:rsidRPr="0008481A">
        <w:t xml:space="preserve">Bedömning </w:t>
      </w:r>
    </w:p>
    <w:p w:rsidR="003B3271" w:rsidRPr="0008481A" w:rsidRDefault="003B3271">
      <w:pPr>
        <w:pStyle w:val="Rubrik4"/>
        <w:spacing w:before="120"/>
      </w:pPr>
      <w:r w:rsidRPr="0008481A">
        <w:t>Allmänt</w:t>
      </w:r>
    </w:p>
    <w:p w:rsidR="003B3271" w:rsidRPr="0008481A" w:rsidRDefault="003B3271">
      <w:r w:rsidRPr="0008481A">
        <w:t>När jag beslutade att utreda frågan om lämpligheten av att en polismyndighet lä</w:t>
      </w:r>
      <w:r w:rsidRPr="0008481A">
        <w:t>g</w:t>
      </w:r>
      <w:r w:rsidRPr="0008481A">
        <w:t>ger ned en förundersökning med motiveringen ”brott kan ej styrkas” var den gängse uppfattningen att polismyndigheternas möjligheter att använda denna b</w:t>
      </w:r>
      <w:r w:rsidRPr="0008481A">
        <w:t>e</w:t>
      </w:r>
      <w:r w:rsidRPr="0008481A">
        <w:t xml:space="preserve">slutsmotivering var begränsade på det sätt som uttalas i JO 1982/83 s. 104 och i 1981 års polisberednings slutbetänkande. </w:t>
      </w:r>
    </w:p>
    <w:p w:rsidR="003B3271" w:rsidRPr="0008481A" w:rsidRDefault="003B3271">
      <w:pPr>
        <w:pStyle w:val="Normaltindrag"/>
      </w:pPr>
      <w:r w:rsidRPr="0008481A">
        <w:t>I det tidigare gällande fördelningscirkuläret saknades uttalanden i frågan. Som har nämnts i det föregående föreligger emellertid nu nya av Rik</w:t>
      </w:r>
      <w:r w:rsidRPr="0008481A">
        <w:softHyphen/>
        <w:t>s</w:t>
      </w:r>
      <w:r w:rsidRPr="0008481A">
        <w:softHyphen/>
        <w:t>åklagaren och Rik</w:t>
      </w:r>
      <w:r w:rsidRPr="0008481A">
        <w:t>s</w:t>
      </w:r>
      <w:r w:rsidRPr="0008481A">
        <w:t>polisstyrelsen meddelade allmänna råd om förundersök</w:t>
      </w:r>
      <w:r w:rsidRPr="0008481A">
        <w:softHyphen/>
        <w:t>ning i brottmål, där saken behandlas. Råden är emellertid i detta hänseende så allmänt utformade att det är oklart om de innebär någon mera påtaglig förändring i förhållande till vad som dittills har ansetts gälla i fråga om polismyndigheternas möjligheter att lägga ned en förundersökning med motiveringen ”brott kan ej styrkas”. Detaljregleringen av frågan avses ske genom de lokala överenskommelser som nämns i sammanhanget. Några uppg</w:t>
      </w:r>
      <w:r w:rsidRPr="0008481A">
        <w:t>ifter om vad dessa överenskommelser innebär i det här aktuella hän</w:t>
      </w:r>
      <w:r w:rsidRPr="0008481A">
        <w:softHyphen/>
        <w:t>s</w:t>
      </w:r>
      <w:r w:rsidRPr="0008481A">
        <w:t>e</w:t>
      </w:r>
      <w:r w:rsidRPr="0008481A">
        <w:t xml:space="preserve">endet föreligger inte i ärendet. </w:t>
      </w:r>
    </w:p>
    <w:p w:rsidR="003B3271" w:rsidRPr="0008481A" w:rsidRDefault="003B3271">
      <w:pPr>
        <w:pStyle w:val="Normaltindrag"/>
      </w:pPr>
      <w:r w:rsidRPr="0008481A">
        <w:t>Vad som sägs i rapporten Några steg på vägen mot effektivare för</w:t>
      </w:r>
      <w:r w:rsidRPr="0008481A">
        <w:softHyphen/>
        <w:t>undersöknin</w:t>
      </w:r>
      <w:r w:rsidRPr="0008481A">
        <w:t>g</w:t>
      </w:r>
      <w:r w:rsidRPr="0008481A">
        <w:t>ar tyder emellertid närmast på att en viss förändring av sättet att se på frågan är åsyftad. Det framhålls bl.a. att en överföring av den här diskuterade typen av b</w:t>
      </w:r>
      <w:r w:rsidRPr="0008481A">
        <w:t>e</w:t>
      </w:r>
      <w:r w:rsidRPr="0008481A">
        <w:t>slut till polismyndigheten i de ärenden där den är förundersökningsledare skulle ge effektivitetsvinster. Arbetsgruppen uttalar vidare att det kan synas uppenbart att den som är förundersökningsledare, och därmed satt att göra bedömningar inn</w:t>
      </w:r>
      <w:r w:rsidRPr="0008481A">
        <w:t>e</w:t>
      </w:r>
      <w:r w:rsidRPr="0008481A">
        <w:t>fattande bl.a. huruvida brott föreligger och vad som krävs för att styrka detta, måste ha e</w:t>
      </w:r>
      <w:r w:rsidRPr="0008481A">
        <w:t>n sådan kompetensnivå att han eller hon också kan göra en fullgod b</w:t>
      </w:r>
      <w:r w:rsidRPr="0008481A">
        <w:t>e</w:t>
      </w:r>
      <w:r w:rsidRPr="0008481A">
        <w:t>dömning av om ärendet skall läggas ned med hänvisning till att brott inte kan styrkas. För att höja kompetensen hos polisen föreslår arbetsgruppen att vissa u</w:t>
      </w:r>
      <w:r w:rsidRPr="0008481A">
        <w:t>t</w:t>
      </w:r>
      <w:r w:rsidRPr="0008481A">
        <w:t>bildnings</w:t>
      </w:r>
      <w:r w:rsidRPr="0008481A">
        <w:softHyphen/>
        <w:t>åtgärder vidtas, t.ex. i form av riktad utbildning vari bör ingå en inte all</w:t>
      </w:r>
      <w:r w:rsidRPr="0008481A">
        <w:t>t</w:t>
      </w:r>
      <w:r w:rsidRPr="0008481A">
        <w:t>för kort praktiktid hos åklag</w:t>
      </w:r>
      <w:r w:rsidRPr="0008481A">
        <w:t>a</w:t>
      </w:r>
      <w:r w:rsidRPr="0008481A">
        <w:t>re.</w:t>
      </w:r>
    </w:p>
    <w:p w:rsidR="003B3271" w:rsidRPr="0008481A" w:rsidRDefault="003B3271">
      <w:pPr>
        <w:pStyle w:val="Rubrik4"/>
      </w:pPr>
      <w:r w:rsidRPr="0008481A">
        <w:t>Innebörden av beslutsmotiveringen ”brott kan ej styrkas”</w:t>
      </w:r>
    </w:p>
    <w:p w:rsidR="003B3271" w:rsidRPr="0008481A" w:rsidRDefault="003B3271">
      <w:r w:rsidRPr="0008481A">
        <w:t>Innan jag kommer in på frågan om de rättsliga möjligheterna för en polis</w:t>
      </w:r>
      <w:r w:rsidRPr="0008481A">
        <w:softHyphen/>
        <w:t>myndi</w:t>
      </w:r>
      <w:r w:rsidRPr="0008481A">
        <w:t>g</w:t>
      </w:r>
      <w:r w:rsidRPr="0008481A">
        <w:t>het att lägga ned en förundersökning med beslutsmotiveringen ”brott kan ej sty</w:t>
      </w:r>
      <w:r w:rsidRPr="0008481A">
        <w:t>r</w:t>
      </w:r>
      <w:r w:rsidRPr="0008481A">
        <w:t>kas”, vill jag peka på det förhållandet att motiveringen, med den innebörd den har för närvarande, inte är entydig. I Rikspolisstyrelsens föreskrifter och allmänna råd för personbladsrutinen (FAP 441-2) anges nämligen i avsnitt 10 att den innebär antingen att det inte kan styrkas att den misstänkte har begått brottet eller att det inte kan styrkas att brott föreligger (se även avsnitt 16.3 i FAP 403-6 om anmä</w:t>
      </w:r>
      <w:r w:rsidRPr="0008481A">
        <w:t>l</w:t>
      </w:r>
      <w:r w:rsidRPr="0008481A">
        <w:t>ningsrutinen)</w:t>
      </w:r>
      <w:r w:rsidRPr="0008481A">
        <w:t>. Riksrevisions</w:t>
      </w:r>
      <w:r w:rsidRPr="0008481A">
        <w:softHyphen/>
        <w:t>verket konstaterar mot denna bakgrund i rapporten (RRV 1999:3) Svårig</w:t>
      </w:r>
      <w:r w:rsidRPr="0008481A">
        <w:softHyphen/>
        <w:t>heter med statistik rörande brottsutredningar att motiverin</w:t>
      </w:r>
      <w:r w:rsidRPr="0008481A">
        <w:t>g</w:t>
      </w:r>
      <w:r w:rsidRPr="0008481A">
        <w:t>en används av polis och åklagare i situationer som i hög grad skiljer sig från va</w:t>
      </w:r>
      <w:r w:rsidRPr="0008481A">
        <w:t>r</w:t>
      </w:r>
      <w:r w:rsidRPr="0008481A">
        <w:t>andra och att den därför inte är lämplig att använda som ett effektivitetsmått avs</w:t>
      </w:r>
      <w:r w:rsidRPr="0008481A">
        <w:t>e</w:t>
      </w:r>
      <w:r w:rsidRPr="0008481A">
        <w:t>ende andelen nedla</w:t>
      </w:r>
      <w:r w:rsidRPr="0008481A">
        <w:t>g</w:t>
      </w:r>
      <w:r w:rsidRPr="0008481A">
        <w:t>da ärenden på denna grund (s. 37 f.).</w:t>
      </w:r>
    </w:p>
    <w:p w:rsidR="003B3271" w:rsidRPr="0008481A" w:rsidRDefault="003B3271">
      <w:pPr>
        <w:pStyle w:val="Normaltindrag"/>
      </w:pPr>
      <w:r w:rsidRPr="0008481A">
        <w:t>Det är en grundläggande princip i en rättsstat att rättstillämpningen i största möjl</w:t>
      </w:r>
      <w:r w:rsidRPr="0008481A">
        <w:t>i</w:t>
      </w:r>
      <w:r w:rsidRPr="0008481A">
        <w:t>ga utsträckning skall vara enhetlig och förutsebar. Detta gäller själv</w:t>
      </w:r>
      <w:r w:rsidRPr="0008481A">
        <w:softHyphen/>
        <w:t>fallet också i fråga om avslutandet av brottsutredningar. Eftersom besluts</w:t>
      </w:r>
      <w:r w:rsidRPr="0008481A">
        <w:softHyphen/>
        <w:t>motiveringen ”brott kan ej styrkas” inte är entydig och det därmed är möjligt att tillämpa den i situ</w:t>
      </w:r>
      <w:r w:rsidRPr="0008481A">
        <w:t>a</w:t>
      </w:r>
      <w:r w:rsidRPr="0008481A">
        <w:t xml:space="preserve">tioner av mycket varierande slag, kan man ofta inte förstå vilken innebörd den har i det särskilda fallet. </w:t>
      </w:r>
    </w:p>
    <w:p w:rsidR="003B3271" w:rsidRPr="0008481A" w:rsidRDefault="003B3271">
      <w:pPr>
        <w:pStyle w:val="Normaltindrag"/>
      </w:pPr>
      <w:r w:rsidRPr="0008481A">
        <w:t>Enligt min mening bör beslutsmotiveringen ”brott kan ej styrkas” därför framdeles användas endast i de fall där det inte kan styrkas att den som är misstän</w:t>
      </w:r>
      <w:r w:rsidRPr="0008481A">
        <w:t>kt för brottet verkligen har begått detta. Det skall således vara fråga om situationer där förundersökningsledaren på grundval av en värdering av föreliggande bevisning finner att man inte kan förvänta sig en fällande dom och därför beslutar att lägga ned förundersökningen eller att åtal inte skall väckas. Om det däremot inte kan klarläggas om något brott över huvud taget har begåtts eller det inte finns någon misstänkt, bör utredningen i stället avslutas t.ex. på den grunden att det inte kan antas att någo</w:t>
      </w:r>
      <w:r w:rsidRPr="0008481A">
        <w:t>t brott som hör under allmänt åtal har förövats respektive att sp</w:t>
      </w:r>
      <w:r w:rsidRPr="0008481A">
        <w:t>a</w:t>
      </w:r>
      <w:r w:rsidRPr="0008481A">
        <w:t xml:space="preserve">ningsresultat saknas. </w:t>
      </w:r>
    </w:p>
    <w:p w:rsidR="003B3271" w:rsidRPr="0008481A" w:rsidRDefault="003B3271">
      <w:pPr>
        <w:pStyle w:val="Normaltindrag"/>
      </w:pPr>
      <w:r w:rsidRPr="0008481A">
        <w:t>Genom en sådan terminologisk förändring skulle användningen av de olika a</w:t>
      </w:r>
      <w:r w:rsidRPr="0008481A">
        <w:t>v</w:t>
      </w:r>
      <w:r w:rsidRPr="0008481A">
        <w:t>skrivningsgrunderna framstå som mer adekvat, och därmed skulle också kravet på förutsebarhet och entydighet tillgodoses på ett bättre sätt än för närv</w:t>
      </w:r>
      <w:r w:rsidRPr="0008481A">
        <w:t>a</w:t>
      </w:r>
      <w:r w:rsidRPr="0008481A">
        <w:t xml:space="preserve">rande. </w:t>
      </w:r>
    </w:p>
    <w:p w:rsidR="003B3271" w:rsidRPr="0008481A" w:rsidRDefault="003B3271">
      <w:pPr>
        <w:pStyle w:val="Normaltindrag"/>
      </w:pPr>
      <w:r w:rsidRPr="0008481A">
        <w:t>Utgångspunkten för mitt resonemang i det följande är således att motiveringen ”brott kan ej styrkas” skall användas endast i de fall där det inte kan styrkas att den misstänkte har begått brottet.</w:t>
      </w:r>
    </w:p>
    <w:p w:rsidR="003B3271" w:rsidRPr="0008481A" w:rsidRDefault="003B3271">
      <w:pPr>
        <w:pStyle w:val="Rubrik4"/>
      </w:pPr>
      <w:r w:rsidRPr="0008481A">
        <w:t>Befogenheten att använda beslutsmotiveringen ”brott kan ej styrkas”</w:t>
      </w:r>
    </w:p>
    <w:p w:rsidR="003B3271" w:rsidRPr="0008481A" w:rsidRDefault="003B3271">
      <w:r w:rsidRPr="0008481A">
        <w:t>Rättegångsbalken ger i viktiga hänseenden åklagaren en särställning i det brottsu</w:t>
      </w:r>
      <w:r w:rsidRPr="0008481A">
        <w:t>t</w:t>
      </w:r>
      <w:r w:rsidRPr="0008481A">
        <w:t>redande förfarandet. Detta har sin grund i att det av rättssäkerhetsskäl har ansetts påkallat att beslut av mera ingripande betydelse för den enskilde fattas av en pe</w:t>
      </w:r>
      <w:r w:rsidRPr="0008481A">
        <w:t>r</w:t>
      </w:r>
      <w:r w:rsidRPr="0008481A">
        <w:t>son med kvalificerad juridisk kompetens som tillhör en annan myndighetsorgan</w:t>
      </w:r>
      <w:r w:rsidRPr="0008481A">
        <w:t>i</w:t>
      </w:r>
      <w:r w:rsidRPr="0008481A">
        <w:t>sation än den som har hand om det löpande utrednings</w:t>
      </w:r>
      <w:r w:rsidRPr="0008481A">
        <w:softHyphen/>
        <w:t>arbetet och som därmed har särskilda förutsättningar att agera med den objektivitet som rättegångsbalken kr</w:t>
      </w:r>
      <w:r w:rsidRPr="0008481A">
        <w:t>ä</w:t>
      </w:r>
      <w:r w:rsidRPr="0008481A">
        <w:t>ver.</w:t>
      </w:r>
    </w:p>
    <w:p w:rsidR="003B3271" w:rsidRPr="0008481A" w:rsidRDefault="003B3271">
      <w:pPr>
        <w:pStyle w:val="Normaltindrag"/>
      </w:pPr>
      <w:r w:rsidRPr="0008481A">
        <w:t>Som framgår av vad som har sagts i det föregående om den rättsliga reg</w:t>
      </w:r>
      <w:r w:rsidRPr="0008481A">
        <w:softHyphen/>
        <w:t>ler</w:t>
      </w:r>
      <w:r w:rsidRPr="0008481A">
        <w:softHyphen/>
        <w:t>ingen finns det inte något formellt hinder mot att polismyndigheten använder motiv</w:t>
      </w:r>
      <w:r w:rsidRPr="0008481A">
        <w:t>e</w:t>
      </w:r>
      <w:r w:rsidRPr="0008481A">
        <w:t>ringen ”brott kan ej styrkas” när den lägger ned en förundersökning. Frågan om polisens möjligheter att använda denna beslutsmotivering måste i stället bedömas med utgångspunkt i de grundläggande principerna bakom rättegångsbalkens fö</w:t>
      </w:r>
      <w:r w:rsidRPr="0008481A">
        <w:t>r</w:t>
      </w:r>
      <w:r w:rsidRPr="0008481A">
        <w:t>delning av uppgifter i brottmålsförfarandet mellan polismyndigheterna och åkl</w:t>
      </w:r>
      <w:r w:rsidRPr="0008481A">
        <w:t>a</w:t>
      </w:r>
      <w:r w:rsidRPr="0008481A">
        <w:t>garna. Effektivitetssynpunkter kan vid en sådan bedömning självfallet beaktas e</w:t>
      </w:r>
      <w:r w:rsidRPr="0008481A">
        <w:t>n</w:t>
      </w:r>
      <w:r w:rsidRPr="0008481A">
        <w:t>dast i den utsträckning som det</w:t>
      </w:r>
      <w:r w:rsidRPr="0008481A">
        <w:t>ta inte leder till ett resultat som står i strid med de</w:t>
      </w:r>
      <w:r w:rsidRPr="0008481A">
        <w:t>s</w:t>
      </w:r>
      <w:r w:rsidRPr="0008481A">
        <w:t>sa princi</w:t>
      </w:r>
      <w:r w:rsidRPr="0008481A">
        <w:t>p</w:t>
      </w:r>
      <w:r w:rsidRPr="0008481A">
        <w:t xml:space="preserve">er. </w:t>
      </w:r>
    </w:p>
    <w:p w:rsidR="003B3271" w:rsidRPr="0008481A" w:rsidRDefault="003B3271">
      <w:pPr>
        <w:pStyle w:val="Normaltindrag"/>
      </w:pPr>
      <w:r w:rsidRPr="0008481A">
        <w:t>Av rättegångsbalken framgår att det är åklagaren som för det allmännas talan i domstol och att det endast är åklagaren som har befogenhet att besluta att åtal skall väckas. Härav följer i sin tur att alla beslut under en brotts</w:t>
      </w:r>
      <w:r w:rsidRPr="0008481A">
        <w:softHyphen/>
        <w:t>utredning som i sak utgör ett ställningstagande i åtalsfrågan måste fattas av åklagaren. Till åklag</w:t>
      </w:r>
      <w:r w:rsidRPr="0008481A">
        <w:t>a</w:t>
      </w:r>
      <w:r w:rsidRPr="0008481A">
        <w:t>rens uppgifter hör också att i samband därmed kontrollera kvaliteten i polisens utredningsverksa</w:t>
      </w:r>
      <w:r w:rsidRPr="0008481A">
        <w:t>m</w:t>
      </w:r>
      <w:r w:rsidRPr="0008481A">
        <w:t>het.</w:t>
      </w:r>
    </w:p>
    <w:p w:rsidR="003B3271" w:rsidRPr="0008481A" w:rsidRDefault="003B3271">
      <w:pPr>
        <w:pStyle w:val="Normaltindrag"/>
      </w:pPr>
      <w:r w:rsidRPr="0008481A">
        <w:t>Ett ställningstagande i åtalsfrågan föreligger uppenbarligen alltid, när ett beslut att avsluta en förundersökning fattas efter s.k. slutdelgivning enligt 23 kap. 18 § RB och beslutet därför enligt RÅC I:107 skall avfattas som ett beslut att inte väcka åtal. Det bör emellertid framhållas att den gränsdragnin</w:t>
      </w:r>
      <w:r w:rsidRPr="0008481A">
        <w:t>g som där görs mellan b</w:t>
      </w:r>
      <w:r w:rsidRPr="0008481A">
        <w:t>e</w:t>
      </w:r>
      <w:r w:rsidRPr="0008481A">
        <w:t>slut att inte väcka åtal, å den ena sidan, och beslut att lägga ned en förundersö</w:t>
      </w:r>
      <w:r w:rsidRPr="0008481A">
        <w:t>k</w:t>
      </w:r>
      <w:r w:rsidRPr="0008481A">
        <w:t>ning, å den andra, avser frågan hur åklagarna skall utforma ett beslut att avsluta en förundersökning. Vad som sägs i RÅC I:107 kan däremot inte tillmätas någon a</w:t>
      </w:r>
      <w:r w:rsidRPr="0008481A">
        <w:t>v</w:t>
      </w:r>
      <w:r w:rsidRPr="0008481A">
        <w:t>görande betydelse vid bedömningen av om ett beslut att avsluta en förundersö</w:t>
      </w:r>
      <w:r w:rsidRPr="0008481A">
        <w:t>k</w:t>
      </w:r>
      <w:r w:rsidRPr="0008481A">
        <w:t>ning i sakligt hänseende skall betraktas som ett ställningstagande i åtalsfrågan e</w:t>
      </w:r>
      <w:r w:rsidRPr="0008481A">
        <w:t>l</w:t>
      </w:r>
      <w:r w:rsidRPr="0008481A">
        <w:t xml:space="preserve">ler ej. </w:t>
      </w:r>
    </w:p>
    <w:p w:rsidR="003B3271" w:rsidRPr="0008481A" w:rsidRDefault="003B3271">
      <w:pPr>
        <w:pStyle w:val="Normaltindrag"/>
      </w:pPr>
      <w:r w:rsidRPr="0008481A">
        <w:t>Den väsentliga skiljelinjen mellan olika stadier i förunder</w:t>
      </w:r>
      <w:r w:rsidRPr="0008481A">
        <w:softHyphen/>
        <w:t>söknings</w:t>
      </w:r>
      <w:r w:rsidRPr="0008481A">
        <w:softHyphen/>
        <w:t>för</w:t>
      </w:r>
      <w:r w:rsidRPr="0008481A">
        <w:softHyphen/>
        <w:t>farandet går i stället vid den tidpunkt då någon skäligen misstänks för brottet. I och med att n</w:t>
      </w:r>
      <w:r w:rsidRPr="0008481A">
        <w:t>å</w:t>
      </w:r>
      <w:r w:rsidRPr="0008481A">
        <w:t xml:space="preserve">gon – i enlighet med vad som föreskrivs i 23 kap. 18 § RB första stycket första meningen RB – delges misstanke om brott övergår förundersökningen i ett nytt skede, vilket bl.a. innebär att den misstänkte får vissa ur rättssäkerhetssynpunkt betydelsefulla rättigheter. I de fall där någon har delgetts misstanke om brottet framstår ett beslut att avsluta en förundersökning som ett ställningstagande i </w:t>
      </w:r>
      <w:r w:rsidRPr="0008481A">
        <w:t>åtal</w:t>
      </w:r>
      <w:r w:rsidRPr="0008481A">
        <w:t>s</w:t>
      </w:r>
      <w:r w:rsidRPr="0008481A">
        <w:t>frågan oavsett hur beslutet har formulerats (jfr Gärde m.fl., Nya Rättegångsba</w:t>
      </w:r>
      <w:r w:rsidRPr="0008481A">
        <w:t>l</w:t>
      </w:r>
      <w:r w:rsidRPr="0008481A">
        <w:t>ken, s. 312 om tillämpningen av 23 kap. 20 § RB om beslut i åtalsfrågan). Som har framhållits i flera JO-beslut (se t.ex. JO 1992/93 s. 204 och JO 1993/1994      s. 101) krävs för att någon skall anses vara skäligen misstänkt för brott att det f</w:t>
      </w:r>
      <w:r w:rsidRPr="0008481A">
        <w:t>ö</w:t>
      </w:r>
      <w:r w:rsidRPr="0008481A">
        <w:t>religger konkreta omständigheter som med viss styrka talar för att personen i fråga har begått den gärning som misstanken avser. För att en utredning i ett sådant fall skall kunna lä</w:t>
      </w:r>
      <w:r w:rsidRPr="0008481A">
        <w:t>ggas ned med beslutsmotiveringen ”brott kan ej styrkas” krävs föl</w:t>
      </w:r>
      <w:r w:rsidRPr="0008481A">
        <w:t>j</w:t>
      </w:r>
      <w:r w:rsidRPr="0008481A">
        <w:t>aktligen i allmänhet en betydligt mer ingående bevisvärdering än i de fall där b</w:t>
      </w:r>
      <w:r w:rsidRPr="0008481A">
        <w:t>e</w:t>
      </w:r>
      <w:r w:rsidRPr="0008481A">
        <w:t>visnivån skälig misstanke aldrig har uppnåtts. Detta synsätt kommer också till u</w:t>
      </w:r>
      <w:r w:rsidRPr="0008481A">
        <w:t>t</w:t>
      </w:r>
      <w:r w:rsidRPr="0008481A">
        <w:t>tryck i Riksåklagarens remissvar när det där sägs att prövningen av bevisningens styrka i dessa fall får anses innefatta sådana rättsliga överväganden som det åli</w:t>
      </w:r>
      <w:r w:rsidRPr="0008481A">
        <w:t>g</w:t>
      </w:r>
      <w:r w:rsidRPr="0008481A">
        <w:t>ger åklagare att g</w:t>
      </w:r>
      <w:r w:rsidRPr="0008481A">
        <w:t>ö</w:t>
      </w:r>
      <w:r w:rsidRPr="0008481A">
        <w:t>ra.</w:t>
      </w:r>
    </w:p>
    <w:p w:rsidR="003B3271" w:rsidRPr="0008481A" w:rsidRDefault="003B3271">
      <w:pPr>
        <w:pStyle w:val="Normaltindrag"/>
      </w:pPr>
      <w:r w:rsidRPr="0008481A">
        <w:t>Härav följer i sin tur, i konsekvens med vad som har sagts i det föregående, att det får anses föl</w:t>
      </w:r>
      <w:r w:rsidRPr="0008481A">
        <w:t>ja av rättegångsbalkens fördelning av upp</w:t>
      </w:r>
      <w:r w:rsidRPr="0008481A">
        <w:softHyphen/>
        <w:t>gifter mellan polis och åkl</w:t>
      </w:r>
      <w:r w:rsidRPr="0008481A">
        <w:t>a</w:t>
      </w:r>
      <w:r w:rsidRPr="0008481A">
        <w:t>gare att, sedan någon delgetts misstanke om brott, frågan om nedläggning av förundersökningen på grundval av en bevis</w:t>
      </w:r>
      <w:r w:rsidRPr="0008481A">
        <w:softHyphen/>
        <w:t>värde</w:t>
      </w:r>
      <w:r w:rsidRPr="0008481A">
        <w:softHyphen/>
        <w:t xml:space="preserve">ring skall överlämnas till åklagaren för beslut. </w:t>
      </w:r>
    </w:p>
    <w:p w:rsidR="003B3271" w:rsidRPr="0008481A" w:rsidRDefault="003B3271">
      <w:pPr>
        <w:pStyle w:val="Normaltindrag"/>
      </w:pPr>
      <w:r w:rsidRPr="0008481A">
        <w:t>Det nu sagda innebär att jag i princip ansluter mig till det synsätt avseende bef</w:t>
      </w:r>
      <w:r w:rsidRPr="0008481A">
        <w:t>o</w:t>
      </w:r>
      <w:r w:rsidRPr="0008481A">
        <w:t>genheten att lägga ned en förundersökning med motiveringen ”brott kan ej sty</w:t>
      </w:r>
      <w:r w:rsidRPr="0008481A">
        <w:t>r</w:t>
      </w:r>
      <w:r w:rsidRPr="0008481A">
        <w:t>kas” som kommer till uttryck i JO 1982/83 s. 104 och i 1981 års polisberednings slutbetänka</w:t>
      </w:r>
      <w:r w:rsidRPr="0008481A">
        <w:t>n</w:t>
      </w:r>
      <w:r w:rsidRPr="0008481A">
        <w:t>de.</w:t>
      </w:r>
    </w:p>
    <w:p w:rsidR="003B3271" w:rsidRPr="0008481A" w:rsidRDefault="003B3271">
      <w:pPr>
        <w:pStyle w:val="Normaltindrag"/>
      </w:pPr>
      <w:r w:rsidRPr="0008481A">
        <w:t>Jag finner inte anledning att i detta sammanhang närmare gå in på frågan om den rättsliga innebörden av sådana lokala avtal mellan polis- och åklagar</w:t>
      </w:r>
      <w:r w:rsidRPr="0008481A">
        <w:softHyphen/>
        <w:t>myndigheter om tolkningen av gällande lag som nämns i de allmänna råden från december 1997. Jag kan emellertid konstatera att avtal mellan myndig</w:t>
      </w:r>
      <w:r w:rsidRPr="0008481A">
        <w:softHyphen/>
        <w:t>heter inte återfinns bland de olika former för beslut om rättsligen bindande normer som läggs fast i 8 kap. regeringsformen och att sådana avtal inte heller utgör allmänna råd av det slag som åsyftas i 1 § författnings</w:t>
      </w:r>
      <w:r w:rsidRPr="0008481A">
        <w:softHyphen/>
        <w:t xml:space="preserve">samlingsförordningen (1976:725). </w:t>
      </w:r>
    </w:p>
    <w:p w:rsidR="003B3271" w:rsidRPr="0008481A" w:rsidRDefault="003B3271">
      <w:pPr>
        <w:pStyle w:val="Normaltindrag"/>
      </w:pPr>
      <w:r w:rsidRPr="0008481A">
        <w:t>Utöver vad som nu har anförts föranleder utformningen av fördelnings</w:t>
      </w:r>
      <w:r w:rsidRPr="0008481A">
        <w:softHyphen/>
        <w:t>cirkuläret i det här aktuella hänseendet inte n</w:t>
      </w:r>
      <w:r w:rsidRPr="0008481A">
        <w:t>å</w:t>
      </w:r>
      <w:r w:rsidRPr="0008481A">
        <w:t xml:space="preserve">got uttalande från min sida. </w:t>
      </w:r>
    </w:p>
    <w:p w:rsidR="003B3271" w:rsidRPr="0008481A" w:rsidRDefault="003B3271">
      <w:pPr>
        <w:pStyle w:val="Normaltindrag"/>
      </w:pPr>
      <w:r w:rsidRPr="0008481A">
        <w:t>Mina iakttagelser i detta ärende är av den arten att jag finner det påkallat att fästa Justitiedepartementets och justitieutskottets uppmärksamhet på de här behandlade frågorna genom att dit överlämna kopior av detta beslut.</w:t>
      </w:r>
    </w:p>
    <w:p w:rsidR="003B3271" w:rsidRPr="0008481A" w:rsidRDefault="003B3271">
      <w:pPr>
        <w:pStyle w:val="Rubrik2"/>
      </w:pPr>
      <w:r w:rsidRPr="0008481A">
        <w:t>Handläggningen av framställningar om utredningsåtgärder efter det att en brot</w:t>
      </w:r>
      <w:r w:rsidRPr="0008481A">
        <w:t>t</w:t>
      </w:r>
      <w:r w:rsidRPr="0008481A">
        <w:t>målsdom vunnit laga kraft</w:t>
      </w:r>
    </w:p>
    <w:p w:rsidR="003B3271" w:rsidRPr="0008481A" w:rsidRDefault="003B3271">
      <w:r w:rsidRPr="0008481A">
        <w:t>(Dnr 4267-1997)</w:t>
      </w:r>
    </w:p>
    <w:p w:rsidR="003B3271" w:rsidRPr="0008481A" w:rsidRDefault="003B3271">
      <w:pPr>
        <w:pStyle w:val="Rubrik3"/>
      </w:pPr>
      <w:r w:rsidRPr="0008481A">
        <w:t>Bakgrund</w:t>
      </w:r>
    </w:p>
    <w:p w:rsidR="003B3271" w:rsidRPr="0008481A" w:rsidRDefault="003B3271">
      <w:r w:rsidRPr="0008481A">
        <w:t>Vid inspektion av Åklagarmyndigheten i Stockholm, 6:e kammaren, den 1–3 o</w:t>
      </w:r>
      <w:r w:rsidRPr="0008481A">
        <w:t>k</w:t>
      </w:r>
      <w:r w:rsidRPr="0008481A">
        <w:t>tober 1997 påträffades en del av en akt avseende ärendet – – – . Av handlingarna och inhämtade upplysningar framgick bl.a. följande.</w:t>
      </w:r>
    </w:p>
    <w:p w:rsidR="003B3271" w:rsidRPr="0008481A" w:rsidRDefault="003B3271">
      <w:pPr>
        <w:pStyle w:val="Normaltindrag"/>
      </w:pPr>
      <w:r w:rsidRPr="0008481A">
        <w:t>P.L. dömdes av Svea hovrätt i december 1993 för bl.a. ett rån begånget i mars 1993. Högsta domstolen beslutade den 31 oktober 1994 att inte bevilja prövning</w:t>
      </w:r>
      <w:r w:rsidRPr="0008481A">
        <w:t>s</w:t>
      </w:r>
      <w:r w:rsidRPr="0008481A">
        <w:t xml:space="preserve">tillstånd. </w:t>
      </w:r>
    </w:p>
    <w:p w:rsidR="003B3271" w:rsidRPr="0008481A" w:rsidRDefault="003B3271">
      <w:pPr>
        <w:pStyle w:val="Normaltindrag"/>
      </w:pPr>
      <w:r w:rsidRPr="0008481A">
        <w:t>Den 21 maj 1996 inkom till Polismyndigheten i Stockholms län, Nacka polismä</w:t>
      </w:r>
      <w:r w:rsidRPr="0008481A">
        <w:t>s</w:t>
      </w:r>
      <w:r w:rsidRPr="0008481A">
        <w:t>tardistrikt, en skrivelse från P.L:s försvarare i vilken han uppgav att P.L., som h</w:t>
      </w:r>
      <w:r w:rsidRPr="0008481A">
        <w:t>a</w:t>
      </w:r>
      <w:r w:rsidRPr="0008481A">
        <w:t>de dömts för rånet mot sitt nekande, hade bett honom att undersöka möjligheten att få resning. Försvararen uppgav att det efter hovrättens dom hade framkommit att en person, K.A., vid avtjänande av ett fängelsestraff vid anstalten Viskan i början av år 1994 hade haft kontakt med en intagen som hade lämnat sådana up</w:t>
      </w:r>
      <w:r w:rsidRPr="0008481A">
        <w:t>p</w:t>
      </w:r>
      <w:r w:rsidRPr="0008481A">
        <w:t>gifter att K. A. hade fått uppfattningen att denne hade kännedom om rånet. Försv</w:t>
      </w:r>
      <w:r w:rsidRPr="0008481A">
        <w:t>a</w:t>
      </w:r>
      <w:r w:rsidRPr="0008481A">
        <w:t>raren begärde därför att K.A.</w:t>
      </w:r>
      <w:r w:rsidRPr="0008481A">
        <w:t xml:space="preserve"> samt den person som K.A. hade talat med skulle höras. Vidare önskade han besked om den undersökning, som hade gjorts beträ</w:t>
      </w:r>
      <w:r w:rsidRPr="0008481A">
        <w:t>f</w:t>
      </w:r>
      <w:r w:rsidRPr="0008481A">
        <w:t>fande ett fingeravtryck säkrat på en backspegel, hade gett något resu</w:t>
      </w:r>
      <w:r w:rsidRPr="0008481A">
        <w:t>l</w:t>
      </w:r>
      <w:r w:rsidRPr="0008481A">
        <w:t xml:space="preserve">tat.   </w:t>
      </w:r>
    </w:p>
    <w:p w:rsidR="003B3271" w:rsidRPr="0008481A" w:rsidRDefault="003B3271">
      <w:pPr>
        <w:pStyle w:val="Normaltindrag"/>
      </w:pPr>
      <w:r w:rsidRPr="0008481A">
        <w:t>Polismyndigheten översände P.L:s begäran till åklagarmyndigheten. Dåvarande distriktsåklagaren Göran Rietz hemställde den 4 juni 1996 att polisen snarast skulle höra K.A. angående vad han kände till om rånet. Han bad också att få r</w:t>
      </w:r>
      <w:r w:rsidRPr="0008481A">
        <w:t>e</w:t>
      </w:r>
      <w:r w:rsidRPr="0008481A">
        <w:t>sultatet av fingeravtrycksundersö</w:t>
      </w:r>
      <w:r w:rsidRPr="0008481A">
        <w:t>k</w:t>
      </w:r>
      <w:r w:rsidRPr="0008481A">
        <w:t>ningen.</w:t>
      </w:r>
    </w:p>
    <w:p w:rsidR="003B3271" w:rsidRPr="0008481A" w:rsidRDefault="003B3271">
      <w:pPr>
        <w:pStyle w:val="Normaltindrag"/>
      </w:pPr>
      <w:r w:rsidRPr="0008481A">
        <w:t>Den kompletterande utredningen jämte en skrivelse från kriminal</w:t>
      </w:r>
      <w:r w:rsidRPr="0008481A">
        <w:softHyphen/>
        <w:t>inspektören Jan Ullén kom in till åklagarmyndigheten den 4 september 1996. Den innehöll bl.a. protokoll över fingeravtrycksundersökningen och proto</w:t>
      </w:r>
      <w:r w:rsidRPr="0008481A">
        <w:softHyphen/>
        <w:t>koll över förhör med K.A., som hade hörts som vittne, och med Ö.T., som hade hörts upplysningsvis.</w:t>
      </w:r>
    </w:p>
    <w:p w:rsidR="003B3271" w:rsidRPr="0008481A" w:rsidRDefault="003B3271">
      <w:pPr>
        <w:pStyle w:val="Normaltindrag"/>
      </w:pPr>
      <w:r w:rsidRPr="0008481A">
        <w:t>Göran Rietz skickade därefter den 5 september 1996 en skrivelse med följande innehåll till P.L:s försvarare.</w:t>
      </w:r>
    </w:p>
    <w:p w:rsidR="003B3271" w:rsidRPr="0008481A" w:rsidRDefault="003B3271">
      <w:pPr>
        <w:pStyle w:val="Citat"/>
      </w:pPr>
      <w:r w:rsidRPr="0008481A">
        <w:t>Enligt Ditt brev 960520 ställt till Nacka polismästardistrikt med begäran om ytterligare utredning för ev. resningsansökan, har jag anmodat polisen att göra de angivna efterforskningarna, vilka igår blivit redovisade till mig.</w:t>
      </w:r>
    </w:p>
    <w:p w:rsidR="003B3271" w:rsidRPr="0008481A" w:rsidRDefault="003B3271">
      <w:pPr>
        <w:pStyle w:val="Citatindrag"/>
      </w:pPr>
      <w:r w:rsidRPr="0008481A">
        <w:t>Jag översänder härmed det förhör som hållits med K.A. samt med en tidigare på Viskan intagen vid namn Ö.T. Även prot. från fingeravtrycks</w:t>
      </w:r>
      <w:r w:rsidRPr="0008481A">
        <w:softHyphen/>
        <w:t>undersökning bifogas liksom krinsp Ulléns skrivelse till mig efter verkställd komplettering.</w:t>
      </w:r>
    </w:p>
    <w:p w:rsidR="003B3271" w:rsidRPr="0008481A" w:rsidRDefault="003B3271">
      <w:r w:rsidRPr="0008481A">
        <w:t xml:space="preserve">Därefter vidtogs inte någon ytterligare åtgärd i ärendet från Göran Rietz’ sida. </w:t>
      </w:r>
    </w:p>
    <w:p w:rsidR="003B3271" w:rsidRPr="0008481A" w:rsidRDefault="003B3271">
      <w:pPr>
        <w:pStyle w:val="Normaltindrag"/>
      </w:pPr>
      <w:r w:rsidRPr="0008481A">
        <w:rPr>
          <w:i/>
        </w:rPr>
        <w:t>ChefsJO Eklundh</w:t>
      </w:r>
      <w:r w:rsidRPr="0008481A">
        <w:t xml:space="preserve"> beslutade att handläggningen skulle tas upp till utredning i ett särskilt ärende.</w:t>
      </w:r>
    </w:p>
    <w:p w:rsidR="003B3271" w:rsidRPr="0008481A" w:rsidRDefault="003B3271">
      <w:pPr>
        <w:pStyle w:val="Rubrik3"/>
      </w:pPr>
      <w:r w:rsidRPr="0008481A">
        <w:t xml:space="preserve">Utredningen </w:t>
      </w:r>
    </w:p>
    <w:p w:rsidR="003B3271" w:rsidRPr="0008481A" w:rsidRDefault="003B3271">
      <w:r w:rsidRPr="0008481A">
        <w:t>Åklagarmyndigheten anmodades att inkomma med upplysningar och yttrande e</w:t>
      </w:r>
      <w:r w:rsidRPr="0008481A">
        <w:t>n</w:t>
      </w:r>
      <w:r w:rsidRPr="0008481A">
        <w:t>ligt följande.</w:t>
      </w:r>
    </w:p>
    <w:p w:rsidR="003B3271" w:rsidRPr="0008481A" w:rsidRDefault="003B3271">
      <w:pPr>
        <w:pStyle w:val="PunktlistaNummer"/>
      </w:pPr>
      <w:r w:rsidRPr="0008481A">
        <w:t>1.</w:t>
      </w:r>
      <w:r w:rsidRPr="0008481A">
        <w:tab/>
        <w:t>Har förundersökningen återupptagits? Om så är fallet, borde detta ha dok</w:t>
      </w:r>
      <w:r w:rsidRPr="0008481A">
        <w:t>u</w:t>
      </w:r>
      <w:r w:rsidRPr="0008481A">
        <w:t>menterats på något sätt?</w:t>
      </w:r>
    </w:p>
    <w:p w:rsidR="003B3271" w:rsidRPr="0008481A" w:rsidRDefault="003B3271">
      <w:pPr>
        <w:pStyle w:val="PunktlistaNummer"/>
      </w:pPr>
      <w:r w:rsidRPr="0008481A">
        <w:t>2.</w:t>
      </w:r>
      <w:r w:rsidRPr="0008481A">
        <w:tab/>
        <w:t>Om förundersökningen inte har återupptagits, på vilken rättslig grund har förh</w:t>
      </w:r>
      <w:r w:rsidRPr="0008481A">
        <w:t>ö</w:t>
      </w:r>
      <w:r w:rsidRPr="0008481A">
        <w:t>ren hållits?</w:t>
      </w:r>
    </w:p>
    <w:p w:rsidR="003B3271" w:rsidRPr="0008481A" w:rsidRDefault="003B3271">
      <w:pPr>
        <w:pStyle w:val="PunktlistaNummer"/>
      </w:pPr>
      <w:r w:rsidRPr="0008481A">
        <w:t>3.</w:t>
      </w:r>
      <w:r w:rsidRPr="0008481A">
        <w:tab/>
        <w:t>Vilket ställningstagande har den kompletterande utredningen lett till från åkl</w:t>
      </w:r>
      <w:r w:rsidRPr="0008481A">
        <w:t>a</w:t>
      </w:r>
      <w:r w:rsidRPr="0008481A">
        <w:t>garens sida? Borde detta ha dokumenterats?</w:t>
      </w:r>
    </w:p>
    <w:p w:rsidR="003B3271" w:rsidRPr="0008481A" w:rsidRDefault="003B3271">
      <w:r w:rsidRPr="0008481A">
        <w:t>Åklagarmyndigheten (överåklagaren Uno Hagelberg) inkom med ett remissvar till vilket var fogat ett yt</w:t>
      </w:r>
      <w:r w:rsidRPr="0008481A">
        <w:t>t</w:t>
      </w:r>
      <w:r w:rsidRPr="0008481A">
        <w:t xml:space="preserve">rande från Göran Rietz. </w:t>
      </w:r>
    </w:p>
    <w:p w:rsidR="003B3271" w:rsidRPr="0008481A" w:rsidRDefault="003B3271">
      <w:pPr>
        <w:pStyle w:val="Underskrifter"/>
      </w:pPr>
      <w:r w:rsidRPr="0008481A">
        <w:t>Göran Rietz</w:t>
      </w:r>
    </w:p>
    <w:p w:rsidR="003B3271" w:rsidRPr="0008481A" w:rsidRDefault="003B3271">
      <w:pPr>
        <w:pStyle w:val="Citat"/>
      </w:pPr>
      <w:r w:rsidRPr="0008481A">
        <w:t>1.  Förundersökningen har ej återupptagits. Jag har bedömt att advokatens begäran avsåg enkla kortfattade förhör vilka icke skulle vara betungande att utföra, och såg det som en serviceåtgärd från polisens/åklagarens sida. Det avsåg även en begäran ang. resultat från fingeravtrycksunde</w:t>
      </w:r>
      <w:r w:rsidRPr="0008481A">
        <w:t>r</w:t>
      </w:r>
      <w:r w:rsidRPr="0008481A">
        <w:t>sökning som advokaten ej ansett sig fått full klarhet i.</w:t>
      </w:r>
    </w:p>
    <w:p w:rsidR="003B3271" w:rsidRPr="0008481A" w:rsidRDefault="003B3271">
      <w:pPr>
        <w:pStyle w:val="Citat"/>
      </w:pPr>
      <w:r w:rsidRPr="0008481A">
        <w:t>2.  Förhören har hållits i den misstänkte/dömde personens intresse, på begäran av dennes offentlige försvarare – – – för att möjliggöra en ev. resningsbegäran. Jag har därvid tänkt på åklagarens obje</w:t>
      </w:r>
      <w:r w:rsidRPr="0008481A">
        <w:t>k</w:t>
      </w:r>
      <w:r w:rsidRPr="0008481A">
        <w:t>tiv</w:t>
      </w:r>
      <w:r w:rsidRPr="0008481A">
        <w:t>i</w:t>
      </w:r>
      <w:r w:rsidRPr="0008481A">
        <w:t>tetsplikt.</w:t>
      </w:r>
    </w:p>
    <w:p w:rsidR="003B3271" w:rsidRPr="0008481A" w:rsidRDefault="003B3271">
      <w:pPr>
        <w:pStyle w:val="Citat"/>
      </w:pPr>
      <w:r w:rsidRPr="0008481A">
        <w:t>3.  Den har ej föranlett något ställningstagande. Eftersom förundersökningen formellt ej återuppt</w:t>
      </w:r>
      <w:r w:rsidRPr="0008481A">
        <w:t>a</w:t>
      </w:r>
      <w:r w:rsidRPr="0008481A">
        <w:t>gits har det ej funnits anledning för mig att dokumentera detta.</w:t>
      </w:r>
    </w:p>
    <w:p w:rsidR="003B3271" w:rsidRPr="0008481A" w:rsidRDefault="003B3271">
      <w:pPr>
        <w:pStyle w:val="Underskrifter"/>
      </w:pPr>
      <w:r w:rsidRPr="0008481A">
        <w:t>Uno Hagelberg</w:t>
      </w:r>
    </w:p>
    <w:p w:rsidR="003B3271" w:rsidRPr="0008481A" w:rsidRDefault="003B3271">
      <w:pPr>
        <w:pStyle w:val="Citat"/>
      </w:pPr>
      <w:r w:rsidRPr="0008481A">
        <w:t>Göran Rietz som handlagt det ifrågavarande ärendet har i ett av mig infordrat yttrande besvarat de tre i remissen ställda frågorna. Jag hänvisar till yttrandet som bifogas. Härutöver vill jag tillägga följande.</w:t>
      </w:r>
    </w:p>
    <w:p w:rsidR="003B3271" w:rsidRPr="0008481A" w:rsidRDefault="003B3271">
      <w:pPr>
        <w:pStyle w:val="Citatindrag"/>
      </w:pPr>
      <w:r w:rsidRPr="0008481A">
        <w:t>Inledningsvis kan konstateras att det i målet var fråga om en lagakraft</w:t>
      </w:r>
      <w:r w:rsidRPr="0008481A">
        <w:softHyphen/>
        <w:t>vunnen hovrättsdom. En fråga om resning hade därför kunnat aktualiserats endast i Högsta Domstolen. Åklagaruppgiften skulle ha ankommit på Riks</w:t>
      </w:r>
      <w:r w:rsidRPr="0008481A">
        <w:softHyphen/>
        <w:t>åklagaren som ensam behörig allmän åklagare. Enligt min mening borde därför Göran Rietz ha vidarebefordrat framställningen om vissa komplet</w:t>
      </w:r>
      <w:r w:rsidRPr="0008481A">
        <w:softHyphen/>
        <w:t>terande utredning</w:t>
      </w:r>
      <w:r w:rsidRPr="0008481A">
        <w:t>s</w:t>
      </w:r>
      <w:r w:rsidRPr="0008481A">
        <w:t>åtgärder till Rik</w:t>
      </w:r>
      <w:r w:rsidRPr="0008481A">
        <w:t>s</w:t>
      </w:r>
      <w:r w:rsidRPr="0008481A">
        <w:t>åklagaren för handläggning.</w:t>
      </w:r>
    </w:p>
    <w:p w:rsidR="003B3271" w:rsidRPr="0008481A" w:rsidRDefault="003B3271">
      <w:pPr>
        <w:pStyle w:val="Citatindrag"/>
      </w:pPr>
      <w:r w:rsidRPr="0008481A">
        <w:t>Göran Rietz handläggning i övrigt av ärendet ger anledning till följande synpunkter från min sida.</w:t>
      </w:r>
    </w:p>
    <w:p w:rsidR="003B3271" w:rsidRPr="0008481A" w:rsidRDefault="003B3271">
      <w:pPr>
        <w:pStyle w:val="Citatindrag"/>
      </w:pPr>
      <w:r w:rsidRPr="0008481A">
        <w:t>Det är inte självklart att åklagaren i ett mål som avgjorts genom lagakraft</w:t>
      </w:r>
      <w:r w:rsidRPr="0008481A">
        <w:softHyphen/>
        <w:t>vunnen dom när det b</w:t>
      </w:r>
      <w:r w:rsidRPr="0008481A">
        <w:t>e</w:t>
      </w:r>
      <w:r w:rsidRPr="0008481A">
        <w:t>gärs skall biträda med utredningsåtgärder som syftar till att få till stånd resning. Relativt starka skäl bör enligt min mening krävas härför. I andra fall får det ankomma på den dömde att själv driva saken.</w:t>
      </w:r>
    </w:p>
    <w:p w:rsidR="003B3271" w:rsidRPr="0008481A" w:rsidRDefault="003B3271">
      <w:pPr>
        <w:pStyle w:val="Citatindrag"/>
      </w:pPr>
      <w:r w:rsidRPr="0008481A">
        <w:t>Den framställning om nya utredningsåtgärder som Göran Rietz fick i det föreliggande fallet var enligt min mening inte så konkretiserad i fråga om vilka nya omständigheter som kunde förväntas framkomma genom de begärda åtgärderna att den motiverade ett ingripande från åklagarens sid</w:t>
      </w:r>
      <w:r w:rsidRPr="0008481A">
        <w:t>a. Jag anser därför att det beskedet borde ha lämnats att framställningen inte föranledde någon åtgärd såvitt avsåg begäran om förhör. Såvitt avsåg begäran om att få ta del av ett protokoll över en fi</w:t>
      </w:r>
      <w:r w:rsidRPr="0008481A">
        <w:t>n</w:t>
      </w:r>
      <w:r w:rsidRPr="0008481A">
        <w:t>geravtrycksundersökning borde en hänvisning ha skett till polismyndigheten där protokollet för</w:t>
      </w:r>
      <w:r w:rsidRPr="0008481A">
        <w:softHyphen/>
        <w:t>v</w:t>
      </w:r>
      <w:r w:rsidRPr="0008481A">
        <w:t>a</w:t>
      </w:r>
      <w:r w:rsidRPr="0008481A">
        <w:t>rades. I dessa delar rör det sig emellertid om bedömningar som måste ge ett betydande utrymme för olika ställningstaganden från åklagarens sida.</w:t>
      </w:r>
    </w:p>
    <w:p w:rsidR="003B3271" w:rsidRPr="0008481A" w:rsidRDefault="003B3271">
      <w:pPr>
        <w:pStyle w:val="Citatindrag"/>
      </w:pPr>
      <w:r w:rsidRPr="0008481A">
        <w:t>När Göran Rietz som blev fallet funnit att han borde ombesörja att de</w:t>
      </w:r>
      <w:r w:rsidRPr="0008481A">
        <w:t xml:space="preserve"> begärda förhören kom till stånd uppkommer frågan om i vilken formell form detta kunde ske. Göran Rietz har förklarat att han inte återupptagit för</w:t>
      </w:r>
      <w:r w:rsidRPr="0008481A">
        <w:softHyphen/>
        <w:t>undersökningen. Utrymmet för att vidta utredningsåtgärder utanför ramen för en formell förundersökning är emellertid mycket begränsat. Särskilt gäller detta när fråga är om att hålla förhör med någon. För att vittnesförhör som de här aktuella skall kunna hållas bör enligt min mening normalt en förunder</w:t>
      </w:r>
      <w:r w:rsidRPr="0008481A">
        <w:softHyphen/>
        <w:t>sökning ha inletts eller återupptagits. Med de regler om dok</w:t>
      </w:r>
      <w:r w:rsidRPr="0008481A">
        <w:t>ume</w:t>
      </w:r>
      <w:r w:rsidRPr="0008481A">
        <w:t>n</w:t>
      </w:r>
      <w:r w:rsidRPr="0008481A">
        <w:t>tation som gäller bör ett beslut härom dokumenteras. Likaså bör ärendet när utrednings</w:t>
      </w:r>
      <w:r w:rsidRPr="0008481A">
        <w:softHyphen/>
        <w:t>åtgärderna verkställts avslutas genom ett formellt beslut som dokumenteras.</w:t>
      </w:r>
    </w:p>
    <w:p w:rsidR="003B3271" w:rsidRPr="0008481A" w:rsidRDefault="003B3271">
      <w:pPr>
        <w:pStyle w:val="Citatindrag"/>
      </w:pPr>
      <w:r w:rsidRPr="0008481A">
        <w:t>En lagakraftägande dom bör inte anses utgöra hinder mot att återuppta en förundersökning för kompletterande utredningsåtgärder när detta av utredningsskäl framstår som motiverat. En föru</w:t>
      </w:r>
      <w:r w:rsidRPr="0008481A">
        <w:t>n</w:t>
      </w:r>
      <w:r w:rsidRPr="0008481A">
        <w:t>dersökning tar enligt rätte</w:t>
      </w:r>
      <w:r w:rsidRPr="0008481A">
        <w:softHyphen/>
        <w:t>gångs</w:t>
      </w:r>
      <w:r w:rsidRPr="0008481A">
        <w:softHyphen/>
        <w:t>balken sikte på en viss brottslig gärning. Att någon dömts för bro</w:t>
      </w:r>
      <w:r w:rsidRPr="0008481A">
        <w:t>t</w:t>
      </w:r>
      <w:r w:rsidRPr="0008481A">
        <w:t>tet bör inte utesluta att utredningen på förekommen anledning återupptas för att klargöra om det kan finnas skäl för resning.</w:t>
      </w:r>
    </w:p>
    <w:p w:rsidR="003B3271" w:rsidRPr="0008481A" w:rsidRDefault="003B3271">
      <w:pPr>
        <w:pStyle w:val="Citatindrag"/>
      </w:pPr>
      <w:r w:rsidRPr="0008481A">
        <w:t>Sammanfattningsvis menar jag att utredningsåtgärder som företas för att ge underlag för en prö</w:t>
      </w:r>
      <w:r w:rsidRPr="0008481A">
        <w:t>v</w:t>
      </w:r>
      <w:r w:rsidRPr="0008481A">
        <w:t>ning av om skäl för en resningsansökan från åklagarens sida föreligger normalt bör verkställas i form av en återupptagen förunder</w:t>
      </w:r>
      <w:r w:rsidRPr="0008481A">
        <w:softHyphen/>
        <w:t>sökning.</w:t>
      </w:r>
    </w:p>
    <w:p w:rsidR="003B3271" w:rsidRPr="0008481A" w:rsidRDefault="003B3271">
      <w:pPr>
        <w:pStyle w:val="Citatindrag"/>
      </w:pPr>
      <w:r w:rsidRPr="0008481A">
        <w:t>Det nyss sagda innebär inte att jag anser att det finns skäl för kritik mot Göran Rietz för att han handlagt saken på annat sätt. De i remissen ställda frågorna berör förfaranden som såvitt jag känner till från skilda nivåer inom åklagarväsendet sedan länge har hanterats utan att man alltid formellt gör klart för sig om de kompletterande utredningsåtgärderna företas ino</w:t>
      </w:r>
      <w:r w:rsidRPr="0008481A">
        <w:t>m ramen för en återuppt</w:t>
      </w:r>
      <w:r w:rsidRPr="0008481A">
        <w:t>a</w:t>
      </w:r>
      <w:r w:rsidRPr="0008481A">
        <w:t>gen förundersökning eller i någon annan mera formlös ordning. Ett klarläggande uttalande om hur man formellt bör hantera åtgärder av här aktuellt slag skulle enligt min mening vara av värde för den fortsatta verksamheten.</w:t>
      </w:r>
    </w:p>
    <w:p w:rsidR="003B3271" w:rsidRPr="0008481A" w:rsidRDefault="003B3271">
      <w:r w:rsidRPr="0008481A">
        <w:t>Riksåklagaren anmodades därefter att inkomma med yttrande över hur en begäran som den akt</w:t>
      </w:r>
      <w:r w:rsidRPr="0008481A">
        <w:t>u</w:t>
      </w:r>
      <w:r w:rsidRPr="0008481A">
        <w:t>ella bör handläggas av åklagare.</w:t>
      </w:r>
    </w:p>
    <w:p w:rsidR="003B3271" w:rsidRPr="0008481A" w:rsidRDefault="003B3271">
      <w:pPr>
        <w:pStyle w:val="Normaltindrag"/>
      </w:pPr>
      <w:r w:rsidRPr="0008481A">
        <w:t>Riksåklagaren (biträdande riksåklagaren Solveig Riberdahl) anförde i remissvar följande.</w:t>
      </w:r>
    </w:p>
    <w:p w:rsidR="003B3271" w:rsidRPr="0008481A" w:rsidRDefault="003B3271">
      <w:pPr>
        <w:pStyle w:val="Citat"/>
      </w:pPr>
      <w:r w:rsidRPr="0008481A">
        <w:t>De grundläggande reglerna om förundersökning finns i 23 kap rättegångs</w:t>
      </w:r>
      <w:r w:rsidRPr="0008481A">
        <w:softHyphen/>
        <w:t>balken (RB) och i föru</w:t>
      </w:r>
      <w:r w:rsidRPr="0008481A">
        <w:t>n</w:t>
      </w:r>
      <w:r w:rsidRPr="0008481A">
        <w:t>dersökningskungörelsen (FUK). Förundersöknings</w:t>
      </w:r>
      <w:r w:rsidRPr="0008481A">
        <w:softHyphen/>
        <w:t>reglerna innehåller viktiga rättssäkerhetsgarant</w:t>
      </w:r>
      <w:r w:rsidRPr="0008481A">
        <w:t>i</w:t>
      </w:r>
      <w:r w:rsidRPr="0008481A">
        <w:t>er. Reglerna innebär skyldigheter för den enskilde, t.ex. skyldigheten för envar att underkasta sig förhör, och rättigheter för den som förhörs. Samtliga utredningsåtgärder som vidtas i ett ärende skall därför i princip ske inom ramen för en förunder</w:t>
      </w:r>
      <w:r w:rsidRPr="0008481A">
        <w:softHyphen/>
        <w:t>sökning. Utrymmet att vidta åtgärder utanför denna ram är mycket be</w:t>
      </w:r>
      <w:r w:rsidRPr="0008481A">
        <w:softHyphen/>
        <w:t>gränsade. Det gäller särskilt när det blir fråga om att hålla förhör. Enl</w:t>
      </w:r>
      <w:r w:rsidRPr="0008481A">
        <w:t>igt min mening finns det – utöver förhör med anmälaren – i princip inget rättsligt stöd för att hålla förhör utanför ramen för en förundersökning.</w:t>
      </w:r>
    </w:p>
    <w:p w:rsidR="003B3271" w:rsidRPr="0008481A" w:rsidRDefault="003B3271">
      <w:pPr>
        <w:pStyle w:val="Citatindrag"/>
      </w:pPr>
      <w:r w:rsidRPr="0008481A">
        <w:t>Beslut att inleda, utvidga eller avsluta en förundersökning skall dokumen</w:t>
      </w:r>
      <w:r w:rsidRPr="0008481A">
        <w:softHyphen/>
        <w:t>teras. Detta följer av 1a § FUK. Det skall vidare framgå vem som fattat beslutet. Vidare skall enligt 23 kap 20 § RB – då en förundersökning avslutas – beslut meddelas huruvida åtal skall väckas eller inte.</w:t>
      </w:r>
    </w:p>
    <w:p w:rsidR="003B3271" w:rsidRPr="0008481A" w:rsidRDefault="003B3271">
      <w:pPr>
        <w:pStyle w:val="Citatindrag"/>
      </w:pPr>
      <w:r w:rsidRPr="0008481A">
        <w:t>Att en förundersökning avslutats utgör inte hinder mot att förunder</w:t>
      </w:r>
      <w:r w:rsidRPr="0008481A">
        <w:softHyphen/>
        <w:t>sökningen återupptas. Detta framgår bl.a. av bestämmelserna i 23 kap 23 § RB. Där stadgas att kompletterande förundersö</w:t>
      </w:r>
      <w:r w:rsidRPr="0008481A">
        <w:t>k</w:t>
      </w:r>
      <w:r w:rsidRPr="0008481A">
        <w:t>ningsåtgärder kan vidtas även sedan åtal väckts om så anses erforderligt. Vidare kan rätten, i ett på</w:t>
      </w:r>
      <w:r w:rsidRPr="0008481A">
        <w:softHyphen/>
        <w:t>gående mål, förelägga åklagaren att i visst hänseende komplettera förunder</w:t>
      </w:r>
      <w:r w:rsidRPr="0008481A">
        <w:softHyphen/>
        <w:t>sökningen. Detta följer av flera stadganden i rättegångsbalken: 45 kap 11 §, 46 kap 12 §, 51 kap 12 § sista stycket och 55 kap 15 § 2 p. Motsvarande reglering saknas i rättegångsbalkens kapitel om resning.</w:t>
      </w:r>
    </w:p>
    <w:p w:rsidR="003B3271" w:rsidRPr="0008481A" w:rsidRDefault="003B3271">
      <w:pPr>
        <w:pStyle w:val="Citatindrag"/>
      </w:pPr>
      <w:r w:rsidRPr="0008481A">
        <w:t>Eftersom</w:t>
      </w:r>
      <w:r w:rsidRPr="0008481A">
        <w:t xml:space="preserve"> förundersökningsbestämmelserna tar sikte på en viss brottslig gärning och inte på en viss gärningsman – 23 kap 1 § RB – kan inte en lagakraftvunnen dom anses utgöra hinder mot att åkl</w:t>
      </w:r>
      <w:r w:rsidRPr="0008481A">
        <w:t>a</w:t>
      </w:r>
      <w:r w:rsidRPr="0008481A">
        <w:t>gare beslutar att återuppta en förundersökning om skäl för det föreligger. Det kan vara fråga om att utreda om ytterligare gärningsmän finns eller, som i det aktuella fallet, att vidta utredningsåtgärder som syftar till att klarlägga om förutsättningar till resning finns. Mot bakgrund av bestämmelserna om domstols rätt att fö</w:t>
      </w:r>
      <w:r w:rsidRPr="0008481A">
        <w:t>relägga åklagaren att komplettera förundersökningen i ett pågående mål och med hänsyn till det utredningsansvar som åvilar såväl åklagare som domstol i brottmål, måste även kompletterande utredningsåtgärder kunna vidtas med anledning av att en fråga om resning väckts. Det kan i detta sammanhang nämnas att Riksåklagaren i resningsmål som kommunicerats av Hö</w:t>
      </w:r>
      <w:r w:rsidRPr="0008481A">
        <w:t>g</w:t>
      </w:r>
      <w:r w:rsidRPr="0008481A">
        <w:t>sta domstolen rätt ofta föranstaltar om kompletterande utredning. I några fall har Högsta domstolen i samband med handläggningen av ett resningsmål uttry</w:t>
      </w:r>
      <w:r w:rsidRPr="0008481A">
        <w:t>ckligen förelagt Riksåklagaren att vidta kompletterande åtgärder. Det har i dessa fall rört sig om förhör.</w:t>
      </w:r>
    </w:p>
    <w:p w:rsidR="003B3271" w:rsidRPr="0008481A" w:rsidRDefault="003B3271">
      <w:pPr>
        <w:pStyle w:val="Citatindrag"/>
      </w:pPr>
      <w:r w:rsidRPr="0008481A">
        <w:t>Mot bakgrund av bestämmelsen i 1 a § FUK kan man ställa frågan om ett återupptagande av föru</w:t>
      </w:r>
      <w:r w:rsidRPr="0008481A">
        <w:t>n</w:t>
      </w:r>
      <w:r w:rsidRPr="0008481A">
        <w:t>dersökningen efter lagakraftvunnen dom skall dokumenteras eller om det är tillräckligt att detta får anses framgå genom de faktiska åtgärder som vidtas. Den allmänna dokumenteringsskyldigheten som gäller beträffande förundersökning talar för att ett formellt återupp</w:t>
      </w:r>
      <w:r w:rsidRPr="0008481A">
        <w:softHyphen/>
        <w:t>tagnings</w:t>
      </w:r>
      <w:r w:rsidRPr="0008481A">
        <w:softHyphen/>
        <w:t>beslut skall fattas. Helt klart är dock att åklagaren, sedan den kompletterande utredningen verkställts, i ett beslut skall redovisa om utredningen föranleder åklagarsidan att verka för resning eller ej.</w:t>
      </w:r>
    </w:p>
    <w:p w:rsidR="003B3271" w:rsidRPr="0008481A" w:rsidRDefault="003B3271">
      <w:pPr>
        <w:pStyle w:val="Citatindrag"/>
      </w:pPr>
      <w:r w:rsidRPr="0008481A">
        <w:t>Reglerna om resning återfinns i</w:t>
      </w:r>
      <w:r w:rsidRPr="0008481A">
        <w:t xml:space="preserve"> 58 kap RB. Riksåklagaren är ensam behörig åklagare i Högsta domstolen. Detta innebär att eventuella resningsärenden mot lagakraftägande hovrättsdomar skall handläggas av Riksåklagaren. Om en dömd person i resningssyfte begär utredningsåtgärder av lokal åklagare skall denne vidar</w:t>
      </w:r>
      <w:r w:rsidRPr="0008481A">
        <w:t>e</w:t>
      </w:r>
      <w:r w:rsidRPr="0008481A">
        <w:t>befordra begäran till Riksåklagaren.</w:t>
      </w:r>
    </w:p>
    <w:p w:rsidR="003B3271" w:rsidRPr="0008481A" w:rsidRDefault="003B3271">
      <w:pPr>
        <w:pStyle w:val="Citatindrag"/>
      </w:pPr>
      <w:r w:rsidRPr="0008481A">
        <w:t>När det gäller åklagares skyldighet i allmänhet att biträda med komplet</w:t>
      </w:r>
      <w:r w:rsidRPr="0008481A">
        <w:softHyphen/>
        <w:t>terande utredning i och för resning, anser jag i likhet med vad överåklagare Uno Hagelberg anfört att det inte är självklart att polis och åklagare skall biträda med sådana åtgärder. Det måste krävas mycket starka skäl för att vidta utredningsåtgärder som syftar till att angripa en lagakraftägande dom. De begärda åtgärderna måste vara konkreta och kunna kopplas till de rätts- eller bevisfrågor som domstolarna bedömt. Av det sagda följer att det torde bli relativt sällan som åklagare vidtar kompletterande å</w:t>
      </w:r>
      <w:r w:rsidRPr="0008481A">
        <w:t>tgärder på begäran av part. För det fall att åklagaren avslår en sådan begäran kan parten begära resning och, i enlighet med de allmänna reglerna om domstols möjlighet att förelägga åklagaren att komplettera förundersökningen, hemställa att domstolen förelägger åklagaren att utföra utre</w:t>
      </w:r>
      <w:r w:rsidRPr="0008481A">
        <w:t>d</w:t>
      </w:r>
      <w:r w:rsidRPr="0008481A">
        <w:t xml:space="preserve">ningsåtgärderna.     </w:t>
      </w:r>
    </w:p>
    <w:p w:rsidR="003B3271" w:rsidRPr="0008481A" w:rsidRDefault="003B3271">
      <w:pPr>
        <w:rPr>
          <w:b/>
        </w:rPr>
      </w:pPr>
      <w:r w:rsidRPr="0008481A">
        <w:t xml:space="preserve">I ett beslut den 22 september 1999 anförde </w:t>
      </w:r>
      <w:r w:rsidRPr="0008481A">
        <w:rPr>
          <w:i/>
        </w:rPr>
        <w:t>chefsJO Eklundh</w:t>
      </w:r>
      <w:r w:rsidRPr="0008481A">
        <w:t xml:space="preserve"> följande.</w:t>
      </w:r>
    </w:p>
    <w:p w:rsidR="003B3271" w:rsidRPr="0008481A" w:rsidRDefault="003B3271">
      <w:pPr>
        <w:pStyle w:val="Rubrik3"/>
      </w:pPr>
      <w:r w:rsidRPr="0008481A">
        <w:t>Bedömning</w:t>
      </w:r>
    </w:p>
    <w:p w:rsidR="003B3271" w:rsidRPr="0008481A" w:rsidRDefault="003B3271">
      <w:r w:rsidRPr="0008481A">
        <w:t>Sedan en dom i brottmål har vunnit laga kraft kan enligt huvudregeln frågan om den tilltalades ansvar för den åtalade gärningen inte tas upp till ny rättslig prö</w:t>
      </w:r>
      <w:r w:rsidRPr="0008481A">
        <w:t>v</w:t>
      </w:r>
      <w:r w:rsidRPr="0008481A">
        <w:t>ning (30 kap. 9 § rättegångsbalken [RB]). Omprövning av ett lagakraft</w:t>
      </w:r>
      <w:r w:rsidRPr="0008481A">
        <w:softHyphen/>
        <w:t>vunnet a</w:t>
      </w:r>
      <w:r w:rsidRPr="0008481A">
        <w:t>v</w:t>
      </w:r>
      <w:r w:rsidRPr="0008481A">
        <w:t>görande kan komma till stånd endast efter resning, återställande av försutten tid eller klagan över domvilla.</w:t>
      </w:r>
    </w:p>
    <w:p w:rsidR="003B3271" w:rsidRPr="0008481A" w:rsidRDefault="003B3271">
      <w:pPr>
        <w:pStyle w:val="Normaltindrag"/>
      </w:pPr>
      <w:r w:rsidRPr="0008481A">
        <w:t>Bestämmelserna om resning finns i 58 kap. RB. Sedan en dom i brottmål har vu</w:t>
      </w:r>
      <w:r w:rsidRPr="0008481A">
        <w:t>n</w:t>
      </w:r>
      <w:r w:rsidRPr="0008481A">
        <w:t>nit laga kraft får resning beviljas till förmån för den tilltalade under vissa i 2 § angivna förutsättningar. Av 4 § första stycket framgår att resnings</w:t>
      </w:r>
      <w:r w:rsidRPr="0008481A">
        <w:softHyphen/>
        <w:t>frågan skall pr</w:t>
      </w:r>
      <w:r w:rsidRPr="0008481A">
        <w:t>ö</w:t>
      </w:r>
      <w:r w:rsidRPr="0008481A">
        <w:t>vas av Högsta domstolen om domen har meddelats av hov</w:t>
      </w:r>
      <w:r w:rsidRPr="0008481A">
        <w:softHyphen/>
        <w:t>rä</w:t>
      </w:r>
      <w:r w:rsidRPr="0008481A">
        <w:t>t</w:t>
      </w:r>
      <w:r w:rsidRPr="0008481A">
        <w:t xml:space="preserve">ten. </w:t>
      </w:r>
    </w:p>
    <w:p w:rsidR="003B3271" w:rsidRPr="0008481A" w:rsidRDefault="003B3271">
      <w:pPr>
        <w:pStyle w:val="Normaltindrag"/>
      </w:pPr>
      <w:r w:rsidRPr="0008481A">
        <w:t>Beträffande behörigheten att söka resning gäller samma regler som i fråga om fullföljd genom allmänt rättsmedel (SOU 1938:44 s. 576). I 7 kap. 4 § tredje stycket RB föreskrivs att riksåklagaren är allmän åklagare vid Högsta domstolen. Detta innebär att ingen annan allmän åklagar</w:t>
      </w:r>
      <w:r w:rsidRPr="0008481A">
        <w:t>e än riksåklagaren är behörig att a</w:t>
      </w:r>
      <w:r w:rsidRPr="0008481A">
        <w:t>n</w:t>
      </w:r>
      <w:r w:rsidRPr="0008481A">
        <w:t>söka om resning avseende en hovrättsdom, oavsett om det är fråga om resning till förmån eller till men för den tilltalade.</w:t>
      </w:r>
    </w:p>
    <w:p w:rsidR="003B3271" w:rsidRPr="0008481A" w:rsidRDefault="003B3271">
      <w:pPr>
        <w:pStyle w:val="Normaltindrag"/>
      </w:pPr>
      <w:r w:rsidRPr="0008481A">
        <w:t>Av principen att en domstols lagakraftvunna avgörande är orubbligt följer att den förundersökning som har föregått lagföringen är definitivt avslutad. Rättegång</w:t>
      </w:r>
      <w:r w:rsidRPr="0008481A">
        <w:t>s</w:t>
      </w:r>
      <w:r w:rsidRPr="0008481A">
        <w:t>balkens regler om komplettering av förundersökningen efter åtals väckande eller efter föreläggande av rätten i ett pågående mål är inte till</w:t>
      </w:r>
      <w:r w:rsidRPr="0008481A">
        <w:softHyphen/>
        <w:t>ämpliga i en sådan situ</w:t>
      </w:r>
      <w:r w:rsidRPr="0008481A">
        <w:t>a</w:t>
      </w:r>
      <w:r w:rsidRPr="0008481A">
        <w:t>tion. Som framhålls i riksåklagarens yttrande saknas motsvarande regler i rätt</w:t>
      </w:r>
      <w:r w:rsidRPr="0008481A">
        <w:t>e</w:t>
      </w:r>
      <w:r w:rsidRPr="0008481A">
        <w:t>gång</w:t>
      </w:r>
      <w:r w:rsidRPr="0008481A">
        <w:t>s</w:t>
      </w:r>
      <w:r w:rsidRPr="0008481A">
        <w:t xml:space="preserve">balkens kapitel om resning. </w:t>
      </w:r>
    </w:p>
    <w:p w:rsidR="003B3271" w:rsidRPr="0008481A" w:rsidRDefault="003B3271">
      <w:pPr>
        <w:pStyle w:val="Normaltindrag"/>
      </w:pPr>
      <w:r w:rsidRPr="0008481A">
        <w:t>Jag har i tidigare ärenden konstaterat att utrymmet för att vidta utrednings</w:t>
      </w:r>
      <w:r w:rsidRPr="0008481A">
        <w:softHyphen/>
        <w:t>åtgärder utanför en förundersöknings ram är mycket begränsat (se JO 1997/98 s. 98 samt JO dnr 3251-1993 och 3956-1996). Förhör med vittnen och misstänkta får exe</w:t>
      </w:r>
      <w:r w:rsidRPr="0008481A">
        <w:t>m</w:t>
      </w:r>
      <w:r w:rsidRPr="0008481A">
        <w:t>pelvis inte äga rum under ett sådant informellt utredningsförfarande, och på mo</w:t>
      </w:r>
      <w:r w:rsidRPr="0008481A">
        <w:t>t</w:t>
      </w:r>
      <w:r w:rsidRPr="0008481A">
        <w:t>svarande sätt gäller att enskilda personer inte har någon skyldighet att medverka.</w:t>
      </w:r>
    </w:p>
    <w:p w:rsidR="003B3271" w:rsidRPr="0008481A" w:rsidRDefault="003B3271">
      <w:pPr>
        <w:pStyle w:val="Normaltindrag"/>
      </w:pPr>
      <w:r w:rsidRPr="0008481A">
        <w:t>Det kan mot den nu angivna bakgrunden konstateras att det som huvud</w:t>
      </w:r>
      <w:r w:rsidRPr="0008481A">
        <w:softHyphen/>
        <w:t xml:space="preserve">regel inte föreligger någon skyldighet – och oftast inte heller någon laglig rätt – för åklagare och polis att tillhandagå enskilda med utredningsåtgärder efter en lagakraftvunnen dom som innebär att den tilltalade har befunnits skyldig till brott. </w:t>
      </w:r>
    </w:p>
    <w:p w:rsidR="003B3271" w:rsidRPr="0008481A" w:rsidRDefault="003B3271">
      <w:pPr>
        <w:pStyle w:val="Normaltindrag"/>
      </w:pPr>
      <w:r w:rsidRPr="0008481A">
        <w:t>Den fråga som har aktualiserats i detta ärende är hur en åklagare skall agera när han från en person, som har fällts till ansvar för brott genom en lagakraftägande dom, får en framställning om biträde med utrednings</w:t>
      </w:r>
      <w:r w:rsidRPr="0008481A">
        <w:softHyphen/>
        <w:t>åtgärder med anledning av en planerad resningsansökan.</w:t>
      </w:r>
    </w:p>
    <w:p w:rsidR="003B3271" w:rsidRPr="0008481A" w:rsidRDefault="003B3271">
      <w:pPr>
        <w:pStyle w:val="Normaltindrag"/>
      </w:pPr>
      <w:r w:rsidRPr="0008481A">
        <w:t>Det finns som nyss har nämnts inte några uttryckliga bestämmelser som reglerar denna fråga. Med hänsyn till vad som sagts i det föregående ligger det emellertid närmast till hands att betrakta en framställning från en enskild om utredningså</w:t>
      </w:r>
      <w:r w:rsidRPr="0008481A">
        <w:t>t</w:t>
      </w:r>
      <w:r w:rsidRPr="0008481A">
        <w:t>gärder efter lagakraftvunnen dom som en begäran om att förundersökningen skall återupptas.</w:t>
      </w:r>
    </w:p>
    <w:p w:rsidR="003B3271" w:rsidRPr="0008481A" w:rsidRDefault="003B3271">
      <w:pPr>
        <w:pStyle w:val="Normaltindrag"/>
      </w:pPr>
      <w:r w:rsidRPr="0008481A">
        <w:t>Som sägs i riksåklagarens yttrande kan en lagakraftvunnen dom inte anses utgöra hinder mot att åklagaren beslutar att återuppta en förundersökning, om skäl för det föreligger. En annan sak är att det inte är självklart att polis och åklagare skall tillmötesgå en begäran av en dömd person om utrednings</w:t>
      </w:r>
      <w:r w:rsidRPr="0008481A">
        <w:softHyphen/>
        <w:t>åtgärder. Jag delar rik</w:t>
      </w:r>
      <w:r w:rsidRPr="0008481A">
        <w:t>s</w:t>
      </w:r>
      <w:r w:rsidRPr="0008481A">
        <w:t>åklagarens uppfattning att det måste krävas mycket starka skäl för att man skall vidta utre</w:t>
      </w:r>
      <w:r w:rsidRPr="0008481A">
        <w:t>d</w:t>
      </w:r>
      <w:r w:rsidRPr="0008481A">
        <w:t xml:space="preserve">ningsåtgärder som syftar till att angripa en lagakraftägande dom.  </w:t>
      </w:r>
    </w:p>
    <w:p w:rsidR="003B3271" w:rsidRPr="0008481A" w:rsidRDefault="003B3271">
      <w:pPr>
        <w:pStyle w:val="Normaltindrag"/>
      </w:pPr>
      <w:r w:rsidRPr="0008481A">
        <w:t>Resningsärenden mot lagakraftvunna hovrättsdomar handläggs av riks</w:t>
      </w:r>
      <w:r w:rsidRPr="0008481A">
        <w:softHyphen/>
        <w:t>åklagaren. Om en enskild person, som har fällts till ansvar för brott genom en sådan dom, i resningssyfte begär utredningsåtgärder hos en lokal åklagare skall därför fra</w:t>
      </w:r>
      <w:r w:rsidRPr="0008481A">
        <w:t>m</w:t>
      </w:r>
      <w:r w:rsidRPr="0008481A">
        <w:t>ställningen vidarebefordras till riksåklagaren. Det an</w:t>
      </w:r>
      <w:r w:rsidRPr="0008481A">
        <w:softHyphen/>
        <w:t>kommer sedan på riksåkl</w:t>
      </w:r>
      <w:r w:rsidRPr="0008481A">
        <w:t>a</w:t>
      </w:r>
      <w:r w:rsidRPr="0008481A">
        <w:t xml:space="preserve">garen att, med utgångspunkt i den för åklagarna gällande objektivitetsprincipen, ta ställning till om framställningen skall föranleda att förundersökningen återupptas och, om så befinns vara fallet, vilka utredningsåtgärder som skall vidtas. </w:t>
      </w:r>
    </w:p>
    <w:p w:rsidR="003B3271" w:rsidRPr="0008481A" w:rsidRDefault="003B3271">
      <w:pPr>
        <w:pStyle w:val="Normaltindrag"/>
      </w:pPr>
      <w:r w:rsidRPr="0008481A">
        <w:t>Sedan den 1 april 1</w:t>
      </w:r>
      <w:r w:rsidRPr="0008481A">
        <w:t>995 gäller att ett beslut att inleda en förundersökning eller att utvidga en förundersökning skall dokumenteras i akten (1 a § förundersöknings</w:t>
      </w:r>
      <w:r w:rsidRPr="0008481A">
        <w:softHyphen/>
        <w:t>kungörelsen [1947:948]). Jag delar riksåklagarens upp</w:t>
      </w:r>
      <w:r w:rsidRPr="0008481A">
        <w:softHyphen/>
        <w:t>fattning att detsamma bör gälla när en förundersökning återupptas. I likhet med riksåklagaren anser jag v</w:t>
      </w:r>
      <w:r w:rsidRPr="0008481A">
        <w:t>i</w:t>
      </w:r>
      <w:r w:rsidRPr="0008481A">
        <w:t>dare att åklagaren, sedan de kompletterande utredningsåtgärderna har vidtagits, i ett beslut redovisar sin bedömning i frågan om utredningsresultatet föranleder åklaga</w:t>
      </w:r>
      <w:r w:rsidRPr="0008481A">
        <w:t>r</w:t>
      </w:r>
      <w:r w:rsidRPr="0008481A">
        <w:t xml:space="preserve">sidan att verka för resning eller ej. </w:t>
      </w:r>
    </w:p>
    <w:p w:rsidR="003B3271" w:rsidRPr="0008481A" w:rsidRDefault="003B3271">
      <w:pPr>
        <w:pStyle w:val="Normaltindrag"/>
      </w:pPr>
      <w:r w:rsidRPr="0008481A">
        <w:t>I</w:t>
      </w:r>
      <w:r w:rsidRPr="0008481A">
        <w:t xml:space="preserve"> det här aktuella fallet hade en enskild person, som övervägde att göra en fra</w:t>
      </w:r>
      <w:r w:rsidRPr="0008481A">
        <w:t>m</w:t>
      </w:r>
      <w:r w:rsidRPr="0008481A">
        <w:t>ställning om resning avseende en hovrättsdom, hos en lokal åklagare begärt dels att få ta del av resultatet av en undersökning som hade genom</w:t>
      </w:r>
      <w:r w:rsidRPr="0008481A">
        <w:softHyphen/>
        <w:t>förts under den tid</w:t>
      </w:r>
      <w:r w:rsidRPr="0008481A">
        <w:t>i</w:t>
      </w:r>
      <w:r w:rsidRPr="0008481A">
        <w:t>gare förundersökningen, dels att åklagaren skulle för</w:t>
      </w:r>
      <w:r w:rsidRPr="0008481A">
        <w:softHyphen/>
        <w:t>anstalta om ytterligare utre</w:t>
      </w:r>
      <w:r w:rsidRPr="0008481A">
        <w:t>d</w:t>
      </w:r>
      <w:r w:rsidRPr="0008481A">
        <w:t>ning</w:t>
      </w:r>
      <w:r w:rsidRPr="0008481A">
        <w:t>s</w:t>
      </w:r>
      <w:r w:rsidRPr="0008481A">
        <w:t>åtgärder i form av förhör.</w:t>
      </w:r>
    </w:p>
    <w:p w:rsidR="003B3271" w:rsidRPr="0008481A" w:rsidRDefault="003B3271">
      <w:pPr>
        <w:pStyle w:val="Normaltindrag"/>
      </w:pPr>
      <w:r w:rsidRPr="0008481A">
        <w:t>Av vad som nyss har sagts framgår att Göran Rietz inte var behörig att föranstalta om utredningsåtgärder i det aktuella fallet. Han borde därför i denna del</w:t>
      </w:r>
      <w:r w:rsidRPr="0008481A">
        <w:t xml:space="preserve"> inte ha vidtagit någon annan åtgärd än att sända begäran om ut</w:t>
      </w:r>
      <w:r w:rsidRPr="0008481A">
        <w:softHyphen/>
        <w:t>rednings</w:t>
      </w:r>
      <w:r w:rsidRPr="0008481A">
        <w:softHyphen/>
        <w:t>åtgärder till rik</w:t>
      </w:r>
      <w:r w:rsidRPr="0008481A">
        <w:t>s</w:t>
      </w:r>
      <w:r w:rsidRPr="0008481A">
        <w:t>åklag</w:t>
      </w:r>
      <w:r w:rsidRPr="0008481A">
        <w:t>a</w:t>
      </w:r>
      <w:r w:rsidRPr="0008481A">
        <w:t xml:space="preserve">ren. </w:t>
      </w:r>
    </w:p>
    <w:p w:rsidR="003B3271" w:rsidRPr="0008481A" w:rsidRDefault="003B3271">
      <w:pPr>
        <w:pStyle w:val="Normaltindrag"/>
      </w:pPr>
      <w:r w:rsidRPr="0008481A">
        <w:t>Den skrivelse i vilken framställningarna gjordes gavs in till polis</w:t>
      </w:r>
      <w:r w:rsidRPr="0008481A">
        <w:softHyphen/>
        <w:t>myndig</w:t>
      </w:r>
      <w:r w:rsidRPr="0008481A">
        <w:softHyphen/>
        <w:t>heten, som därefter vidarebefordrade den till åklagarmyndigheten för ställningstagande. Att Göran Rietz kom att besvara framställningen genom att sända över en kopia av protokollet från fingeravtrycksundersökningen ger inte anledning till något utt</w:t>
      </w:r>
      <w:r w:rsidRPr="0008481A">
        <w:t>a</w:t>
      </w:r>
      <w:r w:rsidRPr="0008481A">
        <w:t>lande från min sida.</w:t>
      </w:r>
    </w:p>
    <w:p w:rsidR="003B3271" w:rsidRPr="0008481A" w:rsidRDefault="003B3271">
      <w:pPr>
        <w:pStyle w:val="Rubrik2"/>
      </w:pPr>
      <w:r w:rsidRPr="0008481A">
        <w:t xml:space="preserve">Kritik mot en polismyndighet för vissa ingripanden i samband med en allmän sammankomst </w:t>
      </w:r>
    </w:p>
    <w:p w:rsidR="003B3271" w:rsidRPr="0008481A" w:rsidRDefault="003B3271">
      <w:r w:rsidRPr="0008481A">
        <w:t>(Dnr 4439-1997)</w:t>
      </w:r>
    </w:p>
    <w:p w:rsidR="003B3271" w:rsidRPr="0008481A" w:rsidRDefault="003B3271">
      <w:r w:rsidRPr="0008481A">
        <w:t xml:space="preserve">I ett beslut den 23 februari 2000 anförde </w:t>
      </w:r>
      <w:r w:rsidRPr="0008481A">
        <w:rPr>
          <w:i/>
        </w:rPr>
        <w:t>chefsJO Eklundh</w:t>
      </w:r>
      <w:r w:rsidRPr="0008481A">
        <w:t xml:space="preserve"> bl.a. följande.</w:t>
      </w:r>
    </w:p>
    <w:p w:rsidR="003B3271" w:rsidRPr="0008481A" w:rsidRDefault="003B3271">
      <w:pPr>
        <w:pStyle w:val="Rubrik3"/>
      </w:pPr>
      <w:r w:rsidRPr="0008481A">
        <w:t>Anmälan</w:t>
      </w:r>
    </w:p>
    <w:p w:rsidR="003B3271" w:rsidRPr="0008481A" w:rsidRDefault="003B3271">
      <w:r w:rsidRPr="0008481A">
        <w:t>I en anmälan till JO riktade L.N. kritik mot Polismyndigheten i Blekinge län och gjorde bl.a. gällande att polisen inte hade tillåtit en politisk organisation, Nationa</w:t>
      </w:r>
      <w:r w:rsidRPr="0008481A">
        <w:t>l</w:t>
      </w:r>
      <w:r w:rsidRPr="0008481A">
        <w:t>socialistisk Front (NSF), att demonstrera på det ställe där organisationen hade fått tillstånd att demonstrera. – – –</w:t>
      </w:r>
    </w:p>
    <w:p w:rsidR="003B3271" w:rsidRPr="0008481A" w:rsidRDefault="003B3271">
      <w:pPr>
        <w:pStyle w:val="Rubrik3"/>
      </w:pPr>
      <w:r w:rsidRPr="0008481A">
        <w:t xml:space="preserve">Utredning  </w:t>
      </w:r>
    </w:p>
    <w:p w:rsidR="003B3271" w:rsidRPr="0008481A" w:rsidRDefault="003B3271">
      <w:pPr>
        <w:pStyle w:val="Rubrik4"/>
        <w:spacing w:before="120"/>
      </w:pPr>
      <w:r w:rsidRPr="0008481A">
        <w:t xml:space="preserve">Granskning av handlingar </w:t>
      </w:r>
    </w:p>
    <w:p w:rsidR="003B3271" w:rsidRPr="0008481A" w:rsidRDefault="003B3271">
      <w:r w:rsidRPr="0008481A">
        <w:t xml:space="preserve">Inledningsvis granskades handlingar i Polismyndighetens i Blekinge län ärende – – –. Sammanfattningsvis framkom följande. </w:t>
      </w:r>
    </w:p>
    <w:p w:rsidR="003B3271" w:rsidRPr="0008481A" w:rsidRDefault="003B3271">
      <w:pPr>
        <w:pStyle w:val="Normaltindrag"/>
      </w:pPr>
      <w:r w:rsidRPr="0008481A">
        <w:t>NSF inkom den 14 oktober 1997 till polismyndigheten med en ansökan om til</w:t>
      </w:r>
      <w:r w:rsidRPr="0008481A">
        <w:t>l</w:t>
      </w:r>
      <w:r w:rsidRPr="0008481A">
        <w:t>stånd att få genomföra en gående manifestation under parollen ”NSF: i går, i dag, i morgon, för alltid!” lördagen den 18 oktober 1997 i centrala Karlskrona på vissa angivna gator och på Stortorget med samling kl. 11.30 på ”Sparre”, avmarsch kl. 12.00, tal vid rå</w:t>
      </w:r>
      <w:r w:rsidRPr="0008481A">
        <w:t>d</w:t>
      </w:r>
      <w:r w:rsidRPr="0008481A">
        <w:t xml:space="preserve">huset cirka kl. 12.20 och avmarsch tillbaka till ”Sparre” kl. 12.35. </w:t>
      </w:r>
    </w:p>
    <w:p w:rsidR="003B3271" w:rsidRPr="0008481A" w:rsidRDefault="003B3271">
      <w:pPr>
        <w:pStyle w:val="Normaltindrag"/>
      </w:pPr>
      <w:r w:rsidRPr="0008481A">
        <w:t>Den 15 oktober 1997 beslutade polismyndigheten att bevilja NSF tillstånd till al</w:t>
      </w:r>
      <w:r w:rsidRPr="0008481A">
        <w:t>l</w:t>
      </w:r>
      <w:r w:rsidRPr="0008481A">
        <w:t>män sammankomst lördagen den 18 oktober 1997 kl. 12.00 till 12.30 med följa</w:t>
      </w:r>
      <w:r w:rsidRPr="0008481A">
        <w:t>n</w:t>
      </w:r>
      <w:r w:rsidRPr="0008481A">
        <w:t>de villkor jämlikt 2 kap. 16 § ordningslagen (1993:1617). ”För att polismyndi</w:t>
      </w:r>
      <w:r w:rsidRPr="0008481A">
        <w:t>g</w:t>
      </w:r>
      <w:r w:rsidRPr="0008481A">
        <w:t>heten om möjligt skall kunna upprätthålla ordning och säkerhet vid samma</w:t>
      </w:r>
      <w:r w:rsidRPr="0008481A">
        <w:t>n</w:t>
      </w:r>
      <w:r w:rsidRPr="0008481A">
        <w:t>komsten och i dess omedelbara omgivning, skall denna avhållas på parkering</w:t>
      </w:r>
      <w:r w:rsidRPr="0008481A">
        <w:t>s</w:t>
      </w:r>
      <w:r w:rsidRPr="0008481A">
        <w:t>platsen omedelbart norr om Varvsgatan i anslutning till korsningen Varvsg</w:t>
      </w:r>
      <w:r w:rsidRPr="0008481A">
        <w:t>a</w:t>
      </w:r>
      <w:r w:rsidRPr="0008481A">
        <w:t xml:space="preserve">tan/Styrmansgatan i Karlskrona. Samling skall också ske på denna plats där även den allmänna sammankomsten skall avslutas.” I beslutet </w:t>
      </w:r>
      <w:r w:rsidRPr="0008481A">
        <w:t>anfördes vidare följande: ”Detta beslut, vilket gäller omedelbart, innebär att ni inte beviljas tillstånd till samling på Sparre, marsch till torget, tal vid rådhuset och därefter avmarsch til</w:t>
      </w:r>
      <w:r w:rsidRPr="0008481A">
        <w:t>l</w:t>
      </w:r>
      <w:r w:rsidRPr="0008481A">
        <w:t xml:space="preserve">baka till Sparre.” </w:t>
      </w:r>
    </w:p>
    <w:p w:rsidR="003B3271" w:rsidRPr="0008481A" w:rsidRDefault="003B3271">
      <w:pPr>
        <w:pStyle w:val="Normaltindrag"/>
      </w:pPr>
      <w:r w:rsidRPr="0008481A">
        <w:t xml:space="preserve"> Enligt en anteckning i ärendet greps eller anhölls NSF-ledaren A.H. för olaga hot den 17 oktober 1997, varvid man i samband med avvisiteringen påträffade en skiss. Av anteckningen framgår att polisen tolkade skissen på det sättet att NSF-anhängarna hade för avsikt att kringgå polismyndighetens bes</w:t>
      </w:r>
      <w:r w:rsidRPr="0008481A">
        <w:t xml:space="preserve">lut beträffande den allmänna sammankomsten bl.a. i fråga om marschväg. </w:t>
      </w:r>
    </w:p>
    <w:p w:rsidR="003B3271" w:rsidRPr="0008481A" w:rsidRDefault="003B3271">
      <w:pPr>
        <w:pStyle w:val="Normaltindrag"/>
      </w:pPr>
      <w:r w:rsidRPr="0008481A">
        <w:t>Den 17 oktober 1997 utfärdade polismyndigheten genom biträdande länspoli</w:t>
      </w:r>
      <w:r w:rsidRPr="0008481A">
        <w:t>s</w:t>
      </w:r>
      <w:r w:rsidRPr="0008481A">
        <w:t>mästaren Madeleine Jufors en order avseende polisens insatser med anledning av NSF-demonstrationen. Av denna framgick bl.a. att motaktioner kunde befaras samt att syftet var att sammankomsten skulle kunna genom</w:t>
      </w:r>
      <w:r w:rsidRPr="0008481A">
        <w:softHyphen/>
        <w:t xml:space="preserve">föras på det sätt och på den plats som tillståndet avsåg. </w:t>
      </w:r>
    </w:p>
    <w:p w:rsidR="003B3271" w:rsidRPr="0008481A" w:rsidRDefault="003B3271">
      <w:pPr>
        <w:pStyle w:val="Normaltindrag"/>
      </w:pPr>
      <w:r w:rsidRPr="0008481A">
        <w:t>I anteckningar förda av poliskommissarien Bengt Stoltz (kommenderings</w:t>
      </w:r>
      <w:r w:rsidRPr="0008481A">
        <w:softHyphen/>
        <w:t xml:space="preserve">chef) i samband med NSF-demonstrationen anges bl.a. följande.  </w:t>
      </w:r>
    </w:p>
    <w:p w:rsidR="003B3271" w:rsidRPr="0008481A" w:rsidRDefault="003B3271">
      <w:pPr>
        <w:pStyle w:val="Citat"/>
      </w:pPr>
      <w:r w:rsidRPr="0008481A">
        <w:t>Klockan 11.35 meddelar PIC att ”NSF-arna önskar gå i smärre grupper härifrån till varvets park</w:t>
      </w:r>
      <w:r w:rsidRPr="0008481A">
        <w:t>e</w:t>
      </w:r>
      <w:r w:rsidRPr="0008481A">
        <w:t xml:space="preserve">ring”. </w:t>
      </w:r>
    </w:p>
    <w:p w:rsidR="003B3271" w:rsidRPr="0008481A" w:rsidRDefault="003B3271">
      <w:pPr>
        <w:pStyle w:val="Citatindrag"/>
      </w:pPr>
      <w:r w:rsidRPr="0008481A">
        <w:t xml:space="preserve">Med kännedom om deras planer att marschera i grupp och med risk för konfrontation förvägras detta. </w:t>
      </w:r>
    </w:p>
    <w:p w:rsidR="003B3271" w:rsidRPr="0008481A" w:rsidRDefault="003B3271">
      <w:pPr>
        <w:pStyle w:val="Citatindrag"/>
      </w:pPr>
      <w:r w:rsidRPr="0008481A">
        <w:t>Övervägdes alternativet att med den inhyrda bussen avhämta NSF-arna och köra dessa till park</w:t>
      </w:r>
      <w:r w:rsidRPr="0008481A">
        <w:t>e</w:t>
      </w:r>
      <w:r w:rsidRPr="0008481A">
        <w:t xml:space="preserve">ringsplatsen vid Varvsgatan. Antal 44 st. </w:t>
      </w:r>
    </w:p>
    <w:p w:rsidR="003B3271" w:rsidRPr="0008481A" w:rsidRDefault="003B3271">
      <w:pPr>
        <w:pStyle w:val="Citatindrag"/>
      </w:pPr>
      <w:r w:rsidRPr="0008481A">
        <w:t>Beslut. Bussen fram. Eftersom denna var uppställd vid parkerings</w:t>
      </w:r>
      <w:r w:rsidRPr="0008481A">
        <w:softHyphen/>
        <w:t xml:space="preserve">platsen, Varvsgatan, börjar vi komma i tidsnöd. </w:t>
      </w:r>
    </w:p>
    <w:p w:rsidR="003B3271" w:rsidRPr="0008481A" w:rsidRDefault="003B3271">
      <w:pPr>
        <w:pStyle w:val="Citatindrag"/>
      </w:pPr>
      <w:r w:rsidRPr="0008481A">
        <w:t>Klockan 11.55 meddelade PIC att man embarkerat bussen. 44 st NSF-are ombord.</w:t>
      </w:r>
    </w:p>
    <w:p w:rsidR="003B3271" w:rsidRPr="0008481A" w:rsidRDefault="003B3271">
      <w:pPr>
        <w:pStyle w:val="Citatindrag"/>
        <w:rPr>
          <w:rFonts w:ascii="Garamond" w:hAnsi="Garamond"/>
        </w:rPr>
      </w:pPr>
      <w:r w:rsidRPr="0008481A">
        <w:t>Klockan 12.00 meddelas att antirasistdemonstranterna lämnat Busstorget och går N Kungsgatan mot Stortorget. På Klapediaplatsen har ett ganska stort antal människor samlats med anledning av den legala demonstrationen där. Antirasisterna drar förbi, över Stortorget ner mot Amiralitetspa</w:t>
      </w:r>
      <w:r w:rsidRPr="0008481A">
        <w:t>r</w:t>
      </w:r>
      <w:r w:rsidRPr="0008481A">
        <w:t>ken i tydlig avsikt att bege sig till parkeringsplatsen, Varvsgatan. Antal 150–175 st. skanderande slagord mot nazi</w:t>
      </w:r>
      <w:r w:rsidRPr="0008481A">
        <w:t>s</w:t>
      </w:r>
      <w:r w:rsidRPr="0008481A">
        <w:t xml:space="preserve">men. </w:t>
      </w:r>
    </w:p>
    <w:p w:rsidR="003B3271" w:rsidRPr="0008481A" w:rsidRDefault="003B3271">
      <w:pPr>
        <w:pStyle w:val="Citatindrag"/>
      </w:pPr>
      <w:r w:rsidRPr="0008481A">
        <w:t>Kontakt med bitr. lpme M Jufors. Beslut; ”omfallet” gäller, dvs NSF-arna körs till parkeringspla</w:t>
      </w:r>
      <w:r w:rsidRPr="0008481A">
        <w:t>t</w:t>
      </w:r>
      <w:r w:rsidRPr="0008481A">
        <w:t xml:space="preserve">sen vid Krutviken, Vämö. </w:t>
      </w:r>
    </w:p>
    <w:p w:rsidR="003B3271" w:rsidRPr="0008481A" w:rsidRDefault="003B3271">
      <w:pPr>
        <w:pStyle w:val="Citatindrag"/>
      </w:pPr>
      <w:r w:rsidRPr="0008481A">
        <w:t xml:space="preserve">PIC, som befinner sig ombord i bussen, meddelas att ”omfallet” gäller. Protester i bussen. </w:t>
      </w:r>
    </w:p>
    <w:p w:rsidR="003B3271" w:rsidRPr="0008481A" w:rsidRDefault="003B3271">
      <w:pPr>
        <w:pStyle w:val="Citatindrag"/>
      </w:pPr>
      <w:r w:rsidRPr="0008481A">
        <w:t>Klockan 12.15 meddelar PIC att NSF-arna då dom lämnade bussen ställde upp för att marschera in mot centrum. Hindrades av polis med hundar. Allt lugnar ner sig och B.B. håller ett tal (isf A.H.) Av det man kunde höra av talet innehöll inget som kunde uppfattas som hets mot fol</w:t>
      </w:r>
      <w:r w:rsidRPr="0008481A">
        <w:t>k</w:t>
      </w:r>
      <w:r w:rsidRPr="0008481A">
        <w:t xml:space="preserve">grupp. </w:t>
      </w:r>
    </w:p>
    <w:p w:rsidR="003B3271" w:rsidRPr="0008481A" w:rsidRDefault="003B3271">
      <w:pPr>
        <w:pStyle w:val="Citatindrag"/>
      </w:pPr>
      <w:r w:rsidRPr="0008481A">
        <w:t xml:space="preserve">Klockan 12.15. Från parkeringsplatsen, Varvsgatan, meddelas att 150–175 antirasister/nyfikna samlats där. Mest ungdomar (skolungdomar). Allt lugnt. </w:t>
      </w:r>
    </w:p>
    <w:p w:rsidR="003B3271" w:rsidRPr="0008481A" w:rsidRDefault="003B3271">
      <w:pPr>
        <w:pStyle w:val="Citatindrag"/>
      </w:pPr>
      <w:r w:rsidRPr="0008481A">
        <w:t>Klockan 12.45. NFS-arna körs i bussen tillbaka till Kvarngatan, Pantarholmen. Protester. Polis på plats kontrollerar bilar och förare då dom lämnar Kvarngatan.</w:t>
      </w:r>
    </w:p>
    <w:p w:rsidR="003B3271" w:rsidRPr="0008481A" w:rsidRDefault="003B3271">
      <w:pPr>
        <w:pStyle w:val="Rubrik4"/>
      </w:pPr>
      <w:r w:rsidRPr="0008481A">
        <w:t>Remiss</w:t>
      </w:r>
    </w:p>
    <w:p w:rsidR="003B3271" w:rsidRPr="0008481A" w:rsidRDefault="003B3271">
      <w:r w:rsidRPr="0008481A">
        <w:t>Anmälan remitterades till Polismyndigheten i Blekinge län för utredning av p</w:t>
      </w:r>
      <w:r w:rsidRPr="0008481A">
        <w:t>o</w:t>
      </w:r>
      <w:r w:rsidRPr="0008481A">
        <w:t xml:space="preserve">lismyndighetens agerande i samband med NSF-demonstrationen den 18 oktober 1997. Av utredningen skulle bl.a. framgå den rättsliga grunden för att </w:t>
      </w:r>
    </w:p>
    <w:p w:rsidR="003B3271" w:rsidRPr="0008481A" w:rsidRDefault="003B3271">
      <w:pPr>
        <w:pStyle w:val="Normaltindrag"/>
      </w:pPr>
      <w:r w:rsidRPr="0008481A">
        <w:t>a) demonstranterna inte tilläts gå från Kvarngatan till varvets parkering,</w:t>
      </w:r>
    </w:p>
    <w:p w:rsidR="003B3271" w:rsidRPr="0008481A" w:rsidRDefault="003B3271">
      <w:pPr>
        <w:pStyle w:val="Normaltindrag"/>
      </w:pPr>
      <w:r w:rsidRPr="0008481A">
        <w:t>b) de hämtades med buss och kördes till parkeringsplatsen vid Krutviken,</w:t>
      </w:r>
      <w:r w:rsidRPr="0008481A">
        <w:br/>
        <w:t xml:space="preserve">        Vämö,</w:t>
      </w:r>
    </w:p>
    <w:p w:rsidR="003B3271" w:rsidRPr="0008481A" w:rsidRDefault="003B3271">
      <w:pPr>
        <w:pStyle w:val="Normaltindrag"/>
      </w:pPr>
      <w:r w:rsidRPr="0008481A">
        <w:t>c) de hindrades marschera från Vämö mot centrum,</w:t>
      </w:r>
    </w:p>
    <w:p w:rsidR="003B3271" w:rsidRPr="0008481A" w:rsidRDefault="003B3271">
      <w:pPr>
        <w:pStyle w:val="Normaltindrag"/>
      </w:pPr>
      <w:r w:rsidRPr="0008481A">
        <w:t xml:space="preserve">d) de kördes i buss tillbaka till Kvarngatan.  </w:t>
      </w:r>
    </w:p>
    <w:p w:rsidR="003B3271" w:rsidRPr="0008481A" w:rsidRDefault="003B3271">
      <w:r w:rsidRPr="0008481A">
        <w:t xml:space="preserve">Polismyndigheten anmodades vidare att inkomma med yttrande över om polisens ingripande mot NSF-demonstrationen överensstämmer med lag. </w:t>
      </w:r>
    </w:p>
    <w:p w:rsidR="003B3271" w:rsidRPr="0008481A" w:rsidRDefault="003B3271">
      <w:pPr>
        <w:pStyle w:val="Normaltindrag"/>
      </w:pPr>
      <w:r w:rsidRPr="0008481A">
        <w:t>Polismyndigheten (länspolismästaren Kjell Magnusson) kom in med ett remissvar till vilket hade fogats en promemoria upprättad av polismästaren Stellan Lundin och en promemoria angående hotbilden inför den allmänna sam</w:t>
      </w:r>
      <w:r w:rsidRPr="0008481A">
        <w:softHyphen/>
        <w:t>man</w:t>
      </w:r>
      <w:r w:rsidRPr="0008481A">
        <w:softHyphen/>
        <w:t>komsten up</w:t>
      </w:r>
      <w:r w:rsidRPr="0008481A">
        <w:t>p</w:t>
      </w:r>
      <w:r w:rsidRPr="0008481A">
        <w:t>rättad av poliskommissarien Göran Janrell. Även en sammanställning över poli</w:t>
      </w:r>
      <w:r w:rsidRPr="0008481A">
        <w:t>s</w:t>
      </w:r>
      <w:r w:rsidRPr="0008481A">
        <w:t xml:space="preserve">anmälda brott begångna i Karlskrona den 18 oktober 1997, i vilka s.k. nynazister angivits som gärningsmän, bifogades remissvaret. </w:t>
      </w:r>
    </w:p>
    <w:p w:rsidR="003B3271" w:rsidRPr="0008481A" w:rsidRDefault="003B3271">
      <w:pPr>
        <w:pStyle w:val="Rubrik4"/>
      </w:pPr>
      <w:r w:rsidRPr="0008481A">
        <w:t>Stellan Lundins promemoria</w:t>
      </w:r>
    </w:p>
    <w:p w:rsidR="003B3271" w:rsidRPr="0008481A" w:rsidRDefault="003B3271">
      <w:pPr>
        <w:pStyle w:val="Rubrik5"/>
        <w:spacing w:before="120"/>
      </w:pPr>
      <w:r w:rsidRPr="0008481A">
        <w:t>Bakgrund</w:t>
      </w:r>
    </w:p>
    <w:p w:rsidR="003B3271" w:rsidRPr="0008481A" w:rsidRDefault="003B3271">
      <w:pPr>
        <w:pStyle w:val="Citat"/>
      </w:pPr>
      <w:r w:rsidRPr="0008481A">
        <w:t>Den 15 oktober 1997 meddelades Nationalsocialistisk Front (NSF) tillstånd av Polismyndigheten att ha en allmän sammankomst den 18 oktober 1997 mellan klockan 1200–1230 på parkeringspla</w:t>
      </w:r>
      <w:r w:rsidRPr="0008481A">
        <w:t>t</w:t>
      </w:r>
      <w:r w:rsidRPr="0008481A">
        <w:t>sen i närheten av korsningen Varvsgatan–Styrmansgatan i Karlskrona. Polismyndigheten hade dess</w:t>
      </w:r>
      <w:r w:rsidRPr="0008481A">
        <w:softHyphen/>
        <w:t>för</w:t>
      </w:r>
      <w:r w:rsidRPr="0008481A">
        <w:softHyphen/>
        <w:t>innan gjort den bedömningen att med hänsyn till ordningen och säkerheten vid samma</w:t>
      </w:r>
      <w:r w:rsidRPr="0008481A">
        <w:t>n</w:t>
      </w:r>
      <w:r w:rsidRPr="0008481A">
        <w:t>komsten, eller som en direkt följd av den, i dess omedelbara omgivning villkora tillståndet med att inte tillåta någon marsch till mötes</w:t>
      </w:r>
      <w:r w:rsidRPr="0008481A">
        <w:softHyphen/>
        <w:t>platsen samt också meddelat annan mötesplats än vad som angetts i ansökan.</w:t>
      </w:r>
    </w:p>
    <w:p w:rsidR="003B3271" w:rsidRPr="0008481A" w:rsidRDefault="003B3271">
      <w:pPr>
        <w:pStyle w:val="Citatindrag"/>
      </w:pPr>
      <w:r w:rsidRPr="0008481A">
        <w:t>Samma dag klockan 1200 hade Polismyndigheten också beviljat tillstånd för en annan allmän sammankomst på Klaipedaplat</w:t>
      </w:r>
      <w:r w:rsidRPr="0008481A">
        <w:t>sen i Karlskrona. Denna sammankomst var anordnad av de politiska partierna i kommunen som en anti</w:t>
      </w:r>
      <w:r w:rsidRPr="0008481A">
        <w:softHyphen/>
        <w:t>fascistisk demonstration.</w:t>
      </w:r>
    </w:p>
    <w:p w:rsidR="003B3271" w:rsidRPr="0008481A" w:rsidRDefault="003B3271">
      <w:pPr>
        <w:pStyle w:val="Citatindrag"/>
      </w:pPr>
      <w:r w:rsidRPr="0008481A">
        <w:t>Order för kommenderingen upprättades varvid ledningsorganisation, bemanning och instruktioner i övrigt meddelades. Till kommenderingschef utsågs poliskommissarie Bengt Stoltz och till polisi</w:t>
      </w:r>
      <w:r w:rsidRPr="0008481A">
        <w:t>n</w:t>
      </w:r>
      <w:r w:rsidRPr="0008481A">
        <w:t>satschef utsågs polis</w:t>
      </w:r>
      <w:r w:rsidRPr="0008481A">
        <w:softHyphen/>
        <w:t>kommissarie Jan Olofsson.</w:t>
      </w:r>
    </w:p>
    <w:p w:rsidR="003B3271" w:rsidRPr="0008481A" w:rsidRDefault="003B3271">
      <w:pPr>
        <w:pStyle w:val="Citatindrag"/>
      </w:pPr>
      <w:r w:rsidRPr="0008481A">
        <w:t>Under hand genom olika informationskällor fick polisen kännedom om att det kunde förväntas bli motdemonstrationer av bl a s k yrkesdemonstranter inom antifasciströrelsen. Av flygblad och andra underrättelser hade fram</w:t>
      </w:r>
      <w:r w:rsidRPr="0008481A">
        <w:softHyphen/>
        <w:t>kommit att denna grupp, vilka polisen främst fruktade, skulle ställa till bråk med NSF:arna vid deras manifestation. Något tillstånd att demonstrera hade inte sökts av dessa grupper.</w:t>
      </w:r>
    </w:p>
    <w:p w:rsidR="003B3271" w:rsidRPr="0008481A" w:rsidRDefault="003B3271">
      <w:pPr>
        <w:pStyle w:val="Citatindrag"/>
      </w:pPr>
      <w:r w:rsidRPr="0008481A">
        <w:t>Lördagen den 18 oktober 1997 på förmiddagen företogs viss spaning av polisen för att få fram information och underlag för taktik vid de förväntade polisingripandena i samband med de olika manifestationerna.</w:t>
      </w:r>
    </w:p>
    <w:p w:rsidR="003B3271" w:rsidRPr="0008481A" w:rsidRDefault="003B3271">
      <w:pPr>
        <w:pStyle w:val="Citatindrag"/>
      </w:pPr>
      <w:r w:rsidRPr="0008481A">
        <w:t>Biträdande länspolismästare Madeleine Jufors hade utsetts att företräda Polismyndigheten om eventuella beslut som ankom på polischef skulle aktuali</w:t>
      </w:r>
      <w:r w:rsidRPr="0008481A">
        <w:softHyphen/>
        <w:t>seras.</w:t>
      </w:r>
    </w:p>
    <w:p w:rsidR="003B3271" w:rsidRPr="0008481A" w:rsidRDefault="003B3271">
      <w:pPr>
        <w:pStyle w:val="Rubrik5"/>
      </w:pPr>
      <w:r w:rsidRPr="0008481A">
        <w:t>Polismyndighetens agerande och beslut vid NSF-demonstrationen</w:t>
      </w:r>
    </w:p>
    <w:p w:rsidR="003B3271" w:rsidRPr="0008481A" w:rsidRDefault="003B3271">
      <w:pPr>
        <w:pStyle w:val="Citat"/>
      </w:pPr>
      <w:r w:rsidRPr="0008481A">
        <w:t>För att utreda Polismyndighetens agerande och beslut har under hand samtal hållits med biträdande länspolismästaren Madeleine Jufors, poliskommissari</w:t>
      </w:r>
      <w:r w:rsidRPr="0008481A">
        <w:softHyphen/>
        <w:t xml:space="preserve">erna Bengt Stoltz och Jan Olofsson, varvid de uppgivit följande som relevant vid bedömningen av sina åtgärder och den rättsliga grunden för att </w:t>
      </w:r>
    </w:p>
    <w:p w:rsidR="003B3271" w:rsidRPr="0008481A" w:rsidRDefault="003B3271">
      <w:pPr>
        <w:pStyle w:val="Rubrik5"/>
      </w:pPr>
      <w:r w:rsidRPr="0008481A">
        <w:t>a) demonstranterna inte tilläts gå från Kvarngatan till varvets parkering.</w:t>
      </w:r>
    </w:p>
    <w:p w:rsidR="003B3271" w:rsidRPr="0008481A" w:rsidRDefault="003B3271">
      <w:pPr>
        <w:pStyle w:val="Citat"/>
      </w:pPr>
      <w:r w:rsidRPr="0008481A">
        <w:t>Inför NSF-demonstrationen hade polisen förbeställt en buss, som skulle kunna användas för att snabbt forsla undan gripna, omhändertagna eller i nödläge utgöra tillflyktsplats för dem som kunde behöva skydd av polis ut ur området.</w:t>
      </w:r>
    </w:p>
    <w:p w:rsidR="003B3271" w:rsidRPr="0008481A" w:rsidRDefault="003B3271">
      <w:pPr>
        <w:pStyle w:val="Citatindrag"/>
      </w:pPr>
      <w:r w:rsidRPr="0008481A">
        <w:t>Under förmiddagen den 18 oktober 1997 framkom att NSF-demonstranter samlats på Kvarngatan i Karlskrona, cirka 1,5 km från den plats där de tillåtits genomföra sin demonstration. Polisi</w:t>
      </w:r>
      <w:r w:rsidRPr="0008481A">
        <w:t>n</w:t>
      </w:r>
      <w:r w:rsidRPr="0008481A">
        <w:t>satschefen Jan Olofsson, som tagit kontakt med NSF:s demonstrationsledning på Kvarngatan, ku</w:t>
      </w:r>
      <w:r w:rsidRPr="0008481A">
        <w:t>n</w:t>
      </w:r>
      <w:r w:rsidRPr="0008481A">
        <w:t>de med</w:t>
      </w:r>
      <w:r w:rsidRPr="0008481A">
        <w:softHyphen/>
        <w:t>dela till Madeleine Jufors att NSF-anhängarna ämnade förflytta sig i grupper till fots från Kvarngatan rakt genom centrum av stan, förbi busstorget, där anti-fascistdemonstranterna, cirka 200 st uppehöll sig i avvaktan på att NSF-demonstranterna skulle uppenbara sig. NSF-demonstranterna bar kläder som tydligt visade att de sympatiserade med NSF samtidigt som man bar fanor, varför Madeleine Jufors bedömde att</w:t>
      </w:r>
      <w:r w:rsidRPr="0008481A">
        <w:t xml:space="preserve"> det skulle bli svårigheter att lotsa dem fram till platsen där demonstrationen skulle hållas. Madeleine Jufors uppfattade således inte att NSF-förflyttningen skulle ingå som ett led i demonstrationen.</w:t>
      </w:r>
    </w:p>
    <w:p w:rsidR="003B3271" w:rsidRPr="0008481A" w:rsidRDefault="003B3271">
      <w:pPr>
        <w:pStyle w:val="Citatindrag"/>
      </w:pPr>
      <w:r w:rsidRPr="0008481A">
        <w:t>För att på bästa sätt lotsa NSF-demonstranterna, 44 stycken, förbi de väntande antifascistdemo</w:t>
      </w:r>
      <w:r w:rsidRPr="0008481A">
        <w:t>n</w:t>
      </w:r>
      <w:r w:rsidRPr="0008481A">
        <w:t>stranterna erbjöds de i stället att åka i den buss som polisen beställt i beredskap för eventualiteter som redogjorts för. Jan Olofsson fick i uppdrag av Madeleine Jufors att erbjuda skjuts med buss, varefter han kunde rapportera tillbaka klockan 1155 att NSF-demonstran</w:t>
      </w:r>
      <w:r w:rsidRPr="0008481A">
        <w:softHyphen/>
        <w:t>terna accepterat detta. Jan Olofsson hade motiverat för NSF-anhängarna att förflyttningen enbart var till för att skydda dem, vilket också accepterades. I PM över händelsen, upprättad den 20 oktober 1997 av kommen</w:t>
      </w:r>
      <w:r w:rsidRPr="0008481A">
        <w:softHyphen/>
        <w:t>d</w:t>
      </w:r>
      <w:r w:rsidRPr="0008481A">
        <w:t>e</w:t>
      </w:r>
      <w:r w:rsidRPr="0008481A">
        <w:t>rings</w:t>
      </w:r>
      <w:r w:rsidRPr="0008481A">
        <w:softHyphen/>
        <w:t>chefen Bengt Stolt</w:t>
      </w:r>
      <w:r w:rsidRPr="0008481A">
        <w:t>z, har skrivits ”med risk för konfrontation förvägrades detta”, vilket inte är en adekvat beskrivning av vad som låg till grund för beslutet att beordra bussen till den aktuella platsen. Bengt Stoltz uppger, att han sagt till Jan Olofsson att hålla NSF:arna hos sig till dess att man erhållit besked från Madeleine Jufors hur det skulle bedömas att släppa NSF-anhängarna att självständigt ta sig in till demonstrationsplatsen. Kort efteråt bad Madeleine Jufors Jan Olofsson förhandla fram lösningen med transport</w:t>
      </w:r>
      <w:r w:rsidRPr="0008481A">
        <w:t xml:space="preserve"> av buss.</w:t>
      </w:r>
    </w:p>
    <w:p w:rsidR="003B3271" w:rsidRPr="0008481A" w:rsidRDefault="003B3271">
      <w:pPr>
        <w:pStyle w:val="Citatindrag"/>
      </w:pPr>
      <w:r w:rsidRPr="0008481A">
        <w:t>Madeleine Jufors anser åtgärden att erbjuda NSF-demonstranterna skjuts med buss, som hon gjo</w:t>
      </w:r>
      <w:r w:rsidRPr="0008481A">
        <w:t>r</w:t>
      </w:r>
      <w:r w:rsidRPr="0008481A">
        <w:t>de vid nämnda tillfälle, följer av Polisens allmänna åligganden att biträda allmänheten med skydd.</w:t>
      </w:r>
    </w:p>
    <w:p w:rsidR="003B3271" w:rsidRPr="0008481A" w:rsidRDefault="003B3271">
      <w:pPr>
        <w:pStyle w:val="Rubrik5"/>
      </w:pPr>
      <w:r w:rsidRPr="0008481A">
        <w:t>b. de hämtades med buss och kördes till parkeringsplatsen vid Krutviken, Vämö.</w:t>
      </w:r>
    </w:p>
    <w:p w:rsidR="003B3271" w:rsidRPr="0008481A" w:rsidRDefault="003B3271">
      <w:pPr>
        <w:pStyle w:val="Citat"/>
      </w:pPr>
      <w:r w:rsidRPr="0008481A">
        <w:t>I samma ögonblick som bussen skulle påbörja färden in till demonstra</w:t>
      </w:r>
      <w:r w:rsidRPr="0008481A">
        <w:softHyphen/>
        <w:t>tions</w:t>
      </w:r>
      <w:r w:rsidRPr="0008481A">
        <w:softHyphen/>
        <w:t>platsen vid varvet erhöll Madeleine Jufors meddelande om att anti</w:t>
      </w:r>
      <w:r w:rsidRPr="0008481A">
        <w:softHyphen/>
        <w:t>fascist</w:t>
      </w:r>
      <w:r w:rsidRPr="0008481A">
        <w:softHyphen/>
        <w:t>demonstranterna, som tidigare samlats vid Bussto</w:t>
      </w:r>
      <w:r w:rsidRPr="0008481A">
        <w:t>r</w:t>
      </w:r>
      <w:r w:rsidRPr="0008481A">
        <w:t>get, nu var på väg mot den tilltänkta demonstrationsplatsen.</w:t>
      </w:r>
    </w:p>
    <w:p w:rsidR="003B3271" w:rsidRPr="0008481A" w:rsidRDefault="003B3271">
      <w:pPr>
        <w:pStyle w:val="Citatindrag"/>
      </w:pPr>
      <w:r w:rsidRPr="0008481A">
        <w:t>Antalet antifascistdemonstranter som deltog i förflyttningen mot demons</w:t>
      </w:r>
      <w:r w:rsidRPr="0008481A">
        <w:softHyphen/>
        <w:t>tra</w:t>
      </w:r>
      <w:r w:rsidRPr="0008481A">
        <w:softHyphen/>
        <w:t>tionsplatsen vid varvet uppskattades till 150–175 stycken.</w:t>
      </w:r>
    </w:p>
    <w:p w:rsidR="003B3271" w:rsidRPr="0008481A" w:rsidRDefault="003B3271">
      <w:pPr>
        <w:pStyle w:val="Citatindrag"/>
      </w:pPr>
      <w:r w:rsidRPr="0008481A">
        <w:t>Madeleine Jufors gjorde den bedömningen att det inte var rätt av polisen att köra in NSF-demonstranterna till vad som med all sannolikhet skulle bli en blodig sammandrabbning mellan NSF-anhängare och s k antifascister. Med hänsyn till att ordningen och säkerheten och då främst säkerheten för deltagarna inte kunde garanteras av poliskommenderingen under den tid och på den plats som NSF erhållit tillstånd att demonstrera, uppstod ett svårt dilemm</w:t>
      </w:r>
      <w:r w:rsidRPr="0008481A">
        <w:t>a för polisen. I detta läge beslutade Madeleine Jufors att NSF-anhängarna, som fanns på bussen, skulle transporteras till parkeringsplatsen vid Krutviken på Vämö, cirka fyra–fem km från den tänkta demons</w:t>
      </w:r>
      <w:r w:rsidRPr="0008481A">
        <w:softHyphen/>
        <w:t>trationspla</w:t>
      </w:r>
      <w:r w:rsidRPr="0008481A">
        <w:t>t</w:t>
      </w:r>
      <w:r w:rsidRPr="0008481A">
        <w:t>sen vid varvet, för att de där skulle beredas möjlighet att genom</w:t>
      </w:r>
      <w:r w:rsidRPr="0008481A">
        <w:softHyphen/>
        <w:t>föra sin demonstr</w:t>
      </w:r>
      <w:r w:rsidRPr="0008481A">
        <w:t>a</w:t>
      </w:r>
      <w:r w:rsidRPr="0008481A">
        <w:t>tion/manifestation.</w:t>
      </w:r>
    </w:p>
    <w:p w:rsidR="003B3271" w:rsidRPr="0008481A" w:rsidRDefault="003B3271">
      <w:pPr>
        <w:pStyle w:val="Citatindrag"/>
      </w:pPr>
      <w:r w:rsidRPr="0008481A">
        <w:t>Jan Olofsson fick i uppdrag av Madeleine Jufors att framföra det nya beslutet. När han meddelade de nya förutsättningarna, protesterade NSF-anhängarna i bussen. Jan Olofsson talade med repr</w:t>
      </w:r>
      <w:r w:rsidRPr="0008481A">
        <w:t>e</w:t>
      </w:r>
      <w:r w:rsidRPr="0008481A">
        <w:t>sentanter för demonstrations</w:t>
      </w:r>
      <w:r w:rsidRPr="0008481A">
        <w:softHyphen/>
      </w:r>
      <w:r w:rsidRPr="0008481A">
        <w:softHyphen/>
        <w:t>ledningen och förklarade att polisen inte kunde garantera deras säke</w:t>
      </w:r>
      <w:r w:rsidRPr="0008481A">
        <w:t>r</w:t>
      </w:r>
      <w:r w:rsidRPr="0008481A">
        <w:t>het om de transporterades till parkeringen vid varvet. Demonstrations</w:t>
      </w:r>
      <w:r w:rsidRPr="0008481A">
        <w:softHyphen/>
        <w:t>ledningen förstod grunderna för polisens beslut att ändra läget av demonstrationsplatsen, men accepterade icke detta.</w:t>
      </w:r>
    </w:p>
    <w:p w:rsidR="003B3271" w:rsidRPr="0008481A" w:rsidRDefault="003B3271">
      <w:pPr>
        <w:pStyle w:val="Citatindrag"/>
      </w:pPr>
      <w:r w:rsidRPr="0008481A">
        <w:t xml:space="preserve">När Madeleine Jufors beslutade att NSF:arna skulle skjutsas med buss ut till parkeringsplatsen vid Krutviken på Vämö förelåg en slags nödsituation. Polisen kunde inte medverka till att skjutsa NSF-anhängarna till den tänkta </w:t>
      </w:r>
      <w:r w:rsidRPr="0008481A">
        <w:t>demonstrationsplatsen, då det med all sannolikhet skulle bli en blodig upp</w:t>
      </w:r>
      <w:r w:rsidRPr="0008481A">
        <w:softHyphen/>
        <w:t>görelse mellan dem och motdemonstranterna. Åtgärden syftade därför till att som hon säger att i första hand undvika blodspillan och i andra hand att i minsta möjliga mån begränsa den grundlagsskyddade demonstrations</w:t>
      </w:r>
      <w:r w:rsidRPr="0008481A">
        <w:softHyphen/>
        <w:t>friheten, då alternativet hade varit att upplösa den allmänna sammankomsten.</w:t>
      </w:r>
    </w:p>
    <w:p w:rsidR="003B3271" w:rsidRPr="0008481A" w:rsidRDefault="003B3271">
      <w:pPr>
        <w:pStyle w:val="Rubrik5"/>
      </w:pPr>
      <w:r w:rsidRPr="0008481A">
        <w:t>c. de hindrades från att marschera från Vämö mot centrum.</w:t>
      </w:r>
    </w:p>
    <w:p w:rsidR="003B3271" w:rsidRPr="0008481A" w:rsidRDefault="003B3271">
      <w:pPr>
        <w:pStyle w:val="Citat"/>
      </w:pPr>
      <w:r w:rsidRPr="0008481A">
        <w:t>Jan Olofsson uppger, när bussen med NSF-anhängarna kör in på parkerings</w:t>
      </w:r>
      <w:r w:rsidRPr="0008481A">
        <w:softHyphen/>
        <w:t xml:space="preserve">platsen vid Krutviken på Vämö vid 1215-tiden samma dag, hade han av Madeleine Jufors fått order att förhindra att NSF:arna skulle marschera tillbaka mot staden. När sedan NSF:arna lämnar bussen springer man ut på Krutviksvägen i oordnad grupp, för att såsom Jan Olofsson uppfattade det hela eventuellt ställa upp för att marschera in mot stadens centrum. För att hindra att de började marschera fållades NSF:arna in av polisen på platsen. I samband med att man motades in på parkeringsplatsen gjorde en del små </w:t>
      </w:r>
      <w:r w:rsidRPr="0008481A">
        <w:t>grupper av NSF:are utfall mot polisen. Jan Olofsson uppfattade att utfallen var riktade mot polismännen som en protest mot att de körts ut till Krutviken och nu inte tilläts marschera därifrån. Det är dock felaktigt beskrivet som uppges i den upprättade PM:n 1997-10-20 från hä</w:t>
      </w:r>
      <w:r w:rsidRPr="0008481A">
        <w:t>n</w:t>
      </w:r>
      <w:r w:rsidRPr="0008481A">
        <w:t>delsen, där det står ”då dom lämnade bussen ställde upp för att marschera in mot centrum”. Jan Olofsson menar att man aldrig hann ställa upp utan stoppades 20–30 meter från bu</w:t>
      </w:r>
      <w:r w:rsidRPr="0008481A">
        <w:t>s</w:t>
      </w:r>
      <w:r w:rsidRPr="0008481A">
        <w:t>sen. Innan NSF-anhängarna visades tillbaka in på parkering</w:t>
      </w:r>
      <w:r w:rsidRPr="0008481A">
        <w:t>splatsen igen av polisen stod de uppställda på vägen i cirka en minut. Bengt Stoltz uppger, möjligen kan ett missförstånd ha uppstått i telekommunikati</w:t>
      </w:r>
      <w:r w:rsidRPr="0008481A">
        <w:t>o</w:t>
      </w:r>
      <w:r w:rsidRPr="0008481A">
        <w:t>nerna mellan honom och Jan Olofsson, där det underförstått antogs att NSF-anhängarna hade för avsikt att ställa upp och marschera, därav hans skrivning i PM:n.</w:t>
      </w:r>
    </w:p>
    <w:p w:rsidR="003B3271" w:rsidRPr="0008481A" w:rsidRDefault="003B3271">
      <w:pPr>
        <w:pStyle w:val="Citatindrag"/>
      </w:pPr>
      <w:r w:rsidRPr="0008481A">
        <w:t>Kort efter utfallen mot polismännen, varvid demonstranterna uppmanades att hålla sig lugna, sa</w:t>
      </w:r>
      <w:r w:rsidRPr="0008481A">
        <w:t>m</w:t>
      </w:r>
      <w:r w:rsidRPr="0008481A">
        <w:t>lade demonstrationsledningen sina anhängare, varefter en manifestation avhölls på nämnda park</w:t>
      </w:r>
      <w:r w:rsidRPr="0008481A">
        <w:t>e</w:t>
      </w:r>
      <w:r w:rsidRPr="0008481A">
        <w:t>ringsplats. Polisen behövde aldrig ingripa under manifestationen, som tog någon minut.</w:t>
      </w:r>
    </w:p>
    <w:p w:rsidR="003B3271" w:rsidRPr="0008481A" w:rsidRDefault="003B3271">
      <w:pPr>
        <w:pStyle w:val="Citatindrag"/>
      </w:pPr>
      <w:r w:rsidRPr="0008481A">
        <w:t>Madeleine Jufors beslut att mota in NSF-anhängarna från Krutviksvägen till parkeringsplatsen syftade till att hindra demonstranterna att marschera in mot centrum i enlighet med hennes d</w:t>
      </w:r>
      <w:r w:rsidRPr="0008481A">
        <w:t>i</w:t>
      </w:r>
      <w:r w:rsidRPr="0008481A">
        <w:t>rektiv.</w:t>
      </w:r>
    </w:p>
    <w:p w:rsidR="003B3271" w:rsidRPr="0008481A" w:rsidRDefault="003B3271">
      <w:pPr>
        <w:pStyle w:val="Citatindrag"/>
      </w:pPr>
      <w:r w:rsidRPr="0008481A">
        <w:t>Utfallen mot polisen fullföljdes inte. Något ingripande med anledning därav behövde aldrig ske, då demonstranterna kort efteråt lugnade ner sig och samlades kring sina ledare och genomförde man</w:t>
      </w:r>
      <w:r w:rsidRPr="0008481A">
        <w:t>i</w:t>
      </w:r>
      <w:r w:rsidRPr="0008481A">
        <w:t>festationen.</w:t>
      </w:r>
    </w:p>
    <w:p w:rsidR="003B3271" w:rsidRPr="0008481A" w:rsidRDefault="003B3271">
      <w:pPr>
        <w:pStyle w:val="Rubrik5"/>
      </w:pPr>
      <w:r w:rsidRPr="0008481A">
        <w:t>d. de kördes i buss tillbaka till Kvarngatan.</w:t>
      </w:r>
    </w:p>
    <w:p w:rsidR="003B3271" w:rsidRPr="0008481A" w:rsidRDefault="003B3271">
      <w:pPr>
        <w:pStyle w:val="Citat"/>
      </w:pPr>
      <w:r w:rsidRPr="0008481A">
        <w:t>Om detta finns inte mycket att säga, uppger Jan Olofsson. Efter mani</w:t>
      </w:r>
      <w:r w:rsidRPr="0008481A">
        <w:softHyphen/>
        <w:t>festa</w:t>
      </w:r>
      <w:r w:rsidRPr="0008481A">
        <w:softHyphen/>
        <w:t>tionens slut vid 1230-tiden gick alla NSF-anhängarna in i den av polisen disponerade bussen för att bli skjutsade tillbaka till Kvarngatan, där man hade sina fordon. Detta var också den överenskommelse som man gjort innan bussfärden ut till Krutviken. D v s att man skulle bli skjutsad med polisens hjälp tillbaka till utgångspunkten.</w:t>
      </w:r>
    </w:p>
    <w:p w:rsidR="003B3271" w:rsidRPr="0008481A" w:rsidRDefault="003B3271">
      <w:pPr>
        <w:pStyle w:val="Citatindrag"/>
      </w:pPr>
      <w:r w:rsidRPr="0008481A">
        <w:t>Den rättsliga grunden anses föreligga inom ramen för polisens allmänna uppgifter, då det inte kan anses vara ett polisingripande i allmän bemärkelse.</w:t>
      </w:r>
    </w:p>
    <w:p w:rsidR="003B3271" w:rsidRPr="0008481A" w:rsidRDefault="003B3271">
      <w:pPr>
        <w:pStyle w:val="Rubrik4"/>
      </w:pPr>
      <w:r w:rsidRPr="0008481A">
        <w:t>Kjell Magnusson</w:t>
      </w:r>
    </w:p>
    <w:p w:rsidR="003B3271" w:rsidRPr="0008481A" w:rsidRDefault="003B3271">
      <w:pPr>
        <w:pStyle w:val="Citat"/>
      </w:pPr>
      <w:r w:rsidRPr="0008481A">
        <w:t>NSF hade fått tillstånd till en allmän sammankomst lördagen den 18 oktober 1997 med villkor att den skulle hållas på parkeringsplatsen i korsningen Varvsgatan–Styrmansgatan i Karlskrona under tiden kl 12.00–12.30. Sam</w:t>
      </w:r>
      <w:r w:rsidRPr="0008481A">
        <w:softHyphen/>
        <w:t>tidigt som tillståndet meddelades avslogs NSF:s ansökan om att få ma</w:t>
      </w:r>
      <w:r w:rsidRPr="0008481A">
        <w:t>r</w:t>
      </w:r>
      <w:r w:rsidRPr="0008481A">
        <w:t>schera genom centrala gator till Stortorget i Karlskrona och där hålla sin mani</w:t>
      </w:r>
      <w:r w:rsidRPr="0008481A">
        <w:softHyphen/>
        <w:t>festation. Den rättsl</w:t>
      </w:r>
      <w:r w:rsidRPr="0008481A">
        <w:t>i</w:t>
      </w:r>
      <w:r w:rsidRPr="0008481A">
        <w:t>ga följden av beslutet innebar som polis</w:t>
      </w:r>
      <w:r w:rsidRPr="0008481A">
        <w:softHyphen/>
        <w:t>myndig</w:t>
      </w:r>
      <w:r w:rsidRPr="0008481A">
        <w:softHyphen/>
        <w:t>heten tolkar bestämmelserna att den med stöd av 2 kap 22 § kunde inställa eller upplösa den allmänna sammankomsten om den skulle hållas i strid med meddelat avslagsbeslut att marschera genom centrala gator i Karlskrona. Under den aktuella dagen och före fanns en allvarlig hotbild. I denna de</w:t>
      </w:r>
      <w:r w:rsidRPr="0008481A">
        <w:t xml:space="preserve">l får polismyndigheten hänvisa till bifogade PM upprättat av kommissarie Göran Janrell </w:t>
      </w:r>
      <w:r w:rsidRPr="0008481A">
        <w:rPr>
          <w:i/>
        </w:rPr>
        <w:t>(här utesluten)</w:t>
      </w:r>
      <w:r w:rsidRPr="0008481A">
        <w:t>.</w:t>
      </w:r>
    </w:p>
    <w:p w:rsidR="003B3271" w:rsidRPr="0008481A" w:rsidRDefault="003B3271">
      <w:pPr>
        <w:pStyle w:val="Citatindrag"/>
      </w:pPr>
      <w:r w:rsidRPr="0008481A">
        <w:t>Polismyndigheten har gjort den bedömningen att villkoret som ställts upp i samband med den al</w:t>
      </w:r>
      <w:r w:rsidRPr="0008481A">
        <w:t>l</w:t>
      </w:r>
      <w:r w:rsidRPr="0008481A">
        <w:t>männa sammankomsten, att den bara fick hållas på viss plats, samtidigt utgör ett förbud för anor</w:t>
      </w:r>
      <w:r w:rsidRPr="0008481A">
        <w:t>d</w:t>
      </w:r>
      <w:r w:rsidRPr="0008481A">
        <w:t>naren att hålla sammankomsten på någon annan tid och plats.</w:t>
      </w:r>
    </w:p>
    <w:p w:rsidR="003B3271" w:rsidRPr="0008481A" w:rsidRDefault="003B3271">
      <w:pPr>
        <w:pStyle w:val="Citatindrag"/>
      </w:pPr>
      <w:r w:rsidRPr="0008481A">
        <w:t>När det gäller fråga a) finner inte Polismyndigheten att polisen vidtagit någon åtgärd som kan i</w:t>
      </w:r>
      <w:r w:rsidRPr="0008481A">
        <w:t>n</w:t>
      </w:r>
      <w:r w:rsidRPr="0008481A">
        <w:t>begripas under begreppet polisingripande som kräver lagstöd, då detta skedde i samförstånd med NSF-anhängarna. Till polisens uppgifter hör att lämna allmänheten skydd och annan hjälp, när sådant bistånd lämpligen kan ges.</w:t>
      </w:r>
    </w:p>
    <w:p w:rsidR="003B3271" w:rsidRPr="0008481A" w:rsidRDefault="003B3271">
      <w:pPr>
        <w:pStyle w:val="Citatindrag"/>
      </w:pPr>
      <w:r w:rsidRPr="0008481A">
        <w:t>Vid beaktande av fråga b) fann biträdande länspolismästaren Madeleine Jufors att man inte kunde transportera NSF-anhängarna till den plats där man hade tillstånd att hålla sin sammankomst. Detta på den grund att myndig</w:t>
      </w:r>
      <w:r w:rsidRPr="0008481A">
        <w:softHyphen/>
        <w:t>heten inte kunde ansvara för deras säkerhet på platsen för sammankom</w:t>
      </w:r>
      <w:r w:rsidRPr="0008481A">
        <w:t>s</w:t>
      </w:r>
      <w:r w:rsidRPr="0008481A">
        <w:t>ten. Bedömningen att inte skjutsa demonstranterna till denna plats delar Polis</w:t>
      </w:r>
      <w:r w:rsidRPr="0008481A">
        <w:softHyphen/>
        <w:t>myndigheten, då det förelåg stor risk för att många människor skulle ha kommit till skada. Polisen kunde absolut inte medverka till ett sådant risk</w:t>
      </w:r>
      <w:r w:rsidRPr="0008481A">
        <w:softHyphen/>
        <w:t>tagande.</w:t>
      </w:r>
    </w:p>
    <w:p w:rsidR="003B3271" w:rsidRPr="0008481A" w:rsidRDefault="003B3271">
      <w:pPr>
        <w:pStyle w:val="Citatindrag"/>
      </w:pPr>
      <w:r w:rsidRPr="0008481A">
        <w:t>Madeleine Jufors beslut att transportera NSF-anhängarna till parkerings</w:t>
      </w:r>
      <w:r w:rsidRPr="0008481A">
        <w:softHyphen/>
        <w:t>platsen vid Krutviken på Vämö får anses som en mindre ingripande åtgärd än att inställa sammankomsten med stöd av 2 kap 22 § ordningslagen (1993:1617), vilket skulle ha kunnat bli fallet om NSF-anhängarna lämnat bussen och börjat marschera in mot staden. Polismyndigheten grundar den bedömningen på vad som inledningsvis sagts att man erhållit ett tillstånd med villkor. Motsatsvis innebär det ett förbud för anordnaren att hålla sam</w:t>
      </w:r>
      <w:r w:rsidRPr="0008481A">
        <w:softHyphen/>
        <w:t>man</w:t>
      </w:r>
      <w:r w:rsidRPr="0008481A">
        <w:softHyphen/>
        <w:t>komsten på någon annan plats. – Se dep.chefens uttalande i prop 1992/93:2</w:t>
      </w:r>
      <w:r w:rsidRPr="0008481A">
        <w:t>10, s. 74 – Genom polisledningens beslut kunde manifestationen avhållas och samma</w:t>
      </w:r>
      <w:r w:rsidRPr="0008481A">
        <w:t>n</w:t>
      </w:r>
      <w:r w:rsidRPr="0008481A">
        <w:t>komsten behövde inte inställas.</w:t>
      </w:r>
    </w:p>
    <w:p w:rsidR="003B3271" w:rsidRPr="0008481A" w:rsidRDefault="003B3271">
      <w:pPr>
        <w:pStyle w:val="Citatindrag"/>
      </w:pPr>
      <w:r w:rsidRPr="0008481A">
        <w:t>Madeleine Jufors beslut att hindra NSF-anhängarna att marschera från Vämö mot centrum, fråga c) bedöms av Polismyndigheten som en åtgärd, vidtagen med hänsyn till ordning och säkerhet. Om demonstranterna tillåtits marschera från Vämö tillbaka mot centrala Karlskrona hade med all sa</w:t>
      </w:r>
      <w:r w:rsidRPr="0008481A">
        <w:t>n</w:t>
      </w:r>
      <w:r w:rsidRPr="0008481A">
        <w:t>nolikhet svårare oordning uppstått, eftersom motdemonstranterna vid denna tidpunkt fortfarande uppehöll sig i Karlskrona och väntade på NSF-anhängarna.</w:t>
      </w:r>
    </w:p>
    <w:p w:rsidR="003B3271" w:rsidRPr="0008481A" w:rsidRDefault="003B3271">
      <w:pPr>
        <w:pStyle w:val="Citatindrag"/>
      </w:pPr>
      <w:r w:rsidRPr="0008481A">
        <w:t>Meddelat tillstånd innehöll också ett förbud att marschera.</w:t>
      </w:r>
    </w:p>
    <w:p w:rsidR="003B3271" w:rsidRPr="0008481A" w:rsidRDefault="003B3271">
      <w:pPr>
        <w:pStyle w:val="Citatindrag"/>
      </w:pPr>
      <w:r w:rsidRPr="0008481A">
        <w:t>Efter den avslutade manifestationen kördes NSF-anhängarna tillbaka till den plats, varifrån de skjutsats i buss – Kvarngatan –. Polismyndigheten finner inte annat än att detta skett i samförstånd med NSF-anhängarna, varför bedömningen är densamma av fråga d) som fråga a).</w:t>
      </w:r>
    </w:p>
    <w:p w:rsidR="003B3271" w:rsidRPr="0008481A" w:rsidRDefault="003B3271">
      <w:pPr>
        <w:pStyle w:val="Citatindrag"/>
      </w:pPr>
      <w:r w:rsidRPr="0008481A">
        <w:t>Senare under kvällen skedde sammandrabbning mellan nynazister och motdemonstranter. – – –.</w:t>
      </w:r>
    </w:p>
    <w:p w:rsidR="003B3271" w:rsidRPr="0008481A" w:rsidRDefault="003B3271">
      <w:pPr>
        <w:pStyle w:val="Citatindrag"/>
      </w:pPr>
      <w:r w:rsidRPr="0008481A">
        <w:t>Polismyndigheten överlämnar därmed ärendet för JO:s bedömning. Polisens ingripande mot NSF-demonstrationen har enligt polismyndigheten skett i överensstämmelse med lag.</w:t>
      </w:r>
    </w:p>
    <w:p w:rsidR="003B3271" w:rsidRPr="0008481A" w:rsidRDefault="003B3271">
      <w:r w:rsidRPr="0008481A">
        <w:t>I Göran Janrells PM uppgavs bl.a. att det vid tillfället vid busstorget i Karls</w:t>
      </w:r>
      <w:r w:rsidRPr="0008481A">
        <w:softHyphen/>
        <w:t>krona fanns ett fyrtiotal ”motdemonstranter” som saknade demonstra</w:t>
      </w:r>
      <w:r w:rsidRPr="0008481A">
        <w:softHyphen/>
        <w:t>tions</w:t>
      </w:r>
      <w:r w:rsidRPr="0008481A">
        <w:softHyphen/>
      </w:r>
      <w:r w:rsidRPr="0008481A">
        <w:softHyphen/>
        <w:t>tillstånd och att flera av personerna i denna grupp var ”yrkes</w:t>
      </w:r>
      <w:r w:rsidRPr="0008481A">
        <w:softHyphen/>
        <w:t>demon</w:t>
      </w:r>
      <w:r w:rsidRPr="0008481A">
        <w:softHyphen/>
        <w:t>str</w:t>
      </w:r>
      <w:r w:rsidRPr="0008481A">
        <w:softHyphen/>
        <w:t>an</w:t>
      </w:r>
      <w:r w:rsidRPr="0008481A">
        <w:softHyphen/>
        <w:t>ter”. Bland dessa fanns personer som tidigare hade gjort sig skyldiga till brottslig verksamhet i samband med demonstrationer. Enligt Göran Janrell var det utsiktslöst att försöka stoppa den olagliga demonstrationen eftersom den tillkom mycket snabbt och i nära a</w:t>
      </w:r>
      <w:r w:rsidRPr="0008481A">
        <w:t>n</w:t>
      </w:r>
      <w:r w:rsidRPr="0008481A">
        <w:t>slutning till den demonstrationsplats som hade tilld</w:t>
      </w:r>
      <w:r w:rsidRPr="0008481A">
        <w:t>e</w:t>
      </w:r>
      <w:r w:rsidRPr="0008481A">
        <w:t xml:space="preserve">lats NSF.  </w:t>
      </w:r>
    </w:p>
    <w:p w:rsidR="003B3271" w:rsidRPr="0008481A" w:rsidRDefault="003B3271">
      <w:pPr>
        <w:pStyle w:val="Rubrik3"/>
      </w:pPr>
      <w:r w:rsidRPr="0008481A">
        <w:t>Rättslig reglering</w:t>
      </w:r>
    </w:p>
    <w:p w:rsidR="003B3271" w:rsidRPr="0008481A" w:rsidRDefault="003B3271">
      <w:pPr>
        <w:pStyle w:val="Rubrik4"/>
        <w:spacing w:before="120"/>
      </w:pPr>
      <w:r w:rsidRPr="0008481A">
        <w:t xml:space="preserve">Regeringsformen och ordningslagen </w:t>
      </w:r>
    </w:p>
    <w:p w:rsidR="003B3271" w:rsidRPr="0008481A" w:rsidRDefault="003B3271">
      <w:r w:rsidRPr="0008481A">
        <w:t>Enligt 2 kap. 1 § första stycket 3 och 4 regeringsformen  (RF) är varje med</w:t>
      </w:r>
      <w:r w:rsidRPr="0008481A">
        <w:softHyphen/>
        <w:t>borgare gentemot det allmänna tillförsäkrad mötesfrihet och demonstrations</w:t>
      </w:r>
      <w:r w:rsidRPr="0008481A">
        <w:softHyphen/>
        <w:t>frihet, inneb</w:t>
      </w:r>
      <w:r w:rsidRPr="0008481A">
        <w:t>ä</w:t>
      </w:r>
      <w:r w:rsidRPr="0008481A">
        <w:t>rande bl.a. frihet att anordna och bevista sam</w:t>
      </w:r>
      <w:r w:rsidRPr="0008481A">
        <w:softHyphen/>
        <w:t>mankomster och att anordna och delta i demonstrationer på allmän plats. Begränsning av mötes- och demonstr</w:t>
      </w:r>
      <w:r w:rsidRPr="0008481A">
        <w:t>a</w:t>
      </w:r>
      <w:r w:rsidRPr="0008481A">
        <w:t>tionsfriheterna får göras genom lag (2 kap. 12 § första stycket RF). Sådana b</w:t>
      </w:r>
      <w:r w:rsidRPr="0008481A">
        <w:t>e</w:t>
      </w:r>
      <w:r w:rsidRPr="0008481A">
        <w:t>gränsningar får föranledas endast av hänsyn till ordning och säkerhet vid samma</w:t>
      </w:r>
      <w:r w:rsidRPr="0008481A">
        <w:t>n</w:t>
      </w:r>
      <w:r w:rsidRPr="0008481A">
        <w:t xml:space="preserve">komsten eller demonstrationen eller till trafiken eller av hänsyn till rikets säkerhet eller för att motverka </w:t>
      </w:r>
      <w:r w:rsidRPr="0008481A">
        <w:t xml:space="preserve">farsot </w:t>
      </w:r>
      <w:r w:rsidRPr="0008481A">
        <w:br/>
        <w:t>(2 kap. 14 § första stycket RF).</w:t>
      </w:r>
    </w:p>
    <w:p w:rsidR="003B3271" w:rsidRPr="0008481A" w:rsidRDefault="003B3271">
      <w:pPr>
        <w:pStyle w:val="Normaltindrag"/>
      </w:pPr>
      <w:r w:rsidRPr="0008481A">
        <w:t>Begränsningar av mötes- och demonstrationsfriheterna av det slag som åsyftas i 2 kap. 14 § RF finns i 2 kap. ordningslagen (1993:1617). Allmänna sammankom</w:t>
      </w:r>
      <w:r w:rsidRPr="0008481A">
        <w:t>s</w:t>
      </w:r>
      <w:r w:rsidRPr="0008481A">
        <w:t>ter, varmed avses bl.a. sammankomster som utgör demonstra</w:t>
      </w:r>
      <w:r w:rsidRPr="0008481A">
        <w:softHyphen/>
        <w:t>tioner (1 § första stycket 1), får enligt huvudregeln inte anordnas på offent</w:t>
      </w:r>
      <w:r w:rsidRPr="0008481A">
        <w:softHyphen/>
        <w:t>li</w:t>
      </w:r>
      <w:r w:rsidRPr="0008481A">
        <w:softHyphen/>
        <w:t>ga platser utan tillstånd (4 § första stycket). Frågor om tillstånd till en allmän sammankomst prövas av polismyndigheten (8 § första stycket). Tillstånd till en allmän sammankomst får vägras endast om det är nödvändigt med hänsyn till ordningen eller säkerheten vid sammankomsten eller, som en direkt följd av den, i dess omedelbara omgivning eller med hänsyn till trafik</w:t>
      </w:r>
      <w:r w:rsidRPr="0008481A">
        <w:t>en eller för att motverka epidemi (10 § första stycket). Polismyndigheten får meddela de villkor som behövs för att upprätthålla ordning och säkerhet vid en allmän sammankomst eller offentlig tillställning (16 § andra stycket). Den som inte följer de ordningsregler som gäller enligt ett sådant villkor är skyldig att på tillsägelse lämna sammankomsten eller tillställningen (17 §). Den som uppsåtligen eller av oaktsamhet i egenskap av anordnare bryter mot kravet på tillstånd eller mot ett villkor som har medd</w:t>
      </w:r>
      <w:r w:rsidRPr="0008481A">
        <w:t>elats enligt 16 § andra stycket kan d</w:t>
      </w:r>
      <w:r w:rsidRPr="0008481A">
        <w:t>ö</w:t>
      </w:r>
      <w:r w:rsidRPr="0008481A">
        <w:t>mas till böter eller fängelse i högst sex månader (29 § första stycket 1).</w:t>
      </w:r>
    </w:p>
    <w:p w:rsidR="003B3271" w:rsidRPr="0008481A" w:rsidRDefault="003B3271">
      <w:pPr>
        <w:pStyle w:val="Normaltindrag"/>
      </w:pPr>
      <w:r w:rsidRPr="0008481A">
        <w:t>Polismyndigheten får förbjuda att det hålls en allmän sammankomst bl.a. om det vid en tidigare sammankomst av samma slag har uppkommit svårare oordning vid själva sammankomsten eller, som en direkt följd av den, i dess omedelbara o</w:t>
      </w:r>
      <w:r w:rsidRPr="0008481A">
        <w:t>m</w:t>
      </w:r>
      <w:r w:rsidRPr="0008481A">
        <w:t>givning eller om sammankomsten visat sig ha medfört avsevärd fara för de närv</w:t>
      </w:r>
      <w:r w:rsidRPr="0008481A">
        <w:t>a</w:t>
      </w:r>
      <w:r w:rsidRPr="0008481A">
        <w:t xml:space="preserve">rande eller allvarlig störning av trafiken (25 § första stycket 1). </w:t>
      </w:r>
    </w:p>
    <w:p w:rsidR="003B3271" w:rsidRPr="0008481A" w:rsidRDefault="003B3271">
      <w:pPr>
        <w:pStyle w:val="Normaltindrag"/>
      </w:pPr>
      <w:r w:rsidRPr="0008481A">
        <w:t>Polismyndigheten får inställa eller upplösa en allmän sammankomst, om den hålls i strid med ett beslut om avslag på en ansökan om tillstånd eller i strid med ett förbud enligt 25 § (22 §). Polismyndigheten får vidare upplösa en allmän sa</w:t>
      </w:r>
      <w:r w:rsidRPr="0008481A">
        <w:t>m</w:t>
      </w:r>
      <w:r w:rsidRPr="0008481A">
        <w:t>mankomst, om det uppkommer svårare oordning vid själva sam</w:t>
      </w:r>
      <w:r w:rsidRPr="0008481A">
        <w:softHyphen/>
        <w:t>man</w:t>
      </w:r>
      <w:r w:rsidRPr="0008481A">
        <w:softHyphen/>
        <w:t>komsten eller, som en direkt följd av den, i dess omedelbara omgiv</w:t>
      </w:r>
      <w:r w:rsidRPr="0008481A">
        <w:softHyphen/>
        <w:t>ning eller om sammankom</w:t>
      </w:r>
      <w:r w:rsidRPr="0008481A">
        <w:t>s</w:t>
      </w:r>
      <w:r w:rsidRPr="0008481A">
        <w:t>ten medför avsevärd fara för de närvarande eller allvarlig störning av trafiken (23 § första stycket 1). Den omständigheten att en allmän sammankomst äger rum utan att något tillstånd över huvud taget har sökts för den är således inte laga grund för att upplösa sammankomsten (prop. 1992/93:210 s. 79 och 262). En al</w:t>
      </w:r>
      <w:r w:rsidRPr="0008481A">
        <w:t>l</w:t>
      </w:r>
      <w:r w:rsidRPr="0008481A">
        <w:t>män samman</w:t>
      </w:r>
      <w:r w:rsidRPr="0008481A">
        <w:softHyphen/>
        <w:t xml:space="preserve">komst får upplösas enligt 22 </w:t>
      </w:r>
      <w:r w:rsidRPr="0008481A">
        <w:t xml:space="preserve">eller 23 § endast om mindre ingripande åtgärder har visat sig vara otillräckliga för att hindra fortsatt lagstridigt handlande, återställa ordningen, skydda de närvarande eller begränsa störningen av trafiken (24 §). </w:t>
      </w:r>
    </w:p>
    <w:p w:rsidR="003B3271" w:rsidRPr="0008481A" w:rsidRDefault="003B3271">
      <w:pPr>
        <w:pStyle w:val="Rubrik4"/>
      </w:pPr>
      <w:r w:rsidRPr="0008481A">
        <w:t xml:space="preserve">Polislagen </w:t>
      </w:r>
    </w:p>
    <w:p w:rsidR="003B3271" w:rsidRPr="0008481A" w:rsidRDefault="003B3271">
      <w:r w:rsidRPr="0008481A">
        <w:t>Till polisens uppgifter hör enligt 2 § polislagen (1984:387) att förebygga brott och andra störningar av den allmänna ordningen eller säkerheten samt att övervaka den allmänna ordningen och säkerheten, hindra störningar därav samt ingripa när såd</w:t>
      </w:r>
      <w:r w:rsidRPr="0008481A">
        <w:t>a</w:t>
      </w:r>
      <w:r w:rsidRPr="0008481A">
        <w:t xml:space="preserve">na har inträffat. </w:t>
      </w:r>
    </w:p>
    <w:p w:rsidR="003B3271" w:rsidRPr="0008481A" w:rsidRDefault="003B3271">
      <w:pPr>
        <w:pStyle w:val="Normaltindrag"/>
      </w:pPr>
      <w:r w:rsidRPr="0008481A">
        <w:t>Om någon genom sitt uppträdande stör den allmänna ordningen eller utgör en omedelbar fara för denna får enligt 13 § polislagen en polisman avvisa eller a</w:t>
      </w:r>
      <w:r w:rsidRPr="0008481A">
        <w:t>v</w:t>
      </w:r>
      <w:r w:rsidRPr="0008481A">
        <w:t>lägsna honom från ett visst område eller utrymme när det är nöd</w:t>
      </w:r>
      <w:r w:rsidRPr="0008481A">
        <w:softHyphen/>
        <w:t>vändigt för att ordningen skall kunna upprätthållas. Detsamma gäller om en sådan åtgärd behövs för att en straffbelagd gärning skall kunna avvärjas. Är en sådan åtgärd otillräcklig för att det avsedda resultatet skall uppnås, får personen tillfälligt omhändertas.</w:t>
      </w:r>
    </w:p>
    <w:p w:rsidR="003B3271" w:rsidRPr="0008481A" w:rsidRDefault="003B3271">
      <w:pPr>
        <w:pStyle w:val="Rubrik3"/>
      </w:pPr>
      <w:r w:rsidRPr="0008481A">
        <w:t>Bedömning</w:t>
      </w:r>
    </w:p>
    <w:p w:rsidR="003B3271" w:rsidRPr="0008481A" w:rsidRDefault="003B3271">
      <w:pPr>
        <w:pStyle w:val="Rubrik4"/>
        <w:spacing w:before="120"/>
      </w:pPr>
      <w:r w:rsidRPr="0008481A">
        <w:t>Polismyndighetens beslut inför demonstrationen</w:t>
      </w:r>
    </w:p>
    <w:p w:rsidR="003B3271" w:rsidRPr="0008481A" w:rsidRDefault="003B3271">
      <w:r w:rsidRPr="0008481A">
        <w:t>Enligt vad som sägs i polismyndighetens beslut den 15 oktober 1997 grund</w:t>
      </w:r>
      <w:r w:rsidRPr="0008481A">
        <w:softHyphen/>
        <w:t>ades detta, såvitt gällde frågan om plats för demonstrationen, på bestäm</w:t>
      </w:r>
      <w:r w:rsidRPr="0008481A">
        <w:softHyphen/>
        <w:t>melsen i 2 kap. 16 § ordningslagen om polismyndighetens rätt att meddela villkor för att upprät</w:t>
      </w:r>
      <w:r w:rsidRPr="0008481A">
        <w:t>t</w:t>
      </w:r>
      <w:r w:rsidRPr="0008481A">
        <w:t>hålla ordning och säkerhet vid en allmän sammankomst eller offentlig tillställning. Jag vill med anledning härav påpeka att denna bestämmelse inte gäller själva til</w:t>
      </w:r>
      <w:r w:rsidRPr="0008481A">
        <w:t>l</w:t>
      </w:r>
      <w:r w:rsidRPr="0008481A">
        <w:t>ståndsfrågan utan endast frågan om polis</w:t>
      </w:r>
      <w:r w:rsidRPr="0008481A">
        <w:softHyphen/>
        <w:t>myndighetens rätt att meddela detaljför</w:t>
      </w:r>
      <w:r w:rsidRPr="0008481A">
        <w:t>e</w:t>
      </w:r>
      <w:r w:rsidRPr="0008481A">
        <w:t>skrifter av olika slag om ordningen vid sammankomsten eller tillställningen. U</w:t>
      </w:r>
      <w:r w:rsidRPr="0008481A">
        <w:t>n</w:t>
      </w:r>
      <w:r w:rsidRPr="0008481A">
        <w:t>derlåtenhet att r</w:t>
      </w:r>
      <w:r w:rsidRPr="0008481A">
        <w:t>ätta sig efter sådana föreskrifter kan medföra straffansvar för a</w:t>
      </w:r>
      <w:r w:rsidRPr="0008481A">
        <w:t>n</w:t>
      </w:r>
      <w:r w:rsidRPr="0008481A">
        <w:t>ordnaren men grundar däremot inte någon rätt för polisen att upplösa samma</w:t>
      </w:r>
      <w:r w:rsidRPr="0008481A">
        <w:t>n</w:t>
      </w:r>
      <w:r w:rsidRPr="0008481A">
        <w:t>komsten respektive til</w:t>
      </w:r>
      <w:r w:rsidRPr="0008481A">
        <w:t>l</w:t>
      </w:r>
      <w:r w:rsidRPr="0008481A">
        <w:t xml:space="preserve">ställningen. </w:t>
      </w:r>
    </w:p>
    <w:p w:rsidR="003B3271" w:rsidRPr="0008481A" w:rsidRDefault="003B3271">
      <w:pPr>
        <w:pStyle w:val="Normaltindrag"/>
      </w:pPr>
      <w:r w:rsidRPr="0008481A">
        <w:t>Prövningen av tillståndsfrågan görs i stället på grundval av bestäm</w:t>
      </w:r>
      <w:r w:rsidRPr="0008481A">
        <w:softHyphen/>
        <w:t>melserna i 2 kap. 8–11 §§ ordningslagen. Polismyndigheten hänvisar i sitt yttrande till ett förarbetsuttalande om av polisen meddelade villkor för en allmän sammankomst (prop. 1992/93:210 s. 74). Detta uttalande syftar emellertid på Yttrandefrihetsu</w:t>
      </w:r>
      <w:r w:rsidRPr="0008481A">
        <w:t>t</w:t>
      </w:r>
      <w:r w:rsidRPr="0008481A">
        <w:t>redningens ej genomförda förslag, att tillståndsförfarandet skulle ersättas med en ordning med anmälnings</w:t>
      </w:r>
      <w:r w:rsidRPr="0008481A">
        <w:softHyphen/>
        <w:t>skyldighet i förening med rätt för polismyndigheten att utfärda vil</w:t>
      </w:r>
      <w:r w:rsidRPr="0008481A">
        <w:t>l</w:t>
      </w:r>
      <w:r w:rsidRPr="0008481A">
        <w:t>kor för en anmäld allmän sammankomst.</w:t>
      </w:r>
    </w:p>
    <w:p w:rsidR="003B3271" w:rsidRPr="0008481A" w:rsidRDefault="003B3271">
      <w:pPr>
        <w:pStyle w:val="Normaltindrag"/>
      </w:pPr>
      <w:r w:rsidRPr="0008481A">
        <w:t xml:space="preserve">I sak innebar polismyndighetens beslut att NSF:s </w:t>
      </w:r>
      <w:r w:rsidRPr="0008481A">
        <w:t>ansökan om tillstånd att den 18 oktober 1997 mellan kl. 11.30 och kl. 12.35 marschera och demonstrera på vissa ställen i centrala Karlskrona avslogs i sin helhet och att polismyndigheten i stället lämnade tillstånd till en allmän sammankomst samma dag mellan kl. 12.00 och kl. 12.30 på en plats som inte omfattades av ansökningen, nämligen varvets park</w:t>
      </w:r>
      <w:r w:rsidRPr="0008481A">
        <w:t>e</w:t>
      </w:r>
      <w:r w:rsidRPr="0008481A">
        <w:t>ringsplats intill Varvsgatan/Styrman</w:t>
      </w:r>
      <w:r w:rsidRPr="0008481A">
        <w:t>s</w:t>
      </w:r>
      <w:r w:rsidRPr="0008481A">
        <w:softHyphen/>
        <w:t>gatan.</w:t>
      </w:r>
    </w:p>
    <w:p w:rsidR="003B3271" w:rsidRPr="0008481A" w:rsidRDefault="003B3271">
      <w:pPr>
        <w:pStyle w:val="Normaltindrag"/>
      </w:pPr>
      <w:r w:rsidRPr="0008481A">
        <w:t>Myndigheten har i sitt yttrande anfört att beslutet innebar ett förbud att hålla sa</w:t>
      </w:r>
      <w:r w:rsidRPr="0008481A">
        <w:t>m</w:t>
      </w:r>
      <w:r w:rsidRPr="0008481A">
        <w:t>mankomsten på någon annan plats än den som tillståndet avsåg. Detta är riktigt såtillvida att allmänna sammankomster inte utan tillstånd får anordnas på offentl</w:t>
      </w:r>
      <w:r w:rsidRPr="0008481A">
        <w:t>i</w:t>
      </w:r>
      <w:r w:rsidRPr="0008481A">
        <w:t>ga platser samt att straffansvar kan utkrävas av den som i egenskap av anordnare uppsåtligen eller av oaktsamhet bryter mot tillstånds</w:t>
      </w:r>
      <w:r w:rsidRPr="0008481A">
        <w:softHyphen/>
        <w:t>kravet. Härmed är emellertid inte sagt att polismyndigheten har rätt att inställa eller upplösa en sammankomst som hålls utan tillstånd. För att en överträdelse av det generella förbudet mot att hålla allmänna samma</w:t>
      </w:r>
      <w:r w:rsidRPr="0008481A">
        <w:t>n</w:t>
      </w:r>
      <w:r w:rsidRPr="0008481A">
        <w:softHyphen/>
        <w:t>komster utan tillstånd skall medföra rätt till en sådan å</w:t>
      </w:r>
      <w:r w:rsidRPr="0008481A">
        <w:t>t</w:t>
      </w:r>
      <w:r w:rsidRPr="0008481A">
        <w:t>gärd från polis</w:t>
      </w:r>
      <w:r w:rsidRPr="0008481A">
        <w:softHyphen/>
        <w:t>myndig</w:t>
      </w:r>
      <w:r w:rsidRPr="0008481A">
        <w:softHyphen/>
        <w:t>hetens sida, krävs nämligen enligt 2 kap. 22 § ordningslagen att sammankomsten hålls i strid med ett beslut som innebär avslag på en ansökan om tillstånd till en sådan sammankomst. En annan sak är att polis</w:t>
      </w:r>
      <w:r w:rsidRPr="0008481A">
        <w:softHyphen/>
        <w:t>myndigheten har rätt att upplösa en allmän sammankomst som hålls i strid med ett av polismyndi</w:t>
      </w:r>
      <w:r w:rsidRPr="0008481A">
        <w:t>g</w:t>
      </w:r>
      <w:r w:rsidRPr="0008481A">
        <w:t>heten särskilt meddelat förbud med stöd av 2 kap. 25 § ordnin</w:t>
      </w:r>
      <w:r w:rsidRPr="0008481A">
        <w:t>g</w:t>
      </w:r>
      <w:r w:rsidRPr="0008481A">
        <w:t xml:space="preserve">slagen. </w:t>
      </w:r>
    </w:p>
    <w:p w:rsidR="003B3271" w:rsidRPr="0008481A" w:rsidRDefault="003B3271">
      <w:pPr>
        <w:pStyle w:val="Normaltindrag"/>
      </w:pPr>
      <w:r w:rsidRPr="0008481A">
        <w:t>Bestämmelsen i 2 kap. 22 § ordningslagen får anses inneb</w:t>
      </w:r>
      <w:r w:rsidRPr="0008481A">
        <w:t>ära att polismyndigheten har rätt att med stöd av ett meddelat avslagsbeslut inställa eller upplösa en allmän sammankomst endast om denna kan anses vara samma sammankomst som den som har avsetts med ansökningen. Ett av</w:t>
      </w:r>
      <w:r w:rsidRPr="0008481A">
        <w:softHyphen/>
        <w:t>slags</w:t>
      </w:r>
      <w:r w:rsidRPr="0008481A">
        <w:softHyphen/>
      </w:r>
      <w:r w:rsidRPr="0008481A">
        <w:softHyphen/>
      </w:r>
      <w:r w:rsidRPr="0008481A">
        <w:softHyphen/>
        <w:t>besluts räckvidd, såvitt gäller ti</w:t>
      </w:r>
      <w:r w:rsidRPr="0008481A">
        <w:t>l</w:t>
      </w:r>
      <w:r w:rsidRPr="0008481A">
        <w:t>lämpningen av 2 kap. 22 § ordnings</w:t>
      </w:r>
      <w:r w:rsidRPr="0008481A">
        <w:softHyphen/>
        <w:t>lagen, bestäms således av innehållet i ansö</w:t>
      </w:r>
      <w:r w:rsidRPr="0008481A">
        <w:t>k</w:t>
      </w:r>
      <w:r w:rsidRPr="0008481A">
        <w:t>ningen. En ansökan om tillstånd att hålla en sammankomst på viss plats och tid måste därvid rimligen tolkas efter sin ordalydelse. Om samma arrangör genomför en allmän sam</w:t>
      </w:r>
      <w:r w:rsidRPr="0008481A">
        <w:t>man</w:t>
      </w:r>
      <w:r w:rsidRPr="0008481A">
        <w:softHyphen/>
        <w:t>komst på någon annan plats eller vid någon annan tidpunkt än den som har angetts i ansökningen, skall sammankomsten således betraktas som en sammankomst för vilken tillstånd inte har sökts och som därför inte får upp</w:t>
      </w:r>
      <w:r w:rsidRPr="0008481A">
        <w:softHyphen/>
        <w:t>l</w:t>
      </w:r>
      <w:r w:rsidRPr="0008481A">
        <w:t>ö</w:t>
      </w:r>
      <w:r w:rsidRPr="0008481A">
        <w:t>sas med stöd av reglerna i 2 kap. 22 § ordnings</w:t>
      </w:r>
      <w:r w:rsidRPr="0008481A">
        <w:softHyphen/>
        <w:t xml:space="preserve">lagen (jfr a. prop. s. 74).   </w:t>
      </w:r>
    </w:p>
    <w:p w:rsidR="003B3271" w:rsidRPr="0008481A" w:rsidRDefault="003B3271">
      <w:pPr>
        <w:pStyle w:val="Normaltindrag"/>
      </w:pPr>
      <w:r w:rsidRPr="0008481A">
        <w:t xml:space="preserve">Av det sagda följer att det skulle ha funnits grund för att med stöd av </w:t>
      </w:r>
      <w:r w:rsidRPr="0008481A">
        <w:br/>
        <w:t>2 kap. 22 § ordningslagen ställa in eller upplösa en av NSF anordnad demonstration endast om den hölls på eller i omedelbar anslutning till någon av de platser som omfatt</w:t>
      </w:r>
      <w:r w:rsidRPr="0008481A">
        <w:t>a</w:t>
      </w:r>
      <w:r w:rsidRPr="0008481A">
        <w:t>des av tillståndsansökningen och i tiden låg så nära vad som hade angetts i ansö</w:t>
      </w:r>
      <w:r w:rsidRPr="0008481A">
        <w:t>k</w:t>
      </w:r>
      <w:r w:rsidRPr="0008481A">
        <w:t>ningen att det med fog kunde sägas vara fråga om en sammankomst i strid med avslagsbeslutet. Det hade däremot inte funnits någon rätt för polismyndigheten att med stöd av det nämnda lag</w:t>
      </w:r>
      <w:r w:rsidRPr="0008481A">
        <w:softHyphen/>
        <w:t>rummet ställa in eller upplösa en sammankomst, som visserligen inte omfat</w:t>
      </w:r>
      <w:r w:rsidRPr="0008481A">
        <w:t>tades av det meddelade tillståndet men som inte på nu ang</w:t>
      </w:r>
      <w:r w:rsidRPr="0008481A">
        <w:t>i</w:t>
      </w:r>
      <w:r w:rsidRPr="0008481A">
        <w:t>vet sätt sammanföll med den sammankomst som avsågs i tillståndsansökningen. Den omständigheten att man av tillståndsbeslutet kan dra den slutsatsen att poli</w:t>
      </w:r>
      <w:r w:rsidRPr="0008481A">
        <w:t>s</w:t>
      </w:r>
      <w:r w:rsidRPr="0008481A">
        <w:t>myndigheten sannolikt ansett att också andra platser i Karlskrona än de i ansö</w:t>
      </w:r>
      <w:r w:rsidRPr="0008481A">
        <w:t>k</w:t>
      </w:r>
      <w:r w:rsidRPr="0008481A">
        <w:t>ningen angivna var olämpliga för NSF:s demonstration saknar betydelse i det a</w:t>
      </w:r>
      <w:r w:rsidRPr="0008481A">
        <w:t>n</w:t>
      </w:r>
      <w:r w:rsidRPr="0008481A">
        <w:t>givna hänseendet. Jag vill i detta sammanhang erinra om Högsta domstolens utt</w:t>
      </w:r>
      <w:r w:rsidRPr="0008481A">
        <w:t>a</w:t>
      </w:r>
      <w:r w:rsidRPr="0008481A">
        <w:t>lande i rättsfallet NJA 1996 s. 577, att den om</w:t>
      </w:r>
      <w:r w:rsidRPr="0008481A">
        <w:softHyphen/>
        <w:t>ständigheten a</w:t>
      </w:r>
      <w:r w:rsidRPr="0008481A">
        <w:t>tt en lagregel innebär ett undantag från en grundlagsskyddad rättighet ger en särskild anledning till r</w:t>
      </w:r>
      <w:r w:rsidRPr="0008481A">
        <w:t>e</w:t>
      </w:r>
      <w:r w:rsidRPr="0008481A">
        <w:t>striktivitet vid tolkningen av bestämme</w:t>
      </w:r>
      <w:r w:rsidRPr="0008481A">
        <w:t>l</w:t>
      </w:r>
      <w:r w:rsidRPr="0008481A">
        <w:t>sen.</w:t>
      </w:r>
    </w:p>
    <w:p w:rsidR="003B3271" w:rsidRPr="0008481A" w:rsidRDefault="003B3271">
      <w:pPr>
        <w:pStyle w:val="Normaltindrag"/>
      </w:pPr>
      <w:r w:rsidRPr="0008481A">
        <w:t>Som tidigare nämnts utfärdade Madeleine Jufors den 17 oktober 1977 en order avseende insatser med anledning av demonstrationen. Av Stellan Lundins prom</w:t>
      </w:r>
      <w:r w:rsidRPr="0008481A">
        <w:t>e</w:t>
      </w:r>
      <w:r w:rsidRPr="0008481A">
        <w:t>moria framgår att Madeleine Jufors hade utsetts att på polis</w:t>
      </w:r>
      <w:r w:rsidRPr="0008481A">
        <w:softHyphen/>
        <w:t>myndighetens vägnar fatta de polischefsbeslut som kunde aktualiseras. Ordern den 17 oktober föranl</w:t>
      </w:r>
      <w:r w:rsidRPr="0008481A">
        <w:t>e</w:t>
      </w:r>
      <w:r w:rsidRPr="0008481A">
        <w:t>der inte n</w:t>
      </w:r>
      <w:r w:rsidRPr="0008481A">
        <w:t>å</w:t>
      </w:r>
      <w:r w:rsidRPr="0008481A">
        <w:t>got särskilt uttalande från min sida.</w:t>
      </w:r>
    </w:p>
    <w:p w:rsidR="003B3271" w:rsidRPr="0008481A" w:rsidRDefault="003B3271">
      <w:pPr>
        <w:pStyle w:val="Rubrik4"/>
      </w:pPr>
      <w:r w:rsidRPr="0008481A">
        <w:t>Beslutet att forsla NSF-anhängarna till demonstrationsplatsen med buss</w:t>
      </w:r>
    </w:p>
    <w:p w:rsidR="003B3271" w:rsidRPr="0008481A" w:rsidRDefault="003B3271">
      <w:r w:rsidRPr="0008481A">
        <w:t>Av utredningen framgår att den planerade NSF-demonstrationen föranledde mo</w:t>
      </w:r>
      <w:r w:rsidRPr="0008481A">
        <w:t>t</w:t>
      </w:r>
      <w:r w:rsidRPr="0008481A">
        <w:t>demonstranter att samlas i centrala Karlskrona. NSF-anhängarna sam</w:t>
      </w:r>
      <w:r w:rsidRPr="0008481A">
        <w:softHyphen/>
        <w:t>lades på Kvarngatan i Karlskrona, där de parkerade sina fordon, och de avsåg att därifrån gå i grupper till demonstrationsplatsen genom den del av Karlskrona där motd</w:t>
      </w:r>
      <w:r w:rsidRPr="0008481A">
        <w:t>e</w:t>
      </w:r>
      <w:r w:rsidRPr="0008481A">
        <w:t>monstranterna befann sig. Enligt vad som uppges i Stellan Lundins promemoria gjorde Madeleine Jufors den bedömningen att den planerade förflyttningen inte utgjorde ett led i NSF:s demonstration. Uppen</w:t>
      </w:r>
      <w:r w:rsidRPr="0008481A">
        <w:softHyphen/>
        <w:t>barligen betraktades inte heller samlingen på Kvarngatan som en allmän samma</w:t>
      </w:r>
      <w:r w:rsidRPr="0008481A">
        <w:t>nkomst. Med anledning av de svårigheter att lotsa NSF-anhängarna förbi motdemonstranterna som kunde bef</w:t>
      </w:r>
      <w:r w:rsidRPr="0008481A">
        <w:t>a</w:t>
      </w:r>
      <w:r w:rsidRPr="0008481A">
        <w:t>ras beslutade Madeleine Jufors att de skulle erbjudas skjuts med buss. Enligt vad som uppges i polismyndighetens yttrande accepterade NSF-anhängarna erbjuda</w:t>
      </w:r>
      <w:r w:rsidRPr="0008481A">
        <w:t>n</w:t>
      </w:r>
      <w:r w:rsidRPr="0008481A">
        <w:softHyphen/>
        <w:t>det. Med hänsyn härtill föranleder beslutet att transporterna dem till demon</w:t>
      </w:r>
      <w:r w:rsidRPr="0008481A">
        <w:softHyphen/>
        <w:t>str</w:t>
      </w:r>
      <w:r w:rsidRPr="0008481A">
        <w:t>a</w:t>
      </w:r>
      <w:r w:rsidRPr="0008481A">
        <w:t>tion</w:t>
      </w:r>
      <w:r w:rsidRPr="0008481A">
        <w:t>s</w:t>
      </w:r>
      <w:r w:rsidRPr="0008481A">
        <w:t xml:space="preserve">platsen i buss inte något uttalande från min sida.  </w:t>
      </w:r>
    </w:p>
    <w:p w:rsidR="003B3271" w:rsidRPr="0008481A" w:rsidRDefault="003B3271">
      <w:pPr>
        <w:pStyle w:val="Rubrik4"/>
      </w:pPr>
      <w:r w:rsidRPr="0008481A">
        <w:t>Beslutet att forsla NSF-anhängarna till Krutviken</w:t>
      </w:r>
    </w:p>
    <w:p w:rsidR="003B3271" w:rsidRPr="0008481A" w:rsidRDefault="003B3271">
      <w:r w:rsidRPr="0008481A">
        <w:t xml:space="preserve">När bussen skulle påbörja färden till varvets parkering, beslutade Madeleine </w:t>
      </w:r>
      <w:r w:rsidRPr="0008481A">
        <w:br/>
        <w:t>Jufors att passagerarna i stället skulle köras till Krutviken på Vämö, 4–5 kilometer från den tänkta demonstrationsplatsen, något som dessa inte accepter</w:t>
      </w:r>
      <w:r w:rsidRPr="0008481A">
        <w:t>a</w:t>
      </w:r>
      <w:r w:rsidRPr="0008481A">
        <w:t>de. Detta beslut fick till följd att den tillståndsgivna demon</w:t>
      </w:r>
      <w:r w:rsidRPr="0008481A">
        <w:softHyphen/>
        <w:t>strationen inte geno</w:t>
      </w:r>
      <w:r w:rsidRPr="0008481A">
        <w:t>m</w:t>
      </w:r>
      <w:r w:rsidRPr="0008481A">
        <w:t>fördes. Någon allmän sammankomst kom över huvud taget inte till stånd förrän NSF-anhängarna hade transporterats till Krutv</w:t>
      </w:r>
      <w:r w:rsidRPr="0008481A">
        <w:t>i</w:t>
      </w:r>
      <w:r w:rsidRPr="0008481A">
        <w:t xml:space="preserve">ken. </w:t>
      </w:r>
    </w:p>
    <w:p w:rsidR="003B3271" w:rsidRPr="0008481A" w:rsidRDefault="003B3271">
      <w:pPr>
        <w:pStyle w:val="Normaltindrag"/>
      </w:pPr>
      <w:r w:rsidRPr="0008481A">
        <w:t>Såvitt framgår av utredningen fattade polismyndigheten aldrig något formligt b</w:t>
      </w:r>
      <w:r w:rsidRPr="0008481A">
        <w:t>e</w:t>
      </w:r>
      <w:r w:rsidRPr="0008481A">
        <w:t>slut med stöd av ordningslagen att inställa den tillståndsgivna all</w:t>
      </w:r>
      <w:r w:rsidRPr="0008481A">
        <w:softHyphen/>
        <w:t>männa samma</w:t>
      </w:r>
      <w:r w:rsidRPr="0008481A">
        <w:t>n</w:t>
      </w:r>
      <w:r w:rsidRPr="0008481A">
        <w:t>komsten. Det föreligger inte heller något formligt beslut i demonstrationstil</w:t>
      </w:r>
      <w:r w:rsidRPr="0008481A">
        <w:t>l</w:t>
      </w:r>
      <w:r w:rsidRPr="0008481A">
        <w:t>ståndsärendet av innebörd att polismyndigheten om</w:t>
      </w:r>
      <w:r w:rsidRPr="0008481A">
        <w:softHyphen/>
        <w:t>prövade sitt ursprungliga til</w:t>
      </w:r>
      <w:r w:rsidRPr="0008481A">
        <w:t>l</w:t>
      </w:r>
      <w:r w:rsidRPr="0008481A">
        <w:t>ståndsbeslut. Det är därför inte möjligt att av till</w:t>
      </w:r>
      <w:r w:rsidRPr="0008481A">
        <w:softHyphen/>
        <w:t>gängliga handlingar i ärendet utl</w:t>
      </w:r>
      <w:r w:rsidRPr="0008481A">
        <w:t>ä</w:t>
      </w:r>
      <w:r w:rsidRPr="0008481A">
        <w:t>sa vilken rättslig grund polismyndigheten ansåg sig ha för beslutet att transportera NSF-anhängarna till Krutv</w:t>
      </w:r>
      <w:r w:rsidRPr="0008481A">
        <w:t>i</w:t>
      </w:r>
      <w:r w:rsidRPr="0008481A">
        <w:t xml:space="preserve">ken. </w:t>
      </w:r>
    </w:p>
    <w:p w:rsidR="003B3271" w:rsidRPr="0008481A" w:rsidRDefault="003B3271">
      <w:pPr>
        <w:pStyle w:val="Normaltindrag"/>
      </w:pPr>
      <w:r w:rsidRPr="0008481A">
        <w:t>Polismyndigheten har i sitt yttrande hit gjort gällande att transport</w:t>
      </w:r>
      <w:r w:rsidRPr="0008481A">
        <w:t>en var en sådan mindre ingripande åtgärd som åsyftas i 2 kap. 24 § ordningslagen. I yttrandet har angetts att alternativet hade varit att ställa in den allmänna sammankomst som hade kunnat komma till stånd, om NSF-anhängarna hade lämnat bussen och börjat marschera in mot staden. Såvitt gäller denna hypotetiska demonstration framgår emellertid inte något annat av ut</w:t>
      </w:r>
      <w:r w:rsidRPr="0008481A">
        <w:softHyphen/>
        <w:t>red</w:t>
      </w:r>
      <w:r w:rsidRPr="0008481A">
        <w:softHyphen/>
        <w:t>ningen än att NSF-anhängarnas avsikt vid den tidpunkten, när de accept</w:t>
      </w:r>
      <w:r w:rsidRPr="0008481A">
        <w:softHyphen/>
        <w:t xml:space="preserve">erade erbjudandet om transport till varvets parkeringsplats, var att </w:t>
      </w:r>
      <w:r w:rsidRPr="0008481A">
        <w:t>genomföra den demonstration som de hade fått tillstånd till. Jag kan således inte finna att det föreligger någon faktisk grund för polismyndighetens argume</w:t>
      </w:r>
      <w:r w:rsidRPr="0008481A">
        <w:t>n</w:t>
      </w:r>
      <w:r w:rsidRPr="0008481A">
        <w:t>tation i detta hänsee</w:t>
      </w:r>
      <w:r w:rsidRPr="0008481A">
        <w:t>n</w:t>
      </w:r>
      <w:r w:rsidRPr="0008481A">
        <w:t xml:space="preserve">de. </w:t>
      </w:r>
    </w:p>
    <w:p w:rsidR="003B3271" w:rsidRPr="0008481A" w:rsidRDefault="003B3271">
      <w:pPr>
        <w:pStyle w:val="Normaltindrag"/>
      </w:pPr>
      <w:r w:rsidRPr="0008481A">
        <w:t>Det har från polismyndighetens sida gjorts gällande att det förelåg risk för att många människor skulle ha kommit till skada, om demonstrationen hade geno</w:t>
      </w:r>
      <w:r w:rsidRPr="0008481A">
        <w:t>m</w:t>
      </w:r>
      <w:r w:rsidRPr="0008481A">
        <w:t>förts i enlighet med tillståndsbeslutet. Detta uttalande ger anledning till följande kommentarer från min sida.</w:t>
      </w:r>
    </w:p>
    <w:p w:rsidR="003B3271" w:rsidRPr="0008481A" w:rsidRDefault="003B3271">
      <w:pPr>
        <w:pStyle w:val="Normaltindrag"/>
      </w:pPr>
      <w:r w:rsidRPr="0008481A">
        <w:t>Det kan inledningsvis konstateras att polismyndigheten inte hade rätt att med stöd av 2 kap. 22 § ordningslagen ställa in den tillståndsgivna demon</w:t>
      </w:r>
      <w:r w:rsidRPr="0008481A">
        <w:softHyphen/>
        <w:t>strationen på va</w:t>
      </w:r>
      <w:r w:rsidRPr="0008481A">
        <w:t>r</w:t>
      </w:r>
      <w:r w:rsidRPr="0008481A">
        <w:t xml:space="preserve">vets parkeringsplats, eftersom ett sådant beslut förutsätter att en sammankomst hålls i strid med ett beslut som innebär avslag på en tillståndsansökan. </w:t>
      </w:r>
    </w:p>
    <w:p w:rsidR="003B3271" w:rsidRPr="0008481A" w:rsidRDefault="003B3271">
      <w:pPr>
        <w:pStyle w:val="Normaltindrag"/>
      </w:pPr>
      <w:r w:rsidRPr="0008481A">
        <w:t>Det har i litteraturen ansetts att polismyndigheten kan ställa in en allmän sam</w:t>
      </w:r>
      <w:r w:rsidRPr="0008481A">
        <w:softHyphen/>
        <w:t>ma</w:t>
      </w:r>
      <w:r w:rsidRPr="0008481A">
        <w:t>n</w:t>
      </w:r>
      <w:r w:rsidRPr="0008481A">
        <w:t>komst också med stöd av 2 kap. 23 § ordningslagen (se Persson m.fl., Ordningsl</w:t>
      </w:r>
      <w:r w:rsidRPr="0008481A">
        <w:t>a</w:t>
      </w:r>
      <w:r w:rsidRPr="0008481A">
        <w:t>gen s. 146), och en åtgärd av detta slag har nämnts som ett exempel på en sådan mindre ingripande åtgärd som åsyftas i 2 kap. 24 § ordningslagen (a.a. s. 155). Av legalitetsprincipen följer emellertid att polis</w:t>
      </w:r>
      <w:r w:rsidRPr="0008481A">
        <w:softHyphen/>
        <w:t>myndigheten härvid inte kan gå uta</w:t>
      </w:r>
      <w:r w:rsidRPr="0008481A">
        <w:t>n</w:t>
      </w:r>
      <w:r w:rsidRPr="0008481A">
        <w:t>för tillämpningsområdet för 2 kap. 23 § ordningslagen. Detta innebär att en d</w:t>
      </w:r>
      <w:r w:rsidRPr="0008481A">
        <w:t>e</w:t>
      </w:r>
      <w:r w:rsidRPr="0008481A">
        <w:t>monstration inte kan ställas in med stöd av detta lagrum annat än om den redan vid den tidpunkt när instä</w:t>
      </w:r>
      <w:r w:rsidRPr="0008481A">
        <w:t>llandebeslutet fattas har gett upphov till en sådan svårare oordning, avsevärd fara för de närvarande eller allvarlig störning av trafiken som anges i bestämmelsen. I den nyss nämnda kommentaren anges som ett exempel på situationer där det undantagsvis kan bli aktuellt att med stöd av 2 kap. 23 § or</w:t>
      </w:r>
      <w:r w:rsidRPr="0008481A">
        <w:t>d</w:t>
      </w:r>
      <w:r w:rsidRPr="0008481A">
        <w:t>ningslagen ställa in en sammankomst för vilken tillstånd har meddelats, att sa</w:t>
      </w:r>
      <w:r w:rsidRPr="0008481A">
        <w:t>m</w:t>
      </w:r>
      <w:r w:rsidRPr="0008481A">
        <w:t>mankomsten orsakar svårare oordning i grannskapet redan innan den har inletts (a.a. s. 146). Det framhålls emellertid att ett instäl</w:t>
      </w:r>
      <w:r w:rsidRPr="0008481A">
        <w:t>lande i den situationen bör komma i fråga endast om polisen inte kan svara för de närvarandes säkerhet. Det understryks vidare att polismyndigheten, när det är fråga om en demonstration, först bör pröva om ändrad färdväg, avspärrningar eller liknande åtgärder är tillfyllest för att demonstrationen skall kunna genomföras. Det kan nämnas att lagstöd för åtgärder av s</w:t>
      </w:r>
      <w:r w:rsidRPr="0008481A">
        <w:t>e</w:t>
      </w:r>
      <w:r w:rsidRPr="0008481A">
        <w:t>nast nämnt slag sedan den 1 april 1998 finns i 24 § polis</w:t>
      </w:r>
      <w:r w:rsidRPr="0008481A">
        <w:softHyphen/>
        <w:t>lagen. Som ett annat fall där det skulle kunna bli fråga om att ställa in en samma</w:t>
      </w:r>
      <w:r w:rsidRPr="0008481A">
        <w:t>n</w:t>
      </w:r>
      <w:r w:rsidRPr="0008481A">
        <w:t>kom</w:t>
      </w:r>
      <w:r w:rsidRPr="0008481A">
        <w:t xml:space="preserve">st med stöd av 2 kap. 23 § ordningslagen nämns i kommentaren att polisen har fått kännedom om ett bombhot som innebär att det finns risk för allvarlig fara för de närvarande. </w:t>
      </w:r>
    </w:p>
    <w:p w:rsidR="003B3271" w:rsidRPr="0008481A" w:rsidRDefault="003B3271">
      <w:pPr>
        <w:pStyle w:val="Normaltindrag"/>
      </w:pPr>
      <w:r w:rsidRPr="0008481A">
        <w:t>Polismyndigheten kunde, när beslutet att lämna tillstånd till demonstra</w:t>
      </w:r>
      <w:r w:rsidRPr="0008481A">
        <w:softHyphen/>
        <w:t>tionen meddelades, inte rimligen ha varit omedveten om risken för att denna skulle ge upphov till motdemonstrationer eller andra former av störningar. Som framgår av vad som har sagts i det föregående om ordern av den 17 oktober 1997 var man också vid planeringen av polisinsatsen väl medveten om att motaktioner kunde befaras. Förekomsten av motdemonstranter på varvets parkeringsplats borde dä</w:t>
      </w:r>
      <w:r w:rsidRPr="0008481A">
        <w:t>r</w:t>
      </w:r>
      <w:r w:rsidRPr="0008481A">
        <w:t>för inte ha kommit som den överraskning för polismyndigheten som Göran Janrells promem</w:t>
      </w:r>
      <w:r w:rsidRPr="0008481A">
        <w:t>o</w:t>
      </w:r>
      <w:r w:rsidRPr="0008481A">
        <w:t>ria ger ett intryck av.</w:t>
      </w:r>
    </w:p>
    <w:p w:rsidR="003B3271" w:rsidRPr="0008481A" w:rsidRDefault="003B3271">
      <w:pPr>
        <w:pStyle w:val="Normaltindrag"/>
      </w:pPr>
      <w:r w:rsidRPr="0008481A">
        <w:t>Besl</w:t>
      </w:r>
      <w:r w:rsidRPr="0008481A">
        <w:t>utet att köra NSF-anhängarna till Krutviken för att de där skulle kunna g</w:t>
      </w:r>
      <w:r w:rsidRPr="0008481A">
        <w:t>e</w:t>
      </w:r>
      <w:r w:rsidRPr="0008481A">
        <w:t>nomföra en manifestation kan inte uppfattas på annat sätt än att myndig</w:t>
      </w:r>
      <w:r w:rsidRPr="0008481A">
        <w:softHyphen/>
        <w:t>heten inte ansåg sig kunna fullgöra sin uppgift att upprätthålla ordningen vid den demonstr</w:t>
      </w:r>
      <w:r w:rsidRPr="0008481A">
        <w:t>a</w:t>
      </w:r>
      <w:r w:rsidRPr="0008481A">
        <w:t>tion på varvets parkeringsplats till vilken den hade lämnat tillstånd. Att myndi</w:t>
      </w:r>
      <w:r w:rsidRPr="0008481A">
        <w:t>g</w:t>
      </w:r>
      <w:r w:rsidRPr="0008481A">
        <w:t>heten bedömde saken på detta sätt framgår också av uppgifterna i Göran Janrells promemoria. I Stellan Lundins promemoria talas om att demonstrationen sannolikt skulle ha gett upphov till en ”bl</w:t>
      </w:r>
      <w:r w:rsidRPr="0008481A">
        <w:t>odig sam</w:t>
      </w:r>
      <w:r w:rsidRPr="0008481A">
        <w:softHyphen/>
        <w:t>man</w:t>
      </w:r>
      <w:r w:rsidRPr="0008481A">
        <w:softHyphen/>
        <w:t>drabbning” mellan NSF-anhängare och antifascister. Det lämnas emellertid inte i promemorian någon närmare b</w:t>
      </w:r>
      <w:r w:rsidRPr="0008481A">
        <w:t>e</w:t>
      </w:r>
      <w:r w:rsidRPr="0008481A">
        <w:t>skrivning av motdemon</w:t>
      </w:r>
      <w:r w:rsidRPr="0008481A">
        <w:softHyphen/>
        <w:t>stranterna, och det finns inte heller några uppgifter exe</w:t>
      </w:r>
      <w:r w:rsidRPr="0008481A">
        <w:t>m</w:t>
      </w:r>
      <w:r w:rsidRPr="0008481A">
        <w:t>pelvis om före</w:t>
      </w:r>
      <w:r w:rsidRPr="0008481A">
        <w:softHyphen/>
        <w:t>komsten av vapen och tillhyggen. Promemorian innehåller i dessa hän</w:t>
      </w:r>
      <w:r w:rsidRPr="0008481A">
        <w:softHyphen/>
        <w:t>seenden endast en uppgift att ”yrkesdemonstranter” inom antifasciströrelsen kunde förväntas delta. Inte heller uppgifterna i Göran Janrells promemoria har någon större konkretion. Det förtjänar vidare att påpekas att Bengt Stolt</w:t>
      </w:r>
      <w:r w:rsidRPr="0008481A">
        <w:t>z antec</w:t>
      </w:r>
      <w:r w:rsidRPr="0008481A">
        <w:t>k</w:t>
      </w:r>
      <w:r w:rsidRPr="0008481A">
        <w:t>ningar ger en delvis annan bild av situationen. De personer som hade kommit till platsen beskrivs där som ”150–175 antirasister/nyfikna” och som ”mest ungdomar (skolungd</w:t>
      </w:r>
      <w:r w:rsidRPr="0008481A">
        <w:t>o</w:t>
      </w:r>
      <w:r w:rsidRPr="0008481A">
        <w:t xml:space="preserve">mar)”. </w:t>
      </w:r>
    </w:p>
    <w:p w:rsidR="003B3271" w:rsidRPr="0008481A" w:rsidRDefault="003B3271">
      <w:pPr>
        <w:pStyle w:val="Normaltindrag"/>
      </w:pPr>
      <w:r w:rsidRPr="0008481A">
        <w:t>Det föreligger således viss oklarhet vad gäller förhållandena på den tilltänkta d</w:t>
      </w:r>
      <w:r w:rsidRPr="0008481A">
        <w:t>e</w:t>
      </w:r>
      <w:r w:rsidRPr="0008481A">
        <w:t>monstrationsplatsen. Det kan emellertid i varje fall konstateras, att det från poli</w:t>
      </w:r>
      <w:r w:rsidRPr="0008481A">
        <w:t>s</w:t>
      </w:r>
      <w:r w:rsidRPr="0008481A">
        <w:t>myndighetens sida inte har gjorts gällande, att det vid tidpunkten för beslutet att köra NSF-anhängarna till Krutviken rådde sådan svårare oordning eller andra s</w:t>
      </w:r>
      <w:r w:rsidRPr="0008481A">
        <w:t>å</w:t>
      </w:r>
      <w:r w:rsidRPr="0008481A">
        <w:t>dana i 2 kap. 23 § ord</w:t>
      </w:r>
      <w:r w:rsidRPr="0008481A">
        <w:softHyphen/>
        <w:t>nings</w:t>
      </w:r>
      <w:r w:rsidRPr="0008481A">
        <w:softHyphen/>
        <w:t>lagen angivna förhållanden på eller i anslutning till varvets parkeringsplats, som kunde utgöra grund för ett beslut att ställa in demo</w:t>
      </w:r>
      <w:r w:rsidRPr="0008481A">
        <w:t>n</w:t>
      </w:r>
      <w:r w:rsidRPr="0008481A">
        <w:t>strationen med stöd av detta la</w:t>
      </w:r>
      <w:r w:rsidRPr="0008481A">
        <w:t>g</w:t>
      </w:r>
      <w:r w:rsidRPr="0008481A">
        <w:t>rum.</w:t>
      </w:r>
    </w:p>
    <w:p w:rsidR="003B3271" w:rsidRPr="0008481A" w:rsidRDefault="003B3271">
      <w:pPr>
        <w:pStyle w:val="Normaltindrag"/>
      </w:pPr>
      <w:r w:rsidRPr="0008481A">
        <w:t>Även om det således inte fanns någon rättslig grund för att stä</w:t>
      </w:r>
      <w:r w:rsidRPr="0008481A">
        <w:t>lla in den tillstånd</w:t>
      </w:r>
      <w:r w:rsidRPr="0008481A">
        <w:t>s</w:t>
      </w:r>
      <w:r w:rsidRPr="0008481A">
        <w:t>givna allmänna sammankomsten, och polismyndigheten, som tidigare nämnts, inte heller fattade något formligt beslut av sådan innebörd, kan det finnas anledning att här beröra frågan om vilka polisiära befogen</w:t>
      </w:r>
      <w:r w:rsidRPr="0008481A">
        <w:softHyphen/>
        <w:t>heter som följer av ett sådant beslut. Ordningslagen innehåller inte några bestämmelser i detta ämne. Det har emellertid ansetts ligga i sakens natur att polisen, om så skulle krävas, får hindra att deltaga</w:t>
      </w:r>
      <w:r w:rsidRPr="0008481A">
        <w:t>r</w:t>
      </w:r>
      <w:r w:rsidRPr="0008481A">
        <w:t xml:space="preserve">na i sammankomsten får tillträde till den plats där denna skulle ha ägt rum </w:t>
      </w:r>
      <w:r w:rsidRPr="0008481A">
        <w:t>(Persson m.fl., Ordningslagen. s. 155). Uttryckliga bestämmelser om polisens rätt att, i samband med allvarliga störningar av den allmänna ordningen eller säker</w:t>
      </w:r>
      <w:r w:rsidRPr="0008481A">
        <w:softHyphen/>
        <w:t>h</w:t>
      </w:r>
      <w:r w:rsidRPr="0008481A">
        <w:t>e</w:t>
      </w:r>
      <w:r w:rsidRPr="0008481A">
        <w:t>ten eller vid risk för sådana störningar, förbjuda tillträde till ett visst område eller u</w:t>
      </w:r>
      <w:r w:rsidRPr="0008481A">
        <w:t>t</w:t>
      </w:r>
      <w:r w:rsidRPr="0008481A">
        <w:t xml:space="preserve">rymme finns sedan den 1 april 1998 i 24 § polislagen.  </w:t>
      </w:r>
    </w:p>
    <w:p w:rsidR="003B3271" w:rsidRPr="0008481A" w:rsidRDefault="003B3271">
      <w:pPr>
        <w:pStyle w:val="Normaltindrag"/>
      </w:pPr>
      <w:r w:rsidRPr="0008481A">
        <w:t>Det är enligt min mening inte möjligt att på grundval av den föreliggande utre</w:t>
      </w:r>
      <w:r w:rsidRPr="0008481A">
        <w:t>d</w:t>
      </w:r>
      <w:r w:rsidRPr="0008481A">
        <w:t>ningen ta ställning till det befogade i polismyndighetens bedömning att den inte kunde svara för NSF-anhängarnas säkerhet, om demonstrationen genomfördes i enlighet med tillståndsbeslutet. Det rör sig här dessutom om sådana polistaktiska frågor som normalt inte föranleder några uttalanden av JO. Jag begränsar mig dä</w:t>
      </w:r>
      <w:r w:rsidRPr="0008481A">
        <w:t>r</w:t>
      </w:r>
      <w:r w:rsidRPr="0008481A">
        <w:t>för i detta hänseende till att konstatera att polis</w:t>
      </w:r>
      <w:r w:rsidRPr="0008481A">
        <w:softHyphen/>
        <w:t>myndighetens beslut att, trots NSF-anhängarnas protester, köra dem till Krutviken uppenbarligen inte grundades på några överväganden grundade</w:t>
      </w:r>
      <w:r w:rsidRPr="0008481A">
        <w:t xml:space="preserve"> på reglerna  i ordningslagen.</w:t>
      </w:r>
    </w:p>
    <w:p w:rsidR="003B3271" w:rsidRPr="0008481A" w:rsidRDefault="003B3271">
      <w:pPr>
        <w:pStyle w:val="Normaltindrag"/>
      </w:pPr>
      <w:r w:rsidRPr="0008481A">
        <w:t>Som tidigare har nämnts fick beslutet att transportera NSF-anhängarna till Krutv</w:t>
      </w:r>
      <w:r w:rsidRPr="0008481A">
        <w:t>i</w:t>
      </w:r>
      <w:r w:rsidRPr="0008481A">
        <w:t>ken rent faktiskt till resultat att den tillståndsgivna demonstrationen inte kom att äga rum. Beslutet skulle med hänsyn härtill kunna uppfattas som ett beslut att återkalla det lämnade demonstrationstillståndet. Av utredningen framgår emelle</w:t>
      </w:r>
      <w:r w:rsidRPr="0008481A">
        <w:t>r</w:t>
      </w:r>
      <w:r w:rsidRPr="0008481A">
        <w:t>tid att beslutet i första hand riktades till polismännen på platsen och i sak innebar att buss</w:t>
      </w:r>
      <w:r w:rsidRPr="0008481A">
        <w:softHyphen/>
        <w:t>passagerarna skulle transporteras till Krutviken av polistaktiska skäl. B</w:t>
      </w:r>
      <w:r w:rsidRPr="0008481A">
        <w:t>e</w:t>
      </w:r>
      <w:r w:rsidRPr="0008481A">
        <w:t>slutet kan, trots sina faktiska verkningar, redan av detta skäl inte i formellt häns</w:t>
      </w:r>
      <w:r w:rsidRPr="0008481A">
        <w:t>e</w:t>
      </w:r>
      <w:r w:rsidRPr="0008481A">
        <w:t>ende betraktas</w:t>
      </w:r>
      <w:r w:rsidRPr="0008481A">
        <w:t xml:space="preserve"> som ett omprövnings</w:t>
      </w:r>
      <w:r w:rsidRPr="0008481A">
        <w:softHyphen/>
        <w:t>beslut i demonstrationstil</w:t>
      </w:r>
      <w:r w:rsidRPr="0008481A">
        <w:t>l</w:t>
      </w:r>
      <w:r w:rsidRPr="0008481A">
        <w:t xml:space="preserve">ståndsärendet. </w:t>
      </w:r>
    </w:p>
    <w:p w:rsidR="003B3271" w:rsidRPr="0008481A" w:rsidRDefault="003B3271">
      <w:pPr>
        <w:pStyle w:val="Normaltindrag"/>
      </w:pPr>
      <w:r w:rsidRPr="0008481A">
        <w:t>Jag vill i detta sammanhang vidare framhålla att ett beslut om tillstånd till en al</w:t>
      </w:r>
      <w:r w:rsidRPr="0008481A">
        <w:t>l</w:t>
      </w:r>
      <w:r w:rsidRPr="0008481A">
        <w:t>män sammankomst får anses vara ett sådant gynnande förvaltnings</w:t>
      </w:r>
      <w:r w:rsidRPr="0008481A">
        <w:softHyphen/>
        <w:t>beslut som vi</w:t>
      </w:r>
      <w:r w:rsidRPr="0008481A">
        <w:t>n</w:t>
      </w:r>
      <w:r w:rsidRPr="0008481A">
        <w:t>ner negativ rättskraft och som besluts</w:t>
      </w:r>
      <w:r w:rsidRPr="0008481A">
        <w:softHyphen/>
        <w:t>myndigheten således i princip inte kan o</w:t>
      </w:r>
      <w:r w:rsidRPr="0008481A">
        <w:t>m</w:t>
      </w:r>
      <w:r w:rsidRPr="0008481A">
        <w:t>pröva till nackdel för tillståndshavaren (se t.ex. Strömberg, Allmän förvaltning</w:t>
      </w:r>
      <w:r w:rsidRPr="0008481A">
        <w:t>s</w:t>
      </w:r>
      <w:r w:rsidRPr="0008481A">
        <w:t xml:space="preserve">rätt, 19 uppl. s. 72 och Hellners–Malmqvist, Nya förvaltningslagen, 5 uppl. s. 295). </w:t>
      </w:r>
    </w:p>
    <w:p w:rsidR="003B3271" w:rsidRPr="0008481A" w:rsidRDefault="003B3271">
      <w:pPr>
        <w:pStyle w:val="Normaltindrag"/>
      </w:pPr>
      <w:r w:rsidRPr="0008481A">
        <w:t>Det finns enligt förvaltningsrättslig praxis endast mycket begränsade möjlig</w:t>
      </w:r>
      <w:r w:rsidRPr="0008481A">
        <w:softHyphen/>
        <w:t>heter att återkalla gynnande förvaltningsbeslut. Ett undantag från principen om negativ rättskraft gäller situationer där tvingande säkerhetsskäl påfordrar en återkallelse. Om beslutets bestånd exempelvis skulle innebära fara för människors liv eller hälsa, måste det kunna korrigeras genom ett nytt beslut i frågan (jfr Ragnemalm, Förvaltningsprocessens grunder s. 87; se även JO 1987/88 s. 258). Med hänsyn bl.a. till det skydd för demonstrations- och mötesfriheterna som ges i regering</w:t>
      </w:r>
      <w:r w:rsidRPr="0008481A">
        <w:t>s</w:t>
      </w:r>
      <w:r w:rsidRPr="0008481A">
        <w:t xml:space="preserve">formen får emellertid </w:t>
      </w:r>
      <w:r w:rsidRPr="0008481A">
        <w:t>ordningslagens regler anses på ett uttömmande sätt reglera myndigheternas befogenheter att av hänsyn till ordning och säkerhet ingripa mot en pågående eller nära förestående allmän sammankomst. Detta innebär bl.a. att rättsligt stöd för en åtgärd, som innebär att en tillståndsgiven allmän samma</w:t>
      </w:r>
      <w:r w:rsidRPr="0008481A">
        <w:t>n</w:t>
      </w:r>
      <w:r w:rsidRPr="0008481A">
        <w:t>komst av säkerhets</w:t>
      </w:r>
      <w:r w:rsidRPr="0008481A">
        <w:softHyphen/>
        <w:t>skäl ställs in genom ett beslut i nära anslutning till att samma</w:t>
      </w:r>
      <w:r w:rsidRPr="0008481A">
        <w:t>n</w:t>
      </w:r>
      <w:r w:rsidRPr="0008481A">
        <w:t>komsten skall påbörjas, kan hämtas endast ur bestämmelserna i 2 kap. 23 § or</w:t>
      </w:r>
      <w:r w:rsidRPr="0008481A">
        <w:t>d</w:t>
      </w:r>
      <w:r w:rsidRPr="0008481A">
        <w:t xml:space="preserve">ningslagen jämförda med vad som föreskrivs i 2 kap. 24 </w:t>
      </w:r>
      <w:r w:rsidRPr="0008481A">
        <w:t>§ samma lag. Det får självfallet inte förekomma att möjligheterna till omprövning av ett fattat til</w:t>
      </w:r>
      <w:r w:rsidRPr="0008481A">
        <w:t>l</w:t>
      </w:r>
      <w:r w:rsidRPr="0008481A">
        <w:t>ståndsbeslut används som ett sätt att kringgå ordningslagens regler till skydd för allmänna samma</w:t>
      </w:r>
      <w:r w:rsidRPr="0008481A">
        <w:t>n</w:t>
      </w:r>
      <w:r w:rsidRPr="0008481A">
        <w:t xml:space="preserve">komster.    </w:t>
      </w:r>
    </w:p>
    <w:p w:rsidR="003B3271" w:rsidRPr="0008481A" w:rsidRDefault="003B3271">
      <w:pPr>
        <w:pStyle w:val="Normaltindrag"/>
      </w:pPr>
      <w:r w:rsidRPr="0008481A">
        <w:t>Det kan sammanfattningsvis konstateras att polismyndigheten – oavsett hur man ser på frågorna om faran för NSF-anhängarnas säkerhet och den rättsliga innebö</w:t>
      </w:r>
      <w:r w:rsidRPr="0008481A">
        <w:t>r</w:t>
      </w:r>
      <w:r w:rsidRPr="0008481A">
        <w:t>den av polismyndighetens beslut med anledning av dess bedömning i detta häns</w:t>
      </w:r>
      <w:r w:rsidRPr="0008481A">
        <w:t>e</w:t>
      </w:r>
      <w:r w:rsidRPr="0008481A">
        <w:t>ende – inte har haft stöd vare sig i ordningslagens regler eller i några vid sidan av dessa gällande allmänna förvaltningsrättsliga principer för att, på det sätt som skedde, trots NSF-anhängarnas protester transportera dem till Krutviken. Det har inte heller påståtts att de utgjorde en fara för den allmänna ordningen på sådant sätt att 13 § polislagen var tillämplig. Inte desto mindre framstår polismyndigh</w:t>
      </w:r>
      <w:r w:rsidRPr="0008481A">
        <w:t>e</w:t>
      </w:r>
      <w:r w:rsidRPr="0008481A">
        <w:t>tens åtgärd i sak närma</w:t>
      </w:r>
      <w:r w:rsidRPr="0008481A">
        <w:t xml:space="preserve">st som ett sådant tillfälligt omhändertagande som avses i detta lagrum.  </w:t>
      </w:r>
    </w:p>
    <w:p w:rsidR="003B3271" w:rsidRPr="0008481A" w:rsidRDefault="003B3271">
      <w:pPr>
        <w:pStyle w:val="Rubrik4"/>
      </w:pPr>
      <w:r w:rsidRPr="0008481A">
        <w:t>Genomförandet av demonstrationen vid Krutviken</w:t>
      </w:r>
    </w:p>
    <w:p w:rsidR="003B3271" w:rsidRPr="0008481A" w:rsidRDefault="003B3271">
      <w:r w:rsidRPr="0008481A">
        <w:t>Som framgår av vad jag inledningsvis har uttalat om räckvidden av polis</w:t>
      </w:r>
      <w:r w:rsidRPr="0008481A">
        <w:softHyphen/>
        <w:t>myndi</w:t>
      </w:r>
      <w:r w:rsidRPr="0008481A">
        <w:t>g</w:t>
      </w:r>
      <w:r w:rsidRPr="0008481A">
        <w:t>hetens beslut i tillståndsfrågan kan det inte med fog hävdas att detta i sig kunde grunda någon befogenhet för polismyndigheten att upplösa eller på annat sätt i</w:t>
      </w:r>
      <w:r w:rsidRPr="0008481A">
        <w:t>n</w:t>
      </w:r>
      <w:r w:rsidRPr="0008481A">
        <w:t>gripa mot en av NSF anordnad demonstration utanför Karlskronas centrum. Det fanns således inte någon rättslig grund för polisens förfarande att, sedan bussen hade anlänt till Krutviken, med tvång hålla kvar NSF-anhängarna på platsen och genomdriva att dessa där genomförde manifestationen i enlighet med de direktiv som polisen lämnade. Det ka</w:t>
      </w:r>
      <w:r w:rsidRPr="0008481A">
        <w:t>n, med anledning av vad som sägs i polismyndigh</w:t>
      </w:r>
      <w:r w:rsidRPr="0008481A">
        <w:t>e</w:t>
      </w:r>
      <w:r w:rsidRPr="0008481A">
        <w:t>tens yttrande om att NSF-anhängarna till följd av polisledningens beslut kunde avhålla sin mani</w:t>
      </w:r>
      <w:r w:rsidRPr="0008481A">
        <w:softHyphen/>
        <w:t>festa</w:t>
      </w:r>
      <w:r w:rsidRPr="0008481A">
        <w:softHyphen/>
        <w:t>tion, tilläggas att denna enligt vad som upplysts varade någon minut, vilket skall jämföras med de 30 minuter som i tillståndsbeslutet hade till</w:t>
      </w:r>
      <w:r w:rsidRPr="0008481A">
        <w:softHyphen/>
        <w:t>e</w:t>
      </w:r>
      <w:r w:rsidRPr="0008481A">
        <w:t>r</w:t>
      </w:r>
      <w:r w:rsidRPr="0008481A">
        <w:t>känts NSF för genomförandet av demonstrationen på varvets park</w:t>
      </w:r>
      <w:r w:rsidRPr="0008481A">
        <w:t>e</w:t>
      </w:r>
      <w:r w:rsidRPr="0008481A">
        <w:t>rings</w:t>
      </w:r>
      <w:r w:rsidRPr="0008481A">
        <w:softHyphen/>
        <w:t>plats.</w:t>
      </w:r>
    </w:p>
    <w:p w:rsidR="003B3271" w:rsidRPr="0008481A" w:rsidRDefault="003B3271">
      <w:pPr>
        <w:pStyle w:val="Rubrik4"/>
      </w:pPr>
      <w:r w:rsidRPr="0008481A">
        <w:t>Åtgärden att köra NSF-anhängarna tillbaka till Kvarngatan</w:t>
      </w:r>
    </w:p>
    <w:p w:rsidR="003B3271" w:rsidRPr="0008481A" w:rsidRDefault="003B3271">
      <w:r w:rsidRPr="0008481A">
        <w:t>Med hänsyn till vad som har uppgetts om att NSF-anhängarna accepterade att följa med bussen tillbaka till Kvarngatan föranleder polisens handlande i detta häns</w:t>
      </w:r>
      <w:r w:rsidRPr="0008481A">
        <w:t>e</w:t>
      </w:r>
      <w:r w:rsidRPr="0008481A">
        <w:t>ende inte något uttalande från min sida.</w:t>
      </w:r>
    </w:p>
    <w:p w:rsidR="003B3271" w:rsidRPr="0008481A" w:rsidRDefault="003B3271">
      <w:pPr>
        <w:pStyle w:val="Rubrik4"/>
      </w:pPr>
      <w:r w:rsidRPr="0008481A">
        <w:t>Avslutande synpunkter</w:t>
      </w:r>
    </w:p>
    <w:p w:rsidR="003B3271" w:rsidRPr="0008481A" w:rsidRDefault="003B3271">
      <w:r w:rsidRPr="0008481A">
        <w:t>Jag har inte någon anledning att betvivla polismyndighetens uppgift att dess handlande bestämdes av omsorg om NSF-anhängarnas säkerhet, och jag är me</w:t>
      </w:r>
      <w:r w:rsidRPr="0008481A">
        <w:t>d</w:t>
      </w:r>
      <w:r w:rsidRPr="0008481A">
        <w:t>veten om att omständigheterna kring demonstrationer ibland kan vara sådana att polismyndigheterna försätts i svårbemästrade situationer. Jag har i ett antal äre</w:t>
      </w:r>
      <w:r w:rsidRPr="0008481A">
        <w:t>n</w:t>
      </w:r>
      <w:r w:rsidRPr="0008481A">
        <w:t>den kunnat konstatera att polismyndigheterna har haft svårt att tillägna sig och på ett riktigt sätt tillämpa det ganska komplicerade regel</w:t>
      </w:r>
      <w:r w:rsidRPr="0008481A">
        <w:softHyphen/>
        <w:t>system som aktualiseras i samband med allmänna sammankomster (se t.ex. JO 1991/92 s. 52, 1992/93 s. 62 och 1996/97 s. 89 samt dnr 4345- och 4383-1993, 3421-1994, 3691- och 4084-1995 samt 520-1998). Det kan emel</w:t>
      </w:r>
      <w:r w:rsidRPr="0008481A">
        <w:t>lertid självfallet inte accepteras att, som i detta fall, en polismyndighets handlande med anledning av en demonstration knappast i något enda hänseende grundas på överväganden av rättslig art. Särskilt anmär</w:t>
      </w:r>
      <w:r w:rsidRPr="0008481A">
        <w:t>k</w:t>
      </w:r>
      <w:r w:rsidRPr="0008481A">
        <w:t>ningsvärt är att myndigheten här rent faktiskt kom att överta ansvaret för geno</w:t>
      </w:r>
      <w:r w:rsidRPr="0008481A">
        <w:t>m</w:t>
      </w:r>
      <w:r w:rsidRPr="0008481A">
        <w:t>förandet av åsiktsmanifestationen genom att, mot deltagarnas vilja och med åsid</w:t>
      </w:r>
      <w:r w:rsidRPr="0008481A">
        <w:t>o</w:t>
      </w:r>
      <w:r w:rsidRPr="0008481A">
        <w:softHyphen/>
        <w:t>sättande av sitt eget tillståndsbeslut, såväl välja plats för manifestationen som b</w:t>
      </w:r>
      <w:r w:rsidRPr="0008481A">
        <w:t>e</w:t>
      </w:r>
      <w:r w:rsidRPr="0008481A">
        <w:t>stämma om formerna för dess genomförande. Det kan sammanfa</w:t>
      </w:r>
      <w:r w:rsidRPr="0008481A">
        <w:t>ttningsvis ko</w:t>
      </w:r>
      <w:r w:rsidRPr="0008481A">
        <w:t>n</w:t>
      </w:r>
      <w:r w:rsidRPr="0008481A">
        <w:t>stateras att polismyndigheten i detta ärende har visat prov på en förvånande brist på kunskap om det regelsystem som gäller för genom</w:t>
      </w:r>
      <w:r w:rsidRPr="0008481A">
        <w:softHyphen/>
        <w:t>förandet av demonstrationer och andra allmänna samma</w:t>
      </w:r>
      <w:r w:rsidRPr="0008481A">
        <w:t>n</w:t>
      </w:r>
      <w:r w:rsidRPr="0008481A">
        <w:t xml:space="preserve">komster. </w:t>
      </w:r>
    </w:p>
    <w:p w:rsidR="003B3271" w:rsidRPr="0008481A" w:rsidRDefault="003B3271">
      <w:pPr>
        <w:pStyle w:val="Normaltindrag"/>
      </w:pPr>
      <w:r w:rsidRPr="0008481A">
        <w:t>Mina iakttagelser i ärendet ger mig härutöver anledning till några kommentarer av mera allmänt slag.</w:t>
      </w:r>
    </w:p>
    <w:p w:rsidR="003B3271" w:rsidRPr="0008481A" w:rsidRDefault="003B3271">
      <w:pPr>
        <w:pStyle w:val="Normaltindrag"/>
      </w:pPr>
      <w:r w:rsidRPr="0008481A">
        <w:t>I förarbetena till regleringen i 2 kap. RF framhålls att det demokratiska styrels</w:t>
      </w:r>
      <w:r w:rsidRPr="0008481A">
        <w:t>e</w:t>
      </w:r>
      <w:r w:rsidRPr="0008481A">
        <w:t>skicket inte kan bli annat än en tom form, om de enskilda med</w:t>
      </w:r>
      <w:r w:rsidRPr="0008481A">
        <w:softHyphen/>
        <w:t>borgarna inte har en vidsträckt frihet att ta del i opinionsbildningen i samhället genom att uttrycka sina åsikter, bilda föreningar, delta i demon</w:t>
      </w:r>
      <w:r w:rsidRPr="0008481A">
        <w:softHyphen/>
        <w:t>strationer etc. (SOU 1975:75 s. 89). Såväl grundlagsstiftaren som lagstiftaren har därför eftersträvat att bereda den enskildes grundläggande fri- och rättigheter ett starkt skydd. Reglerna till skydd för mötes- och demonstra</w:t>
      </w:r>
      <w:r w:rsidRPr="0008481A">
        <w:softHyphen/>
        <w:t>tions</w:t>
      </w:r>
      <w:r w:rsidRPr="0008481A">
        <w:softHyphen/>
        <w:t>friheterna har i enlighet härmed utformats på sådant sätt att skyddet</w:t>
      </w:r>
      <w:r w:rsidRPr="0008481A">
        <w:t xml:space="preserve"> gäller oavsett vem som anordnar ett möte eller en demonstration och oa</w:t>
      </w:r>
      <w:r w:rsidRPr="0008481A">
        <w:t>v</w:t>
      </w:r>
      <w:r w:rsidRPr="0008481A">
        <w:t>sett vilka åsi</w:t>
      </w:r>
      <w:r w:rsidRPr="0008481A">
        <w:t>k</w:t>
      </w:r>
      <w:r w:rsidRPr="0008481A">
        <w:t xml:space="preserve">ter som därvid förs fram. </w:t>
      </w:r>
    </w:p>
    <w:p w:rsidR="003B3271" w:rsidRPr="0008481A" w:rsidRDefault="003B3271">
      <w:pPr>
        <w:pStyle w:val="Normaltindrag"/>
      </w:pPr>
      <w:r w:rsidRPr="0008481A">
        <w:t>Den närmare avvägningen mellan de motstående intressen som kan föreligga vid en demonstration har gjorts av lagstiftaren genom reglerna i ordningslagen. Denna reglering är i princip uttömmande, och det finns således inte utrymme för några lämplighetsöverväganden från en polis</w:t>
      </w:r>
      <w:r w:rsidRPr="0008481A">
        <w:softHyphen/>
        <w:t>myndighets sida vare sig vid tillståndsgi</w:t>
      </w:r>
      <w:r w:rsidRPr="0008481A">
        <w:t>v</w:t>
      </w:r>
      <w:r w:rsidRPr="0008481A">
        <w:t>ningen eller i själva demonstra</w:t>
      </w:r>
      <w:r w:rsidRPr="0008481A">
        <w:softHyphen/>
        <w:t>tions</w:t>
      </w:r>
      <w:r w:rsidRPr="0008481A">
        <w:softHyphen/>
        <w:t>situationen vid sidan av vad som följer av or</w:t>
      </w:r>
      <w:r w:rsidRPr="0008481A">
        <w:t>d</w:t>
      </w:r>
      <w:r w:rsidRPr="0008481A">
        <w:t>ningslagens regler. Jag vill i detta sammanhang återigen erinra om det uttalande av Högsta domstolen som har återgetts i det föregående av innebörd, att den omstä</w:t>
      </w:r>
      <w:r w:rsidRPr="0008481A">
        <w:t>n</w:t>
      </w:r>
      <w:r w:rsidRPr="0008481A">
        <w:t xml:space="preserve">digheten att en lagregel innebär ett undantag från en grundlagsskyddad rättighet ger en särskild anledning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B3271" w:rsidRPr="0008481A" w:rsidRDefault="003B3271">
      <w:pPr>
        <w:pStyle w:val="Normaltindrag"/>
      </w:pPr>
      <w:r w:rsidRPr="0008481A">
        <w:t>Reglerna om allmänna sammankomster innebär bl.a. att polismyndigheten, när den tar ställning till en ansökan om tillstånd till en demonstration, inte får beakta några andra omständigheter än hänsynen till ordning och säkerhet vid eller i a</w:t>
      </w:r>
      <w:r w:rsidRPr="0008481A">
        <w:t>n</w:t>
      </w:r>
      <w:r w:rsidRPr="0008481A">
        <w:t>slutning till demonstrationen, hänsynen till trafiken och intresset av att motverka en epidemi. Den skall vid denna bedömning väga intresset av skydd för opinion</w:t>
      </w:r>
      <w:r w:rsidRPr="0008481A">
        <w:t>s</w:t>
      </w:r>
      <w:r w:rsidRPr="0008481A">
        <w:t>bildningens frihet mot de risker som demonstrationen kan ge upphov till i de i lagtexten angivna hänseendena. För att regelsystemet skall fungera på avsett sätt krävs vidare att polismyndigheten, när tillstånd har beviljats, avdelar de resurser  och vidtar de åtgärder i övrigt som krävs för att demonstrationen skall kunna g</w:t>
      </w:r>
      <w:r w:rsidRPr="0008481A">
        <w:t>e</w:t>
      </w:r>
      <w:r w:rsidRPr="0008481A">
        <w:t>nomföras i enlighet med</w:t>
      </w:r>
      <w:r w:rsidRPr="0008481A">
        <w:t xml:space="preserve"> det fattade beslutet. Jag vill i detta sammanhang unde</w:t>
      </w:r>
      <w:r w:rsidRPr="0008481A">
        <w:t>r</w:t>
      </w:r>
      <w:r w:rsidRPr="0008481A">
        <w:t>stryka vikten av att enskilda kan förlita sig på av myndigheter erhållna tillstånd (jfr JO 1973 s. 524). Denna synpunkt gör sig uppenbarligen gällande med särskild styrka, när det som här är fråga om en grundlagsskyddad rättighet (jfr det reg</w:t>
      </w:r>
      <w:r w:rsidRPr="0008481A">
        <w:t>e</w:t>
      </w:r>
      <w:r w:rsidRPr="0008481A">
        <w:t>ringsbeslut av den 29 november 1993 som refereras i Persson m.fl., Ordningslagen s. 91 f.).</w:t>
      </w:r>
    </w:p>
    <w:p w:rsidR="003B3271" w:rsidRPr="0008481A" w:rsidRDefault="003B3271">
      <w:pPr>
        <w:pStyle w:val="Normaltindrag"/>
      </w:pPr>
      <w:r w:rsidRPr="0008481A">
        <w:t>Av det för rättsstaten utmärkande kravet på saklighet och opartiskhet i myndigh</w:t>
      </w:r>
      <w:r w:rsidRPr="0008481A">
        <w:t>e</w:t>
      </w:r>
      <w:r w:rsidRPr="0008481A">
        <w:t>ternas verksamhet följer att polismyndigheten, varken när den beslutar i tillstånd</w:t>
      </w:r>
      <w:r w:rsidRPr="0008481A">
        <w:t>s</w:t>
      </w:r>
      <w:r w:rsidRPr="0008481A">
        <w:t>frågan eller när den planerar för och genomför den insats som demonstrationen bedöms kräva, får låta sig påverkas av den uppfattning som beslutsfattarna eller den allmänna opinionen kan ha om det budskap som är avsett att förmedlas genom demonstrationen. En annan sak är att polis</w:t>
      </w:r>
      <w:r w:rsidRPr="0008481A">
        <w:softHyphen/>
        <w:t>myndigheten självfallet både i til</w:t>
      </w:r>
      <w:r w:rsidRPr="0008481A">
        <w:t>l</w:t>
      </w:r>
      <w:r w:rsidRPr="0008481A">
        <w:t>ståndsärendet och vid sin planering inför en demonstration måste beakta den o</w:t>
      </w:r>
      <w:r w:rsidRPr="0008481A">
        <w:t>m</w:t>
      </w:r>
      <w:r w:rsidRPr="0008481A">
        <w:t>ständigheten att framförandet av e</w:t>
      </w:r>
      <w:r w:rsidRPr="0008481A">
        <w:t>tt kontroversiellt budskap kan komma att me</w:t>
      </w:r>
      <w:r w:rsidRPr="0008481A">
        <w:t>d</w:t>
      </w:r>
      <w:r w:rsidRPr="0008481A">
        <w:t xml:space="preserve">föra särskilda risker för allvarliga ordningsstörningar. Polismyndigheten måste i ett sådant fall vidare ha särskild beredskap för att ingripa mot straffbara handlingar i samband med demonstrationen, vare sig gärningarna begås av deltagare i denna eller av motdemonstranter eller andra personer. </w:t>
      </w:r>
    </w:p>
    <w:p w:rsidR="003B3271" w:rsidRPr="0008481A" w:rsidRDefault="003B3271">
      <w:pPr>
        <w:pStyle w:val="Normaltindrag"/>
      </w:pPr>
      <w:r w:rsidRPr="0008481A">
        <w:t>De brister i handläggningen av frågor rörande tillämpningen av reglerna om al</w:t>
      </w:r>
      <w:r w:rsidRPr="0008481A">
        <w:t>l</w:t>
      </w:r>
      <w:r w:rsidRPr="0008481A">
        <w:t>männa sammankomster som jag har kunnat iaktta i detta och ett antal tidigare ärenden visar enligt min mening på ett behov av utbildningsinsatser riktade till de befattningshavare inom polisväsendet som har att fatta beslut angående sådana sammankomster. Jag överlämnar därför en kopia av detta beslut till Rikspolisst</w:t>
      </w:r>
      <w:r w:rsidRPr="0008481A">
        <w:t>y</w:t>
      </w:r>
      <w:r w:rsidRPr="0008481A">
        <w:t>relsen för de åtgärder som det kan föranleda.</w:t>
      </w:r>
    </w:p>
    <w:p w:rsidR="003B3271" w:rsidRPr="0008481A" w:rsidRDefault="003B3271">
      <w:pPr>
        <w:pStyle w:val="Rubrik2"/>
      </w:pPr>
      <w:r w:rsidRPr="0008481A">
        <w:t xml:space="preserve">Kritik mot en polismyndighet för att ha inlett utredning enligt 31 § lagen (1964:167) med särskilda bestämmelser för unga lagöverträdare (LUL) mot </w:t>
      </w:r>
      <w:r w:rsidRPr="0008481A">
        <w:t>barn under 15 år samt fråga om underrättelseskyldighet enligt nämnda lag och fö</w:t>
      </w:r>
      <w:r w:rsidRPr="0008481A">
        <w:t>r</w:t>
      </w:r>
      <w:r w:rsidRPr="0008481A">
        <w:t xml:space="preserve">hör med barn </w:t>
      </w:r>
    </w:p>
    <w:p w:rsidR="003B3271" w:rsidRPr="0008481A" w:rsidRDefault="003B3271">
      <w:r w:rsidRPr="0008481A">
        <w:t>(Dnr 983-1998)</w:t>
      </w:r>
    </w:p>
    <w:p w:rsidR="003B3271" w:rsidRPr="0008481A" w:rsidRDefault="003B3271">
      <w:pPr>
        <w:pStyle w:val="Rubrik3"/>
      </w:pPr>
      <w:r w:rsidRPr="0008481A">
        <w:t>Bakgrund</w:t>
      </w:r>
    </w:p>
    <w:p w:rsidR="003B3271" w:rsidRPr="0008481A" w:rsidRDefault="003B3271">
      <w:r w:rsidRPr="0008481A">
        <w:t>I en anonym anmälan om Polismyndighetens i Skåne handläggning av ären</w:t>
      </w:r>
      <w:r w:rsidRPr="0008481A">
        <w:softHyphen/>
        <w:t>den med underåriga misstänkta gjordes gällande bl.a. att polisen hade varit i en skola och förhört barn utan att föräldrarna hade informerats och utan att någon repr</w:t>
      </w:r>
      <w:r w:rsidRPr="0008481A">
        <w:t>e</w:t>
      </w:r>
      <w:r w:rsidRPr="0008481A">
        <w:t>sentant för socia</w:t>
      </w:r>
      <w:r w:rsidRPr="0008481A">
        <w:t>l</w:t>
      </w:r>
      <w:r w:rsidRPr="0008481A">
        <w:t>nämnden hade varit närvarande.</w:t>
      </w:r>
    </w:p>
    <w:p w:rsidR="003B3271" w:rsidRPr="0008481A" w:rsidRDefault="003B3271">
      <w:pPr>
        <w:pStyle w:val="Normaltindrag"/>
      </w:pPr>
      <w:r w:rsidRPr="0008481A">
        <w:rPr>
          <w:i/>
        </w:rPr>
        <w:t xml:space="preserve">ChefsJO Eklundh </w:t>
      </w:r>
      <w:r w:rsidRPr="0008481A">
        <w:t>beslutade att ta upp förhållandena till utredning i ett särskilt ärende.</w:t>
      </w:r>
    </w:p>
    <w:p w:rsidR="003B3271" w:rsidRPr="0008481A" w:rsidRDefault="003B3271">
      <w:pPr>
        <w:pStyle w:val="Rubrik3"/>
      </w:pPr>
      <w:r w:rsidRPr="0008481A">
        <w:t>Utredning</w:t>
      </w:r>
    </w:p>
    <w:p w:rsidR="003B3271" w:rsidRPr="0008481A" w:rsidRDefault="003B3271">
      <w:r w:rsidRPr="0008481A">
        <w:t>Polismyndighetens akter i ärendena – – – granskades. Av handlingarna framgick i huvudsak följande.</w:t>
      </w:r>
    </w:p>
    <w:p w:rsidR="003B3271" w:rsidRPr="0008481A" w:rsidRDefault="003B3271">
      <w:pPr>
        <w:pStyle w:val="Normaltindrag"/>
      </w:pPr>
      <w:r w:rsidRPr="0008481A">
        <w:t>Den 24 och den 26 november 1997 polisanmäldes vissa elever vid Smedstorps skola i Smedstorp för mobbning (misshandel, förolämpning och ofredande) och en lärare vid samma skola för brott mot arbetsmiljölagen. Ärendena fick up</w:t>
      </w:r>
      <w:r w:rsidRPr="0008481A">
        <w:t>p</w:t>
      </w:r>
      <w:r w:rsidRPr="0008481A">
        <w:t>märksamhet i lokaltidningen. Skolledningen och enskilda föräldrar var angelägna om att omedelbara åtgärder vidtogs. Sociala myndig</w:t>
      </w:r>
      <w:r w:rsidRPr="0008481A">
        <w:softHyphen/>
        <w:t>heter informerades och det överenskoms med skolans lärare att varje elev skulle få ett meddelande med sig hem, där det framgick att polisen skulle komma till skolan dagen därpå med a</w:t>
      </w:r>
      <w:r w:rsidRPr="0008481A">
        <w:t>n</w:t>
      </w:r>
      <w:r w:rsidRPr="0008481A">
        <w:t>ledning av de anmälningar som hade gjorts. Den 10 december 1997 faxades ett meddelande från polismyndigheten till skolan angående ”förhör/samtal” med ba</w:t>
      </w:r>
      <w:r w:rsidRPr="0008481A">
        <w:t>r</w:t>
      </w:r>
      <w:r w:rsidRPr="0008481A">
        <w:t>nen rörande anmälan om mobbning. Faxet kopie</w:t>
      </w:r>
      <w:r w:rsidRPr="0008481A">
        <w:t>rades och delades samma dag ut till barnen för vidarebefordran till föräldrarna. Barnen, som vid tillfället var me</w:t>
      </w:r>
      <w:r w:rsidRPr="0008481A">
        <w:t>l</w:t>
      </w:r>
      <w:r w:rsidRPr="0008481A">
        <w:t>lan tio och tolv år gamla, hördes i skolan den 11 december 1997 av två polismän i en ut</w:t>
      </w:r>
      <w:r w:rsidRPr="0008481A">
        <w:softHyphen/>
        <w:t>redning om anmälda brott. Någon representant för socialförvaltningen var inte närvarande. Under fyra av förhören var inte någon förälder närvarande. I ett av dessa fall hade föräldern, som själv är polisman, meddelat att hon inte hade något att invända mot att förhöret hölls. Rektorn var närvarande vid tre a</w:t>
      </w:r>
      <w:r w:rsidRPr="0008481A">
        <w:t>v förh</w:t>
      </w:r>
      <w:r w:rsidRPr="0008481A">
        <w:t>ö</w:t>
      </w:r>
      <w:r w:rsidRPr="0008481A">
        <w:t>ren. I flera av förhörsprotokollen fanns inte antecknat att man hade läst upp och gått igenom förhöret med den hö</w:t>
      </w:r>
      <w:r w:rsidRPr="0008481A">
        <w:t>r</w:t>
      </w:r>
      <w:r w:rsidRPr="0008481A">
        <w:t>de.</w:t>
      </w:r>
    </w:p>
    <w:p w:rsidR="003B3271" w:rsidRPr="0008481A" w:rsidRDefault="003B3271">
      <w:pPr>
        <w:pStyle w:val="Normaltindrag"/>
        <w:rPr>
          <w:i/>
        </w:rPr>
      </w:pPr>
      <w:r w:rsidRPr="0008481A">
        <w:t>Polismyndigheten anmodades inkomma med en utredning och yttrande över handläg</w:t>
      </w:r>
      <w:r w:rsidRPr="0008481A">
        <w:t>g</w:t>
      </w:r>
      <w:r w:rsidRPr="0008481A">
        <w:t>ningen av de aktuella ärendena.</w:t>
      </w:r>
      <w:r w:rsidRPr="0008481A">
        <w:rPr>
          <w:i/>
        </w:rPr>
        <w:t xml:space="preserve"> </w:t>
      </w:r>
    </w:p>
    <w:p w:rsidR="003B3271" w:rsidRPr="0008481A" w:rsidRDefault="003B3271">
      <w:pPr>
        <w:pStyle w:val="Normaltindrag"/>
      </w:pPr>
      <w:r w:rsidRPr="0008481A">
        <w:t>Polismyndigheten (bitr. länspolismästaren Mats Sjögreen) kom in med ett yttra</w:t>
      </w:r>
      <w:r w:rsidRPr="0008481A">
        <w:t>n</w:t>
      </w:r>
      <w:r w:rsidRPr="0008481A">
        <w:t>de. Till detta hade fogats en promemoria upprättad av polisinspektören Anders Sahlin.</w:t>
      </w:r>
    </w:p>
    <w:p w:rsidR="003B3271" w:rsidRPr="0008481A" w:rsidRDefault="003B3271">
      <w:pPr>
        <w:pStyle w:val="Rubrik4"/>
      </w:pPr>
      <w:r w:rsidRPr="0008481A">
        <w:t>Anders Sahlin</w:t>
      </w:r>
    </w:p>
    <w:p w:rsidR="003B3271" w:rsidRPr="0008481A" w:rsidRDefault="003B3271">
      <w:pPr>
        <w:pStyle w:val="Citat"/>
      </w:pPr>
      <w:r w:rsidRPr="0008481A">
        <w:t>Sedan anmälan gjorts hos polisen gick anmälaren och målsäganden till lokaltidningen och ärendet fick stor publicitet då det hela publicerades ur anmälarens synvinkel.</w:t>
      </w:r>
    </w:p>
    <w:p w:rsidR="003B3271" w:rsidRPr="0008481A" w:rsidRDefault="003B3271">
      <w:pPr>
        <w:pStyle w:val="Citatindrag"/>
      </w:pPr>
      <w:r w:rsidRPr="0008481A">
        <w:t>Journalisten menade att polisen försökte mörklägga ärendet och krävde polisutredning samt att polisen inte agerat tillräckligt snabbt och kraftfullt då det bl.a. handlade om olika brott som des</w:t>
      </w:r>
      <w:r w:rsidRPr="0008481A">
        <w:t>s</w:t>
      </w:r>
      <w:r w:rsidRPr="0008481A">
        <w:t>utom hade pågått under längre tid (flera terminer) och som skolan inte klarat av. Flera föräldrar hörde av sig och krävde utredning eftersom situationen började bli ohållbar i klassen och flera barn mådde d</w:t>
      </w:r>
      <w:r w:rsidRPr="0008481A">
        <w:t>å</w:t>
      </w:r>
      <w:r w:rsidRPr="0008481A">
        <w:t>ligt.</w:t>
      </w:r>
    </w:p>
    <w:p w:rsidR="003B3271" w:rsidRPr="0008481A" w:rsidRDefault="003B3271">
      <w:pPr>
        <w:pStyle w:val="Citatindrag"/>
      </w:pPr>
      <w:r w:rsidRPr="0008481A">
        <w:t>Från skolan utsattes vi för starka påtryckningar att snarast påbörja utredning särskilt som skolan enligt anmälaren inte reagerat och agerat för de misshälligheter och problem som pågick. Eftersom anmälningarna riktades mot barn i klassen och klassens lärare, krävde även rektorn ett snabbt agerand</w:t>
      </w:r>
      <w:r w:rsidRPr="0008481A">
        <w:t>e eftersom flera barn må</w:t>
      </w:r>
      <w:r w:rsidRPr="0008481A">
        <w:t>d</w:t>
      </w:r>
      <w:r w:rsidRPr="0008481A">
        <w:t>de dåligt och man ville ha allt utrett senast till julhelgen.</w:t>
      </w:r>
    </w:p>
    <w:p w:rsidR="003B3271" w:rsidRPr="0008481A" w:rsidRDefault="003B3271">
      <w:pPr>
        <w:pStyle w:val="Citatindrag"/>
      </w:pPr>
      <w:r w:rsidRPr="0008481A">
        <w:t>Det förekom också att föräldrar till barn i klassen ringde hem till under</w:t>
      </w:r>
      <w:r w:rsidRPr="0008481A">
        <w:softHyphen/>
        <w:t>tecknad efter tjänstgöringen för att diskutera och påskynda en utredning. Man ville att allt skulle klarläggas eftersom man inte hade samma syn på ärendet som den som a</w:t>
      </w:r>
      <w:r w:rsidRPr="0008481A">
        <w:t>n</w:t>
      </w:r>
      <w:r w:rsidRPr="0008481A">
        <w:t>mälaren förmedlat.</w:t>
      </w:r>
    </w:p>
    <w:p w:rsidR="003B3271" w:rsidRPr="0008481A" w:rsidRDefault="003B3271">
      <w:pPr>
        <w:pStyle w:val="Citatindrag"/>
      </w:pPr>
      <w:r w:rsidRPr="0008481A">
        <w:t>Innan arbetet påbörjades diskuterade vi den uppkomna situationen och vi diskuterade även med andra polisbefäl inom organisationen eftersom ärendet sänts tillbaka till närpolisområdet för for</w:t>
      </w:r>
      <w:r w:rsidRPr="0008481A">
        <w:t>t</w:t>
      </w:r>
      <w:r w:rsidRPr="0008481A">
        <w:t>satt handläggning.</w:t>
      </w:r>
    </w:p>
    <w:p w:rsidR="003B3271" w:rsidRPr="0008481A" w:rsidRDefault="003B3271">
      <w:pPr>
        <w:pStyle w:val="Citatindrag"/>
      </w:pPr>
      <w:r w:rsidRPr="0008481A">
        <w:t>Tillsammans med skolan och föräldrar som hörde av sig gjorde vi upp en plan för att så smidigt som möjligt hantera ärendet.</w:t>
      </w:r>
    </w:p>
    <w:p w:rsidR="003B3271" w:rsidRPr="0008481A" w:rsidRDefault="003B3271">
      <w:pPr>
        <w:pStyle w:val="Citatindrag"/>
      </w:pPr>
      <w:r w:rsidRPr="0008481A">
        <w:t>Efter det att polisen varit på skolan har all form av mobbing upphört och föräldrar har på senare tid hört av sig till polisen och bett om samman</w:t>
      </w:r>
      <w:r w:rsidRPr="0008481A">
        <w:softHyphen/>
        <w:t>träffande (debriefing) eftersom man anser att klimatet i skolan förbättrats.</w:t>
      </w:r>
    </w:p>
    <w:p w:rsidR="003B3271" w:rsidRPr="0008481A" w:rsidRDefault="003B3271">
      <w:pPr>
        <w:pStyle w:val="Rubrik4"/>
      </w:pPr>
      <w:r w:rsidRPr="0008481A">
        <w:t>Mats Sjögreen</w:t>
      </w:r>
    </w:p>
    <w:p w:rsidR="003B3271" w:rsidRPr="0008481A" w:rsidRDefault="003B3271">
      <w:pPr>
        <w:pStyle w:val="Citat"/>
      </w:pPr>
      <w:r w:rsidRPr="0008481A">
        <w:t>I lagen (1964:167) med särskilda bestämmelser om unga lagöverträdare (LUL) föreskrivs i 13 § första stycket fjärde punkten att utredning rörande brott får inledas beträffande barn under 15 år om det är av särskild vikt att en utredning äger rum. Har den unge inte fyllt tolv år får utredning, enligt lagens andra stycke, e</w:t>
      </w:r>
      <w:r w:rsidRPr="0008481A">
        <w:t>n</w:t>
      </w:r>
      <w:r w:rsidRPr="0008481A">
        <w:t>dast inledas om det finns synnerliga skäl.</w:t>
      </w:r>
    </w:p>
    <w:p w:rsidR="003B3271" w:rsidRPr="0008481A" w:rsidRDefault="003B3271">
      <w:pPr>
        <w:pStyle w:val="Citatindrag"/>
      </w:pPr>
      <w:r w:rsidRPr="0008481A">
        <w:t>Enligt Rikspolisstyrelsens allmänna råd om utredning av brott av barn under 15 år (FAP 403-1) kan sådant skäl bl.a. vara att uppgifter av barnet behövs av någon av de orsaker som anges i 13 § första stycket LUL eller att barnet misstänks för att ha tagit del i brottslig verksamhet tillsammans med andra som har fyllt tolv år och beträffande vilka skäl till undersökning föreligger.</w:t>
      </w:r>
    </w:p>
    <w:p w:rsidR="003B3271" w:rsidRPr="0008481A" w:rsidRDefault="003B3271">
      <w:pPr>
        <w:pStyle w:val="Rubrik4"/>
      </w:pPr>
      <w:r w:rsidRPr="0008481A">
        <w:t>Bedömning</w:t>
      </w:r>
    </w:p>
    <w:p w:rsidR="003B3271" w:rsidRPr="0008481A" w:rsidRDefault="003B3271">
      <w:pPr>
        <w:pStyle w:val="Citat"/>
      </w:pPr>
      <w:r w:rsidRPr="0008481A">
        <w:t>Det framgår av dokumentationen och utredningen i ärendet att det gällde flera anmälda brott, bl.a. misshandelsfall. Det hela utspelade sig under en längre tidsperiod. Situationen i skolan och i kla</w:t>
      </w:r>
      <w:r w:rsidRPr="0008481A">
        <w:t>s</w:t>
      </w:r>
      <w:r w:rsidRPr="0008481A">
        <w:t>sen beskrevs som ohållbar vid tillfället och krav på åtgärder framfördes från olika håll. Det tol</w:t>
      </w:r>
      <w:r w:rsidRPr="0008481A">
        <w:t>v</w:t>
      </w:r>
      <w:r w:rsidRPr="0008481A">
        <w:t>åriga barnet påstods ha varit inblandad både i anmälan K 502780/97 och i anmälan K 502790/97. Polismyndigheten anser att det vid en samlad bedömning får anses ha varit av särskild vikt att en utredning ägde rum beträffande barnet som fyllt tolv år. Skäl till utredning får vid motsvarande bedömning anses ha förelegat även beträffande övriga barn som inte fyllt tolv år vid brotts</w:t>
      </w:r>
      <w:r w:rsidRPr="0008481A">
        <w:softHyphen/>
        <w:t>till</w:t>
      </w:r>
      <w:r w:rsidRPr="0008481A">
        <w:softHyphen/>
        <w:t>fäll</w:t>
      </w:r>
      <w:r w:rsidRPr="0008481A">
        <w:t>e</w:t>
      </w:r>
      <w:r w:rsidRPr="0008481A">
        <w:t>na, eftersom de påstod</w:t>
      </w:r>
      <w:r w:rsidRPr="0008481A">
        <w:t>s ha tagit del i brotten tillsammans med tolv</w:t>
      </w:r>
      <w:r w:rsidRPr="0008481A">
        <w:softHyphen/>
        <w:t>åringen i vissa fall eller att up</w:t>
      </w:r>
      <w:r w:rsidRPr="0008481A">
        <w:t>p</w:t>
      </w:r>
      <w:r w:rsidRPr="0008481A">
        <w:t>gifter behövdes av barnen för utredningen mot tolvåringen.</w:t>
      </w:r>
    </w:p>
    <w:p w:rsidR="003B3271" w:rsidRPr="0008481A" w:rsidRDefault="003B3271">
      <w:pPr>
        <w:pStyle w:val="Citatindrag"/>
      </w:pPr>
      <w:r w:rsidRPr="0008481A">
        <w:t>Polismyndigheten menar vidare att utredningen får anses ha skett på ett korrekt sätt. Polisens å</w:t>
      </w:r>
      <w:r w:rsidRPr="0008481A">
        <w:t>t</w:t>
      </w:r>
      <w:r w:rsidRPr="0008481A">
        <w:t>gärder vidtogs i samverkan med skolledningen och lärarpersonalen. Socialkontoret underrättades men valde att inte delta vid förhören. Föräldrarna meddelades att förhör/samtal skulle hållas med barnen i klass fem. Barnens föräldrar fanns närvarande i de flesta fallen vid förhören och i två fall fanns rektorn med. Viss kritik kan framföras mot sättet på vilket vårdnadshavarna underrättades, det vill säga med ett informationsblad som skickades med barnen hem till föräldrarna.</w:t>
      </w:r>
    </w:p>
    <w:p w:rsidR="003B3271" w:rsidRPr="0008481A" w:rsidRDefault="003B3271">
      <w:r w:rsidRPr="0008481A">
        <w:t xml:space="preserve">I ett beslut den 13 oktober 1999 </w:t>
      </w:r>
      <w:r w:rsidRPr="0008481A">
        <w:t xml:space="preserve">anförde </w:t>
      </w:r>
      <w:r w:rsidRPr="0008481A">
        <w:rPr>
          <w:i/>
        </w:rPr>
        <w:t>chefsJO Eklundh</w:t>
      </w:r>
      <w:r w:rsidRPr="0008481A">
        <w:t xml:space="preserve"> bl.a. följande.</w:t>
      </w:r>
    </w:p>
    <w:p w:rsidR="003B3271" w:rsidRPr="0008481A" w:rsidRDefault="003B3271">
      <w:pPr>
        <w:pStyle w:val="Rubrik3"/>
      </w:pPr>
      <w:r w:rsidRPr="0008481A">
        <w:t>Rättslig reglering</w:t>
      </w:r>
    </w:p>
    <w:p w:rsidR="003B3271" w:rsidRPr="0008481A" w:rsidRDefault="003B3271">
      <w:r w:rsidRPr="0008481A">
        <w:t>Förundersökning skall enligt 23 kap. 1 § första stycket rättegångsbalken (RB) inledas så snart det på grund av angivelse eller av annat skäl finns anledning anta att ett brott som hör under allmänt åtal har förövats. Av denna bestämmelse jä</w:t>
      </w:r>
      <w:r w:rsidRPr="0008481A">
        <w:t>m</w:t>
      </w:r>
      <w:r w:rsidRPr="0008481A">
        <w:t>förd med 1 kap. 6 § brottsbalken (BrB) följer att för</w:t>
      </w:r>
      <w:r w:rsidRPr="0008481A">
        <w:softHyphen/>
        <w:t>undersökning inte skall inl</w:t>
      </w:r>
      <w:r w:rsidRPr="0008481A">
        <w:t>e</w:t>
      </w:r>
      <w:r w:rsidRPr="0008481A">
        <w:t>das om brott har begåtts av någon som vid gärningstillfället inte hade fyllt 15 år.</w:t>
      </w:r>
    </w:p>
    <w:p w:rsidR="003B3271" w:rsidRPr="0008481A" w:rsidRDefault="003B3271">
      <w:pPr>
        <w:pStyle w:val="Normaltindrag"/>
      </w:pPr>
      <w:r w:rsidRPr="0008481A">
        <w:t>Av 23 kap. 3 § RB framgår att en förundersökning inleds av polis</w:t>
      </w:r>
      <w:r w:rsidRPr="0008481A">
        <w:softHyphen/>
        <w:t>myndigheten eller åklagaren. Inledandet av en förundersökning skall dokumen</w:t>
      </w:r>
      <w:r w:rsidRPr="0008481A">
        <w:softHyphen/>
        <w:t>teras genom ett formellt beslut (1 a § första stycket förunder</w:t>
      </w:r>
      <w:r w:rsidRPr="0008481A">
        <w:softHyphen/>
        <w:t>sökningskungörelsen [1947:948] [FUK]).</w:t>
      </w:r>
    </w:p>
    <w:p w:rsidR="003B3271" w:rsidRPr="0008481A" w:rsidRDefault="003B3271">
      <w:pPr>
        <w:pStyle w:val="Normaltindrag"/>
      </w:pPr>
      <w:r w:rsidRPr="0008481A">
        <w:t>Vid förundersökning skall föras protokoll över vad som därvid förekommit av betydelse för utredningen (23 kap. 21 § första stycket RB). Sedan en utsaga av en misstänkt eller annan har upptecknats skall, innan förhöret av</w:t>
      </w:r>
      <w:r w:rsidRPr="0008481A">
        <w:softHyphen/>
        <w:t>slutas, utsagan up</w:t>
      </w:r>
      <w:r w:rsidRPr="0008481A">
        <w:t>p</w:t>
      </w:r>
      <w:r w:rsidRPr="0008481A">
        <w:t>läsas eller tillfälle på annat sätt lämnas att granska upp</w:t>
      </w:r>
      <w:r w:rsidRPr="0008481A">
        <w:softHyphen/>
        <w:t>teckningen samt den hörde tillfrågas om han har något att erinra mot inne</w:t>
      </w:r>
      <w:r w:rsidRPr="0008481A">
        <w:softHyphen/>
        <w:t xml:space="preserve">hållet (23 kap. 21 § andra stycket RB i dess lydelse före den 1 april 1999). </w:t>
      </w:r>
    </w:p>
    <w:p w:rsidR="003B3271" w:rsidRPr="0008481A" w:rsidRDefault="003B3271">
      <w:pPr>
        <w:pStyle w:val="Normaltindrag"/>
      </w:pPr>
      <w:r w:rsidRPr="0008481A">
        <w:t>I de fall där det på grund av gärningsmannens ålder inte skall inledas en förunde</w:t>
      </w:r>
      <w:r w:rsidRPr="0008481A">
        <w:t>r</w:t>
      </w:r>
      <w:r w:rsidRPr="0008481A">
        <w:t>sökning kan en utredning om brottet ändå verkställas enligt bestäm</w:t>
      </w:r>
      <w:r w:rsidRPr="0008481A">
        <w:softHyphen/>
        <w:t>melserna i l</w:t>
      </w:r>
      <w:r w:rsidRPr="0008481A">
        <w:t>a</w:t>
      </w:r>
      <w:r w:rsidRPr="0008481A">
        <w:t>gen (1964:167) med särskilda bestämmelser för unga lagöver</w:t>
      </w:r>
      <w:r w:rsidRPr="0008481A">
        <w:softHyphen/>
        <w:t>trädare (LUL).</w:t>
      </w:r>
    </w:p>
    <w:p w:rsidR="003B3271" w:rsidRPr="0008481A" w:rsidRDefault="003B3271">
      <w:pPr>
        <w:pStyle w:val="Normaltindrag"/>
      </w:pPr>
      <w:r w:rsidRPr="0008481A">
        <w:t>Enligt 31 § LUL får, om någon kan misstänkas för att före femton års ålder ha begått ett brott, en utredning rörande brottet inledas</w:t>
      </w:r>
    </w:p>
    <w:p w:rsidR="003B3271" w:rsidRPr="0008481A" w:rsidRDefault="003B3271">
      <w:pPr>
        <w:pStyle w:val="Normaltindrag"/>
      </w:pPr>
      <w:r w:rsidRPr="0008481A">
        <w:t>1. om en utredning kan antas ha betydelse för att avgöra behovet av social</w:t>
      </w:r>
      <w:r w:rsidRPr="0008481A">
        <w:softHyphen/>
        <w:t>tjän</w:t>
      </w:r>
      <w:r w:rsidRPr="0008481A">
        <w:t>s</w:t>
      </w:r>
      <w:r w:rsidRPr="0008481A">
        <w:t>tens insatser med avseende på den unge,</w:t>
      </w:r>
    </w:p>
    <w:p w:rsidR="003B3271" w:rsidRPr="0008481A" w:rsidRDefault="003B3271">
      <w:pPr>
        <w:pStyle w:val="Normaltindrag"/>
      </w:pPr>
      <w:r w:rsidRPr="0008481A">
        <w:t>2. om det behövs för att klarlägga att någon som har fyllt femton år har deltagit i bro</w:t>
      </w:r>
      <w:r w:rsidRPr="0008481A">
        <w:t>t</w:t>
      </w:r>
      <w:r w:rsidRPr="0008481A">
        <w:t>tet,</w:t>
      </w:r>
    </w:p>
    <w:p w:rsidR="003B3271" w:rsidRPr="0008481A" w:rsidRDefault="003B3271">
      <w:pPr>
        <w:pStyle w:val="Normaltindrag"/>
      </w:pPr>
      <w:r w:rsidRPr="0008481A">
        <w:t>3. om det behövs för att efterforska gods som har åtkommits genom brottet, eller</w:t>
      </w:r>
    </w:p>
    <w:p w:rsidR="003B3271" w:rsidRPr="0008481A" w:rsidRDefault="003B3271">
      <w:pPr>
        <w:pStyle w:val="Normaltindrag"/>
      </w:pPr>
      <w:r w:rsidRPr="0008481A">
        <w:t>4. om det annars är av särskild vikt att en utredning äger rum.</w:t>
      </w:r>
    </w:p>
    <w:p w:rsidR="003B3271" w:rsidRPr="0008481A" w:rsidRDefault="003B3271">
      <w:r w:rsidRPr="0008481A">
        <w:t>Har barnet inte fyllt tolv år får en utredning inledas endast om det finns synnerliga skäl.</w:t>
      </w:r>
    </w:p>
    <w:p w:rsidR="003B3271" w:rsidRPr="0008481A" w:rsidRDefault="003B3271">
      <w:pPr>
        <w:pStyle w:val="Normaltindrag"/>
      </w:pPr>
      <w:r w:rsidRPr="0008481A">
        <w:t xml:space="preserve">Barnets vårdnadshavare och socialnämnden skall omedelbart underrättas om att en utredning har inletts. Underrättelse till vårdnadshavaren får dock underlåtas, om det finns särskilda skäl mot en underrättelse. </w:t>
      </w:r>
    </w:p>
    <w:p w:rsidR="003B3271" w:rsidRPr="0008481A" w:rsidRDefault="003B3271">
      <w:pPr>
        <w:pStyle w:val="Normaltindrag"/>
      </w:pPr>
      <w:r w:rsidRPr="0008481A">
        <w:t>I förarbetena (prop. 1983/84:187 s. 17) till första punkten i denna bestämmelse  anförde departementschefen bl.a. följande.</w:t>
      </w:r>
    </w:p>
    <w:p w:rsidR="003B3271" w:rsidRPr="0008481A" w:rsidRDefault="003B3271">
      <w:pPr>
        <w:pStyle w:val="Citat"/>
      </w:pPr>
      <w:r w:rsidRPr="0008481A">
        <w:t>De brott som i första hand bör föranleda utredning är enligt min mening över</w:t>
      </w:r>
      <w:r w:rsidRPr="0008481A">
        <w:softHyphen/>
        <w:t>lagda brott mot pe</w:t>
      </w:r>
      <w:r w:rsidRPr="0008481A">
        <w:t>r</w:t>
      </w:r>
      <w:r w:rsidRPr="0008481A">
        <w:t>son eller egendom och brott som vittnar om en hög grad av hänsynslöshet eller grov tanklöshet i fråga om andra människors liv, hälsa eller egendom liksom över huvud taget brott som med hä</w:t>
      </w:r>
      <w:r w:rsidRPr="0008481A">
        <w:t>n</w:t>
      </w:r>
      <w:r w:rsidRPr="0008481A">
        <w:t>syn till sin karaktär gör det sannolikt att behov av hjälpinsatser föreligger. Narkotika</w:t>
      </w:r>
      <w:r w:rsidRPr="0008481A">
        <w:softHyphen/>
        <w:t>brottslighet och brott som har samband med sådan brottslighet tillhör givet</w:t>
      </w:r>
      <w:r w:rsidRPr="0008481A">
        <w:softHyphen/>
        <w:t>vis mycket ofta den kategorin. G</w:t>
      </w:r>
      <w:r w:rsidRPr="0008481A">
        <w:t>e</w:t>
      </w:r>
      <w:r w:rsidRPr="0008481A">
        <w:t>nomgående bör man hålla i minnet att det i första hand är omsorgen om barnets bästa som bör beaktas vid st</w:t>
      </w:r>
      <w:r w:rsidRPr="0008481A">
        <w:t>ällnings</w:t>
      </w:r>
      <w:r w:rsidRPr="0008481A">
        <w:softHyphen/>
        <w:t>tagandet. Att märka är också att brottets svårhetsgrad bara är en av de o</w:t>
      </w:r>
      <w:r w:rsidRPr="0008481A">
        <w:t>m</w:t>
      </w:r>
      <w:r w:rsidRPr="0008481A">
        <w:softHyphen/>
        <w:t>ständig</w:t>
      </w:r>
      <w:r w:rsidRPr="0008481A">
        <w:softHyphen/>
        <w:t>heter som socialnämnden har att beakta vid den helhetsbedömning av barnets situation som ligger till grund för nämndens överväganden angående eventuella hjälpinsatser.</w:t>
      </w:r>
    </w:p>
    <w:p w:rsidR="003B3271" w:rsidRPr="0008481A" w:rsidRDefault="003B3271">
      <w:r w:rsidRPr="0008481A">
        <w:t>Såvitt avser övriga punkter (före den 1 mars 1995, 13 § LUL) anslöt sig depart</w:t>
      </w:r>
      <w:r w:rsidRPr="0008481A">
        <w:t>e</w:t>
      </w:r>
      <w:r w:rsidRPr="0008481A">
        <w:t>mentschefen till BRÅ:s arbetsgrupps förslag, som i den delen i huvudsak överen</w:t>
      </w:r>
      <w:r w:rsidRPr="0008481A">
        <w:t>s</w:t>
      </w:r>
      <w:r w:rsidRPr="0008481A">
        <w:t>stämde med tidigare 15 § första stycket förundersöknings</w:t>
      </w:r>
      <w:r w:rsidRPr="0008481A">
        <w:softHyphen/>
        <w:t>kungörelsen (1947:948). Arbetsgruppen uttalade i fråga om dessa rekvisit bl.a. (BRÅ PM 1982:3 De unga lagöverträdarna, s. 117–121) att de hänför sig till andra intressen än att barnet och dess fostran och utveckling skall främjas. Såvitt gällde förutsät</w:t>
      </w:r>
      <w:r w:rsidRPr="0008481A">
        <w:t>t</w:t>
      </w:r>
      <w:r w:rsidRPr="0008481A">
        <w:t>ningen att uppgifter av barnet annars är av särskild vikt nämndes situationer där intresset av utredning bedömts som så v</w:t>
      </w:r>
      <w:r w:rsidRPr="0008481A">
        <w:t>iktigt att det bör få ta över önskemålet att barn inte skall behöva höras i en polisutredning. Som exempel på sådana situati</w:t>
      </w:r>
      <w:r w:rsidRPr="0008481A">
        <w:t>o</w:t>
      </w:r>
      <w:r w:rsidRPr="0008481A">
        <w:t>ner angavs i förarbetena till förundersökningskungörelsen (KonseljPM 1947 s. 80 f.) fall där en minderårig hade bragt någon om livet eller vållat brandskada. Det kunde då enligt vad som sägs i promemorian vara av stor vikt att erhålla närmare kännedom om hur gärningen utförts för att kunna fastställa dödsorsaken eller brandens uppkomst och vidare förlopp. Som exempel på värdet av en s</w:t>
      </w:r>
      <w:r w:rsidRPr="0008481A">
        <w:t>ådan utre</w:t>
      </w:r>
      <w:r w:rsidRPr="0008481A">
        <w:t>d</w:t>
      </w:r>
      <w:r w:rsidRPr="0008481A">
        <w:t>ning har nämnts att denna kan vara avgörande för bedömningen av vissa försä</w:t>
      </w:r>
      <w:r w:rsidRPr="0008481A">
        <w:t>k</w:t>
      </w:r>
      <w:r w:rsidRPr="0008481A">
        <w:t xml:space="preserve">ringsfrågor (se JO 1975/76 s. 82). </w:t>
      </w:r>
    </w:p>
    <w:p w:rsidR="003B3271" w:rsidRPr="0008481A" w:rsidRDefault="003B3271">
      <w:pPr>
        <w:pStyle w:val="Normaltindrag"/>
      </w:pPr>
      <w:r w:rsidRPr="0008481A">
        <w:t xml:space="preserve">När det gäller tolvårsgränsen uttalades i specialmotiveringen (a.prop. </w:t>
      </w:r>
      <w:r w:rsidRPr="0008481A">
        <w:br/>
        <w:t>s. 33 f.) fö</w:t>
      </w:r>
      <w:r w:rsidRPr="0008481A">
        <w:t>l</w:t>
      </w:r>
      <w:r w:rsidRPr="0008481A">
        <w:t>jande.</w:t>
      </w:r>
    </w:p>
    <w:p w:rsidR="003B3271" w:rsidRPr="0008481A" w:rsidRDefault="003B3271">
      <w:pPr>
        <w:pStyle w:val="Citat"/>
      </w:pPr>
      <w:r w:rsidRPr="0008481A">
        <w:t>12-årsgränsen innefattar en avvägning mellan utredningsintresset och hän-synen till barnet. Det är dessutom uppenbart att barnet måste ha uppnått en viss mognad för att en utredning över huvud taget skall framstå som meningsfull. Ju yngre barnet är, desto starkare skäl talar för att socia</w:t>
      </w:r>
      <w:r w:rsidRPr="0008481A">
        <w:t>l</w:t>
      </w:r>
      <w:r w:rsidRPr="0008481A">
        <w:t>-nämnden ombesörjer den utredning som kan behövas rörande barnet. Detta gäller framför allt om utre</w:t>
      </w:r>
      <w:r w:rsidRPr="0008481A">
        <w:t>d</w:t>
      </w:r>
      <w:r w:rsidRPr="0008481A">
        <w:t>ningen inte motiveras av något annat skäl än att den kan ha betydelse för socialnämnden.</w:t>
      </w:r>
    </w:p>
    <w:p w:rsidR="003B3271" w:rsidRPr="0008481A" w:rsidRDefault="003B3271">
      <w:r w:rsidRPr="0008481A">
        <w:t>I 32 § LUL föreskrivs att bestämmelserna om förundersökning i 23 kap. 3 §, 4 §, 6–12 §§, 13 § första stycket och andra stycket första och andra meningarna, 14 §, 17 §, 18 § andra stycket, 19 §, 21 § och 24 § RB i tillämpliga delar skall gälla b</w:t>
      </w:r>
      <w:r w:rsidRPr="0008481A">
        <w:t>e</w:t>
      </w:r>
      <w:r w:rsidRPr="0008481A">
        <w:t>träffande sådan utre</w:t>
      </w:r>
      <w:r w:rsidRPr="0008481A">
        <w:t>d</w:t>
      </w:r>
      <w:r w:rsidRPr="0008481A">
        <w:t>ning som avses  i 31 § LUL.</w:t>
      </w:r>
    </w:p>
    <w:p w:rsidR="003B3271" w:rsidRPr="0008481A" w:rsidRDefault="003B3271">
      <w:pPr>
        <w:pStyle w:val="Normaltindrag"/>
      </w:pPr>
      <w:r w:rsidRPr="0008481A">
        <w:t>Under en sådan utredning skall, om hinder inte möter, företrädare för socialtjän</w:t>
      </w:r>
      <w:r w:rsidRPr="0008481A">
        <w:t>s</w:t>
      </w:r>
      <w:r w:rsidRPr="0008481A">
        <w:t xml:space="preserve">ten närvara vid förhör med barnet (33 § första stycket LUL). </w:t>
      </w:r>
    </w:p>
    <w:p w:rsidR="003B3271" w:rsidRPr="0008481A" w:rsidRDefault="003B3271">
      <w:pPr>
        <w:pStyle w:val="Normaltindrag"/>
      </w:pPr>
      <w:r w:rsidRPr="0008481A">
        <w:t>Enligt 23 kap.10 § fjärde stycket RB bör vårdnadshavaren närvara vid förhör med den som är under femton år, om det kan ske utan men för utredningen.</w:t>
      </w:r>
    </w:p>
    <w:p w:rsidR="003B3271" w:rsidRPr="0008481A" w:rsidRDefault="003B3271">
      <w:pPr>
        <w:pStyle w:val="Rubrik3"/>
      </w:pPr>
      <w:r w:rsidRPr="0008481A">
        <w:t>Bedömning</w:t>
      </w:r>
    </w:p>
    <w:p w:rsidR="003B3271" w:rsidRPr="0008481A" w:rsidRDefault="003B3271">
      <w:r w:rsidRPr="0008481A">
        <w:t>Av de två polisanmälningarna framgår bl.a. att en elev påstods ha blivit utsatt för mobbning vid flera tillfällen. Sex elever, födda åren 1985–1987, angavs som sk</w:t>
      </w:r>
      <w:r w:rsidRPr="0008481A">
        <w:t>ä</w:t>
      </w:r>
      <w:r w:rsidRPr="0008481A">
        <w:t>ligen misstänkta för bl.a. misshandel och ofredande. Samtliga gärningar hade b</w:t>
      </w:r>
      <w:r w:rsidRPr="0008481A">
        <w:t>e</w:t>
      </w:r>
      <w:r w:rsidRPr="0008481A">
        <w:t>gåtts i skolans lokaler. Endast en av de misstänkta hade fyllt tolv år.</w:t>
      </w:r>
    </w:p>
    <w:p w:rsidR="003B3271" w:rsidRPr="0008481A" w:rsidRDefault="003B3271">
      <w:pPr>
        <w:pStyle w:val="Normaltindrag"/>
      </w:pPr>
      <w:r w:rsidRPr="0008481A">
        <w:t>Det framgår inte av handlingarna i ärendena K 502780-97 och K 502790-97 vilket slags beslut Anders Sahlin fattade. Enligt remissvaret rör det sig emellertid om en utredning enligt 31 § första stycket 4 LUL, dvs. en ut</w:t>
      </w:r>
      <w:r w:rsidRPr="0008481A">
        <w:softHyphen/>
        <w:t>redning som av något annat skäl än som anges i punkterna 1–3 har ansetts vara av särskild vikt. Det kan också konstateras att det inte finns någonting i utredningen som tyder på att det har f</w:t>
      </w:r>
      <w:r w:rsidRPr="0008481A">
        <w:t>ö</w:t>
      </w:r>
      <w:r w:rsidRPr="0008481A">
        <w:t xml:space="preserve">relegat ett utredningsintresse av sådant slag som åsyftas i de tre första punkterna. </w:t>
      </w:r>
    </w:p>
    <w:p w:rsidR="003B3271" w:rsidRPr="0008481A" w:rsidRDefault="003B3271">
      <w:pPr>
        <w:pStyle w:val="Normaltindrag"/>
      </w:pPr>
      <w:r w:rsidRPr="0008481A">
        <w:t>Någon författningsenlig skyldighet att dokumentera ett beslut om utredning enligt 31 § LUL finns inte. En lämplig ordning är emellertid att sådana beslut dok</w:t>
      </w:r>
      <w:r w:rsidRPr="0008481A">
        <w:t>u</w:t>
      </w:r>
      <w:r w:rsidRPr="0008481A">
        <w:t>menteras på samma sätt som beslut om inledande av en förundersökning. Utre</w:t>
      </w:r>
      <w:r w:rsidRPr="0008481A">
        <w:t>d</w:t>
      </w:r>
      <w:r w:rsidRPr="0008481A">
        <w:t>ningsledaren bör när han dokumenterar inledandet av en LUL-utredning också  ange på vilken av de fyra punkterna i 31 § första stycket LUL som beslutet gru</w:t>
      </w:r>
      <w:r w:rsidRPr="0008481A">
        <w:t>n</w:t>
      </w:r>
      <w:r w:rsidRPr="0008481A">
        <w:t xml:space="preserve">das. </w:t>
      </w:r>
    </w:p>
    <w:p w:rsidR="003B3271" w:rsidRPr="0008481A" w:rsidRDefault="003B3271">
      <w:pPr>
        <w:pStyle w:val="Normaltindrag"/>
      </w:pPr>
      <w:r w:rsidRPr="0008481A">
        <w:t>Det kan självfallet aldrig accepteras att skolelever – oavsett ålder – misshandlar och trakasserar skolkamrater på det sätt som beskrivs i polis</w:t>
      </w:r>
      <w:r w:rsidRPr="0008481A">
        <w:softHyphen/>
        <w:t>anmälningarna. När sådant förekommer måste åtgärder vidtas. När det som här är fråga om barn som tillhör de yngre elevgrupperna är detta emellertid i första hand en uppgift för sk</w:t>
      </w:r>
      <w:r w:rsidRPr="0008481A">
        <w:t>o</w:t>
      </w:r>
      <w:r w:rsidRPr="0008481A">
        <w:t>lan och socia</w:t>
      </w:r>
      <w:r w:rsidRPr="0008481A">
        <w:t>l</w:t>
      </w:r>
      <w:r w:rsidRPr="0008481A">
        <w:t xml:space="preserve">tjänsten. </w:t>
      </w:r>
    </w:p>
    <w:p w:rsidR="003B3271" w:rsidRPr="0008481A" w:rsidRDefault="003B3271">
      <w:pPr>
        <w:pStyle w:val="Normaltindrag"/>
      </w:pPr>
      <w:r w:rsidRPr="0008481A">
        <w:t>Såvitt framgår av remissyttrandet var skälet till att polismyndigheten inledde en LUL-utredning att den utsattes för starka påtryckningar från skolan och föräldrar och att också lokalpressen hade engagerat sig i saken. De argument som  framfö</w:t>
      </w:r>
      <w:r w:rsidRPr="0008481A">
        <w:t>r</w:t>
      </w:r>
      <w:r w:rsidRPr="0008481A">
        <w:t>des från skolans och föräldrarnas sida var enligt yttrandet att flera barn mådde dåligt och att situationen i skolan var ohållbar. Av den redovisning för innebörden av regleringen i 31 § LUL som har lämnats i det föregående kan man emellertid dra den slutsatsen att det aldrig har föresvävat lagstiftaren att polisen skulle få hålla förhör med barn under femton års ålder i syfte att biträda i skolans elevvård och inre ordnings</w:t>
      </w:r>
      <w:r w:rsidRPr="0008481A">
        <w:softHyphen/>
        <w:t>hållning. Vidare kan det såväl av lagtexten som av förarbetena utläsas att det krä</w:t>
      </w:r>
      <w:r w:rsidRPr="0008481A">
        <w:t xml:space="preserve">vs mycket starka skäl för att polisen med stöd av 31 § LUL över huvud taget skall få vidta utredningsåtgärder avseende barn under tolv års ålder. </w:t>
      </w:r>
    </w:p>
    <w:p w:rsidR="003B3271" w:rsidRPr="0008481A" w:rsidRDefault="003B3271">
      <w:pPr>
        <w:pStyle w:val="Normaltindrag"/>
      </w:pPr>
      <w:r w:rsidRPr="0008481A">
        <w:t>Det kan således konstateras att det inte fanns något rättsligt stöd för att verkställa en utredning enligt 31 § LUL i den aktuella situationen. Av utredningen framgår inte om det funnits anledning för polismyndigheten att, i stället för att inleda en utredning, med stöd av 3 § polislagen (1984:387) underrätta socialtjänsten om de förhållanden som påtalades i poli</w:t>
      </w:r>
      <w:r w:rsidRPr="0008481A">
        <w:t>s</w:t>
      </w:r>
      <w:r w:rsidRPr="0008481A">
        <w:softHyphen/>
        <w:t>anmäl</w:t>
      </w:r>
      <w:r w:rsidRPr="0008481A">
        <w:softHyphen/>
        <w:t>nin</w:t>
      </w:r>
      <w:r w:rsidRPr="0008481A">
        <w:t>g</w:t>
      </w:r>
      <w:r w:rsidRPr="0008481A">
        <w:t>arna.</w:t>
      </w:r>
    </w:p>
    <w:p w:rsidR="003B3271" w:rsidRPr="0008481A" w:rsidRDefault="003B3271">
      <w:pPr>
        <w:pStyle w:val="Normaltindrag"/>
      </w:pPr>
      <w:r w:rsidRPr="0008481A">
        <w:t>Det finns anledning att härutöver säga något också om hur utredningen genomfö</w:t>
      </w:r>
      <w:r w:rsidRPr="0008481A">
        <w:t>r</w:t>
      </w:r>
      <w:r w:rsidRPr="0008481A">
        <w:t>des.</w:t>
      </w:r>
    </w:p>
    <w:p w:rsidR="003B3271" w:rsidRPr="0008481A" w:rsidRDefault="003B3271">
      <w:pPr>
        <w:pStyle w:val="Normaltindrag"/>
      </w:pPr>
      <w:r w:rsidRPr="0008481A">
        <w:t>Anders Sahlin har i ett missiv till JO uppgett att sociala myndigheter informerades men han har inte närmare angivit vad de informerades om. Jag utgår från att han har uppfyllt sina åligganden enligt bestämmelsen i 31 § sista stycket LUL, dvs. underrättat om att en utredning hade inletts. Däremot saknas uppgift om att han skulle ha underrättat de misstänktas vårdnads</w:t>
      </w:r>
      <w:r w:rsidRPr="0008481A">
        <w:softHyphen/>
        <w:t>havare om detta förhållande. Några särskilda skäl att underlåta en sådan åtgärd har inte kommit fram. Underrättelse synes i stället ha skett genom kallelserna till förhören med barnen.</w:t>
      </w:r>
    </w:p>
    <w:p w:rsidR="003B3271" w:rsidRPr="0008481A" w:rsidRDefault="003B3271">
      <w:pPr>
        <w:pStyle w:val="Normaltindrag"/>
      </w:pPr>
      <w:r w:rsidRPr="0008481A">
        <w:t>Som har nämnts i det föregående kallades barnen till förhören genom att poli</w:t>
      </w:r>
      <w:r w:rsidRPr="0008481A">
        <w:t>s</w:t>
      </w:r>
      <w:r w:rsidRPr="0008481A">
        <w:t>myndigheten faxade över en skrift angående ”förhör/samtal” med barnen till sk</w:t>
      </w:r>
      <w:r w:rsidRPr="0008481A">
        <w:t>o</w:t>
      </w:r>
      <w:r w:rsidRPr="0008481A">
        <w:t>lan. Denna skrift kopierades sedan av skolpersonal och delades ut till barnen. Ett sådant förfarande kan emellertid inte befria polis</w:t>
      </w:r>
      <w:r w:rsidRPr="0008481A">
        <w:softHyphen/>
        <w:t>myndigheten från dess skyldighet att dels underrätta vårdnadshavarna om att en LUL-utredning inletts, dels bereda dem tillfälle enligt 23 kap. 10 § fjärde stycket RB att närvara under förhöret. En sådan underrättelse respektive kallelse skall tillställas vårdnadshavarna personl</w:t>
      </w:r>
      <w:r w:rsidRPr="0008481A">
        <w:t>i</w:t>
      </w:r>
      <w:r w:rsidRPr="0008481A">
        <w:t xml:space="preserve">gen. Jag finner det </w:t>
      </w:r>
      <w:r w:rsidRPr="0008481A">
        <w:t>högst anmärkningsvärt att polismyndigheten lade över ansvaret  att underrätta vårdnadshavarna på skolan och i sista hand på barnen själva. Detta medförde att vissa föräldrar inte underrättades om utredningen och därmed inte heller fick tillfälle att närvara vid förh</w:t>
      </w:r>
      <w:r w:rsidRPr="0008481A">
        <w:t>ö</w:t>
      </w:r>
      <w:r w:rsidRPr="0008481A">
        <w:t>ren.</w:t>
      </w:r>
    </w:p>
    <w:p w:rsidR="003B3271" w:rsidRPr="0008481A" w:rsidRDefault="003B3271">
      <w:pPr>
        <w:pStyle w:val="Normaltindrag"/>
      </w:pPr>
      <w:r w:rsidRPr="0008481A">
        <w:t>Socialförvaltningen var enligt polismyndigheten informerad om att förhören skulle hållas men valde att inte närvara. I denna del saknar jag anledning att uttala mig.</w:t>
      </w:r>
    </w:p>
    <w:p w:rsidR="003B3271" w:rsidRPr="0008481A" w:rsidRDefault="003B3271">
      <w:pPr>
        <w:pStyle w:val="Normaltindrag"/>
      </w:pPr>
      <w:r w:rsidRPr="0008481A">
        <w:t>Allmänt gäller att förhör med barn planeras noggrant och att förhören hålls på ett sådant sätt att uppmärksamhet undviks. Förhör bör om möjligt inte hållas i skolan (FAP 403-1 p. 9).</w:t>
      </w:r>
    </w:p>
    <w:p w:rsidR="003B3271" w:rsidRPr="0008481A" w:rsidRDefault="003B3271">
      <w:pPr>
        <w:pStyle w:val="Normaltindrag"/>
      </w:pPr>
      <w:r w:rsidRPr="0008481A">
        <w:t>Jag kan se de praktiska fördelarna för polismyndigheten med att höra barnen i skolan. Det hade emellertid enligt min uppfattning varit betydligt mera skonsamt för barnen att hålla förhören i en mer neutral miljö. Ett sådant förfarande hade vidare gett bättre garantier för ett bra utredningsresultat.</w:t>
      </w:r>
    </w:p>
    <w:p w:rsidR="003B3271" w:rsidRPr="0008481A" w:rsidRDefault="003B3271">
      <w:pPr>
        <w:pStyle w:val="Rubrik2"/>
      </w:pPr>
      <w:r w:rsidRPr="0008481A">
        <w:t>Polisens handläggning av en begäran om handräckning enligt lagen (1991:1128) om psykiatrisk tvångsvård samt uttalanden om polisens möjligheter att överlämna uppdrag till Kriminalvårdens Tran</w:t>
      </w:r>
      <w:r w:rsidRPr="0008481A">
        <w:t>s</w:t>
      </w:r>
      <w:r w:rsidRPr="0008481A">
        <w:t>porttjänst</w:t>
      </w:r>
    </w:p>
    <w:p w:rsidR="003B3271" w:rsidRPr="0008481A" w:rsidRDefault="003B3271">
      <w:r w:rsidRPr="0008481A">
        <w:t>(Dnr 1872-1998)</w:t>
      </w:r>
    </w:p>
    <w:p w:rsidR="003B3271" w:rsidRPr="0008481A" w:rsidRDefault="003B3271">
      <w:pPr>
        <w:pStyle w:val="Rubrik3"/>
      </w:pPr>
      <w:r w:rsidRPr="0008481A">
        <w:t>Bakgrund</w:t>
      </w:r>
    </w:p>
    <w:p w:rsidR="003B3271" w:rsidRPr="0008481A" w:rsidRDefault="003B3271">
      <w:r w:rsidRPr="0008481A">
        <w:t>I en anmälan till JO (dnr 1338-1998) riktade L.L. kritik mot olika instanser beträ</w:t>
      </w:r>
      <w:r w:rsidRPr="0008481A">
        <w:t>f</w:t>
      </w:r>
      <w:r w:rsidRPr="0008481A">
        <w:t>fande vården av hans son A.L., född 1981, som har en psykisk utvecklingsstö</w:t>
      </w:r>
      <w:r w:rsidRPr="0008481A">
        <w:t>r</w:t>
      </w:r>
      <w:r w:rsidRPr="0008481A">
        <w:t>ning och flera neuropsykiatriska diagnoser. L.L. kritiserade bl.a. en läkare vid Barn- och ungdomspsykiatriska kliniken i Lund för att denne begärt polishan</w:t>
      </w:r>
      <w:r w:rsidRPr="0008481A">
        <w:t>d</w:t>
      </w:r>
      <w:r w:rsidRPr="0008481A">
        <w:t>räckning för att transportera A.L. från Länssjukhuset i Kalmar, där A.L. hade t</w:t>
      </w:r>
      <w:r w:rsidRPr="0008481A">
        <w:t>a</w:t>
      </w:r>
      <w:r w:rsidRPr="0008481A">
        <w:t xml:space="preserve">gits in för vård, till kliniken i Lund. Med anledning av innehållet i de handlingar som inhämtades i ärende dnr 1338-1998 beslutade </w:t>
      </w:r>
      <w:r w:rsidRPr="0008481A">
        <w:rPr>
          <w:i/>
        </w:rPr>
        <w:t>chefsJO Eklundh</w:t>
      </w:r>
      <w:r w:rsidRPr="0008481A">
        <w:t xml:space="preserve"> att i ett initi</w:t>
      </w:r>
      <w:r w:rsidRPr="0008481A">
        <w:t>a</w:t>
      </w:r>
      <w:r w:rsidRPr="0008481A">
        <w:t>tivärende ta upp Polismyndighetens</w:t>
      </w:r>
      <w:r w:rsidRPr="0008481A">
        <w:t xml:space="preserve"> i Kalmar län agerande till utredning. L.L:s anmälan utreddes av JO Kerstin André som meddelade beslut i ärendet den 20 september 1999.</w:t>
      </w:r>
    </w:p>
    <w:p w:rsidR="003B3271" w:rsidRPr="0008481A" w:rsidRDefault="003B3271">
      <w:pPr>
        <w:pStyle w:val="Rubrik3"/>
      </w:pPr>
      <w:r w:rsidRPr="0008481A">
        <w:t>Utredning</w:t>
      </w:r>
    </w:p>
    <w:p w:rsidR="003B3271" w:rsidRPr="0008481A" w:rsidRDefault="003B3271">
      <w:r w:rsidRPr="0008481A">
        <w:t xml:space="preserve">Från Polismyndigheten i Kalmar län infordrades och granskades begäran om handräckning, transportbeställning och protokoll den 7 september 1997 i ärende – – –. </w:t>
      </w:r>
    </w:p>
    <w:p w:rsidR="003B3271" w:rsidRPr="0008481A" w:rsidRDefault="003B3271">
      <w:pPr>
        <w:pStyle w:val="Normaltindrag"/>
        <w:rPr>
          <w:sz w:val="20"/>
        </w:rPr>
      </w:pPr>
      <w:r w:rsidRPr="0008481A">
        <w:t>Polismyndigheten anmodades att inkomma med upplysningar och yttrande om dels de överväganden som gjordes i samband med att begäran om handräckning (transport av A.L. från sjukhuset i Kalmar till sjukhuset i Lund) bifölls, dels gru</w:t>
      </w:r>
      <w:r w:rsidRPr="0008481A">
        <w:t>n</w:t>
      </w:r>
      <w:r w:rsidRPr="0008481A">
        <w:t>den för att uppdraget att transportera A.L. till Lund överlämnades till Krimina</w:t>
      </w:r>
      <w:r w:rsidRPr="0008481A">
        <w:t>l</w:t>
      </w:r>
      <w:r w:rsidRPr="0008481A">
        <w:t>vårdens Transporttjänst. Polismyndigheten (läns</w:t>
      </w:r>
      <w:r w:rsidRPr="0008481A">
        <w:softHyphen/>
        <w:t>polis</w:t>
      </w:r>
      <w:r w:rsidRPr="0008481A">
        <w:softHyphen/>
        <w:t xml:space="preserve">mästaren Jan Gustafsson) kom in med ett yttrande till vilket hade fogats redogörelser från polisinspektörerna Glenn Adolfsson och Kenth Andersson samt från polissekreteraren Klas Werme. </w:t>
      </w:r>
    </w:p>
    <w:p w:rsidR="003B3271" w:rsidRPr="0008481A" w:rsidRDefault="003B3271">
      <w:r w:rsidRPr="0008481A">
        <w:t xml:space="preserve">I ett beslut den 24 januari 2000 anförde </w:t>
      </w:r>
      <w:r w:rsidRPr="0008481A">
        <w:rPr>
          <w:i/>
        </w:rPr>
        <w:t>chefsJO Eklundh</w:t>
      </w:r>
      <w:r w:rsidRPr="0008481A">
        <w:t xml:space="preserve"> följande.</w:t>
      </w:r>
    </w:p>
    <w:p w:rsidR="003B3271" w:rsidRPr="0008481A" w:rsidRDefault="003B3271">
      <w:pPr>
        <w:pStyle w:val="Rubrik3"/>
      </w:pPr>
      <w:r w:rsidRPr="0008481A">
        <w:t xml:space="preserve">Bedömning </w:t>
      </w:r>
    </w:p>
    <w:p w:rsidR="003B3271" w:rsidRPr="0008481A" w:rsidRDefault="003B3271">
      <w:pPr>
        <w:pStyle w:val="Rubrik4"/>
        <w:spacing w:before="120"/>
      </w:pPr>
      <w:r w:rsidRPr="0008481A">
        <w:t>Beslutet att bifalla begäran om handräckning</w:t>
      </w:r>
    </w:p>
    <w:p w:rsidR="003B3271" w:rsidRPr="0008481A" w:rsidRDefault="003B3271">
      <w:r w:rsidRPr="0008481A">
        <w:t>I 47 § lagen (1991:1128) om psykiatrisk tvångsvård (LPT) finns bestäm</w:t>
      </w:r>
      <w:r w:rsidRPr="0008481A">
        <w:softHyphen/>
        <w:t>melser om skyldighet för polismyndigheten att lämna biträde i olika situa</w:t>
      </w:r>
      <w:r w:rsidRPr="0008481A">
        <w:softHyphen/>
        <w:t>tioner. Enligt andra stycket 4 skall polismyndigheten lämna biträde på begäran av chefsöverläkaren för att återföra en patient som har lämnat vård</w:t>
      </w:r>
      <w:r w:rsidRPr="0008481A">
        <w:softHyphen/>
        <w:t xml:space="preserve">inrättningen utan tillstånd eller för att återföra en patient till vårdinrättningen om denne inte har återvänt dit sedan tiden för tillstånd att vistas utanför inrättningens område har gått ut eller tillståndet har återkallats. </w:t>
      </w:r>
    </w:p>
    <w:p w:rsidR="003B3271" w:rsidRPr="0008481A" w:rsidRDefault="003B3271">
      <w:pPr>
        <w:pStyle w:val="Normaltindrag"/>
      </w:pPr>
      <w:r w:rsidRPr="0008481A">
        <w:t>Genom utredningen i ärendet har bl.a. följande framkommit. Be</w:t>
      </w:r>
      <w:r w:rsidRPr="0008481A">
        <w:t>gäran om han</w:t>
      </w:r>
      <w:r w:rsidRPr="0008481A">
        <w:t>d</w:t>
      </w:r>
      <w:r w:rsidRPr="0008481A">
        <w:t>räckning jämlikt 47 § andra stycket 4 LPT kom in till Polismyndigheten i Kalmar län lördagen den 6 september 1997 kl. 13.13. Handräckningen avsåg åte</w:t>
      </w:r>
      <w:r w:rsidRPr="0008481A">
        <w:t>r</w:t>
      </w:r>
      <w:r w:rsidRPr="0008481A">
        <w:t>förande av A.L. från hans hem till Barn- och ungdomspsykiatriska kliniken i Lund. Som grund för framställningen angavs att patienten inte hade återvänt till vårdinrättningen sedan tiden för tillstånd att vistas utanför inrättningens område hade gått ut eller tillstånd återkallats. Vakthavande befälet Glenn Adolfsson ko</w:t>
      </w:r>
      <w:r w:rsidRPr="0008481A">
        <w:t>n</w:t>
      </w:r>
      <w:r w:rsidRPr="0008481A">
        <w:t>taktade med anledning av beg</w:t>
      </w:r>
      <w:r w:rsidRPr="0008481A">
        <w:t>äran beredskaps</w:t>
      </w:r>
      <w:r w:rsidRPr="0008481A">
        <w:softHyphen/>
        <w:t>havande polischefen Klas Werme som beslutade att transporten skulle ske genom Kriminalvårdens Transporttjänst. Vakthavande befälet Kenth Andersson, som påbörjade sin tjänstgöring kl. 15.00, beslutade sedan att bifalla handräckningsbegäran. Kenth Andersson har uppgett att det i samband med att han undersökte hur transporten skulle ordnas kom fram att A.L:s far skulle köra A.L. till avd. 60 på Länssjukhuset i Kalmar, vuxen</w:t>
      </w:r>
      <w:r w:rsidRPr="0008481A">
        <w:softHyphen/>
        <w:t>psyk</w:t>
      </w:r>
      <w:r w:rsidRPr="0008481A">
        <w:t>i</w:t>
      </w:r>
      <w:r w:rsidRPr="0008481A">
        <w:t>atriska kliniken, och att A.L. skulle vara där i avvaktan på vidar</w:t>
      </w:r>
      <w:r w:rsidRPr="0008481A">
        <w:t>e transport. När transporten beställdes hos Kriminalvårdens Transporttjänst upp</w:t>
      </w:r>
      <w:r w:rsidRPr="0008481A">
        <w:softHyphen/>
      </w:r>
      <w:r w:rsidRPr="0008481A">
        <w:softHyphen/>
        <w:t>lystes om att n</w:t>
      </w:r>
      <w:r w:rsidRPr="0008481A">
        <w:t>å</w:t>
      </w:r>
      <w:r w:rsidRPr="0008481A">
        <w:t xml:space="preserve">gon transportresurs inte fanns tillgänglig förrän på morgonen den 7 september 1997. </w:t>
      </w:r>
    </w:p>
    <w:p w:rsidR="003B3271" w:rsidRPr="0008481A" w:rsidRDefault="003B3271">
      <w:pPr>
        <w:pStyle w:val="Normaltindrag"/>
      </w:pPr>
      <w:r w:rsidRPr="0008481A">
        <w:t>Jag har inte någon anledning att ifrågasätta polismyndighetens beslut att bi</w:t>
      </w:r>
      <w:r w:rsidRPr="0008481A">
        <w:softHyphen/>
        <w:t>falla den begäran om handräckning som avsåg återförande av A.L. från hans hem till kliniken i Lund. I förarbetena har visserligen i fråga om till</w:t>
      </w:r>
      <w:r w:rsidRPr="0008481A">
        <w:softHyphen/>
      </w:r>
      <w:r w:rsidRPr="0008481A">
        <w:rPr>
          <w:spacing w:val="-4"/>
        </w:rPr>
        <w:t>ämp</w:t>
      </w:r>
      <w:r w:rsidRPr="0008481A">
        <w:rPr>
          <w:spacing w:val="-4"/>
        </w:rPr>
        <w:softHyphen/>
        <w:t>ningen</w:t>
      </w:r>
      <w:r w:rsidRPr="0008481A">
        <w:t xml:space="preserve"> av han</w:t>
      </w:r>
      <w:r w:rsidRPr="0008481A">
        <w:t>d</w:t>
      </w:r>
      <w:r w:rsidRPr="0008481A">
        <w:t>räckningsinstitutet anförts att det är önskvärt att man så långt som möjligt anvä</w:t>
      </w:r>
      <w:r w:rsidRPr="0008481A">
        <w:t>n</w:t>
      </w:r>
      <w:r w:rsidRPr="0008481A">
        <w:t>der sig av personal inom den psykiatriska vården eller socialtjänsten för att öve</w:t>
      </w:r>
      <w:r w:rsidRPr="0008481A">
        <w:t>r</w:t>
      </w:r>
      <w:r w:rsidRPr="0008481A">
        <w:t>tyga patienten om att han frivilligt skall följa med till vårdinrättningen (prop. 1990/91:58 s. 287). Om den sökande myn</w:t>
      </w:r>
      <w:r w:rsidRPr="0008481A">
        <w:softHyphen/>
        <w:t>dig</w:t>
      </w:r>
      <w:r w:rsidRPr="0008481A">
        <w:softHyphen/>
        <w:t>heten har befogenhet att begära hjälp av polisen och polis</w:t>
      </w:r>
      <w:r w:rsidRPr="0008481A">
        <w:t>en också har befogenhet att utföra den begärda åtgärden är polismyndigheten emellertid i princip skyldig att lämna handräckning. Det bör inte ankomma på en polismyndighet att pröva om en annan myndighet har behov av polis</w:t>
      </w:r>
      <w:r w:rsidRPr="0008481A">
        <w:softHyphen/>
        <w:t>handräckning eller inte (se prop. 1996/97:175 s. 75). Polismyndigheten skall således inte pröva lämpligheten av en framställan om handräckning utan har endast att kontrollera att framställningen avser ett sådant förfarande som den är skyldig att biträda med samt att den som har begärt hand</w:t>
      </w:r>
      <w:r w:rsidRPr="0008481A">
        <w:t xml:space="preserve">räckningen är behörig att göra det. </w:t>
      </w:r>
    </w:p>
    <w:p w:rsidR="003B3271" w:rsidRPr="0008481A" w:rsidRDefault="003B3271">
      <w:pPr>
        <w:pStyle w:val="Normaltindrag"/>
      </w:pPr>
      <w:r w:rsidRPr="0008481A">
        <w:t>Polismyndigheten har däremot inte någon skyldighet att ombesörja transporter mellan olika sjukvårdsinrättningar av patienter som är intagna för tvångsvård (se SOU 1998:32 s. 214). Enligt 6 § hälso- och sjukvårdslagen (1982:763) svarar landstinget för att det inom landstinget finns en fungerande organisation för att till och från sjukhus eller läkare transportera personer vilkas tillstånd kräver att tran</w:t>
      </w:r>
      <w:r w:rsidRPr="0008481A">
        <w:t>s</w:t>
      </w:r>
      <w:r w:rsidRPr="0008481A">
        <w:t>porten utförs med transportmedel som är särskilt inrättade för ändamålet. Denna skyldighet omfattar även transporter av patienter som är intagna med stöd av LPT.</w:t>
      </w:r>
    </w:p>
    <w:p w:rsidR="003B3271" w:rsidRPr="0008481A" w:rsidRDefault="003B3271">
      <w:pPr>
        <w:pStyle w:val="Normaltindrag"/>
      </w:pPr>
      <w:r w:rsidRPr="0008481A">
        <w:t>Av utredningen framgår att A.L. bereddes vård på vuxenpsykiatriska kliniken i Kalmar från den 6 september till morgonen den 7 september 1997 då transporten till kliniken i Lund ägde rum. Vid den tidpunkt då handräckningen kom till stånd var A.L. således redan intagen för sjukhus</w:t>
      </w:r>
      <w:r w:rsidRPr="0008481A">
        <w:softHyphen/>
        <w:t>vård, låt vara vid en annan sjukvårdsi</w:t>
      </w:r>
      <w:r w:rsidRPr="0008481A">
        <w:t>n</w:t>
      </w:r>
      <w:r w:rsidRPr="0008481A">
        <w:t>rättning än den till vilken transpo</w:t>
      </w:r>
      <w:r w:rsidRPr="0008481A">
        <w:t>r</w:t>
      </w:r>
      <w:r w:rsidRPr="0008481A">
        <w:t xml:space="preserve">ten skulle ske. </w:t>
      </w:r>
    </w:p>
    <w:p w:rsidR="003B3271" w:rsidRPr="0008481A" w:rsidRDefault="003B3271">
      <w:pPr>
        <w:pStyle w:val="Normaltindrag"/>
      </w:pPr>
      <w:r w:rsidRPr="0008481A">
        <w:t>JO Kerstin André har i sitt beslut i ärendet behandlat frågan vilket stöd som b</w:t>
      </w:r>
      <w:r w:rsidRPr="0008481A">
        <w:t>e</w:t>
      </w:r>
      <w:r w:rsidRPr="0008481A">
        <w:t>stämmelsen i 47 § LPT ger för att tillämpa handräckningsinstitutet när det, som i förevarande fall, är fråga om transport av en patient från en vårdinrättning till en annan. I beslutet sägs i denna del att vad som talar för att en tillämpning av han</w:t>
      </w:r>
      <w:r w:rsidRPr="0008481A">
        <w:t>d</w:t>
      </w:r>
      <w:r w:rsidRPr="0008481A">
        <w:t>räckningsinstitutet inte är uteslutet i en situation som den aktuella är att patienten ännu inte var återförd till den institution där vården avsetts bedrivas, dvs. kliniken i Lund, och att intagningen vid kliniken i Kalmar därför får ses som en tillfällig åtgä</w:t>
      </w:r>
      <w:r w:rsidRPr="0008481A">
        <w:t>rd. Det uttalas av</w:t>
      </w:r>
      <w:r w:rsidRPr="0008481A">
        <w:softHyphen/>
        <w:t>slutnings</w:t>
      </w:r>
      <w:r w:rsidRPr="0008481A">
        <w:softHyphen/>
        <w:t>vis att rättsläget i frågan synes något oklart men att det mesta talar för att det i detta fall inte förelegat några formella hinder mot att låta hand</w:t>
      </w:r>
      <w:r w:rsidRPr="0008481A">
        <w:softHyphen/>
        <w:t xml:space="preserve">räckningsbegäran kvarstå. </w:t>
      </w:r>
    </w:p>
    <w:p w:rsidR="003B3271" w:rsidRPr="0008481A" w:rsidRDefault="003B3271">
      <w:pPr>
        <w:pStyle w:val="Normaltindrag"/>
      </w:pPr>
      <w:r w:rsidRPr="0008481A">
        <w:t xml:space="preserve">Det framgår inte klart av utredningen i vilket skede polismyndigheten fick </w:t>
      </w:r>
      <w:r w:rsidRPr="0008481A">
        <w:br/>
        <w:t>känn</w:t>
      </w:r>
      <w:r w:rsidRPr="0008481A">
        <w:t>e</w:t>
      </w:r>
      <w:r w:rsidRPr="0008481A">
        <w:t xml:space="preserve">dom om att A.L. skulle beredas vård på kliniken i Kalmar. Kenth </w:t>
      </w:r>
      <w:r w:rsidRPr="0008481A">
        <w:br/>
        <w:t>Anders</w:t>
      </w:r>
      <w:r w:rsidRPr="0008481A">
        <w:softHyphen/>
        <w:t>son har uppgett att han fick veta detta efter det att han bifallit begäran om handräckning. Det hade enligt min mening varit naturligt att polis</w:t>
      </w:r>
      <w:r w:rsidRPr="0008481A">
        <w:softHyphen/>
        <w:t>myndigheten i detta läge hade tagit kontakt med den begärande läkaren för att få veta om denne avsåg att återkalla sin begäran. Med hänsyn till vad som nyss sagts om rättsläget i frågan samt till att det inte ankommer på polis</w:t>
      </w:r>
      <w:r w:rsidRPr="0008481A">
        <w:softHyphen/>
        <w:t>myndigheten att pröva det lämpliga i en begäran om handräcknin</w:t>
      </w:r>
      <w:r w:rsidRPr="0008481A">
        <w:t>g anser jag mig emellertid inte ha grund för att krit</w:t>
      </w:r>
      <w:r w:rsidRPr="0008481A">
        <w:t>i</w:t>
      </w:r>
      <w:r w:rsidRPr="0008481A">
        <w:t xml:space="preserve">sera myndigheten med anledning av att någon sådan kontakt inte togs. </w:t>
      </w:r>
    </w:p>
    <w:p w:rsidR="003B3271" w:rsidRPr="0008481A" w:rsidRDefault="003B3271">
      <w:pPr>
        <w:pStyle w:val="Rubrik4"/>
      </w:pPr>
      <w:r w:rsidRPr="0008481A">
        <w:t>Överlämnandet av uppdraget till Kriminalvårdens Transporttjänst</w:t>
      </w:r>
    </w:p>
    <w:p w:rsidR="003B3271" w:rsidRPr="0008481A" w:rsidRDefault="003B3271">
      <w:r w:rsidRPr="0008481A">
        <w:t>Kriminalvårdens Transporttjänst skall under Kriminalvårdsstyrelsen planera och utföra utrikestransporter och längre inrikestransporter (9 d § för</w:t>
      </w:r>
      <w:r w:rsidRPr="0008481A">
        <w:softHyphen/>
        <w:t>ordningen [1990:1018] med instruktion för Kriminalvårdsverket). Närmare bestämmelser om Transporttjänstens verksamhet finns i Kriminal</w:t>
      </w:r>
      <w:r w:rsidRPr="0008481A">
        <w:softHyphen/>
        <w:t>vårdsverkets föreskrifter och al</w:t>
      </w:r>
      <w:r w:rsidRPr="0008481A">
        <w:t>l</w:t>
      </w:r>
      <w:r w:rsidRPr="0008481A">
        <w:t>männa råd om transportverksamhet m.m. (KVVFS 1995:1; ändrade genom KVVFS 1998:2). I avsnitt 2.1.1 (2 §) om Kriminalvårdens Transporttjänst för</w:t>
      </w:r>
      <w:r w:rsidRPr="0008481A">
        <w:t>e</w:t>
      </w:r>
      <w:r w:rsidRPr="0008481A">
        <w:t>skrivs bl.a. att Transporttjänsten skall på uppdrag planera och utföra  inrikes transporter som ankommer på kriminal</w:t>
      </w:r>
      <w:r w:rsidRPr="0008481A">
        <w:softHyphen/>
        <w:t>vården när en polismyndighet har beslutat om handräckning. I avsnitt 2.1.3 (13 §) f</w:t>
      </w:r>
      <w:r w:rsidRPr="0008481A">
        <w:t>öreskrivs att uppehåll med transporterade som om</w:t>
      </w:r>
      <w:r w:rsidRPr="0008481A">
        <w:softHyphen/>
        <w:t>händer</w:t>
      </w:r>
      <w:r w:rsidRPr="0008481A">
        <w:softHyphen/>
        <w:t>tagits bl.a. enligt LPT endast får göras i häkten och polisarre</w:t>
      </w:r>
      <w:r w:rsidRPr="0008481A">
        <w:t>s</w:t>
      </w:r>
      <w:r w:rsidRPr="0008481A">
        <w:t xml:space="preserve">ter.   </w:t>
      </w:r>
    </w:p>
    <w:p w:rsidR="003B3271" w:rsidRPr="0008481A" w:rsidRDefault="003B3271">
      <w:pPr>
        <w:pStyle w:val="Normaltindrag"/>
      </w:pPr>
      <w:r w:rsidRPr="0008481A">
        <w:t>Enligt 2 kap. 8 § regeringsformen (RF) är varje medborgare gentemot det allmä</w:t>
      </w:r>
      <w:r w:rsidRPr="0008481A">
        <w:t>n</w:t>
      </w:r>
      <w:r w:rsidRPr="0008481A">
        <w:t>na skyddad mot frihetsberövande. Av 2 kap. 12 § RF framgår att en begränsning av detta skydd får göras endast genom lag. Ett beslut att någon skall bli föremål för psykiatrisk tvångsvård innebär att denne med stöd av lag blir föremål för ett sådant frihetsberövande som åsyftas i 2 kap. 8 § RF. Det ligger i sakens natur att den personal som är ansvarig för vården måste ha rätt att utöva tvång och i vissa fall våld för att hindra den intagne från att avvika. Stödet för att utöva sådant tvång finns i LPT, och</w:t>
      </w:r>
      <w:r w:rsidRPr="0008481A">
        <w:t xml:space="preserve"> stödet för att i vissa fall tillgripa våld finns i regeln om s.k. laga befogenhet i 24 kap. 2 § brottsbalken (se Holmqvist m.fl., Brottsbalken, s. 24:23). </w:t>
      </w:r>
    </w:p>
    <w:p w:rsidR="003B3271" w:rsidRPr="0008481A" w:rsidRDefault="003B3271">
      <w:pPr>
        <w:pStyle w:val="Normaltindrag"/>
      </w:pPr>
      <w:r w:rsidRPr="0008481A">
        <w:t>Bestämmelsen i 47 § andra stycket LPT reglerar polismyndighetens skyldighet att i vissa fall lämna biträde. Genom denna bestämmelse ges polisen samma möjli</w:t>
      </w:r>
      <w:r w:rsidRPr="0008481A">
        <w:t>g</w:t>
      </w:r>
      <w:r w:rsidRPr="0008481A">
        <w:t>heter som vårdpersonalen att utöva tvång mot den intagne. Också i dessa fall grundas befogenhet att utöva våld på bestäm</w:t>
      </w:r>
      <w:r w:rsidRPr="0008481A">
        <w:softHyphen/>
        <w:t>melsen i 24 kap. 2 § brottsbalken. I fråga om polismäns rätt att använda våld finns vidare regler i 10 § polislagen (1984:387).</w:t>
      </w:r>
    </w:p>
    <w:p w:rsidR="003B3271" w:rsidRPr="0008481A" w:rsidRDefault="003B3271">
      <w:pPr>
        <w:pStyle w:val="Normaltindrag"/>
      </w:pPr>
      <w:r w:rsidRPr="0008481A">
        <w:t>Av vad som har sagts i det föregående om innebörden av regleringen i 2 kap. 8 och 12 §§ RF följer att en förutsättning för att en befattningshavare inom krim</w:t>
      </w:r>
      <w:r w:rsidRPr="0008481A">
        <w:t>i</w:t>
      </w:r>
      <w:r w:rsidRPr="0008481A">
        <w:t>nalvården skall ha samma befogenheter som en polisman att använda tvång och våld mot någon som är föremål för polishandräckning enligt LPT är att också hans befogenheter i detta hänseende följer av lag. Bestämmelsen i 47 § andra stycket LPT öppnar emellertid enligt sin ordalydelse inte möjlighet för någon annan my</w:t>
      </w:r>
      <w:r w:rsidRPr="0008481A">
        <w:t>n</w:t>
      </w:r>
      <w:r w:rsidRPr="0008481A">
        <w:t>dighet än polismyndigheten att lämna det biträde som anges där. Det finns inte heller någon annanstans lagregler som uttryckligen ger kriminalvården sådana befogenheter som åsyftas i denna bestäm</w:t>
      </w:r>
      <w:r w:rsidRPr="0008481A">
        <w:t>melse.</w:t>
      </w:r>
    </w:p>
    <w:p w:rsidR="003B3271" w:rsidRPr="0008481A" w:rsidRDefault="003B3271">
      <w:pPr>
        <w:pStyle w:val="Normaltindrag"/>
      </w:pPr>
      <w:r w:rsidRPr="0008481A">
        <w:t>Befogenheter av nu angivet slag för befattningshavare vid Kriminal</w:t>
      </w:r>
      <w:r w:rsidRPr="0008481A">
        <w:softHyphen/>
        <w:t>vårdens Transporttjänst synes emellertid hittills ha betraktats som under</w:t>
      </w:r>
      <w:r w:rsidRPr="0008481A">
        <w:softHyphen/>
        <w:t>förstådda i de ol</w:t>
      </w:r>
      <w:r w:rsidRPr="0008481A">
        <w:t>i</w:t>
      </w:r>
      <w:r w:rsidRPr="0008481A">
        <w:t>ka reglerna om polishandräckning. Det är uppenbarligen ett sådant synsätt som ligger till grund för de nyss nämnda av Kriminal</w:t>
      </w:r>
      <w:r w:rsidRPr="0008481A">
        <w:softHyphen/>
        <w:t>vårdsstyrelsen beslutade för</w:t>
      </w:r>
      <w:r w:rsidRPr="0008481A">
        <w:t>e</w:t>
      </w:r>
      <w:r w:rsidRPr="0008481A">
        <w:t>skrifterna. Jag kan i detta hänseende vidare hänvisa till JO 1988/89 s. 194, där JO inte ifrågasatte den rättsliga grunden för polisens åtgärd att överlämna ett han</w:t>
      </w:r>
      <w:r w:rsidRPr="0008481A">
        <w:t>d</w:t>
      </w:r>
      <w:r w:rsidRPr="0008481A">
        <w:t>räckningsuppdrag enligt lagen (1966:293) om beredande av sluten psykiatrisk vård i vissa fall till</w:t>
      </w:r>
      <w:r w:rsidRPr="0008481A">
        <w:t xml:space="preserve"> Transporttjänsten. JO ifrågasatte däremot om transport av sj</w:t>
      </w:r>
      <w:r w:rsidRPr="0008481A">
        <w:t>u</w:t>
      </w:r>
      <w:r w:rsidRPr="0008481A">
        <w:t>ka människor över huvud taget hörde hemma inom den rådande ordningen med transporter genom kriminalvårdens transporto</w:t>
      </w:r>
      <w:r w:rsidRPr="0008481A">
        <w:t>r</w:t>
      </w:r>
      <w:r w:rsidRPr="0008481A">
        <w:t xml:space="preserve">ganisation. </w:t>
      </w:r>
    </w:p>
    <w:p w:rsidR="003B3271" w:rsidRPr="0008481A" w:rsidRDefault="003B3271">
      <w:pPr>
        <w:pStyle w:val="Normaltindrag"/>
      </w:pPr>
      <w:r w:rsidRPr="0008481A">
        <w:t>Synsättet, att rätt att överlämna ett handräckningsuppdrag till Kriminal</w:t>
      </w:r>
      <w:r w:rsidRPr="0008481A">
        <w:softHyphen/>
        <w:t>vårdens Transporttjänst underförstått kan följa av en bestämmelse om rätt för en myndi</w:t>
      </w:r>
      <w:r w:rsidRPr="0008481A">
        <w:t>g</w:t>
      </w:r>
      <w:r w:rsidRPr="0008481A">
        <w:t>het utanför Kriminalvårdsverket att använda tvång mot en enskild, avspeglas oc</w:t>
      </w:r>
      <w:r w:rsidRPr="0008481A">
        <w:t>k</w:t>
      </w:r>
      <w:r w:rsidRPr="0008481A">
        <w:t>så i förarbetena till bestämmelserna i 6 kap. 17 § utlännings</w:t>
      </w:r>
      <w:r w:rsidRPr="0008481A">
        <w:softHyphen/>
        <w:t>lagen (1989:529) om Invandrarverkets rätt att begära biträde av polis</w:t>
      </w:r>
      <w:r w:rsidRPr="0008481A">
        <w:softHyphen/>
        <w:t>myndigheten bl.a. med att tran</w:t>
      </w:r>
      <w:r w:rsidRPr="0008481A">
        <w:t>s</w:t>
      </w:r>
      <w:r w:rsidRPr="0008481A">
        <w:t>portera en utlänning som hålls i förvar. Det uttalas där (prop. 1996/97:147 s. 40) bl.a. följande: ”I första hand bör Invandrarverket anlita kriminalvårdens tran</w:t>
      </w:r>
      <w:r w:rsidRPr="0008481A">
        <w:t>s</w:t>
      </w:r>
      <w:r w:rsidRPr="0008481A">
        <w:t>porttjänst eller anv</w:t>
      </w:r>
      <w:r w:rsidRPr="0008481A">
        <w:t>ända egen personal för att transportera en utlänning som hålls i förvar. Det kan dock i vissa fall vara befogat att polismyndigheten lämnar biträde vid en tran</w:t>
      </w:r>
      <w:r w:rsidRPr="0008481A">
        <w:t>s</w:t>
      </w:r>
      <w:r w:rsidRPr="0008481A">
        <w:t>port.”</w:t>
      </w:r>
    </w:p>
    <w:p w:rsidR="003B3271" w:rsidRPr="0008481A" w:rsidRDefault="003B3271">
      <w:pPr>
        <w:pStyle w:val="Normaltindrag"/>
      </w:pPr>
      <w:r w:rsidRPr="0008481A">
        <w:t>Det finns mot denna bakgrund inte någon anledning att rikta kritik mot Polismy</w:t>
      </w:r>
      <w:r w:rsidRPr="0008481A">
        <w:t>n</w:t>
      </w:r>
      <w:r w:rsidRPr="0008481A">
        <w:t>digheten i Kalmar län med anledning av att den överlämnade verkställigheten av handräckningsbeslutet till Kriminalvårdens Transport</w:t>
      </w:r>
      <w:r w:rsidRPr="0008481A">
        <w:softHyphen/>
        <w:t>tjänst.</w:t>
      </w:r>
    </w:p>
    <w:p w:rsidR="003B3271" w:rsidRPr="0008481A" w:rsidRDefault="003B3271">
      <w:pPr>
        <w:pStyle w:val="Normaltindrag"/>
      </w:pPr>
      <w:r w:rsidRPr="0008481A">
        <w:t>Det kan däremot ifrågasättas om det här redovisade synsättet står i god överen</w:t>
      </w:r>
      <w:r w:rsidRPr="0008481A">
        <w:t>s</w:t>
      </w:r>
      <w:r w:rsidRPr="0008481A">
        <w:t>stämmelse med legalitetsprincipen. Denna innebär bl.a. att befogen</w:t>
      </w:r>
      <w:r w:rsidRPr="0008481A">
        <w:softHyphen/>
        <w:t>het för en viss myndighet att ingripa i en enskilds personliga förhållanden klart skall framgå av lag eller annan författning enligt vad som närmare föreskrivs i 8 kap. RF (se bl.a. 3 §). När ett sådant ingrepp, som i detta fall, innebär en begränsning av någon av de i 2 kap. RF fastlagda fri- och rättigheterna, måste det som tidigare nämnts g</w:t>
      </w:r>
      <w:r w:rsidRPr="0008481A">
        <w:t>ö</w:t>
      </w:r>
      <w:r w:rsidRPr="0008481A">
        <w:t>ras genom lag. Jag vill i detta sammanhang vidare erinra om Högsta domstolens uttalande i NJA 1996</w:t>
      </w:r>
      <w:r w:rsidRPr="0008481A">
        <w:t xml:space="preserve"> s. 577, att den omständigheten att en lagregel innebär ett undantag från en grundlagsskyddad rättighet ger en särskild anledning till restri</w:t>
      </w:r>
      <w:r w:rsidRPr="0008481A">
        <w:t>k</w:t>
      </w:r>
      <w:r w:rsidRPr="0008481A">
        <w:t>tivitet vid tolkningen av bestämmelsen. Ett ingrepp i en sådan rättighet kan sål</w:t>
      </w:r>
      <w:r w:rsidRPr="0008481A">
        <w:t>e</w:t>
      </w:r>
      <w:r w:rsidRPr="0008481A">
        <w:t xml:space="preserve">des aldrig grundas på en analogisk eller extensiv tolkning av en lagregel.  </w:t>
      </w:r>
    </w:p>
    <w:p w:rsidR="003B3271" w:rsidRPr="0008481A" w:rsidRDefault="003B3271">
      <w:pPr>
        <w:pStyle w:val="Normaltindrag"/>
      </w:pPr>
      <w:r w:rsidRPr="0008481A">
        <w:t>Det kan enligt min mening inte uteslutas att en domstol skulle komma att finna att befogenhet för kriminalvårdspersonal att utöva tvång och våld i en handräc</w:t>
      </w:r>
      <w:r w:rsidRPr="0008481A">
        <w:t>k</w:t>
      </w:r>
      <w:r w:rsidRPr="0008481A">
        <w:t>ningssituation av det slag som avses i 47 § andra stycket LPT saknar det stöd i lag som krävs enligt reglerna i 2 kap. 12 § RF.</w:t>
      </w:r>
    </w:p>
    <w:p w:rsidR="003B3271" w:rsidRPr="0008481A" w:rsidRDefault="003B3271">
      <w:pPr>
        <w:pStyle w:val="Normaltindrag"/>
      </w:pPr>
      <w:r w:rsidRPr="0008481A">
        <w:t>Jag anser av nu anförda skäl att, i klarläggande syfte, frågan om rätt för en poli</w:t>
      </w:r>
      <w:r w:rsidRPr="0008481A">
        <w:t>s</w:t>
      </w:r>
      <w:r w:rsidRPr="0008481A">
        <w:t>myndighet att till Kriminalvårdens Transporttjänst överlämna verk</w:t>
      </w:r>
      <w:r w:rsidRPr="0008481A">
        <w:softHyphen/>
        <w:t>ställig</w:t>
      </w:r>
      <w:r w:rsidRPr="0008481A">
        <w:softHyphen/>
        <w:t>heten av ett handräckningsbeslut avseende transport av en frihets</w:t>
      </w:r>
      <w:r w:rsidRPr="0008481A">
        <w:softHyphen/>
        <w:t>berövad person bör bli föremål för särskild regl</w:t>
      </w:r>
      <w:r w:rsidRPr="0008481A">
        <w:t>e</w:t>
      </w:r>
      <w:r w:rsidRPr="0008481A">
        <w:t xml:space="preserve">ring i lag. </w:t>
      </w:r>
    </w:p>
    <w:p w:rsidR="003B3271" w:rsidRPr="0008481A" w:rsidRDefault="003B3271">
      <w:pPr>
        <w:pStyle w:val="Normaltindrag"/>
      </w:pPr>
      <w:r w:rsidRPr="0008481A">
        <w:t>En sådan lagreglering kan utformas på olika sätt. Den i lagtekniskt hän</w:t>
      </w:r>
      <w:r w:rsidRPr="0008481A">
        <w:softHyphen/>
        <w:t>seende enklaste lösningen är att man i polislagen tar in en bestämmelse som upplyser om att det i annan lag finns särskilda regler om skyldighet för polisen att biträda med handräckning och som i anslutning därtill föreskriver att polismyndigheten, när det är fråga om transport av en frihetsberövad person, får överlämna verkställi</w:t>
      </w:r>
      <w:r w:rsidRPr="0008481A">
        <w:t>g</w:t>
      </w:r>
      <w:r w:rsidRPr="0008481A">
        <w:t>heten av ett handräckningsbeslut till krim</w:t>
      </w:r>
      <w:r w:rsidRPr="0008481A">
        <w:t>i</w:t>
      </w:r>
      <w:r w:rsidRPr="0008481A">
        <w:t>nal</w:t>
      </w:r>
      <w:r w:rsidRPr="0008481A">
        <w:softHyphen/>
        <w:t>vården.</w:t>
      </w:r>
    </w:p>
    <w:p w:rsidR="003B3271" w:rsidRPr="0008481A" w:rsidRDefault="003B3271">
      <w:pPr>
        <w:pStyle w:val="Normaltindrag"/>
      </w:pPr>
      <w:r w:rsidRPr="0008481A">
        <w:t>En annan lagteknisk metod är att man i varje särskild handräcknings</w:t>
      </w:r>
      <w:r w:rsidRPr="0008481A">
        <w:softHyphen/>
        <w:t>bestämmelse tar in en föreskrift om rätt för polismyndigheten att överlämna verkställigheten till kriminalvården. Denna metod har den förtjänsten att riksdagen får möjlighet att på varje särskilt område ta ställning till om en sådan överlämnandemöjlighet skall finnas eller ej. Som nyss har nämnts var JO i beslutet 1988/99 s. 194 mycket kr</w:t>
      </w:r>
      <w:r w:rsidRPr="0008481A">
        <w:t>i</w:t>
      </w:r>
      <w:r w:rsidRPr="0008481A">
        <w:t>tisk mot en ordning som innebär att sjuka personer över huvud taget transporteras av kriminalvården, och JO Jan Pennlöv har intagit samma ståndpunkt i sitt r</w:t>
      </w:r>
      <w:r w:rsidRPr="0008481A">
        <w:t>e</w:t>
      </w:r>
      <w:r w:rsidRPr="0008481A">
        <w:t>missyttrande</w:t>
      </w:r>
      <w:r w:rsidRPr="0008481A">
        <w:t xml:space="preserve"> den 21 april 1992 över Riksrevisionsverkets rapport (Fu 1991:10) Kriminalvårdens transport</w:t>
      </w:r>
      <w:r w:rsidRPr="0008481A">
        <w:softHyphen/>
        <w:t>ver</w:t>
      </w:r>
      <w:r w:rsidRPr="0008481A">
        <w:t>k</w:t>
      </w:r>
      <w:r w:rsidRPr="0008481A">
        <w:t>samhet.</w:t>
      </w:r>
    </w:p>
    <w:p w:rsidR="003B3271" w:rsidRPr="0008481A" w:rsidRDefault="003B3271">
      <w:pPr>
        <w:pStyle w:val="Normaltindrag"/>
      </w:pPr>
      <w:r w:rsidRPr="0008481A">
        <w:t>Om man väljer en lösning av det senast nämnda slaget faller det sig naturligt att i fråga om varje särskilt regelkomplex också ta ställning till om det skall vara mö</w:t>
      </w:r>
      <w:r w:rsidRPr="0008481A">
        <w:t>j</w:t>
      </w:r>
      <w:r w:rsidRPr="0008481A">
        <w:t>ligt att under ett uppehåll i transporten ta den person som är föremål för handräc</w:t>
      </w:r>
      <w:r w:rsidRPr="0008481A">
        <w:t>k</w:t>
      </w:r>
      <w:r w:rsidRPr="0008481A">
        <w:t>ningen i förvar i polisarrest eller hos en kriminalvårds</w:t>
      </w:r>
      <w:r w:rsidRPr="0008481A">
        <w:softHyphen/>
        <w:t xml:space="preserve">myndighet (jfr prop. 1996/97:175 s. 34 f.). </w:t>
      </w:r>
    </w:p>
    <w:p w:rsidR="003B3271" w:rsidRPr="0008481A" w:rsidRDefault="003B3271">
      <w:pPr>
        <w:pStyle w:val="Normaltindrag"/>
      </w:pPr>
      <w:r w:rsidRPr="0008481A">
        <w:t>Jag avser av nu anförda skäl att hos regeringen med stöd av 4 § lagen (1986:765) med instruktion för Riksdagens ombudsmän väcka frågan om en lagändring av här angiven innebörd. Jag överlämnar vidare en kopia av detta beslut till justitieu</w:t>
      </w:r>
      <w:r w:rsidRPr="0008481A">
        <w:t>t</w:t>
      </w:r>
      <w:r w:rsidRPr="0008481A">
        <w:t xml:space="preserve">skottet. </w:t>
      </w:r>
    </w:p>
    <w:p w:rsidR="003B3271" w:rsidRPr="0008481A" w:rsidRDefault="003B3271">
      <w:pPr>
        <w:pStyle w:val="Normaltindrag"/>
      </w:pPr>
      <w:r w:rsidRPr="0008481A">
        <w:t>Jag har i ärendet samrått med JO Jan Pennlöv, som har tillsyn över kriminalvå</w:t>
      </w:r>
      <w:r w:rsidRPr="0008481A">
        <w:t>r</w:t>
      </w:r>
      <w:r w:rsidRPr="0008481A">
        <w:t>den.</w:t>
      </w:r>
    </w:p>
    <w:p w:rsidR="003B3271" w:rsidRPr="0008481A" w:rsidRDefault="003B3271">
      <w:pPr>
        <w:pStyle w:val="Rubrik2"/>
      </w:pPr>
      <w:r w:rsidRPr="0008481A">
        <w:t>Åklagares handläggning av en förundersökning om misshandel där målsäganden pekat ut en polisman som gärningsman</w:t>
      </w:r>
    </w:p>
    <w:p w:rsidR="003B3271" w:rsidRPr="0008481A" w:rsidRDefault="003B3271">
      <w:r w:rsidRPr="0008481A">
        <w:t>(Dnr 2198-1998)</w:t>
      </w:r>
    </w:p>
    <w:p w:rsidR="003B3271" w:rsidRPr="0008481A" w:rsidRDefault="003B3271">
      <w:pPr>
        <w:pStyle w:val="Rubrik3"/>
      </w:pPr>
      <w:r w:rsidRPr="0008481A">
        <w:t>Bakgrund</w:t>
      </w:r>
    </w:p>
    <w:p w:rsidR="003B3271" w:rsidRPr="0008481A" w:rsidRDefault="003B3271">
      <w:r w:rsidRPr="0008481A">
        <w:t>I samband med en inspektion vid Polismyndigheten i Stockholms län, enheten för interna utredningar, den 15–16 april 1998 framkom följande vid genomgången av myndighetens akt Ai – – –.</w:t>
      </w:r>
    </w:p>
    <w:p w:rsidR="003B3271" w:rsidRPr="0008481A" w:rsidRDefault="003B3271">
      <w:pPr>
        <w:pStyle w:val="Normaltindrag"/>
      </w:pPr>
      <w:r w:rsidRPr="0008481A">
        <w:t>Omar C. anmälde den 20 februari 1997 en polisman för misshandel – – –. Hände</w:t>
      </w:r>
      <w:r w:rsidRPr="0008481A">
        <w:t>l</w:t>
      </w:r>
      <w:r w:rsidRPr="0008481A">
        <w:t>sen skulle ha inträffat i samband med ett tillslag med anledning av misstanke om grovt narkotikabrott – – –.</w:t>
      </w:r>
    </w:p>
    <w:p w:rsidR="003B3271" w:rsidRPr="0008481A" w:rsidRDefault="003B3271">
      <w:pPr>
        <w:pStyle w:val="Normaltindrag"/>
      </w:pPr>
      <w:r w:rsidRPr="0008481A">
        <w:t>I anmälan om misshandel påstods bl.a. att en polisman hade tagit in Omar C. på toaletten, knuffat ner honom i badkaret och därefter ställt honom upp och fortsatt att slå honom på armarna och kroppen. Enligt Omar C. var polismannen civi</w:t>
      </w:r>
      <w:r w:rsidRPr="0008481A">
        <w:t>l</w:t>
      </w:r>
      <w:r w:rsidRPr="0008481A">
        <w:t>klädd och ca 180 cm lång. Omar C. uppgav sig kunna känna igen polismannen. Av utredningsmaterialet framgick vidare att Omar C. undersöktes av läkare och att skador konst</w:t>
      </w:r>
      <w:r w:rsidRPr="0008481A">
        <w:t>a</w:t>
      </w:r>
      <w:r w:rsidRPr="0008481A">
        <w:t>terades på hans näsa och ena armen.</w:t>
      </w:r>
    </w:p>
    <w:p w:rsidR="003B3271" w:rsidRPr="0008481A" w:rsidRDefault="003B3271">
      <w:pPr>
        <w:pStyle w:val="Normaltindrag"/>
      </w:pPr>
      <w:r w:rsidRPr="0008481A">
        <w:t xml:space="preserve">Biträdande chefsåklagaren Eva Finné begärde att målsäganden skulle höras innan hon tog ställning till om förundersökning skulle inledas. Omar C. förklarade vid förhör den 13 juni 1997 att han inte hade något att tillägga utöver vad han tidigare hade sagt i ärendet. </w:t>
      </w:r>
    </w:p>
    <w:p w:rsidR="003B3271" w:rsidRPr="0008481A" w:rsidRDefault="003B3271">
      <w:pPr>
        <w:pStyle w:val="Normaltindrag"/>
      </w:pPr>
      <w:r w:rsidRPr="0008481A">
        <w:t>Biträdande chefsåklagaren Kerstin Skarp beslutade den 14 juli 1997 att inleda fö</w:t>
      </w:r>
      <w:r w:rsidRPr="0008481A">
        <w:t>r</w:t>
      </w:r>
      <w:r w:rsidRPr="0008481A">
        <w:t>undersökning avseende misshandel. Hon gav i samband därmed direktiv om att de berörda polismännen skulle höras utan att delges miss</w:t>
      </w:r>
      <w:r w:rsidRPr="0008481A">
        <w:softHyphen/>
        <w:t>tanke. Två polismän hördes därefter upplysningsvis, varefter Kerstin Skarp lade ned förundersökningen med motiveringen att brott inte kunde styrkas.</w:t>
      </w:r>
    </w:p>
    <w:p w:rsidR="003B3271" w:rsidRPr="0008481A" w:rsidRDefault="003B3271">
      <w:r w:rsidRPr="0008481A">
        <w:rPr>
          <w:i/>
        </w:rPr>
        <w:t>ChefsJO Eklundh</w:t>
      </w:r>
      <w:r w:rsidRPr="0008481A">
        <w:t xml:space="preserve"> beslutade att ta upp åklagarens handläggning till ut</w:t>
      </w:r>
      <w:r w:rsidRPr="0008481A">
        <w:softHyphen/>
        <w:t>redning i ett särskilt ärende.</w:t>
      </w:r>
    </w:p>
    <w:p w:rsidR="003B3271" w:rsidRPr="0008481A" w:rsidRDefault="003B3271">
      <w:pPr>
        <w:pStyle w:val="Rubrik3"/>
      </w:pPr>
      <w:r w:rsidRPr="0008481A">
        <w:t>Utredning</w:t>
      </w:r>
    </w:p>
    <w:p w:rsidR="003B3271" w:rsidRPr="0008481A" w:rsidRDefault="003B3271">
      <w:r w:rsidRPr="0008481A">
        <w:t>Ärendet remitterades till Åklagarmyndigheten i Stockholm för upplysningar och yttrande om bakgrunden till beslutet i ärende – – –  att av målsäganden utpekad gärningsman skulle höras utan att delges misstanke om brott samt om detta är en v</w:t>
      </w:r>
      <w:r w:rsidRPr="0008481A">
        <w:t>e</w:t>
      </w:r>
      <w:r w:rsidRPr="0008481A">
        <w:t xml:space="preserve">dertagen rutin i denna typ av utredningar. </w:t>
      </w:r>
    </w:p>
    <w:p w:rsidR="003B3271" w:rsidRPr="0008481A" w:rsidRDefault="003B3271">
      <w:pPr>
        <w:pStyle w:val="Normaltindrag"/>
      </w:pPr>
      <w:r w:rsidRPr="0008481A">
        <w:t>Åklagarmyndigheten (överåklagaren Uno Hagelberg) kom in med ett yttrande till vilket hade fogats ett yttrande från biträdande chefsåklagaren Kerstin Skarp.</w:t>
      </w:r>
    </w:p>
    <w:p w:rsidR="003B3271" w:rsidRPr="0008481A" w:rsidRDefault="003B3271">
      <w:pPr>
        <w:pStyle w:val="Underskrifter"/>
      </w:pPr>
      <w:r w:rsidRPr="0008481A">
        <w:t>Kerstin Skarp</w:t>
      </w:r>
    </w:p>
    <w:p w:rsidR="003B3271" w:rsidRPr="0008481A" w:rsidRDefault="003B3271">
      <w:pPr>
        <w:pStyle w:val="Citat"/>
      </w:pPr>
      <w:r w:rsidRPr="0008481A">
        <w:t xml:space="preserve">Målet gäller en anmälan mot polismän i samband med ett ingripande. Jag beslutade den 14 juli 1997 att förundersökning skulle inledas avseende misshandel då det fanns anledning anta att brott som hör under allmänt åtal hade förövats. Av handlingarna i målet framgick att ett flertal polismän deltagit vid ingripandet. Jag ansåg i detta läge att ingen av polismännen kunde anses vara skäligen misstänkt och att ingen därmed skulle delges misstanke. Det var dock av betydelse att de hördes för bedömning av målets </w:t>
      </w:r>
      <w:r w:rsidRPr="0008481A">
        <w:t>fortsatta handläggning.</w:t>
      </w:r>
    </w:p>
    <w:p w:rsidR="003B3271" w:rsidRPr="0008481A" w:rsidRDefault="003B3271">
      <w:pPr>
        <w:pStyle w:val="Citatindrag"/>
      </w:pPr>
      <w:r w:rsidRPr="0008481A">
        <w:t>Jag är av den uppfattningen att om det vid sådana förhör framkommer uppgifter som stärker misstankesgraden så avbryts förhöret och den hörde delges misstanke samt bereds tillfälle att kalla på en offentlig försvarare.</w:t>
      </w:r>
    </w:p>
    <w:p w:rsidR="003B3271" w:rsidRPr="0008481A" w:rsidRDefault="003B3271">
      <w:pPr>
        <w:pStyle w:val="Underskrifter"/>
      </w:pPr>
      <w:r w:rsidRPr="0008481A">
        <w:t>Uno Hagelberg</w:t>
      </w:r>
    </w:p>
    <w:p w:rsidR="003B3271" w:rsidRPr="0008481A" w:rsidRDefault="003B3271">
      <w:pPr>
        <w:pStyle w:val="Citat"/>
      </w:pPr>
      <w:r w:rsidRPr="0008481A">
        <w:t>Kerstin Skarp gav direktiv om att de polismän som deltagit vid det aktuella ingripandet skulle h</w:t>
      </w:r>
      <w:r w:rsidRPr="0008481A">
        <w:t>ö</w:t>
      </w:r>
      <w:r w:rsidRPr="0008481A">
        <w:t>ras upplysningsvis. Som framgår av hennes yttrande var anledningen härtill att hon ansåg att det inte förelåg en skälig misstanke mot någon av dem, men att alla måste höras för att ge underlag för en bedömning av målets fortsatta handläggning. Hennes avsikt var att förhör i före</w:t>
      </w:r>
      <w:r w:rsidRPr="0008481A">
        <w:softHyphen/>
        <w:t>kommande fall skulle avbrytas och den hörde delges misstanke om brott om någonting framkommit som stärkte mis</w:t>
      </w:r>
      <w:r w:rsidRPr="0008481A">
        <w:t>s</w:t>
      </w:r>
      <w:r w:rsidRPr="0008481A">
        <w:t>tanken mot honom.</w:t>
      </w:r>
    </w:p>
    <w:p w:rsidR="003B3271" w:rsidRPr="0008481A" w:rsidRDefault="003B3271">
      <w:pPr>
        <w:pStyle w:val="Citatindrag"/>
      </w:pPr>
      <w:r w:rsidRPr="0008481A">
        <w:t>Vad först beträffar frågan om någon skälig misstanke förelåg vill jag anföra följande.</w:t>
      </w:r>
    </w:p>
    <w:p w:rsidR="003B3271" w:rsidRPr="0008481A" w:rsidRDefault="003B3271">
      <w:pPr>
        <w:pStyle w:val="Citatindrag"/>
      </w:pPr>
      <w:r w:rsidRPr="0008481A">
        <w:t>Bedömningen av när en brottsmisstanke nått sådan styrka att den som hörs enligt 23 kap. 18 § första stycket rättegångsbalken skall underrättas om att han är skäligen misstänkt för brottet prä</w:t>
      </w:r>
      <w:r w:rsidRPr="0008481A">
        <w:t>g</w:t>
      </w:r>
      <w:r w:rsidRPr="0008481A">
        <w:t>las av samma svårigheter att närmare precisera gränsdragningen som uppkommer när man i andra sammanhang söker ange vad som konstituerar en skälig misstanke. Rekvisitet bör inte tillämpas på ett tänjbart sätt när det tillämpas i olika beslutssituationer (jfr Ekelöf i SvJT 1982 s 654). Även om delgivningen av misstanke enligt 23:18 RB primärt syftar till att skydda den misstänktes intressen medför delgivningen också konsekvenser som är negativa för den misstänkte, som bl.a. blir regis</w:t>
      </w:r>
      <w:r w:rsidRPr="0008481A">
        <w:t>t</w:t>
      </w:r>
      <w:r w:rsidRPr="0008481A">
        <w:t>rerad som misstänkt för</w:t>
      </w:r>
      <w:r w:rsidRPr="0008481A">
        <w:t xml:space="preserve"> brottet.</w:t>
      </w:r>
    </w:p>
    <w:p w:rsidR="003B3271" w:rsidRPr="0008481A" w:rsidRDefault="003B3271">
      <w:pPr>
        <w:pStyle w:val="Citatindrag"/>
      </w:pPr>
      <w:r w:rsidRPr="0008481A">
        <w:t>JO har när frågan tidigare i tvångsmedelssammanhang varit föremål för bedömning konstaterat att det inte ansetts möjligt att i generella termer lägga fast vilken typ av omständigheter som skall anses grunda en skälig misstanke utan att detta måste avgöras från fall till fall (JO 1993/94 s 46). JO angav i det anmärkta fallet att en misstanke om viss brottslighet måste vara under</w:t>
      </w:r>
      <w:r w:rsidRPr="0008481A">
        <w:softHyphen/>
        <w:t>byggd av o</w:t>
      </w:r>
      <w:r w:rsidRPr="0008481A">
        <w:t>b</w:t>
      </w:r>
      <w:r w:rsidRPr="0008481A">
        <w:t>jektiva omständigheter av en inte alltför ringa styrka för att misstanken skall kunna anses uppfylla RB:s krav på skälig misstanke. Det har också i olika sammanhang framhållits att brottsmisstanken skall vara konkret grundad (se Fitger m.fl. Rättegångsbalken del 2, s 23:62 och där anmärkta äre</w:t>
      </w:r>
      <w:r w:rsidRPr="0008481A">
        <w:t>n</w:t>
      </w:r>
      <w:r w:rsidRPr="0008481A">
        <w:t>den).</w:t>
      </w:r>
    </w:p>
    <w:p w:rsidR="003B3271" w:rsidRPr="0008481A" w:rsidRDefault="003B3271">
      <w:pPr>
        <w:pStyle w:val="Citatindrag"/>
      </w:pPr>
      <w:r w:rsidRPr="0008481A">
        <w:t>Den i remissärendet aktuella förundersökningen avsåg misstanke om misshandel i samband med ett polisingripande. Misstanken grundades på uppgifter från målsäganden som lämnats i samband med anmälnings</w:t>
      </w:r>
      <w:r w:rsidRPr="0008481A">
        <w:softHyphen/>
        <w:t>upptagningen. Ett protokoll över rättsläkarundersökning av målsäganden gav ett enligt min mening relativt vagt stöd för dennes uppgifter. Målsäganden hade när man sökte höra honom närmare förklarat att han inte var villig att lämna några ytterligare uppgifter i förhör. I a</w:t>
      </w:r>
      <w:r w:rsidRPr="0008481A">
        <w:t>n</w:t>
      </w:r>
      <w:r w:rsidRPr="0008481A">
        <w:t>mälan fanns endast ett grovt signalement på den polisman som påstods ha slagit målsäganden. Av an</w:t>
      </w:r>
      <w:r w:rsidRPr="0008481A">
        <w:softHyphen/>
        <w:t>mälan framgick att flera polismän deltagit vid ingripandet, medan en av poliserna skulle vara den som varit inne i ett badrum med målsägand</w:t>
      </w:r>
      <w:r w:rsidRPr="0008481A">
        <w:t>en och där ha u</w:t>
      </w:r>
      <w:r w:rsidRPr="0008481A">
        <w:t>t</w:t>
      </w:r>
      <w:r w:rsidRPr="0008481A">
        <w:t>fört misshandeln.</w:t>
      </w:r>
    </w:p>
    <w:p w:rsidR="003B3271" w:rsidRPr="0008481A" w:rsidRDefault="003B3271">
      <w:pPr>
        <w:pStyle w:val="Citatindrag"/>
      </w:pPr>
      <w:r w:rsidRPr="0008481A">
        <w:t>Jag delar Kerstin Skarps bedömning beträffande förutsättningarna för förhören med de polismän som deltagit vid ingripandet såtillvida att jag i likhet med henne inte anser att de omständigheter som framkommit när hon gav utredningsdirektiven var tillräckligt konkretiserade och inriktade på någon bestämd person i den aktuella kretsen av polismän för att någon av dem skulle bedömas vara skäligen misstänkt för det anmälda brottet. Om en skälig misstanke mot någon hade up</w:t>
      </w:r>
      <w:r w:rsidRPr="0008481A">
        <w:t>p</w:t>
      </w:r>
      <w:r w:rsidRPr="0008481A">
        <w:t>kommit under ett förhör hade man därför som Kerstin Skarp avsett fått avbryta förhöret för att delge den hörde misstanken. Som jag ser det uppkom ett sådant läge när det under de förhör som hölls blev klart vilka två poliser som varit med i badrummet och dessa hördes om vad som hänt där.</w:t>
      </w:r>
    </w:p>
    <w:p w:rsidR="003B3271" w:rsidRPr="0008481A" w:rsidRDefault="003B3271">
      <w:pPr>
        <w:pStyle w:val="Citatindrag"/>
      </w:pPr>
      <w:r w:rsidRPr="0008481A">
        <w:t>Som framgår av vad jag här anfört har det enligt min mening inte vid Kerstin Skarps beslut varit fråga om förhör med en av målsäganden utpekad gärningsman.</w:t>
      </w:r>
    </w:p>
    <w:p w:rsidR="003B3271" w:rsidRPr="0008481A" w:rsidRDefault="003B3271">
      <w:pPr>
        <w:pStyle w:val="Citatindrag"/>
      </w:pPr>
      <w:r w:rsidRPr="0008481A">
        <w:t>Beträffande den i remissen ställda mera allmänna frågan om det är en vedertagen rutin i denna typ av utredningar att av målsäganden utpekad gärnings</w:t>
      </w:r>
      <w:r w:rsidRPr="0008481A">
        <w:softHyphen/>
        <w:t>man hörs utan att delges misstanke om brott vill jag tillägga följande.</w:t>
      </w:r>
    </w:p>
    <w:p w:rsidR="003B3271" w:rsidRPr="0008481A" w:rsidRDefault="003B3271">
      <w:pPr>
        <w:pStyle w:val="Citatindrag"/>
      </w:pPr>
      <w:r w:rsidRPr="0008481A">
        <w:t>Bestämmelsen i 23 kap. 18 § första stycket rättegångsbalken om att den som skäligen misstänks för ett brott skall underrättas om misstanken när han hörs skall givetvis tillämpas i alla typer av utredningar. Med reservation för att det i enskilda fall kan inträffa att den bedömning av bevisläget som skett inför ett förhör kan ifrågasättas har jag inte erfarit att man vid utredningar av nu akt</w:t>
      </w:r>
      <w:r w:rsidRPr="0008481A">
        <w:t>u</w:t>
      </w:r>
      <w:r w:rsidRPr="0008481A">
        <w:t>ellt slag skulle tillämpa a</w:t>
      </w:r>
      <w:r w:rsidRPr="0008481A">
        <w:t>n</w:t>
      </w:r>
      <w:r w:rsidRPr="0008481A">
        <w:t>nan ordning än den föreskrivna.</w:t>
      </w:r>
    </w:p>
    <w:p w:rsidR="003B3271" w:rsidRPr="0008481A" w:rsidRDefault="003B3271">
      <w:pPr>
        <w:pStyle w:val="Citatindrag"/>
      </w:pPr>
      <w:r w:rsidRPr="0008481A">
        <w:t>En fråga av principiell natur beträffande vilken det däremot finns delade meningar bland åklagare vid myndigheten rör formerna för genomförande av förhör med den som inte är skäligen misstänkt men väl misstänkt på en lägre nivå. Som framgår av det aktuella fallet har Kerstin Skarp ansett alternativet till att höra de berörda polismännen som skäligen misstänkta vara att höra dem upply</w:t>
      </w:r>
      <w:r w:rsidRPr="0008481A">
        <w:t>s</w:t>
      </w:r>
      <w:r w:rsidRPr="0008481A">
        <w:t>ningsvis. Samma principiella inställning torde vara relativt vanlig bland åklagare (jfr t.ex. JO:s samtidigt med det nu aktuella ärendet pågående ärende 2199-1998). Andra åklagare har uppfat</w:t>
      </w:r>
      <w:r w:rsidRPr="0008481A">
        <w:t>t</w:t>
      </w:r>
      <w:r w:rsidRPr="0008481A">
        <w:t>ningen att den som ”kan misstänkas” inte skall höras upplysningsvis utan som misstänkt, dock själv</w:t>
      </w:r>
      <w:r w:rsidRPr="0008481A">
        <w:softHyphen/>
        <w:t>fallet utan att delges någon misstanke enligt 23:18 RB.</w:t>
      </w:r>
    </w:p>
    <w:p w:rsidR="003B3271" w:rsidRPr="0008481A" w:rsidRDefault="003B3271">
      <w:pPr>
        <w:pStyle w:val="Citatindrag"/>
      </w:pPr>
      <w:r w:rsidRPr="0008481A">
        <w:t>Uppfattningen att förhör i situationer som de nyss angivna bör hållas upplysningsvis torde ha sin grund i stadgandet i 23:6 RB om att förhör får hållas med envar som</w:t>
      </w:r>
      <w:r w:rsidRPr="0008481A">
        <w:t xml:space="preserve"> antas kunna lämna upply</w:t>
      </w:r>
      <w:r w:rsidRPr="0008481A">
        <w:t>s</w:t>
      </w:r>
      <w:r w:rsidRPr="0008481A">
        <w:t>ning av betydelse för ut</w:t>
      </w:r>
      <w:r w:rsidRPr="0008481A">
        <w:softHyphen/>
        <w:t>redningen. Den som inte är målsägande och inte gärna, med hänsyn till att det föreligger en viss misstanke, kan höras som vittne och inte heller kan höras som misstänkt e</w:t>
      </w:r>
      <w:r w:rsidRPr="0008481A">
        <w:t>n</w:t>
      </w:r>
      <w:r w:rsidRPr="0008481A">
        <w:t>ligt 23:18 måste enligt detta synsätt höras upp</w:t>
      </w:r>
      <w:r w:rsidRPr="0008481A">
        <w:softHyphen/>
        <w:t>lysningsvis. Om misstankegraden under ett förhör höjs till nivån skälig misstanke skall denna självfallet delges den hörde.</w:t>
      </w:r>
    </w:p>
    <w:p w:rsidR="003B3271" w:rsidRPr="0008481A" w:rsidRDefault="003B3271">
      <w:pPr>
        <w:pStyle w:val="Citatindrag"/>
      </w:pPr>
      <w:r w:rsidRPr="0008481A">
        <w:t xml:space="preserve">Det andra synsättet grundar sig på att det i rättegångsbalken finns regler som förutsätter att en misstanke föreligger </w:t>
      </w:r>
      <w:r w:rsidRPr="0008481A">
        <w:t>mot någon samtidigt som det inte alltid är klart uttalat vilken misstankenivå som avses. Som exempel kan nämnas bestämmelsen i 21:3 om rätt för den misstänkte att vid talans för</w:t>
      </w:r>
      <w:r w:rsidRPr="0008481A">
        <w:softHyphen/>
        <w:t>beredande biträdas av försvarare. Fitger (a. a. s 21:10) anser att mycket talar för att en misstänkt även innan undersökningen hunnit så långt att en skälig misstanke riktats mot honom bör ha en möjlighet att låta sig biträdas av en försvarare. En sådan ordning förutsätter att den misstänkte r</w:t>
      </w:r>
      <w:r w:rsidRPr="0008481A">
        <w:t>e</w:t>
      </w:r>
      <w:r w:rsidRPr="0008481A">
        <w:t>dan på detta stadium hörs som misstänkt</w:t>
      </w:r>
      <w:r w:rsidRPr="0008481A">
        <w:t xml:space="preserve"> och inte upplysningsvis.</w:t>
      </w:r>
    </w:p>
    <w:p w:rsidR="003B3271" w:rsidRPr="0008481A" w:rsidRDefault="003B3271">
      <w:pPr>
        <w:pStyle w:val="Citatindrag"/>
      </w:pPr>
      <w:r w:rsidRPr="0008481A">
        <w:t>Även på andra sätt kan det te sig oegentligt att inte beteckna ett förhör som förhör med en mis</w:t>
      </w:r>
      <w:r w:rsidRPr="0008481A">
        <w:t>s</w:t>
      </w:r>
      <w:r w:rsidRPr="0008481A">
        <w:t>tänkt även när den som hörs är misstänkt endast med den lägsta misstankegrad som förekommer i RB. En tydlig inkonsekvens skulle uppstå exempelvis om ett förhör inte skulle betecknas som fö</w:t>
      </w:r>
      <w:r w:rsidRPr="0008481A">
        <w:t>r</w:t>
      </w:r>
      <w:r w:rsidRPr="0008481A">
        <w:t>hör med miss</w:t>
      </w:r>
      <w:r w:rsidRPr="0008481A">
        <w:softHyphen/>
        <w:t>tänkt i fall där ett förhör med den som kan misstänkas enligt 23:9 fortsätter över se</w:t>
      </w:r>
      <w:r w:rsidRPr="0008481A">
        <w:t>x</w:t>
      </w:r>
      <w:r w:rsidRPr="0008481A">
        <w:t>timmarsfristen. Med detta synsätt framstår det f.ö. som lika inkonse</w:t>
      </w:r>
      <w:r w:rsidRPr="0008481A">
        <w:softHyphen/>
        <w:t>kvent att ett förhör inte hålls på samma villkor även om en tillämpning av 23:9 aldrig aktualiseras. Avgörande för frågan måste ju vara om den som hörs ka</w:t>
      </w:r>
      <w:r w:rsidRPr="0008481A">
        <w:t>n misstänkas eller inte.</w:t>
      </w:r>
    </w:p>
    <w:p w:rsidR="003B3271" w:rsidRPr="0008481A" w:rsidRDefault="003B3271">
      <w:pPr>
        <w:pStyle w:val="Citatindrag"/>
      </w:pPr>
      <w:r w:rsidRPr="0008481A">
        <w:t>För egen del ansluter jag mig till den uppfattningen att ett förhör bör betecknas som förhör med misstänkt redan från det stadium då den hörde kan misstänkas. Praktiskt innebär detta att den som skall höras får klart för sig att han hörs i denna egenskap, medan grunden för misstanken inte torde behöva beskrivas mera i detalj än vad som krävs i alla förhör för att förhörspersonen skall veta varför förhöret behöver ske. I frågan om denna tolkning är riktig råder emellertid delade meni</w:t>
      </w:r>
      <w:r w:rsidRPr="0008481A">
        <w:t>ngar bland åklagare vid myndigheten. Ett klar</w:t>
      </w:r>
      <w:r w:rsidRPr="0008481A">
        <w:softHyphen/>
        <w:t>läggande uttalande från JO skulle därför vara önskvärt.</w:t>
      </w:r>
    </w:p>
    <w:p w:rsidR="003B3271" w:rsidRPr="0008481A" w:rsidRDefault="003B3271">
      <w:pPr>
        <w:rPr>
          <w:b/>
        </w:rPr>
      </w:pPr>
      <w:r w:rsidRPr="0008481A">
        <w:t xml:space="preserve">I ett beslut den 1 november 1999 anförde </w:t>
      </w:r>
      <w:r w:rsidRPr="0008481A">
        <w:rPr>
          <w:i/>
        </w:rPr>
        <w:t>chefsJO Eklundh</w:t>
      </w:r>
      <w:r w:rsidRPr="0008481A">
        <w:t xml:space="preserve"> följande.</w:t>
      </w:r>
    </w:p>
    <w:p w:rsidR="003B3271" w:rsidRPr="0008481A" w:rsidRDefault="003B3271">
      <w:pPr>
        <w:pStyle w:val="Rubrik3"/>
      </w:pPr>
      <w:r w:rsidRPr="0008481A">
        <w:t>Bedömning</w:t>
      </w:r>
    </w:p>
    <w:p w:rsidR="003B3271" w:rsidRPr="0008481A" w:rsidRDefault="003B3271">
      <w:r w:rsidRPr="0008481A">
        <w:t>Ärendet gäller handläggningen av en anmälan om misshandel där en polis</w:t>
      </w:r>
      <w:r w:rsidRPr="0008481A">
        <w:softHyphen/>
        <w:t>man u</w:t>
      </w:r>
      <w:r w:rsidRPr="0008481A">
        <w:t>t</w:t>
      </w:r>
      <w:r w:rsidRPr="0008481A">
        <w:t>pekats som gärningsman och som föranlett Kerstin Skarp att inleda förundersö</w:t>
      </w:r>
      <w:r w:rsidRPr="0008481A">
        <w:t>k</w:t>
      </w:r>
      <w:r w:rsidRPr="0008481A">
        <w:t>ning.</w:t>
      </w:r>
    </w:p>
    <w:p w:rsidR="003B3271" w:rsidRPr="0008481A" w:rsidRDefault="003B3271">
      <w:pPr>
        <w:pStyle w:val="Normaltindrag"/>
      </w:pPr>
      <w:r w:rsidRPr="0008481A">
        <w:t>Förundersökningens syfte är bl.a. att utröna vem som skäligen kan miss</w:t>
      </w:r>
      <w:r w:rsidRPr="0008481A">
        <w:softHyphen/>
        <w:t>tänkas för brottet och om tillräckliga skäl föreligger för åtal mot honom (23 kap. 2 § rätt</w:t>
      </w:r>
      <w:r w:rsidRPr="0008481A">
        <w:t>e</w:t>
      </w:r>
      <w:r w:rsidRPr="0008481A">
        <w:t>gångsbalken [RB]). Under en förundersökning skall inte bara omständigheter som talar emot den misstänkte, utan även sådana som är gynn</w:t>
      </w:r>
      <w:r w:rsidRPr="0008481A">
        <w:softHyphen/>
        <w:t>samma för honom bea</w:t>
      </w:r>
      <w:r w:rsidRPr="0008481A">
        <w:t>k</w:t>
      </w:r>
      <w:r w:rsidRPr="0008481A">
        <w:t>tas och bevis som är till hans förmån tillvaratas (23 kap. 4 § första stycket RB). Finns det inte längre anledning att fullfölja en förundersökning skall den läggas ned (23 kap. 4 § andra stycket RB).</w:t>
      </w:r>
    </w:p>
    <w:p w:rsidR="003B3271" w:rsidRPr="0008481A" w:rsidRDefault="003B3271">
      <w:pPr>
        <w:pStyle w:val="Normaltindrag"/>
      </w:pPr>
      <w:r w:rsidRPr="0008481A">
        <w:t>Av 1 § a förundersökningskungörelsen (1947:948) (FuK) framgår a</w:t>
      </w:r>
      <w:r w:rsidRPr="0008481A">
        <w:t>tt under</w:t>
      </w:r>
      <w:r w:rsidRPr="0008481A">
        <w:softHyphen/>
        <w:t>sö</w:t>
      </w:r>
      <w:r w:rsidRPr="0008481A">
        <w:t>k</w:t>
      </w:r>
      <w:r w:rsidRPr="0008481A">
        <w:t>ningsledaren har ansvar för förundersökningen i dess helhet. Han skall se till att utredningen bedrivs effektivt och att den enskildes rättssäker</w:t>
      </w:r>
      <w:r w:rsidRPr="0008481A">
        <w:softHyphen/>
        <w:t>hets</w:t>
      </w:r>
      <w:r w:rsidRPr="0008481A">
        <w:softHyphen/>
        <w:t>intressen tas till vara. Undersökningsledaren skall ge dem som biträder honom behövliga direktiv för a</w:t>
      </w:r>
      <w:r w:rsidRPr="0008481A">
        <w:t>r</w:t>
      </w:r>
      <w:r w:rsidRPr="0008481A">
        <w:t>betet.</w:t>
      </w:r>
    </w:p>
    <w:p w:rsidR="003B3271" w:rsidRPr="0008481A" w:rsidRDefault="003B3271">
      <w:pPr>
        <w:pStyle w:val="Normaltindrag"/>
      </w:pPr>
      <w:r w:rsidRPr="0008481A">
        <w:t>En aktiv förundersökningsledning är regelmässigt påkallad i utredningar där en viss handläggningsordning är föreskriven i syfte att säkerställa att ut</w:t>
      </w:r>
      <w:r w:rsidRPr="0008481A">
        <w:softHyphen/>
        <w:t>redningen leds av en befattningshavare med särskilda kvalifikationer. Som exempel kan nämnas utredningar om tryckfrihets- och yttrandefrihetsbrott samt utredningar om påstådda brott av domare, åklagare och polismän. I ärenden av nu aktuellt slag bör det därför alltid ankomma på förunder</w:t>
      </w:r>
      <w:r w:rsidRPr="0008481A">
        <w:softHyphen/>
        <w:t>söknings</w:t>
      </w:r>
      <w:r w:rsidRPr="0008481A">
        <w:softHyphen/>
        <w:t>ledaren att fatta beslut i frågan om någon skall delges misstanke om brott och att i förekommande fall ange hur den gärning som misstanken avser skall beskrivas. Rätt att besluta i sådana frågor bör således inte öv</w:t>
      </w:r>
      <w:r w:rsidRPr="0008481A">
        <w:t>erlåtas till en utredning</w:t>
      </w:r>
      <w:r w:rsidRPr="0008481A">
        <w:t>s</w:t>
      </w:r>
      <w:r w:rsidRPr="0008481A">
        <w:t>man.</w:t>
      </w:r>
    </w:p>
    <w:p w:rsidR="003B3271" w:rsidRPr="0008481A" w:rsidRDefault="003B3271">
      <w:pPr>
        <w:pStyle w:val="Normaltindrag"/>
      </w:pPr>
      <w:r w:rsidRPr="0008481A">
        <w:t>Av utredningen framgår att ett flertal polismän var på plats vid ingripandet mot Omar C. När denne senare i en polisanmälan gjorde gällande att han hade blivit misshandlad i samband med ingripandet uppgav han att miss</w:t>
      </w:r>
      <w:r w:rsidRPr="0008481A">
        <w:softHyphen/>
        <w:t>handeln hade fö</w:t>
      </w:r>
      <w:r w:rsidRPr="0008481A">
        <w:t>r</w:t>
      </w:r>
      <w:r w:rsidRPr="0008481A">
        <w:t>övats av en civilklädd polisman som var omkring 180 cm lång samt att denne h</w:t>
      </w:r>
      <w:r w:rsidRPr="0008481A">
        <w:t>a</w:t>
      </w:r>
      <w:r w:rsidRPr="0008481A">
        <w:t>de tagit ut honom i badru</w:t>
      </w:r>
      <w:r w:rsidRPr="0008481A">
        <w:t>m</w:t>
      </w:r>
      <w:r w:rsidRPr="0008481A">
        <w:t xml:space="preserve">met, där misshandeln sedan ägde rum. </w:t>
      </w:r>
    </w:p>
    <w:p w:rsidR="003B3271" w:rsidRPr="0008481A" w:rsidRDefault="003B3271">
      <w:pPr>
        <w:pStyle w:val="Normaltindrag"/>
      </w:pPr>
      <w:r w:rsidRPr="0008481A">
        <w:t>Utmärkande för en objektivt genomförd förundersökning är bl.a. att uppgifter om det inträffade i största möjliga utsträckning inhämtas från andra källor än en utp</w:t>
      </w:r>
      <w:r w:rsidRPr="0008481A">
        <w:t>e</w:t>
      </w:r>
      <w:r w:rsidRPr="0008481A">
        <w:t>kad gärningsman, innan förundersökningsledaren tar ställ</w:t>
      </w:r>
      <w:r w:rsidRPr="0008481A">
        <w:softHyphen/>
        <w:t>ning till exempelvis i vilka former ett förhör med denne skall genomföras. Det får rent allmänt anses vara mindre lämpligt att upplysningsvis höra den som pekats ut som gärningsman innan förhör har hållits med de övriga personer som skulle kunna lämna upply</w:t>
      </w:r>
      <w:r w:rsidRPr="0008481A">
        <w:t>s</w:t>
      </w:r>
      <w:r w:rsidRPr="0008481A">
        <w:t>ningar i s</w:t>
      </w:r>
      <w:r w:rsidRPr="0008481A">
        <w:t>a</w:t>
      </w:r>
      <w:r w:rsidRPr="0008481A">
        <w:t xml:space="preserve">ken. </w:t>
      </w:r>
    </w:p>
    <w:p w:rsidR="003B3271" w:rsidRPr="0008481A" w:rsidRDefault="003B3271">
      <w:r w:rsidRPr="0008481A">
        <w:t>En lämplig ordning i ett fall som det här aktuella är därför att förunder</w:t>
      </w:r>
      <w:r w:rsidRPr="0008481A">
        <w:softHyphen/>
        <w:t>sökningsl</w:t>
      </w:r>
      <w:r w:rsidRPr="0008481A">
        <w:t>e</w:t>
      </w:r>
      <w:r w:rsidRPr="0008481A">
        <w:t>daren först försöker bilda sig en uppfattning om vad som har skett på platsen g</w:t>
      </w:r>
      <w:r w:rsidRPr="0008481A">
        <w:t>e</w:t>
      </w:r>
      <w:r w:rsidRPr="0008481A">
        <w:t>nom att föranstalta om förhör med andra personer än den utpekade gärningsma</w:t>
      </w:r>
      <w:r w:rsidRPr="0008481A">
        <w:t>n</w:t>
      </w:r>
      <w:r w:rsidRPr="0008481A">
        <w:t>nen. Utredningsmannen bör fortlöpande rapportera till förundersökningsledaren vad som har kommit fram vid förhören, så att denne får möjlighet att allt eftersom utredningen fortgår ta ställning till hur för</w:t>
      </w:r>
      <w:r w:rsidRPr="0008481A">
        <w:softHyphen/>
        <w:t>under</w:t>
      </w:r>
      <w:r w:rsidRPr="0008481A">
        <w:softHyphen/>
        <w:t>sökningen fortsättningsvis skall bedrivas. Häri ingår bl.a. att fatta beslut om förhör med den utpekade gärning</w:t>
      </w:r>
      <w:r w:rsidRPr="0008481A">
        <w:t>s</w:t>
      </w:r>
      <w:r w:rsidRPr="0008481A">
        <w:t>mannen och om hur de</w:t>
      </w:r>
      <w:r w:rsidRPr="0008481A">
        <w:t>tta skall g</w:t>
      </w:r>
      <w:r w:rsidRPr="0008481A">
        <w:t>e</w:t>
      </w:r>
      <w:r w:rsidRPr="0008481A">
        <w:t xml:space="preserve">nomföras. </w:t>
      </w:r>
    </w:p>
    <w:p w:rsidR="003B3271" w:rsidRPr="0008481A" w:rsidRDefault="003B3271">
      <w:pPr>
        <w:pStyle w:val="Normaltindrag"/>
      </w:pPr>
      <w:r w:rsidRPr="0008481A">
        <w:t>Kerstin Skarp har utformat sina utredningsdirektiv så att hon de facto överlämnat åt utredningsmannen att avgöra i vilken ordning förhören skulle hållas. Under u</w:t>
      </w:r>
      <w:r w:rsidRPr="0008481A">
        <w:t>t</w:t>
      </w:r>
      <w:r w:rsidRPr="0008481A">
        <w:t>redningen har utredningsmannen sedan frågat en av polis</w:t>
      </w:r>
      <w:r w:rsidRPr="0008481A">
        <w:softHyphen/>
        <w:t>männen vem av de nä</w:t>
      </w:r>
      <w:r w:rsidRPr="0008481A">
        <w:t>r</w:t>
      </w:r>
      <w:r w:rsidRPr="0008481A">
        <w:t>varande polismännen som uppehöll sig i badrummet tillsammans med anmälaren, varefter han har hört den på detta sätt utpekade polismannen upplysningsvis. Dä</w:t>
      </w:r>
      <w:r w:rsidRPr="0008481A">
        <w:t>r</w:t>
      </w:r>
      <w:r w:rsidRPr="0008481A">
        <w:t>efter har ytterligare en polisman hörts upp</w:t>
      </w:r>
      <w:r w:rsidRPr="0008481A">
        <w:softHyphen/>
        <w:t>lysningsvis varefter ärendet redovisats till åklagaren för beslut eller nya direktiv. Enligt min mening står de utredningsd</w:t>
      </w:r>
      <w:r w:rsidRPr="0008481A">
        <w:t>i</w:t>
      </w:r>
      <w:r w:rsidRPr="0008481A">
        <w:t>rektiv som har föranlett en sådan handläggning inte i överensstämmelse med det krav på aktiv förunder</w:t>
      </w:r>
      <w:r w:rsidRPr="0008481A">
        <w:softHyphen/>
        <w:t>sökningsl</w:t>
      </w:r>
      <w:r w:rsidRPr="0008481A">
        <w:t>edning som enligt vad som har sagts i det föreg</w:t>
      </w:r>
      <w:r w:rsidRPr="0008481A">
        <w:t>å</w:t>
      </w:r>
      <w:r w:rsidRPr="0008481A">
        <w:t>ende måste ställas på u</w:t>
      </w:r>
      <w:r w:rsidRPr="0008481A">
        <w:t>t</w:t>
      </w:r>
      <w:r w:rsidRPr="0008481A">
        <w:t>redningar av det här aktuella slaget.</w:t>
      </w:r>
    </w:p>
    <w:p w:rsidR="003B3271" w:rsidRPr="0008481A" w:rsidRDefault="003B3271">
      <w:pPr>
        <w:pStyle w:val="Normaltindrag"/>
      </w:pPr>
      <w:r w:rsidRPr="0008481A">
        <w:t xml:space="preserve">Åklagarmyndigheten har i sitt remissvar anslutit sig till Kerstin Skarps bedömning att det i inledningsskedet inte fanns tillräckligt stöd för skälig misstanke om brottsligt förfarande från den utpekade polismannens sida. Kerstin Skarp har inte närmare utvecklat sin ståndpunkt i frågan. </w:t>
      </w:r>
    </w:p>
    <w:p w:rsidR="003B3271" w:rsidRPr="0008481A" w:rsidRDefault="003B3271">
      <w:pPr>
        <w:pStyle w:val="Normaltindrag"/>
      </w:pPr>
      <w:r w:rsidRPr="0008481A">
        <w:t>När det gäller begreppet skälig misstanke har jag i flera tidigare ärenden uttalat att det, för att en person skall anses vara skäligen misstänkt för ett brott, krävs att det föreligger konkreta omständigheter som med viss styrka talar för att personen i fråga har begått den gärning som misstanken avser (se t.ex. JO 1992/93 s. 204 och 1993/94 s. 101). Frågan om nivån skälig misstanke uppnåtts i ett visst fall är av den arten att den ger ett visst utrymme för olika, var för sig godtagbara bedö</w:t>
      </w:r>
      <w:r w:rsidRPr="0008481A">
        <w:t>m</w:t>
      </w:r>
      <w:r w:rsidRPr="0008481A">
        <w:t>ningar.</w:t>
      </w:r>
    </w:p>
    <w:p w:rsidR="003B3271" w:rsidRPr="0008481A" w:rsidRDefault="003B3271">
      <w:pPr>
        <w:pStyle w:val="Normaltindrag"/>
      </w:pPr>
      <w:r w:rsidRPr="0008481A">
        <w:t>Oavsett vilken bedömning man gör i frågan om skälig misstanke förelåg eller ej vid tidpunkten för förhöret med den utpekade polismannen, har förfarandet att på ett tidigt stadium av utredningen höra denne upplysnings</w:t>
      </w:r>
      <w:r w:rsidRPr="0008481A">
        <w:softHyphen/>
        <w:t>vis medfört en icke ob</w:t>
      </w:r>
      <w:r w:rsidRPr="0008481A">
        <w:t>e</w:t>
      </w:r>
      <w:r w:rsidRPr="0008481A">
        <w:t>tydlig risk för att han under förhöret, medvetet eller omedvetet, skulle komma att lämna för honom själv oförmånliga uppgifter, vilka sedermera kunde komma att användas mot honom vid en straffrättslig prövning, utan att han fått tillfälle att ta ställning till om han önskade biträde av en försvarare under förundersökningen. Det förhållandet att ett förhör avbryts efter det att sådana uppgifter lämnats fö</w:t>
      </w:r>
      <w:r w:rsidRPr="0008481A">
        <w:t>r</w:t>
      </w:r>
      <w:r w:rsidRPr="0008481A">
        <w:t>ändrar inte situationen. Risk har alltså förelegat att polismannens rättssäkerhe</w:t>
      </w:r>
      <w:r w:rsidRPr="0008481A">
        <w:t>tsi</w:t>
      </w:r>
      <w:r w:rsidRPr="0008481A">
        <w:t>n</w:t>
      </w:r>
      <w:r w:rsidRPr="0008481A">
        <w:t>tressen skulle trädas för när.</w:t>
      </w:r>
    </w:p>
    <w:p w:rsidR="003B3271" w:rsidRPr="0008481A" w:rsidRDefault="003B3271">
      <w:pPr>
        <w:pStyle w:val="Normaltindrag"/>
      </w:pPr>
      <w:r w:rsidRPr="0008481A">
        <w:t>Det är av grundläggande betydelse för tilliten till samhällets verksamhet för att utreda påstådda brott av polismän, och därmed ytterst för all</w:t>
      </w:r>
      <w:r w:rsidRPr="0008481A">
        <w:softHyphen/>
        <w:t>män</w:t>
      </w:r>
      <w:r w:rsidRPr="0008481A">
        <w:softHyphen/>
        <w:t>hetens förtroende för polisen, att denna utredningsverksamhet bedrivs på ett i alla hänseenden ko</w:t>
      </w:r>
      <w:r w:rsidRPr="0008481A">
        <w:t>r</w:t>
      </w:r>
      <w:r w:rsidRPr="0008481A">
        <w:t>rekt sätt. Den för all brottsutredande verksamhet gällande grundsatsen att han</w:t>
      </w:r>
      <w:r w:rsidRPr="0008481A">
        <w:t>d</w:t>
      </w:r>
      <w:r w:rsidRPr="0008481A">
        <w:t>läggningen måste ske i sådana former att den inte ger fog för ett ifrågasättande av de utr</w:t>
      </w:r>
      <w:r w:rsidRPr="0008481A">
        <w:t>e</w:t>
      </w:r>
      <w:r w:rsidRPr="0008481A">
        <w:t>dande myndigheternas objek</w:t>
      </w:r>
      <w:r w:rsidRPr="0008481A">
        <w:softHyphen/>
        <w:t>t</w:t>
      </w:r>
      <w:r w:rsidRPr="0008481A">
        <w:softHyphen/>
        <w:t>ivitet har här en alldeles särskild tyngd.</w:t>
      </w:r>
    </w:p>
    <w:p w:rsidR="003B3271" w:rsidRPr="0008481A" w:rsidRDefault="003B3271">
      <w:pPr>
        <w:pStyle w:val="Normaltindrag"/>
      </w:pPr>
      <w:r w:rsidRPr="0008481A">
        <w:t>Med anledning av vad Uno Hagelberg anfört beträffande förhör med någon som inte är skäligen misstänkt för brott vill jag framföra följande syn</w:t>
      </w:r>
      <w:r w:rsidRPr="0008481A">
        <w:softHyphen/>
        <w:t>punkter.</w:t>
      </w:r>
    </w:p>
    <w:p w:rsidR="003B3271" w:rsidRPr="0008481A" w:rsidRDefault="003B3271">
      <w:pPr>
        <w:pStyle w:val="Normaltindrag"/>
      </w:pPr>
      <w:r w:rsidRPr="0008481A">
        <w:t>Alla förhör under en förundersökning hålls med stöd av bestämmelsen i 23 kap. 6 § RB, oberoende av om förhörspersonen är misstänkt, målsägande, vittne eller annan. Innan ett förhör påbörjas har var och en rätt att få besked om anledningen till förhöret. JO Wigelius har uttalat att det självfallet inte bör få förekomma att någon utan närmare förklaring hörs om sina förehavanden vid en viss tidpunkt. Det räcker inte med att den hörde upplyses om t.ex. att det gäller ett kriminaläre</w:t>
      </w:r>
      <w:r w:rsidRPr="0008481A">
        <w:t>n</w:t>
      </w:r>
      <w:r w:rsidRPr="0008481A">
        <w:t>de (JO 1982/83 s. 56).</w:t>
      </w:r>
    </w:p>
    <w:p w:rsidR="003B3271" w:rsidRPr="0008481A" w:rsidRDefault="003B3271">
      <w:pPr>
        <w:pStyle w:val="Normaltindrag"/>
      </w:pPr>
      <w:r w:rsidRPr="0008481A">
        <w:t>Vad som nu har sagts gäller i fråga om alla förhör under en brotts</w:t>
      </w:r>
      <w:r w:rsidRPr="0008481A">
        <w:softHyphen/>
        <w:t>utredning. Vad som tillkommer, när misstanken mot en viss person har upp</w:t>
      </w:r>
      <w:r w:rsidRPr="0008481A">
        <w:softHyphen/>
        <w:t>nått sådan styrka att han är att anse som skäligen misstänkt för brottet, är att han enligt vad som för</w:t>
      </w:r>
      <w:r w:rsidRPr="0008481A">
        <w:t>e</w:t>
      </w:r>
      <w:r w:rsidRPr="0008481A">
        <w:t>skrivs i 23 kap. 18 § RB skall underrättas om misstanken när han hörs. Enligt 12 § FuK skall han i samband därmed under</w:t>
      </w:r>
      <w:r w:rsidRPr="0008481A">
        <w:softHyphen/>
        <w:t>rättas om sin rätt att anlita biträde av fö</w:t>
      </w:r>
      <w:r w:rsidRPr="0008481A">
        <w:t>r</w:t>
      </w:r>
      <w:r w:rsidRPr="0008481A">
        <w:t>svarare under förundersökningen samt att offentlig försvarare under vissa föru</w:t>
      </w:r>
      <w:r w:rsidRPr="0008481A">
        <w:t>t</w:t>
      </w:r>
      <w:r w:rsidRPr="0008481A">
        <w:t xml:space="preserve">sättningar kan förordnas. </w:t>
      </w:r>
    </w:p>
    <w:p w:rsidR="003B3271" w:rsidRPr="0008481A" w:rsidRDefault="003B3271">
      <w:pPr>
        <w:pStyle w:val="Normaltindrag"/>
      </w:pPr>
      <w:r w:rsidRPr="0008481A">
        <w:t>Hur man skall förfara vid förhör med någon annan än den som är s</w:t>
      </w:r>
      <w:r w:rsidRPr="0008481A">
        <w:t>käligen mis</w:t>
      </w:r>
      <w:r w:rsidRPr="0008481A">
        <w:t>s</w:t>
      </w:r>
      <w:r w:rsidRPr="0008481A">
        <w:t>tänkt för ett brott – exempelvis med någon i fråga om vilken det föreligger en lä</w:t>
      </w:r>
      <w:r w:rsidRPr="0008481A">
        <w:t>g</w:t>
      </w:r>
      <w:r w:rsidRPr="0008481A">
        <w:t>re grad av misstanke – är inte reglerat på annat sätt än genom de bestämmelser som gäller för förhör i allmänhet. Det förhållandet att vissa rättsverkningar kan komma att inträda beträffande den som kan misstänkas för ett brott, om missta</w:t>
      </w:r>
      <w:r w:rsidRPr="0008481A">
        <w:t>n</w:t>
      </w:r>
      <w:r w:rsidRPr="0008481A">
        <w:t>ken underbyggs ytterligare, saknar således i sig betydelse vad gäller formerna för förhör med en sådan person. En annan sak är att det i många fall kan vara lämpligt att förhörsle</w:t>
      </w:r>
      <w:r w:rsidRPr="0008481A">
        <w:t>daren i sam</w:t>
      </w:r>
      <w:r w:rsidRPr="0008481A">
        <w:softHyphen/>
        <w:t>band med att han informerar förhörspersonen om anle</w:t>
      </w:r>
      <w:r w:rsidRPr="0008481A">
        <w:t>d</w:t>
      </w:r>
      <w:r w:rsidRPr="0008481A">
        <w:t>ningen till förhöret också upplyser denne om att det i utredningsmaterialet finns uppgifter som är besvärande för honom men att nivån skälig misstanke inte har up</w:t>
      </w:r>
      <w:r w:rsidRPr="0008481A">
        <w:t>p</w:t>
      </w:r>
      <w:r w:rsidRPr="0008481A">
        <w:t>nåtts.</w:t>
      </w:r>
    </w:p>
    <w:p w:rsidR="003B3271" w:rsidRPr="0008481A" w:rsidRDefault="003B3271">
      <w:pPr>
        <w:pStyle w:val="Normaltindrag"/>
      </w:pPr>
      <w:r w:rsidRPr="0008481A">
        <w:t>Vad som i övrigt förekommit ger inte anledning till någon åtgärd eller något utt</w:t>
      </w:r>
      <w:r w:rsidRPr="0008481A">
        <w:t>a</w:t>
      </w:r>
      <w:r w:rsidRPr="0008481A">
        <w:t>la</w:t>
      </w:r>
      <w:r w:rsidRPr="0008481A">
        <w:t>n</w:t>
      </w:r>
      <w:r w:rsidRPr="0008481A">
        <w:t>de från min sida.</w:t>
      </w:r>
    </w:p>
    <w:p w:rsidR="003B3271" w:rsidRPr="0008481A" w:rsidRDefault="003B3271">
      <w:pPr>
        <w:pStyle w:val="Rubrik2"/>
      </w:pPr>
      <w:r w:rsidRPr="0008481A">
        <w:t>Uttalanden om principerna för fördelningen inom en åklagarmyndi</w:t>
      </w:r>
      <w:r w:rsidRPr="0008481A">
        <w:t>g</w:t>
      </w:r>
      <w:r w:rsidRPr="0008481A">
        <w:t>het av anmälningar mot p</w:t>
      </w:r>
      <w:r w:rsidRPr="0008481A">
        <w:t>o</w:t>
      </w:r>
      <w:r w:rsidRPr="0008481A">
        <w:t xml:space="preserve">lismän </w:t>
      </w:r>
    </w:p>
    <w:p w:rsidR="003B3271" w:rsidRPr="0008481A" w:rsidRDefault="003B3271">
      <w:r w:rsidRPr="0008481A">
        <w:t>(Dnr 2206-1998)</w:t>
      </w:r>
    </w:p>
    <w:p w:rsidR="003B3271" w:rsidRPr="0008481A" w:rsidRDefault="003B3271">
      <w:pPr>
        <w:pStyle w:val="Rubrik3"/>
      </w:pPr>
      <w:r w:rsidRPr="0008481A">
        <w:t>Bakgrund</w:t>
      </w:r>
    </w:p>
    <w:p w:rsidR="003B3271" w:rsidRPr="0008481A" w:rsidRDefault="003B3271">
      <w:r w:rsidRPr="0008481A">
        <w:t>I samband med en inspektion vid Polismyndigheten i Stockholms län, Enheten för interna utredningar, den 15–16 april 1998 framkom att man vid Åklagarmyndi</w:t>
      </w:r>
      <w:r w:rsidRPr="0008481A">
        <w:t>g</w:t>
      </w:r>
      <w:r w:rsidRPr="0008481A">
        <w:t>heten i Stockholm fr.o.m. den 1 juli 1997 fördelade ärenden, som avsåg fråga om ansvar för brott  som arbetstagare inom polis</w:t>
      </w:r>
      <w:r w:rsidRPr="0008481A">
        <w:softHyphen/>
        <w:t>väsendet kunde misstänkas ha begått i samband med arbetet, på sådant sätt att platsen där den anmälda hä</w:t>
      </w:r>
      <w:r w:rsidRPr="0008481A">
        <w:t>n</w:t>
      </w:r>
      <w:r w:rsidRPr="0008481A">
        <w:t>delsen inträffat blev avgörande för vilken åklagar</w:t>
      </w:r>
      <w:r w:rsidRPr="0008481A">
        <w:softHyphen/>
        <w:t>kammare som tilldelades ett ärende.</w:t>
      </w:r>
    </w:p>
    <w:p w:rsidR="003B3271" w:rsidRPr="0008481A" w:rsidRDefault="003B3271">
      <w:pPr>
        <w:pStyle w:val="Normaltindrag"/>
      </w:pPr>
      <w:r w:rsidRPr="0008481A">
        <w:rPr>
          <w:i/>
        </w:rPr>
        <w:t xml:space="preserve">ChefsJO Eklundh </w:t>
      </w:r>
      <w:r w:rsidRPr="0008481A">
        <w:t>beslutade att ta upp saken till utredning i ett särskilt ärende.</w:t>
      </w:r>
    </w:p>
    <w:p w:rsidR="003B3271" w:rsidRPr="0008481A" w:rsidRDefault="003B3271">
      <w:pPr>
        <w:pStyle w:val="Rubrik3"/>
      </w:pPr>
      <w:r w:rsidRPr="0008481A">
        <w:t>Utredning</w:t>
      </w:r>
    </w:p>
    <w:p w:rsidR="003B3271" w:rsidRPr="0008481A" w:rsidRDefault="003B3271">
      <w:r w:rsidRPr="0008481A">
        <w:t>Ärendet remitterades till Åklagarmyndigheten i Stockholm för yttrande över lämpligheten av den tillämpade ordningen att platsen där den anmälda händelsen inträffade är avgörande för fördelningen av ärenden på åklagar</w:t>
      </w:r>
      <w:r w:rsidRPr="0008481A">
        <w:softHyphen/>
        <w:t>kammare, och det begärdes vidare en redovisning av hur jävsfrågor hantera</w:t>
      </w:r>
      <w:r w:rsidRPr="0008481A">
        <w:softHyphen/>
        <w:t>des. Myndigheten skulle slutligen redovisa sin bedömning av om åtgärder var påkallade i syfte att undvika att utredningar försenades eller fö</w:t>
      </w:r>
      <w:r w:rsidRPr="0008481A">
        <w:t>r</w:t>
      </w:r>
      <w:r w:rsidRPr="0008481A">
        <w:t xml:space="preserve">svårades på grund av jäv. </w:t>
      </w:r>
    </w:p>
    <w:p w:rsidR="003B3271" w:rsidRPr="0008481A" w:rsidRDefault="003B3271">
      <w:pPr>
        <w:pStyle w:val="Normaltindrag"/>
      </w:pPr>
      <w:r w:rsidRPr="0008481A">
        <w:t>Åklagarmyndigheten (överåklagaren Uno Hagelberg) kom in med ett yttrande.</w:t>
      </w:r>
    </w:p>
    <w:p w:rsidR="003B3271" w:rsidRPr="0008481A" w:rsidRDefault="003B3271">
      <w:pPr>
        <w:pStyle w:val="Underskrifter"/>
      </w:pPr>
      <w:r w:rsidRPr="0008481A">
        <w:t>Uno Hagelberg</w:t>
      </w:r>
    </w:p>
    <w:p w:rsidR="003B3271" w:rsidRPr="0008481A" w:rsidRDefault="003B3271">
      <w:pPr>
        <w:pStyle w:val="Citat"/>
      </w:pPr>
      <w:r w:rsidRPr="0008481A">
        <w:t>Innan jag går in på jävsfrågan vill jag som bakgrund anföra följande beträffande arbetsfördelnin</w:t>
      </w:r>
      <w:r w:rsidRPr="0008481A">
        <w:t>g</w:t>
      </w:r>
      <w:r w:rsidRPr="0008481A">
        <w:t>en vid åklagarmyndigheten.</w:t>
      </w:r>
    </w:p>
    <w:p w:rsidR="003B3271" w:rsidRPr="0008481A" w:rsidRDefault="003B3271">
      <w:pPr>
        <w:pStyle w:val="Citatindrag"/>
      </w:pPr>
      <w:r w:rsidRPr="0008481A">
        <w:t>Som framgår av remissen tillämpas vid åklagarmyndigheten normalt den ordningen att anmälnin</w:t>
      </w:r>
      <w:r w:rsidRPr="0008481A">
        <w:t>g</w:t>
      </w:r>
      <w:r w:rsidRPr="0008481A">
        <w:t>ar som rör fråga om ansvar för brott som arbets</w:t>
      </w:r>
      <w:r w:rsidRPr="0008481A">
        <w:softHyphen/>
        <w:t>tagare inom polisväsendet misstänks ha begått i samband med arbetet (polismål) fördelas mellan åklagarkamrarna efter geografiska grunder, så att platsen där den anmälda händelsen inträffat normalt är avgörande för vilken kammare som tilldelas målet.</w:t>
      </w:r>
    </w:p>
    <w:p w:rsidR="003B3271" w:rsidRPr="0008481A" w:rsidRDefault="003B3271">
      <w:pPr>
        <w:pStyle w:val="Citatindrag"/>
      </w:pPr>
      <w:r w:rsidRPr="0008481A">
        <w:t>Före åklagarväsendets omorganisation den 1 juli 1996 fördelades polismål vid dåvarande åklaga</w:t>
      </w:r>
      <w:r w:rsidRPr="0008481A">
        <w:t>r</w:t>
      </w:r>
      <w:r w:rsidRPr="0008481A">
        <w:t>myndigheten i Stockholm kvotvis mellan kamrarna. Inom länet i övrigt, och Gotlands län, handl</w:t>
      </w:r>
      <w:r w:rsidRPr="0008481A">
        <w:t>a</w:t>
      </w:r>
      <w:r w:rsidRPr="0008481A">
        <w:t>des alla polismål till följd av åklagarförordningens behörighetsregler vid Regionåklagarmyndi</w:t>
      </w:r>
      <w:r w:rsidRPr="0008481A">
        <w:t>g</w:t>
      </w:r>
      <w:r w:rsidRPr="0008481A">
        <w:t>heten i Stockholms län och Gotlands län.</w:t>
      </w:r>
    </w:p>
    <w:p w:rsidR="003B3271" w:rsidRPr="0008481A" w:rsidRDefault="003B3271">
      <w:pPr>
        <w:pStyle w:val="Citatindrag"/>
      </w:pPr>
      <w:r w:rsidRPr="0008481A">
        <w:t>Genom omorganisationen 1996 anpassades kammarorganisationen vid myndigheten efter poli</w:t>
      </w:r>
      <w:r w:rsidRPr="0008481A">
        <w:t>s</w:t>
      </w:r>
      <w:r w:rsidRPr="0008481A">
        <w:t>myndighetens organisation så att kamrarna fick sin operativa verksamhet förlagd till geografiska området, bestämda av resp. samverkande polismästardistrikts utformning. Undantaget var narkot</w:t>
      </w:r>
      <w:r w:rsidRPr="0008481A">
        <w:t>i</w:t>
      </w:r>
      <w:r w:rsidRPr="0008481A">
        <w:t>ka</w:t>
      </w:r>
      <w:r w:rsidRPr="0008481A">
        <w:softHyphen/>
        <w:t>kammaren (åk 9) som har hela Stockholms län och Gotlands län som verksamhetsområde och en måltilldelning som i huvudsak styrs av brotts</w:t>
      </w:r>
      <w:r w:rsidRPr="0008481A">
        <w:softHyphen/>
        <w:t>kategorierna.</w:t>
      </w:r>
    </w:p>
    <w:p w:rsidR="003B3271" w:rsidRPr="0008481A" w:rsidRDefault="003B3271">
      <w:pPr>
        <w:pStyle w:val="Citatindrag"/>
      </w:pPr>
      <w:r w:rsidRPr="0008481A">
        <w:t>Alla polismål handlades efter omorganisationen till en början vid åk 9. Detta var främst en ko</w:t>
      </w:r>
      <w:r w:rsidRPr="0008481A">
        <w:t>n</w:t>
      </w:r>
      <w:r w:rsidRPr="0008481A">
        <w:t>sekvens av att där fanns ett antal statsåklagare som hade behörighet att handlägga målen, samtidigt som chefsåklagarna vid myndigheten var mycket belastade av administrativa göromål som särskilt i inledningsskedet följde på organisationsförändringarna. Biträdande chefs</w:t>
      </w:r>
      <w:r w:rsidRPr="0008481A">
        <w:softHyphen/>
        <w:t>åklagare blev förordn</w:t>
      </w:r>
      <w:r w:rsidRPr="0008481A">
        <w:t>a</w:t>
      </w:r>
      <w:r w:rsidRPr="0008481A">
        <w:t>de först i november 1996 och tillträdde i en del fall först senare.</w:t>
      </w:r>
    </w:p>
    <w:p w:rsidR="003B3271" w:rsidRPr="0008481A" w:rsidRDefault="003B3271">
      <w:pPr>
        <w:pStyle w:val="Citatindrag"/>
      </w:pPr>
      <w:r w:rsidRPr="0008481A">
        <w:t>Den 1 juli 1997 ändrades lottningsordningen för polismål, vilka därefter fördelades på geografiska grunder. Belastningen på den begränsade krets åklaga</w:t>
      </w:r>
      <w:r w:rsidRPr="0008481A">
        <w:t>re vid åk 9 som hade behörighet att handlä</w:t>
      </w:r>
      <w:r w:rsidRPr="0008481A">
        <w:t>g</w:t>
      </w:r>
      <w:r w:rsidRPr="0008481A">
        <w:t>ga målen hade blivit stor och man behövde utnyttja åklagarna på chefsnivå vid övriga kammare med sådan behörighet. Vidare kunde man bättre använda den resurs som utgjordes av de chef</w:t>
      </w:r>
      <w:r w:rsidRPr="0008481A">
        <w:t>s</w:t>
      </w:r>
      <w:r w:rsidRPr="0008481A">
        <w:t>åklagare och bitr. kammarchefer från den förutvarande Stockholms</w:t>
      </w:r>
      <w:r w:rsidRPr="0008481A">
        <w:softHyphen/>
        <w:t>myndigheten som övergångsvis hade kvar erforderlig behörighet. Det sågs också som en nackdel att man på de allmänna kamrarna genom att inte få några polismål för handläggning på sikt skulle förlora kontakten med de fråg</w:t>
      </w:r>
      <w:r w:rsidRPr="0008481A">
        <w:t>e</w:t>
      </w:r>
      <w:r w:rsidRPr="0008481A">
        <w:t>s</w:t>
      </w:r>
      <w:r w:rsidRPr="0008481A">
        <w:t>tällningar som uppkommer i dessa.</w:t>
      </w:r>
    </w:p>
    <w:p w:rsidR="003B3271" w:rsidRPr="0008481A" w:rsidRDefault="003B3271">
      <w:pPr>
        <w:pStyle w:val="Citatindrag"/>
      </w:pPr>
      <w:r w:rsidRPr="0008481A">
        <w:t>Den ordning som infördes den 1 juli 1997 tillämpas som nämnts in</w:t>
      </w:r>
      <w:r w:rsidRPr="0008481A">
        <w:softHyphen/>
        <w:t>lednings</w:t>
      </w:r>
      <w:r w:rsidRPr="0008481A">
        <w:softHyphen/>
        <w:t>vis i huvudsak all</w:t>
      </w:r>
      <w:r w:rsidRPr="0008481A">
        <w:t>t</w:t>
      </w:r>
      <w:r w:rsidRPr="0008481A">
        <w:t>jämt.</w:t>
      </w:r>
    </w:p>
    <w:p w:rsidR="003B3271" w:rsidRPr="0008481A" w:rsidRDefault="003B3271">
      <w:pPr>
        <w:pStyle w:val="Citatindrag"/>
      </w:pPr>
      <w:r w:rsidRPr="0008481A">
        <w:t>Vad härefter gäller frågan om eventuella jävsproblem vill jag framhålla följande. Jävsfrågan har vid två tillfällen varit föremål för diskussion och över</w:t>
      </w:r>
      <w:r w:rsidRPr="0008481A">
        <w:softHyphen/>
        <w:t>väganden i ledningsgruppen. Olika alternativ till den nuvarande lott</w:t>
      </w:r>
      <w:r w:rsidRPr="0008481A">
        <w:softHyphen/>
        <w:t>nings</w:t>
      </w:r>
      <w:r w:rsidRPr="0008481A">
        <w:softHyphen/>
        <w:t>ordningen har därvid diskuterats. Bl.a. har övervägts lämpligheten av att mera bestående åter förlägga handläggningen av polismål till åk 9, eller att införa någon form av kvotvis fördelning mellan kamrarna, med ute</w:t>
      </w:r>
      <w:r w:rsidRPr="0008481A">
        <w:softHyphen/>
        <w:t>slutande av den kammare som samverkar med det polismästardistrikt där händelsen inträffat.</w:t>
      </w:r>
    </w:p>
    <w:p w:rsidR="003B3271" w:rsidRPr="0008481A" w:rsidRDefault="003B3271">
      <w:pPr>
        <w:pStyle w:val="Citatindrag"/>
      </w:pPr>
      <w:r w:rsidRPr="0008481A">
        <w:t xml:space="preserve">Ingen generell förändring av reglerna för lottning av polismål har dock bedömts böra ske. Motivet för detta ställningstagande är </w:t>
      </w:r>
      <w:r w:rsidRPr="0008481A">
        <w:t>att inga jävsproblem har ansetts föreligga annat än i enskilda fall, i vilka åtgärder givetvis måste vidtas för att undanröja jävssituationen. Sådana fall är emellertid inte vanliga.</w:t>
      </w:r>
    </w:p>
    <w:p w:rsidR="003B3271" w:rsidRPr="0008481A" w:rsidRDefault="003B3271">
      <w:pPr>
        <w:pStyle w:val="Citatindrag"/>
      </w:pPr>
      <w:r w:rsidRPr="0008481A">
        <w:t>För att underlätta hanteringen av de fall där jäv vid en kammare bedöms föreligga har den or</w:t>
      </w:r>
      <w:r w:rsidRPr="0008481A">
        <w:t>d</w:t>
      </w:r>
      <w:r w:rsidRPr="0008481A">
        <w:t>ningen införts att ärenden i sådana fall överförs till åk 9 för fortsatt handläggning. Ett generellt åtagande har gjorts från åk 9 att när det begärs handlägga polismål från övriga kammare.</w:t>
      </w:r>
    </w:p>
    <w:p w:rsidR="003B3271" w:rsidRPr="0008481A" w:rsidRDefault="003B3271">
      <w:pPr>
        <w:pStyle w:val="Citatindrag"/>
      </w:pPr>
      <w:r w:rsidRPr="0008481A">
        <w:t>Vid de diskussioner som skett har olika synpunkter på frågan om önskvärdheten av en ändrad lottningsregel framförts. Några kammarchefer har varit positiva till en förändring, medan flertalet kammarchefer har för</w:t>
      </w:r>
      <w:r w:rsidRPr="0008481A">
        <w:softHyphen/>
        <w:t>klarat att man inte ser några skäl för att polismål från de ”egna” polis</w:t>
      </w:r>
      <w:r w:rsidRPr="0008481A">
        <w:softHyphen/>
        <w:t>omr</w:t>
      </w:r>
      <w:r w:rsidRPr="0008481A">
        <w:t>å</w:t>
      </w:r>
      <w:r w:rsidRPr="0008481A">
        <w:t>dena inte normalt skall kunna tilldelas kammaren. Polisområdena anses nu vara så stora och den personal som tjänstgör där så stor och till största delen ”anonym” för de åklagare som handlägger polismålen att det är sällan som man kommer i närheten av någon jävssituation. I de fall där det inträffar ses det inte som något problem att som i andra liknande fall överlämna handläggningen till annan åklagare, nu normalt vid åk 9.</w:t>
      </w:r>
    </w:p>
    <w:p w:rsidR="003B3271" w:rsidRPr="0008481A" w:rsidRDefault="003B3271">
      <w:pPr>
        <w:pStyle w:val="Citatindrag"/>
      </w:pPr>
      <w:r w:rsidRPr="0008481A">
        <w:t>Om man</w:t>
      </w:r>
      <w:r w:rsidRPr="0008481A">
        <w:t xml:space="preserve"> hade kommit fram till uppfattningen att jäv är vanligt före</w:t>
      </w:r>
      <w:r w:rsidRPr="0008481A">
        <w:softHyphen/>
        <w:t>kommande eller att man mera generellt tangerar någon sådan problematik med den nuvarande arbetsfördelningen skulle denna självfallet ha ändrats. Till bilden hör emellertid att olika alternativ till den nu tillämpade lottning</w:t>
      </w:r>
      <w:r w:rsidRPr="0008481A">
        <w:t>s</w:t>
      </w:r>
      <w:r w:rsidRPr="0008481A">
        <w:softHyphen/>
        <w:t>ordningen är förknippade med nackdelar av olika slag. En förändrad arbets</w:t>
      </w:r>
      <w:r w:rsidRPr="0008481A">
        <w:softHyphen/>
        <w:t>fördelning som inte är påkallad av något reellt behov av att lösa en jävs</w:t>
      </w:r>
      <w:r w:rsidRPr="0008481A">
        <w:softHyphen/>
        <w:t>problematik har därför inte bedömts böra ske. För att belysa frågan kan beträ</w:t>
      </w:r>
      <w:r w:rsidRPr="0008481A">
        <w:t>ffande olika tänkbara alternativ till den rådande ordningen nämnas fö</w:t>
      </w:r>
      <w:r w:rsidRPr="0008481A">
        <w:t>l</w:t>
      </w:r>
      <w:r w:rsidRPr="0008481A">
        <w:t>jande.</w:t>
      </w:r>
    </w:p>
    <w:p w:rsidR="003B3271" w:rsidRPr="0008481A" w:rsidRDefault="003B3271">
      <w:pPr>
        <w:pStyle w:val="Citatindrag"/>
      </w:pPr>
      <w:r w:rsidRPr="0008481A">
        <w:t>Mot en handläggning vid åk 9 talar den betydande arbetsbelastning som det skulle innebära för en begränsad krets åklagare vid kammaren. På sikt kommer endast kammarchefen och den bitr. chefsåklagaren att ha behörig</w:t>
      </w:r>
      <w:r w:rsidRPr="0008481A">
        <w:softHyphen/>
        <w:t>het. Det stora antalet polismål gör en sådan lösning ohanterlig (det rör sig om klart över 1.000 mål per år).</w:t>
      </w:r>
    </w:p>
    <w:p w:rsidR="003B3271" w:rsidRPr="0008481A" w:rsidRDefault="003B3271">
      <w:pPr>
        <w:pStyle w:val="Citatindrag"/>
      </w:pPr>
      <w:r w:rsidRPr="0008481A">
        <w:t>Ett enkelt bytessystem mellan kamrarna där varje kammare handlägger polismålen från en viss annan kammares geografiska område skulle vara administrativt enkelt men försvåras resursförde</w:t>
      </w:r>
      <w:r w:rsidRPr="0008481A">
        <w:t>l</w:t>
      </w:r>
      <w:r w:rsidRPr="0008481A">
        <w:t>ningsmässigt på grund av den stora olikheten i tillströmningen av polismål från olika polis</w:t>
      </w:r>
      <w:r w:rsidRPr="0008481A">
        <w:softHyphen/>
        <w:t>mästa</w:t>
      </w:r>
      <w:r w:rsidRPr="0008481A">
        <w:t>r</w:t>
      </w:r>
      <w:r w:rsidRPr="0008481A">
        <w:softHyphen/>
        <w:t>distrikt.</w:t>
      </w:r>
    </w:p>
    <w:p w:rsidR="003B3271" w:rsidRPr="0008481A" w:rsidRDefault="003B3271">
      <w:pPr>
        <w:pStyle w:val="Citatindrag"/>
      </w:pPr>
      <w:r w:rsidRPr="0008481A">
        <w:t>En ren kvotfördelning har nackdelen att en central lottningsfunktion, som efter omorganisationen kunnat undvaras, på nytt måste införas med den belastning på de redan hårt ansträngda kanslir</w:t>
      </w:r>
      <w:r w:rsidRPr="0008481A">
        <w:t>e</w:t>
      </w:r>
      <w:r w:rsidRPr="0008481A">
        <w:t>surserna som detta skulle innebära.</w:t>
      </w:r>
    </w:p>
    <w:p w:rsidR="003B3271" w:rsidRPr="0008481A" w:rsidRDefault="003B3271">
      <w:pPr>
        <w:pStyle w:val="Citatindrag"/>
      </w:pPr>
      <w:r w:rsidRPr="0008481A">
        <w:t>Ett problem som ligger något vid sidan om den aktuella frågeställningen men som ändå påverkar den och försvårar en mera flexibel arbetsfördelning vad gäller polismålen och belastar ledning</w:t>
      </w:r>
      <w:r w:rsidRPr="0008481A">
        <w:t>s</w:t>
      </w:r>
      <w:r w:rsidRPr="0008481A">
        <w:t>funktionerna vid kamrarna är behörighetsreglerna i 17 § första stycket åklagarförordningen (1996:205). Efter omorganisationen underlättades arbetet tack vare att ett antal chefs</w:t>
      </w:r>
      <w:r w:rsidRPr="0008481A">
        <w:softHyphen/>
        <w:t>åklagare och bitr. kammarchefer från den gamla Stockholmsmyndigheten hade kvar sin tidigare behörighet. Det rör sig emellertid om en grupp som snabbt blivit mindre på grund av pensionsavgångar. Enligt min mening borde det införas en möjlighet – för överåklagare eller Riksåklagaren – att förordna kval</w:t>
      </w:r>
      <w:r w:rsidRPr="0008481A">
        <w:t>i</w:t>
      </w:r>
      <w:r w:rsidRPr="0008481A">
        <w:t>ficerade åklagare utanför chefs</w:t>
      </w:r>
      <w:r w:rsidRPr="0008481A">
        <w:t>kretsen att handlägga polismål.</w:t>
      </w:r>
    </w:p>
    <w:p w:rsidR="003B3271" w:rsidRPr="0008481A" w:rsidRDefault="003B3271">
      <w:pPr>
        <w:pStyle w:val="Citatindrag"/>
      </w:pPr>
      <w:r w:rsidRPr="0008481A">
        <w:t>Sammanfattningsvis vill jag framhålla följande.</w:t>
      </w:r>
    </w:p>
    <w:p w:rsidR="003B3271" w:rsidRPr="0008481A" w:rsidRDefault="003B3271">
      <w:pPr>
        <w:pStyle w:val="Citatindrag"/>
      </w:pPr>
      <w:r w:rsidRPr="0008481A">
        <w:t>Den tillämpade arbetsfördelningen bedöms vid myndigheten inte medföra några problem från jävssynpunkt som inte när de undantagsvis uppkommer lätt kan hanteras på samma sätt som när jäv eljest uppkommer. Om en an</w:t>
      </w:r>
      <w:r w:rsidRPr="0008481A">
        <w:softHyphen/>
        <w:t>mälan rör en befattningshavare som kammaren haft närmare ko</w:t>
      </w:r>
      <w:r w:rsidRPr="0008481A">
        <w:t>n</w:t>
      </w:r>
      <w:r w:rsidRPr="0008481A">
        <w:t>takt med eller där man av någon anledning bedömer att man kommer för nära en jävssituation sker ett kammarbyte. Om det skulle anses påkallat att någon mera generell förändring av ordningen för fördelning av polismål vid myndigheten genomförs kan naturligtvis, som framgår av det jag anfört i det föregående, en annan ordning införas, trots att en sådan skulle vara förenad med vissa pra</w:t>
      </w:r>
      <w:r w:rsidRPr="0008481A">
        <w:t>k</w:t>
      </w:r>
      <w:r w:rsidRPr="0008481A">
        <w:t>tiska och resursmässiga nackdelar. Jag bedömer inte att skäl för</w:t>
      </w:r>
      <w:r w:rsidRPr="0008481A">
        <w:t>eligger för en förändring.</w:t>
      </w:r>
    </w:p>
    <w:p w:rsidR="003B3271" w:rsidRPr="0008481A" w:rsidRDefault="003B3271">
      <w:r w:rsidRPr="0008481A">
        <w:t>I ett beslut den 28 oktober 1999 anförde</w:t>
      </w:r>
      <w:r w:rsidRPr="0008481A">
        <w:rPr>
          <w:i/>
        </w:rPr>
        <w:t xml:space="preserve"> chefsJO Eklundh</w:t>
      </w:r>
      <w:r w:rsidRPr="0008481A">
        <w:t xml:space="preserve"> följande.</w:t>
      </w:r>
    </w:p>
    <w:p w:rsidR="003B3271" w:rsidRPr="0008481A" w:rsidRDefault="003B3271">
      <w:pPr>
        <w:pStyle w:val="Rubrik3"/>
      </w:pPr>
      <w:r w:rsidRPr="0008481A">
        <w:t>Bedömning</w:t>
      </w:r>
    </w:p>
    <w:p w:rsidR="003B3271" w:rsidRPr="0008481A" w:rsidRDefault="003B3271">
      <w:r w:rsidRPr="0008481A">
        <w:t>Det är en grundläggande princip i en rättsstat att en offentlig befattnings</w:t>
      </w:r>
      <w:r w:rsidRPr="0008481A">
        <w:softHyphen/>
        <w:t>havare inte får delta i handläggningen eller avgörandet av ett mål eller ärende om det finns objektiv grund för att ifrågasätta hans opartiskhet.</w:t>
      </w:r>
    </w:p>
    <w:p w:rsidR="003B3271" w:rsidRPr="0008481A" w:rsidRDefault="003B3271">
      <w:pPr>
        <w:pStyle w:val="Normaltindrag"/>
      </w:pPr>
      <w:r w:rsidRPr="0008481A">
        <w:t>Bestämmelser om jäv för åklagare finns i 7 kap. 6 § rättegångsbalken (RB). Om det beträffande ett visst brott föreligger någon omständighet som skulle utgöra jäv mot domare, får åklagaren inte ta befattning med förunder</w:t>
      </w:r>
      <w:r w:rsidRPr="0008481A">
        <w:softHyphen/>
        <w:t>sökning eller åtal för brottet. Det sägs vidare att jäv inte får grundas på en åtgärd som åklagaren vidtagit i tjänsten eller en gä</w:t>
      </w:r>
      <w:r w:rsidRPr="0008481A">
        <w:t>r</w:t>
      </w:r>
      <w:r w:rsidRPr="0008481A">
        <w:t>ning som har förövats mot honom i eller för hans tjänst.</w:t>
      </w:r>
    </w:p>
    <w:p w:rsidR="003B3271" w:rsidRPr="0008481A" w:rsidRDefault="003B3271">
      <w:pPr>
        <w:pStyle w:val="Normaltindrag"/>
      </w:pPr>
      <w:r w:rsidRPr="0008481A">
        <w:t>Bestämmelserna om jäv för domare finns i 4 kap. RB. I 13 § 1–9 anges vissa sä</w:t>
      </w:r>
      <w:r w:rsidRPr="0008481A">
        <w:t>r</w:t>
      </w:r>
      <w:r w:rsidRPr="0008481A">
        <w:t>skilda omständigheter som grundar jäv för domaren. Bland dessa kan nämnas att domaren är eller har varit gift med en part eller är släkt med någon av parterna, att domaren har del i saken eller kan vänta synnerlig nytta eller skada av utgången eller att han tidigare haft att ta ställning i saken. Utöver de särskilt uppräknade jävsgrunderna finns i punkt 10 en allmän bestämmelse om att domaren är jävig, om det eljest föreligger någon särskild omständighet, som är ägnad att rubba fö</w:t>
      </w:r>
      <w:r w:rsidRPr="0008481A">
        <w:t>r</w:t>
      </w:r>
      <w:r w:rsidRPr="0008481A">
        <w:t>troe</w:t>
      </w:r>
      <w:r w:rsidRPr="0008481A">
        <w:t>n</w:t>
      </w:r>
      <w:r w:rsidRPr="0008481A">
        <w:t>det till hans oparti</w:t>
      </w:r>
      <w:r w:rsidRPr="0008481A">
        <w:t>skhet i målet.</w:t>
      </w:r>
    </w:p>
    <w:p w:rsidR="003B3271" w:rsidRPr="0008481A" w:rsidRDefault="003B3271">
      <w:pPr>
        <w:pStyle w:val="Normaltindrag"/>
      </w:pPr>
      <w:r w:rsidRPr="0008481A">
        <w:t>Av remissvaret framgår att man vid åklagarväsendets omorganisation år 1996 anpassade kammarorganisationen vid myndigheten efter polis</w:t>
      </w:r>
      <w:r w:rsidRPr="0008481A">
        <w:softHyphen/>
        <w:t>myndighetens org</w:t>
      </w:r>
      <w:r w:rsidRPr="0008481A">
        <w:t>a</w:t>
      </w:r>
      <w:r w:rsidRPr="0008481A">
        <w:t>nisation, så att kamrarna fick sin operativa verksamhet förlagd till geografiska områden som bestämdes av utformningen av respektive samverkande polismä</w:t>
      </w:r>
      <w:r w:rsidRPr="0008481A">
        <w:t>s</w:t>
      </w:r>
      <w:r w:rsidRPr="0008481A">
        <w:t>tardistrikt. Undantaget från denna princip var narkotikakammaren (åk 9) som har hela Stockholms län och Gotlands län som verksamhetsområde och en måltillde</w:t>
      </w:r>
      <w:r w:rsidRPr="0008481A">
        <w:t>l</w:t>
      </w:r>
      <w:r w:rsidRPr="0008481A">
        <w:t>ning som i huvudsak styrs av brottskategorierna. Sedan den 1 juli 1997 fördelas polismålen vid Åklagar</w:t>
      </w:r>
      <w:r w:rsidRPr="0008481A">
        <w:softHyphen/>
        <w:t>myndigheten i Stockholm på geografiska grunder, vilket innebär att polis</w:t>
      </w:r>
      <w:r w:rsidRPr="0008481A">
        <w:softHyphen/>
        <w:t xml:space="preserve">ärendena </w:t>
      </w:r>
      <w:r w:rsidRPr="0008481A">
        <w:t>normalt lottas på den åklagarkammare som har ansvaret för det polisområde där den anmälda hä</w:t>
      </w:r>
      <w:r w:rsidRPr="0008481A">
        <w:t>n</w:t>
      </w:r>
      <w:r w:rsidRPr="0008481A">
        <w:t xml:space="preserve">delsen har inträffat. </w:t>
      </w:r>
    </w:p>
    <w:p w:rsidR="003B3271" w:rsidRPr="0008481A" w:rsidRDefault="003B3271">
      <w:pPr>
        <w:pStyle w:val="Normaltindrag"/>
      </w:pPr>
      <w:r w:rsidRPr="0008481A">
        <w:t>Det framhålls i remissvaret att polisområdena är så stora att de polismän som tjänstgör där i de allra flesta fall är anonyma för de åklagare som hand</w:t>
      </w:r>
      <w:r w:rsidRPr="0008481A">
        <w:softHyphen/>
        <w:t>lägger polis</w:t>
      </w:r>
      <w:r w:rsidRPr="0008481A">
        <w:softHyphen/>
        <w:t>ärendena och att det därför är sällan som man kommer i närheten av någon jäv</w:t>
      </w:r>
      <w:r w:rsidRPr="0008481A">
        <w:t>s</w:t>
      </w:r>
      <w:r w:rsidRPr="0008481A">
        <w:t xml:space="preserve">situation. </w:t>
      </w:r>
    </w:p>
    <w:p w:rsidR="003B3271" w:rsidRPr="0008481A" w:rsidRDefault="003B3271">
      <w:pPr>
        <w:pStyle w:val="Normaltindrag"/>
      </w:pPr>
      <w:r w:rsidRPr="0008481A">
        <w:t>Det är av grundläggande betydelse för allmänhetens tillit till samhällets verk</w:t>
      </w:r>
      <w:r w:rsidRPr="0008481A">
        <w:softHyphen/>
        <w:t>sa</w:t>
      </w:r>
      <w:r w:rsidRPr="0008481A">
        <w:t>m</w:t>
      </w:r>
      <w:r w:rsidRPr="0008481A">
        <w:t>het för att utreda påstådda brott av polismän, och därmed ytterst för allmänhetens förtroende för polisen, att denna utredningsverksamhet bedrivs på ett i alla häns</w:t>
      </w:r>
      <w:r w:rsidRPr="0008481A">
        <w:t>e</w:t>
      </w:r>
      <w:r w:rsidRPr="0008481A">
        <w:t>enden korrekt sätt. Den för all brottsutredande verksamhet gällande grundsatsen att handläggningen måste ske i sådana former att den inte ger fog för ett ifråg</w:t>
      </w:r>
      <w:r w:rsidRPr="0008481A">
        <w:t>a</w:t>
      </w:r>
      <w:r w:rsidRPr="0008481A">
        <w:t>sättande av de utredande myndigheternas objekt</w:t>
      </w:r>
      <w:r w:rsidRPr="0008481A">
        <w:softHyphen/>
        <w:t>ivitet har här en alldeles särskild tyngd. Häri ligger bl.a. att verksamheten bör organiseras på sådant sätt att man minimerar risken fö</w:t>
      </w:r>
      <w:r w:rsidRPr="0008481A">
        <w:t>r jävssituationer. Man bör i sammanhanget vidare ha i åtanke att för en utomstående betraktare redan det förhållandet att en åklagare utreder en anmälning mot en polisman som han kan komma att ha kontakt med i sitt dagliga arbete kan vara till</w:t>
      </w:r>
      <w:r w:rsidRPr="0008481A">
        <w:softHyphen/>
        <w:t>räckligt för att rubba förtroendet för objektiviteten i handläg</w:t>
      </w:r>
      <w:r w:rsidRPr="0008481A">
        <w:t>g</w:t>
      </w:r>
      <w:r w:rsidRPr="0008481A">
        <w:t xml:space="preserve">ningen. </w:t>
      </w:r>
    </w:p>
    <w:p w:rsidR="003B3271" w:rsidRPr="0008481A" w:rsidRDefault="003B3271">
      <w:pPr>
        <w:pStyle w:val="Normaltindrag"/>
      </w:pPr>
      <w:r w:rsidRPr="0008481A">
        <w:t>Det finns av nu angivna skäl anledning att ifrågasätta det nuvarande lottnings</w:t>
      </w:r>
      <w:r w:rsidRPr="0008481A">
        <w:softHyphen/>
        <w:t>sy</w:t>
      </w:r>
      <w:r w:rsidRPr="0008481A">
        <w:t>s</w:t>
      </w:r>
      <w:r w:rsidRPr="0008481A">
        <w:t>temet. Enligt min mening vore det att föredra om polisärendena i stället lottas på sådant sätt att åklagare vid en viss åklagarkammare inte handlägger polisärenden som kommer från det polisområde som kammaren samverkar med. Jag kan med utgångspunkt i vad som sägs i remissvaret inte finna att det föreligger några avg</w:t>
      </w:r>
      <w:r w:rsidRPr="0008481A">
        <w:t>ö</w:t>
      </w:r>
      <w:r w:rsidRPr="0008481A">
        <w:t>rande hinder av administrativt slag mot en sådan or</w:t>
      </w:r>
      <w:r w:rsidRPr="0008481A">
        <w:t>d</w:t>
      </w:r>
      <w:r w:rsidRPr="0008481A">
        <w:t>ning.</w:t>
      </w:r>
    </w:p>
    <w:p w:rsidR="003B3271" w:rsidRPr="0008481A" w:rsidRDefault="003B3271">
      <w:pPr>
        <w:pStyle w:val="Rubrik2"/>
        <w:spacing w:before="0"/>
        <w:rPr>
          <w:b/>
        </w:rPr>
      </w:pPr>
      <w:r w:rsidRPr="0008481A">
        <w:t>Fråga om polisens handlande i samband med anvisning av färdväg för chartrad buss med hemvändande fotbollssupportrar samt dokument</w:t>
      </w:r>
      <w:r w:rsidRPr="0008481A">
        <w:t>a</w:t>
      </w:r>
      <w:r w:rsidRPr="0008481A">
        <w:t>tionen av ingr</w:t>
      </w:r>
      <w:r w:rsidRPr="0008481A">
        <w:t>i</w:t>
      </w:r>
      <w:r w:rsidRPr="0008481A">
        <w:t>pandet</w:t>
      </w:r>
    </w:p>
    <w:p w:rsidR="003B3271" w:rsidRPr="0008481A" w:rsidRDefault="003B3271">
      <w:r w:rsidRPr="0008481A">
        <w:t>(Dnr 3116-1998)</w:t>
      </w:r>
    </w:p>
    <w:p w:rsidR="003B3271" w:rsidRPr="0008481A" w:rsidRDefault="003B3271">
      <w:r w:rsidRPr="0008481A">
        <w:t xml:space="preserve">I ett beslut den 27 oktober 1999 anförde </w:t>
      </w:r>
      <w:r w:rsidRPr="0008481A">
        <w:rPr>
          <w:i/>
        </w:rPr>
        <w:t>chefsJO Eklundh</w:t>
      </w:r>
      <w:r w:rsidRPr="0008481A">
        <w:t xml:space="preserve"> bl.a. följande.</w:t>
      </w:r>
    </w:p>
    <w:p w:rsidR="003B3271" w:rsidRPr="0008481A" w:rsidRDefault="003B3271">
      <w:pPr>
        <w:pStyle w:val="Rubrik3"/>
      </w:pPr>
      <w:r w:rsidRPr="0008481A">
        <w:t>Anmälan</w:t>
      </w:r>
    </w:p>
    <w:p w:rsidR="003B3271" w:rsidRPr="0008481A" w:rsidRDefault="003B3271">
      <w:r w:rsidRPr="0008481A">
        <w:t xml:space="preserve">I en anmälan till JO riktade J.P. kritik mot berörda polismyndigheter varvid han anförde bl.a. följande. </w:t>
      </w:r>
    </w:p>
    <w:p w:rsidR="003B3271" w:rsidRPr="0008481A" w:rsidRDefault="003B3271">
      <w:pPr>
        <w:pStyle w:val="Normaltindrag"/>
      </w:pPr>
      <w:r w:rsidRPr="0008481A">
        <w:t>Måndagen den 29 juni 1998 färdades J.P. i en hyrd buss till Göteborg för att se fotbollsmatchen mellan IFK Göteborg och AIK. På tillbakaresan ut</w:t>
      </w:r>
      <w:r w:rsidRPr="0008481A">
        <w:softHyphen/>
        <w:t>sattes han och övriga resenärer för ett antal åtgärder utförda av den eskorter</w:t>
      </w:r>
      <w:r w:rsidRPr="0008481A">
        <w:softHyphen/>
        <w:t>ande polisen. J.P. var bussvärd. Före avresan från Stockholm stämdes resväg och antalet passagerare av med polisen. Nedresan gick lugnt och städat till, och man stannade två gånger för de matraster som chauffören måste ha. Före ankomsten till Göteborg tog J.P. kontakt med supporter</w:t>
      </w:r>
      <w:r w:rsidRPr="0008481A">
        <w:softHyphen/>
        <w:t>ansvarig</w:t>
      </w:r>
      <w:r w:rsidRPr="0008481A">
        <w:softHyphen/>
        <w:t xml:space="preserve"> polis där och anmälde resenärernas ankomst. De möttes av polis vid stadsgränsen och visades till en rastplats, där de emellertid inte fick </w:t>
      </w:r>
      <w:r w:rsidRPr="0008481A">
        <w:t xml:space="preserve">använda den offentliga toaletten. ”Inslussningen” till Göteborg gick smärtfritt och de anlände till den pub de hade bokat. </w:t>
      </w:r>
    </w:p>
    <w:p w:rsidR="003B3271" w:rsidRPr="0008481A" w:rsidRDefault="003B3271">
      <w:pPr>
        <w:pStyle w:val="Normaltindrag"/>
      </w:pPr>
      <w:r w:rsidRPr="0008481A">
        <w:t>När supportrarna efter matchen anträdde hemresan fick de eskort av motorcyke</w:t>
      </w:r>
      <w:r w:rsidRPr="0008481A">
        <w:t>l</w:t>
      </w:r>
      <w:r w:rsidRPr="0008481A">
        <w:t>poliser, en piketbuss och en eller två vanliga polisbilar. Vid varje matinrättning lade sig polisfordon snett till höger om bussen vilket hindrade denna från att köra av på någon avfart. Eftersom supportrarnas avsikt var att äta på Nalles Motell i Arboga, stördes de emellertid inte nämnvärt av polisens beteende. Under färden övertog andra polisfordon eskorten. I Arboga möttes supportrarna av en vägspärr på infarten till Nalles Motell, och de upplystes om att de inte fick stanna där. När busschauffören påpe</w:t>
      </w:r>
      <w:r w:rsidRPr="0008481A">
        <w:t>kade att han måste tanka bussen beordrades han att välja en automatstation längre fram. När resenärerna sade att de ville handla i kiosken t</w:t>
      </w:r>
      <w:r w:rsidRPr="0008481A">
        <w:t>a</w:t>
      </w:r>
      <w:r w:rsidRPr="0008481A">
        <w:t>lade polisen om för dem att de inte var önskvärda. Några närmare förklaringar lämnades inte. Till slut tilläts de att tanka bussen. Eftersom bussen saknade toalett steg passagerare av bussen för att besöka en toalett. Polismännen ryckte då tag i dem och beordrade dem tillbaka till bussen utan att bry sig om vad de sade om behovet av toalettbesök. Busschauffören förklar</w:t>
      </w:r>
      <w:r w:rsidRPr="0008481A">
        <w:t>ade också att han enligt trafikl</w:t>
      </w:r>
      <w:r w:rsidRPr="0008481A">
        <w:t>a</w:t>
      </w:r>
      <w:r w:rsidRPr="0008481A">
        <w:t>garna måste ha en 30-minuters paus i avskild lokal men fick av polisen bara sv</w:t>
      </w:r>
      <w:r w:rsidRPr="0008481A">
        <w:t>a</w:t>
      </w:r>
      <w:r w:rsidRPr="0008481A">
        <w:t>ret: ”Den pausen kan du glömma. Åk vidare”. De tilläts dock att – under fortsatt polisbevakning – stanna till i skogen. Inte förrän i Enköping, när de hade passerat den sista nattöppna restaurangen, lämnade polisen dem.</w:t>
      </w:r>
    </w:p>
    <w:p w:rsidR="003B3271" w:rsidRPr="0008481A" w:rsidRDefault="003B3271">
      <w:pPr>
        <w:pStyle w:val="Normaltindrag"/>
      </w:pPr>
      <w:r w:rsidRPr="0008481A">
        <w:t>Några ordningsstörningar förekom över huvud taget inte. J.P. ifrågasatte polisens rätt att på det beskrivna sättet – bl.a. med upphävande av gällande körtidsbestä</w:t>
      </w:r>
      <w:r w:rsidRPr="0008481A">
        <w:t>m</w:t>
      </w:r>
      <w:r w:rsidRPr="0008481A">
        <w:t xml:space="preserve">melser för yrkesförare – inskränka rörelsefriheten för de personer som färdades i bussen.  </w:t>
      </w:r>
    </w:p>
    <w:p w:rsidR="003B3271" w:rsidRPr="0008481A" w:rsidRDefault="003B3271">
      <w:pPr>
        <w:pStyle w:val="Rubrik3"/>
      </w:pPr>
      <w:r w:rsidRPr="0008481A">
        <w:t>Utredning</w:t>
      </w:r>
    </w:p>
    <w:p w:rsidR="003B3271" w:rsidRPr="0008481A" w:rsidRDefault="003B3271">
      <w:r w:rsidRPr="0008481A">
        <w:t>Muntliga upplysningar inhämtades bl.a. från chefen för piketpolisen Hans Lippens vid Polismyndigheten i Västra Götaland, länsordningspolisen samt från vakth</w:t>
      </w:r>
      <w:r w:rsidRPr="0008481A">
        <w:t>a</w:t>
      </w:r>
      <w:r w:rsidRPr="0008481A">
        <w:t>vande befälet Jan Ståhl och chefen för närpolisområde Fagersta, Bengt Ottervald, vid Poli</w:t>
      </w:r>
      <w:r w:rsidRPr="0008481A">
        <w:t>s</w:t>
      </w:r>
      <w:r w:rsidRPr="0008481A">
        <w:t xml:space="preserve">myndigheten i Västmanlands län, </w:t>
      </w:r>
    </w:p>
    <w:p w:rsidR="003B3271" w:rsidRPr="0008481A" w:rsidRDefault="003B3271">
      <w:pPr>
        <w:pStyle w:val="Normaltindrag"/>
      </w:pPr>
      <w:r w:rsidRPr="0008481A">
        <w:t>Vidare infordrades dagboksanteckningar från Polismyndigheten i Västra Göt</w:t>
      </w:r>
      <w:r w:rsidRPr="0008481A">
        <w:t>a</w:t>
      </w:r>
      <w:r w:rsidRPr="0008481A">
        <w:t>land, länsordningspolisen. Från polismyndigheten i Västmanlands län in</w:t>
      </w:r>
      <w:r w:rsidRPr="0008481A">
        <w:softHyphen/>
        <w:t xml:space="preserve">fordrades ett ingripandemeddelande. </w:t>
      </w:r>
    </w:p>
    <w:p w:rsidR="003B3271" w:rsidRPr="0008481A" w:rsidRDefault="003B3271">
      <w:pPr>
        <w:pStyle w:val="Normaltindrag"/>
      </w:pPr>
      <w:r w:rsidRPr="0008481A">
        <w:t xml:space="preserve">Härefter anmodades Polismyndigheten i Västmanlands län att inkomma med upplysningar och yttrande om </w:t>
      </w:r>
      <w:r w:rsidRPr="0008481A">
        <w:rPr>
          <w:i/>
        </w:rPr>
        <w:t>dels</w:t>
      </w:r>
      <w:r w:rsidRPr="0008481A">
        <w:t xml:space="preserve"> den faktiska och rättsliga grunden för att vägra supportrarna att stiga av bussen under uppehållet vid Nalles Motell i Arboga, </w:t>
      </w:r>
      <w:r w:rsidRPr="0008481A">
        <w:rPr>
          <w:i/>
        </w:rPr>
        <w:t>dels</w:t>
      </w:r>
      <w:r w:rsidRPr="0008481A">
        <w:t xml:space="preserve"> frågan om hur ingripandet vid Nalles Motell dokumenterades. </w:t>
      </w:r>
    </w:p>
    <w:p w:rsidR="003B3271" w:rsidRPr="0008481A" w:rsidRDefault="003B3271">
      <w:pPr>
        <w:pStyle w:val="Rubrik3"/>
      </w:pPr>
      <w:r w:rsidRPr="0008481A">
        <w:t>Utredningens resultat</w:t>
      </w:r>
    </w:p>
    <w:p w:rsidR="003B3271" w:rsidRPr="0008481A" w:rsidRDefault="003B3271">
      <w:pPr>
        <w:pStyle w:val="Rubrik4"/>
        <w:spacing w:before="120"/>
      </w:pPr>
      <w:r w:rsidRPr="0008481A">
        <w:t>Granskade handlingar och inhämtade muntliga upplysningar</w:t>
      </w:r>
    </w:p>
    <w:p w:rsidR="003B3271" w:rsidRPr="0008481A" w:rsidRDefault="003B3271">
      <w:r w:rsidRPr="0008481A">
        <w:t xml:space="preserve">Av granskade handlingar och inhämtade muntliga upplysningar framgick bl.a. följande angående händelserna den 29 juni och natten till den 30 juni 1998.  </w:t>
      </w:r>
    </w:p>
    <w:p w:rsidR="003B3271" w:rsidRPr="0008481A" w:rsidRDefault="003B3271">
      <w:pPr>
        <w:pStyle w:val="Normaltindrag"/>
      </w:pPr>
      <w:r w:rsidRPr="0008481A">
        <w:t>Under resan från Stockholm till Göteborg hade supportrar i någon eller några av bussarna under måltidsuppehåll ”levt rövare”, och det hade ”varit stökigt” i sa</w:t>
      </w:r>
      <w:r w:rsidRPr="0008481A">
        <w:t>m</w:t>
      </w:r>
      <w:r w:rsidRPr="0008481A">
        <w:t>band med något av uppehållen. Under eller efter fotbolls</w:t>
      </w:r>
      <w:r w:rsidRPr="0008481A">
        <w:softHyphen/>
        <w:t>matchen i Göteborg hade ett antal av AIK-supportrarna omhändertagits för störande av ordningen. Under kvällen fattade Polismyndigheten i Västra Götaland beslut om vägvisning ut ur Göteborg för supporterbussarna. Dess</w:t>
      </w:r>
      <w:r w:rsidRPr="0008481A">
        <w:softHyphen/>
        <w:t>förinnan hade omhändertagna supportrar frigetts. Under färdvägen följdes och övervakades bussarna av polisen, varvid enheter från de polismyndig</w:t>
      </w:r>
      <w:r w:rsidRPr="0008481A">
        <w:softHyphen/>
        <w:t>heter som var ansvariga för de olika avsnitten av fär</w:t>
      </w:r>
      <w:r w:rsidRPr="0008481A">
        <w:t>d</w:t>
      </w:r>
      <w:r w:rsidRPr="0008481A">
        <w:t>vägen avlöste varandra. Vid den i ären</w:t>
      </w:r>
      <w:r w:rsidRPr="0008481A">
        <w:t>det aktuella supporterbussens ankomst till länsgränsen mot Västmanland övertog Polismyndigheten i Västmanlands län up</w:t>
      </w:r>
      <w:r w:rsidRPr="0008481A">
        <w:t>p</w:t>
      </w:r>
      <w:r w:rsidRPr="0008481A">
        <w:t>draget att övervaka bu</w:t>
      </w:r>
      <w:r w:rsidRPr="0008481A">
        <w:t>s</w:t>
      </w:r>
      <w:r w:rsidRPr="0008481A">
        <w:t xml:space="preserve">sen i vilken fanns 60–70 personer.  </w:t>
      </w:r>
    </w:p>
    <w:p w:rsidR="003B3271" w:rsidRPr="0008481A" w:rsidRDefault="003B3271">
      <w:pPr>
        <w:pStyle w:val="Normaltindrag"/>
      </w:pPr>
      <w:r w:rsidRPr="0008481A">
        <w:t>I ingripandemeddelandet avseende ingripandet vid Nalles Motell anges att mote</w:t>
      </w:r>
      <w:r w:rsidRPr="0008481A">
        <w:t>l</w:t>
      </w:r>
      <w:r w:rsidRPr="0008481A">
        <w:t>lets ägare kl. 23.30 informerades om att bussen var på väg mot Arboga och att han ”är ej intresserad av att få in några fans på området”. Vidare har i meddelandet antecknats bl.a. följa</w:t>
      </w:r>
      <w:r w:rsidRPr="0008481A">
        <w:t>n</w:t>
      </w:r>
      <w:r w:rsidRPr="0008481A">
        <w:t>de:</w:t>
      </w:r>
    </w:p>
    <w:p w:rsidR="003B3271" w:rsidRPr="0008481A" w:rsidRDefault="003B3271">
      <w:pPr>
        <w:pStyle w:val="PunktlistaTankstreck"/>
        <w:tabs>
          <w:tab w:val="num" w:pos="360"/>
        </w:tabs>
        <w:spacing w:before="120" w:line="213" w:lineRule="exact"/>
      </w:pPr>
      <w:r w:rsidRPr="0008481A">
        <w:t xml:space="preserve">Kl. 00.04: PC jouren informerad om att bussen kommer att dirigeras vidare av polis och han tycker att det är OK </w:t>
      </w:r>
    </w:p>
    <w:p w:rsidR="003B3271" w:rsidRPr="0008481A" w:rsidRDefault="003B3271">
      <w:pPr>
        <w:pStyle w:val="PunktlistaTankstreck"/>
        <w:tabs>
          <w:tab w:val="num" w:pos="360"/>
        </w:tabs>
        <w:spacing w:line="213" w:lineRule="exact"/>
      </w:pPr>
      <w:r w:rsidRPr="0008481A">
        <w:t xml:space="preserve">Kl. 01.40: Bussen på plats på Nalles, måste tanka </w:t>
      </w:r>
    </w:p>
    <w:p w:rsidR="003B3271" w:rsidRPr="0008481A" w:rsidRDefault="003B3271">
      <w:pPr>
        <w:pStyle w:val="PunktlistaTankstreck"/>
        <w:tabs>
          <w:tab w:val="num" w:pos="360"/>
        </w:tabs>
        <w:spacing w:line="213" w:lineRule="exact"/>
      </w:pPr>
      <w:r w:rsidRPr="0008481A">
        <w:t>Kl. 01.47: 4900 vinkat av bussen men de går norra vägen via Västerås</w:t>
      </w:r>
    </w:p>
    <w:p w:rsidR="003B3271" w:rsidRPr="0008481A" w:rsidRDefault="003B3271">
      <w:pPr>
        <w:pStyle w:val="PunktlistaTankstreck"/>
        <w:tabs>
          <w:tab w:val="num" w:pos="360"/>
        </w:tabs>
        <w:spacing w:line="213" w:lineRule="exact"/>
      </w:pPr>
      <w:r w:rsidRPr="0008481A">
        <w:t>Kl. 02.01: Avvisade enl PL 13 C</w:t>
      </w:r>
    </w:p>
    <w:p w:rsidR="003B3271" w:rsidRPr="0008481A" w:rsidRDefault="003B3271">
      <w:pPr>
        <w:pStyle w:val="Rubrik4"/>
      </w:pPr>
      <w:r w:rsidRPr="0008481A">
        <w:t>Remissvaret</w:t>
      </w:r>
    </w:p>
    <w:p w:rsidR="003B3271" w:rsidRPr="0008481A" w:rsidRDefault="003B3271">
      <w:r w:rsidRPr="0008481A">
        <w:t>I sitt remissvar anförde Polismyndigheten i Västmanlands län (länspolis</w:t>
      </w:r>
      <w:r w:rsidRPr="0008481A">
        <w:softHyphen/>
        <w:t xml:space="preserve">mästaren Lars Göran Carlsson) följande. </w:t>
      </w:r>
    </w:p>
    <w:p w:rsidR="003B3271" w:rsidRPr="0008481A" w:rsidRDefault="003B3271">
      <w:pPr>
        <w:pStyle w:val="Rubrik5"/>
      </w:pPr>
      <w:r w:rsidRPr="0008481A">
        <w:t>Bakgrund och upplysningar, samt redovisning av de lagliga grunder som polisen i Västmanland tillämpat vid aktuell avvisning</w:t>
      </w:r>
    </w:p>
    <w:p w:rsidR="003B3271" w:rsidRPr="0008481A" w:rsidRDefault="003B3271">
      <w:pPr>
        <w:pStyle w:val="Citat"/>
      </w:pPr>
    </w:p>
    <w:p w:rsidR="003B3271" w:rsidRPr="0008481A" w:rsidRDefault="003B3271">
      <w:pPr>
        <w:pStyle w:val="Citat"/>
      </w:pPr>
      <w:r w:rsidRPr="0008481A">
        <w:t>Av uppgifter från polisens ingripandemeddelande (IM) över händelsen samt vidare utifrån info</w:t>
      </w:r>
      <w:r w:rsidRPr="0008481A">
        <w:t>r</w:t>
      </w:r>
      <w:r w:rsidRPr="0008481A">
        <w:t>mationer från vakthavande befäl Jan Ståhl och yttre befälen Bengt Otterwall kan följande anf</w:t>
      </w:r>
      <w:r w:rsidRPr="0008481A">
        <w:t>ö</w:t>
      </w:r>
      <w:r w:rsidRPr="0008481A">
        <w:t>ras:</w:t>
      </w:r>
    </w:p>
    <w:p w:rsidR="003B3271" w:rsidRPr="0008481A" w:rsidRDefault="003B3271">
      <w:pPr>
        <w:pStyle w:val="Citat"/>
      </w:pPr>
      <w:r w:rsidRPr="0008481A">
        <w:t>Den 29 juni 1998 strax före midnatt, erhöll polisen i Västmanland informa</w:t>
      </w:r>
      <w:r w:rsidRPr="0008481A">
        <w:softHyphen/>
        <w:t>tion från polisen i Ör</w:t>
      </w:r>
      <w:r w:rsidRPr="0008481A">
        <w:t>e</w:t>
      </w:r>
      <w:r w:rsidRPr="0008481A">
        <w:t>bro om att en buss med Black Army fans (AIK-supportrar) var på väg in i Västmanland. Under dagen hade Black Army fansen uppträtt mycket störande i Göteborg. Polisen där hade omhände</w:t>
      </w:r>
      <w:r w:rsidRPr="0008481A">
        <w:t>r</w:t>
      </w:r>
      <w:r w:rsidRPr="0008481A">
        <w:t>tagit c:a 60 personer. Fansen var nu på väg hem till Stockholm och till olika destinationer efter vägen. Polisen i Skövde följde efter en buss med Black Army fans och informerade polisen i Västmanland om att denna nu var på väg till ett bekant rastställe i Arboga vid namn Nalles Bar. Polisen i Örebro info</w:t>
      </w:r>
      <w:r w:rsidRPr="0008481A">
        <w:t>rmerade också om att de trodde att ytterligare tre bussar med Black Army fans var på väg till Nalles bar.</w:t>
      </w:r>
    </w:p>
    <w:p w:rsidR="003B3271" w:rsidRPr="0008481A" w:rsidRDefault="003B3271">
      <w:pPr>
        <w:pStyle w:val="Citatindrag"/>
      </w:pPr>
      <w:r w:rsidRPr="0008481A">
        <w:t>Ägaren till Nalles Bar uppgav att han inte ville att några Black Army fans fick tillträde till hans rastställe och tillhörande bensinstation. Han uppgav sig tidigare ha haft dåliga erfarenheter av Black Armys besök.</w:t>
      </w:r>
    </w:p>
    <w:p w:rsidR="003B3271" w:rsidRPr="0008481A" w:rsidRDefault="003B3271">
      <w:pPr>
        <w:pStyle w:val="Citatindrag"/>
      </w:pPr>
      <w:r w:rsidRPr="0008481A">
        <w:t>Med anledning av dessa uppgifter kontaktade vakthavande befäl i Västerås Jan Ståhl jourhavande polischef Lennart Månsson. Efter föredragningen beslutade denne, i enlighet med föredragandens förslag, att Black Army fansen inte skulle erhålla tillträde till raststället. Den juridiska grunden för beslutet var den nya 13 c § i polislagen (1984:387), vilken möjliggör att en folksamling, som inte utgör en allmän eller offentlig tillställning, avvisas eller avlägsnas, om det föreligger en omedelbar fara för att d</w:t>
      </w:r>
      <w:r w:rsidRPr="0008481A">
        <w:t>en allmänna ordningen störs.</w:t>
      </w:r>
    </w:p>
    <w:p w:rsidR="003B3271" w:rsidRPr="0008481A" w:rsidRDefault="003B3271">
      <w:pPr>
        <w:pStyle w:val="Citatindrag"/>
      </w:pPr>
      <w:r w:rsidRPr="0008481A">
        <w:t>Då bussen anlände till Nalles Bar upplystes busschauffören och Black Army fansen om att de inte ägde rätt att köra in på området samt att ägaren inte ville ha dem där. Chauffören tilläts dock efter övertalning att tanka bussen. Uppskattningsvis tre Black Army fans följde inte polisens uppm</w:t>
      </w:r>
      <w:r w:rsidRPr="0008481A">
        <w:t>a</w:t>
      </w:r>
      <w:r w:rsidRPr="0008481A">
        <w:t>ningar, utan lämnade bussen. De fördes därför tillbaka upp på bussen genom pol</w:t>
      </w:r>
      <w:r w:rsidRPr="0008481A">
        <w:t>i</w:t>
      </w:r>
      <w:r w:rsidRPr="0008481A">
        <w:t>sens försorg.</w:t>
      </w:r>
    </w:p>
    <w:p w:rsidR="003B3271" w:rsidRPr="0008481A" w:rsidRDefault="003B3271">
      <w:pPr>
        <w:pStyle w:val="Citatindrag"/>
      </w:pPr>
      <w:r w:rsidRPr="0008481A">
        <w:t>Då bussen lämnade raststället följde polisen efter på håll för att övervaka den allmänna ordningen. Vid gränsen mot Enköping slöt polisen i Uppsala upp för motsvarande övervakning.</w:t>
      </w:r>
    </w:p>
    <w:p w:rsidR="003B3271" w:rsidRPr="0008481A" w:rsidRDefault="003B3271">
      <w:pPr>
        <w:pStyle w:val="Citatindrag"/>
      </w:pPr>
      <w:r w:rsidRPr="0008481A">
        <w:t>Samtliga åtgärder och beslut som meddelades i ärendet finns dokumen</w:t>
      </w:r>
      <w:r w:rsidRPr="0008481A">
        <w:softHyphen/>
        <w:t>terade i det ingripandeme</w:t>
      </w:r>
      <w:r w:rsidRPr="0008481A">
        <w:t>d</w:t>
      </w:r>
      <w:r w:rsidRPr="0008481A">
        <w:t>delande (IM) som upprättades vid tillfället. Polisen i Västmanland för sina IM i datoriserad form, där respektive åtgärd och beslut som skrivs in erhåller ett aktuellt löpnummer med angivande av datum och klockslag. IM:et kan inte ändras i efterhand.</w:t>
      </w:r>
    </w:p>
    <w:p w:rsidR="003B3271" w:rsidRPr="0008481A" w:rsidRDefault="003B3271">
      <w:pPr>
        <w:pStyle w:val="Rubrik5"/>
      </w:pPr>
      <w:r w:rsidRPr="0008481A">
        <w:t>Polismyndighetens yttrande</w:t>
      </w:r>
    </w:p>
    <w:p w:rsidR="003B3271" w:rsidRPr="0008481A" w:rsidRDefault="003B3271">
      <w:pPr>
        <w:pStyle w:val="Citat"/>
      </w:pPr>
      <w:r w:rsidRPr="0008481A">
        <w:t>Genom Black Army fansens uppträdanden under dagen i Göteborg och de polisiära omhändert</w:t>
      </w:r>
      <w:r w:rsidRPr="0008481A">
        <w:t>a</w:t>
      </w:r>
      <w:r w:rsidRPr="0008481A">
        <w:t>gande som varit aktuella där, så är det polis</w:t>
      </w:r>
      <w:r w:rsidRPr="0008481A">
        <w:softHyphen/>
        <w:t>myndighetens uppfattning att jourhavande polischefen Lennart Månsson och vakthavande befälet Jan Ståhl hade en befogad anledning att anta att den folksamling med Black Army fans som kom resande med buss, utgjorde en omedelbar fara för att störa den allmänna ordningen vid raststället Nalles Bar i Arboga. Vidare uppgav rastställets ägare att han tidigare haft negativa erfarenheter av fansens besök, vilket ytterligare förstärkte polisens farhågor för ordningsprobl</w:t>
      </w:r>
      <w:r w:rsidRPr="0008481A">
        <w:t>em.</w:t>
      </w:r>
    </w:p>
    <w:p w:rsidR="003B3271" w:rsidRPr="0008481A" w:rsidRDefault="003B3271">
      <w:pPr>
        <w:pStyle w:val="Citatindrag"/>
      </w:pPr>
      <w:r w:rsidRPr="0008481A">
        <w:t>Polismyndigheten finner därför att det var juridiskt riktigt att avvisa bussen utifrån reglerna i 13 c § polislagen (1984:387). En polisiär åtgärd jml 13 c § polislagen erfordrar inte en individuell prövning avseende respektive persons delaktighet. Den relevanta prövning som här måste göras är att ta ställning till om de personer som åtgärden riktar sig mot tillhör den folksamling som stör, eller befaras störa den allmänna ordningen.</w:t>
      </w:r>
    </w:p>
    <w:p w:rsidR="003B3271" w:rsidRPr="0008481A" w:rsidRDefault="003B3271">
      <w:pPr>
        <w:pStyle w:val="Citatindrag"/>
      </w:pPr>
      <w:r w:rsidRPr="0008481A">
        <w:t>Det är också polismyndighetens uppfattning att polisens närvaro efter det att bussen lämnat ras</w:t>
      </w:r>
      <w:r w:rsidRPr="0008481A">
        <w:t>t</w:t>
      </w:r>
      <w:r w:rsidRPr="0008481A">
        <w:t>stället endast har bestått i att övervaka den allmänna ordningen. Det har därför inte varit fråga om något efterföljande tvång för bussen att följa en viss väg.</w:t>
      </w:r>
    </w:p>
    <w:p w:rsidR="003B3271" w:rsidRPr="0008481A" w:rsidRDefault="003B3271">
      <w:pPr>
        <w:pStyle w:val="Citatindrag"/>
      </w:pPr>
      <w:r w:rsidRPr="0008481A">
        <w:t>Såvitt avser polisens dokumentation av händelsen och de beslut som meddelades jml reglerna härför i 27 § polislagen (1984:387) så kan anföras att aktuellt ingripandemeddelande (IM) i h</w:t>
      </w:r>
      <w:r w:rsidRPr="0008481A">
        <w:t>u</w:t>
      </w:r>
      <w:r w:rsidRPr="0008481A">
        <w:t>vudsak utgör en motsvarande protokollsform som redovisas där. I IM:et finns upptaget vem som meddelat, respektive deltagit och verkställt besluten. Grunderna för besluten fram</w:t>
      </w:r>
      <w:r w:rsidRPr="0008481A">
        <w:softHyphen/>
        <w:t>kommer också där. Någon identifiering av respektive Black Army fans som avvisats från rastplatsen har inte utförts. Det saknas idag laglig grund att kroppsvisitera en person som avvisas i syfte att identifiera densamme. Enligt polismyndigheten var det inte realistiskt att utgå från att de Black Army fans som befann sig på bussen, fri</w:t>
      </w:r>
      <w:r w:rsidRPr="0008481A">
        <w:t>villigt skulle vara intresserade av att lämna uppgifter om sina respe</w:t>
      </w:r>
      <w:r w:rsidRPr="0008481A">
        <w:t>k</w:t>
      </w:r>
      <w:r w:rsidRPr="0008481A">
        <w:t>tive identiteter. Med anledning härav kan det inte anses ha varit befogat att vidta några närmare åtgärder för att söka identifiera enskilda Black Army fans.</w:t>
      </w:r>
    </w:p>
    <w:p w:rsidR="003B3271" w:rsidRPr="0008481A" w:rsidRDefault="003B3271">
      <w:r w:rsidRPr="0008481A">
        <w:t xml:space="preserve">J.P. kommenterade remissvaret. </w:t>
      </w:r>
    </w:p>
    <w:p w:rsidR="003B3271" w:rsidRPr="0008481A" w:rsidRDefault="003B3271">
      <w:pPr>
        <w:pStyle w:val="Rubrik3"/>
      </w:pPr>
      <w:r w:rsidRPr="0008481A">
        <w:t>Rättslig reglering</w:t>
      </w:r>
    </w:p>
    <w:p w:rsidR="003B3271" w:rsidRPr="0008481A" w:rsidRDefault="003B3271">
      <w:r w:rsidRPr="0008481A">
        <w:t>Till polisens uppgifter hör bl.a. att förebygga brott och andra störningar av den allmänna ordningen eller säkerheten samt att övervaka den allmänna ordningen och säkerheten, hindra störningar därav samt ingripa när sådana har inträffat (2 § 1 och 2 polislagen [1984:387]) (PL).</w:t>
      </w:r>
    </w:p>
    <w:p w:rsidR="003B3271" w:rsidRPr="0008481A" w:rsidRDefault="003B3271">
      <w:pPr>
        <w:pStyle w:val="Normaltindrag"/>
      </w:pPr>
      <w:r w:rsidRPr="0008481A">
        <w:t>Om någon genom sitt uppträdande stör den allmänna ordningen eller utgör en omedelbar fara för denna, får en polisman, när det är nödvändigt för att ordningen skall kunna upprätthållas, avvisa eller avlägsna honom från visst område eller utrymme. Detsamma gäller om en sådan åtgärd behövs för att en straffbelagd handling skall kunna avvärjas. Är en åtgärd av nu nämnt slag otillräcklig för att det avsedda resultatet skall uppnås, får personen tillfälligt omhändertas (13 § PL).</w:t>
      </w:r>
    </w:p>
    <w:p w:rsidR="003B3271" w:rsidRPr="0008481A" w:rsidRDefault="003B3271">
      <w:pPr>
        <w:pStyle w:val="Normaltindrag"/>
      </w:pPr>
      <w:r w:rsidRPr="0008481A">
        <w:t>Om någon försöker tränga in på ett område eller i ett utrymme till vilket tillträde har förbjudits med stöd av polislagen eller annan författning, får en polisman a</w:t>
      </w:r>
      <w:r w:rsidRPr="0008481A">
        <w:t>v</w:t>
      </w:r>
      <w:r w:rsidRPr="0008481A">
        <w:t>visa eller avlägsna honom från området eller utrymmet, när det är nödvändigt för att ordningen eller säkerheten skall kunna upprätthållas. Detsamma gäller den som vägrar lämna ett sådant område eller utrymme, eller som inte följer en enligt pol</w:t>
      </w:r>
      <w:r w:rsidRPr="0008481A">
        <w:t>i</w:t>
      </w:r>
      <w:r w:rsidRPr="0008481A">
        <w:t>s</w:t>
      </w:r>
      <w:r w:rsidRPr="0008481A">
        <w:softHyphen/>
        <w:t>lagen meddelad anvisning att följa en viss väg (13 a § PL).</w:t>
      </w:r>
    </w:p>
    <w:p w:rsidR="003B3271" w:rsidRPr="0008481A" w:rsidRDefault="003B3271">
      <w:pPr>
        <w:pStyle w:val="Normaltindrag"/>
      </w:pPr>
      <w:r w:rsidRPr="0008481A">
        <w:t>Om en folksamling, som inte är en allmän sammankomst eller offentlig tillstäl</w:t>
      </w:r>
      <w:r w:rsidRPr="0008481A">
        <w:t>l</w:t>
      </w:r>
      <w:r w:rsidRPr="0008481A">
        <w:t>ning enligt ordningslagen (1993:1617), genom sitt uppträdande stör den allmänna ordningen eller utgör en omedelbar fara för denna, får del</w:t>
      </w:r>
      <w:r w:rsidRPr="0008481A">
        <w:softHyphen/>
        <w:t>tagarna i folksamlingen avvisas eller avlägsnas från det område eller ut</w:t>
      </w:r>
      <w:r w:rsidRPr="0008481A">
        <w:softHyphen/>
        <w:t>rymme där de befinner sig, om det är nödvändigt för att ordningen skall kunna upprätthållas. En sådan åtgärd får vidtas utan föregående beslut av polismyndigheten endast om den är så brådska</w:t>
      </w:r>
      <w:r w:rsidRPr="0008481A">
        <w:t>n</w:t>
      </w:r>
      <w:r w:rsidRPr="0008481A">
        <w:t xml:space="preserve">de att polismyndighetens beslut inte kan avvaktas (13 c § PL). </w:t>
      </w:r>
    </w:p>
    <w:p w:rsidR="003B3271" w:rsidRPr="0008481A" w:rsidRDefault="003B3271">
      <w:pPr>
        <w:pStyle w:val="Normaltindrag"/>
      </w:pPr>
      <w:r w:rsidRPr="0008481A">
        <w:t>I samband med allvarliga störningar av den a</w:t>
      </w:r>
      <w:r w:rsidRPr="0008481A">
        <w:t>llmänna ordningen eller säker</w:t>
      </w:r>
      <w:r w:rsidRPr="0008481A">
        <w:softHyphen/>
      </w:r>
      <w:r w:rsidRPr="0008481A">
        <w:softHyphen/>
        <w:t>heten får polismyndigheten, om det är nödvändigt för att ordningen eller säkerheten skall kunna upprätthållas, förbjuda tillträde till visst område eller utrymme. De</w:t>
      </w:r>
      <w:r w:rsidRPr="0008481A">
        <w:t>t</w:t>
      </w:r>
      <w:r w:rsidRPr="0008481A">
        <w:t>samma gäller om det finns risk för sådana störningar. Under samma förutsättnin</w:t>
      </w:r>
      <w:r w:rsidRPr="0008481A">
        <w:t>g</w:t>
      </w:r>
      <w:r w:rsidRPr="0008481A">
        <w:t>ar får polismyndigheten anvisa deltagare i en folksamling att följa en viss väg. Om det är så brådskande att polis</w:t>
      </w:r>
      <w:r w:rsidRPr="0008481A">
        <w:softHyphen/>
        <w:t>myndighetens beslut inte kan avvaktas, får en poli</w:t>
      </w:r>
      <w:r w:rsidRPr="0008481A">
        <w:t>s</w:t>
      </w:r>
      <w:r w:rsidRPr="0008481A">
        <w:t>man, i avvaktan på polismyndighetens beslut, med stöd av tredje stycke</w:t>
      </w:r>
      <w:r w:rsidRPr="0008481A">
        <w:t xml:space="preserve">t meddela sådana förbud och anvisningar som avses i första och andra stycket (24 § PL). </w:t>
      </w:r>
    </w:p>
    <w:p w:rsidR="003B3271" w:rsidRPr="0008481A" w:rsidRDefault="003B3271">
      <w:pPr>
        <w:pStyle w:val="Normaltindrag"/>
      </w:pPr>
      <w:r w:rsidRPr="0008481A">
        <w:t xml:space="preserve">I fråga om dokumentationen av ingripanden med stöd av polislagen föreskrivs i 27 § PL följande. </w:t>
      </w:r>
    </w:p>
    <w:p w:rsidR="003B3271" w:rsidRPr="0008481A" w:rsidRDefault="003B3271">
      <w:pPr>
        <w:pStyle w:val="Citat"/>
      </w:pPr>
      <w:r w:rsidRPr="0008481A">
        <w:t>Protokoll skall föras över ingripande som innebär att någon avvisas, avlägs</w:t>
      </w:r>
      <w:r w:rsidRPr="0008481A">
        <w:softHyphen/>
        <w:t>nas, omhändertas eller grips. Protokoll skall också föras över husrannsakan och liknande åtgärder enligt denna lag samt vid omhändertagande av före</w:t>
      </w:r>
      <w:r w:rsidRPr="0008481A">
        <w:softHyphen/>
        <w:t xml:space="preserve">mål. </w:t>
      </w:r>
    </w:p>
    <w:p w:rsidR="003B3271" w:rsidRPr="0008481A" w:rsidRDefault="003B3271">
      <w:pPr>
        <w:pStyle w:val="Citat"/>
        <w:spacing w:before="0"/>
      </w:pPr>
      <w:r w:rsidRPr="0008481A">
        <w:t>Av protokollet skall det framgå</w:t>
      </w:r>
    </w:p>
    <w:p w:rsidR="003B3271" w:rsidRPr="0008481A" w:rsidRDefault="003B3271">
      <w:pPr>
        <w:pStyle w:val="Citatindrag"/>
      </w:pPr>
      <w:r w:rsidRPr="0008481A">
        <w:t>1. vem som har fattat beslutet om ingripandet,</w:t>
      </w:r>
    </w:p>
    <w:p w:rsidR="003B3271" w:rsidRPr="0008481A" w:rsidRDefault="003B3271">
      <w:pPr>
        <w:pStyle w:val="Citatindrag"/>
      </w:pPr>
      <w:r w:rsidRPr="0008481A">
        <w:t>2. grunden för beslutet och tidpunkten när det har fattats,</w:t>
      </w:r>
    </w:p>
    <w:p w:rsidR="003B3271" w:rsidRPr="0008481A" w:rsidRDefault="003B3271">
      <w:pPr>
        <w:pStyle w:val="Citatindrag"/>
      </w:pPr>
      <w:r w:rsidRPr="0008481A">
        <w:t>3. vem eller vilka som har deltagit i ingripandet,</w:t>
      </w:r>
    </w:p>
    <w:p w:rsidR="003B3271" w:rsidRPr="0008481A" w:rsidRDefault="003B3271">
      <w:pPr>
        <w:pStyle w:val="Citatindrag"/>
      </w:pPr>
      <w:r w:rsidRPr="0008481A">
        <w:t>4. vem eller vilka som ingripandet har riktat sig mot,</w:t>
      </w:r>
    </w:p>
    <w:p w:rsidR="003B3271" w:rsidRPr="0008481A" w:rsidRDefault="003B3271">
      <w:pPr>
        <w:pStyle w:val="Citatindrag"/>
      </w:pPr>
      <w:r w:rsidRPr="0008481A">
        <w:t>5. tiden för ingripandet samt</w:t>
      </w:r>
    </w:p>
    <w:p w:rsidR="003B3271" w:rsidRPr="0008481A" w:rsidRDefault="003B3271">
      <w:pPr>
        <w:pStyle w:val="Citatindrag"/>
      </w:pPr>
      <w:r w:rsidRPr="0008481A">
        <w:t>6. vad som i övrigt har förekommit vid ingripandet.</w:t>
      </w:r>
    </w:p>
    <w:p w:rsidR="003B3271" w:rsidRPr="0008481A" w:rsidRDefault="003B3271">
      <w:pPr>
        <w:pStyle w:val="Citat"/>
      </w:pPr>
      <w:r w:rsidRPr="0008481A">
        <w:t>Ansvarig för att protokoll upprättas är, i fråga om uppgifter som avses i andra stycket 1 och 2, den som har fattat beslutet och i fråga om uppgifter som avses i andra stycket 3–6, den som är att anse som förman vid in</w:t>
      </w:r>
      <w:r w:rsidRPr="0008481A">
        <w:softHyphen/>
        <w:t>gripandet.</w:t>
      </w:r>
    </w:p>
    <w:p w:rsidR="003B3271" w:rsidRPr="0008481A" w:rsidRDefault="003B3271">
      <w:pPr>
        <w:pStyle w:val="Rubrik3"/>
      </w:pPr>
      <w:r w:rsidRPr="0008481A">
        <w:t>Bedömning</w:t>
      </w:r>
    </w:p>
    <w:p w:rsidR="003B3271" w:rsidRPr="0008481A" w:rsidRDefault="003B3271">
      <w:r w:rsidRPr="0008481A">
        <w:t>Utredningen i ärendet har begränsats till att avse det ingripande mot supporter</w:t>
      </w:r>
      <w:r w:rsidRPr="0008481A">
        <w:softHyphen/>
        <w:t>bu</w:t>
      </w:r>
      <w:r w:rsidRPr="0008481A">
        <w:t>s</w:t>
      </w:r>
      <w:r w:rsidRPr="0008481A">
        <w:t xml:space="preserve">sen som gjordes vid Nalles Motell av Polismyndigheten i Västmanlands län. Detta innebar att bussen inledningsvis hindrades från att köra in på området, att polisen därefter tillät bussföraren att tanka bussen men att ingen av passagerarna tilläts lämna denna samt att tre passagerare som trots förbudet lämnade bussen fördes upp på denna igen av polisen. </w:t>
      </w:r>
    </w:p>
    <w:p w:rsidR="003B3271" w:rsidRPr="0008481A" w:rsidRDefault="003B3271">
      <w:pPr>
        <w:pStyle w:val="Normaltindrag"/>
      </w:pPr>
      <w:r w:rsidRPr="0008481A">
        <w:t>Polismyndigheten har i sitt remissvar gjort gällande att den haft stöd för sitt förf</w:t>
      </w:r>
      <w:r w:rsidRPr="0008481A">
        <w:t>a</w:t>
      </w:r>
      <w:r w:rsidRPr="0008481A">
        <w:t>rande i 13 c § PL. Som nyss har nämnts får polisen enligt detta lagrum avvisa eller avlägsna deltagare i en folksamling, som inte är en allmän sammankomst eller offentlig tillställning enligt ordningslagen, från det område eller utrymme där de befinner sig, om folksamlingen genom sitt uppträdande stör den allmänna or</w:t>
      </w:r>
      <w:r w:rsidRPr="0008481A">
        <w:t>d</w:t>
      </w:r>
      <w:r w:rsidRPr="0008481A">
        <w:t>ningen eller utgör en omedelbar fara för denna och åtgärden är nödvändig för att ordningen skall kunna upprätthå</w:t>
      </w:r>
      <w:r w:rsidRPr="0008481A">
        <w:t>l</w:t>
      </w:r>
      <w:r w:rsidRPr="0008481A">
        <w:t xml:space="preserve">las. </w:t>
      </w:r>
    </w:p>
    <w:p w:rsidR="003B3271" w:rsidRPr="0008481A" w:rsidRDefault="003B3271">
      <w:pPr>
        <w:pStyle w:val="Normaltindrag"/>
      </w:pPr>
      <w:r w:rsidRPr="0008481A">
        <w:t>Detta lagrum tillkom år 1998 sedan det hade visat sig att reglerna i 13 §</w:t>
      </w:r>
      <w:r w:rsidRPr="0008481A">
        <w:t xml:space="preserve"> PL inte gav polisen tillräckliga möjligheter att komma till rätta med ordnings</w:t>
      </w:r>
      <w:r w:rsidRPr="0008481A">
        <w:softHyphen/>
        <w:t>störningar i stora folksamlingar, eftersom ett ingripande med stöd av dessa regler krävde att förutsättningarna för ingripandet prövades för varje enskild person. Bestämmelsen i 13 c § innebär att polisen kan inskränka prövningen till frågan om folksamlingen som sådan kan anses ha stört den allmänna ordningen och om den mot vilken i</w:t>
      </w:r>
      <w:r w:rsidRPr="0008481A">
        <w:t>n</w:t>
      </w:r>
      <w:r w:rsidRPr="0008481A">
        <w:t xml:space="preserve">gripandet riktar sig kan betraktas som deltagare i folksamlingen (prop. 1996/97:175 s. 26 f.). </w:t>
      </w:r>
    </w:p>
    <w:p w:rsidR="003B3271" w:rsidRPr="0008481A" w:rsidRDefault="003B3271">
      <w:pPr>
        <w:pStyle w:val="Normaltindrag"/>
      </w:pPr>
      <w:r w:rsidRPr="0008481A">
        <w:t>D</w:t>
      </w:r>
      <w:r w:rsidRPr="0008481A">
        <w:t>en situation som är aktuell i ärendet skiljer sig i skilda hänseenden från den som typiskt sett åsyftas i 13 c § PL. Det kan först och främst ifrågasättas om en buss med passagerare över huvud taget kan betecknas som en folk</w:t>
      </w:r>
      <w:r w:rsidRPr="0008481A">
        <w:softHyphen/>
        <w:t>samling i detta la</w:t>
      </w:r>
      <w:r w:rsidRPr="0008481A">
        <w:t>g</w:t>
      </w:r>
      <w:r w:rsidRPr="0008481A">
        <w:t>rums bemä</w:t>
      </w:r>
      <w:r w:rsidRPr="0008481A">
        <w:t>r</w:t>
      </w:r>
      <w:r w:rsidRPr="0008481A">
        <w:t xml:space="preserve">kelse. </w:t>
      </w:r>
    </w:p>
    <w:p w:rsidR="003B3271" w:rsidRPr="0008481A" w:rsidRDefault="003B3271">
      <w:pPr>
        <w:pStyle w:val="Normaltindrag"/>
      </w:pPr>
      <w:r w:rsidRPr="0008481A">
        <w:t>Begreppet folksamling förekommer – förutom i 13 c och 24 §§ polislagen – i straffbestämmelserna i 16 kap. 1–3 §§ brottsbalken om upplopp, våldsamt upplopp och ohörsamhet mot ordningsmakten. Någon närmare beskrivning av vilka slags företeelser som åsy</w:t>
      </w:r>
      <w:r w:rsidRPr="0008481A">
        <w:t>ftas har emellertid inte lämnats av lag</w:t>
      </w:r>
      <w:r w:rsidRPr="0008481A">
        <w:softHyphen/>
        <w:t>stiftaren, utan man får hämta ledning i vanligt språkbruk och i olika exempel på användningen av regle</w:t>
      </w:r>
      <w:r w:rsidRPr="0008481A">
        <w:t>r</w:t>
      </w:r>
      <w:r w:rsidRPr="0008481A">
        <w:t>na som återfinns i förarbeten, kommentarer och rättsfall. I brottsbalkskomment</w:t>
      </w:r>
      <w:r w:rsidRPr="0008481A">
        <w:t>a</w:t>
      </w:r>
      <w:r w:rsidRPr="0008481A">
        <w:t>ren (lösbladsupplagan s. 16:3) nämns som exempel på situationer där straffregeln om upplopp kan vara tillämplig, att en folkmassa under en hyreskonflikt ådag</w:t>
      </w:r>
      <w:r w:rsidRPr="0008481A">
        <w:t>a</w:t>
      </w:r>
      <w:r w:rsidRPr="0008481A">
        <w:t>lägger ett uppsåt att hindra verk</w:t>
      </w:r>
      <w:r w:rsidRPr="0008481A">
        <w:softHyphen/>
        <w:t>ställigheten av vräkningsdomar, eller att en fol</w:t>
      </w:r>
      <w:r w:rsidRPr="0008481A">
        <w:t>k</w:t>
      </w:r>
      <w:r w:rsidRPr="0008481A">
        <w:t>massa under en strejk ådaga</w:t>
      </w:r>
      <w:r w:rsidRPr="0008481A">
        <w:softHyphen/>
        <w:t>lägger uppsåt att med</w:t>
      </w:r>
      <w:r w:rsidRPr="0008481A">
        <w:t xml:space="preserve"> våld hindra arbetsvilliga från att upprätthålla driften. I förarbetena till 24 § polislagen (a. prop. s. 30) talas om en grupp fotbolls</w:t>
      </w:r>
      <w:r w:rsidRPr="0008481A">
        <w:softHyphen/>
        <w:t>supportrar som efter matchens slut uppträder på ett ordningsstöra</w:t>
      </w:r>
      <w:r w:rsidRPr="0008481A">
        <w:t>n</w:t>
      </w:r>
      <w:r w:rsidRPr="0008481A">
        <w:t>de sätt. Det framgår vidare av propositionstexten (s. 82) att en gatudemonstration kan utgöra en folksamling liksom besökarna vid idrottsevenemang av olika slag. I rättsfallet NJA 1989 s. 308 var det fråga om en folksamling om drygt 200 pers</w:t>
      </w:r>
      <w:r w:rsidRPr="0008481A">
        <w:t>o</w:t>
      </w:r>
      <w:r w:rsidRPr="0008481A">
        <w:t xml:space="preserve">ner som hade tagit sig in på en arbetsplats för ett motorvägsbygge </w:t>
      </w:r>
      <w:r w:rsidRPr="0008481A">
        <w:t>i syfte att hindra bygget. I de två JO-beslut som nämns i prop. 1996/97:175 (s. 18) rörde det sig i det första fallet om en folksamling bestående av omkring 100 skinheads som rörde sig från Slottsbacken till Strömbron (dnr 4345-1993 och 4383-1993) och i det andra om ett demonstrationståg bestående av ungefär 200 personer som förflytt</w:t>
      </w:r>
      <w:r w:rsidRPr="0008481A">
        <w:t>a</w:t>
      </w:r>
      <w:r w:rsidRPr="0008481A">
        <w:t xml:space="preserve">de sig i de centrala delarna av Malmö (JO 1996/97 s. 89). </w:t>
      </w:r>
    </w:p>
    <w:p w:rsidR="003B3271" w:rsidRPr="0008481A" w:rsidRDefault="003B3271">
      <w:pPr>
        <w:pStyle w:val="Normaltindrag"/>
      </w:pPr>
      <w:r w:rsidRPr="0008481A">
        <w:t>Det kan mot denna bakgrund konstateras att vad lagstiftaren har haft i tankarna vid tillkomsten av de olika lagregler</w:t>
      </w:r>
      <w:r w:rsidRPr="0008481A">
        <w:t xml:space="preserve"> om folksamlingar som har nämnts i det för</w:t>
      </w:r>
      <w:r w:rsidRPr="0008481A">
        <w:t>e</w:t>
      </w:r>
      <w:r w:rsidRPr="0008481A">
        <w:t>gående uppenbarligen är en större, mer eller mindre tillfällig samling av personer vilka förenas av ett visst gemensamt intresse och som på grund därav agerar sa</w:t>
      </w:r>
      <w:r w:rsidRPr="0008481A">
        <w:t>m</w:t>
      </w:r>
      <w:r w:rsidRPr="0008481A">
        <w:t xml:space="preserve">fällt, exempelvis som deltagare i eller åskådare till en viss aktivitet. Typiskt för en folksamling är vidare att den inte är statisk. Enskilda deltagare i folksamlingen kan komma och gå, och folksamlingen som sådan kan förflytta sig och agera även på annat sätt. </w:t>
      </w:r>
    </w:p>
    <w:p w:rsidR="003B3271" w:rsidRPr="0008481A" w:rsidRDefault="003B3271">
      <w:pPr>
        <w:pStyle w:val="Normaltindrag"/>
      </w:pPr>
      <w:r w:rsidRPr="0008481A">
        <w:t>Man kan däremot inte använda ordet folksam</w:t>
      </w:r>
      <w:r w:rsidRPr="0008481A">
        <w:t>ling som en sammanfattande betec</w:t>
      </w:r>
      <w:r w:rsidRPr="0008481A">
        <w:t>k</w:t>
      </w:r>
      <w:r w:rsidRPr="0008481A">
        <w:t>ning på ett antal personer som rör sig individuellt på en gata eller annan offentlig plats, även om trängseln skulle vara betydande. Det är vidare främmande för va</w:t>
      </w:r>
      <w:r w:rsidRPr="0008481A">
        <w:t>n</w:t>
      </w:r>
      <w:r w:rsidRPr="0008481A">
        <w:t>ligt språkbruk att beteckna passagerare i ett kollektivt transportmedel, t.ex. en buss eller tunnelbanevagn, som en folksamling av det enda skälet att de färdas tillsammans i samma utrymme. Inte heller det förhållandet att passagerarna i en buss exempelvis befinner sig på en föreningsutflykt kan göra dem till en f</w:t>
      </w:r>
      <w:r w:rsidRPr="0008481A">
        <w:t>olksa</w:t>
      </w:r>
      <w:r w:rsidRPr="0008481A">
        <w:t>m</w:t>
      </w:r>
      <w:r w:rsidRPr="0008481A">
        <w:t>ling i ordets gängse mening så länge deras enda gemensamma aktivitet är att fä</w:t>
      </w:r>
      <w:r w:rsidRPr="0008481A">
        <w:t>r</w:t>
      </w:r>
      <w:r w:rsidRPr="0008481A">
        <w:t>das och i övrigt uppehålla sig i bu</w:t>
      </w:r>
      <w:r w:rsidRPr="0008481A">
        <w:t>s</w:t>
      </w:r>
      <w:r w:rsidRPr="0008481A">
        <w:t xml:space="preserve">sen. </w:t>
      </w:r>
    </w:p>
    <w:p w:rsidR="003B3271" w:rsidRPr="0008481A" w:rsidRDefault="003B3271">
      <w:pPr>
        <w:pStyle w:val="Normaltindrag"/>
      </w:pPr>
      <w:r w:rsidRPr="0008481A">
        <w:t>Situationen för passagerarna i ett kollektivt transportmedel utmärks bl.a. av att de inte kan lämna detta så länge det är i rörelse. Det förhållandet att exempelvis ett antal passagerare i en buss under färden uppträder på sådant sätt att ordningen i eller utanför bussen störs kan därför aldrig i sig berättiga till slutsatsen att övriga passagerare i bussen ingår i en ordningsstöran</w:t>
      </w:r>
      <w:r w:rsidRPr="0008481A">
        <w:t>de folksamling. Det kan däremot i en sådan situation finnas anledning att över</w:t>
      </w:r>
      <w:r w:rsidRPr="0008481A">
        <w:softHyphen/>
        <w:t>väga att ingripa mot de enskilda or</w:t>
      </w:r>
      <w:r w:rsidRPr="0008481A">
        <w:t>d</w:t>
      </w:r>
      <w:r w:rsidRPr="0008481A">
        <w:t xml:space="preserve">ningsstörande personerna i bussen med stöd av 13 § PL. Det har emellertid inte framkommit att några sådana ordningsstörningar skulle ha förekommit vid det tillfälle som är föremål för granskning i detta ärende.    </w:t>
      </w:r>
    </w:p>
    <w:p w:rsidR="003B3271" w:rsidRPr="0008481A" w:rsidRDefault="003B3271">
      <w:pPr>
        <w:pStyle w:val="Normaltindrag"/>
      </w:pPr>
      <w:r w:rsidRPr="0008481A">
        <w:t xml:space="preserve">Som nyss har nämnts är den åtgärd som polisen kan vidta med stöd av 13 c § PL att </w:t>
      </w:r>
      <w:r w:rsidRPr="0008481A">
        <w:rPr>
          <w:i/>
        </w:rPr>
        <w:t>avvisa</w:t>
      </w:r>
      <w:r w:rsidRPr="0008481A">
        <w:t xml:space="preserve"> eller</w:t>
      </w:r>
      <w:r w:rsidRPr="0008481A">
        <w:rPr>
          <w:i/>
        </w:rPr>
        <w:t xml:space="preserve"> avlägsna</w:t>
      </w:r>
      <w:r w:rsidRPr="0008481A">
        <w:t xml:space="preserve"> deltagarna i folksamlingen </w:t>
      </w:r>
      <w:r w:rsidRPr="0008481A">
        <w:rPr>
          <w:i/>
        </w:rPr>
        <w:t>från</w:t>
      </w:r>
      <w:r w:rsidRPr="0008481A">
        <w:t xml:space="preserve"> det område eller utry</w:t>
      </w:r>
      <w:r w:rsidRPr="0008481A">
        <w:t>m</w:t>
      </w:r>
      <w:r w:rsidRPr="0008481A">
        <w:t xml:space="preserve">me där de </w:t>
      </w:r>
      <w:r w:rsidRPr="0008481A">
        <w:rPr>
          <w:i/>
        </w:rPr>
        <w:t>befinner sig</w:t>
      </w:r>
      <w:r w:rsidRPr="0008481A">
        <w:t>. Det kan emellertid i fråga om det här aktuella fallet ko</w:t>
      </w:r>
      <w:r w:rsidRPr="0008481A">
        <w:t>n</w:t>
      </w:r>
      <w:r w:rsidRPr="0008481A">
        <w:t>stateras dels att polisens ingripande inledningsvis innebar att bussen med passag</w:t>
      </w:r>
      <w:r w:rsidRPr="0008481A">
        <w:t>e</w:t>
      </w:r>
      <w:r w:rsidRPr="0008481A">
        <w:t xml:space="preserve">rare </w:t>
      </w:r>
      <w:r w:rsidRPr="0008481A">
        <w:rPr>
          <w:i/>
        </w:rPr>
        <w:t>inte tilläts komma in</w:t>
      </w:r>
      <w:r w:rsidRPr="0008481A">
        <w:t xml:space="preserve"> på motellets markområde, dels att det utrymme som pa</w:t>
      </w:r>
      <w:r w:rsidRPr="0008481A">
        <w:t>s</w:t>
      </w:r>
      <w:r w:rsidRPr="0008481A">
        <w:t>sagerarna befann sig i vid tillfället utgjordes av bussen. Inte heller i detta häns</w:t>
      </w:r>
      <w:r w:rsidRPr="0008481A">
        <w:t>e</w:t>
      </w:r>
      <w:r w:rsidRPr="0008481A">
        <w:t>ende överensstämmer således den före</w:t>
      </w:r>
      <w:r w:rsidRPr="0008481A">
        <w:softHyphen/>
        <w:t>liggande situationen med vad lagstiftaren har haft i tankarna vid tillko</w:t>
      </w:r>
      <w:r w:rsidRPr="0008481A">
        <w:t xml:space="preserve">msten av regleringen i 13 c § PL.  </w:t>
      </w:r>
    </w:p>
    <w:p w:rsidR="003B3271" w:rsidRPr="0008481A" w:rsidRDefault="003B3271">
      <w:pPr>
        <w:pStyle w:val="Normaltindrag"/>
      </w:pPr>
      <w:r w:rsidRPr="0008481A">
        <w:t>Det kan tilläggas att en för allmänheten öppen parkeringsplats i anslutning till ett motell inte skyddas av straffbestämmelsen om olaga intrång i 4 kap. 6 § andra stycket brottsbalken och att detsamma har ansetts gälla i fråga om en affärslokal dit allmänheten har fritt tillträde under dess öppethållande (NJA 1995 s. 84). E</w:t>
      </w:r>
      <w:r w:rsidRPr="0008481A">
        <w:t>n</w:t>
      </w:r>
      <w:r w:rsidRPr="0008481A">
        <w:t>bart den omständigheten att motellets ägare inte ville att bussen skulle stanna vid motellet kunde därför inte grunda någon rätt för polisen att ingripa mot vare sig bussens förare eller dess passagerare i syfte att förhindra ett sådant förfara</w:t>
      </w:r>
      <w:r w:rsidRPr="0008481A">
        <w:t>n</w:t>
      </w:r>
      <w:r w:rsidRPr="0008481A">
        <w:t>de.</w:t>
      </w:r>
    </w:p>
    <w:p w:rsidR="003B3271" w:rsidRPr="0008481A" w:rsidRDefault="003B3271">
      <w:pPr>
        <w:pStyle w:val="Normaltindrag"/>
      </w:pPr>
      <w:r w:rsidRPr="0008481A">
        <w:t>Jag kan mot den angivna bakgrunden inte finna annat än att det saknades rättsligt stöd för polisens inledande åtgärd att hindra bussen från att köra in på parkering</w:t>
      </w:r>
      <w:r w:rsidRPr="0008481A">
        <w:t>s</w:t>
      </w:r>
      <w:r w:rsidRPr="0008481A">
        <w:t xml:space="preserve">platsen. Den fråga som härefter uppkommer är om polisen hade stöd för att hindra passagerarna att lämna bussen efter det att denna hade tillåtits köra fram till en bränslepump samt därefter avvisa bussen med passagerare från platsen. </w:t>
      </w:r>
    </w:p>
    <w:p w:rsidR="003B3271" w:rsidRPr="0008481A" w:rsidRDefault="003B3271">
      <w:pPr>
        <w:pStyle w:val="Normaltindrag"/>
      </w:pPr>
      <w:r w:rsidRPr="0008481A">
        <w:t>Det är uppenbart att busspassagerare efter att ha lämnat bussen kan komma att bilda en folksamling i den bemärkelse som jag har angett i det före</w:t>
      </w:r>
      <w:r w:rsidRPr="0008481A">
        <w:softHyphen/>
        <w:t>gående. Re</w:t>
      </w:r>
      <w:r w:rsidRPr="0008481A">
        <w:t>g</w:t>
      </w:r>
      <w:r w:rsidRPr="0008481A">
        <w:t>lerna i 13 c § PL tillåter emellertid inte att polisen i syfte att förhindra en befarad ordningsstörning vidtar åtgärder för att förhindra att en folksamling kommer till stånd. Regeln tillåter enligt sin ordalydelse endast ingripanden mot redan exist</w:t>
      </w:r>
      <w:r w:rsidRPr="0008481A">
        <w:t>e</w:t>
      </w:r>
      <w:r w:rsidRPr="0008481A">
        <w:t>rande folksamlin</w:t>
      </w:r>
      <w:r w:rsidRPr="0008481A">
        <w:t>g</w:t>
      </w:r>
      <w:r w:rsidRPr="0008481A">
        <w:t xml:space="preserve">ar. </w:t>
      </w:r>
    </w:p>
    <w:p w:rsidR="003B3271" w:rsidRPr="0008481A" w:rsidRDefault="003B3271">
      <w:pPr>
        <w:pStyle w:val="Normaltindrag"/>
      </w:pPr>
      <w:r w:rsidRPr="0008481A">
        <w:t>För att man skall kunna ingripa mot en folksamling på grund av en befarad or</w:t>
      </w:r>
      <w:r w:rsidRPr="0008481A">
        <w:t>d</w:t>
      </w:r>
      <w:r w:rsidRPr="0008481A">
        <w:t>ningsstörning krävs enligt 13 c § PL att denna genom sitt uppträdande utgör en omedelbar fara för den allmänna ordningen. Detta innebär att faran måste vara konkret och påtaglig. Såvitt gäller tillämpningen av 13 § PL har en persons blotta närvaro på en plats inte ansetts innebära en sådan konkret fara ens om det är känt att v</w:t>
      </w:r>
      <w:r w:rsidRPr="0008481A">
        <w:t>e</w:t>
      </w:r>
      <w:r w:rsidRPr="0008481A">
        <w:t>derbörande brukar bråka och uppträda ordnings</w:t>
      </w:r>
      <w:r w:rsidRPr="0008481A">
        <w:softHyphen/>
        <w:t>störande (Berggren – Munck, Pol</w:t>
      </w:r>
      <w:r w:rsidRPr="0008481A">
        <w:t>i</w:t>
      </w:r>
      <w:r w:rsidRPr="0008481A">
        <w:t>s</w:t>
      </w:r>
      <w:r w:rsidRPr="0008481A">
        <w:softHyphen/>
      </w:r>
      <w:r w:rsidRPr="0008481A">
        <w:softHyphen/>
        <w:t xml:space="preserve">lagen. En kommentar, tredje uppl. s. 95). </w:t>
      </w:r>
    </w:p>
    <w:p w:rsidR="003B3271" w:rsidRPr="0008481A" w:rsidRDefault="003B3271">
      <w:pPr>
        <w:pStyle w:val="Normaltindrag"/>
      </w:pPr>
      <w:r w:rsidRPr="0008481A">
        <w:t>Som nyss har nämnts har det inte framkommit några uppgifte</w:t>
      </w:r>
      <w:r w:rsidRPr="0008481A">
        <w:t>r om att fot</w:t>
      </w:r>
      <w:r w:rsidRPr="0008481A">
        <w:softHyphen/>
        <w:t>bolls</w:t>
      </w:r>
      <w:r w:rsidRPr="0008481A">
        <w:softHyphen/>
        <w:t>su</w:t>
      </w:r>
      <w:r w:rsidRPr="0008481A">
        <w:t>p</w:t>
      </w:r>
      <w:r w:rsidRPr="0008481A">
        <w:t>portrarna skulle ha uppträtt ordningsstörande medan de befann sig i bussen. Hur de skulle ha uppträtt om de hade tillåtits lämna denna kan bara bli föremål för antaganden. Polismyndigheten har i remissvaret som enda grund för bedömningen att busspassagerarna utgjorde en omedelbar fara för den allmänna ordningen på platsen åberopat hur ett antal oidentifierade supportrar hade betett sig i anslutning till matchen i Göteborg. Det kan emeller</w:t>
      </w:r>
      <w:r w:rsidRPr="0008481A">
        <w:softHyphen/>
        <w:t xml:space="preserve">tid i detta hänseende konstateras dels att det </w:t>
      </w:r>
      <w:r w:rsidRPr="0008481A">
        <w:t>inte fanns någon utredning som visade om någon eller några av dessa personer befann sig i den buss som stannade vid Nalles Motell, dels att ett ordningsstörande beteende flera timmar tidigare och på en helt annan plats inte utgör en sådan ko</w:t>
      </w:r>
      <w:r w:rsidRPr="0008481A">
        <w:t>n</w:t>
      </w:r>
      <w:r w:rsidRPr="0008481A">
        <w:t>kret indikation på omedelbar fara för den allmänna ordningen som åsyftas i 13 c § PL. Det är vidare uppenbart att inte heller det förhållandet att tre passagerare trots förbud lämnade bussen kan anses innebära att en folk</w:t>
      </w:r>
      <w:r w:rsidRPr="0008481A">
        <w:softHyphen/>
        <w:t>samling genom sitt beteende utgjo</w:t>
      </w:r>
      <w:r w:rsidRPr="0008481A">
        <w:t>r</w:t>
      </w:r>
      <w:r w:rsidRPr="0008481A">
        <w:t>de en omedelba</w:t>
      </w:r>
      <w:r w:rsidRPr="0008481A">
        <w:t>r fara för den allmänna ordningen.</w:t>
      </w:r>
    </w:p>
    <w:p w:rsidR="003B3271" w:rsidRPr="0008481A" w:rsidRDefault="003B3271">
      <w:pPr>
        <w:pStyle w:val="Normaltindrag"/>
      </w:pPr>
      <w:r w:rsidRPr="0008481A">
        <w:t xml:space="preserve">Det kan av nu angivna skäl konstateras att också polisens handlande efter det att bussen hade tillåtits köra in på området saknade stöd i 13 c § PL.  </w:t>
      </w:r>
    </w:p>
    <w:p w:rsidR="003B3271" w:rsidRPr="0008481A" w:rsidRDefault="003B3271">
      <w:pPr>
        <w:pStyle w:val="Normaltindrag"/>
      </w:pPr>
      <w:r w:rsidRPr="0008481A">
        <w:t>Av vad som har sagts i det föregående framgår att inte heller 24 § PL var tilläm</w:t>
      </w:r>
      <w:r w:rsidRPr="0008481A">
        <w:t>p</w:t>
      </w:r>
      <w:r w:rsidRPr="0008481A">
        <w:t>lig vid tillfället. För att polismyndigheten med stöd av denna paragraf skall kunna förbjuda tillträde till ett visst område eller anvisa deltagare i en folksamling att följa viss väg krävs att det föreligger allvarliga störningar av den allmänna or</w:t>
      </w:r>
      <w:r w:rsidRPr="0008481A">
        <w:t>d</w:t>
      </w:r>
      <w:r w:rsidRPr="0008481A">
        <w:t>ningen och säkerheten eller risk för sådana störningar samt att åtgärden är nö</w:t>
      </w:r>
      <w:r w:rsidRPr="0008481A">
        <w:t>d</w:t>
      </w:r>
      <w:r w:rsidRPr="0008481A">
        <w:t>vändig för att ordningen eller säkerheten skall kunna upprätthållas. Också i detta fall måste risken vara konkret (prop. 1996/97:175 s. 82). Såvitt gäller befogenheten att anvisa väg</w:t>
      </w:r>
      <w:r w:rsidRPr="0008481A">
        <w:t xml:space="preserve"> tillkommer att det varken i lagtexten eller motivtexten finns någo</w:t>
      </w:r>
      <w:r w:rsidRPr="0008481A">
        <w:t>n</w:t>
      </w:r>
      <w:r w:rsidRPr="0008481A">
        <w:t>ting som tyder på att regeln i 24 § andra stycket PL skulle innefatta rätt att anvisa väg för fordon. Jag har i ett tidigare ärende behandlat frågan om de rättsliga föru</w:t>
      </w:r>
      <w:r w:rsidRPr="0008481A">
        <w:t>t</w:t>
      </w:r>
      <w:r w:rsidRPr="0008481A">
        <w:t xml:space="preserve">sättningarna för att anvisa färdväg för fordon med fotbollssupportrar (JO 1993/94 s. 108 f.).  </w:t>
      </w:r>
    </w:p>
    <w:p w:rsidR="003B3271" w:rsidRPr="0008481A" w:rsidRDefault="003B3271">
      <w:pPr>
        <w:pStyle w:val="Normaltindrag"/>
      </w:pPr>
      <w:r w:rsidRPr="0008481A">
        <w:t>Jag övergår härefter till att behandla dokumentationen av ingripandet. Som fra</w:t>
      </w:r>
      <w:r w:rsidRPr="0008481A">
        <w:t>m</w:t>
      </w:r>
      <w:r w:rsidRPr="0008481A">
        <w:t>går av redogörelsen för den rättsliga regleringen skall enligt 27 § PL protokoll föras över ett ingripande som innebär att någon avvisas, avlägsnas, omhändertas eller grips. I paragrafen anges sedan närmare vilka uppgifter som skall finnas i ett sådant protokoll.</w:t>
      </w:r>
    </w:p>
    <w:p w:rsidR="003B3271" w:rsidRPr="0008481A" w:rsidRDefault="003B3271">
      <w:pPr>
        <w:pStyle w:val="Normaltindrag"/>
      </w:pPr>
      <w:r w:rsidRPr="0008481A">
        <w:t>I utredningen har inte framkommit något protokoll av det slag som avses i 27 § PL. Den enda dokumentation som finns är det ingripandemeddelande som har nämnts i det föregående. Av detta kan emellertid inte utläsas vilken befattning</w:t>
      </w:r>
      <w:r w:rsidRPr="0008481A">
        <w:t>s</w:t>
      </w:r>
      <w:r w:rsidRPr="0008481A">
        <w:t>havare vid polismyndigheten som fattade beslutet om ingripandet, och det har inte heller på ett fullständigt sätt angetts vilka polismän som medverkade vid detta. Vidare saknas en tillfredsställande redogörelse för skälen för ingripandet och för vad som i övrigt förekommit vid tillfället. Jag vill särskilt framhålla att det inte är  tillräckligt att som grund för ett in</w:t>
      </w:r>
      <w:r w:rsidRPr="0008481A">
        <w:softHyphen/>
        <w:t>gripande ange endast det lagrum som har ti</w:t>
      </w:r>
      <w:r w:rsidRPr="0008481A">
        <w:t>l</w:t>
      </w:r>
      <w:r w:rsidRPr="0008481A">
        <w:t>lämpats. Tiden för ingripandet framgår av ingripandemeddelandet, men det finns däremot inte någ</w:t>
      </w:r>
      <w:r w:rsidRPr="0008481A">
        <w:t>ra namn</w:t>
      </w:r>
      <w:r w:rsidRPr="0008481A">
        <w:softHyphen/>
        <w:t>uppgifter avseende de personer som ingripandet riktat sig emot. Att man i ett fall som det här aktuella inte dokument</w:t>
      </w:r>
      <w:r w:rsidRPr="0008481A">
        <w:t>e</w:t>
      </w:r>
      <w:r w:rsidRPr="0008481A">
        <w:t>rar några namn</w:t>
      </w:r>
      <w:r w:rsidRPr="0008481A">
        <w:softHyphen/>
        <w:t>uppgifter framstår emellertid som naturligt, eftersom det skulle innebära en bet</w:t>
      </w:r>
      <w:r w:rsidRPr="0008481A">
        <w:t>y</w:t>
      </w:r>
      <w:r w:rsidRPr="0008481A">
        <w:t>dande olägen</w:t>
      </w:r>
      <w:r w:rsidRPr="0008481A">
        <w:softHyphen/>
        <w:t>het för de personer som utsatts för ingripandet att stanna kvar på platsen i avvaktan på att polisen tar upp sådana uppgifter. Man måste emellertid då på något annat tydligt sätt ange de personer som ingripandet riktats mot – t.ex. i ett fall som det här aktuella genom att ang</w:t>
      </w:r>
      <w:r w:rsidRPr="0008481A">
        <w:t xml:space="preserve">e bussens registreringsnummer och antalet passagerare – så att det i efterhand inte kan uppkomma någon oklarhet i detta hänseende. </w:t>
      </w:r>
    </w:p>
    <w:p w:rsidR="003B3271" w:rsidRPr="0008481A" w:rsidRDefault="003B3271">
      <w:pPr>
        <w:pStyle w:val="Normaltindrag"/>
      </w:pPr>
      <w:r w:rsidRPr="0008481A">
        <w:t>Det kan sammanfattningsvis konstateras att den tillgängliga dokumenta</w:t>
      </w:r>
      <w:r w:rsidRPr="0008481A">
        <w:softHyphen/>
        <w:t>tionen inte uppfyller de krav som polislagen uppställer.</w:t>
      </w:r>
    </w:p>
    <w:p w:rsidR="003B3271" w:rsidRPr="0008481A" w:rsidRDefault="003B3271">
      <w:pPr>
        <w:pStyle w:val="Normaltindrag"/>
      </w:pPr>
      <w:r w:rsidRPr="0008481A">
        <w:t>Mina iakttagelser i detta ärende är av den arten att det finns anledning att fästa Justitiedepartementets uppmärksamhet på förhållandena. Jag över</w:t>
      </w:r>
      <w:r w:rsidRPr="0008481A">
        <w:softHyphen/>
        <w:t>lämnar därför en kopia av beslutet dit. Jag överlämnar vidare en kopia av beslutet till justitieu</w:t>
      </w:r>
      <w:r w:rsidRPr="0008481A">
        <w:t>t</w:t>
      </w:r>
      <w:r w:rsidRPr="0008481A">
        <w:t>skottet för kännedom.</w:t>
      </w:r>
    </w:p>
    <w:p w:rsidR="003B3271" w:rsidRPr="0008481A" w:rsidRDefault="003B3271">
      <w:pPr>
        <w:pStyle w:val="Rubrik2"/>
      </w:pPr>
      <w:r w:rsidRPr="0008481A">
        <w:t>Fråga om rättsenligheten av polisens spaningsmetod att an</w:t>
      </w:r>
      <w:r w:rsidRPr="0008481A">
        <w:softHyphen/>
        <w:t>vända en inköpt motorcykel av märket Harley-Davidson som ”lockbete” i brottsutredningar samt vissa uttalanden om de problem som kan up</w:t>
      </w:r>
      <w:r w:rsidRPr="0008481A">
        <w:t>p</w:t>
      </w:r>
      <w:r w:rsidRPr="0008481A">
        <w:t>komma till följd av skador på eller vållade av ett polisen tillhörigt motorfo</w:t>
      </w:r>
      <w:r w:rsidRPr="0008481A">
        <w:t>r</w:t>
      </w:r>
      <w:r w:rsidRPr="0008481A">
        <w:t>don som är försäkrat</w:t>
      </w:r>
    </w:p>
    <w:p w:rsidR="003B3271" w:rsidRPr="0008481A" w:rsidRDefault="003B3271">
      <w:r w:rsidRPr="0008481A">
        <w:t>(Dnr 3240-1998)</w:t>
      </w:r>
    </w:p>
    <w:p w:rsidR="003B3271" w:rsidRPr="0008481A" w:rsidRDefault="003B3271">
      <w:pPr>
        <w:pStyle w:val="Rubrik3"/>
      </w:pPr>
      <w:r w:rsidRPr="0008481A">
        <w:t>Bakgrund</w:t>
      </w:r>
    </w:p>
    <w:p w:rsidR="003B3271" w:rsidRPr="0008481A" w:rsidRDefault="003B3271">
      <w:r w:rsidRPr="0008481A">
        <w:t>Den 27 augusti 1998 publicerades i Svenska Dagbladet en artikel om en ”udda polismetod” som hade använts av Polismyndigheten i Stockholms län. Enligt art</w:t>
      </w:r>
      <w:r w:rsidRPr="0008481A">
        <w:t>i</w:t>
      </w:r>
      <w:r w:rsidRPr="0008481A">
        <w:t>keln hade myndigheten inköpt en motorcykel av märket Harley-Davidson, som var värd 177 000 kr, och ställt den på Hornsgatan i Stockholm som ”lockbete”, varefter motorcykeln hade tillgripits och gärning</w:t>
      </w:r>
      <w:r w:rsidRPr="0008481A">
        <w:t>s</w:t>
      </w:r>
      <w:r w:rsidRPr="0008481A">
        <w:softHyphen/>
        <w:t xml:space="preserve">mannen gripits efter en kort färd. </w:t>
      </w:r>
    </w:p>
    <w:p w:rsidR="003B3271" w:rsidRPr="0008481A" w:rsidRDefault="003B3271">
      <w:r w:rsidRPr="0008481A">
        <w:t xml:space="preserve">Med anledning av uppgifterna i artikeln beslutade </w:t>
      </w:r>
      <w:r w:rsidRPr="0008481A">
        <w:rPr>
          <w:i/>
        </w:rPr>
        <w:t>chefsJO Eklundh</w:t>
      </w:r>
      <w:r w:rsidRPr="0008481A">
        <w:t xml:space="preserve"> att ta upp fö</w:t>
      </w:r>
      <w:r w:rsidRPr="0008481A">
        <w:t>r</w:t>
      </w:r>
      <w:r w:rsidRPr="0008481A">
        <w:t xml:space="preserve">hållandena till utredning i ett särskilt ärende.  </w:t>
      </w:r>
    </w:p>
    <w:p w:rsidR="003B3271" w:rsidRPr="0008481A" w:rsidRDefault="003B3271">
      <w:pPr>
        <w:pStyle w:val="Rubrik3"/>
      </w:pPr>
      <w:r w:rsidRPr="0008481A">
        <w:t>Utredning</w:t>
      </w:r>
    </w:p>
    <w:p w:rsidR="003B3271" w:rsidRPr="0008481A" w:rsidRDefault="003B3271">
      <w:r w:rsidRPr="0008481A">
        <w:t>Polismyndighetens handlingar i ärenden – – –</w:t>
      </w:r>
      <w:r w:rsidRPr="0008481A">
        <w:rPr>
          <w:rFonts w:ascii="Garamond" w:hAnsi="Garamond"/>
        </w:rPr>
        <w:t xml:space="preserve"> </w:t>
      </w:r>
      <w:r w:rsidRPr="0008481A">
        <w:t>infordrades. Muntliga upp</w:t>
      </w:r>
      <w:r w:rsidRPr="0008481A">
        <w:softHyphen/>
        <w:t xml:space="preserve">lysningar inhämtades från polisöverintendent Leif Jennekvist.  </w:t>
      </w:r>
    </w:p>
    <w:p w:rsidR="003B3271" w:rsidRPr="0008481A" w:rsidRDefault="003B3271">
      <w:pPr>
        <w:pStyle w:val="Normaltindrag"/>
      </w:pPr>
      <w:r w:rsidRPr="0008481A">
        <w:t xml:space="preserve">Polismyndigheten anmodades härefter att inkomma med utredning och yttrande enligt följande. </w:t>
      </w:r>
    </w:p>
    <w:p w:rsidR="003B3271" w:rsidRPr="0008481A" w:rsidRDefault="003B3271">
      <w:pPr>
        <w:pStyle w:val="Citat"/>
      </w:pPr>
      <w:r w:rsidRPr="0008481A">
        <w:t>Vilka överväganden gjordes inför köpet av motorcykeln? Var det förenligt med gällande bestä</w:t>
      </w:r>
      <w:r w:rsidRPr="0008481A">
        <w:t>m</w:t>
      </w:r>
      <w:r w:rsidRPr="0008481A">
        <w:t>melser att använda statens medel för att köpa in motor</w:t>
      </w:r>
      <w:r w:rsidRPr="0008481A">
        <w:softHyphen/>
        <w:t>cykeln och använda den på det sätt som gjordes (jfr JO 1992/93 s. 192)?</w:t>
      </w:r>
    </w:p>
    <w:p w:rsidR="003B3271" w:rsidRPr="0008481A" w:rsidRDefault="003B3271">
      <w:pPr>
        <w:pStyle w:val="Citatindrag"/>
      </w:pPr>
      <w:r w:rsidRPr="0008481A">
        <w:t>Vilken bedömning gjordes av risken att förlora motorcykeln?</w:t>
      </w:r>
    </w:p>
    <w:p w:rsidR="003B3271" w:rsidRPr="0008481A" w:rsidRDefault="003B3271">
      <w:pPr>
        <w:pStyle w:val="Citatindrag"/>
      </w:pPr>
      <w:r w:rsidRPr="0008481A">
        <w:t>Vilka allmänna överväganden gjordes inför användningen av motor</w:t>
      </w:r>
      <w:r w:rsidRPr="0008481A">
        <w:softHyphen/>
        <w:t>cykeln?</w:t>
      </w:r>
    </w:p>
    <w:p w:rsidR="003B3271" w:rsidRPr="0008481A" w:rsidRDefault="003B3271">
      <w:pPr>
        <w:pStyle w:val="Citatindrag"/>
      </w:pPr>
      <w:r w:rsidRPr="0008481A">
        <w:t>Vilka överväganden föregick beslutet att ställa ut motorcykeln på Vikinga</w:t>
      </w:r>
      <w:r w:rsidRPr="0008481A">
        <w:softHyphen/>
        <w:t>gatan den 30 juni och på Hornsgatan den 9 juli 1998 och vad var syftet med åtgärderna?</w:t>
      </w:r>
    </w:p>
    <w:p w:rsidR="003B3271" w:rsidRPr="0008481A" w:rsidRDefault="003B3271">
      <w:r w:rsidRPr="0008481A">
        <w:t>Myndigheten skulle vidare yttra sig och redovisa sin bedömning av det som hade kommit fram. Av yttrandet skulle bl.a. framgå om det var förenligt med 2 § 1 p</w:t>
      </w:r>
      <w:r w:rsidRPr="0008481A">
        <w:t>o</w:t>
      </w:r>
      <w:r w:rsidRPr="0008481A">
        <w:t>lislagen (1984:387) att använda motorcykeln på det sätt som gjorts.</w:t>
      </w:r>
    </w:p>
    <w:p w:rsidR="003B3271" w:rsidRPr="0008481A" w:rsidRDefault="003B3271">
      <w:pPr>
        <w:pStyle w:val="Normaltindrag"/>
      </w:pPr>
      <w:r w:rsidRPr="0008481A">
        <w:t>Polismyndigheten i Stockholms län (länspolismästare Gunno Gunnmo) inkom med ett yttrande.</w:t>
      </w:r>
    </w:p>
    <w:p w:rsidR="003B3271" w:rsidRPr="0008481A" w:rsidRDefault="003B3271">
      <w:pPr>
        <w:pStyle w:val="Normaltindrag"/>
      </w:pPr>
      <w:r w:rsidRPr="0008481A">
        <w:t>Härefter begärdes yttrande från Rikspolisstyrelsen och Riksåklagaren med u</w:t>
      </w:r>
      <w:r w:rsidRPr="0008481A">
        <w:t>t</w:t>
      </w:r>
      <w:r w:rsidRPr="0008481A">
        <w:t xml:space="preserve">gångspunkt i de frågor som ställts till Polismyndigheten i Stockholms län.   </w:t>
      </w:r>
    </w:p>
    <w:p w:rsidR="003B3271" w:rsidRPr="0008481A" w:rsidRDefault="003B3271">
      <w:pPr>
        <w:pStyle w:val="Normaltindrag"/>
      </w:pPr>
      <w:r w:rsidRPr="0008481A">
        <w:t xml:space="preserve">Rikspolisstyrelsen (överdirektören Olof Egerstedt) och Riksåklagaren (biträdande riksåklagaren Solveig Riberdahl) inkom med yttranden. </w:t>
      </w:r>
    </w:p>
    <w:p w:rsidR="003B3271" w:rsidRPr="0008481A" w:rsidRDefault="003B3271">
      <w:pPr>
        <w:pStyle w:val="Rubrik3"/>
      </w:pPr>
      <w:r w:rsidRPr="0008481A">
        <w:t>Utredningens resultat</w:t>
      </w:r>
    </w:p>
    <w:p w:rsidR="003B3271" w:rsidRPr="0008481A" w:rsidRDefault="003B3271">
      <w:pPr>
        <w:pStyle w:val="Rubrik4"/>
        <w:spacing w:before="120"/>
      </w:pPr>
      <w:r w:rsidRPr="0008481A">
        <w:t>Genomgång av handlingar</w:t>
      </w:r>
    </w:p>
    <w:p w:rsidR="003B3271" w:rsidRPr="0008481A" w:rsidRDefault="003B3271">
      <w:r w:rsidRPr="0008481A">
        <w:t>Av en polisanmälan upprättad den 10 juli 1998 i ärende – – – och en prome</w:t>
      </w:r>
      <w:r w:rsidRPr="0008481A">
        <w:softHyphen/>
        <w:t>moria upprättad samma dag av inspektören Anders Jarkell framgick bl.a. fö</w:t>
      </w:r>
      <w:r w:rsidRPr="0008481A">
        <w:t>l</w:t>
      </w:r>
      <w:r w:rsidRPr="0008481A">
        <w:t>jande.</w:t>
      </w:r>
    </w:p>
    <w:p w:rsidR="003B3271" w:rsidRPr="0008481A" w:rsidRDefault="003B3271">
      <w:pPr>
        <w:pStyle w:val="Normaltindrag"/>
      </w:pPr>
      <w:r w:rsidRPr="0008481A">
        <w:t>Inom ramen för en insats med anledning av stölder av motorcyklar av fabrikat Harley-Davidson (HD) parkerade polisen den 9 juli 1998 den i ärendet aktuella motorcykeln på Hornsgatan. Kl. 20.15 iakttogs J.P. när han färdades i en bil på Hornsgatan. Eftersom denne tidigare hade varit misstänkt för ”stöld av Harley Davidson”, bestämde man sig för att hålla honom under uppsikt. J.P. återkom kl. 21.40. Han gick ur bilen och fram til</w:t>
      </w:r>
      <w:r w:rsidRPr="0008481A">
        <w:t>l motorcykeln, där han stannade i ca 20 s</w:t>
      </w:r>
      <w:r w:rsidRPr="0008481A">
        <w:t>e</w:t>
      </w:r>
      <w:r w:rsidRPr="0008481A">
        <w:t>kunder, varefter han körde från platsen i sin bil. Strax efter midnatt kom J.P. til</w:t>
      </w:r>
      <w:r w:rsidRPr="0008481A">
        <w:t>l</w:t>
      </w:r>
      <w:r w:rsidRPr="0008481A">
        <w:t>baka. Han lyfte på motorcykelns låskätting och vred på styret, varefter han lämn</w:t>
      </w:r>
      <w:r w:rsidRPr="0008481A">
        <w:t>a</w:t>
      </w:r>
      <w:r w:rsidRPr="0008481A">
        <w:t>de platsen. Vid 01.15-tiden återkom J.P. tillsammans med en annan person. Sedan också den andre personen hade undersökt motorcykeln, dröjde sig denne och J.P. kvar till dess två andra personer som befann sig i närheten hade försvunnit. De gick kl. 01.41 fram till motorcykeln och klippte av låskättingen m</w:t>
      </w:r>
      <w:r w:rsidRPr="0008481A">
        <w:t>ed en bultsax, varefter de åkte därifrån i J.P:s bil. Kl. 01.47 gick J.P. fram till motorcykeln och tog bort kättingen. Kl. 01.55 var J.P. och hans kamrat tillbaka och bröt motorc</w:t>
      </w:r>
      <w:r w:rsidRPr="0008481A">
        <w:t>y</w:t>
      </w:r>
      <w:r w:rsidRPr="0008481A">
        <w:t>kelns tändningslås, varefter de åter lämnade motorcykeln. En minut senare åte</w:t>
      </w:r>
      <w:r w:rsidRPr="0008481A">
        <w:t>r</w:t>
      </w:r>
      <w:r w:rsidRPr="0008481A">
        <w:t>kom J.P., varefter han startade motorcykeln och åkte från platsen. Anders Jarkell följde efter J.P. på motorcykel. När J.P. hade stannat på en grusplan ställde A</w:t>
      </w:r>
      <w:r w:rsidRPr="0008481A">
        <w:t>n</w:t>
      </w:r>
      <w:r w:rsidRPr="0008481A">
        <w:t>ders Jarkell sin motorcykel så att de två cyklarna stod ”framhjul mot framhjul”. J.P. försök</w:t>
      </w:r>
      <w:r w:rsidRPr="0008481A">
        <w:t>te då komma undan genom att köra från platsen. Anders Jarkell, som ansåg att det var stor risk att J.P. skulle komma undan tog ett språng över till den stulna motorcykeln men lyckades inte hålla sig kvar på denna. Samtidigt som A</w:t>
      </w:r>
      <w:r w:rsidRPr="0008481A">
        <w:t>n</w:t>
      </w:r>
      <w:r w:rsidRPr="0008481A">
        <w:t>ders Jarkell tappade greppet om J.P. för</w:t>
      </w:r>
      <w:r w:rsidRPr="0008481A">
        <w:softHyphen/>
        <w:t>lorade denne kontrollen över motorcykeln, som kolliderade med och skadade en parkerad bil. J.P. försvann springande från platsen och lyckades und</w:t>
      </w:r>
      <w:r w:rsidRPr="0008481A">
        <w:softHyphen/>
        <w:t xml:space="preserve">komma. Han anhölls i sin frånvaro den 10 juli 1998 och greps den 11 augusti samma år. </w:t>
      </w:r>
    </w:p>
    <w:p w:rsidR="003B3271" w:rsidRPr="0008481A" w:rsidRDefault="003B3271">
      <w:pPr>
        <w:pStyle w:val="Normaltindrag"/>
      </w:pPr>
      <w:r w:rsidRPr="0008481A">
        <w:t>Enligt e</w:t>
      </w:r>
      <w:r w:rsidRPr="0008481A">
        <w:t xml:space="preserve">tt beslagsprotokoll upprättat den 10 juli 1998 kl. 04.25 togs en bil och fem bärbara datorer i beslag på den adress där försöket att gripa J.P. hade gjorts. </w:t>
      </w:r>
    </w:p>
    <w:p w:rsidR="003B3271" w:rsidRPr="0008481A" w:rsidRDefault="003B3271">
      <w:pPr>
        <w:pStyle w:val="Rubrik4"/>
      </w:pPr>
      <w:r w:rsidRPr="0008481A">
        <w:t xml:space="preserve">Polismyndighetens i Stockholms län  yttrande (Gunno Gunnmo) </w:t>
      </w:r>
    </w:p>
    <w:p w:rsidR="003B3271" w:rsidRPr="0008481A" w:rsidRDefault="003B3271">
      <w:r w:rsidRPr="0008481A">
        <w:t>I fråga om bakgrunden till och övervägandena inför köpet av motorcykeln anförde polismyndigheten i huvudsak följande. Antalet stölder av HD-motor</w:t>
      </w:r>
      <w:r w:rsidRPr="0008481A">
        <w:softHyphen/>
        <w:t>cyklar hade ökat markant. Av de cyklar som stals under perioden 1995–1997 hade 80 stycken – eller 90 % – inte återfunnits vid tiden för de aktioner som är aktuella i ärendet. Den låga andelen återfunna HD-motorcyklar talade för att det var fråga om en organiserad brottslighet, och detta antagande stöddes av det förhållandet att ett antal av motorcyklarna hade återfunnits hos med</w:t>
      </w:r>
      <w:r w:rsidRPr="0008481A">
        <w:softHyphen/>
        <w:t>lemmar av kriminella mc-gäng. Den aktion som är aktuell i ärendet medförde bl.a. att tre personbilar, fem bärbara datorer, åtta r</w:t>
      </w:r>
      <w:r w:rsidRPr="0008481A">
        <w:t>adioapparater och en cd-växlare togs i beslag. Vidare minskade efter aktionen antalet stölder av HD-motorcyklar med 74 %. Huvudskälet till i</w:t>
      </w:r>
      <w:r w:rsidRPr="0008481A">
        <w:t>n</w:t>
      </w:r>
      <w:r w:rsidRPr="0008481A">
        <w:t>köpet av HD-motorcykeln var att denna skulle användas i spaningsverksamhet. Sådan användning som kom att att äga rum på Hornsgatan var inte någonting som motiverade inköpet utan betraktades snarare som ”en välkommen bieffekt”. Ink</w:t>
      </w:r>
      <w:r w:rsidRPr="0008481A">
        <w:t>ö</w:t>
      </w:r>
      <w:r w:rsidRPr="0008481A">
        <w:t>pet av motorcykeln finansierades med medel som år 1998 hade ställts till poli</w:t>
      </w:r>
      <w:r w:rsidRPr="0008481A">
        <w:t>s</w:t>
      </w:r>
      <w:r w:rsidRPr="0008481A">
        <w:t>myndi</w:t>
      </w:r>
      <w:r w:rsidRPr="0008481A">
        <w:t>g</w:t>
      </w:r>
      <w:r w:rsidRPr="0008481A">
        <w:t>hetens förfogande för bekämpandet av mc-brottslighet.</w:t>
      </w:r>
    </w:p>
    <w:p w:rsidR="003B3271" w:rsidRPr="0008481A" w:rsidRDefault="003B3271">
      <w:pPr>
        <w:pStyle w:val="Normaltindrag"/>
      </w:pPr>
      <w:r w:rsidRPr="0008481A">
        <w:t xml:space="preserve">I </w:t>
      </w:r>
      <w:r w:rsidRPr="0008481A">
        <w:t xml:space="preserve">polismyndighetens yttrande anfördes i övrigt följande.   </w:t>
      </w:r>
    </w:p>
    <w:p w:rsidR="003B3271" w:rsidRPr="0008481A" w:rsidRDefault="003B3271">
      <w:pPr>
        <w:pStyle w:val="Rubrik5"/>
      </w:pPr>
      <w:r w:rsidRPr="0008481A">
        <w:t>Vilken bedömning gjordes inför risken att förlora motorcykeln?</w:t>
      </w:r>
    </w:p>
    <w:p w:rsidR="003B3271" w:rsidRPr="0008481A" w:rsidRDefault="003B3271">
      <w:pPr>
        <w:pStyle w:val="Citat"/>
      </w:pPr>
      <w:r w:rsidRPr="0008481A">
        <w:t>I inledningsskedet av aktionen den 9 juli då de misstänkta första gången observerades på Horn</w:t>
      </w:r>
      <w:r w:rsidRPr="0008481A">
        <w:t>s</w:t>
      </w:r>
      <w:r w:rsidRPr="0008481A">
        <w:t>gatan bevakades motorcykeln av fem polismän, varav fyra förfogade över varsin personbil medan den femte innehade en spaningsmotorcykel. Vid tidpunkten för stölden deltog ytterligare 10 p</w:t>
      </w:r>
      <w:r w:rsidRPr="0008481A">
        <w:t>o</w:t>
      </w:r>
      <w:r w:rsidRPr="0008481A">
        <w:t>lis</w:t>
      </w:r>
      <w:r w:rsidRPr="0008481A">
        <w:softHyphen/>
        <w:t>män i aktionen.</w:t>
      </w:r>
    </w:p>
    <w:p w:rsidR="003B3271" w:rsidRPr="0008481A" w:rsidRDefault="003B3271">
      <w:pPr>
        <w:pStyle w:val="Citatindrag"/>
      </w:pPr>
      <w:r w:rsidRPr="0008481A">
        <w:t>Vad beträffar risken att förlora motorcykeln fanns en omfattande bered</w:t>
      </w:r>
      <w:r w:rsidRPr="0008481A">
        <w:softHyphen/>
        <w:t>skap av handlingsalternativ som var kopplade till olika möjliga händelse</w:t>
      </w:r>
      <w:r w:rsidRPr="0008481A">
        <w:softHyphen/>
        <w:t>förlopp. Visserligen var syftet, om motorcykeln skulle komma att stjälas, med aktionen att söka följa efter motorcykeln till något garage för att där eve</w:t>
      </w:r>
      <w:r w:rsidRPr="0008481A">
        <w:t>n</w:t>
      </w:r>
      <w:r w:rsidRPr="0008481A">
        <w:t>tuellt kunna beslagta de redan stulna HD-motorcyklarna eller delar av dessa. Men om motorcykeln stulits på ett sådant sätt att det uppstått risk för att den skulle gå förlorad var direktiven till de närv</w:t>
      </w:r>
      <w:r w:rsidRPr="0008481A">
        <w:t>a</w:t>
      </w:r>
      <w:r w:rsidRPr="0008481A">
        <w:t>rande polismännen att omedel</w:t>
      </w:r>
      <w:r w:rsidRPr="0008481A">
        <w:softHyphen/>
        <w:t>bart ingripa på platsen för att förebygga detta.</w:t>
      </w:r>
    </w:p>
    <w:p w:rsidR="003B3271" w:rsidRPr="0008481A" w:rsidRDefault="003B3271">
      <w:pPr>
        <w:pStyle w:val="Citatindrag"/>
      </w:pPr>
      <w:r w:rsidRPr="0008481A">
        <w:t>Na</w:t>
      </w:r>
      <w:r w:rsidRPr="0008481A">
        <w:t>turligtvis fanns en teoretisk risk att motorcykeln skulle gå förlorad vid aktionen men sannoli</w:t>
      </w:r>
      <w:r w:rsidRPr="0008481A">
        <w:t>k</w:t>
      </w:r>
      <w:r w:rsidRPr="0008481A">
        <w:t>heten för detta bedömdes som mycket liten. I polis</w:t>
      </w:r>
      <w:r w:rsidRPr="0008481A">
        <w:softHyphen/>
        <w:t>verksamhet uppstår dagligen situationer där statens tillgångar riskerar att delvis förlora sitt värde. Om enbart detta skulle få styra polisens val av metoder skulle effektiviteten i verksamheten minska markant. I förevarande fall är det de i</w:t>
      </w:r>
      <w:r w:rsidRPr="0008481A">
        <w:t>n</w:t>
      </w:r>
      <w:r w:rsidRPr="0008481A">
        <w:t>blandade polismännens uppfattning att någon konkret risk för att motorcykeln skulle gå förlorad inte uppstod. Att man tving</w:t>
      </w:r>
      <w:r w:rsidRPr="0008481A">
        <w:t>ades använda våld vid gripandet förändrar inte den bedömningen. Om motorcykeln gått förlorad hade statens tillgångar ändå inte minskat nämnvärt eftersom motor</w:t>
      </w:r>
      <w:r w:rsidRPr="0008481A">
        <w:softHyphen/>
        <w:t>c</w:t>
      </w:r>
      <w:r w:rsidRPr="0008481A">
        <w:t>y</w:t>
      </w:r>
      <w:r w:rsidRPr="0008481A">
        <w:t>keln var stöldförsäkrad.</w:t>
      </w:r>
    </w:p>
    <w:p w:rsidR="003B3271" w:rsidRPr="0008481A" w:rsidRDefault="003B3271">
      <w:pPr>
        <w:pStyle w:val="Rubrik5"/>
      </w:pPr>
      <w:r w:rsidRPr="0008481A">
        <w:t>Vilka allmänna överväganden gjordes inför användningen av motorcykeln?</w:t>
      </w:r>
    </w:p>
    <w:p w:rsidR="003B3271" w:rsidRPr="0008481A" w:rsidRDefault="003B3271">
      <w:pPr>
        <w:pStyle w:val="Rubrik6"/>
        <w:spacing w:before="120"/>
      </w:pPr>
      <w:r w:rsidRPr="0008481A">
        <w:t xml:space="preserve">Behovsprincipen </w:t>
      </w:r>
    </w:p>
    <w:p w:rsidR="003B3271" w:rsidRPr="0008481A" w:rsidRDefault="003B3271">
      <w:pPr>
        <w:pStyle w:val="Citat"/>
      </w:pPr>
      <w:r w:rsidRPr="0008481A">
        <w:t>De allmänna överväganden som gjordes utgick ifrån behovs- och proportion</w:t>
      </w:r>
      <w:r w:rsidRPr="0008481A">
        <w:softHyphen/>
        <w:t>alitets</w:t>
      </w:r>
      <w:r w:rsidRPr="0008481A">
        <w:softHyphen/>
        <w:t>principen i 8 § polislagen (1984:387). När det gäller behovsprincipen kan konstateras att det innan aktionens genomförande hade bedrivits ett omfattande traditionellt spaningsarbete för att utreda HD-stölderna. Projektet hade t.ex. kartlagt var de mest brottsaktiva motorcykeltjuvarna bodde och bevakat dessa intensivt under en längre period i hopp om att detta skulle leda till något garage där stulna motorcyklar förvarades. Metoden ledde inte till något resultat. En annan traditionell sp</w:t>
      </w:r>
      <w:r w:rsidRPr="0008481A">
        <w:t>a</w:t>
      </w:r>
      <w:r w:rsidRPr="0008481A">
        <w:t xml:space="preserve">ningsmetod </w:t>
      </w:r>
      <w:r w:rsidRPr="0008481A">
        <w:t>som provades var att hårdbevaka de största infartslederna till de stadsdelar där stölde</w:t>
      </w:r>
      <w:r w:rsidRPr="0008481A">
        <w:t>r</w:t>
      </w:r>
      <w:r w:rsidRPr="0008481A">
        <w:t>na var särskilt frekventa i syfte att upptäcka och följa efter när en känd motor</w:t>
      </w:r>
      <w:r w:rsidRPr="0008481A">
        <w:softHyphen/>
        <w:t>cykeltjuv körde in i stadsdelen. T.ex. bevakades Södermalm och Vasastan i detta syfte, men också det utan framgång. De berörda polismännen hade således inga uppslag till hur de skulle lösa sin arbetsuppgift. Det var först när alla andra metoder och möjligheter var uttömda som det bestämdes att aktionen skulle genomföras som en sista utväg.</w:t>
      </w:r>
    </w:p>
    <w:p w:rsidR="003B3271" w:rsidRPr="0008481A" w:rsidRDefault="003B3271">
      <w:pPr>
        <w:pStyle w:val="Rubrik5"/>
      </w:pPr>
      <w:r w:rsidRPr="0008481A">
        <w:t>P</w:t>
      </w:r>
      <w:r w:rsidRPr="0008481A">
        <w:t>roportionalitetsprincipen</w:t>
      </w:r>
    </w:p>
    <w:p w:rsidR="003B3271" w:rsidRPr="0008481A" w:rsidRDefault="003B3271">
      <w:pPr>
        <w:pStyle w:val="Citat"/>
      </w:pPr>
      <w:r w:rsidRPr="0008481A">
        <w:t>När det gäller aktionens förenlighet med proportionalitetsprincipen ställdes den kränkning som aktionen skulle kunna innebära mot syftet med denna. Syftet var som ovan nämnts att uppdaga och förhindra fortsatt grov, organ</w:t>
      </w:r>
      <w:r w:rsidRPr="0008481A">
        <w:softHyphen/>
        <w:t>iserad MC-relaterad brottslighet. Vid tidpunkten för aktionerna hade projektet i sin ärendebalans 80 st pågående förundersökningar avseende stulna, ej återfunna HD-motorcyklar. Inte i någon av dessa undersökningar fanns någon skäligen misstänkt person. Mot bakgrund av detta och att det var grov organiserad mc-relaterad brottslighet som var föremål för aktionen bedömdes denna metod inte stå i missförhållande till syftet.</w:t>
      </w:r>
    </w:p>
    <w:p w:rsidR="003B3271" w:rsidRPr="0008481A" w:rsidRDefault="003B3271">
      <w:pPr>
        <w:pStyle w:val="Rubrik5"/>
      </w:pPr>
      <w:r w:rsidRPr="0008481A">
        <w:t>Provokation</w:t>
      </w:r>
    </w:p>
    <w:p w:rsidR="003B3271" w:rsidRPr="0008481A" w:rsidRDefault="003B3271">
      <w:pPr>
        <w:pStyle w:val="Citat"/>
      </w:pPr>
      <w:r w:rsidRPr="0008481A">
        <w:t>Allmänna överväganden gjordes också över huruvida aktionen kunde vara att anse som en prov</w:t>
      </w:r>
      <w:r w:rsidRPr="0008481A">
        <w:t>o</w:t>
      </w:r>
      <w:r w:rsidRPr="0008481A">
        <w:t>kation. I diskussionerna om detta togs hänsyn till att motorcykeln inte var någon exklusiv variant. Den hade inte någon lyx</w:t>
      </w:r>
      <w:r w:rsidRPr="0008481A">
        <w:softHyphen/>
        <w:t>utrustning som väckte uppmärksamhet. Vidare var förutsättningen att motor</w:t>
      </w:r>
      <w:r w:rsidRPr="0008481A">
        <w:softHyphen/>
        <w:t>cykeln skulle parkeras på en av Stockholms mest trafikerade och upplysta gator, Hornsgatan, vilket inte på något sätt skulle kunna anses underlätta en stöld. Med i bedömningen togs också att motorcykeln skulle låsas med ett kraftigt, av försäkringsbolagen godkänt lås. Det fanns således inget, varken med hänsyn t</w:t>
      </w:r>
      <w:r w:rsidRPr="0008481A">
        <w:t>ill uppställningsplatsen, motorcykelns värde eller frekvensen av pote</w:t>
      </w:r>
      <w:r w:rsidRPr="0008481A">
        <w:t>n</w:t>
      </w:r>
      <w:r w:rsidRPr="0008481A">
        <w:t>tiella gärningsmän på platserna, som pekade på att den av polisen parkerade motorcykeln löpte en större risk att stjälas än andra fordon som parkerats i Stockholms innerstad.</w:t>
      </w:r>
    </w:p>
    <w:p w:rsidR="003B3271" w:rsidRPr="0008481A" w:rsidRDefault="003B3271">
      <w:pPr>
        <w:pStyle w:val="Citatindrag"/>
      </w:pPr>
      <w:r w:rsidRPr="0008481A">
        <w:t>Med utgångspunkt från detta gjordes bedömningen att polisen inte genom att parkera motorcykeln på de nämnda platserna kunde anses locka eller utmana någon att stjäla motorcykeln.</w:t>
      </w:r>
    </w:p>
    <w:p w:rsidR="003B3271" w:rsidRPr="0008481A" w:rsidRDefault="003B3271">
      <w:pPr>
        <w:pStyle w:val="Citatindrag"/>
      </w:pPr>
      <w:r w:rsidRPr="0008481A">
        <w:t>En annan fråga som hypotetiskt ställdes var om åtgärden, i fall den skulle komma att anses som provokation, var tillåten. I detta avseende gjordes be</w:t>
      </w:r>
      <w:r w:rsidRPr="0008481A">
        <w:softHyphen/>
        <w:t>döm</w:t>
      </w:r>
      <w:r w:rsidRPr="0008481A">
        <w:softHyphen/>
        <w:t>ningen att åtgärden skulle bli att betrakta som en bevisprovokation eftersom åtgärden syftade till att skaffa bevis om redan begången brott</w:t>
      </w:r>
      <w:r w:rsidRPr="0008481A">
        <w:t>s</w:t>
      </w:r>
      <w:r w:rsidRPr="0008481A">
        <w:softHyphen/>
        <w:t>lighet, d.v.s. bevis avseende någon eller några av de 80 ouppklarade HD-stölderna.</w:t>
      </w:r>
    </w:p>
    <w:p w:rsidR="003B3271" w:rsidRPr="0008481A" w:rsidRDefault="003B3271">
      <w:pPr>
        <w:pStyle w:val="Rubrik5"/>
        <w:rPr>
          <w:u w:val="single"/>
        </w:rPr>
      </w:pPr>
      <w:r w:rsidRPr="0008481A">
        <w:t>Vilka överväganden föregick beslutet att ställa ut motorcykeln på Vikingagatan den 30 juni och på Hornsgatan den 9 juli och vad var syftet med åtgärderna?</w:t>
      </w:r>
    </w:p>
    <w:p w:rsidR="003B3271" w:rsidRPr="0008481A" w:rsidRDefault="003B3271">
      <w:pPr>
        <w:pStyle w:val="Citat"/>
      </w:pPr>
      <w:r w:rsidRPr="0008481A">
        <w:t>Inför beslutet att parkera motorcykeln diskuterades vilka platser som det skulle kunna ske på. Det intresse som kom att styra var att platserna måste vara lämpliga ur spaningssynpunkt. Därför va</w:t>
      </w:r>
      <w:r w:rsidRPr="0008481A">
        <w:t>l</w:t>
      </w:r>
      <w:r w:rsidRPr="0008481A">
        <w:t>des två platser som var öppna för insyn och i och med detta också ”lättspanade”. Platserna valdes också för att de var lämpliga att påbörja ett efterföljande ifrån såtillvida att antalet flyktvägar där</w:t>
      </w:r>
      <w:r w:rsidRPr="0008481A">
        <w:t>i</w:t>
      </w:r>
      <w:r w:rsidRPr="0008481A">
        <w:t>från var begränsade. De möjliga flyktvägarna var därför lätta att förutse och en effektiv överva</w:t>
      </w:r>
      <w:r w:rsidRPr="0008481A">
        <w:t>k</w:t>
      </w:r>
      <w:r w:rsidRPr="0008481A">
        <w:t>ning kunde därför ske om motorcykeln blev stulen.</w:t>
      </w:r>
    </w:p>
    <w:p w:rsidR="003B3271" w:rsidRPr="0008481A" w:rsidRDefault="003B3271">
      <w:pPr>
        <w:pStyle w:val="Citatindrag"/>
      </w:pPr>
      <w:r w:rsidRPr="0008481A">
        <w:t>Ett annat övervägande som styrde valet av platser var att dessa inte skulle besitta egenskaper som i sig själv kunde locka eller utmana någon att stjäla motorcyke</w:t>
      </w:r>
      <w:r w:rsidRPr="0008481A">
        <w:t>ln. Detta intresse sammanföll natu</w:t>
      </w:r>
      <w:r w:rsidRPr="0008481A">
        <w:t>r</w:t>
      </w:r>
      <w:r w:rsidRPr="0008481A">
        <w:t>ligtvis med intresset av att platserna skulle vara lätt att överblicka.</w:t>
      </w:r>
    </w:p>
    <w:p w:rsidR="003B3271" w:rsidRPr="0008481A" w:rsidRDefault="003B3271">
      <w:pPr>
        <w:pStyle w:val="Citatindrag"/>
      </w:pPr>
      <w:r w:rsidRPr="0008481A">
        <w:t>Vad gäller valet av tidpunkterna så har dessa enbart motiverats av att projektet vid tillfällena haft möjlighet att samla tillräckligt med personal. Detta medförde att platserna och motorcykelns färd på ett tillfredsställande sätt kunde övervakas och att det förestående gripandet kunde säkerställas.</w:t>
      </w:r>
    </w:p>
    <w:p w:rsidR="003B3271" w:rsidRPr="0008481A" w:rsidRDefault="003B3271">
      <w:pPr>
        <w:pStyle w:val="Rubrik5"/>
      </w:pPr>
      <w:r w:rsidRPr="0008481A">
        <w:t>Syftet</w:t>
      </w:r>
    </w:p>
    <w:p w:rsidR="003B3271" w:rsidRPr="0008481A" w:rsidRDefault="003B3271">
      <w:pPr>
        <w:pStyle w:val="Citat"/>
      </w:pPr>
      <w:r w:rsidRPr="0008481A">
        <w:t>Som nämnts i föregående svar fanns inom projektet starka misstankar om att det onormalt stora antalet stölder av HD-motorcyklar var en del av den grova, organiserade mc-relaterade brottsli</w:t>
      </w:r>
      <w:r w:rsidRPr="0008481A">
        <w:t>g</w:t>
      </w:r>
      <w:r w:rsidRPr="0008481A">
        <w:t>heten som fått fäste i stockholms</w:t>
      </w:r>
      <w:r w:rsidRPr="0008481A">
        <w:softHyphen/>
        <w:t>området. Av de direktiv och beslut som styr medelsanvändningen för polis</w:t>
      </w:r>
      <w:r w:rsidRPr="0008481A">
        <w:softHyphen/>
        <w:t>myndigheten hade klart framgått att denna form av brottslighet utgör ett allvarligt hot mot de grundvalar som vårt samhälle vilar på. Bekämpandet av dessa brott skulle därför ha högsta prioritet. Mot bakgrund av detta be</w:t>
      </w:r>
      <w:r w:rsidRPr="0008481A">
        <w:softHyphen/>
        <w:t>dömdes det som nödvändigt att relativt snabbt komma till rätta med stölderna.</w:t>
      </w:r>
    </w:p>
    <w:p w:rsidR="003B3271" w:rsidRPr="0008481A" w:rsidRDefault="003B3271">
      <w:pPr>
        <w:pStyle w:val="Citatindrag"/>
      </w:pPr>
      <w:r w:rsidRPr="0008481A">
        <w:t>Som nämnts ovan fanns vid tidpunkten för aktionerna 80 st öppna för</w:t>
      </w:r>
      <w:r w:rsidRPr="0008481A">
        <w:softHyphen/>
        <w:t>under</w:t>
      </w:r>
      <w:r w:rsidRPr="0008481A">
        <w:softHyphen/>
        <w:t>sökningar avseende stulna, icke återfunna HD-motorcyklar. Dessa betingade var för sig ett värde mellan 100 och 200 tusen kronor. Flera av de stulna HD-motorcyklar som återfunnits var omidentifierade. Det fanns därför starka misstankar om att motorcyklarna en kort tid efter att de blivit stulna omidentifierades och plockades ner i något garage för att sedan transporteras vidare. Det bedömdes vara av yttersta vikt att identifiera detta eventuella garage och de personer som var delaktiga i den hantering</w:t>
      </w:r>
      <w:r w:rsidRPr="0008481A">
        <w:t>en för att sedan kunna gripa de personer som organiserade brottsligheten.</w:t>
      </w:r>
    </w:p>
    <w:p w:rsidR="003B3271" w:rsidRPr="0008481A" w:rsidRDefault="003B3271">
      <w:pPr>
        <w:pStyle w:val="Citatindrag"/>
      </w:pPr>
      <w:r w:rsidRPr="0008481A">
        <w:t>Det primära syftet med aktionen var dock att undersöka om några kända kriminellt brottsaktiva personer skulle visa intresse för den parkerade HD-motorcykeln. Om så visade sig vara fallet skulle dessa hårdbevakas under kvällen för att söka efter ledtrådar till de personer som organiser</w:t>
      </w:r>
      <w:r w:rsidRPr="0008481A">
        <w:t>a</w:t>
      </w:r>
      <w:r w:rsidRPr="0008481A">
        <w:t>de brotts</w:t>
      </w:r>
      <w:r w:rsidRPr="0008481A">
        <w:softHyphen/>
        <w:t>ligheten.</w:t>
      </w:r>
    </w:p>
    <w:p w:rsidR="003B3271" w:rsidRPr="0008481A" w:rsidRDefault="003B3271">
      <w:pPr>
        <w:pStyle w:val="Citatindrag"/>
      </w:pPr>
      <w:r w:rsidRPr="0008481A">
        <w:t>Skulle motorcykeln komma att stjälas var tanken att motorcykeln skulle efterföljas till den lokal där det kunde tänkas att den skulle omidentifieras och plockas ned. Syftet var att i det eventuella garaget skaffa bevis om något eller några av de 80 ouppklarade brott som det ankom på projektet att utreda.</w:t>
      </w:r>
    </w:p>
    <w:p w:rsidR="003B3271" w:rsidRPr="0008481A" w:rsidRDefault="003B3271">
      <w:pPr>
        <w:pStyle w:val="Rubrik5"/>
      </w:pPr>
      <w:r w:rsidRPr="0008481A">
        <w:t>Polismyndighetens bedömning</w:t>
      </w:r>
    </w:p>
    <w:p w:rsidR="003B3271" w:rsidRPr="0008481A" w:rsidRDefault="003B3271">
      <w:pPr>
        <w:pStyle w:val="Citat"/>
      </w:pPr>
      <w:r w:rsidRPr="0008481A">
        <w:t>Riksdag och regering har genom olika beslut meddelat att polismyndig</w:t>
      </w:r>
      <w:r w:rsidRPr="0008481A">
        <w:softHyphen/>
        <w:t>heterna bl.a. skall prioritera bekämpandet av grov och organiserad brotts</w:t>
      </w:r>
      <w:r w:rsidRPr="0008481A">
        <w:softHyphen/>
        <w:t>lighet som utförs av s.k. outlaw-grupperingar eftersom dessa utgör ett angrepp på grundvalarna för samhället. För att kunna göra detta på ett effektivt sätt fick polismyndigheten 5 Mkr. extra i anslag. Den enda uttryckliga begränsningen av användning</w:t>
      </w:r>
      <w:r w:rsidRPr="0008481A">
        <w:t>s</w:t>
      </w:r>
      <w:r w:rsidRPr="0008481A">
        <w:t>området för detta engångsbelopp var att det inte fick användas som lönemedel. Motsatsvis följer enligt myn</w:t>
      </w:r>
      <w:r w:rsidRPr="0008481A">
        <w:softHyphen/>
        <w:t>dig</w:t>
      </w:r>
      <w:r w:rsidRPr="0008481A">
        <w:softHyphen/>
        <w:t>hetens mening att pengarna var fria att användas till de saker som bäst frä</w:t>
      </w:r>
      <w:r w:rsidRPr="0008481A">
        <w:t>mjade de uppsatta målen. Enligt de materiellt insatta polismännen var det som vid den tidpunkten bäst främjade bekämpandet av mc-relaterad brotts</w:t>
      </w:r>
      <w:r w:rsidRPr="0008481A">
        <w:softHyphen/>
        <w:t>lighet inköp av en HD-motorcykel. Polismyndigheten har vid en i efterhand gjord bedömning inte kunnat finna att de ansvariga polismännen i detta a</w:t>
      </w:r>
      <w:r w:rsidRPr="0008481A">
        <w:t>v</w:t>
      </w:r>
      <w:r w:rsidRPr="0008481A">
        <w:t>seende handlat i strid med någon föreskrift eller ens i övrigt förfarit olämpligt med hänsyn till vad anslaget på 5 Mkr. var avsett att användas till.</w:t>
      </w:r>
    </w:p>
    <w:p w:rsidR="003B3271" w:rsidRPr="0008481A" w:rsidRDefault="003B3271">
      <w:pPr>
        <w:pStyle w:val="Rubrik5"/>
      </w:pPr>
      <w:r w:rsidRPr="0008481A">
        <w:t>Risken att förlora motorcykeln</w:t>
      </w:r>
    </w:p>
    <w:p w:rsidR="003B3271" w:rsidRPr="0008481A" w:rsidRDefault="003B3271">
      <w:pPr>
        <w:pStyle w:val="Citat"/>
      </w:pPr>
      <w:r w:rsidRPr="0008481A">
        <w:t>Vad gäller den bedömning som de ansvariga polismännen gjorde av risken att förlora motorcykeln så har myndigheten på grundval av det inhämtade underlaget inte kunnat finna anledning till neg</w:t>
      </w:r>
      <w:r w:rsidRPr="0008481A">
        <w:t>a</w:t>
      </w:r>
      <w:r w:rsidRPr="0008481A">
        <w:t>tiv kritik. Polisverksamhet är riskabel p.g.a. dess innehåll. Det fanns i förevarande fall en teoretisk möjlighet att motorcykeln skulle kunna gå förlorad men såvitt myndigheten kunnat finna ut var denna risk ytterst liten. En annan sak är att som framgår av förundersökningsprotokollet våld a</w:t>
      </w:r>
      <w:r w:rsidRPr="0008481A">
        <w:t>n</w:t>
      </w:r>
      <w:r w:rsidRPr="0008481A">
        <w:t>vändes vid gripandet.</w:t>
      </w:r>
    </w:p>
    <w:p w:rsidR="003B3271" w:rsidRPr="0008481A" w:rsidRDefault="003B3271">
      <w:pPr>
        <w:pStyle w:val="Citatindrag"/>
      </w:pPr>
      <w:r w:rsidRPr="0008481A">
        <w:t xml:space="preserve">Det är också att notera att även om det osannolika inträffat att motorcykeln gått förlorad så var denna stöldförsäkrad. Den största skada som staten kunnat drabbats av var således självriskdelen </w:t>
      </w:r>
      <w:r w:rsidRPr="0008481A">
        <w:t>i försäkringen. Myndighetens bedömning är därför att risken för, och storleken av, den skada som skulle kunna uppkomma uppvägdes av syftet med aktionerna, d.v.s. att klara upp 80 st motorc</w:t>
      </w:r>
      <w:r w:rsidRPr="0008481A">
        <w:t>y</w:t>
      </w:r>
      <w:r w:rsidRPr="0008481A">
        <w:t>kelstölder.</w:t>
      </w:r>
    </w:p>
    <w:p w:rsidR="003B3271" w:rsidRPr="0008481A" w:rsidRDefault="003B3271">
      <w:pPr>
        <w:pStyle w:val="Citatindrag"/>
      </w:pPr>
      <w:r w:rsidRPr="0008481A">
        <w:t>Det är också myndighetens uppfattning att planeringen av aktionerna och personalresursen var sådana att de ansvariga polismännen måste anses ha vidtagit de lämpliga åtgärder som enligt 3 § förordning (1995:1300) om stat</w:t>
      </w:r>
      <w:r w:rsidRPr="0008481A">
        <w:softHyphen/>
        <w:t>liga myndigheters riskhantering krävs av en myndighet för att begränsa skador eller förluster.</w:t>
      </w:r>
    </w:p>
    <w:p w:rsidR="003B3271" w:rsidRPr="0008481A" w:rsidRDefault="003B3271">
      <w:pPr>
        <w:pStyle w:val="Rubrik5"/>
      </w:pPr>
      <w:r w:rsidRPr="0008481A">
        <w:t>Angående de överväganden som gjordes inför användningen av motorcykeln</w:t>
      </w:r>
    </w:p>
    <w:p w:rsidR="003B3271" w:rsidRPr="0008481A" w:rsidRDefault="003B3271">
      <w:pPr>
        <w:pStyle w:val="Citat"/>
      </w:pPr>
      <w:r w:rsidRPr="0008481A">
        <w:t>Det är till att börja med polismyndighetens uppfattning att de vidtagna åtgärderna inte är sådana som medborgarna gentemot det allmänna är skyddade mot genom 2 kap. Regeringsformen ((RF). Åtgärden kan därför inte anses stå i strid med grundlagen. Det finns inte heller något annat u</w:t>
      </w:r>
      <w:r w:rsidRPr="0008481A">
        <w:t>t</w:t>
      </w:r>
      <w:r w:rsidRPr="0008481A">
        <w:t>tryckligt förbud i författning mot den här typen av åtgärder.</w:t>
      </w:r>
    </w:p>
    <w:p w:rsidR="003B3271" w:rsidRPr="0008481A" w:rsidRDefault="003B3271">
      <w:pPr>
        <w:pStyle w:val="Citatindrag"/>
      </w:pPr>
      <w:r w:rsidRPr="0008481A">
        <w:t xml:space="preserve">Detta innebär emellertid inte nödvändigtvis att åtgärderna är tillåtna enligt gällande rätt. För detta krävs att åtgärderna är förenliga med de allmänna principerna för polisingripanden, behovs- och proportionalitetsprinciperna, som kommit till uttryck för i 8 § polislagen (1984:387). Det är mot bakgrund av dessa principer som lagligheten av vad som benämns okonventionella metoder skall bedömas. Om den vidtagna åtgärden skulle vara att anse som </w:t>
      </w:r>
      <w:r w:rsidRPr="0008481A">
        <w:t>en okonventionell spaningsmetod ligger det närmast tillhands att betrakta den som en provokation.</w:t>
      </w:r>
    </w:p>
    <w:p w:rsidR="003B3271" w:rsidRPr="0008481A" w:rsidRDefault="003B3271">
      <w:pPr>
        <w:pStyle w:val="Citatindrag"/>
      </w:pPr>
      <w:r w:rsidRPr="0008481A">
        <w:t>Av de uppgifter som inhämtats framgår att det primära syftet med att parkera motorcykeln på platserna var att utröna om några kända kriminellt belastade personer skulle visa intresse för denna. Dessa personer skulle sedan bevakas för att söka efter information om den grova, organiserade brotts</w:t>
      </w:r>
      <w:r w:rsidRPr="0008481A">
        <w:softHyphen/>
        <w:t>lighet som antogs vara anledningen till att 80 st HD-motorcyklar inte kunnat återfinnas. Det framgår emellertid också av de inhämtade uppgifterna att de ansvariga polismännen inför åtgä</w:t>
      </w:r>
      <w:r w:rsidRPr="0008481A">
        <w:t>r</w:t>
      </w:r>
      <w:r w:rsidRPr="0008481A">
        <w:t>derna haft vad som inom straffrätten kallas för eventuellt uppsåt i förhållande till att motorcykeln skulle kunna bli stulen. De insåg, även om det inte var det direkta uppsåtet, att motorcykeln kunde bli stulen men valde ändå att genomföra aktionen för att kunna återfinna de tidigare stulna HD-motorcyklarna.</w:t>
      </w:r>
    </w:p>
    <w:p w:rsidR="003B3271" w:rsidRPr="0008481A" w:rsidRDefault="003B3271">
      <w:pPr>
        <w:pStyle w:val="Rubrik5"/>
      </w:pPr>
      <w:r w:rsidRPr="0008481A">
        <w:t>Provokation?</w:t>
      </w:r>
    </w:p>
    <w:p w:rsidR="003B3271" w:rsidRPr="0008481A" w:rsidRDefault="003B3271">
      <w:pPr>
        <w:pStyle w:val="Citat"/>
      </w:pPr>
      <w:r w:rsidRPr="0008481A">
        <w:t>Innan ett övervägande görs om det var fråga om en bevis- eller brotts</w:t>
      </w:r>
      <w:r w:rsidRPr="0008481A">
        <w:softHyphen/>
        <w:t>provokation måste en b</w:t>
      </w:r>
      <w:r w:rsidRPr="0008481A">
        <w:t>e</w:t>
      </w:r>
      <w:r w:rsidRPr="0008481A">
        <w:t>dömning göras om åtgärderna överhuvudtaget kan anses falla in under begreppet provokation. Enligt förarbetena till polislagen (SOU 1982:63 s 129) skall med provokation förstås när polisen i sitt brottsbekämpande arbete ”...lockar eller utmanar någon till en handling som kan vara besv</w:t>
      </w:r>
      <w:r w:rsidRPr="0008481A">
        <w:t>ä</w:t>
      </w:r>
      <w:r w:rsidRPr="0008481A">
        <w:t>rande eller på annat sätt negativ för denne...”. Enligt myndigheten kräver polisberedningens def</w:t>
      </w:r>
      <w:r w:rsidRPr="0008481A">
        <w:t>i</w:t>
      </w:r>
      <w:r w:rsidRPr="0008481A">
        <w:t>nition därmed att åtgärden i sig själv skall ha sådana egenskaper att den innebär en viss psykisk påverkan</w:t>
      </w:r>
      <w:r w:rsidRPr="0008481A">
        <w:t xml:space="preserve"> på en persons vilja att företa en viss handling. En liknande uppfattning synes Hans-Gunnar Axberger hävda i sin bok Brottsprovokation (Se s 59 f).</w:t>
      </w:r>
    </w:p>
    <w:p w:rsidR="003B3271" w:rsidRPr="0008481A" w:rsidRDefault="003B3271">
      <w:pPr>
        <w:pStyle w:val="Citatindrag"/>
      </w:pPr>
      <w:r w:rsidRPr="0008481A">
        <w:t>I förevarande fall parkerade polisen den låsta motorcykeln på ett sådant sätt och med en sådan utrustning att den inte på något sätt blev mer lockande att stjäla än andra motorcyklar som park</w:t>
      </w:r>
      <w:r w:rsidRPr="0008481A">
        <w:t>e</w:t>
      </w:r>
      <w:r w:rsidRPr="0008481A">
        <w:t>rats i Stockholms innerstad. Åt</w:t>
      </w:r>
      <w:r w:rsidRPr="0008481A">
        <w:softHyphen/>
        <w:t>gärden i sig själv kan därför inte ha utgjort ett psykiskt angrepp på någons vilja eller på annat sätt ha uppmuntrat till stöld. Åtgärden är därför enligt myndighetens sätt att se det inte tillräckligt provokativ för att inrymmas i polisberedningens definition. Visserl</w:t>
      </w:r>
      <w:r w:rsidRPr="0008481A">
        <w:t>i</w:t>
      </w:r>
      <w:r w:rsidRPr="0008481A">
        <w:t>gen hade som tidigare nämnts de ansvariga polismännen en form av eventuellt uppsåt till att låta motorcykeln stjälas men för att bestämma om en viss åtgärd skall anses utgöra en provo</w:t>
      </w:r>
      <w:r w:rsidRPr="0008481A">
        <w:softHyphen/>
        <w:t>ka</w:t>
      </w:r>
      <w:r w:rsidRPr="0008481A">
        <w:softHyphen/>
        <w:t>tion måste, för att åt</w:t>
      </w:r>
      <w:r w:rsidRPr="0008481A">
        <w:t>erigen använda straffrättsliga termer, såväl de objektiva som de subjektiva rekvis</w:t>
      </w:r>
      <w:r w:rsidRPr="0008481A">
        <w:t>i</w:t>
      </w:r>
      <w:r w:rsidRPr="0008481A">
        <w:t>ten vara uppfyllda. I förevarande fall kan de subjektiva rekvisiten sägas vara uppfyllda men inte de objektiva eftersom åtgärderna i sig själva, i ordens egentliga betydelse, inte kan anses ha lockat eller utmanat någon att företa viss handling.</w:t>
      </w:r>
    </w:p>
    <w:p w:rsidR="003B3271" w:rsidRPr="0008481A" w:rsidRDefault="003B3271">
      <w:pPr>
        <w:pStyle w:val="Rubrik5"/>
      </w:pPr>
      <w:r w:rsidRPr="0008481A">
        <w:t>Bevis- eller brottsprovokation</w:t>
      </w:r>
    </w:p>
    <w:p w:rsidR="003B3271" w:rsidRPr="0008481A" w:rsidRDefault="003B3271">
      <w:pPr>
        <w:pStyle w:val="Citat"/>
      </w:pPr>
      <w:r w:rsidRPr="0008481A">
        <w:t>Om de vidtagna åtgärderna ändå, på grundval av rättskällor som myndig</w:t>
      </w:r>
      <w:r w:rsidRPr="0008481A">
        <w:softHyphen/>
        <w:t>heten inte känner till, skulle bedömas som provokation vill myndigheten på hypotetisk grund yttra sig om huruvida å</w:t>
      </w:r>
      <w:r w:rsidRPr="0008481A">
        <w:t>t</w:t>
      </w:r>
      <w:r w:rsidRPr="0008481A">
        <w:t>gärden är att hänföra till bevis- eller brottsprovokation. Till att börja med kan konstateras att inte heller gräns</w:t>
      </w:r>
      <w:r w:rsidRPr="0008481A">
        <w:softHyphen/>
        <w:t>dragningen mellan bevis- och brottsprovokation är tydlig. Vad som inte är en brottsprovokation är enligt rättspraxis en tillåten eller otillåten bevis</w:t>
      </w:r>
      <w:r w:rsidRPr="0008481A">
        <w:softHyphen/>
        <w:t>provokation. Vissa mer eller mindre diffusa riktlinjer för vad som kan betraktas som en tillåten bevisprovokation finns enligt m</w:t>
      </w:r>
      <w:r w:rsidRPr="0008481A">
        <w:t>yndigheten. Åt</w:t>
      </w:r>
      <w:r w:rsidRPr="0008481A">
        <w:softHyphen/>
        <w:t>gärden på Hornsgatan måste för att kunna klassificeras som tillåten eller inte därför ställas mot dessa riktlinjer.</w:t>
      </w:r>
    </w:p>
    <w:p w:rsidR="003B3271" w:rsidRPr="0008481A" w:rsidRDefault="003B3271">
      <w:pPr>
        <w:pStyle w:val="Citatindrag"/>
      </w:pPr>
      <w:r w:rsidRPr="0008481A">
        <w:t xml:space="preserve">Det anses att det aldrig är tillåtet att provocera någon att begå brott som denne inte annars skulle ha begått (Se NJA 1951 s 111 och NJA 1985 s 552). Innebörden av detta är enligt Axberger (Se a.a. s 28) att det är ”tillåtet att framkalla den individualiserade handlingen men inte att väcka en brottslig vilja”. Som tidigare nämnts startades projektet därför att misstankar fanns </w:t>
      </w:r>
      <w:r w:rsidRPr="0008481A">
        <w:t>om organiser</w:t>
      </w:r>
      <w:r w:rsidRPr="0008481A">
        <w:t>a</w:t>
      </w:r>
      <w:r w:rsidRPr="0008481A">
        <w:t>de stölder av HD-motorcyklar. Inom en relativt kort period hade 80 st stulits. Gripandena ledde till att antalet stölder minskade markant. Det är därför troligt att de gripna deltagit i den organiserade stöldverksamheten, något som också styrktes av det stöldgods som återfanns. Vidare tydde de gripnas tillvägagångssätt och målmedvetenhet på att de utförde ett tydligt definierat uppdrag. In</w:t>
      </w:r>
      <w:r w:rsidRPr="0008481A">
        <w:t>g</w:t>
      </w:r>
      <w:r w:rsidRPr="0008481A">
        <w:t>enting pekade på att tjuvarna själva skulle behålla motorcykeln. Med utgångspunkt från dessa omständighete</w:t>
      </w:r>
      <w:r w:rsidRPr="0008481A">
        <w:t>r är det myndig</w:t>
      </w:r>
      <w:r w:rsidRPr="0008481A">
        <w:softHyphen/>
        <w:t>hetens uppfattning att de ansvariga polismännen genom åtgärden inte väckte någon brottslig vilja hos gärningsmännen utan endast framkallade den indi</w:t>
      </w:r>
      <w:r w:rsidRPr="0008481A">
        <w:softHyphen/>
        <w:t>vidua</w:t>
      </w:r>
      <w:r w:rsidRPr="0008481A">
        <w:softHyphen/>
        <w:t>liserade handling som manifesterade viljan att stjäla en HD-motorcykel. Detta torde enligt gällande rätt vara tillåtet.</w:t>
      </w:r>
    </w:p>
    <w:p w:rsidR="003B3271" w:rsidRPr="0008481A" w:rsidRDefault="003B3271">
      <w:pPr>
        <w:pStyle w:val="Citatindrag"/>
      </w:pPr>
      <w:r w:rsidRPr="0008481A">
        <w:t>För att provokation skall vara tillåten krävs en stark misstanke om brott (Se bl.a. JK 1982 A 28). I förevarande fall förelåg 80 st ouppklarade stölder. Vidare får provokation tillgripas endast vid grov brottslighet (Se b</w:t>
      </w:r>
      <w:r w:rsidRPr="0008481A">
        <w:t>l.a. JO 1977/78 s. 105). Det torde med beaktande av rättspraxis inte råda någon tvekan om att de grova stölderna av motorcyklar som föranledde åtgärden kan läggas till grund för en provokation.</w:t>
      </w:r>
    </w:p>
    <w:p w:rsidR="003B3271" w:rsidRPr="0008481A" w:rsidRDefault="003B3271">
      <w:pPr>
        <w:pStyle w:val="Citatindrag"/>
      </w:pPr>
      <w:r w:rsidRPr="0008481A">
        <w:t>En ytterligare förutsättning för att åtgärden skall anses vara en tillåten provokation är att syftet inte kan uppnås med mindre ingripande metoder (Se Prop. 1983/84:111 s 77). Som framgår under fråga 2a hade innan åtgärderna genomfördes ett antal traditionella spaningsmetoder prövats utan resultat. Utöver vad som anf</w:t>
      </w:r>
      <w:r w:rsidRPr="0008481A">
        <w:t>örts ovan om detta bör noteras att det är ytterst svårt att erhålla info</w:t>
      </w:r>
      <w:r w:rsidRPr="0008481A">
        <w:t>r</w:t>
      </w:r>
      <w:r w:rsidRPr="0008481A">
        <w:t>mation om brottslighet som är relaterad till outlaw-grupperingar. Myndigheten har därför förståe</w:t>
      </w:r>
      <w:r w:rsidRPr="0008481A">
        <w:t>l</w:t>
      </w:r>
      <w:r w:rsidRPr="0008481A">
        <w:t>se för att andra mer traditionella spanings</w:t>
      </w:r>
      <w:r w:rsidRPr="0008481A">
        <w:softHyphen/>
        <w:t>metoder ansågs utsiktslösa.</w:t>
      </w:r>
    </w:p>
    <w:p w:rsidR="003B3271" w:rsidRPr="0008481A" w:rsidRDefault="003B3271">
      <w:pPr>
        <w:pStyle w:val="Citatindrag"/>
      </w:pPr>
      <w:r w:rsidRPr="0008481A">
        <w:t>Vad gäller kravet att syftet med åtgärden skall uppväga det intresse som den eventuellt kränker gör myndigheten samma bedömning som de inblandade polismännen. Myndighetens uppfattning är således att det psykiska angrepp som åtgärden eventuellt innebar för de gripna vägd</w:t>
      </w:r>
      <w:r w:rsidRPr="0008481A">
        <w:t>es upp av i</w:t>
      </w:r>
      <w:r w:rsidRPr="0008481A">
        <w:t>n</w:t>
      </w:r>
      <w:r w:rsidRPr="0008481A">
        <w:t>tresset att komma till rätta med de grova stölder som med stor sannolikhet kunde betecknas som grov organiserad mc-relaterad brottslighet.</w:t>
      </w:r>
    </w:p>
    <w:p w:rsidR="003B3271" w:rsidRPr="0008481A" w:rsidRDefault="003B3271">
      <w:pPr>
        <w:pStyle w:val="Citatindrag"/>
      </w:pPr>
      <w:r w:rsidRPr="0008481A">
        <w:t>Sammanfattningsvis kan sägas att det är myndighetens mening att den företagna åtgärden, om den nu skulle komma att bedömas som provokation, är att betrakta som en tillåten provokation med hänsyn till vad framförts ovan. Denna uppfattning stöds också av vad Axberger (Se a.a. s 30 f) skriver i sin bok om provokationer som riktar sig mot en obestämd grupp vilket</w:t>
      </w:r>
      <w:r w:rsidRPr="0008481A">
        <w:t xml:space="preserve"> var fallet i förev</w:t>
      </w:r>
      <w:r w:rsidRPr="0008481A">
        <w:t>a</w:t>
      </w:r>
      <w:r w:rsidRPr="0008481A">
        <w:t>rande situation. Axberger anför att ”Åtgärden är inte riktad mot någon viss person och den kränker därför inte någons integritet. Det saknas beaktansvärd risk för att annan än den hypotetiske adre</w:t>
      </w:r>
      <w:r w:rsidRPr="0008481A">
        <w:t>s</w:t>
      </w:r>
      <w:r w:rsidRPr="0008481A">
        <w:t>saten som lockas till brott genom åtgärden. Den är vidare helt neutral... ”Provokationen” är i detta fall en hypotes. Bekräftas denna kan åtgärden knappast kritiseras, bekräftas den inte är ingen skada skedd.” Axberger tycker därför att ”en rad omständigheter talar för denna typ av efterforskni</w:t>
      </w:r>
      <w:r w:rsidRPr="0008481A">
        <w:t>ng måste tillåtas”.</w:t>
      </w:r>
    </w:p>
    <w:p w:rsidR="003B3271" w:rsidRPr="0008481A" w:rsidRDefault="003B3271">
      <w:pPr>
        <w:pStyle w:val="Rubrik5"/>
      </w:pPr>
      <w:r w:rsidRPr="0008481A">
        <w:t>Åtgärdens förenlighet med 2 §, punkt 1, polislagen</w:t>
      </w:r>
    </w:p>
    <w:p w:rsidR="003B3271" w:rsidRPr="0008481A" w:rsidRDefault="003B3271">
      <w:pPr>
        <w:pStyle w:val="Citat"/>
      </w:pPr>
      <w:r w:rsidRPr="0008481A">
        <w:t>I ett vidare perspektiv kan sägas att samtliga polisuppgifter eller i varje fall större delen därav har ett brottsförebyggande syfte. När det gäller avsikten med den konkreta bestämmelsen i 2 §, punkt 1, polislagen anförde polis</w:t>
      </w:r>
      <w:r w:rsidRPr="0008481A">
        <w:softHyphen/>
        <w:t>beredningen (SOU 1982:63 s 145) dock att ”Här åsyftas emellertid den brottsförebyggande verksamheten i egentlig mening d.v.s. sådan verksamhet som är riktad mot personer vilka inte är föremål för rättsväsendets åtgärder på grund av brott. Det gäller sålunda bl.a. den skolundervisning och den ungdomsverksamhet... som bl.a. syftar till att ge information till allmänheten om brottsrisker...”.</w:t>
      </w:r>
    </w:p>
    <w:p w:rsidR="003B3271" w:rsidRPr="0008481A" w:rsidRDefault="003B3271">
      <w:pPr>
        <w:pStyle w:val="Citatindrag"/>
      </w:pPr>
      <w:r w:rsidRPr="0008481A">
        <w:t>Med utgångspunkt från dessa uttalanden från polisberedningen gör polis</w:t>
      </w:r>
      <w:r w:rsidRPr="0008481A">
        <w:softHyphen/>
        <w:t>myndigheten bedömnin</w:t>
      </w:r>
      <w:r w:rsidRPr="0008481A">
        <w:t>g</w:t>
      </w:r>
      <w:r w:rsidRPr="0008481A">
        <w:t>en att de vid åtgärden närvarande polismännen inte handlat i strid med 2 § polislagen när de u</w:t>
      </w:r>
      <w:r w:rsidRPr="0008481A">
        <w:t>n</w:t>
      </w:r>
      <w:r w:rsidRPr="0008481A">
        <w:t>derlät att ingripa för att förhindra att motorcykeln stals. Det angivna lagrummet kan inte anses ta sikte på enskilda händelser där polisen har kontroll på situationen och dessutom planerar att om</w:t>
      </w:r>
      <w:r w:rsidRPr="0008481A">
        <w:t>e</w:t>
      </w:r>
      <w:r w:rsidRPr="0008481A">
        <w:t>delbart ingripa efter att brottet fullbordats.</w:t>
      </w:r>
    </w:p>
    <w:p w:rsidR="003B3271" w:rsidRPr="0008481A" w:rsidRDefault="003B3271">
      <w:pPr>
        <w:pStyle w:val="Citatindrag"/>
      </w:pPr>
      <w:r w:rsidRPr="0008481A">
        <w:t>Förhållandena vid aktionen var visserligen sådana att polismännen hade före</w:t>
      </w:r>
      <w:r w:rsidRPr="0008481A">
        <w:softHyphen/>
        <w:t>byggt stölden om de givit sig till känna på Hornsgatan. Men själva tanken med åtgärden var just att förebygga framtida grova, organiserade stölder genom att gripa gärningsmännen. Det är myndighetens uppfattning att polisen bäst förebygger brott genom att gripa de personer som inte på annat sätt kan förmås upph</w:t>
      </w:r>
      <w:r w:rsidRPr="0008481A">
        <w:t>ö</w:t>
      </w:r>
      <w:r w:rsidRPr="0008481A">
        <w:t>ra med sin brottsliga verksamhet.</w:t>
      </w:r>
    </w:p>
    <w:p w:rsidR="003B3271" w:rsidRPr="0008481A" w:rsidRDefault="003B3271">
      <w:pPr>
        <w:pStyle w:val="Citatindrag"/>
      </w:pPr>
      <w:r w:rsidRPr="0008481A">
        <w:t>Myndighetens uppfattning att det inte förelåg någon skyldighet enligt 2 § att förhindra stölden stöds i viss mån också av polisberedningens (SOU 1982:63 s 140) uttal</w:t>
      </w:r>
      <w:r w:rsidRPr="0008481A">
        <w:t>ande att det kan vara fö</w:t>
      </w:r>
      <w:r w:rsidRPr="0008481A">
        <w:t>r</w:t>
      </w:r>
      <w:r w:rsidRPr="0008481A">
        <w:t>svarligt ”...att man vidtar åtgärder för att ett planerat brott skall fullbordas under sådana förhålla</w:t>
      </w:r>
      <w:r w:rsidRPr="0008481A">
        <w:t>n</w:t>
      </w:r>
      <w:r w:rsidRPr="0008481A">
        <w:t>den att bevisning om detta säkras”. Detta uttalande bygger enligt myndighetens mening på ett rättsläge som innebär att polisen i en sådan situation inte är skyldig att förhindra en förestående brottslig handling som man i viss utsträckning själv framkallat i ett vidare brottsförebyggande syfte.</w:t>
      </w:r>
    </w:p>
    <w:p w:rsidR="003B3271" w:rsidRPr="0008481A" w:rsidRDefault="003B3271">
      <w:pPr>
        <w:pStyle w:val="Citatindrag"/>
      </w:pPr>
      <w:r w:rsidRPr="0008481A">
        <w:t>I ett JK-ärende (JK-beslut 1988 s 92), som också kan tas till stöd för myndighetens uppf</w:t>
      </w:r>
      <w:r w:rsidRPr="0008481A">
        <w:t>attning, klagade en medborgare på att polisen medvetet, genom en kontrollerad leverans, låtit honom ta emot narkotika vilket han senare dömdes för. I beslutet anförde JK ingen kritik mot att polisen inte förhindrade att ett narkotikabrott fullbordades. I stället anförde JK att ”Samman</w:t>
      </w:r>
      <w:r w:rsidRPr="0008481A">
        <w:softHyphen/>
        <w:t>fattningsvis anser jag att det var väl befogat att låta försändelsen lämnas ut till G men att som förutsättning härför bör ha gällt att ett ingripande mot G skulle ske omedelbart efter det att han kommit i besittning av narkot</w:t>
      </w:r>
      <w:r w:rsidRPr="0008481A">
        <w:t>ikan...”.</w:t>
      </w:r>
    </w:p>
    <w:p w:rsidR="003B3271" w:rsidRPr="0008481A" w:rsidRDefault="003B3271">
      <w:pPr>
        <w:pStyle w:val="Rubrik5"/>
      </w:pPr>
      <w:r w:rsidRPr="0008481A">
        <w:t>Polismyndighetens avslutande allmänna synpunkter</w:t>
      </w:r>
    </w:p>
    <w:p w:rsidR="003B3271" w:rsidRPr="0008481A" w:rsidRDefault="003B3271">
      <w:pPr>
        <w:pStyle w:val="Citat"/>
      </w:pPr>
      <w:r w:rsidRPr="0008481A">
        <w:t>Som framgår av de bedömningar som förts fram ovan anser polismyndig</w:t>
      </w:r>
      <w:r w:rsidRPr="0008481A">
        <w:softHyphen/>
        <w:t>heten inte att de inbland</w:t>
      </w:r>
      <w:r w:rsidRPr="0008481A">
        <w:t>a</w:t>
      </w:r>
      <w:r w:rsidRPr="0008481A">
        <w:t>de polismännen handlat i strid med författning. För de okonventionella spaningsmetoderna finns emellertid ingen vägledande reglering. Rättsläget får därför anses som oklart i vissa avseenden. Utrymme för olika tolkningar finns.</w:t>
      </w:r>
    </w:p>
    <w:p w:rsidR="003B3271" w:rsidRPr="0008481A" w:rsidRDefault="003B3271">
      <w:pPr>
        <w:pStyle w:val="Citatindrag"/>
      </w:pPr>
      <w:r w:rsidRPr="0008481A">
        <w:t>2 kap RF ställer krav på stöd i lag för att husrannsakan, kroppsvisitation m.m. skall få vidtas. Mo</w:t>
      </w:r>
      <w:r w:rsidRPr="0008481A">
        <w:t>t</w:t>
      </w:r>
      <w:r w:rsidRPr="0008481A">
        <w:t>svarande krav finns enligt gällande rätt inte när det gäller okonventionella metoder, t.ex. provok</w:t>
      </w:r>
      <w:r w:rsidRPr="0008481A">
        <w:t>a</w:t>
      </w:r>
      <w:r w:rsidRPr="0008481A">
        <w:t>tion, trots att dessa i vissa avseenden får anses kränka den personliga integriteten i större utsträc</w:t>
      </w:r>
      <w:r w:rsidRPr="0008481A">
        <w:t>k</w:t>
      </w:r>
      <w:r w:rsidRPr="0008481A">
        <w:t>ning än vad t.ex. en kroppsvisitation gör. En av grundvalarna för en rättsstat är att medborgarna skall känna rättssäkerhet vilket bl.a. ställer krav på förutse</w:t>
      </w:r>
      <w:r w:rsidRPr="0008481A">
        <w:softHyphen/>
        <w:t>barhet. En medborgare bör nämligen kunna förutse konsekvenserna av sitt handlande i förhållande till staten. Samma sak gäller poli</w:t>
      </w:r>
      <w:r w:rsidRPr="0008481A">
        <w:t>s</w:t>
      </w:r>
      <w:r w:rsidRPr="0008481A">
        <w:t>män som myndig</w:t>
      </w:r>
      <w:r w:rsidRPr="0008481A">
        <w:softHyphen/>
        <w:t>het</w:t>
      </w:r>
      <w:r w:rsidRPr="0008481A">
        <w:t>sutövar. Detta krav på förutsebarhet tillgodoses inte av de beslut som medd</w:t>
      </w:r>
      <w:r w:rsidRPr="0008481A">
        <w:t>e</w:t>
      </w:r>
      <w:r w:rsidRPr="0008481A">
        <w:t>lats av olika instanser. Det finns t.ex. inget beslut eller någon rättskälla som det med fog kan hä</w:t>
      </w:r>
      <w:r w:rsidRPr="0008481A">
        <w:t>n</w:t>
      </w:r>
      <w:r w:rsidRPr="0008481A">
        <w:t>visas till för att avgöra hur utmanande en åtgärd måste vara för att anses som en provokation.</w:t>
      </w:r>
    </w:p>
    <w:p w:rsidR="003B3271" w:rsidRPr="0008481A" w:rsidRDefault="003B3271">
      <w:pPr>
        <w:pStyle w:val="Citatindrag"/>
      </w:pPr>
      <w:r w:rsidRPr="0008481A">
        <w:t>De okonventionella spaningsmetoderna kan inte regleras i detalj. Däremot bör de riktlinjer som utkristalliserats i doktrinen komma till uttryck i lagtext. Myndigheten föreslår därför att Riksd</w:t>
      </w:r>
      <w:r w:rsidRPr="0008481A">
        <w:t>a</w:t>
      </w:r>
      <w:r w:rsidRPr="0008481A">
        <w:t>gens Ombudsman lämnar över det kommande beslutet till justitiedepartementet med medföljande förslag att de okonventionella spaningsmetoderna med hänsyn till nämnda rättssäkerhets</w:t>
      </w:r>
      <w:r w:rsidRPr="0008481A">
        <w:softHyphen/>
        <w:t>aspekter regleras i lag.</w:t>
      </w:r>
    </w:p>
    <w:p w:rsidR="003B3271" w:rsidRPr="0008481A" w:rsidRDefault="003B3271">
      <w:pPr>
        <w:pStyle w:val="Citatindrag"/>
      </w:pPr>
      <w:r w:rsidRPr="0008481A">
        <w:t>Det skall i sammanhanget slutligen noteras att polismyndigheten i sina resonemang inte tagit hänsyn till hur Europakonventionen om de mänskliga fri- och rättigheterna påverkar tillåtligheten av dolda och okonventionella spaningsmetoder. Dessa överväganden bör ske inom ramen för ett la</w:t>
      </w:r>
      <w:r w:rsidRPr="0008481A">
        <w:t>g</w:t>
      </w:r>
      <w:r w:rsidRPr="0008481A">
        <w:t>stift</w:t>
      </w:r>
      <w:r w:rsidRPr="0008481A">
        <w:softHyphen/>
        <w:t>nings</w:t>
      </w:r>
      <w:r w:rsidRPr="0008481A">
        <w:softHyphen/>
        <w:t xml:space="preserve">arbete. </w:t>
      </w:r>
    </w:p>
    <w:p w:rsidR="003B3271" w:rsidRPr="0008481A" w:rsidRDefault="003B3271">
      <w:pPr>
        <w:pStyle w:val="Rubrik4"/>
      </w:pPr>
      <w:r w:rsidRPr="0008481A">
        <w:t>Rikspolisstyrelsens yttrande (Olof Egerstedt)</w:t>
      </w:r>
    </w:p>
    <w:p w:rsidR="003B3271" w:rsidRPr="0008481A" w:rsidRDefault="003B3271">
      <w:pPr>
        <w:rPr>
          <w:sz w:val="20"/>
        </w:rPr>
      </w:pPr>
      <w:r w:rsidRPr="0008481A">
        <w:t>I yttrandet anfördes följande vad gäller frågan om polismyndighetens för</w:t>
      </w:r>
      <w:r w:rsidRPr="0008481A">
        <w:softHyphen/>
        <w:t>far</w:t>
      </w:r>
      <w:r w:rsidRPr="0008481A">
        <w:softHyphen/>
        <w:t>ande utgjorde en provokation och om det i så fall var att anse som försvarligt.</w:t>
      </w:r>
    </w:p>
    <w:p w:rsidR="003B3271" w:rsidRPr="0008481A" w:rsidRDefault="003B3271">
      <w:pPr>
        <w:pStyle w:val="Citat"/>
      </w:pPr>
      <w:r w:rsidRPr="0008481A">
        <w:t>Rikspolisstyrelsen noterar att de inblandade poliserna inför åtgärden – – – tagit under övervägande att motorcykeln skulle komma att tillgripas och att den brottsliga gärningen, tillgreppet, vid sådant förhållande inte omedelbart skulle avbrytas.</w:t>
      </w:r>
    </w:p>
    <w:p w:rsidR="003B3271" w:rsidRPr="0008481A" w:rsidRDefault="003B3271">
      <w:pPr>
        <w:pStyle w:val="Citatindrag"/>
      </w:pPr>
      <w:r w:rsidRPr="0008481A">
        <w:t>Med uttrycket provokation brukar man i detta sammanhang mena att Polisen i sitt brottsbekä</w:t>
      </w:r>
      <w:r w:rsidRPr="0008481A">
        <w:t>m</w:t>
      </w:r>
      <w:r w:rsidRPr="0008481A">
        <w:t>pande arbete använder sig av metoden att locka eller utmana någon till en handling eller ett utt</w:t>
      </w:r>
      <w:r w:rsidRPr="0008481A">
        <w:t>a</w:t>
      </w:r>
      <w:r w:rsidRPr="0008481A">
        <w:t>lande, som kan vara besvär</w:t>
      </w:r>
      <w:r w:rsidRPr="0008481A">
        <w:softHyphen/>
        <w:t>ande eller på annat sätt negativt för denne eller annan i dennes närhet. Den person mot vilken åtgärden riktas är oftast en för brott misstänkt person (prop. 1983/84:111 s. 45). Som provokation betraktas däremot inte en åtgärd som utgör endast ett neutralt svar på en gärningsmans egna initiativ.</w:t>
      </w:r>
    </w:p>
    <w:p w:rsidR="003B3271" w:rsidRPr="0008481A" w:rsidRDefault="003B3271">
      <w:pPr>
        <w:pStyle w:val="Citatindrag"/>
      </w:pPr>
      <w:r w:rsidRPr="0008481A">
        <w:t>Man brukar skilja på brottsprovokation och bevisprovokation. Med det först</w:t>
      </w:r>
      <w:r w:rsidRPr="0008481A">
        <w:softHyphen/>
        <w:t>nämnda avses ett ag</w:t>
      </w:r>
      <w:r w:rsidRPr="0008481A">
        <w:t>e</w:t>
      </w:r>
      <w:r w:rsidRPr="0008481A">
        <w:t>rande som syftar till att framkalla brott, medan en bevisprovokation syftar till att få fram bevisning som kan knyta en misstänkt person till ett begånget brott. Även om åtgärden i fråga leder till att gärnings</w:t>
      </w:r>
      <w:r w:rsidRPr="0008481A">
        <w:softHyphen/>
        <w:t>mannen förmås begå nya brott, bör det vara fråga om bevisprovokation, om syftet begrä</w:t>
      </w:r>
      <w:r w:rsidRPr="0008481A">
        <w:t>n</w:t>
      </w:r>
      <w:r w:rsidRPr="0008481A">
        <w:t>sar sig till att komma åt bevisning om ett begånget brott (Axberger, Brottsprovokation, s. 10 f.).</w:t>
      </w:r>
    </w:p>
    <w:p w:rsidR="003B3271" w:rsidRPr="0008481A" w:rsidRDefault="003B3271">
      <w:pPr>
        <w:pStyle w:val="Citatindrag"/>
      </w:pPr>
      <w:r w:rsidRPr="0008481A">
        <w:t>Frågan om uppställningen av HD-motorcykeln över huvud taget är att anse som provokation bör enl</w:t>
      </w:r>
      <w:r w:rsidRPr="0008481A">
        <w:t>igt Rikspolisstyrelsens mening bedömas i ljuset av att det fanns en risk för att motorcykeln skulle komma att tillgripas, att ett försök härtill inte skulle avbrytas och att det fanns en omfattande beredskap för att ta upp ett efterföljande av tjuven. Det måste för de inblandade poliserna framstått som sannolikt att – för det fall den aktuella målgruppen, nämligen kända brottsaktiva personer, skulle visa intresse för motorcykeln – den skulle bli föremål för ett tillgrepp eller i vart fall ett försök därtill</w:t>
      </w:r>
      <w:r w:rsidRPr="0008481A">
        <w:t>. Samtidigt bör, som polismyndigheten gjort, framhållas att motorcykeln inte på något sätt var mer lockande att stjäla än andra motorcyklar parkerade i Stockholm. Styrelsen gör med stöd av det anförda för sin del den bedöm</w:t>
      </w:r>
      <w:r w:rsidRPr="0008481A">
        <w:softHyphen/>
        <w:t>ningen att omständigheterna sammantagna talar för att de åtgärder och det händelseförlopp som nu är föremål för granskning innefattar en provokation från polismyndighetens sida. Denna bedömning förändras inte av det för</w:t>
      </w:r>
      <w:r w:rsidRPr="0008481A">
        <w:softHyphen/>
        <w:t>hållandet att det primära ä</w:t>
      </w:r>
      <w:r w:rsidRPr="0008481A">
        <w:t>n</w:t>
      </w:r>
      <w:r w:rsidRPr="0008481A">
        <w:t>damålet med åtgärden förvisso var att end</w:t>
      </w:r>
      <w:r w:rsidRPr="0008481A">
        <w:t>ast spana på de personer som ägnade uppmärksamhet åt motorcykeln.</w:t>
      </w:r>
    </w:p>
    <w:p w:rsidR="003B3271" w:rsidRPr="0008481A" w:rsidRDefault="003B3271">
      <w:pPr>
        <w:pStyle w:val="Citatindrag"/>
      </w:pPr>
      <w:r w:rsidRPr="0008481A">
        <w:t>Med utgångspunkt i det nyss sagda skall härefter övervägas om provokationen var en tillåten s</w:t>
      </w:r>
      <w:r w:rsidRPr="0008481A">
        <w:t>å</w:t>
      </w:r>
      <w:r w:rsidRPr="0008481A">
        <w:t>dan. Några särskilda författnings</w:t>
      </w:r>
      <w:r w:rsidRPr="0008481A">
        <w:softHyphen/>
        <w:t>bestäm</w:t>
      </w:r>
      <w:r w:rsidRPr="0008481A">
        <w:softHyphen/>
        <w:t>melser om Polisens användning av provokation finns inte. Emellertid skall de allmänna principer för polisingripanden som kommer till uttryck i 8 § polisl</w:t>
      </w:r>
      <w:r w:rsidRPr="0008481A">
        <w:t>a</w:t>
      </w:r>
      <w:r w:rsidRPr="0008481A">
        <w:t>gen (1984:387) alltid beaktas. Paragrafen stadgar att en polisman vid verkställandet av en tjänst</w:t>
      </w:r>
      <w:r w:rsidRPr="0008481A">
        <w:t>e</w:t>
      </w:r>
      <w:r w:rsidRPr="0008481A">
        <w:t>uppgift under iakttagande av vad som föreskrivs i lag eller annan författning skall ingripa på ett sätt som är försvarligt med hänsyn till åtgärdens syfte och övriga omständigheter.</w:t>
      </w:r>
    </w:p>
    <w:p w:rsidR="003B3271" w:rsidRPr="0008481A" w:rsidRDefault="003B3271">
      <w:pPr>
        <w:pStyle w:val="Citatindrag"/>
      </w:pPr>
      <w:r w:rsidRPr="0008481A">
        <w:t>I förarbetena till polislagen (SOU 1</w:t>
      </w:r>
      <w:r w:rsidRPr="0008481A">
        <w:t>982:63 s. 129 ff. och prop. 1983/84:111 s. 44 ff.) behandlas frågan om s.k. okonventionella spaningsmetoder, till vilka provokation inte sällan brukar hänföras. 1981 års polisberedning har pekat på ett antal hållpunkter för bedömningen av om en viss sp</w:t>
      </w:r>
      <w:r w:rsidRPr="0008481A">
        <w:t>a</w:t>
      </w:r>
      <w:r w:rsidRPr="0008481A">
        <w:t>ningsmetod skall anses tillåten eller inte. Bland annat anges att Polisen aldrig bör få provocera eller på annat sätt förmå någon att inleda en brottslig aktivitet. Vidare bör Polisen aldrig av sp</w:t>
      </w:r>
      <w:r w:rsidRPr="0008481A">
        <w:t>a</w:t>
      </w:r>
      <w:r w:rsidRPr="0008481A">
        <w:t>ningsskäl få underlåta att vidta föreskrivna åtgärder mot brot</w:t>
      </w:r>
      <w:r w:rsidRPr="0008481A">
        <w:t>t eller mot en för brott misstänkt pe</w:t>
      </w:r>
      <w:r w:rsidRPr="0008481A">
        <w:t>r</w:t>
      </w:r>
      <w:r w:rsidRPr="0008481A">
        <w:t xml:space="preserve">son (a. bet. s. 140 f.). Departementschefen ställde sig bakom de angivna hållpunkterna (a. prop. </w:t>
      </w:r>
      <w:r w:rsidRPr="0008481A">
        <w:br/>
        <w:t>s. 48).</w:t>
      </w:r>
    </w:p>
    <w:p w:rsidR="003B3271" w:rsidRPr="0008481A" w:rsidRDefault="003B3271">
      <w:pPr>
        <w:pStyle w:val="Citatindrag"/>
      </w:pPr>
      <w:r w:rsidRPr="0008481A">
        <w:t>I den juridiska doktrinen sammanfattar Axberger (a.a. s. 36) förhållandena på följande sätt. Svensk rätt tillåter provokation som syftar till att få fram bevisning om redan fullbordad eller pågående brottslighet varom stark miss</w:t>
      </w:r>
      <w:r w:rsidRPr="0008481A">
        <w:softHyphen/>
        <w:t>tanke föreligger. Provokationen får avse framkallande av brottslig gärning, men avsikten får inte vara att talan skall föras angående denna gärning utan endast att den skall utgöra bevis om redan föreliggande brottslighet. Provo</w:t>
      </w:r>
      <w:r w:rsidRPr="0008481A">
        <w:softHyphen/>
        <w:t>kation får tillgripas endast då saken gäller grov brottslighet. Metoden skall användas restriktivt med iakttagande av behovs- och pr</w:t>
      </w:r>
      <w:r w:rsidRPr="0008481A">
        <w:t>o</w:t>
      </w:r>
      <w:r w:rsidRPr="0008481A">
        <w:t>portionalitets</w:t>
      </w:r>
      <w:r w:rsidRPr="0008481A">
        <w:softHyphen/>
        <w:t>prin</w:t>
      </w:r>
      <w:r w:rsidRPr="0008481A">
        <w:softHyphen/>
        <w:t>ciperna.</w:t>
      </w:r>
    </w:p>
    <w:p w:rsidR="003B3271" w:rsidRPr="0008481A" w:rsidRDefault="003B3271">
      <w:pPr>
        <w:pStyle w:val="Citatindrag"/>
      </w:pPr>
      <w:r w:rsidRPr="0008481A">
        <w:t>Vad gäller den aktuella användningen av HD-motorcykeln kan det till en början slås fast att ett stort antal HD-motorcykl</w:t>
      </w:r>
      <w:r w:rsidRPr="0008481A">
        <w:t>ar hade stulits och att det inte fanns någon misstänkt gärningsman. Det fanns alltså starka misstankar om gärningar som redan var för sig var att bedöma som grova stöl</w:t>
      </w:r>
      <w:r w:rsidRPr="0008481A">
        <w:t>d</w:t>
      </w:r>
      <w:r w:rsidRPr="0008481A">
        <w:t>brott. Den ouppklarade brottsligheten konstituerade sammantaget mot bakgrund härav grov och organiserad brottslighet i den mening som avses i föregående stycke. Härtill kommer att poli</w:t>
      </w:r>
      <w:r w:rsidRPr="0008481A">
        <w:t>s</w:t>
      </w:r>
      <w:r w:rsidRPr="0008481A">
        <w:t>myndigheten utan framgång hade använt sig av ett antal traditionella spaningsmetoder innan nu aktuella åtgärder vidtogs. Det fanns med hänsyn härtill goda skäl</w:t>
      </w:r>
      <w:r w:rsidRPr="0008481A">
        <w:t xml:space="preserve"> att göra gällande att det åsyftade resultatet, dvs, att avslöja gärningsmännen, inte hade kunnat uppnås på annat sätt än genom prov</w:t>
      </w:r>
      <w:r w:rsidRPr="0008481A">
        <w:t>o</w:t>
      </w:r>
      <w:r w:rsidRPr="0008481A">
        <w:t>kation. Förhållandena var enligt styrelsens uppfattning sådana att en sådan åtgärd därför kunde vara berättigad.</w:t>
      </w:r>
    </w:p>
    <w:p w:rsidR="003B3271" w:rsidRPr="0008481A" w:rsidRDefault="003B3271">
      <w:pPr>
        <w:pStyle w:val="Citatindrag"/>
      </w:pPr>
      <w:r w:rsidRPr="0008481A">
        <w:t>Som tidigare sagts är det inte tillåtet att provocera någon att begå ett brott som denne annars inte skulle ha begått. Även om polismyndigheten tog i be</w:t>
      </w:r>
      <w:r w:rsidRPr="0008481A">
        <w:softHyphen/>
        <w:t>räkning att HD-motorcykeln skulle komma att tillgripas, var den primära avsikten med åtgärden inte att så skulle ske, utan fastmera att finna bevisning för redan begångna brott. Det kan visserligen inte förnekas att åtgärden att ställa upp motorcykeln på sätt som gjordes framkallade ett brott som annars inte skulle ha kommit till stånd, men så kan man ju säga om många hän</w:t>
      </w:r>
      <w:r w:rsidRPr="0008481A">
        <w:softHyphen/>
        <w:t>delser. Det måste dock, som polismyndigheten framhållit, tas i beaktande att åtgärden inte var riktad mot någon viss utpekad person. Åtg</w:t>
      </w:r>
      <w:r w:rsidRPr="0008481A">
        <w:t>ärden var vidare helt neutral. Det fanns inget särskilt lockande i själva situationen; motor</w:t>
      </w:r>
      <w:r w:rsidRPr="0008481A">
        <w:softHyphen/>
        <w:t xml:space="preserve">cykeln som inte var av något exklusivt slag för att vara en HD-motorcykel var uppställd på en väl synlig plats i Stockholms innerstad och försedd med ett godkänt lås. Med hänvisning till det sagda finner Rikspolisstyrelsen att den av polismyndigheten valda metoden var försvarlig med hänsyn till åtgärdens syfte och övriga omständigheter. </w:t>
      </w:r>
    </w:p>
    <w:p w:rsidR="003B3271" w:rsidRPr="0008481A" w:rsidRDefault="003B3271">
      <w:pPr>
        <w:pStyle w:val="Citatindrag"/>
      </w:pPr>
      <w:r w:rsidRPr="0008481A">
        <w:t>Enligt förarbetena till polislagen bör beslut om provokation fattas av åklagare</w:t>
      </w:r>
      <w:r w:rsidRPr="0008481A">
        <w:t xml:space="preserve"> eller polisman i polischefsbefattning. JO har för sin del uttalat att regleringen i 23 kap. 3 § första stycket rätt</w:t>
      </w:r>
      <w:r w:rsidRPr="0008481A">
        <w:t>e</w:t>
      </w:r>
      <w:r w:rsidRPr="0008481A">
        <w:t>gångsbalken i princip utesluter att ett beslut om bevisprovokation fattas av en polisman i poli</w:t>
      </w:r>
      <w:r w:rsidRPr="0008481A">
        <w:t>s</w:t>
      </w:r>
      <w:r w:rsidRPr="0008481A">
        <w:t>chefsbefattning (se t.ex. JO 1997/98 s. 131).</w:t>
      </w:r>
    </w:p>
    <w:p w:rsidR="003B3271" w:rsidRPr="0008481A" w:rsidRDefault="003B3271">
      <w:pPr>
        <w:pStyle w:val="Citatindrag"/>
      </w:pPr>
      <w:r w:rsidRPr="0008481A">
        <w:t>Som Rikspolisstyrelsen ser saken bör beslut om provokation i regel fattas av åklagare efter ing</w:t>
      </w:r>
      <w:r w:rsidRPr="0008481A">
        <w:t>å</w:t>
      </w:r>
      <w:r w:rsidRPr="0008481A">
        <w:t>ende samråd med Polisen. Ett beslut om provokation måste regelmässigt föregås av grannlaga överväganden. Härtill kommer att en provokationsåtgärd inte sällan torde komma att påverka den följande brottmålsprocessen. Detta sagt bl.a. mot bakgrund av att det kan göras gällande att sådana brott som provoceras fram i ett led inom ramen för en tillåten provokation inte bör föranleda lagf</w:t>
      </w:r>
      <w:r w:rsidRPr="0008481A">
        <w:t>ö</w:t>
      </w:r>
      <w:r w:rsidRPr="0008481A">
        <w:t>ring (se Axberger a.a. s. 31 och 36). Det anförda utgör enligt styrelsen starka skäl för att åklagaren bör ha ett avgörande in</w:t>
      </w:r>
      <w:r w:rsidRPr="0008481A">
        <w:t>flytande i frågan om provokativa åtgärder skall vidtas eller inte och hur de i så fall skall genomföras.</w:t>
      </w:r>
    </w:p>
    <w:p w:rsidR="003B3271" w:rsidRPr="0008481A" w:rsidRDefault="003B3271">
      <w:pPr>
        <w:pStyle w:val="Citatindrag"/>
      </w:pPr>
      <w:r w:rsidRPr="0008481A">
        <w:t>Såvitt Rikspolisstyrelsen kunnat finna ut av handlingarna har det sätt på vilken HD-motorcykeln kom att användas inte varit föremål för bedömning av åklagare. Anledningen härtill torde i och för sig stå att finna i den om</w:t>
      </w:r>
      <w:r w:rsidRPr="0008481A">
        <w:softHyphen/>
        <w:t>ständig</w:t>
      </w:r>
      <w:r w:rsidRPr="0008481A">
        <w:softHyphen/>
        <w:t>heten att det var polismyndighetens uppfattning att åtgärden att ställa upp HD-motorcykeln på sätt som gjordes inte var att bedöma som någon provokation. Al</w:t>
      </w:r>
      <w:r w:rsidRPr="0008481A">
        <w:t>l</w:t>
      </w:r>
      <w:r w:rsidRPr="0008481A">
        <w:t>deles oavsett vilken inställning polismyndigheten hade i denna fråga borde polismyndigheten, enligt Rikspolisstyrelsens uppfattning, samrått med åklagare. Denna ståndpunkt får ytterligare stöd av att det synes ha föresvävat de inblandade poliserna att motorcykeln skulle komma att tillgripas. Det finns således anledning att kritisera förfarandet</w:t>
      </w:r>
      <w:r w:rsidRPr="0008481A">
        <w:t xml:space="preserve"> i denna del.</w:t>
      </w:r>
    </w:p>
    <w:p w:rsidR="003B3271" w:rsidRPr="0008481A" w:rsidRDefault="003B3271">
      <w:r w:rsidRPr="0008481A">
        <w:t>I fråga om förfarandets förenlighet med 2 § 1 polislagen anfördes fö</w:t>
      </w:r>
      <w:r w:rsidRPr="0008481A">
        <w:t>l</w:t>
      </w:r>
      <w:r w:rsidRPr="0008481A">
        <w:t>jande.</w:t>
      </w:r>
    </w:p>
    <w:p w:rsidR="003B3271" w:rsidRPr="0008481A" w:rsidRDefault="003B3271">
      <w:pPr>
        <w:pStyle w:val="Citat"/>
      </w:pPr>
      <w:r w:rsidRPr="0008481A">
        <w:t>Enligt 2 § 1 polislagen (1984:387) hör till Polisens uppgifter att förebygga brott och andra stö</w:t>
      </w:r>
      <w:r w:rsidRPr="0008481A">
        <w:t>r</w:t>
      </w:r>
      <w:r w:rsidRPr="0008481A">
        <w:t>ningar av den allmänna ordningen eller säkerheten. Här</w:t>
      </w:r>
      <w:r w:rsidRPr="0008481A">
        <w:softHyphen/>
        <w:t>med åsyftas enligt lagens förarbeten den brottsförebyggande verk</w:t>
      </w:r>
      <w:r w:rsidRPr="0008481A">
        <w:softHyphen/>
        <w:t>samheten i egentlig mening (prop. 1983/84:111 s. 56). I ljuset av bestä</w:t>
      </w:r>
      <w:r w:rsidRPr="0008481A">
        <w:t>m</w:t>
      </w:r>
      <w:r w:rsidRPr="0008481A">
        <w:t>melsens inne</w:t>
      </w:r>
      <w:r w:rsidRPr="0008481A">
        <w:softHyphen/>
        <w:t>håll kan polismyndigheten möjligen kritiseras för att den inte förhindrade att HD-motorcykeln tillgreps.</w:t>
      </w:r>
    </w:p>
    <w:p w:rsidR="003B3271" w:rsidRPr="0008481A" w:rsidRDefault="003B3271">
      <w:pPr>
        <w:pStyle w:val="Citatindrag"/>
      </w:pPr>
      <w:r w:rsidRPr="0008481A">
        <w:t>När det gäller frågan om polismyndighetens åtgärder när händelseförloppet i samband med up</w:t>
      </w:r>
      <w:r w:rsidRPr="0008481A">
        <w:t>p</w:t>
      </w:r>
      <w:r w:rsidRPr="0008481A">
        <w:t>ställningen på Hornsgatan kom till den punkten att en viss person genom sitt handlande manifest</w:t>
      </w:r>
      <w:r w:rsidRPr="0008481A">
        <w:t>e</w:t>
      </w:r>
      <w:r w:rsidRPr="0008481A">
        <w:t>rade en vilja att tillgripa HD-motorcykeln, vill Rikspolisstyrelsen anföra följande. Som polismy</w:t>
      </w:r>
      <w:r w:rsidRPr="0008481A">
        <w:t>n</w:t>
      </w:r>
      <w:r w:rsidRPr="0008481A">
        <w:t>digheten pekat på i sitt yttrande hade det varit möjligt att förhindra tillgreppet, om poliserna hade gett sig till känna på platsen. Emellertid fanns det i den aktuella situationen goda skäl för att up</w:t>
      </w:r>
      <w:r w:rsidRPr="0008481A">
        <w:t>p</w:t>
      </w:r>
      <w:r w:rsidRPr="0008481A">
        <w:t>skjuta ett ingripande. Detta sagt mot bakgrund av det tidigare redovisade övergripande syftet med uppställningen av</w:t>
      </w:r>
      <w:r w:rsidRPr="0008481A">
        <w:t xml:space="preserve"> motorcykeln. Som 1981 års polisberedning gjort gällande (SOU 1982:63 s. 142) kan det ibland finnas skäl att dröja med ett ingripande i fråga om visst brott i syfte att inte störa spaning mot samma person i anledning av misstanke om annat grövre brott. En förutsättning härför är emellertid att det så långt som möjligt säkerställs att ingripandet kan ske vid ett senare tillfälle. Enligt styrelsens bedömning hade polismyndigheten vidtagit rimliga åtgärder för att så långt som möjligt säkerställa ett senare in</w:t>
      </w:r>
      <w:r w:rsidRPr="0008481A">
        <w:t>gripande genom att inte mindre än 15 poliser hade till uppgift att direkt delta i den polisiära aktiviteten vid tidpunkten för tillgreppet. Härutöver fanns ytterligare resurser att tillgå inom ramen för den ordinarie utryckning</w:t>
      </w:r>
      <w:r w:rsidRPr="0008481A">
        <w:t>s</w:t>
      </w:r>
      <w:r w:rsidRPr="0008481A">
        <w:t>verksamheten.</w:t>
      </w:r>
    </w:p>
    <w:p w:rsidR="003B3271" w:rsidRPr="0008481A" w:rsidRDefault="003B3271">
      <w:pPr>
        <w:pStyle w:val="Citatindrag"/>
      </w:pPr>
      <w:r w:rsidRPr="0008481A">
        <w:t>Med beaktande av det sagda anser Rikspolisstyrelsen att det inte var oförenligt med 2 § 1 polisl</w:t>
      </w:r>
      <w:r w:rsidRPr="0008481A">
        <w:t>a</w:t>
      </w:r>
      <w:r w:rsidRPr="0008481A">
        <w:t>gen att inte omedelbart ingripa och förebygga tillgreppet av HD-motorcykeln.</w:t>
      </w:r>
    </w:p>
    <w:p w:rsidR="003B3271" w:rsidRPr="0008481A" w:rsidRDefault="003B3271">
      <w:r w:rsidRPr="0008481A">
        <w:t>I yttrandet anfördes avslutningsvis följande.</w:t>
      </w:r>
    </w:p>
    <w:p w:rsidR="003B3271" w:rsidRPr="0008481A" w:rsidRDefault="003B3271">
      <w:pPr>
        <w:pStyle w:val="Citat"/>
      </w:pPr>
      <w:r w:rsidRPr="0008481A">
        <w:t>Enligt Rikspolisstyrelsens uppfattning väcker fall av nu behandlat slag frågan var gränserna går för Polisens spaningsmetoder. Provokation är, som nämnts i det föregående, en i författning oreglerad sådan metod. Som styrelsen ser saken har det i detta fall varit fråga om kreativt polisarbete syfta</w:t>
      </w:r>
      <w:r w:rsidRPr="0008481A">
        <w:t>n</w:t>
      </w:r>
      <w:r w:rsidRPr="0008481A">
        <w:t>de till att knyta gärningsmän till allvarlig och svårutredd brottslighet. Oavsett hur saken skall b</w:t>
      </w:r>
      <w:r w:rsidRPr="0008481A">
        <w:t>e</w:t>
      </w:r>
      <w:r w:rsidRPr="0008481A">
        <w:t>dömas finns det, som polismyndigheten pekat på, anledning att inom ramen för lagstiftningsarbetet närmare överväga var nämnda gränser skall gå.</w:t>
      </w:r>
    </w:p>
    <w:p w:rsidR="003B3271" w:rsidRPr="0008481A" w:rsidRDefault="003B3271">
      <w:pPr>
        <w:pStyle w:val="Rubrik4"/>
        <w:spacing w:before="360"/>
      </w:pPr>
      <w:r w:rsidRPr="0008481A">
        <w:t>Riksåklagarens yttrande (Solveig Riberdahl)</w:t>
      </w:r>
    </w:p>
    <w:p w:rsidR="003B3271" w:rsidRPr="0008481A" w:rsidRDefault="003B3271">
      <w:pPr>
        <w:rPr>
          <w:sz w:val="20"/>
        </w:rPr>
      </w:pPr>
      <w:r w:rsidRPr="0008481A">
        <w:t>I yttrandet anfördes bl.a. följande.</w:t>
      </w:r>
    </w:p>
    <w:p w:rsidR="003B3271" w:rsidRPr="0008481A" w:rsidRDefault="003B3271">
      <w:pPr>
        <w:pStyle w:val="Rubrik5"/>
      </w:pPr>
      <w:r w:rsidRPr="0008481A">
        <w:t>Rättsläget</w:t>
      </w:r>
    </w:p>
    <w:p w:rsidR="003B3271" w:rsidRPr="0008481A" w:rsidRDefault="003B3271">
      <w:pPr>
        <w:pStyle w:val="Citat"/>
      </w:pPr>
      <w:r w:rsidRPr="0008481A">
        <w:t>Frågan om tillåtlighet av provokativa åtgärder från de brottsbekämpande myndigheternas sida regleras inte i lag. Den har dock berörts i ärenden hos JO och i några rättsfall. Dessutom finns uttalanden i vissa lagförarbeten och doktrin. Sammanfattningsvis är den rådande uppfattningen att det under särskilda förutsättningar kan vara tillåtet att använda provokation om syftet är att få fram bevisning om pågående eller redan fullbordad brottslighet. Däre</w:t>
      </w:r>
      <w:r w:rsidRPr="0008481A">
        <w:softHyphen/>
        <w:t>mot anses det aldrig tillåtet att provocera någon att begå ett brott som denna annars aldrig hade begått. Med brott avses i detta sammanhang enligt doktrinen inte alltid en ”individualiserad gärning som utgör brott” utan ”brottslig gärning av viss typ”. Det kan t.ex. vara tillåtet att provocera fram en enstaka försäljning av narkotika för att avslöja en omfattande narkotika</w:t>
      </w:r>
      <w:r w:rsidRPr="0008481A">
        <w:softHyphen/>
        <w:t>handel. Provokation får användas endast i fråga om allvarlig brottslighet eller när synnerlig anledning annars motiverar åtgärden. Pro</w:t>
      </w:r>
      <w:r w:rsidRPr="0008481A">
        <w:t>vok</w:t>
      </w:r>
      <w:r w:rsidRPr="0008481A">
        <w:t>a</w:t>
      </w:r>
      <w:r w:rsidRPr="0008481A">
        <w:t>tion skall an</w:t>
      </w:r>
      <w:r w:rsidRPr="0008481A">
        <w:softHyphen/>
        <w:t>vändas mycket restriktivt och med urskillning. Vid sidan av brottets svårhets</w:t>
      </w:r>
      <w:r w:rsidRPr="0008481A">
        <w:softHyphen/>
        <w:t>grad måste hänsyn tas till misstankens styrka, åtgärdens art och det intrång som åtgärden kan antas medföra mot den som åtgärden riktas mot.</w:t>
      </w:r>
    </w:p>
    <w:p w:rsidR="003B3271" w:rsidRPr="0008481A" w:rsidRDefault="003B3271">
      <w:pPr>
        <w:pStyle w:val="Citatindrag"/>
      </w:pPr>
      <w:r w:rsidRPr="0008481A">
        <w:t>Sammanfattningsvis kan följande villkor ställas upp.</w:t>
      </w:r>
    </w:p>
    <w:p w:rsidR="003B3271" w:rsidRPr="0008481A" w:rsidRDefault="003B3271">
      <w:pPr>
        <w:pStyle w:val="Citat"/>
        <w:spacing w:before="80"/>
      </w:pPr>
      <w:r w:rsidRPr="0008481A">
        <w:t>*  Stark misstanke om brott skall föreligga</w:t>
      </w:r>
    </w:p>
    <w:p w:rsidR="003B3271" w:rsidRPr="0008481A" w:rsidRDefault="003B3271">
      <w:pPr>
        <w:pStyle w:val="Citat"/>
        <w:spacing w:before="0"/>
      </w:pPr>
      <w:r w:rsidRPr="0008481A">
        <w:t>*  Provokation får endast tillgripas vid allvarlig brottslighet</w:t>
      </w:r>
    </w:p>
    <w:p w:rsidR="003B3271" w:rsidRPr="0008481A" w:rsidRDefault="003B3271">
      <w:pPr>
        <w:pStyle w:val="Citat"/>
        <w:spacing w:before="0"/>
      </w:pPr>
      <w:r w:rsidRPr="0008481A">
        <w:t>*  Behovs- och proportionalitetsprincipen skall beaktas</w:t>
      </w:r>
    </w:p>
    <w:p w:rsidR="003B3271" w:rsidRPr="0008481A" w:rsidRDefault="003B3271">
      <w:pPr>
        <w:pStyle w:val="Citat"/>
        <w:spacing w:before="0"/>
      </w:pPr>
      <w:r w:rsidRPr="0008481A">
        <w:t>*  Beslut att använda provokation skall fattas på chefsnivå</w:t>
      </w:r>
    </w:p>
    <w:p w:rsidR="003B3271" w:rsidRPr="0008481A" w:rsidRDefault="003B3271">
      <w:pPr>
        <w:pStyle w:val="Citat"/>
        <w:spacing w:before="0"/>
      </w:pPr>
      <w:r w:rsidRPr="0008481A">
        <w:t>*  Provokationsåtgärden måste dokumenteras noggrant</w:t>
      </w:r>
    </w:p>
    <w:p w:rsidR="003B3271" w:rsidRPr="0008481A" w:rsidRDefault="003B3271">
      <w:pPr>
        <w:pStyle w:val="Citat"/>
        <w:spacing w:before="0"/>
      </w:pPr>
      <w:r w:rsidRPr="0008481A">
        <w:t>(Se bl.a. JO 1997/98 s. 118 och där angiven litteratur och praxis)</w:t>
      </w:r>
    </w:p>
    <w:p w:rsidR="003B3271" w:rsidRPr="0008481A" w:rsidRDefault="003B3271">
      <w:pPr>
        <w:pStyle w:val="Citatindrag"/>
      </w:pPr>
      <w:r w:rsidRPr="0008481A">
        <w:t>Tilläggas kan att enligt svensk rätt den som provocerats att begå en viss gärning inte går fri från straffansvar för denna (NJA 1960 s. 522 och 1972 s. 625).</w:t>
      </w:r>
    </w:p>
    <w:p w:rsidR="003B3271" w:rsidRPr="0008481A" w:rsidRDefault="003B3271">
      <w:pPr>
        <w:pStyle w:val="Rubrik5"/>
      </w:pPr>
      <w:r w:rsidRPr="0008481A">
        <w:t>Synpunkter i detta ärende</w:t>
      </w:r>
    </w:p>
    <w:p w:rsidR="003B3271" w:rsidRPr="0008481A" w:rsidRDefault="003B3271">
      <w:pPr>
        <w:pStyle w:val="Citat"/>
      </w:pPr>
      <w:r w:rsidRPr="0008481A">
        <w:t>Den första frågan att ta ställning till är om det alls rör sig om en åtgärd som kan karaktäriseras som en provokation från polisens sida. Åtgärden riktade sig inte mot någon bestämd person. Motorc</w:t>
      </w:r>
      <w:r w:rsidRPr="0008481A">
        <w:t>y</w:t>
      </w:r>
      <w:r w:rsidRPr="0008481A">
        <w:t>keln försågs inte med någon särskilt stöldbegärlig utrustning och var dessutom utrustad med lås. Sam</w:t>
      </w:r>
      <w:r w:rsidRPr="0008481A">
        <w:softHyphen/>
        <w:t>tidigt framgår att det primära syftet var att få fram spaningsuppslag och att det dessutom fanns en beredskap för att ta upp ett förföljande om motor</w:t>
      </w:r>
      <w:r w:rsidRPr="0008481A">
        <w:softHyphen/>
        <w:t>cykeln skulle komma att tillgripas. Syftet var således att motorcykeln på det ena eller andra sättet skulle fungera som ett lockbete. Jag delar mot den bakgrunden Rikspolisstyrelsens uppfattning att omständigheterna samman</w:t>
      </w:r>
      <w:r w:rsidRPr="0008481A">
        <w:softHyphen/>
        <w:t>taget talar för att åtgärden får besk</w:t>
      </w:r>
      <w:r w:rsidRPr="0008481A">
        <w:t>rivas som en provokation. Enligt min mening kan det provokativa inslaget dock inte betecknas som särskilt framträdande.</w:t>
      </w:r>
    </w:p>
    <w:p w:rsidR="003B3271" w:rsidRPr="0008481A" w:rsidRDefault="003B3271">
      <w:pPr>
        <w:pStyle w:val="Citatindrag"/>
      </w:pPr>
      <w:r w:rsidRPr="0008481A">
        <w:t>Den andra frågan att besvara är om åtgärden var tillåten eller otillåten. Som jag nyss sagt anser jag inte att det provokativa momentet har varit särskilt markerat. Redan det talar för att åtgärden måste anses tillåten. En provokation är inte tillåten om syftet är att förmå någon att begå en gärning som denne annars inte skulle ha begått. Det står i och för sig klart att motorcykeln inte s</w:t>
      </w:r>
      <w:r w:rsidRPr="0008481A">
        <w:t>kulle ha stulits om den inte ställts upp på det sätt som skett. Men som Rikspolisstyrelsen berört gäller motsvara</w:t>
      </w:r>
      <w:r w:rsidRPr="0008481A">
        <w:t>n</w:t>
      </w:r>
      <w:r w:rsidRPr="0008481A">
        <w:t>de i många fall; tillfället gör tjuven. Det bör också noteras att syftet i detta fall var att avslöja en pågående grov brottslighet. När det gäller gränsdragningen mellan otillåten brottsprovokation och tillåten bevisprovokation måste avgörande vikt fästas vid att åtgärden inte riktade sig mot någon bestämd person utan att den tvärtom var neutral och att motorcykeln inte ställts upp på ett sådan</w:t>
      </w:r>
      <w:r w:rsidRPr="0008481A">
        <w:t>t sätt att den skulle vara särskilt attraktiv eller lättåtkomlig. Mot den bakgrunden kan jag inte finna att åtgärden kan anses ha haft karaktär av otillåten brotts</w:t>
      </w:r>
      <w:r w:rsidRPr="0008481A">
        <w:softHyphen/>
        <w:t>provokation utan att den måste betecknas som en bevisprovokation av sådan art som i och för sig är tillåten.</w:t>
      </w:r>
    </w:p>
    <w:p w:rsidR="003B3271" w:rsidRPr="0008481A" w:rsidRDefault="003B3271">
      <w:pPr>
        <w:pStyle w:val="Citatindrag"/>
      </w:pPr>
      <w:r w:rsidRPr="0008481A">
        <w:t xml:space="preserve">Av intresse i detta fall är vidare det inledningsvis berörda kravet på att det skall finnas en stark misstanke om brott för att en provokation skall anses som en tillåten bevisprovokation och frågan vart en sådan misstanke i så fall skall </w:t>
      </w:r>
      <w:r w:rsidRPr="0008481A">
        <w:t>vara riktad. Måste den starka misstanken avse en bestämd – identifierad eller oidentifierad – person eller kan den rikta sig mot en mer obestämd grupp? Enligt min uppfattning kan en provokativ åtgärd allmänt sett riktas mot en obestämd grupp utan att för den skull betraktas som otillåten, detta i synnerhet om den provokativa åtgärden – såsom i detta fall – är neutral och inte på något särskilt sätt kan anses locka till att begå brott.</w:t>
      </w:r>
    </w:p>
    <w:p w:rsidR="003B3271" w:rsidRPr="0008481A" w:rsidRDefault="003B3271">
      <w:pPr>
        <w:pStyle w:val="Citatindrag"/>
      </w:pPr>
      <w:r w:rsidRPr="0008481A">
        <w:t>Med hänsyn till vad som upplysts i ärendet kan jag inte finna annat än at</w:t>
      </w:r>
      <w:r w:rsidRPr="0008481A">
        <w:t>t de tidigare angivna vil</w:t>
      </w:r>
      <w:r w:rsidRPr="0008481A">
        <w:t>l</w:t>
      </w:r>
      <w:r w:rsidRPr="0008481A">
        <w:t>koren i fråga om graden av misstanke och brotts</w:t>
      </w:r>
      <w:r w:rsidRPr="0008481A">
        <w:softHyphen/>
        <w:t>lighetens art varit uppfyllda. Även med hänsyn till behovs- och propor</w:t>
      </w:r>
      <w:r w:rsidRPr="0008481A">
        <w:softHyphen/>
        <w:t>tionalitets</w:t>
      </w:r>
      <w:r w:rsidRPr="0008481A">
        <w:softHyphen/>
        <w:t>principen har enligt min mening förutsättningar för att använda sig av bevisprovokation varit för handen.</w:t>
      </w:r>
    </w:p>
    <w:p w:rsidR="003B3271" w:rsidRPr="0008481A" w:rsidRDefault="003B3271">
      <w:pPr>
        <w:pStyle w:val="Citatindrag"/>
      </w:pPr>
      <w:r w:rsidRPr="0008481A">
        <w:t>Ett beslut om bevisprovokation bör fattas av åklagare efter samråd med polisen. Skälet till att b</w:t>
      </w:r>
      <w:r w:rsidRPr="0008481A">
        <w:t>e</w:t>
      </w:r>
      <w:r w:rsidRPr="0008481A">
        <w:t>slutsrätten bör ligga hos åklagare är som Rikspolis</w:t>
      </w:r>
      <w:r w:rsidRPr="0008481A">
        <w:softHyphen/>
        <w:t>styrelsen anför bl.a. att en provokationsåtgärd i allmänhet påverkar den följande brottmålsprocessen. Beslutet bör vidare fattas på chefsnivå och dokumenteras. I detta fall har enligt vad som framkommit inte någon åklagare varit inblandad. På vilken nivå inom polisen som beslutet fattats är oklart. Det framgår inte heller såvitt jag kunnat finna vilken dokumentation som finns. I dessa hänseenden uppfyller åtgärden inte de krav som jag berört inledningsvis</w:t>
      </w:r>
      <w:r w:rsidRPr="0008481A">
        <w:t>.</w:t>
      </w:r>
    </w:p>
    <w:p w:rsidR="003B3271" w:rsidRPr="0008481A" w:rsidRDefault="003B3271">
      <w:pPr>
        <w:pStyle w:val="Citatindrag"/>
      </w:pPr>
      <w:r w:rsidRPr="0008481A">
        <w:t>I fråga om åtgärdens förenlighet med 2 § 1 polislagen gör jag ingen annan bedömning än den som framgår av Rikspolisstyrelsens yttrande.</w:t>
      </w:r>
    </w:p>
    <w:p w:rsidR="003B3271" w:rsidRPr="0008481A" w:rsidRDefault="003B3271">
      <w:r w:rsidRPr="0008481A">
        <w:t xml:space="preserve">I ett beslut den 31 mars 2000 anförde </w:t>
      </w:r>
      <w:r w:rsidRPr="0008481A">
        <w:rPr>
          <w:i/>
        </w:rPr>
        <w:t>chefsJO Eklundh</w:t>
      </w:r>
      <w:r w:rsidRPr="0008481A">
        <w:t xml:space="preserve"> följande.</w:t>
      </w:r>
    </w:p>
    <w:p w:rsidR="003B3271" w:rsidRPr="0008481A" w:rsidRDefault="003B3271">
      <w:pPr>
        <w:pStyle w:val="Rubrik3"/>
      </w:pPr>
      <w:r w:rsidRPr="0008481A">
        <w:t>Den rättsliga regleringen och uttalanden om rättsläget</w:t>
      </w:r>
    </w:p>
    <w:p w:rsidR="003B3271" w:rsidRPr="0008481A" w:rsidRDefault="003B3271">
      <w:r w:rsidRPr="0008481A">
        <w:t>De grundläggande föreskrifterna om förundersökning finns i 23 kap. rätte</w:t>
      </w:r>
      <w:r w:rsidRPr="0008481A">
        <w:softHyphen/>
        <w:t>gång</w:t>
      </w:r>
      <w:r w:rsidRPr="0008481A">
        <w:t>s</w:t>
      </w:r>
      <w:r w:rsidRPr="0008481A">
        <w:softHyphen/>
        <w:t>balken (RB). Förundersökning skall inledas så snart det på grund av angivelse eller av något annat skäl finns anledning att anta att ett brott som hör under al</w:t>
      </w:r>
      <w:r w:rsidRPr="0008481A">
        <w:t>l</w:t>
      </w:r>
      <w:r w:rsidRPr="0008481A">
        <w:t>mänt åtal har förövats (1 §). Under förundersökningen skall utredas vem som sk</w:t>
      </w:r>
      <w:r w:rsidRPr="0008481A">
        <w:t>ä</w:t>
      </w:r>
      <w:r w:rsidRPr="0008481A">
        <w:t xml:space="preserve">ligen kan misstänkas för brottet och om tillräckliga skäl föreligger för åtal mot honom samt målet så beredas, att bevisningen kan förebringas i ett sammanhang vid huvudförhandlingen (2 §). </w:t>
      </w:r>
    </w:p>
    <w:p w:rsidR="003B3271" w:rsidRPr="0008481A" w:rsidRDefault="003B3271">
      <w:pPr>
        <w:pStyle w:val="Normaltindrag"/>
      </w:pPr>
      <w:r w:rsidRPr="0008481A">
        <w:t>En förundersökning inleds av polismyndigheten eller åklagaren. Om den har i</w:t>
      </w:r>
      <w:r w:rsidRPr="0008481A">
        <w:t>n</w:t>
      </w:r>
      <w:r w:rsidRPr="0008481A">
        <w:t xml:space="preserve">letts av polismyndigheten och saken inte är av enkel beskaffenhet, skall ledningen  övertas av åklagaren så snart någon skäligen kan misstänkas för brottet. Åklagaren skall också i andra fall överta ledningen när det är påkallat av särskilda skäl (3 § första stycket). </w:t>
      </w:r>
    </w:p>
    <w:p w:rsidR="003B3271" w:rsidRPr="0008481A" w:rsidRDefault="003B3271">
      <w:pPr>
        <w:pStyle w:val="Normaltindrag"/>
      </w:pPr>
      <w:r w:rsidRPr="0008481A">
        <w:t>Allmänna regler om hur en förundersökning skall bedrivas finns i 4 §. Vid fö</w:t>
      </w:r>
      <w:r w:rsidRPr="0008481A">
        <w:t>r</w:t>
      </w:r>
      <w:r w:rsidRPr="0008481A">
        <w:t>undersökningen skall enligt detta lagrum inte bara de omständigheter, som talar emot den misstänkte, utan även de som är gynnsamma för honom beaktas och bevis, som är till hans förmån, tillvaratas. Vidare föreskrivs att undersökningen bör bedrivas så, att inte någon onödigt utsätts för misstanke eller får vidkännas kostnad eller olägenhet. Bestämmelser om förhör under förundersökning finns i 6–13 §§ och regler om inhämtande av yttrande från en sakkunnig i 14 §. Om anvä</w:t>
      </w:r>
      <w:r w:rsidRPr="0008481A">
        <w:t>n</w:t>
      </w:r>
      <w:r w:rsidRPr="0008481A">
        <w:t>dande av tvångsmedel under förunder</w:t>
      </w:r>
      <w:r w:rsidRPr="0008481A">
        <w:softHyphen/>
        <w:t>s</w:t>
      </w:r>
      <w:r w:rsidRPr="0008481A">
        <w:t>ökningen gäller vad som föreskrivs i 24–28 kap. RB (16 §). I övrigt saknas föreskrifter om vilka spanings- och utredning</w:t>
      </w:r>
      <w:r w:rsidRPr="0008481A">
        <w:t>s</w:t>
      </w:r>
      <w:r w:rsidRPr="0008481A">
        <w:t>metoder som får användas under en förundersökning. I polisens brottsbekämpande verksamhet skall emellertid beaktas de allmänna principer som finns fas</w:t>
      </w:r>
      <w:r w:rsidRPr="0008481A">
        <w:t>t</w:t>
      </w:r>
      <w:r w:rsidRPr="0008481A">
        <w:t>lagda i 8 § polislagen (1984:387) som har följande lydelse.</w:t>
      </w:r>
    </w:p>
    <w:p w:rsidR="003B3271" w:rsidRPr="0008481A" w:rsidRDefault="003B3271">
      <w:pPr>
        <w:pStyle w:val="Citat"/>
      </w:pPr>
      <w:r w:rsidRPr="0008481A">
        <w:t>En polisman som har att verkställa en tjänsteuppgift skall under iakttagande av vad som föreskrivs i lag eller annan författning ingripa på ett sätt som är försvarligt med hänsyn t</w:t>
      </w:r>
      <w:r w:rsidRPr="0008481A">
        <w:t>ill åtgärdens syfte och övriga omständigheter. Måste tvång tillgripas, skall detta ske endast i den form och den u</w:t>
      </w:r>
      <w:r w:rsidRPr="0008481A">
        <w:t>t</w:t>
      </w:r>
      <w:r w:rsidRPr="0008481A">
        <w:t>sträckning som behövs för att det avsedda resultatet skall uppnås.</w:t>
      </w:r>
    </w:p>
    <w:p w:rsidR="003B3271" w:rsidRPr="0008481A" w:rsidRDefault="003B3271">
      <w:pPr>
        <w:pStyle w:val="Citatindrag"/>
      </w:pPr>
      <w:r w:rsidRPr="0008481A">
        <w:t>Ett ingripande som begränsar någon av de grundläggande fri- och rättigheter som avses i 2 kap. regeringsformen får ej grundas enbart på bestämmelserna i första stycket.</w:t>
      </w:r>
    </w:p>
    <w:p w:rsidR="003B3271" w:rsidRPr="0008481A" w:rsidRDefault="003B3271">
      <w:r w:rsidRPr="0008481A">
        <w:t>Denna paragraf ger uttryck för legalitets-, ändamåls-, behovs- och propor</w:t>
      </w:r>
      <w:r w:rsidRPr="0008481A">
        <w:softHyphen/>
        <w:t>tional</w:t>
      </w:r>
      <w:r w:rsidRPr="0008481A">
        <w:t>i</w:t>
      </w:r>
      <w:r w:rsidRPr="0008481A">
        <w:t>tetsprinciperna.</w:t>
      </w:r>
    </w:p>
    <w:p w:rsidR="003B3271" w:rsidRPr="0008481A" w:rsidRDefault="003B3271">
      <w:r w:rsidRPr="0008481A">
        <w:t>Till polisens huvuduppgifter hör att förebygga brott (2 § 1 polislagen). Polisen har således skyldighet att ingripa mot brott och får inte, t.ex. av spaningsskäl, unde</w:t>
      </w:r>
      <w:r w:rsidRPr="0008481A">
        <w:t>r</w:t>
      </w:r>
      <w:r w:rsidRPr="0008481A">
        <w:t xml:space="preserve">låta att vidta föreskrivna åtgärder mot brott eller mot en för brott misstänkt person. Som framgår av vad som sägs i det följande anses det däremot kunna godtas att man i vissa situationer av undantagskaraktär skjuter upp ett gripande, ett förhör eller någon annan sådan åtgärd. </w:t>
      </w:r>
    </w:p>
    <w:p w:rsidR="003B3271" w:rsidRPr="0008481A" w:rsidRDefault="003B3271">
      <w:pPr>
        <w:pStyle w:val="Normaltindrag"/>
      </w:pPr>
      <w:r w:rsidRPr="0008481A">
        <w:t>Frågan om användning av provokation och andra s.k. okonventionella spaning</w:t>
      </w:r>
      <w:r w:rsidRPr="0008481A">
        <w:t>s</w:t>
      </w:r>
      <w:r w:rsidRPr="0008481A">
        <w:t>metoder i den brottsbekämpande verksamheten behandlades av 1981 års polisb</w:t>
      </w:r>
      <w:r w:rsidRPr="0008481A">
        <w:t>e</w:t>
      </w:r>
      <w:r w:rsidRPr="0008481A">
        <w:t>redning (SOU 1982:63) samt i den proposition med förslag till polislag som gru</w:t>
      </w:r>
      <w:r w:rsidRPr="0008481A">
        <w:t>n</w:t>
      </w:r>
      <w:r w:rsidRPr="0008481A">
        <w:t>dades på Polisberedningens förslag (prop. 1983/84:111). Frågan har vidare b</w:t>
      </w:r>
      <w:r w:rsidRPr="0008481A">
        <w:t>e</w:t>
      </w:r>
      <w:r w:rsidRPr="0008481A">
        <w:t>handlats bl.a. av Hans-Gunnar Axberger (Brotts</w:t>
      </w:r>
      <w:r w:rsidRPr="0008481A">
        <w:softHyphen/>
        <w:t>provo</w:t>
      </w:r>
      <w:r w:rsidRPr="0008481A">
        <w:softHyphen/>
        <w:t>ka</w:t>
      </w:r>
      <w:r w:rsidRPr="0008481A">
        <w:softHyphen/>
        <w:t>tion, 1989) och av Peter Fitger (Rättegångsba</w:t>
      </w:r>
      <w:r w:rsidRPr="0008481A">
        <w:t>l</w:t>
      </w:r>
      <w:r w:rsidRPr="0008481A">
        <w:t>ken, del 2).</w:t>
      </w:r>
    </w:p>
    <w:p w:rsidR="003B3271" w:rsidRPr="0008481A" w:rsidRDefault="003B3271">
      <w:pPr>
        <w:pStyle w:val="Normaltindrag"/>
      </w:pPr>
      <w:r w:rsidRPr="0008481A">
        <w:t xml:space="preserve">Med </w:t>
      </w:r>
      <w:r w:rsidRPr="0008481A">
        <w:rPr>
          <w:i/>
        </w:rPr>
        <w:t xml:space="preserve">provokation </w:t>
      </w:r>
      <w:r w:rsidRPr="0008481A">
        <w:t>avses i det här aktuella sammanhanget ett handlande som inn</w:t>
      </w:r>
      <w:r w:rsidRPr="0008481A">
        <w:t>e</w:t>
      </w:r>
      <w:r w:rsidRPr="0008481A">
        <w:t>bär att polisen under en förundersökning lockar eller utmanar en person till en handling eller ett uttalande som kan vara besvärande eller på annat sätt ha en n</w:t>
      </w:r>
      <w:r w:rsidRPr="0008481A">
        <w:t>e</w:t>
      </w:r>
      <w:r w:rsidRPr="0008481A">
        <w:t>gativ innebörd för honom eller någon i hans närhet. Som provo</w:t>
      </w:r>
      <w:r w:rsidRPr="0008481A">
        <w:softHyphen/>
        <w:t>kation betraktas däremot inte en åtgärd som utgör endast ett neutralt svar på en gärningsmans egna initiativ (SOU 1982:63 s. 129 f. och Fitger, Rätte</w:t>
      </w:r>
      <w:r w:rsidRPr="0008481A">
        <w:softHyphen/>
        <w:t>gångs</w:t>
      </w:r>
      <w:r w:rsidRPr="0008481A">
        <w:softHyphen/>
        <w:t>balken del 2, s. 23:22).</w:t>
      </w:r>
    </w:p>
    <w:p w:rsidR="003B3271" w:rsidRPr="0008481A" w:rsidRDefault="003B3271">
      <w:pPr>
        <w:pStyle w:val="Normaltindrag"/>
      </w:pPr>
      <w:r w:rsidRPr="0008481A">
        <w:t>Som har anförts i yttrandena i ärend</w:t>
      </w:r>
      <w:r w:rsidRPr="0008481A">
        <w:t>et brukar man göra skillnad mellan brotts</w:t>
      </w:r>
      <w:r w:rsidRPr="0008481A">
        <w:softHyphen/>
        <w:t>pr</w:t>
      </w:r>
      <w:r w:rsidRPr="0008481A">
        <w:t>o</w:t>
      </w:r>
      <w:r w:rsidRPr="0008481A">
        <w:t xml:space="preserve">vokation och bevisprovokation. Med </w:t>
      </w:r>
      <w:r w:rsidRPr="0008481A">
        <w:rPr>
          <w:i/>
        </w:rPr>
        <w:t>brottsprovokation</w:t>
      </w:r>
      <w:r w:rsidRPr="0008481A">
        <w:t xml:space="preserve"> avses ett agerande från polisens sida som syftar till att framkalla brott, medan en </w:t>
      </w:r>
      <w:r w:rsidRPr="0008481A">
        <w:rPr>
          <w:i/>
        </w:rPr>
        <w:t>bevisprovokation</w:t>
      </w:r>
      <w:r w:rsidRPr="0008481A">
        <w:t xml:space="preserve"> dä</w:t>
      </w:r>
      <w:r w:rsidRPr="0008481A">
        <w:t>r</w:t>
      </w:r>
      <w:r w:rsidRPr="0008481A">
        <w:t>emot syftar till att få fram bevisning för att styrka ett begånget brott om vilket det föreligger misstanke (Axberger, a.a., s. 10 f.). Brottsprovokation är aldrig tillåten, medan det däremot anses att bevis</w:t>
      </w:r>
      <w:r w:rsidRPr="0008481A">
        <w:softHyphen/>
        <w:t>provokation kan få användas under vissa föru</w:t>
      </w:r>
      <w:r w:rsidRPr="0008481A">
        <w:t>t</w:t>
      </w:r>
      <w:r w:rsidRPr="0008481A">
        <w:t xml:space="preserve">sättningar. </w:t>
      </w:r>
    </w:p>
    <w:p w:rsidR="003B3271" w:rsidRPr="0008481A" w:rsidRDefault="003B3271">
      <w:pPr>
        <w:pStyle w:val="Normaltindrag"/>
      </w:pPr>
      <w:r w:rsidRPr="0008481A">
        <w:t>I proposition 1983/84:111 uttalades bl.a. at</w:t>
      </w:r>
      <w:r w:rsidRPr="0008481A">
        <w:t>t polisen aldrig bör få begå en kriminalis</w:t>
      </w:r>
      <w:r w:rsidRPr="0008481A">
        <w:t>e</w:t>
      </w:r>
      <w:r w:rsidRPr="0008481A">
        <w:t>rad handling för att kunna efterforska eller avslöja ett brott och att den inte heller bör få provocera eller annars förmå någon att inleda en brottslig aktivitet. Det u</w:t>
      </w:r>
      <w:r w:rsidRPr="0008481A">
        <w:t>t</w:t>
      </w:r>
      <w:r w:rsidRPr="0008481A">
        <w:t>talades vidare att polisen aldrig av spaningsskäl får underlåta att vidta föreskrivna åtgärder mot brott eller mot en för brott miss</w:t>
      </w:r>
      <w:r w:rsidRPr="0008481A">
        <w:softHyphen/>
        <w:t>tänkt person, men att det är en annan sak att gripande, förhör och andra åtgärder ibland måste uppskjutas av sådana skäl. I propositionen framhölls vikten av att vidt</w:t>
      </w:r>
      <w:r w:rsidRPr="0008481A">
        <w:t>agna åtgärder dokumenteras enligt gällande bestämmelser, och det uttalades också att beslut om sådana spanings- eller förundersök</w:t>
      </w:r>
      <w:r w:rsidRPr="0008481A">
        <w:softHyphen/>
        <w:t>nings</w:t>
      </w:r>
      <w:r w:rsidRPr="0008481A">
        <w:softHyphen/>
        <w:t>metoder som avsågs i sammanhanget alltid bör fattas av åklagaren eller en polisman i polischefsbefattning (s. 46 f.). Eftersom de nämnda principerna fick anses inrymmas i en allmän regel som gav uttryck för legalitets-, behovs- och proportionalitetsprinciperna, behövdes det enligt departements</w:t>
      </w:r>
      <w:r w:rsidRPr="0008481A">
        <w:softHyphen/>
        <w:t>ch</w:t>
      </w:r>
      <w:r w:rsidRPr="0008481A">
        <w:t>e</w:t>
      </w:r>
      <w:r w:rsidRPr="0008481A">
        <w:t>fens uppfattning inte några särskilda regler i lag om s.k. okonventionella sp</w:t>
      </w:r>
      <w:r w:rsidRPr="0008481A">
        <w:t>a</w:t>
      </w:r>
      <w:r w:rsidRPr="0008481A">
        <w:t xml:space="preserve">ningsmetoder (s. 48 f.). </w:t>
      </w:r>
    </w:p>
    <w:p w:rsidR="003B3271" w:rsidRPr="0008481A" w:rsidRDefault="003B3271">
      <w:pPr>
        <w:pStyle w:val="Normaltindrag"/>
      </w:pPr>
      <w:r w:rsidRPr="0008481A">
        <w:t>Jag har för egen del uttalat att ett beslut om provokation alltid skall fattas av åkl</w:t>
      </w:r>
      <w:r w:rsidRPr="0008481A">
        <w:t>a</w:t>
      </w:r>
      <w:r w:rsidRPr="0008481A">
        <w:t>garen. Enligt min uppfattning följer detta av regeln i 23 kap. 3 § första stycket andra meningen RB att åklagaren, också när det inte finns någon som är skäligen misstänkt för brottet, skall överta ledningen av förunder</w:t>
      </w:r>
      <w:r w:rsidRPr="0008481A">
        <w:softHyphen/>
        <w:t>sökningen om det är p</w:t>
      </w:r>
      <w:r w:rsidRPr="0008481A">
        <w:t>å</w:t>
      </w:r>
      <w:r w:rsidRPr="0008481A">
        <w:t xml:space="preserve">kallat av särskilda skäl (JO 1997/98 s. 118). </w:t>
      </w:r>
    </w:p>
    <w:p w:rsidR="003B3271" w:rsidRPr="0008481A" w:rsidRDefault="003B3271">
      <w:pPr>
        <w:pStyle w:val="Normaltindrag"/>
      </w:pPr>
      <w:r w:rsidRPr="0008481A">
        <w:t>Vad gäller frågan om vilka krav som skall ställas på brottets svårhetsgrad och misstankens styrka för att provokation skall få tillgripas kan hänvisas till JO 1953 s. 163 och 1973 s. 91 f. samt till NJA 1953 s. 582. Som hu</w:t>
      </w:r>
      <w:r w:rsidRPr="0008481A">
        <w:t>vudregel anses gälla att det skall vara fråga om en stark misstanke om ett grovt brott. Av behovsprincipen anses vidare följa att det skall saknas alternativa, mindre ingripande tillvägagångssätt eller att de som finns redan har prövats utan framgång (Axberger, a.a., s. 34). Behovsprincipen innefattar vidare ett krav på att provokationen skall kunna antas leda till väsentliga och i utredningen användbara resultat (NJA 1953 s. 582; särskilt s. 589 f. och s. 593). Allmänt gäller att provokationsåtgärder måste</w:t>
      </w:r>
      <w:r w:rsidRPr="0008481A">
        <w:t xml:space="preserve"> användas med största restriktivitet och handhas med stor urskillning. </w:t>
      </w:r>
    </w:p>
    <w:p w:rsidR="003B3271" w:rsidRPr="0008481A" w:rsidRDefault="003B3271">
      <w:pPr>
        <w:pStyle w:val="Normaltindrag"/>
      </w:pPr>
      <w:r w:rsidRPr="0008481A">
        <w:t>Vad gäller dokumentationen av vad som har förekommit vid en förunder</w:t>
      </w:r>
      <w:r w:rsidRPr="0008481A">
        <w:softHyphen/>
        <w:t>sökning finns bestämmelser i 23 kap. RB och i förundersökningskungörelsen (1947:948). Vid förundersökning skall protokoll föras över vad som har förekommit av bet</w:t>
      </w:r>
      <w:r w:rsidRPr="0008481A">
        <w:t>y</w:t>
      </w:r>
      <w:r w:rsidRPr="0008481A">
        <w:t>delse för utredningen (23 kap. 21 § första stycket RB). Förundersökningsprot</w:t>
      </w:r>
      <w:r w:rsidRPr="0008481A">
        <w:t>o</w:t>
      </w:r>
      <w:r w:rsidRPr="0008481A">
        <w:t>kollet skall avfattas så, att det ger en trogen bild av vad som förekommit vid fö</w:t>
      </w:r>
      <w:r w:rsidRPr="0008481A">
        <w:t>r</w:t>
      </w:r>
      <w:r w:rsidRPr="0008481A">
        <w:t>undersökningen av betydelse för målet (22 § förundersökningskungörelsen). JO har vid flera tillfällen betonat vikten av att förundersökningsprotokollet utformas i enlighet med dessa bestämm</w:t>
      </w:r>
      <w:r w:rsidRPr="0008481A">
        <w:t>elser, bl.a. i JO 1964 s. 120 där följande a</w:t>
      </w:r>
      <w:r w:rsidRPr="0008481A">
        <w:t>n</w:t>
      </w:r>
      <w:r w:rsidRPr="0008481A">
        <w:t xml:space="preserve">förs. </w:t>
      </w:r>
    </w:p>
    <w:p w:rsidR="003B3271" w:rsidRPr="0008481A" w:rsidRDefault="003B3271">
      <w:pPr>
        <w:pStyle w:val="Citat"/>
      </w:pPr>
      <w:r w:rsidRPr="0008481A">
        <w:t xml:space="preserve">Det må därvid nämnas att ett noggrant förundersökningsprotokoll är av vikt icke endast för att registrera  utredningsresultat och för att förbereda ett kommande brottmål utan även för kontroll att allt rätteligen tillgått under förundersökningen. Detta är av vikt för den enskildes rättssäkerhet men också för förundersökningspersonalen för det fall klagomål framställs mot denna. </w:t>
      </w:r>
    </w:p>
    <w:p w:rsidR="003B3271" w:rsidRPr="0008481A" w:rsidRDefault="003B3271">
      <w:r w:rsidRPr="0008481A">
        <w:t>Det är uppenbart att detta uttalande har giltighet också vad gäller använd</w:t>
      </w:r>
      <w:r w:rsidRPr="0008481A">
        <w:softHyphen/>
        <w:t>andet av s.k. okonventionella spaningsmetoder. Så t.ex. uttalade 1981 års polis</w:t>
      </w:r>
      <w:r w:rsidRPr="0008481A">
        <w:softHyphen/>
        <w:t>beredning att stränga krav på dokumentation måste upprätthållas i dessa sammanhang (SOU 1982:63 s. 142). I promemorian RPS RAPPORT 1994:3 angående kontrollerade leveranser av narkotika m.m. uttalas att uppgifter om provokation endast unda</w:t>
      </w:r>
      <w:r w:rsidRPr="0008481A">
        <w:t>n</w:t>
      </w:r>
      <w:r w:rsidRPr="0008481A">
        <w:t xml:space="preserve">tagsvis torde sakna betydelse (s. 28). </w:t>
      </w:r>
    </w:p>
    <w:p w:rsidR="003B3271" w:rsidRPr="0008481A" w:rsidRDefault="003B3271">
      <w:pPr>
        <w:pStyle w:val="Rubrik3"/>
      </w:pPr>
      <w:r w:rsidRPr="0008481A">
        <w:t>Bedömning</w:t>
      </w:r>
    </w:p>
    <w:p w:rsidR="003B3271" w:rsidRPr="0008481A" w:rsidRDefault="003B3271">
      <w:pPr>
        <w:pStyle w:val="Rubrik4"/>
        <w:spacing w:before="120"/>
      </w:pPr>
      <w:r w:rsidRPr="0008481A">
        <w:t>Inledning</w:t>
      </w:r>
    </w:p>
    <w:p w:rsidR="003B3271" w:rsidRPr="0008481A" w:rsidRDefault="003B3271">
      <w:r w:rsidRPr="0008481A">
        <w:t>Detta ärende är föranlett av polisens åtgärd att den 9 juli 1998 ställa ut en Poli</w:t>
      </w:r>
      <w:r w:rsidRPr="0008481A">
        <w:t>s</w:t>
      </w:r>
      <w:r w:rsidRPr="0008481A">
        <w:softHyphen/>
        <w:t>myndigheten i Stockholms län tillhörig motorcykel av fabrikat Harley-Davidson (HD) på Hornsgatan i Stockholm och därefter låta denna tillgripas av J.P. Skälen för inköpet av motorcykeln har redovisats i polismyndighetens yttrande i ärendet, och jag finner inte anledning att göra något uttalande i denna fråga. Jag kommer däremot att peka på de problem i rättsligt hän</w:t>
      </w:r>
      <w:r w:rsidRPr="0008481A">
        <w:softHyphen/>
        <w:t>seende som kan uppkomma till följd av skador på eller vållade av ett polisen tillhörigt motorfordon som är försäkrat. I huvudsak kommer jag e</w:t>
      </w:r>
      <w:r w:rsidRPr="0008481A">
        <w:t>mellertid att uppehålla mig vid frågan om rättsenligheten av åtgärden att ställa ut motorcykeln på Hornsgatan och därefter låta den tillgripas på det sätt som skedde. Jag kommer vidare att något beröra dokumentationsfr</w:t>
      </w:r>
      <w:r w:rsidRPr="0008481A">
        <w:t>å</w:t>
      </w:r>
      <w:r w:rsidRPr="0008481A">
        <w:t xml:space="preserve">gan. </w:t>
      </w:r>
    </w:p>
    <w:p w:rsidR="003B3271" w:rsidRPr="0008481A" w:rsidRDefault="003B3271">
      <w:pPr>
        <w:pStyle w:val="Rubrik4"/>
      </w:pPr>
      <w:r w:rsidRPr="0008481A">
        <w:t>Förfarandets rättsenlighet</w:t>
      </w:r>
    </w:p>
    <w:p w:rsidR="003B3271" w:rsidRPr="0008481A" w:rsidRDefault="003B3271">
      <w:r w:rsidRPr="0008481A">
        <w:t>Polismyndigheten har i sitt yttrande hävdat att åtgärden att ställa ut HD-motor</w:t>
      </w:r>
      <w:r w:rsidRPr="0008481A">
        <w:softHyphen/>
        <w:t>cykeln på Hornsgatan inte utgjorde en provokation. Den har som skäl för denna ståndpunkt åberopat att det med hänsyn till uppställningsplatsen, motorc</w:t>
      </w:r>
      <w:r w:rsidRPr="0008481A">
        <w:t>y</w:t>
      </w:r>
      <w:r w:rsidRPr="0008481A">
        <w:t>kelns värde, frekvensen av potentiella gärningsmän på platsen och det förhållandet att motorcykeln var låst med ett godkänt lås inte fanns någon</w:t>
      </w:r>
      <w:r w:rsidRPr="0008481A">
        <w:softHyphen/>
        <w:t xml:space="preserve">ting som pekade på att motorcykeln löpte en större risk att stjälas än andra fordon som parkerats i Stockholms innerstad. </w:t>
      </w:r>
    </w:p>
    <w:p w:rsidR="003B3271" w:rsidRPr="0008481A" w:rsidRDefault="003B3271">
      <w:pPr>
        <w:pStyle w:val="Normaltindrag"/>
      </w:pPr>
      <w:r w:rsidRPr="0008481A">
        <w:t>Av polismyndighetens yttrande framgår emellertid också att åtgärden att ställa ut motorcykel</w:t>
      </w:r>
      <w:r w:rsidRPr="0008481A">
        <w:t>n var ett led i utredningen av ett stort antal stölder av HD-motorcyklar och att polisen inte var främmande för att motorcykeln skulle kunna komma att tillgripas. Att man inte ansåg ett tillgrepp av motor</w:t>
      </w:r>
      <w:r w:rsidRPr="0008481A">
        <w:softHyphen/>
        <w:t>cykeln vara osannolikt framgår redan av det förhållandet att fem polismän var avdelade för att bevaka motorc</w:t>
      </w:r>
      <w:r w:rsidRPr="0008481A">
        <w:t>y</w:t>
      </w:r>
      <w:r w:rsidRPr="0008481A">
        <w:t>keln under den tid som den stod på Hornsgatan och att ytterligare tio polismän deltog i aktionen. Man kan vidare, såväl av vad som sägs i yttrandet som av vad som framkommit om polisens passivitet v</w:t>
      </w:r>
      <w:r w:rsidRPr="0008481A">
        <w:t>id tillgreppet och om polisens handlande i övrigt, dra den slutsatsen att ett tillgrepp av motorcykeln bedömdes som en ur brotts</w:t>
      </w:r>
      <w:r w:rsidRPr="0008481A">
        <w:softHyphen/>
        <w:t>spanings</w:t>
      </w:r>
      <w:r w:rsidRPr="0008481A">
        <w:softHyphen/>
        <w:t>synpunkt önskvärd händelse. Det kan av dessa skäl inte råda något tvivel om att åtgärden att placera ut HD-motorcykeln på det sätt som skedde är att betrakta som en provokation. Jag delar således Rikspolisstyrelsens och Riksåkl</w:t>
      </w:r>
      <w:r w:rsidRPr="0008481A">
        <w:t>a</w:t>
      </w:r>
      <w:r w:rsidRPr="0008481A">
        <w:t>garens uppfattning i detta hänseende.</w:t>
      </w:r>
    </w:p>
    <w:p w:rsidR="003B3271" w:rsidRPr="0008481A" w:rsidRDefault="003B3271">
      <w:pPr>
        <w:pStyle w:val="Normaltindrag"/>
      </w:pPr>
      <w:r w:rsidRPr="0008481A">
        <w:t>För att en provokation skall få genomföras krävs först och främst att det är fråga om en bevisprovokation. S</w:t>
      </w:r>
      <w:r w:rsidRPr="0008481A">
        <w:t>yftet med åtgärden skall således vara att få fram bevi</w:t>
      </w:r>
      <w:r w:rsidRPr="0008481A">
        <w:t>s</w:t>
      </w:r>
      <w:r w:rsidRPr="0008481A">
        <w:t>ning om ett vid provokationstillfället redan begånget brott. Som exempel på en bevisprovokation kan nämnas att polisen uppträder som köpare av ett befintligt narkotikaparti för att få bevisning mot överlåtaren om innehav av partiet. Som tidigare har nämnts krävs det vidare att det är fråga om en stark misstanke om ett grovt brott samt att provokationen skall kunna antas leda till väsentliga och i u</w:t>
      </w:r>
      <w:r w:rsidRPr="0008481A">
        <w:t>t</w:t>
      </w:r>
      <w:r w:rsidRPr="0008481A">
        <w:t>redningen användbara resultat. Med an</w:t>
      </w:r>
      <w:r w:rsidRPr="0008481A">
        <w:softHyphen/>
        <w:t>ledning av vad po</w:t>
      </w:r>
      <w:r w:rsidRPr="0008481A">
        <w:t>lismyndigheten har utt</w:t>
      </w:r>
      <w:r w:rsidRPr="0008481A">
        <w:t>a</w:t>
      </w:r>
      <w:r w:rsidRPr="0008481A">
        <w:t>lat i sitt yttrande om att förfarandet med motorcykeln hade ett brottsförebyggande syfte, vill jag framhålla att det ligger i sakens natur att en bevisprovokation skall utgöra ett led i en brotts</w:t>
      </w:r>
      <w:r w:rsidRPr="0008481A">
        <w:softHyphen/>
        <w:t>utredande verksamhet och att förfarandets eventuella e</w:t>
      </w:r>
      <w:r w:rsidRPr="0008481A">
        <w:t>f</w:t>
      </w:r>
      <w:r w:rsidRPr="0008481A">
        <w:t>fekter av allmänt brottsförebyggande slag inte kan tillmätas någon betydelse vid bedö</w:t>
      </w:r>
      <w:r w:rsidRPr="0008481A">
        <w:t>m</w:t>
      </w:r>
      <w:r w:rsidRPr="0008481A">
        <w:t>ningen av åtgärdens tillåtlighet.</w:t>
      </w:r>
    </w:p>
    <w:p w:rsidR="003B3271" w:rsidRPr="0008481A" w:rsidRDefault="003B3271">
      <w:pPr>
        <w:pStyle w:val="Normaltindrag"/>
      </w:pPr>
      <w:r w:rsidRPr="0008481A">
        <w:t>Ett enstaka motorcykeltillgrepp kan inte anses vara ett brott av sådan art att det kan göra en provokationsåtgärd förs</w:t>
      </w:r>
      <w:r w:rsidRPr="0008481A">
        <w:t>varlig. Polismyndigheten har emeller</w:t>
      </w:r>
      <w:r w:rsidRPr="0008481A">
        <w:softHyphen/>
        <w:t>tid up</w:t>
      </w:r>
      <w:r w:rsidRPr="0008481A">
        <w:t>p</w:t>
      </w:r>
      <w:r w:rsidRPr="0008481A">
        <w:t>gett att det vid tillfället fanns 80 öppna förundersökningar om stöld av HD-motorcyklar samt att det fanns anledning att tro att stölderna ingick i en organis</w:t>
      </w:r>
      <w:r w:rsidRPr="0008481A">
        <w:t>e</w:t>
      </w:r>
      <w:r w:rsidRPr="0008481A">
        <w:t>rad brottslighet. Myndigheten har i detta hänseende särskilt pekat på det förhå</w:t>
      </w:r>
      <w:r w:rsidRPr="0008481A">
        <w:t>l</w:t>
      </w:r>
      <w:r w:rsidRPr="0008481A">
        <w:t>landet att flera av de stulna HD-motorcyklarna var omidentifierade när de åte</w:t>
      </w:r>
      <w:r w:rsidRPr="0008481A">
        <w:t>r</w:t>
      </w:r>
      <w:r w:rsidRPr="0008481A">
        <w:t>fanns. Även om man naturligtvis inte kan utesluta att stölderna hade ett sådant samband med varandra som anges i yttrandet, kan det ifrågasättas om mis</w:t>
      </w:r>
      <w:r w:rsidRPr="0008481A">
        <w:t>stanken att det förhöll sig på detta sätt var så välunderbyggd att den hade den styrka som krävs för ett beslut om prov</w:t>
      </w:r>
      <w:r w:rsidRPr="0008481A">
        <w:t>o</w:t>
      </w:r>
      <w:r w:rsidRPr="0008481A">
        <w:t xml:space="preserve">kation. </w:t>
      </w:r>
    </w:p>
    <w:p w:rsidR="003B3271" w:rsidRPr="0008481A" w:rsidRDefault="003B3271">
      <w:pPr>
        <w:pStyle w:val="Normaltindrag"/>
      </w:pPr>
      <w:r w:rsidRPr="0008481A">
        <w:t>Som nyss har nämnts fordras vidare, för att en provokation skall anses vara till</w:t>
      </w:r>
      <w:r w:rsidRPr="0008481A">
        <w:t>å</w:t>
      </w:r>
      <w:r w:rsidRPr="0008481A">
        <w:t>ten, att den kan antas leda till väsentliga och i utredningen användbara resultat. Antagandet att den person som eventuellt  kunde komma att tillgripa den av pol</w:t>
      </w:r>
      <w:r w:rsidRPr="0008481A">
        <w:t>i</w:t>
      </w:r>
      <w:r w:rsidRPr="0008481A">
        <w:t>sen utställda HD-motorcykeln skulle leda polisen till en plats, där man kunde få bevisning om de tidigare HD-stölderna, får emellertid anses bygga mer på en fö</w:t>
      </w:r>
      <w:r w:rsidRPr="0008481A">
        <w:t>r</w:t>
      </w:r>
      <w:r w:rsidRPr="0008481A">
        <w:t>hoppning än på sakligt välgrundade överväganden. För att man skulle uppnå det åsyftade resultatet krävdes – förutom att stölderna verkligen hade ett samband med varandra – dels att också de</w:t>
      </w:r>
      <w:r w:rsidRPr="0008481A">
        <w:t>n aktuella motorcykeln tillgreps av någon som hade anknytning till den organisation som stod bakom de tidigare brotten, dels att det på den plats till vilken man kunde följa motorcykeln fanns kvar bevisning om vilka personer som var ansvariga för den brottsliga verksamheten. Det finns i sis</w:t>
      </w:r>
      <w:r w:rsidRPr="0008481A">
        <w:t>t</w:t>
      </w:r>
      <w:r w:rsidRPr="0008481A">
        <w:t>nämnda hänseende anledning att erinra om att polisens hypotes var att de stulna motorcyklarna omidentifierades och transporterades vidare redan kort tid efter det att de hade blivit stulna. Vad som sägs i polismyndighete</w:t>
      </w:r>
      <w:r w:rsidRPr="0008481A">
        <w:t>ns yttrande om att syftet med att följa efter motorcykeln, om den kom att stjälas, skulle vara att ”skaffa bevis om något eller några” av de ouppklarade brotten tyder närmast på att man i själva verket inte hyste några större förhoppningar om möjlig</w:t>
      </w:r>
      <w:r w:rsidRPr="0008481A">
        <w:softHyphen/>
        <w:t>heterna att klara upp de tidigare stölderna genom förfarandet med motor</w:t>
      </w:r>
      <w:r w:rsidRPr="0008481A">
        <w:softHyphen/>
        <w:t>cykeln.</w:t>
      </w:r>
    </w:p>
    <w:p w:rsidR="003B3271" w:rsidRPr="0008481A" w:rsidRDefault="003B3271">
      <w:pPr>
        <w:pStyle w:val="Normaltindrag"/>
      </w:pPr>
      <w:r w:rsidRPr="0008481A">
        <w:t>Man kan mot den här angivna bakgrunden konstatera att det enda polisen med någon grad av säkerhet kunde räkna med att vinna bevisning om genom att HD-motorcykeln tillgreps var tillgr</w:t>
      </w:r>
      <w:r w:rsidRPr="0008481A">
        <w:t xml:space="preserve">eppet av just den motorcykeln. Polisens förfarande med motorcykeln framstår i övrigt närmast som en spaningsåtgärd som kunde ge något slags utdelning – dock osäkert vilken – om man hade tur. Förfarandet har således stått i uppenbar strid med behovs- och proportionalitetsprinciperna. Det är därför inte ägnat att förvåna att det inte i något hänseende bidrog till att klara upp de tidigare stölderna av HD-motorcyklar. </w:t>
      </w:r>
    </w:p>
    <w:p w:rsidR="003B3271" w:rsidRPr="0008481A" w:rsidRDefault="003B3271">
      <w:pPr>
        <w:pStyle w:val="Normaltindrag"/>
      </w:pPr>
      <w:r w:rsidRPr="0008481A">
        <w:t xml:space="preserve">Av det sagda följer att det inte fanns någon godtagbar grund för polisens åtgärd att, genom </w:t>
      </w:r>
      <w:r w:rsidRPr="0008481A">
        <w:t>att uppskjuta ingripandet mot J.P., låta denne tillgripa motorcykeln på det sätt som skedde. Polismännen på platsen var i stället skyldiga att, i enlighet med vad som föreskrivs i 2 § 1 polislagen, ingripa i syfte att förebygga brott s</w:t>
      </w:r>
      <w:r w:rsidRPr="0008481A">
        <w:t>e</w:t>
      </w:r>
      <w:r w:rsidRPr="0008481A">
        <w:t xml:space="preserve">nast i samband med att låskättingen klipptes av. </w:t>
      </w:r>
    </w:p>
    <w:p w:rsidR="003B3271" w:rsidRPr="0008481A" w:rsidRDefault="003B3271">
      <w:pPr>
        <w:pStyle w:val="Normaltindrag"/>
      </w:pPr>
      <w:r w:rsidRPr="0008481A">
        <w:t>Det kan – om man ser till det resultat av handlandet som kunde förväntas vid en sakligt välunderbyggd bedömning – sammanfattningsvis konstateras att polisens åtgärd att ställa ut HD-motorcykeln på Hornsgatan, i förening med un</w:t>
      </w:r>
      <w:r w:rsidRPr="0008481A">
        <w:t>derlåtenheten att ingripa innan J.P. hade hunnit avvika med motor</w:t>
      </w:r>
      <w:r w:rsidRPr="0008481A">
        <w:softHyphen/>
        <w:t>cykeln, inte i någon nämnvärd mån skiljer sig från vad som brukar förstås med en brottsprovokation. Att polisen genom sitt förfarande råkade uppdaga annan brottslighet än den som hade föra</w:t>
      </w:r>
      <w:r w:rsidRPr="0008481A">
        <w:t>n</w:t>
      </w:r>
      <w:r w:rsidRPr="0008481A">
        <w:t>lett förfarandet saknar härvid bet</w:t>
      </w:r>
      <w:r w:rsidRPr="0008481A">
        <w:t>y</w:t>
      </w:r>
      <w:r w:rsidRPr="0008481A">
        <w:t xml:space="preserve">delse. </w:t>
      </w:r>
    </w:p>
    <w:p w:rsidR="003B3271" w:rsidRPr="0008481A" w:rsidRDefault="003B3271">
      <w:pPr>
        <w:pStyle w:val="Normaltindrag"/>
      </w:pPr>
      <w:r w:rsidRPr="0008481A">
        <w:t>Av utredningen framgår att beslutet om provokationen fattades inom polis</w:t>
      </w:r>
      <w:r w:rsidRPr="0008481A">
        <w:softHyphen/>
        <w:t>my</w:t>
      </w:r>
      <w:r w:rsidRPr="0008481A">
        <w:t>n</w:t>
      </w:r>
      <w:r w:rsidRPr="0008481A">
        <w:t>digheten. Som jag har framhållit i ett tidigare beslut (JO 1997/98 s. 118) skall ett sådant beslut alltid fattas av åklagare.</w:t>
      </w:r>
    </w:p>
    <w:p w:rsidR="003B3271" w:rsidRPr="0008481A" w:rsidRDefault="003B3271">
      <w:pPr>
        <w:pStyle w:val="Rubrik4"/>
      </w:pPr>
      <w:r w:rsidRPr="0008481A">
        <w:t xml:space="preserve">Risken för skador </w:t>
      </w:r>
    </w:p>
    <w:p w:rsidR="003B3271" w:rsidRPr="0008481A" w:rsidRDefault="003B3271">
      <w:r w:rsidRPr="0008481A">
        <w:t>Som har nämnts i det föregående får polisen aldrig av spaningsskäl underlåta att vidta föreskrivna åtgärder mot brott eller mot en för brott misstänkt person. Det har däremot ansetts vara tillåtet att polisen av sådana skäl skjuter upp åtgärder av detta slag. Uppenbart är emellertid att polisen därvid måste ha sådan kontroll över situationen att den inte förlorar möjligheten att vid lämplig tidpunkt vidta de å</w:t>
      </w:r>
      <w:r w:rsidRPr="0008481A">
        <w:t>t</w:t>
      </w:r>
      <w:r w:rsidRPr="0008481A">
        <w:t>gärder som krävs. Jag kan i detta hänseende hänvisa till uttalandet i promemorian RPS RAPPORT (1994:3) angående kontrollerade leveranser av narkotika m.m., att en sådan leverans förutsätter att full kontroll över narkotikan kan upprätthållas hela vägen fram till mo</w:t>
      </w:r>
      <w:r w:rsidRPr="0008481A">
        <w:t>t</w:t>
      </w:r>
      <w:r w:rsidRPr="0008481A">
        <w:softHyphen/>
        <w:t>tagaren (s. 34 f.).</w:t>
      </w:r>
    </w:p>
    <w:p w:rsidR="003B3271" w:rsidRPr="0008481A" w:rsidRDefault="003B3271">
      <w:pPr>
        <w:pStyle w:val="Normaltindrag"/>
      </w:pPr>
      <w:r w:rsidRPr="0008481A">
        <w:t>En betydelsefull aspekt på polisens handlande i det här aktuella fallet gäller risken för att motorcykeln skulle gå förlorad och risken för andra skador i samband med detta. Polismyndigheten har uppgett att risken för att mo</w:t>
      </w:r>
      <w:r w:rsidRPr="0008481A">
        <w:t>torcykeln skulle gå förl</w:t>
      </w:r>
      <w:r w:rsidRPr="0008481A">
        <w:t>o</w:t>
      </w:r>
      <w:r w:rsidRPr="0008481A">
        <w:t>rad var ytterst liten, och den har vidare hänvisat till att motorcykeln var stöldfö</w:t>
      </w:r>
      <w:r w:rsidRPr="0008481A">
        <w:t>r</w:t>
      </w:r>
      <w:r w:rsidRPr="0008481A">
        <w:t>säkrad och att den största skada som staten kunde drabbas av därför var självris</w:t>
      </w:r>
      <w:r w:rsidRPr="0008481A">
        <w:t>k</w:t>
      </w:r>
      <w:r w:rsidRPr="0008481A">
        <w:t>delen i fö</w:t>
      </w:r>
      <w:r w:rsidRPr="0008481A">
        <w:t>r</w:t>
      </w:r>
      <w:r w:rsidRPr="0008481A">
        <w:t>säkringen.</w:t>
      </w:r>
    </w:p>
    <w:p w:rsidR="003B3271" w:rsidRPr="0008481A" w:rsidRDefault="003B3271">
      <w:pPr>
        <w:pStyle w:val="Normaltindrag"/>
      </w:pPr>
      <w:r w:rsidRPr="0008481A">
        <w:t>Sett mot bakgrund av det faktiska händelseförloppet framstår polis</w:t>
      </w:r>
      <w:r w:rsidRPr="0008481A">
        <w:softHyphen/>
        <w:t>myndig</w:t>
      </w:r>
      <w:r w:rsidRPr="0008481A">
        <w:softHyphen/>
        <w:t>hetens uttalande som förvånande. Anders Jarkell, som på motorcykel följde efter J.P. sedan denne hade tillgripit HD-motorcykeln, uppger i sin promemoria att han gjorde den bedömningen att det var stor risk för att J.P. skulle komma undan med motorcykeln, och att detta förhindrades endast genom att Anders Jarkell kastade sig över till HD-motorcykeln och tog tag i J.P. Resultatet av detta handlande blev emellertid att J.P. förlorade kontrollen över motorcykeln, vilket i sin tur fick till följd att den</w:t>
      </w:r>
      <w:r w:rsidRPr="0008481A">
        <w:t>na kolliderade med en parkerad bil som skadades. Vidare kunde A</w:t>
      </w:r>
      <w:r w:rsidRPr="0008481A">
        <w:t>n</w:t>
      </w:r>
      <w:r w:rsidRPr="0008481A">
        <w:t>ders Jarkell inte hindra J.P. från att undkomma från platsen. Denne greps först en m</w:t>
      </w:r>
      <w:r w:rsidRPr="0008481A">
        <w:t>å</w:t>
      </w:r>
      <w:r w:rsidRPr="0008481A">
        <w:t xml:space="preserve">nad senare. </w:t>
      </w:r>
    </w:p>
    <w:p w:rsidR="003B3271" w:rsidRPr="0008481A" w:rsidRDefault="003B3271">
      <w:pPr>
        <w:pStyle w:val="Normaltindrag"/>
      </w:pPr>
      <w:r w:rsidRPr="0008481A">
        <w:t>Det kan således riktas kritik mot det tillämpade förfarandet också på den grunden att polisen, efter det att man hade låtit J.P. tillgripa HD-motor</w:t>
      </w:r>
      <w:r w:rsidRPr="0008481A">
        <w:softHyphen/>
        <w:t>cykeln, uppenbarl</w:t>
      </w:r>
      <w:r w:rsidRPr="0008481A">
        <w:t>i</w:t>
      </w:r>
      <w:r w:rsidRPr="0008481A">
        <w:t xml:space="preserve">gen inte hade den kontroll över situationen som är en grundläggande förutsättning för att det skall kunna anses vara tillåtet för polisen att skjuta upp ett ingripande med anledning av ett observerat brott. Det inträffade berättigar enligt min mening till slutsatsen att händelserna i själva verket hade kunnat utvecklats på ett betydligt allvarligare sätt än vad som faktiskt blev fallet. Om J.P. hade lyckats undkomma med motorcykeln från den plats där Anders Jarkell ingrep mot honom eller </w:t>
      </w:r>
      <w:r w:rsidRPr="0008481A">
        <w:t>om han under färden dit hade observerat att polisen följde efter honom, hade resultatet exempelvis kunnat bli ett förföljande i hög fart i Stockholms innerstad med risk för såväl personskador som materiella sk</w:t>
      </w:r>
      <w:r w:rsidRPr="0008481A">
        <w:t>a</w:t>
      </w:r>
      <w:r w:rsidRPr="0008481A">
        <w:t>dor.</w:t>
      </w:r>
    </w:p>
    <w:p w:rsidR="003B3271" w:rsidRPr="0008481A" w:rsidRDefault="003B3271">
      <w:pPr>
        <w:pStyle w:val="Normaltindrag"/>
      </w:pPr>
      <w:r w:rsidRPr="0008481A">
        <w:t>Polismyndigheten har som nyss nämnts hänvisat till att motorcykeln var stöldfö</w:t>
      </w:r>
      <w:r w:rsidRPr="0008481A">
        <w:t>r</w:t>
      </w:r>
      <w:r w:rsidRPr="0008481A">
        <w:t>säkrad. Den omständigheten att man – i motsats till vad som normalt gäller i fråga om statens motordrivna fordon (jfr 3 § trafikskadelagen [1975:1410]) – låter fö</w:t>
      </w:r>
      <w:r w:rsidRPr="0008481A">
        <w:t>r</w:t>
      </w:r>
      <w:r w:rsidRPr="0008481A">
        <w:t>säkra ett polisen tillhörigt fordon kan emellertid komma att medföra särskilda problem i rättsligt hänseende. Av utredningen framgår inte om försäkringsgivaren i samband med att försäkringen tecknades upplystes om att avsikten var att moto</w:t>
      </w:r>
      <w:r w:rsidRPr="0008481A">
        <w:t>r</w:t>
      </w:r>
      <w:r w:rsidRPr="0008481A">
        <w:t>cykeln bl.a. skulle användas som lockbete i polisiär brottsspaningsverksamhet på sådant sätt att den kunde b</w:t>
      </w:r>
      <w:r w:rsidRPr="0008481A">
        <w:t>li stulen samt att det inte kunde uteslutas att försöken att återta fordonet kunde medföra skador både på detta och på utomstående pers</w:t>
      </w:r>
      <w:r w:rsidRPr="0008481A">
        <w:t>o</w:t>
      </w:r>
      <w:r w:rsidRPr="0008481A">
        <w:t>ner och dessas egendom. Allmänt kan emellertid sägas att det inte framstår som särskilt sannolikt att en försäkringsgivare med tillgång till sådan information skulle vara villig att på sedvanliga villkor ingå avtal om vare sig stöldförsäkring eller trafikförsäkring avseende ford</w:t>
      </w:r>
      <w:r w:rsidRPr="0008481A">
        <w:t>o</w:t>
      </w:r>
      <w:r w:rsidRPr="0008481A">
        <w:t>net.</w:t>
      </w:r>
    </w:p>
    <w:p w:rsidR="003B3271" w:rsidRPr="0008481A" w:rsidRDefault="003B3271">
      <w:pPr>
        <w:pStyle w:val="Normaltindrag"/>
      </w:pPr>
      <w:r w:rsidRPr="0008481A">
        <w:t xml:space="preserve">Jag finner inte skäl att närmare gå in på de tvistefrågor av rättslig art som kan uppkomma </w:t>
      </w:r>
      <w:r w:rsidRPr="0008481A">
        <w:t>i situationer där ett fordon används på ett annat sätt än vad försä</w:t>
      </w:r>
      <w:r w:rsidRPr="0008481A">
        <w:t>k</w:t>
      </w:r>
      <w:r w:rsidRPr="0008481A">
        <w:t>rings</w:t>
      </w:r>
      <w:r w:rsidRPr="0008481A">
        <w:softHyphen/>
        <w:t>givaren rimligen har haft anledning att förmoda. Det finns emeller</w:t>
      </w:r>
      <w:r w:rsidRPr="0008481A">
        <w:softHyphen/>
        <w:t>tid anle</w:t>
      </w:r>
      <w:r w:rsidRPr="0008481A">
        <w:t>d</w:t>
      </w:r>
      <w:r w:rsidRPr="0008481A">
        <w:t>ning att här erinra om de bestämmelser av betydelse för frågan som finns i lagen (1927:77) om försäkringsavtal och i konsument</w:t>
      </w:r>
      <w:r w:rsidRPr="0008481A">
        <w:softHyphen/>
        <w:t>försäkringslagen (1980:38). Jag tänker här bl.a. på föreskrifterna om försäkringstagarens plikt att lämna upply</w:t>
      </w:r>
      <w:r w:rsidRPr="0008481A">
        <w:t>s</w:t>
      </w:r>
      <w:r w:rsidRPr="0008481A">
        <w:t>ningar vid avtalets slutande respektive reglerna om nedsättning av försäkringse</w:t>
      </w:r>
      <w:r w:rsidRPr="0008481A">
        <w:t>r</w:t>
      </w:r>
      <w:r w:rsidRPr="0008481A">
        <w:t xml:space="preserve">sättningen. Av särskilt intresse i det här </w:t>
      </w:r>
      <w:r w:rsidRPr="0008481A">
        <w:t>aktuella sammanhanget är bestämmelse</w:t>
      </w:r>
      <w:r w:rsidRPr="0008481A">
        <w:t>r</w:t>
      </w:r>
      <w:r w:rsidRPr="0008481A">
        <w:t>na om försäkrings</w:t>
      </w:r>
      <w:r w:rsidRPr="0008481A">
        <w:softHyphen/>
        <w:t>fall som framkallas uppsåtligen eller genom vårdslöshet (18 § försäkrings</w:t>
      </w:r>
      <w:r w:rsidRPr="0008481A">
        <w:softHyphen/>
        <w:t xml:space="preserve">avtalslagen och 32 § konsumentförsäkringslagen). </w:t>
      </w:r>
    </w:p>
    <w:p w:rsidR="003B3271" w:rsidRPr="0008481A" w:rsidRDefault="003B3271">
      <w:pPr>
        <w:pStyle w:val="Normaltindrag"/>
      </w:pPr>
      <w:r w:rsidRPr="0008481A">
        <w:t xml:space="preserve">Det finns enligt min uppfattning anledning för Rikspolisstyrelsen att närmare överväga de frågor som jag nu har berört. </w:t>
      </w:r>
    </w:p>
    <w:p w:rsidR="003B3271" w:rsidRPr="0008481A" w:rsidRDefault="003B3271">
      <w:pPr>
        <w:pStyle w:val="Rubrik4"/>
      </w:pPr>
      <w:r w:rsidRPr="0008481A">
        <w:t>Dokumentationen</w:t>
      </w:r>
    </w:p>
    <w:p w:rsidR="003B3271" w:rsidRPr="0008481A" w:rsidRDefault="003B3271">
      <w:r w:rsidRPr="0008481A">
        <w:t>Som har sagts i det föregående måste varje provokationsåtgärd noggrant dok</w:t>
      </w:r>
      <w:r w:rsidRPr="0008481A">
        <w:t>u</w:t>
      </w:r>
      <w:r w:rsidRPr="0008481A">
        <w:t>menteras. Som Riksåklagaren har påpekat framgår det i förevarande fall inte av dokumentationen vem som fattat beslutet om åtgärden. I övrigt har förfarandet emellertid redovisats på ett tillfredsställande sätt i förunder</w:t>
      </w:r>
      <w:r w:rsidRPr="0008481A">
        <w:softHyphen/>
        <w:t>sökningsprotoko</w:t>
      </w:r>
      <w:r w:rsidRPr="0008481A">
        <w:t>l</w:t>
      </w:r>
      <w:r w:rsidRPr="0008481A">
        <w:t xml:space="preserve">let. </w:t>
      </w:r>
    </w:p>
    <w:p w:rsidR="003B3271" w:rsidRPr="0008481A" w:rsidRDefault="003B3271">
      <w:pPr>
        <w:pStyle w:val="Rubrik4"/>
      </w:pPr>
      <w:r w:rsidRPr="0008481A">
        <w:t>Avslutning</w:t>
      </w:r>
    </w:p>
    <w:p w:rsidR="003B3271" w:rsidRPr="0008481A" w:rsidRDefault="003B3271">
      <w:r w:rsidRPr="0008481A">
        <w:t>Vad som i övrigt förevarit föranleder inte något uttalande från min sida. Ärendet avslutas med den kritik som ligger i det sagda.</w:t>
      </w:r>
    </w:p>
    <w:p w:rsidR="003B3271" w:rsidRPr="0008481A" w:rsidRDefault="003B3271">
      <w:pPr>
        <w:pStyle w:val="Rubrik2"/>
      </w:pPr>
      <w:r w:rsidRPr="0008481A">
        <w:t>”Snattefonen” – polisens användning av förenklad utredning vid b</w:t>
      </w:r>
      <w:r w:rsidRPr="0008481A">
        <w:t>u</w:t>
      </w:r>
      <w:r w:rsidRPr="0008481A">
        <w:t>tikssna</w:t>
      </w:r>
      <w:r w:rsidRPr="0008481A">
        <w:t>t</w:t>
      </w:r>
      <w:r w:rsidRPr="0008481A">
        <w:t>terier</w:t>
      </w:r>
    </w:p>
    <w:p w:rsidR="003B3271" w:rsidRPr="0008481A" w:rsidRDefault="003B3271">
      <w:r w:rsidRPr="0008481A">
        <w:t>(Dnr 4538-1998)</w:t>
      </w:r>
    </w:p>
    <w:p w:rsidR="003B3271" w:rsidRPr="0008481A" w:rsidRDefault="003B3271">
      <w:pPr>
        <w:pStyle w:val="Rubrik3"/>
      </w:pPr>
      <w:r w:rsidRPr="0008481A">
        <w:t>Bakgrund</w:t>
      </w:r>
    </w:p>
    <w:p w:rsidR="003B3271" w:rsidRPr="0008481A" w:rsidRDefault="003B3271">
      <w:pPr>
        <w:rPr>
          <w:sz w:val="20"/>
        </w:rPr>
      </w:pPr>
      <w:r w:rsidRPr="0008481A">
        <w:t xml:space="preserve">En artikel i tidningen Svensk Polis (nr 11, 1998) innehöll bl.a. följande. </w:t>
      </w:r>
    </w:p>
    <w:p w:rsidR="003B3271" w:rsidRPr="0008481A" w:rsidRDefault="003B3271">
      <w:pPr>
        <w:pStyle w:val="Citat"/>
      </w:pPr>
      <w:r w:rsidRPr="0008481A">
        <w:t>Snattarna får ”knäpp på näsan” omedelbart. Om polisen genomför s.k. förenklade utredningar (enligt RB 23:22 och 23:21 p. 3) av all vardags</w:t>
      </w:r>
      <w:r w:rsidRPr="0008481A">
        <w:softHyphen/>
        <w:t>brottslighet i hela landet innebär detta på sikt att fler poliser kan komma ut på fältet och att färre ärenden behöver utredas av närpolisen (näpo) och dess kriminalavdelningar. I Helsingborg gör man så här. Då någon misstänkt, för t.ex. snatteri, upptäcks i en butik, ringer personalen upp den alltid bemannade ”snattofonen” på polisstationen. Polismannen tar upp anmälan, noterar alla fakta och inleder – via telefon – omedelbart förhör med den misstänkte. Allt redovisas genast i RAR (rationell anmälansrutin</w:t>
      </w:r>
      <w:r w:rsidRPr="0008481A">
        <w:t xml:space="preserve">), </w:t>
      </w:r>
      <w:r w:rsidRPr="0008481A">
        <w:sym w:font="Symbol" w:char="F02D"/>
      </w:r>
      <w:r w:rsidRPr="0008481A">
        <w:t xml:space="preserve"> </w:t>
      </w:r>
      <w:r w:rsidRPr="0008481A">
        <w:sym w:font="Symbol" w:char="F02D"/>
      </w:r>
      <w:r w:rsidRPr="0008481A">
        <w:t xml:space="preserve"> </w:t>
      </w:r>
      <w:r w:rsidRPr="0008481A">
        <w:sym w:font="Symbol" w:char="F02D"/>
      </w:r>
      <w:r w:rsidRPr="0008481A">
        <w:t xml:space="preserve"> Utredningen är därmed färdigställd och kan sedan skickas vidare till åklagare.</w:t>
      </w:r>
    </w:p>
    <w:p w:rsidR="003B3271" w:rsidRPr="0008481A" w:rsidRDefault="003B3271">
      <w:r w:rsidRPr="0008481A">
        <w:t xml:space="preserve">Med anledning av innehållet i tidningsartikeln beslutade </w:t>
      </w:r>
      <w:r w:rsidRPr="0008481A">
        <w:rPr>
          <w:i/>
        </w:rPr>
        <w:t>chefsJO Eklundh</w:t>
      </w:r>
      <w:r w:rsidRPr="0008481A">
        <w:t xml:space="preserve"> att ta upp saken till utredning som ett initiativärende.</w:t>
      </w:r>
    </w:p>
    <w:p w:rsidR="003B3271" w:rsidRPr="0008481A" w:rsidRDefault="003B3271">
      <w:pPr>
        <w:pStyle w:val="Rubrik3"/>
      </w:pPr>
      <w:r w:rsidRPr="0008481A">
        <w:t>Utredningsåtgärder</w:t>
      </w:r>
    </w:p>
    <w:p w:rsidR="003B3271" w:rsidRPr="0008481A" w:rsidRDefault="003B3271">
      <w:r w:rsidRPr="0008481A">
        <w:t>Ärendet remitterades till Polismyndigheten i Skåne för upplysningar och yttrande om vilka överväganden som låg till grund för att regelmässigt tillämpa förenklad brottsutredning enligt 23 kap. 22 § rättegångsbalken (RB) i fråga om snatteribrott. Myndigheten anmodades vidare att redovisa den i artikeln beskrivna utredning</w:t>
      </w:r>
      <w:r w:rsidRPr="0008481A">
        <w:t>s</w:t>
      </w:r>
      <w:r w:rsidRPr="0008481A">
        <w:t>metodens förenlighet med gällande bestämmelser om förundersökning. Härvid skulle beak</w:t>
      </w:r>
      <w:r w:rsidRPr="0008481A">
        <w:softHyphen/>
        <w:t>tas bl.a. vad som föreskrivs i</w:t>
      </w:r>
    </w:p>
    <w:p w:rsidR="003B3271" w:rsidRPr="0008481A" w:rsidRDefault="003B3271">
      <w:pPr>
        <w:spacing w:before="0"/>
        <w:ind w:left="170" w:hanging="170"/>
      </w:pPr>
      <w:r w:rsidRPr="0008481A">
        <w:t>– 24 kap. 7 § andra stycket RB angående överlämnande av den gripne till när</w:t>
      </w:r>
      <w:r w:rsidRPr="0008481A">
        <w:softHyphen/>
        <w:t>maste polisman,</w:t>
      </w:r>
    </w:p>
    <w:p w:rsidR="003B3271" w:rsidRPr="0008481A" w:rsidRDefault="003B3271">
      <w:pPr>
        <w:spacing w:before="0"/>
        <w:ind w:left="170" w:hanging="170"/>
      </w:pPr>
      <w:r w:rsidRPr="0008481A">
        <w:t>– 24 kap. 7 § första stycket jämfört med 24 kap. 2 § första stycket 1 RB angående gri</w:t>
      </w:r>
      <w:r w:rsidRPr="0008481A">
        <w:softHyphen/>
        <w:t>pande av misstänkt vars identitet inte kunnat säkerställas,</w:t>
      </w:r>
    </w:p>
    <w:p w:rsidR="003B3271" w:rsidRPr="0008481A" w:rsidRDefault="003B3271">
      <w:pPr>
        <w:spacing w:before="0"/>
        <w:ind w:left="170" w:hanging="170"/>
      </w:pPr>
      <w:r w:rsidRPr="0008481A">
        <w:t>– 23 kap. 8 § RB angående skyldighet att medfölja till förhör,</w:t>
      </w:r>
    </w:p>
    <w:p w:rsidR="003B3271" w:rsidRPr="0008481A" w:rsidRDefault="003B3271">
      <w:pPr>
        <w:spacing w:before="0"/>
        <w:ind w:left="170" w:hanging="170"/>
      </w:pPr>
      <w:r w:rsidRPr="0008481A">
        <w:t>– 21 kap. 3 § första stycket RB om den misstänktes rätt att biträdas av försvarare,</w:t>
      </w:r>
    </w:p>
    <w:p w:rsidR="003B3271" w:rsidRPr="0008481A" w:rsidRDefault="003B3271">
      <w:pPr>
        <w:pStyle w:val="PunktlistaBomb"/>
        <w:numPr>
          <w:ilvl w:val="0"/>
          <w:numId w:val="0"/>
        </w:numPr>
        <w:spacing w:before="0"/>
        <w:ind w:left="170" w:hanging="170"/>
      </w:pPr>
      <w:r w:rsidRPr="0008481A">
        <w:t>– lagen (1964:167) om unga lagöverträdare, angående bl.a. underrättelse till vår</w:t>
      </w:r>
      <w:r w:rsidRPr="0008481A">
        <w:t>d</w:t>
      </w:r>
      <w:r w:rsidRPr="0008481A">
        <w:t xml:space="preserve">nadshavare och socialnämnd samt närvaro vid förhör med den unge (5, 6 och 7 §§), kvarhållande enligt 14 § samt överlämnande till polisman enligt 34 § första stycket och kvarhållande enligt paragrafens andra stycke. </w:t>
      </w:r>
    </w:p>
    <w:p w:rsidR="003B3271" w:rsidRPr="0008481A" w:rsidRDefault="003B3271">
      <w:r w:rsidRPr="0008481A">
        <w:t>Polismyndigheten (bi</w:t>
      </w:r>
      <w:r w:rsidRPr="0008481A">
        <w:softHyphen/>
        <w:t>trädande länspolismästaren Kjell Arne Eliasson) inkom med yttrande samt upp</w:t>
      </w:r>
      <w:r w:rsidRPr="0008481A">
        <w:softHyphen/>
        <w:t>lysningar.</w:t>
      </w:r>
    </w:p>
    <w:p w:rsidR="003B3271" w:rsidRPr="0008481A" w:rsidRDefault="003B3271">
      <w:pPr>
        <w:pStyle w:val="Normaltindrag"/>
      </w:pPr>
      <w:r w:rsidRPr="0008481A">
        <w:t>Ärendet remitterades därefter till Rikspolisstyrelsen för yttrande över vad som framkommit. Yttrandet avgavs på Rikspolisstyrelsens vägnar av riks</w:t>
      </w:r>
      <w:r w:rsidRPr="0008481A">
        <w:softHyphen/>
        <w:t>polischefen Sten Heckscher.</w:t>
      </w:r>
    </w:p>
    <w:p w:rsidR="003B3271" w:rsidRPr="0008481A" w:rsidRDefault="003B3271">
      <w:pPr>
        <w:pStyle w:val="Normaltindrag"/>
      </w:pPr>
      <w:r w:rsidRPr="0008481A">
        <w:t xml:space="preserve">Ärendet remitterades slutligen även till Riksåklagaren, som avgav ett yttrande genom biträdande riksåklagaren Solveig Riberdahl. </w:t>
      </w:r>
    </w:p>
    <w:p w:rsidR="003B3271" w:rsidRPr="0008481A" w:rsidRDefault="003B3271">
      <w:pPr>
        <w:pStyle w:val="Rubrik3"/>
      </w:pPr>
      <w:r w:rsidRPr="0008481A">
        <w:t>Utredningens resultat</w:t>
      </w:r>
    </w:p>
    <w:p w:rsidR="003B3271" w:rsidRPr="0008481A" w:rsidRDefault="003B3271">
      <w:pPr>
        <w:pStyle w:val="Rubrik4"/>
        <w:spacing w:before="120"/>
      </w:pPr>
      <w:r w:rsidRPr="0008481A">
        <w:t xml:space="preserve">Yttrandet från Polismyndigheten i Skåne (Kjell Arne Eliasson) </w:t>
      </w:r>
    </w:p>
    <w:p w:rsidR="003B3271" w:rsidRPr="0008481A" w:rsidRDefault="003B3271">
      <w:pPr>
        <w:pStyle w:val="Rubrik5"/>
        <w:spacing w:before="120"/>
      </w:pPr>
      <w:r w:rsidRPr="0008481A">
        <w:t>Innebörden av förenklad utredning, 23 kap. 22 § Rättegångsbalken (RB)</w:t>
      </w:r>
    </w:p>
    <w:p w:rsidR="003B3271" w:rsidRPr="0008481A" w:rsidRDefault="003B3271">
      <w:pPr>
        <w:pStyle w:val="Citat"/>
      </w:pPr>
      <w:r w:rsidRPr="0008481A">
        <w:t>Tröskeln är låg i svensk rätt för när en förundersökning skall inledas. Det skall ske när det finns anledning anta att ett brott som hör under allmänt åtal har förövats. Ett beslut att inleda förunder</w:t>
      </w:r>
      <w:r w:rsidRPr="0008481A">
        <w:softHyphen/>
        <w:t>sökning åtföljs av en mängd rättsverkningar. Bland annat blir förfarandereglerna i 23 kap. RB och förundersökningskungörelsen (1947:948) tillämpliga.</w:t>
      </w:r>
    </w:p>
    <w:p w:rsidR="003B3271" w:rsidRPr="0008481A" w:rsidRDefault="003B3271">
      <w:pPr>
        <w:pStyle w:val="Citatindrag"/>
      </w:pPr>
      <w:r w:rsidRPr="0008481A">
        <w:t xml:space="preserve">I vissa situationer när en förundersökning normalt skall genomföras är det möjligt att använda ett enklare sätt för att genomföra utredningen. Enligt </w:t>
      </w:r>
      <w:r w:rsidRPr="0008481A">
        <w:br/>
        <w:t>23 kap. 22 § RB kan man avstå att genomföra en förundersökning om det ändå finns tillräckliga skäl för åtal, s.k. förenklad utredning.</w:t>
      </w:r>
    </w:p>
    <w:p w:rsidR="003B3271" w:rsidRPr="0008481A" w:rsidRDefault="003B3271">
      <w:pPr>
        <w:pStyle w:val="Citatindrag"/>
      </w:pPr>
      <w:r w:rsidRPr="0008481A">
        <w:t>Fördelarna med att använda 23 kap. 22 § RB ligger i det förenklade sättet. Ett formellt förunder</w:t>
      </w:r>
      <w:r w:rsidRPr="0008481A">
        <w:softHyphen/>
        <w:t>sökningsprotokoll behöver inte sättas upp, förhörs</w:t>
      </w:r>
      <w:r w:rsidRPr="0008481A">
        <w:softHyphen/>
        <w:t>ut</w:t>
      </w:r>
      <w:r w:rsidRPr="0008481A">
        <w:softHyphen/>
        <w:t>sagor kan antecknas på ett förenklat sätt, ingen formell misstankedelgivning behöver ske och reglerna om den misstänktes rätt att få del av utred</w:t>
      </w:r>
      <w:r w:rsidRPr="0008481A">
        <w:softHyphen/>
        <w:t>ningen behöver inte beaktas.</w:t>
      </w:r>
    </w:p>
    <w:p w:rsidR="003B3271" w:rsidRPr="0008481A" w:rsidRDefault="003B3271">
      <w:pPr>
        <w:pStyle w:val="Citatindrag"/>
      </w:pPr>
      <w:r w:rsidRPr="0008481A">
        <w:t>Det förenklade förfarandet tillämpas i mycket stor utsträckning i fråga om t.ex. trafikmål. Vid Polisområde Nordvästra Skåne används förenklad brottsutredning regelmässigt när förutsättning</w:t>
      </w:r>
      <w:r w:rsidRPr="0008481A">
        <w:softHyphen/>
        <w:t>arna enligt regelverket är uppfyllda. Snatteri är ett sådant brott där det förenklade förfarandet ofta används. När föreläggande av ordningsbot utfärdas sker normalt endast kortfattade anteckningar på ordningsbotsblanketten. I andra fall där förenklad utredning används, redovisas ärendet till åklagaren enbart i form av en polisrapport eller en brottsanmälan ur RAR-systemet (Rationell Anmälans Rutin).</w:t>
      </w:r>
    </w:p>
    <w:p w:rsidR="003B3271" w:rsidRPr="0008481A" w:rsidRDefault="003B3271">
      <w:pPr>
        <w:pStyle w:val="Citatindrag"/>
      </w:pPr>
      <w:r w:rsidRPr="0008481A">
        <w:t>En annan form av förenklat förfarande i utredningshänseende är för</w:t>
      </w:r>
      <w:r w:rsidRPr="0008481A">
        <w:softHyphen/>
        <w:t>farandet enligt 23 kap. 21 § tredje stycket RB. Den utredningsformen innebär att RB:s förfaranderegler alltjämt gäller men att kravet på sättet för dokumentation i ett förundersökningsprotokoll ersätts av kortfattade anteck</w:t>
      </w:r>
      <w:r w:rsidRPr="0008481A">
        <w:softHyphen/>
        <w:t>ningar.</w:t>
      </w:r>
    </w:p>
    <w:p w:rsidR="003B3271" w:rsidRPr="0008481A" w:rsidRDefault="003B3271">
      <w:pPr>
        <w:pStyle w:val="Rubrik5"/>
      </w:pPr>
      <w:r w:rsidRPr="0008481A">
        <w:t>Förenklad utredning av snatteri</w:t>
      </w:r>
    </w:p>
    <w:p w:rsidR="003B3271" w:rsidRPr="0008481A" w:rsidRDefault="003B3271">
      <w:pPr>
        <w:pStyle w:val="Citat"/>
      </w:pPr>
      <w:r w:rsidRPr="0008481A">
        <w:t>Snatteri är ett brott där ett förenklat förfarande enligt 23 kap. 21 eller 22 §§ RB ofta kan användas.</w:t>
      </w:r>
    </w:p>
    <w:p w:rsidR="003B3271" w:rsidRPr="0008481A" w:rsidRDefault="003B3271">
      <w:pPr>
        <w:pStyle w:val="Citatindrag"/>
      </w:pPr>
      <w:r w:rsidRPr="0008481A">
        <w:t>Om man av något skäl inte kan tillämpa förenklad utredning och förundersökning har inletts skall den som är skäligen misstänkt för brott när han underrättas om misstanken även underrättas om rätten att redan under förundersökningen anlita biträde av försvarare (12 § förundersökningskun</w:t>
      </w:r>
      <w:r w:rsidRPr="0008481A">
        <w:softHyphen/>
        <w:t>görelsen). Någon formell misstankedelgivning enligt 23 kap. 18 § RB behöver inte ske vid för</w:t>
      </w:r>
      <w:r w:rsidRPr="0008481A">
        <w:softHyphen/>
        <w:t>enklad utredning enligt 23 kap. 22 § RB. Den misstänktes rätt att biträdas av försvarare enligt 21 kap. 3 § första stycket RB torde då inte vara tillämplig.</w:t>
      </w:r>
    </w:p>
    <w:p w:rsidR="003B3271" w:rsidRPr="0008481A" w:rsidRDefault="003B3271">
      <w:pPr>
        <w:pStyle w:val="Citatindrag"/>
      </w:pPr>
      <w:r w:rsidRPr="0008481A">
        <w:t>Vid användande av förenklad utredning enligt 23 kap. 22 § RB är inte för</w:t>
      </w:r>
      <w:r w:rsidRPr="0008481A">
        <w:softHyphen/>
        <w:t>farandereglerna i 23 kap. RB tillämpliga och således heller inte 23 kap. 8 § RB angående skyldighet att medfölja till förhör. Det kan vidare noteras att endast en polisman har rätt att tillämpa det senast angivna lagrummet. Det betyder att en butikskontrollants åtgärd att erbjuda en person ett besök på kontoret inte kan ses som någon uppmaning att medfölja till förhör. Syftet med ett sådant frivilligt besök är för övrigt att undvika onödig exponering av den misstänkte.</w:t>
      </w:r>
    </w:p>
    <w:p w:rsidR="003B3271" w:rsidRPr="0008481A" w:rsidRDefault="003B3271">
      <w:pPr>
        <w:pStyle w:val="Citatindrag"/>
      </w:pPr>
      <w:r w:rsidRPr="0008481A">
        <w:t>Sker ett envarsgripande enligt 24 kap</w:t>
      </w:r>
      <w:r w:rsidRPr="0008481A">
        <w:t>. 7 § andra stycket RB eller vidtas någon polisiär tvångsåt</w:t>
      </w:r>
      <w:r w:rsidRPr="0008481A">
        <w:softHyphen/>
        <w:t>gärd innebär det att en förundersökning ska anses inledd. Vid envarsgripande ska polis tillkallas liksom t.ex. när den misstänkte är okänd och vägrar uppge namn och hemvist. Det kan då bli fråga om ett gripande enligt 24 kap. 7 § första stycket RB.</w:t>
      </w:r>
    </w:p>
    <w:p w:rsidR="003B3271" w:rsidRPr="0008481A" w:rsidRDefault="003B3271">
      <w:pPr>
        <w:pStyle w:val="Citatindrag"/>
      </w:pPr>
      <w:r w:rsidRPr="0008481A">
        <w:t>När det gäller lagen (1964:167) med särskilda bestämmelser om unga lagöverträdare (LUL) och dess tillämplighet på ett förenklat förfarande enligt 23 kap. 21 eller 22 §§ RB gör polismyndighe</w:t>
      </w:r>
      <w:r w:rsidRPr="0008481A">
        <w:softHyphen/>
        <w:t>ten följande tolkning av regelverket.</w:t>
      </w:r>
    </w:p>
    <w:p w:rsidR="003B3271" w:rsidRPr="0008481A" w:rsidRDefault="003B3271">
      <w:pPr>
        <w:pStyle w:val="Citatindrag"/>
      </w:pPr>
      <w:r w:rsidRPr="0008481A">
        <w:t>När 23 kap. 21 § RB tillämpas är det utan tvekan så att bestämmelserna om förundersökning i RB och LUL gäller fullt ut. Den förenklade förunder</w:t>
      </w:r>
      <w:r w:rsidRPr="0008481A">
        <w:softHyphen/>
        <w:t>sökningen innebär ju endast att en förenkling av dokumentationen kan ske.</w:t>
      </w:r>
    </w:p>
    <w:p w:rsidR="003B3271" w:rsidRPr="0008481A" w:rsidRDefault="003B3271">
      <w:pPr>
        <w:pStyle w:val="Citatindrag"/>
      </w:pPr>
      <w:r w:rsidRPr="0008481A">
        <w:t>När det gäller 23 kap. 22 § RB är däremot regelverket i vissa avseenden inte helt klart.</w:t>
      </w:r>
    </w:p>
    <w:p w:rsidR="003B3271" w:rsidRPr="0008481A" w:rsidRDefault="003B3271">
      <w:pPr>
        <w:pStyle w:val="Citatindrag"/>
      </w:pPr>
      <w:r w:rsidRPr="0008481A">
        <w:t>Det finns inte något förbud i RB eller LUL att tillämpa förenklad utredning beträffande unga lag</w:t>
      </w:r>
      <w:r w:rsidRPr="0008481A">
        <w:softHyphen/>
        <w:t>överträdare. I LUL finns särskilda bestämmelser om handläggningen hos bl.a. polisen av ärenden om brott där den misstänkte inte har fyllt tjugoett år. I övrigt gäller RB:s regler och andra bestäm</w:t>
      </w:r>
      <w:r w:rsidRPr="0008481A">
        <w:softHyphen/>
        <w:t>melser. Frågan är om särreglerna beträffande förundersökning och åtalsprövning m.m. i LUL oc</w:t>
      </w:r>
      <w:r w:rsidRPr="0008481A">
        <w:t>k</w:t>
      </w:r>
      <w:r w:rsidRPr="0008481A">
        <w:t>så gäller vid förenklad utredning enligt 23 kap. 22 § RB. I LUL under rubriken Förundersök</w:t>
      </w:r>
      <w:r w:rsidRPr="0008481A">
        <w:softHyphen/>
        <w:t>ning och åtalsprövning m.m. anges i vissa paragrafer uttryckligen ”förundersökning”. Detta torde me</w:t>
      </w:r>
      <w:r w:rsidRPr="0008481A">
        <w:t>d</w:t>
      </w:r>
      <w:r w:rsidRPr="0008481A">
        <w:t>föra att dessa paragrafer i var</w:t>
      </w:r>
      <w:r w:rsidRPr="0008481A">
        <w:t>t fall inte kan anses tillämpliga vid förenklad utredning. Men vad gäller då beträffande 5–7 §§ LUL som också finns intagna under rubriken Förundersökning och åtalsprövning m.m. men där det inte uttryckligen står ”förundersökning” i respektive paragraf?</w:t>
      </w:r>
    </w:p>
    <w:p w:rsidR="003B3271" w:rsidRPr="0008481A" w:rsidRDefault="003B3271">
      <w:pPr>
        <w:pStyle w:val="Citatindrag"/>
      </w:pPr>
      <w:r w:rsidRPr="0008481A">
        <w:t>Till en början kan man konstatera att 5–7 §§ LUL synes språkligt uppbyggda på samma sätt som 23 kap. RB d.v.s. ordet förundersökning finns inte angett i förhörsparagraferna. Reglerna i LUL måste vidare ses som ett komplement till motsvarande generella regler</w:t>
      </w:r>
      <w:r w:rsidRPr="0008481A">
        <w:t>ing om förundersökning i RB. De regler om förhör som finns i 23 kap. RB gäller generellt vid förundersökning och särreg</w:t>
      </w:r>
      <w:r w:rsidRPr="0008481A">
        <w:softHyphen/>
        <w:t>lerna om förhör i 5–7 §§ i LUL kompletterar således just dessa förhörsregler i RB. Om lagstifta</w:t>
      </w:r>
      <w:r w:rsidRPr="0008481A">
        <w:softHyphen/>
        <w:t>ren avsett att unga lagöverträdare inte fullt ut skulle kunna innefattas under förenklad utredning borde detta ha uttryckts antingen direkt i 23 kap. 22 § RB eller i LUL med en koppling till 23 kap. 22 § RB. Det kan vidare noteras att utvidgningen av tillämpningsområdet i 23 kap. 22 § RB ge</w:t>
      </w:r>
      <w:r w:rsidRPr="0008481A">
        <w:softHyphen/>
        <w:t>nomf</w:t>
      </w:r>
      <w:r w:rsidRPr="0008481A">
        <w:t>ördes nästan samtidigt med förändringarna i 5–7 §§ i LUL. Det synes inte helt logiskt att genomföra en utökad förenkling samtidigt som man med tillämpning av det förenklade förfarandet skulle ställa utökade krav på föräldramedverkan enligt 5 § LUL till att gälla även t.ex. trafi</w:t>
      </w:r>
      <w:r w:rsidRPr="0008481A">
        <w:t>k</w:t>
      </w:r>
      <w:r w:rsidRPr="0008481A">
        <w:t>brott.</w:t>
      </w:r>
    </w:p>
    <w:p w:rsidR="003B3271" w:rsidRPr="0008481A" w:rsidRDefault="003B3271">
      <w:pPr>
        <w:pStyle w:val="Citatindrag"/>
      </w:pPr>
      <w:r w:rsidRPr="0008481A">
        <w:t>Tillämpas förenklad utredning vid en trafikförseelse eller ett snatteri så bör följaktligen reglerna i 5–7 §§ LUL inte anses tillämpliga. Detta förhållande torde emellertid knappast utesluta att man inom t.ex. närpolisverksam</w:t>
      </w:r>
      <w:r w:rsidRPr="0008481A">
        <w:t>heten i efterhand kontaktar en ung person och håller ett frivilligt möte där även föräldrar och socialtjänsten kan medverka. Detta förhållningssätt kan snarare ses som en naturlig del av närpolisverksamheten.</w:t>
      </w:r>
    </w:p>
    <w:p w:rsidR="003B3271" w:rsidRPr="0008481A" w:rsidRDefault="003B3271">
      <w:pPr>
        <w:pStyle w:val="Citatindrag"/>
      </w:pPr>
      <w:r w:rsidRPr="0008481A">
        <w:t>Har ett gripande skett av en ung lagöverträdare ska 14 § LUL och 34 § LUL tillämpas. Ett gri</w:t>
      </w:r>
      <w:r w:rsidRPr="0008481A">
        <w:softHyphen/>
        <w:t>pande innebär ju, som tidigare nämnts, att en förundersökning ska anses inledd.</w:t>
      </w:r>
    </w:p>
    <w:p w:rsidR="003B3271" w:rsidRPr="0008481A" w:rsidRDefault="003B3271">
      <w:pPr>
        <w:pStyle w:val="Rubrik5"/>
      </w:pPr>
      <w:r w:rsidRPr="0008481A">
        <w:t>Snattefonen</w:t>
      </w:r>
    </w:p>
    <w:p w:rsidR="003B3271" w:rsidRPr="0008481A" w:rsidRDefault="003B3271">
      <w:pPr>
        <w:pStyle w:val="Citat"/>
      </w:pPr>
      <w:r w:rsidRPr="0008481A">
        <w:t>Snattefonen innebär att det möjliggörs en omedelbar telefonkontakt mellan polisen och den miss</w:t>
      </w:r>
      <w:r w:rsidRPr="0008481A">
        <w:softHyphen/>
        <w:t>tänkte snattaren. Metoden innebär att ärendet ofta kan färdigställas direkt utan att polis behöver åka till platsen eller att någon behöver kontaktas i efterhand, s.k. omtagning av ärendet. Stor hän</w:t>
      </w:r>
      <w:r w:rsidRPr="0008481A">
        <w:softHyphen/>
        <w:t>syn tas till den misstänkte som slipper vänta på polis eller kontaktas igen i samma ärende.</w:t>
      </w:r>
    </w:p>
    <w:p w:rsidR="003B3271" w:rsidRPr="0008481A" w:rsidRDefault="003B3271">
      <w:pPr>
        <w:pStyle w:val="Citatindrag"/>
      </w:pPr>
      <w:r w:rsidRPr="0008481A">
        <w:t>Konferenstelefon är ett praktiskt sätt att kommunicera på och används även vid t.ex. vissa förhör i domstol. Även om föräldramedverkan inte anses vara något krav vid förenklad utredning enligt 23 kap. 22 § RB kan individ</w:t>
      </w:r>
      <w:r w:rsidRPr="0008481A">
        <w:t>ualpreventiva effekter vinnas genom medverkan per telefon och bör där</w:t>
      </w:r>
      <w:r w:rsidRPr="0008481A">
        <w:softHyphen/>
        <w:t>med eftersträvas utan att hänsynsprincipen eftersätts.</w:t>
      </w:r>
    </w:p>
    <w:p w:rsidR="003B3271" w:rsidRPr="0008481A" w:rsidRDefault="003B3271">
      <w:pPr>
        <w:pStyle w:val="Rubrik5"/>
      </w:pPr>
      <w:r w:rsidRPr="0008481A">
        <w:t>Polismyndighetens bedömning</w:t>
      </w:r>
    </w:p>
    <w:p w:rsidR="003B3271" w:rsidRPr="0008481A" w:rsidRDefault="003B3271">
      <w:pPr>
        <w:pStyle w:val="Citat"/>
      </w:pPr>
      <w:r w:rsidRPr="0008481A">
        <w:t>Vid Polisområde Nordvästra Skåne används förenklad utredning enligt 23 kap. 22 § RB när förut</w:t>
      </w:r>
      <w:r w:rsidRPr="0008481A">
        <w:softHyphen/>
        <w:t>sättningarna enligt regelverket är uppfyllda. Anledningen är att man vill få till stånd en effektivare verksamhet. Metoden har också medfört att resurser har frigjorts för utredning av mer kvalifice</w:t>
      </w:r>
      <w:r w:rsidRPr="0008481A">
        <w:softHyphen/>
        <w:t>rade brott. Systemet med förenklad utredning och snattefonen har inte visat sig vara förenat med några olägenheter. Tvärtom är det en lösning som befrämjar snabbheten i förfarandet.</w:t>
      </w:r>
    </w:p>
    <w:p w:rsidR="003B3271" w:rsidRPr="0008481A" w:rsidRDefault="003B3271">
      <w:pPr>
        <w:pStyle w:val="Citatindrag"/>
      </w:pPr>
      <w:r w:rsidRPr="0008481A">
        <w:t>Om 23 kap. 22 § RB inte kan användas kan som regel förenklad förundersökning enligt 23 kap. 21 § RB tillämpas. Om 23 kap. 21 § til</w:t>
      </w:r>
      <w:r w:rsidRPr="0008481A">
        <w:t>lämpas gäller bestämmelserna om förundersökning i RB och LUL fullt ut. Då skall socialnämnden genast underrättas enligt 6 § LUL och socialtjänsten beredas möjlighet att medverka enligt 7 § LUL i varje enskilt fall oavsett social</w:t>
      </w:r>
      <w:r w:rsidRPr="0008481A">
        <w:softHyphen/>
        <w:t>tjänstens uttalande om att man normalt inte kan medverka under dagtid. Handläggningsrutinen måste därför ändras för att uppfylla kraven i 7 § LUL.</w:t>
      </w:r>
    </w:p>
    <w:p w:rsidR="003B3271" w:rsidRPr="0008481A" w:rsidRDefault="003B3271">
      <w:pPr>
        <w:pStyle w:val="Citatindrag"/>
      </w:pPr>
      <w:r w:rsidRPr="0008481A">
        <w:t>För det fall, i motsats till polismyndighetens tolkning, LUL ska anses tillämplig även för fören</w:t>
      </w:r>
      <w:r w:rsidRPr="0008481A">
        <w:t>k</w:t>
      </w:r>
      <w:r w:rsidRPr="0008481A">
        <w:t>lad utredning enligt 23 kap. 22 § RB måste handläggningsrutinen för dessa ärenden också ändras för att uppfylla kraven i LUL.</w:t>
      </w:r>
    </w:p>
    <w:p w:rsidR="003B3271" w:rsidRPr="0008481A" w:rsidRDefault="003B3271">
      <w:pPr>
        <w:pStyle w:val="Rubrik4"/>
      </w:pPr>
      <w:r w:rsidRPr="0008481A">
        <w:t xml:space="preserve">Yttrandet från Rikspolisstyrelsen (Sten Heckscher) </w:t>
      </w:r>
    </w:p>
    <w:p w:rsidR="003B3271" w:rsidRPr="0008481A" w:rsidRDefault="003B3271">
      <w:pPr>
        <w:pStyle w:val="Rubrik5"/>
        <w:spacing w:before="120"/>
      </w:pPr>
      <w:r w:rsidRPr="0008481A">
        <w:t>Bakgrund</w:t>
      </w:r>
    </w:p>
    <w:p w:rsidR="003B3271" w:rsidRPr="0008481A" w:rsidRDefault="003B3271">
      <w:pPr>
        <w:pStyle w:val="Citat"/>
      </w:pPr>
      <w:r w:rsidRPr="0008481A">
        <w:t>Vid Polisområde Nordvästra Skåne, Polismyndigheten i Skåne, utreddes tidigare snatteribrott i huvudsak enligt följande ordning.</w:t>
      </w:r>
    </w:p>
    <w:p w:rsidR="003B3271" w:rsidRPr="0008481A" w:rsidRDefault="003B3271">
      <w:pPr>
        <w:pStyle w:val="Citatindrag"/>
      </w:pPr>
      <w:r w:rsidRPr="0008481A">
        <w:t>När en butikskontrollant ertappade en person, som misstänktes för snatteri, bad kontrollanten den misstänkte, om denne erkände brottet, att följa med till butikens kontor. Om den misstänkte t.ex. bråkade, sprang från platsen med stöldgodset, vägrade uppge namn eller lämnade oriktiga up</w:t>
      </w:r>
      <w:r w:rsidRPr="0008481A">
        <w:t>p</w:t>
      </w:r>
      <w:r w:rsidRPr="0008481A">
        <w:t>gif</w:t>
      </w:r>
      <w:r w:rsidRPr="0008481A">
        <w:softHyphen/>
        <w:t>ter om namnet samt vid organiserade snatterier tillkallades polis. – På kontoret fick den misstänkte lämna ifrån sig tillgripna varor, identifiera sig och butikskontrollanten skrev en anmälan om brot</w:t>
      </w:r>
      <w:r w:rsidRPr="0008481A">
        <w:softHyphen/>
        <w:t>tet. När detta var klart lämnade den misstänkte kontoret och anmälan skickades till polismy</w:t>
      </w:r>
      <w:r w:rsidRPr="0008481A">
        <w:t>n</w:t>
      </w:r>
      <w:r w:rsidRPr="0008481A">
        <w:t>dig</w:t>
      </w:r>
      <w:r w:rsidRPr="0008481A">
        <w:softHyphen/>
        <w:t>heten.</w:t>
      </w:r>
    </w:p>
    <w:p w:rsidR="003B3271" w:rsidRPr="0008481A" w:rsidRDefault="003B3271">
      <w:pPr>
        <w:pStyle w:val="Citatindrag"/>
      </w:pPr>
      <w:r w:rsidRPr="0008481A">
        <w:t>När butikskontrollantens anmälan kom in till polismyndigheten regi</w:t>
      </w:r>
      <w:r w:rsidRPr="0008481A">
        <w:softHyphen/>
        <w:t>strerades den i RAR (Rationell Anmälans Rutin) och därefter lämnades ärendet till stöldroteln för utredning. Utredaren vid stöl</w:t>
      </w:r>
      <w:r w:rsidRPr="0008481A">
        <w:softHyphen/>
        <w:t>d</w:t>
      </w:r>
      <w:r w:rsidRPr="0008481A">
        <w:softHyphen/>
        <w:t>roteln genomförde i de flesta fallen förhören per telefon. Före förhöret kontrollerades den miss</w:t>
      </w:r>
      <w:r w:rsidRPr="0008481A">
        <w:softHyphen/>
        <w:t>tänktes identitet med hjälp av de dataregister som är tillgängliga för polisen. Om identiteten var oklar, genomfördes inget förhör per telefon.</w:t>
      </w:r>
    </w:p>
    <w:p w:rsidR="003B3271" w:rsidRPr="0008481A" w:rsidRDefault="003B3271">
      <w:pPr>
        <w:pStyle w:val="Citatindrag"/>
      </w:pPr>
      <w:r w:rsidRPr="0008481A">
        <w:t>För att förenkla och effektivisera utredningar av snatteribrott har vid Polisområde Nordvästra Sk</w:t>
      </w:r>
      <w:r w:rsidRPr="0008481A">
        <w:t>å</w:t>
      </w:r>
      <w:r w:rsidRPr="0008481A">
        <w:t>ne vid Polismyndigheten i Skåne numera införts en särskild metod enligt följande.</w:t>
      </w:r>
    </w:p>
    <w:p w:rsidR="003B3271" w:rsidRPr="0008481A" w:rsidRDefault="003B3271">
      <w:pPr>
        <w:pStyle w:val="Citatindrag"/>
      </w:pPr>
      <w:r w:rsidRPr="0008481A">
        <w:t>Om den misstänkte personen erkänner snatteriet, ombeds denne av butiks</w:t>
      </w:r>
      <w:r w:rsidRPr="0008481A">
        <w:softHyphen/>
        <w:t>kontrollanten att frivilligt följa med till butikens kontor. Butikskontrollanten frågar den misstänkte om denne är villig att förhöras av polisen per telefon. Vid ett jakande svar skall butikskontrollanten ringa polisen på ett särskilt telefonnummer, den s.k. snattefonen. Före telefonförhöret uppger butikskontrollanten för utredaren hos Polisen att den misstänkte personen är villig att förhöras per telefon. Vidare uppger butikskontrollanten omständig</w:t>
      </w:r>
      <w:r w:rsidRPr="0008481A">
        <w:softHyphen/>
        <w:t>heterna vid brottet och den misstänktes namn. Innan förh</w:t>
      </w:r>
      <w:r w:rsidRPr="0008481A">
        <w:t>öret på</w:t>
      </w:r>
      <w:r w:rsidRPr="0008481A">
        <w:softHyphen/>
        <w:t>börjas, kontrollerar utredaren hos polismyndigheten den misstänktes namn i de dataregister som Polisen har tillgång till. Därefter genomförs ett förhör. Om den misstänkte inte vill förhöras per telefon, genomförs inte något sådant förhör. Inte heller genomförs något telefonförhör, om identi</w:t>
      </w:r>
      <w:r w:rsidRPr="0008481A">
        <w:softHyphen/>
        <w:t>teten är oklar.</w:t>
      </w:r>
    </w:p>
    <w:p w:rsidR="003B3271" w:rsidRPr="0008481A" w:rsidRDefault="003B3271">
      <w:pPr>
        <w:pStyle w:val="Rubrik5"/>
      </w:pPr>
      <w:r w:rsidRPr="0008481A">
        <w:t>Rikspolisstyrelsens bedömning av de frågor som ställs i remissen</w:t>
      </w:r>
    </w:p>
    <w:p w:rsidR="003B3271" w:rsidRPr="0008481A" w:rsidRDefault="003B3271">
      <w:pPr>
        <w:pStyle w:val="Rubrik5"/>
        <w:spacing w:before="120"/>
      </w:pPr>
      <w:r w:rsidRPr="0008481A">
        <w:t>Allmänna synpunkter</w:t>
      </w:r>
    </w:p>
    <w:p w:rsidR="003B3271" w:rsidRPr="0008481A" w:rsidRDefault="003B3271">
      <w:pPr>
        <w:pStyle w:val="Citat"/>
      </w:pPr>
      <w:r w:rsidRPr="0008481A">
        <w:t>Rikspolisstyrelsen vill till en början framhålla vikten av att polisens brottsutredande verksamhet, med bibehållna krav på rättssäkerhet, effektiviseras i så stor utsträckning som möjligt. Det är an</w:t>
      </w:r>
      <w:r w:rsidRPr="0008481A">
        <w:softHyphen/>
        <w:t>geläget att ta till vara på bl.a. möjligheterna att använda förenklade utredningsmetoder i form av förundersökningsanteckningar eller utredning utan förundersökning. Genom att använda förenk</w:t>
      </w:r>
      <w:r w:rsidRPr="0008481A">
        <w:softHyphen/>
        <w:t>lade metoder kan nämligen resurser frigöras för mer komplicerade brottsutredningar. Brottsutred</w:t>
      </w:r>
      <w:r w:rsidRPr="0008481A">
        <w:softHyphen/>
        <w:t>ningar avseende snatterier torde typiskt sett lämpa sig väl för förenklade metoder. Det utesluter naturligtvis inte att också snatteriärenden kan vara komplicerade och fordra andra arbetsmetoder. Styrelsen anser att förfaran</w:t>
      </w:r>
      <w:r w:rsidRPr="0008481A">
        <w:t>det med snattefonen är ett bra exempel på ett rationellt arbetssätt och att detta snarare bör användas i fler än i färre ärenden.</w:t>
      </w:r>
    </w:p>
    <w:p w:rsidR="003B3271" w:rsidRPr="0008481A" w:rsidRDefault="003B3271">
      <w:pPr>
        <w:pStyle w:val="Citatindrag"/>
      </w:pPr>
      <w:r w:rsidRPr="0008481A">
        <w:t>Rikspolisstyrelsen är således av den uppfattningen att förfarandet med snattefonen bör kunna an</w:t>
      </w:r>
      <w:r w:rsidRPr="0008481A">
        <w:softHyphen/>
        <w:t>vändas i stor utsträckning i brottsutredningar som avser snatteri – på sikt även i andra ärenden – och att det inte bör råda någon tvekan om att regelverket medger en sådan tillämpning. Som fram</w:t>
      </w:r>
      <w:r w:rsidRPr="0008481A">
        <w:softHyphen/>
        <w:t>går av det följande anser styrelsen därför att det finns skäl att göra vissa justeringar i det gällande regelverket. Bestämmelsen i 24 kap. 7 § andra stycket RB kan sålunda i klargörande syfte behöva förses med ett tillägg av innebörd att ett överlämnande av den gripne till närmaste polis inte b</w:t>
      </w:r>
      <w:r w:rsidRPr="0008481A">
        <w:t>e</w:t>
      </w:r>
      <w:r w:rsidRPr="0008481A">
        <w:t>hö</w:t>
      </w:r>
      <w:r w:rsidRPr="0008481A">
        <w:softHyphen/>
        <w:t>ver ske i sådana</w:t>
      </w:r>
      <w:r w:rsidRPr="0008481A">
        <w:t xml:space="preserve"> fall där snattefonförfarandet används. Det bör också göras sådana ändringar i lagen (1964:167) om unga lagöverträdare att det görs klart att förfarandet med snattefonen kan användas när det gäller unga som misstänks för snatteri.</w:t>
      </w:r>
    </w:p>
    <w:p w:rsidR="003B3271" w:rsidRPr="0008481A" w:rsidRDefault="003B3271">
      <w:pPr>
        <w:pStyle w:val="Rubrik5"/>
      </w:pPr>
      <w:r w:rsidRPr="0008481A">
        <w:t>24 kap. 7 § andra stycket RB angående överlämnande av den gripne till närmaste polisman</w:t>
      </w:r>
    </w:p>
    <w:p w:rsidR="003B3271" w:rsidRPr="0008481A" w:rsidRDefault="003B3271">
      <w:pPr>
        <w:pStyle w:val="Citat"/>
      </w:pPr>
      <w:r w:rsidRPr="0008481A">
        <w:t>Förfarandet med den s.k. snattefonen innebär att en person, som ertappats för snatteri, genom en butikskontrollants försorg förhörs per telefon av en utredare hos polisen. Det sker således inte något fysiskt överlämnande av den misstänkte till en polisman. Den misstänkte medverkar frivil</w:t>
      </w:r>
      <w:r w:rsidRPr="0008481A">
        <w:softHyphen/>
        <w:t>ligt.</w:t>
      </w:r>
    </w:p>
    <w:p w:rsidR="003B3271" w:rsidRPr="0008481A" w:rsidRDefault="003B3271">
      <w:pPr>
        <w:pStyle w:val="Citatindrag"/>
      </w:pPr>
      <w:r w:rsidRPr="0008481A">
        <w:t>Frågan om butikskontrollanters ingripande mot misstänkta snattare, dvs. att den ertappade ombeds att följa med till butikens kontor eller dyl. och där lämna ifrån sig tillgripna varor samt uppge och styrka sin identitet, har bl.a. behandlats i Stöldutredningens betänkande Stöld i butik (SOU 1982:39). Härvid fann utredningen (betänkandet s. 253 ff.) att förfarandet inte är otillåtet och inte heller är att anse som något frihetsberövande eller gripande i rättegångsbalkens mening. För det fall denna bed</w:t>
      </w:r>
      <w:r w:rsidRPr="0008481A">
        <w:t>ömning skulle sättas i fråga, bör i 24 kap. 7 § RB uttryckligen anges att ett överläm</w:t>
      </w:r>
      <w:r w:rsidRPr="0008481A">
        <w:softHyphen/>
        <w:t>nande inte behöver ske, om den misstänkte i annan ordning omedelbart kan förhöras av polis med anledning av det misstänkta brottet.</w:t>
      </w:r>
    </w:p>
    <w:p w:rsidR="003B3271" w:rsidRPr="0008481A" w:rsidRDefault="003B3271">
      <w:pPr>
        <w:pStyle w:val="Citatindrag"/>
      </w:pPr>
      <w:r w:rsidRPr="0008481A">
        <w:t>För det fall ett gripande enligt 24 kap. 7 § andra stycket RB anses vara för handen vill styrelsen framhålla att förfarandet med snattefonen tar mycket kort tid i anspråk. När förhöret avslutats bör därför kravet på ett skyndsamt överlämnande till närmaste polisman inte anses vara åsidosatt. D</w:t>
      </w:r>
      <w:r w:rsidRPr="0008481A">
        <w:t xml:space="preserve">et bör enligt styrelsens mening inte komma i fråga att i det skedet låta ett formellt frigivande försenas genom att ställa krav på att den som skall friges måste invänta polis enbart av den anledningen att gripandet skall kunna hävas. Av betydelse är också att förfarandet med snattefonen ligger väl i linje med proportionalitetsprincipen, dvs. att minsta möjliga tvång skall användas för att nå det avsedda syftet. Styrelsen anser mot denna bakgrund att förfarandet – ens om det skulle anses rymma ett formellt </w:t>
      </w:r>
      <w:r w:rsidRPr="0008481A">
        <w:t>gripande – inte bör anses stå i strid med bestämmelsen i 24 kap. 7 § andra stycket RB.</w:t>
      </w:r>
    </w:p>
    <w:p w:rsidR="003B3271" w:rsidRPr="0008481A" w:rsidRDefault="003B3271">
      <w:pPr>
        <w:pStyle w:val="Rubrik5"/>
      </w:pPr>
      <w:r w:rsidRPr="0008481A">
        <w:t>24 kap. 7 § första stycket jämförd med 2 § första stycket 1 punkten RB, angående gripande av misstänkt vars identitet inte kunnat säkerställas</w:t>
      </w:r>
    </w:p>
    <w:p w:rsidR="003B3271" w:rsidRPr="0008481A" w:rsidRDefault="003B3271">
      <w:pPr>
        <w:pStyle w:val="Citat"/>
      </w:pPr>
      <w:r w:rsidRPr="0008481A">
        <w:t>Av redovisningen i ärendet från Polisområde Nordvästra Skåne framgår att rutinen med snattefo</w:t>
      </w:r>
      <w:r w:rsidRPr="0008481A">
        <w:softHyphen/>
        <w:t>nen inte tillämpas när den misstänkte inte kan identifieras, vägrar att uppge namn eller lämnar osanna uppgifter om namn eller när den gripne saknar hemvist i riket. I dessa fall tillkallas i stället polis, som tar med den misstänkte till polisstationen för identifiering och förhör.</w:t>
      </w:r>
    </w:p>
    <w:p w:rsidR="003B3271" w:rsidRPr="0008481A" w:rsidRDefault="003B3271">
      <w:pPr>
        <w:pStyle w:val="Citatindrag"/>
      </w:pPr>
      <w:r w:rsidRPr="0008481A">
        <w:t>Rikspolisstyrelsen anser, i likhet med polismyndigheten, att förfarandet med snattefonen inte bör tillämpas i de nu angivna fallen.</w:t>
      </w:r>
    </w:p>
    <w:p w:rsidR="003B3271" w:rsidRPr="0008481A" w:rsidRDefault="003B3271">
      <w:pPr>
        <w:pStyle w:val="Rubrik5"/>
      </w:pPr>
      <w:r w:rsidRPr="0008481A">
        <w:t>23 kap. 8 § RB angående skyldighet att medfölja till förhör</w:t>
      </w:r>
    </w:p>
    <w:p w:rsidR="003B3271" w:rsidRPr="0008481A" w:rsidRDefault="003B3271">
      <w:pPr>
        <w:pStyle w:val="Citat"/>
      </w:pPr>
      <w:r w:rsidRPr="0008481A">
        <w:t>I 23 kap. 8 § första stycket RB föreskrivs att den som befinner sig på den plats där ett brott förövas är skyldig att på tillsägelse av en polisman följa med till ett förhör som hålls omedelbart därefter. Vägrar han utan giltig orsak, får polismannen enligt bestämmelsen ta med honom till förh</w:t>
      </w:r>
      <w:r w:rsidRPr="0008481A">
        <w:t>ö</w:t>
      </w:r>
      <w:r w:rsidRPr="0008481A">
        <w:t>ret.</w:t>
      </w:r>
    </w:p>
    <w:p w:rsidR="003B3271" w:rsidRPr="0008481A" w:rsidRDefault="003B3271">
      <w:pPr>
        <w:pStyle w:val="Citatindrag"/>
      </w:pPr>
      <w:r w:rsidRPr="0008481A">
        <w:t>Bestämmelsen ger uttryckligt stöd för polis att vidta denna åtgärd i brottsutredande syfte redan innan en förundersökning hunnit inledas (se prop. 1994/95:23 Ett effektivare brottmålsförfarande, s. 79).</w:t>
      </w:r>
    </w:p>
    <w:p w:rsidR="003B3271" w:rsidRPr="0008481A" w:rsidRDefault="003B3271">
      <w:pPr>
        <w:pStyle w:val="Citatindrag"/>
      </w:pPr>
      <w:r w:rsidRPr="0008481A">
        <w:t>Rikspolisstyrelsen konstaterar att förfarandet i snattefonfallen inte skiljer sig från vad som annars tillämpas vid snatterier, dvs. den misstänkte ombeds att följa med till ett kontor eller dyl. bl.a. för att undvika att han eller hon onödigt uppmärksammas. Det är först på kontoret som det aktualise</w:t>
      </w:r>
      <w:r w:rsidRPr="0008481A">
        <w:softHyphen/>
        <w:t>ras om snattefonförfarandet skall tillämpas. Rikspolisstyrelsen kan alltså inte finna att förfarandet strider mot bestämmelsen i 23 kap. 8 § RB.</w:t>
      </w:r>
    </w:p>
    <w:p w:rsidR="003B3271" w:rsidRPr="0008481A" w:rsidRDefault="003B3271">
      <w:pPr>
        <w:pStyle w:val="Rubrik5"/>
      </w:pPr>
      <w:r w:rsidRPr="0008481A">
        <w:t>21 kap. 3 § första stycket RB om den misstänktes rätt att biträdas av försvarare</w:t>
      </w:r>
    </w:p>
    <w:p w:rsidR="003B3271" w:rsidRPr="0008481A" w:rsidRDefault="003B3271">
      <w:pPr>
        <w:pStyle w:val="Citat"/>
      </w:pPr>
      <w:r w:rsidRPr="0008481A">
        <w:t>Förfarandet med snattefonen förutsätter att den misstänkte frivilligt underkastar sig telefonförhö</w:t>
      </w:r>
      <w:r w:rsidRPr="0008481A">
        <w:softHyphen/>
        <w:t>ret. När den misstänkte begär att biträdas av försvarare bör därför – enligt Rikspolisstyrelsens uppfattning – förfarandet med snattefonen inte användas.</w:t>
      </w:r>
    </w:p>
    <w:p w:rsidR="003B3271" w:rsidRPr="0008481A" w:rsidRDefault="003B3271">
      <w:pPr>
        <w:pStyle w:val="Rubrik5"/>
      </w:pPr>
      <w:r w:rsidRPr="0008481A">
        <w:t>Lagen (1964:167) om unga lagöverträdare, angående bl.a. underrättelse till vårdnadshavare och socialnämnd samt närvaro vid förhör med den unge (5, 6 och 7 §§), kvarhållande enligt 14 § samt överlämnande till polisman enligt 34 § första stycket och kvarhållande enligt paragrafens andra stycke</w:t>
      </w:r>
    </w:p>
    <w:p w:rsidR="003B3271" w:rsidRPr="0008481A" w:rsidRDefault="003B3271">
      <w:pPr>
        <w:pStyle w:val="Citat"/>
      </w:pPr>
      <w:r w:rsidRPr="0008481A">
        <w:t>Enligt Rikspolisstyrelsens uppfattning torde det endast i begränsad omfatt</w:t>
      </w:r>
      <w:r w:rsidRPr="0008481A">
        <w:softHyphen/>
        <w:t>ning vara möjligt att uppfylla de krav på brottsutredningen som anges i rubricerade bestämmelser vid förfarandet med snattefonen.</w:t>
      </w:r>
    </w:p>
    <w:p w:rsidR="003B3271" w:rsidRPr="0008481A" w:rsidRDefault="003B3271">
      <w:pPr>
        <w:pStyle w:val="Citatindrag"/>
      </w:pPr>
      <w:r w:rsidRPr="0008481A">
        <w:t>Rikspolisstyrelsen vill tillägga att också ingripanden mot denna kategori av personer bör kunna ske så effektivt och skyndsamt som möjligt och under minsta möjliga tvång. Med hänsyn härtill anser Rikspolisstyrelsen att angivna bestämmelser bör ändras så att förfarandet med snattefonen även kan tillämpas när det gäller unga som misstänks för snatteri.</w:t>
      </w:r>
    </w:p>
    <w:p w:rsidR="003B3271" w:rsidRPr="0008481A" w:rsidRDefault="003B3271">
      <w:pPr>
        <w:pStyle w:val="Rubrik4"/>
      </w:pPr>
      <w:r w:rsidRPr="0008481A">
        <w:t xml:space="preserve">Yttrandet från Riksåklagaren (Solveig Riberdahl) </w:t>
      </w:r>
    </w:p>
    <w:p w:rsidR="003B3271" w:rsidRPr="0008481A" w:rsidRDefault="003B3271">
      <w:r w:rsidRPr="0008481A">
        <w:t>Inledning</w:t>
      </w:r>
    </w:p>
    <w:p w:rsidR="003B3271" w:rsidRPr="0008481A" w:rsidRDefault="003B3271">
      <w:pPr>
        <w:pStyle w:val="Citat"/>
      </w:pPr>
      <w:r w:rsidRPr="0008481A">
        <w:t>Samhällets resurser räcker inte till för att beivra alla brott som begås. Detta är inte något nytt utan så har förhållandena varit under många år. Frågan har varit föremål för överväganden i olika sam</w:t>
      </w:r>
      <w:r w:rsidRPr="0008481A">
        <w:softHyphen/>
        <w:t>manhang. Bl.a. har den behandlats av Åklagarutredningen i betänkandet (SOU 1992:61) Ett refor</w:t>
      </w:r>
      <w:r w:rsidRPr="0008481A">
        <w:softHyphen/>
        <w:t>merat åklagarväsende och i regeringens proposition 1994/95:23. Förslagen som syftade till att effektivisera brottsbekämpningen ledde till att det kriminaliserade området begränsades i vissa hänseenden och handlägg</w:t>
      </w:r>
      <w:r w:rsidRPr="0008481A">
        <w:softHyphen/>
        <w:t>ningsformerna för utredning av brott förenklades. Ett exempel på det senare är ändringarna av bestämmelserna i 23 kap. 22 § rättegångsbalken som trädde i kraft den 1 april 1995.</w:t>
      </w:r>
    </w:p>
    <w:p w:rsidR="003B3271" w:rsidRPr="0008481A" w:rsidRDefault="003B3271">
      <w:pPr>
        <w:pStyle w:val="Citatindrag"/>
      </w:pPr>
      <w:r w:rsidRPr="0008481A">
        <w:t>Enligt dessa bestämmelser</w:t>
      </w:r>
      <w:r w:rsidRPr="0008481A">
        <w:t xml:space="preserve"> i den lydelse de nu har kan förundersökning underlåtas och ersättas av en förenklad utredning om det finns tillräckliga skäl för åtal. Tidigare kunde förfarandet tillämpas endast då ärendet avsåg brott för vilket annan påföljd än böter inte kunde följa. Lagrummet kan efter ändringen tillämpas på ärenden som avser brott där fängelse visserligen ingår i straffskalan men som i det enskilda fallet inte kan antas föranleda annan påföljd än böter. Genom ändringen blev det sålunda möjligt att under vissa förutsät</w:t>
      </w:r>
      <w:r w:rsidRPr="0008481A">
        <w:t>tningar redovisa snatterier på ett förenklat sätt utan att genomföra en förundersökning.</w:t>
      </w:r>
    </w:p>
    <w:p w:rsidR="003B3271" w:rsidRPr="0008481A" w:rsidRDefault="003B3271">
      <w:pPr>
        <w:pStyle w:val="Citatindrag"/>
      </w:pPr>
      <w:r w:rsidRPr="0008481A">
        <w:t>Under 1997 anmäldes drygt 65.000 brott som rörde stöld eller snatteri i butik. Merparten av dessa anmälningar avsåg gärningar som var att rubricera som snatteri. Ärendena är vanligtvis av enkel karaktär och förfaringssättet oftast likartat men ärendena förekommer i stor mängd.</w:t>
      </w:r>
    </w:p>
    <w:p w:rsidR="003B3271" w:rsidRPr="0008481A" w:rsidRDefault="003B3271">
      <w:pPr>
        <w:pStyle w:val="Citatindrag"/>
      </w:pPr>
      <w:r w:rsidRPr="0008481A">
        <w:t>De brottsutredande myndigheterna – polis och åklagare – strävar naturligen efter att inom ramen för gällande lag och med iakttagande av de rättssäkerhetsgarantier som finns inbyggda i vårt rätts</w:t>
      </w:r>
      <w:r w:rsidRPr="0008481A">
        <w:softHyphen/>
        <w:t>liga system använda de resurser som står till buds på ett effektivt och rationellt sätt. Genom att förenkla handläggningen av mängdbrottslighet såsom snatterier frigörs resurser till andra uppgifter vilket givetvis är fördelaktigt med utgångspunkt från ett helhetsperspektiv på brottsbekämpningen. Förenklingen får givetvis inte innebära att viktiga rättssäkerhetsgarantier sätts ur spel.</w:t>
      </w:r>
    </w:p>
    <w:p w:rsidR="003B3271" w:rsidRPr="0008481A" w:rsidRDefault="003B3271">
      <w:pPr>
        <w:pStyle w:val="Citatindrag"/>
      </w:pPr>
      <w:r w:rsidRPr="0008481A">
        <w:t>En omständighet som också måste beaktas är att samhällets reaktion på ett begånget brott inte bör dröja alltför lång tid b</w:t>
      </w:r>
      <w:r w:rsidRPr="0008481A">
        <w:t>l.a. för att effekten av samhällets reaktion rent allmänt inte skall urholkas. Det är också i den enskildes intresse att han får sin sak utredd och prövad inom rimlig tid.</w:t>
      </w:r>
    </w:p>
    <w:p w:rsidR="003B3271" w:rsidRPr="0008481A" w:rsidRDefault="003B3271">
      <w:pPr>
        <w:pStyle w:val="Rubrik5"/>
      </w:pPr>
      <w:r w:rsidRPr="0008481A">
        <w:t>Överlämnande av den gripne till närmaste polisman enligt 24 kap 7 §, andra st rättegångsbalken</w:t>
      </w:r>
    </w:p>
    <w:p w:rsidR="003B3271" w:rsidRPr="0008481A" w:rsidRDefault="003B3271">
      <w:pPr>
        <w:pStyle w:val="Citat"/>
      </w:pPr>
      <w:r w:rsidRPr="0008481A">
        <w:t>Enligt 24 kap 7 § 2 st RB får envar gripa en person som har begått ett brott, på vilket fängelse kan följa, och som påträffas på bar gärning eller flyende fot. Den gripne skall sedan skyndsamt över</w:t>
      </w:r>
      <w:r w:rsidRPr="0008481A">
        <w:softHyphen/>
        <w:t>lämnas till polisen.</w:t>
      </w:r>
    </w:p>
    <w:p w:rsidR="003B3271" w:rsidRPr="0008481A" w:rsidRDefault="003B3271">
      <w:pPr>
        <w:pStyle w:val="Citatindrag"/>
      </w:pPr>
      <w:r w:rsidRPr="0008481A">
        <w:t>Frågan om en butikskontrollants ingripande mot en misstänkt skall betraktas som ett envarsgri</w:t>
      </w:r>
      <w:r w:rsidRPr="0008481A">
        <w:softHyphen/>
        <w:t>pande och då särskilt vad det innebär när en misstänkt ombeds att följa med till butikens kontor har behandlats i flera sammanhang. 1968 års brottmålsutredning uttalade i sitt betänkande (SOU 1971:10 s. 111), Snatteri, att ett ingripande som sker mot en misstänkt, då kontrollanten ber denne följa med till företagets kontor för närmare utredning, inte formellt torde betraktas som ett gri</w:t>
      </w:r>
      <w:r w:rsidRPr="0008481A">
        <w:softHyphen/>
        <w:t>pande i rättegångsbalkens mening.</w:t>
      </w:r>
    </w:p>
    <w:p w:rsidR="003B3271" w:rsidRPr="0008481A" w:rsidRDefault="003B3271">
      <w:pPr>
        <w:pStyle w:val="Citatindrag"/>
      </w:pPr>
      <w:r w:rsidRPr="0008481A">
        <w:t>Justitiekanslern hade en annan uppfattning och ansåg i en skrivelse den 19 februari 198</w:t>
      </w:r>
      <w:r w:rsidRPr="0008481A">
        <w:t>0 att, oav</w:t>
      </w:r>
      <w:r w:rsidRPr="0008481A">
        <w:softHyphen/>
        <w:t>sett hur gripandet genomfördes, det var fråga om ett frihetsberövande, även om detta var kortva</w:t>
      </w:r>
      <w:r w:rsidRPr="0008481A">
        <w:softHyphen/>
        <w:t>rigt, och att det därmed hade karaktären av ett straffprocessuellt tvångsmedel. Det saknades enligt Justitiekanslern avgörande betydelse om den misstänkte frivilligt under</w:t>
      </w:r>
      <w:r w:rsidRPr="0008481A">
        <w:softHyphen/>
        <w:t>kastade sig ingripandet eller inte. Stöldutredningen diskuterade i sitt betänkande (SOU 1982:39 s. 246 ff), Stöld i butik, de uppfattningar som redovisats av Brottmålsutredningen och Justitiekanslern och kom för sin del till den slut</w:t>
      </w:r>
      <w:r w:rsidRPr="0008481A">
        <w:t>satsen att ingripande mot misstänkta av butiks- eller bevakningspersonal inte omede</w:t>
      </w:r>
      <w:r w:rsidRPr="0008481A">
        <w:t>l</w:t>
      </w:r>
      <w:r w:rsidRPr="0008481A">
        <w:t>bart var att betrakta som gripande eller annat frihetsberövande som avsågs i 24 kap 7 § 2 st RB utan såg det som ett led i målsägandens laga rätt att återta godset. Utredningen ansåg även att den praxis som utbildats i samband med ingripanden vid butikstillgrepp väl svarade mot vad som var försvar</w:t>
      </w:r>
      <w:r w:rsidRPr="0008481A">
        <w:softHyphen/>
        <w:t>bart och rimligt i förhållandet mellan butikerna och dem som ertappats med snatteri. Också depar</w:t>
      </w:r>
      <w:r w:rsidRPr="0008481A">
        <w:softHyphen/>
        <w:t>tementschefen uttalade sig i ett</w:t>
      </w:r>
      <w:r w:rsidRPr="0008481A">
        <w:t xml:space="preserve"> lagstiftningsärende i frågan och delade uppfattningen att ingripan</w:t>
      </w:r>
      <w:r w:rsidRPr="0008481A">
        <w:softHyphen/>
        <w:t>det inte var att anse som ett gripande i rättegångsbalkens mening (se prop. 1983/84:187 s. 27).</w:t>
      </w:r>
    </w:p>
    <w:p w:rsidR="003B3271" w:rsidRPr="0008481A" w:rsidRDefault="003B3271">
      <w:pPr>
        <w:pStyle w:val="Citatindrag"/>
      </w:pPr>
      <w:r w:rsidRPr="0008481A">
        <w:t>Jag delar den uppfattning som kommit till uttryck i stöldutredningens betänkande och i den nyss nämnda propositionen. Även om måttet av frivillighet i den uppkomna situationen måhända inte är särskilt stort, så har den misstänkte dock vissa faktiska valmöjligheter. Han kan givetvis vägra att följa med vilket vanligen får till följd att polis kall</w:t>
      </w:r>
      <w:r w:rsidRPr="0008481A">
        <w:t>as till platsen. Något reellt tvång utövas i det skedet inte mot den misstänkte. Försöker han ta sig från platsen blir situationen en annan och då finns utrymme för ett envars</w:t>
      </w:r>
      <w:r w:rsidRPr="0008481A">
        <w:softHyphen/>
        <w:t>gripande.</w:t>
      </w:r>
    </w:p>
    <w:p w:rsidR="003B3271" w:rsidRPr="0008481A" w:rsidRDefault="003B3271">
      <w:pPr>
        <w:pStyle w:val="Citatindrag"/>
      </w:pPr>
      <w:r w:rsidRPr="0008481A">
        <w:t xml:space="preserve">En tillkommande omständighet är här att den misstänkte nu också erbjuds att omedelbart höras av polis per telefon. Stöldutredningen uttalade i sitt betänkande (s. 256) att en fråga om brott erkännes eller förnekas måste te sig naturlig och vara ett led i målsägandens bedömning om det inträffade bör medföra någon ytterligare </w:t>
      </w:r>
      <w:r w:rsidRPr="0008481A">
        <w:t>åtgärd utöver återtagandet av godset. Dock ansåg utredningen att något förhör med den misstänkte inte fick hållas, eftersom ett sådant inte kunde ses som något normalt led i förhållandet mellan affären och den misstänkte.</w:t>
      </w:r>
    </w:p>
    <w:p w:rsidR="003B3271" w:rsidRPr="0008481A" w:rsidRDefault="003B3271">
      <w:pPr>
        <w:pStyle w:val="Citatindrag"/>
      </w:pPr>
      <w:r w:rsidRPr="0008481A">
        <w:t>Något gripande har enligt min mening inte skett genom att den misstänkte ombeds följa med till kontoret och tillfrågas om han erkänner eller förnekar. Den omständigheten att den misstänkte erbjuds möjligheten att omedelbart förhöras av polis – ett erbjudande som han enligt vad som uppges k</w:t>
      </w:r>
      <w:r w:rsidRPr="0008481A">
        <w:t>an avböja – förändrar enligt min uppfattning inte bedömningen av ingripandets rättsliga karaktär. Något skyndsamt överlämnande på sätt som föreskrivs i 24 kap 7 § 2 st RB blir med den bedömningen således inte aktuellt.</w:t>
      </w:r>
    </w:p>
    <w:p w:rsidR="003B3271" w:rsidRPr="0008481A" w:rsidRDefault="003B3271">
      <w:pPr>
        <w:pStyle w:val="Rubrik5"/>
      </w:pPr>
      <w:r w:rsidRPr="0008481A">
        <w:t>Gripande av misstänkt vars identitet inte kunnat säkerställas – 24 kap 7 § 1 st jämförd med 24 kap 2 § 1 st rättegångsbalken</w:t>
      </w:r>
    </w:p>
    <w:p w:rsidR="003B3271" w:rsidRPr="0008481A" w:rsidRDefault="003B3271">
      <w:pPr>
        <w:pStyle w:val="Citat"/>
      </w:pPr>
      <w:r w:rsidRPr="0008481A">
        <w:t>En polis får i brådskande fall gripa en person även utan anhållningsbeslut, om det finns skäl att anhålla honom, 24 kap. 7 § 1 st RB. Reglerna om anhållande anknyter till reglerna om häktning, varför ett beslut om gripande grundas på en bedömning om det föreligger häktningsskäl.</w:t>
      </w:r>
    </w:p>
    <w:p w:rsidR="003B3271" w:rsidRPr="0008481A" w:rsidRDefault="003B3271">
      <w:pPr>
        <w:pStyle w:val="Citatindrag"/>
      </w:pPr>
      <w:r w:rsidRPr="0008481A">
        <w:t>Den som på sannolika skäl är misstänkt för ett brott får häktas oberoende av brottets beskaffenhet om han är okänd och vägrar att uppge namn och hemvist eller om hans uppgift om detta kan antas vara osann, 24 kap 2 § 1 st 1p RB. Departementschefen har uttalat att tillämpningen av denna häktningsregel borde ske återhållsamt och med allt större restriktivitet ju lindrigare brott det är fråga om (Prop. 1986/87:112 s. 32). Därutöver gäller proportionalitetsprincipen som innebär att häktning endast får ske om s</w:t>
      </w:r>
      <w:r w:rsidRPr="0008481A">
        <w:t>kälen för åtgärden uppväger det intrång eller men i övrigt som åtgär</w:t>
      </w:r>
      <w:r w:rsidRPr="0008481A">
        <w:softHyphen/>
        <w:t>den innebär för den misstänkte eller för något annat motstående intresse, 24 kap 1 § 3 st RB.</w:t>
      </w:r>
    </w:p>
    <w:p w:rsidR="003B3271" w:rsidRPr="0008481A" w:rsidRDefault="003B3271">
      <w:pPr>
        <w:pStyle w:val="Citatindrag"/>
      </w:pPr>
      <w:r w:rsidRPr="0008481A">
        <w:t>Enligt vad som framgår av polisens yttranden tillämpas inte förfarandet med ”snattefon” när den misstänkte inte kan identifieras, vägrar att uppge sitt namn eller lämnar osanna uppgifter om namn eller när den gripne saknar hemvist i riket. I dessa situationer liksom i vissa andra situationer kallas polis till platsen. Jag delar uppfattningen att f</w:t>
      </w:r>
      <w:r w:rsidRPr="0008481A">
        <w:t>örfarandet med ”snattefon” inte bör användas i dessa fall.</w:t>
      </w:r>
    </w:p>
    <w:p w:rsidR="003B3271" w:rsidRPr="0008481A" w:rsidRDefault="003B3271">
      <w:pPr>
        <w:pStyle w:val="Rubrik5"/>
      </w:pPr>
      <w:r w:rsidRPr="0008481A">
        <w:t>Skyldighet att medfölja till förhör enligt 23 kap 8 § rättegångsbalken</w:t>
      </w:r>
    </w:p>
    <w:p w:rsidR="003B3271" w:rsidRPr="0008481A" w:rsidRDefault="003B3271">
      <w:pPr>
        <w:pStyle w:val="Citat"/>
      </w:pPr>
      <w:r w:rsidRPr="0008481A">
        <w:t>På tillsägelse av en polisman är den som befinner sig på en plats där ett brott förövas, skyldig att följa med på förhör som skall hållas omedelbart därefter. Om personen vägrar får polisen ta med honom till förhöret, 23 kap 8 § 1 st RB. Enligt sista stycket samma paragraf gäller detta även innan för</w:t>
      </w:r>
      <w:r w:rsidRPr="0008481A">
        <w:softHyphen/>
        <w:t>undersökning har hunnit inledas (prop 1994/95:23 s. 79). Vid tillämpandet av bestämmelsen är befogenheten för en polisman att tillgripa tvång begränsad såväl i tiden som i rummet. P</w:t>
      </w:r>
      <w:r w:rsidRPr="0008481A">
        <w:t>o</w:t>
      </w:r>
      <w:r w:rsidRPr="0008481A">
        <w:t>lisman</w:t>
      </w:r>
      <w:r w:rsidRPr="0008481A">
        <w:softHyphen/>
        <w:t>nen måste komma till brottsplatsen i nära anslutning till att brottet begås (prop 1990/91:129 s. 12) och tiden får inte överstiga mer än 10 minuter (JO 1967 s. 153). Vidare tar bestämmelsen enbart sikte på området alldeles intill brottsplatsen (JO 1969 s. 89–92 och JO 1985/86 s. 112).</w:t>
      </w:r>
    </w:p>
    <w:p w:rsidR="003B3271" w:rsidRPr="0008481A" w:rsidRDefault="003B3271">
      <w:pPr>
        <w:pStyle w:val="Citatindrag"/>
      </w:pPr>
      <w:r w:rsidRPr="0008481A">
        <w:t>Bestämmelserna i 23 kap 8 § ger en p</w:t>
      </w:r>
      <w:r w:rsidRPr="0008481A">
        <w:t>olisman lagliga möjligheter att om saken inte kan klaras ut på brottsplatsen anmoda den som befinner sig där att följa med till förhör. Vägrar den som anm</w:t>
      </w:r>
      <w:r w:rsidRPr="0008481A">
        <w:t>o</w:t>
      </w:r>
      <w:r w:rsidRPr="0008481A">
        <w:t>das kan polisen ta med sig den som vägrat med tvång. Att en person tas med till förhör innebär inte att förundersökning skall anses inledd.</w:t>
      </w:r>
    </w:p>
    <w:p w:rsidR="003B3271" w:rsidRPr="0008481A" w:rsidRDefault="003B3271">
      <w:pPr>
        <w:pStyle w:val="Citatindrag"/>
      </w:pPr>
      <w:r w:rsidRPr="0008481A">
        <w:t>Förfarandet att använda ”snattefon” bygger som jag ser det på att den som ertappas frivilligt följer med butikskontrollanten in på kontoret. Någon skyldighet för den misstänkte att följa med finns inte. Först på konto</w:t>
      </w:r>
      <w:r w:rsidRPr="0008481A">
        <w:t>ret erbjuds den misstänkte ett förhör, ett erbjudande som denne enligt vad som uppgivits kan avböja. Jag kan inte finna att förfarandet med ”snattefon” står i strid med bestäm</w:t>
      </w:r>
      <w:r w:rsidRPr="0008481A">
        <w:softHyphen/>
        <w:t>melserna i 23 kap 8 §.</w:t>
      </w:r>
    </w:p>
    <w:p w:rsidR="003B3271" w:rsidRPr="0008481A" w:rsidRDefault="003B3271">
      <w:pPr>
        <w:pStyle w:val="Rubrik5"/>
      </w:pPr>
      <w:r w:rsidRPr="0008481A">
        <w:t>Misstänktes rätt att biträdas av försvarare, 21 kap 3 § 1 st rättegångsbalken</w:t>
      </w:r>
    </w:p>
    <w:p w:rsidR="003B3271" w:rsidRPr="0008481A" w:rsidRDefault="003B3271">
      <w:pPr>
        <w:pStyle w:val="Citat"/>
      </w:pPr>
      <w:r w:rsidRPr="0008481A">
        <w:t>Den som är misstänkt för brott har vid talans förberedande och utförande rätt att anlita en försva</w:t>
      </w:r>
      <w:r w:rsidRPr="0008481A">
        <w:softHyphen/>
        <w:t>rare som biträde, 21 kap 3 § 1 st RB. Rätten är ovillkorlig och gäller alla brott. Rättigheten gäller även om den misstänkte inte har delgivits misstanke om brott och oavsett om utredningen är en förundersökning eller en utredning enligt 23 kap 22 RB.</w:t>
      </w:r>
    </w:p>
    <w:p w:rsidR="003B3271" w:rsidRPr="0008481A" w:rsidRDefault="003B3271">
      <w:pPr>
        <w:pStyle w:val="Citatindrag"/>
      </w:pPr>
      <w:r w:rsidRPr="0008481A">
        <w:t>I samband med att den som skäligen misstänks för brott underrättas om misstanken, skall han också underrättas om sin rätt till biträde av en försvarare redan under förundersökningen, 12 § FUK.</w:t>
      </w:r>
    </w:p>
    <w:p w:rsidR="003B3271" w:rsidRPr="0008481A" w:rsidRDefault="003B3271">
      <w:pPr>
        <w:pStyle w:val="Citatindrag"/>
      </w:pPr>
      <w:r w:rsidRPr="0008481A">
        <w:t>Skillnaderna mellan förundersökningsförfarandet och det förenklade utredningsförfarandet enligt 23 kap 22 § rättegångsbalken är inte särskilt dramatiska. Departementschefen uttalade i ett lag</w:t>
      </w:r>
      <w:r w:rsidRPr="0008481A">
        <w:softHyphen/>
        <w:t>stiftningsärende (prop 1969:114 s. 33 ff) att de allmänna bestämmelserna om förundersökning bör tillämpas analogt vid utredningar enligt 23 kap 22 § RB. Förunder</w:t>
      </w:r>
      <w:r w:rsidRPr="0008481A">
        <w:softHyphen/>
        <w:t>sök</w:t>
      </w:r>
      <w:r w:rsidRPr="0008481A">
        <w:softHyphen/>
        <w:t>nings</w:t>
      </w:r>
      <w:r w:rsidRPr="0008481A">
        <w:softHyphen/>
        <w:t>protokoll behöver dock inte upprättas och inte heller behöver den misstänkte formellt underrättas om misstanke eller de</w:t>
      </w:r>
      <w:r w:rsidRPr="0008481A">
        <w:t>l</w:t>
      </w:r>
      <w:r w:rsidRPr="0008481A">
        <w:t>ges utredningen enligt bestämmel</w:t>
      </w:r>
      <w:r w:rsidRPr="0008481A">
        <w:softHyphen/>
        <w:t>ser</w:t>
      </w:r>
      <w:r w:rsidRPr="0008481A">
        <w:softHyphen/>
        <w:t>na i 23 kap 18 § RB (se prop 1994/95:23 s 75).</w:t>
      </w:r>
    </w:p>
    <w:p w:rsidR="003B3271" w:rsidRPr="0008481A" w:rsidRDefault="003B3271">
      <w:pPr>
        <w:pStyle w:val="Citatindrag"/>
      </w:pPr>
      <w:r w:rsidRPr="0008481A">
        <w:t>Enligt min mening måste som jag nyss sagt bestämmelsen i 21 kap 3 § RB iakttas också när utred</w:t>
      </w:r>
      <w:r w:rsidRPr="0008481A">
        <w:softHyphen/>
        <w:t>ningen sker enligt det förenklade förfarandet i 23 kap 22 § RB. Om den misstänkte önskar försva</w:t>
      </w:r>
      <w:r w:rsidRPr="0008481A">
        <w:softHyphen/>
        <w:t>rare anser jag att förfarandet med ”snattefon” inte bör användas.</w:t>
      </w:r>
    </w:p>
    <w:p w:rsidR="003B3271" w:rsidRPr="0008481A" w:rsidRDefault="003B3271">
      <w:pPr>
        <w:pStyle w:val="Rubrik5"/>
      </w:pPr>
      <w:r w:rsidRPr="0008481A">
        <w:t>Unga lagöverträdare – 5, 6 och 7 §§, 14 § samt 34 § 1 och 2 st lagen (1964:167) om unga lag</w:t>
      </w:r>
      <w:r w:rsidRPr="0008481A">
        <w:softHyphen/>
        <w:t>överträdare</w:t>
      </w:r>
    </w:p>
    <w:p w:rsidR="003B3271" w:rsidRPr="0008481A" w:rsidRDefault="003B3271">
      <w:pPr>
        <w:pStyle w:val="Citat"/>
      </w:pPr>
      <w:r w:rsidRPr="0008481A">
        <w:t>Om någon som inte har fyllt 18 år är skäligen misstänkt för brott, skall vårdnadshavaren eller an</w:t>
      </w:r>
      <w:r w:rsidRPr="0008481A">
        <w:softHyphen/>
        <w:t>nan som svarar för den unges vård och uppfostran omedelbart underrättas samt kallas till förhör som hålls med den unge, om detta inte är till men för utredningen eller olämpligt av andra skäl, 5 § LUL. Det uppställs inget krav på att vårdnadshavaren måste delta i förhöret. Om förhöret måste ske omedelbart och förälder ej kan nås kan underrättelsen underlåtas. Om förhör ska hållas med barn vars ålder understiger 15 år kan det endast ske efter medgivande av förundersökningsledaren. Gäller misstanken brott på</w:t>
      </w:r>
      <w:r w:rsidRPr="0008481A">
        <w:t xml:space="preserve"> vilket fängelse kan följa skall också socialnämnden omedelbart under</w:t>
      </w:r>
      <w:r w:rsidRPr="0008481A">
        <w:softHyphen/>
        <w:t>rättas, 6 § LUL. Om förhör hålls med den underårige skall företrädare för socialnämnden närvara om det är möjligt och kan ske utan men för utredningen, 7 § LUL.</w:t>
      </w:r>
    </w:p>
    <w:p w:rsidR="003B3271" w:rsidRPr="0008481A" w:rsidRDefault="003B3271">
      <w:pPr>
        <w:pStyle w:val="Citatindrag"/>
      </w:pPr>
      <w:r w:rsidRPr="0008481A">
        <w:t>Har någon som inte fyllt 18 år gripits och beslutar åklagaren att inte anhålla honom trots att han fortfarande är skäligen misstänkt för brott, får polismyndigheten hålla honom kvar för att skynd</w:t>
      </w:r>
      <w:r w:rsidRPr="0008481A">
        <w:softHyphen/>
        <w:t>samt kunna överlämna honom till hans föräldrar, annan vårdnadshavare, en tjänsteman inom soci</w:t>
      </w:r>
      <w:r w:rsidRPr="0008481A">
        <w:softHyphen/>
        <w:t>altjänsten eller någon annan lämplig vuxen person, 14 § LUL. För samma ändamål får poli</w:t>
      </w:r>
      <w:r w:rsidRPr="0008481A">
        <w:t>s</w:t>
      </w:r>
      <w:r w:rsidRPr="0008481A">
        <w:t>myn</w:t>
      </w:r>
      <w:r w:rsidRPr="0008481A">
        <w:softHyphen/>
        <w:t>digheten hålla kvar den som inte har fyllt 18 år, om han har medtagits till förhör och är skäligen misstänkt för brott. I inget utav fallen får den unge hållas kvar längre än tre timmar efter åklaga</w:t>
      </w:r>
      <w:r w:rsidRPr="0008481A">
        <w:softHyphen/>
        <w:t>rens beslut eller förhöret. Den som är över 15 år får därvid tas i förvar om det är nödvändigt med hänsyn till ordning eller s</w:t>
      </w:r>
      <w:r w:rsidRPr="0008481A">
        <w:t>äkerhet.</w:t>
      </w:r>
    </w:p>
    <w:p w:rsidR="003B3271" w:rsidRPr="0008481A" w:rsidRDefault="003B3271">
      <w:pPr>
        <w:pStyle w:val="Citatindrag"/>
      </w:pPr>
      <w:r w:rsidRPr="0008481A">
        <w:t>Har ett barn under 15 år begått ett brott på vilket fängelse skulle ha kunnat följa och anträffas ba</w:t>
      </w:r>
      <w:r w:rsidRPr="0008481A">
        <w:t>r</w:t>
      </w:r>
      <w:r w:rsidRPr="0008481A">
        <w:t>net på bar gärning eller på flykt från brottsplatsen får barnet dock, enligt 34 § LUL, gripas av e</w:t>
      </w:r>
      <w:r w:rsidRPr="0008481A">
        <w:t>n</w:t>
      </w:r>
      <w:r w:rsidRPr="0008481A">
        <w:t>var. Om en enskild person har gripit barnet, skall barnet skyndsamt överlämnas till närmaste p</w:t>
      </w:r>
      <w:r w:rsidRPr="0008481A">
        <w:t>o</w:t>
      </w:r>
      <w:r w:rsidRPr="0008481A">
        <w:t>lisman.</w:t>
      </w:r>
    </w:p>
    <w:p w:rsidR="003B3271" w:rsidRPr="0008481A" w:rsidRDefault="003B3271">
      <w:pPr>
        <w:pStyle w:val="Citatindrag"/>
      </w:pPr>
      <w:r w:rsidRPr="0008481A">
        <w:t>Polismyndigheten eller åklagaren skall omedelbart besluta om barnet skall friges eller hållas kvar för förhör.</w:t>
      </w:r>
    </w:p>
    <w:p w:rsidR="003B3271" w:rsidRPr="0008481A" w:rsidRDefault="003B3271">
      <w:pPr>
        <w:pStyle w:val="Citatindrag"/>
      </w:pPr>
      <w:r w:rsidRPr="0008481A">
        <w:t>Ungdomsbrottslighet ger viktiga signaler om risker för framtida kriminalitet, missbruk eller a</w:t>
      </w:r>
      <w:r w:rsidRPr="0008481A">
        <w:t>n</w:t>
      </w:r>
      <w:r w:rsidRPr="0008481A">
        <w:t>nan negativ utveckling. Frågan hur de unga lagöverträdarna skall tas om hand av de brottsutreda</w:t>
      </w:r>
      <w:r w:rsidRPr="0008481A">
        <w:t>n</w:t>
      </w:r>
      <w:r w:rsidRPr="0008481A">
        <w:t>de myndigheterna är av central betydelse av flera olika skäl.</w:t>
      </w:r>
    </w:p>
    <w:p w:rsidR="003B3271" w:rsidRPr="0008481A" w:rsidRDefault="003B3271">
      <w:pPr>
        <w:pStyle w:val="Citatindrag"/>
      </w:pPr>
      <w:r w:rsidRPr="0008481A">
        <w:t>Lagen (1964:167) om unga lagöverträdare ger uttryck för en rad viktiga principer för handlägg</w:t>
      </w:r>
      <w:r w:rsidRPr="0008481A">
        <w:softHyphen/>
        <w:t>ningen av ärenden som rör brott av unga. En av dessa är att samverkan mellan vårdnadshavare och myndigheter bör ske för den unges tillrättaförande. Avsikten med att vårdnadshavaren underrättas och bereds möjlighet att delta i förhöret med den unge är framför allt att kontakt skall etableras mellan vårdnadshavaren å ena sidan och socialtjänsten och de brottsutredande myndigheterna å andra. Vårdnadshavaren skall få informa</w:t>
      </w:r>
      <w:r w:rsidRPr="0008481A">
        <w:softHyphen/>
        <w:t>tion om det inträffade och kontakt med myndigheterna så att vårdnads</w:t>
      </w:r>
      <w:r w:rsidRPr="0008481A">
        <w:softHyphen/>
        <w:t>havaren aktivt ka</w:t>
      </w:r>
      <w:r w:rsidRPr="0008481A">
        <w:t>n delta i lagföringsprocessen och på så sätt ge den unge det stöd han behöver (prop 1994/95:12 s. 64).</w:t>
      </w:r>
    </w:p>
    <w:p w:rsidR="003B3271" w:rsidRPr="0008481A" w:rsidRDefault="003B3271">
      <w:pPr>
        <w:pStyle w:val="Citatindrag"/>
      </w:pPr>
      <w:r w:rsidRPr="0008481A">
        <w:t>Det finns inte några undantag vad gäller vårdnadshavares medverkan i processen ens för de lindri</w:t>
      </w:r>
      <w:r w:rsidRPr="0008481A">
        <w:softHyphen/>
        <w:t>gaste brotten. Synen är tvärtom självklar att föräldrar i alla sammanhang där deras barn har begått brott eller på annat sätt överträtt regler ingriper eller tar del i de åtgärder som kan behövas för att komma till rätta med den unges förhållanden (prop 1994/95:12 s. 65). De faktiska möjligheterna för en vårdnadshavare att delta i lagföringsprocessen på sätt som är tänkt är vid ett förfarande med ”snattefon” självklart begränsade.</w:t>
      </w:r>
    </w:p>
    <w:p w:rsidR="003B3271" w:rsidRPr="0008481A" w:rsidRDefault="003B3271">
      <w:pPr>
        <w:pStyle w:val="Citatindrag"/>
      </w:pPr>
      <w:r w:rsidRPr="0008481A">
        <w:t>Också med hänsyn till innehållet i de andra angivna bestämmelserna är förfar</w:t>
      </w:r>
      <w:r w:rsidRPr="0008481A">
        <w:t>andet med ”snattefon” mindre lämpligt. Med beaktande av detta och de allmänna intentioner som ligger ba</w:t>
      </w:r>
      <w:r w:rsidRPr="0008481A">
        <w:t>k</w:t>
      </w:r>
      <w:r w:rsidRPr="0008481A">
        <w:t>om bestämmelserna i lagen om unga lagöverträdare anser jag att förfarandet med ”snattefon” inte bör användas när den misstänkte är under 18 år.</w:t>
      </w:r>
    </w:p>
    <w:p w:rsidR="003B3271" w:rsidRPr="0008481A" w:rsidRDefault="003B3271">
      <w:r w:rsidRPr="0008481A">
        <w:t xml:space="preserve">I ett beslut den 2 februari 2000 anförde </w:t>
      </w:r>
      <w:r w:rsidRPr="0008481A">
        <w:rPr>
          <w:i/>
        </w:rPr>
        <w:t xml:space="preserve">chefsJO Eklundh </w:t>
      </w:r>
      <w:r w:rsidRPr="0008481A">
        <w:t>följande.</w:t>
      </w:r>
    </w:p>
    <w:p w:rsidR="003B3271" w:rsidRPr="0008481A" w:rsidRDefault="003B3271">
      <w:pPr>
        <w:pStyle w:val="Rubrik3"/>
      </w:pPr>
      <w:r w:rsidRPr="0008481A">
        <w:t>Rättslig reglering m.m.</w:t>
      </w:r>
    </w:p>
    <w:p w:rsidR="003B3271" w:rsidRPr="0008481A" w:rsidRDefault="003B3271">
      <w:pPr>
        <w:pStyle w:val="Rubrik4"/>
        <w:spacing w:before="120"/>
      </w:pPr>
      <w:r w:rsidRPr="0008481A">
        <w:t>Stöld och snatteri</w:t>
      </w:r>
    </w:p>
    <w:p w:rsidR="003B3271" w:rsidRPr="0008481A" w:rsidRDefault="003B3271">
      <w:r w:rsidRPr="0008481A">
        <w:t>Den som olovligen tar vad annan tillhör med uppsåt att tillägna sig det, döms, om tillgreppet innebär skada, för stöld till fängelse i högst två år (8 kap. 1 § brottsba</w:t>
      </w:r>
      <w:r w:rsidRPr="0008481A">
        <w:t>l</w:t>
      </w:r>
      <w:r w:rsidRPr="0008481A">
        <w:t>ken). Om brottet med hänsyn till det tillgripnas värde och övriga omständigheter vid brottet är att anse som ringa, skall för snatteri dömas till böter eller fängelse i högst sex månader (8 kap. 2 § brottsbalken).</w:t>
      </w:r>
    </w:p>
    <w:p w:rsidR="003B3271" w:rsidRPr="0008481A" w:rsidRDefault="003B3271">
      <w:pPr>
        <w:pStyle w:val="Normaltindrag"/>
      </w:pPr>
      <w:r w:rsidRPr="0008481A">
        <w:t>Vid bedömningen av gradindelningen mellan stöld och snatteri väger de faktorer särskilt tungt som har med brottets skada, kränkning eller fara att göra. Som o</w:t>
      </w:r>
      <w:r w:rsidRPr="0008481A">
        <w:t>m</w:t>
      </w:r>
      <w:r w:rsidRPr="0008481A">
        <w:t>ständigheter utöver värdet av det tillgripna som är ägnade att hänföra en gärning till stöld kan nämnas att det tillgripna måste lämnas utan tillsyn, att gärningen utmärks av förslagenhet och att det tillgripna är lätt att omsätta (se Holmqvist m.fl. Brottsbalken, kap. 1–12 s. 8:28 f.).</w:t>
      </w:r>
    </w:p>
    <w:p w:rsidR="003B3271" w:rsidRPr="0008481A" w:rsidRDefault="003B3271">
      <w:pPr>
        <w:pStyle w:val="Normaltindrag"/>
      </w:pPr>
      <w:r w:rsidRPr="0008481A">
        <w:t>I motsats till vad som gäller i fråga om stöld är försök till snatteri inte straffbart (8 kap. 12 § brottsbalken).</w:t>
      </w:r>
    </w:p>
    <w:p w:rsidR="003B3271" w:rsidRPr="0008481A" w:rsidRDefault="003B3271">
      <w:pPr>
        <w:pStyle w:val="Rubrik4"/>
      </w:pPr>
      <w:r w:rsidRPr="0008481A">
        <w:t>Gripande</w:t>
      </w:r>
    </w:p>
    <w:p w:rsidR="003B3271" w:rsidRPr="0008481A" w:rsidRDefault="003B3271">
      <w:r w:rsidRPr="0008481A">
        <w:t>Regler om häktning och vissa andra straffprocessuella frihetsberövanden finns i 24 kap. RB. En grundläggande förutsättning för att häktning skall kunna ske är att den misstänkte på sannolika skäl är misstänkt för ett brott för vilket är föreskrivet fängelse ett år eller däröver (1 § första stycket). Kan det an</w:t>
      </w:r>
      <w:r w:rsidRPr="0008481A">
        <w:softHyphen/>
        <w:t>tas att den misstänkte kommer att dömas endast till böter får emellertid enligt paragrafens fjärde stycke häktning inte ske. Undantag från dessa regler görs i 2 § som har följande lydelse.</w:t>
      </w:r>
    </w:p>
    <w:p w:rsidR="003B3271" w:rsidRPr="0008481A" w:rsidRDefault="003B3271">
      <w:pPr>
        <w:pStyle w:val="Citat"/>
      </w:pPr>
      <w:r w:rsidRPr="0008481A">
        <w:t>Den som på sannolika skäl är misstänkt för brott får häktas oberoende av brottets beskaffenhet,</w:t>
      </w:r>
    </w:p>
    <w:p w:rsidR="003B3271" w:rsidRPr="0008481A" w:rsidRDefault="003B3271">
      <w:pPr>
        <w:pStyle w:val="Citatindrag"/>
      </w:pPr>
      <w:r w:rsidRPr="0008481A">
        <w:t>1. om han är okänd och vägrar att uppge namn och hemvist eller om hans uppgift om detta kan antas vara osann, eller</w:t>
      </w:r>
    </w:p>
    <w:p w:rsidR="003B3271" w:rsidRPr="0008481A" w:rsidRDefault="003B3271">
      <w:pPr>
        <w:pStyle w:val="Citatindrag"/>
      </w:pPr>
      <w:r w:rsidRPr="0008481A">
        <w:t>2. om han saknar hemvist inom riket och det finns risk för att han genom att bege sig från riket undandrar sig lagföring eller straff.</w:t>
      </w:r>
    </w:p>
    <w:p w:rsidR="003B3271" w:rsidRPr="0008481A" w:rsidRDefault="003B3271">
      <w:r w:rsidRPr="0008481A">
        <w:t>Om det finns skäl att häkta någon, får han anhållas i avvaktan på rättens pröv</w:t>
      </w:r>
      <w:r w:rsidRPr="0008481A">
        <w:softHyphen/>
        <w:t>ning av häktningsfrågan. Finns inte fulla skäl till häktning men är den misstänkte skäli</w:t>
      </w:r>
      <w:r w:rsidRPr="0008481A">
        <w:softHyphen/>
        <w:t>gen misstänkt för brottet, får han anhållas om det är av synnerlig vikt att han tas i förvar i avvaktan på ytterligare utredning. Beslut om anhållande meddelas av åklagare (6 §).</w:t>
      </w:r>
    </w:p>
    <w:p w:rsidR="003B3271" w:rsidRPr="0008481A" w:rsidRDefault="003B3271">
      <w:pPr>
        <w:pStyle w:val="Normaltindrag"/>
      </w:pPr>
      <w:r w:rsidRPr="0008481A">
        <w:t>Om det finns skäl att anhålla någon, får en polisman i brådskande fall gripa ho</w:t>
      </w:r>
      <w:r w:rsidRPr="0008481A">
        <w:softHyphen/>
        <w:t xml:space="preserve">nom även utan anhållningsbeslut (7 § första stycket). </w:t>
      </w:r>
    </w:p>
    <w:p w:rsidR="003B3271" w:rsidRPr="0008481A" w:rsidRDefault="003B3271">
      <w:pPr>
        <w:pStyle w:val="Normaltindrag"/>
      </w:pPr>
      <w:r w:rsidRPr="0008481A">
        <w:t>I 7 § andra stycket finns regler om s.k. envarsgripande. Bestämmelsen har följa</w:t>
      </w:r>
      <w:r w:rsidRPr="0008481A">
        <w:t>n</w:t>
      </w:r>
      <w:r w:rsidRPr="0008481A">
        <w:t>de lyde</w:t>
      </w:r>
      <w:r w:rsidRPr="0008481A">
        <w:t>l</w:t>
      </w:r>
      <w:r w:rsidRPr="0008481A">
        <w:t xml:space="preserve">se. </w:t>
      </w:r>
    </w:p>
    <w:p w:rsidR="003B3271" w:rsidRPr="0008481A" w:rsidRDefault="003B3271">
      <w:pPr>
        <w:pStyle w:val="Citat"/>
      </w:pPr>
      <w:r w:rsidRPr="0008481A">
        <w:t xml:space="preserve">Om den som har begått brott, på vilket fängelse kan följa, påträffas på bar gärning eller flyende fot, får han gripas av envar. Envar får också gripa den som är efterlyst för brott. Den gripne skall skyndsamt överlämnas till närmaste polisman.  </w:t>
      </w:r>
    </w:p>
    <w:p w:rsidR="003B3271" w:rsidRPr="0008481A" w:rsidRDefault="003B3271">
      <w:pPr>
        <w:pStyle w:val="Rubrik4"/>
      </w:pPr>
      <w:r w:rsidRPr="0008481A">
        <w:t xml:space="preserve">Laga självtäkt </w:t>
      </w:r>
    </w:p>
    <w:p w:rsidR="003B3271" w:rsidRPr="0008481A" w:rsidRDefault="003B3271">
      <w:r w:rsidRPr="0008481A">
        <w:t xml:space="preserve">Enligt 14 § lagen (1964:163) om införande av brottsbalken skulle bl.a. 16 § </w:t>
      </w:r>
      <w:r w:rsidRPr="0008481A">
        <w:br/>
        <w:t xml:space="preserve">6 p. förordningen den 16 februari 1864 (nr 11 s. 101) om nya strafflagens införande äga tillämpning i dess lydelse vid brottsbalkens ikraftträdande. Denna bestämmelse i 1864 års förordning hade följande lydelse. </w:t>
      </w:r>
    </w:p>
    <w:p w:rsidR="003B3271" w:rsidRPr="0008481A" w:rsidRDefault="003B3271">
      <w:pPr>
        <w:pStyle w:val="Citat"/>
      </w:pPr>
      <w:r w:rsidRPr="0008481A">
        <w:t>Ingen må självvilligt taga åter det han vidkännes, evad det är från honom stulet, eller han det tap</w:t>
      </w:r>
      <w:r w:rsidRPr="0008481A">
        <w:softHyphen/>
        <w:t xml:space="preserve">pat haver; utan lite befallningshavanden eller domaren därom till: dock må han det återtaga av den, som är lösker man eller misstänkt att vilja rymma, eller där stulet gods å färsk gärning finnes.  </w:t>
      </w:r>
    </w:p>
    <w:p w:rsidR="003B3271" w:rsidRPr="0008481A" w:rsidRDefault="003B3271">
      <w:r w:rsidRPr="0008481A">
        <w:t>Ett principiellt förbud mot självtäkt råder således. Vad gäller undantaget – den i bestämmelsens andra led reglerade laga självtäkten – gäller numera enligt punkt 3 i övergångsbestämmelserna till 1942 års strafflagsrevision att varje besittningsfö</w:t>
      </w:r>
      <w:r w:rsidRPr="0008481A">
        <w:t>r</w:t>
      </w:r>
      <w:r w:rsidRPr="0008481A">
        <w:t xml:space="preserve">hållande som någon utan rätt har rubbat får återställas på färsk gärning av den vars besittning rubbats eller som är i hans ställe (se NJA II 1942 s. 522). </w:t>
      </w:r>
    </w:p>
    <w:p w:rsidR="003B3271" w:rsidRPr="0008481A" w:rsidRDefault="003B3271">
      <w:pPr>
        <w:pStyle w:val="Rubrik4"/>
      </w:pPr>
      <w:r w:rsidRPr="0008481A">
        <w:t>Förundersökning och förenklat utredningsförfarande</w:t>
      </w:r>
    </w:p>
    <w:p w:rsidR="003B3271" w:rsidRPr="0008481A" w:rsidRDefault="003B3271">
      <w:r w:rsidRPr="0008481A">
        <w:t>De grundläggande reglerna om förundersökning finns i 23 kap. rättegångs</w:t>
      </w:r>
      <w:r w:rsidRPr="0008481A">
        <w:softHyphen/>
        <w:t>balken (RB) och förundersökningskungörelsen (1947:948) (FUK). Förunder</w:t>
      </w:r>
      <w:r w:rsidRPr="0008481A">
        <w:softHyphen/>
        <w:t xml:space="preserve">sökning skall inledas så snart det, på grund av angivelse eller av annat skäl, finns anledning att anta att ett brott som hör under allmänt åtal har förövats (23 kap. 1 § första stycket RB). Förundersökning inleds av polismyndigheten eller åklagaren (23 kap. 3 § första stycket RB). </w:t>
      </w:r>
    </w:p>
    <w:p w:rsidR="003B3271" w:rsidRPr="0008481A" w:rsidRDefault="003B3271">
      <w:pPr>
        <w:pStyle w:val="Normaltindrag"/>
      </w:pPr>
      <w:r w:rsidRPr="0008481A">
        <w:t>En polisman får redan innan förundersökning har hunnit inledas hålla förhör och vidta andra utredningsåtgärder som är av betydelse för utredningen, s.k. pr</w:t>
      </w:r>
      <w:r w:rsidRPr="0008481A">
        <w:t>i</w:t>
      </w:r>
      <w:r w:rsidRPr="0008481A">
        <w:t>märutredning (23 kap. 3 § tredje stycket RB). Mer detaljerade regler om primä</w:t>
      </w:r>
      <w:r w:rsidRPr="0008481A">
        <w:t>r</w:t>
      </w:r>
      <w:r w:rsidRPr="0008481A">
        <w:t>utredning finns i 3 a § FUK. En polisman, som ingriper mot ett brott eller annars kommer till platsen för ett brott eller tar upp anmälan om ett brott, skall enligt denna bestämmelse vidta de utredningsåtgärder som är möjliga, även om föru</w:t>
      </w:r>
      <w:r w:rsidRPr="0008481A">
        <w:t>n</w:t>
      </w:r>
      <w:r w:rsidRPr="0008481A">
        <w:t>dersökning inte hunnit inledas. Utredningen skall om möjligt färdigställas direkt på plats. Vidtagna åtgärder skall så snart som möjligt anmälas för den som har rätt att leda föru</w:t>
      </w:r>
      <w:r w:rsidRPr="0008481A">
        <w:t>n</w:t>
      </w:r>
      <w:r w:rsidRPr="0008481A">
        <w:t>dersökning rö</w:t>
      </w:r>
      <w:r w:rsidRPr="0008481A">
        <w:t xml:space="preserve">rande brottet. </w:t>
      </w:r>
    </w:p>
    <w:p w:rsidR="003B3271" w:rsidRPr="0008481A" w:rsidRDefault="003B3271">
      <w:pPr>
        <w:pStyle w:val="Normaltindrag"/>
      </w:pPr>
      <w:r w:rsidRPr="0008481A">
        <w:t>Förundersökningen har två huvudsyften. Det ena är att utröna om ett brott har begåtts och att klarlägga vem som skäligen kan misstänkas för brottet och om til</w:t>
      </w:r>
      <w:r w:rsidRPr="0008481A">
        <w:t>l</w:t>
      </w:r>
      <w:r w:rsidRPr="0008481A">
        <w:t>räckliga skäl för åtal föreligger. Det andra huvudsyftet är att bereda målet så att bevisningen kan förebringas i ett sammanhang vid en framtida huvudförhandling (23 kap. 2 § RB). Vid förundersökningen skall protokoll föras över vad som före</w:t>
      </w:r>
      <w:r w:rsidRPr="0008481A">
        <w:softHyphen/>
        <w:t>kommit vid denna av betydelse för utredningen (23 kap. 21 § första stycket RB).</w:t>
      </w:r>
    </w:p>
    <w:p w:rsidR="003B3271" w:rsidRPr="0008481A" w:rsidRDefault="003B3271">
      <w:pPr>
        <w:pStyle w:val="Normaltindrag"/>
      </w:pPr>
      <w:r w:rsidRPr="0008481A">
        <w:t>Då förundersökningen har kommit så långt att någon skäligen misstänks för bro</w:t>
      </w:r>
      <w:r w:rsidRPr="0008481A">
        <w:t>t</w:t>
      </w:r>
      <w:r w:rsidRPr="0008481A">
        <w:t>tet, skall han, då han hörs, underrättas om misstanken (23 kap. 18 § RB). Av b</w:t>
      </w:r>
      <w:r w:rsidRPr="0008481A">
        <w:t>e</w:t>
      </w:r>
      <w:r w:rsidRPr="0008481A">
        <w:t>stämmelsen följer vidare att den misstänkte och hans försvarare har rätt att fortl</w:t>
      </w:r>
      <w:r w:rsidRPr="0008481A">
        <w:t>ö</w:t>
      </w:r>
      <w:r w:rsidRPr="0008481A">
        <w:t>pande, i den mån det kan ske utan men för utredningen, ta del av vad som har f</w:t>
      </w:r>
      <w:r w:rsidRPr="0008481A">
        <w:t>ö</w:t>
      </w:r>
      <w:r w:rsidRPr="0008481A">
        <w:t xml:space="preserve">rekommit vid förundersökningen. De har vidare rätt att ange den utredning de anser önskvärd och i övrigt anföra vad de anser nödvändigt. Underrättelse härom skall lämnas eller sändas till den misstänkte och hans försvarare, varvid skäligt rådrum skall beredas dem. Åtal </w:t>
      </w:r>
      <w:r w:rsidRPr="0008481A">
        <w:t>får inte beslutas innan detta har skett. Enligt par</w:t>
      </w:r>
      <w:r w:rsidRPr="0008481A">
        <w:t>a</w:t>
      </w:r>
      <w:r w:rsidRPr="0008481A">
        <w:t>grafens andra stycke skall på begäran av den misstänkte eller hans försvarare fö</w:t>
      </w:r>
      <w:r w:rsidRPr="0008481A">
        <w:t>r</w:t>
      </w:r>
      <w:r w:rsidRPr="0008481A">
        <w:t>hör eller annan utredning äga rum, om detta kan antas vara av betydelse för unde</w:t>
      </w:r>
      <w:r w:rsidRPr="0008481A">
        <w:t>r</w:t>
      </w:r>
      <w:r w:rsidRPr="0008481A">
        <w:t xml:space="preserve">sökningen. Om en sådan begäran avslås skall skälen för detta anges.    </w:t>
      </w:r>
    </w:p>
    <w:p w:rsidR="003B3271" w:rsidRPr="0008481A" w:rsidRDefault="003B3271">
      <w:pPr>
        <w:pStyle w:val="Normaltindrag"/>
      </w:pPr>
      <w:r w:rsidRPr="0008481A">
        <w:t>I samband med att den som skäligen misstänks för brott underrättas om missta</w:t>
      </w:r>
      <w:r w:rsidRPr="0008481A">
        <w:t>n</w:t>
      </w:r>
      <w:r w:rsidRPr="0008481A">
        <w:t>ken skall han enligt 12 § FUK erhålla underrättelse om att en för brott misstänkt person är berättigad att redan under förundersökningen anlita biträde av försvarare samt att under vissa förutsättningar offentlig försvarare kan föror</w:t>
      </w:r>
      <w:r w:rsidRPr="0008481A">
        <w:t>d</w:t>
      </w:r>
      <w:r w:rsidRPr="0008481A">
        <w:t xml:space="preserve">nas. </w:t>
      </w:r>
    </w:p>
    <w:p w:rsidR="003B3271" w:rsidRPr="0008481A" w:rsidRDefault="003B3271">
      <w:pPr>
        <w:pStyle w:val="Normaltindrag"/>
      </w:pPr>
      <w:r w:rsidRPr="0008481A">
        <w:t>Av 23 kap. 22 § RB framgår att en formell förundersökning inte behöver genom</w:t>
      </w:r>
      <w:r w:rsidRPr="0008481A">
        <w:softHyphen/>
        <w:t>föras, om det ändå finns tillräckliga skäl för åtal och det gäller ett brott som inte kan antas föranleda någon annan påföljd än böter. Det förenklade förfarandet kan således användas även i fråga om brott där fängelse ingår i straffskalan. Som tid</w:t>
      </w:r>
      <w:r w:rsidRPr="0008481A">
        <w:t>i</w:t>
      </w:r>
      <w:r w:rsidRPr="0008481A">
        <w:t>gare har nämnts är straffskalan för snatteri böter eller fängelse i högst sex mån</w:t>
      </w:r>
      <w:r w:rsidRPr="0008481A">
        <w:t>a</w:t>
      </w:r>
      <w:r w:rsidRPr="0008481A">
        <w:t>der, medan straffet för stöld av normalgraden är fängelse i högst två år. Använ</w:t>
      </w:r>
      <w:r w:rsidRPr="0008481A">
        <w:t>d</w:t>
      </w:r>
      <w:r w:rsidRPr="0008481A">
        <w:t>ning av det förenklade förfarandet är således utesluten vid misstanke om stöld.</w:t>
      </w:r>
    </w:p>
    <w:p w:rsidR="003B3271" w:rsidRPr="0008481A" w:rsidRDefault="003B3271">
      <w:pPr>
        <w:pStyle w:val="Normaltindrag"/>
      </w:pPr>
      <w:r w:rsidRPr="0008481A">
        <w:t>Bestämmelsen i 23 ka</w:t>
      </w:r>
      <w:r w:rsidRPr="0008481A">
        <w:t>p. 22 § RB tar i första hand sikte på situationer där brottet kan utredas direkt på platsen. En praktisk konsekvens av att man avstår från att genomföra en förundersökning är att det inte behövs något protokoll (jfr 24 § FUK). Det bör däremot av en polisrapport eller annan handling, t.ex. en ordning</w:t>
      </w:r>
      <w:r w:rsidRPr="0008481A">
        <w:t>s</w:t>
      </w:r>
      <w:r w:rsidRPr="0008481A">
        <w:t xml:space="preserve">botsblankett, framgå om den misstänkte erkänner eller förnekar gärningen (25 § FUK). Det förutsätts således att den misstänkte även vid ett utredningsförfarande enligt 23 kap. 22 § RB underrättas om misstanken, </w:t>
      </w:r>
      <w:r w:rsidRPr="0008481A">
        <w:t>även om någon formell de</w:t>
      </w:r>
      <w:r w:rsidRPr="0008481A">
        <w:t>l</w:t>
      </w:r>
      <w:r w:rsidRPr="0008481A">
        <w:t>givning av misstanken enligt 23 kap. 18 § RB inte behöver ske.  Givetvis är det nödvändigt att det i handlingarna finns sådana uppgifter om den misstänkte och händelsen att gärningsmannen och gärningen kan identifieras samt att det även i övrigt finns tillräckliga uppgifter för prövningen av skuld- och på</w:t>
      </w:r>
      <w:r w:rsidRPr="0008481A">
        <w:softHyphen/>
        <w:t>följdsfrå</w:t>
      </w:r>
      <w:r w:rsidRPr="0008481A">
        <w:softHyphen/>
        <w:t>gorna (Fitger, Rättegångsbalken del 2 s. 23:76).</w:t>
      </w:r>
    </w:p>
    <w:p w:rsidR="003B3271" w:rsidRPr="0008481A" w:rsidRDefault="003B3271">
      <w:pPr>
        <w:pStyle w:val="Normaltindrag"/>
      </w:pPr>
      <w:r w:rsidRPr="0008481A">
        <w:t>Det framstår vidare som naturligt att de allmänna principer till skydd för den e</w:t>
      </w:r>
      <w:r w:rsidRPr="0008481A">
        <w:t>n</w:t>
      </w:r>
      <w:r w:rsidRPr="0008481A">
        <w:t>skildes rättssäkerhet som avspeglas i reglerna i 23 kap. RB och i FUK i möjligaste mån beaktas även vid utredningar enligt 23 kap. 22 § RB. Ett sådant synsätt vi</w:t>
      </w:r>
      <w:r w:rsidRPr="0008481A">
        <w:t>n</w:t>
      </w:r>
      <w:r w:rsidRPr="0008481A">
        <w:t>ner stöd i ett uttalande i förarbetena till regeln i 23 kap. 3 § tredje stycket RB om primärutredning, att de allmänna reglerna om förundersökning skall iakttas i ti</w:t>
      </w:r>
      <w:r w:rsidRPr="0008481A">
        <w:t>l</w:t>
      </w:r>
      <w:r w:rsidRPr="0008481A">
        <w:t xml:space="preserve">lämpliga delar (se NJA II 1969 s. 678 och Fitger, Rättegångsbalken del 2, s. 23:20 a). </w:t>
      </w:r>
    </w:p>
    <w:p w:rsidR="003B3271" w:rsidRPr="0008481A" w:rsidRDefault="003B3271">
      <w:pPr>
        <w:pStyle w:val="Normaltindrag"/>
      </w:pPr>
      <w:r w:rsidRPr="0008481A">
        <w:t xml:space="preserve">Rikspolisstyrelsen har utfärdat föreskrifter och allmänna råd om handläggning av brottmål utan </w:t>
      </w:r>
      <w:r w:rsidRPr="0008481A">
        <w:t>förundersökning (FAP 404-1). I avsnitt 2 anges i föreskriftsform att en polisman, som ingriper mot ett brott eller annars kommer till platsen för ett brott eller tar upp en anmälan om brott, skall bedöma om förundersökning bör in</w:t>
      </w:r>
      <w:r w:rsidRPr="0008481A">
        <w:softHyphen/>
        <w:t>ledas eller om brottet kan utredas utan formell förundersökning. Om brottet kan antas föranleda böter och utredningen kan färdigställas direkt på platsen, skall detta ske, om förutsättningarna i övrigt är uppfyllda enligt 23 kap. 22 § RB. Dä</w:t>
      </w:r>
      <w:r w:rsidRPr="0008481A">
        <w:t>r</w:t>
      </w:r>
      <w:r w:rsidRPr="0008481A">
        <w:t>efter ges i allmänna råd exempel på omst</w:t>
      </w:r>
      <w:r w:rsidRPr="0008481A">
        <w:t>ändigheter som medför att en formell förundersökning normalt bör inledas, nämligen att den misstänkte är under 18 år, att hans inställning i skuldfrågan är oklar, att det av annat skäl behövs ytterl</w:t>
      </w:r>
      <w:r w:rsidRPr="0008481A">
        <w:t>i</w:t>
      </w:r>
      <w:r w:rsidRPr="0008481A">
        <w:t>gare utredning eller att det förekommer skadeståndskrav som kr</w:t>
      </w:r>
      <w:r w:rsidRPr="0008481A">
        <w:t>ä</w:t>
      </w:r>
      <w:r w:rsidRPr="0008481A">
        <w:t>ver utred</w:t>
      </w:r>
      <w:r w:rsidRPr="0008481A">
        <w:softHyphen/>
        <w:t>ning.</w:t>
      </w:r>
    </w:p>
    <w:p w:rsidR="003B3271" w:rsidRPr="0008481A" w:rsidRDefault="003B3271">
      <w:pPr>
        <w:pStyle w:val="Rubrik4"/>
      </w:pPr>
      <w:r w:rsidRPr="0008481A">
        <w:t xml:space="preserve">Förhör och medtagande till förhör </w:t>
      </w:r>
    </w:p>
    <w:p w:rsidR="003B3271" w:rsidRPr="0008481A" w:rsidRDefault="003B3271">
      <w:r w:rsidRPr="0008481A">
        <w:t>Under en förundersökning får enligt 23 kap. 6 § RB hållas för</w:t>
      </w:r>
      <w:r w:rsidRPr="0008481A">
        <w:softHyphen/>
        <w:t>hör med var och en som antas kunna lämna upplysning av betydelse för utred</w:t>
      </w:r>
      <w:r w:rsidRPr="0008481A">
        <w:softHyphen/>
        <w:t>ningen. Den som b</w:t>
      </w:r>
      <w:r w:rsidRPr="0008481A">
        <w:t>e</w:t>
      </w:r>
      <w:r w:rsidRPr="0008481A">
        <w:t>fin</w:t>
      </w:r>
      <w:r w:rsidRPr="0008481A">
        <w:softHyphen/>
        <w:t>ner sig på den plats där brott förövats är skyldig att på till</w:t>
      </w:r>
      <w:r w:rsidRPr="0008481A">
        <w:softHyphen/>
        <w:t>sägelse av polisman följa med till ett förhör som hålls omedelbart därefter. Vägrar han utan giltig orsak, får polismannen ta med honom till förhöret. Detta gäller även innan förundersök</w:t>
      </w:r>
      <w:r w:rsidRPr="0008481A">
        <w:softHyphen/>
        <w:t xml:space="preserve">ning hunnit inledas (23 kap. 8 § RB). </w:t>
      </w:r>
    </w:p>
    <w:p w:rsidR="003B3271" w:rsidRPr="0008481A" w:rsidRDefault="003B3271">
      <w:pPr>
        <w:pStyle w:val="Rubrik4"/>
      </w:pPr>
      <w:r w:rsidRPr="0008481A">
        <w:t>Försvarare</w:t>
      </w:r>
    </w:p>
    <w:p w:rsidR="003B3271" w:rsidRPr="0008481A" w:rsidRDefault="003B3271">
      <w:r w:rsidRPr="0008481A">
        <w:t>I 21 kap. 3 § första stycket RB föreskrivs att den misstänkte vid sin talans förb</w:t>
      </w:r>
      <w:r w:rsidRPr="0008481A">
        <w:t>e</w:t>
      </w:r>
      <w:r w:rsidRPr="0008481A">
        <w:t>redande och utförande får biträdas av försvarare. Denna rätt är ovillkorlig och gäller vid alla brott. Den misstänkte får anlita försva</w:t>
      </w:r>
      <w:r w:rsidRPr="0008481A">
        <w:softHyphen/>
        <w:t>rare även under förundersö</w:t>
      </w:r>
      <w:r w:rsidRPr="0008481A">
        <w:t>k</w:t>
      </w:r>
      <w:r w:rsidRPr="0008481A">
        <w:t>ningen. Han skall underrättas om denna rätt så snart han hörs som skäligen mis</w:t>
      </w:r>
      <w:r w:rsidRPr="0008481A">
        <w:t>s</w:t>
      </w:r>
      <w:r w:rsidRPr="0008481A">
        <w:t>tänkt för brottet. Enligt Fitger (Rättegångsbalken del 2, s. 21:10) talar mycket för att en misstänkt även dessförinnan bör ha en möjlighet att låta sig biträdas av en försvarare.</w:t>
      </w:r>
    </w:p>
    <w:p w:rsidR="003B3271" w:rsidRPr="0008481A" w:rsidRDefault="003B3271">
      <w:pPr>
        <w:pStyle w:val="Normaltindrag"/>
      </w:pPr>
      <w:r w:rsidRPr="0008481A">
        <w:t xml:space="preserve">Vid ett förhör som hålls på den misstänktes begäran har han och hans försvarare rätt att </w:t>
      </w:r>
      <w:r w:rsidRPr="0008481A">
        <w:t>närvara. Även vid andra förhör får försvararen närvara, om det kan ske utan men för utredningen (23 kap. 10 § andra stycket RB).</w:t>
      </w:r>
    </w:p>
    <w:p w:rsidR="003B3271" w:rsidRPr="0008481A" w:rsidRDefault="003B3271">
      <w:pPr>
        <w:pStyle w:val="Rubrik4"/>
      </w:pPr>
      <w:r w:rsidRPr="0008481A">
        <w:t>Lagen (1964:167) med särskilda bestämmelser om unga lagöverträ</w:t>
      </w:r>
      <w:r w:rsidRPr="0008481A">
        <w:softHyphen/>
        <w:t>dare (LUL)</w:t>
      </w:r>
    </w:p>
    <w:p w:rsidR="003B3271" w:rsidRPr="0008481A" w:rsidRDefault="003B3271">
      <w:r w:rsidRPr="0008481A">
        <w:t>Enligt 3 § LUL skall en förundersökning mot den som inte fyllt 18 år alltid l</w:t>
      </w:r>
      <w:r w:rsidRPr="0008481A">
        <w:t>e</w:t>
      </w:r>
      <w:r w:rsidRPr="0008481A">
        <w:t>das av åkla</w:t>
      </w:r>
      <w:r w:rsidRPr="0008481A">
        <w:softHyphen/>
        <w:t>garen, om den unge är skäligen misstänkt för ett brott för vilket det är före</w:t>
      </w:r>
      <w:r w:rsidRPr="0008481A">
        <w:softHyphen/>
        <w:t>skrivet fängelse i mer än sex månader.</w:t>
      </w:r>
    </w:p>
    <w:p w:rsidR="003B3271" w:rsidRPr="0008481A" w:rsidRDefault="003B3271">
      <w:pPr>
        <w:pStyle w:val="Normaltindrag"/>
      </w:pPr>
      <w:r w:rsidRPr="0008481A">
        <w:t>Om någon som inte har fyllt 18 år är skäligen misstänkt för brott, skall vår</w:t>
      </w:r>
      <w:r w:rsidRPr="0008481A">
        <w:t>d</w:t>
      </w:r>
      <w:r w:rsidRPr="0008481A">
        <w:t>nads</w:t>
      </w:r>
      <w:r w:rsidRPr="0008481A">
        <w:softHyphen/>
        <w:t>havaren eller annan som svarar för den unges vård och fostran omedelbart under</w:t>
      </w:r>
      <w:r w:rsidRPr="0008481A">
        <w:softHyphen/>
        <w:t>rättas samt kallas till förhör som hålls med den unge, om detta inte är till men för utredningen eller det annars finns särskilda skäl mot det (5 § LUL).</w:t>
      </w:r>
    </w:p>
    <w:p w:rsidR="003B3271" w:rsidRPr="0008481A" w:rsidRDefault="003B3271">
      <w:pPr>
        <w:pStyle w:val="Normaltindrag"/>
      </w:pPr>
      <w:r w:rsidRPr="0008481A">
        <w:t>Som exempel på situationer där underrättelse och kallelse får underlåtas på grund av att det finns särskilda skäl nämns i förarbetena, att det rör sig om en förseelse av mycket bagatellartat slag, eller att det kan antas att det skulle vara till större skada än nytta för d</w:t>
      </w:r>
      <w:r w:rsidRPr="0008481A">
        <w:t>en unge om vårdnadshavaren underrättas. Som ytterligare e</w:t>
      </w:r>
      <w:r w:rsidRPr="0008481A">
        <w:t>x</w:t>
      </w:r>
      <w:r w:rsidRPr="0008481A">
        <w:t>empel nämns, att förhör med den unge av utredningsskäl måste hållas omedelbart och hans vårdnadshavare inte kan nås. Att notera är vidare att vård</w:t>
      </w:r>
      <w:r w:rsidRPr="0008481A">
        <w:softHyphen/>
        <w:t>nadshavaren inte behöver och inte heller har någon ovillkorlig rätt att vara närva</w:t>
      </w:r>
      <w:r w:rsidRPr="0008481A">
        <w:softHyphen/>
        <w:t>rande i fö</w:t>
      </w:r>
      <w:r w:rsidRPr="0008481A">
        <w:t>r</w:t>
      </w:r>
      <w:r w:rsidRPr="0008481A">
        <w:t>hörsrummet när den unge hörs (prop. 1987/88:135 s. 33 och 1994/95:12 s. 97).</w:t>
      </w:r>
    </w:p>
    <w:p w:rsidR="003B3271" w:rsidRPr="0008481A" w:rsidRDefault="003B3271">
      <w:pPr>
        <w:pStyle w:val="Normaltindrag"/>
      </w:pPr>
      <w:r w:rsidRPr="0008481A">
        <w:t>Om någon som inte har fyllt 18 år är skäligen misstänkt för brott på vilket fäng</w:t>
      </w:r>
      <w:r w:rsidRPr="0008481A">
        <w:softHyphen/>
        <w:t>else kan följa, skall socialnämnden genast underrättas (6 § LUL). Vid förhör med den som inte har fyllt 18 år och som är misstänkt för brott på vilket fängelse kan följa, skall företrädare för socialtjänsten närvara om det är möjligt och det kan ske utan men för utredningen (7 § LUL). Socialnämndens medverkan är avsedd att utgöra ett stöd för den unge samtidigt som det har ansetts vara av vikt att social</w:t>
      </w:r>
      <w:r w:rsidRPr="0008481A">
        <w:softHyphen/>
        <w:t>nämnden får information om brottet och omständigheterna kring detta. V</w:t>
      </w:r>
      <w:r w:rsidRPr="0008481A">
        <w:t>i</w:t>
      </w:r>
      <w:r w:rsidRPr="0008481A">
        <w:t>dare har det ansetts vara ett sä</w:t>
      </w:r>
      <w:r w:rsidRPr="0008481A">
        <w:t>tt att på ett tidigt stadium etablera kontakt med den unge och hans fö</w:t>
      </w:r>
      <w:r w:rsidRPr="0008481A">
        <w:t>r</w:t>
      </w:r>
      <w:r w:rsidRPr="0008481A">
        <w:t>äldrar (prop. 1994/95:12 s. 67 och 98).</w:t>
      </w:r>
    </w:p>
    <w:p w:rsidR="003B3271" w:rsidRPr="0008481A" w:rsidRDefault="003B3271">
      <w:pPr>
        <w:pStyle w:val="Normaltindrag"/>
      </w:pPr>
      <w:r w:rsidRPr="0008481A">
        <w:t>I förarbetena till 6 och 7 §§ LUL diskuterades bl.a. om paragrafernas tilläm</w:t>
      </w:r>
      <w:r w:rsidRPr="0008481A">
        <w:t>p</w:t>
      </w:r>
      <w:r w:rsidRPr="0008481A">
        <w:t>ningsområde skulle begränsas på så sätt att de endast skulle avse fall av misstanke om brott med fängelse mer än sex månader i straffskalan. Slutsatsen blev emelle</w:t>
      </w:r>
      <w:r w:rsidRPr="0008481A">
        <w:t>r</w:t>
      </w:r>
      <w:r w:rsidRPr="0008481A">
        <w:t>tid att skälen för att införa dessa regler hade bärkraft också i fråga om mindre al</w:t>
      </w:r>
      <w:r w:rsidRPr="0008481A">
        <w:t>l</w:t>
      </w:r>
      <w:r w:rsidRPr="0008481A">
        <w:t>varliga brott, med undantag för brott med enbart böter i straffskalan. Beträffande sådana bötesbrott ansågs insatser från socialnämndens sida normalt inte vara p</w:t>
      </w:r>
      <w:r w:rsidRPr="0008481A">
        <w:t>å</w:t>
      </w:r>
      <w:r w:rsidRPr="0008481A">
        <w:t>ka</w:t>
      </w:r>
      <w:r w:rsidRPr="0008481A">
        <w:t>l</w:t>
      </w:r>
      <w:r w:rsidRPr="0008481A">
        <w:t xml:space="preserve">lade (a. prop. s. 67). </w:t>
      </w:r>
    </w:p>
    <w:p w:rsidR="003B3271" w:rsidRPr="0008481A" w:rsidRDefault="003B3271">
      <w:pPr>
        <w:pStyle w:val="Normaltindrag"/>
      </w:pPr>
      <w:r w:rsidRPr="0008481A">
        <w:t>Har någon som inte fyllt 18 år gripits och beslutar åklagaren att inte anh</w:t>
      </w:r>
      <w:r w:rsidRPr="0008481A">
        <w:t>ålla honom trots att han fortfarande är skäligen misstänkt för brott, får polismyndig</w:t>
      </w:r>
      <w:r w:rsidRPr="0008481A">
        <w:softHyphen/>
        <w:t>heten hålla honom kvar för att skyndsamt kunna överlämna honom till hans för</w:t>
      </w:r>
      <w:r w:rsidRPr="0008481A">
        <w:softHyphen/>
        <w:t>äldrar, annan vårdnadshavare, en tjänsteman inom socialtjänsten eller någon an</w:t>
      </w:r>
      <w:r w:rsidRPr="0008481A">
        <w:softHyphen/>
        <w:t>nan lämplig vuxen person (14 § LUL). För samma ändamål får polismyndigheten hålla kvar den som inte har fyllt 18 år, om han har medtagits till förhör och är skäligen misstänkt för brott. Inte i något av de nu nämnda fallen får den unge hå</w:t>
      </w:r>
      <w:r w:rsidRPr="0008481A">
        <w:t>l</w:t>
      </w:r>
      <w:r w:rsidRPr="0008481A">
        <w:t>las kvar längre än tre timmar e</w:t>
      </w:r>
      <w:r w:rsidRPr="0008481A">
        <w:t>fter åklagarens beslut eller förhöret. Den som är över 15 år får därvid tas i förvar om det är nödvändigt med hänsyn till or</w:t>
      </w:r>
      <w:r w:rsidRPr="0008481A">
        <w:t>d</w:t>
      </w:r>
      <w:r w:rsidRPr="0008481A">
        <w:t>ning eller säkerhet.</w:t>
      </w:r>
    </w:p>
    <w:p w:rsidR="003B3271" w:rsidRPr="0008481A" w:rsidRDefault="003B3271">
      <w:pPr>
        <w:pStyle w:val="Normaltindrag"/>
      </w:pPr>
      <w:r w:rsidRPr="0008481A">
        <w:t>I 34 § första stycket LUL föreskrivs att om någon före 15 års ålder har begått ett brott, på vilket fängelse skulle ha kunnat följa, anträffas på bar gärning eller på flykt från brottsplatsen, får han gripas av envar. Om en enskild person har gripit den unge, skall denne skyndsamt överlämnas till närmaste polisman.</w:t>
      </w:r>
    </w:p>
    <w:p w:rsidR="003B3271" w:rsidRPr="0008481A" w:rsidRDefault="003B3271">
      <w:pPr>
        <w:pStyle w:val="Rubrik3"/>
      </w:pPr>
      <w:r w:rsidRPr="0008481A">
        <w:t>Bedömning</w:t>
      </w:r>
    </w:p>
    <w:p w:rsidR="003B3271" w:rsidRPr="0008481A" w:rsidRDefault="003B3271">
      <w:pPr>
        <w:pStyle w:val="Rubrik4"/>
        <w:spacing w:before="120"/>
      </w:pPr>
      <w:r w:rsidRPr="0008481A">
        <w:t>Allmänt om förundersökning och andra former för utredande av brott</w:t>
      </w:r>
    </w:p>
    <w:p w:rsidR="003B3271" w:rsidRPr="0008481A" w:rsidRDefault="003B3271">
      <w:r w:rsidRPr="0008481A">
        <w:t>Enligt 23 kap. 1 § första stycket RB skall förundersökning inledas så snart det på grund av angivelse eller av annat skäl finns anledning att anta att ett brott som hör under allmänt åtal har för</w:t>
      </w:r>
      <w:r w:rsidRPr="0008481A">
        <w:softHyphen/>
        <w:t>övats. För förun</w:t>
      </w:r>
      <w:r w:rsidRPr="0008481A">
        <w:softHyphen/>
        <w:t>dersökningar gäller enligt 23 kap. 4 § RB en objektivitetsprincip. Kravet på ob</w:t>
      </w:r>
      <w:r w:rsidRPr="0008481A">
        <w:softHyphen/>
        <w:t>jektivitet gäller självfallet också stäl</w:t>
      </w:r>
      <w:r w:rsidRPr="0008481A">
        <w:t>l</w:t>
      </w:r>
      <w:r w:rsidRPr="0008481A">
        <w:t>ningstagandet i frå</w:t>
      </w:r>
      <w:r w:rsidRPr="0008481A">
        <w:softHyphen/>
        <w:t xml:space="preserve">gan om förundersökning skall inledas eller ej. </w:t>
      </w:r>
    </w:p>
    <w:p w:rsidR="003B3271" w:rsidRPr="0008481A" w:rsidRDefault="003B3271">
      <w:pPr>
        <w:pStyle w:val="Normaltindrag"/>
      </w:pPr>
      <w:r w:rsidRPr="0008481A">
        <w:t>Reglerna om förundersökning är resultatet av en avvägning mellan hänsynen till den enskildes rättssäkerhet och intresset av att begångna brott utreds och beivras på ett effektivt sätt. I och med att en förundersökning inleds blir ett omfattade r</w:t>
      </w:r>
      <w:r w:rsidRPr="0008481A">
        <w:t>e</w:t>
      </w:r>
      <w:r w:rsidRPr="0008481A">
        <w:t xml:space="preserve">gelsystem tillämpligt, vilket innefattar såväl förpliktelser som rättigheter för den enskilde. Polis och åklagare får bl.a. möjlighet att i brottsutredande syfte vidta tvångsåtgärder av olika slag mot enskilda. </w:t>
      </w:r>
    </w:p>
    <w:p w:rsidR="003B3271" w:rsidRPr="0008481A" w:rsidRDefault="003B3271">
      <w:pPr>
        <w:pStyle w:val="Normaltindrag"/>
      </w:pPr>
      <w:r w:rsidRPr="0008481A">
        <w:t>Vid sidan av det reguljära tvångsmedelssystemet finns, till följd av reglerna i 24 kap. 7 § andra stycket RB om s.k. envarsgripande, en begränsad rätt för enskilda att ingripa mot personer som är misstänkta för brott. Om den som har begått ett brott som kan följas av fängelse påträffas på bar gärni</w:t>
      </w:r>
      <w:r w:rsidRPr="0008481A">
        <w:t>ng eller flyende fot, får han enligt detta lagrum gripas av envar. Den gripne skall sedan skyndsamt överlämnas till närmaste polisman. Ett envarsgripande utgör inte myndighetsutövning, och det förutsätter av naturliga skäl inte att förundersökning har inletts. Ett sådant gripa</w:t>
      </w:r>
      <w:r w:rsidRPr="0008481A">
        <w:t>n</w:t>
      </w:r>
      <w:r w:rsidRPr="0008481A">
        <w:t xml:space="preserve">de innebär inte heller – i motsats till vad som gäller i fråga om de reguljära straffprocessuella tvångsmedlen – att förundersökning inleds om detta inte redan har skett. </w:t>
      </w:r>
    </w:p>
    <w:p w:rsidR="003B3271" w:rsidRPr="0008481A" w:rsidRDefault="003B3271">
      <w:pPr>
        <w:pStyle w:val="Normaltindrag"/>
      </w:pPr>
      <w:r w:rsidRPr="0008481A">
        <w:t>I förundersökningsförfarandet finns ett antal viktiga rättssäk</w:t>
      </w:r>
      <w:r w:rsidRPr="0008481A">
        <w:t>erhetsgarantier i</w:t>
      </w:r>
      <w:r w:rsidRPr="0008481A">
        <w:t>n</w:t>
      </w:r>
      <w:r w:rsidRPr="0008481A">
        <w:t>byggda. Till dessa hör den redan nämnda objektivitetsprincipen samt skyldigheten att lämna underrättelse om brottsmisstanken till den som är skäligen misstänkt för brottet. Som också framgått har den misstänkte rätt att låta sig biträdas av försv</w:t>
      </w:r>
      <w:r w:rsidRPr="0008481A">
        <w:t>a</w:t>
      </w:r>
      <w:r w:rsidRPr="0008481A">
        <w:t>rare och han skall, när han delges misstanke om brottet, underrättas om denna rätt. Den misstänkte och hans försvarare har också enligt 23 kap. 18 § RB rätt att for</w:t>
      </w:r>
      <w:r w:rsidRPr="0008481A">
        <w:t>t</w:t>
      </w:r>
      <w:r w:rsidRPr="0008481A">
        <w:t>löpande få del av utredningens resultat i den mån det kan ske utan men för utre</w:t>
      </w:r>
      <w:r w:rsidRPr="0008481A">
        <w:t>d</w:t>
      </w:r>
      <w:r w:rsidRPr="0008481A">
        <w:t>ni</w:t>
      </w:r>
      <w:r w:rsidRPr="0008481A">
        <w:t>ngen. De skall under alla förhållanden beredas tillfälle att ta del av utredning</w:t>
      </w:r>
      <w:r w:rsidRPr="0008481A">
        <w:t>s</w:t>
      </w:r>
      <w:r w:rsidRPr="0008481A">
        <w:t>materialet innan åklag</w:t>
      </w:r>
      <w:r w:rsidRPr="0008481A">
        <w:t>a</w:t>
      </w:r>
      <w:r w:rsidRPr="0008481A">
        <w:t>ren tar ställning i åtalsfrå</w:t>
      </w:r>
      <w:r w:rsidRPr="0008481A">
        <w:softHyphen/>
        <w:t>gan.</w:t>
      </w:r>
    </w:p>
    <w:p w:rsidR="003B3271" w:rsidRPr="0008481A" w:rsidRDefault="003B3271">
      <w:pPr>
        <w:pStyle w:val="Normaltindrag"/>
      </w:pPr>
      <w:r w:rsidRPr="0008481A">
        <w:t>Reglerna i 23 kap. 3 § tredje stycket RB och 3 a § FUK om s.k. primär</w:t>
      </w:r>
      <w:r w:rsidRPr="0008481A">
        <w:softHyphen/>
        <w:t>utredning innebär att den polisman, som ingriper mot ett brott eller annars kommer till pla</w:t>
      </w:r>
      <w:r w:rsidRPr="0008481A">
        <w:t>t</w:t>
      </w:r>
      <w:r w:rsidRPr="0008481A">
        <w:t>sen för ett brott eller tar upp anmälan, skall vidta de utredningsåtgärder som är möjliga, även om förundersökning inte har hunnit inledas. Vidtagna åtgärder skall sedan så snart möjligt anmälas för den som har rätt att leda förundersökning r</w:t>
      </w:r>
      <w:r w:rsidRPr="0008481A">
        <w:t>ö</w:t>
      </w:r>
      <w:r w:rsidRPr="0008481A">
        <w:t>rande brottet.</w:t>
      </w:r>
    </w:p>
    <w:p w:rsidR="003B3271" w:rsidRPr="0008481A" w:rsidRDefault="003B3271">
      <w:pPr>
        <w:pStyle w:val="Normaltindrag"/>
      </w:pPr>
      <w:r w:rsidRPr="0008481A">
        <w:t>Också i andra fall kan utredningsåtgärder vidtas utanför ramen för en förunde</w:t>
      </w:r>
      <w:r w:rsidRPr="0008481A">
        <w:t>r</w:t>
      </w:r>
      <w:r w:rsidRPr="0008481A">
        <w:t>sökning. Enligt 23 kap. 22 § RB behöver förundersökning inte genomföras, om det ändå finns tillräckliga skäl för åtal och det gäller ett brott som inte kan antas föranleda någon annan påföljd än böter. Ett beslut att genomföra en förenklad utredning med stöd av denna bestämmelse innebär bl.a. att reglerna i 23 kap. 18 § RB och regeln om skyldighet att underrätta den misstänkte om hans rätt till fö</w:t>
      </w:r>
      <w:r w:rsidRPr="0008481A">
        <w:t>r</w:t>
      </w:r>
      <w:r w:rsidRPr="0008481A">
        <w:t>svarare formellt inte blir tillämpliga.</w:t>
      </w:r>
    </w:p>
    <w:p w:rsidR="003B3271" w:rsidRPr="0008481A" w:rsidRDefault="003B3271">
      <w:pPr>
        <w:pStyle w:val="Normaltindrag"/>
      </w:pPr>
      <w:r w:rsidRPr="0008481A">
        <w:t>Det kan sammanfattningsvis konstateras, att den normala formen för bro</w:t>
      </w:r>
      <w:r w:rsidRPr="0008481A">
        <w:t>ttsutre</w:t>
      </w:r>
      <w:r w:rsidRPr="0008481A">
        <w:t>d</w:t>
      </w:r>
      <w:r w:rsidRPr="0008481A">
        <w:t>ning är förundersökning, men att en utredning under vissa förutsättningar får g</w:t>
      </w:r>
      <w:r w:rsidRPr="0008481A">
        <w:t>e</w:t>
      </w:r>
      <w:r w:rsidRPr="0008481A">
        <w:t>nomföras också i annan form. I de fall där en polisman har ingripit mot ett brott eller, t.ex. på grund av reglerna om envarsgripande, har kallats till platsen för ett brott, skall han sålunda enligt reglerna om primärutredning i största möjliga u</w:t>
      </w:r>
      <w:r w:rsidRPr="0008481A">
        <w:t>t</w:t>
      </w:r>
      <w:r w:rsidRPr="0008481A">
        <w:t>sträckning utreda brottet på plats, även om förundersökning inte har hunnit inl</w:t>
      </w:r>
      <w:r w:rsidRPr="0008481A">
        <w:t>e</w:t>
      </w:r>
      <w:r w:rsidRPr="0008481A">
        <w:t>das. Det blir sedan en uppgift för en behörig förundersökningsledare att ta stäl</w:t>
      </w:r>
      <w:r w:rsidRPr="0008481A">
        <w:t>l</w:t>
      </w:r>
      <w:r w:rsidRPr="0008481A">
        <w:t>ning i förunder</w:t>
      </w:r>
      <w:r w:rsidRPr="0008481A">
        <w:t>sökningsfrågan.</w:t>
      </w:r>
    </w:p>
    <w:p w:rsidR="003B3271" w:rsidRPr="0008481A" w:rsidRDefault="003B3271">
      <w:pPr>
        <w:pStyle w:val="Normaltindrag"/>
      </w:pPr>
      <w:r w:rsidRPr="0008481A">
        <w:t>Frågan om användning av primärutredningsförfarandet behandlas i proposition 1994/95:23. Det framhålls där att, såväl från utredningssynpunkt som för att p</w:t>
      </w:r>
      <w:r w:rsidRPr="0008481A">
        <w:t>å</w:t>
      </w:r>
      <w:r w:rsidRPr="0008481A">
        <w:t>skynda förfarandet, mycket står att vinna genom att möjliga utrednings</w:t>
      </w:r>
      <w:r w:rsidRPr="0008481A">
        <w:softHyphen/>
        <w:t>åtgärder genomförs i nära anslutning till brottet. Som exempel på brott beträffande vilka det är möjligt att praktiskt taget slutföra utredningen direkt på platsen nämns b</w:t>
      </w:r>
      <w:r w:rsidRPr="0008481A">
        <w:t>u</w:t>
      </w:r>
      <w:r w:rsidRPr="0008481A">
        <w:t>tiksstölder, biltillgrepp, rattfylleri, grov olovlig körning och enklare fall av mis</w:t>
      </w:r>
      <w:r w:rsidRPr="0008481A">
        <w:t>s</w:t>
      </w:r>
      <w:r w:rsidRPr="0008481A">
        <w:t xml:space="preserve">handel (s. 78). </w:t>
      </w:r>
    </w:p>
    <w:p w:rsidR="003B3271" w:rsidRPr="0008481A" w:rsidRDefault="003B3271">
      <w:pPr>
        <w:pStyle w:val="Normaltindrag"/>
      </w:pPr>
      <w:r w:rsidRPr="0008481A">
        <w:t>Primärutredningsförfarandet framstår således som det lämpliga sättet att inleda exempelvis en snatteriutredning, varefter det får ankomma på den behörige föru</w:t>
      </w:r>
      <w:r w:rsidRPr="0008481A">
        <w:t>n</w:t>
      </w:r>
      <w:r w:rsidRPr="0008481A">
        <w:t xml:space="preserve">dersökningsledaren att besluta hur utredningen skall slutföras och redovisas. </w:t>
      </w:r>
    </w:p>
    <w:p w:rsidR="003B3271" w:rsidRPr="0008481A" w:rsidRDefault="003B3271">
      <w:pPr>
        <w:pStyle w:val="Rubrik4"/>
      </w:pPr>
      <w:r w:rsidRPr="0008481A">
        <w:t>Snattefonförfarandet</w:t>
      </w:r>
    </w:p>
    <w:p w:rsidR="003B3271" w:rsidRPr="0008481A" w:rsidRDefault="003B3271">
      <w:r w:rsidRPr="0008481A">
        <w:t>Av utredningen framgår följande om tillämpningen av snattefonförfarandet. Om den som har ertappats med ett tillgrepp i en butik erkänner brott, ombeds han av den som har påträffat honom, vanligen en butikskontrollant, att följa med till but</w:t>
      </w:r>
      <w:r w:rsidRPr="0008481A">
        <w:t>i</w:t>
      </w:r>
      <w:r w:rsidRPr="0008481A">
        <w:t>kens kontor. Butikskontrollanten frågar där den misstänkte om han är villig att förhöras av polisen per telefon. Vid ett jakande svar skall butikskontrollanten ringa polisen på ett särskilt telefonnummer, den s.k. snattefonen. Före telefonfö</w:t>
      </w:r>
      <w:r w:rsidRPr="0008481A">
        <w:t>r</w:t>
      </w:r>
      <w:r w:rsidRPr="0008481A">
        <w:t>höret uppger butikskontrollanten för utredaren hos polisen att den misstänkte pe</w:t>
      </w:r>
      <w:r w:rsidRPr="0008481A">
        <w:t>r</w:t>
      </w:r>
      <w:r w:rsidRPr="0008481A">
        <w:t>sonen är villig att förhöras per telefon. Vidare uppger butikskontrollanten omstä</w:t>
      </w:r>
      <w:r w:rsidRPr="0008481A">
        <w:t>n</w:t>
      </w:r>
      <w:r w:rsidRPr="0008481A">
        <w:t>digheterna vid brottet och den misstänktes namn. Innan förhöret på</w:t>
      </w:r>
      <w:r w:rsidRPr="0008481A">
        <w:softHyphen/>
        <w:t>börjas, ko</w:t>
      </w:r>
      <w:r w:rsidRPr="0008481A">
        <w:t>n</w:t>
      </w:r>
      <w:r w:rsidRPr="0008481A">
        <w:t>trollerar utredaren hos poli</w:t>
      </w:r>
      <w:r w:rsidRPr="0008481A">
        <w:t>smyndigheten den misstänktes namn i de dataregister som polisen har tillgång till. Därefter genomförs ett förhör. Om den misstänkte inte vill förhöras per telefon, genomförs inte något sådant förhör. Inte heller g</w:t>
      </w:r>
      <w:r w:rsidRPr="0008481A">
        <w:t>e</w:t>
      </w:r>
      <w:r w:rsidRPr="0008481A">
        <w:t>nomförs något tel</w:t>
      </w:r>
      <w:r w:rsidRPr="0008481A">
        <w:t>e</w:t>
      </w:r>
      <w:r w:rsidRPr="0008481A">
        <w:t>fonförhör, om identi</w:t>
      </w:r>
      <w:r w:rsidRPr="0008481A">
        <w:softHyphen/>
        <w:t>teten är oklar.</w:t>
      </w:r>
    </w:p>
    <w:p w:rsidR="003B3271" w:rsidRPr="0008481A" w:rsidRDefault="003B3271">
      <w:pPr>
        <w:pStyle w:val="Normaltindrag"/>
      </w:pPr>
      <w:r w:rsidRPr="0008481A">
        <w:t>Snattefonförfarandet grundas i sin helhet på bestämmelsen i 23 kap. 22 § RB. Som nyss har nämnts innebär användningen av det där angivna utredningsförf</w:t>
      </w:r>
      <w:r w:rsidRPr="0008481A">
        <w:t>a</w:t>
      </w:r>
      <w:r w:rsidRPr="0008481A">
        <w:t>randet bl.a. att reglerna i 23 kap. 18 § RB och i 12 § FUK inte blir explicit ti</w:t>
      </w:r>
      <w:r w:rsidRPr="0008481A">
        <w:t>l</w:t>
      </w:r>
      <w:r w:rsidRPr="0008481A">
        <w:t>lämpliga. Polismyndigheten i Skåne har gett uttryck för uppfattningen att ett u</w:t>
      </w:r>
      <w:r w:rsidRPr="0008481A">
        <w:t>t</w:t>
      </w:r>
      <w:r w:rsidRPr="0008481A">
        <w:t>redningsförfarande enligt 23 kap. 22 § RB också innebär att den misstänkte över huvud taget inte har rätt att anlita försvarare under utredningen samt att detta fö</w:t>
      </w:r>
      <w:r w:rsidRPr="0008481A">
        <w:t>r</w:t>
      </w:r>
      <w:r w:rsidRPr="0008481A">
        <w:t>farande, i fråga om misstänkta under 18 år, medför att inte heller reglerna i 5–7 §§ LUL om underrättelse och kallelse till förhör till vårdnadshavaren och socialnämnden är tilläm</w:t>
      </w:r>
      <w:r w:rsidRPr="0008481A">
        <w:t>p</w:t>
      </w:r>
      <w:r w:rsidRPr="0008481A">
        <w:t>liga.</w:t>
      </w:r>
    </w:p>
    <w:p w:rsidR="003B3271" w:rsidRPr="0008481A" w:rsidRDefault="003B3271">
      <w:pPr>
        <w:pStyle w:val="Normaltindrag"/>
      </w:pPr>
      <w:r w:rsidRPr="0008481A">
        <w:t>Som framgått skiljer sig snattefonförfarandet i flera hänseenden från det förf</w:t>
      </w:r>
      <w:r w:rsidRPr="0008481A">
        <w:t>a</w:t>
      </w:r>
      <w:r w:rsidRPr="0008481A">
        <w:t>rande med stöd av reglerna om primärutredning som har beskrivits i närmast för</w:t>
      </w:r>
      <w:r w:rsidRPr="0008481A">
        <w:t>e</w:t>
      </w:r>
      <w:r w:rsidRPr="0008481A">
        <w:t>g</w:t>
      </w:r>
      <w:r w:rsidRPr="0008481A">
        <w:t>å</w:t>
      </w:r>
      <w:r w:rsidRPr="0008481A">
        <w:t xml:space="preserve">ende avsnitt. Det ger därmed upphov till ett antal frågor av rättsligt slag. </w:t>
      </w:r>
    </w:p>
    <w:p w:rsidR="003B3271" w:rsidRPr="0008481A" w:rsidRDefault="003B3271">
      <w:pPr>
        <w:pStyle w:val="Normaltindrag"/>
      </w:pPr>
      <w:r w:rsidRPr="0008481A">
        <w:t>Den första frågan är om det ingripande som exempelvis en butiks</w:t>
      </w:r>
      <w:r w:rsidRPr="0008481A">
        <w:softHyphen/>
        <w:t>kontrollant gör mot en person som har ertappats med ett butikstillgrepp är att anse som ett e</w:t>
      </w:r>
      <w:r w:rsidRPr="0008481A">
        <w:t>n</w:t>
      </w:r>
      <w:r w:rsidRPr="0008481A">
        <w:t>varsgripande enligt 24 kap. 7 § andra stycket eller ej. Om ingripandet skulle b</w:t>
      </w:r>
      <w:r w:rsidRPr="0008481A">
        <w:t>e</w:t>
      </w:r>
      <w:r w:rsidRPr="0008481A">
        <w:t>traktas som ett envarsgripande, uppkommer frågan om överlämnandet av den gripne till närmaste polisman kan ges formen av ett telefonsamtal till polismy</w:t>
      </w:r>
      <w:r w:rsidRPr="0008481A">
        <w:t>n</w:t>
      </w:r>
      <w:r w:rsidRPr="0008481A">
        <w:t>digheten.</w:t>
      </w:r>
    </w:p>
    <w:p w:rsidR="003B3271" w:rsidRPr="0008481A" w:rsidRDefault="003B3271">
      <w:pPr>
        <w:pStyle w:val="Normaltindrag"/>
      </w:pPr>
      <w:r w:rsidRPr="0008481A">
        <w:t>Snattefonförfarandet aktualiserar vidare frågan om det kan godtas att samtliga de utredningsåtgärder som vidtas av polismyndigheten gentemot den misstänkte, inklusive identifi</w:t>
      </w:r>
      <w:r w:rsidRPr="0008481A">
        <w:t>eringen av denne, sker per telefon i omedelbar anslutning till ertappandet.</w:t>
      </w:r>
    </w:p>
    <w:p w:rsidR="003B3271" w:rsidRPr="0008481A" w:rsidRDefault="003B3271">
      <w:pPr>
        <w:pStyle w:val="Normaltindrag"/>
      </w:pPr>
      <w:r w:rsidRPr="0008481A">
        <w:t>Det finns vidare anledning att diskutera frågan om polisen över huvud taget bör använda det förenklade förfarandet enligt 23 kap. 22 § RB vid utredning av b</w:t>
      </w:r>
      <w:r w:rsidRPr="0008481A">
        <w:t>u</w:t>
      </w:r>
      <w:r w:rsidRPr="0008481A">
        <w:t xml:space="preserve">tikssnatterier. Man bör i detta sammanhang, med anledning av den ståndpunkt som har intagits av Polismyndigheten i Skåne, också behandla frågorna om den misstänktes rätt till försvarare vid användningen av detta förfarande och om hur reglerna om det förenklade förfarandet förhåller sig till regleringen i 5–7 §§ LUL. </w:t>
      </w:r>
    </w:p>
    <w:p w:rsidR="003B3271" w:rsidRPr="0008481A" w:rsidRDefault="003B3271">
      <w:pPr>
        <w:pStyle w:val="Rubrik4"/>
      </w:pPr>
      <w:r w:rsidRPr="0008481A">
        <w:t xml:space="preserve">Envarsgripande och skyldigheten att överlämna den gripne till polisman </w:t>
      </w:r>
    </w:p>
    <w:p w:rsidR="003B3271" w:rsidRPr="0008481A" w:rsidRDefault="003B3271">
      <w:r w:rsidRPr="0008481A">
        <w:t>Enligt 24 kap. 7 § andra stycket RB får envar gripa en person som har begått ett brott, på vilket fängelse kan följa, och som påträffas på bar gärning eller flyende fot. Den gripne skall skyndsamt överlämnas till närmaste p</w:t>
      </w:r>
      <w:r w:rsidRPr="0008481A">
        <w:t>o</w:t>
      </w:r>
      <w:r w:rsidRPr="0008481A">
        <w:t xml:space="preserve">lisman. </w:t>
      </w:r>
    </w:p>
    <w:p w:rsidR="003B3271" w:rsidRPr="0008481A" w:rsidRDefault="003B3271">
      <w:pPr>
        <w:pStyle w:val="Normaltindrag"/>
      </w:pPr>
      <w:r w:rsidRPr="0008481A">
        <w:t>Ett ingripande mot någon som har ertappats med ett butikstillgrepp genomförs vanligtvis på så sätt att antingen butiks</w:t>
      </w:r>
      <w:r w:rsidRPr="0008481A">
        <w:softHyphen/>
        <w:t>innehavaren – som har ställning som måls</w:t>
      </w:r>
      <w:r w:rsidRPr="0008481A">
        <w:softHyphen/>
        <w:t xml:space="preserve">ägande – eller en butiksanställd eller en särskilt anlitad butikskontrollant – som är i målsägandens ställe och som i processrättsligt hänseende är att betrakta som vittne – uppmanar den misstänkte att följa med till ett kontor eller annan avskild plats, där denne anmodas att återlämna det tillgripna, lämna uppgifter om sin identitet och ange sin inställning till brottsmisstanken. Av vad som har sagts i det föregående framgår att åtgärder av detta slag vidtas också </w:t>
      </w:r>
      <w:r w:rsidRPr="0008481A">
        <w:t>inom ramen för snatt</w:t>
      </w:r>
      <w:r w:rsidRPr="0008481A">
        <w:t>e</w:t>
      </w:r>
      <w:r w:rsidRPr="0008481A">
        <w:t xml:space="preserve">fonförfarandet.  </w:t>
      </w:r>
    </w:p>
    <w:p w:rsidR="003B3271" w:rsidRPr="0008481A" w:rsidRDefault="003B3271">
      <w:pPr>
        <w:pStyle w:val="Normaltindrag"/>
      </w:pPr>
      <w:r w:rsidRPr="0008481A">
        <w:t>Frågan om envarsgripande vid misstanke om snatteri behandlades i 1968 års brottmålsutrednings betänkande (SOU 1971:10 s. 111). Utredningen för</w:t>
      </w:r>
      <w:r w:rsidRPr="0008481A">
        <w:softHyphen/>
        <w:t>klarade att det ingripande som en butikskontrollant gjorde mot en misstänkt inte kunde b</w:t>
      </w:r>
      <w:r w:rsidRPr="0008481A">
        <w:t>e</w:t>
      </w:r>
      <w:r w:rsidRPr="0008481A">
        <w:t>traktas som ett envarsgripande, eftersom polis inte kallades till platsen. Den no</w:t>
      </w:r>
      <w:r w:rsidRPr="0008481A">
        <w:t>r</w:t>
      </w:r>
      <w:r w:rsidRPr="0008481A">
        <w:t>mala gången sades i stället vara att den misstänkte fick lämna butiken sedan han hade identifierats och hörts angående händelsen. Utredningen föreslog att målsägan</w:t>
      </w:r>
      <w:r w:rsidRPr="0008481A">
        <w:softHyphen/>
        <w:t>den/affären även i fortsättningen skulle ha rätt att gripa den som ertap</w:t>
      </w:r>
      <w:r w:rsidRPr="0008481A">
        <w:softHyphen/>
        <w:t>pats på bar gärning med att snatta. Enligt utredningens mening syntes den prakt</w:t>
      </w:r>
      <w:r w:rsidRPr="0008481A">
        <w:t>i</w:t>
      </w:r>
      <w:r w:rsidRPr="0008481A">
        <w:t>se</w:t>
      </w:r>
      <w:r w:rsidRPr="0008481A">
        <w:softHyphen/>
        <w:t>rade ordningen att u</w:t>
      </w:r>
      <w:r w:rsidRPr="0008481A">
        <w:t>tan omedelbart polisin</w:t>
      </w:r>
      <w:r w:rsidRPr="0008481A">
        <w:softHyphen/>
        <w:t>gripande försöka klarlägga saken i af</w:t>
      </w:r>
      <w:r w:rsidRPr="0008481A">
        <w:softHyphen/>
        <w:t>fä</w:t>
      </w:r>
      <w:r w:rsidRPr="0008481A">
        <w:softHyphen/>
        <w:t>ren böra förordas. Som skäl härför anfördes att ingripandet därmed kunde göras så skon</w:t>
      </w:r>
      <w:r w:rsidRPr="0008481A">
        <w:softHyphen/>
        <w:t>samt som möjligt för den misstänkte, att man kunde undvika att händelsen väckte onödig uppmärksam</w:t>
      </w:r>
      <w:r w:rsidRPr="0008481A">
        <w:softHyphen/>
        <w:t>het och – vilket ansågs vara av särskild betydelse – att affärsledningen fick möjlighet att över</w:t>
      </w:r>
      <w:r w:rsidRPr="0008481A">
        <w:softHyphen/>
        <w:t>väga om polis</w:t>
      </w:r>
      <w:r w:rsidRPr="0008481A">
        <w:softHyphen/>
        <w:t xml:space="preserve">anmälan var påkallad i det särskilda fallet. </w:t>
      </w:r>
    </w:p>
    <w:p w:rsidR="003B3271" w:rsidRPr="0008481A" w:rsidRDefault="003B3271">
      <w:pPr>
        <w:pStyle w:val="Normaltindrag"/>
      </w:pPr>
      <w:r w:rsidRPr="0008481A">
        <w:t>Problemen med det ökande antalet butikstillgrepp föranledde regeringen att i ja</w:t>
      </w:r>
      <w:r w:rsidRPr="0008481A">
        <w:softHyphen/>
        <w:t>nuari 1980 tillsätta en särskild utredning med uppdrag att undersöka frågan om åtgärder mot tillgreppen m.m. Utredningen, som antog namnet Stöldutredningen, överlämnade i juni 1982 betänkandet Stöld i butik (SOU 1982:39). I betänkandet diskuterades bl.a. frågan om ingripanden vid butikstillgrepp, och vidare åter</w:t>
      </w:r>
      <w:r w:rsidRPr="0008481A">
        <w:softHyphen/>
        <w:t xml:space="preserve">gavs där yttranden av bl.a. Rikspolisstyrelsen och Justitiekanslern. </w:t>
      </w:r>
    </w:p>
    <w:p w:rsidR="003B3271" w:rsidRPr="0008481A" w:rsidRDefault="003B3271">
      <w:pPr>
        <w:pStyle w:val="Normaltindrag"/>
      </w:pPr>
      <w:r w:rsidRPr="0008481A">
        <w:t>Rikpolisstyrelsen (a.a. s. 251 f.) och utred</w:t>
      </w:r>
      <w:r w:rsidRPr="0008481A">
        <w:softHyphen/>
        <w:t>ningen (a.a. s. 253 f.) intog den stån</w:t>
      </w:r>
      <w:r w:rsidRPr="0008481A">
        <w:t>d</w:t>
      </w:r>
      <w:r w:rsidRPr="0008481A">
        <w:t>punkten att det inte rörde sig om något envarsgripande enligt 24 kap. 7 § andra stycket RB, när en målsägande eller dennes representant, t.ex. en butiks</w:t>
      </w:r>
      <w:r w:rsidRPr="0008481A">
        <w:softHyphen/>
        <w:t>kontrollant, återtog tillgripet gods samt anmanade den misstänkte att följa med till t.ex. ett kontor i butiken och där uppmanade honom att lämna uppgifter om sin identitet. Det var i dessa fall enligt utredningens uppfattning inte fråga om något frihetsberövande utan endast om utövandet av en laga rätt att återta god</w:t>
      </w:r>
      <w:r w:rsidRPr="0008481A">
        <w:t>set. Att den ertappade vid vägran att medfölja bl.a. riskerade att formellt gripas, eventuellt med våld, kunde enligt utredningen inte förändra den ursprungliga åtgärdens k</w:t>
      </w:r>
      <w:r w:rsidRPr="0008481A">
        <w:t>a</w:t>
      </w:r>
      <w:r w:rsidRPr="0008481A">
        <w:t>raktär av laga självtäkt</w:t>
      </w:r>
      <w:r w:rsidRPr="0008481A">
        <w:rPr>
          <w:sz w:val="20"/>
        </w:rPr>
        <w:t xml:space="preserve">. </w:t>
      </w:r>
      <w:r w:rsidRPr="0008481A">
        <w:t>Stöl</w:t>
      </w:r>
      <w:r w:rsidRPr="0008481A">
        <w:softHyphen/>
        <w:t>d</w:t>
      </w:r>
      <w:r w:rsidRPr="0008481A">
        <w:softHyphen/>
        <w:t>utredningen ansåg vidare i likhet med Rikspolisst</w:t>
      </w:r>
      <w:r w:rsidRPr="0008481A">
        <w:t>y</w:t>
      </w:r>
      <w:r w:rsidRPr="0008481A">
        <w:t>relsen att det var möjligt att inom ramen för institutet laga självtäkt anteckna den misstänktes inställning till brottsmissta</w:t>
      </w:r>
      <w:r w:rsidRPr="0008481A">
        <w:t>n</w:t>
      </w:r>
      <w:r w:rsidRPr="0008481A">
        <w:t xml:space="preserve">ken. </w:t>
      </w:r>
    </w:p>
    <w:p w:rsidR="003B3271" w:rsidRPr="0008481A" w:rsidRDefault="003B3271">
      <w:pPr>
        <w:pStyle w:val="Normaltindrag"/>
      </w:pPr>
      <w:r w:rsidRPr="0008481A">
        <w:t>De skäl som anfördes för utredningens ståndpunkt var närmast av praktisk natur. Om ett gripande skulle anses föreligga i de</w:t>
      </w:r>
      <w:r w:rsidRPr="0008481A">
        <w:t>n beskrivna situationen medförde detta enligt utredningen att den laga självtäkten endast skulle kunna utövas under fo</w:t>
      </w:r>
      <w:r w:rsidRPr="0008481A">
        <w:t>r</w:t>
      </w:r>
      <w:r w:rsidRPr="0008481A">
        <w:t>mer som av såväl allmänheten som målsägande och misstänkt måste uppfattas som stötande. Skulle målsägandens möjligheter att vidta åtgärder utan inträde av envarsgripande bedömas så snävt att han inte hade rätt att tillfråga gärningsma</w:t>
      </w:r>
      <w:r w:rsidRPr="0008481A">
        <w:t>n</w:t>
      </w:r>
      <w:r w:rsidRPr="0008481A">
        <w:t>nen om dennes identitet, blev hans rätt att dispo</w:t>
      </w:r>
      <w:r w:rsidRPr="0008481A">
        <w:softHyphen/>
        <w:t>nera över följderna av händelsen i det närmaste skenbar. Valet skulle då stå mellan att antingen endast åter</w:t>
      </w:r>
      <w:r w:rsidRPr="0008481A">
        <w:t>ta godset eller gripa den ertappade och tillkalla p</w:t>
      </w:r>
      <w:r w:rsidRPr="0008481A">
        <w:t>o</w:t>
      </w:r>
      <w:r w:rsidRPr="0008481A">
        <w:t xml:space="preserve">lis. </w:t>
      </w:r>
    </w:p>
    <w:p w:rsidR="003B3271" w:rsidRPr="0008481A" w:rsidRDefault="003B3271">
      <w:pPr>
        <w:pStyle w:val="Normaltindrag"/>
      </w:pPr>
      <w:r w:rsidRPr="0008481A">
        <w:t>Justitiekanslern var av en annan uppfattning i den rättsliga frågan (a.a. s. 252 f.). Vad som faktiskt inträffade vid ett ingripande av det aktuella slaget var enligt Ju</w:t>
      </w:r>
      <w:r w:rsidRPr="0008481A">
        <w:t>s</w:t>
      </w:r>
      <w:r w:rsidRPr="0008481A">
        <w:t>titiekanslerns mening – oavsett hur ingripandet genomfördes – att personer ber</w:t>
      </w:r>
      <w:r w:rsidRPr="0008481A">
        <w:t>ö</w:t>
      </w:r>
      <w:r w:rsidRPr="0008481A">
        <w:t>vades friheten, låt vara helt kort</w:t>
      </w:r>
      <w:r w:rsidRPr="0008481A">
        <w:softHyphen/>
        <w:t>varigt, på grund av och med stöd av en brottsmisstanke. Förutom att återta det tillgripna var syftet med ingripandena att säkerställa ett efterföljande rättsligt förfarande mot den misstänkte, och ingripa</w:t>
      </w:r>
      <w:r w:rsidRPr="0008481A">
        <w:t>n</w:t>
      </w:r>
      <w:r w:rsidRPr="0008481A">
        <w:t>dena fick därmed ofrånkomligen karaktären av straffprocessuellt tvångsmedel. Huruvida den misstänkte frivilligt under</w:t>
      </w:r>
      <w:r w:rsidRPr="0008481A">
        <w:softHyphen/>
        <w:t>kastade sig ingripandet eller ej kunde vid sådant förhållande inte tillmät</w:t>
      </w:r>
      <w:r w:rsidRPr="0008481A">
        <w:t>as någon avgö</w:t>
      </w:r>
      <w:r w:rsidRPr="0008481A">
        <w:softHyphen/>
        <w:t>rande betydelse. Justitiekanslern p</w:t>
      </w:r>
      <w:r w:rsidRPr="0008481A">
        <w:t>å</w:t>
      </w:r>
      <w:r w:rsidRPr="0008481A">
        <w:t>pekade vidare att frivillig</w:t>
      </w:r>
      <w:r w:rsidRPr="0008481A">
        <w:softHyphen/>
        <w:t>heten i en situation av det aktuella slaget var tämligen illusorisk, eftersom den misstänkte kunde vara ganska säker på att bli utsatt för fysiskt tvång, om han inte gjorde som han blev tillsagd. Justitiekanslerns slutsats var att det resonemang som hade förts av Rikspolisstyrelsen i frågan inte var hål</w:t>
      </w:r>
      <w:r w:rsidRPr="0008481A">
        <w:t>l</w:t>
      </w:r>
      <w:r w:rsidRPr="0008481A">
        <w:t>bart från strikt juridisk synpunkt men att starka praktiska skäl talade för Rikspoli</w:t>
      </w:r>
      <w:r w:rsidRPr="0008481A">
        <w:t>s</w:t>
      </w:r>
      <w:r w:rsidRPr="0008481A">
        <w:t>styrelsens betraktels</w:t>
      </w:r>
      <w:r w:rsidRPr="0008481A">
        <w:t>e</w:t>
      </w:r>
      <w:r w:rsidRPr="0008481A">
        <w:t xml:space="preserve">sätt. </w:t>
      </w:r>
    </w:p>
    <w:p w:rsidR="003B3271" w:rsidRPr="0008481A" w:rsidRDefault="003B3271">
      <w:pPr>
        <w:pStyle w:val="Normaltindrag"/>
      </w:pPr>
      <w:r w:rsidRPr="0008481A">
        <w:t>I anslutning ti</w:t>
      </w:r>
      <w:r w:rsidRPr="0008481A">
        <w:t>ll sina ovan redovisade överväganden behandlade Stöl</w:t>
      </w:r>
      <w:r w:rsidRPr="0008481A">
        <w:softHyphen/>
        <w:t>d</w:t>
      </w:r>
      <w:r w:rsidRPr="0008481A">
        <w:softHyphen/>
        <w:t>utredningen också frågan om behovet av lagstiftning på området. Den gav därvid uttryck för uppfattningen att den praxis som tillämpades till sitt inne</w:t>
      </w:r>
      <w:r w:rsidRPr="0008481A">
        <w:softHyphen/>
        <w:t>håll var så naturlig att särskild reglering i lag var opåka</w:t>
      </w:r>
      <w:r w:rsidRPr="0008481A">
        <w:t>l</w:t>
      </w:r>
      <w:r w:rsidRPr="0008481A">
        <w:t xml:space="preserve">lad (a.a. s. 257 f.). </w:t>
      </w:r>
    </w:p>
    <w:p w:rsidR="003B3271" w:rsidRPr="0008481A" w:rsidRDefault="003B3271">
      <w:pPr>
        <w:pStyle w:val="Normaltindrag"/>
      </w:pPr>
      <w:r w:rsidRPr="0008481A">
        <w:t>I proposition 1983/84:187 om utredning av brott av barn under 15 år föreslogs vissa ändringar i bl.a. LUL och 23 kap. 9 § RB (angående skyldig</w:t>
      </w:r>
      <w:r w:rsidRPr="0008481A">
        <w:softHyphen/>
        <w:t>het att kvarstanna för förhör). I propositionen berörde departementschefen den nu aktuella frågan om den rättsliga karaktären av butikskontrollanters ingripanden mot misstänkta snat</w:t>
      </w:r>
      <w:r w:rsidRPr="0008481A">
        <w:softHyphen/>
        <w:t>tare. Han kom därvid till den slutsatsen att butikskontrollanters ingripanden no</w:t>
      </w:r>
      <w:r w:rsidRPr="0008481A">
        <w:t>r</w:t>
      </w:r>
      <w:r w:rsidRPr="0008481A">
        <w:t>malt inte var att betrakta som något gripande i RB:s mening (s. 26 f.). I sitt betä</w:t>
      </w:r>
      <w:r w:rsidRPr="0008481A">
        <w:t>n</w:t>
      </w:r>
      <w:r w:rsidRPr="0008481A">
        <w:t xml:space="preserve">kande JuU 1984/85:6 anförde justitieutskottet i denna fråga följande (s. 14). </w:t>
      </w:r>
    </w:p>
    <w:p w:rsidR="003B3271" w:rsidRPr="0008481A" w:rsidRDefault="003B3271">
      <w:pPr>
        <w:pStyle w:val="Citat"/>
      </w:pPr>
      <w:r w:rsidRPr="0008481A">
        <w:t>I anslutning till presentationen av detta förslag diskuterar departements</w:t>
      </w:r>
      <w:r w:rsidRPr="0008481A">
        <w:softHyphen/>
        <w:t>chefen den rättsliga karak</w:t>
      </w:r>
      <w:r w:rsidRPr="0008481A">
        <w:softHyphen/>
        <w:t>tären av butikskontrollanters ingripanden mot personer som miss</w:t>
      </w:r>
      <w:r w:rsidRPr="0008481A">
        <w:softHyphen/>
        <w:t>tänks för butikstillgrepp. Det förfarande som vanligen tillämpas består i dels en uppmaning att följa med till en avskild lokal, dels en uppmaning att lämna tillbaka stulna varor och att lämna namn och adress, dels en fråga om vederbörande er</w:t>
      </w:r>
      <w:r w:rsidRPr="0008481A">
        <w:softHyphen/>
        <w:t xml:space="preserve">känner eller förnekar. Justitiekanslern har uttalat att detta förfarande bör anses vara ett gripande i RB:s mening, s.k. envarsgripande. </w:t>
      </w:r>
    </w:p>
    <w:p w:rsidR="003B3271" w:rsidRPr="0008481A" w:rsidRDefault="003B3271">
      <w:pPr>
        <w:pStyle w:val="Citatindrag"/>
      </w:pPr>
      <w:r w:rsidRPr="0008481A">
        <w:t>En annan ståndpunkt har intagits av stö</w:t>
      </w:r>
      <w:r w:rsidRPr="0008481A">
        <w:t>ldutred</w:t>
      </w:r>
      <w:r w:rsidRPr="0008481A">
        <w:softHyphen/>
        <w:t>ningen som har tagit upp frågan i betänkandet (SOU 1982:39) Stöld i butik. Stöldutredningen anser att förfarandet bara innebär att den bestulne utövar sin rätt att ”återta stulet gods å färsk gär</w:t>
      </w:r>
      <w:r w:rsidRPr="0008481A">
        <w:softHyphen/>
        <w:t>ning”, dvs. laga självtäkt. Departementschefen uttalar i propositionen bl.a. att han för sin del anser att förfa</w:t>
      </w:r>
      <w:r w:rsidRPr="0008481A">
        <w:softHyphen/>
        <w:t xml:space="preserve">randet inte innebär något frihetsberövande eller gripande i RB:s mening. </w:t>
      </w:r>
    </w:p>
    <w:p w:rsidR="003B3271" w:rsidRPr="0008481A" w:rsidRDefault="003B3271">
      <w:pPr>
        <w:pStyle w:val="Citatindrag"/>
      </w:pPr>
      <w:r w:rsidRPr="0008481A">
        <w:t>Utskottet vill endast framhålla att den sålunda diskuterade frågan av principiella skäl inte bör a</w:t>
      </w:r>
      <w:r w:rsidRPr="0008481A">
        <w:t>v</w:t>
      </w:r>
      <w:r w:rsidRPr="0008481A">
        <w:t>göras genom uttalanden av departementschefen eller utskottet i detta lag</w:t>
      </w:r>
      <w:r w:rsidRPr="0008481A">
        <w:softHyphen/>
        <w:t>stiftningsärende som ju inte gäller något av de lagrum som diskussionen avser (jfr JuU 1976/77:15 s. 6 och FöU 1977/78:28 s. 24 om utta</w:t>
      </w:r>
      <w:r w:rsidRPr="0008481A">
        <w:softHyphen/>
        <w:t>landen i lagstiftningsären</w:t>
      </w:r>
      <w:r w:rsidRPr="0008481A">
        <w:softHyphen/>
        <w:t>den som inte gäller det lagrum som uttalandena avser). Huruvida en la</w:t>
      </w:r>
      <w:r w:rsidRPr="0008481A">
        <w:softHyphen/>
        <w:t>gändring behövs saknar utskottet underlag att bedöma. Utskottet utgår från att frågan om behovet därav övervägs ytterligare inom regering</w:t>
      </w:r>
      <w:r w:rsidRPr="0008481A">
        <w:t>s</w:t>
      </w:r>
      <w:r w:rsidRPr="0008481A">
        <w:t>kansliet.</w:t>
      </w:r>
    </w:p>
    <w:p w:rsidR="003B3271" w:rsidRPr="0008481A" w:rsidRDefault="003B3271">
      <w:r w:rsidRPr="0008481A">
        <w:t>Sammanfattningsvis kan således konstateras att Stöldut</w:t>
      </w:r>
      <w:r w:rsidRPr="0008481A">
        <w:softHyphen/>
        <w:t>redningen och depart</w:t>
      </w:r>
      <w:r w:rsidRPr="0008481A">
        <w:t>e</w:t>
      </w:r>
      <w:r w:rsidRPr="0008481A">
        <w:t>mentschefen i proposition 1983/84:187 gav uttryck för uppfattningen att samtliga b</w:t>
      </w:r>
      <w:r w:rsidRPr="0008481A">
        <w:t>u</w:t>
      </w:r>
      <w:r w:rsidRPr="0008481A">
        <w:t>tikskontrollantens åtgärder – från återtagandet av godset till förfrågan om den e</w:t>
      </w:r>
      <w:r w:rsidRPr="0008481A">
        <w:t>r</w:t>
      </w:r>
      <w:r w:rsidRPr="0008481A">
        <w:t>tappades identitet och efterhörande av om brott erkänns eller förnekas – utgjorde ”en naturlig följd av det lagstadgade förfa</w:t>
      </w:r>
      <w:r w:rsidRPr="0008481A">
        <w:softHyphen/>
        <w:t>randet varigenom godset återtagits”. De beskrivna åtgärderna skulle således alla falla inom ramen för institutet laga själ</w:t>
      </w:r>
      <w:r w:rsidRPr="0008481A">
        <w:t>v</w:t>
      </w:r>
      <w:r w:rsidRPr="0008481A">
        <w:t xml:space="preserve">täkt. </w:t>
      </w:r>
    </w:p>
    <w:p w:rsidR="003B3271" w:rsidRPr="0008481A" w:rsidRDefault="003B3271">
      <w:pPr>
        <w:pStyle w:val="Normaltindrag"/>
      </w:pPr>
      <w:r w:rsidRPr="0008481A">
        <w:t>Som framgått av redogörelsen för den rättsliga regleringen gäller enl</w:t>
      </w:r>
      <w:r w:rsidRPr="0008481A">
        <w:t xml:space="preserve">igt </w:t>
      </w:r>
      <w:r w:rsidRPr="0008481A">
        <w:br/>
        <w:t>punkt 3 i övergångsbestämmelserna till 1942 års strafflagsrevision att varje besit</w:t>
      </w:r>
      <w:r w:rsidRPr="0008481A">
        <w:t>t</w:t>
      </w:r>
      <w:r w:rsidRPr="0008481A">
        <w:t>ningsförhållande som någon utan rätt har rubbat får på färsk gärning återställas av den vars besittning rubbats eller som är i hans ställe. Denna rätt att återställa ru</w:t>
      </w:r>
      <w:r w:rsidRPr="0008481A">
        <w:t>b</w:t>
      </w:r>
      <w:r w:rsidRPr="0008481A">
        <w:t xml:space="preserve">bad besittning utgör ett undantag från en huvudregel om förbud mot självtäkt (se Holmqvist m.fl. Brottsbalken, kap. 1–12, s. 8:63 f.). Redan av detta förhållande kan man dra den slutsatsen att några andra åtgärder än återtagande av t.ex. stulet gods inte </w:t>
      </w:r>
      <w:r w:rsidRPr="0008481A">
        <w:t>får vidtas med stöd av det aktuella stadgandet. Det kan nämnas att den som utövar sin rätt till laga självtäkt därvid kan ha rätt till nödvärn enligt 24 kap. 1 § brottsbalken (se Holmqvist m.fl., Brottsbalken, kap. 13–24, s. 24:10 f.). Av det sagda framgår att bestämmelsen om laga självtäkt inte är tänkt att omfatta a</w:t>
      </w:r>
      <w:r w:rsidRPr="0008481A">
        <w:t>n</w:t>
      </w:r>
      <w:r w:rsidRPr="0008481A">
        <w:t>nat än själva återtagandet av det tillgripna godset i de an</w:t>
      </w:r>
      <w:r w:rsidRPr="0008481A">
        <w:softHyphen/>
        <w:t>givna situationerna. De utredningsåtgärder som förhållandena kan påkalla är med andra ord också i fall av här aktuellt slag, på samm</w:t>
      </w:r>
      <w:r w:rsidRPr="0008481A">
        <w:t xml:space="preserve">a sätt som vid annan brottslighet, förbehållna polis och åklagare. </w:t>
      </w:r>
    </w:p>
    <w:p w:rsidR="003B3271" w:rsidRPr="0008481A" w:rsidRDefault="003B3271">
      <w:pPr>
        <w:pStyle w:val="Normaltindrag"/>
      </w:pPr>
      <w:r w:rsidRPr="0008481A">
        <w:t xml:space="preserve">En annan sak är att den som gör ett envarsgripande enligt 24 kap. 7 § andra </w:t>
      </w:r>
      <w:r w:rsidRPr="0008481A">
        <w:br/>
        <w:t>stycket RB också har rätt att ta ett föremål som därvid påträffas i beslag, om f</w:t>
      </w:r>
      <w:r w:rsidRPr="0008481A">
        <w:t>ö</w:t>
      </w:r>
      <w:r w:rsidRPr="0008481A">
        <w:t>remålet skäligen kan antas äga betydelse för utredning om brott eller vara genom brott någon avhänt eller på grund av brott förverkat (27 kap. 1 § och 4  § första stycket RB). Den som ingriper har således rätt att ta ett sådant föremål i sin besit</w:t>
      </w:r>
      <w:r w:rsidRPr="0008481A">
        <w:t>t</w:t>
      </w:r>
      <w:r w:rsidRPr="0008481A">
        <w:t xml:space="preserve">ning. </w:t>
      </w:r>
    </w:p>
    <w:p w:rsidR="003B3271" w:rsidRPr="0008481A" w:rsidRDefault="003B3271">
      <w:pPr>
        <w:pStyle w:val="Normaltindrag"/>
      </w:pPr>
      <w:r w:rsidRPr="0008481A">
        <w:t>När en butiksägare, en butikskontrollant eller någon annan enskild person ingriper mot någon som misstänks för att ha tillgripit varor i en butik, är syftet med ingr</w:t>
      </w:r>
      <w:r w:rsidRPr="0008481A">
        <w:t>i</w:t>
      </w:r>
      <w:r w:rsidRPr="0008481A">
        <w:t>pandet regelmässigt inte bara att återta det tillgripna utan även att säkerställa ett efterföljande rättsligt förfarande mot den misstänkte. Huruvida den misstänkte frivilligt underkastar sig ingripandet eller ej torde i praktiken inte tillmätas någon avgörande betydelse. Tvärtom sker ingripandet under det underförstådda hotet att den misstänkte annars kommer att hållas kvar med våld tills polis anländer. Om det i dessa sammanhang likväl talas om frivillighet, måste därmed avses det fö</w:t>
      </w:r>
      <w:r w:rsidRPr="0008481A">
        <w:t>r</w:t>
      </w:r>
      <w:r w:rsidRPr="0008481A">
        <w:t>hållandet att den mi</w:t>
      </w:r>
      <w:r w:rsidRPr="0008481A">
        <w:t>sstänkte fogar sig efter de tillsägelser som riktas mot honom utan att något fysiskt våld mot honom behöver tillgripas. Från straffprocessuell synpunkt är det emellertid uteslutet att tillmäta sådan ”frivillighet” någon rel</w:t>
      </w:r>
      <w:r w:rsidRPr="0008481A">
        <w:t>e</w:t>
      </w:r>
      <w:r w:rsidRPr="0008481A">
        <w:t>vans. Även enligt allmänt språkbruk förefaller det främmande att tala om frivilli</w:t>
      </w:r>
      <w:r w:rsidRPr="0008481A">
        <w:t>g</w:t>
      </w:r>
      <w:r w:rsidRPr="0008481A">
        <w:t>het i förevarande sammanhang. Det torde vara odiskutabelt att det för en misstänkt snattares del i praktiken inte är fråga om att antingen återlämna godset på stället och omedelbart därefter få lämna platse</w:t>
      </w:r>
      <w:r w:rsidRPr="0008481A">
        <w:t>n eller att följa med till kontoret för åte</w:t>
      </w:r>
      <w:r w:rsidRPr="0008481A">
        <w:t>r</w:t>
      </w:r>
      <w:r w:rsidRPr="0008481A">
        <w:t>lämnande av godset, identifiering och polisanmälan. Om så vore fallet skulle a</w:t>
      </w:r>
      <w:r w:rsidRPr="0008481A">
        <w:t>n</w:t>
      </w:r>
      <w:r w:rsidRPr="0008481A">
        <w:t>talet uppklarade snatterifall sannolikt minska drastiskt. Vad som erbjuds är i stä</w:t>
      </w:r>
      <w:r w:rsidRPr="0008481A">
        <w:t>l</w:t>
      </w:r>
      <w:r w:rsidRPr="0008481A">
        <w:t>let att den misstänkte antingen skall göra som han blir tillsagd eller att han med våld hålls kvar tills polis anländer. De valmöjligheter för den misstänkte som Riksåklagaren talar om i sitt remissyttrande gäller således i realiteten endast fr</w:t>
      </w:r>
      <w:r w:rsidRPr="0008481A">
        <w:t>å</w:t>
      </w:r>
      <w:r w:rsidRPr="0008481A">
        <w:t>gan om han vill utsättas för våld eller ej.</w:t>
      </w:r>
    </w:p>
    <w:p w:rsidR="003B3271" w:rsidRPr="0008481A" w:rsidRDefault="003B3271">
      <w:pPr>
        <w:pStyle w:val="Normaltindrag"/>
      </w:pPr>
      <w:r w:rsidRPr="0008481A">
        <w:t>För att ett ingri</w:t>
      </w:r>
      <w:r w:rsidRPr="0008481A">
        <w:t>pande mot en person i rättsligt hänseende skall kvalificeras som ett gripande krävs inte att förfarandet är förenat med någon form av fysiskt betvin</w:t>
      </w:r>
      <w:r w:rsidRPr="0008481A">
        <w:t>g</w:t>
      </w:r>
      <w:r w:rsidRPr="0008481A">
        <w:t>ande. Det är tillräckligt att ingripandet är ägnat att framstå som ett frihetsberöva</w:t>
      </w:r>
      <w:r w:rsidRPr="0008481A">
        <w:t>n</w:t>
      </w:r>
      <w:r w:rsidRPr="0008481A">
        <w:t>de. Att ett frihetsberövande för att betraktas som ett sådant inte behöver vara fö</w:t>
      </w:r>
      <w:r w:rsidRPr="0008481A">
        <w:t>r</w:t>
      </w:r>
      <w:r w:rsidRPr="0008481A">
        <w:t>enat med våldsutövning framgår tydligt av polislagen (1984:387). Det föreskrivs där att en polisman, i den mån andra medel är otillräckliga och det med hänsyn till om</w:t>
      </w:r>
      <w:r w:rsidRPr="0008481A">
        <w:softHyphen/>
        <w:t>ständigheterna är försvarlig</w:t>
      </w:r>
      <w:r w:rsidRPr="0008481A">
        <w:t>t, får använda våld för att genomföra en tjänsteå</w:t>
      </w:r>
      <w:r w:rsidRPr="0008481A">
        <w:t>t</w:t>
      </w:r>
      <w:r w:rsidRPr="0008481A">
        <w:t>gärd, om någon som med laga stöd skall berövas friheten försöker undkomma eller polismannen annars möts av motstånd när han skall verkställa ett sådant fr</w:t>
      </w:r>
      <w:r w:rsidRPr="0008481A">
        <w:t>i</w:t>
      </w:r>
      <w:r w:rsidRPr="0008481A">
        <w:t xml:space="preserve">hetsberövande (10 § första stycket 2). Den nu nämnda bestämmelsen är tillämplig också vid envarsgripanden (29 § första stycket andra meningen; se Berggren–Munck, Polislagen 3:e uppl. s. 155). </w:t>
      </w:r>
    </w:p>
    <w:p w:rsidR="003B3271" w:rsidRPr="0008481A" w:rsidRDefault="003B3271">
      <w:pPr>
        <w:pStyle w:val="Normaltindrag"/>
      </w:pPr>
      <w:r w:rsidRPr="0008481A">
        <w:t>Frågan hur man i rättsligt hänseende skall betrakta ett ingripande av en butik</w:t>
      </w:r>
      <w:r w:rsidRPr="0008481A">
        <w:t>s</w:t>
      </w:r>
      <w:r w:rsidRPr="0008481A">
        <w:t>kontrollant mot en person som är misstänkt för snatteri har behandlats i rättsfallet NJA 1990 s. 324. Den fråga som där var föremål för bedömning var om en väkt</w:t>
      </w:r>
      <w:r w:rsidRPr="0008481A">
        <w:t>a</w:t>
      </w:r>
      <w:r w:rsidRPr="0008481A">
        <w:t>re som tjänstgjorde som butikskontrollant, som påtryckningsmedel mot en för snatteri misstänkt kvinna, hade haft rätt att omhänderta kvinnans handväska. B</w:t>
      </w:r>
      <w:r w:rsidRPr="0008481A">
        <w:t>u</w:t>
      </w:r>
      <w:r w:rsidRPr="0008481A">
        <w:t>tikskontrollanten hade hållit fast i väskan för att hindra den misstänkta från att avlägsna sig. Vid sina försök att återta väskan hade kvinnan rivit butiks</w:t>
      </w:r>
      <w:r w:rsidRPr="0008481A">
        <w:softHyphen/>
        <w:t>kontrollanten på handen. Tingsrätten o</w:t>
      </w:r>
      <w:r w:rsidRPr="0008481A">
        <w:t>ch hovrätten dömde den kvinna mot vilket ingripandet hade gjorts för snatteri och våld mot tjänsteman. Kvinnan yrkade i Högsta domstolen att åtalet om våld mot tjäns</w:t>
      </w:r>
      <w:r w:rsidRPr="0008481A">
        <w:softHyphen/>
        <w:t>teman skulle ogillas. Riksåklagaren bestred ändring och anförde bl.a. följande i frågan om butikskontrollantens ingr</w:t>
      </w:r>
      <w:r w:rsidRPr="0008481A">
        <w:t>i</w:t>
      </w:r>
      <w:r w:rsidRPr="0008481A">
        <w:t xml:space="preserve">pande var ett envarsgripande eller ej.  </w:t>
      </w:r>
    </w:p>
    <w:p w:rsidR="003B3271" w:rsidRPr="0008481A" w:rsidRDefault="003B3271">
      <w:pPr>
        <w:pStyle w:val="Citat"/>
      </w:pPr>
      <w:r w:rsidRPr="0008481A">
        <w:t>Omedelbart efter det att N. gjort sig skyldig till snatteri ingrep W. på så sätt att hon visade sin legitimation och sade åt N. att följa med. Straffskalan för snatteri är böter eller fäng</w:t>
      </w:r>
      <w:r w:rsidRPr="0008481A">
        <w:t>else i högst sex månader. Enligt min bedömning innebar dessa W:s åtgärder att hon med stöd av 24 kap. 7 § 2 st RB genomförde ett gripande av N. För att hindra N. när hon försökte avlägsna sig hade W. därför rätt att tillgripa våld  – – –.</w:t>
      </w:r>
    </w:p>
    <w:p w:rsidR="003B3271" w:rsidRPr="0008481A" w:rsidRDefault="003B3271">
      <w:r w:rsidRPr="0008481A">
        <w:t>Som redan nämnts var huvudfrågan i målet inte om butikskontrollantens ingripa</w:t>
      </w:r>
      <w:r w:rsidRPr="0008481A">
        <w:t>n</w:t>
      </w:r>
      <w:r w:rsidRPr="0008481A">
        <w:t xml:space="preserve">de var ett envarsgripande eller ej utan om butikskontrollanten W. hade överskridit sina befogenheter vid ingripandet mot N. och om N. därför hade haft rätt att värja sig och sin egendom. I Högsta domstolens dom finns emellertid uttalanden av intresse för den här aktuella frågan. I reciten lämnas bl.a. följande beskrivning av det aktuella händelseförloppet. </w:t>
      </w:r>
    </w:p>
    <w:p w:rsidR="003B3271" w:rsidRPr="0008481A" w:rsidRDefault="003B3271">
      <w:pPr>
        <w:pStyle w:val="Citat"/>
      </w:pPr>
      <w:r w:rsidRPr="0008481A">
        <w:t>Ingripandet mot N. inleddes med att W. legitimerade sig. Att N. härigenom fick klart för sig att hon var misstänkt för snatteri framgår bl.a. av att ho</w:t>
      </w:r>
      <w:r w:rsidRPr="0008481A">
        <w:t xml:space="preserve">n på väg mot kontoret erbjöd W. att titta i hennes handväska, ett erbjudande som W. emellertid avböjde med hänsyn till sina instruktioner att inte föra några diskussioner med misstänkta ute i butikslokalen. </w:t>
      </w:r>
    </w:p>
    <w:p w:rsidR="003B3271" w:rsidRPr="0008481A" w:rsidRDefault="003B3271">
      <w:pPr>
        <w:pStyle w:val="Citatindrag"/>
      </w:pPr>
      <w:r w:rsidRPr="0008481A">
        <w:t>Omedelbart utanför ingången till lagret där kontoret fanns vägrade N. att längre följa med W. och drog i stället sin kundvagn tillbaka i riktning mot utgången. Kundvagnen innehöll varor, som N. hade betalt i butikens kassa, samt – – – en – – – handväska som innehöll bl.a. plånbok och andra personliga ti</w:t>
      </w:r>
      <w:r w:rsidRPr="0008481A">
        <w:t>llhörigheter. W. försökte förmå N. att följa med genom att dra kundvagnen i motsatt riktning. När det stod klart att N. var den starkare av de två, ryckte W. till sig de tillgripna kasset</w:t>
      </w:r>
      <w:r w:rsidRPr="0008481A">
        <w:t>t</w:t>
      </w:r>
      <w:r w:rsidRPr="0008481A">
        <w:t xml:space="preserve">banden, som fallit ned i kundvagnen, samt N:s handväska. W. tryckte väskan mot kroppen och vände för att springa mot lagret och kontoret. N. lyckades emellertid få tag i sin handväska och kunde ta tillbaka den genom att klösa W. på händerna. </w:t>
      </w:r>
    </w:p>
    <w:p w:rsidR="003B3271" w:rsidRPr="0008481A" w:rsidRDefault="003B3271">
      <w:pPr>
        <w:pStyle w:val="Citatindrag"/>
      </w:pPr>
      <w:r w:rsidRPr="0008481A">
        <w:t xml:space="preserve">Tillfrågad om sina avsikter med att ta N:s väska har W. förklarat att hon räknat </w:t>
      </w:r>
      <w:r w:rsidRPr="0008481A">
        <w:t xml:space="preserve">med att N. skulle komma efter sin handväska och att hon inte vet hur hon skulle förfarit om N. i stället avlägsnat sig från butiken; W. hade i varje fall inte för avsikt att ”lägga beslag på väskan”. </w:t>
      </w:r>
    </w:p>
    <w:p w:rsidR="003B3271" w:rsidRPr="0008481A" w:rsidRDefault="003B3271">
      <w:r w:rsidRPr="0008481A">
        <w:t>Högsta domstolen uttalade att W. enligt 24 kap. 7 § andra stycket RB haft rätt att gripa N., som gjort sig skyldig till snatteri och tagits på bar gärning, samt att W. därmed</w:t>
      </w:r>
      <w:r w:rsidRPr="0008481A">
        <w:rPr>
          <w:i/>
        </w:rPr>
        <w:t xml:space="preserve"> </w:t>
      </w:r>
      <w:r w:rsidRPr="0008481A">
        <w:t>haft rätt att bruka visst våld för att genomföra gripandet. Efter genomgång av gällande bestämmelser på området fann domstolen att W. ägt rätt att som p</w:t>
      </w:r>
      <w:r w:rsidRPr="0008481A">
        <w:t>å</w:t>
      </w:r>
      <w:r w:rsidRPr="0008481A">
        <w:t>tryckningsmedel ta hand om N:s handväska och att åtgärden – vilken med hänsyn till W:s syfte med den inte betraktades som ett beslag av handväskan – inte hade överskridit vad som med hänsyn till omständigheterna varit försva</w:t>
      </w:r>
      <w:r w:rsidRPr="0008481A">
        <w:t>r</w:t>
      </w:r>
      <w:r w:rsidRPr="0008481A">
        <w:t xml:space="preserve">ligt. </w:t>
      </w:r>
    </w:p>
    <w:p w:rsidR="003B3271" w:rsidRPr="0008481A" w:rsidRDefault="003B3271">
      <w:pPr>
        <w:pStyle w:val="Normaltindrag"/>
      </w:pPr>
      <w:r w:rsidRPr="0008481A">
        <w:t>Två justitieråd var skiljaktiga i fråga om motiveringen och menade att W:s åtgärd att ta handväskan utgjorde ett beslag. Av in</w:t>
      </w:r>
      <w:r w:rsidRPr="0008481A">
        <w:t>tresse här är vad minoriteten i klarg</w:t>
      </w:r>
      <w:r w:rsidRPr="0008481A">
        <w:t>ö</w:t>
      </w:r>
      <w:r w:rsidRPr="0008481A">
        <w:t>rande syfte yttrade angående det i målet aktuella ingripa</w:t>
      </w:r>
      <w:r w:rsidRPr="0008481A">
        <w:t>n</w:t>
      </w:r>
      <w:r w:rsidRPr="0008481A">
        <w:t xml:space="preserve">det mot N. </w:t>
      </w:r>
    </w:p>
    <w:p w:rsidR="003B3271" w:rsidRPr="0008481A" w:rsidRDefault="003B3271">
      <w:pPr>
        <w:pStyle w:val="Citat"/>
      </w:pPr>
      <w:r w:rsidRPr="0008481A">
        <w:t>På grund av det snatteribrott som N. begått har W. enligt 24 kap. 7 § 2 st. RB varit berättigad att gripa N. Hennes förfarande måste också anses som ett sådant gripande, oaktat N. till en början följde med utan protester.</w:t>
      </w:r>
    </w:p>
    <w:p w:rsidR="003B3271" w:rsidRPr="0008481A" w:rsidRDefault="003B3271">
      <w:r w:rsidRPr="0008481A">
        <w:t>Högsta domstolens resonemang kan inte uppfattas på annat sätt än att domstolen varit av den uppfattningen att W:s ingripande var att betrakta som ett envarsgr</w:t>
      </w:r>
      <w:r w:rsidRPr="0008481A">
        <w:t>i</w:t>
      </w:r>
      <w:r w:rsidRPr="0008481A">
        <w:t>pande enligt 24 kap. 7 § andra stycket RB redan innan några handgripligheter h</w:t>
      </w:r>
      <w:r w:rsidRPr="0008481A">
        <w:t>a</w:t>
      </w:r>
      <w:r w:rsidRPr="0008481A">
        <w:t xml:space="preserve">de förekommit mellan W. och N.  </w:t>
      </w:r>
    </w:p>
    <w:p w:rsidR="003B3271" w:rsidRPr="0008481A" w:rsidRDefault="003B3271">
      <w:pPr>
        <w:pStyle w:val="Normaltindrag"/>
      </w:pPr>
      <w:r w:rsidRPr="0008481A">
        <w:t xml:space="preserve">Det kan mot den här angivna bakgrunden konstateras att ett förfarande från en butikskontrollants eller annan enskild persons sida, som innebär att en för snatteri misstänkt person uppmanas att följa med till kontoret eller någon annan avskild plats för att där få sin identitet kontrollerad och uppmanas att ta ställning till brottsmisstanken, i rättsligt hänseende är att betrakta som ett gripande </w:t>
      </w:r>
      <w:r w:rsidRPr="0008481A">
        <w:t>i den m</w:t>
      </w:r>
      <w:r w:rsidRPr="0008481A">
        <w:t>e</w:t>
      </w:r>
      <w:r w:rsidRPr="0008481A">
        <w:t>ning som åsyftas i 24 kap. 7 § andra stycket RB. Som redan har nämnts går ett sådant förfarande utöver vad som kan anses följa av reglerna om laga självtäkt, eftersom det här uppenbarligen är fråga inte bara om att återta det tillgripna utan i lika hög grad att säkerställa ett efterföljande rättsligt förfarande mot den mis</w:t>
      </w:r>
      <w:r w:rsidRPr="0008481A">
        <w:t>s</w:t>
      </w:r>
      <w:r w:rsidRPr="0008481A">
        <w:t>tänkte. Det resonemang i frågan som finns i Stöldutredningens betänkande innebär i realiteten att det görs gällande att det utanför lagens ram föreligger en rätt för en enskild pe</w:t>
      </w:r>
      <w:r w:rsidRPr="0008481A">
        <w:t>rson att ingripa med tvång mot en annan enskild person i syfte att säke</w:t>
      </w:r>
      <w:r w:rsidRPr="0008481A">
        <w:t>r</w:t>
      </w:r>
      <w:r w:rsidRPr="0008481A">
        <w:t>ställa utredning med anledning av en brottsmisstanke. Ett sådant synsätt står i uppenbar strid med den för varje rättssamhälle utmärkande legalitetspri</w:t>
      </w:r>
      <w:r w:rsidRPr="0008481A">
        <w:t>n</w:t>
      </w:r>
      <w:r w:rsidRPr="0008481A">
        <w:t xml:space="preserve">cipen.  </w:t>
      </w:r>
    </w:p>
    <w:p w:rsidR="003B3271" w:rsidRPr="0008481A" w:rsidRDefault="003B3271">
      <w:pPr>
        <w:pStyle w:val="Normaltindrag"/>
      </w:pPr>
      <w:r w:rsidRPr="0008481A">
        <w:t xml:space="preserve">Vad sedan gäller det fortsatta förfarandet är lagtexten i 24 kap. 7 § andra stycket RB entydig; den gripne </w:t>
      </w:r>
      <w:r w:rsidRPr="0008481A">
        <w:rPr>
          <w:i/>
        </w:rPr>
        <w:t xml:space="preserve">skall </w:t>
      </w:r>
      <w:r w:rsidRPr="0008481A">
        <w:t>skyndsamt överlämnas till närmaste polisman. De</w:t>
      </w:r>
      <w:r w:rsidRPr="0008481A">
        <w:t>n</w:t>
      </w:r>
      <w:r w:rsidRPr="0008481A">
        <w:t>na regel kan inte uppfattas på annat sätt än att det skall vara fråga om ett förfara</w:t>
      </w:r>
      <w:r w:rsidRPr="0008481A">
        <w:t>n</w:t>
      </w:r>
      <w:r w:rsidRPr="0008481A">
        <w:t>de som gör det möjligt för polismannen att faktiskt överta gripandet med stöd av 24 kap. 7 § första stycket RB eller att exempelvis kroppsvisitera den misstänkte. Att lagstiftaren inte har haft något annat än ett fysiskt överlämnande i tankarna framgår också av Process</w:t>
      </w:r>
      <w:r w:rsidRPr="0008481A">
        <w:softHyphen/>
        <w:t>kommissionens förslag till bestämmelse om envarsgr</w:t>
      </w:r>
      <w:r w:rsidRPr="0008481A">
        <w:t>i</w:t>
      </w:r>
      <w:r w:rsidRPr="0008481A">
        <w:t xml:space="preserve">pande. Denna bestämmelse hade i de delar som här är </w:t>
      </w:r>
      <w:r w:rsidRPr="0008481A">
        <w:t>av intresse följande lydelse (se SOU 1926:32 s. 100; se även s. 88).</w:t>
      </w:r>
    </w:p>
    <w:p w:rsidR="003B3271" w:rsidRPr="0008481A" w:rsidRDefault="003B3271">
      <w:pPr>
        <w:pStyle w:val="Citat"/>
      </w:pPr>
      <w:r w:rsidRPr="0008481A">
        <w:t>Träffas den, som begått brott, på bar gärning eller flyende fot, må han av envar gripas, om å brottet efter lag kan följa straffarbete eller fängelse. Detsamma skall gälla angående den, som blivit e</w:t>
      </w:r>
      <w:r w:rsidRPr="0008481A">
        <w:t>f</w:t>
      </w:r>
      <w:r w:rsidRPr="0008481A">
        <w:t>terlyst för brott.</w:t>
      </w:r>
    </w:p>
    <w:p w:rsidR="003B3271" w:rsidRPr="0008481A" w:rsidRDefault="003B3271">
      <w:pPr>
        <w:pStyle w:val="Citatindrag"/>
      </w:pPr>
      <w:r w:rsidRPr="0008481A">
        <w:t>Den som, efter vad nu är sagt, gripit någon, skall genast överlämna honom till närmaste polisman, vilken omedelbart har att, om laga skäl till anhållande enligt hans mening ej förekommer, frigiva den gripne men eljest ställa honom inför närmaste statsåklagare eller polismyndighet. Kan den, som gripits, med mindre omgång omedelbart ställas inför statsåklagare eller polismyndighet, må det ock ske. – – –.</w:t>
      </w:r>
    </w:p>
    <w:p w:rsidR="003B3271" w:rsidRPr="0008481A" w:rsidRDefault="003B3271">
      <w:r w:rsidRPr="0008481A">
        <w:t>Det finns anledning att i detta sammanhang påpeka att regeln om överlämnande av den gripne till en polisman har en viktig funktion som skydd för den gripne genom att säkerställa att frågan hur det skall förfaras med denne så snabbt som möjligt överlämnas till en företrädare för det allmänna, vilken, till följd av den objektivitetsprincip som gäller för den brottsutredande verksamheten (23 kap. 4 § RB), har att på platsen tillvarata inte bara målsägandens utan också den misstän</w:t>
      </w:r>
      <w:r w:rsidRPr="0008481A">
        <w:t>k</w:t>
      </w:r>
      <w:r w:rsidRPr="0008481A">
        <w:t>tes intressen. En av de uppgifter som ankommer på den polisman som har kommit till platsen är exempelvis att kontrollera att den som har gjort ingripandet inte har överskridit sina befogenh</w:t>
      </w:r>
      <w:r w:rsidRPr="0008481A">
        <w:t>e</w:t>
      </w:r>
      <w:r w:rsidRPr="0008481A">
        <w:t xml:space="preserve">ter. </w:t>
      </w:r>
    </w:p>
    <w:p w:rsidR="003B3271" w:rsidRPr="0008481A" w:rsidRDefault="003B3271">
      <w:pPr>
        <w:pStyle w:val="Normaltindrag"/>
      </w:pPr>
      <w:r w:rsidRPr="0008481A">
        <w:t>Det är således inte lagligen möjligt att vid ett telefonsamtal med polismyndigheten ”muntligen överlämna” någon som har blivit föremål för ett ingripande av en b</w:t>
      </w:r>
      <w:r w:rsidRPr="0008481A">
        <w:t>u</w:t>
      </w:r>
      <w:r w:rsidRPr="0008481A">
        <w:t>tikskontrollant eller annan enskild person med anledning av en misstanke om snatteri. Mot skyldigheten för den som har gjort gripandet att fysiskt överlämna den gripne till en polisman svarar självfallet en skyldighet för polismyndigheten att, om den underrättas om gripandet per telefon, sända en polisman till platsen för gripandet. Det finns således inte något rättsligt stöd för ett förfarande som innebär att en polisman, i stället för att komma till platsen, håller ett telefonförhör med den gripne. För a</w:t>
      </w:r>
      <w:r w:rsidRPr="0008481A">
        <w:t>tt man skall kunna förfara på detta sätt krävs en lagän</w:t>
      </w:r>
      <w:r w:rsidRPr="0008481A">
        <w:t>d</w:t>
      </w:r>
      <w:r w:rsidRPr="0008481A">
        <w:t>ring.</w:t>
      </w:r>
    </w:p>
    <w:p w:rsidR="003B3271" w:rsidRPr="0008481A" w:rsidRDefault="003B3271">
      <w:pPr>
        <w:pStyle w:val="Normaltindrag"/>
      </w:pPr>
      <w:r w:rsidRPr="0008481A">
        <w:t>En annan sak är att det, med hänsyn till det krav på skyndsamt överlämnande av den gripne till en polisman som slås fast i 24 kap. 7 § andra stycket RB, kan vara av värde att det hos polismyndigheten finns ett särskilt telefonnummer som kan användas t.ex. av en butikskontrollant som vill framställa en begäran om att en poli</w:t>
      </w:r>
      <w:r w:rsidRPr="0008481A">
        <w:t>s</w:t>
      </w:r>
      <w:r w:rsidRPr="0008481A">
        <w:t xml:space="preserve">man skall komma till platsen för ett gripande. </w:t>
      </w:r>
    </w:p>
    <w:p w:rsidR="003B3271" w:rsidRPr="0008481A" w:rsidRDefault="003B3271">
      <w:pPr>
        <w:pStyle w:val="Normaltindrag"/>
      </w:pPr>
      <w:r w:rsidRPr="0008481A">
        <w:t>Med anledning av vad Stöldutredningen uttalat om de negativa konsekvenserna för den enskilde av att man betraktar ett ingripande mot den som ertappats med ett butikstillgrepp som ett gripande vill jag framhålla att det inte kan anses stå i strid med regeln i 24 kap. 7 § andra stycket RB att den gripne i avvaktan på polisens ankomst tas med till ett kontor eller något annat skyddat utrymme i anslutning till den plats där gripandet gjordes. En sådan åtgärd fram</w:t>
      </w:r>
      <w:r w:rsidRPr="0008481A">
        <w:t>står tvärtom som motiverad av hänsyn såväl till den gripnes integritet (jfr JO 1990/91 s. 82) som till intresset av att förhindra att han avviker. Den inryms därför naturligen i institutet envar</w:t>
      </w:r>
      <w:r w:rsidRPr="0008481A">
        <w:t>s</w:t>
      </w:r>
      <w:r w:rsidRPr="0008481A">
        <w:t>gripande och kan därmed inte betraktas som ett medtagande till förhör, dvs. som en åtgärd som får vidtas endast av en polisman. Det kan tilläggas att ett envarsgr</w:t>
      </w:r>
      <w:r w:rsidRPr="0008481A">
        <w:t>i</w:t>
      </w:r>
      <w:r w:rsidRPr="0008481A">
        <w:t>pande inte innefattar någon rätt för den som har gjort gripandet att hålla ett förhör med den gripne. Jag återkommer till denna fråga i avsnittet om ident</w:t>
      </w:r>
      <w:r w:rsidRPr="0008481A">
        <w:t xml:space="preserve">ifieringen av den gripne. </w:t>
      </w:r>
    </w:p>
    <w:p w:rsidR="003B3271" w:rsidRPr="0008481A" w:rsidRDefault="003B3271">
      <w:pPr>
        <w:pStyle w:val="Normaltindrag"/>
      </w:pPr>
      <w:r w:rsidRPr="0008481A">
        <w:t>Om det visar sig att det inte är möjligt att överlämna den gripne till en polisman, t.ex. beroende på att det från polismyndighetens sida vid ett telefonsamtal uppl</w:t>
      </w:r>
      <w:r w:rsidRPr="0008481A">
        <w:t>y</w:t>
      </w:r>
      <w:r w:rsidRPr="0008481A">
        <w:t>ses att man inte kommer att sända någon polisman till platsen, får den som har gjort gripandet anses ha fullgjort sina skyldigheter enligt 24 kap. 7 § andra stycket RB. Om denne får ett sådant besked, saknas följaktligen grund för att låta gripa</w:t>
      </w:r>
      <w:r w:rsidRPr="0008481A">
        <w:t>n</w:t>
      </w:r>
      <w:r w:rsidRPr="0008481A">
        <w:t>det bestå. Det finns i en sådan situation inte någon rätt för den som har gjort gr</w:t>
      </w:r>
      <w:r w:rsidRPr="0008481A">
        <w:t>i</w:t>
      </w:r>
      <w:r w:rsidRPr="0008481A">
        <w:t>pandet att hålla kvar den gripne på platsen exempelvis i syfte att få till stånd ett av polisen genomfört telefonförhör med denne. Det får i stället anses ankomma på polis</w:t>
      </w:r>
      <w:r w:rsidRPr="0008481A">
        <w:softHyphen/>
        <w:t>myndighete</w:t>
      </w:r>
      <w:r w:rsidRPr="0008481A">
        <w:t>n att upplysa den som har gjort gripandet om att den gripne om</w:t>
      </w:r>
      <w:r w:rsidRPr="0008481A">
        <w:t>e</w:t>
      </w:r>
      <w:r w:rsidRPr="0008481A">
        <w:t>delbart skall friges.</w:t>
      </w:r>
    </w:p>
    <w:p w:rsidR="003B3271" w:rsidRPr="0008481A" w:rsidRDefault="003B3271">
      <w:pPr>
        <w:pStyle w:val="Rubrik4"/>
      </w:pPr>
      <w:r w:rsidRPr="0008481A">
        <w:t>Betydelsen av att den enskilde förklarar sig villig att medverka i snattefon</w:t>
      </w:r>
      <w:r w:rsidRPr="0008481A">
        <w:softHyphen/>
        <w:t>förf</w:t>
      </w:r>
      <w:r w:rsidRPr="0008481A">
        <w:t>a</w:t>
      </w:r>
      <w:r w:rsidRPr="0008481A">
        <w:t>randet</w:t>
      </w:r>
    </w:p>
    <w:p w:rsidR="003B3271" w:rsidRPr="0008481A" w:rsidRDefault="003B3271">
      <w:r w:rsidRPr="0008481A">
        <w:t xml:space="preserve">Som framgår av vad som har sagts i närmast föregående avsnitt är den normala formen för ingripande mot en person som har ertappats med ett butikstillgrepp att betrakta som ett envarsgripande. Detta skede av snattefonförfarandet innefattar således inte något annat moment av frivillighet från den gripnes sida än att denne i många fall utan motstånd fogar sig i det tvång som han utsätts för. </w:t>
      </w:r>
    </w:p>
    <w:p w:rsidR="003B3271" w:rsidRPr="0008481A" w:rsidRDefault="003B3271">
      <w:pPr>
        <w:pStyle w:val="Normaltindrag"/>
      </w:pPr>
      <w:r w:rsidRPr="0008481A">
        <w:t>Det har under utredningen upplysts att ett telefonförhör per snattefon genomförs endast om den misstänkte samtycker till detta. Det finns mot bakgrund av det nyss sagda anledning att ifrågasätta graden av frivillighet också vad gäller denna del av förfarandet. Jag vill vidare understryka att exempelvis reglerna i 23 kap. 18 § RB, som utgör ett viktigt inslag i förundersökningsförfarandet, har tillkommit i syfte att främja det allmänna intresset av att brott utreds på ett objektivt och rättssäkert sätt samt</w:t>
      </w:r>
      <w:r w:rsidRPr="0008481A">
        <w:t xml:space="preserve"> att dessa regler, i likhet med vad som allmänt gäller i fråga om rätt</w:t>
      </w:r>
      <w:r w:rsidRPr="0008481A">
        <w:t>e</w:t>
      </w:r>
      <w:r w:rsidRPr="0008481A">
        <w:t>gångsbalkens bestämmelser, inte är dispositiva. Man måste ha i åtanke att det här är fråga om en situation där den misstänkte kan antas känna sig stå under stark press av den som har ingripit mot honom och där förhållandena även i övrigt är sådana att den ståndpunkt som han intar med anledning av brottsmisstanken inte alltid blir rationell och välövervägd. Det förhållandet att han under sådana o</w:t>
      </w:r>
      <w:r w:rsidRPr="0008481A">
        <w:t>m</w:t>
      </w:r>
      <w:r w:rsidRPr="0008481A">
        <w:t>ständigheter förklarar sig gå med på att d</w:t>
      </w:r>
      <w:r w:rsidRPr="0008481A">
        <w:t>elta i ett förfarande, som i praktiken i</w:t>
      </w:r>
      <w:r w:rsidRPr="0008481A">
        <w:t>n</w:t>
      </w:r>
      <w:r w:rsidRPr="0008481A">
        <w:t>nebär att han avstår från det skydd för hans rättssäkerhet som reglerna om föru</w:t>
      </w:r>
      <w:r w:rsidRPr="0008481A">
        <w:t>n</w:t>
      </w:r>
      <w:r w:rsidRPr="0008481A">
        <w:t>dersökningsförfarandet erbjuder, bör av nu angivna skäl inte tillmätas någon rättslig r</w:t>
      </w:r>
      <w:r w:rsidRPr="0008481A">
        <w:t>e</w:t>
      </w:r>
      <w:r w:rsidRPr="0008481A">
        <w:t xml:space="preserve">levans. </w:t>
      </w:r>
    </w:p>
    <w:p w:rsidR="003B3271" w:rsidRPr="0008481A" w:rsidRDefault="003B3271">
      <w:pPr>
        <w:pStyle w:val="Normaltindrag"/>
      </w:pPr>
      <w:r w:rsidRPr="0008481A">
        <w:t>Jag återkommer i det följande till frågan om det förenklade förfarandet enligt 23 kap. 22 § RB över huvud taget bör användas vid utredningen av butikssnatterier. Det kan emellertid finnas anledning att redan här framhålla att såväl ett erkänna</w:t>
      </w:r>
      <w:r w:rsidRPr="0008481A">
        <w:t>n</w:t>
      </w:r>
      <w:r w:rsidRPr="0008481A">
        <w:t>de som andra uppgifter från den misstänktes sida, som lämnas vid ett telefonfö</w:t>
      </w:r>
      <w:r w:rsidRPr="0008481A">
        <w:t>r</w:t>
      </w:r>
      <w:r w:rsidRPr="0008481A">
        <w:t>hör i en situation av nu beskrivet slag, får anses ha ett tvivelaktigt värde i utre</w:t>
      </w:r>
      <w:r w:rsidRPr="0008481A">
        <w:t>d</w:t>
      </w:r>
      <w:r w:rsidRPr="0008481A">
        <w:t>ningshänseende. Ett skäl härtill är att den polisman som håller förhöret inte har fullständig kontroll över förhörs</w:t>
      </w:r>
      <w:r w:rsidRPr="0008481A">
        <w:softHyphen/>
        <w:t>situationen, och att den befattningshavare som i efterhand skall fatta beslut på grundval av utredningen därför vid värderingen av den misstänktes uppgifter inte har någon möjlighet att på ett fullgott sätt bedöma i vilken mån dessa</w:t>
      </w:r>
      <w:r w:rsidRPr="0008481A">
        <w:t xml:space="preserve"> har påverkats av de förhållanden under vilka de har lämnats. I sammanhanget bör särskilt beaktas att den misstänkte under telefonförhöret står under fysisk kontroll av målsäganden eller av någon som är i dennes ställe och som tillika i processrättsligt hänseende är att anse som vittne till det inträffade. </w:t>
      </w:r>
    </w:p>
    <w:p w:rsidR="003B3271" w:rsidRPr="0008481A" w:rsidRDefault="003B3271">
      <w:pPr>
        <w:pStyle w:val="Rubrik4"/>
      </w:pPr>
      <w:r w:rsidRPr="0008481A">
        <w:t>Identifieringen av den misstänkte</w:t>
      </w:r>
    </w:p>
    <w:p w:rsidR="003B3271" w:rsidRPr="0008481A" w:rsidRDefault="003B3271">
      <w:r w:rsidRPr="0008481A">
        <w:t>Av de yttranden som har avgetts i ärendet framgår bl.a. att snatte</w:t>
      </w:r>
      <w:r w:rsidRPr="0008481A">
        <w:softHyphen/>
        <w:t>fon</w:t>
      </w:r>
      <w:r w:rsidRPr="0008481A">
        <w:softHyphen/>
        <w:t>förfarandet innebär att polis tillkallas endast i de fall där den misstänkte inte kan identifieras. Av utredningen framgår vidare att identifieringen av den misstänkte i de fall där snattefonförfarandet kommer till användning i viktiga hänseenden bygger på up</w:t>
      </w:r>
      <w:r w:rsidRPr="0008481A">
        <w:t>p</w:t>
      </w:r>
      <w:r w:rsidRPr="0008481A">
        <w:t>gifter som inhämtas och per telefon vidare</w:t>
      </w:r>
      <w:r w:rsidRPr="0008481A">
        <w:softHyphen/>
        <w:t>be</w:t>
      </w:r>
      <w:r w:rsidRPr="0008481A">
        <w:softHyphen/>
        <w:t>ford</w:t>
      </w:r>
      <w:r w:rsidRPr="0008481A">
        <w:softHyphen/>
        <w:t>ras till polisen av den som har gjort ingr</w:t>
      </w:r>
      <w:r w:rsidRPr="0008481A">
        <w:t>i</w:t>
      </w:r>
      <w:r w:rsidRPr="0008481A">
        <w:t xml:space="preserve">pandet. </w:t>
      </w:r>
    </w:p>
    <w:p w:rsidR="003B3271" w:rsidRPr="0008481A" w:rsidRDefault="003B3271">
      <w:pPr>
        <w:pStyle w:val="Normaltindrag"/>
      </w:pPr>
      <w:r w:rsidRPr="0008481A">
        <w:t>Uppgiften att utreda anmälda brott ankommer på polisen, som är en del av den statliga förvaltningsorganisationen. Enligt 11 kap. 6 § tredje styc</w:t>
      </w:r>
      <w:r w:rsidRPr="0008481A">
        <w:t>ket regeringsfo</w:t>
      </w:r>
      <w:r w:rsidRPr="0008481A">
        <w:t>r</w:t>
      </w:r>
      <w:r w:rsidRPr="0008481A">
        <w:t>men kan en förvaltningsuppgift överlämnas bl.a. till en enskild person. Om en sådan uppgift innefattar myndighetsutövning skall överläm</w:t>
      </w:r>
      <w:r w:rsidRPr="0008481A">
        <w:softHyphen/>
        <w:t>nan</w:t>
      </w:r>
      <w:r w:rsidRPr="0008481A">
        <w:softHyphen/>
        <w:t>det enligt samma la</w:t>
      </w:r>
      <w:r w:rsidRPr="0008481A">
        <w:t>g</w:t>
      </w:r>
      <w:r w:rsidRPr="0008481A">
        <w:t xml:space="preserve">rum ske med stöd av lag.  </w:t>
      </w:r>
    </w:p>
    <w:p w:rsidR="003B3271" w:rsidRPr="0008481A" w:rsidRDefault="003B3271">
      <w:pPr>
        <w:pStyle w:val="Normaltindrag"/>
      </w:pPr>
      <w:r w:rsidRPr="0008481A">
        <w:t>När en polisman får kännedom om ett brott som hör under allmänt åtal, skall han lämna rapport om det till sin förman så snart det kan ske (9 § polislagen). En s</w:t>
      </w:r>
      <w:r w:rsidRPr="0008481A">
        <w:t>å</w:t>
      </w:r>
      <w:r w:rsidRPr="0008481A">
        <w:t>dan rapportering anses, i likhet med åtgärden att upprätta en brottsanmälan, vara en åtgärd vid myndighetsutövning (se NJA 1994 s. 325). Att fastställa den mis</w:t>
      </w:r>
      <w:r w:rsidRPr="0008481A">
        <w:t>s</w:t>
      </w:r>
      <w:r w:rsidRPr="0008481A">
        <w:t>tänktes identitet i en situation där denne har påträffats på bar gärning utgör utan tvivel ett centralt inslag i rapporterings- och anmälningsförfara</w:t>
      </w:r>
      <w:r w:rsidRPr="0008481A">
        <w:t>n</w:t>
      </w:r>
      <w:r w:rsidRPr="0008481A">
        <w:t xml:space="preserve">dena. </w:t>
      </w:r>
    </w:p>
    <w:p w:rsidR="003B3271" w:rsidRPr="0008481A" w:rsidRDefault="003B3271">
      <w:pPr>
        <w:pStyle w:val="Normaltindrag"/>
      </w:pPr>
      <w:r w:rsidRPr="0008481A">
        <w:t>Det bör vidare noteras att lagstiftningen ställer ett antal maktmedel, som alla får anses innefatta myndighetsutövning, till polisens förfogande i syfte att identifiera en misstänkt person. Enli</w:t>
      </w:r>
      <w:r w:rsidRPr="0008481A">
        <w:t xml:space="preserve">gt vad som föreskrivs i 24 kap. 2 § </w:t>
      </w:r>
      <w:r w:rsidRPr="0008481A">
        <w:br/>
        <w:t>1 RB får, oberoende av brottets beskaffenhet, den som på sannolika skäl är misstänkt för ett brott hä</w:t>
      </w:r>
      <w:r w:rsidRPr="0008481A">
        <w:t>k</w:t>
      </w:r>
      <w:r w:rsidRPr="0008481A">
        <w:t xml:space="preserve">tas – och därmed också anhållas och gripas (se </w:t>
      </w:r>
      <w:r w:rsidRPr="0008481A">
        <w:br/>
        <w:t>24 kap. 6 § första stycket och 7 § första stycket RB) – om han är okänd och vägrar att uppge namn och hemvist eller om hans uppgift om detta kan antas vara osann. En viktig uppgift för den poli</w:t>
      </w:r>
      <w:r w:rsidRPr="0008481A">
        <w:t>s</w:t>
      </w:r>
      <w:r w:rsidRPr="0008481A">
        <w:t>man, som kommer till platsen för ett envarsgripande med anledning av misstanke om ett brott som inte har fängelse ett år i straffsk</w:t>
      </w:r>
      <w:r w:rsidRPr="0008481A">
        <w:t>alan, är således att ta ställning till om han skall överta gripandet med stöd av denna bestämmelse. I 19 § första stycket 2 polislagen föreskrivs vidare att en polisman, som med laga stöd griper eller annars omhändertar eller avlägsnar någon, i anslutning till ingripandet, får kropps</w:t>
      </w:r>
      <w:r w:rsidRPr="0008481A">
        <w:softHyphen/>
        <w:t>visitera denne i den utsträckning som är nödvändig bl.a. för att hans ide</w:t>
      </w:r>
      <w:r w:rsidRPr="0008481A">
        <w:t>n</w:t>
      </w:r>
      <w:r w:rsidRPr="0008481A">
        <w:t>titet skall kunna fastställas. Jag vill vidare erinra om rätten för en polisman e</w:t>
      </w:r>
      <w:r w:rsidRPr="0008481A">
        <w:t>n</w:t>
      </w:r>
      <w:r w:rsidRPr="0008481A">
        <w:t>ligt 23 kap. 8 § första stycket RB att ta med en person som befinner si</w:t>
      </w:r>
      <w:r w:rsidRPr="0008481A">
        <w:t>g på en brottsplats till förhör, om denne utan giltig orsak vägrar att hörsamma en uppm</w:t>
      </w:r>
      <w:r w:rsidRPr="0008481A">
        <w:t>a</w:t>
      </w:r>
      <w:r w:rsidRPr="0008481A">
        <w:t>ning att följa med till förhör.</w:t>
      </w:r>
    </w:p>
    <w:p w:rsidR="003B3271" w:rsidRPr="0008481A" w:rsidRDefault="003B3271">
      <w:pPr>
        <w:pStyle w:val="Normaltindrag"/>
      </w:pPr>
      <w:r w:rsidRPr="0008481A">
        <w:t>Den som gör ett envarsgripande har däremot inte rättslig befogenhet att vidta nå</w:t>
      </w:r>
      <w:r w:rsidRPr="0008481A">
        <w:t>g</w:t>
      </w:r>
      <w:r w:rsidRPr="0008481A">
        <w:t>ra åtgärder i syfte att fastställa den gripnes identitet. Av 29 § andra stycket polis</w:t>
      </w:r>
      <w:r w:rsidRPr="0008481A">
        <w:softHyphen/>
        <w:t>lagen följer sålunda att kroppsvisitation i identifieringssyfte inte får utföras av den som gör ett envarsgripande. Den gripne har inte heller någon skyldighet att uppl</w:t>
      </w:r>
      <w:r w:rsidRPr="0008481A">
        <w:t>y</w:t>
      </w:r>
      <w:r w:rsidRPr="0008481A">
        <w:t xml:space="preserve">sa den som har gjort gripandet om sin identitet. </w:t>
      </w:r>
    </w:p>
    <w:p w:rsidR="003B3271" w:rsidRPr="0008481A" w:rsidRDefault="003B3271">
      <w:pPr>
        <w:pStyle w:val="Normaltindrag"/>
      </w:pPr>
      <w:r w:rsidRPr="0008481A">
        <w:t>Det bör också påpekas att en för brott misstänkt person som inför en polisman uppger sig vara någon annan kan fällas till ansvar för falsk tillvitelse, medan dä</w:t>
      </w:r>
      <w:r w:rsidRPr="0008481A">
        <w:t>r</w:t>
      </w:r>
      <w:r w:rsidRPr="0008481A">
        <w:t>emot åtgärden att lämna osanna uppgifter om sin identitet till en butikskontrollant eller annan enskild person inte medför sådant ansvar. Jag vill vidare framhålla att den objektivitetsprincip som gäller för polisens brottsutredande verksamhet inte har någon motsvarighet vad gäller måls</w:t>
      </w:r>
      <w:r w:rsidRPr="0008481A">
        <w:softHyphen/>
        <w:t xml:space="preserve">äganden och personer som är i dennes ställe. </w:t>
      </w:r>
    </w:p>
    <w:p w:rsidR="003B3271" w:rsidRPr="0008481A" w:rsidRDefault="003B3271">
      <w:pPr>
        <w:pStyle w:val="Normaltindrag"/>
      </w:pPr>
      <w:r w:rsidRPr="0008481A">
        <w:t>Det framstår mot den nu angivna bakgrunden som i hög grad anmärknings</w:t>
      </w:r>
      <w:r w:rsidRPr="0008481A">
        <w:softHyphen/>
        <w:t>värt att en så central del av brottsutredningsförfarandet som identifieringen av den mis</w:t>
      </w:r>
      <w:r w:rsidRPr="0008481A">
        <w:t>s</w:t>
      </w:r>
      <w:r w:rsidRPr="0008481A">
        <w:t>tänkte i huvudsak överlämnas till en enskild person som dels företräder målsäga</w:t>
      </w:r>
      <w:r w:rsidRPr="0008481A">
        <w:t>n</w:t>
      </w:r>
      <w:r w:rsidRPr="0008481A">
        <w:t>dens intressen i saken, dels kan komma att höras som vittne om det inträff</w:t>
      </w:r>
      <w:r w:rsidRPr="0008481A">
        <w:t>a</w:t>
      </w:r>
      <w:r w:rsidRPr="0008481A">
        <w:t xml:space="preserve">de. </w:t>
      </w:r>
    </w:p>
    <w:p w:rsidR="003B3271" w:rsidRPr="0008481A" w:rsidRDefault="003B3271">
      <w:pPr>
        <w:pStyle w:val="Normaltindrag"/>
      </w:pPr>
      <w:r w:rsidRPr="0008481A">
        <w:t>Det får självfallet inte förekomma att någon felaktigt blir föremål för åtal eller tillställs ett strafföreläggande av det skälet att den person som har blivit ertappad med ett brottsligt handlande inte har blivit identifierad på ett godtagbart sätt. Det får med</w:t>
      </w:r>
      <w:r w:rsidRPr="0008481A">
        <w:t xml:space="preserve"> andra ord, när åklagaren beslutar i åtalsfrågan, inte finnas något u</w:t>
      </w:r>
      <w:r w:rsidRPr="0008481A">
        <w:t>t</w:t>
      </w:r>
      <w:r w:rsidRPr="0008481A">
        <w:t xml:space="preserve">rymme för tvivel om vilken person beslutet rör. Det finns skäl att i sammanhanget peka på det krav på att den enskildes identitet skall vara fastställd som gäller för att anmälan skall få göras till socialnämnden när någon har omhändertagits enligt lagen (1976:511) om omhändertagande av berusade personer m.m. (se FAP 023-1 avsnitt 6; se även JO 1993/94 </w:t>
      </w:r>
      <w:r w:rsidRPr="0008481A">
        <w:br/>
        <w:t>s. 64). Man kan självfallet inte ställa lägre krav när det är fråga om identifiering a</w:t>
      </w:r>
      <w:r w:rsidRPr="0008481A">
        <w:t>v den som är misstänkt för brott.</w:t>
      </w:r>
    </w:p>
    <w:p w:rsidR="003B3271" w:rsidRPr="0008481A" w:rsidRDefault="003B3271">
      <w:pPr>
        <w:pStyle w:val="Normaltindrag"/>
      </w:pPr>
      <w:r w:rsidRPr="0008481A">
        <w:t>Det kan av nu angivna skäl inte godtas att uppgiften att identifiera en person som är misstänkt för ett butikstillgrepp hanteras på sådant sätt att den i praktiken helt eller delvis överlämnas till butiksägaren, en butikskontrollant eller någon annan enskild person. Ansvaret för att den misstänktes identitet fastställs på ett riktigt sätt vilar fullt ut på den polisiäre befattningshavare som utreder brottet. De up</w:t>
      </w:r>
      <w:r w:rsidRPr="0008481A">
        <w:t>p</w:t>
      </w:r>
      <w:r w:rsidRPr="0008481A">
        <w:t xml:space="preserve">gifter om den misstänktes identitet som lämnas av en enskild person måste därför alltid kontrolleras av polisen, oavsett vilket stöd denne åberopar för uppgifterna. </w:t>
      </w:r>
    </w:p>
    <w:p w:rsidR="003B3271" w:rsidRPr="0008481A" w:rsidRDefault="003B3271">
      <w:pPr>
        <w:pStyle w:val="Normaltindrag"/>
      </w:pPr>
      <w:r w:rsidRPr="0008481A">
        <w:t xml:space="preserve">Det ligger också i sakens natur att det för att en identitetskontroll skall uppfylla rättssäkerhetens krav fordras att den misstänkte konfronteras med den som gör kontrollen. </w:t>
      </w:r>
    </w:p>
    <w:p w:rsidR="003B3271" w:rsidRPr="0008481A" w:rsidRDefault="003B3271">
      <w:pPr>
        <w:pStyle w:val="Normaltindrag"/>
      </w:pPr>
      <w:r w:rsidRPr="0008481A">
        <w:t>Det är således en uppgift för en befattningshavare inom polisen, och inte för en butikskontrollant eller annan enskild person, att vid ett personligt sammanträffade med den misstänkte exempelvis ta ställning till om en legitimationshandling som företes av denne kan godtas som underlag för identifieringen. Andra metoder för att fastställa den misstänktes identitet, som kan användas av polisen vid ett sådant sammanträffande, är kontakt med någon tillförlitlig person som känner den mis</w:t>
      </w:r>
      <w:r w:rsidRPr="0008481A">
        <w:t>s</w:t>
      </w:r>
      <w:r w:rsidRPr="0008481A">
        <w:t>tänkte eller utnyttjande av kopior av foto och passunderlag från passregistret. En kontroll av nu nämnt slag kan inte ersättas av ett förfarande som består i att man försöker utröna den misstänktes identitet genom att med utgångspunkt i up</w:t>
      </w:r>
      <w:r w:rsidRPr="0008481A">
        <w:t>p</w:t>
      </w:r>
      <w:r w:rsidRPr="0008481A">
        <w:t>gifter i tillgängliga register ställa kontrollfrågor av olika slag, t.ex. om namn, pe</w:t>
      </w:r>
      <w:r w:rsidRPr="0008481A">
        <w:t>r</w:t>
      </w:r>
      <w:r w:rsidRPr="0008481A">
        <w:t>sonnummer och adress. Som jag tidigare har framhållit (se dnr 2540-1993) kan det inte godtas att en viss persons identitet anses fastställd enbart på grund av att han har lämnat korrekt</w:t>
      </w:r>
      <w:r w:rsidRPr="0008481A">
        <w:t>a svar på kontrollfrågor avseende uppgifter som finns i offentl</w:t>
      </w:r>
      <w:r w:rsidRPr="0008481A">
        <w:t>i</w:t>
      </w:r>
      <w:r w:rsidRPr="0008481A">
        <w:t>ga register eller som annars är lättå</w:t>
      </w:r>
      <w:r w:rsidRPr="0008481A">
        <w:t>t</w:t>
      </w:r>
      <w:r w:rsidRPr="0008481A">
        <w:t xml:space="preserve">komliga. </w:t>
      </w:r>
    </w:p>
    <w:p w:rsidR="003B3271" w:rsidRPr="0008481A" w:rsidRDefault="003B3271">
      <w:pPr>
        <w:pStyle w:val="Normaltindrag"/>
      </w:pPr>
      <w:r w:rsidRPr="0008481A">
        <w:t>Om den gripne inte har överlämnats till en polisman i enlighet med vad som för</w:t>
      </w:r>
      <w:r w:rsidRPr="0008481A">
        <w:t>e</w:t>
      </w:r>
      <w:r w:rsidRPr="0008481A">
        <w:t>skrivs i 24 kap. 7 § andra stycket RB, får av nu angivna skäl frågan om den mis</w:t>
      </w:r>
      <w:r w:rsidRPr="0008481A">
        <w:t>s</w:t>
      </w:r>
      <w:r w:rsidRPr="0008481A">
        <w:t>tänktes identitet utredas i samband med ett förhör inom ramen för en förundersö</w:t>
      </w:r>
      <w:r w:rsidRPr="0008481A">
        <w:t>k</w:t>
      </w:r>
      <w:r w:rsidRPr="0008481A">
        <w:t xml:space="preserve">ning med den person som har angetts i butikens anmälan. </w:t>
      </w:r>
    </w:p>
    <w:p w:rsidR="003B3271" w:rsidRPr="0008481A" w:rsidRDefault="003B3271">
      <w:pPr>
        <w:pStyle w:val="Normaltindrag"/>
      </w:pPr>
      <w:r w:rsidRPr="0008481A">
        <w:t>Snattefonförfarandet uppfyller således i det här diskuterade hänseendet inte de rättssäkerhetskrav som måste ställas på en brott</w:t>
      </w:r>
      <w:r w:rsidRPr="0008481A">
        <w:t>s</w:t>
      </w:r>
      <w:r w:rsidRPr="0008481A">
        <w:t xml:space="preserve">utredning. </w:t>
      </w:r>
    </w:p>
    <w:p w:rsidR="003B3271" w:rsidRPr="0008481A" w:rsidRDefault="003B3271">
      <w:pPr>
        <w:pStyle w:val="Rubrik4"/>
      </w:pPr>
      <w:r w:rsidRPr="0008481A">
        <w:t>Förenklat utredningsförfarande</w:t>
      </w:r>
    </w:p>
    <w:p w:rsidR="003B3271" w:rsidRPr="0008481A" w:rsidRDefault="003B3271">
      <w:r w:rsidRPr="0008481A">
        <w:t xml:space="preserve">Som tidigare har nämnts grundas snattefonförfarandet på bestämmelsen i </w:t>
      </w:r>
      <w:r w:rsidRPr="0008481A">
        <w:br/>
        <w:t>23 kap. 22 § RB om brottsutredning i förenklad form. Tillämpningsområdet för denna bestämmelse utvidgades genom en lagändring som trädde i kraft den 1 april 1995 (SFS 1994:1412). Det blev därigenom möjligt att tillämpa det förenklade förf</w:t>
      </w:r>
      <w:r w:rsidRPr="0008481A">
        <w:t>a</w:t>
      </w:r>
      <w:r w:rsidRPr="0008481A">
        <w:t>randet även för brott med fängelse i straffskalan. Den 1 december 1995 ändrades också bestämmelsen i 48 kap. 4 § RB, så att det blev möjligt att utfärda strafför</w:t>
      </w:r>
      <w:r w:rsidRPr="0008481A">
        <w:t>e</w:t>
      </w:r>
      <w:r w:rsidRPr="0008481A">
        <w:t xml:space="preserve">läggande även för fängelsebrott, förutsatt att böter ingår i straffskalan (SFS 1995:1162). </w:t>
      </w:r>
    </w:p>
    <w:p w:rsidR="003B3271" w:rsidRPr="0008481A" w:rsidRDefault="003B3271">
      <w:pPr>
        <w:pStyle w:val="Normaltindrag"/>
      </w:pPr>
      <w:r w:rsidRPr="0008481A">
        <w:t>Det föreligger sål</w:t>
      </w:r>
      <w:r w:rsidRPr="0008481A">
        <w:t>edes inte något formellt hinder mot att tillämpa det förenklade utredningsförfarandet i fråga om snatteri, medan denna utredningsform däremot är utesluten i fråga om stöldbrott av normalgraden. Det är därför en lämplighetsfråga om det förenklade förfarandet skall användas vid misstanke om snatter</w:t>
      </w:r>
      <w:r w:rsidRPr="0008481A">
        <w:t>i</w:t>
      </w:r>
      <w:r w:rsidRPr="0008481A">
        <w:t xml:space="preserve">brott.  </w:t>
      </w:r>
    </w:p>
    <w:p w:rsidR="003B3271" w:rsidRPr="0008481A" w:rsidRDefault="003B3271">
      <w:pPr>
        <w:pStyle w:val="Normaltindrag"/>
      </w:pPr>
      <w:r w:rsidRPr="0008481A">
        <w:t xml:space="preserve">I förarbetena till ändringen i 23 kap. 22 § RB (prop. 1994/95:23 s. 75 f.) uttalades bl.a. följande om bakgrunden till denna. </w:t>
      </w:r>
    </w:p>
    <w:p w:rsidR="003B3271" w:rsidRPr="0008481A" w:rsidRDefault="003B3271">
      <w:pPr>
        <w:pStyle w:val="Citat"/>
      </w:pPr>
      <w:r w:rsidRPr="0008481A">
        <w:t>Befrielsen från skyldigheten att göra en förundersökning torde vara särskilt motiverad i de fall den misstänkte erkänner gärningen och det finns förut</w:t>
      </w:r>
      <w:r w:rsidRPr="0008481A">
        <w:softHyphen/>
        <w:t>sättningar för att beivra brottet genom strafför</w:t>
      </w:r>
      <w:r w:rsidRPr="0008481A">
        <w:t>e</w:t>
      </w:r>
      <w:r w:rsidRPr="0008481A">
        <w:t>läggande eller ordningsbot. Detta är, med nuvarande reglering, inte möjligt ifråga om alla brott som kan bli föremål för strafföreläggande. En del av effektivitetsvinsterna med en förenklad reak</w:t>
      </w:r>
      <w:r w:rsidRPr="0008481A">
        <w:softHyphen/>
        <w:t>tionsform går därför förlorad. Detta förhållande skulle bli än mer påtagligt om regeringens förslag i avsnitt 9.2. att utvidga möjligheterna att utfärda strafföreläggande geno</w:t>
      </w:r>
      <w:r w:rsidRPr="0008481A">
        <w:t>m</w:t>
      </w:r>
      <w:r w:rsidRPr="0008481A">
        <w:t>förs utan att regeln i 23 kap. 22 § RB ändras.</w:t>
      </w:r>
    </w:p>
    <w:p w:rsidR="003B3271" w:rsidRPr="0008481A" w:rsidRDefault="003B3271">
      <w:pPr>
        <w:pStyle w:val="Citatindrag"/>
      </w:pPr>
      <w:r w:rsidRPr="0008481A">
        <w:t>Även i övrigt bör vid bötesbrott förundersök</w:t>
      </w:r>
      <w:r w:rsidRPr="0008481A">
        <w:t>ning kunna underlåtas när det rör sig om saker som inte kräver mer vidlyftig utredning.</w:t>
      </w:r>
    </w:p>
    <w:p w:rsidR="003B3271" w:rsidRPr="0008481A" w:rsidRDefault="003B3271">
      <w:pPr>
        <w:pStyle w:val="Citatindrag"/>
      </w:pPr>
      <w:r w:rsidRPr="0008481A">
        <w:t>Det bör påpekas att den misstänkte genom sin inställning i skuldfrågan eller genom att påkalla ytterligare utredningsåtgärder i hög grad själv kan påverka om en fullständig utredning skall göras eller om han kan godta att förundersökning underlåts. Om målsäganden riktar anspråk mot den misstänkte, kan detta också medföra att en utredning behöver vidtas. När strafförelä</w:t>
      </w:r>
      <w:r w:rsidRPr="0008481A">
        <w:t>g</w:t>
      </w:r>
      <w:r w:rsidRPr="0008481A">
        <w:t>gande utfär</w:t>
      </w:r>
      <w:r w:rsidRPr="0008481A">
        <w:softHyphen/>
        <w:t xml:space="preserve">das prövar dessutom åklagaren självständigt att underlaget är tillräckligt. Det torde därför inte uppstå några negativa konsekvenser ur rättssäkerhetssynpunkt.  </w:t>
      </w:r>
    </w:p>
    <w:p w:rsidR="003B3271" w:rsidRPr="0008481A" w:rsidRDefault="003B3271">
      <w:r w:rsidRPr="0008481A">
        <w:t>Av det yttrande som har avgetts i ärendet av Polismyndigheten i Skåne framgår att syftet med att tillämpa det förenklade förfarandet i snatteri</w:t>
      </w:r>
      <w:r w:rsidRPr="0008481A">
        <w:softHyphen/>
        <w:t>ärenden är att effe</w:t>
      </w:r>
      <w:r w:rsidRPr="0008481A">
        <w:t>k</w:t>
      </w:r>
      <w:r w:rsidRPr="0008481A">
        <w:t>tivisera utredningsförfarandet. De vinster i detta hänseende som man gör genom att använda det förenklade förfarandet har, enligt vad som kan utläsas ur yttrandet, sin grund i att den misstänkte inte ges det rådrum och den möjlighet att förbereda sitt försvar som följer av reglerna i 23 kap. 18 § RB och 12 § FUK samt i att det förenklade förfarandet också i övrigt medför att regler hänförliga till förundersö</w:t>
      </w:r>
      <w:r w:rsidRPr="0008481A">
        <w:t>k</w:t>
      </w:r>
      <w:r w:rsidRPr="0008481A">
        <w:t xml:space="preserve">ningsförfarandet sätts ur spel. Polismyndigheten pekar i sammanhanget särskilt </w:t>
      </w:r>
      <w:r w:rsidRPr="0008481A">
        <w:t>på regeln i 21 kap. 3 § RB om den misstänktes rätt att biträdas av försvarare och reglerna i 5–7 §§ LUL om underrättelse och kallelse till vårdnadshavaren och social</w:t>
      </w:r>
      <w:r w:rsidRPr="0008481A">
        <w:softHyphen/>
        <w:t>nämnden i de situationer där den misstänkte är under arton år. Jag åter</w:t>
      </w:r>
      <w:r w:rsidRPr="0008481A">
        <w:softHyphen/>
        <w:t>ko</w:t>
      </w:r>
      <w:r w:rsidRPr="0008481A">
        <w:t>m</w:t>
      </w:r>
      <w:r w:rsidRPr="0008481A">
        <w:t>mer till de sist nämnda frågorna i avsnitten 5.7 och 5.8.</w:t>
      </w:r>
    </w:p>
    <w:p w:rsidR="003B3271" w:rsidRPr="0008481A" w:rsidRDefault="003B3271">
      <w:pPr>
        <w:pStyle w:val="Normaltindrag"/>
      </w:pPr>
      <w:r w:rsidRPr="0008481A">
        <w:t>En grundläggande förutsättning för att man med stöd av regleringen i 23 kap. 22 § RB skall kunna utreda brott i förenklad form får anses vara att förhållandena är sådana, att den enskildes berättigade krav på en r</w:t>
      </w:r>
      <w:r w:rsidRPr="0008481A">
        <w:t>ättssäker handläggning av utre</w:t>
      </w:r>
      <w:r w:rsidRPr="0008481A">
        <w:t>d</w:t>
      </w:r>
      <w:r w:rsidRPr="0008481A">
        <w:t xml:space="preserve">ningen inte åsidosätts. Den utvidgning av  tillämpningsområdet för det förenklade förfarandet som gjordes år 1995 syftade till att undanröja ett formellt hinder mot att tillämpa detta förfarande i vissa situationer där en sådan användning i sak framstår som lämplig. Lagstiftarens avsikt har däremot självfallet inte varit att öppna en möjlighet för polisen att kringgå regler i rättegångsbalken och andra författningar till skydd för den misstänktes rättssäkerhet, när den finner </w:t>
      </w:r>
      <w:r w:rsidRPr="0008481A">
        <w:t>detta vara påkallat av effektivitetskäl. Som har sagts i det föregående framstår det som n</w:t>
      </w:r>
      <w:r w:rsidRPr="0008481A">
        <w:t>a</w:t>
      </w:r>
      <w:r w:rsidRPr="0008481A">
        <w:t xml:space="preserve">turligt att de allmänna principerna till skydd för den enskildes rättssäkerhet som avspeglas i reglerna i 23 kap. RB och i FUK i möjligaste mån beaktas också vid utredningar enligt 23 kap. 22 § RB. </w:t>
      </w:r>
    </w:p>
    <w:p w:rsidR="003B3271" w:rsidRPr="0008481A" w:rsidRDefault="003B3271">
      <w:pPr>
        <w:pStyle w:val="Normaltindrag"/>
      </w:pPr>
      <w:r w:rsidRPr="0008481A">
        <w:t>Det förenklade förfarandet är väl lämpat för utredning direkt på platsen av enkla, klart iakttagbara och ostridiga händelseförlopp där bedömningen av det subjektiva rekvisitet typiskt sett inte vållar några svårigheter. So</w:t>
      </w:r>
      <w:r w:rsidRPr="0008481A">
        <w:t>m exempel på sådana brott kan nämnas olovlig körning och förseelser av olika slag mot trafikförfattningarna. I fall av detta slag finns polismän normalt på plats och är vittnen till brottet. I de</w:t>
      </w:r>
      <w:r w:rsidRPr="0008481A">
        <w:t>s</w:t>
      </w:r>
      <w:r w:rsidRPr="0008481A">
        <w:t>sa fall innebär det förenklade förfarandet i praktiken väsentligen en lättnad i d</w:t>
      </w:r>
      <w:r w:rsidRPr="0008481A">
        <w:t>o</w:t>
      </w:r>
      <w:r w:rsidRPr="0008481A">
        <w:t>kumentationssky</w:t>
      </w:r>
      <w:r w:rsidRPr="0008481A">
        <w:t>l</w:t>
      </w:r>
      <w:r w:rsidRPr="0008481A">
        <w:t xml:space="preserve">digheten. </w:t>
      </w:r>
    </w:p>
    <w:p w:rsidR="003B3271" w:rsidRPr="0008481A" w:rsidRDefault="003B3271">
      <w:pPr>
        <w:pStyle w:val="Normaltindrag"/>
      </w:pPr>
      <w:r w:rsidRPr="0008481A">
        <w:t>Det i 23 kap. 22 § RB reglerade förfarandet är däremot generellt sett mindre väl ägnat för utredning av brottsbalksbrott, eftersom man där ofta möter rättsliga pr</w:t>
      </w:r>
      <w:r w:rsidRPr="0008481A">
        <w:t>o</w:t>
      </w:r>
      <w:r w:rsidRPr="0008481A">
        <w:t>blem av olika slag. Frågan om man beträffande ett sådant brott skall använda det förenklade förfarandet måste därför avgöras från fall till fall av en befattningsh</w:t>
      </w:r>
      <w:r w:rsidRPr="0008481A">
        <w:t>a</w:t>
      </w:r>
      <w:r w:rsidRPr="0008481A">
        <w:t xml:space="preserve">vare med tillräcklig juridisk kompetens. </w:t>
      </w:r>
    </w:p>
    <w:p w:rsidR="003B3271" w:rsidRPr="0008481A" w:rsidRDefault="003B3271">
      <w:pPr>
        <w:pStyle w:val="Normaltindrag"/>
      </w:pPr>
      <w:r w:rsidRPr="0008481A">
        <w:t>Enligt 3 a § FUK skall en polisman, som ingriper mot ett brott eller annars ko</w:t>
      </w:r>
      <w:r w:rsidRPr="0008481A">
        <w:t>m</w:t>
      </w:r>
      <w:r w:rsidRPr="0008481A">
        <w:t>mer till platsen för ett brott eller tar upp anmälan, vidta de utrednings</w:t>
      </w:r>
      <w:r w:rsidRPr="0008481A">
        <w:softHyphen/>
        <w:t>åtgärder som är möjliga, även om förundersökning inte hunnit inledas. Utredningen skall enligt samma bestämmelse om möjligt färdigställas direkt på plats, och vidtagna åtgä</w:t>
      </w:r>
      <w:r w:rsidRPr="0008481A">
        <w:t>r</w:t>
      </w:r>
      <w:r w:rsidRPr="0008481A">
        <w:t>der skall så snart som möjligt anmälas för den som har rätt att leda förundersö</w:t>
      </w:r>
      <w:r w:rsidRPr="0008481A">
        <w:t>k</w:t>
      </w:r>
      <w:r w:rsidRPr="0008481A">
        <w:t>ning rörande brottet. Det är således inte en uppgift för den polisman som ver</w:t>
      </w:r>
      <w:r w:rsidRPr="0008481A">
        <w:t>k</w:t>
      </w:r>
      <w:r w:rsidRPr="0008481A">
        <w:t>ställer en sådan s.k. primärutredning att avgöra om brottet skall utredas genom förundersökning eller geno</w:t>
      </w:r>
      <w:r w:rsidRPr="0008481A">
        <w:t>m använd</w:t>
      </w:r>
      <w:r w:rsidRPr="0008481A">
        <w:softHyphen/>
        <w:t>ning av det förenklade förfarandet. Detta ställnings</w:t>
      </w:r>
      <w:r w:rsidRPr="0008481A">
        <w:softHyphen/>
        <w:t>tagande ankommer i stället i första hand på den behörige förundersö</w:t>
      </w:r>
      <w:r w:rsidRPr="0008481A">
        <w:t>k</w:t>
      </w:r>
      <w:r w:rsidRPr="0008481A">
        <w:softHyphen/>
        <w:t>ningsled</w:t>
      </w:r>
      <w:r w:rsidRPr="0008481A">
        <w:t>a</w:t>
      </w:r>
      <w:r w:rsidRPr="0008481A">
        <w:t xml:space="preserve">re till vilken polismannen redovisar sina åtgärder. </w:t>
      </w:r>
    </w:p>
    <w:p w:rsidR="003B3271" w:rsidRPr="0008481A" w:rsidRDefault="003B3271">
      <w:pPr>
        <w:pStyle w:val="Normaltindrag"/>
      </w:pPr>
      <w:r w:rsidRPr="0008481A">
        <w:t xml:space="preserve">I avsnitt 2 i FAP 404-1 finns föreskrifter som anknyter till bestämmelserna om primärutredningsförfarandet. Enligt dessa föreskrifter skall den polisman, som ingriper mot ett brott eller annars kommer till platsen för ett brott eller tar upp anmälan om brott, bedöma om förundersökning bör inledas eller om brottet kan </w:t>
      </w:r>
      <w:r w:rsidRPr="0008481A">
        <w:t>utredas utan formell förundersökning. Om brottet kan antas föranleda böter och utredningen kan färdigställas direkt på platsen, sägs detta skola ske om förutsät</w:t>
      </w:r>
      <w:r w:rsidRPr="0008481A">
        <w:t>t</w:t>
      </w:r>
      <w:r w:rsidRPr="0008481A">
        <w:t>ningarna i övrigt är uppfyllda enligt 23 kap. 22 § RB. Polismannen skall således  vid tillämpningen av reglerna i 3 a § FUK göra en bedömning av om förundersö</w:t>
      </w:r>
      <w:r w:rsidRPr="0008481A">
        <w:t>k</w:t>
      </w:r>
      <w:r w:rsidRPr="0008481A">
        <w:t>ning senare kan komma att inledas och vidta sina utredningsåtgärder med u</w:t>
      </w:r>
      <w:r w:rsidRPr="0008481A">
        <w:t>t</w:t>
      </w:r>
      <w:r w:rsidRPr="0008481A">
        <w:t xml:space="preserve">gångspunkt i denna bedömning (se Fitger, Rättegångsbalken del 2, s. 23:20). </w:t>
      </w:r>
    </w:p>
    <w:p w:rsidR="003B3271" w:rsidRPr="0008481A" w:rsidRDefault="003B3271">
      <w:pPr>
        <w:pStyle w:val="Normaltindrag"/>
      </w:pPr>
      <w:r w:rsidRPr="0008481A">
        <w:t>Av vad som har sagts i det föregående föl</w:t>
      </w:r>
      <w:r w:rsidRPr="0008481A">
        <w:t>jer att det inte är möjligt att i förväg g</w:t>
      </w:r>
      <w:r w:rsidRPr="0008481A">
        <w:t>e</w:t>
      </w:r>
      <w:r w:rsidRPr="0008481A">
        <w:t>nerellt slå fast att exempelvis alla erkända butikssnatterier skall utredas genom det förenklade förfarandet. Det finns enligt min uppfattning i själva verket goda skäl att diskutera frågan om detta utredningsförfarande över huvud taget bör användas i fråga om butikssnatter</w:t>
      </w:r>
      <w:r w:rsidRPr="0008481A">
        <w:t>i</w:t>
      </w:r>
      <w:r w:rsidRPr="0008481A">
        <w:t xml:space="preserve">er. </w:t>
      </w:r>
    </w:p>
    <w:p w:rsidR="003B3271" w:rsidRPr="0008481A" w:rsidRDefault="003B3271">
      <w:pPr>
        <w:pStyle w:val="Normaltindrag"/>
      </w:pPr>
      <w:r w:rsidRPr="0008481A">
        <w:t>För att man skall kunna ta ställning till om ett stöldbrott har förekommit är det nödvändigt att utreda dels om det i objektivt hänseende har förekommit något som kan kvalificeras som ett o</w:t>
      </w:r>
      <w:r w:rsidRPr="0008481A">
        <w:t>lovligt tillgrepp, dels om den misstänkte har haft uppsåt att tillägna sig det tillgripna. Den omständigheten att ett stöldbrott är att bedöma som ringa och till följd därav skall betecknas som snatteri innebär inte att de rätt</w:t>
      </w:r>
      <w:r w:rsidRPr="0008481A">
        <w:t>s</w:t>
      </w:r>
      <w:r w:rsidRPr="0008481A">
        <w:t>liga problem som man möter vid utredningen är mindre än vid ett brott som avser egendom av större värde eller som av något annat skäl är att bedöma som stöld. Utredningen av butikstillgrepp är i själva verket förenad med särskilda svårigheter såvitt avser bedömningen av såväl det obj</w:t>
      </w:r>
      <w:r w:rsidRPr="0008481A">
        <w:t>ektiva som det subjektiva rekvisitet. Man kan här särskilt peka på det förhållandet att det fysiska tillgripandet av en vara i en snabbköps</w:t>
      </w:r>
      <w:r w:rsidRPr="0008481A">
        <w:softHyphen/>
        <w:t>butik eller ett varuhus inte bara är tillåtet utan i själva verket i de flesta fall är förutsatt som ett i praktiken nödvändigt led i inköpet av varan. Det är först när varan förs förbi en viss punkt – t.ex. kassan eller gränsen mellan skilda avdelningar i ett varuhus – som tillgreppet övergår till att bli olovligt. Såvitt gäller snatteribrottet tillkommer att försök ti</w:t>
      </w:r>
      <w:r w:rsidRPr="0008481A">
        <w:t>ll snatteri är straffritt. Detta förhållande ger upphov till särskilda svårigheter i rättsligt hänseende, efter</w:t>
      </w:r>
      <w:r w:rsidRPr="0008481A">
        <w:softHyphen/>
        <w:t>som gränsdragningen mellan stöld och snatteri inte bestäms enbart av det tillgripnas värde utan också av andra omständigheter av mångskiftande slag. De nu nämnda omständigheterna är ägnade att försvåra också bedömningen av om det subjektiva rekvisitet för stra</w:t>
      </w:r>
      <w:r w:rsidRPr="0008481A">
        <w:t>f</w:t>
      </w:r>
      <w:r w:rsidRPr="0008481A">
        <w:t>fansvar – tillägnelseuppsåt – är upp</w:t>
      </w:r>
      <w:r w:rsidRPr="0008481A">
        <w:softHyphen/>
        <w:t>fyllt. Erfarenheter från det praktiska rättslivet visar att det i fråga om butiks</w:t>
      </w:r>
      <w:r w:rsidRPr="0008481A">
        <w:softHyphen/>
        <w:t>tillgrepp inte är ov</w:t>
      </w:r>
      <w:r w:rsidRPr="0008481A">
        <w:t>anligt att förundersökningar läggs ned och åtal ogillas på den grunden att det inte förelegat något fullbordat snatter</w:t>
      </w:r>
      <w:r w:rsidRPr="0008481A">
        <w:t>i</w:t>
      </w:r>
      <w:r w:rsidRPr="0008481A">
        <w:t>brott eller att tilläg</w:t>
      </w:r>
      <w:r w:rsidRPr="0008481A">
        <w:softHyphen/>
        <w:t>nel</w:t>
      </w:r>
      <w:r w:rsidRPr="0008481A">
        <w:softHyphen/>
        <w:t xml:space="preserve">seuppsåt inte kunnat styrkas. </w:t>
      </w:r>
    </w:p>
    <w:p w:rsidR="003B3271" w:rsidRPr="0008481A" w:rsidRDefault="003B3271">
      <w:pPr>
        <w:pStyle w:val="Normaltindrag"/>
      </w:pPr>
      <w:r w:rsidRPr="0008481A">
        <w:t>Åklagarutredningen föreslog i sitt betänkande (SOU 1992:61) Ett reformerat åklagarväsende, att ordningsbotsinstitutet skulle kunna användas också vid snatt</w:t>
      </w:r>
      <w:r w:rsidRPr="0008481A">
        <w:t>e</w:t>
      </w:r>
      <w:r w:rsidRPr="0008481A">
        <w:t>ribrott. Något sådant förslag lades inte fram i propositionen. De skäl hänförliga till rättssäkerhetsaspekterna som anfördes för regeringens ställningstagande i frågan återges här (prop. 1994/95:23 s. 106 f.), eftersom resonemanget får anses ha i</w:t>
      </w:r>
      <w:r w:rsidRPr="0008481A">
        <w:t>n</w:t>
      </w:r>
      <w:r w:rsidRPr="0008481A">
        <w:t>tresse också för frågan om polisens möjligheter att använda ett utredningsförf</w:t>
      </w:r>
      <w:r w:rsidRPr="0008481A">
        <w:t>a</w:t>
      </w:r>
      <w:r w:rsidRPr="0008481A">
        <w:t>rande enligt 23 kap. 22 § RB vid snatter</w:t>
      </w:r>
      <w:r w:rsidRPr="0008481A">
        <w:t>i</w:t>
      </w:r>
      <w:r w:rsidRPr="0008481A">
        <w:t xml:space="preserve">brott. </w:t>
      </w:r>
    </w:p>
    <w:p w:rsidR="003B3271" w:rsidRPr="0008481A" w:rsidRDefault="003B3271">
      <w:pPr>
        <w:pStyle w:val="Citat"/>
      </w:pPr>
      <w:r w:rsidRPr="0008481A">
        <w:t>Åklagarutredningen har mot bakgrund av bötesreformen föreslagit att det införs en möjlighet att förelägga ordningsbot även för brott som</w:t>
      </w:r>
      <w:r w:rsidRPr="0008481A">
        <w:t xml:space="preserve"> har dagsböter i straffskalan om brottet inte föranleder svårare påföljd än penningböter. Det huvudsakliga syftet med förslaget är att det därigenom blir möjligt att förelägga ordningsbot för vissa fall av snatteri. Utredningen menar att starka praktiska skäl talar för att denna möjlighet införs och att detta blivit möjligt genom den ovan nämnda bötes</w:t>
      </w:r>
      <w:r w:rsidRPr="0008481A">
        <w:softHyphen/>
        <w:t>reformen. Utredningen anför vidare att de farhågor som tidigare framförts är överdrivna. Det gäller invändningar om att polis saknar tillräcklig utbildning fö</w:t>
      </w:r>
      <w:r w:rsidRPr="0008481A">
        <w:t>r att klara av att göra en uppsåt</w:t>
      </w:r>
      <w:r w:rsidRPr="0008481A">
        <w:t>s</w:t>
      </w:r>
      <w:r w:rsidRPr="0008481A">
        <w:t>be</w:t>
      </w:r>
      <w:r w:rsidRPr="0008481A">
        <w:softHyphen/>
        <w:t>dömning och att denna bedömning över huvud taget är vansklig att göra i samband med or</w:t>
      </w:r>
      <w:r w:rsidRPr="0008481A">
        <w:t>d</w:t>
      </w:r>
      <w:r w:rsidRPr="0008481A">
        <w:t>nings</w:t>
      </w:r>
      <w:r w:rsidRPr="0008481A">
        <w:softHyphen/>
        <w:t>botsförelägganden samt att snatteri är ett så allvarligt brott att de kriminalpolitiska effekter som ligger i själva förfarandet vid strafföreläggande och förhandling i domstol bör tas tillvara. – – –.</w:t>
      </w:r>
    </w:p>
    <w:p w:rsidR="003B3271" w:rsidRPr="0008481A" w:rsidRDefault="003B3271">
      <w:pPr>
        <w:pStyle w:val="Citatindrag"/>
      </w:pPr>
      <w:r w:rsidRPr="0008481A">
        <w:t>Även om det är en förutsättning för att förslaget skall genomföras att endast helt okomplicerade fall blir föremål för ett föreläggande kvarstår enligt regeringens mening en viss t</w:t>
      </w:r>
      <w:r w:rsidRPr="0008481A">
        <w:t>veksamhet om det lämpliga i att polis anförtros denna uppgift. Riksåklagaren anför i sitt remissvar att snatteribrottet enligt hans mening ofta är juridiskt svårbedömt och att det därför inte är någon slump att många förundersökningar slutar med ett beslut att inte väcka åtal och att åtal inte sällan leder till en fri</w:t>
      </w:r>
      <w:r w:rsidRPr="0008481A">
        <w:softHyphen/>
        <w:t xml:space="preserve">kännande dom. Förutom uppsåtsfrågan skall det beaktas om brottet är fullbordat och om gärningen är sådan att det är tillräckligt med penningböter som påföljd. Det är inte endast värdet av det </w:t>
      </w:r>
      <w:r w:rsidRPr="0008481A">
        <w:t>till</w:t>
      </w:r>
      <w:r w:rsidRPr="0008481A">
        <w:softHyphen/>
        <w:t>gripna som är avgörande för den senare frågan. Som riksdagens ombudsmän påpekar torde det ofta krävas goda kunskaper i straffrätt för att avgöra om situationen är problematisk ur rättslig synvin</w:t>
      </w:r>
      <w:r w:rsidRPr="0008481A">
        <w:softHyphen/>
        <w:t xml:space="preserve">kel eller inte. Enligt regeringens mening kan det därför ur rättssäkerhetssynpunkt ifrågasättas om utredningens förslag skall genomföras.  </w:t>
      </w:r>
    </w:p>
    <w:p w:rsidR="003B3271" w:rsidRPr="0008481A" w:rsidRDefault="003B3271">
      <w:r w:rsidRPr="0008481A">
        <w:t>Regeringen, som vidare påpekade att användningen av ordningsbot vid snatteri krävde att polis kallades till platsen, fann sammanfattningsvis att utredningens förslag inte t</w:t>
      </w:r>
      <w:r w:rsidRPr="0008481A">
        <w:t>ycktes medföra några effektivitetsvinster samt att det också av rätt</w:t>
      </w:r>
      <w:r w:rsidRPr="0008481A">
        <w:t>s</w:t>
      </w:r>
      <w:r w:rsidRPr="0008481A">
        <w:t>säkerhetsskäl var tveksamt om förslaget bo</w:t>
      </w:r>
      <w:r w:rsidRPr="0008481A">
        <w:t>r</w:t>
      </w:r>
      <w:r w:rsidRPr="0008481A">
        <w:t xml:space="preserve">de genomföras. </w:t>
      </w:r>
    </w:p>
    <w:p w:rsidR="003B3271" w:rsidRPr="0008481A" w:rsidRDefault="003B3271">
      <w:pPr>
        <w:pStyle w:val="Normaltindrag"/>
      </w:pPr>
      <w:r w:rsidRPr="0008481A">
        <w:t>Det kan tilläggas att riksdagen tidigare vid flera tillfällen hade avslagit motioner om användning av ordningsbot vid snatterier bl.a. med den motiveringen att de aktuella brottsrekvisiten – såväl de objektiva som de subjektiva – är sådana att de erfarenhetsmässigt kräver överväganden av en art som inte gärna kan företas inom ramen för ordningsbot (se t.ex. JuU 1986/87:21 s. 6 f. o</w:t>
      </w:r>
      <w:r w:rsidRPr="0008481A">
        <w:t xml:space="preserve">ch 1987/88:39 s. 5 f.).  </w:t>
      </w:r>
    </w:p>
    <w:p w:rsidR="003B3271" w:rsidRPr="0008481A" w:rsidRDefault="003B3271">
      <w:pPr>
        <w:pStyle w:val="Normaltindrag"/>
      </w:pPr>
      <w:r w:rsidRPr="0008481A">
        <w:t>Av vad som har sagts i det föregående framgår att man vid utredningen av ett b</w:t>
      </w:r>
      <w:r w:rsidRPr="0008481A">
        <w:t>u</w:t>
      </w:r>
      <w:r w:rsidRPr="0008481A">
        <w:t>tikstillgrepp inte kan nöja sig med ett enkelt erkännande av den misstänkte, och detta gäller oavsett om gärningen är att bedöma som stöld eller som snatteri. Hä</w:t>
      </w:r>
      <w:r w:rsidRPr="0008481A">
        <w:t>n</w:t>
      </w:r>
      <w:r w:rsidRPr="0008481A">
        <w:t>delseförloppet måste i stället klarläggas i alla de hänseenden som krävs för att man skall kunna göra ett välgrundat ställningstagande i ansvarsfrågan. Det måste härvid beaktas att det är fråga om situationer där en person direkt på platsen ställs inför en anklagelse för ett uppsåtligt tillgreppsbrott och där man kan utgå från att han i många fall</w:t>
      </w:r>
      <w:r w:rsidRPr="0008481A">
        <w:t xml:space="preserve"> inte är i stånd att omedelbart ta ställning till en sådan anklagelse på ett rationellt och väl</w:t>
      </w:r>
      <w:r w:rsidRPr="0008481A">
        <w:softHyphen/>
        <w:t>övervägt sätt. För ett sådant ställningstagande krävs t.ex. att den misstänkte har klart för sig vad som krävs för att ett fullbordat snatteribrott skall föreligga och att han inser vad som fordras för att gärningen skall anses ha begåtts uppsåtligen. Det kan vidare mycket väl tänkas att också en misstänkt som anser att han inte har haft något tillägnel</w:t>
      </w:r>
      <w:r w:rsidRPr="0008481A">
        <w:softHyphen/>
        <w:t>seuppsåt omedelbart erkänner gärningen bara för att snabbt s</w:t>
      </w:r>
      <w:r w:rsidRPr="0008481A">
        <w:t>lippa ut ur en obehaglig situation. Det kan tilläggas att b</w:t>
      </w:r>
      <w:r w:rsidRPr="0008481A">
        <w:t>u</w:t>
      </w:r>
      <w:r w:rsidRPr="0008481A">
        <w:t>tikssnatteri är att betrakta som ett centralt förmögenhetsbrott (se JuU 1986/87:21 s. 7 och 1987/88:39 s. 6), och att det för den enskilde knappast framstår som mindre allvarligt att anklagas för ett butikssnatteri än för en butik</w:t>
      </w:r>
      <w:r w:rsidRPr="0008481A">
        <w:t>s</w:t>
      </w:r>
      <w:r w:rsidRPr="0008481A">
        <w:t>stöld.</w:t>
      </w:r>
    </w:p>
    <w:p w:rsidR="003B3271" w:rsidRPr="0008481A" w:rsidRDefault="003B3271">
      <w:pPr>
        <w:pStyle w:val="Normaltindrag"/>
      </w:pPr>
      <w:r w:rsidRPr="0008481A">
        <w:t>Av vad som nu har sagts följer vidare att sådana kortfattade anteckningar om det inträffade som är den normala dokumentationsformen vid en utredning enligt 23 kap. 22 § RB inte kan anses utgöra ett tillfredsställan</w:t>
      </w:r>
      <w:r w:rsidRPr="0008481A">
        <w:t>de underlag för åklagarens ställningstagande i åtalsfrågan i ett ärende om butikssnatteri.</w:t>
      </w:r>
    </w:p>
    <w:p w:rsidR="003B3271" w:rsidRPr="0008481A" w:rsidRDefault="003B3271">
      <w:pPr>
        <w:pStyle w:val="Normaltindrag"/>
      </w:pPr>
      <w:r w:rsidRPr="0008481A">
        <w:t>Enligt min uppfattning bör av nu angivna skäl butikssnatterier utredas enligt re</w:t>
      </w:r>
      <w:r w:rsidRPr="0008481A">
        <w:t>g</w:t>
      </w:r>
      <w:r w:rsidRPr="0008481A">
        <w:t>lerna om förundersökning. Detta innebär bl.a. att den misstänkte i enlighet med vad som föreskrivs i 23 kap.18 § RB och 12 § FUK, på samma sätt som om mis</w:t>
      </w:r>
      <w:r w:rsidRPr="0008481A">
        <w:t>s</w:t>
      </w:r>
      <w:r w:rsidRPr="0008481A">
        <w:t>tanken i stället hade avsett stöld, skall få en formell underrättelse om misstanken och om sin rätt att anlita försvarare under utredningen samt skäligt rådrum för att ta ställning till vad som har kommit fram genom denna. Ett utredningsförf</w:t>
      </w:r>
      <w:r w:rsidRPr="0008481A">
        <w:t>a</w:t>
      </w:r>
      <w:r w:rsidRPr="0008481A">
        <w:t xml:space="preserve">rande som innebär att de nu nämnda bestämmelserna inte tillämpas bör således av rättssäkerhetsskäl i princip inte </w:t>
      </w:r>
      <w:r w:rsidRPr="0008481A">
        <w:t>användas vid misstanke om butikssnatteri. Det kan visserligen sägas att det inte borde vara uteslutet att använda det förenklade förf</w:t>
      </w:r>
      <w:r w:rsidRPr="0008481A">
        <w:t>a</w:t>
      </w:r>
      <w:r w:rsidRPr="0008481A">
        <w:t>randet i okomplicerade fall. Häremot kan emellertid med fog invändas att redan bedömningen av om det rör sig om ett i rättsligt hänseende svårbedömt fall eller ej ställer krav på goda kunskaper i straffrätt. Härtill kommer att en sådan bedömning kräver att utredningen är slutförd eller i varje fall i det närmaste färdi</w:t>
      </w:r>
      <w:r w:rsidRPr="0008481A">
        <w:t>g</w:t>
      </w:r>
      <w:r w:rsidRPr="0008481A">
        <w:t>ställd.</w:t>
      </w:r>
    </w:p>
    <w:p w:rsidR="003B3271" w:rsidRPr="0008481A" w:rsidRDefault="003B3271">
      <w:pPr>
        <w:pStyle w:val="Normaltindrag"/>
      </w:pPr>
      <w:r w:rsidRPr="0008481A">
        <w:t>Det kan sammanfattningsvis konstateras att regler</w:t>
      </w:r>
      <w:r w:rsidRPr="0008481A">
        <w:t>na i 23 kap. 22 § RB inte kan åberopas till stöd för en generell användning av det förenklade utred</w:t>
      </w:r>
      <w:r w:rsidRPr="0008481A">
        <w:softHyphen/>
        <w:t>nings</w:t>
      </w:r>
      <w:r w:rsidRPr="0008481A">
        <w:softHyphen/>
        <w:t>förf</w:t>
      </w:r>
      <w:r w:rsidRPr="0008481A">
        <w:t>a</w:t>
      </w:r>
      <w:r w:rsidRPr="0008481A">
        <w:t>randet vid butikssnatterier på det sätt som snattefonförfarandet förut</w:t>
      </w:r>
      <w:r w:rsidRPr="0008481A">
        <w:softHyphen/>
        <w:t>sätter, och att det förenklade förfarandet även i övrigt typiskt sett framstår som en ur rättssäke</w:t>
      </w:r>
      <w:r w:rsidRPr="0008481A">
        <w:t>r</w:t>
      </w:r>
      <w:r w:rsidRPr="0008481A">
        <w:t>hetssynpunkt otillfredsställande metod för att utreda sådana brott. En annan sak är att primärutredningsförfarandet enligt 23 kap. 3 § tredje stycket RB och 3 a § FUK normalt får anses vara väl lämpat för det inledande skedet av ut</w:t>
      </w:r>
      <w:r w:rsidRPr="0008481A">
        <w:t>redningen av butikstillgrepp. Jag kan här hänvisa till vad som sägs i denna fråga i proposition 1994/95:23 s. 78. En polisman som kommer till platsen för ett butikssnatteri bör emellertid, när han där vidtar utredningsåtgärder med stöd av bestämmelserna om primärutredning, på samma sätt som när ett butikstillgrepp är att bedöma som stöld utgå från att förundersökning senare kommer att inledas. Detta innebär bl.a. att den misstänkte, när han hörs, skall underrättas om misstanken och om sin rätt till försvara</w:t>
      </w:r>
      <w:r w:rsidRPr="0008481A">
        <w:t>re, att de förhör som hålls skall dokumenteras på det sätt som gäller vid förundersökningar samt att den misstänkte skall ges tillfälle att granska up</w:t>
      </w:r>
      <w:r w:rsidRPr="0008481A">
        <w:t>p</w:t>
      </w:r>
      <w:r w:rsidRPr="0008481A">
        <w:t>teckningen av förhöret med honom enligt vad som föreskrivs i 23 kap. 21 § andra stycket RB.</w:t>
      </w:r>
    </w:p>
    <w:p w:rsidR="003B3271" w:rsidRPr="0008481A" w:rsidRDefault="003B3271">
      <w:pPr>
        <w:pStyle w:val="Normaltindrag"/>
      </w:pPr>
      <w:r w:rsidRPr="0008481A">
        <w:t xml:space="preserve">Jag vill avslutningsvis erinra om att ett resultat av att en polisman med stöd av 24 kap. 2 § och 7 § första stycket RB övertar ett envarsgripande av en för snatteri misstänkt person blir att förundersökning inleds (jfr SOU 1995:47 s. 155 och JO 1993/94 s. 97).   </w:t>
      </w:r>
    </w:p>
    <w:p w:rsidR="003B3271" w:rsidRPr="0008481A" w:rsidRDefault="003B3271">
      <w:pPr>
        <w:pStyle w:val="Rubrik4"/>
      </w:pPr>
      <w:r w:rsidRPr="0008481A">
        <w:t>Försvarare</w:t>
      </w:r>
    </w:p>
    <w:p w:rsidR="003B3271" w:rsidRPr="0008481A" w:rsidRDefault="003B3271">
      <w:r w:rsidRPr="0008481A">
        <w:t>Polismyndigheten i Skåne har gjort gällande att användningen av det förenklade utredningsförfarandet enligt 23 kap. 22 § RB innebär att den misstänktes rätt e</w:t>
      </w:r>
      <w:r w:rsidRPr="0008481A">
        <w:t>n</w:t>
      </w:r>
      <w:r w:rsidRPr="0008481A">
        <w:t>ligt 21 kap. 3 § första stycket RB att anlita biträde av försvarare bortfaller. I likhet med Riksåklagaren anser jag däremot att det av lagtexten klart framgår att denna rätt föreligger, även om den misstänkte inte har delgetts misstanke om brott, och oavsett om utredningen redan från början har formen av en förundersökning eller om den har inletts som en utredning enligt 23 kap 22 § RB. Härav följer att det inte är rättsligen möjligt att använda snattefonförfarandet, om den misstänkte vill anlita försvara</w:t>
      </w:r>
      <w:r w:rsidRPr="0008481A">
        <w:t>re under utrednin</w:t>
      </w:r>
      <w:r w:rsidRPr="0008481A">
        <w:t>g</w:t>
      </w:r>
      <w:r w:rsidRPr="0008481A">
        <w:t>en.</w:t>
      </w:r>
    </w:p>
    <w:p w:rsidR="003B3271" w:rsidRPr="0008481A" w:rsidRDefault="003B3271">
      <w:pPr>
        <w:pStyle w:val="Rubrik4"/>
      </w:pPr>
      <w:r w:rsidRPr="0008481A">
        <w:t>Lagen med särskilda bestämmelser om unga lagöverträdare (LUL)</w:t>
      </w:r>
    </w:p>
    <w:p w:rsidR="003B3271" w:rsidRPr="0008481A" w:rsidRDefault="003B3271">
      <w:r w:rsidRPr="0008481A">
        <w:t>Av det yttrande som har avgetts av Polismyndigheten i Skåne framgår att my</w:t>
      </w:r>
      <w:r w:rsidRPr="0008481A">
        <w:t>n</w:t>
      </w:r>
      <w:r w:rsidRPr="0008481A">
        <w:t xml:space="preserve">digheten anser att användningen av det förenklade förfarandet enligt </w:t>
      </w:r>
      <w:r w:rsidRPr="0008481A">
        <w:br/>
        <w:t>23 kap. 22 § RB får till följd att reglerna i 5–7 §§ LUL om underrättelse och kallelse till den unges vårdnadshavare och till socialnämnden inte är tillämpliga. Man kan vidare dra den slutsatsen att polismyndigheten är av den uppfattningen att detta är en av förtjänsterna med det förenklade förfarandet.</w:t>
      </w:r>
    </w:p>
    <w:p w:rsidR="003B3271" w:rsidRPr="0008481A" w:rsidRDefault="003B3271">
      <w:pPr>
        <w:pStyle w:val="Normaltindrag"/>
      </w:pPr>
      <w:r w:rsidRPr="0008481A">
        <w:t>Ett viktigt syfte med reglerna i LUL är, som framhålls i Riksåklagarens yttrande, att få till stånd en samverkan mellan den unges vårdna</w:t>
      </w:r>
      <w:r w:rsidRPr="0008481A">
        <w:t>dshavare, å den ena sidan, och de sociala och brottsutredande myndigheterna, å den andra, i syfte att tillrätt</w:t>
      </w:r>
      <w:r w:rsidRPr="0008481A">
        <w:t>a</w:t>
      </w:r>
      <w:r w:rsidRPr="0008481A">
        <w:t>föra den unge. Som framgår av redogörelsen för den rättsliga regleringen har la</w:t>
      </w:r>
      <w:r w:rsidRPr="0008481A">
        <w:t>g</w:t>
      </w:r>
      <w:r w:rsidRPr="0008481A">
        <w:t>stiftaren av detta skäl tagit in regler i 5–7 §§ LUL om skyldighet att underrätta vårdnadshavaren och socialnämnden om brottsmisstankar mot personer under 18 år samt att kalla vårdnadshavaren och socialnämnden till förhör med den unge. Skyldigheten att underrätta och kalla socialnämnden avser alla brott som kan följas a</w:t>
      </w:r>
      <w:r w:rsidRPr="0008481A">
        <w:t>v fängelse, och motsvarande skyldighet gentemot vårdnadshavaren avser i princip brott av alla slag. Som framgår av redogörelsen för den rättsliga regleringen görs emellertid i sistnämnda hänseende undantag bl.a. för de fall där det uppenbarligen rör sig om en förseelse av mycket bagatellartat slag eller där det kan antas att det skulle vara till större skada än nytta för den unge om vårdnadsh</w:t>
      </w:r>
      <w:r w:rsidRPr="0008481A">
        <w:t>a</w:t>
      </w:r>
      <w:r w:rsidRPr="0008481A">
        <w:t>varen underrättas. Som ett annat exempel på möjlighet att göra avsteg från regeln om skyldighet att underrätta och k</w:t>
      </w:r>
      <w:r w:rsidRPr="0008481A">
        <w:t>alla vårdnadshavarna nämns i förarbetena att förhör med den unge av utredningsskäl måste hållas omedelbart men hans vår</w:t>
      </w:r>
      <w:r w:rsidRPr="0008481A">
        <w:t>d</w:t>
      </w:r>
      <w:r w:rsidRPr="0008481A">
        <w:t>nad</w:t>
      </w:r>
      <w:r w:rsidRPr="0008481A">
        <w:t>s</w:t>
      </w:r>
      <w:r w:rsidRPr="0008481A">
        <w:t xml:space="preserve">havare inte kan nås. </w:t>
      </w:r>
    </w:p>
    <w:p w:rsidR="003B3271" w:rsidRPr="0008481A" w:rsidRDefault="003B3271">
      <w:pPr>
        <w:pStyle w:val="Normaltindrag"/>
      </w:pPr>
      <w:r w:rsidRPr="0008481A">
        <w:t xml:space="preserve">Reglerna i LUL ger uttryck för samhällets kriminalpolitiska hållning såvitt avser brott av unga. Det kan självfallet inte godtas att de brottsutredande myndigheterna i syfte att effektivisera utredningarna av brott av visst slag tillämpar ett förfarande som innebär att regler av central betydelse på detta område i praktiken inte kan tillämpas. Det framstår enligt </w:t>
      </w:r>
      <w:r w:rsidRPr="0008481A">
        <w:t>min mening som uppenbart att lagstiftarens avsikt har varit att brott begångna av personer under 18 år alltid skall utredas i enli</w:t>
      </w:r>
      <w:r w:rsidRPr="0008481A">
        <w:t>g</w:t>
      </w:r>
      <w:r w:rsidRPr="0008481A">
        <w:t>het med den specialreglering som finns i LUL. Jag vill i detta sammanhang sä</w:t>
      </w:r>
      <w:r w:rsidRPr="0008481A">
        <w:t>r</w:t>
      </w:r>
      <w:r w:rsidRPr="0008481A">
        <w:t>skilt understryka att ett allmänt intresse av att utreda snatteriärenden så snabbt och enkelt som möjligt inte kan anses vara ett sådant i det nyss nämnda förarbetsutt</w:t>
      </w:r>
      <w:r w:rsidRPr="0008481A">
        <w:t>a</w:t>
      </w:r>
      <w:r w:rsidRPr="0008481A">
        <w:t>landet åsyftat utredningsskäl som motiverar att man underlåter att underrätta och kalla den unges vårdnadshavare. Kravet på snabbhet til</w:t>
      </w:r>
      <w:r w:rsidRPr="0008481A">
        <w:t>lgodoses här i stället g</w:t>
      </w:r>
      <w:r w:rsidRPr="0008481A">
        <w:t>e</w:t>
      </w:r>
      <w:r w:rsidRPr="0008481A">
        <w:t>nom de särskilda regler i denna fråga som finns inta</w:t>
      </w:r>
      <w:r w:rsidRPr="0008481A">
        <w:t>g</w:t>
      </w:r>
      <w:r w:rsidRPr="0008481A">
        <w:t xml:space="preserve">na i LUL. </w:t>
      </w:r>
    </w:p>
    <w:p w:rsidR="003B3271" w:rsidRPr="0008481A" w:rsidRDefault="003B3271">
      <w:pPr>
        <w:pStyle w:val="Normaltindrag"/>
      </w:pPr>
      <w:r w:rsidRPr="0008481A">
        <w:t>Av det sagda följer att endast sådana mycket bagatellartade brott som åsyftas i förarbetena till 5 § LUL kan utredas med användning av det förenklade förfara</w:t>
      </w:r>
      <w:r w:rsidRPr="0008481A">
        <w:t>n</w:t>
      </w:r>
      <w:r w:rsidRPr="0008481A">
        <w:t xml:space="preserve">det enligt 23 kap. 22 § RB. </w:t>
      </w:r>
    </w:p>
    <w:p w:rsidR="003B3271" w:rsidRPr="0008481A" w:rsidRDefault="003B3271">
      <w:pPr>
        <w:pStyle w:val="Normaltindrag"/>
      </w:pPr>
      <w:r w:rsidRPr="0008481A">
        <w:t>Med anledning av vad som har sagts i det föregående om skyldigheten enligt 24 kap. 7 § andra stycket RB för den som har gripit en för brott misstänkt person att skyndsamt överlämna denne till närmaste polisman vill jag framhålla, att motsv</w:t>
      </w:r>
      <w:r w:rsidRPr="0008481A">
        <w:t>a</w:t>
      </w:r>
      <w:r w:rsidRPr="0008481A">
        <w:t>rande skyldighet enligt 34 § LUL gäller när en enskild person har gripit någon som är under 15 år på grund av misstanke om ett brott som kan följas av fängelse. Inte heller här finns det således utrymme för ett ”överlämnande” per telefon.</w:t>
      </w:r>
    </w:p>
    <w:p w:rsidR="003B3271" w:rsidRPr="0008481A" w:rsidRDefault="003B3271">
      <w:pPr>
        <w:pStyle w:val="Rubrik4"/>
      </w:pPr>
      <w:r w:rsidRPr="0008481A">
        <w:t>Sammanfattande synpunkter</w:t>
      </w:r>
    </w:p>
    <w:p w:rsidR="003B3271" w:rsidRPr="0008481A" w:rsidRDefault="003B3271">
      <w:r w:rsidRPr="0008481A">
        <w:t>Av vad som har sagts i det föregående framgår att man enligt min mening av flera skäl inte kan acceptera en användning av snattefonförfarandet så som detta b</w:t>
      </w:r>
      <w:r w:rsidRPr="0008481A">
        <w:t>e</w:t>
      </w:r>
      <w:r w:rsidRPr="0008481A">
        <w:t xml:space="preserve">skrivits i de yttranden som har avgetts i ärendet. Dessa skäl kan sammanfattas på följande sätt. </w:t>
      </w:r>
    </w:p>
    <w:p w:rsidR="003B3271" w:rsidRPr="0008481A" w:rsidRDefault="003B3271">
      <w:pPr>
        <w:pStyle w:val="Normaltindrag"/>
      </w:pPr>
      <w:r w:rsidRPr="0008481A">
        <w:t>Snattefonförfarandet innebär att den misstänkte inte vid något tillfälle samma</w:t>
      </w:r>
      <w:r w:rsidRPr="0008481A">
        <w:t>n</w:t>
      </w:r>
      <w:r w:rsidRPr="0008481A">
        <w:t>träffar med en befattningshavare inom polisväsendet med anledning av det inträ</w:t>
      </w:r>
      <w:r w:rsidRPr="0008481A">
        <w:t>f</w:t>
      </w:r>
      <w:r w:rsidRPr="0008481A">
        <w:t>fade, och att polisen därmed inte framträder som en synlig aktör i samhällets brottsbeivrande och brottsförebyggande verksamhet. Man går därför miste om det pedagogiska och brottsförebyggande värde som ligger i att den som är misstänkt för ett butikssnatteri, åtminstone vid något tillfälle under utredningen, ställs öga mot öga med en polisiär befattningshavare som har till uppgift att som statens företrädare ingripa mot brottet.</w:t>
      </w:r>
      <w:r w:rsidRPr="0008481A">
        <w:t xml:space="preserve"> Jag vill här erinra om de förarbetsuttalanden om det lämpliga i att man vid butiks</w:t>
      </w:r>
      <w:r w:rsidRPr="0008481A">
        <w:softHyphen/>
        <w:t>tillgrepp tillämpar reglerna om s.k. primärutre</w:t>
      </w:r>
      <w:r w:rsidRPr="0008481A">
        <w:t>d</w:t>
      </w:r>
      <w:r w:rsidRPr="0008481A">
        <w:t>ning som har återgetts i det föregående. Det finns vidare anledning att peka på att en av de bärande tankarna bakom närpolisreformen är att polisen skall fungera brotts</w:t>
      </w:r>
      <w:r w:rsidRPr="0008481A">
        <w:softHyphen/>
        <w:t>förebyggande bl.a. genom att vara synlig i loka</w:t>
      </w:r>
      <w:r w:rsidRPr="0008481A">
        <w:t>l</w:t>
      </w:r>
      <w:r w:rsidRPr="0008481A">
        <w:t xml:space="preserve">samhället. </w:t>
      </w:r>
    </w:p>
    <w:p w:rsidR="003B3271" w:rsidRPr="0008481A" w:rsidRDefault="003B3271">
      <w:pPr>
        <w:pStyle w:val="Normaltindrag"/>
      </w:pPr>
      <w:r w:rsidRPr="0008481A">
        <w:t>Användning av snattefonförfarandet medför inte bara att, i enlighet med rådande praxis för ingripanden med anledning av butikstillgrepp, centrala delar</w:t>
      </w:r>
      <w:r w:rsidRPr="0008481A">
        <w:t xml:space="preserve"> av det i</w:t>
      </w:r>
      <w:r w:rsidRPr="0008481A">
        <w:t>n</w:t>
      </w:r>
      <w:r w:rsidRPr="0008481A">
        <w:t>ledande utredningsförfarandet – identitetskontroll och förfrågan om den mis</w:t>
      </w:r>
      <w:r w:rsidRPr="0008481A">
        <w:t>s</w:t>
      </w:r>
      <w:r w:rsidRPr="0008481A">
        <w:t>tänktes inställning till brottsmisstanken – handhas av en enskild person, t.ex. en butiks</w:t>
      </w:r>
      <w:r w:rsidRPr="0008481A">
        <w:softHyphen/>
        <w:t>innehavare eller en butikskontrollant, som antingen har ett eget intresse i saken eller agerar på uppdrag av någon som har ett sådant intresse och som inte är underkastad den objektivitetsprincip som gäller för polisen. Härtill kommer att också den del av utrednings</w:t>
      </w:r>
      <w:r w:rsidRPr="0008481A">
        <w:softHyphen/>
        <w:t>förfarandet, som utgörs av det av en polisman hållna telefonförhöret,</w:t>
      </w:r>
      <w:r w:rsidRPr="0008481A">
        <w:t xml:space="preserve"> känne</w:t>
      </w:r>
      <w:r w:rsidRPr="0008481A">
        <w:softHyphen/>
        <w:t>tecknas av att den misstänkte står under kontroll av måls</w:t>
      </w:r>
      <w:r w:rsidRPr="0008481A">
        <w:softHyphen/>
        <w:t>äganden eller en företrädare för denne, som genom den attityd som han intar mot den miss</w:t>
      </w:r>
      <w:r w:rsidRPr="0008481A">
        <w:softHyphen/>
        <w:t>tänkte i hög grad kan påverka förhörssitu</w:t>
      </w:r>
      <w:r w:rsidRPr="0008481A">
        <w:t>a</w:t>
      </w:r>
      <w:r w:rsidRPr="0008481A">
        <w:t xml:space="preserve">tionen. </w:t>
      </w:r>
    </w:p>
    <w:p w:rsidR="003B3271" w:rsidRPr="0008481A" w:rsidRDefault="003B3271">
      <w:pPr>
        <w:pStyle w:val="Normaltindrag"/>
      </w:pPr>
      <w:r w:rsidRPr="0008481A">
        <w:t>Redan gällande praxis i fråga om ingripanden mot personer som är misstänkta för butikssnatteri innebär att brottsutredande uppgifter som ankommer på polisen utan lagstiftarens medverkan överförs till en butiks</w:t>
      </w:r>
      <w:r w:rsidRPr="0008481A">
        <w:softHyphen/>
        <w:t xml:space="preserve">kontrollant eller någon annan som företräder målsägandens intressen. Snattefonförfarandet innebär att ytterligare ett steg tas i denna riktning. Den som, sett ur den misstänktes perspektiv, i första hand företräder intresset av att brott beivras blir därmed målsäganden eller någon som är i dennes ställe. </w:t>
      </w:r>
    </w:p>
    <w:p w:rsidR="003B3271" w:rsidRPr="0008481A" w:rsidRDefault="003B3271">
      <w:pPr>
        <w:pStyle w:val="Normaltindrag"/>
      </w:pPr>
      <w:r w:rsidRPr="0008481A">
        <w:t>Det finns vidare anledning att erinra om att en butiksanställd eller en butiksko</w:t>
      </w:r>
      <w:r w:rsidRPr="0008481A">
        <w:t>n</w:t>
      </w:r>
      <w:r w:rsidRPr="0008481A">
        <w:t>trollant som ingriper mot en person med anledning av ett butiks</w:t>
      </w:r>
      <w:r w:rsidRPr="0008481A">
        <w:softHyphen/>
        <w:t>tillgrepp kan komma att höras som vittne med anledning av omständig</w:t>
      </w:r>
      <w:r w:rsidRPr="0008481A">
        <w:softHyphen/>
        <w:t>heterna kring ingripa</w:t>
      </w:r>
      <w:r w:rsidRPr="0008481A">
        <w:t>n</w:t>
      </w:r>
      <w:r w:rsidRPr="0008481A">
        <w:t>det. Det måste betraktas som anmärkningsvärt att det över</w:t>
      </w:r>
      <w:r w:rsidRPr="0008481A">
        <w:softHyphen/>
        <w:t>lämnas åt ett vittne som tillika är en partsföreträdare att i viktiga hänseenden ombesörja utredningen av det brott som han har bevit</w:t>
      </w:r>
      <w:r w:rsidRPr="0008481A">
        <w:t>t</w:t>
      </w:r>
      <w:r w:rsidRPr="0008481A">
        <w:t xml:space="preserve">nat.   </w:t>
      </w:r>
    </w:p>
    <w:p w:rsidR="003B3271" w:rsidRPr="0008481A" w:rsidRDefault="003B3271">
      <w:pPr>
        <w:pStyle w:val="Normaltindrag"/>
      </w:pPr>
      <w:r w:rsidRPr="0008481A">
        <w:t>Av det sagda framgår att det här är fråga om ett utredningsförfarande som inte gör någon klar åtskillnad mellan målsäganden eller den som är i hans ställe, å</w:t>
      </w:r>
      <w:r w:rsidRPr="0008481A">
        <w:t xml:space="preserve"> den ena sidan, och polisen som företrädare för det allmänna intresset av ett objektivt och rättssäkert brottsutredningsförfarande, å den andra. Det finns härmed en påtaglig risk för att polisen och målsäganden – eller den person som för måls</w:t>
      </w:r>
      <w:r w:rsidRPr="0008481A">
        <w:softHyphen/>
        <w:t>ägandens rä</w:t>
      </w:r>
      <w:r w:rsidRPr="0008481A">
        <w:t>k</w:t>
      </w:r>
      <w:r w:rsidRPr="0008481A">
        <w:t>ning och i egenskap av vittne till det inträffade har ingripit mot den misstänkte – i den misstänktes ögon kommer att framstå som aktörer som nära och förtroend</w:t>
      </w:r>
      <w:r w:rsidRPr="0008481A">
        <w:t>e</w:t>
      </w:r>
      <w:r w:rsidRPr="0008481A">
        <w:t>fullt samverkar med varandra i det gemensamma syftet att tillgodose målsäga</w:t>
      </w:r>
      <w:r w:rsidRPr="0008481A">
        <w:t>n</w:t>
      </w:r>
      <w:r w:rsidRPr="0008481A">
        <w:t>dens intresse av att</w:t>
      </w:r>
      <w:r w:rsidRPr="0008481A">
        <w:t xml:space="preserve"> tillgreppet beivras. Det är uppenbart att en sådan ordning är ägnad att försätta den misstänkte i underläge och att rubba hans tilltro till objekt</w:t>
      </w:r>
      <w:r w:rsidRPr="0008481A">
        <w:t>i</w:t>
      </w:r>
      <w:r w:rsidRPr="0008481A">
        <w:t>viteten i förfara</w:t>
      </w:r>
      <w:r w:rsidRPr="0008481A">
        <w:t>n</w:t>
      </w:r>
      <w:r w:rsidRPr="0008481A">
        <w:t xml:space="preserve">det. </w:t>
      </w:r>
    </w:p>
    <w:p w:rsidR="003B3271" w:rsidRPr="0008481A" w:rsidRDefault="003B3271">
      <w:pPr>
        <w:pStyle w:val="Normaltindrag"/>
      </w:pPr>
      <w:r w:rsidRPr="0008481A">
        <w:t>Redan dessa synpunkter av principiell natur är enligt min mening tillräckliga för att man skall finna anledning att ifrågasätta användningen av snattefonförf</w:t>
      </w:r>
      <w:r w:rsidRPr="0008481A">
        <w:t>a</w:t>
      </w:r>
      <w:r w:rsidRPr="0008481A">
        <w:t>randet. Metoden kan emellertid kritiseras också utifrån mera renodlat rättsliga utgång</w:t>
      </w:r>
      <w:r w:rsidRPr="0008481A">
        <w:t>s</w:t>
      </w:r>
      <w:r w:rsidRPr="0008481A">
        <w:t xml:space="preserve">punkter. </w:t>
      </w:r>
    </w:p>
    <w:p w:rsidR="003B3271" w:rsidRPr="0008481A" w:rsidRDefault="003B3271">
      <w:pPr>
        <w:pStyle w:val="Normaltindrag"/>
      </w:pPr>
      <w:r w:rsidRPr="0008481A">
        <w:t>Det förfarande som normalt tillämpas av exempelvis en butikskontrollant för att säkerställa identifiering och rapportering av en person som har er</w:t>
      </w:r>
      <w:r w:rsidRPr="0008481A">
        <w:softHyphen/>
        <w:t>tappats med ett butikstillgrepp måste betraktas som ett envarsgripande enligt 24 kap. 7 § andra stycket RB. Av detta följer att den som har blivit föremål för ingripandet skall överlämnas till en polisman. Denna bestämmelse kan inte tolkas på annat sätt än att den avser ett förfarande som innebär att polis</w:t>
      </w:r>
      <w:r w:rsidRPr="0008481A">
        <w:softHyphen/>
        <w:t>mannen har faktisk möjlighet att överta gripandet eller att på platsen vidta någon annan åtgärd, t.ex. att kropps</w:t>
      </w:r>
      <w:r w:rsidRPr="0008481A">
        <w:softHyphen/>
        <w:t>visitera den misstänkte. Ett överläm</w:t>
      </w:r>
      <w:r w:rsidRPr="0008481A">
        <w:softHyphen/>
        <w:t>nan</w:t>
      </w:r>
      <w:r w:rsidRPr="0008481A">
        <w:softHyphen/>
        <w:t>de enligt 24 kap. 7 § andra stycket RB kan såled</w:t>
      </w:r>
      <w:r w:rsidRPr="0008481A">
        <w:t>es inte göras per telefon. De utredningsåtgärder som är avsedda att vidtas i samband med ett fysiskt överlämnande av den misstänkte till en polisman kan inte lagligen ersättas med ett telefonförhör i omedelbar anslutning till gripandet. Om en polisman inte kan komma till platsen skall den gripne därför omedelbart friges. I det här diskuterade hänseendet står snattefonförfarandet således i direkt strid med gällande lag. En annan sak är att det kan vara av värde att det hos polismy</w:t>
      </w:r>
      <w:r w:rsidRPr="0008481A">
        <w:t>n</w:t>
      </w:r>
      <w:r w:rsidRPr="0008481A">
        <w:t>digheten finns ett särskilt</w:t>
      </w:r>
      <w:r w:rsidRPr="0008481A">
        <w:t xml:space="preserve"> telefonnummer som kan användas av den som vill få en polisman till platsen för ett envarsgr</w:t>
      </w:r>
      <w:r w:rsidRPr="0008481A">
        <w:t>i</w:t>
      </w:r>
      <w:r w:rsidRPr="0008481A">
        <w:t xml:space="preserve">pande. </w:t>
      </w:r>
      <w:r w:rsidRPr="0008481A">
        <w:rPr>
          <w:smallCaps/>
        </w:rPr>
        <w:t xml:space="preserve"> </w:t>
      </w:r>
      <w:r w:rsidRPr="0008481A">
        <w:t xml:space="preserve"> </w:t>
      </w:r>
    </w:p>
    <w:p w:rsidR="003B3271" w:rsidRPr="0008481A" w:rsidRDefault="003B3271">
      <w:pPr>
        <w:pStyle w:val="Normaltindrag"/>
      </w:pPr>
      <w:r w:rsidRPr="0008481A">
        <w:t>Rikspolisstyrelsen och Riksåklagaren har gett uttryck för uppfattningen att snatt</w:t>
      </w:r>
      <w:r w:rsidRPr="0008481A">
        <w:t>e</w:t>
      </w:r>
      <w:r w:rsidRPr="0008481A">
        <w:t>fonförfarandet inte kan användas om det råder osäkerhet om den misstänktes identitet. Det är en självklarhet i en rättsstat att den som blir föremål för ett åtal eller tillställs ett strafföreläggande dessförinnan måste ha fått sin identitet fas</w:t>
      </w:r>
      <w:r w:rsidRPr="0008481A">
        <w:t>t</w:t>
      </w:r>
      <w:r w:rsidRPr="0008481A">
        <w:t>ställd på sådant sätt att det inte finns utrymme för att ifrågasätta riktigheten av identifieringen. Fastställandet av den misstänktes identitet är en utredningsåtgärd som vidtas vid polisens myndighetsutövning och som inte till någon del kan överlåtas på en enskil</w:t>
      </w:r>
      <w:r w:rsidRPr="0008481A">
        <w:t>d person. Uppgiften att identifiera den misstänkte kan inte heller fullgöras på ett tillfredsställande sätt genom att en polisman vid ett telefo</w:t>
      </w:r>
      <w:r w:rsidRPr="0008481A">
        <w:t>n</w:t>
      </w:r>
      <w:r w:rsidRPr="0008481A">
        <w:t>samtal med den misstänkte gör en registerkontroll och ställer olika kontrollfrågor. För att identifieringen skall uppfylla rättssäkerhetens krav fordras att den görs av en befattningshavare inom polisväsendet vid ett personligt sammanträffande med den misstänkte, som ger möjlighet till en kontroll av legitimationshandlingar eller en kontroll av annat lika tillförli</w:t>
      </w:r>
      <w:r w:rsidRPr="0008481A">
        <w:t xml:space="preserve">tligt slag. Det är således aldrig möjligt att med användning av snattefonförfarandet fastställa den misstänktes identitet på ett ur rättssäkerhetssynpunkt godtagbart sätt. </w:t>
      </w:r>
    </w:p>
    <w:p w:rsidR="003B3271" w:rsidRPr="0008481A" w:rsidRDefault="003B3271">
      <w:pPr>
        <w:pStyle w:val="Normaltindrag"/>
      </w:pPr>
      <w:r w:rsidRPr="0008481A">
        <w:t>Vidare talar starka rättssäkerhetsskäl mot att det förenklade utrednings</w:t>
      </w:r>
      <w:r w:rsidRPr="0008481A">
        <w:softHyphen/>
        <w:t>förfarandet enligt 23 kap. 22 § RB över huvud taget används av polisen vid utredningen av butikssnatterier. Det är svårt att förstå varför det grundläggande skydd för den misstänktes rättssäkerhet, som följer bl.a. av reglerna i 23 kap. 18 § RB och 12 § FUK om skyldigheten att underrätta den misstänkte om hans rätt till försvarare och om hans rätt att ta del av utredningen, skulle falla bort exempelvis av det skälet att värdet av den egendom som tillgrips i en butik ligger under en viss b</w:t>
      </w:r>
      <w:r w:rsidRPr="0008481A">
        <w:t>e</w:t>
      </w:r>
      <w:r w:rsidRPr="0008481A">
        <w:t>loppsgräns. Ett s</w:t>
      </w:r>
      <w:r w:rsidRPr="0008481A">
        <w:t>ådant synsätt framstår som särskilt svårförklarligt med hänsyn till att butikssnatterier i många fall snarare ger upphov till fler problem i rättsligt hä</w:t>
      </w:r>
      <w:r w:rsidRPr="0008481A">
        <w:t>n</w:t>
      </w:r>
      <w:r w:rsidRPr="0008481A">
        <w:t>seende än vad som är fallet med sådana tillgreppsbrott som på grund av det til</w:t>
      </w:r>
      <w:r w:rsidRPr="0008481A">
        <w:t>l</w:t>
      </w:r>
      <w:r w:rsidRPr="0008481A">
        <w:t>gripnas värde och omständigheterna i övrigt är att betrakta som stöld. Den o</w:t>
      </w:r>
      <w:r w:rsidRPr="0008481A">
        <w:t>m</w:t>
      </w:r>
      <w:r w:rsidRPr="0008481A">
        <w:t>ständigheten att en misstänkt person i omedelbar anslutning till att han har erta</w:t>
      </w:r>
      <w:r w:rsidRPr="0008481A">
        <w:t>p</w:t>
      </w:r>
      <w:r w:rsidRPr="0008481A">
        <w:t>pats med ett butikssnatteri förklarar att han är beredd att medverka i ett förfarande som innebär att han avstår från si</w:t>
      </w:r>
      <w:r w:rsidRPr="0008481A">
        <w:t>na rättigheter enligt bl.a. 23 kap. 18 § RB bör mot denna bakgrund inte tillmätas någon relevans för valet av utredning</w:t>
      </w:r>
      <w:r w:rsidRPr="0008481A">
        <w:t>s</w:t>
      </w:r>
      <w:r w:rsidRPr="0008481A">
        <w:t xml:space="preserve">form.  </w:t>
      </w:r>
    </w:p>
    <w:p w:rsidR="003B3271" w:rsidRPr="0008481A" w:rsidRDefault="003B3271">
      <w:pPr>
        <w:pStyle w:val="Normaltindrag"/>
      </w:pPr>
      <w:r w:rsidRPr="0008481A">
        <w:t>En annan sak är att det ofta kan vara lämpligt att vid misstanke om butikssnatteri inledningsvis tillämpa reglerna i 23 kap. 3 § tredje stycket RB och i 3 a § FUK om s.k. primärutredning. Den polisman som vidtar utred</w:t>
      </w:r>
      <w:r w:rsidRPr="0008481A">
        <w:softHyphen/>
        <w:t>nings</w:t>
      </w:r>
      <w:r w:rsidRPr="0008481A">
        <w:softHyphen/>
        <w:t xml:space="preserve">åtgärder med stöd av dessa bestämmelser bör emellertid därvid utgå från att förundersökning senare kommer att inledas.  </w:t>
      </w:r>
    </w:p>
    <w:p w:rsidR="003B3271" w:rsidRPr="0008481A" w:rsidRDefault="003B3271">
      <w:pPr>
        <w:pStyle w:val="Normaltindrag"/>
      </w:pPr>
      <w:r w:rsidRPr="0008481A">
        <w:t>Av lagstiftarens syfte med reglerna i lagen med särskilda bestämmelser om unga lagöverträdare följer att brott av personer under arton år alltid skall utredas under sådana former att reglerna i denna lag kan tillämpas fullt ut. Detta innebär att a</w:t>
      </w:r>
      <w:r w:rsidRPr="0008481A">
        <w:t>n</w:t>
      </w:r>
      <w:r w:rsidRPr="0008481A">
        <w:t xml:space="preserve">vändning av snattefonförfarandet i sådana fall är utesluten redan av detta skäl. Den ordning som i detta hänseende tillämpas av Polismyndigheten i Skåne står således i strid med gällande rätt. </w:t>
      </w:r>
    </w:p>
    <w:p w:rsidR="003B3271" w:rsidRPr="0008481A" w:rsidRDefault="003B3271">
      <w:pPr>
        <w:pStyle w:val="Normaltindrag"/>
      </w:pPr>
      <w:r w:rsidRPr="0008481A">
        <w:t>Det kan tilläggas att också polismyndighetens åsikt, att användningen av det fö</w:t>
      </w:r>
      <w:r w:rsidRPr="0008481A">
        <w:t>r</w:t>
      </w:r>
      <w:r w:rsidRPr="0008481A">
        <w:t>enklade utredningsförfarandet enligt 23 kap. 22 § RB innebär att den misstänktes rätt att biträdas av försvarare bortfaller, har sin grund i en missuppfattning om innebörden av lagstif</w:t>
      </w:r>
      <w:r w:rsidRPr="0008481A">
        <w:t>t</w:t>
      </w:r>
      <w:r w:rsidRPr="0008481A">
        <w:t xml:space="preserve">ningen på området. </w:t>
      </w:r>
    </w:p>
    <w:p w:rsidR="003B3271" w:rsidRPr="0008481A" w:rsidRDefault="003B3271">
      <w:pPr>
        <w:pStyle w:val="Normaltindrag"/>
      </w:pPr>
      <w:r w:rsidRPr="0008481A">
        <w:t>Det är självfallet angeläget att begångna brott utreds och beivras, och det är också naturligt att de brottsbekämpande myndigheterna kontinuerligt utvecklar och för</w:t>
      </w:r>
      <w:r w:rsidRPr="0008481A">
        <w:softHyphen/>
        <w:t>bättrar sina metoder i detta hänseende. Den vällovliga ambitionen att rationalisera och effektivisera utredningsarbetet får emellertid aldrig sträcka sig så långt att grundläggande principer till skydd för den enskildes rättssäkerhet sätts åt sidan, och det kan självfallet än mindre godtas att en utredningsmetod står i direkt strid med gällande lag. Det är därför angeläget att varje beslut att införa nya metoder föregås av en noggrann analys av de rättsliga frågor som kan komma att aktualis</w:t>
      </w:r>
      <w:r w:rsidRPr="0008481A">
        <w:t>e</w:t>
      </w:r>
      <w:r w:rsidRPr="0008481A">
        <w:t xml:space="preserve">ras.  </w:t>
      </w:r>
    </w:p>
    <w:p w:rsidR="003B3271" w:rsidRPr="0008481A" w:rsidRDefault="003B3271">
      <w:pPr>
        <w:pStyle w:val="Normaltindrag"/>
      </w:pPr>
      <w:r w:rsidRPr="0008481A">
        <w:t>De frågo</w:t>
      </w:r>
      <w:r w:rsidRPr="0008481A">
        <w:t>r som har behandlats i detta ärende är av den arten att jag finner anle</w:t>
      </w:r>
      <w:r w:rsidRPr="0008481A">
        <w:t>d</w:t>
      </w:r>
      <w:r w:rsidRPr="0008481A">
        <w:t>ning att fästa Justitiedepartementets uppmärksamhet på dem genom att överlämna en kopia av detta beslut. Jag överlämnar vidare för kännedom en kopia av beslutet till justitieutskottet.</w:t>
      </w:r>
    </w:p>
    <w:p w:rsidR="003B3271" w:rsidRPr="0008481A" w:rsidRDefault="003B3271">
      <w:pPr>
        <w:pStyle w:val="Rubrik2"/>
      </w:pPr>
      <w:r w:rsidRPr="0008481A">
        <w:t>Kritik mot en polismyndighet för långsam handläggning av ärenden vid dess i</w:t>
      </w:r>
      <w:r w:rsidRPr="0008481A">
        <w:t>n</w:t>
      </w:r>
      <w:r w:rsidRPr="0008481A">
        <w:t>ternutredningsenhet</w:t>
      </w:r>
    </w:p>
    <w:p w:rsidR="003B3271" w:rsidRPr="0008481A" w:rsidRDefault="003B3271">
      <w:r w:rsidRPr="0008481A">
        <w:t>(Dnr 296-1999)</w:t>
      </w:r>
    </w:p>
    <w:p w:rsidR="003B3271" w:rsidRPr="0008481A" w:rsidRDefault="003B3271">
      <w:pPr>
        <w:pStyle w:val="Rubrik3"/>
      </w:pPr>
      <w:r w:rsidRPr="0008481A">
        <w:t>Bakgrund</w:t>
      </w:r>
    </w:p>
    <w:p w:rsidR="003B3271" w:rsidRPr="0008481A" w:rsidRDefault="003B3271">
      <w:r w:rsidRPr="0008481A">
        <w:t>Vid en inspektion den 1 och 2 december 1998 av Polismyndigheten i Skåne, I</w:t>
      </w:r>
      <w:r w:rsidRPr="0008481A">
        <w:t>n</w:t>
      </w:r>
      <w:r w:rsidRPr="0008481A">
        <w:t>ternutredningsgruppen (IUG), granskades handläggningen av de 30 äldsta ännu inte avgjorda ärendena och av alla de ärenden som hade kommit in under år 1998. Vid tidpunkten för inspektionen bestod personalstyrkan vid IUG av fem utre</w:t>
      </w:r>
      <w:r w:rsidRPr="0008481A">
        <w:t>d</w:t>
      </w:r>
      <w:r w:rsidRPr="0008481A">
        <w:t>ningskommissarier, varav två var tillfälligt anställda. Före den 1 september 1998 bestod gruppen av två kommissarier. Chef för enheten var kommissarien Boris Brundin.</w:t>
      </w:r>
    </w:p>
    <w:p w:rsidR="003B3271" w:rsidRPr="0008481A" w:rsidRDefault="003B3271">
      <w:pPr>
        <w:pStyle w:val="Normaltindrag"/>
      </w:pPr>
      <w:r w:rsidRPr="0008481A">
        <w:t>Vid granskningen konstaterades att ett stort antal ärenden hade legat lång tid utan att några handläggningsåtgärd</w:t>
      </w:r>
      <w:r w:rsidRPr="0008481A">
        <w:t>er hade vidtagits i dem. Exempelvis hade flertalet av de 30 äldsta ärendena legat upp emot två år och i vissa fall t.o.m. drygt två år utan att några synbara åtgärder hade förekommit. I fråga om vissa av de ärenden som fortfarande stod öppna visade det sig vid en under inspektionen utförd kontroll att åklagare långt tidigare hade beslutat att avsluta utredningarna. Därutöver konstat</w:t>
      </w:r>
      <w:r w:rsidRPr="0008481A">
        <w:t>e</w:t>
      </w:r>
      <w:r w:rsidRPr="0008481A">
        <w:t>rades att ett stort antal av 1998 års ärenden hade legat sedan januari eller februari 1998 utan att några utredningsåtgärder h</w:t>
      </w:r>
      <w:r w:rsidRPr="0008481A">
        <w:t>ade vidtagits. – – –</w:t>
      </w:r>
    </w:p>
    <w:p w:rsidR="003B3271" w:rsidRPr="0008481A" w:rsidRDefault="003B3271">
      <w:r w:rsidRPr="0008481A">
        <w:rPr>
          <w:i/>
        </w:rPr>
        <w:t>ChefsJO Eklundh</w:t>
      </w:r>
      <w:r w:rsidRPr="0008481A">
        <w:t xml:space="preserve"> beslutade att handläggningen skulle tas upp till utredning i ett sä</w:t>
      </w:r>
      <w:r w:rsidRPr="0008481A">
        <w:t>r</w:t>
      </w:r>
      <w:r w:rsidRPr="0008481A">
        <w:t xml:space="preserve">skilt ärende. </w:t>
      </w:r>
    </w:p>
    <w:p w:rsidR="003B3271" w:rsidRPr="0008481A" w:rsidRDefault="003B3271">
      <w:pPr>
        <w:pStyle w:val="Rubrik3"/>
      </w:pPr>
      <w:r w:rsidRPr="0008481A">
        <w:t xml:space="preserve">Utredning </w:t>
      </w:r>
    </w:p>
    <w:p w:rsidR="003B3271" w:rsidRPr="0008481A" w:rsidRDefault="003B3271">
      <w:r w:rsidRPr="0008481A">
        <w:t>Polismyndigheten anmodades att inkomma med upplysningar och yttrande över</w:t>
      </w:r>
    </w:p>
    <w:p w:rsidR="003B3271" w:rsidRPr="0008481A" w:rsidRDefault="003B3271">
      <w:pPr>
        <w:pStyle w:val="Normaltindrag"/>
      </w:pPr>
      <w:r w:rsidRPr="0008481A">
        <w:t>– orsaken till att ett stort antal ärenden hade legat lång tid utan att några åtgärder hade vidtagits i dem,</w:t>
      </w:r>
    </w:p>
    <w:p w:rsidR="003B3271" w:rsidRPr="0008481A" w:rsidRDefault="003B3271">
      <w:pPr>
        <w:pStyle w:val="Normaltindrag"/>
      </w:pPr>
      <w:r w:rsidRPr="0008481A">
        <w:t>– vilka kontroll- och bevakningsrutiner polismyndigheten (IUG) hade beträffande ännu inte avgjorda ärenden,</w:t>
      </w:r>
    </w:p>
    <w:p w:rsidR="003B3271" w:rsidRPr="0008481A" w:rsidRDefault="003B3271">
      <w:pPr>
        <w:pStyle w:val="Normaltindrag"/>
      </w:pPr>
      <w:r w:rsidRPr="0008481A">
        <w:t>– vilka åtgärder polismyndigheten hade vidtagit eller skulle komma att vidta för att komma tillrätta med de långa handläggningstiderna.</w:t>
      </w:r>
    </w:p>
    <w:p w:rsidR="003B3271" w:rsidRPr="0008481A" w:rsidRDefault="003B3271">
      <w:r w:rsidRPr="0008481A">
        <w:t>Polismyndigheten (länspolismästaren Hans Wranghult) kom in med följande r</w:t>
      </w:r>
      <w:r w:rsidRPr="0008481A">
        <w:t>e</w:t>
      </w:r>
      <w:r w:rsidRPr="0008481A">
        <w:t xml:space="preserve">missvar. </w:t>
      </w:r>
    </w:p>
    <w:p w:rsidR="003B3271" w:rsidRPr="0008481A" w:rsidRDefault="003B3271">
      <w:pPr>
        <w:pStyle w:val="Rubrik4"/>
      </w:pPr>
      <w:r w:rsidRPr="0008481A">
        <w:t>Orsaker till långsam handläggning</w:t>
      </w:r>
    </w:p>
    <w:p w:rsidR="003B3271" w:rsidRPr="0008481A" w:rsidRDefault="003B3271">
      <w:pPr>
        <w:pStyle w:val="Citat"/>
      </w:pPr>
      <w:r w:rsidRPr="0008481A">
        <w:t>Inflödet av anmälningar mot polisanställda avseende brott som har samband med anställningen var under åren 1994–1996 i genomsnitt omkring 350 ärenden per år. Under 1997 skedde en markant ökning varvid inkom 504 ärenden. Den ingående balansen den 1 januari 1997 var 200 ärenden. På grund av det stora anmälningsinflödet ökade balansen med 98 ärenden under året så att den utg</w:t>
      </w:r>
      <w:r w:rsidRPr="0008481A">
        <w:t>å</w:t>
      </w:r>
      <w:r w:rsidRPr="0008481A">
        <w:t>ende balansen för 1997 var 298 ärenden. På grund härav och med anledning av att en av de tre kommissarierna vid intern</w:t>
      </w:r>
      <w:r w:rsidRPr="0008481A">
        <w:softHyphen/>
        <w:t>utred</w:t>
      </w:r>
      <w:r w:rsidRPr="0008481A">
        <w:softHyphen/>
        <w:t>ningsgruppen blivit långtidssjuk beslutade länspolismästaren att ledig</w:t>
      </w:r>
      <w:r w:rsidRPr="0008481A">
        <w:softHyphen/>
        <w:t>förklara två anställningar som kommissarie genom en kungörelse den 19 februari 1998. Detta anställningsförfarande skedde samtidigt med genomförandet av polismyndighetens omorganis</w:t>
      </w:r>
      <w:r w:rsidRPr="0008481A">
        <w:t>a</w:t>
      </w:r>
      <w:r w:rsidRPr="0008481A">
        <w:t>tion. Denna innebar bland annat rekrytering av ett mycket stort antal arbetsledare där tillsättning</w:t>
      </w:r>
      <w:r w:rsidRPr="0008481A">
        <w:t>s</w:t>
      </w:r>
      <w:r w:rsidRPr="0008481A">
        <w:t>processen håller på att avslutas nu</w:t>
      </w:r>
      <w:r w:rsidRPr="0008481A">
        <w:t>. Det dröjde till september månad 1998 innan nya befatt</w:t>
      </w:r>
      <w:r w:rsidRPr="0008481A">
        <w:softHyphen/>
        <w:t>ningsh</w:t>
      </w:r>
      <w:r w:rsidRPr="0008481A">
        <w:t>a</w:t>
      </w:r>
      <w:r w:rsidRPr="0008481A">
        <w:t>vare fanns på plats i internutredningsgruppen. En utökning med en utredningsman gjordes i fö</w:t>
      </w:r>
      <w:r w:rsidRPr="0008481A">
        <w:t>r</w:t>
      </w:r>
      <w:r w:rsidRPr="0008481A">
        <w:t>hållande till utlysningskungörelsen. Det innebar att tre kommissarier tillsattes. Ärendebalansen var då omkring 400 ärenden.</w:t>
      </w:r>
    </w:p>
    <w:p w:rsidR="003B3271" w:rsidRPr="0008481A" w:rsidRDefault="003B3271">
      <w:r w:rsidRPr="0008481A">
        <w:t>Bedömning</w:t>
      </w:r>
    </w:p>
    <w:p w:rsidR="003B3271" w:rsidRPr="0008481A" w:rsidRDefault="003B3271">
      <w:pPr>
        <w:pStyle w:val="Citat"/>
      </w:pPr>
      <w:r w:rsidRPr="0008481A">
        <w:t>En orsak till att ett stort antal ärenden har legat lång tid utan att några åtgärder vidtagits synes vara att genomförd ärendebevakning inte följts upp i tillräcklig omfattning och att ärendeprioritering inte alltid genomförts. Det gäller särskilt ärenden från 1995 och 1996. Ett flertal ärenden skulle t.ex. kunna ha redovisats efter en enkel kontroll med åklagarmyndigheten. Det kan vidare konst</w:t>
      </w:r>
      <w:r w:rsidRPr="0008481A">
        <w:t>a</w:t>
      </w:r>
      <w:r w:rsidRPr="0008481A">
        <w:t>teras att ärendebalansen, på grund av ett ökat anmälningsinflöde, långtidssjukdom och ett för lån</w:t>
      </w:r>
      <w:r w:rsidRPr="0008481A">
        <w:t>g</w:t>
      </w:r>
      <w:r w:rsidRPr="0008481A">
        <w:t>samt tillsättningssystem inom polisen, blivit för stor och att genomströmningshastigheten därmed generellt förlängts. Särskilt under våren 1998 blev b</w:t>
      </w:r>
      <w:r w:rsidRPr="0008481A">
        <w:t>e</w:t>
      </w:r>
      <w:r w:rsidRPr="0008481A">
        <w:t>manningssituationen svår.</w:t>
      </w:r>
    </w:p>
    <w:p w:rsidR="003B3271" w:rsidRPr="0008481A" w:rsidRDefault="003B3271">
      <w:pPr>
        <w:pStyle w:val="Rubrik4"/>
      </w:pPr>
      <w:r w:rsidRPr="0008481A">
        <w:t>Polismyndighetens åtgärder för att komma tillrätta med de långa handläg</w:t>
      </w:r>
      <w:r w:rsidRPr="0008481A">
        <w:t>g</w:t>
      </w:r>
      <w:r w:rsidRPr="0008481A">
        <w:t>ningstiderna</w:t>
      </w:r>
    </w:p>
    <w:p w:rsidR="003B3271" w:rsidRPr="0008481A" w:rsidRDefault="003B3271">
      <w:r w:rsidRPr="0008481A">
        <w:t>Kontroll- och bevakningsrutiner</w:t>
      </w:r>
    </w:p>
    <w:p w:rsidR="003B3271" w:rsidRPr="0008481A" w:rsidRDefault="003B3271">
      <w:pPr>
        <w:pStyle w:val="Citat"/>
      </w:pPr>
      <w:r w:rsidRPr="0008481A">
        <w:t>Ärendebevakningen i RAR-systemet (Rationell Anmälans Rutin) har ändrats från tidigare ett och ett halvt år till att gälla alla ärenden äldre än sex månader. Uppföljning av bevakningen sker varje månad av chefen för internutredningsgruppen. Kontakt tas med utredningsman eller åklagare för att kontrollera läget i varje e</w:t>
      </w:r>
      <w:r w:rsidRPr="0008481A">
        <w:t>n</w:t>
      </w:r>
      <w:r w:rsidRPr="0008481A">
        <w:t>skilt ärende.</w:t>
      </w:r>
    </w:p>
    <w:p w:rsidR="003B3271" w:rsidRPr="0008481A" w:rsidRDefault="003B3271">
      <w:pPr>
        <w:pStyle w:val="Citatindrag"/>
      </w:pPr>
      <w:r w:rsidRPr="0008481A">
        <w:t>Resultatuppföljning som anger inkomna ärenden, redovisade ärenden, ärendebalans, genomströ</w:t>
      </w:r>
      <w:r w:rsidRPr="0008481A">
        <w:t>m</w:t>
      </w:r>
      <w:r w:rsidRPr="0008481A">
        <w:t>ningstid, åtal och domar redovisas för läns</w:t>
      </w:r>
      <w:r w:rsidRPr="0008481A">
        <w:softHyphen/>
        <w:t>polismästaren varje månad.</w:t>
      </w:r>
    </w:p>
    <w:p w:rsidR="003B3271" w:rsidRPr="0008481A" w:rsidRDefault="003B3271">
      <w:pPr>
        <w:pStyle w:val="Citatindrag"/>
      </w:pPr>
      <w:r w:rsidRPr="0008481A">
        <w:t>En ny tjänsteföreskrift har utarbetats för att tydliggöra ansvarsfördelning och säkerställa vissa bevakningsåtgärder.</w:t>
      </w:r>
    </w:p>
    <w:p w:rsidR="003B3271" w:rsidRPr="0008481A" w:rsidRDefault="003B3271">
      <w:r w:rsidRPr="0008481A">
        <w:t>Organisation och arbetsledning</w:t>
      </w:r>
    </w:p>
    <w:p w:rsidR="003B3271" w:rsidRPr="0008481A" w:rsidRDefault="003B3271">
      <w:pPr>
        <w:pStyle w:val="Citat"/>
      </w:pPr>
      <w:r w:rsidRPr="0008481A">
        <w:t>Arbetsledningen har förstärkts genom att ledningsansvaret sedan november 1998 vilar på en p</w:t>
      </w:r>
      <w:r w:rsidRPr="0008481A">
        <w:t>o</w:t>
      </w:r>
      <w:r w:rsidRPr="0008481A">
        <w:t>lisintendent. En ny gruppchef förordnades dessutom från och med den 1 februari 1999. Enheten består av ytterligare fyra kommissarier och en assistent. Fram till sommaren 1999 finns dessutom ytterligare en assistent anställd.</w:t>
      </w:r>
    </w:p>
    <w:p w:rsidR="003B3271" w:rsidRPr="0008481A" w:rsidRDefault="003B3271">
      <w:pPr>
        <w:pStyle w:val="Citatindrag"/>
      </w:pPr>
      <w:r w:rsidRPr="0008481A">
        <w:t>Det sker nu en omedelbar analys och direktstyrning av varje enskilt inkommet ärende. Gamla ärenden fördelas till en avarbetningsgrupp.</w:t>
      </w:r>
    </w:p>
    <w:p w:rsidR="003B3271" w:rsidRPr="0008481A" w:rsidRDefault="003B3271">
      <w:r w:rsidRPr="0008481A">
        <w:t>Avarbetningsplan</w:t>
      </w:r>
    </w:p>
    <w:p w:rsidR="003B3271" w:rsidRPr="0008481A" w:rsidRDefault="003B3271">
      <w:pPr>
        <w:pStyle w:val="Citat"/>
      </w:pPr>
      <w:r w:rsidRPr="0008481A">
        <w:t>En handlingsplan har utarbetats vid enheten. Ärendebalansen skall avsevärt minskas. Tidsplanen är att detta ska ske före den 31 maj 1999. Nya ärenden skall efter åklagarens beslut påbörjas omede</w:t>
      </w:r>
      <w:r w:rsidRPr="0008481A">
        <w:t>l</w:t>
      </w:r>
      <w:r w:rsidRPr="0008481A">
        <w:t>bart i prioriterade ärenden och senast inom två månader i övriga ärenden. Ett mål är dessutom att anmälningsinflödet skall minska genom brottsförebyggande information och fortsatt etikutbil</w:t>
      </w:r>
      <w:r w:rsidRPr="0008481A">
        <w:t>d</w:t>
      </w:r>
      <w:r w:rsidRPr="0008481A">
        <w:t>ning.</w:t>
      </w:r>
    </w:p>
    <w:p w:rsidR="003B3271" w:rsidRPr="0008481A" w:rsidRDefault="003B3271">
      <w:pPr>
        <w:pStyle w:val="Citatindrag"/>
      </w:pPr>
      <w:r w:rsidRPr="0008481A">
        <w:t>Tre kommissarier har avdelats för att i första hand avarbeta balansen. Två kommissarier tar hand om nya ärenden. Civil personal har fått nya uppgifter. Det innebär bland annat att införskaffa kompletterande handlingar till anmälan. Under avarbetningstiden förstärks därför den civila pers</w:t>
      </w:r>
      <w:r w:rsidRPr="0008481A">
        <w:t>o</w:t>
      </w:r>
      <w:r w:rsidRPr="0008481A">
        <w:t>nalen med en befattningshav</w:t>
      </w:r>
      <w:r w:rsidRPr="0008481A">
        <w:t>a</w:t>
      </w:r>
      <w:r w:rsidRPr="0008481A">
        <w:t>re.</w:t>
      </w:r>
    </w:p>
    <w:p w:rsidR="003B3271" w:rsidRPr="0008481A" w:rsidRDefault="003B3271">
      <w:r w:rsidRPr="0008481A">
        <w:t>Åklagarkontakt</w:t>
      </w:r>
    </w:p>
    <w:p w:rsidR="003B3271" w:rsidRPr="0008481A" w:rsidRDefault="003B3271">
      <w:pPr>
        <w:pStyle w:val="Citat"/>
      </w:pPr>
      <w:r w:rsidRPr="0008481A">
        <w:t>Möten mellan länspolismästaren och överåklagaren sker sedan lång tid tillbaka. Internutredning</w:t>
      </w:r>
      <w:r w:rsidRPr="0008481A">
        <w:t>s</w:t>
      </w:r>
      <w:r w:rsidRPr="0008481A">
        <w:t>verksamheten diskuteras kontinuerligt. Möten mellan chefsåklagarna, biträdande chefsåklagarna och internutred</w:t>
      </w:r>
      <w:r w:rsidRPr="0008481A">
        <w:softHyphen/>
        <w:t>nings</w:t>
      </w:r>
      <w:r w:rsidRPr="0008481A">
        <w:softHyphen/>
        <w:t>gruppen hålls med jämna mellanrum. Direktkontakter med åklagaren tas i ökad utsträckning i enskilda ärenden.</w:t>
      </w:r>
    </w:p>
    <w:p w:rsidR="003B3271" w:rsidRPr="0008481A" w:rsidRDefault="003B3271">
      <w:r w:rsidRPr="0008481A">
        <w:t>Bedömning av polismyndighetens åtgärder</w:t>
      </w:r>
    </w:p>
    <w:p w:rsidR="003B3271" w:rsidRPr="0008481A" w:rsidRDefault="003B3271">
      <w:pPr>
        <w:pStyle w:val="Citat"/>
      </w:pPr>
      <w:r w:rsidRPr="0008481A">
        <w:t>Polismyndigheten har nu en god kontroll och bevakning av samtliga ärenden. En tillräckligt stor och kompetent personalresurs har tillsatts. Arbetsmetodiken har förändrats och kvaliteten har höjts i enskilda ärenden. Den 22 mars 1999 var 293 ärenden i balans varav 55 hos åklagar</w:t>
      </w:r>
      <w:r w:rsidRPr="0008481A">
        <w:softHyphen/>
        <w:t>myndigheten för beslut. Balansen beräknas vara på en acceptabel nivå före sommaren 1999.</w:t>
      </w:r>
    </w:p>
    <w:p w:rsidR="003B3271" w:rsidRPr="0008481A" w:rsidRDefault="003B3271">
      <w:r w:rsidRPr="0008481A">
        <w:t>– – –</w:t>
      </w:r>
    </w:p>
    <w:p w:rsidR="003B3271" w:rsidRPr="0008481A" w:rsidRDefault="003B3271">
      <w:r w:rsidRPr="0008481A">
        <w:t>I oktober 1999 infordrades nya statistikuppgifter från IUG. Det framkom därvid att IUG den 28 oktober 1999 hade 299 öppna ärenden, varav fem var från år 1997, 69 från år 1998 och resterande 225 från år 1999. Polis</w:t>
      </w:r>
      <w:r w:rsidRPr="0008481A">
        <w:softHyphen/>
        <w:t>intendenten Lars-Folke P</w:t>
      </w:r>
      <w:r w:rsidRPr="0008481A">
        <w:t>i</w:t>
      </w:r>
      <w:r w:rsidRPr="0008481A">
        <w:t>ledahl lämnade samtidigt följande upplysningar.</w:t>
      </w:r>
    </w:p>
    <w:p w:rsidR="003B3271" w:rsidRPr="0008481A" w:rsidRDefault="003B3271">
      <w:pPr>
        <w:pStyle w:val="Rubrik4"/>
      </w:pPr>
      <w:r w:rsidRPr="0008481A">
        <w:t>Uppföljning av ärendebalansen inom internutredningsgruppen</w:t>
      </w:r>
    </w:p>
    <w:p w:rsidR="003B3271" w:rsidRPr="0008481A" w:rsidRDefault="003B3271">
      <w:pPr>
        <w:pStyle w:val="Citat"/>
      </w:pPr>
      <w:r w:rsidRPr="0008481A">
        <w:t>Balansen var 350 ärenden vid 1998 års utgång. I april hade balansen gått ner till ca 300 ärenden trots ett stort inflöde. Därefter ökade inflödet ytterligare till en nivå som pekade mot 600 ärenden vid årets slut. Länspolismästaren informerades och beslutade att ytterligare förstärka internutre</w:t>
      </w:r>
      <w:r w:rsidRPr="0008481A">
        <w:t>d</w:t>
      </w:r>
      <w:r w:rsidRPr="0008481A">
        <w:t>ningsgruppen så snart som möjligt. Den 1 september tillfördes två kommissarier och den 1 nove</w:t>
      </w:r>
      <w:r w:rsidRPr="0008481A">
        <w:t>m</w:t>
      </w:r>
      <w:r w:rsidRPr="0008481A">
        <w:t>ber kommer ytterligare en. Det betyder att gruppen då består av</w:t>
      </w:r>
      <w:r w:rsidRPr="0008481A">
        <w:br/>
        <w:t xml:space="preserve"> 7 kommissarier och två assiste</w:t>
      </w:r>
      <w:r w:rsidRPr="0008481A">
        <w:t>n</w:t>
      </w:r>
      <w:r w:rsidRPr="0008481A">
        <w:t xml:space="preserve">ter. </w:t>
      </w:r>
    </w:p>
    <w:p w:rsidR="003B3271" w:rsidRPr="0008481A" w:rsidRDefault="003B3271">
      <w:pPr>
        <w:pStyle w:val="Citatindrag"/>
      </w:pPr>
      <w:r w:rsidRPr="0008481A">
        <w:t>Antalet inkomna ärenden till och med den 28 oktober 1999 är 482. Gruppen har under året redov</w:t>
      </w:r>
      <w:r w:rsidRPr="0008481A">
        <w:t>i</w:t>
      </w:r>
      <w:r w:rsidRPr="0008481A">
        <w:t>sat 524 ärenden. Den totala balansen har under året minskat från 350 ärenden till 300 ärenden.</w:t>
      </w:r>
    </w:p>
    <w:p w:rsidR="003B3271" w:rsidRPr="0008481A" w:rsidRDefault="003B3271">
      <w:pPr>
        <w:pStyle w:val="Citatindrag"/>
      </w:pPr>
      <w:r w:rsidRPr="0008481A">
        <w:t>Prognosen per den 31 december 1999 är 600 inkomna ärenden, 700 redovisade ärenden och en total ärendebalans på 250 ärenden.</w:t>
      </w:r>
    </w:p>
    <w:p w:rsidR="003B3271" w:rsidRPr="0008481A" w:rsidRDefault="003B3271">
      <w:pPr>
        <w:pStyle w:val="Citatindrag"/>
      </w:pPr>
      <w:r w:rsidRPr="0008481A">
        <w:t>Resultatet av den stora avarbetningen av ärenden är 8 åtal och ett strafföreläggande för brott i samband med arbetet under första halvåret. Två av åtalen har ogillats och två har ännu inte varit föremål för någon huvudförhandling. Två befattningshavare har sagt upp sig efter inledd process om avskedande. Ytterligare en befat</w:t>
      </w:r>
      <w:r w:rsidRPr="0008481A">
        <w:t>t</w:t>
      </w:r>
      <w:r w:rsidRPr="0008481A">
        <w:t>ningshavare riskerar avsked.</w:t>
      </w:r>
    </w:p>
    <w:p w:rsidR="003B3271" w:rsidRPr="0008481A" w:rsidRDefault="003B3271">
      <w:r w:rsidRPr="0008481A">
        <w:t xml:space="preserve">I ett beslut den 5 november 1999 anförde </w:t>
      </w:r>
      <w:r w:rsidRPr="0008481A">
        <w:rPr>
          <w:i/>
        </w:rPr>
        <w:t>chefsJO Eklundh</w:t>
      </w:r>
      <w:r w:rsidRPr="0008481A">
        <w:t xml:space="preserve"> följande.</w:t>
      </w:r>
    </w:p>
    <w:p w:rsidR="003B3271" w:rsidRPr="0008481A" w:rsidRDefault="003B3271">
      <w:pPr>
        <w:pStyle w:val="Rubrik3"/>
      </w:pPr>
      <w:r w:rsidRPr="0008481A">
        <w:t>Bedömning</w:t>
      </w:r>
    </w:p>
    <w:p w:rsidR="003B3271" w:rsidRPr="0008481A" w:rsidRDefault="003B3271">
      <w:r w:rsidRPr="0008481A">
        <w:t>Till polisens uppgifter hör bl.a. att övervaka den allmänna ordningen och säke</w:t>
      </w:r>
      <w:r w:rsidRPr="0008481A">
        <w:t>r</w:t>
      </w:r>
      <w:r w:rsidRPr="0008481A">
        <w:t>heten, hindra störningar därav och ingripa när sådana har inträffat samt bedriva spaning och utredning i fråga om brott som hör under allmänt åtal (2 § polislagen [1984:387]). För att polisen skall kunna fullgöra sina uppgifter har den genom lag utrustats med vittgående befogenheter som bl.a. innefattar rätt att i skilda häns</w:t>
      </w:r>
      <w:r w:rsidRPr="0008481A">
        <w:t>e</w:t>
      </w:r>
      <w:r w:rsidRPr="0008481A">
        <w:t>enden begränsa enskildas grundlagsfästa fri- och rättigheter. I dessa befogenheter ingår rätt att under vissa förutsättningar använda våld för att genomföra en tjän</w:t>
      </w:r>
      <w:r w:rsidRPr="0008481A">
        <w:t>s</w:t>
      </w:r>
      <w:r w:rsidRPr="0008481A">
        <w:t xml:space="preserve">teåtgärd (se 10 § </w:t>
      </w:r>
      <w:r w:rsidRPr="0008481A">
        <w:t>polislagen). Polisen kan sägas i princip ha monopol på att utöva statens våldsbefogenheter mot e</w:t>
      </w:r>
      <w:r w:rsidRPr="0008481A">
        <w:t>n</w:t>
      </w:r>
      <w:r w:rsidRPr="0008481A">
        <w:t xml:space="preserve">skilda. </w:t>
      </w:r>
    </w:p>
    <w:p w:rsidR="003B3271" w:rsidRPr="0008481A" w:rsidRDefault="003B3271">
      <w:pPr>
        <w:pStyle w:val="Normaltindrag"/>
      </w:pPr>
      <w:r w:rsidRPr="0008481A">
        <w:t>Det är mot denna bakgrund uppenbarligen av största vikt att det finns ett effektivt och väl fungerande system för att övervaka att polisen använder sina befogenheter på ett sätt som innebär att kraven på lagenlighet, rätts</w:t>
      </w:r>
      <w:r w:rsidRPr="0008481A">
        <w:softHyphen/>
        <w:t>säkerhet och objektivitet tillgodoses. Ett sådant kontroll- och sanktions</w:t>
      </w:r>
      <w:r w:rsidRPr="0008481A">
        <w:softHyphen/>
        <w:t>system är en nödvändig förutsät</w:t>
      </w:r>
      <w:r w:rsidRPr="0008481A">
        <w:t>t</w:t>
      </w:r>
      <w:r w:rsidRPr="0008481A">
        <w:t>ning för att allmä</w:t>
      </w:r>
      <w:r w:rsidRPr="0008481A">
        <w:t>n</w:t>
      </w:r>
      <w:r w:rsidRPr="0008481A">
        <w:t xml:space="preserve">heten skall kunna hysa förtroende för polisverksamheten. </w:t>
      </w:r>
    </w:p>
    <w:p w:rsidR="003B3271" w:rsidRPr="0008481A" w:rsidRDefault="003B3271">
      <w:pPr>
        <w:pStyle w:val="Normaltindrag"/>
      </w:pPr>
      <w:r w:rsidRPr="0008481A">
        <w:t>I ett system av nu nämnt slag utgör regler om hur man skall handlägga anmä</w:t>
      </w:r>
      <w:r w:rsidRPr="0008481A">
        <w:t>l</w:t>
      </w:r>
      <w:r w:rsidRPr="0008481A">
        <w:t>ningar om brott begångna av anställda inom polisväsendet en central beståndsdel. Bestämmelserna om handläggningen av anmälningar mot anställda inom polisen finns sedan den 1 januari 1999 i 5 kap. Polis</w:t>
      </w:r>
      <w:r w:rsidRPr="0008481A">
        <w:softHyphen/>
        <w:t>för</w:t>
      </w:r>
      <w:r w:rsidRPr="0008481A">
        <w:softHyphen/>
        <w:t>ord</w:t>
      </w:r>
      <w:r w:rsidRPr="0008481A">
        <w:softHyphen/>
        <w:t>ningen (1998:1558). Dessföri</w:t>
      </w:r>
      <w:r w:rsidRPr="0008481A">
        <w:t>n</w:t>
      </w:r>
      <w:r w:rsidRPr="0008481A">
        <w:t>nan återfanns motsvarande regler i 6 kap. polisförordnin</w:t>
      </w:r>
      <w:r w:rsidRPr="0008481A">
        <w:t>g</w:t>
      </w:r>
      <w:r w:rsidRPr="0008481A">
        <w:t xml:space="preserve">en (1984:730). </w:t>
      </w:r>
    </w:p>
    <w:p w:rsidR="003B3271" w:rsidRPr="0008481A" w:rsidRDefault="003B3271">
      <w:pPr>
        <w:pStyle w:val="Normaltindrag"/>
      </w:pPr>
      <w:r w:rsidRPr="0008481A">
        <w:t>Om det i en anmälan till polisen har påståtts att en anställd inom polisen har gjort sig skyldig till något brott som har samband med arbetet eller på något annat sätt har handlat felaktigt i sin myn</w:t>
      </w:r>
      <w:r w:rsidRPr="0008481A">
        <w:t>dighetsutövning, skall anmälan omedelbart öve</w:t>
      </w:r>
      <w:r w:rsidRPr="0008481A">
        <w:t>r</w:t>
      </w:r>
      <w:r w:rsidRPr="0008481A">
        <w:t>lämnas till åklagare för prövning om förundersökning skall inledas eller inte (1 § första stycket 1). Detsamma gäller om en person har skadats antingen genom något som en anställd inom polisen har gjort i tjänsten eller under sin vistelse i en polisarrest och skadan är allvarlig (1 § första stycket 2), eller om det i något annat fall kan bli fråga om att inleda förundersökning mot en anställd inom polisen för brott som har samband med arbetet (1 § första stycket</w:t>
      </w:r>
      <w:r w:rsidRPr="0008481A">
        <w:t xml:space="preserve"> 3). Vissa undantag från skyldigheten att överlämna ett ärende till åklagare finns i 1 § andra stycket. I 6 § finns bestämmelser om hur en anmälan om att någon anställd inom polisen gjort sig skyldig till brott som inte har samband med arbetet skall handläggas. Riksp</w:t>
      </w:r>
      <w:r w:rsidRPr="0008481A">
        <w:t>o</w:t>
      </w:r>
      <w:r w:rsidRPr="0008481A">
        <w:t>lisstyrelsen har vidare utarbetat vissa föreskrifter och allmänna råd om handläg</w:t>
      </w:r>
      <w:r w:rsidRPr="0008481A">
        <w:t>g</w:t>
      </w:r>
      <w:r w:rsidRPr="0008481A">
        <w:t>ningen av anmälningar mot tjänstemän inom polisväsendet m.m. (FAP 403-2).</w:t>
      </w:r>
    </w:p>
    <w:p w:rsidR="003B3271" w:rsidRPr="0008481A" w:rsidRDefault="003B3271">
      <w:pPr>
        <w:pStyle w:val="Normaltindrag"/>
      </w:pPr>
      <w:r w:rsidRPr="0008481A">
        <w:t xml:space="preserve">Rättegångsbalkens allmänna regler om förundersökning skall självfallet tillämpas också i </w:t>
      </w:r>
      <w:r w:rsidRPr="0008481A">
        <w:t>fråga om förundersökningar som avser anställda inom polisväsendet. Jag vill i sammanhanget särskilt peka på regeln att en förundersökning skall bedrivas så skyndsamt som omständigheterna medger (23 kap. 4 § andra stycket rätt</w:t>
      </w:r>
      <w:r w:rsidRPr="0008481A">
        <w:t>e</w:t>
      </w:r>
      <w:r w:rsidRPr="0008481A">
        <w:t xml:space="preserve">gångsbalken). Det är av hänsyn till allmänhetens förtroende för det allmännas kontroll av polisverksamheten av största vikt att denna bestämmelse iakttas lojalt av de utredande organen. </w:t>
      </w:r>
    </w:p>
    <w:p w:rsidR="003B3271" w:rsidRPr="0008481A" w:rsidRDefault="003B3271">
      <w:pPr>
        <w:pStyle w:val="Normaltindrag"/>
      </w:pPr>
      <w:r w:rsidRPr="0008481A">
        <w:t>En grundläggande princip i förfarandet för att utreda påstådda brott av anställda inom polisväsende</w:t>
      </w:r>
      <w:r w:rsidRPr="0008481A">
        <w:t>t är att ärendena redan från början skall handläggas av åklagare. Det kan tilläggas att enligt 17 § åklagarförordningen (1996:205) endast vissa, sä</w:t>
      </w:r>
      <w:r w:rsidRPr="0008481A">
        <w:t>r</w:t>
      </w:r>
      <w:r w:rsidRPr="0008481A">
        <w:t>skilt kvalificerade åklagare får handlägga frågor om ansvar för brott som arbetst</w:t>
      </w:r>
      <w:r w:rsidRPr="0008481A">
        <w:t>a</w:t>
      </w:r>
      <w:r w:rsidRPr="0008481A">
        <w:t>gare inom polisväsendet misstänks ha begått i samband med arbetet. Till sin hjälp har åklagaren polismän som sköter det löpande utredningsarbetet. Vanligtvis tjänstgör dessa polismän i särskilda internutredningsenheter som är fristående i förhållande till polismyndig</w:t>
      </w:r>
      <w:r w:rsidRPr="0008481A">
        <w:softHyphen/>
        <w:t>hetens verksam</w:t>
      </w:r>
      <w:r w:rsidRPr="0008481A">
        <w:t>het i övrigt. I 5 kap. 3 § polisföror</w:t>
      </w:r>
      <w:r w:rsidRPr="0008481A">
        <w:t>d</w:t>
      </w:r>
      <w:r w:rsidRPr="0008481A">
        <w:t xml:space="preserve">ningen finns särskilda bestämmelser om behörighet att hålla förhör med anställda inom polisen. </w:t>
      </w:r>
    </w:p>
    <w:p w:rsidR="003B3271" w:rsidRPr="0008481A" w:rsidRDefault="003B3271">
      <w:pPr>
        <w:pStyle w:val="Normaltindrag"/>
      </w:pPr>
      <w:r w:rsidRPr="0008481A">
        <w:t>För att det här beskrivna regelverket skall fylla sin uppgift krävs uppenbarligen att åklagar- och polismyndigheterna i det aktuella hänseendet är organiserade på s</w:t>
      </w:r>
      <w:r w:rsidRPr="0008481A">
        <w:t>å</w:t>
      </w:r>
      <w:r w:rsidRPr="0008481A">
        <w:t>dant sätt att utredningsverksamheten kan fungera på ett effektivt och i alla häns</w:t>
      </w:r>
      <w:r w:rsidRPr="0008481A">
        <w:t>e</w:t>
      </w:r>
      <w:r w:rsidRPr="0008481A">
        <w:t>enden korrekt sätt. Den för all brottsutredande verksamhet gällande grundsatsen att handläggningen måste ske i sådana former att den inte ger fog för ett ifråg</w:t>
      </w:r>
      <w:r w:rsidRPr="0008481A">
        <w:t>a</w:t>
      </w:r>
      <w:r w:rsidRPr="0008481A">
        <w:t xml:space="preserve">sättande av de utredande myndigheternas objektivitet har här en alldeles särskild tyngd. </w:t>
      </w:r>
    </w:p>
    <w:p w:rsidR="003B3271" w:rsidRPr="0008481A" w:rsidRDefault="003B3271">
      <w:pPr>
        <w:pStyle w:val="Normaltindrag"/>
      </w:pPr>
      <w:r w:rsidRPr="0008481A">
        <w:t>Jag kunde vid inspektionen av IUG konstatera att verksamheten där inte uppfyllde de krav som måste ställas. Som redan har nämnts hade vid inspektionstillfället ett stort antal äre</w:t>
      </w:r>
      <w:r w:rsidRPr="0008481A">
        <w:t>nden legat lång tid, ibland mer än två år, utan att några synbara å</w:t>
      </w:r>
      <w:r w:rsidRPr="0008481A">
        <w:t>t</w:t>
      </w:r>
      <w:r w:rsidRPr="0008481A">
        <w:t>gärder hade vidtagits i dem. Därutöver noterades klara brister i myndighetens b</w:t>
      </w:r>
      <w:r w:rsidRPr="0008481A">
        <w:t>e</w:t>
      </w:r>
      <w:r w:rsidRPr="0008481A">
        <w:t>vakningsrutiner. Det finns enligt min uppfattning anledning att se mycket allva</w:t>
      </w:r>
      <w:r w:rsidRPr="0008481A">
        <w:t>r</w:t>
      </w:r>
      <w:r w:rsidRPr="0008481A">
        <w:t>ligt på de iakttagna bristerna.</w:t>
      </w:r>
    </w:p>
    <w:p w:rsidR="003B3271" w:rsidRPr="0008481A" w:rsidRDefault="003B3271">
      <w:pPr>
        <w:pStyle w:val="Normaltindrag"/>
      </w:pPr>
      <w:r w:rsidRPr="0008481A">
        <w:t>Polismyndigheten har i sitt yttrande som förklaring till de långa handläggningst</w:t>
      </w:r>
      <w:r w:rsidRPr="0008481A">
        <w:t>i</w:t>
      </w:r>
      <w:r w:rsidRPr="0008481A">
        <w:t>derna pekat på att anmälningsinflödet under senare år har ökat, att ärendebeva</w:t>
      </w:r>
      <w:r w:rsidRPr="0008481A">
        <w:t>k</w:t>
      </w:r>
      <w:r w:rsidRPr="0008481A">
        <w:t>ningen inte har följts upp i tillräcklig omfattning och att ärendeprioritering inte alltid har genomförts. Myndigheten har vidare hänvisat till att en av de handlä</w:t>
      </w:r>
      <w:r w:rsidRPr="0008481A">
        <w:t>g</w:t>
      </w:r>
      <w:r w:rsidRPr="0008481A">
        <w:t xml:space="preserve">gande kommissarierna varit långtidssjuk och till att tillsättningssystemet inom polisen är för långsamt. </w:t>
      </w:r>
    </w:p>
    <w:p w:rsidR="003B3271" w:rsidRPr="0008481A" w:rsidRDefault="003B3271">
      <w:pPr>
        <w:pStyle w:val="Normaltindrag"/>
      </w:pPr>
      <w:r w:rsidRPr="0008481A">
        <w:t>Jag är medveten om att arbetssituationen vid IUG har varit mycket ansträngd. Oavsett detta framstår så långa uppehåll i handläggningen som det här är fråga om som</w:t>
      </w:r>
      <w:r w:rsidRPr="0008481A">
        <w:t xml:space="preserve"> helt oacceptabla. Vissa av de omständigheter som polismyndigheten har åb</w:t>
      </w:r>
      <w:r w:rsidRPr="0008481A">
        <w:t>e</w:t>
      </w:r>
      <w:r w:rsidRPr="0008481A">
        <w:t xml:space="preserve">ropat som förklaring till bristerna är av den arten att de inte kan ge anledning till kritik mot någon enskild befattningshavare. Boris Brundin har emellertid i sin egenskap av chef för IUG haft ett övergripande ansvar för verksamheten, och det har därmed ankommit på honom att se till att ärendena drevs fram på ett betydligt mer effektivt sätt än som har varit fallet. I hans arbetsuppgifter har bl.a. legat att ombesörja att det fanns </w:t>
      </w:r>
      <w:r w:rsidRPr="0008481A">
        <w:t>väl fungerande bevakningsrutiner vid enheten och att ärendena prioriterades på ett ändamålsenligt sätt. Han kan således inte undgå kr</w:t>
      </w:r>
      <w:r w:rsidRPr="0008481A">
        <w:t>i</w:t>
      </w:r>
      <w:r w:rsidRPr="0008481A">
        <w:t>tik för sitt sätt att leda verksamheten.</w:t>
      </w:r>
    </w:p>
    <w:p w:rsidR="003B3271" w:rsidRPr="0008481A" w:rsidRDefault="003B3271">
      <w:pPr>
        <w:pStyle w:val="Normaltindrag"/>
      </w:pPr>
      <w:r w:rsidRPr="0008481A">
        <w:t>Det yttersta ansvaret för en polismyndighets verksamhet åvilar länspolis</w:t>
      </w:r>
      <w:r w:rsidRPr="0008481A">
        <w:softHyphen/>
        <w:t>mästaren, dvs. i detta fall Hans Wranghult. Enligt 6 § verksförordningen (1995:1322) ansv</w:t>
      </w:r>
      <w:r w:rsidRPr="0008481A">
        <w:t>a</w:t>
      </w:r>
      <w:r w:rsidRPr="0008481A">
        <w:t>rar myndighetens chef för myndighetens verksamhet, och av 7 § första stycket samma förordning följer att myndighetschefen skall se till att verksamheten b</w:t>
      </w:r>
      <w:r w:rsidRPr="0008481A">
        <w:t>e</w:t>
      </w:r>
      <w:r w:rsidRPr="0008481A">
        <w:t>drivs författningsenligt och effektivt. Att dessa regler är tillämpliga på polismy</w:t>
      </w:r>
      <w:r w:rsidRPr="0008481A">
        <w:t>n</w:t>
      </w:r>
      <w:r w:rsidRPr="0008481A">
        <w:t>digheter framgår av 1 kap. 7 § polisförordningen. En regel av samma innebörd fanns också i polisförordningen (1984:730). Inte heller Hans Wranghult kan sål</w:t>
      </w:r>
      <w:r w:rsidRPr="0008481A">
        <w:t>e</w:t>
      </w:r>
      <w:r w:rsidRPr="0008481A">
        <w:t>des undgå kritik med anledn</w:t>
      </w:r>
      <w:r w:rsidRPr="0008481A">
        <w:t>ing av bristerna i IUG:s handläggning av sina äre</w:t>
      </w:r>
      <w:r w:rsidRPr="0008481A">
        <w:t>n</w:t>
      </w:r>
      <w:r w:rsidRPr="0008481A">
        <w:t xml:space="preserve">den. </w:t>
      </w:r>
    </w:p>
    <w:p w:rsidR="003B3271" w:rsidRPr="0008481A" w:rsidRDefault="003B3271">
      <w:pPr>
        <w:pStyle w:val="Normaltindrag"/>
      </w:pPr>
      <w:r w:rsidRPr="0008481A">
        <w:t>Som framgår av polismyndighetens yttrande har myndigheten under det senaste året vidtagit ett antal konkreta åtgärder för att komma tillrätta med de långa han</w:t>
      </w:r>
      <w:r w:rsidRPr="0008481A">
        <w:t>d</w:t>
      </w:r>
      <w:r w:rsidRPr="0008481A">
        <w:t>läggningstiderna. Dessa åtgärder har tagit sig formen av ändrade kontroll- och bevakningsrutiner samt av en i vissa hänseenden ändrad organisation. Bl.a. har antalet befattningshavare vid IUG kraftigt utökats. Gruppen består numera av sju kommissarier och två assiste</w:t>
      </w:r>
      <w:r w:rsidRPr="0008481A">
        <w:t>n</w:t>
      </w:r>
      <w:r w:rsidRPr="0008481A">
        <w:t xml:space="preserve">ter. </w:t>
      </w:r>
    </w:p>
    <w:p w:rsidR="003B3271" w:rsidRPr="0008481A" w:rsidRDefault="003B3271">
      <w:pPr>
        <w:pStyle w:val="Normaltindrag"/>
      </w:pPr>
      <w:r w:rsidRPr="0008481A">
        <w:t xml:space="preserve">Det är med tillfredsställelse som jag noterar att polismyndigheten har vidtagit kraftfulla åtgärder för att säkerställa att IUG:s verksamhet i fortsättningen skall kunna fungera på ett effektivt och rättssäkert sätt. Till uppföljning av </w:t>
      </w:r>
      <w:r w:rsidRPr="0008481A">
        <w:t>detta ärende önskar jag ta del av IUG:s statistikuppgifter per årsskiftet 1999/2000.</w:t>
      </w:r>
    </w:p>
    <w:p w:rsidR="003B3271" w:rsidRPr="0008481A" w:rsidRDefault="003B3271">
      <w:pPr>
        <w:pStyle w:val="Normaltindrag"/>
      </w:pPr>
      <w:r w:rsidRPr="0008481A">
        <w:t>Mina iakttagelser i ärendet är av den arten att jag finner det påkallat att fästa Ju</w:t>
      </w:r>
      <w:r w:rsidRPr="0008481A">
        <w:t>s</w:t>
      </w:r>
      <w:r w:rsidRPr="0008481A">
        <w:t>titiedepartementets och justitieutskottets uppmärksamhet på förhållandena genom att dit överlämna kopior av detta b</w:t>
      </w:r>
      <w:r w:rsidRPr="0008481A">
        <w:t>e</w:t>
      </w:r>
      <w:r w:rsidRPr="0008481A">
        <w:t>slut.</w:t>
      </w:r>
    </w:p>
    <w:p w:rsidR="003B3271" w:rsidRPr="0008481A" w:rsidRDefault="003B3271">
      <w:pPr>
        <w:pStyle w:val="Rubrik2"/>
      </w:pPr>
      <w:r w:rsidRPr="0008481A">
        <w:t>I ärenden om påstådda brott av polismän har åklagare föranstaltat om förhör med bl.a. utpekad gärningsman innan beslut i frågan om inl</w:t>
      </w:r>
      <w:r w:rsidRPr="0008481A">
        <w:t>e</w:t>
      </w:r>
      <w:r w:rsidRPr="0008481A">
        <w:t xml:space="preserve">dande av förundersökning fattats </w:t>
      </w:r>
    </w:p>
    <w:p w:rsidR="003B3271" w:rsidRPr="0008481A" w:rsidRDefault="003B3271">
      <w:r w:rsidRPr="0008481A">
        <w:t>(Dnr 1929-1999 och 1930-1999)</w:t>
      </w:r>
    </w:p>
    <w:p w:rsidR="003B3271" w:rsidRPr="0008481A" w:rsidRDefault="003B3271">
      <w:pPr>
        <w:pStyle w:val="Rubrik3"/>
      </w:pPr>
      <w:r w:rsidRPr="0008481A">
        <w:t>Bakgrund</w:t>
      </w:r>
    </w:p>
    <w:p w:rsidR="003B3271" w:rsidRPr="0008481A" w:rsidRDefault="003B3271">
      <w:r w:rsidRPr="0008481A">
        <w:t>Under en inspektion vid Polismyndigheten i Västmanlands län, enheten för internutredningar, den 17 mars 1999 granskades bl.a. hur ärenden som från poli</w:t>
      </w:r>
      <w:r w:rsidRPr="0008481A">
        <w:t>s</w:t>
      </w:r>
      <w:r w:rsidRPr="0008481A">
        <w:softHyphen/>
        <w:t>myndigheten hade överlämnats till åklagare för ställningstagande till om förunder</w:t>
      </w:r>
      <w:r w:rsidRPr="0008481A">
        <w:softHyphen/>
        <w:t>sö</w:t>
      </w:r>
      <w:r w:rsidRPr="0008481A">
        <w:t>k</w:t>
      </w:r>
      <w:r w:rsidRPr="0008481A">
        <w:t xml:space="preserve">ning skulle inledas hade handlagts. </w:t>
      </w:r>
    </w:p>
    <w:p w:rsidR="003B3271" w:rsidRPr="0008481A" w:rsidRDefault="003B3271">
      <w:pPr>
        <w:pStyle w:val="Rubrik4"/>
      </w:pPr>
      <w:r w:rsidRPr="0008481A">
        <w:t>Avsnitt 1</w:t>
      </w:r>
    </w:p>
    <w:p w:rsidR="003B3271" w:rsidRPr="0008481A" w:rsidRDefault="003B3271">
      <w:r w:rsidRPr="0008481A">
        <w:t>I  elva ärenden från åren 1997 och 1998 konstaterades att chefsåklagaren Ulf Forsberg vid Åklagarkammaren i Västerås hade beslutat om vissa ut</w:t>
      </w:r>
      <w:r w:rsidRPr="0008481A">
        <w:softHyphen/>
        <w:t>rednings</w:t>
      </w:r>
      <w:r w:rsidRPr="0008481A">
        <w:softHyphen/>
        <w:t>å</w:t>
      </w:r>
      <w:r w:rsidRPr="0008481A">
        <w:t>t</w:t>
      </w:r>
      <w:r w:rsidRPr="0008481A">
        <w:t>gärder, vilka i många fall innefattade förhör med en av anmälaren utpekad gä</w:t>
      </w:r>
      <w:r w:rsidRPr="0008481A">
        <w:t>r</w:t>
      </w:r>
      <w:r w:rsidRPr="0008481A">
        <w:t>ningsman, innan han tog ställning till om förundersökning skulle inledas.</w:t>
      </w:r>
    </w:p>
    <w:p w:rsidR="003B3271" w:rsidRPr="0008481A" w:rsidRDefault="003B3271">
      <w:r w:rsidRPr="0008481A">
        <w:t>Ärendena gällde i korthet följande.</w:t>
      </w:r>
    </w:p>
    <w:p w:rsidR="003B3271" w:rsidRPr="0008481A" w:rsidRDefault="003B3271">
      <w:r w:rsidRPr="0008481A">
        <w:t>Ärende 1: Anmälaren gjorde gällande att polismän hade gjort sig skyldiga till tjänstefel i samband med ett omhändertagande enligt 13 § polislagen.</w:t>
      </w:r>
    </w:p>
    <w:p w:rsidR="003B3271" w:rsidRPr="0008481A" w:rsidRDefault="003B3271">
      <w:r w:rsidRPr="0008481A">
        <w:t>Ärende 2: Anmälaren påstod att polismän hade slarvat bort hans legitimation i samband med ett ingripande. Händelsen rubricerades som ifrågasatt tjänste</w:t>
      </w:r>
      <w:r w:rsidRPr="0008481A">
        <w:softHyphen/>
        <w:t>fel.</w:t>
      </w:r>
    </w:p>
    <w:p w:rsidR="003B3271" w:rsidRPr="0008481A" w:rsidRDefault="003B3271">
      <w:r w:rsidRPr="0008481A">
        <w:t>Ärende 3: Enligt anmälan hade en person åsamkats en fraktur på ena armen i samband med ett omhändertagande enligt lagen om omhändertagande av berusade personer m.m. (LOB). I anmälan är gärningen rubricerad som vållande till kropp</w:t>
      </w:r>
      <w:r w:rsidRPr="0008481A">
        <w:t>s</w:t>
      </w:r>
      <w:r w:rsidRPr="0008481A">
        <w:t>skada.</w:t>
      </w:r>
    </w:p>
    <w:p w:rsidR="003B3271" w:rsidRPr="0008481A" w:rsidRDefault="003B3271">
      <w:r w:rsidRPr="0008481A">
        <w:t>Ärende 4: Anmälan är rubricerad som tjänstefel vilket bl.a. skulle ha bestått i att polismän som kom till en plats där bl.a. skadegörelse hade förövats hade uppgett att det inte var någon mening att göra en polisanmälan eftersom bevisen inte skulle hålla. Polismännen uppgavs därefter ha lämnat platsen utan åtgärd.</w:t>
      </w:r>
    </w:p>
    <w:p w:rsidR="003B3271" w:rsidRPr="0008481A" w:rsidRDefault="003B3271">
      <w:r w:rsidRPr="0008481A">
        <w:t>Ärende 5: Enligt anmälan hade polismän tagit ifrån en person hans cykel och även i övrigt trakasserat honom. Gärningen rubricerades i anmälan som tjänste</w:t>
      </w:r>
      <w:r w:rsidRPr="0008481A">
        <w:softHyphen/>
      </w:r>
      <w:r w:rsidRPr="0008481A">
        <w:softHyphen/>
        <w:t>fel.</w:t>
      </w:r>
    </w:p>
    <w:p w:rsidR="003B3271" w:rsidRPr="0008481A" w:rsidRDefault="003B3271">
      <w:r w:rsidRPr="0008481A">
        <w:t>Ärende 6: I anmälan, som är rubricerad som tjänstefel, uppgav anmälaren bl.a. att han misstänkte att någon inom polisen hade ”läckt” uppgifter från polisr</w:t>
      </w:r>
      <w:r w:rsidRPr="0008481A">
        <w:t>e</w:t>
      </w:r>
      <w:r w:rsidRPr="0008481A">
        <w:t>gistret.</w:t>
      </w:r>
    </w:p>
    <w:p w:rsidR="003B3271" w:rsidRPr="0008481A" w:rsidRDefault="003B3271">
      <w:r w:rsidRPr="0008481A">
        <w:t>Ärende 7: Ärendet gällde påstått tjänstefel. Enligt anmälan hade en man önskat göra en polisanmälan per telefon. Mannen uppsöktes i bostaden av två polismän. Mannen berättade för polismännen om den händelse som han ville anmäla. Poli</w:t>
      </w:r>
      <w:r w:rsidRPr="0008481A">
        <w:t>s</w:t>
      </w:r>
      <w:r w:rsidRPr="0008481A">
        <w:t>männen lovade att återkomma påföljande dag. Så skedde emellertid inte.</w:t>
      </w:r>
    </w:p>
    <w:p w:rsidR="003B3271" w:rsidRPr="0008481A" w:rsidRDefault="003B3271">
      <w:r w:rsidRPr="0008481A">
        <w:t>Ärende 8: Anmälaren gjorde gällande att polismän hade stulit två cyklar.</w:t>
      </w:r>
    </w:p>
    <w:p w:rsidR="003B3271" w:rsidRPr="0008481A" w:rsidRDefault="003B3271">
      <w:r w:rsidRPr="0008481A">
        <w:t>Ärende 9: Enligt anmälan hade en polisman tagit tag i en hund och därefter ka</w:t>
      </w:r>
      <w:r w:rsidRPr="0008481A">
        <w:t>s</w:t>
      </w:r>
      <w:r w:rsidRPr="0008481A">
        <w:t>tat hunden i marken. Polismannen hade också uttalat att hunden kunde komma att tas ifrån ägaren. I anmälan rubricerades gärningarna som ifråga</w:t>
      </w:r>
      <w:r w:rsidRPr="0008481A">
        <w:softHyphen/>
        <w:t>satta tjänst</w:t>
      </w:r>
      <w:r w:rsidRPr="0008481A">
        <w:t>e</w:t>
      </w:r>
      <w:r w:rsidRPr="0008481A">
        <w:t>fel.</w:t>
      </w:r>
    </w:p>
    <w:p w:rsidR="003B3271" w:rsidRPr="0008481A" w:rsidRDefault="003B3271">
      <w:r w:rsidRPr="0008481A">
        <w:t>Ärende 10: I anmälan, som är rubricerad som tjänstefel, påstods bl.a. att en viss polisman hade förföljt anmälarna.</w:t>
      </w:r>
    </w:p>
    <w:p w:rsidR="003B3271" w:rsidRPr="0008481A" w:rsidRDefault="003B3271">
      <w:r w:rsidRPr="0008481A">
        <w:t>Ärende 11: Enligt anmälaren hade 3 000 kr tillgripits från honom på polis</w:t>
      </w:r>
      <w:r w:rsidRPr="0008481A">
        <w:softHyphen/>
        <w:t>stati</w:t>
      </w:r>
      <w:r w:rsidRPr="0008481A">
        <w:t>o</w:t>
      </w:r>
      <w:r w:rsidRPr="0008481A">
        <w:t>nen under den tid som anmälaren var omhändertagen enligt LOB.</w:t>
      </w:r>
    </w:p>
    <w:p w:rsidR="003B3271" w:rsidRPr="0008481A" w:rsidRDefault="003B3271">
      <w:r w:rsidRPr="0008481A">
        <w:t>Gemensamt för dessa ärenden är att Ulf Forsberg gett direktiv om olika ut</w:t>
      </w:r>
      <w:r w:rsidRPr="0008481A">
        <w:softHyphen/>
        <w:t>re</w:t>
      </w:r>
      <w:r w:rsidRPr="0008481A">
        <w:t>d</w:t>
      </w:r>
      <w:r w:rsidRPr="0008481A">
        <w:t>ningsåtgärder innan han tog ställning till om förundersökning skulle inledas eller ej. Enligt direktiven till polismyndigheten skulle förhör hållas med andra personer än målsäganden/anmälaren och i vissa fall anmodades polismyndigheten att förh</w:t>
      </w:r>
      <w:r w:rsidRPr="0008481A">
        <w:t>ö</w:t>
      </w:r>
      <w:r w:rsidRPr="0008481A">
        <w:t>ra den person som i anmälan utpekats som gärningsman. Sedan begärda komple</w:t>
      </w:r>
      <w:r w:rsidRPr="0008481A">
        <w:t>t</w:t>
      </w:r>
      <w:r w:rsidRPr="0008481A">
        <w:t>teringsåtgärder utförts beslutade Ulf Forsberg att förundersökning inte skulle inl</w:t>
      </w:r>
      <w:r w:rsidRPr="0008481A">
        <w:t>e</w:t>
      </w:r>
      <w:r w:rsidRPr="0008481A">
        <w:t>das.</w:t>
      </w:r>
    </w:p>
    <w:p w:rsidR="003B3271" w:rsidRPr="0008481A" w:rsidRDefault="003B3271">
      <w:pPr>
        <w:pStyle w:val="Rubrik4"/>
      </w:pPr>
      <w:r w:rsidRPr="0008481A">
        <w:t>Avsnitt 2</w:t>
      </w:r>
    </w:p>
    <w:p w:rsidR="003B3271" w:rsidRPr="0008481A" w:rsidRDefault="003B3271">
      <w:r w:rsidRPr="0008481A">
        <w:t>I sju ärenden från åren 1997 och 1998 uppställde sig frågan varför Ulf Forsberg inte omedelbart hade inlett förundersökning utan i stället gett direktiv om fö</w:t>
      </w:r>
      <w:r w:rsidRPr="0008481A">
        <w:t>r</w:t>
      </w:r>
      <w:r w:rsidRPr="0008481A">
        <w:t>utredning.</w:t>
      </w:r>
    </w:p>
    <w:p w:rsidR="003B3271" w:rsidRPr="0008481A" w:rsidRDefault="003B3271">
      <w:r w:rsidRPr="0008481A">
        <w:t>De aktuella ärendena gällde i korthet följande.</w:t>
      </w:r>
    </w:p>
    <w:p w:rsidR="003B3271" w:rsidRPr="0008481A" w:rsidRDefault="003B3271">
      <w:r w:rsidRPr="0008481A">
        <w:t>Ärende 12: Enligt ett i samband med anmälningsupptagningen hållet måls</w:t>
      </w:r>
      <w:r w:rsidRPr="0008481A">
        <w:softHyphen/>
        <w:t>ägand</w:t>
      </w:r>
      <w:r w:rsidRPr="0008481A">
        <w:t>e</w:t>
      </w:r>
      <w:r w:rsidRPr="0008481A">
        <w:t>förhör uppgav en kvinna att två namngivna polismän tagit fram brotts</w:t>
      </w:r>
      <w:r w:rsidRPr="0008481A">
        <w:softHyphen/>
        <w:t>registerup</w:t>
      </w:r>
      <w:r w:rsidRPr="0008481A">
        <w:t>p</w:t>
      </w:r>
      <w:r w:rsidRPr="0008481A">
        <w:t>gifter om henne så att de sett vad hon gjort samt att polis</w:t>
      </w:r>
      <w:r w:rsidRPr="0008481A">
        <w:softHyphen/>
        <w:t>männen hade berättat detta för henne. Polismännen påstods också bl.a. ha besökt kvinnans läkare och där efterhört vad kvinnan gjorde hos läkarna. Polismännen påstods även ha tagit reda på hur mycket pengar som kvinnan hade på banken och sedan lämnat ut  uppgifterna till kriminella. I en skrivelse till polismyndigheten uppgav Ulf For</w:t>
      </w:r>
      <w:r w:rsidRPr="0008481A">
        <w:t>s</w:t>
      </w:r>
      <w:r w:rsidRPr="0008481A">
        <w:t>berg att han önskade förhör me</w:t>
      </w:r>
      <w:r w:rsidRPr="0008481A">
        <w:t>d de namngivna polismännen. Av handlingarna framgår vidare att kvinnan vid ett telefonsamtal med en polisman önskade ta til</w:t>
      </w:r>
      <w:r w:rsidRPr="0008481A">
        <w:t>l</w:t>
      </w:r>
      <w:r w:rsidRPr="0008481A">
        <w:t>baka anmälan samt att några förhör med polismännen aldrig kom till stånd. Ulf Forsberg beslutade att förundersökning inte skulle inledas.</w:t>
      </w:r>
    </w:p>
    <w:p w:rsidR="003B3271" w:rsidRPr="0008481A" w:rsidRDefault="003B3271">
      <w:r w:rsidRPr="0008481A">
        <w:t>Ärende 13: I anmälan, som rubricerats som tjänstefel, gjorde en person gällande att han efter en fotbollsmatch hade blivit biten av en polishund.</w:t>
      </w:r>
    </w:p>
    <w:p w:rsidR="003B3271" w:rsidRPr="0008481A" w:rsidRDefault="003B3271">
      <w:r w:rsidRPr="0008481A">
        <w:t xml:space="preserve">Ärende 14: Föräldrarna till en yngling påstod att deras son hade blivit felaktigt och dåligt behandlad av uniformerad polispersonal i samband med ett större bråk i stadens centrala delar och att han kommit att skadas i ena armen. </w:t>
      </w:r>
    </w:p>
    <w:p w:rsidR="003B3271" w:rsidRPr="0008481A" w:rsidRDefault="003B3271">
      <w:r w:rsidRPr="0008481A">
        <w:t xml:space="preserve">Ärende 15: När en person skulle friges efter att ha varit omhändertagen enligt LOB uppmärksammades att 120 kr saknades i förhållande till vad som noterats på omhändertagandebladet som omhändertagna kontanter. </w:t>
      </w:r>
    </w:p>
    <w:p w:rsidR="003B3271" w:rsidRPr="0008481A" w:rsidRDefault="003B3271">
      <w:r w:rsidRPr="0008481A">
        <w:t>Ärende 16: Anmälaren gjorde gällande bl.a. att han under en transport i polisbil hade blivit msshandlad av en polisman. Misshandeln skulle ha bestått i batongslag samt knytnävsslag.</w:t>
      </w:r>
    </w:p>
    <w:p w:rsidR="003B3271" w:rsidRPr="0008481A" w:rsidRDefault="003B3271">
      <w:r w:rsidRPr="0008481A">
        <w:t>Ärende 17: Anmälaren gjorde gällande att han under en transport i polisbil hade fått ta emot två slag, troligen knytnävsslag, från den polisman som satt intill h</w:t>
      </w:r>
      <w:r w:rsidRPr="0008481A">
        <w:t>o</w:t>
      </w:r>
      <w:r w:rsidRPr="0008481A">
        <w:t>nom i b</w:t>
      </w:r>
      <w:r w:rsidRPr="0008481A">
        <w:t>i</w:t>
      </w:r>
      <w:r w:rsidRPr="0008481A">
        <w:t>lens baksäte.</w:t>
      </w:r>
    </w:p>
    <w:p w:rsidR="003B3271" w:rsidRPr="0008481A" w:rsidRDefault="003B3271">
      <w:r w:rsidRPr="0008481A">
        <w:t>Ärende 18: I anmälan påstods bl.a. att en polisman hade kastat en strålkastare mot en bils vindruta så att rutan spräcktes. I Ulf Forsbergs utredningsdirektiv till p</w:t>
      </w:r>
      <w:r w:rsidRPr="0008481A">
        <w:t>o</w:t>
      </w:r>
      <w:r w:rsidRPr="0008481A">
        <w:t>lismyndigheten sägs bl.a. att man skulle prata med en namngiven polisman som var på platsen om vad som utspelade sig. Förhör hölls med polismannen varefter Ulf Forsberg beslutade att inleda förundersökning.</w:t>
      </w:r>
    </w:p>
    <w:p w:rsidR="003B3271" w:rsidRPr="0008481A" w:rsidRDefault="003B3271">
      <w:r w:rsidRPr="0008481A">
        <w:t>I fem ärenden från åren 1997 och 1998 gav Ulf Forsberg direktiv om olika utre</w:t>
      </w:r>
      <w:r w:rsidRPr="0008481A">
        <w:t>d</w:t>
      </w:r>
      <w:r w:rsidRPr="0008481A">
        <w:t>ningsåtgärder innan han tog ställning till om förundersökning skulle inledas eller ej. Enligt direktiven till polismyndigheten skulle förhör hållas med andra personer än målsäganden/anmälaren. I några fall anmodades polismyndigheten att förhöra den person som i anmälan utpekats som gärningsman och i andra fall begärdes att polismän skulle avge en promemoria. Sedan begärda kompletteringsåtgärder u</w:t>
      </w:r>
      <w:r w:rsidRPr="0008481A">
        <w:t>t</w:t>
      </w:r>
      <w:r w:rsidRPr="0008481A">
        <w:t>förts beslutade Ulf Forsberg att förundersökning inte skulle inl</w:t>
      </w:r>
      <w:r w:rsidRPr="0008481A">
        <w:t>e</w:t>
      </w:r>
      <w:r w:rsidRPr="0008481A">
        <w:t>das.</w:t>
      </w:r>
    </w:p>
    <w:p w:rsidR="003B3271" w:rsidRPr="0008481A" w:rsidRDefault="003B3271">
      <w:r w:rsidRPr="0008481A">
        <w:rPr>
          <w:i/>
        </w:rPr>
        <w:t>ChefsJO Eklundh</w:t>
      </w:r>
      <w:r w:rsidRPr="0008481A">
        <w:t xml:space="preserve"> beslutade att i särskilda ärenden ta upp åklagarens hand</w:t>
      </w:r>
      <w:r w:rsidRPr="0008481A">
        <w:softHyphen/>
        <w:t>läggning till utredning.</w:t>
      </w:r>
    </w:p>
    <w:p w:rsidR="003B3271" w:rsidRPr="0008481A" w:rsidRDefault="003B3271">
      <w:pPr>
        <w:pStyle w:val="Rubrik3"/>
      </w:pPr>
      <w:r w:rsidRPr="0008481A">
        <w:t>Utredning</w:t>
      </w:r>
    </w:p>
    <w:p w:rsidR="003B3271" w:rsidRPr="0008481A" w:rsidRDefault="003B3271">
      <w:r w:rsidRPr="0008481A">
        <w:t>Åklagarmyndigheten i Västerås anmodades att inkomma med upplysningar såvitt gällde åklagarens förfarande att, i stället för att omedelbart ta ställning i frågan om inledande av förundersökning, ge direktiv till polismyndigheten om en förutre</w:t>
      </w:r>
      <w:r w:rsidRPr="0008481A">
        <w:t>d</w:t>
      </w:r>
      <w:r w:rsidRPr="0008481A">
        <w:t>ning samt om utredningens omfattning. Myndigheten skulle vidare redovisa sin bedömning av det som kommit fram.</w:t>
      </w:r>
    </w:p>
    <w:p w:rsidR="003B3271" w:rsidRPr="0008481A" w:rsidRDefault="003B3271">
      <w:pPr>
        <w:pStyle w:val="Normaltindrag"/>
      </w:pPr>
      <w:r w:rsidRPr="0008481A">
        <w:t>Åklagarmyndigheten i Västerås (överåklagaren Folke Ljungwall) kom in med  yttranden till vilket hade fogats upplysningar från chefsåklagaren Ulf Forsberg.</w:t>
      </w:r>
    </w:p>
    <w:p w:rsidR="003B3271" w:rsidRPr="0008481A" w:rsidRDefault="003B3271">
      <w:pPr>
        <w:pStyle w:val="Normaltindrag"/>
      </w:pPr>
      <w:r w:rsidRPr="0008481A">
        <w:t>Ulf Forsberg anförde i upplysningar att en förutredning enligt hans mening b</w:t>
      </w:r>
      <w:r w:rsidRPr="0008481A">
        <w:t>e</w:t>
      </w:r>
      <w:r w:rsidRPr="0008481A">
        <w:t>hövdes för att han skulle kunna ta ställning till huruvida förundersökning skulle inl</w:t>
      </w:r>
      <w:r w:rsidRPr="0008481A">
        <w:t>e</w:t>
      </w:r>
      <w:r w:rsidRPr="0008481A">
        <w:t>das eller inte i de aktuella ärendena.</w:t>
      </w:r>
    </w:p>
    <w:p w:rsidR="003B3271" w:rsidRPr="0008481A" w:rsidRDefault="003B3271">
      <w:r w:rsidRPr="0008481A">
        <w:t>Han anförde dessutom följande.</w:t>
      </w:r>
    </w:p>
    <w:p w:rsidR="003B3271" w:rsidRPr="0008481A" w:rsidRDefault="003B3271">
      <w:pPr>
        <w:pStyle w:val="Citat"/>
      </w:pPr>
      <w:r w:rsidRPr="0008481A">
        <w:t>Någon utbildning av hur man handskas med polismål har jag inte fått. Däremot har jag år 1991 som extra åklagare med statsåklagarbehörighet vid Regionåklagarmyndigheten i Västerås från i polismål mer erfarna kollegor inhämtat att man skulle vara mycket försiktig med förundersöknings inledande i polismål. Utpekade poliser i Västerås ville bli hörda utan att för</w:t>
      </w:r>
      <w:r w:rsidRPr="0008481A">
        <w:softHyphen/>
        <w:t>under</w:t>
      </w:r>
      <w:r w:rsidRPr="0008481A">
        <w:softHyphen/>
        <w:t>sökning var i</w:t>
      </w:r>
      <w:r w:rsidRPr="0008481A">
        <w:t>n</w:t>
      </w:r>
      <w:r w:rsidRPr="0008481A">
        <w:t>ledd. Tillvägagångssättet att höra poliser utan att för</w:t>
      </w:r>
      <w:r w:rsidRPr="0008481A">
        <w:softHyphen/>
        <w:t>under</w:t>
      </w:r>
      <w:r w:rsidRPr="0008481A">
        <w:softHyphen/>
        <w:t>sökning var inledd var inte ovanligt. Ett tecken på detta var att polisfacket i Uppsala år 1991 eller år 1992 framförde ett krav att de fortsät</w:t>
      </w:r>
      <w:r w:rsidRPr="0008481A">
        <w:t>t</w:t>
      </w:r>
      <w:r w:rsidRPr="0008481A">
        <w:t>ningsvis inte ville bli hörda utan att förundersökning var inledd. Jag vet nu att tillvägagångssättet att höra poliser utan att förundersökning inletts inte är acceptabelt och jag kommer naturligtvis fortsättningsvis att rätta mig efter detta.</w:t>
      </w:r>
    </w:p>
    <w:p w:rsidR="003B3271" w:rsidRPr="0008481A" w:rsidRDefault="003B3271">
      <w:r w:rsidRPr="0008481A">
        <w:t xml:space="preserve">Folke Ljungwall anförde i två i huvudsak </w:t>
      </w:r>
      <w:r w:rsidRPr="0008481A">
        <w:t>likalydande yttranden följande.</w:t>
      </w:r>
    </w:p>
    <w:p w:rsidR="003B3271" w:rsidRPr="0008481A" w:rsidRDefault="003B3271">
      <w:pPr>
        <w:pStyle w:val="Rubrik4"/>
      </w:pPr>
      <w:r w:rsidRPr="0008481A">
        <w:t>Rättsläget</w:t>
      </w:r>
    </w:p>
    <w:p w:rsidR="003B3271" w:rsidRPr="0008481A" w:rsidRDefault="003B3271">
      <w:pPr>
        <w:pStyle w:val="Citat"/>
      </w:pPr>
      <w:r w:rsidRPr="0008481A">
        <w:t>Remissen gäller frågan om vilka utredningsåtgärder som kan företas till underlag för bedömande av om förutsättningar för inledande av förunder</w:t>
      </w:r>
      <w:r w:rsidRPr="0008481A">
        <w:softHyphen/>
        <w:t>sökning är uppfyllda. Jag vill också ta upp frågan om det kan anses föreligga någon skillnad i detta hänseende i ärenden där polismän utpekas som gärningsmän.</w:t>
      </w:r>
    </w:p>
    <w:p w:rsidR="003B3271" w:rsidRPr="0008481A" w:rsidRDefault="003B3271">
      <w:pPr>
        <w:pStyle w:val="Citatindrag"/>
        <w:rPr>
          <w:sz w:val="20"/>
        </w:rPr>
      </w:pPr>
      <w:r w:rsidRPr="0008481A">
        <w:rPr>
          <w:sz w:val="20"/>
        </w:rPr>
        <w:t>JO har publicerat ett avgörande angående den tillåtna omfattningen av s.k. förutredning. JO har därvid funnit – i samsyn med Riksåklagaren – att de uppgifter som har lämnats av en målsägande i en anmälan normalt skall anses utgöra ett tillräckligt underlag för att bedöma om förunder</w:t>
      </w:r>
      <w:r w:rsidRPr="0008481A">
        <w:rPr>
          <w:sz w:val="20"/>
        </w:rPr>
        <w:softHyphen/>
        <w:t>sökning skall inledas eller ej. Om uppgifterna i anmälan inte ger an</w:t>
      </w:r>
      <w:r w:rsidRPr="0008481A">
        <w:rPr>
          <w:sz w:val="20"/>
        </w:rPr>
        <w:softHyphen/>
        <w:t>ledning att anta att ett brott har begåtts skall förundersökning således inte inledas. Emellertid kan situationen ibland vara sådan att föru</w:t>
      </w:r>
      <w:r w:rsidRPr="0008481A">
        <w:rPr>
          <w:sz w:val="20"/>
        </w:rPr>
        <w:t>n</w:t>
      </w:r>
      <w:r w:rsidRPr="0008481A">
        <w:rPr>
          <w:sz w:val="20"/>
        </w:rPr>
        <w:t>der</w:t>
      </w:r>
      <w:r w:rsidRPr="0008481A">
        <w:rPr>
          <w:sz w:val="20"/>
        </w:rPr>
        <w:softHyphen/>
        <w:t>söknings</w:t>
      </w:r>
      <w:r w:rsidRPr="0008481A">
        <w:rPr>
          <w:sz w:val="20"/>
        </w:rPr>
        <w:softHyphen/>
        <w:t>ledaren har ett legitimt behov av att inhämta kompletterande upplysningar som unde</w:t>
      </w:r>
      <w:r w:rsidRPr="0008481A">
        <w:rPr>
          <w:sz w:val="20"/>
        </w:rPr>
        <w:t>r</w:t>
      </w:r>
      <w:r w:rsidRPr="0008481A">
        <w:rPr>
          <w:sz w:val="20"/>
        </w:rPr>
        <w:t>lag för sitt ställningstagande i förunder</w:t>
      </w:r>
      <w:r w:rsidRPr="0008481A">
        <w:rPr>
          <w:sz w:val="20"/>
        </w:rPr>
        <w:softHyphen/>
        <w:t>sök</w:t>
      </w:r>
      <w:r w:rsidRPr="0008481A">
        <w:rPr>
          <w:sz w:val="20"/>
        </w:rPr>
        <w:softHyphen/>
        <w:t>ningsfrågan. Det skall dock då vara fråga om begräns</w:t>
      </w:r>
      <w:r w:rsidRPr="0008481A">
        <w:rPr>
          <w:sz w:val="20"/>
        </w:rPr>
        <w:t>a</w:t>
      </w:r>
      <w:r w:rsidRPr="0008481A">
        <w:rPr>
          <w:sz w:val="20"/>
        </w:rPr>
        <w:t>de, punktvisa åt</w:t>
      </w:r>
      <w:r w:rsidRPr="0008481A">
        <w:rPr>
          <w:sz w:val="20"/>
        </w:rPr>
        <w:softHyphen/>
        <w:t>gärder till komplettering av anmälningsuppgifterna. JO underströk vidare att en förutredn</w:t>
      </w:r>
      <w:r w:rsidRPr="0008481A">
        <w:rPr>
          <w:sz w:val="20"/>
        </w:rPr>
        <w:t>ing under inga förhållanden får sträcka sig längre än vad som krävs för att förundersö</w:t>
      </w:r>
      <w:r w:rsidRPr="0008481A">
        <w:rPr>
          <w:sz w:val="20"/>
        </w:rPr>
        <w:t>k</w:t>
      </w:r>
      <w:r w:rsidRPr="0008481A">
        <w:rPr>
          <w:sz w:val="20"/>
        </w:rPr>
        <w:t>ningsledaren skall kunna ta ställning i frågan om förundersökning skall inledas eller ej, och att det således aldrig får bli fråga om att vidta några åtgärder som har karaktär av brottsutredning. Förhör med vittnen eller med någon som i en anmälan har utpekats som gärningsman får exempelvis al</w:t>
      </w:r>
      <w:r w:rsidRPr="0008481A">
        <w:rPr>
          <w:sz w:val="20"/>
        </w:rPr>
        <w:t>d</w:t>
      </w:r>
      <w:r w:rsidRPr="0008481A">
        <w:rPr>
          <w:sz w:val="20"/>
        </w:rPr>
        <w:t>rig förekomma inom ramen för en fö</w:t>
      </w:r>
      <w:r w:rsidRPr="0008481A">
        <w:rPr>
          <w:sz w:val="20"/>
        </w:rPr>
        <w:t>r</w:t>
      </w:r>
      <w:r w:rsidRPr="0008481A">
        <w:rPr>
          <w:sz w:val="20"/>
        </w:rPr>
        <w:t>utredning (JO:s ämbetsberättelse 1997/98 s. 98 f.).</w:t>
      </w:r>
    </w:p>
    <w:p w:rsidR="003B3271" w:rsidRPr="0008481A" w:rsidRDefault="003B3271">
      <w:pPr>
        <w:pStyle w:val="Rubrik4"/>
      </w:pPr>
      <w:r w:rsidRPr="0008481A">
        <w:t>Min bedömning</w:t>
      </w:r>
    </w:p>
    <w:p w:rsidR="003B3271" w:rsidRPr="0008481A" w:rsidRDefault="003B3271">
      <w:pPr>
        <w:pStyle w:val="Citat"/>
      </w:pPr>
      <w:r w:rsidRPr="0008481A">
        <w:t>Chefsåklagaren Ulf Forsberg har beträffande – – – anmälningarna föranstaltat om olika utre</w:t>
      </w:r>
      <w:r w:rsidRPr="0008481A">
        <w:t>d</w:t>
      </w:r>
      <w:r w:rsidRPr="0008481A">
        <w:t>ningsåtgärder innan han tog ställning till om för</w:t>
      </w:r>
      <w:r w:rsidRPr="0008481A">
        <w:softHyphen/>
        <w:t>undersökning skulle inledas eller ej. Genomgående har åtgärderna inkluderat förhör med andra än målsäganden/anmälaren och bland annat avsett de utpekade gärningsmännen. Som framgått av det föregående anses sådana åtgärder inte kunna vi</w:t>
      </w:r>
      <w:r w:rsidRPr="0008481A">
        <w:t>d</w:t>
      </w:r>
      <w:r w:rsidRPr="0008481A">
        <w:t>tas inom ramen för en förutredning.</w:t>
      </w:r>
    </w:p>
    <w:p w:rsidR="003B3271" w:rsidRPr="0008481A" w:rsidRDefault="003B3271">
      <w:pPr>
        <w:pStyle w:val="Citatindrag"/>
      </w:pPr>
      <w:r w:rsidRPr="0008481A">
        <w:t>Man kan således inte kringgå bestämmelserna om förundersökning genom att förklara att en u</w:t>
      </w:r>
      <w:r w:rsidRPr="0008481A">
        <w:t>n</w:t>
      </w:r>
      <w:r w:rsidRPr="0008481A">
        <w:t>dersökning avser att klarlägga om förundersökning skall inledas. Den misstänkte får inte på detta sätt betas de rättssäkerhetsgarantier som rätt</w:t>
      </w:r>
      <w:r w:rsidRPr="0008481A">
        <w:t>e</w:t>
      </w:r>
      <w:r w:rsidRPr="0008481A">
        <w:t>gångsbalken erbjuder (SOU 1967:59 s. 89).</w:t>
      </w:r>
    </w:p>
    <w:p w:rsidR="003B3271" w:rsidRPr="0008481A" w:rsidRDefault="003B3271">
      <w:pPr>
        <w:pStyle w:val="Citatindrag"/>
      </w:pPr>
      <w:r w:rsidRPr="0008481A">
        <w:t>Finns det då något skäl att anse utrymmet för förutredning större vid anmälningar som riktas mot polisman eller annan myndighetsutövare? Som Forsberg redovisat i sina upplysningar var det tid</w:t>
      </w:r>
      <w:r w:rsidRPr="0008481A">
        <w:t>i</w:t>
      </w:r>
      <w:r w:rsidRPr="0008481A">
        <w:t>gare i den dåvarande Västeråsregionen det normala – och av poliserna önskade – att man vid a</w:t>
      </w:r>
      <w:r w:rsidRPr="0008481A">
        <w:t>n</w:t>
      </w:r>
      <w:r w:rsidRPr="0008481A">
        <w:t>mälningar mot polismän så långt möjligt undvek att delge de utpekade misstanke om brott. Som jag har förstått saken har detta förfaringssätt bottnat i uppfattningen att de flesta anmälningar mot poliser är grundlösa och huvudsakligen avsedda att vålla förtret för polisen och att ibland stärka anmälaren i ärende där denne är misstänkt för brott. Mot denna bakgrund har man velat undvika den ”onödiga chikan” som ett f</w:t>
      </w:r>
      <w:r w:rsidRPr="0008481A">
        <w:t>ormellt inledande av förundersökning mot polismannen kan inneb</w:t>
      </w:r>
      <w:r w:rsidRPr="0008481A">
        <w:t>ä</w:t>
      </w:r>
      <w:r w:rsidRPr="0008481A">
        <w:t>ra för den utpekade. Detta intresse kom att medföra ett mycket utdraget förutredning</w:t>
      </w:r>
      <w:r w:rsidRPr="0008481A">
        <w:t>s</w:t>
      </w:r>
      <w:r w:rsidRPr="0008481A">
        <w:t>stadium.</w:t>
      </w:r>
    </w:p>
    <w:p w:rsidR="003B3271" w:rsidRPr="0008481A" w:rsidRDefault="003B3271">
      <w:pPr>
        <w:pStyle w:val="Citatindrag"/>
      </w:pPr>
      <w:r w:rsidRPr="0008481A">
        <w:t>Som tidigare anförts är det dock i första hand de rättssäkethetsgarantier som rättegångsbalken e</w:t>
      </w:r>
      <w:r w:rsidRPr="0008481A">
        <w:t>r</w:t>
      </w:r>
      <w:r w:rsidRPr="0008481A">
        <w:t>bjuder den för brott utpekade som motiverar att utrymmet för förutredning är mycket begränsat. Det finns självfallet inget skäl att beta polismän eller andra myndighetsutövare dessa garantier i fall då de anmäls för brott. Enligt min mening saknas det därför varje skäl att göra någon åtskillnad i detta hänseende beroende på vem den anmälde gärnings</w:t>
      </w:r>
      <w:r w:rsidRPr="0008481A">
        <w:softHyphen/>
        <w:t>mannen är. Något lagstöd för en sådan åtskillnad föreligger heller inte.</w:t>
      </w:r>
    </w:p>
    <w:p w:rsidR="003B3271" w:rsidRPr="0008481A" w:rsidRDefault="003B3271">
      <w:pPr>
        <w:pStyle w:val="Citatindrag"/>
      </w:pPr>
      <w:r w:rsidRPr="0008481A">
        <w:t>Med det begränsade utrymme som funnits för att komplettera de inledande anmälningsuppgi</w:t>
      </w:r>
      <w:r w:rsidRPr="0008481A">
        <w:t>fterna borde Forsberg enligt min mening i samtliga under avsnitt 1 upptagna fall ha fattat beslut i frågan om anmälningsuppgifterna gav anledning anta att brott som hör under allmänt åtal förövats. Endast om beslutet inneburit att förundersökning inleddes skulle förhör med bevis</w:t>
      </w:r>
      <w:r w:rsidRPr="0008481A">
        <w:softHyphen/>
        <w:t>personer ha skett. For</w:t>
      </w:r>
      <w:r w:rsidRPr="0008481A">
        <w:t>s</w:t>
      </w:r>
      <w:r w:rsidRPr="0008481A">
        <w:t>berg förefaller numera dela denna uppfattning. Jag har inte funnit anledning att i detta samma</w:t>
      </w:r>
      <w:r w:rsidRPr="0008481A">
        <w:t>n</w:t>
      </w:r>
      <w:r w:rsidRPr="0008481A">
        <w:t>hang för vart och ett av de elva ärendena ta ställning till om ärendena omedelbart skulle ha skrivits av eller ej.</w:t>
      </w:r>
    </w:p>
    <w:p w:rsidR="003B3271" w:rsidRPr="0008481A" w:rsidRDefault="003B3271">
      <w:r w:rsidRPr="0008481A">
        <w:t>I fråga om de under avsnitt 2 upptagna ärendena anförde Folke Ljungwall bl.a. följande.</w:t>
      </w:r>
    </w:p>
    <w:p w:rsidR="003B3271" w:rsidRPr="0008481A" w:rsidRDefault="003B3271">
      <w:pPr>
        <w:pStyle w:val="Citat"/>
      </w:pPr>
      <w:r w:rsidRPr="0008481A">
        <w:t>Med det begränsade utrymme som funnits för att komplettera de inledande anmälningsuppgifterna borde Forsberg enligt min mening i samtliga under avsnitt 2 ovan upptagna remitterade fall ha fattat beslut i frågan om anmälningsuppgifterna gav anledning anta att brott som hör under allmänt åtal förövats. Forsberg har nu intagit ståndpunkten att förundersökning borde ha inletts i samtliga dessa sju fall. Jag har inte funnit skäl att ha någon annan uppfattning. Mot bakgrund av de utre</w:t>
      </w:r>
      <w:r w:rsidRPr="0008481A">
        <w:t>d</w:t>
      </w:r>
      <w:r w:rsidRPr="0008481A">
        <w:t>ningsuppgifter som rent faktiskt inhämtats i ärendena föreligger enligt min mening inte nu anle</w:t>
      </w:r>
      <w:r w:rsidRPr="0008481A">
        <w:t>d</w:t>
      </w:r>
      <w:r w:rsidRPr="0008481A">
        <w:t>ning att inleda fö</w:t>
      </w:r>
      <w:r w:rsidRPr="0008481A">
        <w:t>r</w:t>
      </w:r>
      <w:r w:rsidRPr="0008481A">
        <w:t>undersökning i något av dem.</w:t>
      </w:r>
    </w:p>
    <w:p w:rsidR="003B3271" w:rsidRPr="0008481A" w:rsidRDefault="003B3271">
      <w:r w:rsidRPr="0008481A">
        <w:t xml:space="preserve">I ett beslut den 24 februari 2000 anförde </w:t>
      </w:r>
      <w:r w:rsidRPr="0008481A">
        <w:rPr>
          <w:i/>
        </w:rPr>
        <w:t xml:space="preserve">chefsJO Eklundh </w:t>
      </w:r>
      <w:r w:rsidRPr="0008481A">
        <w:t>följande.</w:t>
      </w:r>
    </w:p>
    <w:p w:rsidR="003B3271" w:rsidRPr="0008481A" w:rsidRDefault="003B3271">
      <w:pPr>
        <w:pStyle w:val="Rubrik3"/>
      </w:pPr>
      <w:r w:rsidRPr="0008481A">
        <w:t>Bedömning</w:t>
      </w:r>
    </w:p>
    <w:p w:rsidR="003B3271" w:rsidRPr="0008481A" w:rsidRDefault="003B3271">
      <w:r w:rsidRPr="0008481A">
        <w:t>De grundläggande reglerna om förundersökning finns i 23 kap. rättegångs</w:t>
      </w:r>
      <w:r w:rsidRPr="0008481A">
        <w:softHyphen/>
        <w:t>balken (RB) och förundersökningskungörelsen (1947:948). Förundersökning skall enligt 23 kap. 1 § första stycket RB inledas så snart det på grund av an</w:t>
      </w:r>
      <w:r w:rsidRPr="0008481A">
        <w:softHyphen/>
        <w:t>givelse eller av annat skäl finns anledning att anta att ett brott som hör under allmänt åtal har fö</w:t>
      </w:r>
      <w:r w:rsidRPr="0008481A">
        <w:t>r</w:t>
      </w:r>
      <w:r w:rsidRPr="0008481A">
        <w:t>övats. För förundersökningar gäller enligt 23 kap. 4 § RB en objektivitetsprincip. Kravet på objektivitet gäller självfallet också i fråga om ställningstagande i frågan om förundersökning skall inledas eller ej.</w:t>
      </w:r>
    </w:p>
    <w:p w:rsidR="003B3271" w:rsidRPr="0008481A" w:rsidRDefault="003B3271">
      <w:pPr>
        <w:pStyle w:val="Normaltindrag"/>
      </w:pPr>
      <w:r w:rsidRPr="0008481A">
        <w:t>Tröskeln för att inleda förundersökning har sat</w:t>
      </w:r>
      <w:r w:rsidRPr="0008481A">
        <w:t>ts lågt. Det räcker med att det för</w:t>
      </w:r>
      <w:r w:rsidRPr="0008481A">
        <w:t>e</w:t>
      </w:r>
      <w:r w:rsidRPr="0008481A">
        <w:t>kommer anledning till misstanke om brott. En förundersökning kan således inl</w:t>
      </w:r>
      <w:r w:rsidRPr="0008481A">
        <w:t>e</w:t>
      </w:r>
      <w:r w:rsidRPr="0008481A">
        <w:t>das på mycket vaga misstankar så snart dessa avser något som kan vara ett brott (JO 1953 s. 107). Misstanken måste visserligen avse en konkret brottslig gärning men det är inte nödvändigt att man känner till brottets alla detaljer och inte heller exakt när och var det har förövats (Ekelöf, SvJT 1982 s. 658).</w:t>
      </w:r>
    </w:p>
    <w:p w:rsidR="003B3271" w:rsidRPr="0008481A" w:rsidRDefault="003B3271">
      <w:pPr>
        <w:pStyle w:val="Normaltindrag"/>
      </w:pPr>
      <w:r w:rsidRPr="0008481A">
        <w:t>Med hänsyn till de lågt ställda krav som gäller för inledande av för</w:t>
      </w:r>
      <w:r w:rsidRPr="0008481A">
        <w:softHyphen/>
        <w:t>under</w:t>
      </w:r>
      <w:r w:rsidRPr="0008481A">
        <w:softHyphen/>
        <w:t>sökning torde behovet av kompletterande uppgifter inför ställnings</w:t>
      </w:r>
      <w:r w:rsidRPr="0008481A">
        <w:softHyphen/>
        <w:t>tagandet om förunde</w:t>
      </w:r>
      <w:r w:rsidRPr="0008481A">
        <w:t>r</w:t>
      </w:r>
      <w:r w:rsidRPr="0008481A">
        <w:t>sökning skall inledas eller inte i allmänhet vara ringa.</w:t>
      </w:r>
    </w:p>
    <w:p w:rsidR="003B3271" w:rsidRPr="0008481A" w:rsidRDefault="003B3271">
      <w:pPr>
        <w:pStyle w:val="Normaltindrag"/>
      </w:pPr>
      <w:r w:rsidRPr="0008481A">
        <w:t>Som åklagarmyndigheten har anfört i sina yttranden är utrymmet att vidta utre</w:t>
      </w:r>
      <w:r w:rsidRPr="0008481A">
        <w:t>d</w:t>
      </w:r>
      <w:r w:rsidRPr="0008481A">
        <w:t>ningsåtgärder utanför en förundersöknings ram mycket begränsat. Jag har i det i yttrandena omnämnda beslutet utvecklat min ståndpunkt i frågan i huvudsak e</w:t>
      </w:r>
      <w:r w:rsidRPr="0008481A">
        <w:t>n</w:t>
      </w:r>
      <w:r w:rsidRPr="0008481A">
        <w:t>ligt följande.</w:t>
      </w:r>
    </w:p>
    <w:p w:rsidR="003B3271" w:rsidRPr="0008481A" w:rsidRDefault="003B3271">
      <w:pPr>
        <w:pStyle w:val="Normaltindrag"/>
      </w:pPr>
      <w:r w:rsidRPr="0008481A">
        <w:t>Inom ramen för en s.k. förutredning kan endast punktvisa åtgärder som syftar till att genom en begränsad komplettering av kända eller påstådda för</w:t>
      </w:r>
      <w:r w:rsidRPr="0008481A">
        <w:softHyphen/>
        <w:t>hållanden berika beslutsunderlaget i förundersökningsfrågor vidtas. För</w:t>
      </w:r>
      <w:r w:rsidRPr="0008481A">
        <w:softHyphen/>
        <w:t>under</w:t>
      </w:r>
      <w:r w:rsidRPr="0008481A">
        <w:softHyphen/>
        <w:t>sökningsledaren kan exempelvis inhämta visst skriftligt material för att få någon fråga särskilt belyst. Det får vidare anses tillåtet att be anmälaren att lämna kompletterande muntliga uppgifter i de hänseenden som bedöms vara relevanta i sammanhanget. Jag vill inte heller utesluta möjligheten av att man i vissa situationer vänder sig direkt till en målsägande som inte själv är an</w:t>
      </w:r>
      <w:r w:rsidRPr="0008481A">
        <w:softHyphen/>
        <w:t>mälare med önskemål om att få ta del av skrif</w:t>
      </w:r>
      <w:r w:rsidRPr="0008481A">
        <w:t>t</w:t>
      </w:r>
      <w:r w:rsidRPr="0008481A">
        <w:t>li</w:t>
      </w:r>
      <w:r w:rsidRPr="0008481A">
        <w:t>gt material eller att få muntliga upplysningar.</w:t>
      </w:r>
    </w:p>
    <w:p w:rsidR="003B3271" w:rsidRPr="0008481A" w:rsidRDefault="003B3271">
      <w:pPr>
        <w:pStyle w:val="Normaltindrag"/>
      </w:pPr>
      <w:r w:rsidRPr="0008481A">
        <w:t>Det måste emellertid understrykas att en förutredning under inga för</w:t>
      </w:r>
      <w:r w:rsidRPr="0008481A">
        <w:softHyphen/>
        <w:t>hållanden får sträcka sig längre än vad som krävs för att förunder</w:t>
      </w:r>
      <w:r w:rsidRPr="0008481A">
        <w:softHyphen/>
        <w:t>sök</w:t>
      </w:r>
      <w:r w:rsidRPr="0008481A">
        <w:softHyphen/>
        <w:t>nings</w:t>
      </w:r>
      <w:r w:rsidRPr="0008481A">
        <w:softHyphen/>
        <w:t>ledaren skall kunna ta ställning i frågan om förundersökning skall inledas eller ej. Det får således aldrig bli fråga om att vidta några åtgärder som har karaktär av brottsutredning. Förhör med vittnen eller med någon som i en anmälan har pekats ut som gärningsman får exempelvis aldrig förekomma inom ramen för en förutredning. Det kan tilläggas att enskilda personer inte heller har någon skyldighet att medverka under en fö</w:t>
      </w:r>
      <w:r w:rsidRPr="0008481A">
        <w:t>r</w:t>
      </w:r>
      <w:r w:rsidRPr="0008481A">
        <w:t>utredni</w:t>
      </w:r>
      <w:r w:rsidRPr="0008481A">
        <w:t>ng.</w:t>
      </w:r>
    </w:p>
    <w:p w:rsidR="003B3271" w:rsidRPr="0008481A" w:rsidRDefault="003B3271">
      <w:pPr>
        <w:pStyle w:val="Normaltindrag"/>
      </w:pPr>
      <w:r w:rsidRPr="0008481A">
        <w:t>Det är av grundläggande betydelse för tilliten till samhällets verksamhet för att utreda påstådda brott av polismän, och därmed ytterst för allmän</w:t>
      </w:r>
      <w:r w:rsidRPr="0008481A">
        <w:softHyphen/>
        <w:t>hetens förtroende för polisen, att denna utredningsverksamhet bedrivs på ett i alla hänseenden ko</w:t>
      </w:r>
      <w:r w:rsidRPr="0008481A">
        <w:t>r</w:t>
      </w:r>
      <w:r w:rsidRPr="0008481A">
        <w:t>rekt sätt. Den för all brottsutredande verksamhet gällande grundsatsen att han</w:t>
      </w:r>
      <w:r w:rsidRPr="0008481A">
        <w:t>d</w:t>
      </w:r>
      <w:r w:rsidRPr="0008481A">
        <w:t>läggningen måste ske i sådana former att den inte ger fog för ett ifrågasättande av de utredande myndigheternas objektivitet har här en alldeles särskild tyngd.</w:t>
      </w:r>
    </w:p>
    <w:p w:rsidR="003B3271" w:rsidRPr="0008481A" w:rsidRDefault="003B3271">
      <w:pPr>
        <w:pStyle w:val="Normaltindrag"/>
      </w:pPr>
      <w:r w:rsidRPr="0008481A">
        <w:t>I det nyss sagda får anses ligga att åklagaren skyndsamt tar ställning till om fö</w:t>
      </w:r>
      <w:r w:rsidRPr="0008481A">
        <w:t>r</w:t>
      </w:r>
      <w:r w:rsidRPr="0008481A">
        <w:t>undersökning skall inledas så att erforderliga utredningsåtgärder kan vidtas utan dröjsmål samt möjligheten att säkra bevisning inte går förlorad.</w:t>
      </w:r>
    </w:p>
    <w:p w:rsidR="003B3271" w:rsidRPr="0008481A" w:rsidRDefault="003B3271">
      <w:pPr>
        <w:pStyle w:val="Normaltindrag"/>
      </w:pPr>
      <w:r w:rsidRPr="0008481A">
        <w:t>Att inhämta yttranden eller att hålla förhör med berörda polismän innan förunde</w:t>
      </w:r>
      <w:r w:rsidRPr="0008481A">
        <w:t>r</w:t>
      </w:r>
      <w:r w:rsidRPr="0008481A">
        <w:t>sökning inletts innebär inte enbart att bestämmelserna om förundersökning krin</w:t>
      </w:r>
      <w:r w:rsidRPr="0008481A">
        <w:t>g</w:t>
      </w:r>
      <w:r w:rsidRPr="0008481A">
        <w:t>gås. Om förfarande tillämpas gentemot exempelvis en polisman som har anmälts för brott finns en risk att polismannen medvetet eller omedvetet lämnar för honom oförmånliga uppgifter, vilka sedermera kan komma att användas mot honom vid en straffrättslig prövning. Förfarande innebär således en risk för att polismannens rättssäke</w:t>
      </w:r>
      <w:r w:rsidRPr="0008481A">
        <w:t>r</w:t>
      </w:r>
      <w:r w:rsidRPr="0008481A">
        <w:t>hets</w:t>
      </w:r>
      <w:r w:rsidRPr="0008481A">
        <w:softHyphen/>
        <w:t>intressen träds för när.</w:t>
      </w:r>
    </w:p>
    <w:p w:rsidR="003B3271" w:rsidRPr="0008481A" w:rsidRDefault="003B3271">
      <w:pPr>
        <w:pStyle w:val="Normaltindrag"/>
      </w:pPr>
      <w:r w:rsidRPr="0008481A">
        <w:t xml:space="preserve">Det kan således konstateras att Ulf Forsbergs handläggning av de i detta </w:t>
      </w:r>
      <w:r w:rsidRPr="0008481A">
        <w:t>ärende aktuella ärendena på ett anmärkningsvärt sätt avviker från gällande regler. Jag noterar att Ulf Forsberg numera kommit till insikt om att hans handläggning inte varit rättsenlig och det finns därför skäl att anta att den till</w:t>
      </w:r>
      <w:r w:rsidRPr="0008481A">
        <w:softHyphen/>
        <w:t>ämpade ordningen inte längre kommer att användas. Någon anledning till ytterligare åtgärder från min sida f</w:t>
      </w:r>
      <w:r w:rsidRPr="0008481A">
        <w:t>ö</w:t>
      </w:r>
      <w:r w:rsidRPr="0008481A">
        <w:t>religger inte.</w:t>
      </w:r>
    </w:p>
    <w:p w:rsidR="003B3271" w:rsidRPr="0008481A" w:rsidRDefault="003B3271">
      <w:pPr>
        <w:pStyle w:val="Rubrik2"/>
      </w:pPr>
      <w:r w:rsidRPr="0008481A">
        <w:t>Fråga om tillämpning av bestämmelserna i 20 kap. 5 § brotts</w:t>
      </w:r>
      <w:r w:rsidRPr="0008481A">
        <w:softHyphen/>
        <w:t>balken vid prövning av om förundersökning skulle inledas med anledning av en polisanmälan om förolämpning i vilken det på</w:t>
      </w:r>
      <w:r w:rsidRPr="0008481A">
        <w:softHyphen/>
        <w:t>stods att gärningen inträffat i samband med utövningen av an</w:t>
      </w:r>
      <w:r w:rsidRPr="0008481A">
        <w:softHyphen/>
        <w:t>ställningen vid en polismy</w:t>
      </w:r>
      <w:r w:rsidRPr="0008481A">
        <w:t>n</w:t>
      </w:r>
      <w:r w:rsidRPr="0008481A">
        <w:t>dighet</w:t>
      </w:r>
    </w:p>
    <w:p w:rsidR="003B3271" w:rsidRPr="0008481A" w:rsidRDefault="003B3271">
      <w:r w:rsidRPr="0008481A">
        <w:t>(Dnr 1933-1999)</w:t>
      </w:r>
    </w:p>
    <w:p w:rsidR="003B3271" w:rsidRPr="0008481A" w:rsidRDefault="003B3271">
      <w:pPr>
        <w:pStyle w:val="Rubrik3"/>
      </w:pPr>
      <w:r w:rsidRPr="0008481A">
        <w:t>Bakgrund</w:t>
      </w:r>
    </w:p>
    <w:p w:rsidR="003B3271" w:rsidRPr="0008481A" w:rsidRDefault="003B3271">
      <w:r w:rsidRPr="0008481A">
        <w:t>Vid en inspektion vid Polismyndigheten i Västmanlands län, enheten för internu</w:t>
      </w:r>
      <w:r w:rsidRPr="0008481A">
        <w:t>t</w:t>
      </w:r>
      <w:r w:rsidRPr="0008481A">
        <w:t>redningar, den 17 mars 1999, granskades bl.a. Åklagarkammarens i Västerås, ärende – – –, som avsåg en polisanmälan om förolämpning. Det konstaterades att den anmälde var arbetstagare vid polismyndigheten och att gärningen påstods ha inträffat i samband med utövningen av anställningen vid polismyndigheten. Statsåklagaren Bengt Kulin beslutade att förunder</w:t>
      </w:r>
      <w:r w:rsidRPr="0008481A">
        <w:softHyphen/>
        <w:t>sökning inte skulle inledas med den motiveringen att fall enligt 5 kap. 5 §</w:t>
      </w:r>
      <w:r w:rsidRPr="0008481A">
        <w:br/>
        <w:t xml:space="preserve">1–4 p brottsbalken får åtalas endast av målsäganden. </w:t>
      </w:r>
    </w:p>
    <w:p w:rsidR="003B3271" w:rsidRPr="0008481A" w:rsidRDefault="003B3271">
      <w:pPr>
        <w:pStyle w:val="Normaltindrag"/>
      </w:pPr>
      <w:r w:rsidRPr="0008481A">
        <w:rPr>
          <w:i/>
        </w:rPr>
        <w:t xml:space="preserve">ChefsJO Eklundh </w:t>
      </w:r>
      <w:r w:rsidRPr="0008481A">
        <w:t>beslutade, med beaktande av innehållet i 20 kap. 5 § brottsba</w:t>
      </w:r>
      <w:r w:rsidRPr="0008481A">
        <w:t>l</w:t>
      </w:r>
      <w:r w:rsidRPr="0008481A">
        <w:t>ken, att ta upp frågan om åklagarens beslut att inte inleda förundersökning till utredning i ett sä</w:t>
      </w:r>
      <w:r w:rsidRPr="0008481A">
        <w:t>r</w:t>
      </w:r>
      <w:r w:rsidRPr="0008481A">
        <w:t xml:space="preserve">skilt ärende. </w:t>
      </w:r>
    </w:p>
    <w:p w:rsidR="003B3271" w:rsidRPr="0008481A" w:rsidRDefault="003B3271">
      <w:pPr>
        <w:pStyle w:val="Rubrik3"/>
      </w:pPr>
      <w:r w:rsidRPr="0008481A">
        <w:t>Utredning</w:t>
      </w:r>
    </w:p>
    <w:p w:rsidR="003B3271" w:rsidRPr="0008481A" w:rsidRDefault="003B3271">
      <w:r w:rsidRPr="0008481A">
        <w:t>Åklagarmyndigheten i Västerås anmodades att inkomma med upplysningar över de överväganden som föregick Bengt Kulins beslut. Myndigheten skulle vidare yttra sig och redovisa sin bedömning av det som kommit fram.</w:t>
      </w:r>
    </w:p>
    <w:p w:rsidR="003B3271" w:rsidRPr="0008481A" w:rsidRDefault="003B3271">
      <w:pPr>
        <w:pStyle w:val="Normaltindrag"/>
      </w:pPr>
      <w:r w:rsidRPr="0008481A">
        <w:t>Åklagarmyndigheten i Västerås (överåklagaren Folke Ljungwall) kom in med ett yttrande till vilket hade fogats upplysningar från Bengt Kulin.</w:t>
      </w:r>
    </w:p>
    <w:p w:rsidR="003B3271" w:rsidRPr="0008481A" w:rsidRDefault="003B3271">
      <w:r w:rsidRPr="0008481A">
        <w:t>Under rubriken Allmänt anförde Folke Ljungwall följande.</w:t>
      </w:r>
    </w:p>
    <w:p w:rsidR="003B3271" w:rsidRPr="0008481A" w:rsidRDefault="003B3271">
      <w:pPr>
        <w:pStyle w:val="Citat"/>
      </w:pPr>
      <w:r w:rsidRPr="0008481A">
        <w:t>I ärendet har en kvinnlig polis påtalat att ett polisbefäl, i ett rum där hon och sex manliga kollegor vistades, yttrat ”Fy fan, här luktar det inte ens svett, här luktar det hora”. Med anledning därav har en anmälan om förolämpning upprättats, varefter ärendet överlämnats till åklagare för prövning. Stats</w:t>
      </w:r>
      <w:r w:rsidRPr="0008481A">
        <w:softHyphen/>
        <w:t>åklagaren Bengt Kulin har beslutat att inte inleda förundersökning med motiveringen att fråga inte är om fall enligt 5 kap 5 § 1–4 p brottsbalken, varför brottet endast får åtalas av målsäga</w:t>
      </w:r>
      <w:r w:rsidRPr="0008481A">
        <w:t>n</w:t>
      </w:r>
      <w:r w:rsidRPr="0008481A">
        <w:t>den.</w:t>
      </w:r>
    </w:p>
    <w:p w:rsidR="003B3271" w:rsidRPr="0008481A" w:rsidRDefault="003B3271">
      <w:pPr>
        <w:pStyle w:val="Citatindrag"/>
      </w:pPr>
      <w:r w:rsidRPr="0008481A">
        <w:t>Den som smädar annan genom kränkande tillmäle eller beskyllning eller genom annat skymfligt beteende mot honom, döms för förolämp</w:t>
      </w:r>
      <w:r w:rsidRPr="0008481A">
        <w:softHyphen/>
        <w:t>ning (5 kap 3 § brottsbalken). Förolämpning är normalt ett brott där målsäganden ensam äger rätt att väcka åtal. Enligt åtalsregeln i 5 kap 5 § brottsbalken får dock allmänt åtal väckas för förolämpning om</w:t>
      </w:r>
    </w:p>
    <w:p w:rsidR="003B3271" w:rsidRPr="0008481A" w:rsidRDefault="003B3271">
      <w:pPr>
        <w:pStyle w:val="Citatindrag"/>
      </w:pPr>
      <w:r w:rsidRPr="0008481A">
        <w:t>1. gärningen riktas mot ett av flera särskilt uppräknade och skyddade intresssen,</w:t>
      </w:r>
    </w:p>
    <w:p w:rsidR="003B3271" w:rsidRPr="0008481A" w:rsidRDefault="003B3271">
      <w:pPr>
        <w:pStyle w:val="Citatindrag"/>
      </w:pPr>
      <w:r w:rsidRPr="0008481A">
        <w:t>2.  målsäganden anger brottet till åtal och</w:t>
      </w:r>
    </w:p>
    <w:p w:rsidR="003B3271" w:rsidRPr="0008481A" w:rsidRDefault="003B3271">
      <w:pPr>
        <w:pStyle w:val="Citatindrag"/>
      </w:pPr>
      <w:r w:rsidRPr="0008481A">
        <w:t>3.  åtal av särskilda skäl anses påkallat ur allmän synpunkt.</w:t>
      </w:r>
    </w:p>
    <w:p w:rsidR="003B3271" w:rsidRPr="0008481A" w:rsidRDefault="003B3271">
      <w:pPr>
        <w:pStyle w:val="Citat"/>
      </w:pPr>
      <w:r w:rsidRPr="0008481A">
        <w:t>Utan hinder av vad som annars är föreskrivet får dock åklagare enligt 20 kap 5 § första stycket brottsbalken åtala brott varigenom bland annat arbetstagare hos staten har åsidosatt vad som åli</w:t>
      </w:r>
      <w:r w:rsidRPr="0008481A">
        <w:t>g</w:t>
      </w:r>
      <w:r w:rsidRPr="0008481A">
        <w:t>ger honom i utövningen av an</w:t>
      </w:r>
      <w:r w:rsidRPr="0008481A">
        <w:softHyphen/>
        <w:t>ställningen. (Ändringen av paragrafen från den 1 juli 1999 – SFS 1999:197 – är endast redaktionell såvitt avser första stycket; prop. 1998/99:32 s 95.)</w:t>
      </w:r>
    </w:p>
    <w:p w:rsidR="003B3271" w:rsidRPr="0008481A" w:rsidRDefault="003B3271">
      <w:r w:rsidRPr="0008481A">
        <w:t>Beträffande sina överväganden lämnade Bengt Kulin följande upplysningar.</w:t>
      </w:r>
    </w:p>
    <w:p w:rsidR="003B3271" w:rsidRPr="0008481A" w:rsidRDefault="003B3271">
      <w:pPr>
        <w:pStyle w:val="Citat"/>
      </w:pPr>
      <w:r w:rsidRPr="0008481A">
        <w:t xml:space="preserve">Då jag fattade beslutet tillämpade jag de åtalsprövningsregler som finns i brottsbalkens 5 kap. Jag förbisåg härvid den bestämmelse som finns i 20 kap 5 § samma lag och som skulle ha beaktats i detta ärende. Ordalydelsen i nämnda paragraf tyder på en friare åtalsprövning än som följer av den absoluta åtalsplikten. Oavsett detta så får polismannens uttalande i nämnda ärende mera ses som ett, låt vara mindre väl valt, konstaterande eller skämt än ett kränkande tillmäle riktat mot viss person. Då något brott </w:t>
      </w:r>
      <w:r w:rsidRPr="0008481A">
        <w:t>därför inte föreligger föranleder detta ingen ändring av mitt beslut utan endast av grunden för detta.</w:t>
      </w:r>
    </w:p>
    <w:p w:rsidR="003B3271" w:rsidRPr="0008481A" w:rsidRDefault="003B3271">
      <w:r w:rsidRPr="0008481A">
        <w:t>I yttrandet under rubriken Min bedömning anförde Folke Ljungwall följande.</w:t>
      </w:r>
    </w:p>
    <w:p w:rsidR="003B3271" w:rsidRPr="0008481A" w:rsidRDefault="003B3271">
      <w:pPr>
        <w:pStyle w:val="Rubrik4"/>
      </w:pPr>
      <w:r w:rsidRPr="0008481A">
        <w:t>Hur förhåller sig 20 kap 5 § till 5 kap 5 § brottsbalken?</w:t>
      </w:r>
    </w:p>
    <w:p w:rsidR="003B3271" w:rsidRPr="0008481A" w:rsidRDefault="003B3271">
      <w:pPr>
        <w:pStyle w:val="Citat"/>
      </w:pPr>
      <w:r w:rsidRPr="0008481A">
        <w:t>Regeln i 20 kap 5 § brottsbalken innebär en utvidgning av åklagarens åtalsrätt. Även om man kunde tänka sig att utvidgningen endast tog sikte på någon eller några av de eljest gällande b</w:t>
      </w:r>
      <w:r w:rsidRPr="0008481A">
        <w:t>e</w:t>
      </w:r>
      <w:r w:rsidRPr="0008481A">
        <w:t>gränsningarna – exempelvis så att gärningen även i sådana fall måste rikta sig mot skyddat intresse för att falla under allmänt åtal – har jag inte kunnat finna stöd för någon annan ståndpunkt än att förolämpning i utövningen av offentlig tjänst i sin helhet faller under allmänt åtal. (Exempelvis refereras i prop. 1975:78 s 100x som gällande rätt att brott varigenom ämbetsman åsidosatt sin tjänsteplikt hör under allmänt åtal, utan angivande av några här relevanta begränsningar. Denna ordning bibehölls enli</w:t>
      </w:r>
      <w:r w:rsidRPr="0008481A">
        <w:t>gt samma proposition, s 185y.) Detta förefaller också vara den ståndpunkt som Militieombudsmannen intagit i ämbets</w:t>
      </w:r>
      <w:r w:rsidRPr="0008481A">
        <w:softHyphen/>
        <w:t>berättelsen för år 1965, där det på sidan 165 anförs:</w:t>
      </w:r>
    </w:p>
    <w:tbl>
      <w:tblPr>
        <w:tblW w:w="0" w:type="auto"/>
        <w:tblInd w:w="142" w:type="dxa"/>
        <w:tblLayout w:type="fixed"/>
        <w:tblCellMar>
          <w:left w:w="70" w:type="dxa"/>
          <w:right w:w="70" w:type="dxa"/>
        </w:tblCellMar>
        <w:tblLook w:val="0000" w:firstRow="0" w:lastRow="0" w:firstColumn="0" w:lastColumn="0" w:noHBand="0" w:noVBand="0"/>
      </w:tblPr>
      <w:tblGrid>
        <w:gridCol w:w="5825"/>
      </w:tblGrid>
      <w:tr w:rsidR="00000000" w:rsidRPr="0008481A">
        <w:tblPrEx>
          <w:tblCellMar>
            <w:top w:w="0" w:type="dxa"/>
            <w:bottom w:w="0" w:type="dxa"/>
          </w:tblCellMar>
        </w:tblPrEx>
        <w:trPr>
          <w:trHeight w:val="1312"/>
        </w:trPr>
        <w:tc>
          <w:tcPr>
            <w:tcW w:w="5825" w:type="dxa"/>
          </w:tcPr>
          <w:p w:rsidR="003B3271" w:rsidRPr="0008481A" w:rsidRDefault="003B3271">
            <w:pPr>
              <w:pStyle w:val="Citat"/>
              <w:spacing w:before="120"/>
            </w:pPr>
            <w:r w:rsidRPr="0008481A">
              <w:t>Jämväl efter den 1 januari 1965, då brottsbalken träder i kraft, skall alltså allmänt brott, varigenom ämbetsman eller krigsman åsidosatt sin tjänsteplikt, åtalas av åklagare utan a</w:t>
            </w:r>
            <w:r w:rsidRPr="0008481A">
              <w:t>v</w:t>
            </w:r>
            <w:r w:rsidRPr="0008481A">
              <w:t>seende å att brottet i och för sig endast kan åtalas av målsägande, efter angivelse av måls</w:t>
            </w:r>
            <w:r w:rsidRPr="0008481A">
              <w:t>ä</w:t>
            </w:r>
            <w:r w:rsidRPr="0008481A">
              <w:t>gande eller sedan vid särskild prövning åtal funnits påkallat ur allmän synpunkt.</w:t>
            </w:r>
          </w:p>
        </w:tc>
      </w:tr>
    </w:tbl>
    <w:p w:rsidR="003B3271" w:rsidRPr="0008481A" w:rsidRDefault="003B3271">
      <w:pPr>
        <w:pStyle w:val="Citat"/>
        <w:spacing w:before="0"/>
      </w:pPr>
      <w:r w:rsidRPr="0008481A">
        <w:t>Bengt Kulin har i sina upplysningar förklarat att han förbisett regeln i 20 kap 5 § brottsbalken. Jag skulle tro att han därvid är i gott sällskap, eftersom regeln fått mycket liten uppmärksamhet. Till stöd för detta vill jag peka på rättsfallet NJA 1997 s 359. Saken gällde där en värnpliktig fänrik – som således tillhör den personkrets som omnämns i 20 kap 5 § första stycket brottsbalken – som smädat en kvinnlig underlydande i utövningen av sin befälsställning. HD, som fann förolämpning föreligga, förklara</w:t>
      </w:r>
      <w:r w:rsidRPr="0008481A">
        <w:t>de att fänriken inte kunde dömas för detta brott på talan av allmän åklagare u</w:t>
      </w:r>
      <w:r w:rsidRPr="0008481A">
        <w:t>n</w:t>
      </w:r>
      <w:r w:rsidRPr="0008481A">
        <w:t>der hänvisning till åtalsregeln i 5 kap 5 § brottsbalken.</w:t>
      </w:r>
    </w:p>
    <w:p w:rsidR="003B3271" w:rsidRPr="0008481A" w:rsidRDefault="003B3271">
      <w:pPr>
        <w:pStyle w:val="Citatindrag"/>
        <w:ind w:left="170"/>
      </w:pPr>
      <w:r w:rsidRPr="0008481A">
        <w:t>Enligt Bengt Kulin tyder ordalydelsen i 20 kap 5 § brottsbalken på att åklagaren i sådana fall skulle vara medgiven en större frihet i åtalsfrågan än vad som följer av den absoluta åtalsplikten. För egen del kan jag inte tolka bestämmelsen på detta sätt – åtalsplikten måste också här vara absolut.</w:t>
      </w:r>
    </w:p>
    <w:p w:rsidR="003B3271" w:rsidRPr="0008481A" w:rsidRDefault="003B3271">
      <w:pPr>
        <w:pStyle w:val="Citatindrag"/>
      </w:pPr>
      <w:r w:rsidRPr="0008481A">
        <w:t>Resonemanget i det föregående leder således till att den anmälda gärningen faller under allmänt åtal under förutsättning dels att den är att beteckna som förolämpning (eller annat brott), dels att polisbefälet genom förolämpningen åsidosatt vad som ålegat honom i utövningen av anställnin</w:t>
      </w:r>
      <w:r w:rsidRPr="0008481A">
        <w:t>g</w:t>
      </w:r>
      <w:r w:rsidRPr="0008481A">
        <w:t>en.</w:t>
      </w:r>
    </w:p>
    <w:p w:rsidR="003B3271" w:rsidRPr="0008481A" w:rsidRDefault="003B3271">
      <w:pPr>
        <w:pStyle w:val="Rubrik4"/>
      </w:pPr>
      <w:r w:rsidRPr="0008481A">
        <w:t>Är den anmälda gärningen att beteckna som förolämpning?</w:t>
      </w:r>
    </w:p>
    <w:p w:rsidR="003B3271" w:rsidRPr="0008481A" w:rsidRDefault="003B3271">
      <w:pPr>
        <w:pStyle w:val="Citat"/>
      </w:pPr>
      <w:r w:rsidRPr="0008481A">
        <w:t>Bengt Kulin har i sina upplysningar ansett att den anmälda gärningen inte svarar mot kriterierna för förolämpning. För egen del gör jag följande bedömning. Vid denna prövning utgår jag från att anmälningsuppgifterna är korrekta.</w:t>
      </w:r>
    </w:p>
    <w:p w:rsidR="003B3271" w:rsidRPr="0008481A" w:rsidRDefault="003B3271">
      <w:pPr>
        <w:pStyle w:val="Citatindrag"/>
      </w:pPr>
      <w:r w:rsidRPr="0008481A">
        <w:t>Den kvinnliga polisen har uppenbarligen reagerat för polisbefälets uttalande. Detta är inte på något sätt förvånande med hänsyn till ordalydelsen i uttalandet – jag tänker då på anspelningen på kvi</w:t>
      </w:r>
      <w:r w:rsidRPr="0008481A">
        <w:t>n</w:t>
      </w:r>
      <w:r w:rsidRPr="0008481A">
        <w:t>nors sexuella levnadssätt – och det förhållandet att hon var den enda kvinnan i polisgruppen. Fr</w:t>
      </w:r>
      <w:r w:rsidRPr="0008481A">
        <w:t>å</w:t>
      </w:r>
      <w:r w:rsidRPr="0008481A">
        <w:t>gan blir då om uttalandet kan anses innebära förolämpning. Jag noterar här att befälets uttalande inte riktade sig direkt till den kvinnliga polisen. Uttalandet hade ingen direkt adressat och det finns anledning att, som hon själv säger, fråga sig vad han egentligen menade. Det kan dock inte anses råda någon tvekan om att uttalandet var helt omotiverat och var klart olämpligt med tanke på den respekt för varand</w:t>
      </w:r>
      <w:r w:rsidRPr="0008481A">
        <w:t>ra som måste iakttas i umgänget mellan kvinnor och män. Att yttrandet fälldes av ett vakthavande befäl, en arbets</w:t>
      </w:r>
      <w:r w:rsidRPr="0008481A">
        <w:softHyphen/>
        <w:t>ledare, gör det inte mindre klandervärt.</w:t>
      </w:r>
    </w:p>
    <w:p w:rsidR="003B3271" w:rsidRPr="0008481A" w:rsidRDefault="003B3271">
      <w:pPr>
        <w:pStyle w:val="Citatindrag"/>
      </w:pPr>
      <w:r w:rsidRPr="0008481A">
        <w:t>Vid en samlad bedömning finner jag ändå att det inte kan anses att den kvinnliga polisen eller någon annan har smädats genom uttalandet. Enligt min mening finns det alltså ingen anledning att anta att befälet gjort sig skyldig till brott genom uttalandet. Bengt Kulins beslut att inte inleda för</w:t>
      </w:r>
      <w:r w:rsidRPr="0008481A">
        <w:softHyphen/>
        <w:t>undersökning borde därför ha vilat på den grunden.</w:t>
      </w:r>
    </w:p>
    <w:p w:rsidR="003B3271" w:rsidRPr="0008481A" w:rsidRDefault="003B3271">
      <w:pPr>
        <w:pStyle w:val="Rubrik4"/>
      </w:pPr>
      <w:r w:rsidRPr="0008481A">
        <w:t>I utövningen av anställningen?</w:t>
      </w:r>
    </w:p>
    <w:p w:rsidR="003B3271" w:rsidRPr="0008481A" w:rsidRDefault="003B3271">
      <w:pPr>
        <w:pStyle w:val="Citat"/>
      </w:pPr>
      <w:r w:rsidRPr="0008481A">
        <w:t>Befälets yttrande har självfallet haft samband med hans tjänsteutövning. Jag vill ändå resa frågan om gärningen begåtts i utövningen av an</w:t>
      </w:r>
      <w:r w:rsidRPr="0008481A">
        <w:softHyphen/>
        <w:t>ställningen</w:t>
      </w:r>
      <w:r w:rsidRPr="0008481A">
        <w:rPr>
          <w:i/>
        </w:rPr>
        <w:t xml:space="preserve"> </w:t>
      </w:r>
      <w:r w:rsidRPr="0008481A">
        <w:t>i den mening som avses i 20 kap 5 § första stycket brotts</w:t>
      </w:r>
      <w:r w:rsidRPr="0008481A">
        <w:softHyphen/>
        <w:t>balken. Skulle alltså en motsatt bedömning av gärningen under före</w:t>
      </w:r>
      <w:r w:rsidRPr="0008481A">
        <w:softHyphen/>
        <w:t>gående underru</w:t>
      </w:r>
      <w:r w:rsidRPr="0008481A">
        <w:t>b</w:t>
      </w:r>
      <w:r w:rsidRPr="0008481A">
        <w:t>rik med automatik ha lett till ett beslut att inleda förundersökning eftersom gärningen faller under allmänt åtal?</w:t>
      </w:r>
    </w:p>
    <w:p w:rsidR="003B3271" w:rsidRPr="0008481A" w:rsidRDefault="003B3271">
      <w:pPr>
        <w:pStyle w:val="Citatindrag"/>
      </w:pPr>
      <w:r w:rsidRPr="0008481A">
        <w:t>Som jag tidigare redovisat gäller den utvidgade åtalsrätten om arbets</w:t>
      </w:r>
      <w:r w:rsidRPr="0008481A">
        <w:softHyphen/>
        <w:t>tagaren (eller annan som avses) genom brottet har åsidosatt vad som åligger honom i utövningen av anställningen. Före 1975 års reformering av ämbetsmannaansvaret var ordlydelsen ”brott, varigenom ämbetsman åsido</w:t>
      </w:r>
      <w:r w:rsidRPr="0008481A">
        <w:softHyphen/>
        <w:t>satt sin ämbetsplikt”. Jag har inte kunnat finna att den nya ordalydelsen avsetts ge regeln en annan innebörd än tidigare. Den utvidgade åtalsrätten har alltså sin grund i ämbetsmannaansvaret som utformats för att skydda med</w:t>
      </w:r>
      <w:r w:rsidRPr="0008481A">
        <w:softHyphen/>
        <w:t>borgarna mot maktmissbruk av offentliga tjänstemän och vissa andra offentl</w:t>
      </w:r>
      <w:r w:rsidRPr="0008481A">
        <w:t>iga befattningshavare. Ämbetsmannaansvaret har således inte som syfte att skydda den interna verksamheten vid en myndighet eller primärt förhållandet mellan de anställda.</w:t>
      </w:r>
    </w:p>
    <w:p w:rsidR="003B3271" w:rsidRPr="0008481A" w:rsidRDefault="003B3271">
      <w:pPr>
        <w:pStyle w:val="Citatindrag"/>
      </w:pPr>
      <w:r w:rsidRPr="0008481A">
        <w:t>I detta speciella fall har yttrandet inte riktats mot enskild och, så långt materialet ger vid handen, inte heller haft något omedelbart samband med utövandet av befälsställning. Mot denna bakgrund vill jag för min del sätta i fråga om åtalsregeln i 20 kap 5 § första stycket brottsbalken över huvud taget äger tillämpning i ett fall som det</w:t>
      </w:r>
      <w:r w:rsidRPr="0008481A">
        <w:t xml:space="preserve"> förevarande. Jag lutar för min del snarast åt att en fö</w:t>
      </w:r>
      <w:r w:rsidRPr="0008481A">
        <w:t>r</w:t>
      </w:r>
      <w:r w:rsidRPr="0008481A">
        <w:t>olämpning i en situation som den aktuella inte får åtalas av åklagare annat än under de förutsät</w:t>
      </w:r>
      <w:r w:rsidRPr="0008481A">
        <w:t>t</w:t>
      </w:r>
      <w:r w:rsidRPr="0008481A">
        <w:t>ningar som föreskrivs i åtalsregeln för ärekränk</w:t>
      </w:r>
      <w:r w:rsidRPr="0008481A">
        <w:softHyphen/>
        <w:t>nings</w:t>
      </w:r>
      <w:r w:rsidRPr="0008481A">
        <w:softHyphen/>
        <w:t>brotten i 5 kap 5 § brottsbalken.</w:t>
      </w:r>
    </w:p>
    <w:p w:rsidR="003B3271" w:rsidRPr="0008481A" w:rsidRDefault="003B3271">
      <w:r w:rsidRPr="0008481A">
        <w:t xml:space="preserve">I ett beslut den 21 februari 2000 anförde </w:t>
      </w:r>
      <w:r w:rsidRPr="0008481A">
        <w:rPr>
          <w:i/>
        </w:rPr>
        <w:t>chefsJO Eklundh</w:t>
      </w:r>
      <w:r w:rsidRPr="0008481A">
        <w:t xml:space="preserve"> följande.</w:t>
      </w:r>
    </w:p>
    <w:p w:rsidR="003B3271" w:rsidRPr="0008481A" w:rsidRDefault="003B3271">
      <w:pPr>
        <w:pStyle w:val="Rubrik3"/>
      </w:pPr>
      <w:r w:rsidRPr="0008481A">
        <w:t>Bedömning</w:t>
      </w:r>
    </w:p>
    <w:p w:rsidR="003B3271" w:rsidRPr="0008481A" w:rsidRDefault="003B3271">
      <w:r w:rsidRPr="0008481A">
        <w:t>Som framgår av Folke Ljungwalls yttrande är huvudregeln att brottet föro</w:t>
      </w:r>
      <w:r w:rsidRPr="0008481A">
        <w:softHyphen/>
        <w:t>läm</w:t>
      </w:r>
      <w:r w:rsidRPr="0008481A">
        <w:t>p</w:t>
      </w:r>
      <w:r w:rsidRPr="0008481A">
        <w:t>ning inte får åtalas av någon annan än målsäganden. Från denna huvud</w:t>
      </w:r>
      <w:r w:rsidRPr="0008481A">
        <w:softHyphen/>
        <w:t xml:space="preserve">regel finns de i yttrandet angivna undantagen. </w:t>
      </w:r>
    </w:p>
    <w:p w:rsidR="003B3271" w:rsidRPr="0008481A" w:rsidRDefault="003B3271">
      <w:r w:rsidRPr="0008481A">
        <w:t>5 kap. 5 § första stycket brottsbalken har följande lydelse.</w:t>
      </w:r>
    </w:p>
    <w:p w:rsidR="003B3271" w:rsidRPr="0008481A" w:rsidRDefault="003B3271">
      <w:pPr>
        <w:pStyle w:val="Citat"/>
      </w:pPr>
      <w:r w:rsidRPr="0008481A">
        <w:t>Brott som avses i 1–3 §§ får inte åtalas av annan än målsägande. Om målsäganden anger brottet till åtal och åtal av särskilda skäl anses på</w:t>
      </w:r>
      <w:r w:rsidRPr="0008481A">
        <w:softHyphen/>
        <w:t>kallat ur allmän synpunkt, får dock åklagare åtala för</w:t>
      </w:r>
    </w:p>
    <w:p w:rsidR="003B3271" w:rsidRPr="0008481A" w:rsidRDefault="003B3271">
      <w:pPr>
        <w:pStyle w:val="Citatindrag"/>
      </w:pPr>
      <w:r w:rsidRPr="0008481A">
        <w:t>1. förtal och grovt förtal,</w:t>
      </w:r>
    </w:p>
    <w:p w:rsidR="003B3271" w:rsidRPr="0008481A" w:rsidRDefault="003B3271">
      <w:pPr>
        <w:pStyle w:val="Citatindrag"/>
      </w:pPr>
      <w:r w:rsidRPr="0008481A">
        <w:t>2. förolämpning mot någon i eller för hans eller hennes myndighets</w:t>
      </w:r>
      <w:r w:rsidRPr="0008481A">
        <w:softHyphen/>
        <w:t>utövning,</w:t>
      </w:r>
    </w:p>
    <w:p w:rsidR="003B3271" w:rsidRPr="0008481A" w:rsidRDefault="003B3271">
      <w:pPr>
        <w:pStyle w:val="Citatindrag"/>
      </w:pPr>
      <w:r w:rsidRPr="0008481A">
        <w:t>3. förolämpning mot någon med anspelning på hans eller hennes ras, hudfärg, nationella eller etniska ursprung eller trosbekännelse, eller</w:t>
      </w:r>
    </w:p>
    <w:p w:rsidR="003B3271" w:rsidRPr="0008481A" w:rsidRDefault="003B3271">
      <w:pPr>
        <w:pStyle w:val="Citatindrag"/>
      </w:pPr>
      <w:r w:rsidRPr="0008481A">
        <w:t>4. förolämpning mot någon med anspelning på hans eller hennes homo</w:t>
      </w:r>
      <w:r w:rsidRPr="0008481A">
        <w:softHyphen/>
        <w:t>sexuella läggning.</w:t>
      </w:r>
    </w:p>
    <w:p w:rsidR="003B3271" w:rsidRPr="0008481A" w:rsidRDefault="003B3271">
      <w:r w:rsidRPr="0008481A">
        <w:t>Avsikten med åtalsbestämmelserna i 5 kap. 5 § första stycket brottsbalken var, enligt vad departementschefen uttalade vid brottsbalkens tillkomst, att uttrycka att förtal och grovt förtal får åtalas utan hinder av den begränsning som anges i 20 kap. 8 § första stycket rättegångsbalken, dvs. utan att en åklagare dessförinnan efter angivelse av målsäganden har beslutat att åtal inte skall äga rum (jfr rätt</w:t>
      </w:r>
      <w:r w:rsidRPr="0008481A">
        <w:t>s</w:t>
      </w:r>
      <w:r w:rsidRPr="0008481A">
        <w:t>fallet NJA 1982 s. 98). Någon sådan begränsning torde enligt brottsbalks</w:t>
      </w:r>
      <w:r w:rsidRPr="0008481A">
        <w:softHyphen/>
        <w:t>kommentaren inte heller vara avsedd i fråga om enskilt åtal för förolämpning i de fall där allmänt åtal numera kan väckas för brottet. Lagtextens avfattning skall även ge uttryck åt att allmänt åtal är avsett att förekomma endast i undantagsfall (se Lena Holmqvist m.fl., Brottsbalken, En kommentar, Kap. 1–12, s. 5:31).</w:t>
      </w:r>
    </w:p>
    <w:p w:rsidR="003B3271" w:rsidRPr="0008481A" w:rsidRDefault="003B3271">
      <w:pPr>
        <w:pStyle w:val="Normaltindrag"/>
      </w:pPr>
      <w:r w:rsidRPr="0008481A">
        <w:t>Lagtextens restriktiva utformning ger åklagarna stöd för att utan mera ingående undersökning avvisa obefogade anmälni</w:t>
      </w:r>
      <w:r w:rsidRPr="0008481A">
        <w:t>ngar. Om en innehavare av en allmän befattning utsätts för förtal, torde emellertid enligt vad departe</w:t>
      </w:r>
      <w:r w:rsidRPr="0008481A">
        <w:softHyphen/>
        <w:t>ments</w:t>
      </w:r>
      <w:r w:rsidRPr="0008481A">
        <w:softHyphen/>
        <w:t>chefen a</w:t>
      </w:r>
      <w:r w:rsidRPr="0008481A">
        <w:t>n</w:t>
      </w:r>
      <w:r w:rsidRPr="0008481A">
        <w:t>förde särskilda skäl att väcka allmänt åtal inte sällan föreligga. Samma regler som i fråga om förtal gäller för åklagares rätt att väcka åtal för förolämpning mot n</w:t>
      </w:r>
      <w:r w:rsidRPr="0008481A">
        <w:t>å</w:t>
      </w:r>
      <w:r w:rsidRPr="0008481A">
        <w:t>gon i och för hans myndighetsutövning. Bestämmelsen härom infördes i samband med upphävandet år 1975 av brottet missfirmelse av tjänsteman, en brottstyp som b</w:t>
      </w:r>
      <w:r w:rsidRPr="0008481A">
        <w:t>e</w:t>
      </w:r>
      <w:r w:rsidRPr="0008481A">
        <w:t>stod i förolämpning och som låg under allmänt åtal (a.a. s. 5:31).</w:t>
      </w:r>
    </w:p>
    <w:p w:rsidR="003B3271" w:rsidRPr="0008481A" w:rsidRDefault="003B3271">
      <w:pPr>
        <w:pStyle w:val="Normaltindrag"/>
      </w:pPr>
      <w:r w:rsidRPr="0008481A">
        <w:t>Vi</w:t>
      </w:r>
      <w:r w:rsidRPr="0008481A">
        <w:t>d införandet år 1982 av rätten att väcka allmänt åtal för förolämpning mot n</w:t>
      </w:r>
      <w:r w:rsidRPr="0008481A">
        <w:t>å</w:t>
      </w:r>
      <w:r w:rsidRPr="0008481A">
        <w:t>gon med anspelning på hans ras, hudfärg, nationella eller etniska ursprung eller trosbekännelse underströks att en återhållsam tillämpning av åtalsregeln var åsy</w:t>
      </w:r>
      <w:r w:rsidRPr="0008481A">
        <w:t>f</w:t>
      </w:r>
      <w:r w:rsidRPr="0008481A">
        <w:t>tad. Departementschefen uttalade att det av kravet, att åtal av särskilda skäl skall vara påkallat ur allmän synpunkt, framgår att allmänt åtal skall väckas endast i mera svårartade fall av sådana förolämpningar som anspelar på ras eller liknande kännetecken. Som exempel n</w:t>
      </w:r>
      <w:r w:rsidRPr="0008481A">
        <w:t>ämndes att någon vid upprepade tillfällen utsätts för sådan förolämpning på sin arbetsplats eller i sitt bostadsområde. Samma uttala</w:t>
      </w:r>
      <w:r w:rsidRPr="0008481A">
        <w:t>n</w:t>
      </w:r>
      <w:r w:rsidRPr="0008481A">
        <w:t>den gjordes när rätt att väcka allmänt åtal för förolämpning mot någon med a</w:t>
      </w:r>
      <w:r w:rsidRPr="0008481A">
        <w:t>n</w:t>
      </w:r>
      <w:r w:rsidRPr="0008481A">
        <w:t>spelning på att han har homosexuell läggning infördes år 1987 (a.a. s. 5:31).</w:t>
      </w:r>
    </w:p>
    <w:p w:rsidR="003B3271" w:rsidRPr="0008481A" w:rsidRDefault="003B3271">
      <w:pPr>
        <w:pStyle w:val="Normaltindrag"/>
      </w:pPr>
      <w:r w:rsidRPr="0008481A">
        <w:t>Beträffande brott, som har förövats av arbetstagare hos stat eller kommun eller av någon annan som avses i 20 kap. 2 § andra stycket 1–4 brottsbalken och som inn</w:t>
      </w:r>
      <w:r w:rsidRPr="0008481A">
        <w:t>e</w:t>
      </w:r>
      <w:r w:rsidRPr="0008481A">
        <w:t>bär att gärningsmannen har åsidosatt vad som åligger honom i utövningen av a</w:t>
      </w:r>
      <w:r w:rsidRPr="0008481A">
        <w:t>n</w:t>
      </w:r>
      <w:r w:rsidRPr="0008481A">
        <w:t>ställningen eller uppdraget, gäller enligt 20 kap. 5 § första stycket brottsbalken inte de vanliga reglerna om inskränkning i åklagares åtalsrätt, t.ex. i fråga om krav på angivelse av målsäganden eller att åtal skall vara påkallat ur allmän synpunkt. Denna bestämmelse infördes den 1 januari 1976, då det s.k. ämbetsansvaret a</w:t>
      </w:r>
      <w:r w:rsidRPr="0008481A">
        <w:t>v</w:t>
      </w:r>
      <w:r w:rsidRPr="0008481A">
        <w:t>skaffades. Den har härefter blivit föremål för vissa ändringar, vilka emellertid saknar betydelse i nu a</w:t>
      </w:r>
      <w:r w:rsidRPr="0008481A">
        <w:t>k</w:t>
      </w:r>
      <w:r w:rsidRPr="0008481A">
        <w:t>t</w:t>
      </w:r>
      <w:r w:rsidRPr="0008481A">
        <w:t>uellt samman</w:t>
      </w:r>
      <w:r w:rsidRPr="0008481A">
        <w:softHyphen/>
        <w:t xml:space="preserve">hang. </w:t>
      </w:r>
    </w:p>
    <w:p w:rsidR="003B3271" w:rsidRPr="0008481A" w:rsidRDefault="003B3271">
      <w:pPr>
        <w:pStyle w:val="Normaltindrag"/>
      </w:pPr>
      <w:r w:rsidRPr="0008481A">
        <w:t>Före ämbetsansvarsreformen föreskrevs i 20 kap. 14 § brottsbalken som huvudr</w:t>
      </w:r>
      <w:r w:rsidRPr="0008481A">
        <w:t>e</w:t>
      </w:r>
      <w:r w:rsidRPr="0008481A">
        <w:t>gel att åklagare, utan hinder av vad annars kunde vara föreskrivet, fick åtala ett brott varigenom en ämbetsman hade åsidosatt sin tjänsteplikt. I och med lag</w:t>
      </w:r>
      <w:r w:rsidRPr="0008481A">
        <w:softHyphen/>
        <w:t>ändringen den 1 januari 1976 byttes ordet ”ämbetsman” ut mot ”innehavare av anställning eller uppdrag som nyss har sagts” samt ordet ”tjänsteplikt” mot ”vad som åligger honom i utövnin</w:t>
      </w:r>
      <w:r w:rsidRPr="0008481A">
        <w:t>g</w:t>
      </w:r>
      <w:r w:rsidRPr="0008481A">
        <w:t xml:space="preserve">en av anställningen eller uppdraget”. </w:t>
      </w:r>
    </w:p>
    <w:p w:rsidR="003B3271" w:rsidRPr="0008481A" w:rsidRDefault="003B3271">
      <w:pPr>
        <w:pStyle w:val="Normaltindrag"/>
      </w:pPr>
      <w:r w:rsidRPr="0008481A">
        <w:t>Vad som avses med uttrycket ”åligger honom i anställningen eller upp</w:t>
      </w:r>
      <w:r w:rsidRPr="0008481A">
        <w:softHyphen/>
        <w:t>draget” är inte utvecklat i motiven till den aktuella bestämmelsen. Inte heller lagkomment</w:t>
      </w:r>
      <w:r w:rsidRPr="0008481A">
        <w:t>a</w:t>
      </w:r>
      <w:r w:rsidRPr="0008481A">
        <w:t>ren ger något besked i frågan. Av intresse i sammanhanget är emellertid följande uttalande under avsnittet gällande rätt i propositionen om ämbetsansvarsreformen: ”I 14 § slutligen föreskrivs att brott varigenom ämbetsman åsidosatt sin ämbet</w:t>
      </w:r>
      <w:r w:rsidRPr="0008481A">
        <w:t>s</w:t>
      </w:r>
      <w:r w:rsidRPr="0008481A">
        <w:t>plikt med vissa angivna undantag alltid hör under allmänt åtal utan hinder av a</w:t>
      </w:r>
      <w:r w:rsidRPr="0008481A">
        <w:t>n</w:t>
      </w:r>
      <w:r w:rsidRPr="0008481A">
        <w:t>nars gällande regler” (prop. 1975:78</w:t>
      </w:r>
      <w:r w:rsidRPr="0008481A">
        <w:br/>
        <w:t>s. 100). I motiven till 20 kap. 5 § brottsba</w:t>
      </w:r>
      <w:r w:rsidRPr="0008481A">
        <w:t>l</w:t>
      </w:r>
      <w:r w:rsidRPr="0008481A">
        <w:t>ken antyds intet</w:t>
      </w:r>
      <w:r w:rsidRPr="0008481A">
        <w:t xml:space="preserve"> om att de nyss nämnda ändringarna i lagtextens utformning skulle vara avsedda att medföra någon förändring av rättsläget beträffande åklagares åtalsrätt (a. prop. s. 185 f.). Det är därför naturligt att även i fråga om innebörden av gällande rätt på området söka ledning i begreppet tjänst</w:t>
      </w:r>
      <w:r w:rsidRPr="0008481A">
        <w:t>e</w:t>
      </w:r>
      <w:r w:rsidRPr="0008481A">
        <w:t>plikt.</w:t>
      </w:r>
    </w:p>
    <w:p w:rsidR="003B3271" w:rsidRPr="0008481A" w:rsidRDefault="003B3271">
      <w:pPr>
        <w:pStyle w:val="Normaltindrag"/>
      </w:pPr>
      <w:r w:rsidRPr="0008481A">
        <w:t>I de intill den 1 januari 1976 gällande bestämmelserna om ämbetsbrott förekom begreppet tjänsteplikt på flera ställen. I Beckmans m.fl. kommentar till Brottsba</w:t>
      </w:r>
      <w:r w:rsidRPr="0008481A">
        <w:t>l</w:t>
      </w:r>
      <w:r w:rsidRPr="0008481A">
        <w:t>ken, del II,  3:e upplagan, anfördes i anslutning till  tjänstefel</w:t>
      </w:r>
      <w:r w:rsidRPr="0008481A">
        <w:softHyphen/>
        <w:t>s</w:t>
      </w:r>
      <w:r w:rsidRPr="0008481A">
        <w:softHyphen/>
        <w:t>paragrafen  bl.a. följande (s. 380).</w:t>
      </w:r>
    </w:p>
    <w:p w:rsidR="003B3271" w:rsidRPr="0008481A" w:rsidRDefault="003B3271">
      <w:pPr>
        <w:pStyle w:val="Citat"/>
      </w:pPr>
      <w:r w:rsidRPr="0008481A">
        <w:t>Åsidosättande av tjänsteplikt är alltså det enda objektiva kriteriet för tjänste</w:t>
      </w:r>
      <w:r w:rsidRPr="0008481A">
        <w:softHyphen/>
        <w:t>fel. Då detta kriterium följaktligen erhåller sin största praktiska betydelse i fråga om tjänstefel har i lagtexten angivits de huvudsakliga källorna för att bestämma tjänstepliktens innehåll, nämligen allmänna regler i lag, instruktion eller annan författning, särskild föreskrift av behörig myndig</w:t>
      </w:r>
      <w:r w:rsidRPr="0008481A">
        <w:softHyphen/>
        <w:t>het varunder ämbetsma</w:t>
      </w:r>
      <w:r w:rsidRPr="0008481A">
        <w:t>n</w:t>
      </w:r>
      <w:r w:rsidRPr="0008481A">
        <w:t>nen lyder och i sista hand ämbetets beskaffenhet med de varierande krav i skilda avseenden som kan härledas ur olika tjänster. I stället för ”särskild föreskrift” använde kommittén uttrycke</w:t>
      </w:r>
      <w:r w:rsidRPr="0008481A">
        <w:t>t ”särskild befallning”. Utbytet skedde därför att ordet befallning ansågs föra tanken på militära förhållanden, i vilka emellertid underlåtenhet att lyda befallning betraktas som ett från det allmä</w:t>
      </w:r>
      <w:r w:rsidRPr="0008481A">
        <w:t>n</w:t>
      </w:r>
      <w:r w:rsidRPr="0008481A">
        <w:t>na tjänstefelet skilt brott. Härav anses, att i 20:4 åsyftas ej blott allmänna anvisningar utan även i det särskilda fallet (skriftligen, muntligen eller annorledes) meddelade föreskrifter. Även andra källor för bestämmande av tjänsteplikt än de i 20:4 angivna kan tänkas. – – –</w:t>
      </w:r>
    </w:p>
    <w:p w:rsidR="003B3271" w:rsidRPr="0008481A" w:rsidRDefault="003B3271">
      <w:pPr>
        <w:pStyle w:val="Citatindrag"/>
      </w:pPr>
      <w:r w:rsidRPr="0008481A">
        <w:t>Innehållet av de med varje särskil</w:t>
      </w:r>
      <w:r w:rsidRPr="0008481A">
        <w:t>d befattning förenade tjänsteplikterna framgår vanligen till största delen av uttryckliga bestämmelser i lag, instruktion eller annan författning eller av särskilda föreskrifter eller befall</w:t>
      </w:r>
      <w:r w:rsidRPr="0008481A">
        <w:softHyphen/>
        <w:t>ningar av förman. Även om man därigenom icke erhåller uttömmande le</w:t>
      </w:r>
      <w:r w:rsidRPr="0008481A">
        <w:t>d</w:t>
      </w:r>
      <w:r w:rsidRPr="0008481A">
        <w:t>ning, framgår dock i det stora flertalet fall en bestämd gräns mellan vad som är och icke är föremål för tjänsteplikt. Enligt oskrivna regler måste det vara tjänstefel att i tjänsteutövningen ljuga eller använda ohyfsade uttryck även om de ej utgör ärek</w:t>
      </w:r>
      <w:r w:rsidRPr="0008481A">
        <w:t>ränkning o.s.v.  –  – –</w:t>
      </w:r>
    </w:p>
    <w:p w:rsidR="003B3271" w:rsidRPr="0008481A" w:rsidRDefault="003B3271">
      <w:r w:rsidRPr="0008481A">
        <w:t>Av det anförda framgår att begreppet tjänsteplikt var mycket vidsträckt. Om man i enlighet med vad som nyss har sagts utgår från att de ändringar i brottsbalken som infördes den 1 januari 1976 inte har varit avsedda att med</w:t>
      </w:r>
      <w:r w:rsidRPr="0008481A">
        <w:softHyphen/>
        <w:t>föra någon förändring av rättsläget beträffande åklagares åtalsplikt i det här behandlade hänseendet, för</w:t>
      </w:r>
      <w:r w:rsidRPr="0008481A">
        <w:t>e</w:t>
      </w:r>
      <w:r w:rsidRPr="0008481A">
        <w:t>faller det närmast som om lagstiftarens avsikt har varit att brottsliga gärningar för vilka gäller särskilda åtalsbegränsningar och som begås inom ramen för utövnin</w:t>
      </w:r>
      <w:r w:rsidRPr="0008481A">
        <w:t>g</w:t>
      </w:r>
      <w:r w:rsidRPr="0008481A">
        <w:t>en av statlig eller kommunal anställ</w:t>
      </w:r>
      <w:r w:rsidRPr="0008481A">
        <w:softHyphen/>
        <w:t>ning generellt skall prövas med utgångspunkt i bestämmelserna i 20 kap. 5 § brottsbalken. Utanför dessa bestämmelsers tilläm</w:t>
      </w:r>
      <w:r w:rsidRPr="0008481A">
        <w:t>p</w:t>
      </w:r>
      <w:r w:rsidRPr="0008481A">
        <w:t>ningsområde skulle således falla endast sådana gärningar av statliga och komm</w:t>
      </w:r>
      <w:r w:rsidRPr="0008481A">
        <w:t>u</w:t>
      </w:r>
      <w:r w:rsidRPr="0008481A">
        <w:t>nala befattnings</w:t>
      </w:r>
      <w:r w:rsidRPr="0008481A">
        <w:softHyphen/>
        <w:t>hav</w:t>
      </w:r>
      <w:r w:rsidRPr="0008481A">
        <w:t>a</w:t>
      </w:r>
      <w:r w:rsidRPr="0008481A">
        <w:t>re som kan sägas ha ”privat” karaktär.</w:t>
      </w:r>
    </w:p>
    <w:p w:rsidR="003B3271" w:rsidRPr="0008481A" w:rsidRDefault="003B3271">
      <w:pPr>
        <w:pStyle w:val="Normaltindrag"/>
      </w:pPr>
      <w:r w:rsidRPr="0008481A">
        <w:t>Syftet med bestämmelsen i 20 kap. 5 § brottsbalken är uppenbarligen att slå vakt om den offentliga tjänstens integritet. När en statlig befattnings</w:t>
      </w:r>
      <w:r w:rsidRPr="0008481A">
        <w:softHyphen/>
        <w:t>havare vidtar å</w:t>
      </w:r>
      <w:r w:rsidRPr="0008481A">
        <w:t>t</w:t>
      </w:r>
      <w:r w:rsidRPr="0008481A">
        <w:t>gärder i anställningen uppträder han inte som enskild individ utan som företrädare för staten, och det måste då krävas att han uppträder på ett sätt som anstår en s</w:t>
      </w:r>
      <w:r w:rsidRPr="0008481A">
        <w:t>å</w:t>
      </w:r>
      <w:r w:rsidRPr="0008481A">
        <w:t>dan. Det kan inte råda något tvivel om att bestäm</w:t>
      </w:r>
      <w:r w:rsidRPr="0008481A">
        <w:softHyphen/>
        <w:t>melsen är tillämplig när en b</w:t>
      </w:r>
      <w:r w:rsidRPr="0008481A">
        <w:t>e</w:t>
      </w:r>
      <w:r w:rsidRPr="0008481A">
        <w:t>fattningshavare i sin tjänsteutövning begår ett brott riktat mot en utomstående pe</w:t>
      </w:r>
      <w:r w:rsidRPr="0008481A">
        <w:t>r</w:t>
      </w:r>
      <w:r w:rsidRPr="0008481A">
        <w:t>son. Det är emellertid med hänsyn till det allmänna intresset av att upprätthålla respekten och förtroendet för den offentliga verksamheten naturligt att anlägga samma</w:t>
      </w:r>
      <w:r w:rsidRPr="0008481A">
        <w:t xml:space="preserve"> betraktelsesätt när det gäller handlande som sker inom ramen för tjän</w:t>
      </w:r>
      <w:r w:rsidRPr="0008481A">
        <w:t>s</w:t>
      </w:r>
      <w:r w:rsidRPr="0008481A">
        <w:t>teutövningen, även om brottet inte är riktat mot någon utomstående eller någon utomstående ens är närvarande. Av ett sådant synsätt följer att exempelvis gä</w:t>
      </w:r>
      <w:r w:rsidRPr="0008481A">
        <w:t>r</w:t>
      </w:r>
      <w:r w:rsidRPr="0008481A">
        <w:t>ningar, som består i att en befattningshavare i sin tjänsteutövning förolämpar en kollega, faller under al</w:t>
      </w:r>
      <w:r w:rsidRPr="0008481A">
        <w:t>l</w:t>
      </w:r>
      <w:r w:rsidRPr="0008481A">
        <w:t xml:space="preserve">mänt åtal till följd av regeln i 20 kap. 5 § brottsbalken. </w:t>
      </w:r>
    </w:p>
    <w:p w:rsidR="003B3271" w:rsidRPr="0008481A" w:rsidRDefault="003B3271">
      <w:pPr>
        <w:pStyle w:val="Normaltindrag"/>
      </w:pPr>
      <w:r w:rsidRPr="0008481A">
        <w:t>I rättsfallet NJA 1997 s. 359 hade Högsta domstolen att ta ställning till om en händelse, som i stora drag påminner o</w:t>
      </w:r>
      <w:r w:rsidRPr="0008481A">
        <w:t>m den händelse som är aktuell i detta äre</w:t>
      </w:r>
      <w:r w:rsidRPr="0008481A">
        <w:t>n</w:t>
      </w:r>
      <w:r w:rsidRPr="0008481A">
        <w:t>de, utgjorde ett brott. Rättsfallet gällde frågan om en fänrik, som till en kvinnlig värnpliktig hade fällt yttranden av sexuell innebörd och som även i övrigt hade uttalat sig kränkande mot kvinnan, därigenom hade gjort sig skyldig till sexuellt ofredande. Högsta domstolen, som inte ansåg detta vara fallet, konstaterade att fänrikens yttranden var ägnade att av den kvinnliga värnpliktiga uppfattas som kränkande samt uttalade att det fanns skäl att se särskilt allva</w:t>
      </w:r>
      <w:r w:rsidRPr="0008481A">
        <w:t>rligt på en gärning där ett manligt befäl förolämpar en kvinnlig underlydande. Domstolen konstater</w:t>
      </w:r>
      <w:r w:rsidRPr="0008481A">
        <w:t>a</w:t>
      </w:r>
      <w:r w:rsidRPr="0008481A">
        <w:t>de emellertid att en allmän åklagare enligt 5 kap. 5 § brottsbalken får åtala för ett förolämpningsbrott endast under vissa särskilda förutsättningar. Enligt bestä</w:t>
      </w:r>
      <w:r w:rsidRPr="0008481A">
        <w:t>m</w:t>
      </w:r>
      <w:r w:rsidRPr="0008481A">
        <w:t>melsen kunde enligt domstolen inte ens ett fall som det föreliggande komma u</w:t>
      </w:r>
      <w:r w:rsidRPr="0008481A">
        <w:t>n</w:t>
      </w:r>
      <w:r w:rsidRPr="0008481A">
        <w:t xml:space="preserve">der allmänt åtal. Frågan huruvida fänriken skulle dömas för förolämpning kunde således enligt Högsta domstolens uppfattning prövas endast om kvinnan själv åtalat honom. Av </w:t>
      </w:r>
      <w:r w:rsidRPr="0008481A">
        <w:t>rättsfallsreferatet framgår inte om Högsta domstolen vid sin prövning beaktat bestämmelsen i 20 kap. 5 § brottsbalken och följaktligen inte heller vilka överväganden som kan ha gjorts i denna fr</w:t>
      </w:r>
      <w:r w:rsidRPr="0008481A">
        <w:t>å</w:t>
      </w:r>
      <w:r w:rsidRPr="0008481A">
        <w:t xml:space="preserve">ga. </w:t>
      </w:r>
    </w:p>
    <w:p w:rsidR="003B3271" w:rsidRPr="0008481A" w:rsidRDefault="003B3271">
      <w:pPr>
        <w:pStyle w:val="Normaltindrag"/>
      </w:pPr>
      <w:r w:rsidRPr="0008481A">
        <w:t>Rättsläget i den här aktuella frågan får mot den angivna bakgrunden anses vara oklart. Det finns visserligen, av de skäl som har nämnts i det föregående, fog för att hävda att omständigheterna kring den gärning som var föremål för Bengt K</w:t>
      </w:r>
      <w:r w:rsidRPr="0008481A">
        <w:t>u</w:t>
      </w:r>
      <w:r w:rsidRPr="0008481A">
        <w:t>lins bedömning var sådana att en prövning enligt bestämmelserna i 20 kap. 5 § första stycket brottsbalken borde ha skett. Med hänsyn till att Bengt Kulins stäl</w:t>
      </w:r>
      <w:r w:rsidRPr="0008481A">
        <w:t>l</w:t>
      </w:r>
      <w:r w:rsidRPr="0008481A">
        <w:t>ningstagande i frågan får anses vara väl förenligt med Högsta domstolens här nämnda avgörande kan han emellertid självfallet inte kritiseras med anledning av detta.</w:t>
      </w:r>
    </w:p>
    <w:p w:rsidR="003B3271" w:rsidRPr="0008481A" w:rsidRDefault="003B3271">
      <w:pPr>
        <w:pStyle w:val="Normaltindrag"/>
      </w:pPr>
      <w:r w:rsidRPr="0008481A">
        <w:t>Jag finner inte anledning att gå in på frågan om polisbefälets uttalande är att b</w:t>
      </w:r>
      <w:r w:rsidRPr="0008481A">
        <w:t>e</w:t>
      </w:r>
      <w:r w:rsidRPr="0008481A">
        <w:t xml:space="preserve">döma som förolämpning eller ej. </w:t>
      </w:r>
    </w:p>
    <w:p w:rsidR="003B3271" w:rsidRPr="0008481A" w:rsidRDefault="003B3271">
      <w:pPr>
        <w:pStyle w:val="Normaltindrag"/>
      </w:pPr>
      <w:r w:rsidRPr="0008481A">
        <w:t>Vad som i övrigt förekommit ger inte anledning till någon åtgärd eller något utt</w:t>
      </w:r>
      <w:r w:rsidRPr="0008481A">
        <w:t>a</w:t>
      </w:r>
      <w:r w:rsidRPr="0008481A">
        <w:t>lande från min sida.</w:t>
      </w:r>
    </w:p>
    <w:p w:rsidR="003B3271" w:rsidRPr="0008481A" w:rsidRDefault="003B3271">
      <w:pPr>
        <w:pStyle w:val="Rubrik2"/>
      </w:pPr>
      <w:r w:rsidRPr="0008481A">
        <w:t>Handläggningen av en förundersökning med anledning av en poli</w:t>
      </w:r>
      <w:r w:rsidRPr="0008481A">
        <w:t>s</w:t>
      </w:r>
      <w:r w:rsidRPr="0008481A">
        <w:t>rapport i vilken uppgavs att ett statsråd hade gjort sig skyldig till olovlig kö</w:t>
      </w:r>
      <w:r w:rsidRPr="0008481A">
        <w:t>r</w:t>
      </w:r>
      <w:r w:rsidRPr="0008481A">
        <w:t>ning</w:t>
      </w:r>
    </w:p>
    <w:p w:rsidR="003B3271" w:rsidRPr="0008481A" w:rsidRDefault="003B3271">
      <w:r w:rsidRPr="0008481A">
        <w:t>(Dnr 2132-1999)</w:t>
      </w:r>
    </w:p>
    <w:p w:rsidR="003B3271" w:rsidRPr="0008481A" w:rsidRDefault="003B3271">
      <w:r w:rsidRPr="0008481A">
        <w:t xml:space="preserve">I ett beslut den 16 december 1999 anförde </w:t>
      </w:r>
      <w:r w:rsidRPr="0008481A">
        <w:rPr>
          <w:i/>
        </w:rPr>
        <w:t>chefsJO Eklundh</w:t>
      </w:r>
      <w:r w:rsidRPr="0008481A">
        <w:t xml:space="preserve"> bl.a. följande.</w:t>
      </w:r>
    </w:p>
    <w:p w:rsidR="003B3271" w:rsidRPr="0008481A" w:rsidRDefault="003B3271">
      <w:pPr>
        <w:pStyle w:val="Rubrik3"/>
      </w:pPr>
      <w:r w:rsidRPr="0008481A">
        <w:t>Anmälan</w:t>
      </w:r>
    </w:p>
    <w:p w:rsidR="003B3271" w:rsidRPr="0008481A" w:rsidRDefault="003B3271">
      <w:r w:rsidRPr="0008481A">
        <w:t>I en anmälan till JO kritiserade E.J. chefsåklagaren Sven Ceder (Åklagar</w:t>
      </w:r>
      <w:r w:rsidRPr="0008481A">
        <w:softHyphen/>
        <w:t>myndi</w:t>
      </w:r>
      <w:r w:rsidRPr="0008481A">
        <w:t>g</w:t>
      </w:r>
      <w:r w:rsidRPr="0008481A">
        <w:t>heten i Västerås, Åklagarkammaren i Karlstad) med anledning av att denne inte hade väckt åtal mot näringsminister Björn Rosengren för olovlig körning. E.J. anförde särskilt att han själv nyligen hade blivit åtalad och dömd för att ha kört en personbil ca tio meter på en bensinstation. Han frågade mot den bakgrunden om inte likhet inför lagen gäller i Sverige.</w:t>
      </w:r>
    </w:p>
    <w:p w:rsidR="003B3271" w:rsidRPr="0008481A" w:rsidRDefault="003B3271">
      <w:pPr>
        <w:pStyle w:val="Rubrik3"/>
      </w:pPr>
      <w:r w:rsidRPr="0008481A">
        <w:t xml:space="preserve">Utredning </w:t>
      </w:r>
    </w:p>
    <w:p w:rsidR="003B3271" w:rsidRPr="0008481A" w:rsidRDefault="003B3271">
      <w:r w:rsidRPr="0008481A">
        <w:t xml:space="preserve">Åklagarkammarens akt i ärendet – – – genomgicks. Vid granskningen framkom bl.a. följande. </w:t>
      </w:r>
    </w:p>
    <w:p w:rsidR="003B3271" w:rsidRPr="0008481A" w:rsidRDefault="003B3271">
      <w:pPr>
        <w:pStyle w:val="Normaltindrag"/>
      </w:pPr>
      <w:r w:rsidRPr="0008481A">
        <w:t>Enligt en vid Polismyndigheten Värmland upprättad primärrapport fram</w:t>
      </w:r>
      <w:r w:rsidRPr="0008481A">
        <w:softHyphen/>
        <w:t>förde Björn Rosengren den 21 april 1999 en 60 ton tung timmerbil i Ransby. Den s.k. provturen var ca en km lång. Björn Rosengren har AB-körkort. Den 22 april 1999 inledde polismyndigheten förundersökning mot Björn Rosengren för olovlig kö</w:t>
      </w:r>
      <w:r w:rsidRPr="0008481A">
        <w:t>r</w:t>
      </w:r>
      <w:r w:rsidRPr="0008481A">
        <w:t>ning och mot chauffören F.M. för tillåtande av olovlig körning. Björn Rosengren hördes inte under utredningen. F.M. hördes däremot som misstänkt den 10 maj 1999. Vid förhöret bestred F.M. ansvar för brott. Av förhöret framgick att han före körningen hade frågat Björn Rose</w:t>
      </w:r>
      <w:r w:rsidRPr="0008481A">
        <w:t>ngren om denne hade körkort, varvid Björn R</w:t>
      </w:r>
      <w:r w:rsidRPr="0008481A">
        <w:t>o</w:t>
      </w:r>
      <w:r w:rsidRPr="0008481A">
        <w:t>sengren hade svarat ”javisst har man körkort när man är näringsminister”. Färden gick enligt F.M. till på så sätt att Björn Rosengren skötte kopplingen och ratten, medan F.M., som satt på tunneln mellan sätena, skötte växlingen och parkering</w:t>
      </w:r>
      <w:r w:rsidRPr="0008481A">
        <w:t>s</w:t>
      </w:r>
      <w:r w:rsidRPr="0008481A">
        <w:softHyphen/>
        <w:t xml:space="preserve">bromsen. </w:t>
      </w:r>
    </w:p>
    <w:p w:rsidR="003B3271" w:rsidRPr="0008481A" w:rsidRDefault="003B3271">
      <w:r w:rsidRPr="0008481A">
        <w:t>Den 21 maj 1999 meddelade Sven Ceder följande beslut.</w:t>
      </w:r>
    </w:p>
    <w:p w:rsidR="003B3271" w:rsidRPr="0008481A" w:rsidRDefault="003B3271">
      <w:pPr>
        <w:pStyle w:val="Citat"/>
      </w:pPr>
      <w:r w:rsidRPr="0008481A">
        <w:t>Genom beslut av polismyndigheten har förundersökning inletts mot närings</w:t>
      </w:r>
      <w:r w:rsidRPr="0008481A">
        <w:softHyphen/>
        <w:t>minister Björn Rose</w:t>
      </w:r>
      <w:r w:rsidRPr="0008481A">
        <w:t>n</w:t>
      </w:r>
      <w:r w:rsidRPr="0008481A">
        <w:t>gren för olovlig körning och mot åkeriägaren F.M. för tillåtelse till olovlig körning.</w:t>
      </w:r>
    </w:p>
    <w:p w:rsidR="003B3271" w:rsidRPr="0008481A" w:rsidRDefault="003B3271">
      <w:pPr>
        <w:pStyle w:val="Citatindrag"/>
      </w:pPr>
      <w:r w:rsidRPr="0008481A">
        <w:t>Förhör har hållits med F.M., som har bekräftat att Rosengren under en kortare sträcka fört lastbilen – – –  med F.M. sittande så att han med lätthet kunnat ingripa i förandet. F.M. har dessutom up</w:t>
      </w:r>
      <w:r w:rsidRPr="0008481A">
        <w:t>p</w:t>
      </w:r>
      <w:r w:rsidRPr="0008481A">
        <w:t>givit att han tidigare under dagen frågat Rosengren om denne hade körkort och därvid fått ett j</w:t>
      </w:r>
      <w:r w:rsidRPr="0008481A">
        <w:t>a</w:t>
      </w:r>
      <w:r w:rsidRPr="0008481A">
        <w:t>kande svar. Även om aktsamhetskravet bör sättas högt för den som tillåter annan att föra kö</w:t>
      </w:r>
      <w:r w:rsidRPr="0008481A">
        <w:t>r</w:t>
      </w:r>
      <w:r w:rsidRPr="0008481A">
        <w:t>kortspliktigt fordon, såsom framgår av rättsfallet RH 1988:87, bedöms detta krav inte vara av den digniteten att F.M. haft anledning ifråga</w:t>
      </w:r>
      <w:r w:rsidRPr="0008481A">
        <w:softHyphen/>
        <w:t>sätta näringsministerns behörighet och därför begära att få se på kö</w:t>
      </w:r>
      <w:r w:rsidRPr="0008481A">
        <w:t>r</w:t>
      </w:r>
      <w:r w:rsidRPr="0008481A">
        <w:t>kortet.</w:t>
      </w:r>
    </w:p>
    <w:p w:rsidR="003B3271" w:rsidRPr="0008481A" w:rsidRDefault="003B3271">
      <w:pPr>
        <w:pStyle w:val="Citatindrag"/>
      </w:pPr>
      <w:r w:rsidRPr="0008481A">
        <w:t>Under hänvisning härtill skall åtal inte väckas mot F.M. eftersom brott inte kan styrkas.</w:t>
      </w:r>
    </w:p>
    <w:p w:rsidR="003B3271" w:rsidRPr="0008481A" w:rsidRDefault="003B3271">
      <w:pPr>
        <w:pStyle w:val="Citatindrag"/>
      </w:pPr>
      <w:r w:rsidRPr="0008481A">
        <w:t>Björn Rosengren har gjort sig skyldig till olovlig körning genom att föra lastbilen utan att vara berättigad till det eftersom hans behörighet inskränker sig till AB. Med hänsyn till den korta sträcka som förandet avsett och genom de omständigheter i övrigt under vilka körningen kom till stånd samt då något väsentligt allmänt eller enskilt intresse ej åsidosatts skall förunder</w:t>
      </w:r>
      <w:r w:rsidRPr="0008481A">
        <w:softHyphen/>
        <w:t>sökningen mot Rosengren läggas ned enligt b</w:t>
      </w:r>
      <w:r w:rsidRPr="0008481A">
        <w:t>e</w:t>
      </w:r>
      <w:r w:rsidRPr="0008481A">
        <w:t>stämmelsen i 23 kap. 4a § 1 st 2 p rättegångsbalken.</w:t>
      </w:r>
    </w:p>
    <w:p w:rsidR="003B3271" w:rsidRPr="0008481A" w:rsidRDefault="003B3271">
      <w:r w:rsidRPr="0008481A">
        <w:t>Ärendet remitterades till åklagarmyndigheten avseende beslutet beträffande Björn Rosengren för upplysningar och yttrande över</w:t>
      </w:r>
    </w:p>
    <w:p w:rsidR="003B3271" w:rsidRPr="0008481A" w:rsidRDefault="003B3271">
      <w:pPr>
        <w:pStyle w:val="PunktlistaTankstreck"/>
      </w:pPr>
      <w:r w:rsidRPr="0008481A">
        <w:t xml:space="preserve">vilka överväganden som gjordes vid bedömningen att något väsentligt allmänt eller enskilt intresse ej åsidosattes när förundersökningen i denna del lades ned, </w:t>
      </w:r>
    </w:p>
    <w:p w:rsidR="003B3271" w:rsidRPr="0008481A" w:rsidRDefault="003B3271">
      <w:pPr>
        <w:pStyle w:val="PunktlistaTankstreck"/>
      </w:pPr>
      <w:r w:rsidRPr="0008481A">
        <w:t>vilken anledningen var att Björn Rosengren inte hördes under förunder</w:t>
      </w:r>
      <w:r w:rsidRPr="0008481A">
        <w:softHyphen/>
        <w:t>söknin</w:t>
      </w:r>
      <w:r w:rsidRPr="0008481A">
        <w:t>g</w:t>
      </w:r>
      <w:r w:rsidRPr="0008481A">
        <w:t xml:space="preserve">en, </w:t>
      </w:r>
    </w:p>
    <w:p w:rsidR="003B3271" w:rsidRPr="0008481A" w:rsidRDefault="003B3271">
      <w:pPr>
        <w:pStyle w:val="PunktlistaTankstreck"/>
      </w:pPr>
      <w:r w:rsidRPr="0008481A">
        <w:t>grunden för att Björn Rosengren i beslutet förklarades skyldig till olovlig kö</w:t>
      </w:r>
      <w:r w:rsidRPr="0008481A">
        <w:t>r</w:t>
      </w:r>
      <w:r w:rsidRPr="0008481A">
        <w:t>ning utan att han dessförinnan hade hörts i saken, samt</w:t>
      </w:r>
    </w:p>
    <w:p w:rsidR="003B3271" w:rsidRPr="0008481A" w:rsidRDefault="003B3271">
      <w:pPr>
        <w:pStyle w:val="PunktlistaTankstreck"/>
      </w:pPr>
      <w:r w:rsidRPr="0008481A">
        <w:t>vilken praxis som tillämpas vid åklagarmyndigheten beträffande ned</w:t>
      </w:r>
      <w:r w:rsidRPr="0008481A">
        <w:softHyphen/>
        <w:t>läggande av förundersökningar och åtalsunderlåtelser när det gäller enstaka fall av olovlig kö</w:t>
      </w:r>
      <w:r w:rsidRPr="0008481A">
        <w:t>r</w:t>
      </w:r>
      <w:r w:rsidRPr="0008481A">
        <w:t>ning som inte är grov.</w:t>
      </w:r>
    </w:p>
    <w:p w:rsidR="003B3271" w:rsidRPr="0008481A" w:rsidRDefault="003B3271">
      <w:r w:rsidRPr="0008481A">
        <w:t>Åklagarmyndigheten anmodades slutligen att yttra sig om beslutets förenlighet med gä</w:t>
      </w:r>
      <w:r w:rsidRPr="0008481A">
        <w:t>l</w:t>
      </w:r>
      <w:r w:rsidRPr="0008481A">
        <w:t xml:space="preserve">lande rätt till den del detta avsåg Björn Rosengren. </w:t>
      </w:r>
    </w:p>
    <w:p w:rsidR="003B3271" w:rsidRPr="0008481A" w:rsidRDefault="003B3271">
      <w:pPr>
        <w:pStyle w:val="Normaltindrag"/>
      </w:pPr>
      <w:r w:rsidRPr="0008481A">
        <w:t>Åklagarmyndigheten (överåklagaren Folke Ljungwall) kom in med ett remissvar till vilket hade fogats upplysningar från Sven Ceder.</w:t>
      </w:r>
    </w:p>
    <w:p w:rsidR="003B3271" w:rsidRPr="0008481A" w:rsidRDefault="003B3271">
      <w:pPr>
        <w:pStyle w:val="Underskrifter"/>
      </w:pPr>
      <w:r w:rsidRPr="0008481A">
        <w:t>Sven Ceder</w:t>
      </w:r>
    </w:p>
    <w:p w:rsidR="003B3271" w:rsidRPr="0008481A" w:rsidRDefault="003B3271">
      <w:pPr>
        <w:pStyle w:val="Citat"/>
      </w:pPr>
      <w:r w:rsidRPr="0008481A">
        <w:t>Genom beslut 1999-04-22 har polismyndigheten inlett förundersökning mot näringsminister Björn Rosengren för olovlig körning.</w:t>
      </w:r>
    </w:p>
    <w:p w:rsidR="003B3271" w:rsidRPr="0008481A" w:rsidRDefault="003B3271">
      <w:pPr>
        <w:pStyle w:val="Citatindrag"/>
      </w:pPr>
      <w:r w:rsidRPr="0008481A">
        <w:t>Den enda förundersökningsåtgärd – utöver inhämtande av vissa register</w:t>
      </w:r>
      <w:r w:rsidRPr="0008481A">
        <w:softHyphen/>
        <w:t>uppgifter – som därefter vidtagits är förhör med åkeriägaren F.M., i dennes egenskap av ansvarig för att ha tillåtit Rose</w:t>
      </w:r>
      <w:r w:rsidRPr="0008481A">
        <w:t>n</w:t>
      </w:r>
      <w:r w:rsidRPr="0008481A">
        <w:t>gren till den aktuella kö</w:t>
      </w:r>
      <w:r w:rsidRPr="0008481A">
        <w:t>r</w:t>
      </w:r>
      <w:r w:rsidRPr="0008481A">
        <w:t>ningen.</w:t>
      </w:r>
    </w:p>
    <w:p w:rsidR="003B3271" w:rsidRPr="0008481A" w:rsidRDefault="003B3271">
      <w:pPr>
        <w:pStyle w:val="Citat"/>
      </w:pPr>
      <w:r w:rsidRPr="0008481A">
        <w:t>Av detta förhör framgår</w:t>
      </w:r>
    </w:p>
    <w:p w:rsidR="003B3271" w:rsidRPr="0008481A" w:rsidRDefault="003B3271">
      <w:pPr>
        <w:pStyle w:val="Citat"/>
      </w:pPr>
      <w:r w:rsidRPr="0008481A">
        <w:rPr>
          <w:i/>
        </w:rPr>
        <w:t>att</w:t>
      </w:r>
      <w:r w:rsidRPr="0008481A">
        <w:t xml:space="preserve"> Rosengrens förande avsett en mycket kort sträcka</w:t>
      </w:r>
    </w:p>
    <w:p w:rsidR="003B3271" w:rsidRPr="0008481A" w:rsidRDefault="003B3271">
      <w:pPr>
        <w:pStyle w:val="Citat"/>
      </w:pPr>
      <w:r w:rsidRPr="0008481A">
        <w:rPr>
          <w:i/>
        </w:rPr>
        <w:t>att</w:t>
      </w:r>
      <w:r w:rsidRPr="0008481A">
        <w:t xml:space="preserve"> hastigheten inte överstigit 20 km/tim och</w:t>
      </w:r>
    </w:p>
    <w:p w:rsidR="003B3271" w:rsidRPr="0008481A" w:rsidRDefault="003B3271">
      <w:pPr>
        <w:pStyle w:val="Citat"/>
      </w:pPr>
      <w:r w:rsidRPr="0008481A">
        <w:rPr>
          <w:i/>
        </w:rPr>
        <w:t xml:space="preserve">att </w:t>
      </w:r>
      <w:r w:rsidRPr="0008481A">
        <w:t>F.M. varit placerad i lastbilens förarhytt på sådant sätt att han lätt kunnat ingripa i Rosengrens förande.</w:t>
      </w:r>
    </w:p>
    <w:p w:rsidR="003B3271" w:rsidRPr="0008481A" w:rsidRDefault="003B3271">
      <w:pPr>
        <w:pStyle w:val="Citat"/>
      </w:pPr>
      <w:r w:rsidRPr="0008481A">
        <w:t>Dessa omständigheter i sak, som varit ostridiga, liksom att Rosengren saknade behörighet att föra ett fordon av detta slag utgjorde de objektiva grunderna inför min prövning av åtalsfrågan.</w:t>
      </w:r>
    </w:p>
    <w:p w:rsidR="003B3271" w:rsidRPr="0008481A" w:rsidRDefault="003B3271">
      <w:pPr>
        <w:pStyle w:val="Citatindrag"/>
      </w:pPr>
      <w:r w:rsidRPr="0008481A">
        <w:t>Från huvudregeln i 20 kap 6 § rättegångsbalken om åklagarens åtalsplikt ges undantagsbestämme</w:t>
      </w:r>
      <w:r w:rsidRPr="0008481A">
        <w:t>l</w:t>
      </w:r>
      <w:r w:rsidRPr="0008481A">
        <w:t>ser i form av bland annat åtalsunderlåtelse. Därtill kommer bestämmelser i 23 kap 4 a § om föru</w:t>
      </w:r>
      <w:r w:rsidRPr="0008481A">
        <w:t>n</w:t>
      </w:r>
      <w:r w:rsidRPr="0008481A">
        <w:t>dersökningsbegränsningar.</w:t>
      </w:r>
    </w:p>
    <w:p w:rsidR="003B3271" w:rsidRPr="0008481A" w:rsidRDefault="003B3271">
      <w:pPr>
        <w:pStyle w:val="Citatindrag"/>
      </w:pPr>
      <w:r w:rsidRPr="0008481A">
        <w:t>Som grundrekvisit i båda fallen gäller att något väsentligt allmänt eller enskilt intresse inte får åsidosättas.</w:t>
      </w:r>
    </w:p>
    <w:p w:rsidR="003B3271" w:rsidRPr="0008481A" w:rsidRDefault="003B3271">
      <w:pPr>
        <w:pStyle w:val="Citatindrag"/>
      </w:pPr>
      <w:r w:rsidRPr="0008481A">
        <w:t>När det gäller brottet olovlig körning torde det i huvudsak endast vara det allmänna intresset som är av någon betydelse.</w:t>
      </w:r>
    </w:p>
    <w:p w:rsidR="003B3271" w:rsidRPr="0008481A" w:rsidRDefault="003B3271">
      <w:pPr>
        <w:pStyle w:val="Citatindrag"/>
      </w:pPr>
      <w:r w:rsidRPr="0008481A">
        <w:t>Genom uttalanden av departementschefen under lagstiftningsarbetet synes följande kriterier ha uppställts vad gäller väsentligt allmänt intresse:</w:t>
      </w:r>
    </w:p>
    <w:p w:rsidR="003B3271" w:rsidRPr="0008481A" w:rsidRDefault="003B3271">
      <w:pPr>
        <w:pStyle w:val="Citat"/>
      </w:pPr>
      <w:r w:rsidRPr="0008481A">
        <w:rPr>
          <w:i/>
        </w:rPr>
        <w:t>att</w:t>
      </w:r>
      <w:r w:rsidRPr="0008481A">
        <w:t xml:space="preserve"> den misstänkte tidigare gjort sig skyldig till brott</w:t>
      </w:r>
    </w:p>
    <w:p w:rsidR="003B3271" w:rsidRPr="0008481A" w:rsidRDefault="003B3271">
      <w:pPr>
        <w:pStyle w:val="Citat"/>
      </w:pPr>
      <w:r w:rsidRPr="0008481A">
        <w:rPr>
          <w:i/>
        </w:rPr>
        <w:t>att</w:t>
      </w:r>
      <w:r w:rsidRPr="0008481A">
        <w:t xml:space="preserve"> förverkande av egendom av icke obetydligt värde kan komma ifråga</w:t>
      </w:r>
    </w:p>
    <w:p w:rsidR="003B3271" w:rsidRPr="0008481A" w:rsidRDefault="003B3271">
      <w:pPr>
        <w:pStyle w:val="Citat"/>
      </w:pPr>
      <w:r w:rsidRPr="0008481A">
        <w:rPr>
          <w:i/>
        </w:rPr>
        <w:t>att</w:t>
      </w:r>
      <w:r w:rsidRPr="0008481A">
        <w:t xml:space="preserve"> viss brottstyp börjat förekomma i besvärande stor omfattning</w:t>
      </w:r>
    </w:p>
    <w:p w:rsidR="003B3271" w:rsidRPr="0008481A" w:rsidRDefault="003B3271">
      <w:pPr>
        <w:pStyle w:val="Citat"/>
      </w:pPr>
      <w:r w:rsidRPr="0008481A">
        <w:rPr>
          <w:i/>
        </w:rPr>
        <w:t>att</w:t>
      </w:r>
      <w:r w:rsidRPr="0008481A">
        <w:t xml:space="preserve"> det finns ett stort allmänt intresse av att domstol får bedöma en viss rättsfråga eller </w:t>
      </w:r>
    </w:p>
    <w:p w:rsidR="003B3271" w:rsidRPr="0008481A" w:rsidRDefault="003B3271">
      <w:pPr>
        <w:pStyle w:val="Citat"/>
      </w:pPr>
      <w:r w:rsidRPr="0008481A">
        <w:rPr>
          <w:i/>
        </w:rPr>
        <w:t>att</w:t>
      </w:r>
      <w:r w:rsidRPr="0008481A">
        <w:t xml:space="preserve"> viss brottstyp är svårupptäckt eller svårutredd.</w:t>
      </w:r>
    </w:p>
    <w:p w:rsidR="003B3271" w:rsidRPr="0008481A" w:rsidRDefault="003B3271">
      <w:pPr>
        <w:pStyle w:val="Citat"/>
      </w:pPr>
      <w:r w:rsidRPr="0008481A">
        <w:t>När det gäller Rosengrens brott synes inget av dess kriterier vara uppfyllt och således utgöra hinder för ett beslut om åtalsunderlåtelse. Vid beslutet om åtalsunderlåtelse har dessutom lagts stor vikt vid de särpräglade förhållanden under vilka körningen ägt rum.</w:t>
      </w:r>
    </w:p>
    <w:p w:rsidR="003B3271" w:rsidRPr="0008481A" w:rsidRDefault="003B3271">
      <w:pPr>
        <w:pStyle w:val="Citatindrag"/>
      </w:pPr>
      <w:r w:rsidRPr="0008481A">
        <w:t>Eftersom väsentligt enskilt intresse nästan undantagslöst tar sikte på målsägandens intresse utgör inte heller begreppet enskilt intresse något som talar emot ett beslut om åtalsunderlåtelse.</w:t>
      </w:r>
    </w:p>
    <w:p w:rsidR="003B3271" w:rsidRPr="0008481A" w:rsidRDefault="003B3271">
      <w:pPr>
        <w:pStyle w:val="Citatindrag"/>
      </w:pPr>
      <w:r w:rsidRPr="0008481A">
        <w:t>Så till frågorna varför Rosengren inte hördes respektive förklarades skyldig.</w:t>
      </w:r>
    </w:p>
    <w:p w:rsidR="003B3271" w:rsidRPr="0008481A" w:rsidRDefault="003B3271">
      <w:pPr>
        <w:pStyle w:val="Citatindrag"/>
      </w:pPr>
      <w:r w:rsidRPr="0008481A">
        <w:t>I dessa avseenden skall rättegångsbalkens regler om förundersöknings</w:t>
      </w:r>
      <w:r w:rsidRPr="0008481A">
        <w:softHyphen/>
        <w:t>begränsning tillämpas.</w:t>
      </w:r>
    </w:p>
    <w:p w:rsidR="003B3271" w:rsidRPr="0008481A" w:rsidRDefault="003B3271">
      <w:pPr>
        <w:pStyle w:val="Citatindrag"/>
      </w:pPr>
      <w:r w:rsidRPr="0008481A">
        <w:t>Enligt 23 kap 4a § 1 st 2 rättegångsbalken får förundersökning läggas ned om det kan antas att åtal för brottet inte skulle komma att ske till följd av bestämmelserna om åtalsunderlåtelse. För åtalsunderlåtelse krävs i princip att klarhet råder i skuldfrågan. Något sådant krav finns inte up</w:t>
      </w:r>
      <w:r w:rsidRPr="0008481A">
        <w:t>p</w:t>
      </w:r>
      <w:r w:rsidRPr="0008481A">
        <w:t>ställt för att förundersökningen skall få läggas ned vid förutsedd åtalsunderlåtelse. Beslut om fö</w:t>
      </w:r>
      <w:r w:rsidRPr="0008481A">
        <w:t>r</w:t>
      </w:r>
      <w:r w:rsidRPr="0008481A">
        <w:t>undersökningsbegränsning kan fattas när som helst under utredningen, under förutsättning att denna inte har slutförts. För beslutet saknar det betydelse om någon delgetts misstanke om brott eller ej.</w:t>
      </w:r>
    </w:p>
    <w:p w:rsidR="003B3271" w:rsidRPr="0008481A" w:rsidRDefault="003B3271">
      <w:pPr>
        <w:pStyle w:val="Citatindrag"/>
      </w:pPr>
      <w:r w:rsidRPr="0008481A">
        <w:t>När det gäller tillämpningen av bestämmelserna om förundersöknings</w:t>
      </w:r>
      <w:r w:rsidRPr="0008481A">
        <w:softHyphen/>
        <w:t>begränsning har Riksåklag</w:t>
      </w:r>
      <w:r w:rsidRPr="0008481A">
        <w:t>a</w:t>
      </w:r>
      <w:r w:rsidRPr="0008481A">
        <w:t>ren i cirkulär RÅC I:124 sid 29 gett följande allmänna råd under avsnitt 10.3: ”Det är angeläget att möjligheterna till förundersökningsbegränsning tas till vara. Även i de fall polisen är förundersö</w:t>
      </w:r>
      <w:r w:rsidRPr="0008481A">
        <w:t>k</w:t>
      </w:r>
      <w:r w:rsidRPr="0008481A">
        <w:t>ningsledare är det åklagaren som skall fatta beslut om förundersökningsbegränsning. Av resursskäl är det viktigt att det inte onödigtvis företas utredningar som resulterar endast i beslut att underlåta åtal”.</w:t>
      </w:r>
    </w:p>
    <w:p w:rsidR="003B3271" w:rsidRPr="0008481A" w:rsidRDefault="003B3271">
      <w:pPr>
        <w:pStyle w:val="Citatindrag"/>
      </w:pPr>
      <w:r w:rsidRPr="0008481A">
        <w:t>Med de nu alltmer krympande utredningsresurserna hos polisen anser jag det v</w:t>
      </w:r>
      <w:r w:rsidRPr="0008481A">
        <w:t>ara en skyldighet för åklagaren att ta till vara de möjligheter som lagstiftaren genom rättegångsbalken gett för att undv</w:t>
      </w:r>
      <w:r w:rsidRPr="0008481A">
        <w:t>i</w:t>
      </w:r>
      <w:r w:rsidRPr="0008481A">
        <w:t>ka onödiga utredningar.</w:t>
      </w:r>
    </w:p>
    <w:p w:rsidR="003B3271" w:rsidRPr="0008481A" w:rsidRDefault="003B3271">
      <w:pPr>
        <w:pStyle w:val="Citatindrag"/>
      </w:pPr>
      <w:r w:rsidRPr="0008481A">
        <w:t>När det gäller av JO efterfrågad praxis beträffande nedläggande av förundersökningar och åtalsu</w:t>
      </w:r>
      <w:r w:rsidRPr="0008481A">
        <w:t>n</w:t>
      </w:r>
      <w:r w:rsidRPr="0008481A">
        <w:t>derlåtelser vid olovlig körning som inte är grov har jag inte tillräckligt underlag för att kunna lä</w:t>
      </w:r>
      <w:r w:rsidRPr="0008481A">
        <w:t>m</w:t>
      </w:r>
      <w:r w:rsidRPr="0008481A">
        <w:t>na några upplysningar.</w:t>
      </w:r>
    </w:p>
    <w:p w:rsidR="003B3271" w:rsidRPr="0008481A" w:rsidRDefault="003B3271">
      <w:pPr>
        <w:pStyle w:val="Underskrifter"/>
      </w:pPr>
      <w:r w:rsidRPr="0008481A">
        <w:t>Folke Ljungwall</w:t>
      </w:r>
    </w:p>
    <w:p w:rsidR="003B3271" w:rsidRPr="0008481A" w:rsidRDefault="003B3271">
      <w:pPr>
        <w:pStyle w:val="Citat"/>
      </w:pPr>
      <w:r w:rsidRPr="0008481A">
        <w:t>Jag kan i alla väsentliga hänseenden ansluta mig till vad Sven Ceder anfört i sina upplysningar. Det är således det normala – inom vårt distrikt, liksom i övrigt i landet – att olovlig körning utreds och lagförs. Utrymmet för åtalsunderlåtelse i sådana fall är litet. Som Riksåklagaren anfört i al</w:t>
      </w:r>
      <w:r w:rsidRPr="0008481A">
        <w:t>l</w:t>
      </w:r>
      <w:r w:rsidRPr="0008481A">
        <w:t>männa råd om åtalsunderlåtelse och förundersökningsbegränsning (RÅC I:124) bör dock åtalsu</w:t>
      </w:r>
      <w:r w:rsidRPr="0008481A">
        <w:t>n</w:t>
      </w:r>
      <w:r w:rsidRPr="0008481A">
        <w:t>derlåtelse kunna meddelas, utöver i rapporteftergiftsfall, ”vid sådana förseelser mot regler för trafiken som i det enskilda fallet är av ringa betydelse för trafiksäkerheten eller framstår som u</w:t>
      </w:r>
      <w:r w:rsidRPr="0008481A">
        <w:t>r</w:t>
      </w:r>
      <w:r w:rsidRPr="0008481A">
        <w:t>säktliga” (sid 12).</w:t>
      </w:r>
    </w:p>
    <w:p w:rsidR="003B3271" w:rsidRPr="0008481A" w:rsidRDefault="003B3271">
      <w:pPr>
        <w:pStyle w:val="Citatindrag"/>
      </w:pPr>
      <w:r w:rsidRPr="0008481A">
        <w:t>Det gällande regelverket lämnar således ett visst utrymme för åtals</w:t>
      </w:r>
      <w:r w:rsidRPr="0008481A">
        <w:softHyphen/>
        <w:t>underlåtelse vid olovlig kö</w:t>
      </w:r>
      <w:r w:rsidRPr="0008481A">
        <w:t>r</w:t>
      </w:r>
      <w:r w:rsidRPr="0008481A">
        <w:t>ning. I detta ärende föreligger, som Sven Ceder har redovisat, sådana särpräglade förhållanden som enligt min mening sammantaget medfört att förseelsen varit av synnerligen begränsad bet</w:t>
      </w:r>
      <w:r w:rsidRPr="0008481A">
        <w:t>y</w:t>
      </w:r>
      <w:r w:rsidRPr="0008481A">
        <w:t>delse för trafiksäkerheten. Om förundersökningen hade slutförts och klarlagt att Björn Rosengren gjort sig skyldig till förseelsen hade det således varit motiverat att meddela Björn Rosengren åta</w:t>
      </w:r>
      <w:r w:rsidRPr="0008481A">
        <w:t>l</w:t>
      </w:r>
      <w:r w:rsidRPr="0008481A">
        <w:t>s</w:t>
      </w:r>
      <w:r w:rsidRPr="0008481A">
        <w:softHyphen/>
        <w:t>u</w:t>
      </w:r>
      <w:r w:rsidRPr="0008481A">
        <w:t>n</w:t>
      </w:r>
      <w:r w:rsidRPr="0008481A">
        <w:t>derlåtelse för gärningen.</w:t>
      </w:r>
    </w:p>
    <w:p w:rsidR="003B3271" w:rsidRPr="0008481A" w:rsidRDefault="003B3271">
      <w:pPr>
        <w:pStyle w:val="Citatindrag"/>
      </w:pPr>
      <w:r w:rsidRPr="0008481A">
        <w:t>Som Sven Ceder anför skall en inledd förundersökning läggas ned så sna</w:t>
      </w:r>
      <w:r w:rsidRPr="0008481A">
        <w:t>rt en åtalsunderlåtelse kan förutses. Den tillkommande förutsättningen är blott att ett sådant beslut inte strider mot ett väsen</w:t>
      </w:r>
      <w:r w:rsidRPr="0008481A">
        <w:t>t</w:t>
      </w:r>
      <w:r w:rsidRPr="0008481A">
        <w:t>ligt allmänt eller enskilt intresse, ett intresse som i detta sammanhang således skall vara knutet till själva förundersökningsfrågan (se härom i RÅC I:124 sid 28). Med det utredningsmaterial som förelåg vid tiden för Sven Ceders beslut kan jag inte se att något väsentligt allmänt intresse krä</w:t>
      </w:r>
      <w:r w:rsidRPr="0008481A">
        <w:t>v</w:t>
      </w:r>
      <w:r w:rsidRPr="0008481A">
        <w:t>de att utredningen slutfördes.</w:t>
      </w:r>
    </w:p>
    <w:p w:rsidR="003B3271" w:rsidRPr="0008481A" w:rsidRDefault="003B3271">
      <w:pPr>
        <w:pStyle w:val="Citatindrag"/>
      </w:pPr>
      <w:r w:rsidRPr="0008481A">
        <w:t>Sven Ceder har i sitt beslut förklarat att Björn Rosengre</w:t>
      </w:r>
      <w:r w:rsidRPr="0008481A">
        <w:t>n gjort sig skyldig till olovlig körning. Ett beslut om förundersökningsbegränsning är dock aldrig en sakerförklaring, vilket är bakgrunden till att ett sådant beslut kan fattas utan att den misstänkte delgivits misstanke om brott. Beslutet att ned</w:t>
      </w:r>
      <w:r w:rsidRPr="0008481A">
        <w:softHyphen/>
        <w:t>lägga förundersökningen innebär således inte att Björn Rosengrens skuld har fastlagts, beslutet har inte sådan verkan. Det var därför fel av Sven Ceder att uttala sig i skuldfrågan i beslutet. Det är också mycket möjligt att Sven Ceder endast genom en misskrivnin</w:t>
      </w:r>
      <w:r w:rsidRPr="0008481A">
        <w:t>g kommit att ge uttryck för en uppfattning om Björn Rosengrens skuld.</w:t>
      </w:r>
    </w:p>
    <w:p w:rsidR="003B3271" w:rsidRPr="0008481A" w:rsidRDefault="003B3271">
      <w:pPr>
        <w:pStyle w:val="Citatindrag"/>
      </w:pPr>
      <w:r w:rsidRPr="0008481A">
        <w:t>Med den anmärkningen att Björn Rosengren uttryckligen bort ha beskrivits som misstänkt för olovlig körning i Sven Ceders beslut är beslutet enligt min bedömning i överensstämmelse med gällande rätt.</w:t>
      </w:r>
    </w:p>
    <w:p w:rsidR="003B3271" w:rsidRPr="0008481A" w:rsidRDefault="003B3271">
      <w:pPr>
        <w:pStyle w:val="Rubrik3"/>
      </w:pPr>
      <w:r w:rsidRPr="0008481A">
        <w:t>Rättslig reglering</w:t>
      </w:r>
    </w:p>
    <w:p w:rsidR="003B3271" w:rsidRPr="0008481A" w:rsidRDefault="003B3271">
      <w:r w:rsidRPr="0008481A">
        <w:t>Om någon uppsåtligen för ett körkortspliktigt fordon utan att vara berättigad att föra ett sådant fordon, skall han dömas för olovlig körning till böter (3 § första stycket lagen [1951:649] om straff för vissa trafikbrott). Regler om förarbehöri</w:t>
      </w:r>
      <w:r w:rsidRPr="0008481A">
        <w:t>g</w:t>
      </w:r>
      <w:r w:rsidRPr="0008481A">
        <w:t xml:space="preserve">het för särskilda fordonstyper finns i 5–9 §§ körkortslagen (1998:488). Av dessa framgår att AB-körkort inte ger behörighet att framföra ett fordon av det slag som här är aktuellt.  </w:t>
      </w:r>
    </w:p>
    <w:p w:rsidR="003B3271" w:rsidRPr="0008481A" w:rsidRDefault="003B3271">
      <w:pPr>
        <w:pStyle w:val="Normaltindrag"/>
      </w:pPr>
      <w:r w:rsidRPr="0008481A">
        <w:t xml:space="preserve">Svensk straffprocessrätt bygger på principen om åklagarens absoluta åtalsplikt. Enligt 20 kap. 6 § rättegångsbalken (RB) skall åklagaren väcka åtal för brott som hör under allmänt åtal, om inte annat är stadgat. </w:t>
      </w:r>
    </w:p>
    <w:p w:rsidR="003B3271" w:rsidRPr="0008481A" w:rsidRDefault="003B3271">
      <w:pPr>
        <w:pStyle w:val="Normaltindrag"/>
      </w:pPr>
      <w:r w:rsidRPr="0008481A">
        <w:t>Ett exempel på undantag från den absoluta åtalsplikten är bestämmelsen i 20 kap. 7 § RB om åtalsunderlåtelse. Enligt detta lagrum får en åklagare besluta att u</w:t>
      </w:r>
      <w:r w:rsidRPr="0008481A">
        <w:t>n</w:t>
      </w:r>
      <w:r w:rsidRPr="0008481A">
        <w:t>derlåta åtal för brott under förutsättning att något väsentligt allmänt eller enskilt intresse inte åsidosätts, bl.a. om det kan antas att brottet inte skulle föranleda annan påföljd än böter (första stycket 1). Av para</w:t>
      </w:r>
      <w:r w:rsidRPr="0008481A">
        <w:softHyphen/>
        <w:t>grafens andra stycke följer att åtal får underlåtas i andra fall än som nämns i första stycket, om det av särskilda skäl är uppenbart att det inte krävs någon påföljd för att avhålla den misstänkte från vid</w:t>
      </w:r>
      <w:r w:rsidRPr="0008481A">
        <w:t>a</w:t>
      </w:r>
      <w:r w:rsidRPr="0008481A">
        <w:t>re brottslighet och att det med hänsyn till omständigheterna inte heller krävs av an</w:t>
      </w:r>
      <w:r w:rsidRPr="0008481A">
        <w:t>d</w:t>
      </w:r>
      <w:r w:rsidRPr="0008481A">
        <w:t xml:space="preserve">ra skäl att åtal väcks. </w:t>
      </w:r>
    </w:p>
    <w:p w:rsidR="003B3271" w:rsidRPr="0008481A" w:rsidRDefault="003B3271">
      <w:pPr>
        <w:pStyle w:val="Normaltindrag"/>
      </w:pPr>
      <w:r w:rsidRPr="0008481A">
        <w:t>De grundläggande reglerna om förundersökning finns i 23 kap. RB. För</w:t>
      </w:r>
      <w:r w:rsidRPr="0008481A">
        <w:softHyphen/>
        <w:t>undersö</w:t>
      </w:r>
      <w:r w:rsidRPr="0008481A">
        <w:t>k</w:t>
      </w:r>
      <w:r w:rsidRPr="0008481A">
        <w:t>ning skall enligt 1 § första stycket inledas så snart det på grund av angivelse eller av annat skäl finns anledning att anta att ett brott som hör under allmänt åtal har förövats. Enligt 4 § andra stycket skall en förunder</w:t>
      </w:r>
      <w:r w:rsidRPr="0008481A">
        <w:softHyphen/>
        <w:t>sökning läggas ned om det inte längre finns anledning till dess fullföljande. I 4 a § finns reglerna om förunde</w:t>
      </w:r>
      <w:r w:rsidRPr="0008481A">
        <w:t>r</w:t>
      </w:r>
      <w:r w:rsidRPr="0008481A">
        <w:t>sökningsbegränsning. Enligt denna bestäm</w:t>
      </w:r>
      <w:r w:rsidRPr="0008481A">
        <w:softHyphen/>
        <w:t>melse får en förundersökning läggas ned om fortsatt utredning skulle kräva kostnader som inte står i rimligt förhållande till s</w:t>
      </w:r>
      <w:r w:rsidRPr="0008481A">
        <w:t>akens betydelse och det dessutom kan antas att brottet i händelse av lagföring inte skulle leda till någon svårare påföljd än böter (första stycket 1). Vidare får ett sådant beslut fattas om det kan antas att åtal för brottet inte skulle komma att ske till följd av bestämmelser om åtalsunderlåtelse i 20 kap. RB eller om särskild    åtalsprövning samt något väsentligt allmänt eller enskilt intresse inte åsido</w:t>
      </w:r>
      <w:r w:rsidRPr="0008481A">
        <w:softHyphen/>
        <w:t>sätts genom att förundersökningen läggs ned (första stycket 2). Om förut</w:t>
      </w:r>
      <w:r w:rsidRPr="0008481A">
        <w:softHyphen/>
        <w:t>sättningar för att lägga ne</w:t>
      </w:r>
      <w:r w:rsidRPr="0008481A">
        <w:t>d en förundersökning enligt första stycket föreligger redan innan en sådan har inletts, får det beslutas att förunder</w:t>
      </w:r>
      <w:r w:rsidRPr="0008481A">
        <w:softHyphen/>
        <w:t>sökning inte skall inledas (andra stycket).</w:t>
      </w:r>
    </w:p>
    <w:p w:rsidR="003B3271" w:rsidRPr="0008481A" w:rsidRDefault="003B3271">
      <w:pPr>
        <w:pStyle w:val="Normaltindrag"/>
      </w:pPr>
      <w:r w:rsidRPr="0008481A">
        <w:t>I förarbetena (prop. 1984/85:3 s. 22 och 54 f.) till 23 kap. 4 a § RB i dess nuv</w:t>
      </w:r>
      <w:r w:rsidRPr="0008481A">
        <w:t>a</w:t>
      </w:r>
      <w:r w:rsidRPr="0008481A">
        <w:t>rande lydelse ges följande för förundersökningsbegränsning och åtals</w:t>
      </w:r>
      <w:r w:rsidRPr="0008481A">
        <w:softHyphen/>
        <w:t>underlåtelse gemensamma riktlinjer beträffande tillämpningen av rekvisitet ”allmänt i</w:t>
      </w:r>
      <w:r w:rsidRPr="0008481A">
        <w:t>n</w:t>
      </w:r>
      <w:r w:rsidRPr="0008481A">
        <w:t>tresse”.</w:t>
      </w:r>
    </w:p>
    <w:p w:rsidR="003B3271" w:rsidRPr="0008481A" w:rsidRDefault="003B3271">
      <w:pPr>
        <w:pStyle w:val="Citat"/>
      </w:pPr>
      <w:r w:rsidRPr="0008481A">
        <w:t>Avsikten är naturligtvis att det nya grundrekvisitet skall öka utrymmet för åtalsunderlåtelse i fö</w:t>
      </w:r>
      <w:r w:rsidRPr="0008481A">
        <w:t>r</w:t>
      </w:r>
      <w:r w:rsidRPr="0008481A">
        <w:t>hållande till gällande rätt. Liksom f.n. bör dock en vägledande synpunkt vara att åtalsunderlåtelse inte bör få medföra att likartade fall bedöms olika. Intresset av att tilltron till rättsväsendets obje</w:t>
      </w:r>
      <w:r w:rsidRPr="0008481A">
        <w:t>k</w:t>
      </w:r>
      <w:r w:rsidRPr="0008481A">
        <w:t>tivitet upprätthålls kan alltså göra ett åtal påkallat. Ett annat viktigt allmänt intresse som kan tala för åtal kan vara att den misstänkte förut gjort sig skyldig till brott. Som ytterligare skäl för åtal kan nämnas att förverkande av egendom av icke obetydligt värde kan komma i fråga.</w:t>
      </w:r>
    </w:p>
    <w:p w:rsidR="003B3271" w:rsidRPr="0008481A" w:rsidRDefault="003B3271">
      <w:pPr>
        <w:pStyle w:val="Citatindrag"/>
      </w:pPr>
      <w:r w:rsidRPr="0008481A">
        <w:t xml:space="preserve"> Av stor och ofta </w:t>
      </w:r>
      <w:r w:rsidRPr="0008481A">
        <w:t>avgörande betydelse när det gäller att bedöma om ett viktigt allmänt intresse kr</w:t>
      </w:r>
      <w:r w:rsidRPr="0008481A">
        <w:t>ä</w:t>
      </w:r>
      <w:r w:rsidRPr="0008481A">
        <w:t>ver åtal blir naturligtvis brottets svårhet och omständigheterna i övrigt kring detta. Allmänpreve</w:t>
      </w:r>
      <w:r w:rsidRPr="0008481A">
        <w:t>n</w:t>
      </w:r>
      <w:r w:rsidRPr="0008481A">
        <w:t xml:space="preserve">tiva synpunkter kan emellertid ibland tala för att ett domstolsförfarande kommer till stånd även vid mycket lindriga brott. Det kan sålunda vara nödvändigt att särskilt markera att en viss brottstyp inte accepteras av samhället, t.ex. om en viss brottslighet har börjat förekomma i besvärande stor omfattning. Det kan också i vissa </w:t>
      </w:r>
      <w:r w:rsidRPr="0008481A">
        <w:t>fall finnas ett stort allmänt intresse av att domstol får bedöma en viss rättsfråga.</w:t>
      </w:r>
    </w:p>
    <w:p w:rsidR="003B3271" w:rsidRPr="0008481A" w:rsidRDefault="003B3271">
      <w:r w:rsidRPr="0008481A">
        <w:t>Riksåklagaren har i cirkulär RÅC I:124 utfärdat allmänna råd om åtals</w:t>
      </w:r>
      <w:r w:rsidRPr="0008481A">
        <w:softHyphen/>
        <w:t>underlåtelse och förundersökningsbegränsning samt föreskrifter om viss underrättelseskyldi</w:t>
      </w:r>
      <w:r w:rsidRPr="0008481A">
        <w:t>g</w:t>
      </w:r>
      <w:r w:rsidRPr="0008481A">
        <w:t>het. Förundersökningsbegränsning behandlas i avsnitt 10. I cirkuläret uttalas b</w:t>
      </w:r>
      <w:r w:rsidRPr="0008481A">
        <w:t>e</w:t>
      </w:r>
      <w:r w:rsidRPr="0008481A">
        <w:t>träffande rekvisitet ”allmänt intresse” bl.a. att ett skäl för att genomföra förunde</w:t>
      </w:r>
      <w:r w:rsidRPr="0008481A">
        <w:t>r</w:t>
      </w:r>
      <w:r w:rsidRPr="0008481A">
        <w:t>sökning kan vara att en händelse väckt stor uppmärksamhet och att det därför kan ligga i det allmännas intresse att få klarhet i saken eller att utredningen av annan anledning har stor självständig betydelse (RÅC I:124:28).</w:t>
      </w:r>
    </w:p>
    <w:p w:rsidR="003B3271" w:rsidRPr="0008481A" w:rsidRDefault="003B3271">
      <w:pPr>
        <w:pStyle w:val="Normaltindrag"/>
      </w:pPr>
      <w:r w:rsidRPr="0008481A">
        <w:t>Av den proposition som har nämn</w:t>
      </w:r>
      <w:r w:rsidRPr="0008481A">
        <w:t>ts i det föregående framgår vidare att ett beslut om att begränsa en förundersökning inte förutsätter att skuldfrågan är klarlagd vid tiden för beslutet. Regeln i 23 kap. 4 a § första stycket 2 RB innebär att en hyp</w:t>
      </w:r>
      <w:r w:rsidRPr="0008481A">
        <w:t>o</w:t>
      </w:r>
      <w:r w:rsidRPr="0008481A">
        <w:t>tetisk bedömning av åtalsfrågan skall göras under antagande att förundersöknin</w:t>
      </w:r>
      <w:r w:rsidRPr="0008481A">
        <w:t>g</w:t>
      </w:r>
      <w:r w:rsidRPr="0008481A">
        <w:t>en avslutats och skuldfrågan klarlagts (a. prop. s. 55; jfr Fitger, Rättegångsbalken, del 2, s. 23:29 f.).</w:t>
      </w:r>
    </w:p>
    <w:p w:rsidR="003B3271" w:rsidRPr="0008481A" w:rsidRDefault="003B3271">
      <w:pPr>
        <w:pStyle w:val="Normaltindrag"/>
      </w:pPr>
      <w:r w:rsidRPr="0008481A">
        <w:t>I det inledande avsnittet i RÅC I:124 nämns att det för en åtalsunderlåtelse i pri</w:t>
      </w:r>
      <w:r w:rsidRPr="0008481A">
        <w:t>n</w:t>
      </w:r>
      <w:r w:rsidRPr="0008481A">
        <w:t>cip krävs att klarhet råder i skuldfrågan men att något motsvarande krav inte finns uppställt för att en förundersökning skall få läggas ned vid förutsedd åtalsunde</w:t>
      </w:r>
      <w:r w:rsidRPr="0008481A">
        <w:t>r</w:t>
      </w:r>
      <w:r w:rsidRPr="0008481A">
        <w:t>låtelse (RÅC I:124:27). I samma avsnitt uttalas vidare att bestämmelsen om fö</w:t>
      </w:r>
      <w:r w:rsidRPr="0008481A">
        <w:t>r</w:t>
      </w:r>
      <w:r w:rsidRPr="0008481A">
        <w:t>undersökningsbegränsning får sitt innehåll främst genom reglerna om åtalsunde</w:t>
      </w:r>
      <w:r w:rsidRPr="0008481A">
        <w:t>r</w:t>
      </w:r>
      <w:r w:rsidRPr="0008481A">
        <w:t>låtelse. Kan ett beslut om åtalsunderlåtelse förväntas är således presumtionen att förundersökningen skall läggas ned. En utvidgning av möjligheterna till åtalsu</w:t>
      </w:r>
      <w:r w:rsidRPr="0008481A">
        <w:t>n</w:t>
      </w:r>
      <w:r w:rsidRPr="0008481A">
        <w:t>derlåtelse ökar därför autom</w:t>
      </w:r>
      <w:r w:rsidRPr="0008481A">
        <w:t>atiskt utry</w:t>
      </w:r>
      <w:r w:rsidRPr="0008481A">
        <w:t>m</w:t>
      </w:r>
      <w:r w:rsidRPr="0008481A">
        <w:t>met för förundersökningsbegränsning.</w:t>
      </w:r>
    </w:p>
    <w:p w:rsidR="003B3271" w:rsidRPr="0008481A" w:rsidRDefault="003B3271">
      <w:pPr>
        <w:pStyle w:val="Normaltindrag"/>
      </w:pPr>
      <w:r w:rsidRPr="0008481A">
        <w:t>När förundersökningen avslutas skall beslut meddelas huruvida åtal skall väckas (23 kap. 20 § RB).</w:t>
      </w:r>
    </w:p>
    <w:p w:rsidR="003B3271" w:rsidRPr="0008481A" w:rsidRDefault="003B3271">
      <w:pPr>
        <w:pStyle w:val="Rubrik3"/>
      </w:pPr>
      <w:r w:rsidRPr="0008481A">
        <w:t xml:space="preserve"> Bedömning</w:t>
      </w:r>
    </w:p>
    <w:p w:rsidR="003B3271" w:rsidRPr="0008481A" w:rsidRDefault="003B3271">
      <w:r w:rsidRPr="0008481A">
        <w:t>Som nyss har nämnts har åklagaren enligt svensk straffprocessrätt i princip abs</w:t>
      </w:r>
      <w:r w:rsidRPr="0008481A">
        <w:t>o</w:t>
      </w:r>
      <w:r w:rsidRPr="0008481A">
        <w:t>lut åtalsplikt. Detta innebär att åklagaren har inte bara befogenhet utan också skyldighet att väcka åtal för brott som hör under allmänt åtal (Fitger, Rättegång</w:t>
      </w:r>
      <w:r w:rsidRPr="0008481A">
        <w:t>s</w:t>
      </w:r>
      <w:r w:rsidRPr="0008481A">
        <w:t>balken, del 2, s. 20:11). Olovlig körning är ett sådant brott. När förundersöknin</w:t>
      </w:r>
      <w:r w:rsidRPr="0008481A">
        <w:t>g</w:t>
      </w:r>
      <w:r w:rsidRPr="0008481A">
        <w:t>en är avslutad skall åklagaren således besluta om åtal skall väckas eller inte. U</w:t>
      </w:r>
      <w:r w:rsidRPr="0008481A">
        <w:t>n</w:t>
      </w:r>
      <w:r w:rsidRPr="0008481A">
        <w:t>dantag från den absoluta åtalsplikten görs emellertid genom reglerna om åtalsu</w:t>
      </w:r>
      <w:r w:rsidRPr="0008481A">
        <w:t>n</w:t>
      </w:r>
      <w:r w:rsidRPr="0008481A">
        <w:t xml:space="preserve">derlåtelse och förundersökningsbegränsning. </w:t>
      </w:r>
    </w:p>
    <w:p w:rsidR="003B3271" w:rsidRPr="0008481A" w:rsidRDefault="003B3271">
      <w:pPr>
        <w:pStyle w:val="Normaltindrag"/>
      </w:pPr>
      <w:r w:rsidRPr="0008481A">
        <w:t>Ett beslut att inleda eller lägga ned en förundersökning elle</w:t>
      </w:r>
      <w:r w:rsidRPr="0008481A">
        <w:t>r att väcka eller inte väcka åtal bygger på bedömningar med avseende på bl.a. vilken bevisning det finns och vad man kan vänta sig få fram under en brottsutredning. I bedömningsfrågor av detta slag kan man ha olika upp</w:t>
      </w:r>
      <w:r w:rsidRPr="0008481A">
        <w:softHyphen/>
        <w:t>fatt</w:t>
      </w:r>
      <w:r w:rsidRPr="0008481A">
        <w:softHyphen/>
        <w:t>ningar utan att någon av uppfattningarna behöver vara direkt felaktig. Också ett beslut om förunder</w:t>
      </w:r>
      <w:r w:rsidRPr="0008481A">
        <w:softHyphen/>
      </w:r>
      <w:r w:rsidRPr="0008481A">
        <w:softHyphen/>
        <w:t>sökningsbegränsning grundar sig på bedömningar, vilka i enlighet med det nyss sagda kan ge utrymme för skilda ställningst</w:t>
      </w:r>
      <w:r w:rsidRPr="0008481A">
        <w:t>a</w:t>
      </w:r>
      <w:r w:rsidRPr="0008481A">
        <w:t xml:space="preserve">ganden. </w:t>
      </w:r>
    </w:p>
    <w:p w:rsidR="003B3271" w:rsidRPr="0008481A" w:rsidRDefault="003B3271">
      <w:pPr>
        <w:pStyle w:val="Normaltindrag"/>
      </w:pPr>
      <w:r w:rsidRPr="0008481A">
        <w:t xml:space="preserve">Av utredningen framgår att F.M. under förundersökningen </w:t>
      </w:r>
      <w:r w:rsidRPr="0008481A">
        <w:t>hördes som misstänkt samt att undersökningen beträffande honom avslutades genom ett beslut av åkl</w:t>
      </w:r>
      <w:r w:rsidRPr="0008481A">
        <w:t>a</w:t>
      </w:r>
      <w:r w:rsidRPr="0008481A">
        <w:t>garen att åtal inte skulle väckas. Såvitt gällde Björn Rosengren lades förundersö</w:t>
      </w:r>
      <w:r w:rsidRPr="0008481A">
        <w:t>k</w:t>
      </w:r>
      <w:r w:rsidRPr="0008481A">
        <w:t>ningen däremot ned i ett tidigare skede med hänvisning till reglerna om förunde</w:t>
      </w:r>
      <w:r w:rsidRPr="0008481A">
        <w:t>r</w:t>
      </w:r>
      <w:r w:rsidRPr="0008481A">
        <w:t>sökningsbegränsning utan att något förhör hade hållits med honom. Ett sådant förfarande kan ge upphov till uppfattningen att likartade fall har behandlats olika. Det kan emellertid häremot invändas att förhållandena kring Björn Rosengrens körning genom</w:t>
      </w:r>
      <w:r w:rsidRPr="0008481A">
        <w:t xml:space="preserve"> förhöret med F.M. blev utredda i den utsträckning som krävdes för ett beslut om förunder</w:t>
      </w:r>
      <w:r w:rsidRPr="0008481A">
        <w:softHyphen/>
        <w:t>sökningsb</w:t>
      </w:r>
      <w:r w:rsidRPr="0008481A">
        <w:t>e</w:t>
      </w:r>
      <w:r w:rsidRPr="0008481A">
        <w:t xml:space="preserve">gränsning. </w:t>
      </w:r>
    </w:p>
    <w:p w:rsidR="003B3271" w:rsidRPr="0008481A" w:rsidRDefault="003B3271">
      <w:pPr>
        <w:pStyle w:val="Normaltindrag"/>
      </w:pPr>
      <w:r w:rsidRPr="0008481A">
        <w:t>Som framgår av redovisningen för den rättsliga regleringen är en grund</w:t>
      </w:r>
      <w:r w:rsidRPr="0008481A">
        <w:softHyphen/>
        <w:t>läggande förutsättning för ett beslut om förundersökningsbegränsning att något väsentligt allmänt eller enskilt intresse inte åsidosätts genom beslutet. Som Sven Ceder har förklarat är i förevarande fall endast det allmänna intresset av någon betydelse. Frågan blir då om något sådant intresse åsidosattes genom beslutet att lägga ned förundersökningen mot Björn Rose</w:t>
      </w:r>
      <w:r w:rsidRPr="0008481A">
        <w:t>n</w:t>
      </w:r>
      <w:r w:rsidRPr="0008481A">
        <w:t xml:space="preserve">gren. </w:t>
      </w:r>
    </w:p>
    <w:p w:rsidR="003B3271" w:rsidRPr="0008481A" w:rsidRDefault="003B3271">
      <w:pPr>
        <w:pStyle w:val="Normaltindrag"/>
      </w:pPr>
      <w:r w:rsidRPr="0008481A">
        <w:t xml:space="preserve">Som framgår av redovisningen för den rättsliga regleringen anges i förarbetena till 23 kap. 4 a § RB i dess nuvarande lydelse ett antal </w:t>
      </w:r>
      <w:r w:rsidRPr="0008481A">
        <w:t>exempel på omständigheter som talar emot ett beslut om förunder</w:t>
      </w:r>
      <w:r w:rsidRPr="0008481A">
        <w:softHyphen/>
        <w:t>söknings</w:t>
      </w:r>
      <w:r w:rsidRPr="0008481A">
        <w:softHyphen/>
        <w:t>begränsning. I sitt yttrande hänför sig Sven Ceder till vad som där sägs. Det bör emellertid framhållas att den nu nämnda uppräkningen inte kan anses vara uttömmande. I Riksåklagarens allmä</w:t>
      </w:r>
      <w:r w:rsidRPr="0008481A">
        <w:t>n</w:t>
      </w:r>
      <w:r w:rsidRPr="0008481A">
        <w:t>na råd om bl.a. förundersöknings</w:t>
      </w:r>
      <w:r w:rsidRPr="0008481A">
        <w:softHyphen/>
        <w:t>begränsning anges därutöver som ett skäl för att genomföra en förunder</w:t>
      </w:r>
      <w:r w:rsidRPr="0008481A">
        <w:softHyphen/>
        <w:t>sökning att en händelse har väckt stor uppmärksamhet och att det därför kan ligga i det allmännas intresse att få klarhet i saken (RÅC I:124:28).</w:t>
      </w:r>
    </w:p>
    <w:p w:rsidR="003B3271" w:rsidRPr="0008481A" w:rsidRDefault="003B3271">
      <w:pPr>
        <w:pStyle w:val="Normaltindrag"/>
      </w:pPr>
      <w:r w:rsidRPr="0008481A">
        <w:t>Eftersom det här rörde sig om ett statsråd, väckte den i ärendet aktuella händelsen stor uppmärksamhet i massmedier runt om i landet, och som ett resultat av denna publicitet beslutade Polismyndigheten Värmland att inleda förundersökning med anledning av det inträffade. Utan att överdriva kan man således konstatera att händelsen var av stort allmänt intresse. Detta förhållande talar, mot bakgrund av det nyss återgivna uttalandet i Riks</w:t>
      </w:r>
      <w:r w:rsidRPr="0008481A">
        <w:softHyphen/>
        <w:t>åklagarens allmänna råd, för att förundersö</w:t>
      </w:r>
      <w:r w:rsidRPr="0008481A">
        <w:t>k</w:t>
      </w:r>
      <w:r w:rsidRPr="0008481A">
        <w:t>ningen mot Björn Rosengren borde ha fullföljts, oavsett hur Sven Ceder i övrigt såg på det inträffade. En annan sak är att en genomförd förundersökning sedan kan resultera i ett beslut om åtalsunderlåte</w:t>
      </w:r>
      <w:r w:rsidRPr="0008481A">
        <w:t>l</w:t>
      </w:r>
      <w:r w:rsidRPr="0008481A">
        <w:t xml:space="preserve">se. </w:t>
      </w:r>
    </w:p>
    <w:p w:rsidR="003B3271" w:rsidRPr="0008481A" w:rsidRDefault="003B3271">
      <w:pPr>
        <w:pStyle w:val="Normaltindrag"/>
      </w:pPr>
      <w:r w:rsidRPr="0008481A">
        <w:t>Som tidigare har sagts bygger ett ställningstagande i en fråga om förunder</w:t>
      </w:r>
      <w:r w:rsidRPr="0008481A">
        <w:softHyphen/>
        <w:t>sö</w:t>
      </w:r>
      <w:r w:rsidRPr="0008481A">
        <w:t>k</w:t>
      </w:r>
      <w:r w:rsidRPr="0008481A">
        <w:t>ningsbegränsning på en bedömning av förhållandena i det särskilda fallet, och det kan enligt min mening inte med fog hävdas att Sven Ceders beslut är formellt fe</w:t>
      </w:r>
      <w:r w:rsidRPr="0008481A">
        <w:t>l</w:t>
      </w:r>
      <w:r w:rsidRPr="0008481A">
        <w:t>aktigt. Jag vill emellertid rent allmänt uttala att det är av grundläggande betydelse för allmänhetens tilltro till rättsväsendet att frågor som gäller brottsutredningar handläggs på ett sådant sätt att man i möjligaste mån förebygger misstankar att det har tagits otillbörliga hänsyn vid fattandet av ett visst beslut. Jag vill i detta sa</w:t>
      </w:r>
      <w:r w:rsidRPr="0008481A">
        <w:t>m</w:t>
      </w:r>
      <w:r w:rsidRPr="0008481A">
        <w:t>manhan</w:t>
      </w:r>
      <w:r w:rsidRPr="0008481A">
        <w:t>g särskilt peka på vad åklagarmyndigheten har uppgett i sitt yttrande att det normala inom myndig</w:t>
      </w:r>
      <w:r w:rsidRPr="0008481A">
        <w:softHyphen/>
        <w:t>hetens distrikt, liksom i övrigt i landet, är att olovlig körning utreds och lagförs.</w:t>
      </w:r>
    </w:p>
    <w:p w:rsidR="003B3271" w:rsidRPr="0008481A" w:rsidRDefault="003B3271">
      <w:pPr>
        <w:pStyle w:val="Normaltindrag"/>
      </w:pPr>
      <w:r w:rsidRPr="0008481A">
        <w:t>Sven Ceder har i nedläggningsbeslutet konstaterat att Björn Rosengren gjort sig skyldig till olovlig körning. Som sägs i åklagarmyndighetens remissvar innefattar ett beslut om förundersökningsbegränsning emellertid inte ett konstaterande att någon har gjort sig skyldig till brott. I det här aktuella fallet hade Björn Rosengren</w:t>
      </w:r>
      <w:r w:rsidRPr="0008481A">
        <w:t xml:space="preserve"> över huvud taget inte hörts under utredningen och han hade således inte heller delgetts misstanke om brott. Jag delar således åklagarmyndighetens uppfattning att det var fel av Sven Ceder att uttala sig i skuldfrågan. Sven Ceder har i sitt yt</w:t>
      </w:r>
      <w:r w:rsidRPr="0008481A">
        <w:t>t</w:t>
      </w:r>
      <w:r w:rsidRPr="0008481A">
        <w:t>rande inte uttryckligen besvarat frågan om anledningen till att så skedde. Mot bakgrund av vad han har uppgett i denna del utgår jag emellertid, liksom åklaga</w:t>
      </w:r>
      <w:r w:rsidRPr="0008481A">
        <w:t>r</w:t>
      </w:r>
      <w:r w:rsidRPr="0008481A">
        <w:t>myndigheten i sitt yttrande, från att formuleringen är resultatet av en misskri</w:t>
      </w:r>
      <w:r w:rsidRPr="0008481A">
        <w:t>v</w:t>
      </w:r>
      <w:r w:rsidRPr="0008481A">
        <w:t>ning.</w:t>
      </w:r>
    </w:p>
    <w:p w:rsidR="003B3271" w:rsidRPr="0008481A" w:rsidRDefault="003B3271">
      <w:pPr>
        <w:pStyle w:val="Normaltindrag"/>
      </w:pPr>
      <w:r w:rsidRPr="0008481A">
        <w:t>Vad som i övrigt föreko</w:t>
      </w:r>
      <w:r w:rsidRPr="0008481A">
        <w:t>mmit föranleder inte något uttalande från min sida.</w:t>
      </w:r>
    </w:p>
    <w:p w:rsidR="003B3271" w:rsidRPr="0008481A" w:rsidRDefault="003B3271">
      <w:pPr>
        <w:pStyle w:val="Rubrik2"/>
      </w:pPr>
      <w:r w:rsidRPr="0008481A">
        <w:t>Handläggningen hos överåklagare av en anmälan mot en kammaråklagare för fö</w:t>
      </w:r>
      <w:r w:rsidRPr="0008481A">
        <w:t>r</w:t>
      </w:r>
      <w:r w:rsidRPr="0008481A">
        <w:t>summelser i tjänsten</w:t>
      </w:r>
    </w:p>
    <w:p w:rsidR="003B3271" w:rsidRPr="0008481A" w:rsidRDefault="003B3271">
      <w:r w:rsidRPr="0008481A">
        <w:t>(Dnr 2909-1999)</w:t>
      </w:r>
    </w:p>
    <w:p w:rsidR="003B3271" w:rsidRPr="0008481A" w:rsidRDefault="003B3271">
      <w:r w:rsidRPr="0008481A">
        <w:t xml:space="preserve">I ett beslut den 7 december 1999 anförde </w:t>
      </w:r>
      <w:r w:rsidRPr="0008481A">
        <w:rPr>
          <w:i/>
        </w:rPr>
        <w:t xml:space="preserve">chefsJO Eklundh </w:t>
      </w:r>
      <w:r w:rsidRPr="0008481A">
        <w:t>bl.a. följande.</w:t>
      </w:r>
    </w:p>
    <w:p w:rsidR="003B3271" w:rsidRPr="0008481A" w:rsidRDefault="003B3271">
      <w:pPr>
        <w:pStyle w:val="Rubrik3"/>
      </w:pPr>
      <w:r w:rsidRPr="0008481A">
        <w:t>Anmälan</w:t>
      </w:r>
    </w:p>
    <w:p w:rsidR="003B3271" w:rsidRPr="0008481A" w:rsidRDefault="003B3271">
      <w:r w:rsidRPr="0008481A">
        <w:t>I en anmälan till JO kritiserade advokaten N.D. överåklagaren Birgit Thunved vid Åklagarmyndigheten i Göteborg  för att hon inte hade fattat beslut i ett ärende där han riktat klagomål mot dåvarande kammaråklagaren Blenda Nordlander för försummelser i tjänsten.</w:t>
      </w:r>
    </w:p>
    <w:p w:rsidR="003B3271" w:rsidRPr="0008481A" w:rsidRDefault="003B3271">
      <w:pPr>
        <w:pStyle w:val="Rubrik3"/>
      </w:pPr>
      <w:r w:rsidRPr="0008481A">
        <w:t>Utredning</w:t>
      </w:r>
    </w:p>
    <w:p w:rsidR="003B3271" w:rsidRPr="0008481A" w:rsidRDefault="003B3271">
      <w:r w:rsidRPr="0008481A">
        <w:t>Diarieblad och akten i Åklagarmyndighetens i Göteborg ärende – – –  samt akten i myndighetens ärende – – – infordrades och gransk</w:t>
      </w:r>
      <w:r w:rsidRPr="0008481A">
        <w:t>a</w:t>
      </w:r>
      <w:r w:rsidRPr="0008481A">
        <w:t xml:space="preserve">des. </w:t>
      </w:r>
    </w:p>
    <w:p w:rsidR="003B3271" w:rsidRPr="0008481A" w:rsidRDefault="003B3271">
      <w:pPr>
        <w:pStyle w:val="Normaltindrag"/>
      </w:pPr>
      <w:r w:rsidRPr="0008481A">
        <w:t xml:space="preserve">Vid granskningen av diariebladet och akten i ärende – – – framkom att anmälan inkom den 20 februari 1998 och i brottmålsdiariet handlades under kategorin tjänstefel. Den 30 april 1998 begärde kansliåklagaren Mats Sällström att Blenda Nordlander skulle yttra sig över innehållet i N.D:s anmälan. Blenda Nordlander inkom med ett yttrande den 22 maj 1998. </w:t>
      </w:r>
    </w:p>
    <w:p w:rsidR="003B3271" w:rsidRPr="0008481A" w:rsidRDefault="003B3271">
      <w:pPr>
        <w:pStyle w:val="Normaltindrag"/>
      </w:pPr>
      <w:r w:rsidRPr="0008481A">
        <w:t>Riksåklagaren anmodades att inkomma med utredning med avseende på han</w:t>
      </w:r>
      <w:r w:rsidRPr="0008481A">
        <w:t>d</w:t>
      </w:r>
      <w:r w:rsidRPr="0008481A">
        <w:t>läggningen av advokaten N.D:s anmälan m.m. i Åklagarmyndighetens i Göteborg ärende – – –.</w:t>
      </w:r>
    </w:p>
    <w:p w:rsidR="003B3271" w:rsidRPr="0008481A" w:rsidRDefault="003B3271">
      <w:pPr>
        <w:pStyle w:val="Normaltindrag"/>
      </w:pPr>
      <w:r w:rsidRPr="0008481A">
        <w:t xml:space="preserve">Riksåklagaren skulle också yttra sig och redovisa sin bedömning av det som kommit fram. </w:t>
      </w:r>
    </w:p>
    <w:p w:rsidR="003B3271" w:rsidRPr="0008481A" w:rsidRDefault="003B3271">
      <w:pPr>
        <w:pStyle w:val="Normaltindrag"/>
      </w:pPr>
      <w:r w:rsidRPr="0008481A">
        <w:t>Riksåklagaren (biträdande riksåklagaren Solveig Riberdahl) kom in med ett yt</w:t>
      </w:r>
      <w:r w:rsidRPr="0008481A">
        <w:t>t</w:t>
      </w:r>
      <w:r w:rsidRPr="0008481A">
        <w:t>rande till vilket hade fogats yttranden från överåklagaren Birgit Thunved och n</w:t>
      </w:r>
      <w:r w:rsidRPr="0008481A">
        <w:t>u</w:t>
      </w:r>
      <w:r w:rsidRPr="0008481A">
        <w:t>mera biträdande chefsåkl</w:t>
      </w:r>
      <w:r w:rsidRPr="0008481A">
        <w:t>a</w:t>
      </w:r>
      <w:r w:rsidRPr="0008481A">
        <w:t xml:space="preserve">garen Mats Sällström. </w:t>
      </w:r>
    </w:p>
    <w:p w:rsidR="003B3271" w:rsidRPr="0008481A" w:rsidRDefault="003B3271">
      <w:pPr>
        <w:pStyle w:val="Underskrifter"/>
      </w:pPr>
      <w:r w:rsidRPr="0008481A">
        <w:t>Mats Sällström</w:t>
      </w:r>
    </w:p>
    <w:p w:rsidR="003B3271" w:rsidRPr="0008481A" w:rsidRDefault="003B3271">
      <w:pPr>
        <w:pStyle w:val="Rubrik4"/>
        <w:spacing w:before="120"/>
      </w:pPr>
      <w:r w:rsidRPr="0008481A">
        <w:t>Handläggningen</w:t>
      </w:r>
    </w:p>
    <w:p w:rsidR="003B3271" w:rsidRPr="0008481A" w:rsidRDefault="003B3271">
      <w:pPr>
        <w:pStyle w:val="Citat"/>
      </w:pPr>
      <w:r w:rsidRPr="0008481A">
        <w:t>Ifrågavarande ärende gäller en anmälan från advokat N.D. Enligt anmälan skulle dåvarande ka</w:t>
      </w:r>
      <w:r w:rsidRPr="0008481A">
        <w:t>m</w:t>
      </w:r>
      <w:r w:rsidRPr="0008481A">
        <w:t>maråklagaren Blenda Nordlander inte ha vidtagit ”några åt</w:t>
      </w:r>
      <w:r w:rsidRPr="0008481A">
        <w:softHyphen/>
        <w:t>gärder” med anledning av ett antal a</w:t>
      </w:r>
      <w:r w:rsidRPr="0008481A">
        <w:t>n</w:t>
      </w:r>
      <w:r w:rsidRPr="0008481A">
        <w:t>mälda över</w:t>
      </w:r>
      <w:r w:rsidRPr="0008481A">
        <w:softHyphen/>
        <w:t>trädelser av besöksförbud. Vidare anmärkte N.D. på innehållet i ett telefax som Nor</w:t>
      </w:r>
      <w:r w:rsidRPr="0008481A">
        <w:t>d</w:t>
      </w:r>
      <w:r w:rsidRPr="0008481A">
        <w:t>lander sänt till honom.</w:t>
      </w:r>
    </w:p>
    <w:p w:rsidR="003B3271" w:rsidRPr="0008481A" w:rsidRDefault="003B3271">
      <w:pPr>
        <w:pStyle w:val="Citatindrag"/>
      </w:pPr>
      <w:r w:rsidRPr="0008481A">
        <w:t>Av utdrag ur diariet kan jag utläsa att ärendet anhängiggjordes den 20 februari 1998 och att det fem dagar därefter överlämnades till min dåvarande kollega Magnus Bolin för beredning.</w:t>
      </w:r>
    </w:p>
    <w:p w:rsidR="003B3271" w:rsidRPr="0008481A" w:rsidRDefault="003B3271">
      <w:pPr>
        <w:pStyle w:val="Citatindrag"/>
      </w:pPr>
      <w:r w:rsidRPr="0008481A">
        <w:t>Jag kan inte utläsa när ärendet överlämnades till mig för beredning. Jag brukar dock alltid omg</w:t>
      </w:r>
      <w:r w:rsidRPr="0008481A">
        <w:t>å</w:t>
      </w:r>
      <w:r w:rsidRPr="0008481A">
        <w:t>ende gå igenom ett nytt ärende för att göra en prioritets</w:t>
      </w:r>
      <w:r w:rsidRPr="0008481A">
        <w:softHyphen/>
        <w:t>bedömning. Jag utgår från att jag gjort det även i detta fall. Jag kommer dock ihåg att jag efter genomgången av ärendet omgående tog ko</w:t>
      </w:r>
      <w:r w:rsidRPr="0008481A">
        <w:t>n</w:t>
      </w:r>
      <w:r w:rsidRPr="0008481A">
        <w:t>takt med Blenda Nordlander. Anledningen till att jag kommer ihåg detta är att hon inom kort skulle gå i pe</w:t>
      </w:r>
      <w:r w:rsidRPr="0008481A">
        <w:t>n</w:t>
      </w:r>
      <w:r w:rsidRPr="0008481A">
        <w:t>sion.</w:t>
      </w:r>
    </w:p>
    <w:p w:rsidR="003B3271" w:rsidRPr="0008481A" w:rsidRDefault="003B3271">
      <w:pPr>
        <w:pStyle w:val="Citatindrag"/>
      </w:pPr>
      <w:r w:rsidRPr="0008481A">
        <w:t xml:space="preserve">Efter genomgången och kontakten med Blenda Nordlander så kunde jag snabbt konstatera att Blenda Nordlander hade vidtagit åtgärder för att utreda de anmälda överträdelserna. Jag fick vidare klart för mig </w:t>
      </w:r>
      <w:r w:rsidRPr="0008481A">
        <w:t>att Göteborgs tingsrätt den 10 novem</w:t>
      </w:r>
      <w:r w:rsidRPr="0008481A">
        <w:softHyphen/>
        <w:t>ber 1997 dömt den tilltalade till fängelse i åtta månader och att ett flertal av de anmälda överträdelserna låg i tiden före domen. Nordlander nämnde att fråga kunde bli om förundersöknings</w:t>
      </w:r>
      <w:r w:rsidRPr="0008481A">
        <w:softHyphen/>
        <w:t>begränsning beträffande de gärningar som låg i tiden före tingsrättsdomen (se beslut den 25 juni 1998).</w:t>
      </w:r>
    </w:p>
    <w:p w:rsidR="003B3271" w:rsidRPr="0008481A" w:rsidRDefault="003B3271">
      <w:pPr>
        <w:pStyle w:val="Citatindrag"/>
      </w:pPr>
      <w:r w:rsidRPr="0008481A">
        <w:t>Beträffande de överträdelser som inträffat efter tingsrättens dom väcktes sedermera åtal (se beslut den 30 oktober 1998).</w:t>
      </w:r>
    </w:p>
    <w:p w:rsidR="003B3271" w:rsidRPr="0008481A" w:rsidRDefault="003B3271">
      <w:pPr>
        <w:pStyle w:val="Citatindrag"/>
      </w:pPr>
      <w:r w:rsidRPr="0008481A">
        <w:t>Jag fick i uppdrag att anmoda Blenda Nordlander att avge ett yttrande. Av hand</w:t>
      </w:r>
      <w:r w:rsidRPr="0008481A">
        <w:softHyphen/>
        <w:t>lingarna kan jag se att jag gjorde detta den 30 april 1998. Ett yttrande från Blenda Nordlander förelåg den 22 maj 1998. Därmed var ärendet i princip klart att förbereda för en för</w:t>
      </w:r>
      <w:r w:rsidRPr="0008481A">
        <w:t>e</w:t>
      </w:r>
      <w:r w:rsidRPr="0008481A">
        <w:t>dragning.</w:t>
      </w:r>
    </w:p>
    <w:p w:rsidR="003B3271" w:rsidRPr="0008481A" w:rsidRDefault="003B3271">
      <w:pPr>
        <w:pStyle w:val="Citatindrag"/>
      </w:pPr>
      <w:r w:rsidRPr="0008481A">
        <w:t>Mot bakgrund av vad som sålunda framkommit i ärendet fann jag ingen anledning att handlägga ärendet med förtur.</w:t>
      </w:r>
    </w:p>
    <w:p w:rsidR="003B3271" w:rsidRPr="0008481A" w:rsidRDefault="003B3271">
      <w:pPr>
        <w:pStyle w:val="Citatindrag"/>
      </w:pPr>
      <w:r w:rsidRPr="0008481A">
        <w:t>Av handlingarna framgår att jag vid två tillfällen besvarat förfrågningar från N.D. om när beslut kunde förväntas i ärendet. Vid det första tillfället (980625) besvarade jag förfrågan per telefon och vid det andra tillfället (990216) per brev. Vid det första tillfället har jag troligen upplyst N.D. om att handläggningstiden var lång. Vid det andra tillfället var det min ambition att ärendet skulle bli klart under första kvartalet 1999. Det mål som över</w:t>
      </w:r>
      <w:r w:rsidRPr="0008481A">
        <w:softHyphen/>
        <w:t>åklagaren då hade satt upp var att alla överprövnings</w:t>
      </w:r>
      <w:r w:rsidRPr="0008481A">
        <w:softHyphen/>
        <w:t>ärenden och så kallade klagomålsärenden som inkommit under första halvåret 1998 skulle vara avverkade senast per den 30 juni 1999.</w:t>
      </w:r>
    </w:p>
    <w:p w:rsidR="003B3271" w:rsidRPr="0008481A" w:rsidRDefault="003B3271">
      <w:pPr>
        <w:pStyle w:val="Citatindrag"/>
      </w:pPr>
      <w:r w:rsidRPr="0008481A">
        <w:t>Den 1 juni 1999 tillträdde jag en annan tjänst. Det var min ambition att ärendet skulle vara klart innan dess – jag påbörjade till och med arbetet med att förbereda en föredragning. Under maj m</w:t>
      </w:r>
      <w:r w:rsidRPr="0008481A">
        <w:t>å</w:t>
      </w:r>
      <w:r w:rsidRPr="0008481A">
        <w:t>nad i år var jag under viss tid ensam kansliåklagare och tyvärr hann jag inte med ärendet. Under juni månad förberedde och föredrog jag några andra ärenden som jag blivit ombedd att slutföra. Inte heller då räckte tiden till.</w:t>
      </w:r>
    </w:p>
    <w:p w:rsidR="003B3271" w:rsidRPr="0008481A" w:rsidRDefault="003B3271">
      <w:pPr>
        <w:pStyle w:val="Citatindrag"/>
      </w:pPr>
      <w:r w:rsidRPr="0008481A">
        <w:t>Ärendet är numera avgjort.</w:t>
      </w:r>
    </w:p>
    <w:p w:rsidR="003B3271" w:rsidRPr="0008481A" w:rsidRDefault="003B3271">
      <w:pPr>
        <w:pStyle w:val="Rubrik4"/>
      </w:pPr>
      <w:r w:rsidRPr="0008481A">
        <w:t>Kansliåklagarens arbetsuppgifter</w:t>
      </w:r>
    </w:p>
    <w:p w:rsidR="003B3271" w:rsidRPr="0008481A" w:rsidRDefault="003B3271">
      <w:pPr>
        <w:pStyle w:val="Citat"/>
      </w:pPr>
      <w:r w:rsidRPr="0008481A">
        <w:t>För att ge en rättvis bild av mina arbetsuppgifter och framförallt av min arbets</w:t>
      </w:r>
      <w:r w:rsidRPr="0008481A">
        <w:softHyphen/>
        <w:t>belastning under tiden som kansliåklagare vill jag anföra följande.</w:t>
      </w:r>
    </w:p>
    <w:p w:rsidR="003B3271" w:rsidRPr="0008481A" w:rsidRDefault="003B3271">
      <w:pPr>
        <w:pStyle w:val="Citatindrag"/>
      </w:pPr>
      <w:r w:rsidRPr="0008481A">
        <w:t>Jag var kansliåklagare under tiden oktober 1996–den 31 maj 1999. Från och med maj månad 1997 var vi två kansliåklagare.</w:t>
      </w:r>
    </w:p>
    <w:p w:rsidR="003B3271" w:rsidRPr="0008481A" w:rsidRDefault="003B3271">
      <w:pPr>
        <w:pStyle w:val="Citatindrag"/>
      </w:pPr>
      <w:r w:rsidRPr="0008481A">
        <w:t>Till kansliåklagarens arbetsuppgifter av juridisk art hörde att bereda och före</w:t>
      </w:r>
      <w:r w:rsidRPr="0008481A">
        <w:softHyphen/>
        <w:t>dra överprövnings</w:t>
      </w:r>
      <w:r w:rsidRPr="0008481A">
        <w:t>ä</w:t>
      </w:r>
      <w:r w:rsidRPr="0008481A">
        <w:t>renden, klagomålsärenden och remissyttranden av olika slag. Under 1997 inkom 347 överprö</w:t>
      </w:r>
      <w:r w:rsidRPr="0008481A">
        <w:t>v</w:t>
      </w:r>
      <w:r w:rsidRPr="0008481A">
        <w:t>ningsärenden och 51 klago</w:t>
      </w:r>
      <w:r w:rsidRPr="0008481A">
        <w:softHyphen/>
        <w:t>målsärenden. Under 1998 och första halvåret 1999 inkom 322/62 r</w:t>
      </w:r>
      <w:r w:rsidRPr="0008481A">
        <w:t>e</w:t>
      </w:r>
      <w:r w:rsidRPr="0008481A">
        <w:t>spektive 166/25 ärenden.</w:t>
      </w:r>
    </w:p>
    <w:p w:rsidR="003B3271" w:rsidRPr="0008481A" w:rsidRDefault="003B3271">
      <w:pPr>
        <w:pStyle w:val="Citatindrag"/>
      </w:pPr>
      <w:r w:rsidRPr="0008481A">
        <w:t>Till arbetsuppgifterna hörde även att biträda överåklagaren och biträdande över</w:t>
      </w:r>
      <w:r w:rsidRPr="0008481A">
        <w:softHyphen/>
        <w:t>åklagaren i up</w:t>
      </w:r>
      <w:r w:rsidRPr="0008481A">
        <w:t>p</w:t>
      </w:r>
      <w:r w:rsidRPr="0008481A">
        <w:t>gifter av administrativ karaktär. Jag har således biträtt i arbetet med till exempel verksamhetspl</w:t>
      </w:r>
      <w:r w:rsidRPr="0008481A">
        <w:t>a</w:t>
      </w:r>
      <w:r w:rsidRPr="0008481A">
        <w:t>nering, återrapportering, säkerhet och tillsyn. Ofta fick jag uppdrag att ingå i olika arbetsgrupper såsom till exempel den så kallade lottningsgruppen vars arbetsuppgift var att göra en översyn av vårt lot</w:t>
      </w:r>
      <w:r w:rsidRPr="0008481A">
        <w:t>t</w:t>
      </w:r>
      <w:r w:rsidRPr="0008481A">
        <w:t>ningssystem.</w:t>
      </w:r>
    </w:p>
    <w:p w:rsidR="003B3271" w:rsidRPr="0008481A" w:rsidRDefault="003B3271">
      <w:pPr>
        <w:pStyle w:val="Citatindrag"/>
      </w:pPr>
      <w:r w:rsidRPr="0008481A">
        <w:t>Utöver ovan nämnda arbetsuppgifter hade kansliåklagaren att svara för direkta kontakter med andra myndigheter och med allmänheten. Således kopplades alla inkommande telefonsamta</w:t>
      </w:r>
      <w:r w:rsidRPr="0008481A">
        <w:t>l till kansliåklagaren.</w:t>
      </w:r>
    </w:p>
    <w:p w:rsidR="003B3271" w:rsidRPr="0008481A" w:rsidRDefault="003B3271">
      <w:pPr>
        <w:pStyle w:val="Citatindrag"/>
      </w:pPr>
      <w:r w:rsidRPr="0008481A">
        <w:t>Arbetssituationen på överåklagarens kansli har många gånger varit oerhört ansträngd. Jag och min kollega tvingades många gånger att göra ”blixt</w:t>
      </w:r>
      <w:r w:rsidRPr="0008481A">
        <w:softHyphen/>
        <w:t>utryckningar” för att ta itu med en fråga eller ett problem som dök upp och krävde snabb b</w:t>
      </w:r>
      <w:r w:rsidRPr="0008481A">
        <w:t>e</w:t>
      </w:r>
      <w:r w:rsidRPr="0008481A">
        <w:t>handling.</w:t>
      </w:r>
    </w:p>
    <w:p w:rsidR="003B3271" w:rsidRPr="0008481A" w:rsidRDefault="003B3271">
      <w:pPr>
        <w:pStyle w:val="Citatindrag"/>
      </w:pPr>
      <w:r w:rsidRPr="0008481A">
        <w:t>Under hösten 1998 handlade jag även ett större eko-mål i hovrätten.</w:t>
      </w:r>
    </w:p>
    <w:p w:rsidR="003B3271" w:rsidRPr="0008481A" w:rsidRDefault="003B3271">
      <w:pPr>
        <w:pStyle w:val="Citatindrag"/>
      </w:pPr>
      <w:r w:rsidRPr="0008481A">
        <w:t>Arbetet – såväl inom det juridiska som det administrativa blocket – föranledde ständiga ompriorit</w:t>
      </w:r>
      <w:r w:rsidRPr="0008481A">
        <w:t>e</w:t>
      </w:r>
      <w:r w:rsidRPr="0008481A">
        <w:t>ringar.</w:t>
      </w:r>
    </w:p>
    <w:p w:rsidR="003B3271" w:rsidRPr="0008481A" w:rsidRDefault="003B3271">
      <w:pPr>
        <w:pStyle w:val="Citatindrag"/>
      </w:pPr>
      <w:r w:rsidRPr="0008481A">
        <w:t>Sett i ett backspegelperspektiv – särskilt med beaktande av att Blenda Nordlander inom kort skulle gå i pension – borde kanske ärendet avgjorts tidigare. Emellertid medförde arbetsbelastnin</w:t>
      </w:r>
      <w:r w:rsidRPr="0008481A">
        <w:t>g</w:t>
      </w:r>
      <w:r w:rsidRPr="0008481A">
        <w:t>en och de ständiga ompriori</w:t>
      </w:r>
      <w:r w:rsidRPr="0008481A">
        <w:softHyphen/>
        <w:t>teringarna att genom</w:t>
      </w:r>
      <w:r w:rsidRPr="0008481A">
        <w:softHyphen/>
        <w:t>strömningstiden blev lång.</w:t>
      </w:r>
    </w:p>
    <w:p w:rsidR="003B3271" w:rsidRPr="0008481A" w:rsidRDefault="003B3271">
      <w:pPr>
        <w:pStyle w:val="Underskrifter"/>
      </w:pPr>
      <w:r w:rsidRPr="0008481A">
        <w:t>Birgit Thunved</w:t>
      </w:r>
    </w:p>
    <w:p w:rsidR="003B3271" w:rsidRPr="0008481A" w:rsidRDefault="003B3271">
      <w:pPr>
        <w:pStyle w:val="Citat"/>
      </w:pPr>
      <w:r w:rsidRPr="0008481A">
        <w:t>Som Mats Sällström anfört i sina upplysningar inkom klagomålen mot Blenda Nordlander den 20 februari 1998. Ärendet har varit färdigt för föredragning sedan den 22 maj 1998. Först den 13 september 1999 fattades beslut i ärendet. Det kan utan vidare konstateras att ärendets handläg</w:t>
      </w:r>
      <w:r w:rsidRPr="0008481A">
        <w:t>g</w:t>
      </w:r>
      <w:r w:rsidRPr="0008481A">
        <w:t>ning tagit oacceptabelt lång tid.</w:t>
      </w:r>
    </w:p>
    <w:p w:rsidR="003B3271" w:rsidRPr="0008481A" w:rsidRDefault="003B3271">
      <w:pPr>
        <w:pStyle w:val="Citatindrag"/>
      </w:pPr>
      <w:r w:rsidRPr="0008481A">
        <w:t>Vi har alltsedan 1997 haft en betydande balans av överprövnings- och klagomålsärenden på överåklagarens kansli. Vissa perioder har vi haft en balans på cirka 200–250 överprövnings- och klagomålsärenden. Varje månad upprättas en balansförteckning över dessa ärenden. Jag har kunnat konstatera att situationen stundtals varit djupt otillfredsställande.</w:t>
      </w:r>
    </w:p>
    <w:p w:rsidR="003B3271" w:rsidRPr="0008481A" w:rsidRDefault="003B3271">
      <w:pPr>
        <w:pStyle w:val="Citatindrag"/>
      </w:pPr>
      <w:r w:rsidRPr="0008481A">
        <w:t>Två kansliåklagare bereder och föredrar ärendena antingen för mig eller biträdande överåklagaren. Detta ärende skulle i första hand ha föredragits för mig. Jag hade tidigare anmodat Mats Sällström att inhämta yttrande från Blenda Nordla</w:t>
      </w:r>
      <w:r w:rsidRPr="0008481A">
        <w:t>n</w:t>
      </w:r>
      <w:r w:rsidRPr="0008481A">
        <w:t>der.</w:t>
      </w:r>
    </w:p>
    <w:p w:rsidR="003B3271" w:rsidRPr="0008481A" w:rsidRDefault="003B3271">
      <w:pPr>
        <w:pStyle w:val="Citatindrag"/>
      </w:pPr>
      <w:r w:rsidRPr="0008481A">
        <w:t>Vi har åtskilliga gånger diskuterat den besvärande balanssituationen. Många ärenden har måst prioriteras på bekostnad av andra. Jag har på olika sätt försökt komma till rätta med problemet. Vid vissa tillfällen har extra föredraganden tjänstgjort på kansliet. Det har emellertid varit svårt att längre perioder avdela åklagare för tjänstgöring på kansliet, eftersom det i hela distriktet rått brist på åklagare och den operativa åklagarverksamheten kommit i första hand.</w:t>
      </w:r>
    </w:p>
    <w:p w:rsidR="003B3271" w:rsidRPr="0008481A" w:rsidRDefault="003B3271">
      <w:pPr>
        <w:pStyle w:val="Citatindrag"/>
      </w:pPr>
      <w:r w:rsidRPr="0008481A">
        <w:t>Arbetssituationen är nu betydligt bättre. Enligt en balanslista upprättad 1999-10-04 finns 26 kl</w:t>
      </w:r>
      <w:r w:rsidRPr="0008481A">
        <w:t>a</w:t>
      </w:r>
      <w:r w:rsidRPr="0008481A">
        <w:t>gomålsärenden i balans varav ett inregistrerades 1998 samt 102 överprövningsärenden varav 12 inregistrerades 1998. Målet är att inte något ärende skall ta längre tid från inkommet till beslut än ett halvår. Ännu så länge är inte målet nått, men vi har kommit ett stycke på väg. Balansen har på det senaste hal</w:t>
      </w:r>
      <w:r w:rsidRPr="0008481A">
        <w:t>v</w:t>
      </w:r>
      <w:r w:rsidRPr="0008481A">
        <w:t>året halverats.</w:t>
      </w:r>
    </w:p>
    <w:p w:rsidR="003B3271" w:rsidRPr="0008481A" w:rsidRDefault="003B3271">
      <w:pPr>
        <w:pStyle w:val="Citatindrag"/>
      </w:pPr>
      <w:r w:rsidRPr="0008481A">
        <w:t xml:space="preserve">Jag kan inte annat än beklaga att ärendet tagit så lång tid. </w:t>
      </w:r>
    </w:p>
    <w:p w:rsidR="003B3271" w:rsidRPr="0008481A" w:rsidRDefault="003B3271">
      <w:r w:rsidRPr="0008481A">
        <w:t>Solveig Riberdahl anslöt sig till de synpunkter Birgit Thunved avgivit i sitt yttra</w:t>
      </w:r>
      <w:r w:rsidRPr="0008481A">
        <w:t>n</w:t>
      </w:r>
      <w:r w:rsidRPr="0008481A">
        <w:t>de och konstaterade att det var beklagligt att handläggningen dragit ut på tiden.</w:t>
      </w:r>
    </w:p>
    <w:p w:rsidR="003B3271" w:rsidRPr="0008481A" w:rsidRDefault="003B3271">
      <w:pPr>
        <w:pStyle w:val="Rubrik3"/>
      </w:pPr>
      <w:r w:rsidRPr="0008481A">
        <w:t>Bedömning</w:t>
      </w:r>
    </w:p>
    <w:p w:rsidR="003B3271" w:rsidRPr="0008481A" w:rsidRDefault="003B3271">
      <w:r w:rsidRPr="0008481A">
        <w:t>Anmälan från N.D. avser påstådda försummelser i tjänsten av en kammar</w:t>
      </w:r>
      <w:r w:rsidRPr="0008481A">
        <w:softHyphen/>
        <w:t>åklagare. Riksåklagaren har föreskrivit (RÅFS 1996:1 4 §) att anmälningar mot åklagare som innehar den tjänsteställning som är aktuell i detta ärende skall handläggas av överåklagare. Uppkommer fråga om att inleda förunder</w:t>
      </w:r>
      <w:r w:rsidRPr="0008481A">
        <w:softHyphen/>
        <w:t>sökning eller att göra a</w:t>
      </w:r>
      <w:r w:rsidRPr="0008481A">
        <w:t>n</w:t>
      </w:r>
      <w:r w:rsidRPr="0008481A">
        <w:t>mälan till Statens ansvarsnämnd skall ärendet överlämnas till Riksåklag</w:t>
      </w:r>
      <w:r w:rsidRPr="0008481A">
        <w:t>a</w:t>
      </w:r>
      <w:r w:rsidRPr="0008481A">
        <w:t>ren.</w:t>
      </w:r>
    </w:p>
    <w:p w:rsidR="003B3271" w:rsidRPr="0008481A" w:rsidRDefault="003B3271">
      <w:pPr>
        <w:pStyle w:val="Normaltindrag"/>
      </w:pPr>
      <w:r w:rsidRPr="0008481A">
        <w:t>Överåklagaren kan i sin tillsynsverksamhet inhämta yttranden från exempelvis en kammaråklagare över vad som förekommit i ett ärende. I detta fall har ett yttrande inhämtats och biträdand</w:t>
      </w:r>
      <w:r w:rsidRPr="0008481A">
        <w:t>e överåklagaren Birgitta Fernqvist har efter att bl.a. ha tagit del av yttrandet, den 13 september 1999,  beslutat att inte vidta någon ytterl</w:t>
      </w:r>
      <w:r w:rsidRPr="0008481A">
        <w:t>i</w:t>
      </w:r>
      <w:r w:rsidRPr="0008481A">
        <w:t>gare åtgärd i ärendet.</w:t>
      </w:r>
    </w:p>
    <w:p w:rsidR="003B3271" w:rsidRPr="0008481A" w:rsidRDefault="003B3271">
      <w:pPr>
        <w:pStyle w:val="Normaltindrag"/>
      </w:pPr>
      <w:r w:rsidRPr="0008481A">
        <w:t>Vid handläggningen av ett ärende av denna art bör överåklagaren först ta ställning till om det redan på grund av innehållet i anmälan finns anledning att inleda fö</w:t>
      </w:r>
      <w:r w:rsidRPr="0008481A">
        <w:t>r</w:t>
      </w:r>
      <w:r w:rsidRPr="0008481A">
        <w:t>undersökning och, om så befinns vara fallet, överlämna ärendet till Riksåklagaren för ställningstagande. Om förundersökning däremot inte skall inledas bör beslut därom fattas så snart som möjligt. Sedan ställnings</w:t>
      </w:r>
      <w:r w:rsidRPr="0008481A">
        <w:softHyphen/>
        <w:t>tagande till frågan om föru</w:t>
      </w:r>
      <w:r w:rsidRPr="0008481A">
        <w:t>n</w:t>
      </w:r>
      <w:r w:rsidRPr="0008481A">
        <w:t>dersökning skall inledas eller inte föreligger kan överåklagaren övergå till att pr</w:t>
      </w:r>
      <w:r w:rsidRPr="0008481A">
        <w:t>ö</w:t>
      </w:r>
      <w:r w:rsidRPr="0008481A">
        <w:t>va det anmälda förfarandet inom ramen för ett tillsynsärende och i detta inhämta ett yttrande från berörd åklagare. Att inhämta ett sådant yttrande innan beslut i förundersökningsfrågan</w:t>
      </w:r>
      <w:r w:rsidRPr="0008481A">
        <w:t xml:space="preserve"> föreligger innebär i realiteten att en förutredningsåtgärd vidtas. Som nämnts i tidigare beslut (se JO 1997/98 s. 98) är utrymmet för fö</w:t>
      </w:r>
      <w:r w:rsidRPr="0008481A">
        <w:t>r</w:t>
      </w:r>
      <w:r w:rsidRPr="0008481A">
        <w:t>utredningsåtgärder ytterst begränsat. Till detta kommer att det tillämpade förf</w:t>
      </w:r>
      <w:r w:rsidRPr="0008481A">
        <w:t>a</w:t>
      </w:r>
      <w:r w:rsidRPr="0008481A">
        <w:t>randet kan innebära en risk att den anmälde åklagaren medvetet eller omedvetet lämnar för honom oförmånliga uppgifter, vilka sedermera kan komma att anvä</w:t>
      </w:r>
      <w:r w:rsidRPr="0008481A">
        <w:t>n</w:t>
      </w:r>
      <w:r w:rsidRPr="0008481A">
        <w:t>das mot  honom vid en straffrättslig prövning. Ett sådant förfarande medför sål</w:t>
      </w:r>
      <w:r w:rsidRPr="0008481A">
        <w:t>e</w:t>
      </w:r>
      <w:r w:rsidRPr="0008481A">
        <w:t>des en risk för att åklagarens rättssäkerhetsintressen skull</w:t>
      </w:r>
      <w:r w:rsidRPr="0008481A">
        <w:t>e kunna trädas för när.</w:t>
      </w:r>
    </w:p>
    <w:p w:rsidR="003B3271" w:rsidRPr="0008481A" w:rsidRDefault="003B3271">
      <w:pPr>
        <w:pStyle w:val="Normaltindrag"/>
      </w:pPr>
      <w:r w:rsidRPr="0008481A">
        <w:t>Det är av grundläggande betydelse för tilliten till samhällets verksamhet för att utreda påstådda brott av exempelvis åklagare, domare och polismän, och därmed ytterst för allmänhetens förtroende för bl.a. åklagarväsendet, att utredningen av anmälningar mot dessa befattningshavare bedrivs på ett i alla hänseenden korrekt sätt. Det för den brottsutredande verksamheten gällande grundsatsen att handläg</w:t>
      </w:r>
      <w:r w:rsidRPr="0008481A">
        <w:t>g</w:t>
      </w:r>
      <w:r w:rsidRPr="0008481A">
        <w:t>ningen måste ske i sådana former att den inte ger fog för ifrågasättande av de u</w:t>
      </w:r>
      <w:r w:rsidRPr="0008481A">
        <w:t>t</w:t>
      </w:r>
      <w:r w:rsidRPr="0008481A">
        <w:t>redande myndigheternas objektivitet har här en  alldeles särskild tyngd.</w:t>
      </w:r>
    </w:p>
    <w:p w:rsidR="003B3271" w:rsidRPr="0008481A" w:rsidRDefault="003B3271">
      <w:pPr>
        <w:pStyle w:val="Normaltindrag"/>
      </w:pPr>
      <w:r w:rsidRPr="0008481A">
        <w:t>Orsaken till att ärendet inte avgjordes tidigare är svår att förstå. Jag är dock me</w:t>
      </w:r>
      <w:r w:rsidRPr="0008481A">
        <w:t>d</w:t>
      </w:r>
      <w:r w:rsidRPr="0008481A">
        <w:t>veten om att man inom åklagarväsendet av olika skäl måste prioritera vissa äre</w:t>
      </w:r>
      <w:r w:rsidRPr="0008481A">
        <w:t>n</w:t>
      </w:r>
      <w:r w:rsidRPr="0008481A">
        <w:t>den framför andra. Det framstår emellertid även mot denna bak</w:t>
      </w:r>
      <w:r w:rsidRPr="0008481A">
        <w:softHyphen/>
        <w:t>grund som a</w:t>
      </w:r>
      <w:r w:rsidRPr="0008481A">
        <w:t>n</w:t>
      </w:r>
      <w:r w:rsidRPr="0008481A">
        <w:t>märkningsvärt att ärendet inte slutförts tidigare än vad nu kom att ske. Jag noterar därför med tillfredsställelse att Birgit Thunved vidtagit åtgärder för att förbättra balansituationen och att arbetssituationen  nu för</w:t>
      </w:r>
      <w:r w:rsidRPr="0008481A">
        <w:softHyphen/>
        <w:t>bättrats.</w:t>
      </w:r>
    </w:p>
    <w:p w:rsidR="003B3271" w:rsidRPr="0008481A" w:rsidRDefault="003B3271">
      <w:pPr>
        <w:pStyle w:val="Normaltindrag"/>
      </w:pPr>
      <w:r w:rsidRPr="0008481A">
        <w:t>Vad som kommit fram i övrigt ger mig inte anledning till någon åtgärd eller något uttalande.</w:t>
      </w:r>
    </w:p>
    <w:p w:rsidR="003B3271" w:rsidRPr="0008481A" w:rsidRDefault="003B3271">
      <w:pPr>
        <w:pStyle w:val="Rubrik2"/>
      </w:pPr>
      <w:r w:rsidRPr="0008481A">
        <w:t>Möjligheten att inhämta skrift</w:t>
      </w:r>
      <w:r w:rsidRPr="0008481A">
        <w:softHyphen/>
        <w:t>liga berättelser från målsägande och vittnen</w:t>
      </w:r>
    </w:p>
    <w:p w:rsidR="003B3271" w:rsidRPr="0008481A" w:rsidRDefault="003B3271">
      <w:r w:rsidRPr="0008481A">
        <w:t>(Dnr 4617-1999)</w:t>
      </w:r>
    </w:p>
    <w:p w:rsidR="003B3271" w:rsidRPr="0008481A" w:rsidRDefault="003B3271">
      <w:pPr>
        <w:pStyle w:val="Rubrik3"/>
      </w:pPr>
      <w:r w:rsidRPr="0008481A">
        <w:t>Bakgrund</w:t>
      </w:r>
    </w:p>
    <w:p w:rsidR="003B3271" w:rsidRPr="0008481A" w:rsidRDefault="003B3271">
      <w:pPr>
        <w:rPr>
          <w:sz w:val="20"/>
        </w:rPr>
      </w:pPr>
      <w:r w:rsidRPr="0008481A">
        <w:t>Vid en inspektion av Polismyndigheten i Stockholms län, City polis</w:t>
      </w:r>
      <w:r w:rsidRPr="0008481A">
        <w:softHyphen/>
        <w:t>mästar</w:t>
      </w:r>
      <w:r w:rsidRPr="0008481A">
        <w:softHyphen/>
        <w:t>distrikt, närpolisområde Centralstationen, den 29 och 30 september 1999 granskades bl.a. tre ärenden avseende försök till tillgrepp av fortskaffnings</w:t>
      </w:r>
      <w:r w:rsidRPr="0008481A">
        <w:softHyphen/>
        <w:t>medel och misshandel. I dessa ärenden uppmärksammades att skriftliga berättelser från vittnen och måls</w:t>
      </w:r>
      <w:r w:rsidRPr="0008481A">
        <w:t>ä</w:t>
      </w:r>
      <w:r w:rsidRPr="0008481A">
        <w:t>gande hade inhämtats.</w:t>
      </w:r>
    </w:p>
    <w:p w:rsidR="003B3271" w:rsidRPr="0008481A" w:rsidRDefault="003B3271">
      <w:r w:rsidRPr="0008481A">
        <w:rPr>
          <w:i/>
        </w:rPr>
        <w:t>ChefsJO Eklundh</w:t>
      </w:r>
      <w:r w:rsidRPr="0008481A">
        <w:t xml:space="preserve"> beslutade att handläggningen skulle tas upp till prövning i ett särskilt ärende.</w:t>
      </w:r>
    </w:p>
    <w:p w:rsidR="003B3271" w:rsidRPr="0008481A" w:rsidRDefault="003B3271">
      <w:pPr>
        <w:pStyle w:val="Rubrik3"/>
      </w:pPr>
      <w:r w:rsidRPr="0008481A">
        <w:t>Utredning</w:t>
      </w:r>
    </w:p>
    <w:p w:rsidR="003B3271" w:rsidRPr="0008481A" w:rsidRDefault="003B3271">
      <w:r w:rsidRPr="0008481A">
        <w:t xml:space="preserve">Polismyndigheten anmodades att inkomma med upplysningar och yttrande över anledningen till att skriftliga berättelser hade inhämtats i de aktuella ärendena. </w:t>
      </w:r>
    </w:p>
    <w:p w:rsidR="003B3271" w:rsidRPr="0008481A" w:rsidRDefault="003B3271">
      <w:pPr>
        <w:pStyle w:val="Normaltindrag"/>
      </w:pPr>
      <w:r w:rsidRPr="0008481A">
        <w:t>Polismyndigheten (länspolismästaren Gunno Gunnmo) kom in med ett remissvar enligt bl.a. följande.</w:t>
      </w:r>
    </w:p>
    <w:p w:rsidR="003B3271" w:rsidRPr="0008481A" w:rsidRDefault="003B3271">
      <w:pPr>
        <w:pStyle w:val="Citat"/>
        <w:spacing w:line="213" w:lineRule="exact"/>
      </w:pPr>
      <w:r w:rsidRPr="0008481A">
        <w:t>Den berörde utredningsmannen i de tre aktuella brottsutredningarna, som gällde misstanke om tillgrepp av fortskaffningsmedel respektive misshandel i två fall, har uppgett följande.</w:t>
      </w:r>
    </w:p>
    <w:p w:rsidR="003B3271" w:rsidRPr="0008481A" w:rsidRDefault="003B3271">
      <w:pPr>
        <w:pStyle w:val="Citat"/>
      </w:pPr>
      <w:r w:rsidRPr="0008481A">
        <w:t>”Att i en del fall skicka ut en skriftlig berättelse är ett förenklat och snabbt sätt att inhämta infor</w:t>
      </w:r>
      <w:r w:rsidRPr="0008481A">
        <w:softHyphen/>
        <w:t>mation. Syftet har varit att samla information, en bas för fortsatt utredning. Syftet har varit att senare upprätta regelrätta förhör som ska ingå i den färdiga brottsutredningen som redovisas till åklagare. Med den skriftliga berättelsen har skickats frågor som skulle besvarats samt i en del fall även underrättelse till målsägare om möjligheterna till stöd och hjälp.”</w:t>
      </w:r>
    </w:p>
    <w:p w:rsidR="003B3271" w:rsidRPr="0008481A" w:rsidRDefault="003B3271">
      <w:pPr>
        <w:pStyle w:val="Rubrik4"/>
        <w:spacing w:before="240"/>
      </w:pPr>
      <w:r w:rsidRPr="0008481A">
        <w:t>Rättslig reglering</w:t>
      </w:r>
    </w:p>
    <w:p w:rsidR="003B3271" w:rsidRPr="0008481A" w:rsidRDefault="003B3271">
      <w:pPr>
        <w:pStyle w:val="Citat"/>
      </w:pPr>
      <w:r w:rsidRPr="0008481A">
        <w:t>I förundersökningskungörelsen (1947:948, FUK) finns en bestämmelse som före</w:t>
      </w:r>
      <w:r w:rsidRPr="0008481A">
        <w:softHyphen/>
        <w:t>skriver att skrift</w:t>
      </w:r>
      <w:r w:rsidRPr="0008481A">
        <w:softHyphen/>
        <w:t>lig berättelse får inhämtas i stället för att förhör hålls (8 §). Den nu gällande bestämmelsen tillkom efter förslag från den s.k. Trafikmålskommittén (SOU 1967:59, s. 131–141 och 284, SFS 1969:589). Trafikmålskommittén anför bl.a. följande som är av intresse (s. 139 ff.).</w:t>
      </w:r>
    </w:p>
    <w:p w:rsidR="003B3271" w:rsidRPr="0008481A" w:rsidRDefault="003B3271">
      <w:pPr>
        <w:pStyle w:val="Citatindrag"/>
      </w:pPr>
      <w:r w:rsidRPr="0008481A">
        <w:t xml:space="preserve">”De positiva erfarenheterna av skriftliga berättelser i trafikmål har gjort att kommittén velat ta upp frågan om inte </w:t>
      </w:r>
      <w:r w:rsidRPr="0008481A">
        <w:rPr>
          <w:i/>
        </w:rPr>
        <w:t>systemet</w:t>
      </w:r>
      <w:r w:rsidRPr="0008481A">
        <w:t xml:space="preserve"> i större utsträckning än vad som nu är fallet skulle kunna användas även utanför </w:t>
      </w:r>
      <w:r w:rsidRPr="0008481A">
        <w:rPr>
          <w:i/>
        </w:rPr>
        <w:t>trafikmålen</w:t>
      </w:r>
      <w:r w:rsidRPr="0008481A">
        <w:t>.</w:t>
      </w:r>
    </w:p>
    <w:p w:rsidR="003B3271" w:rsidRPr="0008481A" w:rsidRDefault="003B3271">
      <w:pPr>
        <w:pStyle w:val="Citatindrag"/>
      </w:pPr>
      <w:r w:rsidRPr="0008481A">
        <w:t>Även om svårigheterna att överföra denna förhörsform från trafikmål till andra brottmål ej skall underskattas, kan således systemet säkerligen i viss omfattning även brukas utanför trafikområdet. I de fall där polismän är direkt inblandade t.ex. i fråga om våldsamt motstånd och våld mot tjäns</w:t>
      </w:r>
      <w:r w:rsidRPr="0008481A">
        <w:softHyphen/>
        <w:t>teman, bör som regel polismannen vid avrapporteringar skriftligen berätta om händelsen på ett sådant sätt, att berättelsen sedan direkt kan mångfaldigas och biläggas förundersökningsprotokol</w:t>
      </w:r>
      <w:r w:rsidRPr="0008481A">
        <w:softHyphen/>
        <w:t>let. Vid butikssnatterier hörs som regel en butiks</w:t>
      </w:r>
      <w:r w:rsidRPr="0008481A">
        <w:softHyphen/>
        <w:t xml:space="preserve">kontrollant som vittne. Kontrollanten själv skriver efter varje ingripande en skriftlig berättelse angående händelseförloppet. Berättelsen sänds därefter till polismyndigheten. Enligt vad kommittén inhämtat är denna rapport i regel så utförlig att den väl skulle kunna </w:t>
      </w:r>
      <w:r w:rsidRPr="0008481A">
        <w:t xml:space="preserve">användas vid förundersökningen. </w:t>
      </w:r>
      <w:r w:rsidRPr="0008481A">
        <w:rPr>
          <w:rFonts w:ascii="Garamond" w:hAnsi="Garamond"/>
        </w:rPr>
        <w:t>– – –</w:t>
      </w:r>
      <w:r w:rsidRPr="0008481A">
        <w:softHyphen/>
      </w:r>
    </w:p>
    <w:p w:rsidR="003B3271" w:rsidRPr="0008481A" w:rsidRDefault="003B3271">
      <w:pPr>
        <w:pStyle w:val="Citatindrag"/>
      </w:pPr>
      <w:r w:rsidRPr="0008481A">
        <w:t>Liksom under försöksverksamheten bör dock den här ifrågavarande förhörsformen i allmänhet endast komma i fråga beträffande målsägande och vittnen. Vid utredningar av ordningsförseelser, t.ex. vissa överträdelser av reglerna i allmänna ordningsstadgan, torde dock den misstänktes upp</w:t>
      </w:r>
      <w:r w:rsidRPr="0008481A">
        <w:softHyphen/>
        <w:t>fattning med fördel kunna inhämtas genom skriftlig berättelse. I grövre brottmål torde man i all</w:t>
      </w:r>
      <w:r w:rsidRPr="0008481A">
        <w:softHyphen/>
        <w:t>mänhet ej annat än undantagsvis kunna tillämpa detta förfaringssätt. Som exempel på en sådan undantagssituation kan anges när svar önskas på en viss bestämd sak. Ofta är annars frågeställ</w:t>
      </w:r>
      <w:r w:rsidRPr="0008481A">
        <w:softHyphen/>
        <w:t>ningarna i dessa mål alltför invecklade.</w:t>
      </w:r>
    </w:p>
    <w:p w:rsidR="003B3271" w:rsidRPr="0008481A" w:rsidRDefault="003B3271">
      <w:pPr>
        <w:pStyle w:val="Citatindrag"/>
      </w:pPr>
      <w:r w:rsidRPr="0008481A">
        <w:t>Kommittén är som sagt positiv till en ökad användning av skriftliga berättelser i utredningsarbetet. Ej obetydliga tidsvinster torde kunna erhållas. Kommittén anser inte att det i RB fi</w:t>
      </w:r>
      <w:r w:rsidRPr="0008481A">
        <w:t>nns någon be</w:t>
      </w:r>
      <w:r w:rsidRPr="0008481A">
        <w:softHyphen/>
        <w:t xml:space="preserve">stämmelse som hindrar en sådan utveckling. </w:t>
      </w:r>
      <w:r w:rsidRPr="0008481A">
        <w:rPr>
          <w:rFonts w:ascii="Garamond" w:hAnsi="Garamond"/>
        </w:rPr>
        <w:t>– – –</w:t>
      </w:r>
      <w:r w:rsidRPr="0008481A">
        <w:softHyphen/>
        <w:t xml:space="preserve"> Den utvidgning av systemet med skriftliga berät</w:t>
      </w:r>
      <w:r w:rsidRPr="0008481A">
        <w:softHyphen/>
        <w:t>telser som kommittén anser motiverat med hänsyn bl.a. till de positiva erfaren</w:t>
      </w:r>
      <w:r w:rsidRPr="0008481A">
        <w:softHyphen/>
        <w:t>heterna under för</w:t>
      </w:r>
      <w:r w:rsidRPr="0008481A">
        <w:softHyphen/>
        <w:t>söksverksamheten, bör föranleda en ändring i förunder</w:t>
      </w:r>
      <w:r w:rsidRPr="0008481A">
        <w:softHyphen/>
        <w:t>söknings</w:t>
      </w:r>
      <w:r w:rsidRPr="0008481A">
        <w:softHyphen/>
        <w:t>kungörelsen. En utvidgning förut</w:t>
      </w:r>
      <w:r w:rsidRPr="0008481A">
        <w:softHyphen/>
        <w:t>sätter således ändring i de före</w:t>
      </w:r>
      <w:r w:rsidRPr="0008481A">
        <w:softHyphen/>
        <w:t>skrifter, som nu reglerar frågan om när skriftlig berättelse får inford</w:t>
      </w:r>
      <w:r w:rsidRPr="0008481A">
        <w:softHyphen/>
        <w:t>ras i stället för att vanligt förhör hålls. Skriftlig berättelse bör enligt kommitténs mening få inford</w:t>
      </w:r>
      <w:r w:rsidRPr="0008481A">
        <w:softHyphen/>
        <w:t>ras i alla de fall, där så anses lämpligt. Det är angeläget att polisen ges möjlighet att använda förfa</w:t>
      </w:r>
      <w:r w:rsidRPr="0008481A">
        <w:softHyphen/>
        <w:t>randet i alla de fall, där den bedömer möjligheten att få ett godtagbart resultat som gynnsa</w:t>
      </w:r>
      <w:r w:rsidRPr="0008481A">
        <w:t>m</w:t>
      </w:r>
      <w:r w:rsidRPr="0008481A">
        <w:t>ma. Detta innebär självfallet att liksom för närvarande även komplettering av förhör kan ske g</w:t>
      </w:r>
      <w:r w:rsidRPr="0008481A">
        <w:t>e</w:t>
      </w:r>
      <w:r w:rsidRPr="0008481A">
        <w:t>nom skriftlig b</w:t>
      </w:r>
      <w:r w:rsidRPr="0008481A">
        <w:t>e</w:t>
      </w:r>
      <w:r w:rsidRPr="0008481A">
        <w:t>rättelse.”</w:t>
      </w:r>
    </w:p>
    <w:p w:rsidR="003B3271" w:rsidRPr="0008481A" w:rsidRDefault="003B3271">
      <w:pPr>
        <w:pStyle w:val="Citatindrag"/>
      </w:pPr>
      <w:r w:rsidRPr="0008481A">
        <w:t>Rikspolisstyrelsen (RPS) har i allmänna råd för trafikmålsutredningar (FAP 411-1) berört frågan om inhämtande av skriftlig berättelse. Under avsnitt 3.3 Förhör anförs bl.a. följande. ”Kan förh</w:t>
      </w:r>
      <w:r w:rsidRPr="0008481A">
        <w:t>ör med vittne/målsägande inte hållas på olycksplatsen bör möjligheten att begära skriftlig berättelse alltid beaktas. Blanketten ”Skriftlig berättelse” jämte svarskuvert överlämnas då till vederbörande sedan polismannen gjort erforderliga anteckningar i fältet 'Tid och plats för händelsen'. Bedöms skriftlig berättelse inte ge tillfredsställande resultat hålls i stället förhör, om möjligt per telefon.” Riks</w:t>
      </w:r>
      <w:r w:rsidRPr="0008481A">
        <w:softHyphen/>
        <w:t>polisstyrelsen (RPS) har vidare tagit fram en blankett benämnd ”Begäran om skriftlig berät</w:t>
      </w:r>
      <w:r w:rsidRPr="0008481A">
        <w:softHyphen/>
        <w:t>telse”.</w:t>
      </w:r>
    </w:p>
    <w:p w:rsidR="003B3271" w:rsidRPr="0008481A" w:rsidRDefault="003B3271">
      <w:pPr>
        <w:pStyle w:val="Rubrik4"/>
        <w:spacing w:before="240"/>
      </w:pPr>
      <w:r w:rsidRPr="0008481A">
        <w:t>Bed</w:t>
      </w:r>
      <w:r w:rsidRPr="0008481A">
        <w:t>ömning</w:t>
      </w:r>
    </w:p>
    <w:p w:rsidR="003B3271" w:rsidRPr="0008481A" w:rsidRDefault="003B3271">
      <w:pPr>
        <w:pStyle w:val="Citat"/>
      </w:pPr>
      <w:r w:rsidRPr="0008481A">
        <w:t>Som framgår av utredningsmannens redogörelse har skriftlig berättelse använts i syfte att snabbt och förenklat kunna samla information för den fortsatta utredningen. Avsikten har varit att senare hålla regelrätta förhör som skall ingå i den färdiga utredningen som redovisas till åklagaren. San</w:t>
      </w:r>
      <w:r w:rsidRPr="0008481A">
        <w:softHyphen/>
        <w:t>nolikt har också det allmänna arbetsläget vid närpolisstationen funnits med vid de överväganden som gjorts i denna fråga.</w:t>
      </w:r>
    </w:p>
    <w:p w:rsidR="003B3271" w:rsidRPr="0008481A" w:rsidRDefault="003B3271">
      <w:pPr>
        <w:pStyle w:val="Citatindrag"/>
      </w:pPr>
      <w:r w:rsidRPr="0008481A">
        <w:t>Avsikten med inhämtandet av de skriftliga berättelserna har således enligt utredningsmannen inte varit att dessa skulle ersätta ett förhör, utan de var bara ett sätt att inledningsvis skaffa sig infor</w:t>
      </w:r>
      <w:r w:rsidRPr="0008481A">
        <w:softHyphen/>
        <w:t>mation om de aktuella händelserna. I utredningarna har dock, som framgår av akterna, inte några kompletterande förhör hållits med de personer som skriftlig berättelse inhämtats från. 8 § FUK är således direkt tillämplig i de aktuella fallen.</w:t>
      </w:r>
    </w:p>
    <w:p w:rsidR="003B3271" w:rsidRPr="0008481A" w:rsidRDefault="003B3271">
      <w:pPr>
        <w:pStyle w:val="Citatindrag"/>
      </w:pPr>
      <w:r w:rsidRPr="0008481A">
        <w:t>Myndigheten konstaterar att bestämmelsen om inhämtande av skriftlig berättelse inte innehåller föreskrifter om och när denna kan tillämpas. Det föreskrivs endast att skriftlig berättelse får i</w:t>
      </w:r>
      <w:r w:rsidRPr="0008481A">
        <w:t>n</w:t>
      </w:r>
      <w:r w:rsidRPr="0008481A">
        <w:t>ford</w:t>
      </w:r>
      <w:r w:rsidRPr="0008481A">
        <w:softHyphen/>
        <w:t>ras i stället för att förhör hålls. Någon formell begränsning har således inte förelegat att använda metoden i de aktuella fallen. Det är i stället en lämplighetsfråga i vilken utsträckning metoden bör användas. Som Trafikmålskommittén anför bör skriftlig berättelse få infordras i alla de fall – även andra än trafik</w:t>
      </w:r>
      <w:r w:rsidRPr="0008481A">
        <w:softHyphen/>
        <w:t>brotts</w:t>
      </w:r>
      <w:r w:rsidRPr="0008481A">
        <w:softHyphen/>
        <w:t>utredningar – där så anses lämpligt. Det anförs vidare att det är angeläget poli</w:t>
      </w:r>
      <w:r w:rsidRPr="0008481A">
        <w:softHyphen/>
        <w:t>sen ges möjlighet att använda förfarandet i alla de fall där den bedömer möjligheten att få ett god</w:t>
      </w:r>
      <w:r w:rsidRPr="0008481A">
        <w:softHyphen/>
      </w:r>
      <w:r w:rsidRPr="0008481A">
        <w:t>tagbart resultat som gynnsamma. Kommittén konstaterar också att inte obetydliga tidsvinster torde kunna erhållas genom denna metod (se ovan samt a. SOU s. 140 f.).</w:t>
      </w:r>
    </w:p>
    <w:p w:rsidR="003B3271" w:rsidRPr="0008481A" w:rsidRDefault="003B3271">
      <w:pPr>
        <w:pStyle w:val="Citatindrag"/>
      </w:pPr>
      <w:r w:rsidRPr="0008481A">
        <w:t>En lämplighetsbedömning måste, som myndigheten ser det, givetvis göras utifrån omständighe</w:t>
      </w:r>
      <w:r w:rsidRPr="0008481A">
        <w:softHyphen/>
        <w:t>terna i det enskilda fallet, där såväl den aktuella händelsen som den aktuella personen (vitt</w:t>
      </w:r>
      <w:r w:rsidRPr="0008481A">
        <w:softHyphen/>
        <w:t>net/målsägande) finns med i övervägandena. Brottets och utredningens svårighetsgrad samt perso</w:t>
      </w:r>
      <w:r w:rsidRPr="0008481A">
        <w:softHyphen/>
        <w:t>nens roll i utredningen är sådant som måste finnas med vid bedömningen.</w:t>
      </w:r>
    </w:p>
    <w:p w:rsidR="003B3271" w:rsidRPr="0008481A" w:rsidRDefault="003B3271">
      <w:pPr>
        <w:pStyle w:val="Citatindrag"/>
      </w:pPr>
      <w:r w:rsidRPr="0008481A">
        <w:t>Mot bakgrund av att denna bedömning endast kan göras i den aktuella, konkreta situationen, anser myndigheten att det inte kan sägas att utred</w:t>
      </w:r>
      <w:r w:rsidRPr="0008481A">
        <w:softHyphen/>
        <w:t>ningsmannen förfarit olämpligt då den inhämtat skrift</w:t>
      </w:r>
      <w:r w:rsidRPr="0008481A">
        <w:softHyphen/>
        <w:t>lig berättelse i de aktuella fallen. Som vidare framkommit var avsikten inte att den skriftliga be</w:t>
      </w:r>
      <w:r w:rsidRPr="0008481A">
        <w:softHyphen/>
        <w:t>rättelsen skulle ersätta förhören, utan att den var tänkt att fungera som ett komplement. My</w:t>
      </w:r>
      <w:r w:rsidRPr="0008481A">
        <w:t>n</w:t>
      </w:r>
      <w:r w:rsidRPr="0008481A">
        <w:t>dig</w:t>
      </w:r>
      <w:r w:rsidRPr="0008481A">
        <w:softHyphen/>
        <w:t xml:space="preserve">heten vill i sammanhanget framföra att myndigheten är av den bestämda uppfattningen att det inte går att generellt uttala att denna metod är olämplig vid exempelvis misshandel eller tillgreppsbrott (jfr Trafikmålskommittén uttalande s. 140 f.). Samtidigt skall </w:t>
      </w:r>
      <w:r w:rsidRPr="0008481A">
        <w:t>dock klarläggas att myndigheten anser att förhör givetvis bör vara den absoluta normalmetoden för att inhämta information från den berörda personen i utredningen. Metoden skriftlig berättelse bör dock kunna användas under de förut</w:t>
      </w:r>
      <w:r w:rsidRPr="0008481A">
        <w:softHyphen/>
        <w:t>sättningar som Trafikmålskommittén anfört, inte minst som ett kompl</w:t>
      </w:r>
      <w:r w:rsidRPr="0008481A">
        <w:t>e</w:t>
      </w:r>
      <w:r w:rsidRPr="0008481A">
        <w:t>ment till förhör.</w:t>
      </w:r>
    </w:p>
    <w:p w:rsidR="003B3271" w:rsidRPr="0008481A" w:rsidRDefault="003B3271">
      <w:pPr>
        <w:pStyle w:val="Citatindrag"/>
      </w:pPr>
      <w:r w:rsidRPr="0008481A">
        <w:t>Avslutningsvis konstaterar myndigheten att det i två av fallen saknas formellt beslut om inleda</w:t>
      </w:r>
      <w:r w:rsidRPr="0008481A">
        <w:t>n</w:t>
      </w:r>
      <w:r w:rsidRPr="0008481A">
        <w:t>de av förundersökning, vilket det rätteligen skulle ha fattats beslut om enligt 23 kap. 3 § första stycket RB.</w:t>
      </w:r>
    </w:p>
    <w:p w:rsidR="003B3271" w:rsidRPr="0008481A" w:rsidRDefault="003B3271"/>
    <w:p w:rsidR="003B3271" w:rsidRPr="0008481A" w:rsidRDefault="003B3271">
      <w:r w:rsidRPr="0008481A">
        <w:t xml:space="preserve">I ett beslut den 6 april 2000 anförde </w:t>
      </w:r>
      <w:r w:rsidRPr="0008481A">
        <w:rPr>
          <w:i/>
        </w:rPr>
        <w:t>chefsJO Eklundh</w:t>
      </w:r>
      <w:r w:rsidRPr="0008481A">
        <w:t xml:space="preserve"> bl.a. följande.</w:t>
      </w:r>
    </w:p>
    <w:p w:rsidR="003B3271" w:rsidRPr="0008481A" w:rsidRDefault="003B3271">
      <w:pPr>
        <w:pStyle w:val="Rubrik3"/>
      </w:pPr>
      <w:r w:rsidRPr="0008481A">
        <w:t>Bedömning</w:t>
      </w:r>
    </w:p>
    <w:p w:rsidR="003B3271" w:rsidRPr="0008481A" w:rsidRDefault="003B3271">
      <w:r w:rsidRPr="0008481A">
        <w:t>Under en förundersökning får förhör hållas med var och en som antas kunna lä</w:t>
      </w:r>
      <w:r w:rsidRPr="0008481A">
        <w:t>m</w:t>
      </w:r>
      <w:r w:rsidRPr="0008481A">
        <w:t>na upplysningar av betydelse för utredningen (23 kap. 6 § rättegångs</w:t>
      </w:r>
      <w:r w:rsidRPr="0008481A">
        <w:softHyphen/>
        <w:t>balken). Av  8 § förundersökningskungörelsen (1947:948) (FUK) framgår att man i stället för att hålla förhör får infordra en skriftlig berättelse.</w:t>
      </w:r>
    </w:p>
    <w:p w:rsidR="003B3271" w:rsidRPr="0008481A" w:rsidRDefault="003B3271">
      <w:pPr>
        <w:pStyle w:val="Normaltindrag"/>
      </w:pPr>
      <w:r w:rsidRPr="0008481A">
        <w:t>Bestämmelsen i 8 § FUK fick sin nuvarande lydelse efter ett förslag från Trafi</w:t>
      </w:r>
      <w:r w:rsidRPr="0008481A">
        <w:t>k</w:t>
      </w:r>
      <w:r w:rsidRPr="0008481A">
        <w:softHyphen/>
        <w:t>målskommittén i dess andra delbetän</w:t>
      </w:r>
      <w:r w:rsidRPr="0008481A">
        <w:softHyphen/>
        <w:t>kande (SOU 1967:59) Förunder</w:t>
      </w:r>
      <w:r w:rsidRPr="0008481A">
        <w:softHyphen/>
        <w:t>sökning. I detta behandlades bl.a. frågan om inhämtande av skriftliga berättelser under en förundersökning. Kommitténs uttalanden avsåg i första hand handläggningen av trafikmål. Den väckte emellertid frågan om inte systemet skulle kunna användas också i andra utredningar. Jag kan i detta hänseende hänvisa till de uttalanden av kommittén som återges i polis</w:t>
      </w:r>
      <w:r w:rsidRPr="0008481A">
        <w:softHyphen/>
        <w:t>myndighetens remissvar.</w:t>
      </w:r>
    </w:p>
    <w:p w:rsidR="003B3271" w:rsidRPr="0008481A" w:rsidRDefault="003B3271">
      <w:pPr>
        <w:pStyle w:val="Normaltindrag"/>
      </w:pPr>
      <w:r w:rsidRPr="0008481A">
        <w:t>Bestämmelsen i 8 § FUK anger inte närmare i vilka fall skrift</w:t>
      </w:r>
      <w:r w:rsidRPr="0008481A">
        <w:t>lig berättelse får infordras. Som polismyndigheten har framhållit är det således en lämplighetsfråga i vilken utsträckning metoden kan användas.</w:t>
      </w:r>
    </w:p>
    <w:p w:rsidR="003B3271" w:rsidRPr="0008481A" w:rsidRDefault="003B3271">
      <w:pPr>
        <w:pStyle w:val="Normaltindrag"/>
      </w:pPr>
      <w:r w:rsidRPr="0008481A">
        <w:t>Jag har i ett tidigare ärende (JO 1997/98 s. 159) redovisat min syn på möjlighete</w:t>
      </w:r>
      <w:r w:rsidRPr="0008481A">
        <w:t>r</w:t>
      </w:r>
      <w:r w:rsidRPr="0008481A">
        <w:t>na att inhämta skriftliga berättelser från misstänkta. Jag uttalade där att ett sådant förfarande kan tillämpas endast om sakförhållandena är okomplicerade, och att det praktiska användningsområdet för ett sådant handlande därför torde vara begrä</w:t>
      </w:r>
      <w:r w:rsidRPr="0008481A">
        <w:t>n</w:t>
      </w:r>
      <w:r w:rsidRPr="0008481A">
        <w:t xml:space="preserve">sat. </w:t>
      </w:r>
    </w:p>
    <w:p w:rsidR="003B3271" w:rsidRPr="0008481A" w:rsidRDefault="003B3271">
      <w:pPr>
        <w:pStyle w:val="Normaltindrag"/>
      </w:pPr>
      <w:r w:rsidRPr="0008481A">
        <w:t>Också när det är fråga om att inhämta uppgifter från vittnen och mål</w:t>
      </w:r>
      <w:r w:rsidRPr="0008481A">
        <w:softHyphen/>
        <w:t>s</w:t>
      </w:r>
      <w:r w:rsidRPr="0008481A">
        <w:softHyphen/>
        <w:t>ägande bör  förfarandet med skriftliga berättelser användas med stor urskill</w:t>
      </w:r>
      <w:r w:rsidRPr="0008481A">
        <w:softHyphen/>
        <w:t>ning. Även här bör huvudregeln vara att sedvanliga förhör skall hållas. I likhet med polismyndigheten anser jag emellertid att det inte är möjligt att generellt uttala att förfarandet är olämpligt vid vissa typer av brott. Det måste i stället göras en särskild bedömning  i varje enskilt fall. Omständigheter av betydelse vid en sådan bedömning är exe</w:t>
      </w:r>
      <w:r w:rsidRPr="0008481A">
        <w:t>m</w:t>
      </w:r>
      <w:r w:rsidRPr="0008481A">
        <w:t>pelvis brottets svårhetsgrad, utredningens omfattning, arten av de sakförhålland</w:t>
      </w:r>
      <w:r w:rsidRPr="0008481A">
        <w:t>en och rättsfrågor som utredningen gäller samt givetvis vad vittnet eller målsäganden skall höras om. Man måste i sammanhanget vidare beakta att förmågan att u</w:t>
      </w:r>
      <w:r w:rsidRPr="0008481A">
        <w:t>t</w:t>
      </w:r>
      <w:r w:rsidRPr="0008481A">
        <w:t>trycka sig i skrift varierar i hög grad från en person till en annan samt att förfara</w:t>
      </w:r>
      <w:r w:rsidRPr="0008481A">
        <w:t>n</w:t>
      </w:r>
      <w:r w:rsidRPr="0008481A">
        <w:t>det med skriftliga berättelser gör det omöjligt för polisen att genom komplettera</w:t>
      </w:r>
      <w:r w:rsidRPr="0008481A">
        <w:t>n</w:t>
      </w:r>
      <w:r w:rsidRPr="0008481A">
        <w:t>de frågor påtala inkonsekvenser och undanröja andra oklarheter i berättelsen i direkt samband med att den avges. Skriftliga berättelser bör därför – i likhet med vad som gäller i fråga</w:t>
      </w:r>
      <w:r w:rsidRPr="0008481A">
        <w:t xml:space="preserve"> om misstänkta – inhämtas från målsägande och vittnen e</w:t>
      </w:r>
      <w:r w:rsidRPr="0008481A">
        <w:t>n</w:t>
      </w:r>
      <w:r w:rsidRPr="0008481A">
        <w:t>dast i fråga om okomplicerade sakförhållanden. Enligt min mening är det prakti</w:t>
      </w:r>
      <w:r w:rsidRPr="0008481A">
        <w:t>s</w:t>
      </w:r>
      <w:r w:rsidRPr="0008481A">
        <w:t>ka an</w:t>
      </w:r>
      <w:r w:rsidRPr="0008481A">
        <w:softHyphen/>
        <w:t>vänd</w:t>
      </w:r>
      <w:r w:rsidRPr="0008481A">
        <w:softHyphen/>
        <w:t>ningsområdet för förfarandet därför även i dessa fall tämligen begrä</w:t>
      </w:r>
      <w:r w:rsidRPr="0008481A">
        <w:t>n</w:t>
      </w:r>
      <w:r w:rsidRPr="0008481A">
        <w:t>sat.</w:t>
      </w:r>
    </w:p>
    <w:p w:rsidR="003B3271" w:rsidRPr="0008481A" w:rsidRDefault="003B3271">
      <w:pPr>
        <w:pStyle w:val="Normaltindrag"/>
      </w:pPr>
      <w:r w:rsidRPr="0008481A">
        <w:t>Av polismyndighetens yttrande framgår att utredningsmannen i de tre här aktuella brottsutredningarna uppgett att syftet med att begära in de skriftliga berättelserna  varit att samla information som bas för en fortsatt utredning samt att avsikten varit att det senare skulle genomföras regelr</w:t>
      </w:r>
      <w:r w:rsidRPr="0008481A">
        <w:t>ätta förhör i ärendena. Jag vill med anle</w:t>
      </w:r>
      <w:r w:rsidRPr="0008481A">
        <w:t>d</w:t>
      </w:r>
      <w:r w:rsidRPr="0008481A">
        <w:t>ning härav framhålla att det av lydelsen av 8 § FUK framgår att åtgärden att i</w:t>
      </w:r>
      <w:r w:rsidRPr="0008481A">
        <w:t>n</w:t>
      </w:r>
      <w:r w:rsidRPr="0008481A">
        <w:t>hämta en skriftlig berättelse är avsedd att ersätta ett sedvanligt förhör. Om man redan från början gör den bedömningen att det är nödvändigt att hålla ett förhör med en målsägande eller ett vittne, bör således någon skriftlig berättelse inte i</w:t>
      </w:r>
      <w:r w:rsidRPr="0008481A">
        <w:t>n</w:t>
      </w:r>
      <w:r w:rsidRPr="0008481A">
        <w:t>fordras annat än i undantagsfall. Jag vill i detta sammanhang erinra om bestä</w:t>
      </w:r>
      <w:r w:rsidRPr="0008481A">
        <w:t>m</w:t>
      </w:r>
      <w:r w:rsidRPr="0008481A">
        <w:t>melsen i 23 kap. 4 § RB att en förundersökning skall bedrivas på såd</w:t>
      </w:r>
      <w:r w:rsidRPr="0008481A">
        <w:t>ant sätt att ingen onödigt får vidkännas kostnad eller annan olägenhet.</w:t>
      </w:r>
    </w:p>
    <w:p w:rsidR="003B3271" w:rsidRPr="0008481A" w:rsidRDefault="003B3271">
      <w:pPr>
        <w:pStyle w:val="Rubrik2"/>
      </w:pPr>
      <w:r w:rsidRPr="0008481A">
        <w:t>Skrivelse till Justitiedepartementet med synpunkter med anledning av iakttagelser gjorda under inspektioner vid vissa av polisens internutre</w:t>
      </w:r>
      <w:r w:rsidRPr="0008481A">
        <w:t>d</w:t>
      </w:r>
      <w:r w:rsidRPr="0008481A">
        <w:t>ningsenheter m.m.</w:t>
      </w:r>
    </w:p>
    <w:p w:rsidR="003B3271" w:rsidRPr="0008481A" w:rsidRDefault="003B3271">
      <w:r w:rsidRPr="0008481A">
        <w:t>(1418-1998 m.fl.)</w:t>
      </w:r>
    </w:p>
    <w:p w:rsidR="003B3271" w:rsidRPr="0008481A" w:rsidRDefault="003B3271">
      <w:pPr>
        <w:tabs>
          <w:tab w:val="left" w:pos="1701"/>
          <w:tab w:val="left" w:pos="3402"/>
          <w:tab w:val="left" w:pos="6237"/>
          <w:tab w:val="left" w:pos="8222"/>
        </w:tabs>
      </w:pPr>
      <w:r w:rsidRPr="0008481A">
        <w:t>I en skrivelse den 13 juni 2000 till Justitiedepartementet, vilken också översändes till bl.a. just</w:t>
      </w:r>
      <w:r w:rsidRPr="0008481A">
        <w:t>i</w:t>
      </w:r>
      <w:r w:rsidRPr="0008481A">
        <w:t>tieutskottet för kännedom, anförde</w:t>
      </w:r>
      <w:r w:rsidRPr="0008481A">
        <w:rPr>
          <w:i/>
        </w:rPr>
        <w:t xml:space="preserve"> chefsJO Eklundh</w:t>
      </w:r>
      <w:r w:rsidRPr="0008481A">
        <w:t xml:space="preserve"> följande.</w:t>
      </w:r>
    </w:p>
    <w:p w:rsidR="003B3271" w:rsidRPr="0008481A" w:rsidRDefault="003B3271">
      <w:pPr>
        <w:pStyle w:val="Rubrik3"/>
      </w:pPr>
      <w:r w:rsidRPr="0008481A">
        <w:t>Bakgrund</w:t>
      </w:r>
    </w:p>
    <w:p w:rsidR="003B3271" w:rsidRPr="0008481A" w:rsidRDefault="003B3271">
      <w:r w:rsidRPr="0008481A">
        <w:t>I den allmänna debatten framförs med jämna mellanrum kritik mot det förfarande som tillämpas vid handläggningen av anmälningar mot polismän. Kritiken går va</w:t>
      </w:r>
      <w:r w:rsidRPr="0008481A">
        <w:t>n</w:t>
      </w:r>
      <w:r w:rsidRPr="0008481A">
        <w:t>ligtvis ut på att förfarandet innebär att ”polisen utreder polisen”. Jag beslutade bl.a. mot denna bakgrund våren 1998 att inspektera ett antal s.k. internutredningsenheter vid polismyndigheterna.</w:t>
      </w:r>
    </w:p>
    <w:p w:rsidR="003B3271" w:rsidRPr="0008481A" w:rsidRDefault="003B3271">
      <w:pPr>
        <w:pStyle w:val="Normaltindrag"/>
      </w:pPr>
      <w:r w:rsidRPr="0008481A">
        <w:t>Inspektioner genomfördes vid Polismyndigheten i Stockholms län under april år 1998, vid Polismyndigheten i Västra Götaland under september år 1998, vid Poli</w:t>
      </w:r>
      <w:r w:rsidRPr="0008481A">
        <w:t>s</w:t>
      </w:r>
      <w:r w:rsidRPr="0008481A">
        <w:t>myndigheten i Skåne under december år 1998 samt vid Polis</w:t>
      </w:r>
      <w:r w:rsidRPr="0008481A">
        <w:softHyphen/>
        <w:t>myndigheten i Väs</w:t>
      </w:r>
      <w:r w:rsidRPr="0008481A">
        <w:t>t</w:t>
      </w:r>
      <w:r w:rsidRPr="0008481A">
        <w:t xml:space="preserve">manlands län under mars år 1999. Inspektionerna gav upphov till 35 initiativärenden, där polisens eller åklagarens handläggning granskades närmare. Av initiativärendena avsåg 25 ärenden åklagare, nio ärenden polisen och ett ärende såväl åklagare som polis. </w:t>
      </w:r>
    </w:p>
    <w:p w:rsidR="003B3271" w:rsidRPr="0008481A" w:rsidRDefault="003B3271">
      <w:pPr>
        <w:pStyle w:val="Normaltindrag"/>
      </w:pPr>
      <w:r w:rsidRPr="0008481A">
        <w:t>Inspektionernas omfattning och mina iakttagelser vid dessa framgår av bifogade protokoll. Vidare bifogas kopior av besluten i initiativärendena.</w:t>
      </w:r>
    </w:p>
    <w:p w:rsidR="003B3271" w:rsidRPr="0008481A" w:rsidRDefault="003B3271">
      <w:pPr>
        <w:pStyle w:val="Normaltindrag"/>
      </w:pPr>
      <w:r w:rsidRPr="0008481A">
        <w:t xml:space="preserve">I denna skrivelse lämnar jag en sammanfattande redogörelse för mina iakttagelser i anslutning till inspektionerna och redovisar vissa överväganden med anledning av dessa. </w:t>
      </w:r>
    </w:p>
    <w:p w:rsidR="003B3271" w:rsidRPr="0008481A" w:rsidRDefault="003B3271">
      <w:pPr>
        <w:pStyle w:val="Rubrik3"/>
      </w:pPr>
      <w:r w:rsidRPr="0008481A">
        <w:t>Allmänt om handläggningen av anmälningar mot polismän</w:t>
      </w:r>
    </w:p>
    <w:p w:rsidR="003B3271" w:rsidRPr="0008481A" w:rsidRDefault="003B3271">
      <w:r w:rsidRPr="0008481A">
        <w:t>Debatten om handläggningen av anmälningar mot polismän visar att ett grund</w:t>
      </w:r>
      <w:r w:rsidRPr="0008481A">
        <w:softHyphen/>
      </w:r>
      <w:r w:rsidRPr="0008481A">
        <w:softHyphen/>
        <w:t>lä</w:t>
      </w:r>
      <w:r w:rsidRPr="0008481A">
        <w:t>g</w:t>
      </w:r>
      <w:r w:rsidRPr="0008481A">
        <w:t>gande krav på utredningsförfarandet i allmänhetens ögon är att detta är organiserat på sådant sätt att objektiviteten i utredningarna är höjd över varje tvivel. Det är således inte tillräckligt att det kan visas att utredningarna faktiskt utförs på ett objektivt sätt. Det krävs härutöver att verksamheten bedrivs under sådana former att inte redan fö</w:t>
      </w:r>
      <w:r w:rsidRPr="0008481A">
        <w:t>r</w:t>
      </w:r>
      <w:r w:rsidRPr="0008481A">
        <w:t>farandet i sig ger upphov till miss</w:t>
      </w:r>
      <w:r w:rsidRPr="0008481A">
        <w:softHyphen/>
        <w:t>tankar att det tas ovidkommande hänsyn vid utre</w:t>
      </w:r>
      <w:r w:rsidRPr="0008481A">
        <w:t>d</w:t>
      </w:r>
      <w:r w:rsidRPr="0008481A">
        <w:t xml:space="preserve">ningarna. </w:t>
      </w:r>
    </w:p>
    <w:p w:rsidR="003B3271" w:rsidRPr="0008481A" w:rsidRDefault="003B3271">
      <w:pPr>
        <w:pStyle w:val="Normaltindrag"/>
      </w:pPr>
      <w:r w:rsidRPr="0008481A">
        <w:t>Det är för att allmänhetens förtroende för verksamheten skal</w:t>
      </w:r>
      <w:r w:rsidRPr="0008481A">
        <w:t>l kunna upprätthållas vidare angeläget att anmälningar mot polismän utreds så snabbt som möjligt och att utredningsverksamheten handhas av befattningshavare som uppfyller höga krav i fråga om erfarenhet, omdöme, noggrannhet och kompetens. Det är uppenbart att en verksamhet, för att kunna tillgodose sådana önskemål, behöver tillräckliga resurser i såväl kvantitativt som kvali</w:t>
      </w:r>
      <w:r w:rsidRPr="0008481A">
        <w:softHyphen/>
        <w:t xml:space="preserve">tativt hänseende. </w:t>
      </w:r>
    </w:p>
    <w:p w:rsidR="003B3271" w:rsidRPr="0008481A" w:rsidRDefault="003B3271">
      <w:pPr>
        <w:pStyle w:val="Normaltindrag"/>
      </w:pPr>
      <w:r w:rsidRPr="0008481A">
        <w:t>Frågan om i vilka former man skall handlägga anmälningar mot polismän för att undvika misstankar om att det tas obe</w:t>
      </w:r>
      <w:r w:rsidRPr="0008481A">
        <w:t>höriga hänsyn vid utredningen har varit för</w:t>
      </w:r>
      <w:r w:rsidRPr="0008481A">
        <w:t>e</w:t>
      </w:r>
      <w:r w:rsidRPr="0008481A">
        <w:t>mål för flera utredningar och ställningstaganden av stats</w:t>
      </w:r>
      <w:r w:rsidRPr="0008481A">
        <w:softHyphen/>
        <w:t>makterna. Man har därvid strävat efter att finna en handläggningsordning som, samtidigt som den kan fungera smidigt och effektivt, innebär att ansvaret för att leda utredningarna ligger på någon som i organisatoriskt hänseende är fristående från polisväsendet. Ett antal olika org</w:t>
      </w:r>
      <w:r w:rsidRPr="0008481A">
        <w:t>a</w:t>
      </w:r>
      <w:r w:rsidRPr="0008481A">
        <w:t>nisations</w:t>
      </w:r>
      <w:r w:rsidRPr="0008481A">
        <w:softHyphen/>
        <w:t>former för utredning av sådana anmälningar har varit föremål för över</w:t>
      </w:r>
      <w:r w:rsidRPr="0008481A">
        <w:softHyphen/>
        <w:t>v</w:t>
      </w:r>
      <w:r w:rsidRPr="0008481A">
        <w:t>ä</w:t>
      </w:r>
      <w:r w:rsidRPr="0008481A">
        <w:t>ganden. Som exempel på modeller som har diskute</w:t>
      </w:r>
      <w:r w:rsidRPr="0008481A">
        <w:t>rats men avvisats kan nämnas ett särskilt från polis och åklagare fristående utredningsorgan samt särskilda enheter inom åklagarväsendet. Jag kan för en närmare redogörelse för de här aktuella frågo</w:t>
      </w:r>
      <w:r w:rsidRPr="0008481A">
        <w:t>r</w:t>
      </w:r>
      <w:r w:rsidRPr="0008481A">
        <w:t>na hänvisa till 1981 års Polisberednings del</w:t>
      </w:r>
      <w:r w:rsidRPr="0008481A">
        <w:softHyphen/>
        <w:t>betänkande (Ds Ju 1984:10) Anmälningar mot polismän. En redogörelse för internkontrollen inom åklagar- och polis</w:t>
      </w:r>
      <w:r w:rsidRPr="0008481A">
        <w:softHyphen/>
      </w:r>
      <w:r w:rsidRPr="0008481A">
        <w:softHyphen/>
        <w:t>verk</w:t>
      </w:r>
      <w:r w:rsidRPr="0008481A">
        <w:softHyphen/>
        <w:t>sam</w:t>
      </w:r>
      <w:r w:rsidRPr="0008481A">
        <w:softHyphen/>
        <w:t>heterna finns också i den rapport i ämnet som f.d. biträdande riksåklagaren Axel M</w:t>
      </w:r>
      <w:r w:rsidRPr="0008481A">
        <w:t>o</w:t>
      </w:r>
      <w:r w:rsidRPr="0008481A">
        <w:t>rath i april 1997 överlämnade till Riksåklagaren och Rikspolis</w:t>
      </w:r>
      <w:r w:rsidRPr="0008481A">
        <w:t>styrelsen.</w:t>
      </w:r>
    </w:p>
    <w:p w:rsidR="003B3271" w:rsidRPr="0008481A" w:rsidRDefault="003B3271">
      <w:pPr>
        <w:pStyle w:val="Normaltindrag"/>
      </w:pPr>
      <w:r w:rsidRPr="0008481A">
        <w:t xml:space="preserve">Den nu gällande ordningen för handläggning av anmälningar mot anställda inom polisen har sin grund i beslut av riksdagen år 1981 och 1986 (prop. 1980/81:100, bil. 5 s. 36 f. och JuU 1980/81:33 samt prop. 1985/86:100, bil. 4 s. 53 f. och JuU 1985/86:32). </w:t>
      </w:r>
    </w:p>
    <w:p w:rsidR="003B3271" w:rsidRPr="0008481A" w:rsidRDefault="003B3271">
      <w:pPr>
        <w:pStyle w:val="Normaltindrag"/>
      </w:pPr>
      <w:r w:rsidRPr="0008481A">
        <w:t>I 5 kap. 1 § första stycket polisförordningen (1998:1558) föreskrivs att ett ärende omedelbart skall överlämnas till åklagare för prövning om förunder</w:t>
      </w:r>
      <w:r w:rsidRPr="0008481A">
        <w:softHyphen/>
        <w:t>sökning skall inledas eller inte, om det i en anmälan till polisen har påståtts att en anställd inom polisen har gjort sig skyldig till något brott som har sam</w:t>
      </w:r>
      <w:r w:rsidRPr="0008481A">
        <w:softHyphen/>
        <w:t>band med arbetet eller på något annat sätt har handlat felaktigt i sin myndighetsutövning. Detsamma gäller om en person har skadats antingen genom något som en anställd inom polisen har gjort i tjänsten eller under sin vistelse i en polisarrest, om skadan är allvarlig. Slutligen f</w:t>
      </w:r>
      <w:r w:rsidRPr="0008481A">
        <w:t>ö</w:t>
      </w:r>
      <w:r w:rsidRPr="0008481A">
        <w:t>religger skyldig</w:t>
      </w:r>
      <w:r w:rsidRPr="0008481A">
        <w:softHyphen/>
        <w:t>het att överlämna ett ärende till åklagare, om det i</w:t>
      </w:r>
      <w:r w:rsidRPr="0008481A">
        <w:t xml:space="preserve"> något annat fall kan bli fråga om att inleda förundersökning mot en anställd inom polisen för brott som har samband med arbetet. Motsvarande bestämmelser fanns tidigare i 6 kap. 1 § poli</w:t>
      </w:r>
      <w:r w:rsidRPr="0008481A">
        <w:t>s</w:t>
      </w:r>
      <w:r w:rsidRPr="0008481A">
        <w:t>förordningen (1984:730).</w:t>
      </w:r>
    </w:p>
    <w:p w:rsidR="003B3271" w:rsidRPr="0008481A" w:rsidRDefault="003B3271">
      <w:pPr>
        <w:pStyle w:val="Normaltindrag"/>
      </w:pPr>
      <w:r w:rsidRPr="0008481A">
        <w:t xml:space="preserve">Ett ärende behöver enligt paragrafens andra stycke inte överlämnas till åklagare om det är fråga om ett annat brott mot trafikförfattningarna än brott mot 1 § andra stycket eller 3–5 §§ lagen (1951:649) om straff för vissa trafikbrott. Härför krävs emellertid såväl att det inte har inträffat någon </w:t>
      </w:r>
      <w:r w:rsidRPr="0008481A">
        <w:t>allvarlig skada som att polismyndi</w:t>
      </w:r>
      <w:r w:rsidRPr="0008481A">
        <w:t>g</w:t>
      </w:r>
      <w:r w:rsidRPr="0008481A">
        <w:t>heten har beslutat att inleda förunder</w:t>
      </w:r>
      <w:r w:rsidRPr="0008481A">
        <w:softHyphen/>
        <w:t>sökning. Beslut att lägga ned en sådan förunde</w:t>
      </w:r>
      <w:r w:rsidRPr="0008481A">
        <w:t>r</w:t>
      </w:r>
      <w:r w:rsidRPr="0008481A">
        <w:t>sökning skall alltid fattas av åkl</w:t>
      </w:r>
      <w:r w:rsidRPr="0008481A">
        <w:t>a</w:t>
      </w:r>
      <w:r w:rsidRPr="0008481A">
        <w:t>gare.</w:t>
      </w:r>
    </w:p>
    <w:p w:rsidR="003B3271" w:rsidRPr="0008481A" w:rsidRDefault="003B3271">
      <w:pPr>
        <w:pStyle w:val="Normaltindrag"/>
      </w:pPr>
      <w:r w:rsidRPr="0008481A">
        <w:t>I 5 kap. 6 § polisförordningen finns bestämmelser om handläggningen av frågor om brott av anställda inom polisen som inte har samband med arbetet. Också sådana frågor skall enligt huvudregeln överlämnas till åklagare för prövning av om föru</w:t>
      </w:r>
      <w:r w:rsidRPr="0008481A">
        <w:t>n</w:t>
      </w:r>
      <w:r w:rsidRPr="0008481A">
        <w:t>dersökning skall inledas eller inte. Ärendet behöver emellertid inte överlämnas, om polismyndigheten beslutar att inleda för</w:t>
      </w:r>
      <w:r w:rsidRPr="0008481A">
        <w:softHyphen/>
        <w:t>under</w:t>
      </w:r>
      <w:r w:rsidRPr="0008481A">
        <w:softHyphen/>
        <w:t>sökning. Beslut att lägga ned en sådan förundersökning skall alltid fattas av åklagare.</w:t>
      </w:r>
    </w:p>
    <w:p w:rsidR="003B3271" w:rsidRPr="0008481A" w:rsidRDefault="003B3271">
      <w:pPr>
        <w:pStyle w:val="Normaltindrag"/>
      </w:pPr>
      <w:r w:rsidRPr="0008481A">
        <w:t>Om åklagaren beslutar att inleda förundersökning i ett till honom över</w:t>
      </w:r>
      <w:r w:rsidRPr="0008481A">
        <w:softHyphen/>
        <w:t>lämnat ärende, är åklagaren förundersökningsledare. Det ankommer således på denne att ge direktiv för förundersökningens bedrivande. Det ligger i sakens natur att det är angeläget att beslut i fråga om inledande av förunder</w:t>
      </w:r>
      <w:r w:rsidRPr="0008481A">
        <w:softHyphen/>
        <w:t>sökning fattas skyndsamt, så att erforderliga utredningsåtgärder kan vidtas utan dröjsmål och att möjligheterna att säkra bevisning inte går förlorade.</w:t>
      </w:r>
    </w:p>
    <w:p w:rsidR="003B3271" w:rsidRPr="0008481A" w:rsidRDefault="003B3271">
      <w:pPr>
        <w:pStyle w:val="Normaltindrag"/>
      </w:pPr>
      <w:r w:rsidRPr="0008481A">
        <w:t>Själva utredningsarbetet utförs normalt av befattningshavare vid polismyndighete</w:t>
      </w:r>
      <w:r w:rsidRPr="0008481A">
        <w:t>r</w:t>
      </w:r>
      <w:r w:rsidRPr="0008481A">
        <w:t>nas internutredningsenheter (jfr 5 kap. 3 § tredje stycket polisföror</w:t>
      </w:r>
      <w:r w:rsidRPr="0008481A">
        <w:t>d</w:t>
      </w:r>
      <w:r w:rsidRPr="0008481A">
        <w:t>ningen).</w:t>
      </w:r>
    </w:p>
    <w:p w:rsidR="003B3271" w:rsidRPr="0008481A" w:rsidRDefault="003B3271">
      <w:pPr>
        <w:pStyle w:val="Normaltindrag"/>
      </w:pPr>
      <w:r w:rsidRPr="0008481A">
        <w:t>I de fall där åklagaren har beslutat att inte inleda förundersökning, att lägga ned en inledd förundersökning eller att inte väcka åtal återgår ärendet till polismyndigheten, som har att ta ställning till om det finns skäl att överlämna ärendet till Statens a</w:t>
      </w:r>
      <w:r w:rsidRPr="0008481A">
        <w:t>n</w:t>
      </w:r>
      <w:r w:rsidRPr="0008481A">
        <w:t>svarsnämnd eller Rikspolisstyrelsens personal</w:t>
      </w:r>
      <w:r w:rsidRPr="0008481A">
        <w:softHyphen/>
        <w:t>ansvars</w:t>
      </w:r>
      <w:r w:rsidRPr="0008481A">
        <w:softHyphen/>
        <w:t>nämnd (se 6 kap. 13 och 14 §§ polisförordningen).</w:t>
      </w:r>
    </w:p>
    <w:p w:rsidR="003B3271" w:rsidRPr="0008481A" w:rsidRDefault="003B3271">
      <w:pPr>
        <w:pStyle w:val="Normaltindrag"/>
      </w:pPr>
      <w:r w:rsidRPr="0008481A">
        <w:t>I 5 kap. 4 § polisförordningen finns föreskrifter om länspolismästarens skyldighet att underrätta polisstyrelsen om ärenden som avses i 5 kap. 1 § och om hur de ärenden som har överlämnats till åklagare har slutbehandlats. I paragrafen finns vidare b</w:t>
      </w:r>
      <w:r w:rsidRPr="0008481A">
        <w:t>e</w:t>
      </w:r>
      <w:r w:rsidRPr="0008481A">
        <w:t>stämmelser som gör det möjligt för ledamöter av polisstyrelsen eller en polisnämnd att efter beslut av polisstyrelsen särskilt följa utredningen i sådana ärenden eller en grupp av sådana ärenden. Polis</w:t>
      </w:r>
      <w:r w:rsidRPr="0008481A">
        <w:softHyphen/>
        <w:t>styrelsen kan överlämna åt en polisnämnd att ta emot underrättelse om hur ärenden som har överlämnats till åklagare har slutb</w:t>
      </w:r>
      <w:r w:rsidRPr="0008481A">
        <w:t>e</w:t>
      </w:r>
      <w:r w:rsidRPr="0008481A">
        <w:t xml:space="preserve">handlats.  </w:t>
      </w:r>
    </w:p>
    <w:p w:rsidR="003B3271" w:rsidRPr="0008481A" w:rsidRDefault="003B3271">
      <w:pPr>
        <w:pStyle w:val="Rubrik3"/>
      </w:pPr>
      <w:r w:rsidRPr="0008481A">
        <w:t>Iakttagelser i anslutning till inspektionerna</w:t>
      </w:r>
    </w:p>
    <w:p w:rsidR="003B3271" w:rsidRPr="0008481A" w:rsidRDefault="003B3271">
      <w:pPr>
        <w:pStyle w:val="Rubrik4"/>
        <w:spacing w:before="120"/>
      </w:pPr>
      <w:r w:rsidRPr="0008481A">
        <w:t>Iakttagelser avseende polisen</w:t>
      </w:r>
    </w:p>
    <w:p w:rsidR="003B3271" w:rsidRPr="0008481A" w:rsidRDefault="003B3271">
      <w:r w:rsidRPr="0008481A">
        <w:t>I inspektionsprotokollen har tagits in bl.a. påpekanden om att anmälan i vissa fall har tagits upp av en icke behörig anmälningsupptagare, att beslut om inledande av föru</w:t>
      </w:r>
      <w:r w:rsidRPr="0008481A">
        <w:t>n</w:t>
      </w:r>
      <w:r w:rsidRPr="0008481A">
        <w:t>dersökning har fattats av en polisman samt att det i vissa fall har förekommit dröj</w:t>
      </w:r>
      <w:r w:rsidRPr="0008481A">
        <w:t>s</w:t>
      </w:r>
      <w:r w:rsidRPr="0008481A">
        <w:t>mål med att överlämna anmälningar till åklagare. Övriga iakttagelser vid inspekti</w:t>
      </w:r>
      <w:r w:rsidRPr="0008481A">
        <w:t>o</w:t>
      </w:r>
      <w:r w:rsidRPr="0008481A">
        <w:t>nerna behandlas närmare i besluten i de sär</w:t>
      </w:r>
      <w:r w:rsidRPr="0008481A">
        <w:softHyphen/>
        <w:t>skilda äre</w:t>
      </w:r>
      <w:r w:rsidRPr="0008481A">
        <w:t>n</w:t>
      </w:r>
      <w:r w:rsidRPr="0008481A">
        <w:t xml:space="preserve">dena. </w:t>
      </w:r>
    </w:p>
    <w:p w:rsidR="003B3271" w:rsidRPr="0008481A" w:rsidRDefault="003B3271">
      <w:pPr>
        <w:pStyle w:val="Normaltindrag"/>
      </w:pPr>
      <w:r w:rsidRPr="0008481A">
        <w:t>Här kan nämnas att det i ett beslut avseende Polismyndigheten i Skåne (dnr 296-1999) riktades kritik mot myndighetens handläggningstid av ärendena vid internu</w:t>
      </w:r>
      <w:r w:rsidRPr="0008481A">
        <w:t>t</w:t>
      </w:r>
      <w:r w:rsidRPr="0008481A">
        <w:t>redningsgruppen. Det konstaterades vid inspektionen, som ägde rum den 1 och 2 december 1998, bl.a. att flertalet av de 30 äldsta ärendena hade legat upp emot två år och i vissa fall drygt två år utan att några synbara åtgärder hade vidtagits samt att ett stort antal av 1998 års ärenden hade legat sedan januari eller februari utan att några utrednings</w:t>
      </w:r>
      <w:r w:rsidRPr="0008481A">
        <w:softHyphen/>
        <w:t>åtgärder hade vidtagits. Myndigheten kritiserades vidare med anledning av sitt sätt att tillämpa de tidigare gällande reglerna om underrättelse till polis</w:t>
      </w:r>
      <w:r w:rsidRPr="0008481A">
        <w:softHyphen/>
        <w:t>sty</w:t>
      </w:r>
      <w:r w:rsidRPr="0008481A">
        <w:t>relsen om till åklagaren överlämnade ärenden (dnr 297-1999). I beslutet framfördes också synpunkter på utformningen av motsvarande regler i den nya polisförordningen. De</w:t>
      </w:r>
      <w:r w:rsidRPr="0008481A">
        <w:t>s</w:t>
      </w:r>
      <w:r w:rsidRPr="0008481A">
        <w:t>sa synpunkter föra</w:t>
      </w:r>
      <w:r w:rsidRPr="0008481A">
        <w:t>n</w:t>
      </w:r>
      <w:r w:rsidRPr="0008481A">
        <w:t>ledde vissa ändringar av reglerna (se SFS 1999:793).</w:t>
      </w:r>
    </w:p>
    <w:p w:rsidR="003B3271" w:rsidRPr="0008481A" w:rsidRDefault="003B3271">
      <w:pPr>
        <w:pStyle w:val="Normaltindrag"/>
      </w:pPr>
      <w:r w:rsidRPr="0008481A">
        <w:t>I ett annat beslut kritiserades Polismyndigheten i Västmanlands län för dröjsmål med att vidta vissa av åklagaren begärda utredning</w:t>
      </w:r>
      <w:r w:rsidRPr="0008481A">
        <w:t>s</w:t>
      </w:r>
      <w:r w:rsidRPr="0008481A">
        <w:t xml:space="preserve">åtgärder (dnr 1931-1999). </w:t>
      </w:r>
    </w:p>
    <w:p w:rsidR="003B3271" w:rsidRPr="0008481A" w:rsidRDefault="003B3271">
      <w:pPr>
        <w:pStyle w:val="Rubrik4"/>
      </w:pPr>
      <w:r w:rsidRPr="0008481A">
        <w:t>Iakttagelser avseende åklagarväsendet</w:t>
      </w:r>
    </w:p>
    <w:p w:rsidR="003B3271" w:rsidRPr="0008481A" w:rsidRDefault="003B3271">
      <w:r w:rsidRPr="0008481A">
        <w:t>Eftersom huvudregeln om handläggningen av anmälningar mot anställda inom pol</w:t>
      </w:r>
      <w:r w:rsidRPr="0008481A">
        <w:t>i</w:t>
      </w:r>
      <w:r w:rsidRPr="0008481A">
        <w:t>sen innebär att polismyndigheten utan eget ställningstagande skall överlämna sådana ärenden till åklagare, är det naturligt att granskningen vid inspektionerna i betydande utsträckning kom att inriktas på åklag</w:t>
      </w:r>
      <w:r w:rsidRPr="0008481A">
        <w:t>a</w:t>
      </w:r>
      <w:r w:rsidRPr="0008481A">
        <w:t xml:space="preserve">rens åtgärder. </w:t>
      </w:r>
    </w:p>
    <w:p w:rsidR="003B3271" w:rsidRPr="0008481A" w:rsidRDefault="003B3271">
      <w:pPr>
        <w:pStyle w:val="Normaltindrag"/>
      </w:pPr>
      <w:r w:rsidRPr="0008481A">
        <w:t>I ett beslut riktades kritik mot såväl åklagaren som polisen med anledning av unde</w:t>
      </w:r>
      <w:r w:rsidRPr="0008481A">
        <w:t>r</w:t>
      </w:r>
      <w:r w:rsidRPr="0008481A">
        <w:t>låtenhet att driva utredningen i ett visst ärende framåt (dnr 298-1999).</w:t>
      </w:r>
    </w:p>
    <w:p w:rsidR="003B3271" w:rsidRPr="0008481A" w:rsidRDefault="003B3271">
      <w:pPr>
        <w:pStyle w:val="Normaltindrag"/>
      </w:pPr>
      <w:r w:rsidRPr="0008481A">
        <w:t>I ett beslut avseende Åklagarmyndigheten i Stockholm (dnr 2206-1998) behandlades frågan om principerna för fördelningen mellan åklagare av anmälningar mot poli</w:t>
      </w:r>
      <w:r w:rsidRPr="0008481A">
        <w:t>s</w:t>
      </w:r>
      <w:r w:rsidRPr="0008481A">
        <w:t>män.</w:t>
      </w:r>
    </w:p>
    <w:p w:rsidR="003B3271" w:rsidRPr="0008481A" w:rsidRDefault="003B3271">
      <w:r w:rsidRPr="0008481A">
        <w:t>Vidare riktades kritik mot vederbörande åklagare i följande hänseenden</w:t>
      </w:r>
    </w:p>
    <w:p w:rsidR="003B3271" w:rsidRPr="0008481A" w:rsidRDefault="003B3271">
      <w:pPr>
        <w:pStyle w:val="PunktlistaTankstreck"/>
        <w:tabs>
          <w:tab w:val="num" w:pos="142"/>
        </w:tabs>
      </w:pPr>
      <w:r w:rsidRPr="0008481A">
        <w:t xml:space="preserve">dröjsmål med att ta ställning till om förundersökning skulle inledas (dnr </w:t>
      </w:r>
      <w:r w:rsidRPr="0008481A">
        <w:br/>
        <w:t>299-1999)</w:t>
      </w:r>
    </w:p>
    <w:p w:rsidR="003B3271" w:rsidRPr="0008481A" w:rsidRDefault="003B3271">
      <w:pPr>
        <w:pStyle w:val="PunktlistaTankstreck"/>
        <w:tabs>
          <w:tab w:val="num" w:pos="142"/>
        </w:tabs>
      </w:pPr>
      <w:r w:rsidRPr="0008481A">
        <w:t>förundersökning ej inledd trots att så borde ha skett (dnr 2201-1998, 2202-1998, 301-1999, 1927-1999 och 1934-1999)</w:t>
      </w:r>
    </w:p>
    <w:p w:rsidR="003B3271" w:rsidRPr="0008481A" w:rsidRDefault="003B3271">
      <w:pPr>
        <w:pStyle w:val="PunktlistaTankstreck"/>
        <w:tabs>
          <w:tab w:val="num" w:pos="142"/>
        </w:tabs>
      </w:pPr>
      <w:r w:rsidRPr="0008481A">
        <w:t>beslut att inte inleda förundersökning trots att tillgängligt bakgrunds</w:t>
      </w:r>
      <w:r w:rsidRPr="0008481A">
        <w:softHyphen/>
        <w:t>mate</w:t>
      </w:r>
      <w:r w:rsidRPr="0008481A">
        <w:softHyphen/>
        <w:t>rial inte hade i</w:t>
      </w:r>
      <w:r w:rsidRPr="0008481A">
        <w:t>n</w:t>
      </w:r>
      <w:r w:rsidRPr="0008481A">
        <w:t>hämtats (dnr 300-1999)</w:t>
      </w:r>
    </w:p>
    <w:p w:rsidR="003B3271" w:rsidRPr="0008481A" w:rsidRDefault="003B3271">
      <w:pPr>
        <w:pStyle w:val="PunktlistaTankstreck"/>
        <w:tabs>
          <w:tab w:val="num" w:pos="142"/>
        </w:tabs>
      </w:pPr>
      <w:r w:rsidRPr="0008481A">
        <w:t>förundersökning nedlagd innan alla erforderliga utredningsåtgärder hade vidtagits (dnr 3952-1998, 3953-1998 och dnr 302-1999)</w:t>
      </w:r>
    </w:p>
    <w:p w:rsidR="003B3271" w:rsidRPr="0008481A" w:rsidRDefault="003B3271">
      <w:pPr>
        <w:pStyle w:val="PunktlistaTankstreck"/>
        <w:tabs>
          <w:tab w:val="num" w:pos="142"/>
        </w:tabs>
      </w:pPr>
      <w:r w:rsidRPr="0008481A">
        <w:t>förhör hade hållits med en av anmälaren utpekad polisman utan att denne hörts som misstänkt trots att så bort ske eller innan det genom annan utredning kla</w:t>
      </w:r>
      <w:r w:rsidRPr="0008481A">
        <w:t>r</w:t>
      </w:r>
      <w:r w:rsidRPr="0008481A">
        <w:t>lagts om polismannen var att anse som skäligen misstänkt eller ej (dnr 2198-1998, 2199-1998, 3950-1998 och 3951-1998)</w:t>
      </w:r>
    </w:p>
    <w:p w:rsidR="003B3271" w:rsidRPr="0008481A" w:rsidRDefault="003B3271">
      <w:pPr>
        <w:pStyle w:val="PunktlistaTankstreck"/>
        <w:tabs>
          <w:tab w:val="num" w:pos="142"/>
        </w:tabs>
      </w:pPr>
      <w:r w:rsidRPr="0008481A">
        <w:t>förhör med andra personer än målsäganden/anmälaren – bl.a. vittnen och utpek</w:t>
      </w:r>
      <w:r w:rsidRPr="0008481A">
        <w:t>a</w:t>
      </w:r>
      <w:r w:rsidRPr="0008481A">
        <w:t>de polismän – innan beslut i förundersökningsfrågan hade fattats (dnr 3949-1998, 1929-1999 och 1930-1999)</w:t>
      </w:r>
    </w:p>
    <w:p w:rsidR="003B3271" w:rsidRPr="0008481A" w:rsidRDefault="003B3271">
      <w:pPr>
        <w:pStyle w:val="PunktlistaTankstreck"/>
        <w:tabs>
          <w:tab w:val="num" w:pos="142"/>
        </w:tabs>
      </w:pPr>
      <w:r w:rsidRPr="0008481A">
        <w:t>inhämtande av skriftligt yttrande från en i en anmälan utpekad polischef innan beslut att inte inleda förundersökning hade fattats (dnr 304-1999)</w:t>
      </w:r>
    </w:p>
    <w:p w:rsidR="003B3271" w:rsidRPr="0008481A" w:rsidRDefault="003B3271">
      <w:pPr>
        <w:pStyle w:val="PunktlistaTankstreck"/>
        <w:tabs>
          <w:tab w:val="num" w:pos="142"/>
        </w:tabs>
      </w:pPr>
      <w:r w:rsidRPr="0008481A">
        <w:t>beslut av allmän åklagare att inte inleda förundersökning när anmälan avsåg ett förfarande som omfattades av tryckfrihetsförordningens regler om meddelarfrihet (dnr 2197-1998 och 303-1999).</w:t>
      </w:r>
    </w:p>
    <w:p w:rsidR="003B3271" w:rsidRPr="0008481A" w:rsidRDefault="003B3271">
      <w:pPr>
        <w:pStyle w:val="Rubrik3"/>
      </w:pPr>
      <w:r w:rsidRPr="0008481A">
        <w:t>Synpunkter på den iakttagna handläggningen av anmälningar mot polismän</w:t>
      </w:r>
    </w:p>
    <w:p w:rsidR="003B3271" w:rsidRPr="0008481A" w:rsidRDefault="003B3271">
      <w:r w:rsidRPr="0008481A">
        <w:t>Som framgår av redogörelsen i det föregående har min kritik mot polisens roll vid handläggningen av anmälningar mot polismän väsentligen avsett oacceptabla dröj</w:t>
      </w:r>
      <w:r w:rsidRPr="0008481A">
        <w:t>s</w:t>
      </w:r>
      <w:r w:rsidRPr="0008481A">
        <w:t>mål vid handläggningen. Dessa dröjsmål har främst berott på otillräckliga resurser. Det kan emellertid konstateras att det i detta hänseende förelåg betydande skillnader mellan de gransk</w:t>
      </w:r>
      <w:r w:rsidRPr="0008481A">
        <w:t>a</w:t>
      </w:r>
      <w:r w:rsidRPr="0008481A">
        <w:t>de myndigheterna.</w:t>
      </w:r>
    </w:p>
    <w:p w:rsidR="003B3271" w:rsidRPr="0008481A" w:rsidRDefault="003B3271">
      <w:pPr>
        <w:pStyle w:val="Normaltindrag"/>
      </w:pPr>
      <w:r w:rsidRPr="0008481A">
        <w:t>Sedan den nuvarande ordningen för att utreda anmälningar mot polismän etablerades under 1980-talet, har polisväsendets organisation undergått genom</w:t>
      </w:r>
      <w:r w:rsidRPr="0008481A">
        <w:softHyphen/>
        <w:t>gripande förän</w:t>
      </w:r>
      <w:r w:rsidRPr="0008481A">
        <w:t>d</w:t>
      </w:r>
      <w:r w:rsidRPr="0008481A">
        <w:t>ringar. I det rådande systemet med mål- och resulta</w:t>
      </w:r>
      <w:r w:rsidRPr="0008481A">
        <w:softHyphen/>
        <w:t>t</w:t>
      </w:r>
      <w:r w:rsidRPr="0008481A">
        <w:softHyphen/>
        <w:t>styrning av polisverksamheten råder numera varje enskild polismyndighet i princip fritt över hur anvisade medel skall användas. I en situation där polis</w:t>
      </w:r>
      <w:r w:rsidRPr="0008481A">
        <w:softHyphen/>
        <w:t>myndigheterna inte anser sig ha tillräckliga resurser för att fullgöra alla sina uppgifter på ett tillfredsställande sätt finns det en icke obetydlig risk för att man vid resurs</w:t>
      </w:r>
      <w:r w:rsidRPr="0008481A">
        <w:softHyphen/>
        <w:t>fördelningen prioriterar annan angelägen brottsutredande verk</w:t>
      </w:r>
      <w:r w:rsidRPr="0008481A">
        <w:softHyphen/>
        <w:t>samhet högre än internutredningsverksamheten. Den</w:t>
      </w:r>
      <w:r w:rsidRPr="0008481A">
        <w:t>na risk fö</w:t>
      </w:r>
      <w:r w:rsidRPr="0008481A">
        <w:t>r</w:t>
      </w:r>
      <w:r w:rsidRPr="0008481A">
        <w:t>stärks av det förhållandet att utredning av anmälningar mot polismän inte hör till de särskilt prioriterade verksamhetsområden som brukar anges i budget</w:t>
      </w:r>
      <w:r w:rsidRPr="0008481A">
        <w:softHyphen/>
        <w:t>propositionerna. Vad jag nu har sagt illustreras på ett påtagligt sätt av de förhållanden som kunde iakttas vid inspektionen av Polismyndigheten i Skåne. Det var först sedan bristerna i internutredningsverksamheten hade påtalats vid JO:s inspektion som verksamheten fick sådana resurser att den kunde fungera på ett tillfredsställande sätt. Efterso</w:t>
      </w:r>
      <w:r w:rsidRPr="0008481A">
        <w:t>m åklagarna inte har något reellt inflytande över polisens organisation utan är hänvisade till att utnyttja de resurser som polismyndigheten är villig att ställa till förfogande, saknade däremot den omständigheten att utredningarna skall ledas av åklagare bet</w:t>
      </w:r>
      <w:r w:rsidRPr="0008481A">
        <w:t>y</w:t>
      </w:r>
      <w:r w:rsidRPr="0008481A">
        <w:t>delse för möjligheterna att få till stånd en tillfredsställande handläggning hos polisen av äre</w:t>
      </w:r>
      <w:r w:rsidRPr="0008481A">
        <w:t>n</w:t>
      </w:r>
      <w:r w:rsidRPr="0008481A">
        <w:t>dena.</w:t>
      </w:r>
    </w:p>
    <w:p w:rsidR="003B3271" w:rsidRPr="0008481A" w:rsidRDefault="003B3271">
      <w:pPr>
        <w:pStyle w:val="Normaltindrag"/>
      </w:pPr>
      <w:r w:rsidRPr="0008481A">
        <w:t>Det kan nämnas att de problem i fråga om möjligheterna att styra polisens resursa</w:t>
      </w:r>
      <w:r w:rsidRPr="0008481A">
        <w:t>n</w:t>
      </w:r>
      <w:r w:rsidRPr="0008481A">
        <w:t>vändning som jag här har nämnt påtalades också av Ekobrotts</w:t>
      </w:r>
      <w:r w:rsidRPr="0008481A">
        <w:softHyphen/>
        <w:t>beredningen i rappo</w:t>
      </w:r>
      <w:r w:rsidRPr="0008481A">
        <w:t>r</w:t>
      </w:r>
      <w:r w:rsidRPr="0008481A">
        <w:t>ten (Ds 1996:1) Effektivare ekobrottsbekämpning, när det gäller ett annat område, nämligen bekämpandet av ekonomisk brottslig</w:t>
      </w:r>
      <w:r w:rsidRPr="0008481A">
        <w:softHyphen/>
        <w:t>het (se bl.a. s. 184 f., 188 och 202 f.). Dessa problem synes också ha haft betydelse för beslutet att inrätta en särskild ekobrottsmyndighet. Det för</w:t>
      </w:r>
      <w:r w:rsidRPr="0008481A">
        <w:softHyphen/>
        <w:t>tjänar att påpekas att det finns vissa likheter mellan handläggningen av anmälningar mot polismän och ekobrottsbekämpningen vad gä</w:t>
      </w:r>
      <w:r w:rsidRPr="0008481A">
        <w:t>l</w:t>
      </w:r>
      <w:r w:rsidRPr="0008481A">
        <w:t>ler de krav som måste s</w:t>
      </w:r>
      <w:r w:rsidRPr="0008481A">
        <w:t>tällas på verksamheten. Båda områdena kräver sålunda stora resurser i förhållande till verksamhetens omfattning angiven i antalet ärenden, och de förutsätter vidare kontinuitet i verksamheten och tillgång till välutbildad utrednin</w:t>
      </w:r>
      <w:r w:rsidRPr="0008481A">
        <w:t>g</w:t>
      </w:r>
      <w:r w:rsidRPr="0008481A">
        <w:t>s</w:t>
      </w:r>
      <w:r w:rsidRPr="0008481A">
        <w:softHyphen/>
        <w:t>personal med särskild kompetens för up</w:t>
      </w:r>
      <w:r w:rsidRPr="0008481A">
        <w:t>p</w:t>
      </w:r>
      <w:r w:rsidRPr="0008481A">
        <w:t xml:space="preserve">giften.  </w:t>
      </w:r>
    </w:p>
    <w:p w:rsidR="003B3271" w:rsidRPr="0008481A" w:rsidRDefault="003B3271">
      <w:pPr>
        <w:pStyle w:val="Normaltindrag"/>
      </w:pPr>
      <w:r w:rsidRPr="0008481A">
        <w:t>Det bör noteras att jag vid mina inspektioner, med något enstaka undantag, inte fu</w:t>
      </w:r>
      <w:r w:rsidRPr="0008481A">
        <w:t>n</w:t>
      </w:r>
      <w:r w:rsidRPr="0008481A">
        <w:t>nit anledning att rikta kritik mot det utredningsarbete som utförts av de enskilda handläggarna vid internutredningsenheterna. Mina iakttagelser i detta hänseende står i god överensstämmelse med de uttalanden i frågan som vid olika tillfällen tidigare gjorts om i</w:t>
      </w:r>
      <w:r w:rsidRPr="0008481A">
        <w:t>n</w:t>
      </w:r>
      <w:r w:rsidRPr="0008481A">
        <w:t>ternutredningsverksamhetens kvalitet.</w:t>
      </w:r>
    </w:p>
    <w:p w:rsidR="003B3271" w:rsidRPr="0008481A" w:rsidRDefault="003B3271">
      <w:pPr>
        <w:pStyle w:val="Normaltindrag"/>
      </w:pPr>
      <w:r w:rsidRPr="0008481A">
        <w:t>Om utredningen resulterar i åtal är polisens befattning med ärendet i princip avslutad. Den helt övervägande delen av de ärenden som överlämnas till åklagare leder eme</w:t>
      </w:r>
      <w:r w:rsidRPr="0008481A">
        <w:t>l</w:t>
      </w:r>
      <w:r w:rsidRPr="0008481A">
        <w:t>lertid inte till åtal. Jag har från internutrednings</w:t>
      </w:r>
      <w:r w:rsidRPr="0008481A">
        <w:softHyphen/>
        <w:t>enheterna inhämtat att det år 1999  kom in omkring 3 500 anmälningar mot polisiära befattningshavare avseende brott i tjänsten samt att det samma år väcktes ett 20-tal åtal med anledning av sådana a</w:t>
      </w:r>
      <w:r w:rsidRPr="0008481A">
        <w:t>n</w:t>
      </w:r>
      <w:r w:rsidRPr="0008481A">
        <w:t>mälningar. Av den verk</w:t>
      </w:r>
      <w:r w:rsidRPr="0008481A">
        <w:softHyphen/>
        <w:t>sam</w:t>
      </w:r>
      <w:r w:rsidRPr="0008481A">
        <w:softHyphen/>
        <w:t>hets</w:t>
      </w:r>
      <w:r w:rsidRPr="0008481A">
        <w:softHyphen/>
        <w:t>rapport för år 1999 som har avgetts av rättsenheten vid Polis</w:t>
      </w:r>
      <w:r w:rsidRPr="0008481A">
        <w:softHyphen/>
        <w:t xml:space="preserve">myndigheten i Skåne framgår att förundersökning hade ägt rum i knappt hälften av de ärenden som slutbehandlades under året. </w:t>
      </w:r>
    </w:p>
    <w:p w:rsidR="003B3271" w:rsidRPr="0008481A" w:rsidRDefault="003B3271">
      <w:pPr>
        <w:pStyle w:val="Normaltindrag"/>
      </w:pPr>
      <w:r w:rsidRPr="0008481A">
        <w:t>I de fall där åtal inte väcks ankommer d</w:t>
      </w:r>
      <w:r w:rsidRPr="0008481A">
        <w:t>et, som framgår av det föregående, på poli</w:t>
      </w:r>
      <w:r w:rsidRPr="0008481A">
        <w:t>s</w:t>
      </w:r>
      <w:r w:rsidRPr="0008481A">
        <w:t>myndigheten att pröva om omständigheterna är sådana att disciplin</w:t>
      </w:r>
      <w:r w:rsidRPr="0008481A">
        <w:softHyphen/>
        <w:t>anmälan skall göras till Statens ansvarsnämnd respektive Rikspolis</w:t>
      </w:r>
      <w:r w:rsidRPr="0008481A">
        <w:softHyphen/>
        <w:t>styrelsens pers</w:t>
      </w:r>
      <w:r w:rsidRPr="0008481A">
        <w:t>o</w:t>
      </w:r>
      <w:r w:rsidRPr="0008481A">
        <w:t>nalansvars</w:t>
      </w:r>
      <w:r w:rsidRPr="0008481A">
        <w:softHyphen/>
        <w:t>nämnd. Prövningen görs som regel av myndighetens chef. Den enda fortlöpande kontrollen av denna verksamhet följer av bestäm</w:t>
      </w:r>
      <w:r w:rsidRPr="0008481A">
        <w:softHyphen/>
        <w:t>melserna i 5 kap. 4 § polisföror</w:t>
      </w:r>
      <w:r w:rsidRPr="0008481A">
        <w:t>d</w:t>
      </w:r>
      <w:r w:rsidRPr="0008481A">
        <w:t>ningen om polisstyrelsens och polis</w:t>
      </w:r>
      <w:r w:rsidRPr="0008481A">
        <w:softHyphen/>
        <w:t>nämndernas insyn. Denna insyn är självfallet av värde. Den är emellertid sannolikt helt okänd för den stora allmänhe</w:t>
      </w:r>
      <w:r w:rsidRPr="0008481A">
        <w:t>ten, och den kan inte heller ha samma förtroendeskapande effekt som en kontroll utövad av ett organ som är fristående i förhållande till polismyndi</w:t>
      </w:r>
      <w:r w:rsidRPr="0008481A">
        <w:t>g</w:t>
      </w:r>
      <w:r w:rsidRPr="0008481A">
        <w:t xml:space="preserve">heten. </w:t>
      </w:r>
    </w:p>
    <w:p w:rsidR="003B3271" w:rsidRPr="0008481A" w:rsidRDefault="003B3271">
      <w:pPr>
        <w:pStyle w:val="Normaltindrag"/>
      </w:pPr>
      <w:r w:rsidRPr="0008481A">
        <w:t>Det finns vidare anledning att erinra om att handlingarna i en förunder</w:t>
      </w:r>
      <w:r w:rsidRPr="0008481A">
        <w:softHyphen/>
        <w:t>sökning som inte leder till åtal inte, som i åtalsfallen, blir offentliga utan att de i stället omfattas av den starka sekretess till skydd för enskildas förhållanden som numera råder enligt 9 kap. 17 § sekretesslagen (1980:100). Utrymmet för insyn i verksamheten exempe</w:t>
      </w:r>
      <w:r w:rsidRPr="0008481A">
        <w:t>l</w:t>
      </w:r>
      <w:r w:rsidRPr="0008481A">
        <w:t>vis genom medierna är dä</w:t>
      </w:r>
      <w:r w:rsidRPr="0008481A">
        <w:t>r</w:t>
      </w:r>
      <w:r w:rsidRPr="0008481A">
        <w:t>för mycket begränsat.</w:t>
      </w:r>
    </w:p>
    <w:p w:rsidR="003B3271" w:rsidRPr="0008481A" w:rsidRDefault="003B3271">
      <w:pPr>
        <w:pStyle w:val="Normaltindrag"/>
      </w:pPr>
      <w:r w:rsidRPr="0008481A">
        <w:t>Den nuvarande ordningen för handläggningen av anmälningar mot polis</w:t>
      </w:r>
      <w:r w:rsidRPr="0008481A">
        <w:softHyphen/>
        <w:t>män bygger på uppfattningen att objektivitet och hög kvalitet i utrednings</w:t>
      </w:r>
      <w:r w:rsidRPr="0008481A">
        <w:softHyphen/>
        <w:t>verksamheten garant</w:t>
      </w:r>
      <w:r w:rsidRPr="0008481A">
        <w:t>e</w:t>
      </w:r>
      <w:r w:rsidRPr="0008481A">
        <w:t>ras av det förhållandet att verksamheten leds av särskilt kvalificerade åklagare. Åkl</w:t>
      </w:r>
      <w:r w:rsidRPr="0008481A">
        <w:t>a</w:t>
      </w:r>
      <w:r w:rsidRPr="0008481A">
        <w:t>garen är en befattningshavare som förutsätts ha hög juridisk kompetens. Av stor b</w:t>
      </w:r>
      <w:r w:rsidRPr="0008481A">
        <w:t>e</w:t>
      </w:r>
      <w:r w:rsidRPr="0008481A">
        <w:t>tydelse i sammanhanget är vidare att det svenska åklagarväsendet är organisatoriskt åtskilt från polisen. Åklagaren har därmed getts särskilda förutsättningar att agera med den opartiskhet som rättegångsbalken föreskriver samt att, i egenskap av de</w:t>
      </w:r>
      <w:r w:rsidRPr="0008481A">
        <w:t>n som tar ställning i åtalsfrågan och för talan i rätten, kontrollera kvaliteten i polisens utre</w:t>
      </w:r>
      <w:r w:rsidRPr="0008481A">
        <w:t>d</w:t>
      </w:r>
      <w:r w:rsidRPr="0008481A">
        <w:t>nings</w:t>
      </w:r>
      <w:r w:rsidRPr="0008481A">
        <w:softHyphen/>
        <w:t xml:space="preserve">arbete. </w:t>
      </w:r>
    </w:p>
    <w:p w:rsidR="003B3271" w:rsidRPr="0008481A" w:rsidRDefault="003B3271">
      <w:pPr>
        <w:pStyle w:val="Normaltindrag"/>
      </w:pPr>
      <w:r w:rsidRPr="0008481A">
        <w:t>Huvuddelen av de brister i verksamheten som kunnat konstateras i an</w:t>
      </w:r>
      <w:r w:rsidRPr="0008481A">
        <w:softHyphen/>
        <w:t>slutning till inspektionerna hänför sig emellertid till åklagarnas handläggning av ärendena. Även om antalet fel inte är särskilt stort i förhållande till det totala antalet granskade äre</w:t>
      </w:r>
      <w:r w:rsidRPr="0008481A">
        <w:t>n</w:t>
      </w:r>
      <w:r w:rsidRPr="0008481A">
        <w:t>den, bör det framhållas dels att det av hänsyn till allmänhetens förtroende för ver</w:t>
      </w:r>
      <w:r w:rsidRPr="0008481A">
        <w:t>k</w:t>
      </w:r>
      <w:r w:rsidRPr="0008481A">
        <w:t>samheten måste ställas särskilt höga krav på handläggningen av polisärenden, dels att det i åtskilliga fall har varit fråga om fel som varit ägnade att undergräva antingen målsägandens eller den anmälde polismannens tilltro till objektivit</w:t>
      </w:r>
      <w:r w:rsidRPr="0008481A">
        <w:t>eten i förfarandet. De brister som påtalas i beslutet i ärendena dnr 1929-1999 och 1930-1999 är av sä</w:t>
      </w:r>
      <w:r w:rsidRPr="0008481A">
        <w:t>r</w:t>
      </w:r>
      <w:r w:rsidRPr="0008481A">
        <w:t>skilt allvarligt slag, eftersom de har haft sin grund i en uppfattning från åklagarens sida att reglerna om inledande av förundersökning inte skall tillämpas på samma sätt vid handläggningen av anmälningar mot polismän som när det är fråga om anmä</w:t>
      </w:r>
      <w:r w:rsidRPr="0008481A">
        <w:t>l</w:t>
      </w:r>
      <w:r w:rsidRPr="0008481A">
        <w:t xml:space="preserve">ningar mot andra personer. </w:t>
      </w:r>
    </w:p>
    <w:p w:rsidR="003B3271" w:rsidRPr="0008481A" w:rsidRDefault="003B3271">
      <w:pPr>
        <w:pStyle w:val="Normaltindrag"/>
      </w:pPr>
      <w:r w:rsidRPr="0008481A">
        <w:t>Ett effektivt förundersökningsarbete förutsätter ett nära samarbete mellan polis och åklagare. Det är emellertid viktigt att dessas ro</w:t>
      </w:r>
      <w:r w:rsidRPr="0008481A">
        <w:t>ller hålls isär på sådant sätt att polis och åklagare inte i allmänhetens ögon framstår som delar av samma organisation. Det är särskilt angeläget att denna aspekt beaktas vid handläggningen av anmälningar mot polismän, eftersom redan den om</w:t>
      </w:r>
      <w:r w:rsidRPr="0008481A">
        <w:softHyphen/>
        <w:t>ständig</w:t>
      </w:r>
      <w:r w:rsidRPr="0008481A">
        <w:softHyphen/>
        <w:t>heten att polis och åklagare i sin dagliga verksamhet arbetar nära varandra är ägnad att försvaga allmänhetens tilltro till åkl</w:t>
      </w:r>
      <w:r w:rsidRPr="0008481A">
        <w:t>a</w:t>
      </w:r>
      <w:r w:rsidRPr="0008481A">
        <w:t xml:space="preserve">garens objektivitet vid utredningen av polisärenden. </w:t>
      </w:r>
    </w:p>
    <w:p w:rsidR="003B3271" w:rsidRPr="0008481A" w:rsidRDefault="003B3271">
      <w:pPr>
        <w:pStyle w:val="Normaltindrag"/>
      </w:pPr>
      <w:r w:rsidRPr="0008481A">
        <w:t>Jag har vid inspektionerna noterat att fördelningen av polisärendena mellan åkla</w:t>
      </w:r>
      <w:r w:rsidRPr="0008481A">
        <w:t>ga</w:t>
      </w:r>
      <w:r w:rsidRPr="0008481A">
        <w:t>r</w:t>
      </w:r>
      <w:r w:rsidRPr="0008481A">
        <w:t>na, den s.k. lottningen, följer olika principer i olika delar av landet. Självfallet skall vanliga jävsregler tillämpas. Det är emellertid härutöver angeläget att lottningen görs på ett sådant sätt att man minimerar sanno</w:t>
      </w:r>
      <w:r w:rsidRPr="0008481A">
        <w:softHyphen/>
        <w:t>likheten för att den anmälde polismannen och den åklagare som skall utreda anmälan tidigare har samverkat eller i den nä</w:t>
      </w:r>
      <w:r w:rsidRPr="0008481A">
        <w:t>r</w:t>
      </w:r>
      <w:r w:rsidRPr="0008481A">
        <w:t>maste framtiden kan komma att samverka med varandra i sin sedvanliga yrkesutö</w:t>
      </w:r>
      <w:r w:rsidRPr="0008481A">
        <w:t>v</w:t>
      </w:r>
      <w:r w:rsidRPr="0008481A">
        <w:t xml:space="preserve">ning. </w:t>
      </w:r>
    </w:p>
    <w:p w:rsidR="003B3271" w:rsidRPr="0008481A" w:rsidRDefault="003B3271">
      <w:pPr>
        <w:pStyle w:val="Normaltindrag"/>
      </w:pPr>
      <w:r w:rsidRPr="0008481A">
        <w:t>En annan reflektion vad gäller lottningen av polisärenden på åklagare är att risk</w:t>
      </w:r>
      <w:r w:rsidRPr="0008481A">
        <w:t xml:space="preserve">en att lika fall behandlas olika blir större, ju fler åklagare som handlägger sådana </w:t>
      </w:r>
      <w:r w:rsidRPr="0008481A">
        <w:softHyphen/>
        <w:t>ärenden. Det bör i detta sammanhang nämnas att inte bara de åklagare som anges i 17 § åkl</w:t>
      </w:r>
      <w:r w:rsidRPr="0008481A">
        <w:t>a</w:t>
      </w:r>
      <w:r w:rsidRPr="0008481A">
        <w:t>garförordningen (1996:205) är behöriga att handlägga frågor enligt 5 kap. 1 § poli</w:t>
      </w:r>
      <w:r w:rsidRPr="0008481A">
        <w:t>s</w:t>
      </w:r>
      <w:r w:rsidRPr="0008481A">
        <w:t>förordningen. Enligt Riksåklagarens föreskrifter (RÅFS 1996:6) om fortsatt behöri</w:t>
      </w:r>
      <w:r w:rsidRPr="0008481A">
        <w:t>g</w:t>
      </w:r>
      <w:r w:rsidRPr="0008481A">
        <w:t>het enligt 19 § åklagarförordningen (1989:848) har de åklagare som före 1996 års åklagarreform hade behörighet att handlägga sådana frågor behållit sin behörighet, även om</w:t>
      </w:r>
      <w:r w:rsidRPr="0008481A">
        <w:t xml:space="preserve"> de inte innehar någon sådan befattning som anges i 17 § åklagarförordnin</w:t>
      </w:r>
      <w:r w:rsidRPr="0008481A">
        <w:t>g</w:t>
      </w:r>
      <w:r w:rsidRPr="0008481A">
        <w:t>en. Detta innebär att antalet åklagare som  handlägger polisärenden sannolikt är stö</w:t>
      </w:r>
      <w:r w:rsidRPr="0008481A">
        <w:t>r</w:t>
      </w:r>
      <w:r w:rsidRPr="0008481A">
        <w:t>re i dag än tid</w:t>
      </w:r>
      <w:r w:rsidRPr="0008481A">
        <w:t>i</w:t>
      </w:r>
      <w:r w:rsidRPr="0008481A">
        <w:t xml:space="preserve">gare. </w:t>
      </w:r>
    </w:p>
    <w:p w:rsidR="003B3271" w:rsidRPr="0008481A" w:rsidRDefault="003B3271">
      <w:pPr>
        <w:pStyle w:val="Normaltindrag"/>
      </w:pPr>
      <w:r w:rsidRPr="0008481A">
        <w:t>I den allmänna debatten framförs inte sällan förslaget att uppgiften att utreda anmä</w:t>
      </w:r>
      <w:r w:rsidRPr="0008481A">
        <w:t>l</w:t>
      </w:r>
      <w:r w:rsidRPr="0008481A">
        <w:t>ningar mot polismän bör läggas på en särskild myndighet som är helt självständig i förhållande till såväl polis- som åklagarväsendena. Det är tydligt att en sådan lösning skulle kunna avhjälpa i varje fall en del av de svagheter i det nuvarande systemet som jag har nämnt i det föregående. Det framstår exempelvis i ett medborgarper</w:t>
      </w:r>
      <w:r w:rsidRPr="0008481A">
        <w:t>s</w:t>
      </w:r>
      <w:r w:rsidRPr="0008481A">
        <w:t>pektiv som otillfredsställande att verksamheten att utreda påstådda brott av polismän inte alltid betraktas som en prioriterad uppgift och att den därmed, i konkurrensen om polis</w:t>
      </w:r>
      <w:r w:rsidRPr="0008481A">
        <w:softHyphen/>
        <w:t>myndigheternas resurser, riskerar att få stå tillbaka för andra angelägna a</w:t>
      </w:r>
      <w:r w:rsidRPr="0008481A">
        <w:t>r</w:t>
      </w:r>
      <w:r w:rsidRPr="0008481A">
        <w:t>betsuppgifter. Jag vill i detta hänseende erinra om vad jag har sagt i det föregående om bakgrunden till beslutet att inrätta Ekobrottsmyndigh</w:t>
      </w:r>
      <w:r w:rsidRPr="0008481A">
        <w:t>e</w:t>
      </w:r>
      <w:r w:rsidRPr="0008481A">
        <w:t>ten.</w:t>
      </w:r>
    </w:p>
    <w:p w:rsidR="003B3271" w:rsidRPr="0008481A" w:rsidRDefault="003B3271">
      <w:pPr>
        <w:pStyle w:val="Normaltindrag"/>
      </w:pPr>
      <w:r w:rsidRPr="0008481A">
        <w:t>Ett annat sätt att garantera kvaliteten hos och förtroendet för hand</w:t>
      </w:r>
      <w:r w:rsidRPr="0008481A">
        <w:softHyphen/>
        <w:t>läggningen av a</w:t>
      </w:r>
      <w:r w:rsidRPr="0008481A">
        <w:t>n</w:t>
      </w:r>
      <w:r w:rsidRPr="0008481A">
        <w:t>mälningar mot polismän är att säkerställa att det utövas en tillfredsställande tillsyn över polisens och åklagarväsendets verksamhet i detta hänseende samt att se till att tillsynen över förundersöknings</w:t>
      </w:r>
      <w:r w:rsidRPr="0008481A">
        <w:softHyphen/>
        <w:t>verksamheten också i övrigt håller en tillräcklig kv</w:t>
      </w:r>
      <w:r w:rsidRPr="0008481A">
        <w:t>a</w:t>
      </w:r>
      <w:r w:rsidRPr="0008481A">
        <w:t>litet. Värdet av en aktiv tillsyn i detta hänseende belyses av vad som sagts i det för</w:t>
      </w:r>
      <w:r w:rsidRPr="0008481A">
        <w:t>e</w:t>
      </w:r>
      <w:r w:rsidRPr="0008481A">
        <w:t>gående om de åtgärder som vidtagits vid Polismyndigheten i Skåne med anledning av JO:s inspektion. Det kan tilläggas att inspektionen också har fått ti</w:t>
      </w:r>
      <w:r w:rsidRPr="0008481A">
        <w:t>ll följd att al</w:t>
      </w:r>
      <w:r w:rsidRPr="0008481A">
        <w:t>l</w:t>
      </w:r>
      <w:r w:rsidRPr="0008481A">
        <w:t xml:space="preserve">mänhetens möjligheter till insyn i internutredningsverksamheten förbättras genom att polismyndigheten avser att i en årlig rapport från rättsenheten bl.a. ge en bild av vad som har hänt med de anmälningar som gjorts mot anställda vid myndigheten. En första rapport avseende år 1999 föreligger redan.  </w:t>
      </w:r>
    </w:p>
    <w:p w:rsidR="003B3271" w:rsidRPr="0008481A" w:rsidRDefault="003B3271">
      <w:pPr>
        <w:pStyle w:val="Normaltindrag"/>
      </w:pPr>
      <w:r w:rsidRPr="0008481A">
        <w:t xml:space="preserve">Det finns mot denna bakgrund anledning att här kortfattat redogöra för hur tillsynen över polisens och åklagarnas verksamhet är anordnad i dag. </w:t>
      </w:r>
    </w:p>
    <w:p w:rsidR="003B3271" w:rsidRPr="0008481A" w:rsidRDefault="003B3271">
      <w:pPr>
        <w:pStyle w:val="Rubrik3"/>
      </w:pPr>
      <w:r w:rsidRPr="0008481A">
        <w:t>Allmänt om tillsynsbegreppet</w:t>
      </w:r>
    </w:p>
    <w:p w:rsidR="003B3271" w:rsidRPr="0008481A" w:rsidRDefault="003B3271">
      <w:r w:rsidRPr="0008481A">
        <w:t>Uttrycket tillsyn används för att beteckna flera olika slag av kontroll av myndigh</w:t>
      </w:r>
      <w:r w:rsidRPr="0008481A">
        <w:t>e</w:t>
      </w:r>
      <w:r w:rsidRPr="0008481A">
        <w:t>ternas verksamhet. Allmänt gäller emellertid att det är fråga om en kontroll som sy</w:t>
      </w:r>
      <w:r w:rsidRPr="0008481A">
        <w:t>f</w:t>
      </w:r>
      <w:r w:rsidRPr="0008481A">
        <w:t>tar till att vidmakthålla och förbättra kvaliteten i verk</w:t>
      </w:r>
      <w:r w:rsidRPr="0008481A">
        <w:softHyphen/>
        <w:t>samheten i det eller de hänsee</w:t>
      </w:r>
      <w:r w:rsidRPr="0008481A">
        <w:t>n</w:t>
      </w:r>
      <w:r w:rsidRPr="0008481A">
        <w:t xml:space="preserve">den som tillsynen avser. Utmärkande för tillsyn i egentlig bemärkelse är vidare att den utövas av en överordnad myndighet eller av någon annan som är fristående i förhållande till den kontrollerade myndigheten. Tillsynen kan avse kontroll av att de fastlagda målen för den kontrollerade verksamheten uppnås och att anvisade medel används </w:t>
      </w:r>
      <w:r w:rsidRPr="0008481A">
        <w:t>på ett tillfredsställande sätt. Den utgör då en del av effektivitets</w:t>
      </w:r>
      <w:r w:rsidRPr="0008481A">
        <w:softHyphen/>
        <w:t>kontrollen och arbetet med att kontrollera verkställigheten av statsmakternas beslut. Tillsyn kan emellertid också vara av rättslig art och i första hand avse frågan om en viss ver</w:t>
      </w:r>
      <w:r w:rsidRPr="0008481A">
        <w:t>k</w:t>
      </w:r>
      <w:r w:rsidRPr="0008481A">
        <w:t>samhet bedrivs rättsenligt och i överensstämmelse med kraven på rättssäkerhet för den enskilde. En sådan tillsyn måste för att fylla sin funktion väsentligen inriktas på en granskning av handläggningen av enskilda ärenden. Den granskning av intern</w:t>
      </w:r>
      <w:r w:rsidRPr="0008481A">
        <w:softHyphen/>
        <w:t>utredningsverk</w:t>
      </w:r>
      <w:r w:rsidRPr="0008481A">
        <w:t>samheten som redovisas i denna skrivelse är ett exempel på sådan rättslig tillsyn.</w:t>
      </w:r>
    </w:p>
    <w:p w:rsidR="003B3271" w:rsidRPr="0008481A" w:rsidRDefault="003B3271">
      <w:pPr>
        <w:pStyle w:val="Normaltindrag"/>
      </w:pPr>
      <w:r w:rsidRPr="0008481A">
        <w:t>Sådana brister i en verksamhet som tar sig uttryck i oacceptabelt långa handläg</w:t>
      </w:r>
      <w:r w:rsidRPr="0008481A">
        <w:t>g</w:t>
      </w:r>
      <w:r w:rsidRPr="0008481A">
        <w:t>ningstider kan självfallet upptäckas och avhjälpas genom en tillsyn som är inriktad på frågor om den granskade myndighetens resursanvändning och effektivitet. Den kritik mot intern</w:t>
      </w:r>
      <w:r w:rsidRPr="0008481A">
        <w:softHyphen/>
        <w:t>utredningsverksamheten som före</w:t>
      </w:r>
      <w:r w:rsidRPr="0008481A">
        <w:softHyphen/>
        <w:t>kommer i den allmänna debatten tar emellertid i första hand sikte på de risker för ovidkommande hänsyn i det särski</w:t>
      </w:r>
      <w:r w:rsidRPr="0008481A">
        <w:t>l</w:t>
      </w:r>
      <w:r w:rsidRPr="0008481A">
        <w:t>da fallet som enligt kritikerna följer av det sätt på vilket verksamheten är organis</w:t>
      </w:r>
      <w:r w:rsidRPr="0008481A">
        <w:t>e</w:t>
      </w:r>
      <w:r w:rsidRPr="0008481A">
        <w:t>rad. För att sådana farhågor skall kunna bemötas med en hänvisning till att verksa</w:t>
      </w:r>
      <w:r w:rsidRPr="0008481A">
        <w:t>m</w:t>
      </w:r>
      <w:r w:rsidRPr="0008481A">
        <w:t>heten är förem</w:t>
      </w:r>
      <w:r w:rsidRPr="0008481A">
        <w:t>ål för tillsyn krävs i enlighet med vad som nyss sagts att det är fråga om en tillsyn som är i</w:t>
      </w:r>
      <w:r w:rsidRPr="0008481A">
        <w:t>n</w:t>
      </w:r>
      <w:r w:rsidRPr="0008481A">
        <w:t xml:space="preserve">riktad på rättstillämpningen i enskilda fall. </w:t>
      </w:r>
    </w:p>
    <w:p w:rsidR="003B3271" w:rsidRPr="0008481A" w:rsidRDefault="003B3271">
      <w:pPr>
        <w:pStyle w:val="Normaltindrag"/>
      </w:pPr>
      <w:r w:rsidRPr="0008481A">
        <w:t>Det bör till undvikande av missförstånd framhållas att det särskilda förfarande för handläggningen av anmälningar mot polismän som läggs fast i reglerna i 5 kap. 1 § polisförordningen inte utgör någon form av tillsyn över polisen. Det enda syftet med dessa regler är att säkerställa ett särskilt snabbt åklagarinträde i fall av det aktuella slaget. Sedan ärendet överläm</w:t>
      </w:r>
      <w:r w:rsidRPr="0008481A">
        <w:t>nats till åklagaren skall det handläggas på samma sätt som vilket åklagarärende som helst. Detta innebär att åklagarens bedömningar inte sträcker sig utanför det straffrättsligt reglerade området utan endast avser sådana fr</w:t>
      </w:r>
      <w:r w:rsidRPr="0008481A">
        <w:t>å</w:t>
      </w:r>
      <w:r w:rsidRPr="0008481A">
        <w:t>gor som om förundersökning skall inledas och hur den i så fall skall genomföras, om en inledd förundersökning skall läggas ned och om en genomförd förunder</w:t>
      </w:r>
      <w:r w:rsidRPr="0008481A">
        <w:softHyphen/>
        <w:t xml:space="preserve">sökning skall leda till att åtal väcks.       </w:t>
      </w:r>
    </w:p>
    <w:p w:rsidR="003B3271" w:rsidRPr="0008481A" w:rsidRDefault="003B3271">
      <w:pPr>
        <w:pStyle w:val="Rubrik3"/>
      </w:pPr>
      <w:r w:rsidRPr="0008481A">
        <w:t>Den ordinära tillsynen över polisen</w:t>
      </w:r>
    </w:p>
    <w:p w:rsidR="003B3271" w:rsidRPr="0008481A" w:rsidRDefault="003B3271">
      <w:r w:rsidRPr="0008481A">
        <w:t>Den ordinära tillsynen över polisen handhas numera enbart av Rikspolis</w:t>
      </w:r>
      <w:r w:rsidRPr="0008481A">
        <w:softHyphen/>
        <w:t>styrelsen, sedan länsstyrelsernas tillsyn över polismyndigheterna helt har upphört. Enligt 2 a § andra stycket förordningen (1989:773) med instruktion för Rikspolisstyrelsen skall styrelsen vid sin tillsyn särskilt beakta att polis</w:t>
      </w:r>
      <w:r w:rsidRPr="0008481A">
        <w:softHyphen/>
      </w:r>
      <w:r w:rsidRPr="0008481A">
        <w:softHyphen/>
        <w:t>arbetet bedrivs i överensstämmelse med de prioriteringar och riktlinjer som riksdagen och regeringen har lagt fast för polisverksamheten, att polisarbetet bedrivs effektivt och uppfyller rättssäkerhetens krav samt att förvaltningen inom polisväsendet fung</w:t>
      </w:r>
      <w:r w:rsidRPr="0008481A">
        <w:t>e</w:t>
      </w:r>
      <w:r w:rsidRPr="0008481A">
        <w:t>rar väl.</w:t>
      </w:r>
    </w:p>
    <w:p w:rsidR="003B3271" w:rsidRPr="0008481A" w:rsidRDefault="003B3271">
      <w:pPr>
        <w:pStyle w:val="Normaltindrag"/>
      </w:pPr>
      <w:r w:rsidRPr="0008481A">
        <w:t>I 2 a § tredj</w:t>
      </w:r>
      <w:r w:rsidRPr="0008481A">
        <w:t>e stycket i instruktionen sägs vidare att Rikspolisstyrelsen skall följa upp och analysera polis</w:t>
      </w:r>
      <w:r w:rsidRPr="0008481A">
        <w:softHyphen/>
        <w:t>verksamheten. Om de mål för verksamheten som anges i paragr</w:t>
      </w:r>
      <w:r w:rsidRPr="0008481A">
        <w:t>a</w:t>
      </w:r>
      <w:r w:rsidRPr="0008481A">
        <w:t>fens andra stycke inte uppnås eller om verksamheten inom polisen inte bedrivs på ett tillfredsställande sätt, skall Rikspolis</w:t>
      </w:r>
      <w:r w:rsidRPr="0008481A">
        <w:softHyphen/>
        <w:t>styrelsen genom påpekanden och uppmaningar eller på annat sätt söka åstadkomma rättelse. Vid behov skall Rikspolisstyrelsen a</w:t>
      </w:r>
      <w:r w:rsidRPr="0008481A">
        <w:t>n</w:t>
      </w:r>
      <w:r w:rsidRPr="0008481A">
        <w:t xml:space="preserve">mäla förhållandet till regeringen. </w:t>
      </w:r>
    </w:p>
    <w:p w:rsidR="003B3271" w:rsidRPr="0008481A" w:rsidRDefault="003B3271">
      <w:pPr>
        <w:pStyle w:val="Normaltindrag"/>
      </w:pPr>
      <w:r w:rsidRPr="0008481A">
        <w:t>Rikspolisstyrelsens tillsyn avser således i stor utsträckning annat</w:t>
      </w:r>
      <w:r w:rsidRPr="0008481A">
        <w:t xml:space="preserve"> än rätts</w:t>
      </w:r>
      <w:r w:rsidRPr="0008481A">
        <w:softHyphen/>
        <w:t>säkerhet</w:t>
      </w:r>
      <w:r w:rsidRPr="0008481A">
        <w:t>s</w:t>
      </w:r>
      <w:r w:rsidRPr="0008481A">
        <w:t>frågor. När sådana frågor behandlas görs detta normalt inte med inriktning på han</w:t>
      </w:r>
      <w:r w:rsidRPr="0008481A">
        <w:t>d</w:t>
      </w:r>
      <w:r w:rsidRPr="0008481A">
        <w:t>läggningen av enskilda ärenden, även om det ibland förekommer att Rikspolisstyre</w:t>
      </w:r>
      <w:r w:rsidRPr="0008481A">
        <w:t>l</w:t>
      </w:r>
      <w:r w:rsidRPr="0008481A">
        <w:t>sen utreder enstaka händelser som har tilldragit sig allmän uppmär</w:t>
      </w:r>
      <w:r w:rsidRPr="0008481A">
        <w:t>k</w:t>
      </w:r>
      <w:r w:rsidRPr="0008481A">
        <w:t xml:space="preserve">samhet. </w:t>
      </w:r>
    </w:p>
    <w:p w:rsidR="003B3271" w:rsidRPr="0008481A" w:rsidRDefault="003B3271">
      <w:pPr>
        <w:pStyle w:val="Normaltindrag"/>
      </w:pPr>
      <w:r w:rsidRPr="0008481A">
        <w:t>Tillsynsverksamheten har formen av inspektioner som utförs av en särskild tillsyns- och inspektionsenhet. Denna utför enligt min mening ett mycket ambitiöst och fö</w:t>
      </w:r>
      <w:r w:rsidRPr="0008481A">
        <w:t>r</w:t>
      </w:r>
      <w:r w:rsidRPr="0008481A">
        <w:t>tjänstfullt arbete inom de ramar som har lagts fast i instruktionen. Av det nyss sagda framgår emellertid att Rikspolisstyrelsens tillsynsverksamhet väsentligen har en a</w:t>
      </w:r>
      <w:r w:rsidRPr="0008481A">
        <w:t>n</w:t>
      </w:r>
      <w:r w:rsidRPr="0008481A">
        <w:t>nan funktion än att från rättsliga utgångspunkter utreda hur polisen har handlagt e</w:t>
      </w:r>
      <w:r w:rsidRPr="0008481A">
        <w:t>n</w:t>
      </w:r>
      <w:r w:rsidRPr="0008481A">
        <w:t>skilda brottsutredningar eller andra ärenden, exempelvis inom internutredningsver</w:t>
      </w:r>
      <w:r w:rsidRPr="0008481A">
        <w:t>k</w:t>
      </w:r>
      <w:r w:rsidRPr="0008481A">
        <w:t>samh</w:t>
      </w:r>
      <w:r w:rsidRPr="0008481A">
        <w:t>e</w:t>
      </w:r>
      <w:r w:rsidRPr="0008481A">
        <w:t>ten.</w:t>
      </w:r>
    </w:p>
    <w:p w:rsidR="003B3271" w:rsidRPr="0008481A" w:rsidRDefault="003B3271">
      <w:pPr>
        <w:pStyle w:val="Normaltindrag"/>
      </w:pPr>
      <w:r w:rsidRPr="0008481A">
        <w:t>Även om Rikspolisstyrelsens tillsyn utvidgades till att avse också hand</w:t>
      </w:r>
      <w:r w:rsidRPr="0008481A">
        <w:softHyphen/>
        <w:t>läggningen av enskilda ärenden, skulle detta få endast begränsad betydelse i fråga om utredningar av anmälningar mot polismän, eftersom förunder</w:t>
      </w:r>
      <w:r w:rsidRPr="0008481A">
        <w:softHyphen/>
        <w:t>sökningarna i sådana fall enligt h</w:t>
      </w:r>
      <w:r w:rsidRPr="0008481A">
        <w:t>u</w:t>
      </w:r>
      <w:r w:rsidRPr="0008481A">
        <w:t>vudregeln leds av åklagare. En tillsyn av detta slag från Rikspolisstyrelsens sida skulle därför i huvudsak komma att avse endast de moment i förfarandet som i tiden ligger före och – när förundersökning inte inleds eller åtal inte väcks – även efter åklagarens handläggning av ärendet. Som erfarenheterna från mina inspektioner vi</w:t>
      </w:r>
      <w:r w:rsidRPr="0008481A">
        <w:t>sar måste en tillsyn över handläggningen av anmälningar mot polismän, för att bli he</w:t>
      </w:r>
      <w:r w:rsidRPr="0008481A">
        <w:t>l</w:t>
      </w:r>
      <w:r w:rsidRPr="0008481A">
        <w:t>täckande, avse såväl åklagarens som polisens roll i samma</w:t>
      </w:r>
      <w:r w:rsidRPr="0008481A">
        <w:t>n</w:t>
      </w:r>
      <w:r w:rsidRPr="0008481A">
        <w:t xml:space="preserve">hanget.   </w:t>
      </w:r>
    </w:p>
    <w:p w:rsidR="003B3271" w:rsidRPr="0008481A" w:rsidRDefault="003B3271">
      <w:pPr>
        <w:pStyle w:val="Rubrik3"/>
      </w:pPr>
      <w:r w:rsidRPr="0008481A">
        <w:t>Den ordinära tillsynen över åklagarna</w:t>
      </w:r>
    </w:p>
    <w:p w:rsidR="003B3271" w:rsidRPr="0008481A" w:rsidRDefault="003B3271">
      <w:r w:rsidRPr="0008481A">
        <w:t>Före 1996 års åklagarreform var åklagarväsendet organiserat på i princip tre nivåer. På den centrala nivån fanns Riksåklagaren, på den regionala – med undantag för de tre storstäderna – fanns regionåklagarmyndigheterna, och på den lokala nivån fanns de lokala åklagarmyndigheterna. Riksåklagaren hade i sin egenskap av högste åkl</w:t>
      </w:r>
      <w:r w:rsidRPr="0008481A">
        <w:t>a</w:t>
      </w:r>
      <w:r w:rsidRPr="0008481A">
        <w:t>gare i riket ett tillsynsansvar för åklagarväsendet i dess helhet, och överåklagarna hade i sin egenskap av chefer för de regionala myndigheterna och de tre storstad</w:t>
      </w:r>
      <w:r w:rsidRPr="0008481A">
        <w:t>s</w:t>
      </w:r>
      <w:r w:rsidRPr="0008481A">
        <w:t>myndigheterna motsvarande ansvar i fråga om de lokala myndigheterna inom sina ansvarsområden.</w:t>
      </w:r>
    </w:p>
    <w:p w:rsidR="003B3271" w:rsidRPr="0008481A" w:rsidRDefault="003B3271">
      <w:pPr>
        <w:pStyle w:val="Normaltindrag"/>
      </w:pPr>
      <w:r w:rsidRPr="0008481A">
        <w:t>Riksåklagarens tillsynsfunktion utövades huvudsakligen genom tillsyns</w:t>
      </w:r>
      <w:r w:rsidRPr="0008481A">
        <w:softHyphen/>
        <w:t>besök, den s.k. överprövningsverksamheten och rätten att utfärda föreskrifter och allmänna råd. Härtill kom handläggningen av klagomål mot åklagare och anmälningar om brott i tjänsten av åklagare (se prop. 1993/94:100, Bilaga 3 s. 35). För tillsynsverksamheten fanns i Riksåklagarens kansli en särskild tillsynsb</w:t>
      </w:r>
      <w:r w:rsidRPr="0008481A">
        <w:t>y</w:t>
      </w:r>
      <w:r w:rsidRPr="0008481A">
        <w:t xml:space="preserve">rå. </w:t>
      </w:r>
    </w:p>
    <w:p w:rsidR="003B3271" w:rsidRPr="0008481A" w:rsidRDefault="003B3271">
      <w:pPr>
        <w:pStyle w:val="Normaltindrag"/>
      </w:pPr>
      <w:r w:rsidRPr="0008481A">
        <w:t>Genom ett riksdagsbeslut år 1994 gavs Riksåklagarens tillsynsverksamhet en något annan inriktning mot bakgrund bl.a. av att överåklagarna hade fått ett ökat ansvar för verksamheten inom regione</w:t>
      </w:r>
      <w:r w:rsidRPr="0008481A">
        <w:t>rna. Beslutet innebar att Riks</w:t>
      </w:r>
      <w:r w:rsidRPr="0008481A">
        <w:softHyphen/>
        <w:t>åklagarens tillsynsbesök generellt borde syfta till att det skapades en enhetlig rättstillämpning och att kvalit</w:t>
      </w:r>
      <w:r w:rsidRPr="0008481A">
        <w:t>e</w:t>
      </w:r>
      <w:r w:rsidRPr="0008481A">
        <w:t xml:space="preserve">ten i åklagarverksamheten hölls på en hög och jämn nivå (a. prop. s. 35 f.). </w:t>
      </w:r>
    </w:p>
    <w:p w:rsidR="003B3271" w:rsidRPr="0008481A" w:rsidRDefault="003B3271">
      <w:pPr>
        <w:pStyle w:val="Normaltindrag"/>
      </w:pPr>
      <w:r w:rsidRPr="0008481A">
        <w:t>Genom 1996 års åklagarreform sammanfördes den regionala och den lokala nivån organisatoriskt i sju (numera sex) regionala åklagarmyndigheter, i vilka ingår sa</w:t>
      </w:r>
      <w:r w:rsidRPr="0008481A">
        <w:t>m</w:t>
      </w:r>
      <w:r w:rsidRPr="0008481A">
        <w:t>manlagt ett 40-tal lokala åklagarkammare (se prop. 1995/96:110 s. 10 f.). Frågan om åklagarkamrarna skulle vara att anse som självständiga myndigheter eller ej lämn</w:t>
      </w:r>
      <w:r w:rsidRPr="0008481A">
        <w:t>a</w:t>
      </w:r>
      <w:r w:rsidRPr="0008481A">
        <w:t>des härvid öppen (1995/96 JuU 13 s. 10 f.)  Det får emellertid numera anses vara klarlagt genom reglerna i åklagar</w:t>
      </w:r>
      <w:r w:rsidRPr="0008481A">
        <w:softHyphen/>
        <w:t>förordningen (1996:205) att åklagarkamrarna inte utgör självständiga myndigheter utan ingår i åklagarmyndigheterna. Över</w:t>
      </w:r>
      <w:r w:rsidRPr="0008481A">
        <w:softHyphen/>
        <w:t>åklagarna har i sin egenskap av chefer för åklagarmyndigheterna huvudansvaret för verk</w:t>
      </w:r>
      <w:r w:rsidRPr="0008481A">
        <w:softHyphen/>
        <w:t>sa</w:t>
      </w:r>
      <w:r w:rsidRPr="0008481A">
        <w:t>m</w:t>
      </w:r>
      <w:r w:rsidRPr="0008481A">
        <w:softHyphen/>
        <w:t>heten (a. prop. s.1</w:t>
      </w:r>
      <w:r w:rsidRPr="0008481A">
        <w:t xml:space="preserve">6 f.). </w:t>
      </w:r>
    </w:p>
    <w:p w:rsidR="003B3271" w:rsidRPr="0008481A" w:rsidRDefault="003B3271">
      <w:pPr>
        <w:pStyle w:val="Normaltindrag"/>
      </w:pPr>
      <w:r w:rsidRPr="0008481A">
        <w:t>I samband med omorganisationen kom Riksåklagarens tillsyn att i huvudsak få k</w:t>
      </w:r>
      <w:r w:rsidRPr="0008481A">
        <w:t>a</w:t>
      </w:r>
      <w:r w:rsidRPr="0008481A">
        <w:t>raktären av en allmän verksamhetskontroll inom ramen för en mål- och resultatsty</w:t>
      </w:r>
      <w:r w:rsidRPr="0008481A">
        <w:t>r</w:t>
      </w:r>
      <w:r w:rsidRPr="0008481A">
        <w:t>ning (se Riks</w:t>
      </w:r>
      <w:r w:rsidRPr="0008481A">
        <w:softHyphen/>
        <w:t>åklagarens rapport [1996:3] Framtidens åklagarväsende). De tidigare tillsynsbesöken, som syftade till att upprätthålla den rättsliga kvaliteten i åklaga</w:t>
      </w:r>
      <w:r w:rsidRPr="0008481A">
        <w:t>r</w:t>
      </w:r>
      <w:r w:rsidRPr="0008481A">
        <w:t>verksamheten, har ersatts med årliga informa</w:t>
      </w:r>
      <w:r w:rsidRPr="0008481A">
        <w:softHyphen/>
        <w:t>tions</w:t>
      </w:r>
      <w:r w:rsidRPr="0008481A">
        <w:softHyphen/>
        <w:t>besök vid varje åklagarmyndighet och varje åklagarkamm</w:t>
      </w:r>
      <w:r w:rsidRPr="0008481A">
        <w:t>a</w:t>
      </w:r>
      <w:r w:rsidRPr="0008481A">
        <w:t xml:space="preserve">re. </w:t>
      </w:r>
    </w:p>
    <w:p w:rsidR="003B3271" w:rsidRPr="0008481A" w:rsidRDefault="003B3271">
      <w:pPr>
        <w:pStyle w:val="Normaltindrag"/>
      </w:pPr>
      <w:r w:rsidRPr="0008481A">
        <w:t>Riksåklagaren ser i dag som sin centrala lednings- och kontrolluppgift att, med u</w:t>
      </w:r>
      <w:r w:rsidRPr="0008481A">
        <w:t>t</w:t>
      </w:r>
      <w:r w:rsidRPr="0008481A">
        <w:t>gångspunkt i systemet med mål- och resultatstyrning, se till att av statsmakterna fas</w:t>
      </w:r>
      <w:r w:rsidRPr="0008481A">
        <w:t>t</w:t>
      </w:r>
      <w:r w:rsidRPr="0008481A">
        <w:t>ställda mål och riktlinjer får genomslag i åklagarväsendet (Riksåklagarens redovi</w:t>
      </w:r>
      <w:r w:rsidRPr="0008481A">
        <w:t>s</w:t>
      </w:r>
      <w:r w:rsidRPr="0008481A">
        <w:t>ning av uppdrag rörande översyn av 7 kap. Rätte</w:t>
      </w:r>
      <w:r w:rsidRPr="0008481A">
        <w:softHyphen/>
        <w:t>gångs</w:t>
      </w:r>
      <w:r w:rsidRPr="0008481A">
        <w:softHyphen/>
        <w:t>balken s. 14). Som hjälpmedel vid denna kontroll tjänar åklagar</w:t>
      </w:r>
      <w:r w:rsidRPr="0008481A">
        <w:softHyphen/>
        <w:t>väsendets datasystem, som sägs göra det lätt att få fram uppgifter om t.ex. lagföringsprocent, genomströmningstider och produktion</w:t>
      </w:r>
      <w:r w:rsidRPr="0008481A">
        <w:t>s</w:t>
      </w:r>
      <w:r w:rsidRPr="0008481A">
        <w:t>förändringar (a.a. s. 16). Det sägs vidare vara möjligt att på detta sätt, med utnyttja</w:t>
      </w:r>
      <w:r w:rsidRPr="0008481A">
        <w:t>n</w:t>
      </w:r>
      <w:r w:rsidRPr="0008481A">
        <w:t>de ock</w:t>
      </w:r>
      <w:r w:rsidRPr="0008481A">
        <w:t>så av det tidsredovisningssystem som används, se vilket genomslag som stats</w:t>
      </w:r>
      <w:r w:rsidRPr="0008481A">
        <w:softHyphen/>
        <w:t xml:space="preserve">makternas prioriteringar av vissa brottstyper får i praktiken. </w:t>
      </w:r>
    </w:p>
    <w:p w:rsidR="003B3271" w:rsidRPr="0008481A" w:rsidRDefault="003B3271">
      <w:pPr>
        <w:pStyle w:val="Normaltindrag"/>
      </w:pPr>
      <w:r w:rsidRPr="0008481A">
        <w:t>Det kan vidare noteras att Riksåklagaren i sin verksamhetsplan för år 1999 bland målen för åklagarverksamheten angav som kvalitetsmål att genom</w:t>
      </w:r>
      <w:r w:rsidRPr="0008481A">
        <w:softHyphen/>
        <w:t>strömningstiden skulle minska för alla förundersökningar och som rättssäker</w:t>
      </w:r>
      <w:r w:rsidRPr="0008481A">
        <w:softHyphen/>
        <w:t>hetsmål att enhetligheten i rättstillämpningen skulle öka. Sistnämnda mål anslöt sig nära till det av regeringen i regleringsbrevet för år 1999 fastlagda verksamhetsmålet att rättstillämpningen skall vara enhetlig vid prövning av åtalsfrågan och användning av frihetsberövanden (se Riksåklagarens årsr</w:t>
      </w:r>
      <w:r w:rsidRPr="0008481A">
        <w:t>e</w:t>
      </w:r>
      <w:r w:rsidRPr="0008481A">
        <w:t xml:space="preserve">dovisning 1999 s. 10). </w:t>
      </w:r>
    </w:p>
    <w:p w:rsidR="003B3271" w:rsidRPr="0008481A" w:rsidRDefault="003B3271">
      <w:pPr>
        <w:pStyle w:val="Normaltindrag"/>
      </w:pPr>
      <w:r w:rsidRPr="0008481A">
        <w:t>Av den nyss nämnda uppdragsredovisningen kan vidare utläsas att också överåkl</w:t>
      </w:r>
      <w:r w:rsidRPr="0008481A">
        <w:t>a</w:t>
      </w:r>
      <w:r w:rsidRPr="0008481A">
        <w:t>garnas kontrollverksamhet numera väsentligen är att betrakta som ett inslag i mål- och resultatstyrningen (s. 14). Det kan såvitt gäller denna verksamhet vidare noteras att man i den nu gällande åklagarförordningen, som tillkom i samband med 1996 års reform, inte återfinner någon mot</w:t>
      </w:r>
      <w:r w:rsidRPr="0008481A">
        <w:softHyphen/>
        <w:t>svarighet till de tidigare gällande reglerna om överåklagarnas inspektions</w:t>
      </w:r>
      <w:r w:rsidRPr="0008481A">
        <w:softHyphen/>
        <w:t>skyldighet och om deras skyldighet att verka för lagenli</w:t>
      </w:r>
      <w:r w:rsidRPr="0008481A">
        <w:t>g</w:t>
      </w:r>
      <w:r w:rsidRPr="0008481A">
        <w:t>het, följdriktighet och enhetlighet vid rättstillämpningen (se 5 § åklagarförordningen [1989:8</w:t>
      </w:r>
      <w:r w:rsidRPr="0008481A">
        <w:t xml:space="preserve">48]).   </w:t>
      </w:r>
    </w:p>
    <w:p w:rsidR="003B3271" w:rsidRPr="0008481A" w:rsidRDefault="003B3271">
      <w:pPr>
        <w:pStyle w:val="Normaltindrag"/>
      </w:pPr>
      <w:r w:rsidRPr="0008481A">
        <w:t>Det kan sammanfattningsvis konstateras att den verksamhet som enligt vad som nyss har sagts framstår som kärnan i Riksåklagarens tillsynsverksamhet närmast kan b</w:t>
      </w:r>
      <w:r w:rsidRPr="0008481A">
        <w:t>e</w:t>
      </w:r>
      <w:r w:rsidRPr="0008481A">
        <w:t>tecknas som en på statistik och annan allmän information grundad kontroll av åklagarverksamhetens effektivitet, produktivitet och mål</w:t>
      </w:r>
      <w:r w:rsidRPr="0008481A">
        <w:softHyphen/>
        <w:t>uppfyllelse i övrigt. Ko</w:t>
      </w:r>
      <w:r w:rsidRPr="0008481A">
        <w:t>n</w:t>
      </w:r>
      <w:r w:rsidRPr="0008481A">
        <w:t>trollen av enhetligheten i rättstillämpningen – vilken enligt vad som har sagts i det föregående för år 1999 bl.a. avsåg kontroll av uppfyllandet av Riksåklagarens rätt</w:t>
      </w:r>
      <w:r w:rsidRPr="0008481A">
        <w:t>s</w:t>
      </w:r>
      <w:r w:rsidRPr="0008481A">
        <w:t>säkerhetsmål – är sålunda väsentligen inriktad på att i statistikform ange graden av enhetlighet i rättstillämpningen i olika hänseenden. Vid denna kontroll mäts sådant som andelen åt</w:t>
      </w:r>
      <w:r w:rsidRPr="0008481A">
        <w:t>als</w:t>
      </w:r>
      <w:r w:rsidRPr="0008481A">
        <w:softHyphen/>
        <w:t>beslut, andelen beslut att lägga ned förundersökning och andelen anhållanden och häktningsframställningar (Riksåklagarens års</w:t>
      </w:r>
      <w:r w:rsidRPr="0008481A">
        <w:softHyphen/>
        <w:t>redovisning 1999 s. 27). En kontroll av det här beskrivna slaget kan av naturliga skäl inte ge någon i</w:t>
      </w:r>
      <w:r w:rsidRPr="0008481A">
        <w:t>n</w:t>
      </w:r>
      <w:r w:rsidRPr="0008481A">
        <w:t>formation om den rättsliga kvaliteten i handläggningen av de enskilda ärendena. Det kan vidare inte uteslutas att en i rättsligt hänseende bristfällig verksamhet uppvisar värden i de undersökta hänseendena som inte skiljer sig från motsvarande värden för en verksamhet som uppfyl</w:t>
      </w:r>
      <w:r w:rsidRPr="0008481A">
        <w:t>ler höga krav på rättslig kvalitet och rättssäkerhet för den enskilde. Denna del av åklagarväsendets tillsynsverksamhet är således knappast ä</w:t>
      </w:r>
      <w:r w:rsidRPr="0008481A">
        <w:t>g</w:t>
      </w:r>
      <w:r w:rsidRPr="0008481A">
        <w:t>nad att motverka de farhågor för brister i handläggningen av po</w:t>
      </w:r>
      <w:r w:rsidRPr="0008481A">
        <w:softHyphen/>
      </w:r>
      <w:r w:rsidRPr="0008481A">
        <w:softHyphen/>
        <w:t>lis</w:t>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t>ärenden som ko</w:t>
      </w:r>
      <w:r w:rsidRPr="0008481A">
        <w:t>m</w:t>
      </w:r>
      <w:r w:rsidRPr="0008481A">
        <w:t>mer till uttryck i den allmänna deba</w:t>
      </w:r>
      <w:r w:rsidRPr="0008481A">
        <w:t>t</w:t>
      </w:r>
      <w:r w:rsidRPr="0008481A">
        <w:t xml:space="preserve">ten. </w:t>
      </w:r>
    </w:p>
    <w:p w:rsidR="003B3271" w:rsidRPr="0008481A" w:rsidRDefault="003B3271">
      <w:pPr>
        <w:pStyle w:val="Normaltindrag"/>
      </w:pPr>
      <w:r w:rsidRPr="0008481A">
        <w:t>Såvitt gäller överåklagarnas kontrollverksamhet bör vidare framhållas att denna efter 1996 års åklagarreform avser den verksamhet för vilken de själva har det övergr</w:t>
      </w:r>
      <w:r w:rsidRPr="0008481A">
        <w:t>i</w:t>
      </w:r>
      <w:r w:rsidRPr="0008481A">
        <w:t>pande ledningsansvaret. Eftersom, som tidigare nämnts, en tillsyn i egentlig bemä</w:t>
      </w:r>
      <w:r w:rsidRPr="0008481A">
        <w:t>r</w:t>
      </w:r>
      <w:r w:rsidRPr="0008481A">
        <w:t>kelse utmärks bl.a. av att den utövas av någon som är organisatoriskt fristående i förhållande till den verksamhet som kontrollen avser, kan överåklagarna numera inte anses utöva tillsyn över den lokala åklagarverksamheten (jfr Fitger, Rättegångsba</w:t>
      </w:r>
      <w:r w:rsidRPr="0008481A">
        <w:t>l</w:t>
      </w:r>
      <w:r w:rsidRPr="0008481A">
        <w:t>ken del 1 s. 7:8). Det är här i stället fråga om sådan kontrollverksamhet som enligt 7 § verksförordningen (1995:1332) ankommer på en myndighetschef. Jag vill i sa</w:t>
      </w:r>
      <w:r w:rsidRPr="0008481A">
        <w:t>m</w:t>
      </w:r>
      <w:r w:rsidRPr="0008481A">
        <w:t>manhanget erinra</w:t>
      </w:r>
      <w:r w:rsidRPr="0008481A">
        <w:t xml:space="preserve"> om att en tillsynsmodell som innebär att en myndighetschef utövar tillsyn över den egna verksamheten avvisades för polisens del under den tid då län</w:t>
      </w:r>
      <w:r w:rsidRPr="0008481A">
        <w:t>s</w:t>
      </w:r>
      <w:r w:rsidRPr="0008481A">
        <w:t>styrelserna genom länspolismästarna utövade den regionala tillsynen över polisv</w:t>
      </w:r>
      <w:r w:rsidRPr="0008481A">
        <w:t>ä</w:t>
      </w:r>
      <w:r w:rsidRPr="0008481A">
        <w:t>sendet (se 3 kap. 9 § i den tidigare gällande polisfö</w:t>
      </w:r>
      <w:r w:rsidRPr="0008481A">
        <w:t>r</w:t>
      </w:r>
      <w:r w:rsidRPr="0008481A">
        <w:t>ordningen [1984:730]).</w:t>
      </w:r>
    </w:p>
    <w:p w:rsidR="003B3271" w:rsidRPr="0008481A" w:rsidRDefault="003B3271">
      <w:pPr>
        <w:pStyle w:val="Normaltindrag"/>
      </w:pPr>
      <w:r w:rsidRPr="0008481A">
        <w:t xml:space="preserve">  Den här beskrivna ordningen för kontroll och tillsyn inom åklagar</w:t>
      </w:r>
      <w:r w:rsidRPr="0008481A">
        <w:softHyphen/>
        <w:t>väsen</w:t>
      </w:r>
      <w:r w:rsidRPr="0008481A">
        <w:softHyphen/>
        <w:t>det torde i sak innebära att handläggning av ärenden avseende åtgärder av åklagare i särskilda fall i huvudsak är begränsad till att avse överprövnings</w:t>
      </w:r>
      <w:r w:rsidRPr="0008481A">
        <w:softHyphen/>
        <w:t>ärenden och ärenden där någon enskild har anmält en åklagare för brott eller framfört klagomål mot hans handläg</w:t>
      </w:r>
      <w:r w:rsidRPr="0008481A">
        <w:t>g</w:t>
      </w:r>
      <w:r w:rsidRPr="0008481A">
        <w:t xml:space="preserve">ning i något hänseende. </w:t>
      </w:r>
    </w:p>
    <w:p w:rsidR="003B3271" w:rsidRPr="0008481A" w:rsidRDefault="003B3271">
      <w:pPr>
        <w:pStyle w:val="Normaltindrag"/>
      </w:pPr>
      <w:r w:rsidRPr="0008481A">
        <w:t>Överprövningsförfarandet har sin grund i 7 kap. 5 § rättegångsbalken. Enligt detta lagrum har Riksåklagaren och statsåklagare – varmed i detta sammanhang avses överåklagarna och de biträdande överåklagarna – rätt att</w:t>
      </w:r>
      <w:r w:rsidRPr="0008481A">
        <w:t xml:space="preserve"> överta uppgifter som a</w:t>
      </w:r>
      <w:r w:rsidRPr="0008481A">
        <w:t>n</w:t>
      </w:r>
      <w:r w:rsidRPr="0008481A">
        <w:t>kommer på lägre åklagare. År 1999 var enligt uppgift antalet överprövningsärenden hos överåklagarna ca 1 900. Antalet sådana ärenden hos Riksåklagaren var samma år drygt 250. Det bör  emellertid noteras att huvuddelen av dessa ärenden redan torde ha varit föremål för överprövning hos överåklagare och därför inte prövades i sak av Riks</w:t>
      </w:r>
      <w:r w:rsidRPr="0008481A">
        <w:softHyphen/>
        <w:t>åklagaren. De här angivna siffrorna skall ställas i relation till att, enligt Riks</w:t>
      </w:r>
      <w:r w:rsidRPr="0008481A">
        <w:softHyphen/>
      </w:r>
      <w:r w:rsidRPr="0008481A">
        <w:softHyphen/>
        <w:t>åklagarens årsredovisning för år 1999, antalet till åklagarväsendet</w:t>
      </w:r>
      <w:r w:rsidRPr="0008481A">
        <w:t xml:space="preserve"> inkomna ärenden under året var 176 866 och antalet avslutade ärenden 192 142 (s. 21). Det kan tillä</w:t>
      </w:r>
      <w:r w:rsidRPr="0008481A">
        <w:t>g</w:t>
      </w:r>
      <w:r w:rsidRPr="0008481A">
        <w:t>gas att överprövning ibland kan avse enbart en delfråga i ett ärende, t.ex. ett beslut beträ</w:t>
      </w:r>
      <w:r w:rsidRPr="0008481A">
        <w:t>f</w:t>
      </w:r>
      <w:r w:rsidRPr="0008481A">
        <w:t>fande en misstänkt i ett ärende med flera misstänkta.</w:t>
      </w:r>
    </w:p>
    <w:p w:rsidR="003B3271" w:rsidRPr="0008481A" w:rsidRDefault="003B3271">
      <w:pPr>
        <w:pStyle w:val="Normaltindrag"/>
      </w:pPr>
      <w:r w:rsidRPr="0008481A">
        <w:t>I motsats till vad som gäller i fråga om anmälningar mot polismän finns det inte nå</w:t>
      </w:r>
      <w:r w:rsidRPr="0008481A">
        <w:t>g</w:t>
      </w:r>
      <w:r w:rsidRPr="0008481A">
        <w:t>ra på statsmaktsnivå beslutade regler om handläggningen av anmälningar mot åkl</w:t>
      </w:r>
      <w:r w:rsidRPr="0008481A">
        <w:t>a</w:t>
      </w:r>
      <w:r w:rsidRPr="0008481A">
        <w:t>gare. Denna fråga regleras i stället i Riksåklagarens föreskrifter (RÅFS 1996:1) om handläggningen av anmälningar mot åklagare och domare m.fl. Enligt 4 § i dessa föreskrifter skall anmälningar om brott i tjänsten mot andra åklagare än överåklaga</w:t>
      </w:r>
      <w:r w:rsidRPr="0008481A">
        <w:t>r</w:t>
      </w:r>
      <w:r w:rsidRPr="0008481A">
        <w:t>na och de åklagare som tjänstgör i Riksåklagarens kansli handläggas av överåklag</w:t>
      </w:r>
      <w:r w:rsidRPr="0008481A">
        <w:t>a</w:t>
      </w:r>
      <w:r w:rsidRPr="0008481A">
        <w:t>re. Om det därvid upp</w:t>
      </w:r>
      <w:r w:rsidRPr="0008481A">
        <w:softHyphen/>
        <w:t>kommer fråga om att inleda förundersökning eller att göra a</w:t>
      </w:r>
      <w:r w:rsidRPr="0008481A">
        <w:t>n</w:t>
      </w:r>
      <w:r w:rsidRPr="0008481A">
        <w:t>mälan till Statens ans</w:t>
      </w:r>
      <w:r w:rsidRPr="0008481A">
        <w:t>varsnämnd, skall ärendet överlämnas till Riksåklagaren för for</w:t>
      </w:r>
      <w:r w:rsidRPr="0008481A">
        <w:t>t</w:t>
      </w:r>
      <w:r w:rsidRPr="0008481A">
        <w:t>satt handläggning. En överåklagare har således rätt att besluta att för</w:t>
      </w:r>
      <w:r w:rsidRPr="0008481A">
        <w:softHyphen/>
        <w:t>undersökning inte skall inledas med anledning av en anmälan mot en åklagare. Riks</w:t>
      </w:r>
      <w:r w:rsidRPr="0008481A">
        <w:softHyphen/>
        <w:t>åklagarens prövning i ärenden som överlämnas dit är inte begränsad till att avse frågorna om straff- och disciplinansvar utan den kan, till följd av Riksåklagarens allmänna till</w:t>
      </w:r>
      <w:r w:rsidRPr="0008481A">
        <w:softHyphen/>
      </w:r>
      <w:r w:rsidRPr="0008481A">
        <w:softHyphen/>
      </w:r>
      <w:r w:rsidRPr="0008481A">
        <w:softHyphen/>
        <w:t>syns</w:t>
      </w:r>
      <w:r w:rsidRPr="0008481A">
        <w:softHyphen/>
        <w:t xml:space="preserve">uppgift, avse ärendet i hela dess vidd. </w:t>
      </w:r>
    </w:p>
    <w:p w:rsidR="003B3271" w:rsidRPr="0008481A" w:rsidRDefault="003B3271">
      <w:pPr>
        <w:pStyle w:val="Normaltindrag"/>
      </w:pPr>
      <w:r w:rsidRPr="0008481A">
        <w:t>De nu nämnda reglerna innebär att det i första hand överlämnas åt öve</w:t>
      </w:r>
      <w:r w:rsidRPr="0008481A">
        <w:t>råklagaren att i egenskap av åklagarmyndighetens chef ta ställning i frågan huruvida det finns skäl att inleda förundersökning eller disciplin</w:t>
      </w:r>
      <w:r w:rsidRPr="0008481A">
        <w:softHyphen/>
        <w:t>förfarande mot någon av de honom eller henne underställda åklagarna eller ej. Det är endast i de fall där överåklagaren anser att det finns skäl att inleda ett sådant förfarande som man med säkerhet kan säga att ett organ utanför åklagarmyndigheten själv, nämligen Riksåklagaren, över huvud taget får kännedom om frågan. Under år 1999 inkom enligt uppgift drygt 100 såd</w:t>
      </w:r>
      <w:r w:rsidRPr="0008481A">
        <w:t>ana ärenden till Rikså</w:t>
      </w:r>
      <w:r w:rsidRPr="0008481A">
        <w:t>k</w:t>
      </w:r>
      <w:r w:rsidRPr="0008481A">
        <w:t xml:space="preserve">lagaren.  </w:t>
      </w:r>
    </w:p>
    <w:p w:rsidR="003B3271" w:rsidRPr="0008481A" w:rsidRDefault="003B3271">
      <w:pPr>
        <w:pStyle w:val="Normaltindrag"/>
      </w:pPr>
      <w:r w:rsidRPr="0008481A">
        <w:t>Den här beskrivna ordningen för handläggning av anmälningar mot åklagare skiljer sig i principiellt hänseende från den ordning som enligt huvudregeln gäller i fråga om handläggningen av anmälningar mot polismän, nämligen att anmälan omgående skall vidarebefordras till en befattnings</w:t>
      </w:r>
      <w:r w:rsidRPr="0008481A">
        <w:softHyphen/>
        <w:t>havare som är fristående i förhållande till den my</w:t>
      </w:r>
      <w:r w:rsidRPr="0008481A">
        <w:t>n</w:t>
      </w:r>
      <w:r w:rsidRPr="0008481A">
        <w:t>dighet där den anmälde befattningshavaren tjänstgör. En annan skillnad av principiell betydelse mellan de två systemen är att en polismyndighet i vissa fall får inleda fö</w:t>
      </w:r>
      <w:r w:rsidRPr="0008481A">
        <w:t>r</w:t>
      </w:r>
      <w:r w:rsidRPr="0008481A">
        <w:softHyphen/>
        <w:t>undersökning mot en anställd inom polisen men aldrig lägga ned en sådan för</w:t>
      </w:r>
      <w:r w:rsidRPr="0008481A">
        <w:softHyphen/>
        <w:t>undersökning, medan en överåklagare som tar emot en anmälan mot en åklagare inte själv får inleda förundersökning men däremot besluta att förundersökning inte skall inl</w:t>
      </w:r>
      <w:r w:rsidRPr="0008481A">
        <w:t>e</w:t>
      </w:r>
      <w:r w:rsidRPr="0008481A">
        <w:t xml:space="preserve">das.  </w:t>
      </w:r>
    </w:p>
    <w:p w:rsidR="003B3271" w:rsidRPr="0008481A" w:rsidRDefault="003B3271">
      <w:pPr>
        <w:pStyle w:val="Normaltindrag"/>
      </w:pPr>
      <w:r w:rsidRPr="0008481A">
        <w:t>Det är tydligt att den här beskrivna</w:t>
      </w:r>
      <w:r w:rsidRPr="0008481A">
        <w:t xml:space="preserve"> ordningen för handläggningen av anmälningar mot åklagare medför en inte obetydlig risk för att praxis i fråga om överlämnande av anmälningar till Riksåklagaren utvecklas i skilda rikt</w:t>
      </w:r>
      <w:r w:rsidRPr="0008481A">
        <w:softHyphen/>
        <w:t>ningar hos de olika åklaga</w:t>
      </w:r>
      <w:r w:rsidRPr="0008481A">
        <w:t>r</w:t>
      </w:r>
      <w:r w:rsidRPr="0008481A">
        <w:t>myndigheterna och att som en följd därav lika fall kommer att behandlas olika. Det finns vidare en risk för att överåklagarens opartiskhet vid handläggningen av ärenden avseende befattningshavare vid den egna myndigheten kommer att ifrågasättas. Överåklagaren torde i själva verket normalt befinna si</w:t>
      </w:r>
      <w:r w:rsidRPr="0008481A">
        <w:t>g i en formlig jävssituation i de fall där en anmälan riktas mot den biträdande överåklagaren, som ju är överåklag</w:t>
      </w:r>
      <w:r w:rsidRPr="0008481A">
        <w:t>a</w:t>
      </w:r>
      <w:r w:rsidRPr="0008481A">
        <w:t>rens ställ</w:t>
      </w:r>
      <w:r w:rsidRPr="0008481A">
        <w:softHyphen/>
        <w:t>företrädare och närmaste medarbetare. Med hänsyn till att chefsåklagarna ingår i åklagarmyndighetens ledningsgrupp (6 § åklagarförordningen) måste man räkna med att det också när en anmälan riktas mot någon inom denna krets uppko</w:t>
      </w:r>
      <w:r w:rsidRPr="0008481A">
        <w:t>m</w:t>
      </w:r>
      <w:r w:rsidRPr="0008481A">
        <w:t>mer situationer där överåklagarens objektivitet med fog kan ifrågasä</w:t>
      </w:r>
      <w:r w:rsidRPr="0008481A">
        <w:t>t</w:t>
      </w:r>
      <w:r w:rsidRPr="0008481A">
        <w:t xml:space="preserve">tas. </w:t>
      </w:r>
    </w:p>
    <w:p w:rsidR="003B3271" w:rsidRPr="0008481A" w:rsidRDefault="003B3271">
      <w:pPr>
        <w:pStyle w:val="Normaltindrag"/>
      </w:pPr>
      <w:r w:rsidRPr="0008481A">
        <w:t>Det kan mot den här angivna bakgrunden ifrågasättas om den rättsligt inriktade ti</w:t>
      </w:r>
      <w:r w:rsidRPr="0008481A">
        <w:t>l</w:t>
      </w:r>
      <w:r w:rsidRPr="0008481A">
        <w:t>l</w:t>
      </w:r>
      <w:r w:rsidRPr="0008481A">
        <w:t>synen inom åklagarväsendet avseende särskilda fall har den om</w:t>
      </w:r>
      <w:r w:rsidRPr="0008481A">
        <w:softHyphen/>
        <w:t>fattning och inrik</w:t>
      </w:r>
      <w:r w:rsidRPr="0008481A">
        <w:t>t</w:t>
      </w:r>
      <w:r w:rsidRPr="0008481A">
        <w:t>ning som krävs för att den skall kunna på ett tillfreds</w:t>
      </w:r>
      <w:r w:rsidRPr="0008481A">
        <w:softHyphen/>
        <w:t>ställande sätt bidra till att up</w:t>
      </w:r>
      <w:r w:rsidRPr="0008481A">
        <w:t>p</w:t>
      </w:r>
      <w:r w:rsidRPr="0008481A">
        <w:t>rätthålla allmänhetens förtroende för åklagarnas handläggning av polisärenden och deras befattning i övrigt med förunder</w:t>
      </w:r>
      <w:r w:rsidRPr="0008481A">
        <w:softHyphen/>
        <w:t>söknings</w:t>
      </w:r>
      <w:r w:rsidRPr="0008481A">
        <w:softHyphen/>
        <w:t>verksamh</w:t>
      </w:r>
      <w:r w:rsidRPr="0008481A">
        <w:t>e</w:t>
      </w:r>
      <w:r w:rsidRPr="0008481A">
        <w:t xml:space="preserve">ten. </w:t>
      </w:r>
    </w:p>
    <w:p w:rsidR="003B3271" w:rsidRPr="0008481A" w:rsidRDefault="003B3271">
      <w:pPr>
        <w:pStyle w:val="Rubrik3"/>
      </w:pPr>
      <w:r w:rsidRPr="0008481A">
        <w:t>Tillsyn över polis- och åklagarväsendena genom extraordinära organ</w:t>
      </w:r>
    </w:p>
    <w:p w:rsidR="003B3271" w:rsidRPr="0008481A" w:rsidRDefault="003B3271">
      <w:r w:rsidRPr="0008481A">
        <w:t>Tillsyn över polis- och åklagarväsendena utövas också av de extraordinära organen Justitiekanslern (JK) och Riksdagens ombudsmän (JO). Riksdagen har vid olika til</w:t>
      </w:r>
      <w:r w:rsidRPr="0008481A">
        <w:t>l</w:t>
      </w:r>
      <w:r w:rsidRPr="0008481A">
        <w:t>fällen framhållit vikten av att JO ägnar särskild uppmärksam</w:t>
      </w:r>
      <w:r w:rsidRPr="0008481A">
        <w:softHyphen/>
        <w:t>het åt frågor som gäller polisen (se t.ex. JuU 1985/86:32). Det finns emeller</w:t>
      </w:r>
      <w:r w:rsidRPr="0008481A">
        <w:softHyphen/>
        <w:t>tid skäl att understryka att JK:s och JO:s tillsyn är tänkt att fungera som komplement till den tillsyn som utövas av ordinära organ och inte som en ersättning för sådan tillsyn (se i fråga om JO uttala</w:t>
      </w:r>
      <w:r w:rsidRPr="0008481A">
        <w:t>n</w:t>
      </w:r>
      <w:r w:rsidRPr="0008481A">
        <w:t>den i KU 1975/76:22 s. 49). Med hänsyn till det särskilt stora behov av en effektiv rättslig kontroll</w:t>
      </w:r>
      <w:r w:rsidRPr="0008481A">
        <w:softHyphen/>
        <w:t>verksamhet som får anses föreligga beträffande såväl polis- som åkl</w:t>
      </w:r>
      <w:r w:rsidRPr="0008481A">
        <w:t>agar</w:t>
      </w:r>
      <w:r w:rsidRPr="0008481A">
        <w:softHyphen/>
        <w:t>verksamheten kan det därför, sett ur ett medborgarperspektiv, inte godtas att uppgiften att utöva rättslig tillsyn över dessa verksamheter i praktiken så gott som helt eller i huvudsak utövas av extraordinära organ. Det kan tilläggas att en viktig uppgift för de extraordinära organen är att, genom att kontrollera hur den reguljära tillsynen fungerar, bidra till att öka allmänhetens fö</w:t>
      </w:r>
      <w:r w:rsidRPr="0008481A">
        <w:t>r</w:t>
      </w:r>
      <w:r w:rsidRPr="0008481A">
        <w:t>troende för denna.</w:t>
      </w:r>
    </w:p>
    <w:p w:rsidR="003B3271" w:rsidRPr="0008481A" w:rsidRDefault="003B3271">
      <w:pPr>
        <w:pStyle w:val="Normaltindrag"/>
      </w:pPr>
      <w:r w:rsidRPr="0008481A">
        <w:t>Jag vill i detta sammanhang erinra om att de extraordinära tillsynsorganens resurser är dimensionera</w:t>
      </w:r>
      <w:r w:rsidRPr="0008481A">
        <w:t>de med utgångspunkt i att den löpande tillsynen över myndigheternas verksamhet huvudsakligen skall handhas av ordinära organ. Inom den del av JO-ämbetet som utövar tillsyn över polisen, åklagarna och de allmänna domstolarna tjänstgör sålunda, förutom vederbörande justitie</w:t>
      </w:r>
      <w:r w:rsidRPr="0008481A">
        <w:softHyphen/>
        <w:t>ombudsman, endast sju handläggare, av vilka bara tre på heltid sysslar med granskning av polis- och åklagarväsendena. Vid JK-ämbetet, som i likhet med JO har tillsyn över rättstillämpningen i hela den verksamhet som utövas av domstolar och</w:t>
      </w:r>
      <w:r w:rsidRPr="0008481A">
        <w:t xml:space="preserve"> statliga och kommunala förvaltningsmy</w:t>
      </w:r>
      <w:r w:rsidRPr="0008481A">
        <w:t>n</w:t>
      </w:r>
      <w:r w:rsidRPr="0008481A">
        <w:t>digheter och som har ett antal omfattande arbetsuppgifter vid sidan av tillsynen, tjänstgör för</w:t>
      </w:r>
      <w:r w:rsidRPr="0008481A">
        <w:softHyphen/>
        <w:t>utom justitiekanslern endast elva handläggare. Det bör vidare nämnas att JK numera i princip inte handlägger klag</w:t>
      </w:r>
      <w:r w:rsidRPr="0008481A">
        <w:t>o</w:t>
      </w:r>
      <w:r w:rsidRPr="0008481A">
        <w:t>mål från allmänheten.</w:t>
      </w:r>
    </w:p>
    <w:p w:rsidR="003B3271" w:rsidRPr="0008481A" w:rsidRDefault="003B3271">
      <w:pPr>
        <w:pStyle w:val="Rubrik3"/>
      </w:pPr>
      <w:r w:rsidRPr="0008481A">
        <w:t>Avslutande synpunkter</w:t>
      </w:r>
    </w:p>
    <w:p w:rsidR="003B3271" w:rsidRPr="0008481A" w:rsidRDefault="003B3271">
      <w:r w:rsidRPr="0008481A">
        <w:t>Av vad som har sagts i det föregående framgår att den nuvarande ordningen för handläggning av anmälningar mot polismän inte är invändningsfri och att det kan finnas skäl att ånyo överväga frågan om hur verksamheten lämpligen bör organis</w:t>
      </w:r>
      <w:r w:rsidRPr="0008481A">
        <w:t>e</w:t>
      </w:r>
      <w:r w:rsidRPr="0008481A">
        <w:t>ras. Vidare framstår den ordinära rättsligt inriktade tillsynen över denna verksamhet  som otillräcklig, och detsamma kan sägas också beträffande tillsynen över polisens och åklagarnas förundersöknings</w:t>
      </w:r>
      <w:r w:rsidRPr="0008481A">
        <w:softHyphen/>
        <w:t>verksamhet i allmänhet. Jag kan i sistnämnda hä</w:t>
      </w:r>
      <w:r w:rsidRPr="0008481A">
        <w:t>n</w:t>
      </w:r>
      <w:r w:rsidRPr="0008481A">
        <w:t>seende hänvisa till vad Riksdagens revisorer har anfört i frågan i rapporten (1998/99:9) Organ</w:t>
      </w:r>
      <w:r w:rsidRPr="0008481A">
        <w:softHyphen/>
        <w:t>isati</w:t>
      </w:r>
      <w:r w:rsidRPr="0008481A">
        <w:softHyphen/>
        <w:t>ons</w:t>
      </w:r>
      <w:r w:rsidRPr="0008481A">
        <w:softHyphen/>
        <w:t>förändringar inom rättsv</w:t>
      </w:r>
      <w:r w:rsidRPr="0008481A">
        <w:t>ä</w:t>
      </w:r>
      <w:r w:rsidRPr="0008481A">
        <w:t xml:space="preserve">sendet.   </w:t>
      </w:r>
    </w:p>
    <w:p w:rsidR="003B3271" w:rsidRPr="0008481A" w:rsidRDefault="003B3271">
      <w:pPr>
        <w:pStyle w:val="Normaltindrag"/>
      </w:pPr>
      <w:r w:rsidRPr="0008481A">
        <w:t>Riksdagen har nyligen på förslag av Riksdagens revisorer (1999/2000:RR7) beslutat att ge regeringen till känna att fråga</w:t>
      </w:r>
      <w:r w:rsidRPr="0008481A">
        <w:t>n om in</w:t>
      </w:r>
      <w:r w:rsidRPr="0008481A">
        <w:softHyphen/>
        <w:t>rätt</w:t>
      </w:r>
      <w:r w:rsidRPr="0008481A">
        <w:softHyphen/>
        <w:t>ande av ett oberoende tillsynsorgan inom rättsväsendet bör utredas (1999/2000:JuU 11). Det är enligt min mening natu</w:t>
      </w:r>
      <w:r w:rsidRPr="0008481A">
        <w:t>r</w:t>
      </w:r>
      <w:r w:rsidRPr="0008481A">
        <w:t>ligt att de frågor som jag har behandlat i denna skrivelse och i de därtill fogade i</w:t>
      </w:r>
      <w:r w:rsidRPr="0008481A">
        <w:t>n</w:t>
      </w:r>
      <w:r w:rsidRPr="0008481A">
        <w:t>spektionsprotokollen och besluten beaktas i ett sådant utre</w:t>
      </w:r>
      <w:r w:rsidRPr="0008481A">
        <w:t>d</w:t>
      </w:r>
      <w:r w:rsidRPr="0008481A">
        <w:t>ningsarbete.</w:t>
      </w:r>
    </w:p>
    <w:p w:rsidR="003B3271" w:rsidRPr="0008481A" w:rsidRDefault="003B3271">
      <w:pPr>
        <w:pStyle w:val="Rubrik1"/>
        <w:spacing w:before="0"/>
      </w:pPr>
      <w:r w:rsidRPr="0008481A">
        <w:br w:type="page"/>
        <w:t>Kriminalvård</w:t>
      </w:r>
    </w:p>
    <w:p w:rsidR="003B3271" w:rsidRPr="0008481A" w:rsidRDefault="003B3271">
      <w:pPr>
        <w:pStyle w:val="Rubrik2"/>
      </w:pPr>
      <w:r w:rsidRPr="0008481A">
        <w:t>Uttalanden om tillvägagångssättet vid visitation och urinprovstagning</w:t>
      </w:r>
    </w:p>
    <w:p w:rsidR="003B3271" w:rsidRPr="0008481A" w:rsidRDefault="003B3271">
      <w:r w:rsidRPr="0008481A">
        <w:t>(Dnr 519-1999)</w:t>
      </w:r>
    </w:p>
    <w:p w:rsidR="003B3271" w:rsidRPr="0008481A" w:rsidRDefault="003B3271">
      <w:r w:rsidRPr="0008481A">
        <w:t xml:space="preserve">I ett beslut den 17 februari 2000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M.B. har anfört följande. Vid en urinprovstagning på Kriminalvårdsanstalten F</w:t>
      </w:r>
      <w:r w:rsidRPr="0008481A">
        <w:t>ä</w:t>
      </w:r>
      <w:r w:rsidRPr="0008481A">
        <w:t>ringsö blev hon av kriminalvårdaren Camilla Norman ombedd att avlägsna sin tampong innan ett urinprov skulle tas. M.B. kände sig illa till mods och frågade om hon skulle ta ut tampongen ”här och nu”.  Norman upprepade att hon skulle göra det. M.B. tog ut tampongen vilket ledde till att hon blödde ner golvet. När hon frågade vad hon skulle göra med skyddet ombads hon slänga det i en soptu</w:t>
      </w:r>
      <w:r w:rsidRPr="0008481A">
        <w:t>n</w:t>
      </w:r>
      <w:r w:rsidRPr="0008481A">
        <w:t>na. M.B. undrar varför hon blev ombedd att avlägsna menstruationsskyddet trots att hon kunde lämna urinprov utan att gör</w:t>
      </w:r>
      <w:r w:rsidRPr="0008481A">
        <w:t>a det. M.B. har uppfattat det som att syftet var att förnedra henne. Hon har vidare ifrågasatt om det är tillåtet att be en intagen avlägsna en tampong, som hon menar utgör en undersökning av kroppens håligheter, under en visitering och uri</w:t>
      </w:r>
      <w:r w:rsidRPr="0008481A">
        <w:t>n</w:t>
      </w:r>
      <w:r w:rsidRPr="0008481A">
        <w:t xml:space="preserve">provstagning. </w:t>
      </w:r>
    </w:p>
    <w:p w:rsidR="003B3271" w:rsidRPr="0008481A" w:rsidRDefault="003B3271">
      <w:pPr>
        <w:pStyle w:val="Rubrik3"/>
      </w:pPr>
      <w:r w:rsidRPr="0008481A">
        <w:t>Utredning</w:t>
      </w:r>
    </w:p>
    <w:p w:rsidR="003B3271" w:rsidRPr="0008481A" w:rsidRDefault="003B3271">
      <w:r w:rsidRPr="0008481A">
        <w:t>Efter remiss har Kriminalvårdsmyndigheten Stockholm Centrum, genom krim</w:t>
      </w:r>
      <w:r w:rsidRPr="0008481A">
        <w:t>i</w:t>
      </w:r>
      <w:r w:rsidRPr="0008481A">
        <w:t>nalvårdschefen Ulla Lena Wigren, yttrat sig över anmälan. Till myn</w:t>
      </w:r>
      <w:r w:rsidRPr="0008481A">
        <w:softHyphen/>
        <w:t>dig</w:t>
      </w:r>
      <w:r w:rsidRPr="0008481A">
        <w:softHyphen/>
        <w:t>hetens yt</w:t>
      </w:r>
      <w:r w:rsidRPr="0008481A">
        <w:t>t</w:t>
      </w:r>
      <w:r w:rsidRPr="0008481A">
        <w:t>ra</w:t>
      </w:r>
      <w:r w:rsidRPr="0008481A">
        <w:t>n</w:t>
      </w:r>
      <w:r w:rsidRPr="0008481A">
        <w:t>de har fogats en promemoria upprättad av kriminal</w:t>
      </w:r>
      <w:r w:rsidRPr="0008481A">
        <w:softHyphen/>
        <w:t xml:space="preserve">vårdaren Camilla Norman. </w:t>
      </w:r>
    </w:p>
    <w:p w:rsidR="003B3271" w:rsidRPr="0008481A" w:rsidRDefault="003B3271">
      <w:r w:rsidRPr="0008481A">
        <w:t>C</w:t>
      </w:r>
      <w:r w:rsidRPr="0008481A">
        <w:t>a</w:t>
      </w:r>
      <w:r w:rsidRPr="0008481A">
        <w:t>milla Norman har anfört bl.a. följande.</w:t>
      </w:r>
    </w:p>
    <w:p w:rsidR="003B3271" w:rsidRPr="0008481A" w:rsidRDefault="003B3271">
      <w:pPr>
        <w:pStyle w:val="Citat"/>
        <w:spacing w:line="213" w:lineRule="exact"/>
      </w:pPr>
      <w:r w:rsidRPr="0008481A">
        <w:t>Den 3 februari 1999 blev jag ombedd att utföra en urinprovstagning på M.B. då hon återkom från en utevistelse. Vid denna tidpunkt praktiserade Britt Stagis, vårdare från Danmark hos oss och arbetade tillsammans med mig. När vi (jag, M.B. och Britt) kom in i urinprovsrummet bad jag M.B. ta av sig sina kläder för att utföra en kroppsvisitation i samband med urinprovs</w:t>
      </w:r>
      <w:r w:rsidRPr="0008481A">
        <w:softHyphen/>
        <w:t>tagningen. Då M.B. skulle ta av sig sina trosor sade hon att hon hade mens och hade både trosskydd och tampong. Jag bad henne avlägsna båda menstruationsskydden (både trosskydd och tampong) före hon skulle avlämna urinprovet. Då jag lagt bäckenet i toaletten bad jag henne slänga tampongen i pappersko</w:t>
      </w:r>
      <w:r w:rsidRPr="0008481A">
        <w:t>r</w:t>
      </w:r>
      <w:r w:rsidRPr="0008481A">
        <w:t>gen bredvid toaletten. I samband med att M.B. drog ut sin tampong hamnade lite blod på golvet. Jag frågade henne om jag skulle torka upp blodet före hon skulle kissa men M.B. sa nej. M.B. tyckte det var mycket</w:t>
      </w:r>
      <w:r w:rsidRPr="0008481A">
        <w:t xml:space="preserve"> äckligt med blodet på golvet och kommenterade detta flera gånger. Hon frågade oss även hur vi kunde stå ut med detta arbete när vi fick stå ut med sådana äckliga saker. M.B. tog sen på sig sina kläder och återvände till sin arbetsplats. Vid denna urinprovstagning u</w:t>
      </w:r>
      <w:r w:rsidRPr="0008481A">
        <w:t>t</w:t>
      </w:r>
      <w:r w:rsidRPr="0008481A">
        <w:t>tryckte ej M.B. att hon kände sig kränkt och förnedrad.</w:t>
      </w:r>
    </w:p>
    <w:p w:rsidR="003B3271" w:rsidRPr="0008481A" w:rsidRDefault="003B3271">
      <w:pPr>
        <w:pStyle w:val="Citatindrag"/>
      </w:pPr>
      <w:r w:rsidRPr="0008481A">
        <w:t>För att kunna avgöra denna fråga måste jag förklara de urinprovsrutiner vi har på anstalten. F</w:t>
      </w:r>
      <w:r w:rsidRPr="0008481A">
        <w:t>ä</w:t>
      </w:r>
      <w:r w:rsidRPr="0008481A">
        <w:t>ringsö är en kvinnoanstalt med en mycket hög andel narkotikamissbrukare vilket gör att urinpro</w:t>
      </w:r>
      <w:r w:rsidRPr="0008481A">
        <w:t>v</w:t>
      </w:r>
      <w:r w:rsidRPr="0008481A">
        <w:t>stagningar är en vanligt före</w:t>
      </w:r>
      <w:r w:rsidRPr="0008481A">
        <w:softHyphen/>
        <w:t>kommande arbetsuppgift. Det förekommer ofta narkotika i anstalten vilket även medför manipulerade urinprov. För att förebygga dessa manipulationer och höja tillfö</w:t>
      </w:r>
      <w:r w:rsidRPr="0008481A">
        <w:t>r</w:t>
      </w:r>
      <w:r w:rsidRPr="0008481A">
        <w:t>litligheten av proverna har anstalten försökt utarbeta särskilda rutiner gällande urinprovstagningar. Då en intagen uppmanas att lämna urinprov utförs provtagningen i speciella rum. Den intagne får ta av sig alla kläder gen</w:t>
      </w:r>
      <w:r w:rsidRPr="0008481A">
        <w:t>om att en kroppsvisitation utförs i samband med provtagningen. Vid pro</w:t>
      </w:r>
      <w:r w:rsidRPr="0008481A">
        <w:t>v</w:t>
      </w:r>
      <w:r w:rsidRPr="0008481A">
        <w:t>tagningen närvarar två kvinnliga vårdare. I toaletten ligger ett bäcken som den intagne kissar i. Den intagne får sätta sig på toaletten naken och hålla händerna synliga i knät och kissa med öppen dörr framför vårdarna. Då den intagne har menstruation får hon avlägsna eventuella menstruation</w:t>
      </w:r>
      <w:r w:rsidRPr="0008481A">
        <w:t>s</w:t>
      </w:r>
      <w:r w:rsidRPr="0008481A">
        <w:softHyphen/>
        <w:t>skydd, binda och trosskydd, för att kunna genomföra kroppsvisitation samt tampong för att minska risken av manipulerade urinprov. Då den intagne ki</w:t>
      </w:r>
      <w:r w:rsidRPr="0008481A">
        <w:t>ssat tar vårdaren ur bäckenet ur toaletten och häller urinen i speciella provrör. Ovanstående rutiner är ej skriftliga utan endast vad man muntligen lär sig vid introduktionen på anstalten.</w:t>
      </w:r>
    </w:p>
    <w:p w:rsidR="003B3271" w:rsidRPr="0008481A" w:rsidRDefault="003B3271">
      <w:pPr>
        <w:pStyle w:val="Citatindrag"/>
      </w:pPr>
      <w:r w:rsidRPr="0008481A">
        <w:t>Varför skall tampongen avlägsnas kan man fråga sig då den intagne ändå kan kissa och avlämna urinprov? Svaret är att för att minimera risken för manipulation och höja tillförlitligheten av uri</w:t>
      </w:r>
      <w:r w:rsidRPr="0008481A">
        <w:t>n</w:t>
      </w:r>
      <w:r w:rsidRPr="0008481A">
        <w:t>provet. På många olika sätt kan ett urinprov manipuleras genom tampong, bl.a. kan tampongen eller tråden från tampongen prepareras så att urinen neutraliseras. Den intagne kan även säga att hon måste lägga tillrätta tampongens tråd för att den inte skall bli blöt av urin och har då något preparat på fingret. Om urinstrålen träffar fingret blir resultatet att urinen neutraliseras. Det kan även vara så att den intagne inte har någon tampong men säger att hon har det. När hon då skall rätta till ”tampongsnöre</w:t>
      </w:r>
      <w:r w:rsidRPr="0008481A">
        <w:t>t” så förstör hon istället skyddet för den behållare med negativt urin hon har uppstoppat i slidan. Att ha negativt urin eller utspätt urin i en behållare i slidan är vanligt för</w:t>
      </w:r>
      <w:r w:rsidRPr="0008481A">
        <w:t>e</w:t>
      </w:r>
      <w:r w:rsidRPr="0008481A">
        <w:t>kommande bland manipu</w:t>
      </w:r>
      <w:r w:rsidRPr="0008481A">
        <w:softHyphen/>
        <w:t>l</w:t>
      </w:r>
      <w:r w:rsidRPr="0008481A">
        <w:t>e</w:t>
      </w:r>
      <w:r w:rsidRPr="0008481A">
        <w:t>rade urinprov.</w:t>
      </w:r>
    </w:p>
    <w:p w:rsidR="003B3271" w:rsidRPr="0008481A" w:rsidRDefault="003B3271">
      <w:pPr>
        <w:pStyle w:val="Citatindrag"/>
      </w:pPr>
      <w:r w:rsidRPr="0008481A">
        <w:t>För närvarande håller rutiner angående urinprovstagningar att kvalitets</w:t>
      </w:r>
      <w:r w:rsidRPr="0008481A">
        <w:softHyphen/>
        <w:t>säkras på anstalten. Denna kvalitetssäkring kommer bl.a. resultera i skriftliga anpassade rutiner och strategier för anstalten genom att det i dagsläget saknas sådana. De allmänna råd och föreskrifter som Kriminalvårdsst</w:t>
      </w:r>
      <w:r w:rsidRPr="0008481A">
        <w:t>y</w:t>
      </w:r>
      <w:r w:rsidRPr="0008481A">
        <w:t>relsen utfärdat angående urinprovstagningar är ej utarbetade för kvinnor. Kriminal</w:t>
      </w:r>
      <w:r w:rsidRPr="0008481A">
        <w:softHyphen/>
        <w:t>vården saknar skriftliga urinprovstagningsrutiner som är anpassade för kvinnor. I höstas genomgick jag även steg ett (sju veckor) av kriminal</w:t>
      </w:r>
      <w:r w:rsidRPr="0008481A">
        <w:softHyphen/>
        <w:t>vårdens vårdarutbildning i Norrköping. Där berörde man heller ald</w:t>
      </w:r>
      <w:r w:rsidRPr="0008481A">
        <w:t>rig denna problematik vad gäller kvinnor.</w:t>
      </w:r>
    </w:p>
    <w:p w:rsidR="003B3271" w:rsidRPr="0008481A" w:rsidRDefault="003B3271">
      <w:pPr>
        <w:pStyle w:val="Citatindrag"/>
      </w:pPr>
      <w:r w:rsidRPr="0008481A">
        <w:t>Jag är mycket väl medveten om att urinprovstagningar är en mycket integritetskränkande handling och att både rutiner och förhållningssätt är oerhört viktiga. Jag själv tycker att jag har ett bra fö</w:t>
      </w:r>
      <w:r w:rsidRPr="0008481A">
        <w:t>r</w:t>
      </w:r>
      <w:r w:rsidRPr="0008481A">
        <w:t>hållningssätt gentemot de intagna och försöker att arbeta på ett sätt som skapar minsta möjliga lidande. Jag är ledsen ifall M.B. kände sig kränkt av händelsen men mitt agerande har inte på något sätt varit avsett att kränka, nedvärdera eller förnedra henne. Anledningen till att jag bad M.B. a</w:t>
      </w:r>
      <w:r w:rsidRPr="0008481A">
        <w:t>v</w:t>
      </w:r>
      <w:r w:rsidRPr="0008481A">
        <w:t xml:space="preserve">lägsna sin tampong var ej heller att undersöka kroppens ihålighet utan endast att minska risken för manipulation av urinprovet. </w:t>
      </w:r>
    </w:p>
    <w:p w:rsidR="003B3271" w:rsidRPr="0008481A" w:rsidRDefault="003B3271">
      <w:r w:rsidRPr="0008481A">
        <w:t>I remissvaret har Ulla Lena Wigren anfört följande.</w:t>
      </w:r>
    </w:p>
    <w:p w:rsidR="003B3271" w:rsidRPr="0008481A" w:rsidRDefault="003B3271">
      <w:pPr>
        <w:pStyle w:val="Citat"/>
      </w:pPr>
      <w:r w:rsidRPr="0008481A">
        <w:t>M.B. har  i anmälan till Justitieombudsmannen ifrågasatt kriminalvårdare Camilla Normans hant</w:t>
      </w:r>
      <w:r w:rsidRPr="0008481A">
        <w:t>e</w:t>
      </w:r>
      <w:r w:rsidRPr="0008481A">
        <w:t>ring av urinprovsrutiner vad avser dennes uppmaning till M.B. att före urinprovstagning avlägsna ett menstruationsskydd (tampong). Anstalten saknade vid tidpunkten för händelsen skriftliga, klara och entydiga urinprovstagningsrutiner. Endast mycket knapphändiga skrift</w:t>
      </w:r>
      <w:r w:rsidRPr="0008481A">
        <w:softHyphen/>
        <w:t>liga rutiner fanns, dessa behandlade inte den nu aktuella frågan. Urinprovs</w:t>
      </w:r>
      <w:r w:rsidRPr="0008481A">
        <w:softHyphen/>
        <w:t>tagningsrutinerna vid anstalten är sedan en tid tillbaka föremål för kvalitetssäkring, denna process förväntas resultera i ett skriftligt kvalitets</w:t>
      </w:r>
      <w:r w:rsidRPr="0008481A">
        <w:softHyphen/>
        <w:t>d</w:t>
      </w:r>
      <w:r w:rsidRPr="0008481A">
        <w:t>o</w:t>
      </w:r>
      <w:r w:rsidRPr="0008481A">
        <w:t xml:space="preserve">kument avseende </w:t>
      </w:r>
      <w:r w:rsidRPr="0008481A">
        <w:t>anstaltens urinprovsrutiner under april m</w:t>
      </w:r>
      <w:r w:rsidRPr="0008481A">
        <w:t>å</w:t>
      </w:r>
      <w:r w:rsidRPr="0008481A">
        <w:t>nad 1999.</w:t>
      </w:r>
    </w:p>
    <w:p w:rsidR="003B3271" w:rsidRPr="0008481A" w:rsidRDefault="003B3271">
      <w:pPr>
        <w:pStyle w:val="Citatindrag"/>
      </w:pPr>
      <w:r w:rsidRPr="0008481A">
        <w:t>Enligt lag (1974:203) om kriminalvård i anstalt 52 d §, är en intagen skyldig, om inte annat föra</w:t>
      </w:r>
      <w:r w:rsidRPr="0008481A">
        <w:t>n</w:t>
      </w:r>
      <w:r w:rsidRPr="0008481A">
        <w:t>leds av medicinska eller liknande skäl, att lämna urinprov för kontroll av att han inte är påverkad av beroendeframkallande medel. Urinprov omfattas av begreppet kroppsbesiktning. Anstalten Färingsö är en anstalt för kvinnor, en stor andel av de intagna är narkotikamissbrukare. En drogfri anstalt är en grundförutsättning för att intagna skall kunna upphöra med sitt missbruk, samt för att ordningen och säkerheten i anstalten skall kunna upprätthållas. Ett viktigt hjälpmedel för att kunna nå detta är att ålä</w:t>
      </w:r>
      <w:r w:rsidRPr="0008481A">
        <w:t>gga intagna att lämna urinprov. Samtidigt som provtagningen bidrar till att spåra och motverka förekomst av narkotika är den också ett viktigt led i behandlings- och påverkansa</w:t>
      </w:r>
      <w:r w:rsidRPr="0008481A">
        <w:t>r</w:t>
      </w:r>
      <w:r w:rsidRPr="0008481A">
        <w:t>betet. Vid anstalter med hög andel missbrukare bör urinprov, enligt kriminalvårdens allmänna råd (ARK) 1998:3, utgöra ett regelmässigt inslag i verksamheten.</w:t>
      </w:r>
    </w:p>
    <w:p w:rsidR="003B3271" w:rsidRPr="0008481A" w:rsidRDefault="003B3271">
      <w:pPr>
        <w:pStyle w:val="Citatindrag"/>
      </w:pPr>
      <w:r w:rsidRPr="0008481A">
        <w:t>Kriminalvårdens föreskrifter KVVFS 1998:8 99 § anger att kriminalvårds</w:t>
      </w:r>
      <w:r w:rsidRPr="0008481A">
        <w:softHyphen/>
        <w:t>myndigheten skall utfä</w:t>
      </w:r>
      <w:r w:rsidRPr="0008481A">
        <w:t>r</w:t>
      </w:r>
      <w:r w:rsidRPr="0008481A">
        <w:t>da regler för urinprovshantering. Kriminalvårdens allmänna råd 1998:3, anger likaså att den lokala myndigheten skall utarbeta lokalt anpassade urinprovsstrategier. Strategin bör innefatta bl.a. uri</w:t>
      </w:r>
      <w:r w:rsidRPr="0008481A">
        <w:t>n</w:t>
      </w:r>
      <w:r w:rsidRPr="0008481A">
        <w:softHyphen/>
        <w:t>provsrutiner och tillämpningsanvisningar. I KVVFS 1998:3 100 §, anges att den intagne före lä</w:t>
      </w:r>
      <w:r w:rsidRPr="0008481A">
        <w:t>m</w:t>
      </w:r>
      <w:r w:rsidRPr="0008481A">
        <w:t>nande av urinprov skall kroppsvisiteras. 94 § i dessa föreskrifter förtydligar begreppet kroppsvis</w:t>
      </w:r>
      <w:r w:rsidRPr="0008481A">
        <w:t>i</w:t>
      </w:r>
      <w:r w:rsidRPr="0008481A">
        <w:t>tation. Kriminalvårdens all</w:t>
      </w:r>
      <w:r w:rsidRPr="0008481A">
        <w:softHyphen/>
        <w:t>männa råd 1998:3 föranstaltar att den som ansvarar för provtagning o</w:t>
      </w:r>
      <w:r w:rsidRPr="0008481A">
        <w:t>ch övrig hantering av urinprov skall vara särskilt utsedd för uppgiften. Vidare föreskrivs i dessa råd att genomförandet av provtagning lämpligen kan åläggas vård- och tillsynspersonal. Berörd personal skall ha nödvändig kunskap för att genomföra uppgiften på ett korrekt sätt. Särskilda rutiner skall finnas och stor noggrannhet skall iakttagas vid provtagningen för att minska risken för manipul</w:t>
      </w:r>
      <w:r w:rsidRPr="0008481A">
        <w:t>a</w:t>
      </w:r>
      <w:r w:rsidRPr="0008481A">
        <w:t>tion och annat som kan minska provens tillförlitlighet. En rad detaljerade föreskrifter avseende provtagningstillf</w:t>
      </w:r>
      <w:r w:rsidRPr="0008481A">
        <w:t>ället anges vidare (s. 4) bl.a. att den intagne före provtagningen skall tvätta hä</w:t>
      </w:r>
      <w:r w:rsidRPr="0008481A">
        <w:t>n</w:t>
      </w:r>
      <w:r w:rsidRPr="0008481A">
        <w:t>derna och avlägsna samtliga kläder. ”Ovanstående rutiner är avsedda att begränsa risken för att en intagen skall kunna manipulera ett urinprov. En intagen får härvid inte utsättas för mer obehag än åtgärden kräver. Rutinen att en intagen skall avlägsna samtliga kläder kan i ett enskilt fall underl</w:t>
      </w:r>
      <w:r w:rsidRPr="0008481A">
        <w:t>å</w:t>
      </w:r>
      <w:r w:rsidRPr="0008481A">
        <w:t xml:space="preserve">tas, i den omfattning detta bedöms vara uppenbart obehövligt med hänsyn till åtgärdens syfte.” </w:t>
      </w:r>
    </w:p>
    <w:p w:rsidR="003B3271" w:rsidRPr="0008481A" w:rsidRDefault="003B3271">
      <w:pPr>
        <w:pStyle w:val="Citatindrag"/>
      </w:pPr>
      <w:r w:rsidRPr="0008481A">
        <w:t>I prop. 1993/94:24 anges vidare at</w:t>
      </w:r>
      <w:r w:rsidRPr="0008481A">
        <w:t>t tidigare oklarheter avseende prov</w:t>
      </w:r>
      <w:r w:rsidRPr="0008481A">
        <w:softHyphen/>
        <w:t>tagningar, och hur provta</w:t>
      </w:r>
      <w:r w:rsidRPr="0008481A">
        <w:t>g</w:t>
      </w:r>
      <w:r w:rsidRPr="0008481A">
        <w:t>ningsförfarandet skall vara utformat, varit en bidragande orsak till de förtydliganden av definitioner och avgränsningar avseende de straffprocessuella tvångsmedlen kroppsvisitation och kropps</w:t>
      </w:r>
      <w:r w:rsidRPr="0008481A">
        <w:softHyphen/>
        <w:t>besik</w:t>
      </w:r>
      <w:r w:rsidRPr="0008481A">
        <w:t>t</w:t>
      </w:r>
      <w:r w:rsidRPr="0008481A">
        <w:t>ning som varit aktuella. Avsikten var att ge uttömmande definitioner av begreppet. De respektive begreppen täcker enligt prop. ett stort antal konkreta undersökningsåtgärder. Det ansågs väsentligt att det i varje enskilt fall går att avgöra om en tänk</w:t>
      </w:r>
      <w:r w:rsidRPr="0008481A">
        <w:t>t åtgärd är förenlig med någon av definitionerna eller inte. I prop. framhålls att provtagningar av kroppsutsöndringar och andra kropps</w:t>
      </w:r>
      <w:r w:rsidRPr="0008481A">
        <w:softHyphen/>
        <w:t>produkter sakligt sett väl faller in under begreppet kropps</w:t>
      </w:r>
      <w:r w:rsidRPr="0008481A">
        <w:softHyphen/>
        <w:t>besiktning. I dessa fall är det enligt prop. inte själva människokroppen som granskas och undersöks, utan innehållet i någon kroppsprodukt. För att få fram ett prov krävs endera att produkten tas från kroppen, eller att kroppen själv levererar produ</w:t>
      </w:r>
      <w:r w:rsidRPr="0008481A">
        <w:t>k</w:t>
      </w:r>
      <w:r w:rsidRPr="0008481A">
        <w:t>ten. Det ansågs väsentligt att inte knyta an endast till vissa und</w:t>
      </w:r>
      <w:r w:rsidRPr="0008481A">
        <w:t>ersökningsformer, utan alla typer av undersökningar och prov</w:t>
      </w:r>
      <w:r w:rsidRPr="0008481A">
        <w:softHyphen/>
        <w:t>tag</w:t>
      </w:r>
      <w:r w:rsidRPr="0008481A">
        <w:softHyphen/>
        <w:t>ningar i brottsutredande syfte skulle hänföras till begreppet kroppsb</w:t>
      </w:r>
      <w:r w:rsidRPr="0008481A">
        <w:t>e</w:t>
      </w:r>
      <w:r w:rsidRPr="0008481A">
        <w:t>siktning. Av lagtexten framgår numera att en undersökning av kroppens produkter får göras och att provtagning då får genomföras. Avsikten var att begreppet kroppsbesiktning skall omfatta såväl själva provtagningen som under</w:t>
      </w:r>
      <w:r w:rsidRPr="0008481A">
        <w:softHyphen/>
        <w:t>sök</w:t>
      </w:r>
      <w:r w:rsidRPr="0008481A">
        <w:softHyphen/>
        <w:t>ningen av de kroppsprodukter som åstadkoms genom eller vid prov</w:t>
      </w:r>
      <w:r w:rsidRPr="0008481A">
        <w:softHyphen/>
        <w:t>tag</w:t>
      </w:r>
      <w:r w:rsidRPr="0008481A">
        <w:softHyphen/>
        <w:t xml:space="preserve">ningen.  </w:t>
      </w:r>
    </w:p>
    <w:p w:rsidR="003B3271" w:rsidRPr="0008481A" w:rsidRDefault="003B3271">
      <w:pPr>
        <w:pStyle w:val="Citatindrag"/>
      </w:pPr>
      <w:r w:rsidRPr="0008481A">
        <w:t>Med utgångspunkten att kroppsbesiktning omfattar urinprovstagning och u</w:t>
      </w:r>
      <w:r w:rsidRPr="0008481A">
        <w:t>ndersökning av provet är det myndighetens uppfattning att begreppet kan anses omfatta de åtgärder i samband med pro</w:t>
      </w:r>
      <w:r w:rsidRPr="0008481A">
        <w:t>v</w:t>
      </w:r>
      <w:r w:rsidRPr="0008481A">
        <w:t>tagning som krävs för att denna skall kunna genomföras så att själva syftet med provtagningen, att få ett korrekt prov taget, uppnås. För detta föreskrivs i kriminalvårdens föreskrifter, bl.a. att den intagne bör kroppsvisiteras före provtagningen och tvätta händerna. Om ett menstruationsskydd inte avlägsnas före provtag</w:t>
      </w:r>
      <w:r w:rsidRPr="0008481A">
        <w:softHyphen/>
        <w:t>ningen eller avlägsnas under själva urinprovslämnandet, uppstår ett antal</w:t>
      </w:r>
      <w:r w:rsidRPr="0008481A">
        <w:t xml:space="preserve"> besvärliga manipulationssituationer och själva syftet med provtagningen kan helt omintetg</w:t>
      </w:r>
      <w:r w:rsidRPr="0008481A">
        <w:t>ö</w:t>
      </w:r>
      <w:r w:rsidRPr="0008481A">
        <w:t>ras. En uppmaning till intagen om att denne före urinprovslämnandet skall avlägsna ett menstru</w:t>
      </w:r>
      <w:r w:rsidRPr="0008481A">
        <w:t>a</w:t>
      </w:r>
      <w:r w:rsidRPr="0008481A">
        <w:t>tionsskydd (tampong) kan enligt myndighetens bedömning ses som en del i själva provtagningen och inte som en ytterligare undersökning i samband med denna. Detta torde inte strida mot propo</w:t>
      </w:r>
      <w:r w:rsidRPr="0008481A">
        <w:t>r</w:t>
      </w:r>
      <w:r w:rsidRPr="0008481A">
        <w:t>tionalitetsprincipen, eller ändamåls- eller behovsprinciper</w:t>
      </w:r>
      <w:r w:rsidRPr="0008481A">
        <w:softHyphen/>
        <w:t xml:space="preserve">na. Myndigheten lägger största vikt vid att den intagne visas all den hänsyn </w:t>
      </w:r>
      <w:r w:rsidRPr="0008481A">
        <w:t>och respekt som situ</w:t>
      </w:r>
      <w:r w:rsidRPr="0008481A">
        <w:t>a</w:t>
      </w:r>
      <w:r w:rsidRPr="0008481A">
        <w:t>tionen kräver.</w:t>
      </w:r>
    </w:p>
    <w:p w:rsidR="003B3271" w:rsidRPr="0008481A" w:rsidRDefault="003B3271">
      <w:pPr>
        <w:pStyle w:val="Citatindrag"/>
      </w:pPr>
      <w:r w:rsidRPr="0008481A">
        <w:t>En vägran att efterfölja en dylik uppmaning, om vilket det inte är fråga i detta fall, torde med my</w:t>
      </w:r>
      <w:r w:rsidRPr="0008481A">
        <w:t>n</w:t>
      </w:r>
      <w:r w:rsidRPr="0008481A">
        <w:t>dighetens tolkning kunna ses som en vägran från den intagne att lämna urinprov på ett för provta</w:t>
      </w:r>
      <w:r w:rsidRPr="0008481A">
        <w:t>g</w:t>
      </w:r>
      <w:r w:rsidRPr="0008481A">
        <w:t>ningen ändamålsenligt och godtagbart sätt. Inom ramen för en vägran av detta slag torde det dock inte vara möjligt för anstalten att, med hänvisning till KvaL 52 d §, föranstalta om annat än att den intagne uppmanas att lämna nytt prov. En hantering av själva frågan om avlägsnande av menstru</w:t>
      </w:r>
      <w:r w:rsidRPr="0008481A">
        <w:t>a</w:t>
      </w:r>
      <w:r w:rsidRPr="0008481A">
        <w:t>tionsskyddet på annat sätt än genom uppmaning till den intagne, torde kräva att skäl för kroppsb</w:t>
      </w:r>
      <w:r w:rsidRPr="0008481A">
        <w:t>e</w:t>
      </w:r>
      <w:r w:rsidRPr="0008481A">
        <w:t xml:space="preserve">siktning enligt KvaL 52 </w:t>
      </w:r>
      <w:r w:rsidRPr="0008481A">
        <w:t>b § föreligger.</w:t>
      </w:r>
    </w:p>
    <w:p w:rsidR="003B3271" w:rsidRPr="0008481A" w:rsidRDefault="003B3271">
      <w:pPr>
        <w:pStyle w:val="Citatindrag"/>
      </w:pPr>
      <w:r w:rsidRPr="0008481A">
        <w:t>Att anstalten inte kan veta när en intagen menstruerar och således i denna fråga blir beroende av den intagnes eventuella upplysning i denna fråga visar anstaltens begränsade möjlighet att förhin</w:t>
      </w:r>
      <w:r w:rsidRPr="0008481A">
        <w:t>d</w:t>
      </w:r>
      <w:r w:rsidRPr="0008481A">
        <w:t>ra manipulation i denna typ av situation.</w:t>
      </w:r>
    </w:p>
    <w:p w:rsidR="003B3271" w:rsidRPr="0008481A" w:rsidRDefault="003B3271">
      <w:pPr>
        <w:pStyle w:val="Citatindrag"/>
      </w:pPr>
      <w:r w:rsidRPr="0008481A">
        <w:t>Anstaltspersonalens förhållningssätt och praktiska hantering av för den intagne integritetskänsliga situationer måste naturligtvis kännetecknas av empati och professionalitet. Camilla Norman har ett välförtjänt rykte om sig att vara både föredömlig och konsekvent i detta och andra avseenden av krim</w:t>
      </w:r>
      <w:r w:rsidRPr="0008481A">
        <w:t>i</w:t>
      </w:r>
      <w:r w:rsidRPr="0008481A">
        <w:t xml:space="preserve">nalvårdsarbetet. </w:t>
      </w:r>
      <w:r w:rsidRPr="0008481A">
        <w:rPr>
          <w:rFonts w:ascii="Garamond" w:hAnsi="Garamond"/>
        </w:rPr>
        <w:t>– – –</w:t>
      </w:r>
    </w:p>
    <w:p w:rsidR="003B3271" w:rsidRPr="0008481A" w:rsidRDefault="003B3271">
      <w:r w:rsidRPr="0008481A">
        <w:t xml:space="preserve">  Ärendet har därefter remitterats till Kriminalvårdsstyrelsen som anmodats yttra sig över vad som framförts i M.B:s anmälan till JO.</w:t>
      </w:r>
    </w:p>
    <w:p w:rsidR="003B3271" w:rsidRPr="0008481A" w:rsidRDefault="003B3271">
      <w:pPr>
        <w:pStyle w:val="Normaltindrag"/>
      </w:pPr>
      <w:r w:rsidRPr="0008481A">
        <w:t>Kriminalvårdsstyrelsen, genom överdirektören Doris Högne, har i remissvaret anfört följande.</w:t>
      </w:r>
    </w:p>
    <w:p w:rsidR="003B3271" w:rsidRPr="0008481A" w:rsidRDefault="003B3271">
      <w:pPr>
        <w:pStyle w:val="Citat"/>
      </w:pPr>
      <w:r w:rsidRPr="0008481A">
        <w:t>Åtgärden att kräva att den intagne skall avlägsna ett menstruationsskydd får, på samma sätt som kravet på att den intagne skall ta av sig sina kläder innan provtagningen, uppfattas som en föru</w:t>
      </w:r>
      <w:r w:rsidRPr="0008481A">
        <w:t>t</w:t>
      </w:r>
      <w:r w:rsidRPr="0008481A">
        <w:t>sättning för ett godkänt urinprov och följaktligen som ett led i urinprovstagningen. Kriminalvård</w:t>
      </w:r>
      <w:r w:rsidRPr="0008481A">
        <w:t>s</w:t>
      </w:r>
      <w:r w:rsidRPr="0008481A">
        <w:t>styrelsen har inget att erinra mot förekomsten av en sådan ordning och delar således krimina</w:t>
      </w:r>
      <w:r w:rsidRPr="0008481A">
        <w:t>l</w:t>
      </w:r>
      <w:r w:rsidRPr="0008481A">
        <w:t>vårdsmyndighetens bedömning i denna del.</w:t>
      </w:r>
    </w:p>
    <w:p w:rsidR="003B3271" w:rsidRPr="0008481A" w:rsidRDefault="003B3271">
      <w:pPr>
        <w:pStyle w:val="Citatindrag"/>
      </w:pPr>
      <w:r w:rsidRPr="0008481A">
        <w:t>Enligt 52 c § lagen (1974:203) om kriminalvård i anstalt får kropps</w:t>
      </w:r>
      <w:r w:rsidRPr="0008481A">
        <w:softHyphen/>
        <w:t>besikt</w:t>
      </w:r>
      <w:r w:rsidRPr="0008481A">
        <w:softHyphen/>
        <w:t>ning inte göras mer ing</w:t>
      </w:r>
      <w:r w:rsidRPr="0008481A">
        <w:t>å</w:t>
      </w:r>
      <w:r w:rsidRPr="0008481A">
        <w:t>ende än vad ändamålet med åtgärden kräver. All den hänsyn som omständigheterna medger skall iakttas. – Mot bakgrund av att en intagen kan uppleva effekterna av borttagande av ett menstru</w:t>
      </w:r>
      <w:r w:rsidRPr="0008481A">
        <w:t>a</w:t>
      </w:r>
      <w:r w:rsidRPr="0008481A">
        <w:t>tions</w:t>
      </w:r>
      <w:r w:rsidRPr="0008481A">
        <w:softHyphen/>
        <w:t>skydd i samband med urinprovstagning som besvärande bör detta ske under sådana förhålla</w:t>
      </w:r>
      <w:r w:rsidRPr="0008481A">
        <w:t>n</w:t>
      </w:r>
      <w:r w:rsidRPr="0008481A">
        <w:t>den att det inte leder till onödigt obehag för den intagne. I det aktuella fallet borde avlägsnandet ha kunnat ske på sådant sätt att blod inte ha</w:t>
      </w:r>
      <w:r w:rsidRPr="0008481A">
        <w:t>m</w:t>
      </w:r>
      <w:r w:rsidRPr="0008481A">
        <w:t>nade på golvet.</w:t>
      </w:r>
    </w:p>
    <w:p w:rsidR="003B3271" w:rsidRPr="0008481A" w:rsidRDefault="003B3271">
      <w:pPr>
        <w:pStyle w:val="Citatindrag"/>
      </w:pPr>
      <w:r w:rsidRPr="0008481A">
        <w:t>I Kriminalvårdsstyrelsens allmänna r</w:t>
      </w:r>
      <w:r w:rsidRPr="0008481A">
        <w:t xml:space="preserve">åd om kontroll av förekomsten av narkotika eller dopingmedel i urin och blod (ARK 1998:3) berörs inte den fråga som är aktuell i ärendet. Vid nästa tillfälle då de allmänna råden revideras kommer styrelsen att överväga att i dessa närmare redogöra för hur urinprovstagning på kvinnliga intagna bör ske.  </w:t>
      </w:r>
    </w:p>
    <w:p w:rsidR="003B3271" w:rsidRPr="0008481A" w:rsidRDefault="003B3271">
      <w:r w:rsidRPr="0008481A">
        <w:t>M.B. har beretts tillfälle att yttra sig över remissvaren men har inte hörts av.</w:t>
      </w:r>
    </w:p>
    <w:p w:rsidR="003B3271" w:rsidRPr="0008481A" w:rsidRDefault="003B3271">
      <w:pPr>
        <w:pStyle w:val="Rubrik3"/>
      </w:pPr>
      <w:r w:rsidRPr="0008481A">
        <w:t>Bedömning</w:t>
      </w:r>
    </w:p>
    <w:p w:rsidR="003B3271" w:rsidRPr="0008481A" w:rsidRDefault="003B3271">
      <w:r w:rsidRPr="0008481A">
        <w:t>Jag delar den bedömning som Kriminalvårdsstyrelsen framfört i sitt remissvar. Jag har dock inte funnit tillräcklig anledning att kritisera kriminal</w:t>
      </w:r>
      <w:r w:rsidRPr="0008481A">
        <w:softHyphen/>
        <w:t>vårdsmyndigh</w:t>
      </w:r>
      <w:r w:rsidRPr="0008481A">
        <w:t>e</w:t>
      </w:r>
      <w:r w:rsidRPr="0008481A">
        <w:t>ten för det sätt på vilket menstruationsskyddet avlägs</w:t>
      </w:r>
      <w:r w:rsidRPr="0008481A">
        <w:softHyphen/>
        <w:t>nades. Hur det skall gå till är en fråga som får lösas av myndigheten från fall till fall. Målsättningen skall dock vara att det skall ske under sådana former att det inte leder till onödigt obehag för den intagna.</w:t>
      </w:r>
    </w:p>
    <w:p w:rsidR="003B3271" w:rsidRPr="0008481A" w:rsidRDefault="003B3271">
      <w:pPr>
        <w:pStyle w:val="Normaltindrag"/>
      </w:pPr>
      <w:r w:rsidRPr="0008481A">
        <w:t>Det är bra att Kriminalvårdsstyrelsen överväger att i dess allmänna råd närmare redogöra för hur urinprovstagning på kvinnliga intagna bör ske, då sådana regler nu saknas.</w:t>
      </w:r>
    </w:p>
    <w:p w:rsidR="003B3271" w:rsidRPr="0008481A" w:rsidRDefault="003B3271">
      <w:pPr>
        <w:pStyle w:val="Rubrik2"/>
        <w:rPr>
          <w:u w:val="single"/>
        </w:rPr>
      </w:pPr>
      <w:r w:rsidRPr="0008481A">
        <w:t>Uttalande om en kriminalvårdsanstalts rutiner för delgivning av beslut</w:t>
      </w:r>
    </w:p>
    <w:p w:rsidR="003B3271" w:rsidRPr="0008481A" w:rsidRDefault="003B3271">
      <w:r w:rsidRPr="0008481A">
        <w:t>(Dnr 692-1999)</w:t>
      </w:r>
    </w:p>
    <w:p w:rsidR="003B3271" w:rsidRPr="0008481A" w:rsidRDefault="003B3271">
      <w:r w:rsidRPr="0008481A">
        <w:t xml:space="preserve">I ett beslut den 26 november 1999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N.M. har framfört klagomål mot Kriminalvårdsmyndigheten Kristianstads, anstalten Kristianstad, rutiner vid delgivning av bl.a. beslut. Han har anfört i huvudsak följande. Ledning och personal kräver skriftlig kvittering utan att någon delgivning eller handling överlämnas till mottagaren. Någon formell delgivning av beslutet sker därför inte. Mot en ersättning av 4 kr per kopia kan vi efter någon dag få ta del av ett yttrande eller ett positivt beslut. Det är felaktigt att ta betalt för kopian eftersom mynd</w:t>
      </w:r>
      <w:r w:rsidRPr="0008481A">
        <w:t xml:space="preserve">igheten som delger skall stå för denna kostnad. Vid negativt beslut kan vi på begäran få en kopia någon eller några dagar senare utan kostnad.        </w:t>
      </w:r>
    </w:p>
    <w:p w:rsidR="003B3271" w:rsidRPr="0008481A" w:rsidRDefault="003B3271">
      <w:pPr>
        <w:pStyle w:val="Rubrik3"/>
      </w:pPr>
      <w:r w:rsidRPr="0008481A">
        <w:t>Utredning</w:t>
      </w:r>
    </w:p>
    <w:p w:rsidR="003B3271" w:rsidRPr="0008481A" w:rsidRDefault="003B3271">
      <w:r w:rsidRPr="0008481A">
        <w:t>Efter remiss har Kriminalvårdsmyndigheten Kristianstad, kriminalvårds</w:t>
      </w:r>
      <w:r w:rsidRPr="0008481A">
        <w:softHyphen/>
        <w:t>chefen Lena Lööf, anfört följande.</w:t>
      </w:r>
    </w:p>
    <w:p w:rsidR="003B3271" w:rsidRPr="0008481A" w:rsidRDefault="003B3271">
      <w:pPr>
        <w:pStyle w:val="Citat"/>
        <w:spacing w:line="213" w:lineRule="exact"/>
      </w:pPr>
      <w:r w:rsidRPr="0008481A">
        <w:t xml:space="preserve">Anmälaren gör gällande att delgivning ej sker då någon handling ej överlämnas till mottagaren. </w:t>
      </w:r>
    </w:p>
    <w:p w:rsidR="003B3271" w:rsidRPr="0008481A" w:rsidRDefault="003B3271">
      <w:pPr>
        <w:pStyle w:val="Citatindrag"/>
      </w:pPr>
      <w:r w:rsidRPr="0008481A">
        <w:t>I 21 § förvaltningslagen stadgas bl.a. ”En sökande, klagande eller annan part skall underrättas om innehållet i det beslut varigenom myndigheten avgör ärendet, om detta avser myndighetsutövning mot någon enskild. Om beslutet går parten emot och kan överklagas, skall han underrättas om hur man kan överklaga det. Myndigheten bestämmer om underrättelsen skall ske muntligt, genom vanligt brev, genom delgivning eller på något annat sätt. Underrättelsen skall alltid ske skriftligt, om parten begär det.” Något kr</w:t>
      </w:r>
      <w:r w:rsidRPr="0008481A">
        <w:t>av på delgivning ställs egentligen inte i lagstiftningen.</w:t>
      </w:r>
    </w:p>
    <w:p w:rsidR="003B3271" w:rsidRPr="0008481A" w:rsidRDefault="003B3271">
      <w:pPr>
        <w:pStyle w:val="Citatindrag"/>
      </w:pPr>
      <w:r w:rsidRPr="0008481A">
        <w:t>Enligt t.f. kriminalvårdsinspektör Fredrik Bergener går underrättelse av beslut till enligt följande. Den intagne delges beslut på så sätt att han ges tillfälle att läsa igenom beslutet och får sedan skriva på att han underrättats om det aktuella beslutet. Undertecknandet sker direkt på den aktuella handlingen.</w:t>
      </w:r>
    </w:p>
    <w:p w:rsidR="003B3271" w:rsidRPr="0008481A" w:rsidRDefault="003B3271">
      <w:pPr>
        <w:pStyle w:val="Citatindrag"/>
      </w:pPr>
      <w:r w:rsidRPr="0008481A">
        <w:t>Vad gäller kostnader för kopior så tas ingen avgift ut för negativa beslut. För andra kopior tar anstalten ut avgift i enlighet med Avgiftsförordningen (1992:191), 50 kr för de tio första sidorna samt därefter två kronor per sida.</w:t>
      </w:r>
    </w:p>
    <w:p w:rsidR="003B3271" w:rsidRPr="0008481A" w:rsidRDefault="003B3271">
      <w:pPr>
        <w:pStyle w:val="Citatindrag"/>
      </w:pPr>
      <w:r w:rsidRPr="0008481A">
        <w:t>Med tanke på att anstalten handlat i enlighet med gällande lagstiftning finns ej skäl ändra på rutinerna.</w:t>
      </w:r>
    </w:p>
    <w:p w:rsidR="003B3271" w:rsidRPr="0008481A" w:rsidRDefault="003B3271">
      <w:r w:rsidRPr="0008481A">
        <w:t xml:space="preserve">N.M. har i en kommentar till remissvaret vidhållit sina klagomål. Han har vidare bifogat kopior av ett beslut och ett yttrande.   </w:t>
      </w:r>
    </w:p>
    <w:p w:rsidR="003B3271" w:rsidRPr="0008481A" w:rsidRDefault="003B3271">
      <w:pPr>
        <w:pStyle w:val="Rubrik3"/>
      </w:pPr>
      <w:r w:rsidRPr="0008481A">
        <w:t>Bedömning</w:t>
      </w:r>
    </w:p>
    <w:p w:rsidR="003B3271" w:rsidRPr="0008481A" w:rsidRDefault="003B3271">
      <w:r w:rsidRPr="0008481A">
        <w:t>Som myndigheten har anfört i yttrandet kan den intagne underrättas om innehållet i ett beslut på ett flertal sätt, bl.a. genom delgivning. Av utredningen framgår att myndigheten använder sig av denna underrättelse</w:t>
      </w:r>
      <w:r w:rsidRPr="0008481A">
        <w:softHyphen/>
        <w:t>form. Underrättelse genom delgivning är normalt sett också nödvändig för att säkerställa att den intagne har fått del av beslutet och för att på så sätt undvika påståenden om motsatsen.</w:t>
      </w:r>
    </w:p>
    <w:p w:rsidR="003B3271" w:rsidRPr="0008481A" w:rsidRDefault="003B3271">
      <w:pPr>
        <w:pStyle w:val="Normaltindrag"/>
      </w:pPr>
      <w:r w:rsidRPr="0008481A">
        <w:t>När det gäller kostnadsfrågan framstår det, enligt min mening, som märkligt att göra åtskillnad på om utgången har varit positiv eller negativ för den enskilde. Om delgivning används som underrättelseform ligger det i sakens natur att den delgivne skall ha en kopia av beslutet, se t.ex. 6 och 7 §§ delgivningslagen (1970:428</w:t>
      </w:r>
      <w:r w:rsidRPr="0008481A">
        <w:t>). Denna kopia skall erhållas utan kostnad, jfr JO:s ämbetsberättelse 1998/99 s. 480 f.  Bestämmelserna i den åberopade avgiftsförordningen tar främst sikte på situationer då en intagen t.ex. önskar ett flertal kopior av ett beslut eller kopior av beslut rörande andra intagna. Om en intagen får en kopia av ett beslut minimeras dessutom risken för påståenden om att beslutet har ändrats i efterhand.</w:t>
      </w:r>
    </w:p>
    <w:p w:rsidR="003B3271" w:rsidRPr="0008481A" w:rsidRDefault="003B3271">
      <w:pPr>
        <w:pStyle w:val="Normaltindrag"/>
      </w:pPr>
      <w:r w:rsidRPr="0008481A">
        <w:t>Det framstår därför som lämpligt att den intagne, i samband med att denne delges ett beslut, får en kopia av be</w:t>
      </w:r>
      <w:r w:rsidRPr="0008481A">
        <w:t>slutet. Det är inte acceptabelt att en intagen, vid avslagsbeslut, får vänta i flera dagar på en kopia, bl.a. med tanke på att tiden för överklagande räknas från delgivningsdagen.</w:t>
      </w:r>
    </w:p>
    <w:p w:rsidR="003B3271" w:rsidRPr="0008481A" w:rsidRDefault="003B3271">
      <w:pPr>
        <w:pStyle w:val="Normaltindrag"/>
      </w:pPr>
      <w:r w:rsidRPr="0008481A">
        <w:t>Om den intagne inte får förvara kopiorna i bostadsrummet skall denne ha möjlighet att förvara handlingarna på annat sätt.</w:t>
      </w:r>
    </w:p>
    <w:p w:rsidR="003B3271" w:rsidRPr="0008481A" w:rsidRDefault="003B3271">
      <w:pPr>
        <w:pStyle w:val="Rubrik2"/>
        <w:rPr>
          <w:caps/>
        </w:rPr>
      </w:pPr>
      <w:r w:rsidRPr="0008481A">
        <w:t>Uttalanden om en intagens rätt att samtala enskilt med sin offentlige försvarare</w:t>
      </w:r>
    </w:p>
    <w:p w:rsidR="003B3271" w:rsidRPr="0008481A" w:rsidRDefault="003B3271">
      <w:r w:rsidRPr="0008481A">
        <w:t>(Dnr 4776-1998)</w:t>
      </w:r>
    </w:p>
    <w:p w:rsidR="003B3271" w:rsidRPr="0008481A" w:rsidRDefault="003B3271">
      <w:r w:rsidRPr="0008481A">
        <w:t xml:space="preserve">I ett beslut den 5 november 1999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I sin anmälan till JO mot Kriminalvårdsmyndigheten Tidaholm har D.H. anfört i huvudsak följande. I samband med en förhandling i Hallsbergs tingsrätt önskade jag ha ett enskilt samtal med min advokat, för att på så sätt kunna förbereda mig och advokaten inför förhandlingen. Detta medgavs inte av någon anledning. Både jag och advokaten påpekade att en klient har rätt att samtala enskilt. I stället fick vi samtala under bevakning av vakten T.S., vilket medförde att förberedelserna inför förhandlingen minskade</w:t>
      </w:r>
      <w:r w:rsidRPr="0008481A">
        <w:t xml:space="preserve"> avsevärt. Poängteras skall att samtalsrummet är beläget på sådant vis att det ur säkerhetssynpunkt inte förelåg något hinder mot ett enskilt samtal. Jag fick vidare bära handfängsel under hela samtalet, trots att vi var i en låst byggnad med ett flertal vakter. I samtalsrummet fanns inga utvägar såsom fönster eller liknande, endast en dörr som bevakades av ytterligare två vakter.</w:t>
      </w:r>
    </w:p>
    <w:p w:rsidR="003B3271" w:rsidRPr="0008481A" w:rsidRDefault="003B3271">
      <w:pPr>
        <w:pStyle w:val="Rubrik3"/>
      </w:pPr>
      <w:r w:rsidRPr="0008481A">
        <w:t>Utredning</w:t>
      </w:r>
    </w:p>
    <w:p w:rsidR="003B3271" w:rsidRPr="0008481A" w:rsidRDefault="003B3271">
      <w:r w:rsidRPr="0008481A">
        <w:t>Jag har lånat in och tagit del av D.H:s behandlingsjournal och s.k. KLAS-utdrag.</w:t>
      </w:r>
      <w:r w:rsidRPr="0008481A">
        <w:rPr>
          <w:b/>
        </w:rPr>
        <w:t xml:space="preserve"> </w:t>
      </w:r>
    </w:p>
    <w:p w:rsidR="003B3271" w:rsidRPr="0008481A" w:rsidRDefault="003B3271">
      <w:pPr>
        <w:pStyle w:val="Normaltindrag"/>
      </w:pPr>
      <w:r w:rsidRPr="0008481A">
        <w:t>Efter remiss till Kriminalvårdsmyndigheten Tidaholm har kriminalvårds</w:t>
      </w:r>
      <w:r w:rsidRPr="0008481A">
        <w:softHyphen/>
        <w:t>chefen Nils Pettersson anfört i huvudsak följande.</w:t>
      </w:r>
    </w:p>
    <w:p w:rsidR="003B3271" w:rsidRPr="0008481A" w:rsidRDefault="003B3271">
      <w:pPr>
        <w:pStyle w:val="Citat"/>
      </w:pPr>
      <w:r w:rsidRPr="0008481A">
        <w:t>D.H. har klagat över att han i samband med förhandling i Hallsbergs tingsrätt den 1 december 1998 förvägrades rätten att tala enskilt med sin advokat.</w:t>
      </w:r>
    </w:p>
    <w:p w:rsidR="003B3271" w:rsidRPr="0008481A" w:rsidRDefault="003B3271">
      <w:pPr>
        <w:pStyle w:val="Citatindrag"/>
      </w:pPr>
      <w:r w:rsidRPr="0008481A">
        <w:t>För att utreda förhållandena har jag talat med de vårdare som medföljde transporten, T.S., transportledare, L.Å.P., bilförare och J.D., transportförare samt tagit del av anteckningar i KLAS-sammandrag beträffande D.H.</w:t>
      </w:r>
    </w:p>
    <w:p w:rsidR="003B3271" w:rsidRPr="0008481A" w:rsidRDefault="003B3271">
      <w:pPr>
        <w:pStyle w:val="Rubrik6"/>
      </w:pPr>
      <w:r w:rsidRPr="0008481A">
        <w:t>Utredning</w:t>
      </w:r>
    </w:p>
    <w:p w:rsidR="003B3271" w:rsidRPr="0008481A" w:rsidRDefault="003B3271">
      <w:pPr>
        <w:pStyle w:val="Citat"/>
      </w:pPr>
      <w:r w:rsidRPr="0008481A">
        <w:t>Hallsbergs tingsrätt hade begärt att kriminalvårdsmyndigheten skulle inställa D.H. till huvudförhandling den 1 december 1998. D.H. var misstänkt för bl.a. våld mot tjänsteman. Resan började vid 13-tiden och redan en kort stund efter starten bad D.H. att de skulle stanna för att han behövde ”kasta vatten”. Man stannade då man kom fram till polisstationen i Karlsborg. Resan fortsatte, men efter kort tid bad D.H. åter att bilen skulle stanna. Han fick då veta att han fick vänta tills de var framme i Hallsberg</w:t>
      </w:r>
      <w:r w:rsidRPr="0008481A">
        <w:t xml:space="preserve"> eller också använda sig av den urinflaska som fanns i bilen. D.H. avstod från detta och uppsökte toalett efter framkomsten till Hallsberg. Att D.H. redan kort efter avfärden från Tidaholm önskade urinera samt hans uppträdande i övrigt uppfattades av de medföljande vårdarna som indikation på att det kunde vara risk för avvikande under transporten. Av detta skäl stannade man inte utefter vägen.</w:t>
      </w:r>
    </w:p>
    <w:p w:rsidR="003B3271" w:rsidRPr="0008481A" w:rsidRDefault="003B3271">
      <w:pPr>
        <w:pStyle w:val="Citatindrag"/>
      </w:pPr>
      <w:r w:rsidRPr="0008481A">
        <w:t>Då D.H. och de medföljande vårdarna kom till Hallsbergs tingsrätt parkerade de på gården till byggnaden. De gick in</w:t>
      </w:r>
      <w:r w:rsidRPr="0008481A">
        <w:t xml:space="preserve"> bakvägen till en souterrängvåning. På detta plan var även advokatrummet inrymt. Ett litet rum med endast en ingång och fönsterlöst. De var framme 30–40 minuter före utsatt huvudförhandling. Advokaten bad att få samtala med sin klient och de hänvisades till advokatrummet. Av säkerhetsskäl tillfrågades advokaten om det fanns något hinder mot att en tjänsteman var närvarande vid samtalet. Advokaten gav sitt samtycke. D.H. tillfrågades inte och lämnade heller ingen kommentar vid tillfället. De andra vårdarna b</w:t>
      </w:r>
      <w:r w:rsidRPr="0008481A">
        <w:t>efann sig utanför dörren. D.H. var fängslad under samtalet. Under transporten tillbaka till anstalten bad D.H. inte om att bilen skulle stanna.</w:t>
      </w:r>
    </w:p>
    <w:p w:rsidR="003B3271" w:rsidRPr="0008481A" w:rsidRDefault="003B3271">
      <w:pPr>
        <w:pStyle w:val="Citatindrag"/>
      </w:pPr>
      <w:r w:rsidRPr="0008481A">
        <w:t>De uppgifter som lämnats om advokatrummets belägenhet m.m. har bekräftats genom telefonkontakt med kansliet vid Hallsbergs tingsrätt.</w:t>
      </w:r>
    </w:p>
    <w:p w:rsidR="003B3271" w:rsidRPr="0008481A" w:rsidRDefault="003B3271">
      <w:r w:rsidRPr="0008481A">
        <w:t>I en kommentar till remissvaret har D.H. vidhållit sina klagomål.</w:t>
      </w:r>
    </w:p>
    <w:p w:rsidR="003B3271" w:rsidRPr="0008481A" w:rsidRDefault="003B3271">
      <w:pPr>
        <w:pStyle w:val="Normaltindrag"/>
      </w:pPr>
      <w:r w:rsidRPr="0008481A">
        <w:t xml:space="preserve">Jag har inhämtat muntliga upplysningar från advokaten Bo Johansson, D.H:s offentlige försvarare. Han har uppgett att han inte tillfrågades om han hade något att erinra mot att en vårdare var närvarande under samtalet med D.H. Bo Johansson har vidare uppgett att det var D.H. som diskuterade saken med vårdarna och att han själv inte deltog i diskussionen utan utgick från att vårdarna följde gällande bestämmelser på området.   </w:t>
      </w:r>
      <w:r w:rsidRPr="0008481A">
        <w:rPr>
          <w:b/>
          <w:u w:val="single"/>
        </w:rPr>
        <w:t xml:space="preserve"> </w:t>
      </w:r>
      <w:r w:rsidRPr="0008481A">
        <w:rPr>
          <w:b/>
        </w:rPr>
        <w:t xml:space="preserve"> </w:t>
      </w:r>
    </w:p>
    <w:p w:rsidR="003B3271" w:rsidRPr="0008481A" w:rsidRDefault="003B3271">
      <w:pPr>
        <w:pStyle w:val="Rubrik3"/>
      </w:pPr>
      <w:r w:rsidRPr="0008481A">
        <w:t>Bedömning</w:t>
      </w:r>
    </w:p>
    <w:p w:rsidR="003B3271" w:rsidRPr="0008481A" w:rsidRDefault="003B3271">
      <w:r w:rsidRPr="0008481A">
        <w:t>Det ligger i sakens natur att en tilltalad i ett brottmål, även om denne är intagen i anstalt, har rätt till ett förberedande samtal med sin försvarare inför en huvud</w:t>
      </w:r>
      <w:r w:rsidRPr="0008481A">
        <w:softHyphen/>
        <w:t>för</w:t>
      </w:r>
      <w:r w:rsidRPr="0008481A">
        <w:softHyphen/>
        <w:t>handling. Enligt 21 kap. 9 § rättegångsbalken, som tar sikte på situationer då den tilltalade är anhållen eller häktad, har en offentlig försvarare rätt till ett enskilt samtal med sin huvudman. Motsvarande bestämmelse finns i 29 § lagen (1974:203) om kriminalvård i anstalt och avser situationer då t.ex. en offentlig försvarare besöker sin huvudman i anstalten. I bestämmelsen sägs att ett sådant besök skall vara bevakat om advokaten eller den intagne begär det. Även en intagen har således rätt till ett</w:t>
      </w:r>
      <w:r w:rsidRPr="0008481A">
        <w:t xml:space="preserve"> enskilt samtal med sin försvarare, såvida inte advokaten uttrycker önskemål om att besöket skall vara bevakat. Den angivna bestämmelsen får anses analogt tillämplig i aktuellt fall.  </w:t>
      </w:r>
    </w:p>
    <w:p w:rsidR="003B3271" w:rsidRPr="0008481A" w:rsidRDefault="003B3271">
      <w:pPr>
        <w:pStyle w:val="Normaltindrag"/>
      </w:pPr>
      <w:r w:rsidRPr="0008481A">
        <w:t>Som framkommit ovan råder det delade meningar om vad som sades i bevak</w:t>
      </w:r>
      <w:r w:rsidRPr="0008481A">
        <w:softHyphen/>
        <w:t>ningsfrågan vid tingsrätten, vilket jag finner mycket anmärkningsvärt, särskilt mot bakgrund av att möjligheten till missuppfattningar i en sådan begränsad fråga rimligen borde vara minimal. Jag tror emellertid inte att ytterligare utredning för att utröna vad som sades skulle vara meningsfull. Utredningen ger således inte stöd för kritik mot myndigheten. Jag vill dock erinra om att den intagne har en ovillkorlig rätt att tala enskilt med sin offentlige försvarare, såvida försvararen inte är av annan uppfa</w:t>
      </w:r>
      <w:r w:rsidRPr="0008481A">
        <w:t xml:space="preserve">ttning.   </w:t>
      </w:r>
    </w:p>
    <w:p w:rsidR="003B3271" w:rsidRPr="0008481A" w:rsidRDefault="003B3271">
      <w:pPr>
        <w:pStyle w:val="Normaltindrag"/>
      </w:pPr>
      <w:r w:rsidRPr="0008481A">
        <w:t>I övrigt har inget framkommit som föranleder något uttalande från min sida.</w:t>
      </w:r>
    </w:p>
    <w:p w:rsidR="003B3271" w:rsidRPr="0008481A" w:rsidRDefault="003B3271">
      <w:pPr>
        <w:pStyle w:val="Rubrik2"/>
      </w:pPr>
      <w:r w:rsidRPr="0008481A">
        <w:t>Ett på JO:s initiativ upptaget ärende angående lämpligheten av ett p</w:t>
      </w:r>
      <w:r w:rsidRPr="0008481A">
        <w:t>å</w:t>
      </w:r>
      <w:r w:rsidRPr="0008481A">
        <w:t>verkanspr</w:t>
      </w:r>
      <w:r w:rsidRPr="0008481A">
        <w:t>o</w:t>
      </w:r>
      <w:r w:rsidRPr="0008481A">
        <w:t xml:space="preserve">gram för intagna dömda för ekonomiska brott </w:t>
      </w:r>
    </w:p>
    <w:p w:rsidR="003B3271" w:rsidRPr="0008481A" w:rsidRDefault="003B3271">
      <w:r w:rsidRPr="0008481A">
        <w:t>(Dnr 3099-1998)</w:t>
      </w:r>
    </w:p>
    <w:p w:rsidR="003B3271" w:rsidRPr="0008481A" w:rsidRDefault="003B3271">
      <w:r w:rsidRPr="0008481A">
        <w:t xml:space="preserve">I ett beslut den 31 augusti 1999 anförde </w:t>
      </w:r>
      <w:r w:rsidRPr="0008481A">
        <w:rPr>
          <w:i/>
        </w:rPr>
        <w:t>JO Pennlöv</w:t>
      </w:r>
      <w:r w:rsidRPr="0008481A">
        <w:t xml:space="preserve"> följande.</w:t>
      </w:r>
    </w:p>
    <w:p w:rsidR="003B3271" w:rsidRPr="0008481A" w:rsidRDefault="003B3271">
      <w:pPr>
        <w:pStyle w:val="Rubrik3"/>
      </w:pPr>
      <w:r w:rsidRPr="0008481A">
        <w:t>Initiativet</w:t>
      </w:r>
    </w:p>
    <w:p w:rsidR="003B3271" w:rsidRPr="0008481A" w:rsidRDefault="003B3271">
      <w:r w:rsidRPr="0008481A">
        <w:t>I två tidningsartiklar (Östgöta Correspondenten och Uppsala Nya Tidning) den 3 augusti 1998 förekom uppgifter om att intagna i anstalten Skänninge, dömda för grov ekonomisk brottslighet, inom ramen för ett påverkansprogram om moral och etik fått delta i en tredagars seglats i Stockholms skärgård. Med anledning härav beslutade jag att granska Kriminalvårdsmyndigheten Linköpings handläggning av det akt</w:t>
      </w:r>
      <w:r w:rsidRPr="0008481A">
        <w:t>u</w:t>
      </w:r>
      <w:r w:rsidRPr="0008481A">
        <w:t>ella ärendet.</w:t>
      </w:r>
    </w:p>
    <w:p w:rsidR="003B3271" w:rsidRPr="0008481A" w:rsidRDefault="003B3271">
      <w:pPr>
        <w:pStyle w:val="Rubrik3"/>
      </w:pPr>
      <w:r w:rsidRPr="0008481A">
        <w:t>Utredning</w:t>
      </w:r>
    </w:p>
    <w:p w:rsidR="003B3271" w:rsidRPr="0008481A" w:rsidRDefault="003B3271">
      <w:r w:rsidRPr="0008481A">
        <w:t>Kriminalvårdsstyrelsen, som anmodats att komma in med utredning och yttrande, anförde bl.a. följande.</w:t>
      </w:r>
    </w:p>
    <w:p w:rsidR="003B3271" w:rsidRPr="0008481A" w:rsidRDefault="003B3271">
      <w:pPr>
        <w:pStyle w:val="Rubrik5"/>
      </w:pPr>
      <w:r w:rsidRPr="0008481A">
        <w:t>Bakgrund till projektet</w:t>
      </w:r>
    </w:p>
    <w:p w:rsidR="003B3271" w:rsidRPr="0008481A" w:rsidRDefault="003B3271">
      <w:pPr>
        <w:pStyle w:val="Citat"/>
        <w:spacing w:line="213" w:lineRule="exact"/>
      </w:pPr>
      <w:r w:rsidRPr="0008481A">
        <w:t>Under våren 1998 började diskussioner mellan kriminalvårdsmyndigheten i Linköping och fänge</w:t>
      </w:r>
      <w:r w:rsidRPr="0008481A">
        <w:t>l</w:t>
      </w:r>
      <w:r w:rsidRPr="0008481A">
        <w:t>seprästen Kenneth Lindström om ett påverkansprogram vid Skänningeanstalten för intagna dömda för ekonomiska brott. Planeringen av programmet gjordes utifrån målet att för denna grupp av intagna utveckla ett adekvat verksamhetsinnehåll under verkställighetstiden. Vid diskus</w:t>
      </w:r>
      <w:r w:rsidRPr="0008481A">
        <w:softHyphen/>
        <w:t>sio</w:t>
      </w:r>
      <w:r w:rsidRPr="0008481A">
        <w:softHyphen/>
        <w:t>nerna beaktades bl.a. myndighetens erfarenhet att personer dömda för ekonomiska brott ofta får en stark ställning bland de intagna och att de därför också kan ha en inverkan på klimatet och övriga fö</w:t>
      </w:r>
      <w:r w:rsidRPr="0008481A">
        <w:t>r</w:t>
      </w:r>
      <w:r w:rsidRPr="0008481A">
        <w:t>hållanden på anstalten. Myndighet</w:t>
      </w:r>
      <w:r w:rsidRPr="0008481A">
        <w:t>en beslutade att starta ett pilotprojekt med inriktningen på etiska och moraliska frågor under arbetsnamnet etik och moral.</w:t>
      </w:r>
    </w:p>
    <w:p w:rsidR="003B3271" w:rsidRPr="0008481A" w:rsidRDefault="003B3271">
      <w:pPr>
        <w:pStyle w:val="Rubrik5"/>
      </w:pPr>
      <w:r w:rsidRPr="0008481A">
        <w:t>Projektet etik och moral</w:t>
      </w:r>
    </w:p>
    <w:p w:rsidR="003B3271" w:rsidRPr="0008481A" w:rsidRDefault="003B3271">
      <w:pPr>
        <w:pStyle w:val="Citat"/>
      </w:pPr>
      <w:r w:rsidRPr="0008481A">
        <w:t>Av myndighetens yttrande framgår att påverkansprogrammet, som omfattar sex månader, började i mitten av juni och beräknas pågå till mitten av december. Kennet Lindström deltar som en extern resursperson i projektet med sina kunskaper i etiska och moraliska frågor. Han har också tidigare erfarenheter från privata näringslivet vilket utgör en viktig länk till deltagarna i programmet.</w:t>
      </w:r>
    </w:p>
    <w:p w:rsidR="003B3271" w:rsidRPr="0008481A" w:rsidRDefault="003B3271">
      <w:pPr>
        <w:pStyle w:val="Citatindrag"/>
      </w:pPr>
      <w:r w:rsidRPr="0008481A">
        <w:t>Verksamheten omfattar enskilda litteraturstudier, vilka sedan ligger till grund för diskussionsm</w:t>
      </w:r>
      <w:r w:rsidRPr="0008481A">
        <w:t>ö</w:t>
      </w:r>
      <w:r w:rsidRPr="0008481A">
        <w:t>ten med fängelseprästen. Som ett inledande inslag i programmet ingick att en grupp om sex inta</w:t>
      </w:r>
      <w:r w:rsidRPr="0008481A">
        <w:t>g</w:t>
      </w:r>
      <w:r w:rsidRPr="0008481A">
        <w:t>na skulle mötas koncentrerat under tiden 3 till 5 augusti. Deltagarna skulle under dessa dagar ko</w:t>
      </w:r>
      <w:r w:rsidRPr="0008481A">
        <w:t>n</w:t>
      </w:r>
      <w:r w:rsidRPr="0008481A">
        <w:t>fronteras med varandra utan möjlighet att lämna gruppen och utanför den vardagliga miljön. My</w:t>
      </w:r>
      <w:r w:rsidRPr="0008481A">
        <w:t>n</w:t>
      </w:r>
      <w:r w:rsidRPr="0008481A">
        <w:t>digheten valde därför att den inledande verksamheten skulle ske på en segelbåt. En av orsakerna, utöver att uppnå de gruppdynamiska effekterna, till inledningen av verksamheten kom att ske på segelbåten var att undervisninge</w:t>
      </w:r>
      <w:r w:rsidRPr="0008481A">
        <w:t>n och samtalen kunde varvas med arbete. Härtill kom att fänge</w:t>
      </w:r>
      <w:r w:rsidRPr="0008481A">
        <w:t>l</w:t>
      </w:r>
      <w:r w:rsidRPr="0008481A">
        <w:t xml:space="preserve">seprästen är en van seglare. </w:t>
      </w:r>
    </w:p>
    <w:p w:rsidR="003B3271" w:rsidRPr="0008481A" w:rsidRDefault="003B3271">
      <w:pPr>
        <w:pStyle w:val="Citatindrag"/>
      </w:pPr>
      <w:r w:rsidRPr="0008481A">
        <w:t>Myndigheten som ännu inte har bedömt värdet av projektet har angett att påverkansprogrammet kommer att utvärderas efter att det har avslutats.</w:t>
      </w:r>
    </w:p>
    <w:p w:rsidR="003B3271" w:rsidRPr="0008481A" w:rsidRDefault="003B3271">
      <w:pPr>
        <w:pStyle w:val="Rubrik5"/>
      </w:pPr>
      <w:r w:rsidRPr="0008481A">
        <w:t>Lagstöd</w:t>
      </w:r>
    </w:p>
    <w:p w:rsidR="003B3271" w:rsidRPr="0008481A" w:rsidRDefault="003B3271">
      <w:pPr>
        <w:pStyle w:val="Citat"/>
      </w:pPr>
      <w:r w:rsidRPr="0008481A">
        <w:t>De intagna har beviljats permission enligt 32 § 2 st. lagen (1974:203) om kriminalvård i anstalt för vistelse på segelbåten. De särskilda permissionerna som beviljades omfattade inte längre tid än vad en normalpermission om</w:t>
      </w:r>
      <w:r w:rsidRPr="0008481A">
        <w:softHyphen/>
        <w:t>fattar. Risk för avvikelse eller annan misskötsamhet bedömdes inte för</w:t>
      </w:r>
      <w:r w:rsidRPr="0008481A">
        <w:t>e</w:t>
      </w:r>
      <w:r w:rsidRPr="0008481A">
        <w:t>ligga.</w:t>
      </w:r>
    </w:p>
    <w:p w:rsidR="003B3271" w:rsidRPr="0008481A" w:rsidRDefault="003B3271">
      <w:pPr>
        <w:pStyle w:val="Rubrik5"/>
      </w:pPr>
      <w:r w:rsidRPr="0008481A">
        <w:t>Kriminalvårdsstyrelsens bedömning</w:t>
      </w:r>
    </w:p>
    <w:p w:rsidR="003B3271" w:rsidRPr="0008481A" w:rsidRDefault="003B3271">
      <w:pPr>
        <w:pStyle w:val="Citat"/>
      </w:pPr>
      <w:r w:rsidRPr="0008481A">
        <w:t>Programverksamheten för kriminalvården syftar till att minska risken för återfall i brott vilket är ett av kriminalvårdens uppdrag från regeringen. Några närmare bestämmelser om hur verksamh</w:t>
      </w:r>
      <w:r w:rsidRPr="0008481A">
        <w:t>e</w:t>
      </w:r>
      <w:r w:rsidRPr="0008481A">
        <w:t>ten skall utformas har inte angivits. Det åligger således kriminalvården att utveckla och bedriva verksamheten på ett sådant sätt att den intagne inte återfaller i brott. Den verksamhet som bedrivs inom projektet vid Skänningeanstalten kan sägas ha ett vällovligt syfte. Myndigheten bedriver påverkansprogrammet som ett pilotprojekt vilket kommer att utvärderas efter att det avslutas. Kriminal</w:t>
      </w:r>
      <w:r w:rsidRPr="0008481A">
        <w:softHyphen/>
        <w:t>vårdsstyrelsen anser därför att det nu är för tidigt att uttala sig om värdet av programmet.</w:t>
      </w:r>
    </w:p>
    <w:p w:rsidR="003B3271" w:rsidRPr="0008481A" w:rsidRDefault="003B3271">
      <w:pPr>
        <w:pStyle w:val="Citatindrag"/>
      </w:pPr>
      <w:r w:rsidRPr="0008481A">
        <w:t>Styrelsen anser dock at</w:t>
      </w:r>
      <w:r w:rsidRPr="0008481A">
        <w:t>t det är olämpligt att programverksamheten för intagna vid en krimina</w:t>
      </w:r>
      <w:r w:rsidRPr="0008481A">
        <w:t>l</w:t>
      </w:r>
      <w:r w:rsidRPr="0008481A">
        <w:t>vårdsanstalt utformas på ett sätt som kan menligt påverka allmänhetens förtroende för den ver</w:t>
      </w:r>
      <w:r w:rsidRPr="0008481A">
        <w:t>k</w:t>
      </w:r>
      <w:r w:rsidRPr="0008481A">
        <w:t>samhet som kriminalvården bedriver. Detta gäller särskilt, vilket regionmyndigheten också pekat på i sitt yttrande, de delar av verksamheten som sker utanför anstalten. Denna händelse har därför i efterhand också diskuterats i olika fora, såsom t.ex. centrala ledningsgruppen, för att göra tydligt Kriminalvårdsstyrelsens upp</w:t>
      </w:r>
      <w:r w:rsidRPr="0008481A">
        <w:softHyphen/>
        <w:t>fattning.</w:t>
      </w:r>
    </w:p>
    <w:p w:rsidR="003B3271" w:rsidRPr="0008481A" w:rsidRDefault="003B3271">
      <w:pPr>
        <w:pStyle w:val="Citatindrag"/>
      </w:pPr>
      <w:r w:rsidRPr="0008481A">
        <w:t>Kriminalvård</w:t>
      </w:r>
      <w:r w:rsidRPr="0008481A">
        <w:t>schefen har efter att ha rannsakat sitt beslut förklarat att han är övertygad om att en segelbåt som medel inte återkommer i program</w:t>
      </w:r>
      <w:r w:rsidRPr="0008481A">
        <w:softHyphen/>
        <w:t>verksamheten vid myndigheten. Han har också förklarat att samma syfte kan uppnås inom ramen för de verksamheter som kriminalvården förf</w:t>
      </w:r>
      <w:r w:rsidRPr="0008481A">
        <w:t>o</w:t>
      </w:r>
      <w:r w:rsidRPr="0008481A">
        <w:t>gar över.</w:t>
      </w:r>
    </w:p>
    <w:p w:rsidR="003B3271" w:rsidRPr="0008481A" w:rsidRDefault="003B3271">
      <w:pPr>
        <w:pStyle w:val="Citatindrag"/>
      </w:pPr>
      <w:r w:rsidRPr="0008481A">
        <w:t>Med hänsyn till att det inträffade inte torde komma att upprepas finner styrelsen inte skäl att vidta några åtgärder.</w:t>
      </w:r>
    </w:p>
    <w:p w:rsidR="003B3271" w:rsidRPr="0008481A" w:rsidRDefault="003B3271">
      <w:r w:rsidRPr="0008481A">
        <w:t>Till remissvaret har fogats yttranden från Kriminalvårdsmyndigheten Lin</w:t>
      </w:r>
      <w:r w:rsidRPr="0008481A">
        <w:softHyphen/>
        <w:t>köping respektive Regionmyndigheten Norrköping.</w:t>
      </w:r>
    </w:p>
    <w:p w:rsidR="003B3271" w:rsidRPr="0008481A" w:rsidRDefault="003B3271">
      <w:pPr>
        <w:pStyle w:val="Normaltindrag"/>
      </w:pPr>
      <w:r w:rsidRPr="0008481A">
        <w:t>En av de intagna som deltog i seglatsen har yttrat sig över remissvaret.</w:t>
      </w:r>
    </w:p>
    <w:p w:rsidR="003B3271" w:rsidRPr="0008481A" w:rsidRDefault="003B3271">
      <w:pPr>
        <w:pStyle w:val="Rubrik3"/>
      </w:pPr>
      <w:r w:rsidRPr="0008481A">
        <w:t>Bedömning</w:t>
      </w:r>
    </w:p>
    <w:p w:rsidR="003B3271" w:rsidRPr="0008481A" w:rsidRDefault="003B3271">
      <w:r w:rsidRPr="0008481A">
        <w:t>Den verksamhet som äger rum i samband med verkställigheten av ett fängels</w:t>
      </w:r>
      <w:r w:rsidRPr="0008481A">
        <w:t>e</w:t>
      </w:r>
      <w:r w:rsidRPr="0008481A">
        <w:t>straff bör utformas på sådant sätt att allmänhetens tilltro till kriminalvårdsväsendet inte rubbas. Jag delar helt Kriminalvårdsstyrelsens bedömning av vad som förev</w:t>
      </w:r>
      <w:r w:rsidRPr="0008481A">
        <w:t>a</w:t>
      </w:r>
      <w:r w:rsidRPr="0008481A">
        <w:t>rit i detta fall. Med hänsyn till att det av allt att döma varit fråga om en engångsf</w:t>
      </w:r>
      <w:r w:rsidRPr="0008481A">
        <w:t>ö</w:t>
      </w:r>
      <w:r w:rsidRPr="0008481A">
        <w:t>reteelse, som enligt uppgift inte kommer att upprepas, saknas anledning för mig att vidta någon ytterligare åtgärd.</w:t>
      </w:r>
    </w:p>
    <w:p w:rsidR="003B3271" w:rsidRPr="0008481A" w:rsidRDefault="003B3271">
      <w:pPr>
        <w:pStyle w:val="Rubrik1"/>
        <w:spacing w:before="0"/>
      </w:pPr>
      <w:r w:rsidRPr="0008481A">
        <w:br w:type="page"/>
        <w:t>Exekutiva ärenden</w:t>
      </w:r>
    </w:p>
    <w:p w:rsidR="003B3271" w:rsidRPr="0008481A" w:rsidRDefault="003B3271">
      <w:pPr>
        <w:pStyle w:val="Rubrik2"/>
      </w:pPr>
      <w:r w:rsidRPr="0008481A">
        <w:t>Kro</w:t>
      </w:r>
      <w:r w:rsidRPr="0008481A">
        <w:softHyphen/>
        <w:t>no</w:t>
      </w:r>
      <w:r w:rsidRPr="0008481A">
        <w:softHyphen/>
        <w:t>fog</w:t>
      </w:r>
      <w:r w:rsidRPr="0008481A">
        <w:softHyphen/>
        <w:t>de</w:t>
      </w:r>
      <w:r w:rsidRPr="0008481A">
        <w:softHyphen/>
        <w:t>myn</w:t>
      </w:r>
      <w:r w:rsidRPr="0008481A">
        <w:softHyphen/>
        <w:t>dig</w:t>
      </w:r>
      <w:r w:rsidRPr="0008481A">
        <w:softHyphen/>
        <w:t>he</w:t>
      </w:r>
      <w:r w:rsidRPr="0008481A">
        <w:softHyphen/>
        <w:t>t har inte behandlat en skrivelse som ett överklagande</w:t>
      </w:r>
    </w:p>
    <w:p w:rsidR="003B3271" w:rsidRPr="0008481A" w:rsidRDefault="003B3271">
      <w:pPr>
        <w:rPr>
          <w:sz w:val="26"/>
        </w:rPr>
      </w:pPr>
      <w:r w:rsidRPr="0008481A">
        <w:t>(Dnr 1954-1998</w:t>
      </w:r>
      <w:r w:rsidRPr="0008481A">
        <w:rPr>
          <w:sz w:val="26"/>
        </w:rPr>
        <w:t>)</w:t>
      </w:r>
    </w:p>
    <w:p w:rsidR="003B3271" w:rsidRPr="0008481A" w:rsidRDefault="003B3271">
      <w:r w:rsidRPr="0008481A">
        <w:t>P.O. klagade, som ställföreträdare för ett bolag (C.), på att krono</w:t>
      </w:r>
      <w:r w:rsidRPr="0008481A">
        <w:softHyphen/>
        <w:t>fogde</w:t>
      </w:r>
      <w:r w:rsidRPr="0008481A">
        <w:softHyphen/>
        <w:t>myndigheten inte lämnat någon besvärshänvisning till myndighetens beslut att inte medge befrielse från skyldigheten att betala förrättningskostn</w:t>
      </w:r>
      <w:r w:rsidRPr="0008481A">
        <w:t>a</w:t>
      </w:r>
      <w:r w:rsidRPr="0008481A">
        <w:t>der samt att myndigheten inte överlämnat bolagets överklagande till ”länsrätten”.</w:t>
      </w:r>
    </w:p>
    <w:p w:rsidR="003B3271" w:rsidRPr="0008481A" w:rsidRDefault="003B3271">
      <w:pPr>
        <w:pStyle w:val="Normaltindrag"/>
      </w:pPr>
      <w:r w:rsidRPr="0008481A">
        <w:t>Kro</w:t>
      </w:r>
      <w:r w:rsidRPr="0008481A">
        <w:softHyphen/>
        <w:t>no</w:t>
      </w:r>
      <w:r w:rsidRPr="0008481A">
        <w:softHyphen/>
        <w:t>fog</w:t>
      </w:r>
      <w:r w:rsidRPr="0008481A">
        <w:softHyphen/>
        <w:t>de</w:t>
      </w:r>
      <w:r w:rsidRPr="0008481A">
        <w:softHyphen/>
        <w:t>myn</w:t>
      </w:r>
      <w:r w:rsidRPr="0008481A">
        <w:softHyphen/>
        <w:t>dig</w:t>
      </w:r>
      <w:r w:rsidRPr="0008481A">
        <w:softHyphen/>
        <w:t>he</w:t>
      </w:r>
      <w:r w:rsidRPr="0008481A">
        <w:softHyphen/>
        <w:t>ten yttrade sig efter remiss. P.O. fick tillfälle att yttra sig över remissvaret men hördes inte av.</w:t>
      </w:r>
    </w:p>
    <w:p w:rsidR="003B3271" w:rsidRPr="0008481A" w:rsidRDefault="003B3271">
      <w:pPr>
        <w:pStyle w:val="Normaltindrag"/>
      </w:pPr>
      <w:r w:rsidRPr="0008481A">
        <w:t>Av de handlingar ur kronofogdemyndighetens akt som fogats till remissvaret framgick bl. a. följande. Kronofogdemyndigheten beslutade den 5 mars 1998 att inte medge grundavgiftsbefrielse. C. fick del av beslutet den 6 mars 1998. Den 6 april 1998 inkom till kronofogdemyndigheten en skrive</w:t>
      </w:r>
      <w:r w:rsidRPr="0008481A">
        <w:t>l</w:t>
      </w:r>
      <w:r w:rsidRPr="0008481A">
        <w:t>se från P.O. där han bl.a. skrev att han ville överklaga kronofogde</w:t>
      </w:r>
      <w:r w:rsidRPr="0008481A">
        <w:softHyphen/>
        <w:t>myndighetens beslut att inte ge bolaget befrielse eller uppskov med avgiften. Skrivelsen föranledde ingen annan åtgärd från kronofogdemyndighetens sida än att ett skriftligt svar skickades till C. i vilket myndigheten bl. a. förklarade att ett b</w:t>
      </w:r>
      <w:r w:rsidRPr="0008481A">
        <w:t>e</w:t>
      </w:r>
      <w:r w:rsidRPr="0008481A">
        <w:t>slut att inte medge grundavgiftsbefrielse enligt 17 kap. 4 § första stycket utsökningsbalken (UB) enligt 18 kap. 5 § 4 p UB inte får överklagas.</w:t>
      </w:r>
    </w:p>
    <w:p w:rsidR="003B3271" w:rsidRPr="0008481A" w:rsidRDefault="003B3271">
      <w:pPr>
        <w:pStyle w:val="Normaltindrag"/>
      </w:pPr>
      <w:r w:rsidRPr="0008481A">
        <w:t xml:space="preserve">I sitt den 16 augusti 1999 meddelade beslut anförde </w:t>
      </w:r>
      <w:r w:rsidRPr="0008481A">
        <w:rPr>
          <w:i/>
        </w:rPr>
        <w:t xml:space="preserve">JO Pennlöv </w:t>
      </w:r>
      <w:r w:rsidRPr="0008481A">
        <w:t>i bedömningsdelen följande, såvitt avser kro</w:t>
      </w:r>
      <w:r w:rsidRPr="0008481A">
        <w:softHyphen/>
        <w:t>no</w:t>
      </w:r>
      <w:r w:rsidRPr="0008481A">
        <w:softHyphen/>
        <w:t>fog</w:t>
      </w:r>
      <w:r w:rsidRPr="0008481A">
        <w:softHyphen/>
        <w:t>de</w:t>
      </w:r>
      <w:r w:rsidRPr="0008481A">
        <w:softHyphen/>
        <w:t>myn</w:t>
      </w:r>
      <w:r w:rsidRPr="0008481A">
        <w:softHyphen/>
        <w:t>dig</w:t>
      </w:r>
      <w:r w:rsidRPr="0008481A">
        <w:softHyphen/>
        <w:t>he</w:t>
      </w:r>
      <w:r w:rsidRPr="0008481A">
        <w:softHyphen/>
        <w:t>tens behandling av det aktuella överklagandet.</w:t>
      </w:r>
    </w:p>
    <w:p w:rsidR="003B3271" w:rsidRPr="0008481A" w:rsidRDefault="003B3271">
      <w:pPr>
        <w:pStyle w:val="Normaltindrag"/>
      </w:pPr>
      <w:r w:rsidRPr="0008481A">
        <w:t>Kronofogdemyndigheten får enligt 17 kap. 4 § UB medge befrielse helt eller de</w:t>
      </w:r>
      <w:r w:rsidRPr="0008481A">
        <w:t>l</w:t>
      </w:r>
      <w:r w:rsidRPr="0008481A">
        <w:t>vis från skyldigheten att betala förrättningskostnader i utsöknings</w:t>
      </w:r>
      <w:r w:rsidRPr="0008481A">
        <w:softHyphen/>
        <w:t>mål, om det finns särskilda skäl. Ett beslut i en sådan fråga får enligt 18 kap. 5 § 4 p UB inte överklagas.</w:t>
      </w:r>
    </w:p>
    <w:p w:rsidR="003B3271" w:rsidRPr="0008481A" w:rsidRDefault="003B3271">
      <w:pPr>
        <w:pStyle w:val="Normaltindrag"/>
      </w:pPr>
      <w:r w:rsidRPr="0008481A">
        <w:t>Enligt 18 kap. 9 § UB skall ett överklagande ges in till krono</w:t>
      </w:r>
      <w:r w:rsidRPr="0008481A">
        <w:softHyphen/>
        <w:t>fogde</w:t>
      </w:r>
      <w:r w:rsidRPr="0008481A">
        <w:softHyphen/>
        <w:t>myndigheten. Ett överklagande som inte har kommit in i rätt tid skall avvisas av kronofogdemyndigheten. Om överklagandet inte avvisas, skall krono</w:t>
      </w:r>
      <w:r w:rsidRPr="0008481A">
        <w:softHyphen/>
        <w:t>fogde</w:t>
      </w:r>
      <w:r w:rsidRPr="0008481A">
        <w:softHyphen/>
        <w:t>myndigheten e</w:t>
      </w:r>
      <w:r w:rsidRPr="0008481A">
        <w:t>n</w:t>
      </w:r>
      <w:r w:rsidRPr="0008481A">
        <w:t>ligt 10 § i samma kapitel så snart som möjligt sända detta och övriga handlingar i målet till tingsrätten. I 18 kap. 7 § UB anges inom vilken tid kronofogdemyndighetens olika beslut skall överklagas. För det fall inget annat angivits skall kronofogdemyndighetens beslut överklagas inom tre veckor från det att beslutet delgavs klaganden.</w:t>
      </w:r>
    </w:p>
    <w:p w:rsidR="003B3271" w:rsidRPr="0008481A" w:rsidRDefault="003B3271">
      <w:pPr>
        <w:pStyle w:val="Normaltindrag"/>
      </w:pPr>
      <w:r w:rsidRPr="0008481A">
        <w:t>Kronofogdemyndigheten kan inte undgå kritik för att den inte behandlat C:s skrivelse, som inkom den 6 april 1998, som ett överklagande. Myndigheten borde således, i stället för att skicka ett brevsvar till C. med upplysning om att b</w:t>
      </w:r>
      <w:r w:rsidRPr="0008481A">
        <w:t>e</w:t>
      </w:r>
      <w:r w:rsidRPr="0008481A">
        <w:t>slutet inte var överklagbart, inlett handläggningen med att undersöka om överkl</w:t>
      </w:r>
      <w:r w:rsidRPr="0008481A">
        <w:t>a</w:t>
      </w:r>
      <w:r w:rsidRPr="0008481A">
        <w:t>gandet inkommit i rätt tid. Mot bakgrund av att det gått mer än tre veckor sedan bolaget delgavs det överklagade beslutet borde kronofogdemyndigheten ha avv</w:t>
      </w:r>
      <w:r w:rsidRPr="0008481A">
        <w:t>i</w:t>
      </w:r>
      <w:r w:rsidRPr="0008481A">
        <w:t>sat överklagandet som för sent inkommet. Hade överklagandet kommit in i rätt tid borde kronofogdemyndigheten i stället ha översänt det till tingsrätten. Bedö</w:t>
      </w:r>
      <w:r w:rsidRPr="0008481A">
        <w:t>m</w:t>
      </w:r>
      <w:r w:rsidRPr="0008481A">
        <w:t>ningen av om beslutet är överklagbart eller ej ankommer överhuvudtaget inte på beslutsmyndigheten utan på överklagan</w:t>
      </w:r>
      <w:r w:rsidRPr="0008481A">
        <w:t>demyndigheten, i detta fall tingsrätten (se Håkan Strömberg, Allmän förvaltningsrätt, 18:e upplagan, 1997, s. 203 f.)</w:t>
      </w:r>
    </w:p>
    <w:p w:rsidR="003B3271" w:rsidRPr="0008481A" w:rsidRDefault="003B3271">
      <w:pPr>
        <w:pStyle w:val="Rubrik2"/>
      </w:pPr>
      <w:r w:rsidRPr="0008481A">
        <w:t>Kronofogdemyndighet har dröjt med att översända ett överklagande till domstol</w:t>
      </w:r>
    </w:p>
    <w:p w:rsidR="003B3271" w:rsidRPr="0008481A" w:rsidRDefault="003B3271">
      <w:r w:rsidRPr="0008481A">
        <w:t>(Dnr 4696-1998)</w:t>
      </w:r>
    </w:p>
    <w:p w:rsidR="003B3271" w:rsidRPr="0008481A" w:rsidRDefault="003B3271">
      <w:pPr>
        <w:pStyle w:val="Rubrik3"/>
      </w:pPr>
      <w:r w:rsidRPr="0008481A">
        <w:t>Anmälan</w:t>
      </w:r>
    </w:p>
    <w:p w:rsidR="003B3271" w:rsidRPr="0008481A" w:rsidRDefault="003B3271">
      <w:r w:rsidRPr="0008481A">
        <w:t>S.S. AB, företrätt av M.D., framförde klagomål mot att kronofogde</w:t>
      </w:r>
      <w:r w:rsidRPr="0008481A">
        <w:softHyphen/>
        <w:t>myndigheten dröjt med att översända överklaganden i mål om u</w:t>
      </w:r>
      <w:r w:rsidRPr="0008481A">
        <w:t>t</w:t>
      </w:r>
      <w:r w:rsidRPr="0008481A">
        <w:t>mätning och betalningssäkring till tingsrätten. M.D. anförde bl.a. följande. Över</w:t>
      </w:r>
      <w:r w:rsidRPr="0008481A">
        <w:softHyphen/>
        <w:t>klagandeskrifterna för S.S. AB och P.T.S. AB sändes till kronofogde</w:t>
      </w:r>
      <w:r w:rsidRPr="0008481A">
        <w:softHyphen/>
        <w:t>myndigheten i rekommenderad försändelse den 7 november 1998 och med vanlig post den 9 november. Vid samtal med akt</w:t>
      </w:r>
      <w:r w:rsidRPr="0008481A">
        <w:t>u</w:t>
      </w:r>
      <w:r w:rsidRPr="0008481A">
        <w:t>arien vid Stockholms tingsrätt den 8 december 1998 fick han veta att överklaga</w:t>
      </w:r>
      <w:r w:rsidRPr="0008481A">
        <w:t>n</w:t>
      </w:r>
      <w:r w:rsidRPr="0008481A">
        <w:t>deskrifterna ännu inte inkommit till ting</w:t>
      </w:r>
      <w:r w:rsidRPr="0008481A">
        <w:t>s</w:t>
      </w:r>
      <w:r w:rsidRPr="0008481A">
        <w:t>rätten.</w:t>
      </w:r>
    </w:p>
    <w:p w:rsidR="003B3271" w:rsidRPr="0008481A" w:rsidRDefault="003B3271">
      <w:pPr>
        <w:pStyle w:val="Rubrik3"/>
      </w:pPr>
      <w:r w:rsidRPr="0008481A">
        <w:t>Utredning</w:t>
      </w:r>
    </w:p>
    <w:p w:rsidR="003B3271" w:rsidRPr="0008481A" w:rsidRDefault="003B3271">
      <w:r w:rsidRPr="0008481A">
        <w:t>Från kronofogdemyndigheten inhämtades per telefon att P.T.S. AB inlämnade ett överklagande till myndigheten den 11 november 1998 samt att överklagandeskriften jämte myndighetens eget yttrande överlämnades till Stockholms tingsrätt den 16 december 1998.</w:t>
      </w:r>
    </w:p>
    <w:p w:rsidR="003B3271" w:rsidRPr="0008481A" w:rsidRDefault="003B3271">
      <w:pPr>
        <w:pStyle w:val="Normaltindrag"/>
      </w:pPr>
      <w:r w:rsidRPr="0008481A">
        <w:t>Ärendet remitterades därefter till myndigheten för utredning och yttrande. Till myndighetens remissvar fogade regionkronodirektören Eugène Palmér ett yttrande från enhetschefen på specialindrivningssektionen, Birgitta Rinaldo. Av sistnämnda yt</w:t>
      </w:r>
      <w:r w:rsidRPr="0008481A">
        <w:t>t</w:t>
      </w:r>
      <w:r w:rsidRPr="0008481A">
        <w:t>rande framgår bl.a. följande.</w:t>
      </w:r>
    </w:p>
    <w:p w:rsidR="003B3271" w:rsidRPr="0008481A" w:rsidRDefault="003B3271">
      <w:r w:rsidRPr="0008481A">
        <w:t>_ _ _</w:t>
      </w:r>
    </w:p>
    <w:p w:rsidR="003B3271" w:rsidRPr="0008481A" w:rsidRDefault="003B3271">
      <w:pPr>
        <w:pStyle w:val="Citat"/>
      </w:pPr>
      <w:r w:rsidRPr="0008481A">
        <w:t>Av kronofogdemyndighetens utredning i ärendet har framkommit följande: Den 3 november 1998 inkom skattemyndigheten med begäran om verkstä</w:t>
      </w:r>
      <w:r w:rsidRPr="0008481A">
        <w:t>l</w:t>
      </w:r>
      <w:r w:rsidRPr="0008481A">
        <w:t>lighet av Länsrättens i Stockholms län betalningssäkringsbeslut mot P.T.S. AB samt H.T. AB. Kronofogdemyndigheten verkställde b</w:t>
      </w:r>
      <w:r w:rsidRPr="0008481A">
        <w:t>e</w:t>
      </w:r>
      <w:r w:rsidRPr="0008481A">
        <w:t>sluten varvid kundfordringar i de olika bolagen betalningssäkrades. I kron</w:t>
      </w:r>
      <w:r w:rsidRPr="0008481A">
        <w:t>o</w:t>
      </w:r>
      <w:r w:rsidRPr="0008481A">
        <w:t>fogde</w:t>
      </w:r>
      <w:r w:rsidRPr="0008481A">
        <w:softHyphen/>
        <w:t>myndighetens allmänna diarium registrerades den 11 november 1998 att det till gemensamma enheten inkommit tre överklaganden i P.T.S. AB och ett överklagande i H.T. AB. Vid genomgång av överklaga</w:t>
      </w:r>
      <w:r w:rsidRPr="0008481A">
        <w:t>n</w:t>
      </w:r>
      <w:r w:rsidRPr="0008481A">
        <w:t>de</w:t>
      </w:r>
      <w:r w:rsidRPr="0008481A">
        <w:softHyphen/>
        <w:t>skrifterna i sam</w:t>
      </w:r>
      <w:r w:rsidRPr="0008481A">
        <w:softHyphen/>
        <w:t>band med registreringen gjorde kronofogden som ansvar</w:t>
      </w:r>
      <w:r w:rsidRPr="0008481A">
        <w:t>a</w:t>
      </w:r>
      <w:r w:rsidRPr="0008481A">
        <w:t>de för målen bedömningen att yttr</w:t>
      </w:r>
      <w:r w:rsidRPr="0008481A">
        <w:t>ande inte skulle upprättas med förtur, e</w:t>
      </w:r>
      <w:r w:rsidRPr="0008481A">
        <w:t>f</w:t>
      </w:r>
      <w:r w:rsidRPr="0008481A">
        <w:t>tersom för</w:t>
      </w:r>
      <w:r w:rsidRPr="0008481A">
        <w:softHyphen/>
        <w:t>säljningsåtgärder inte var ifråga beträffande den betalnings</w:t>
      </w:r>
      <w:r w:rsidRPr="0008481A">
        <w:softHyphen/>
        <w:t>säkrade egen</w:t>
      </w:r>
      <w:r w:rsidRPr="0008481A">
        <w:softHyphen/>
        <w:t>domen. Vid den sedermera fördjupade genomgången av överklagand</w:t>
      </w:r>
      <w:r w:rsidRPr="0008481A">
        <w:t>e</w:t>
      </w:r>
      <w:r w:rsidRPr="0008481A">
        <w:softHyphen/>
        <w:t>skrifterna framkom att de invändningar som S.S. AB och P.T.S. AB fram</w:t>
      </w:r>
      <w:r w:rsidRPr="0008481A">
        <w:softHyphen/>
        <w:t>förde var av komplicerad natur varför kronofogde</w:t>
      </w:r>
      <w:r w:rsidRPr="0008481A">
        <w:softHyphen/>
        <w:t>myndighetens yttra</w:t>
      </w:r>
      <w:r w:rsidRPr="0008481A">
        <w:t>n</w:t>
      </w:r>
      <w:r w:rsidRPr="0008481A">
        <w:t>de till tingsrätten kunde upprättas först efter litteratur- och praxisgeno</w:t>
      </w:r>
      <w:r w:rsidRPr="0008481A">
        <w:t>m</w:t>
      </w:r>
      <w:r w:rsidRPr="0008481A">
        <w:t>gång. Kronofogdemyndigheten färdigställde de fyra yttrandena den 16 d</w:t>
      </w:r>
      <w:r w:rsidRPr="0008481A">
        <w:t>e</w:t>
      </w:r>
      <w:r w:rsidRPr="0008481A">
        <w:t>cember varefter de tillsammans med över</w:t>
      </w:r>
      <w:r w:rsidRPr="0008481A">
        <w:t>klagandena genast översändes till tings</w:t>
      </w:r>
      <w:r w:rsidRPr="0008481A">
        <w:softHyphen/>
        <w:t>rätten.</w:t>
      </w:r>
    </w:p>
    <w:p w:rsidR="003B3271" w:rsidRPr="0008481A" w:rsidRDefault="003B3271">
      <w:pPr>
        <w:pStyle w:val="Citatindrag"/>
      </w:pPr>
      <w:r w:rsidRPr="0008481A">
        <w:t>Det antecknas att S.S. AB:s och P.T.S. AB:s överklaganden inkom under en period då arbetet på sektionen var mycket intensivt. När överklagandena inkom fanns redan på sektionen sju stycken obehandlade överklaganden som även de skulle översändas till tingsrätten med yttrande. Under perioden den 11 november till den 16 december inkom dessutom ytterligare tio stycken överklaganden.</w:t>
      </w:r>
    </w:p>
    <w:p w:rsidR="003B3271" w:rsidRPr="0008481A" w:rsidRDefault="003B3271">
      <w:pPr>
        <w:pStyle w:val="Citatindrag"/>
      </w:pPr>
      <w:r w:rsidRPr="0008481A">
        <w:t>Av utsökningsbalken 18 kap. 10 § framgår att kronofogdemyndigheten så snart som möjligt skall sända inkommet överklagande och övriga handlingar i målet till tingsrätten. Av utsökningsförordningen 17 kap. 3 § framgår att kronofogdemyndigheten skall bifoga ett eget yttrande, om det inte kan anses obehövligt, till de handlingar som skall översändas till tingsrätten. I för</w:t>
      </w:r>
      <w:r w:rsidRPr="0008481A">
        <w:softHyphen/>
        <w:t>a</w:t>
      </w:r>
      <w:r w:rsidRPr="0008481A">
        <w:t>r</w:t>
      </w:r>
      <w:r w:rsidRPr="0008481A">
        <w:t>betena till utsökningsbalken lämnas inga riktlinjer såvitt avser tidsaspekten för överlämnande av överklagande till tingsrätt. Frågan har såvitt kunnat u</w:t>
      </w:r>
      <w:r w:rsidRPr="0008481A">
        <w:t>t</w:t>
      </w:r>
      <w:r w:rsidRPr="0008481A">
        <w:t>redas inte prövats av domstol.</w:t>
      </w:r>
    </w:p>
    <w:p w:rsidR="003B3271" w:rsidRPr="0008481A" w:rsidRDefault="003B3271">
      <w:pPr>
        <w:pStyle w:val="Citatindrag"/>
      </w:pPr>
      <w:r w:rsidRPr="0008481A">
        <w:t>Vid en normal tillströmning av överklaganden är sektionens målsättning att ett överklagande tillsammans med ett yttrande skall översändas till tingsrä</w:t>
      </w:r>
      <w:r w:rsidRPr="0008481A">
        <w:t>t</w:t>
      </w:r>
      <w:r w:rsidRPr="0008481A">
        <w:t>ten inom en–två veckor från ankomstdagen. Inkommer ett över</w:t>
      </w:r>
      <w:r w:rsidRPr="0008481A">
        <w:softHyphen/>
        <w:t>klagande i mål där försäljningsåtgärder är i fråga upprättas naturligtvis yttrande med förtur och handlingarna i målet översänds genast till tingsrätten. I de aktuella målen, som ej var förtursmål, konstateras att det tog längre tid än normalt att upprätta yttrande och översända inkomna handlingar till tingsrätten. Detta beroende på den extraordinära arbetssituation som rådde vid tidpunkten för överklagandena samt komplexiteten i de invändningar s</w:t>
      </w:r>
      <w:r w:rsidRPr="0008481A">
        <w:t>om framfö</w:t>
      </w:r>
      <w:r w:rsidRPr="0008481A">
        <w:t>r</w:t>
      </w:r>
      <w:r w:rsidRPr="0008481A">
        <w:t>des.</w:t>
      </w:r>
    </w:p>
    <w:p w:rsidR="003B3271" w:rsidRPr="0008481A" w:rsidRDefault="003B3271">
      <w:r w:rsidRPr="0008481A">
        <w:t>Eugène Palmér yttrade följande.</w:t>
      </w:r>
    </w:p>
    <w:p w:rsidR="003B3271" w:rsidRPr="0008481A" w:rsidRDefault="003B3271">
      <w:pPr>
        <w:pStyle w:val="Citat"/>
      </w:pPr>
      <w:r w:rsidRPr="0008481A">
        <w:t>Jag har tagit del av enhetschefen Birgitta Rinaldos utredning och yttrande över M.D:s anmälan till JO. Det är ostridigt att det i de nu a</w:t>
      </w:r>
      <w:r w:rsidRPr="0008481A">
        <w:t>k</w:t>
      </w:r>
      <w:r w:rsidRPr="0008481A">
        <w:t>tuella ärendena tog ovanligt lång tid innan överklagandehandlingarna och kronofogde</w:t>
      </w:r>
      <w:r w:rsidRPr="0008481A">
        <w:softHyphen/>
        <w:t>myndighetens yttrande skickades till tingsrätten. Jag har eme</w:t>
      </w:r>
      <w:r w:rsidRPr="0008481A">
        <w:t>l</w:t>
      </w:r>
      <w:r w:rsidRPr="0008481A">
        <w:t>lertid efter diskussioner med indrivningsdirektören Eva Liedström Adler den uppfattningen att vår handläggningstid med hänsyn till arbetsbelastningen på specialindrivningssektionen vid den här tiden samt framför allt till ärendenas komplexitet inte var oförsvarligt lång. Därtill kommer att myndigheten – enligt min mening helt korrekt – bedömde att det inte var fr</w:t>
      </w:r>
      <w:r w:rsidRPr="0008481A">
        <w:t>åga om någon förturssituation och att tidsutdräkten inte förorsakade någon skada.</w:t>
      </w:r>
    </w:p>
    <w:p w:rsidR="003B3271" w:rsidRPr="0008481A" w:rsidRDefault="003B3271">
      <w:r w:rsidRPr="0008481A">
        <w:t>M.D. bereddes tillfälle att yttra sig över remissvaret.</w:t>
      </w:r>
    </w:p>
    <w:p w:rsidR="003B3271" w:rsidRPr="0008481A" w:rsidRDefault="003B3271">
      <w:r w:rsidRPr="0008481A">
        <w:t xml:space="preserve">I sitt beslut den 20 oktober 1998 anförde </w:t>
      </w:r>
      <w:r w:rsidRPr="0008481A">
        <w:rPr>
          <w:i/>
        </w:rPr>
        <w:t>JO Pennlöv</w:t>
      </w:r>
      <w:r w:rsidRPr="0008481A">
        <w:t xml:space="preserve"> följande.</w:t>
      </w:r>
    </w:p>
    <w:p w:rsidR="003B3271" w:rsidRPr="0008481A" w:rsidRDefault="003B3271">
      <w:pPr>
        <w:pStyle w:val="Rubrik3"/>
      </w:pPr>
      <w:r w:rsidRPr="0008481A">
        <w:t>Bedömning</w:t>
      </w:r>
    </w:p>
    <w:p w:rsidR="003B3271" w:rsidRPr="0008481A" w:rsidRDefault="003B3271">
      <w:r w:rsidRPr="0008481A">
        <w:t>När ett överklagande kommit in i rätt tid till kronofogdemyndigheten skall myndigheten så snart som möjligt sända överklagandet och övriga handlingar till ting</w:t>
      </w:r>
      <w:r w:rsidRPr="0008481A">
        <w:t>s</w:t>
      </w:r>
      <w:r w:rsidRPr="0008481A">
        <w:t>rätten (18 kap. 10 § utsökningsbalken). Kronofogdemyndigheten skall enligt 17 kap. 3 § utsökningsförordningen bifoga ett eget yttrande över överklagandet, om det inte kan anses obehövligt. Jag delar här den uppfattning som framskymtat i remissvaret, nämligen att överklagande och yttrande normalt skall översändas till tingsrätten inom en till två veckor från det att överklagandet kom in. Att inga y</w:t>
      </w:r>
      <w:r w:rsidRPr="0008481A">
        <w:t>t</w:t>
      </w:r>
      <w:r w:rsidRPr="0008481A">
        <w:t>terligare verkställighetsåtgärder är aktuella är enligt min mening inte ett godta</w:t>
      </w:r>
      <w:r w:rsidRPr="0008481A">
        <w:t>g</w:t>
      </w:r>
      <w:r w:rsidRPr="0008481A">
        <w:t>bart skäl för ytterligare ti</w:t>
      </w:r>
      <w:r w:rsidRPr="0008481A">
        <w:t>dsutdräkt. En annan sak är att kronofogdemyndigheten kan dröja något om det behövs med hänsyn till ifrågasatt självrättelse (se Walin–Gregow–Löfmarck, Utsökningsbalken, En kommentar, 3 u. s. 673). Jag vill i detta sammanhang även påminna om det särskilda skyndsamhetskrav som gäller i de fall där klaganden begärt i</w:t>
      </w:r>
      <w:r w:rsidRPr="0008481A">
        <w:t>n</w:t>
      </w:r>
      <w:r w:rsidRPr="0008481A">
        <w:t>hibition.</w:t>
      </w:r>
    </w:p>
    <w:p w:rsidR="003B3271" w:rsidRPr="0008481A" w:rsidRDefault="003B3271">
      <w:pPr>
        <w:pStyle w:val="Normaltindrag"/>
      </w:pPr>
      <w:r w:rsidRPr="0008481A">
        <w:t>Om myndigheten behöver mer tid än normalt för att skriva sitt yttrande skall, e</w:t>
      </w:r>
      <w:r w:rsidRPr="0008481A">
        <w:t>n</w:t>
      </w:r>
      <w:r w:rsidRPr="0008481A">
        <w:t>ligt min uppfattning, ändå alla handlingar i målet sändas till tings</w:t>
      </w:r>
      <w:r w:rsidRPr="0008481A">
        <w:softHyphen/>
        <w:t>rätten samtidigt som kronofogdemyndigheten begär anstånd med att komma in med yttrandet. Kronofogdemyndigheten borde således i det här aktuella fallet ha sänt över handlin</w:t>
      </w:r>
      <w:r w:rsidRPr="0008481A">
        <w:t>g</w:t>
      </w:r>
      <w:r w:rsidRPr="0008481A">
        <w:t>arna i målen till tingsrätten innan yttrandena skrevs.</w:t>
      </w:r>
    </w:p>
    <w:p w:rsidR="003B3271" w:rsidRPr="0008481A" w:rsidRDefault="003B3271">
      <w:pPr>
        <w:pStyle w:val="Normaltindrag"/>
      </w:pPr>
      <w:r w:rsidRPr="0008481A">
        <w:t>Det har inte kommit fram något annat som jag bör uttala mig om. Jag avslutar därmed ärendet.</w:t>
      </w:r>
    </w:p>
    <w:p w:rsidR="003B3271" w:rsidRPr="0008481A" w:rsidRDefault="003B3271">
      <w:pPr>
        <w:pStyle w:val="Rubrik1"/>
        <w:spacing w:before="0"/>
      </w:pPr>
      <w:r w:rsidRPr="0008481A">
        <w:br w:type="page"/>
        <w:t>Förvaltningsdomstolar</w:t>
      </w:r>
    </w:p>
    <w:p w:rsidR="003B3271" w:rsidRPr="0008481A" w:rsidRDefault="003B3271">
      <w:pPr>
        <w:pStyle w:val="Rubrik2"/>
      </w:pPr>
      <w:r w:rsidRPr="0008481A">
        <w:t>Fråga om en länsrätts beslut att inte pröva eventuella framtida yrka</w:t>
      </w:r>
      <w:r w:rsidRPr="0008481A">
        <w:t>n</w:t>
      </w:r>
      <w:r w:rsidRPr="0008481A">
        <w:t>den m.m.</w:t>
      </w:r>
    </w:p>
    <w:p w:rsidR="003B3271" w:rsidRPr="0008481A" w:rsidRDefault="003B3271">
      <w:r w:rsidRPr="0008481A">
        <w:t>(Dnr 710-1999)</w:t>
      </w:r>
    </w:p>
    <w:p w:rsidR="003B3271" w:rsidRPr="0008481A" w:rsidRDefault="003B3271">
      <w:pPr>
        <w:pStyle w:val="Rubrik3"/>
      </w:pPr>
      <w:r w:rsidRPr="0008481A">
        <w:t>Bakgrund</w:t>
      </w:r>
    </w:p>
    <w:p w:rsidR="003B3271" w:rsidRPr="0008481A" w:rsidRDefault="003B3271">
      <w:r w:rsidRPr="0008481A">
        <w:t>I en skrivelse till Länsrätten i Blekinge län den 4 februari 1999 yrkade B. förskott på ersättning för resa till en muntlig förhandling. Länsrätten med</w:t>
      </w:r>
      <w:r w:rsidRPr="0008481A">
        <w:softHyphen/>
        <w:t>delade den 10 februari 1999 ett beslut med följande l</w:t>
      </w:r>
      <w:r w:rsidRPr="0008481A">
        <w:t>y</w:t>
      </w:r>
      <w:r w:rsidRPr="0008481A">
        <w:t>delse.</w:t>
      </w:r>
    </w:p>
    <w:p w:rsidR="003B3271" w:rsidRPr="0008481A" w:rsidRDefault="003B3271">
      <w:pPr>
        <w:pStyle w:val="Citat"/>
      </w:pPr>
      <w:r w:rsidRPr="0008481A">
        <w:t>Länsrätten har tidigare prövat samma yrkande i samma mål. Mot bakgrund härav finner länsrätten hinder att ånyo pröva yrkandet om förskottsvis utbetal</w:t>
      </w:r>
      <w:r w:rsidRPr="0008481A">
        <w:softHyphen/>
        <w:t>ning av r</w:t>
      </w:r>
      <w:r w:rsidRPr="0008481A">
        <w:t>e</w:t>
      </w:r>
      <w:r w:rsidRPr="0008481A">
        <w:t xml:space="preserve">seersättning. </w:t>
      </w:r>
    </w:p>
    <w:p w:rsidR="003B3271" w:rsidRPr="0008481A" w:rsidRDefault="003B3271">
      <w:pPr>
        <w:pStyle w:val="Citatindrag"/>
      </w:pPr>
      <w:r w:rsidRPr="0008481A">
        <w:t>Eventuella framtida yrkanden från B. om samma fråga i nu aktuella mål kommer inte att medföra några åtgärder från länsrätten, mer än att skriften aktbilageras och läggs i akten i det aktuella m</w:t>
      </w:r>
      <w:r w:rsidRPr="0008481A">
        <w:t>å</w:t>
      </w:r>
      <w:r w:rsidRPr="0008481A">
        <w:t>let.</w:t>
      </w:r>
    </w:p>
    <w:p w:rsidR="003B3271" w:rsidRPr="0008481A" w:rsidRDefault="003B3271">
      <w:pPr>
        <w:pStyle w:val="Rubrik3"/>
      </w:pPr>
      <w:r w:rsidRPr="0008481A">
        <w:t>Anmälan</w:t>
      </w:r>
    </w:p>
    <w:p w:rsidR="003B3271" w:rsidRPr="0008481A" w:rsidRDefault="003B3271">
      <w:r w:rsidRPr="0008481A">
        <w:t>B. ifrågasatte i en anmälan till JO lagligheten i länsrättens b</w:t>
      </w:r>
      <w:r w:rsidRPr="0008481A">
        <w:t>e</w:t>
      </w:r>
      <w:r w:rsidRPr="0008481A">
        <w:t xml:space="preserve">slut. </w:t>
      </w:r>
    </w:p>
    <w:p w:rsidR="003B3271" w:rsidRPr="0008481A" w:rsidRDefault="003B3271">
      <w:pPr>
        <w:pStyle w:val="Rubrik3"/>
      </w:pPr>
      <w:r w:rsidRPr="0008481A">
        <w:t>Utredning</w:t>
      </w:r>
    </w:p>
    <w:p w:rsidR="003B3271" w:rsidRPr="0008481A" w:rsidRDefault="003B3271">
      <w:r w:rsidRPr="0008481A">
        <w:t xml:space="preserve">Anmälan remitterades till länsrätten för yttrande. </w:t>
      </w:r>
    </w:p>
    <w:p w:rsidR="003B3271" w:rsidRPr="0008481A" w:rsidRDefault="003B3271">
      <w:r w:rsidRPr="0008481A">
        <w:t>I remissvar den 31 mars 1999 anfördes bl.a. följande av assessorn Christer Hol</w:t>
      </w:r>
      <w:r w:rsidRPr="0008481A">
        <w:t>m</w:t>
      </w:r>
      <w:r w:rsidRPr="0008481A">
        <w:t>qvist, som fattat det aktuella b</w:t>
      </w:r>
      <w:r w:rsidRPr="0008481A">
        <w:t>e</w:t>
      </w:r>
      <w:r w:rsidRPr="0008481A">
        <w:t>slutet.</w:t>
      </w:r>
    </w:p>
    <w:p w:rsidR="003B3271" w:rsidRPr="0008481A" w:rsidRDefault="003B3271">
      <w:pPr>
        <w:pStyle w:val="Citat"/>
      </w:pPr>
      <w:r w:rsidRPr="0008481A">
        <w:t xml:space="preserve"> B. har, såvitt nu är i fråga, överklagat försäkringskassans beslut avseende bostadsbidrag, återbeta</w:t>
      </w:r>
      <w:r w:rsidRPr="0008481A">
        <w:t>l</w:t>
      </w:r>
      <w:r w:rsidRPr="0008481A">
        <w:t>ningsbelopp för underhållsstöd, umgängesavdrag underhållsstöd, förtidspension, handikappersät</w:t>
      </w:r>
      <w:r w:rsidRPr="0008481A">
        <w:t>t</w:t>
      </w:r>
      <w:r w:rsidRPr="0008481A">
        <w:t>ning samt eftergift på skuld för obetalt återbetalningsbelopp för underhållsstöd. Med anledning härav beslutade länsrätten, på B:s begäran, att hålla muntlig förhan</w:t>
      </w:r>
      <w:r w:rsidRPr="0008481A">
        <w:t>d</w:t>
      </w:r>
      <w:r w:rsidRPr="0008481A">
        <w:t>ling den 8 september 1998.</w:t>
      </w:r>
    </w:p>
    <w:p w:rsidR="003B3271" w:rsidRPr="0008481A" w:rsidRDefault="003B3271">
      <w:pPr>
        <w:pStyle w:val="Citatindrag"/>
      </w:pPr>
      <w:r w:rsidRPr="0008481A">
        <w:t>I skrivelse som inkom till länsrätten den 31 augusti 1998 yrkade B. förskottsvis utbetalning av reseersättning för bilresa. Länsrätten beslutade att avslå B:s framställan då det ej fanns skäl att medge förskottsvis utbetalnin</w:t>
      </w:r>
      <w:r w:rsidRPr="0008481A">
        <w:t>g av reseersättning. Med anledning av att B. överklagade nämnda beslut med</w:t>
      </w:r>
      <w:r w:rsidRPr="0008481A">
        <w:softHyphen/>
        <w:t>delade länsrätten B. att den tidigare utsatta muntliga förhandlingen ställts in. Anle</w:t>
      </w:r>
      <w:r w:rsidRPr="0008481A">
        <w:t>d</w:t>
      </w:r>
      <w:r w:rsidRPr="0008481A">
        <w:t>ningen därtill var att Kammarrätten i Jönköping skulle få skäligt rådrum att behandla överklaga</w:t>
      </w:r>
      <w:r w:rsidRPr="0008481A">
        <w:t>n</w:t>
      </w:r>
      <w:r w:rsidRPr="0008481A">
        <w:t>det av beslutet angående förskottsersät</w:t>
      </w:r>
      <w:r w:rsidRPr="0008481A">
        <w:t>t</w:t>
      </w:r>
      <w:r w:rsidRPr="0008481A">
        <w:softHyphen/>
        <w:t>ningen.</w:t>
      </w:r>
    </w:p>
    <w:p w:rsidR="003B3271" w:rsidRPr="0008481A" w:rsidRDefault="003B3271">
      <w:pPr>
        <w:pStyle w:val="Citatindrag"/>
        <w:rPr>
          <w:sz w:val="22"/>
        </w:rPr>
      </w:pPr>
      <w:r w:rsidRPr="0008481A">
        <w:t>Regeringsrätten beslutade den 14 januari 1999 att inte meddela B. pröv</w:t>
      </w:r>
      <w:r w:rsidRPr="0008481A">
        <w:softHyphen/>
        <w:t>ningstillstånd i mål om reseersättning. Kammarrättens i Jönköping beslut att inte meddela prövningstillstånd stod därför fast.</w:t>
      </w:r>
      <w:r w:rsidRPr="0008481A">
        <w:rPr>
          <w:sz w:val="22"/>
        </w:rPr>
        <w:t xml:space="preserve"> </w:t>
      </w:r>
    </w:p>
    <w:p w:rsidR="003B3271" w:rsidRPr="0008481A" w:rsidRDefault="003B3271">
      <w:pPr>
        <w:pStyle w:val="Citatindrag"/>
      </w:pPr>
      <w:r w:rsidRPr="0008481A">
        <w:t>Härefter bestämde länsrätten att ånyo kalla B. till muntlig förhandling. Den 2 februari 1999 inkom B. ånyo med yrkande om att länsrätten skulle bevilja honom förskott på reseersättning. Länsrätten avvisade B:s yrkande om reseersättning då denna fråga tidigare rättskraftigt avgjorts, bilaga 1. Upp</w:t>
      </w:r>
      <w:r w:rsidRPr="0008481A">
        <w:softHyphen/>
        <w:t>lysningsvis meddelade länsrätten även att den muntliga förhandlingen skulle hållas på plan</w:t>
      </w:r>
      <w:r w:rsidRPr="0008481A">
        <w:t>e</w:t>
      </w:r>
      <w:r w:rsidRPr="0008481A">
        <w:t>rad dag, dock efter önskemål från B. på annan tid. Ifråga</w:t>
      </w:r>
      <w:r w:rsidRPr="0008481A">
        <w:softHyphen/>
        <w:t>varande avvisningsbeslut har inte öve</w:t>
      </w:r>
      <w:r w:rsidRPr="0008481A">
        <w:t>r</w:t>
      </w:r>
      <w:r w:rsidRPr="0008481A">
        <w:t>klagats till kamma</w:t>
      </w:r>
      <w:r w:rsidRPr="0008481A">
        <w:t>r</w:t>
      </w:r>
      <w:r w:rsidRPr="0008481A">
        <w:t>rätten.</w:t>
      </w:r>
    </w:p>
    <w:p w:rsidR="003B3271" w:rsidRPr="0008481A" w:rsidRDefault="003B3271">
      <w:pPr>
        <w:pStyle w:val="Citatindrag"/>
      </w:pPr>
      <w:r w:rsidRPr="0008481A">
        <w:t>Ytterligare begäran har härefter inkommit till länsrätten om förskottsvis utbetalning av reseersät</w:t>
      </w:r>
      <w:r w:rsidRPr="0008481A">
        <w:t>t</w:t>
      </w:r>
      <w:r w:rsidRPr="0008481A">
        <w:t xml:space="preserve">ning. Med anledning härav fattade jag det nu aktuella beslutet den 10 februari 1999 att inte pröva B:s yrkande om förskottsvis utbetalning av reseersättning. Jag har även på B:s begäran översänt en skrivelse till honom för att förtydliga mitt beslut från den 10 februari 1999. Han har även erhållit en ny kallelse till den muntliga förhandlingen. Den 22 februari 1999 överklagade B. mitt beslut från den 10 februari till kammarrätten. Muntlig förhandling hölls som planerat den 16 mars och målen är nu slutligt </w:t>
      </w:r>
      <w:r w:rsidRPr="0008481A">
        <w:t>avgjorda. I samband med förhandlingen tillerkände länsrätten B. då begärd reseersät</w:t>
      </w:r>
      <w:r w:rsidRPr="0008481A">
        <w:t>t</w:t>
      </w:r>
      <w:r w:rsidRPr="0008481A">
        <w:t>ning.</w:t>
      </w:r>
    </w:p>
    <w:p w:rsidR="003B3271" w:rsidRPr="0008481A" w:rsidRDefault="003B3271">
      <w:r w:rsidRPr="0008481A">
        <w:t>Länsrätten (lagmannen Peter Rosén) yttrade därutöver följande.</w:t>
      </w:r>
    </w:p>
    <w:p w:rsidR="003B3271" w:rsidRPr="0008481A" w:rsidRDefault="003B3271">
      <w:pPr>
        <w:pStyle w:val="Citat"/>
      </w:pPr>
      <w:r w:rsidRPr="0008481A">
        <w:t>Det aktuella beslutet av den 10 februari 1999 innehåller två delar; dels ett avvisningsbeslut rörande B:s förnyade begäran om förskott på reseersättning, dels en upplysning att eventuella ytterligare yrkanden i samma sak inte skulle komma att föranleda några formliga beslut från länsrätten.</w:t>
      </w:r>
    </w:p>
    <w:p w:rsidR="003B3271" w:rsidRPr="0008481A" w:rsidRDefault="003B3271">
      <w:pPr>
        <w:pStyle w:val="Citatindrag"/>
      </w:pPr>
      <w:r w:rsidRPr="0008481A">
        <w:t xml:space="preserve">Det som möjligen skulle kunna ifrågasättas är det andra ledet av beslutet </w:t>
      </w:r>
      <w:r w:rsidRPr="0008481A">
        <w:rPr>
          <w:rFonts w:ascii="Garamond" w:hAnsi="Garamond"/>
        </w:rPr>
        <w:t>–</w:t>
      </w:r>
      <w:r w:rsidRPr="0008481A">
        <w:t xml:space="preserve"> upplysningen om hur länsrätten avsåg att behandla ev. framtida yrkanden i samma sak. Bakgrunden var givetvis att län</w:t>
      </w:r>
      <w:r w:rsidRPr="0008481A">
        <w:t>s</w:t>
      </w:r>
      <w:r w:rsidRPr="0008481A">
        <w:t xml:space="preserve">rätten </w:t>
      </w:r>
      <w:r w:rsidRPr="0008481A">
        <w:rPr>
          <w:rFonts w:ascii="Garamond" w:hAnsi="Garamond"/>
        </w:rPr>
        <w:t>–</w:t>
      </w:r>
      <w:r w:rsidRPr="0008481A">
        <w:t xml:space="preserve"> på goda grunder </w:t>
      </w:r>
      <w:r w:rsidRPr="0008481A">
        <w:rPr>
          <w:rFonts w:ascii="Garamond" w:hAnsi="Garamond"/>
        </w:rPr>
        <w:t>–</w:t>
      </w:r>
      <w:r w:rsidRPr="0008481A">
        <w:t xml:space="preserve"> ansåg att fortsatta prövningar av en fråga som tidigare rättskraftigt a</w:t>
      </w:r>
      <w:r w:rsidRPr="0008481A">
        <w:t>v</w:t>
      </w:r>
      <w:r w:rsidRPr="0008481A">
        <w:t>gjorts i målen inte skulle fylla något rimligt syfte samt att B:s agerande gränsade till ett rätt</w:t>
      </w:r>
      <w:r w:rsidRPr="0008481A">
        <w:t>e</w:t>
      </w:r>
      <w:r w:rsidRPr="0008481A">
        <w:t>gångsmissbruk. Med hänsyn härtill och då det framstod som ytterst befogat att inom rimlig tid få till stånd en slutlig prövning av målen, kan jag inte finna att länsrättens beslut av den 10 februa</w:t>
      </w:r>
      <w:r w:rsidRPr="0008481A">
        <w:t>ri 1999 skulle vara klander</w:t>
      </w:r>
      <w:r w:rsidRPr="0008481A">
        <w:softHyphen/>
        <w:t>värt i något avseende.</w:t>
      </w:r>
    </w:p>
    <w:p w:rsidR="003B3271" w:rsidRPr="0008481A" w:rsidRDefault="003B3271">
      <w:r w:rsidRPr="0008481A">
        <w:t xml:space="preserve">I beslut den 10 januari 2000 anförde </w:t>
      </w:r>
      <w:r w:rsidRPr="0008481A">
        <w:rPr>
          <w:i/>
        </w:rPr>
        <w:t>JO Berggren</w:t>
      </w:r>
      <w:r w:rsidRPr="0008481A">
        <w:t xml:space="preserve"> följande.</w:t>
      </w:r>
    </w:p>
    <w:p w:rsidR="003B3271" w:rsidRPr="0008481A" w:rsidRDefault="003B3271">
      <w:pPr>
        <w:pStyle w:val="Rubrik3"/>
      </w:pPr>
      <w:r w:rsidRPr="0008481A">
        <w:t>Bedömning</w:t>
      </w:r>
    </w:p>
    <w:p w:rsidR="003B3271" w:rsidRPr="0008481A" w:rsidRDefault="003B3271">
      <w:r w:rsidRPr="0008481A">
        <w:t>Av 34 § första stycket 7. förvaltningsprocesslagen (1971:291) framgår att talan får föras särskilt mot beslut, som ej innebär att målet avgörs, när rätten förordnat a</w:t>
      </w:r>
      <w:r w:rsidRPr="0008481A">
        <w:t>n</w:t>
      </w:r>
      <w:r w:rsidRPr="0008481A">
        <w:t>gående ersättning för någons medverkan i målet.</w:t>
      </w:r>
    </w:p>
    <w:p w:rsidR="003B3271" w:rsidRPr="0008481A" w:rsidRDefault="003B3271">
      <w:pPr>
        <w:pStyle w:val="Normaltindrag"/>
      </w:pPr>
      <w:r w:rsidRPr="0008481A">
        <w:t>Länsrätten avvisade den 3 februari 1999 B:s yrkande om förskott på reseersät</w:t>
      </w:r>
      <w:r w:rsidRPr="0008481A">
        <w:t>t</w:t>
      </w:r>
      <w:r w:rsidRPr="0008481A">
        <w:t>ning. Beslutet var försett med fullföljdshänvisning. Efter det att ett förnyat yrka</w:t>
      </w:r>
      <w:r w:rsidRPr="0008481A">
        <w:t>n</w:t>
      </w:r>
      <w:r w:rsidRPr="0008481A">
        <w:t>de inkommit från B. fattade länsrätten den 10 februari 1999 det nu aktuella besl</w:t>
      </w:r>
      <w:r w:rsidRPr="0008481A">
        <w:t>u</w:t>
      </w:r>
      <w:r w:rsidRPr="0008481A">
        <w:t>tet, som dock ej försågs med fullföljdshänvisning. Enligt vad som uppgetts i r</w:t>
      </w:r>
      <w:r w:rsidRPr="0008481A">
        <w:t>e</w:t>
      </w:r>
      <w:r w:rsidRPr="0008481A">
        <w:t>missvaret har dock beslutet överklagats, varför jag inte finner skäl att ytterligare kommentera saken.</w:t>
      </w:r>
    </w:p>
    <w:p w:rsidR="003B3271" w:rsidRPr="0008481A" w:rsidRDefault="003B3271">
      <w:pPr>
        <w:pStyle w:val="Normaltindrag"/>
      </w:pPr>
      <w:r w:rsidRPr="0008481A">
        <w:t xml:space="preserve">Beträffande utformningen av den andra delen av beslutet, där länsrätten uttalat sig om handläggningen av eventuella framtida yrkanden från B., vill jag anmärka att </w:t>
      </w:r>
      <w:r w:rsidRPr="0008481A">
        <w:t>en prövning skall äga rum, även om rätten anser att saken redan är rättskraftigt avgjord. Prövningen kan ske särskilt eller i samband med målets avgörande i h</w:t>
      </w:r>
      <w:r w:rsidRPr="0008481A">
        <w:t>u</w:t>
      </w:r>
      <w:r w:rsidRPr="0008481A">
        <w:t>vudsaken. Att utan åtgärd lägga skrivelser med yrkanden av denna art till han</w:t>
      </w:r>
      <w:r w:rsidRPr="0008481A">
        <w:t>d</w:t>
      </w:r>
      <w:r w:rsidRPr="0008481A">
        <w:t>lingarna är inte formellt ri</w:t>
      </w:r>
      <w:r w:rsidRPr="0008481A">
        <w:t>k</w:t>
      </w:r>
      <w:r w:rsidRPr="0008481A">
        <w:t>tigt.</w:t>
      </w:r>
    </w:p>
    <w:p w:rsidR="003B3271" w:rsidRPr="0008481A" w:rsidRDefault="003B3271">
      <w:pPr>
        <w:pStyle w:val="Rubrik1"/>
        <w:spacing w:before="0"/>
      </w:pPr>
      <w:r w:rsidRPr="0008481A">
        <w:br w:type="page"/>
        <w:t>Central statsförvaltning, arbetsmarknads</w:t>
      </w:r>
      <w:r w:rsidRPr="0008481A">
        <w:softHyphen/>
        <w:t>myndigheter m.m.</w:t>
      </w:r>
    </w:p>
    <w:p w:rsidR="003B3271" w:rsidRPr="0008481A" w:rsidRDefault="003B3271">
      <w:pPr>
        <w:pStyle w:val="Rubrik2"/>
      </w:pPr>
      <w:r w:rsidRPr="0008481A">
        <w:t>På JO:s initiativ upptagen fråga om bemyndigande förelegat för Arbetsmarknadsstyrelsen att utfärda vissa föreskrifter till för</w:t>
      </w:r>
      <w:r w:rsidRPr="0008481A">
        <w:softHyphen/>
        <w:t>ordningen (1987:405) om den arbetsmarknadspolitiska verk</w:t>
      </w:r>
      <w:r w:rsidRPr="0008481A">
        <w:softHyphen/>
        <w:t>samheten</w:t>
      </w:r>
    </w:p>
    <w:p w:rsidR="003B3271" w:rsidRPr="0008481A" w:rsidRDefault="003B3271">
      <w:r w:rsidRPr="0008481A">
        <w:t>(Dnr 1328-1999)</w:t>
      </w:r>
    </w:p>
    <w:p w:rsidR="003B3271" w:rsidRPr="0008481A" w:rsidRDefault="003B3271">
      <w:pPr>
        <w:pStyle w:val="Rubrik3"/>
      </w:pPr>
      <w:r w:rsidRPr="0008481A">
        <w:t>Initiativet</w:t>
      </w:r>
    </w:p>
    <w:p w:rsidR="003B3271" w:rsidRPr="0008481A" w:rsidRDefault="003B3271">
      <w:r w:rsidRPr="0008481A">
        <w:t>I ett tidigare ärende hos JO (dnr 2389-1997) behandlades klagomål mot arbetsförmedlingen i Vansbro, en enhet inom Länsarbetsnämnden i Dalarnas län. Saken gällde arbetsförmedlingens rätt att meddela arbetslöshetskassan att en person på grund av missbruksproblem enligt förmedlingens bedömning inte kunde anses stå till arbetsmarknadens förfogande. Klagomålen remitterades till Arbetsmarknadsstyrelsen (AMS) för utredning och yttrande. Av yttrandet skulle särskilt framgå med stöd av vilka bestämmelser integritet</w:t>
      </w:r>
      <w:r w:rsidRPr="0008481A">
        <w:t>skänsliga uppgifter kunde lämnas från arbetsförmedlingen till arbets</w:t>
      </w:r>
      <w:r w:rsidRPr="0008481A">
        <w:softHyphen/>
        <w:t xml:space="preserve">löshetskassan. </w:t>
      </w:r>
    </w:p>
    <w:p w:rsidR="003B3271" w:rsidRPr="0008481A" w:rsidRDefault="003B3271">
      <w:pPr>
        <w:pStyle w:val="Normaltindrag"/>
      </w:pPr>
      <w:r w:rsidRPr="0008481A">
        <w:t>AMS hänvisade i sitt remissvar till 4 § lagen (1973:370) om arbets</w:t>
      </w:r>
      <w:r w:rsidRPr="0008481A">
        <w:softHyphen/>
        <w:t>löshetsförsäkring (numera 9 § lagen, 1997:238, om arbetslöshets</w:t>
      </w:r>
      <w:r w:rsidRPr="0008481A">
        <w:softHyphen/>
        <w:t xml:space="preserve">försäkring), 12 § förordningen (1987:405) om den arbetsmarknadspolitiska verksamheten samt AMS föreskrifter för verkställighet av förordningen. </w:t>
      </w:r>
    </w:p>
    <w:p w:rsidR="003B3271" w:rsidRPr="0008481A" w:rsidRDefault="003B3271">
      <w:pPr>
        <w:pStyle w:val="Normaltindrag"/>
      </w:pPr>
      <w:r w:rsidRPr="0008481A">
        <w:t>AMS angav att 12 § förordningen om den arbetsmarknadspolitiska verksamheten hade följande lydelse.</w:t>
      </w:r>
    </w:p>
    <w:p w:rsidR="003B3271" w:rsidRPr="0008481A" w:rsidRDefault="003B3271">
      <w:pPr>
        <w:pStyle w:val="Citat"/>
      </w:pPr>
      <w:r w:rsidRPr="0008481A">
        <w:t>Om en arbetssökande som får eller begär ersättning från en arbets</w:t>
      </w:r>
      <w:r w:rsidRPr="0008481A">
        <w:softHyphen/>
        <w:t>lös</w:t>
      </w:r>
      <w:r w:rsidRPr="0008481A">
        <w:softHyphen/>
        <w:t>hetskassa eller kontant arbetsmarknadsstöd avvisar lämpligt arbete eller en arbetsmarknadspolitisk åtgärd som erbjuds sökanden, skall läns</w:t>
      </w:r>
      <w:r w:rsidRPr="0008481A">
        <w:softHyphen/>
        <w:t>arbets</w:t>
      </w:r>
      <w:r w:rsidRPr="0008481A">
        <w:softHyphen/>
        <w:t>nämnden underrätta arbetslöshetskassan och AMS.</w:t>
      </w:r>
    </w:p>
    <w:p w:rsidR="003B3271" w:rsidRPr="0008481A" w:rsidRDefault="003B3271">
      <w:pPr>
        <w:pStyle w:val="Citatindrag"/>
      </w:pPr>
      <w:r w:rsidRPr="0008481A">
        <w:t>Detsamma gäller om sökanden på annat sätt genom sitt uppträdande uppenbarligen har vållat att en anställning inte kommit till stånd.</w:t>
      </w:r>
    </w:p>
    <w:p w:rsidR="003B3271" w:rsidRPr="0008481A" w:rsidRDefault="003B3271">
      <w:r w:rsidRPr="0008481A">
        <w:t xml:space="preserve">Av AMS föreskrifter för länsarbetsnämnderna om ekonomiskt stöd vid arbetslöshet framgick att meddelande till arbetslöshetskassa skulle lämnas även </w:t>
      </w:r>
    </w:p>
    <w:p w:rsidR="003B3271" w:rsidRPr="0008481A" w:rsidRDefault="003B3271">
      <w:pPr>
        <w:pStyle w:val="Citat"/>
      </w:pPr>
      <w:r w:rsidRPr="0008481A">
        <w:t>– då förmedlingen har anledning att förmoda att sökanden inte vill eller kan anta något som helst arbete</w:t>
      </w:r>
    </w:p>
    <w:p w:rsidR="003B3271" w:rsidRPr="0008481A" w:rsidRDefault="003B3271">
      <w:r w:rsidRPr="0008481A">
        <w:t>I beslut i ärendet den 30 mars 1999 förklarade stf. JO Ekberg att – mot bakgrund av hur AMS hade utformat sina föreskrifter för länsarbets</w:t>
      </w:r>
      <w:r w:rsidRPr="0008481A">
        <w:softHyphen/>
        <w:t>nämnderna – någon kritik inte kunde riktas mot handläggaren på arbets</w:t>
      </w:r>
      <w:r w:rsidRPr="0008481A">
        <w:softHyphen/>
        <w:t xml:space="preserve">förmedlingen för det till arbetslöshetskassan lämnade meddelandet. I beslutet anfördes vidare. </w:t>
      </w:r>
    </w:p>
    <w:p w:rsidR="003B3271" w:rsidRPr="0008481A" w:rsidRDefault="003B3271">
      <w:pPr>
        <w:pStyle w:val="Citat"/>
      </w:pPr>
      <w:r w:rsidRPr="0008481A">
        <w:t xml:space="preserve">Jag vill i detta sammanhang nämna att jag finner det tveksamt om AMS föreskrifter i frågan om uppgiftslämnande håller sig inom de ramar som anges i 12 § förordningen (1987:405) om den arbetsmarknadspolitiska verksamheten. Jag avser att ta upp denna fråga till bedömning i ett särskilt ärende här. </w:t>
      </w:r>
    </w:p>
    <w:p w:rsidR="003B3271" w:rsidRPr="0008481A" w:rsidRDefault="003B3271">
      <w:r w:rsidRPr="0008481A">
        <w:t xml:space="preserve">Sedan ett sådant ärende lagts upp (dnr 1328-1999) inhämtades yttrande från AMS, som i svar den 17 maj 1999 anförde bl.a. följande (bilagorna här utelämnade). </w:t>
      </w:r>
    </w:p>
    <w:p w:rsidR="003B3271" w:rsidRPr="0008481A" w:rsidRDefault="003B3271">
      <w:pPr>
        <w:pStyle w:val="Citat"/>
      </w:pPr>
      <w:r w:rsidRPr="0008481A">
        <w:t>Den aktuella föreskriften har inget uttalat stöd i förordningen. Den har däremot stöd i praxis.</w:t>
      </w:r>
    </w:p>
    <w:p w:rsidR="003B3271" w:rsidRPr="0008481A" w:rsidRDefault="003B3271">
      <w:pPr>
        <w:pStyle w:val="Citatindrag"/>
      </w:pPr>
      <w:r w:rsidRPr="0008481A">
        <w:t>I Råd och anvisningar utfärdade av Kungl. Socialstyrelsen 1944 anges att arbets</w:t>
      </w:r>
      <w:r w:rsidRPr="0008481A">
        <w:softHyphen/>
        <w:t>förmedlingen skall avge rapport till arbetslöshetskassan i den beskrivna situa</w:t>
      </w:r>
      <w:r w:rsidRPr="0008481A">
        <w:softHyphen/>
        <w:t>tio</w:t>
      </w:r>
      <w:r w:rsidRPr="0008481A">
        <w:softHyphen/>
        <w:t>nen (bilaga 1). Det finns anledning tro att anvisningarna inte var nya 1944 utan hade gällt även dessförinnan. Rapport skulle avges på en särskild blankett, s.k. grönt kort. Avvisande av lämpligt arbete skulle rapporteras på en annan blankett. Nästan identiska anvisningar finns också i en handledning för arbetsförmedlingen utgiven 1952 av Arbetsmarknads</w:t>
      </w:r>
      <w:r w:rsidRPr="0008481A">
        <w:softHyphen/>
        <w:t>styrelsen (bilaga 2).</w:t>
      </w:r>
    </w:p>
    <w:p w:rsidR="003B3271" w:rsidRPr="0008481A" w:rsidRDefault="003B3271">
      <w:pPr>
        <w:pStyle w:val="Citatindrag"/>
      </w:pPr>
      <w:r w:rsidRPr="0008481A">
        <w:t>1968 återfinns den aktuella föreskriften i en hand</w:t>
      </w:r>
      <w:r w:rsidRPr="0008481A">
        <w:t>bok för arbets</w:t>
      </w:r>
      <w:r w:rsidRPr="0008481A">
        <w:softHyphen/>
        <w:t>förmedlingen (bilaga 3). – – –</w:t>
      </w:r>
    </w:p>
    <w:p w:rsidR="003B3271" w:rsidRPr="0008481A" w:rsidRDefault="003B3271">
      <w:pPr>
        <w:pStyle w:val="Citatindrag"/>
      </w:pPr>
      <w:r w:rsidRPr="0008481A">
        <w:t>I en utgåva av AMS-handboken från 15 juni 1982 finns föreskriften i samma ordalydelse som den ovan citerade (bilaga 4). I Af handboken finns den i en ut</w:t>
      </w:r>
      <w:r w:rsidRPr="0008481A">
        <w:softHyphen/>
        <w:t>gåva från 1 juli 1990 (bilaga 5).</w:t>
      </w:r>
    </w:p>
    <w:p w:rsidR="003B3271" w:rsidRPr="0008481A" w:rsidRDefault="003B3271">
      <w:pPr>
        <w:pStyle w:val="Citatindrag"/>
      </w:pPr>
      <w:r w:rsidRPr="0008481A">
        <w:t>I Af handboken från 1990 är den aktuella föreskriften inplacerad under 12 § för</w:t>
      </w:r>
      <w:r w:rsidRPr="0008481A">
        <w:softHyphen/>
        <w:t>ordningen om den arbetsmarknadspolitiska verksamheten (SFS 1987:405) som en AMS föreskrift till denna. Vilket bemyndigande som utgjort stöd för föreskrifter</w:t>
      </w:r>
      <w:r w:rsidRPr="0008481A">
        <w:softHyphen/>
        <w:t>na, anvisningarna etc. finns dock inte angivet i någon av de ovannämnda publi</w:t>
      </w:r>
      <w:r w:rsidRPr="0008481A">
        <w:softHyphen/>
        <w:t>ka</w:t>
      </w:r>
      <w:r w:rsidRPr="0008481A">
        <w:softHyphen/>
        <w:t>tionerna.</w:t>
      </w:r>
    </w:p>
    <w:p w:rsidR="003B3271" w:rsidRPr="0008481A" w:rsidRDefault="003B3271">
      <w:pPr>
        <w:pStyle w:val="Citatindrag"/>
      </w:pPr>
      <w:r w:rsidRPr="0008481A">
        <w:t>Ett särskilt dokument med föreskrifter för länsarbetsnämnderna – där den aktuella föreskriften ingår under punkt 9 – beslöts först den 19 juni 1995 (bilaga 6). Rubri</w:t>
      </w:r>
      <w:r w:rsidRPr="0008481A">
        <w:softHyphen/>
        <w:t>ken är ”Arbetsmarknadsstyrelsens föreskrifter för läns</w:t>
      </w:r>
      <w:r w:rsidRPr="0008481A">
        <w:softHyphen/>
        <w:t>arbetsnämnderna om ekono</w:t>
      </w:r>
      <w:r w:rsidRPr="0008481A">
        <w:softHyphen/>
        <w:t>miskt stöd vid arbetslöshet”. Föreskrifterna innehåller dels föreskrifter om arbets</w:t>
      </w:r>
      <w:r w:rsidRPr="0008481A">
        <w:softHyphen/>
        <w:t>lösa ersättningssökandes anmälan och kontakter med arbetsförmedlingen, dels om meddelande till arbetslöshets</w:t>
      </w:r>
      <w:r w:rsidRPr="0008481A">
        <w:softHyphen/>
        <w:t>kassa resp länsarbetsnämnd om avvisande av lämp</w:t>
      </w:r>
      <w:r w:rsidRPr="0008481A">
        <w:softHyphen/>
        <w:t>ligt arbete m.m. Det anges att föreskrifterna utges med stöd av 29 § förordningen (1988:1400) om arbetslöshetsförsäkring och 13 § förordningen (1994:933) om kon</w:t>
      </w:r>
      <w:r w:rsidRPr="0008481A">
        <w:softHyphen/>
        <w:t>tant arbetsmarknadsstöd. Enli</w:t>
      </w:r>
      <w:r w:rsidRPr="0008481A">
        <w:t xml:space="preserve">gt AMS mening är detta korrekt vad avser den del som rör anmälan på arbetsförmedlingen. Denna fråga regleras nämligen i lagen (1973:370) om arbetslöshetsförsäkring 4 § första stycket 3. och lagen (1973:371) om kontant arbetsmarknadsstöd 4 § första stycket 4. När det gäller den del som rör meddelande om avvisat arbete m.m. borde 23 § förordningen (1987:405) om den arbetsmarknadspolitiska verksamheten ha angivits som stöd. </w:t>
      </w:r>
    </w:p>
    <w:p w:rsidR="003B3271" w:rsidRPr="0008481A" w:rsidRDefault="003B3271">
      <w:pPr>
        <w:pStyle w:val="Citatindrag"/>
      </w:pPr>
      <w:r w:rsidRPr="0008481A">
        <w:t>Det är riktigt att den situation som beskrivs i den aktuella föreskriften inte finns i</w:t>
      </w:r>
      <w:r w:rsidRPr="0008481A">
        <w:t xml:space="preserve"> 12 § förordningen (1987:405) om den arbetsmarknadspolitiska verksamheten. Samma gäller beträffande förordningens föregångare Kungl. Maj:ts kungörelse om den offentliga arbetsförmedlingen Nr 983 1947 (bilaga 7) och Kungl. Maj:ts Arbetsmarknadskungörelse nr 368 1966 (bilaga 8).</w:t>
      </w:r>
    </w:p>
    <w:p w:rsidR="003B3271" w:rsidRPr="0008481A" w:rsidRDefault="003B3271">
      <w:pPr>
        <w:pStyle w:val="Citatindrag"/>
        <w:rPr>
          <w:sz w:val="20"/>
        </w:rPr>
      </w:pPr>
      <w:r w:rsidRPr="0008481A">
        <w:rPr>
          <w:sz w:val="20"/>
        </w:rPr>
        <w:t>Ursprunget och stödet för den ovan beskrivna praxisen har inte kunnat beläggas. Det kan dock konstateras att den är fast, klar och långvarig. Enligt AMS mening har den därmed fått en dignitet jämbördig med stadgandet i 12 § förordning</w:t>
      </w:r>
      <w:r w:rsidRPr="0008481A">
        <w:rPr>
          <w:sz w:val="20"/>
        </w:rPr>
        <w:t>en om den arbetsmarknadspolitiska verk</w:t>
      </w:r>
      <w:r w:rsidRPr="0008481A">
        <w:rPr>
          <w:sz w:val="20"/>
        </w:rPr>
        <w:softHyphen/>
        <w:t>samheten. Den kan inte utan vidare frångås.</w:t>
      </w:r>
    </w:p>
    <w:p w:rsidR="003B3271" w:rsidRPr="0008481A" w:rsidRDefault="003B3271">
      <w:pPr>
        <w:pStyle w:val="Citatindrag"/>
      </w:pPr>
      <w:r w:rsidRPr="0008481A">
        <w:t>Avstängningar med anledning av meddelanden avgivna enligt den beskrivna praxi</w:t>
      </w:r>
      <w:r w:rsidRPr="0008481A">
        <w:softHyphen/>
        <w:t>sen har flera gånger överklagats. Som exempel bifogas fyra domar från Försäkringsöverdomstolen. Domstolen har inte haft några invändningar av formellt slag mot meddelandena.</w:t>
      </w:r>
    </w:p>
    <w:p w:rsidR="003B3271" w:rsidRPr="0008481A" w:rsidRDefault="003B3271">
      <w:pPr>
        <w:pStyle w:val="Citatindrag"/>
      </w:pPr>
      <w:r w:rsidRPr="0008481A">
        <w:t>AMS har aktualiserat frågan om författningsstöd för den beskrivna praxisen hos den arbetsgrupp inom Näringsdepartementet som skall se över vissa frågor beträffande arbetslöshetsförsäkringen.</w:t>
      </w:r>
    </w:p>
    <w:p w:rsidR="003B3271" w:rsidRPr="0008481A" w:rsidRDefault="003B3271">
      <w:r w:rsidRPr="0008481A">
        <w:t xml:space="preserve">I beslut den 15 februari 2000 anförde </w:t>
      </w:r>
      <w:r w:rsidRPr="0008481A">
        <w:rPr>
          <w:i/>
        </w:rPr>
        <w:t>stf. JO Ekberg</w:t>
      </w:r>
      <w:r w:rsidRPr="0008481A">
        <w:t xml:space="preserve"> följande.</w:t>
      </w:r>
    </w:p>
    <w:p w:rsidR="003B3271" w:rsidRPr="0008481A" w:rsidRDefault="003B3271">
      <w:r w:rsidRPr="0008481A">
        <w:t>Förordningen (1987:405) om den arbetsmarknadspolitiska verksamheten innehåller allmänna föreskrifter för den arbetsmarknadspolitiska verksam</w:t>
      </w:r>
      <w:r w:rsidRPr="0008481A">
        <w:softHyphen/>
        <w:t xml:space="preserve">heten inom Arbetsmarknadsverket. Bland dessa återfinns i 12 § föreskrifter för länsarbetsnämnden/arbetsförmedlingen att underrätta arbetslöshetskassan när en arbetssökande avvisat lämpligt arbete eller en arbetsmarknadspolitisk åtgärd som erbjuds sökanden eller när en sökande på annat sätt genom sitt uppträdande uppenbarligen har vållat att en anställning inte kommit till stånd. I 23 § föreskrivs att AMS får meddela de ytterligare föreskrifter som behövs för att tillämpa förordningen. </w:t>
      </w:r>
    </w:p>
    <w:p w:rsidR="003B3271" w:rsidRPr="0008481A" w:rsidRDefault="003B3271">
      <w:pPr>
        <w:pStyle w:val="Normaltindrag"/>
      </w:pPr>
      <w:r w:rsidRPr="0008481A">
        <w:t>Med stöd av bemyndig</w:t>
      </w:r>
      <w:r w:rsidRPr="0008481A">
        <w:t>andet i 23 § har AMS utfärdat föreskrifter för länsarbetsnämnderna om ekonomiskt stöd vid arbetslöshet den 19 juni 1995, vilka senare ersatts med nya föreskrifter den 2 januari 1998. Vid båda tillfällena har AMS förbisett att i ingressen till föreskrifterna hänvisa till bemyndigandet i 23 § förordningen. AMS har i sitt remissvar angivit att så borde ha skett. Jag utgår från att AMS kommer att rätta till denna brist så snart som möjligt.</w:t>
      </w:r>
    </w:p>
    <w:p w:rsidR="003B3271" w:rsidRPr="0008481A" w:rsidRDefault="003B3271">
      <w:pPr>
        <w:pStyle w:val="Normaltindrag"/>
      </w:pPr>
      <w:r w:rsidRPr="0008481A">
        <w:t>I föreskrifterna har AMS dels återgivit innehållet i eller innebörden a</w:t>
      </w:r>
      <w:r w:rsidRPr="0008481A">
        <w:t xml:space="preserve">v de i 12 § förordningen intagna anmälningsfallen, dels lagt till åtminstone ett ytterligare anmälningsfall, nämligen det fall då arbetsförmedlingen har anledning att förmoda att sökanden inte vill eller kan anta något som helst arbete. Anledningen till tillägget är att en arbetssökande i en sådan situation inte anses stå till arbetsmarknadens förfogande och därigenom inte uppfyller ett av de grundläggande kraven för rätt till arbetslöshetsersättning. </w:t>
      </w:r>
    </w:p>
    <w:p w:rsidR="003B3271" w:rsidRPr="0008481A" w:rsidRDefault="003B3271">
      <w:pPr>
        <w:pStyle w:val="Normaltindrag"/>
      </w:pPr>
      <w:r w:rsidRPr="0008481A">
        <w:t xml:space="preserve">Som framgår av remissvaret har en anmälningsskyldighet </w:t>
      </w:r>
      <w:r w:rsidRPr="0008481A">
        <w:t xml:space="preserve">av sistnämnda slag i praktiken förelegat sedan mycket lång tid tillbaka och kan anses ha goda sakliga skäl för sig. Icke desto mindre uppkommer frågan huruvida en sådan anmälningsskyldighet kan grundas endast på en föreskrift utfärdad i administrativ ordning med stöd av ett bemyndigande i en förordning att utfärda verkställighetsföreskrifter. Det skulle vara invändningsfritt att göra så om man kan uppfatta föreskriften som en utfyllnad av bestämmelserna i 12 § förordningen med uteslutande syfte att närmare </w:t>
      </w:r>
      <w:r w:rsidRPr="0008481A">
        <w:t xml:space="preserve">beskriva hur dessa bestämmelser skall tillämpas. Vissa av AMS föreskrifter skulle kunna anses vara av den karaktären, t.ex. föreskriften att meddelande skall sändas om sökanden lämnat förmedlingen eller på annat sätt hindrat förmedlaren från att ge en fullständig anvisning till arbete eller arbetsmarknadspolitisk åtgärd. Genom ett sådant beteende kan det sägas att sökanden visat att han/hon inte vill – åtminstone för stunden – anta något arbete. </w:t>
      </w:r>
    </w:p>
    <w:p w:rsidR="003B3271" w:rsidRPr="0008481A" w:rsidRDefault="003B3271">
      <w:pPr>
        <w:pStyle w:val="Normaltindrag"/>
      </w:pPr>
      <w:r w:rsidRPr="0008481A">
        <w:t>Annorlunda förhåller det sig med föreskriften att anmälan ock</w:t>
      </w:r>
      <w:r w:rsidRPr="0008481A">
        <w:t xml:space="preserve">så skall göras när en sökande enligt förmedlingens mening inte vill eller kan anta något som helst arbete. Dit hör bl.a. det fallet där sökanden på grund av missbruksproblem inte kan anses stå till arbetsmarknadens förfogande. Tillämpningen av den föreskriften är mer komplicerad eftersom den kräver en bedömning i sak av en sökandes arbetskapacitet och inte – som i övriga anmälningsfall – endast ett konstaterande att en viss faktisk händelse inträffat. Denna föreskrift kan som jag ser det knappast uppfattas </w:t>
      </w:r>
      <w:r w:rsidRPr="0008481A">
        <w:t>som ett utflöde av de ganska preciserade anmälningsfall som anges i 12 § för</w:t>
      </w:r>
      <w:r w:rsidRPr="0008481A">
        <w:softHyphen/>
        <w:t>ordningen och ses som en reglering av den praktiska tillämpningen av dessa. Närmast till hands är att uppfatta föreskriften som en fristående komplettering, innebärande en utvidgad anmälningsskyldighet för läns</w:t>
      </w:r>
      <w:r w:rsidRPr="0008481A">
        <w:softHyphen/>
        <w:t>arbets</w:t>
      </w:r>
      <w:r w:rsidRPr="0008481A">
        <w:softHyphen/>
        <w:t xml:space="preserve">nämnderna. Till de fall som anges i förordningen läggs således ytterligare ett fall i AMS föreskrifter. En föreskrift med sådan inriktning kan inte uppfattas som en verkställighetsföreskrift. AMS har därför inte haft </w:t>
      </w:r>
      <w:r w:rsidRPr="0008481A">
        <w:t>stöd i 23 § förordningen för att utfärda föreskriften.</w:t>
      </w:r>
    </w:p>
    <w:p w:rsidR="003B3271" w:rsidRPr="0008481A" w:rsidRDefault="003B3271">
      <w:pPr>
        <w:pStyle w:val="Normaltindrag"/>
      </w:pPr>
      <w:r w:rsidRPr="0008481A">
        <w:t>I sammanhanget vill jag erinra om uttalandet i den av Statsråds</w:t>
      </w:r>
      <w:r w:rsidRPr="0008481A">
        <w:softHyphen/>
        <w:t>bered</w:t>
      </w:r>
      <w:r w:rsidRPr="0008481A">
        <w:softHyphen/>
        <w:t>ningen utgivna Handboken i författningsskrivning Myndigheternas före</w:t>
      </w:r>
      <w:r w:rsidRPr="0008481A">
        <w:softHyphen/>
        <w:t>skrifter att en myndighetsförfattning i princip bara skall innehålla myndig</w:t>
      </w:r>
      <w:r w:rsidRPr="0008481A">
        <w:softHyphen/>
        <w:t xml:space="preserve">hetens egna föreskrifter. Något återgivande av innehållet i den aktuella lagen eller förordningen skall inte ske. Hade AMS följt denna anvisning – vilket AMS inte har gjort – hade AMS säkerligen vid utarbetandet av sina föreskrifter uppmärksammat att den – såvitt nu är i fråga –  gått utöver sitt bemyndigande i förordningen. </w:t>
      </w:r>
    </w:p>
    <w:p w:rsidR="003B3271" w:rsidRPr="0008481A" w:rsidRDefault="003B3271">
      <w:pPr>
        <w:pStyle w:val="Normaltindrag"/>
      </w:pPr>
      <w:r w:rsidRPr="0008481A">
        <w:t>Av AMS yttrande framgår att sakl</w:t>
      </w:r>
      <w:r w:rsidRPr="0008481A">
        <w:t>iga skäl kan finnas för att bibehålla den nuvarande anmälningsskyldigheten fullt ut i enlighet med vad AMS har föreskrivit. Detta måste i så fall ske på annat sätt än genom en myndig</w:t>
      </w:r>
      <w:r w:rsidRPr="0008481A">
        <w:softHyphen/>
        <w:t>hetsförfattning. I första hand kan man tänka sig en komplettering av 12 § förordningen om den arbetsmarknadspolitiska verksamheten. Med anledning härav överlämnar jag en kopia av detta beslut till Regerings</w:t>
      </w:r>
      <w:r w:rsidRPr="0008481A">
        <w:softHyphen/>
        <w:t>kansliet (Näringsdepartementet).</w:t>
      </w:r>
    </w:p>
    <w:p w:rsidR="003B3271" w:rsidRPr="0008481A" w:rsidRDefault="003B3271">
      <w:pPr>
        <w:pStyle w:val="Rubrik2"/>
      </w:pPr>
      <w:r w:rsidRPr="0008481A">
        <w:t>Fråga om myndighetsutövning och därmed kommunicerings</w:t>
      </w:r>
      <w:r w:rsidRPr="0008481A">
        <w:softHyphen/>
        <w:t>skyldighet förelegat hos Arbetsmarknadsstyrelsen i ett ärende rörande åtalsanmälan</w:t>
      </w:r>
    </w:p>
    <w:p w:rsidR="003B3271" w:rsidRPr="0008481A" w:rsidRDefault="003B3271">
      <w:r w:rsidRPr="0008481A">
        <w:t>(Dnr 2404-1998)</w:t>
      </w:r>
    </w:p>
    <w:p w:rsidR="003B3271" w:rsidRPr="0008481A" w:rsidRDefault="003B3271">
      <w:pPr>
        <w:pStyle w:val="Rubrik3"/>
      </w:pPr>
      <w:r w:rsidRPr="0008481A">
        <w:t>Anmälan</w:t>
      </w:r>
    </w:p>
    <w:p w:rsidR="003B3271" w:rsidRPr="0008481A" w:rsidRDefault="003B3271">
      <w:r w:rsidRPr="0008481A">
        <w:t>Lennart Andersson inkom i egenskap av ombud för H.J. med en anmälan mot förre chefsjuristen vid Arbetsmarknadsstyrelsen (AMS), Anders Kruse. Lennart Andersson klagade på att Anders Kruse bedrivit ”förundersökning utan författningsstöd” rörande H.J. och inte informerat denne om att en ut</w:t>
      </w:r>
      <w:r w:rsidRPr="0008481A">
        <w:softHyphen/>
        <w:t>redning pågick. Han var också missnöjd med att uppgifterna om H.J. sammanställ</w:t>
      </w:r>
      <w:r w:rsidRPr="0008481A">
        <w:softHyphen/>
        <w:t>des i en åtalsanmälan som till förvillelse liknade en stämnings</w:t>
      </w:r>
      <w:r w:rsidRPr="0008481A">
        <w:softHyphen/>
        <w:t>ansökan och gav ett vilseledande intryck av att sakomständig</w:t>
      </w:r>
      <w:r w:rsidRPr="0008481A">
        <w:softHyphen/>
        <w:t>heterna var till alla delar klarlagda.</w:t>
      </w:r>
    </w:p>
    <w:p w:rsidR="003B3271" w:rsidRPr="0008481A" w:rsidRDefault="003B3271">
      <w:pPr>
        <w:pStyle w:val="Normaltindrag"/>
      </w:pPr>
      <w:r w:rsidRPr="0008481A">
        <w:t>Av anmälan framgick i huvudsak följande. I sin anställning vid en länsarbetsnämnd skötte H.J. handläggningen av ansökningar från företag om ekonomiskt stöd för kompetensutveckling. I januari 1995 fick han veta att denna verksamhet skulle upphöra under 1997. Bl.a. av d</w:t>
      </w:r>
      <w:r w:rsidRPr="0008481A">
        <w:t>etta skäl planerade han att starta ett eget företag. Han fick möjlighet att förbereda sin verksamhet tillsammans med ett företag som han kommit i kontakt med i samband med sitt arbete vid länsarbetsnämnden. AMS missförstod dock dessa åtgärder och började i hemlighet utreda hans förhållanden. H.J. tillfrågades i augusti 1996 om han hade anmält bisyssla till myndigheten men fick ingen information om vad som pågick. Han fick kännedom om AMS agerande först då han i en morgontidning läste att åtal väckts mot hon</w:t>
      </w:r>
      <w:r w:rsidRPr="0008481A">
        <w:t>om.</w:t>
      </w:r>
    </w:p>
    <w:p w:rsidR="003B3271" w:rsidRPr="0008481A" w:rsidRDefault="003B3271">
      <w:pPr>
        <w:pStyle w:val="Rubrik3"/>
      </w:pPr>
      <w:r w:rsidRPr="0008481A">
        <w:t>Utredning</w:t>
      </w:r>
    </w:p>
    <w:p w:rsidR="003B3271" w:rsidRPr="0008481A" w:rsidRDefault="003B3271">
      <w:r w:rsidRPr="0008481A">
        <w:t>Efter att muntliga upplysningar inhämtats remitterades ärendet för yttrande till AMS. Anders Kruse redogjorde i remissvaret för sin handläggning och uppgav därvid bl.a. följande.</w:t>
      </w:r>
    </w:p>
    <w:p w:rsidR="003B3271" w:rsidRPr="0008481A" w:rsidRDefault="003B3271">
      <w:pPr>
        <w:pStyle w:val="Citat"/>
      </w:pPr>
      <w:r w:rsidRPr="0008481A">
        <w:t>Jag är chef för AMS Juridiska enhet. Den juridiska enheten har enligt AMS organisationsplan samt ansvars- och beslutsordning ansvar för bl.a. perso</w:t>
      </w:r>
      <w:r w:rsidRPr="0008481A">
        <w:softHyphen/>
        <w:t>nalansvarsfrågor, d.v.s. ärenden som ska prövas i AMS personalansvars</w:t>
      </w:r>
      <w:r w:rsidRPr="0008481A">
        <w:softHyphen/>
        <w:t>nämnd. Personalansvarsnämnden prövar frågor som avses i 19 § verks</w:t>
      </w:r>
      <w:r w:rsidRPr="0008481A">
        <w:softHyphen/>
        <w:t>förordningen (1995:1322) för anställda inom Arbetsmarknadsverket (12 § in</w:t>
      </w:r>
      <w:r w:rsidRPr="0008481A">
        <w:softHyphen/>
        <w:t>struktionen /1988:1139/ för Arbetsmarknadsverket). Enligt 19 § verksför</w:t>
      </w:r>
      <w:r w:rsidRPr="0008481A">
        <w:softHyphen/>
        <w:t>ordningen skall personalansvarsnämnden pröva bl.a. frågor om skiljande från anställning på grund av personliga förhållanden samt åtalsanmälan.</w:t>
      </w:r>
    </w:p>
    <w:p w:rsidR="003B3271" w:rsidRPr="0008481A" w:rsidRDefault="003B3271">
      <w:pPr>
        <w:pStyle w:val="Citatindrag"/>
      </w:pPr>
      <w:r w:rsidRPr="0008481A">
        <w:t>Enligt 2 § arbetsordningen för AMS, som har beslutats av AMS styrelse, är jag också l</w:t>
      </w:r>
      <w:r w:rsidRPr="0008481A">
        <w:t>edamot av personalansvarsnämnden.</w:t>
      </w:r>
    </w:p>
    <w:p w:rsidR="003B3271" w:rsidRPr="0008481A" w:rsidRDefault="003B3271">
      <w:pPr>
        <w:pStyle w:val="Citatindrag"/>
      </w:pPr>
      <w:r w:rsidRPr="0008481A">
        <w:t>Jag kom första gången i kontakt med ärendet rörande H.J. genom en skri</w:t>
      </w:r>
      <w:r w:rsidRPr="0008481A">
        <w:softHyphen/>
        <w:t>velse från länsarbetsdirektören i dåvarande Malmöhus län Gert Korths-Aspegren och internrevisorn Gert Svensson, som kom till AMS den 9 okto</w:t>
      </w:r>
      <w:r w:rsidRPr="0008481A">
        <w:softHyphen/>
        <w:t>ber 1996  – – – . I skrivelsen uttalade Länsarbetsnämnden att dess internre</w:t>
      </w:r>
      <w:r w:rsidRPr="0008481A">
        <w:softHyphen/>
        <w:t>vision rapporterat om misstänkta oegentligheter med två inblandade företag. Det framfördes också att granskningen omfattat omständigheterna kring en anställd handläggare och misstanke om hans delaktighet. Denne handläg</w:t>
      </w:r>
      <w:r w:rsidRPr="0008481A">
        <w:softHyphen/>
        <w:t>gare var H.J. Det framgick vidare av skrivelsen att H.J. sedan den 2 septem</w:t>
      </w:r>
      <w:r w:rsidRPr="0008481A">
        <w:softHyphen/>
      </w:r>
      <w:r w:rsidRPr="0008481A">
        <w:t>ber 1996 hade andra arbetsuppgifter. Till skrivelsen fogades två pärmar med ett omfattande utredningsmaterial från internrevisionen  – – –.</w:t>
      </w:r>
    </w:p>
    <w:p w:rsidR="003B3271" w:rsidRPr="0008481A" w:rsidRDefault="003B3271">
      <w:pPr>
        <w:pStyle w:val="Citatindrag"/>
      </w:pPr>
      <w:r w:rsidRPr="0008481A">
        <w:t>Enligt min bedömning fanns det i det översända materialet skäl för misstan</w:t>
      </w:r>
      <w:r w:rsidRPr="0008481A">
        <w:softHyphen/>
        <w:t>kar om att H.J. kunde ha gjort sig skyldig till brott. Jag samrådde därför med personalansvarsnämndens ordförande, som är AMS general</w:t>
      </w:r>
      <w:r w:rsidRPr="0008481A">
        <w:softHyphen/>
        <w:t>direktör, om en tidpunkt för sammanträde i personalansvarsnämnden som var den instans som skulle avgöra om misstankarna skulle leda till en åtals</w:t>
      </w:r>
      <w:r w:rsidRPr="0008481A">
        <w:softHyphen/>
        <w:t>anmälan eller om de inte räckte till för detta. Förutsättningarna för en åtalsanmälan anges i 22 § lagen (1994:260) om offentlig anställning på så sätt att den som är skäligen misstänkt för att i sin anställning ha begått brott ska</w:t>
      </w:r>
      <w:r w:rsidRPr="0008481A">
        <w:t>ll anmälas till åtal, om misstanken avser 1) brott enligt 20 kap. 1 och 2 §§ samt 3 § första stycket brottsbalken, 2) annat brott, om det kan antas föranleda någon annan påföljd än böter.</w:t>
      </w:r>
    </w:p>
    <w:p w:rsidR="003B3271" w:rsidRPr="0008481A" w:rsidRDefault="003B3271">
      <w:pPr>
        <w:pStyle w:val="Citatindrag"/>
      </w:pPr>
      <w:r w:rsidRPr="0008481A">
        <w:t>Den 10 oktober 1996 uppdrog jag åt min sekreterare att kalla personalan</w:t>
      </w:r>
      <w:r w:rsidRPr="0008481A">
        <w:softHyphen/>
        <w:t>svarsnämnden till sammanträde den 18 oktober 1996 för att behandla frågan om ifrågasatta personaladministrativa åtgärder beträffande H.J. Formule</w:t>
      </w:r>
      <w:r w:rsidRPr="0008481A">
        <w:softHyphen/>
        <w:t>ringen var den som AMS brukar använda beträffande ärenden som ska be</w:t>
      </w:r>
      <w:r w:rsidRPr="0008481A">
        <w:softHyphen/>
        <w:t>handlas i personalansvarsnämnden.</w:t>
      </w:r>
    </w:p>
    <w:p w:rsidR="003B3271" w:rsidRPr="0008481A" w:rsidRDefault="003B3271">
      <w:pPr>
        <w:pStyle w:val="Citatindrag"/>
      </w:pPr>
      <w:r w:rsidRPr="0008481A">
        <w:t>Inför sammanträdet i personalansvarsnämnden upprättade jag den 15 okto</w:t>
      </w:r>
      <w:r w:rsidRPr="0008481A">
        <w:softHyphen/>
        <w:t>ber 1996 en PM som sammanfattade misstankarna mot H.J. enligt internre</w:t>
      </w:r>
      <w:r w:rsidRPr="0008481A">
        <w:softHyphen/>
        <w:t>visionens utredning. I ärendet kom ytterligare utredning in från revisorn Gert Svensson. Eftersom misstankarna bl.a. innefattade att H.J. hade haft otillbörliga affärskontakter i sin anställning inom ramen för ett privat före</w:t>
      </w:r>
      <w:r w:rsidRPr="0008481A">
        <w:softHyphen/>
        <w:t>tag skaffade jag också in registreringsbevis och bolagshandlingar rörande det företaget från Patent- och Registreringsverket.</w:t>
      </w:r>
    </w:p>
    <w:p w:rsidR="003B3271" w:rsidRPr="0008481A" w:rsidRDefault="003B3271">
      <w:pPr>
        <w:pStyle w:val="Citatindrag"/>
      </w:pPr>
      <w:r w:rsidRPr="0008481A">
        <w:t>Härefter föredrog jag ärendet vid personalansvarsnämndens sammanträde den 18 oktober 199</w:t>
      </w:r>
      <w:r w:rsidRPr="0008481A">
        <w:t>6. I enlighet med min PM ansåg jag att H.J. var skäligen misstänkt för brott. Personalansvarsnämnden beslutade också enhälligt en</w:t>
      </w:r>
      <w:r w:rsidRPr="0008481A">
        <w:softHyphen/>
        <w:t>ligt mitt förslag att anmäla H.J. till åtal såsom skäligen misstänkt för mut</w:t>
      </w:r>
      <w:r w:rsidRPr="0008481A">
        <w:softHyphen/>
        <w:t>brott, tjänstefel, urkundsförfalskning och medhjälp till bedrägeri.</w:t>
      </w:r>
    </w:p>
    <w:p w:rsidR="003B3271" w:rsidRPr="0008481A" w:rsidRDefault="003B3271">
      <w:pPr>
        <w:pStyle w:val="Citatindrag"/>
      </w:pPr>
      <w:r w:rsidRPr="0008481A">
        <w:rPr>
          <w:sz w:val="20"/>
        </w:rPr>
        <w:t>Samma dag den 18 oktober 1996 skickade jag åtalsanmälan till åklagar</w:t>
      </w:r>
      <w:r w:rsidRPr="0008481A">
        <w:rPr>
          <w:sz w:val="20"/>
        </w:rPr>
        <w:softHyphen/>
      </w:r>
      <w:r w:rsidRPr="0008481A">
        <w:rPr>
          <w:sz w:val="20"/>
        </w:rPr>
        <w:softHyphen/>
        <w:t>myndigheten i Malmö. Jag utformade åtalsanmälan i allt väsent</w:t>
      </w:r>
      <w:r w:rsidRPr="0008481A">
        <w:rPr>
          <w:sz w:val="20"/>
        </w:rPr>
        <w:softHyphen/>
        <w:t>ligt i enlig</w:t>
      </w:r>
      <w:r w:rsidRPr="0008481A">
        <w:rPr>
          <w:sz w:val="20"/>
        </w:rPr>
        <w:softHyphen/>
        <w:t>het med den PM som jag upprättat och föredragit för personal</w:t>
      </w:r>
      <w:r w:rsidRPr="0008481A">
        <w:rPr>
          <w:sz w:val="20"/>
        </w:rPr>
        <w:softHyphen/>
        <w:t>ansvarsnämn</w:t>
      </w:r>
      <w:r w:rsidRPr="0008481A">
        <w:rPr>
          <w:sz w:val="20"/>
        </w:rPr>
        <w:softHyphen/>
        <w:t>den. En av revisionspärmarna skickades med.</w:t>
      </w:r>
    </w:p>
    <w:p w:rsidR="003B3271" w:rsidRPr="0008481A" w:rsidRDefault="003B3271">
      <w:pPr>
        <w:pStyle w:val="Citatindrag"/>
      </w:pPr>
      <w:r w:rsidRPr="0008481A">
        <w:t>Samma dag, alltså den 18 oktober 1996, utformade jag vidare en under</w:t>
      </w:r>
      <w:r w:rsidRPr="0008481A">
        <w:softHyphen/>
        <w:t>rättelse om tilltänkt avskedande av H.J. Beslutet om att underrätta H.J. om tilltänkt avskedande fattades av AMS generaldirektör. Skälet till underrättel</w:t>
      </w:r>
      <w:r w:rsidRPr="0008481A">
        <w:softHyphen/>
        <w:t>sen var misstankarna om brott. H.J:s fackliga organisation varsla</w:t>
      </w:r>
      <w:r w:rsidRPr="0008481A">
        <w:softHyphen/>
        <w:t>des sam</w:t>
      </w:r>
      <w:r w:rsidRPr="0008481A">
        <w:softHyphen/>
        <w:t>tidigt om det tilltänkta avskedandet.</w:t>
      </w:r>
    </w:p>
    <w:p w:rsidR="003B3271" w:rsidRPr="0008481A" w:rsidRDefault="003B3271">
      <w:pPr>
        <w:pStyle w:val="Citatindrag"/>
      </w:pPr>
      <w:r w:rsidRPr="0008481A">
        <w:t>Den 27 januari 1997 höll jag överläggningar med H.J:s fackliga organi</w:t>
      </w:r>
      <w:r w:rsidRPr="0008481A">
        <w:softHyphen/>
        <w:t>sa</w:t>
      </w:r>
      <w:r w:rsidRPr="0008481A">
        <w:softHyphen/>
        <w:t>tion på organisationens begäran i frågan om tilltänkt avskedande. Parterna konstaterade därvid att frågan om avskedande inte kunde avgöras ännu eftersom bl.a. H.J. bestred brott. Överläggningarna bordlades därför i av</w:t>
      </w:r>
      <w:r w:rsidRPr="0008481A">
        <w:softHyphen/>
        <w:t>vaktan på re</w:t>
      </w:r>
      <w:r w:rsidRPr="0008481A">
        <w:softHyphen/>
        <w:t>sultatet av AMS åtalsanmälan.</w:t>
      </w:r>
    </w:p>
    <w:p w:rsidR="003B3271" w:rsidRPr="0008481A" w:rsidRDefault="003B3271">
      <w:pPr>
        <w:pStyle w:val="Citatindrag"/>
      </w:pPr>
      <w:r w:rsidRPr="0008481A">
        <w:t>Härefter tog jag inte någon annan befattning med ärendet, förrän beslut från åklagarmyndigheten kom till AMS, än att muntligen besvara en del frågor från åklagarmyndigheten om Arbetsmarknadsverkets regler och rutiner om</w:t>
      </w:r>
      <w:r w:rsidRPr="0008481A">
        <w:softHyphen/>
        <w:t>kring handläggning av sådana ärenden som H.J. handlagt.</w:t>
      </w:r>
    </w:p>
    <w:p w:rsidR="003B3271" w:rsidRPr="0008481A" w:rsidRDefault="003B3271">
      <w:pPr>
        <w:pStyle w:val="Citatindrag"/>
      </w:pPr>
      <w:r w:rsidRPr="0008481A">
        <w:t>Sedan AMS sommaren 1997 fått del av beslut varigenom åklagarmyndig</w:t>
      </w:r>
      <w:r w:rsidRPr="0008481A">
        <w:softHyphen/>
        <w:t>heten lagt ner delar av förundersökningen mot H.J. anmälde jag saken vid ett sammanträde i personalansvarsnämnden den 27 augusti 1997. Perso</w:t>
      </w:r>
      <w:r w:rsidRPr="0008481A">
        <w:softHyphen/>
        <w:t>nalansvarsnämnden fattade inte något beslut med anledning av detta och det konstaterades att ärendet skulle beredas vidare i den del det avsåg varslet om avsked.</w:t>
      </w:r>
    </w:p>
    <w:p w:rsidR="003B3271" w:rsidRPr="0008481A" w:rsidRDefault="003B3271">
      <w:pPr>
        <w:pStyle w:val="Citatindrag"/>
      </w:pPr>
      <w:r w:rsidRPr="0008481A">
        <w:t xml:space="preserve">Några ytterligare åtgärder vidtog jag inte förrän jag den 28 januari 1998 fick del av ett beslut den 19 januari 1998 av åklagarmyndigheten varigenom återstående delar av förundersökningen mot H.J. lagts ned. </w:t>
      </w:r>
      <w:r w:rsidRPr="0008481A">
        <w:t>Detta föranledde mig att vid ett sammanträde i personalansvarsnämnden den 16 februari 1998 föredra hela ärendet på nytt varefter personalansvarsnämnden på mitt för</w:t>
      </w:r>
      <w:r w:rsidRPr="0008481A">
        <w:softHyphen/>
        <w:t>slag beslutade att avskriva frågan om avskedande av H.J. från fortsatt hand</w:t>
      </w:r>
      <w:r w:rsidRPr="0008481A">
        <w:softHyphen/>
        <w:t>läggning. Om detta underrättade jag samma dag länsarbetsdirektören i Skåne län och den fackliga organisationen.</w:t>
      </w:r>
    </w:p>
    <w:p w:rsidR="003B3271" w:rsidRPr="0008481A" w:rsidRDefault="003B3271">
      <w:pPr>
        <w:pStyle w:val="Citatindrag"/>
      </w:pPr>
      <w:r w:rsidRPr="0008481A">
        <w:t>Jag har inte bedrivit någon förundersökning. Jag har handlagt ärendet på det sätt som är rutin vid AMS juridiska enhet i personalansvarsärenden. Jag an</w:t>
      </w:r>
      <w:r w:rsidRPr="0008481A">
        <w:softHyphen/>
        <w:t>svarar för dessa rutiner. Jag anser mig ha följt de betämmelser som gäller  vid misstankar om brott av en anställd inom Arbetsmarknadsverket.</w:t>
      </w:r>
    </w:p>
    <w:p w:rsidR="003B3271" w:rsidRPr="0008481A" w:rsidRDefault="003B3271">
      <w:pPr>
        <w:pStyle w:val="Citatindrag"/>
      </w:pPr>
      <w:r w:rsidRPr="0008481A">
        <w:t>Det är riktigt att H.J. inte fick del av misstankarna mot honom innan ärendet föredrogs i personalansvarsnämnden. Det finns ingen skyldighet för myn</w:t>
      </w:r>
      <w:r w:rsidRPr="0008481A">
        <w:softHyphen/>
        <w:t>digheten att underrätta en anställd om misstankar om brott innan myndig</w:t>
      </w:r>
      <w:r w:rsidRPr="0008481A">
        <w:softHyphen/>
        <w:t>heten tar ställning i frågan om åtalsanmälan. Enligt min mening gäller inte bestämmelserna i 16 och 17 §§ förvaltningslagen (1986:223) eftersom det inte är fråga om att avgöra ett ärende om myndighetsutövning utan endast ett led i beredningen av ett sådant ärende. Det kan ibland t.o.m. vara olämp</w:t>
      </w:r>
      <w:r w:rsidRPr="0008481A">
        <w:softHyphen/>
        <w:t>ligt att underrätta en anställd om sådana misstankar, antingen därför att det kan försvåra en kommande brottsutredning eller därför att misst</w:t>
      </w:r>
      <w:r w:rsidRPr="0008481A">
        <w:t>ankarna är ogrundade. Det har därför inte funnits en sådan rutin vid AMS juridiska en</w:t>
      </w:r>
      <w:r w:rsidRPr="0008481A">
        <w:softHyphen/>
        <w:t>het att en anställd ska få tillfälle att yttra sig över brottsmisstankar utan så</w:t>
      </w:r>
      <w:r w:rsidRPr="0008481A">
        <w:softHyphen/>
        <w:t>dana yttranden har bara begärts in i de fall där det varit nödvändigt för att myndigheten skulle kunna ta ställning till om det förelåg en skälig misstanke om brott. I detta fall ansåg jag inte att det var nödvändigt med något sådant yttrande för att kunna bedöma styrkan i misstankarna utan jag ansåg att det material som översänts från Läns</w:t>
      </w:r>
      <w:r w:rsidRPr="0008481A">
        <w:softHyphen/>
        <w:t>ar</w:t>
      </w:r>
      <w:r w:rsidRPr="0008481A">
        <w:t>betsnämnden var tillräckligt för att personalansvarsnämnden skulle kunna ta ställning. Det restes inte heller några krav i personal</w:t>
      </w:r>
      <w:r w:rsidRPr="0008481A">
        <w:softHyphen/>
        <w:t>ansvars</w:t>
      </w:r>
      <w:r w:rsidRPr="0008481A">
        <w:softHyphen/>
        <w:t>nämnden på att utredningen skulle kompletteras med yttrande från H.J. utan nämnden fattade beslut på det material som förelåg.</w:t>
      </w:r>
    </w:p>
    <w:p w:rsidR="003B3271" w:rsidRPr="0008481A" w:rsidRDefault="003B3271">
      <w:pPr>
        <w:pStyle w:val="Citatindrag"/>
      </w:pPr>
      <w:r w:rsidRPr="0008481A">
        <w:t>Jag har svårt att se att det skulle vara något fel i att utforma åtalsanmälan på ett sådant sätt att det misstänkta brottet beskrivs detaljerat och konkret unge</w:t>
      </w:r>
      <w:r w:rsidRPr="0008481A">
        <w:softHyphen/>
        <w:t>fär som är vanligt i en stämningsansökan.</w:t>
      </w:r>
    </w:p>
    <w:p w:rsidR="003B3271" w:rsidRPr="0008481A" w:rsidRDefault="003B3271">
      <w:pPr>
        <w:pStyle w:val="Citatindrag"/>
      </w:pPr>
      <w:r w:rsidRPr="0008481A">
        <w:t>Jag [vet inte</w:t>
      </w:r>
      <w:r w:rsidRPr="0008481A">
        <w:rPr>
          <w:i/>
        </w:rPr>
        <w:t>, JO:s anmärkning</w:t>
      </w:r>
      <w:r w:rsidRPr="0008481A">
        <w:t>] var den berörda tidningen fått sina uppgifter ifrån. Något ansvar för detta har jag inte. Tvärtom har jag på en fråga från en journalist vid en skånetidning vägrat att uttala mig med hänvisning till förundersökningssek</w:t>
      </w:r>
      <w:r w:rsidRPr="0008481A">
        <w:softHyphen/>
        <w:t>retessen. Jag minns dock inte när detta skedde.</w:t>
      </w:r>
    </w:p>
    <w:p w:rsidR="003B3271" w:rsidRPr="0008481A" w:rsidRDefault="003B3271">
      <w:pPr>
        <w:pStyle w:val="Citatindrag"/>
      </w:pPr>
      <w:r w:rsidRPr="0008481A">
        <w:t>Jag anser att jag handlat helt inom mitt ansvarsområde och i enlighet med de regler som gäller för min, den juridiska enhetens och AMS verksamhet när det är fråga om misstankar om brott av en anställd.</w:t>
      </w:r>
    </w:p>
    <w:p w:rsidR="003B3271" w:rsidRPr="0008481A" w:rsidRDefault="003B3271">
      <w:r w:rsidRPr="0008481A">
        <w:t>AMS, genom dåvarande generaldirektören Bosse Ringholm, tillade för egen del följande.</w:t>
      </w:r>
    </w:p>
    <w:p w:rsidR="003B3271" w:rsidRPr="0008481A" w:rsidRDefault="003B3271">
      <w:pPr>
        <w:pStyle w:val="Citat"/>
      </w:pPr>
      <w:r w:rsidRPr="0008481A">
        <w:t>AMS delar den uppfattning och beskrivning av ärendet som förre chefsju</w:t>
      </w:r>
      <w:r w:rsidRPr="0008481A">
        <w:softHyphen/>
        <w:t>risten Anders Kruse givit uttryck för  – – – . AMS kan således ej se att nå</w:t>
      </w:r>
      <w:r w:rsidRPr="0008481A">
        <w:softHyphen/>
        <w:t>got fel förevarit beträffande handläggningen av ärendet.</w:t>
      </w:r>
    </w:p>
    <w:p w:rsidR="003B3271" w:rsidRPr="0008481A" w:rsidRDefault="003B3271">
      <w:r w:rsidRPr="0008481A">
        <w:t>I beslut den 8 oktober 1999 anförde</w:t>
      </w:r>
      <w:r w:rsidRPr="0008481A">
        <w:rPr>
          <w:i/>
        </w:rPr>
        <w:t xml:space="preserve"> stf. JO Ekberg</w:t>
      </w:r>
      <w:r w:rsidRPr="0008481A">
        <w:t xml:space="preserve"> följande.</w:t>
      </w:r>
    </w:p>
    <w:p w:rsidR="003B3271" w:rsidRPr="0008481A" w:rsidRDefault="003B3271">
      <w:pPr>
        <w:pStyle w:val="Rubrik3"/>
      </w:pPr>
      <w:r w:rsidRPr="0008481A">
        <w:t>Bedömning</w:t>
      </w:r>
    </w:p>
    <w:p w:rsidR="003B3271" w:rsidRPr="0008481A" w:rsidRDefault="003B3271">
      <w:pPr>
        <w:pStyle w:val="Rubrik4"/>
        <w:spacing w:before="120"/>
      </w:pPr>
      <w:r w:rsidRPr="0008481A">
        <w:t>Åtalsanmälan</w:t>
      </w:r>
    </w:p>
    <w:p w:rsidR="003B3271" w:rsidRPr="0008481A" w:rsidRDefault="003B3271">
      <w:r w:rsidRPr="0008481A">
        <w:t>Lennart Andersson har i sin anmälan gjort gällande att AMS genom Anders Kruse bedrivit ”förundersökning utan författningsstöd”.</w:t>
      </w:r>
    </w:p>
    <w:p w:rsidR="003B3271" w:rsidRPr="0008481A" w:rsidRDefault="003B3271">
      <w:pPr>
        <w:pStyle w:val="Normaltindrag"/>
      </w:pPr>
      <w:r w:rsidRPr="0008481A">
        <w:t>Som angetts i remissvaret föreskrivs i 22 § lagen om offentlig anställ</w:t>
      </w:r>
      <w:r w:rsidRPr="0008481A">
        <w:softHyphen/>
        <w:t>ning att den som är skäligen misstänkt för att i sin anställning ha begått brott skall anmälas till åtal om misstanken avser brott enligt 20 kap. 1 och 2 §§ samt 3 § första stycket brottsbalken eller annat brott, om det kan antas föranleda någon annan påföljd än böter.</w:t>
      </w:r>
    </w:p>
    <w:p w:rsidR="003B3271" w:rsidRPr="0008481A" w:rsidRDefault="003B3271">
      <w:pPr>
        <w:pStyle w:val="Normaltindrag"/>
      </w:pPr>
      <w:r w:rsidRPr="0008481A">
        <w:t>I 12 § förordningen med instruktion för Arbetsmarknadsverket anges att personalansvarsnämnden vid AMS prövar frågor som avses i 19 § verks</w:t>
      </w:r>
      <w:r w:rsidRPr="0008481A">
        <w:softHyphen/>
        <w:t>förordningen för anställda inom Arbetsmarknadsverket. En av de frågor som anges i nämnda bestämmelse i verksförordningen är fråga om åtalsanmälan.</w:t>
      </w:r>
    </w:p>
    <w:p w:rsidR="003B3271" w:rsidRPr="0008481A" w:rsidRDefault="003B3271">
      <w:pPr>
        <w:pStyle w:val="Normaltindrag"/>
      </w:pPr>
      <w:r w:rsidRPr="0008481A">
        <w:t>Författningsstöd föreligger således för AMS att pröva en an</w:t>
      </w:r>
      <w:r w:rsidRPr="0008481A">
        <w:softHyphen/>
        <w:t xml:space="preserve">mälan om åtal avseende en person som är anställd vid Arbetsmarknadsverket. Det ligger också i sakens natur att viss utredning måste göras innan ställning kan tas i en dylik fråga. </w:t>
      </w:r>
    </w:p>
    <w:p w:rsidR="003B3271" w:rsidRPr="0008481A" w:rsidRDefault="003B3271">
      <w:pPr>
        <w:pStyle w:val="Normaltindrag"/>
      </w:pPr>
      <w:r w:rsidRPr="0008481A">
        <w:t>AMS beslut om åtalsanmälan innefattar sådana bedömningar vilkas riktighet och lämplighet JO inte uttalar sig om. Den omständigheten att åtalet efter en tid lades ner av åkla</w:t>
      </w:r>
      <w:r w:rsidRPr="0008481A">
        <w:softHyphen/>
        <w:t>garen medför inte med automatik att anmälan skulle ha varit ogrundad. Det rör sig här om värderingsfrågor i vilka det finns utrymme för olika uppfattningar utan att man för den sakens skull kan säga att någondera är direkt felaktig.</w:t>
      </w:r>
    </w:p>
    <w:p w:rsidR="003B3271" w:rsidRPr="0008481A" w:rsidRDefault="003B3271">
      <w:pPr>
        <w:pStyle w:val="Rubrik4"/>
      </w:pPr>
      <w:r w:rsidRPr="0008481A">
        <w:t>Handläggningen av AMS utredning</w:t>
      </w:r>
    </w:p>
    <w:p w:rsidR="003B3271" w:rsidRPr="0008481A" w:rsidRDefault="003B3271">
      <w:r w:rsidRPr="0008481A">
        <w:t xml:space="preserve">I anmälan har vidare framförts klagomål över att H.J. inte varit informerad om att utredning pågick beträffande honom. </w:t>
      </w:r>
    </w:p>
    <w:p w:rsidR="003B3271" w:rsidRPr="0008481A" w:rsidRDefault="003B3271">
      <w:pPr>
        <w:pStyle w:val="Normaltindrag"/>
      </w:pPr>
      <w:r w:rsidRPr="0008481A">
        <w:t>Statliga myndigheters ärendehandläggning regleras, om inte annan lag eller författning föreskriver annat, av förvaltningslagens (1986:223) bestäm</w:t>
      </w:r>
      <w:r w:rsidRPr="0008481A">
        <w:softHyphen/>
        <w:t>melser. Enligt huvudregeln i 17 § får ärenden som avser myndighets</w:t>
      </w:r>
      <w:r w:rsidRPr="0008481A">
        <w:softHyphen/>
        <w:t xml:space="preserve">utövning mot enskild inte avgöras utan att den som är sökande, klagande eller annan part har underrättats om en uppgift som tillförts ärendet genom annan än honom själv och han har fått tillfälle att yttra sig över den. </w:t>
      </w:r>
    </w:p>
    <w:p w:rsidR="003B3271" w:rsidRPr="0008481A" w:rsidRDefault="003B3271">
      <w:pPr>
        <w:pStyle w:val="Normaltindrag"/>
      </w:pPr>
      <w:r w:rsidRPr="0008481A">
        <w:t>AMS har i remissvaret förklarat att det inte varit ”fråga om att avgöra ett ärende om myndighetsutövning utan endast ett led i beredningen av ett sådant ärende”. Det framgår inte klart om AMS härmed menar att ärendet avslut</w:t>
      </w:r>
      <w:r w:rsidRPr="0008481A">
        <w:t>ades hos AMS genom personalansvarsnämndens beslut om åtals</w:t>
      </w:r>
      <w:r w:rsidRPr="0008481A">
        <w:softHyphen/>
        <w:t>anmälan, men att detta ärende inte avsåg myndighetsutövning mot enskild eller om AMS anser att ärendet avslutades hos myndigheten först då beslut i frågan om avsked fattades. Enligt min mening utgör dock frågan om åtals</w:t>
      </w:r>
      <w:r w:rsidRPr="0008481A">
        <w:softHyphen/>
        <w:t>anmälan ett särskilt ärende som för AMS del avslutats i och med personal</w:t>
      </w:r>
      <w:r w:rsidRPr="0008481A">
        <w:softHyphen/>
        <w:t>ansvarsnämndens beslut att anmäla saken till åtal. Frågan är då om detta ärende avsåg myndighetsutövning mot enskild. Som framgår ovan är det endast i ett sådan</w:t>
      </w:r>
      <w:r w:rsidRPr="0008481A">
        <w:t>t fall som kommuniceringsskyldighet föreligger.</w:t>
      </w:r>
    </w:p>
    <w:p w:rsidR="003B3271" w:rsidRPr="0008481A" w:rsidRDefault="003B3271">
      <w:pPr>
        <w:pStyle w:val="Normaltindrag"/>
      </w:pPr>
      <w:r w:rsidRPr="0008481A">
        <w:t xml:space="preserve">Något entydigt svar på frågan om vad som är myndighetsutövning ges inte i förarbetena (jfr prop. 1971:30, del 2, s. 330 f. och prop. 1973:90 s. 397) och den praxis som har utvecklats är inte helt enkel att tolka. </w:t>
      </w:r>
    </w:p>
    <w:p w:rsidR="003B3271" w:rsidRPr="0008481A" w:rsidRDefault="003B3271">
      <w:pPr>
        <w:pStyle w:val="Normaltindrag"/>
      </w:pPr>
      <w:r w:rsidRPr="0008481A">
        <w:t>Allmänt kan sägas att myndighetsutövning är uttryck för samhällets maktbefogenheter gentemot den enskilde, befogenheter som samhället har med stöd av lag eller annan författning. När det gäller förhållandet mellan en statlig arbetsgivare och en anställd är ärenden om disciplinansvar exempel på myndighetsutövning (Hellners-Malmqvist; Nya förvaltningslagen, 5:e uppl. s. 136) medan ärenden om avskedanden inte anses vara myndighetsutövning eftersom en sådan rättshandling numera grundar sig på icke en offentlig</w:t>
      </w:r>
      <w:r w:rsidRPr="0008481A">
        <w:t>rättslig utan civilrättslig lag (prop. 1993/94:65 s. 93). Av betydelse för bestämmande av vad som skall anses som myndighetsutövning är också att i princip endast ärenden som mynnar ut i bindande beslut omfattas av begreppet.</w:t>
      </w:r>
    </w:p>
    <w:p w:rsidR="003B3271" w:rsidRPr="0008481A" w:rsidRDefault="003B3271">
      <w:pPr>
        <w:pStyle w:val="Normaltindrag"/>
      </w:pPr>
      <w:r w:rsidRPr="0008481A">
        <w:t>Tillämpat på personalansvarsnämndens handläggning av fallet H.J. kan det med ledning av det anförda konstateras att ärendet om hans eventuella avskedande från sin anställning vid myndigheten inte omfattas av begreppet myndighetsutövning. Detsamma får – som också AMS menar i sitt remiss</w:t>
      </w:r>
      <w:r w:rsidRPr="0008481A">
        <w:t>var – gälla för ärendet om åtalsanmälan. Beslutet i nämnden i denna del var inte av någon bindande karaktär, utan innebar endast att nämnden på det material som ingivits av verkets internrevision bedömde att ansvarsfrågan skulle bli föremål för åklagarens prövning och att nämnden därför lämnade över ärendet till denne för vidare handläggning. AMS beslut hade således inte någon självständig rättsverkan gentemot H.J.</w:t>
      </w:r>
    </w:p>
    <w:p w:rsidR="003B3271" w:rsidRPr="0008481A" w:rsidRDefault="003B3271">
      <w:pPr>
        <w:pStyle w:val="Normaltindrag"/>
      </w:pPr>
      <w:r w:rsidRPr="0008481A">
        <w:t>Av det nu anförda följer att AMS inte hade någon skyldighet att i enlighet med föreskriften i</w:t>
      </w:r>
      <w:r w:rsidRPr="0008481A">
        <w:t xml:space="preserve"> 17 § förvaltningslagen kommunicera det föreliggande materialet med H.J.</w:t>
      </w:r>
    </w:p>
    <w:p w:rsidR="003B3271" w:rsidRPr="0008481A" w:rsidRDefault="003B3271">
      <w:pPr>
        <w:pStyle w:val="Normaltindrag"/>
      </w:pPr>
      <w:r w:rsidRPr="0008481A">
        <w:t>Detta utesluter dock inte att det i vissa fall kan vara motiverat att en myndighet i en situation som den föreliggande tar kontakt med den anställde för att kontrollera eller komplettera sitt beslutsunderlag. I andra fall kan en sådan åtgärd framstå som mindre lämplig då den skulle kunna försvåra en kommande brottsutredning. Det blir således en bedömningsfråga hur en myndighet skall gå till väga och omständigheterna i det enskilda fall</w:t>
      </w:r>
      <w:r w:rsidRPr="0008481A">
        <w:t>et får bli utslagsgivande för myndighetens agerande.</w:t>
      </w:r>
    </w:p>
    <w:p w:rsidR="003B3271" w:rsidRPr="0008481A" w:rsidRDefault="003B3271">
      <w:pPr>
        <w:pStyle w:val="Rubrik2"/>
      </w:pPr>
      <w:r w:rsidRPr="0008481A">
        <w:t>En arbetsförmedling bör regelbundet förvissa sig om att de grundläggande uppgifterna i arbetsförmedlingsregistret är korrekta</w:t>
      </w:r>
    </w:p>
    <w:p w:rsidR="003B3271" w:rsidRPr="0008481A" w:rsidRDefault="003B3271">
      <w:r w:rsidRPr="0008481A">
        <w:t>(Dnr 2472-1998 och 1180-1999)</w:t>
      </w:r>
    </w:p>
    <w:p w:rsidR="003B3271" w:rsidRPr="0008481A" w:rsidRDefault="003B3271">
      <w:pPr>
        <w:pStyle w:val="Rubrik3"/>
      </w:pPr>
      <w:r w:rsidRPr="0008481A">
        <w:t xml:space="preserve">Anmälan </w:t>
      </w:r>
    </w:p>
    <w:p w:rsidR="003B3271" w:rsidRPr="0008481A" w:rsidRDefault="003B3271">
      <w:r w:rsidRPr="0008481A">
        <w:t xml:space="preserve">D.S. inkom den 25 juni 1998 till JO med en anmälan (dnr 2472-1998) mot arbetsförmedlingen i Solna, en enhet inom Länsarbetsnämnden i Stockholms län. D.S. klagade på att ett antal felaktiga uppgifter förekom rörande henne i arbetsförmedlingens register i systemet AF-90. Hon ansåg uppgifterna vara ärekränkande och dessutom utgöra hinder för henne som arbetssökande. </w:t>
      </w:r>
    </w:p>
    <w:p w:rsidR="003B3271" w:rsidRPr="0008481A" w:rsidRDefault="003B3271">
      <w:pPr>
        <w:pStyle w:val="Normaltindrag"/>
      </w:pPr>
      <w:r w:rsidRPr="0008481A">
        <w:t>Felaktigheterna var enligt D.S. följande.</w:t>
      </w:r>
    </w:p>
    <w:p w:rsidR="003B3271" w:rsidRPr="0008481A" w:rsidRDefault="003B3271">
      <w:pPr>
        <w:pStyle w:val="Normaltindrag"/>
      </w:pPr>
      <w:r w:rsidRPr="0008481A">
        <w:t>1. I registret har antecknats att hon erhållit information om arbets</w:t>
      </w:r>
      <w:r w:rsidRPr="0008481A">
        <w:softHyphen/>
        <w:t>för</w:t>
      </w:r>
      <w:r w:rsidRPr="0008481A">
        <w:softHyphen/>
        <w:t>med</w:t>
      </w:r>
      <w:r w:rsidRPr="0008481A">
        <w:softHyphen/>
        <w:t xml:space="preserve">lingssystemet AF-90. Så är inte fallet. </w:t>
      </w:r>
    </w:p>
    <w:p w:rsidR="003B3271" w:rsidRPr="0008481A" w:rsidRDefault="003B3271">
      <w:pPr>
        <w:pStyle w:val="Normaltindrag"/>
      </w:pPr>
      <w:r w:rsidRPr="0008481A">
        <w:t>2. En anteckning finns att hennes namn och adress inte får lämnas ut till arbetsgivare. Hon har inte begärt något sådant eller ens tillfrågats om detta.</w:t>
      </w:r>
    </w:p>
    <w:p w:rsidR="003B3271" w:rsidRPr="0008481A" w:rsidRDefault="003B3271">
      <w:pPr>
        <w:pStyle w:val="Normaltindrag"/>
      </w:pPr>
      <w:r w:rsidRPr="0008481A">
        <w:t>3. En kod för psykiskt handikapp har angetts. Hon har aldrig haft sådana problem och någon dylik kodning har inte diskuterats.</w:t>
      </w:r>
    </w:p>
    <w:p w:rsidR="003B3271" w:rsidRPr="0008481A" w:rsidRDefault="003B3271">
      <w:pPr>
        <w:pStyle w:val="Normaltindrag"/>
      </w:pPr>
      <w:r w:rsidRPr="0008481A">
        <w:t>4. I registret står att hennes medborgarskap är "Östeuropeiskt inkl Ryskt", trots att hon erhöll svenskt medborgarskap år 1984 och omedelbart informe</w:t>
      </w:r>
      <w:r w:rsidRPr="0008481A">
        <w:softHyphen/>
        <w:t>ra</w:t>
      </w:r>
      <w:r w:rsidRPr="0008481A">
        <w:softHyphen/>
        <w:t xml:space="preserve">de arbetsförmedlingen om detta. </w:t>
      </w:r>
    </w:p>
    <w:p w:rsidR="003B3271" w:rsidRPr="0008481A" w:rsidRDefault="003B3271">
      <w:pPr>
        <w:pStyle w:val="Normaltindrag"/>
      </w:pPr>
      <w:r w:rsidRPr="0008481A">
        <w:t>5. I registret har antecknats att hon saknar körkort, trots att hon innehar såväl körkort från hemlandet som svenskt körkort.</w:t>
      </w:r>
    </w:p>
    <w:p w:rsidR="003B3271" w:rsidRPr="0008481A" w:rsidRDefault="003B3271">
      <w:r w:rsidRPr="0008481A">
        <w:t>D.S. begärde i sin anmälan en utredning om vem som antecknat dessa felaktigheter samt en rättelse av uppgifterna. Hon krävde vidare skadestånd för ärekränkning samt för den skada som de felaktiga uppgifterna orsakat henne.</w:t>
      </w:r>
    </w:p>
    <w:p w:rsidR="003B3271" w:rsidRPr="0008481A" w:rsidRDefault="003B3271">
      <w:pPr>
        <w:pStyle w:val="Rubrik3"/>
      </w:pPr>
      <w:r w:rsidRPr="0008481A">
        <w:t>Utredning</w:t>
      </w:r>
    </w:p>
    <w:p w:rsidR="003B3271" w:rsidRPr="0008481A" w:rsidRDefault="003B3271">
      <w:r w:rsidRPr="0008481A">
        <w:t xml:space="preserve">Yttrande och utredning infordrades från Länsarbetsnämnden i Stockholms län. </w:t>
      </w:r>
    </w:p>
    <w:p w:rsidR="003B3271" w:rsidRPr="0008481A" w:rsidRDefault="003B3271">
      <w:r w:rsidRPr="0008481A">
        <w:t>Länsarbetsnämnden anförde i sitt remissvar bl.a. följande.</w:t>
      </w:r>
    </w:p>
    <w:p w:rsidR="003B3271" w:rsidRPr="0008481A" w:rsidRDefault="003B3271">
      <w:pPr>
        <w:pStyle w:val="Citat"/>
      </w:pPr>
      <w:r w:rsidRPr="0008481A">
        <w:t>Arbetsförmedlingens i Solna chef, Siv Holmgren, har till läns</w:t>
      </w:r>
      <w:r w:rsidRPr="0008481A">
        <w:softHyphen/>
        <w:t>arbets</w:t>
      </w:r>
      <w:r w:rsidRPr="0008481A">
        <w:softHyphen/>
        <w:t>nämnden bland annat anfört att uppgifterna om handikappkod antagligen har tillkommit i samband med en inskrivning på AMI. Det finns inga exakta uppgifter om när detta skedde och det finns inget dokumenterat samtycke till noteringen, vilket krävs enligt lagen (1994:459) om arbetsförmedlings</w:t>
      </w:r>
      <w:r w:rsidRPr="0008481A">
        <w:softHyphen/>
        <w:t>register. Avseende övriga uppgifter anför Siv Holmgren att de har funnits i många år och att uppgifterna kan ha tillkommit vid två förmedlingar, Arbetsförmedlingen City eller Arbetsförmed</w:t>
      </w:r>
      <w:r w:rsidRPr="0008481A">
        <w:softHyphen/>
        <w:t>lingen Solna. Vidare anfö</w:t>
      </w:r>
      <w:r w:rsidRPr="0008481A">
        <w:t>r Siv Holmgren att förmedlingen bör informera sig om eventuella förändringar men att det också ligger i den sökandes intresse att infor</w:t>
      </w:r>
      <w:r w:rsidRPr="0008481A">
        <w:softHyphen/>
        <w:t>mera förmedlingen om förändringar angående bland annat medborgarskap och körkort. Siv Holmgren har slutligen anfört att uppgifterna om körkort och med</w:t>
      </w:r>
      <w:r w:rsidRPr="0008481A">
        <w:softHyphen/>
        <w:t>borgarskap korrigerats samt att handikappkoden tagits bort den 5 augusti 1998 på D.S:s begäran.</w:t>
      </w:r>
    </w:p>
    <w:p w:rsidR="003B3271" w:rsidRPr="0008481A" w:rsidRDefault="003B3271">
      <w:pPr>
        <w:tabs>
          <w:tab w:val="left" w:pos="0"/>
        </w:tabs>
        <w:rPr>
          <w:sz w:val="20"/>
        </w:rPr>
      </w:pPr>
      <w:r w:rsidRPr="0008481A">
        <w:rPr>
          <w:sz w:val="20"/>
        </w:rPr>
        <w:t>LÄNSARBETSNÄMNDENS BEDÖMNING</w:t>
      </w:r>
    </w:p>
    <w:p w:rsidR="003B3271" w:rsidRPr="0008481A" w:rsidRDefault="003B3271">
      <w:pPr>
        <w:pStyle w:val="Citat"/>
      </w:pPr>
      <w:r w:rsidRPr="0008481A">
        <w:t>Avseende uppgifterna under punkt 1 kan länsarbetsnämnden konstatera att in</w:t>
      </w:r>
      <w:r w:rsidRPr="0008481A">
        <w:softHyphen/>
        <w:t>for</w:t>
      </w:r>
      <w:r w:rsidRPr="0008481A">
        <w:softHyphen/>
        <w:t>mation borde ha lämnats vid den tidpunkt då uppgifterna om D.S. lades in i AF90. Om tillfredsställande information verkligen lämnades vid detta tillfälle är naturligtvis svårt att uttala sig om i dag.</w:t>
      </w:r>
    </w:p>
    <w:p w:rsidR="003B3271" w:rsidRPr="0008481A" w:rsidRDefault="003B3271">
      <w:pPr>
        <w:pStyle w:val="Citatindrag"/>
      </w:pPr>
      <w:r w:rsidRPr="0008481A">
        <w:t>Uppgiften under punkt 2 kan ha tillkommit vid inregistreringen i AF90, men kan också ha tillkommit vid ett annat tillfälle. Det är beklagligt om den är felaktig.</w:t>
      </w:r>
    </w:p>
    <w:p w:rsidR="003B3271" w:rsidRPr="0008481A" w:rsidRDefault="003B3271">
      <w:pPr>
        <w:pStyle w:val="Citatindrag"/>
      </w:pPr>
      <w:r w:rsidRPr="0008481A">
        <w:t>Anteckningen om psykiskt arbetshandikapp (punkt 3), är anmärknings</w:t>
      </w:r>
      <w:r w:rsidRPr="0008481A">
        <w:softHyphen/>
        <w:t>värd.</w:t>
      </w:r>
    </w:p>
    <w:p w:rsidR="003B3271" w:rsidRPr="0008481A" w:rsidRDefault="003B3271">
      <w:pPr>
        <w:pStyle w:val="Citatindrag"/>
      </w:pPr>
      <w:r w:rsidRPr="0008481A">
        <w:t>Läns</w:t>
      </w:r>
      <w:r w:rsidRPr="0008481A">
        <w:softHyphen/>
        <w:t>arbetsnämnden nödgas konstatera att det inte finns något dokumen</w:t>
      </w:r>
      <w:r w:rsidRPr="0008481A">
        <w:softHyphen/>
        <w:t>te</w:t>
      </w:r>
      <w:r w:rsidRPr="0008481A">
        <w:softHyphen/>
        <w:t>rat sam</w:t>
      </w:r>
      <w:r w:rsidRPr="0008481A">
        <w:softHyphen/>
        <w:t>tycke i akten och heller inga anteckningar som visar när och hur uppgiften har till</w:t>
      </w:r>
      <w:r w:rsidRPr="0008481A">
        <w:softHyphen/>
        <w:t>kommit. Möjligen kan uppgiften ha tillkommit i samband med en kartläggning vid AMI under 1991 (arbetshandikapp är, och var, en förutsättning för att kunna kom</w:t>
      </w:r>
      <w:r w:rsidRPr="0008481A">
        <w:softHyphen/>
        <w:t>ma i fråga för en utredning hos AMI). Enligt föreskrifterna till det tillståndsbase</w:t>
      </w:r>
      <w:r w:rsidRPr="0008481A">
        <w:softHyphen/>
        <w:t xml:space="preserve">rade system som gällde </w:t>
      </w:r>
      <w:r w:rsidRPr="0008481A">
        <w:rPr>
          <w:i/>
        </w:rPr>
        <w:t xml:space="preserve">innan </w:t>
      </w:r>
      <w:r w:rsidRPr="0008481A">
        <w:t>lagens tillkomst, skulle en dylik handikappkodning grundas på något objektivt u</w:t>
      </w:r>
      <w:r w:rsidRPr="0008481A">
        <w:t xml:space="preserve">nderlag, exempelvis ett läkarintyg. Något sådant har inte kunnat återfinnas i akten. Om uppgiften förts in i AF90 </w:t>
      </w:r>
      <w:r w:rsidRPr="0008481A">
        <w:rPr>
          <w:i/>
        </w:rPr>
        <w:t xml:space="preserve">efter </w:t>
      </w:r>
      <w:r w:rsidRPr="0008481A">
        <w:t>lagens tillkomst borde naturligtvis D.S:s samtycke ha utverkats och dokumenterats, i en</w:t>
      </w:r>
      <w:r w:rsidRPr="0008481A">
        <w:softHyphen/>
        <w:t>lig</w:t>
      </w:r>
      <w:r w:rsidRPr="0008481A">
        <w:softHyphen/>
        <w:t>het med lagen om arbetsförmedlingsregister. Länsarbetsnämnden noterar att Arbetsförmed</w:t>
      </w:r>
      <w:r w:rsidRPr="0008481A">
        <w:softHyphen/>
        <w:t>lingen i Solna har tagit bort handikappkoden, men arbetsförmed</w:t>
      </w:r>
      <w:r w:rsidRPr="0008481A">
        <w:softHyphen/>
        <w:t>lingen uppmanas av länsarbetsnämnden att ändra noteringen ”arbetshandikappkod 6 borttagen” till ”arbetshandikappkod borttagen”.</w:t>
      </w:r>
    </w:p>
    <w:p w:rsidR="003B3271" w:rsidRPr="0008481A" w:rsidRDefault="003B3271">
      <w:pPr>
        <w:pStyle w:val="Citatindrag"/>
      </w:pPr>
      <w:r w:rsidRPr="0008481A">
        <w:t xml:space="preserve">Länsarbetsnämnden kan </w:t>
      </w:r>
      <w:r w:rsidRPr="0008481A">
        <w:t>konstatera att uppgifterna under punkt 4 och 5 kan ha funnits i AF90 under flera år. Av självinskrivningsdelen på en inskriv</w:t>
      </w:r>
      <w:r w:rsidRPr="0008481A">
        <w:softHyphen/>
        <w:t>nings</w:t>
      </w:r>
      <w:r w:rsidRPr="0008481A">
        <w:softHyphen/>
        <w:t>blan</w:t>
      </w:r>
      <w:r w:rsidRPr="0008481A">
        <w:softHyphen/>
        <w:t>kett i akten från tidigt åttiotal framgår att D.S. själv upp</w:t>
      </w:r>
      <w:r w:rsidRPr="0008481A">
        <w:softHyphen/>
        <w:t>givit att hon har (svenskt) körkort. På denna blankett finns även en uppgift om att D.S. blev svensk medborgare hösten 1984. Upp</w:t>
      </w:r>
      <w:r w:rsidRPr="0008481A">
        <w:softHyphen/>
        <w:t>gifter om körkort och medborgarskap kan givetvis vara av stor betydelse för en arbets</w:t>
      </w:r>
      <w:r w:rsidRPr="0008481A">
        <w:softHyphen/>
        <w:t>sökande. Detta kan även gälla uppgift om exempelvis presenta</w:t>
      </w:r>
      <w:r w:rsidRPr="0008481A">
        <w:softHyphen/>
        <w:t>tions</w:t>
      </w:r>
      <w:r w:rsidRPr="0008481A">
        <w:softHyphen/>
        <w:t>form (punkt 2). Länsarbetsnämnden</w:t>
      </w:r>
      <w:r w:rsidRPr="0008481A">
        <w:t xml:space="preserve"> anser att det ankommer på arbets</w:t>
      </w:r>
      <w:r w:rsidRPr="0008481A">
        <w:softHyphen/>
        <w:t>förmed</w:t>
      </w:r>
      <w:r w:rsidRPr="0008481A">
        <w:softHyphen/>
        <w:t>lingen att tillsammans med den arbetssökande regelbundet gå i ge</w:t>
      </w:r>
      <w:r w:rsidRPr="0008481A">
        <w:softHyphen/>
        <w:t>nom och uppdatera vissa grundläggande viktiga uppgifter, för att försäkra sig om att inga förändringar skett. Mot bakgrund av att D.S. varit inskriven på arbetsförmedlingen så många år, är det enligt länsarbetsnämn</w:t>
      </w:r>
      <w:r w:rsidRPr="0008481A">
        <w:softHyphen/>
        <w:t>dens mening allvarligt att så inte förefaller ha skett. Länsarbetsnämnden får överväga om det finns anledning att på något sätt se över kontrollen av att grundupp</w:t>
      </w:r>
      <w:r w:rsidRPr="0008481A">
        <w:softHyphen/>
        <w:t>gifterna rörande arbetssökan</w:t>
      </w:r>
      <w:r w:rsidRPr="0008481A">
        <w:t>de med långa inskrivningstider är korrekta.</w:t>
      </w:r>
    </w:p>
    <w:p w:rsidR="003B3271" w:rsidRPr="0008481A" w:rsidRDefault="003B3271">
      <w:r w:rsidRPr="0008481A">
        <w:t xml:space="preserve">Länsarbetsnämnden gjorde därefter i en senare skrivelse följande rättelse. </w:t>
      </w:r>
    </w:p>
    <w:p w:rsidR="003B3271" w:rsidRPr="0008481A" w:rsidRDefault="003B3271">
      <w:pPr>
        <w:pStyle w:val="Citat"/>
      </w:pPr>
      <w:r w:rsidRPr="0008481A">
        <w:t xml:space="preserve">Länsarbetsnämnden har i sitt yttrande – – – skrivit att ”(arbetshandikapp är, och var, en förutsättning för att kunna komma i fråga för en utredning hos AMI)”. Så är inte fallet. Även personer utan handikapp, exempelvis långtidsarbetslösa personer, kan erbjudas plats vid AMI. Då antalet platser är begränsat har däremot personer med arbetshandikapp vanligtvis prioriterats. </w:t>
      </w:r>
    </w:p>
    <w:p w:rsidR="003B3271" w:rsidRPr="0008481A" w:rsidRDefault="003B3271">
      <w:pPr>
        <w:rPr>
          <w:i/>
        </w:rPr>
      </w:pPr>
      <w:r w:rsidRPr="0008481A">
        <w:t xml:space="preserve">I beslut den 25 november 1999 anförde </w:t>
      </w:r>
      <w:r w:rsidRPr="0008481A">
        <w:rPr>
          <w:i/>
        </w:rPr>
        <w:t xml:space="preserve">stf. JO Ekberg </w:t>
      </w:r>
      <w:r w:rsidRPr="0008481A">
        <w:t>bl.a. följande</w:t>
      </w:r>
      <w:r w:rsidRPr="0008481A">
        <w:rPr>
          <w:i/>
        </w:rPr>
        <w:t>.</w:t>
      </w:r>
    </w:p>
    <w:p w:rsidR="003B3271" w:rsidRPr="0008481A" w:rsidRDefault="003B3271">
      <w:r w:rsidRPr="0008481A">
        <w:t>Enligt lagen (1994:459) om arbetsförmedlingsregister får varje arbets</w:t>
      </w:r>
      <w:r w:rsidRPr="0008481A">
        <w:softHyphen/>
        <w:t>för</w:t>
      </w:r>
      <w:r w:rsidRPr="0008481A">
        <w:softHyphen/>
        <w:t>med</w:t>
      </w:r>
      <w:r w:rsidRPr="0008481A">
        <w:softHyphen/>
        <w:t>ling och arbetsmarknadsinstitut hos en länsarbetsnämnd för sitt verk</w:t>
      </w:r>
      <w:r w:rsidRPr="0008481A">
        <w:softHyphen/>
        <w:t>sam</w:t>
      </w:r>
      <w:r w:rsidRPr="0008481A">
        <w:softHyphen/>
        <w:t>hets</w:t>
      </w:r>
      <w:r w:rsidRPr="0008481A">
        <w:softHyphen/>
        <w:t>område föra arbetsgivar- och arbetssökanderegister för bl.a. handläggning av ärenden som rör platsförmedling och arbetsförberedande åtgärder i form av vägledning, utbildning och yrkesinriktad rehabilitering. För en arbetssökande får i registret antecknas ett antal uppgifter som kod för medborgarskap, körkortsinnehav, tidpunkter och händelser vid kontakt med arbetsförmed</w:t>
      </w:r>
      <w:r w:rsidRPr="0008481A">
        <w:softHyphen/>
        <w:t>lingen eller arbetsmarknadsinstitutet, beslut om arb</w:t>
      </w:r>
      <w:r w:rsidRPr="0008481A">
        <w:t>etsmark</w:t>
      </w:r>
      <w:r w:rsidRPr="0008481A">
        <w:softHyphen/>
        <w:t>nadspolitiska åtgärder m.m.</w:t>
      </w:r>
    </w:p>
    <w:p w:rsidR="003B3271" w:rsidRPr="0008481A" w:rsidRDefault="003B3271">
      <w:pPr>
        <w:pStyle w:val="Normaltindrag"/>
      </w:pPr>
      <w:r w:rsidRPr="0008481A">
        <w:t>En kod för arbetshandikapp får registeras, men endast med den arbets</w:t>
      </w:r>
      <w:r w:rsidRPr="0008481A">
        <w:softHyphen/>
        <w:t xml:space="preserve">sökandes skriftliga samtycke. Före den 1 juli 1994 – dvs. före tillkomsten av lagen om arbetsförmedlingsregister – gällde att uppgift om arbetshandikapp fick registreras efter tillstånd av Datainspektionen och med stöd av skriftlig dokumentation, framför allt läkarutlåtanden. </w:t>
      </w:r>
    </w:p>
    <w:p w:rsidR="003B3271" w:rsidRPr="0008481A" w:rsidRDefault="003B3271">
      <w:pPr>
        <w:pStyle w:val="Normaltindrag"/>
      </w:pPr>
      <w:r w:rsidRPr="0008481A">
        <w:t>Utredningen ger inte ett klart svar på frågan om D.S. erhållit information om registret och vilken presentationsform som överenskommits. Emellertid framgår att i vart fall uppgifter om D.S:s medborgarskap och innehav av körkort varit</w:t>
      </w:r>
      <w:r w:rsidRPr="0008481A">
        <w:t xml:space="preserve"> felaktiga i registret. Därtill kommer att en anteckning om handikappkod lagts in utan vare sig stöd av skriftlig dokumentation eller med D.S:s skriftliga samtycke. Vid vilken tidpunkt dessa noteringar tillkommit har inte kunnat utredas.</w:t>
      </w:r>
    </w:p>
    <w:p w:rsidR="003B3271" w:rsidRPr="0008481A" w:rsidRDefault="003B3271">
      <w:pPr>
        <w:pStyle w:val="Normaltindrag"/>
      </w:pPr>
      <w:r w:rsidRPr="0008481A">
        <w:t>Det ligger i sakens natur att anteckningar om en arbetssökande i arbets</w:t>
      </w:r>
      <w:r w:rsidRPr="0008481A">
        <w:softHyphen/>
        <w:t>förmedlingens register skall vara korrekta. Som länsarbetsnämnden påpekar kan dylika uppgifter i registret vara av stor betydelse för en arbetssökande och anteckningar måste därför göras med stor noggrannhet. Länsarbets</w:t>
      </w:r>
      <w:r w:rsidRPr="0008481A">
        <w:softHyphen/>
        <w:t>nämnden har i remissvaret förklarat att det ankommer på arbetsförmedlingen att tillsammans med den arbetssökande regelbundet gå igenom och uppdatera vissa grundläggande viktiga uppgifter i registret för att försäkra sig om att inga förändringar skett. Jag delar helt denna uppfattning. Att d</w:t>
      </w:r>
      <w:r w:rsidRPr="0008481A">
        <w:t xml:space="preserve">et förekommer ett antal felaktigheter i förevarande ärende inger i sig betänkligheter. Dessa förstärks i brist på nöjaktiga förklaringar till hur felaktigheterna har uppkommit. Jag välkomnar därför att länsarbetsnämnden – som uppges i yttrandet – överväger åtgärder för att säkerställa att registren innehåller korrekta uppgifter. </w:t>
      </w:r>
    </w:p>
    <w:p w:rsidR="003B3271" w:rsidRPr="0008481A" w:rsidRDefault="003B3271">
      <w:pPr>
        <w:pStyle w:val="Normaltindrag"/>
      </w:pPr>
      <w:r w:rsidRPr="0008481A">
        <w:t>Jag vill framhålla att jag ser särskilt allvarligt på att en kod för arbets</w:t>
      </w:r>
      <w:r w:rsidRPr="0008481A">
        <w:softHyphen/>
        <w:t>handikapp antecknats utan att något stöd föreligger och utan att de regler som gäller i dylika situationer har iakttagits. Då det inte kunnat fastställas vem som infört koden, går jag emellertid inte vidare i saken.</w:t>
      </w:r>
    </w:p>
    <w:p w:rsidR="003B3271" w:rsidRPr="0008481A" w:rsidRDefault="003B3271">
      <w:pPr>
        <w:pStyle w:val="Rubrik2"/>
        <w:spacing w:before="0"/>
      </w:pPr>
      <w:r w:rsidRPr="0008481A">
        <w:br w:type="page"/>
        <w:t>Kan en arbetsförmedling kräva att en sökande skall skriva på svenska? Även fråga om formuleringen av ett sådant krav</w:t>
      </w:r>
    </w:p>
    <w:p w:rsidR="003B3271" w:rsidRPr="0008481A" w:rsidRDefault="003B3271">
      <w:r w:rsidRPr="0008481A">
        <w:t>(Dnr 739-1999)</w:t>
      </w:r>
    </w:p>
    <w:p w:rsidR="003B3271" w:rsidRPr="0008481A" w:rsidRDefault="003B3271">
      <w:pPr>
        <w:pStyle w:val="Rubrik3"/>
      </w:pPr>
      <w:r w:rsidRPr="0008481A">
        <w:t>Anmälan</w:t>
      </w:r>
    </w:p>
    <w:p w:rsidR="003B3271" w:rsidRPr="0008481A" w:rsidRDefault="003B3271">
      <w:r w:rsidRPr="0008481A">
        <w:t>Staffan Lessner inkom, i egenskap av ombud för T.O., med en anmälan mot handläggaren Elisabeth Lundgren vid arbetsförmedlingen i Malmö, en enhet inom Länsarbetsnämnden i Skåne län. Staffan Lessner uppgav som bakgrund till anmälan i huvudsak följande. Arbetsförmedlingen i Malmö tillstyrkte T.O:s ansökan om starta-eget-bidrag samt rekommenderade denne att vidta vissa åtgärder, vilket också skedde. Senare avslogs dock ansökan av arbets</w:t>
      </w:r>
      <w:r w:rsidRPr="0008481A">
        <w:softHyphen/>
        <w:t>förmedlingen. Med anledning av handläggningen yrkade T.O. skade</w:t>
      </w:r>
      <w:r w:rsidRPr="0008481A">
        <w:softHyphen/>
        <w:t xml:space="preserve">stånd hos Arbetsmarknadsstyrelsen (AMS), som avslog hans yrkande. </w:t>
      </w:r>
    </w:p>
    <w:p w:rsidR="003B3271" w:rsidRPr="0008481A" w:rsidRDefault="003B3271">
      <w:pPr>
        <w:pStyle w:val="Normaltindrag"/>
      </w:pPr>
      <w:r w:rsidRPr="0008481A">
        <w:t xml:space="preserve">Staffan Lessner anförde i sin anmälan hos JO bl.a. att Elisabeth Lundgren åsidosatt sin tjänsteplikt genom att inte tillkalla auktoriserad tolk för att förklara bl.a. ”kontraktiva frågor” för T.O. i samband med starta-eget-ärendet. Staffan Lessner gjorde vidare gällande att Elisabeth Lundgren uttryckt sig på ett auktoritärt sätt i ett – icke signerat – brev den 9 maj 1997 till </w:t>
      </w:r>
      <w:r w:rsidRPr="0008481A">
        <w:t>T.O.</w:t>
      </w:r>
    </w:p>
    <w:p w:rsidR="003B3271" w:rsidRPr="0008481A" w:rsidRDefault="003B3271">
      <w:pPr>
        <w:pStyle w:val="Normaltindrag"/>
      </w:pPr>
      <w:r w:rsidRPr="0008481A">
        <w:t xml:space="preserve">Till anmälan hade fogats brevet den 9 maj 1997 från Elisabeth Lundgren, i vilket bl.a. följande anfördes. </w:t>
      </w:r>
    </w:p>
    <w:p w:rsidR="003B3271" w:rsidRPr="0008481A" w:rsidRDefault="003B3271">
      <w:pPr>
        <w:pStyle w:val="Citat"/>
      </w:pPr>
      <w:r w:rsidRPr="0008481A">
        <w:t xml:space="preserve">Jag har emottagit ditt brev på engelska och tackar för detta men då vi befinner oss i Sverige måste jag be dig komma in med en motivering på svenska. </w:t>
      </w:r>
    </w:p>
    <w:p w:rsidR="003B3271" w:rsidRPr="0008481A" w:rsidRDefault="003B3271">
      <w:pPr>
        <w:pStyle w:val="Rubrik3"/>
      </w:pPr>
      <w:r w:rsidRPr="0008481A">
        <w:t>Utredning</w:t>
      </w:r>
    </w:p>
    <w:p w:rsidR="003B3271" w:rsidRPr="0008481A" w:rsidRDefault="003B3271">
      <w:r w:rsidRPr="0008481A">
        <w:t xml:space="preserve">Utredning och yttrande infordrades från Länsarbetsnämnden i Skåne län. I remissen angavs att yttrandet skulle avse främst utformningen av Elisabeth Lundgrens brev. </w:t>
      </w:r>
    </w:p>
    <w:p w:rsidR="003B3271" w:rsidRPr="0008481A" w:rsidRDefault="003B3271">
      <w:r w:rsidRPr="0008481A">
        <w:t>Länsarbetsnämnden anförde bl.a. följande.</w:t>
      </w:r>
    </w:p>
    <w:p w:rsidR="003B3271" w:rsidRPr="0008481A" w:rsidRDefault="003B3271">
      <w:pPr>
        <w:pStyle w:val="Citat"/>
      </w:pPr>
      <w:r w:rsidRPr="0008481A">
        <w:t>Länsarbetsnämnden menar att utformningen av det personliga brevet till T.O. kunde varit mer professionell.</w:t>
      </w:r>
    </w:p>
    <w:p w:rsidR="003B3271" w:rsidRPr="0008481A" w:rsidRDefault="003B3271">
      <w:pPr>
        <w:pStyle w:val="Citatindrag"/>
      </w:pPr>
      <w:r w:rsidRPr="0008481A">
        <w:t xml:space="preserve">Om det finns behov av översättning av brev från arbetsförmedlingens kunder till svenska är det självklart att detta görs. Enligt Förvaltningslagen skall arbetsförmedlingen när så bedöms nödvändigt anlita auktoriserad tolkhjälp. </w:t>
      </w:r>
    </w:p>
    <w:p w:rsidR="003B3271" w:rsidRPr="0008481A" w:rsidRDefault="003B3271">
      <w:pPr>
        <w:pStyle w:val="Citatindrag"/>
      </w:pPr>
      <w:r w:rsidRPr="0008481A">
        <w:t xml:space="preserve">I föreliggande ärende gäller det en person som under ett flertal år (1:a daganteckning är från 1992-11-30) varit arbetssökande. Brevet som innehåller önskemålet om sökandens synpunkter på svenska avsändes för att kunna handlägga en överklagan. </w:t>
      </w:r>
    </w:p>
    <w:p w:rsidR="003B3271" w:rsidRPr="0008481A" w:rsidRDefault="003B3271">
      <w:pPr>
        <w:pStyle w:val="Citatindrag"/>
      </w:pPr>
      <w:r w:rsidRPr="0008481A">
        <w:t xml:space="preserve">Denna gällde ett avslag på Starta Eget där man under ärendets tidigare handläggning kunnat kommunicera på svenska. </w:t>
      </w:r>
    </w:p>
    <w:p w:rsidR="003B3271" w:rsidRPr="0008481A" w:rsidRDefault="003B3271">
      <w:pPr>
        <w:pStyle w:val="Citatindrag"/>
      </w:pPr>
      <w:r w:rsidRPr="0008481A">
        <w:t xml:space="preserve">Tidigare har T.O. varit intresserad av arbetsmarknadsutbildning inom restaurang och storhushåll. En förutsättning för att klara detta är att ha tillräckliga kunskaper i svenska eftersom utbildningsmaterialet är på svenska. </w:t>
      </w:r>
    </w:p>
    <w:p w:rsidR="003B3271" w:rsidRPr="0008481A" w:rsidRDefault="003B3271">
      <w:pPr>
        <w:pStyle w:val="Citatindrag"/>
      </w:pPr>
      <w:r w:rsidRPr="0008481A">
        <w:t xml:space="preserve">Enligt länsarbetsnämndens bedömning är det inte orimligt att ställa krav på att kommunicera på svenska när man varit aktuell som arbetssökande flera år samt att man är intresserad och tror sig klara av en arbetsmarknadsutbildning som är på svenska. </w:t>
      </w:r>
    </w:p>
    <w:p w:rsidR="003B3271" w:rsidRPr="0008481A" w:rsidRDefault="003B3271">
      <w:r w:rsidRPr="0008481A">
        <w:t xml:space="preserve">Staffan Lessner uppgav i en kommentar till remissvaret bl.a. att T.O. avstått från arbetsmarknadsutbildningen inom restaurang och storhushåll just på grund av sina bristande kunskaper i svenska. </w:t>
      </w:r>
    </w:p>
    <w:p w:rsidR="003B3271" w:rsidRPr="0008481A" w:rsidRDefault="003B3271">
      <w:r w:rsidRPr="0008481A">
        <w:t xml:space="preserve">I beslut den 10 december 1999 anförde </w:t>
      </w:r>
      <w:r w:rsidRPr="0008481A">
        <w:rPr>
          <w:i/>
        </w:rPr>
        <w:t>stf. JO Ekberg</w:t>
      </w:r>
      <w:r w:rsidRPr="0008481A">
        <w:t xml:space="preserve"> bl.a. följande.</w:t>
      </w:r>
    </w:p>
    <w:p w:rsidR="003B3271" w:rsidRPr="0008481A" w:rsidRDefault="003B3271">
      <w:pPr>
        <w:pStyle w:val="Normaltindrag"/>
      </w:pPr>
      <w:r w:rsidRPr="0008481A">
        <w:t>Enligt 8 § förvaltningslagen (1986:223) bör en myndighet vid behov anlita tolk när den har att göra med någon som inte behärskar svenska eller som är allvarligt hörsel- eller talskadad. I förarbetena (prop. 1985/86:80 s. 27 f.) anförs att den som behöver tolk vid sina kontakter med myndigheterna bör få sådant bistånd i all rimlig utsträckning, samt att kostnaden för samhällets tolkservice måste stå i rimlig proportion till den betydelse som ärendet har för den enskilde. Det ut</w:t>
      </w:r>
      <w:r w:rsidRPr="0008481A">
        <w:t xml:space="preserve">talas vidare att det självfallet ytterst får bero på en prövning av omständigheterna i det särskilda fallet, om behov av tolkhjälp skall anses föreligga. </w:t>
      </w:r>
    </w:p>
    <w:p w:rsidR="003B3271" w:rsidRPr="0008481A" w:rsidRDefault="003B3271">
      <w:pPr>
        <w:pStyle w:val="Normaltindrag"/>
      </w:pPr>
      <w:r w:rsidRPr="0008481A">
        <w:t xml:space="preserve">I förvaltningslagen används begreppet tolk för att beteckna både den som tolkar muntligen från ett språk till ett annat och den som gör en skriftlig översättning av en handling. Bestämmelsen är därför tillämplig även när det är fråga om översättning av handlingar som ges in till en myndighet. </w:t>
      </w:r>
    </w:p>
    <w:p w:rsidR="003B3271" w:rsidRPr="0008481A" w:rsidRDefault="003B3271">
      <w:pPr>
        <w:pStyle w:val="Normaltindrag"/>
      </w:pPr>
      <w:r w:rsidRPr="0008481A">
        <w:t xml:space="preserve">Som framgår ger lagstiftningen inte stöd vare sig för att en obligatorisk skyldighet att bistå med tolk skall anses föreligga för en myndighet eller för att myndigheten regelmässigt skall översätta alla inkommande handlingar på främmande språk. Om ett dylikt behov föreligger skall bedömas med hänsyn till samtliga omständigheter i ett ärende, som t.ex. ärendets mer eller mindre invecklade beskaffenhet och ärendets vikt för den enskilde. </w:t>
      </w:r>
    </w:p>
    <w:p w:rsidR="003B3271" w:rsidRPr="0008481A" w:rsidRDefault="003B3271">
      <w:pPr>
        <w:pStyle w:val="Normaltindrag"/>
      </w:pPr>
      <w:r w:rsidRPr="0008481A">
        <w:t>Det skall alltså ske en prövning i det särskilda fallet när en fråga om tolkhjälp eller översättning aktualiseras hos en myndighet. Elisabeth Lundgren har emellertid i sitt brev till T.O. hänvisat till att ”vi befinner oss i Sverige” som skäl för att inte acceptera hans skrivelse på engelska och låta översätta den. Med hänsyn till hur hon formulerat sig är det enligt min mening uppenbart att någon prövning av behovet av översättning inte gjorts. Det ankommer inte på mig, som inte heller har tillräckligt un</w:t>
      </w:r>
      <w:r w:rsidRPr="0008481A">
        <w:t xml:space="preserve">derlag, att uttala mig om hur en sådan bedömning borde ha utfallit. </w:t>
      </w:r>
    </w:p>
    <w:p w:rsidR="003B3271" w:rsidRPr="0008481A" w:rsidRDefault="003B3271">
      <w:pPr>
        <w:pStyle w:val="Normaltindrag"/>
      </w:pPr>
      <w:r w:rsidRPr="0008481A">
        <w:t>Jag ställer mig också mycket kritisk till formuleringen i Elisabeth Lundgrens brev. Det åligger självfallet en befattningshavare vid en myndig</w:t>
      </w:r>
      <w:r w:rsidRPr="0008481A">
        <w:softHyphen/>
        <w:t>het att bemöta en enskild på ett korrekt och hövligt sätt. Ironiska formu</w:t>
      </w:r>
      <w:r w:rsidRPr="0008481A">
        <w:softHyphen/>
        <w:t>leringar – som jag närmast uppfattar det som – hör inte hemma i detta sammanhang. Jag noterar att länsarbetsnämnden synes dela min uppfattning om det olämpliga i uttryckssättet i brevet.</w:t>
      </w:r>
    </w:p>
    <w:p w:rsidR="003B3271" w:rsidRPr="0008481A" w:rsidRDefault="003B3271">
      <w:pPr>
        <w:pStyle w:val="Rubrik2"/>
        <w:spacing w:before="0"/>
      </w:pPr>
      <w:r w:rsidRPr="0008481A">
        <w:br w:type="page"/>
        <w:t>Överenskommelse har träffats om återbetalning av felaktigt utgiven arbetslöshetsersättning genom avräkning vid senare utbetalning av arbetslöshetsersättning. Fråga om kvittnings</w:t>
      </w:r>
      <w:r w:rsidRPr="0008481A">
        <w:softHyphen/>
        <w:t>överenskommelsen kunde betecknas som frivillig. Även fråga om arbetslöshetskassans ansvar att beakta den återbetalnings</w:t>
      </w:r>
      <w:r w:rsidRPr="0008481A">
        <w:softHyphen/>
        <w:t>skyldiges sociala situation</w:t>
      </w:r>
    </w:p>
    <w:p w:rsidR="003B3271" w:rsidRPr="0008481A" w:rsidRDefault="003B3271">
      <w:r w:rsidRPr="0008481A">
        <w:t>(Dnr 1352-1998)</w:t>
      </w:r>
    </w:p>
    <w:p w:rsidR="003B3271" w:rsidRPr="0008481A" w:rsidRDefault="003B3271">
      <w:pPr>
        <w:pStyle w:val="Rubrik3"/>
      </w:pPr>
      <w:r w:rsidRPr="0008481A">
        <w:t>Bakgrund</w:t>
      </w:r>
    </w:p>
    <w:p w:rsidR="003B3271" w:rsidRPr="0008481A" w:rsidRDefault="003B3271">
      <w:r w:rsidRPr="0008481A">
        <w:t>Statstjänstemännens arbetslöshetskassa (SEA) beslöt den 13 november 1997 att L.H. inte skulle anses vara arbetslös i arbetslöshetsförsäkringens mening under perioden den 1 januari 1995–den 4 februari 1996 och att han skulle återbetala vad  han under denna period erhållit i arbetslöshetsersättning med 113 615 kr. Som motivering angav kassan att L.H. under perioden bedrivit egen verksamhet och att han förfarit svikligt mot kassan och brustit i sin skyldighet att anmäla ändrade förhållanden. I beslutet angavs</w:t>
      </w:r>
      <w:r w:rsidRPr="0008481A">
        <w:t xml:space="preserve"> vidare att L.H. för det fall han inte kunde betala tillbaka hela beloppet på en gång kunde skriftligen lämna ett förslag till en avbetalningsplan som kassan skulle ta ställning till. </w:t>
      </w:r>
    </w:p>
    <w:p w:rsidR="003B3271" w:rsidRPr="0008481A" w:rsidRDefault="003B3271">
      <w:pPr>
        <w:pStyle w:val="Normaltindrag"/>
      </w:pPr>
      <w:r w:rsidRPr="0008481A">
        <w:t>Den 18 november 1997 sände L.H. över ett förslag till avbetalningsplan innebärande en återbetalning med 500 kr per vecka. Förslaget godtogs av kassan genom en som beslut betecknad skrivelse den 25 november 1997. I en förbindelse den 27 november 1997 bekräftade L.H. att han skulle återbetala sin skuld med det angivna beloppet.</w:t>
      </w:r>
    </w:p>
    <w:p w:rsidR="003B3271" w:rsidRPr="0008481A" w:rsidRDefault="003B3271">
      <w:pPr>
        <w:pStyle w:val="Normaltindrag"/>
      </w:pPr>
      <w:r w:rsidRPr="0008481A">
        <w:t>L.H. begärde därefter omprövning av kassans beslut den 13 november 1997. Vid omprövning den 2 februari 1998 vidhöll kassan beslutet. Läns</w:t>
      </w:r>
      <w:r w:rsidRPr="0008481A">
        <w:softHyphen/>
        <w:t>rätten i Stockholms län har sedermera genom dom den 30 september 1998 avslagit L.H:s dit anförda överklagande av kassans omprövningsbeslut.</w:t>
      </w:r>
    </w:p>
    <w:p w:rsidR="003B3271" w:rsidRPr="0008481A" w:rsidRDefault="003B3271">
      <w:pPr>
        <w:pStyle w:val="Rubrik3"/>
      </w:pPr>
      <w:r w:rsidRPr="0008481A">
        <w:t>Anmälan</w:t>
      </w:r>
    </w:p>
    <w:p w:rsidR="003B3271" w:rsidRPr="0008481A" w:rsidRDefault="003B3271">
      <w:r w:rsidRPr="0008481A">
        <w:t>Den 6 april 1998 inkom L.H. med en anmälan till JO mot arbetslös</w:t>
      </w:r>
      <w:r w:rsidRPr="0008481A">
        <w:softHyphen/>
        <w:t>hetskassan. Han anförde att han hade tvingats under utpressningsliknande förhållanden att acceptera en återbetalningsplan som innebar att han måste leva på ett belopp som underskred fastställt existensminimum med 2 000 kr per månad. Genom förfarandet med en överenskommelse hade han förlorat möjligheten att överklaga saken. Han begärde att JO skulle utreda om kassans återkrav hade skett i enlighet med gällande bestämmelser, såväl vad gällde kassans tillvägagångssätt som dess tolkning av begreppet ”skäligt b</w:t>
      </w:r>
      <w:r w:rsidRPr="0008481A">
        <w:t>elopp” i återbetalningsbestämmelsen i 36 § lagen om arbetslöshets</w:t>
      </w:r>
      <w:r w:rsidRPr="0008481A">
        <w:softHyphen/>
        <w:t>för</w:t>
      </w:r>
      <w:r w:rsidRPr="0008481A">
        <w:softHyphen/>
        <w:t>säk</w:t>
      </w:r>
      <w:r w:rsidRPr="0008481A">
        <w:softHyphen/>
        <w:t>ring. Han gjorde vidare gällande att handläggare vid kassan brustit i sin skyldighet att informera honom eftersom han trots begäran inte fått besked om ”var i regelverket det står att kassan får dra belopp under existens</w:t>
      </w:r>
      <w:r w:rsidRPr="0008481A">
        <w:softHyphen/>
        <w:t>minimum”.</w:t>
      </w:r>
    </w:p>
    <w:p w:rsidR="003B3271" w:rsidRPr="0008481A" w:rsidRDefault="003B3271">
      <w:pPr>
        <w:pStyle w:val="Normaltindrag"/>
      </w:pPr>
      <w:r w:rsidRPr="0008481A">
        <w:t>Till anmälan hade fogats L.H:s förslag den 18 november 1997 till avbetalningsplan ställt till tjänstemannen Carina Rönnlöf vid kassan. Förslaget hade följande lydelse:</w:t>
      </w:r>
    </w:p>
    <w:p w:rsidR="003B3271" w:rsidRPr="0008481A" w:rsidRDefault="003B3271">
      <w:pPr>
        <w:pStyle w:val="Citat"/>
      </w:pPr>
      <w:r w:rsidRPr="0008481A">
        <w:t>Efter kontakt med Carina Rönnlöf ber jag att få lämna förslag till avbetalningsplan.</w:t>
      </w:r>
    </w:p>
    <w:p w:rsidR="003B3271" w:rsidRPr="0008481A" w:rsidRDefault="003B3271">
      <w:pPr>
        <w:pStyle w:val="Citatindrag"/>
      </w:pPr>
      <w:r w:rsidRPr="0008481A">
        <w:t xml:space="preserve">Enligt ert beslut från 1997-11-13 anser ni att jag är skyldig att återbetala 113.615:- till SEA. Jag anser att ert beslut är fattat på felaktiga grunder och kommer att överklaga ärendet inom angiven tid (två månader). Ni hävdar att återbetalning omedelbart skall påbörjas utan att frågan om skuld slutgiltigt är avgjord. </w:t>
      </w:r>
    </w:p>
    <w:p w:rsidR="003B3271" w:rsidRPr="0008481A" w:rsidRDefault="003B3271">
      <w:pPr>
        <w:pStyle w:val="Citatindrag"/>
      </w:pPr>
      <w:r w:rsidRPr="0008481A">
        <w:t xml:space="preserve">Carina Rönnlöf hävdar att en påbörjad återbetalning ej innebär att jag accepterar skulden och att jag därför fortfarande har möjlighet att överklaga. </w:t>
      </w:r>
    </w:p>
    <w:p w:rsidR="003B3271" w:rsidRPr="0008481A" w:rsidRDefault="003B3271">
      <w:pPr>
        <w:pStyle w:val="Citatindrag"/>
      </w:pPr>
      <w:r w:rsidRPr="0008481A">
        <w:rPr>
          <w:sz w:val="20"/>
        </w:rPr>
        <w:t xml:space="preserve">Carina hävdar även att jag ej har rätt till existensminimum, vilket jag anser att jag har. </w:t>
      </w:r>
    </w:p>
    <w:p w:rsidR="003B3271" w:rsidRPr="0008481A" w:rsidRDefault="003B3271">
      <w:pPr>
        <w:pStyle w:val="Citatindrag"/>
      </w:pPr>
      <w:r w:rsidRPr="0008481A">
        <w:rPr>
          <w:sz w:val="20"/>
        </w:rPr>
        <w:t>På en direkt fråga om vad SEA kan anse är ett rimligt belopp att återbetala per månad, kom hon fram till att min nuvarande a-kassenivå ska vara 1.505:-/vecka efter skatt och hon ansåg att jag borde kunna betala tillbaka i en takt av 500:-/vecka.</w:t>
      </w:r>
    </w:p>
    <w:p w:rsidR="003B3271" w:rsidRPr="0008481A" w:rsidRDefault="003B3271">
      <w:pPr>
        <w:pStyle w:val="Citatindrag"/>
      </w:pPr>
      <w:r w:rsidRPr="0008481A">
        <w:rPr>
          <w:sz w:val="20"/>
        </w:rPr>
        <w:t>För att få andrum i detta läge som jag betraktar som ej förhandlingsbart från er sida, eftersom min enda försörjning utgörs av de pengar som jag får från SEA, accepterar jag hennes förslag och krav.</w:t>
      </w:r>
    </w:p>
    <w:p w:rsidR="003B3271" w:rsidRPr="0008481A" w:rsidRDefault="003B3271">
      <w:pPr>
        <w:pStyle w:val="Citatindrag"/>
      </w:pPr>
      <w:r w:rsidRPr="0008481A">
        <w:rPr>
          <w:sz w:val="20"/>
        </w:rPr>
        <w:t>Om detta förslag till avbetalningsplan accepteras av er, ber jag att ni snarast möjligt betalar ut de pengar som ni har innehållit sedan 1997-09-25.</w:t>
      </w:r>
    </w:p>
    <w:p w:rsidR="003B3271" w:rsidRPr="0008481A" w:rsidRDefault="003B3271">
      <w:r w:rsidRPr="0008481A">
        <w:t>Vidare hade till anmälan fogats kassans svar den 25 november 1997 av följande lydelse.</w:t>
      </w:r>
    </w:p>
    <w:p w:rsidR="003B3271" w:rsidRPr="0008481A" w:rsidRDefault="003B3271">
      <w:r w:rsidRPr="0008481A">
        <w:t>BESLUT ANGÅENDE FÖRESLAGEN AVBETALNINGSPLAN</w:t>
      </w:r>
    </w:p>
    <w:p w:rsidR="003B3271" w:rsidRPr="0008481A" w:rsidRDefault="003B3271">
      <w:pPr>
        <w:pStyle w:val="Citat"/>
      </w:pPr>
      <w:r w:rsidRPr="0008481A">
        <w:t>Till Statstjänstemännens Arbetslöshetskassa (SEA) har den 18 november 1997 inkommit en begäran från dig om att få göra återbetalning av den skuld du har till SEA med 500 kronor/vecka.</w:t>
      </w:r>
    </w:p>
    <w:p w:rsidR="003B3271" w:rsidRPr="0008481A" w:rsidRDefault="003B3271">
      <w:pPr>
        <w:pStyle w:val="Citatindrag"/>
      </w:pPr>
      <w:r w:rsidRPr="0008481A">
        <w:t>SEA accepterar att du återbetalar din skuld med det belopp motsvarande 500 kronor/vecka (2 000 kronor/månad). Så snart SEA erhållit bifogade förbindelse kommer SEA att ombesörja utbetalning av innehållen arbets</w:t>
      </w:r>
      <w:r w:rsidRPr="0008481A">
        <w:softHyphen/>
        <w:t>löshetsersättning med avdrag för det överenskomna återbetalnings</w:t>
      </w:r>
      <w:r w:rsidRPr="0008481A">
        <w:softHyphen/>
        <w:t>beloppet.</w:t>
      </w:r>
    </w:p>
    <w:p w:rsidR="003B3271" w:rsidRPr="0008481A" w:rsidRDefault="003B3271">
      <w:pPr>
        <w:pStyle w:val="Rubrik3"/>
      </w:pPr>
      <w:r w:rsidRPr="0008481A">
        <w:t>Utredning</w:t>
      </w:r>
    </w:p>
    <w:p w:rsidR="003B3271" w:rsidRPr="0008481A" w:rsidRDefault="003B3271">
      <w:r w:rsidRPr="0008481A">
        <w:t>Ärendet remitterades till Arbetsmarknadsstyrelsen (AMS) för utredning och yttrande. I remissen angavs att kassans handläggning av "kvittningsfrågan" särskilt skulle kommenteras.</w:t>
      </w:r>
    </w:p>
    <w:p w:rsidR="003B3271" w:rsidRPr="0008481A" w:rsidRDefault="003B3271">
      <w:r w:rsidRPr="0008481A">
        <w:t>SEA anförde i ett yttrande som fogats till remissvaret bl.a. följande.</w:t>
      </w:r>
    </w:p>
    <w:p w:rsidR="003B3271" w:rsidRPr="0008481A" w:rsidRDefault="003B3271">
      <w:pPr>
        <w:pStyle w:val="Citat"/>
      </w:pPr>
      <w:r w:rsidRPr="0008481A">
        <w:t>Vad gäller frågan om skäligt belopp enligt 36 § ALF ger tillämpnings</w:t>
      </w:r>
      <w:r w:rsidRPr="0008481A">
        <w:softHyphen/>
        <w:t>bestämmelserna till nämnda avsnitt ingen ledning – – –.</w:t>
      </w:r>
    </w:p>
    <w:p w:rsidR="003B3271" w:rsidRPr="0008481A" w:rsidRDefault="003B3271">
      <w:pPr>
        <w:pStyle w:val="Citatindrag"/>
      </w:pPr>
      <w:r w:rsidRPr="0008481A">
        <w:t>SEA avstår från försöket att semantiskt tolka frågan om "skäligt belopp" men vill i sammanhanget konstatera att även återbetalningstiden bör vara rimlig till sin längd. Med nuvarande återbetalningstakt kommer skulden att vara återbetald först om drygt 4 ½ år under förutsättning att ingen ändring sker av avbetalningstakten. Vad som kommer bort i den juridiska hante</w:t>
      </w:r>
      <w:r w:rsidRPr="0008481A">
        <w:softHyphen/>
        <w:t>ringen är att L.H. enligt SEA:s mening oriktigt erhållit 113.615:- kr i arbets</w:t>
      </w:r>
      <w:r w:rsidRPr="0008481A">
        <w:softHyphen/>
        <w:t xml:space="preserve">löshetsersättning. I denna fråga pågår Länsrättens prövning. SEA välkomnar ett framtida riktvärde om vad som skall anses vara skäligt belopp enligt 36 § (nuvarande 68 §) ALF. Detta skulle i många fall avsevärt underlätta kassans beslut i återbetalningsärenden. </w:t>
      </w:r>
    </w:p>
    <w:p w:rsidR="003B3271" w:rsidRPr="0008481A" w:rsidRDefault="003B3271">
      <w:pPr>
        <w:pStyle w:val="Citat"/>
      </w:pPr>
      <w:r w:rsidRPr="0008481A">
        <w:t>– – –</w:t>
      </w:r>
    </w:p>
    <w:p w:rsidR="003B3271" w:rsidRPr="0008481A" w:rsidRDefault="003B3271">
      <w:pPr>
        <w:pStyle w:val="Citat"/>
      </w:pPr>
      <w:r w:rsidRPr="0008481A">
        <w:t xml:space="preserve">SEA avvisar bestämt medlemmens påstående om "utpressning" eller utpressningsliknande förhållanden. Varje medlem behandlas korrekt och sakligt. </w:t>
      </w:r>
    </w:p>
    <w:p w:rsidR="003B3271" w:rsidRPr="0008481A" w:rsidRDefault="003B3271">
      <w:r w:rsidRPr="0008481A">
        <w:t>Försäkringsenheten vid AMS uppgav bl.a. följande.</w:t>
      </w:r>
    </w:p>
    <w:p w:rsidR="003B3271" w:rsidRPr="0008481A" w:rsidRDefault="003B3271">
      <w:pPr>
        <w:pStyle w:val="Citat"/>
      </w:pPr>
      <w:r w:rsidRPr="0008481A">
        <w:t>Återkravet som ligger till grund för L.H:s klagomål är beslutat med stöd av 36 § lagen (1973:370) om arbetslöshetsförsäkring. I 36 § andra stycket anges att skäligt belopp får vid senare utbetalning innehållas i avräkning på vad som betalats ut för mycket. Bestämmelsen om återbetalningsskyldighet har numera sin motsvarighet i 68 § lagen (1997:238) om arbetslöshetsförsäkring.</w:t>
      </w:r>
    </w:p>
    <w:p w:rsidR="003B3271" w:rsidRPr="0008481A" w:rsidRDefault="003B3271">
      <w:pPr>
        <w:pStyle w:val="Citatindrag"/>
      </w:pPr>
      <w:r w:rsidRPr="0008481A">
        <w:t>Arbetsmarknadsstyrelsen har inte meddelat föreskrifter eller på annat sätt definierat vad som är ett skäligt belopp. Det måste bedömas vad som är skäligt med hänsyn till förhållandena i varje enskilt fall. Bedömningen skall givetvis innefatta ett hänsynstagande till ersättningens betydelse för ersätt</w:t>
      </w:r>
      <w:r w:rsidRPr="0008481A">
        <w:softHyphen/>
        <w:t>ningstagarens och hans familjs försörjning, men sådana faktorer som beloppets storlek och hur lång tid återbetalningen skulle ta måste också vägas in. Det ankommer således på kassan att överenskomma med sin medlem om betalningssätt och storlek av återbetalningsbelopp. Är parterna överens torde beloppen som skall återbetalas upplevas som skäliga. Enligt Försäkrings</w:t>
      </w:r>
      <w:r w:rsidRPr="0008481A">
        <w:softHyphen/>
        <w:t>enheten bör i första hand kassan försöka överenskomma med medlemmen om en återbetalning av hela det belopp som personen erhållit för mycket. Kvi</w:t>
      </w:r>
      <w:r w:rsidRPr="0008481A">
        <w:t xml:space="preserve">ttningsregeln blir aktuell först då en sådan uppgörelse inte kan nås. </w:t>
      </w:r>
    </w:p>
    <w:p w:rsidR="003B3271" w:rsidRPr="0008481A" w:rsidRDefault="003B3271">
      <w:pPr>
        <w:pStyle w:val="Citatindrag"/>
      </w:pPr>
      <w:r w:rsidRPr="0008481A">
        <w:t>Av Arbetsmarknadsstyrelsens regelbok för arbetslöshetskassor framgår att kassan i första hand skall söka få till stånd frivillig återbetalning. För det fall den återbetalningsskyldige, trots påminnelser eller förnyade krav, missköter eller på annat sätt motsätter sig betalning, bör kassan göra en ansökan om betalningsföreläggande och verkställighet hos Kronofogdemyndigheten. Kassan bör då också göra en bedömning om indrivningsåtgärder me</w:t>
      </w:r>
      <w:r w:rsidRPr="0008481A">
        <w:t xml:space="preserve">d hjälp av kronofogde är meningsfulla, dvs om möjlighet synes föreligga att få betalning för fordringen och, om så är fallet, om arbete och kostnader för indrivningen är skäliga i förhållande till det återbetalningspliktiga beloppet. Om beloppet överstiger åtta gånger gällande högsta dagpenning bör sådan indrivningsåtgärd vidtagas. </w:t>
      </w:r>
    </w:p>
    <w:p w:rsidR="003B3271" w:rsidRPr="0008481A" w:rsidRDefault="003B3271">
      <w:pPr>
        <w:pStyle w:val="Citatindrag"/>
      </w:pPr>
      <w:r w:rsidRPr="0008481A">
        <w:rPr>
          <w:sz w:val="20"/>
        </w:rPr>
        <w:t>En arbetslöshetskassa saknar tillräcklig insyn i den enskilde med</w:t>
      </w:r>
      <w:r w:rsidRPr="0008481A">
        <w:rPr>
          <w:sz w:val="20"/>
        </w:rPr>
        <w:softHyphen/>
        <w:t xml:space="preserve">lemmens samlade ekonomi för att kunna göra en adekvat bedömning av vad som får anses vara existensminimum. Kronofogdemyndigheten är den myndighet </w:t>
      </w:r>
      <w:r w:rsidRPr="0008481A">
        <w:rPr>
          <w:sz w:val="20"/>
        </w:rPr>
        <w:tab/>
        <w:t>som kan verkställa en dom eller utfärda ett betalnings</w:t>
      </w:r>
      <w:r w:rsidRPr="0008481A">
        <w:rPr>
          <w:sz w:val="20"/>
        </w:rPr>
        <w:softHyphen/>
        <w:t>föreläggande som kan ligga till grund för verkställighet (utmätning). Denna myndighet har möjlighet att göra en sådan fullständig utredning om den återbetalningsskyldiges ekonomiska situation som krävs för att kunna fastställa vederbörandes existensminimum. Kassans möjlighet att kräva ersättningstagaren på b</w:t>
      </w:r>
      <w:r w:rsidRPr="0008481A">
        <w:rPr>
          <w:sz w:val="20"/>
        </w:rPr>
        <w:t>etalning bygger enbart på överens</w:t>
      </w:r>
      <w:r w:rsidRPr="0008481A">
        <w:rPr>
          <w:sz w:val="20"/>
        </w:rPr>
        <w:softHyphen/>
        <w:t xml:space="preserve">kommelser med den enskilde. </w:t>
      </w:r>
    </w:p>
    <w:p w:rsidR="003B3271" w:rsidRPr="0008481A" w:rsidRDefault="003B3271">
      <w:pPr>
        <w:pStyle w:val="Citatindrag"/>
      </w:pPr>
      <w:r w:rsidRPr="0008481A">
        <w:rPr>
          <w:sz w:val="20"/>
        </w:rPr>
        <w:t>Kassan har tillsammans med L.H. gjort upp en avbetalningsplan. Eftersom en överenskommelse har träffats mellan kassan och L.H. har hittills anledning inte funnits för kassan att överlämna hanteringen till Kronofogdemyndigheten. Det finns emellertid anledning för kassan att nu överväga ett sådant överlämnande enär L.H. motsätter sig en avbetalning på det sätt som överenskommits och det sammanlagda beloppet som kassan har beslutat att återkräva de</w:t>
      </w:r>
      <w:r w:rsidRPr="0008481A">
        <w:rPr>
          <w:sz w:val="20"/>
        </w:rPr>
        <w:t>ssutom är drygt 113.000 kronor.</w:t>
      </w:r>
      <w:r w:rsidRPr="0008481A">
        <w:rPr>
          <w:sz w:val="20"/>
        </w:rPr>
        <w:tab/>
      </w:r>
    </w:p>
    <w:p w:rsidR="003B3271" w:rsidRPr="0008481A" w:rsidRDefault="003B3271">
      <w:pPr>
        <w:pStyle w:val="Citatindrag"/>
      </w:pPr>
      <w:r w:rsidRPr="0008481A">
        <w:t>Försäkringsenheten finner inte att Statstjänstemännens arbetslöshets</w:t>
      </w:r>
      <w:r w:rsidRPr="0008481A">
        <w:softHyphen/>
        <w:t>kassa i detta ärende handlagt kvittningsfrågan på sätt som avviker från vad Arbetsmarknadsstyrelsen har rekommenderat.</w:t>
      </w:r>
    </w:p>
    <w:p w:rsidR="003B3271" w:rsidRPr="0008481A" w:rsidRDefault="003B3271">
      <w:pPr>
        <w:spacing w:before="0"/>
      </w:pPr>
      <w:r w:rsidRPr="0008481A">
        <w:t>AMS anförde för egen del följande.</w:t>
      </w:r>
    </w:p>
    <w:p w:rsidR="003B3271" w:rsidRPr="0008481A" w:rsidRDefault="003B3271">
      <w:pPr>
        <w:pStyle w:val="Citat"/>
      </w:pPr>
      <w:r w:rsidRPr="0008481A">
        <w:t xml:space="preserve">Som framgår av utredningen finns det författningsenligt stöd för att innehålla arbetslöshetsersättning i avräkning på belopp som skall återbetalas. I detta fall finns en överenskommelse mellan L.H. och arbetslöshetskassan om hur återbetalningsskyldigheten skall fullgöras. Det finns inget som tyder på att denna överenskommelse skulle ha tvingats fram på något obehörigt sätt av arbetslöshetskassan. </w:t>
      </w:r>
    </w:p>
    <w:p w:rsidR="003B3271" w:rsidRPr="0008481A" w:rsidRDefault="003B3271">
      <w:pPr>
        <w:pStyle w:val="Citatindrag"/>
      </w:pPr>
      <w:r w:rsidRPr="0008481A">
        <w:t>AMS delar den bedömning som har gjorts av Försäkringsenheten att det inte finns fog för något antagande att arbetslöshetskassan handlagt ärendet på något felaktigt sätt.</w:t>
      </w:r>
    </w:p>
    <w:p w:rsidR="003B3271" w:rsidRPr="0008481A" w:rsidRDefault="003B3271">
      <w:pPr>
        <w:pStyle w:val="Citatindrag"/>
      </w:pPr>
      <w:r w:rsidRPr="0008481A">
        <w:t>Även i övrigt ansluter sig AMS till de bedömningar som Försäkring</w:t>
      </w:r>
      <w:r w:rsidRPr="0008481A">
        <w:softHyphen/>
        <w:t>s</w:t>
      </w:r>
      <w:r w:rsidRPr="0008481A">
        <w:softHyphen/>
        <w:t>enheten har gjort.</w:t>
      </w:r>
    </w:p>
    <w:p w:rsidR="003B3271" w:rsidRPr="0008481A" w:rsidRDefault="003B3271">
      <w:r w:rsidRPr="0008481A">
        <w:t xml:space="preserve">I beslut den 30 december 1999 anförde </w:t>
      </w:r>
      <w:r w:rsidRPr="0008481A">
        <w:rPr>
          <w:i/>
        </w:rPr>
        <w:t>stf. JO Ekberg</w:t>
      </w:r>
      <w:r w:rsidRPr="0008481A">
        <w:t xml:space="preserve"> följande.</w:t>
      </w:r>
    </w:p>
    <w:p w:rsidR="003B3271" w:rsidRPr="0008481A" w:rsidRDefault="003B3271">
      <w:pPr>
        <w:pStyle w:val="Rubrik3"/>
      </w:pPr>
      <w:r w:rsidRPr="0008481A">
        <w:t>Rättslig reglering m.m.</w:t>
      </w:r>
    </w:p>
    <w:p w:rsidR="003B3271" w:rsidRPr="0008481A" w:rsidRDefault="003B3271">
      <w:r w:rsidRPr="0008481A">
        <w:t>Vid den i ärendet aktuella tidpunkten gällde lagen (1973:370) om arbets</w:t>
      </w:r>
      <w:r w:rsidRPr="0008481A">
        <w:softHyphen/>
        <w:t>lös</w:t>
      </w:r>
      <w:r w:rsidRPr="0008481A">
        <w:softHyphen/>
        <w:t>hetsförsäkring. Enligt 36 § skulle under vissa omständigheter återbetalning ske av utbetald arbetslöshetsersättning. I samma lagrum, andra stycket, föreskrevs att om det förelåg en sådan återbetalningsskyldighet fick vid senare utbetalning av arbetslöshetsersättning skäligt belopp innehållas i avräkning på vad som betalats ut för mycket. Enligt 102 § gällde en arbetslöshetskassas beslut omedelbart, om inte annat angavs i beslutet eller bestämdes av den myndighet som skulle pröva beslutet. Motsvarande b</w:t>
      </w:r>
      <w:r w:rsidRPr="0008481A">
        <w:t>estämmelser återfinns numera i lagen (1997:238) om arbetslöshets</w:t>
      </w:r>
      <w:r w:rsidRPr="0008481A">
        <w:softHyphen/>
        <w:t xml:space="preserve">försäkring. </w:t>
      </w:r>
    </w:p>
    <w:p w:rsidR="003B3271" w:rsidRPr="0008481A" w:rsidRDefault="003B3271">
      <w:pPr>
        <w:pStyle w:val="Normaltindrag"/>
      </w:pPr>
      <w:r w:rsidRPr="0008481A">
        <w:t>Vid tillkomsten av bestämmelsen om att skäligt belopp fick innehållas vid senare utbetalning anfördes i förarbetena (prop. 1973:56, s. 237) att regeln infördes efter mönster av 20 kap. 4 § lagen (1962:381) om allmän försäkring (AFL). I förarbetena till AFL uttalades (prop. 1962:90 s. 384) att möj</w:t>
      </w:r>
      <w:r w:rsidRPr="0008481A">
        <w:softHyphen/>
        <w:t>lig</w:t>
      </w:r>
      <w:r w:rsidRPr="0008481A">
        <w:softHyphen/>
        <w:t xml:space="preserve">heterna till kvittning måste begagnas med urskillning och att skälig hänsyn i varje särskilt fall måste tas till den ersättningsberättigades och hans familjs försörjning. </w:t>
      </w:r>
    </w:p>
    <w:p w:rsidR="003B3271" w:rsidRPr="0008481A" w:rsidRDefault="003B3271">
      <w:pPr>
        <w:pStyle w:val="Normaltindrag"/>
      </w:pPr>
      <w:r w:rsidRPr="0008481A">
        <w:t>Bestämmelsen i lagen om arbetslöshetsförsäkring ger arbetslöshetskassan rätt att genomföra s.k. tvungen kvittning. Härmed avses att myndigheten ensidigt genomför kvittningen genom att den avger en kvittningsförklaring, dvs. en till mottagaren riktad förklaring att myndigheten avräknar sin fordran på återbetalning mot mottagarens ford</w:t>
      </w:r>
      <w:r w:rsidRPr="0008481A">
        <w:t>ran på senare utfallande arbetslös</w:t>
      </w:r>
      <w:r w:rsidRPr="0008481A">
        <w:softHyphen/>
        <w:t>hetsersättning. En kvittning kan också baseras på en överenskommelse mellan myndigheten och ersättningsmottagaren. Mottaga</w:t>
      </w:r>
      <w:r w:rsidRPr="0008481A">
        <w:softHyphen/>
        <w:t>rens medgivande vid en dylik överenskommelse skall dock vara ”frivillig”, dvs. denne måste ha uppfattat situationen så att han verkligen haft en val</w:t>
      </w:r>
      <w:r w:rsidRPr="0008481A">
        <w:softHyphen/>
        <w:t xml:space="preserve">möjlighet (se bl.a. Lavin, Återbetalning av social ersättning, s. 186). </w:t>
      </w:r>
    </w:p>
    <w:p w:rsidR="003B3271" w:rsidRPr="0008481A" w:rsidRDefault="003B3271">
      <w:pPr>
        <w:pStyle w:val="Rubrik3"/>
      </w:pPr>
      <w:r w:rsidRPr="0008481A">
        <w:t>Bedömning</w:t>
      </w:r>
    </w:p>
    <w:p w:rsidR="003B3271" w:rsidRPr="0008481A" w:rsidRDefault="003B3271">
      <w:r w:rsidRPr="0008481A">
        <w:t>Jag konstaterar att kassan den 13 november 1997 hade fattat ett beslut som innebar att L.H. skulle återbetala 113 615 kr som han enligt kassans mening uppburit felaktigt. Beslutet gällde som framgår av redogörelsen ovan omedelbart. Det ålåg därför kassan att vidta åtgärder för att verkställa beslutet och detta i princip utan avvaktande av att det vunnit laga kraft. Om L.H. ville uppskjuta verkställigheten hade han möjlighet att göra detta genom att överklaga återbetalningsbeslutet och i det sammanhanget be</w:t>
      </w:r>
      <w:r w:rsidRPr="0008481A">
        <w:t>gära in</w:t>
      </w:r>
      <w:r w:rsidRPr="0008481A">
        <w:softHyphen/>
        <w:t>hi</w:t>
      </w:r>
      <w:r w:rsidRPr="0008481A">
        <w:softHyphen/>
        <w:t>bi</w:t>
      </w:r>
      <w:r w:rsidRPr="0008481A">
        <w:softHyphen/>
        <w:t>tion. Han överklagade visserligen beslutet men framställde inte något yrkande om inhibition.</w:t>
      </w:r>
    </w:p>
    <w:p w:rsidR="003B3271" w:rsidRPr="0008481A" w:rsidRDefault="003B3271">
      <w:pPr>
        <w:pStyle w:val="Normaltindrag"/>
      </w:pPr>
      <w:r w:rsidRPr="0008481A">
        <w:t xml:space="preserve">L.H. förefaller i stället ha varit inställd på att inleda återbetalning av det fastställda beloppet utan att avvakta utgången av ett överklagande. Han var också – såvitt framgår av omständigheterna – beredd att låta återbetalningen ske genom kvittning av honom tillkommande löpande utbetalningar av arbetslöshetsersättning. </w:t>
      </w:r>
    </w:p>
    <w:p w:rsidR="003B3271" w:rsidRPr="0008481A" w:rsidRDefault="003B3271">
      <w:pPr>
        <w:pStyle w:val="Normaltindrag"/>
      </w:pPr>
      <w:r w:rsidRPr="0008481A">
        <w:t>Jag ser därför inte något fel i att arbetslöshetskassan tog upp en diskussion med L.H. om en överenskommelse om återbetalning genom kvittning. En frivillig lösning av problemet kan ofta vara att föredra eftersom den åter</w:t>
      </w:r>
      <w:r w:rsidRPr="0008481A">
        <w:softHyphen/>
        <w:t>betalningspliktige därigenom själv kan ta ansvar för sin del i upp</w:t>
      </w:r>
      <w:r w:rsidRPr="0008481A">
        <w:softHyphen/>
        <w:t>görelsen. Ett sådant alternativ torde också positivt främja resultatet av avbetalningen av skulden. Det bör dock uppmärksammas att det även vid frivillig kvittning får  anses ankomma på kassan att självständigt beakta sociala synpunkter (jfr Lavin a.a., s. 190) och se till att det belopp som innehålles blir – enligt lag</w:t>
      </w:r>
      <w:r w:rsidRPr="0008481A">
        <w:softHyphen/>
        <w:t>textens ord i 36 § andra stycket lagen om arbets</w:t>
      </w:r>
      <w:r w:rsidRPr="0008481A">
        <w:softHyphen/>
        <w:t>löshetsförsäkring –  skäligt. I den begränsningen ligger att hänsyn måste</w:t>
      </w:r>
      <w:r w:rsidRPr="0008481A">
        <w:t xml:space="preserve"> tas till att den försäkrade får så mycket kvar av sin ersättning som – om andra tillgångar saknas – behövs för hans och hans familjs försörjning.</w:t>
      </w:r>
    </w:p>
    <w:p w:rsidR="003B3271" w:rsidRPr="0008481A" w:rsidRDefault="003B3271">
      <w:pPr>
        <w:pStyle w:val="Normaltindrag"/>
      </w:pPr>
      <w:r w:rsidRPr="0008481A">
        <w:t>I den överenskommelse som träffades mellan kassan och L.H. åtog han sig att betala ett belopp om 500 kr i veckan som avbetalning på skulden, vilket skulle innehållas på den ersättning om ca 1 500 kr per vecka efter skatte</w:t>
      </w:r>
      <w:r w:rsidRPr="0008481A">
        <w:softHyphen/>
        <w:t>avdrag som han hade rätt till i form av arbetslöshetsersättning. Jag har svårt att se att det finns en rimlig social proportion mellan dessa belopp och menar att kassan försummat att vid uppgörelsen beakta L.H:s försörjnings</w:t>
      </w:r>
      <w:r w:rsidRPr="0008481A">
        <w:softHyphen/>
        <w:t>situation. Det kan som framgått av det anförda inte godtas att kassan utan sådant beaktande accepterar ett avbetalningsförslag från den försäkrade. Jag delar således inte AMS uppfattning att ett överenskommet avbetalnings</w:t>
      </w:r>
      <w:r w:rsidRPr="0008481A">
        <w:softHyphen/>
        <w:t>belopp i alla lägen skall anses som ett skäligt belopp.</w:t>
      </w:r>
    </w:p>
    <w:p w:rsidR="003B3271" w:rsidRPr="0008481A" w:rsidRDefault="003B3271">
      <w:pPr>
        <w:pStyle w:val="Normaltindrag"/>
      </w:pPr>
      <w:r w:rsidRPr="0008481A">
        <w:t>Man måst</w:t>
      </w:r>
      <w:r w:rsidRPr="0008481A">
        <w:t>e vidare ha klart för sig att den försäkrade som ålagts en återbetalningsskyldighet befinner sig i ett underläge gentemot kassan. Som regel har han befunnits ha förfarit felaktigt – i detta fall enligt kassans egen terminologi svikligt – genom att undanhålla kassan viss information. Det ligger nära till hands att en försäkrad i en sådan situation försöker att gottgöra vad han felat i en så snabb takt som möjligt. Det blir då viktigt för kassan att självständigt bevaka att en försäkrad under sådana förhållan</w:t>
      </w:r>
      <w:r w:rsidRPr="0008481A">
        <w:t>den inte tar på sig en återbetalningsbörda som han inte mäktar bära. Kassan måste också vara lyhörd för andra signaler i den försäkrades agerande och verkligen ställa sig frågan om den överenskommelse som träffas är i grunden frivillig från den försäkrades sida.</w:t>
      </w:r>
    </w:p>
    <w:p w:rsidR="003B3271" w:rsidRPr="0008481A" w:rsidRDefault="003B3271">
      <w:pPr>
        <w:pStyle w:val="Normaltindrag"/>
      </w:pPr>
      <w:r w:rsidRPr="0008481A">
        <w:t xml:space="preserve">Om kassan hade gjort detta i L.H:s fall skulle den ha funnit att hans förslag till avbetalningsplan utgick från vissa förutsättningar. För det första bestred han återbetalningsskyldigheten men hade fått besked från kassan om att återbetalning trots </w:t>
      </w:r>
      <w:r w:rsidRPr="0008481A">
        <w:t>detta skulle påbörjas. För det andra framgår det tydligt av hans förslag till avbetalningsplan att det inte var han utan en företrädare för kassan som hade bestämt kvittningsbeloppet och att tjänstemannen uppgivit att L.H. inte hade rätt till existensminimum. För det tredje anger L.H. att han uppfattade återbetalningsfrågan som icke förhandlingsbar från kassans sida. Och till sist uppger han att han var beredd att anta det föreslagna kvittningsbeloppet eftersom hans enda försörjning utgjordes av arbetslöshe</w:t>
      </w:r>
      <w:r w:rsidRPr="0008481A">
        <w:t>ts</w:t>
      </w:r>
      <w:r w:rsidRPr="0008481A">
        <w:softHyphen/>
        <w:t>ersättningen och denna innehållits under i det närmaste två månader.</w:t>
      </w:r>
    </w:p>
    <w:p w:rsidR="003B3271" w:rsidRPr="0008481A" w:rsidRDefault="003B3271">
      <w:pPr>
        <w:pStyle w:val="Normaltindrag"/>
      </w:pPr>
      <w:r w:rsidRPr="0008481A">
        <w:t>Jag kan av dessa omständigheter inte få annat intryck än att L.H. kände sig hårt trängd och att han uppfattade situationen så att han inte hade något annat val än att gå med på en avbetalningsplan i enlighet med vad kassan önskade. Att det förhöll sig på det viset kunde knappast ha undgått kassan. Den överenskommelse som träffades mellan L.H. och kassan kan enligt min mening knappast betecknas som frivillig.</w:t>
      </w:r>
    </w:p>
    <w:p w:rsidR="003B3271" w:rsidRPr="0008481A" w:rsidRDefault="003B3271">
      <w:pPr>
        <w:pStyle w:val="Normaltindrag"/>
      </w:pPr>
      <w:r w:rsidRPr="0008481A">
        <w:t>Under dessa förhållanden borde kassan ha avstått från att driva frågan om en frivillig kvittning och i stället ha fattat ett formligt ensidigt beslut om kvittning enligt det angivna lagrummet och därvid beaktat sociala synpunkter på samma sätt som jag ovan redovisat. Ett sådant beslut hade L.H. kunnat överklaga till länsrätten och vid en prövning där få avgjort vad som i hans fall var att bedöma som ett skäligt kvittningsbelopp.</w:t>
      </w:r>
    </w:p>
    <w:p w:rsidR="003B3271" w:rsidRPr="0008481A" w:rsidRDefault="003B3271">
      <w:pPr>
        <w:pStyle w:val="Rubrik2"/>
      </w:pPr>
      <w:r w:rsidRPr="0008481A">
        <w:t>Kritik mot en arbetslöshetskassa för utebliven verkställighet av en länsrättsdom</w:t>
      </w:r>
    </w:p>
    <w:p w:rsidR="003B3271" w:rsidRPr="0008481A" w:rsidRDefault="003B3271">
      <w:r w:rsidRPr="0008481A">
        <w:t>(Dnr 2640-1998)</w:t>
      </w:r>
    </w:p>
    <w:p w:rsidR="003B3271" w:rsidRPr="0008481A" w:rsidRDefault="003B3271">
      <w:pPr>
        <w:pStyle w:val="Rubrik3"/>
      </w:pPr>
      <w:r w:rsidRPr="0008481A">
        <w:t>Bakgrund och anmälan</w:t>
      </w:r>
    </w:p>
    <w:p w:rsidR="003B3271" w:rsidRPr="0008481A" w:rsidRDefault="003B3271">
      <w:r w:rsidRPr="0008481A">
        <w:t>C.S. anmälde sig arbetslös den 10 juni 1996. I ett beslut – som omprövades den 25 mars 1997 – rörande arbetslöshetsersättning fastställde Transport</w:t>
      </w:r>
      <w:r w:rsidRPr="0008481A">
        <w:softHyphen/>
        <w:t>arbetarnas arbetslöshetskassa C.S:s normalarbetstid till 30 timmar per vecka. Utbetalning gjordes i enlighet därmed. Efter det att C.S. överklagat beslutet ändrade Länsrätten i Stockholms län i dom den 4 februari 1998 normal</w:t>
      </w:r>
      <w:r w:rsidRPr="0008481A">
        <w:softHyphen/>
        <w:t>arbetstiden till 31,98 timmar per vecka. Såväl arbetslöshetskassan som C.S. överklagade domen hos Kammarrätten i Stockholm. Arbetslös</w:t>
      </w:r>
      <w:r w:rsidRPr="0008481A">
        <w:softHyphen/>
        <w:t>hets</w:t>
      </w:r>
      <w:r w:rsidRPr="0008481A">
        <w:softHyphen/>
        <w:t xml:space="preserve">kassan yrkade att kammarrätten skulle fastställa normalarbetstiden till 31 timmar, då dagpenning endast kan beräknas på hela timmar. Kassan yrkade </w:t>
      </w:r>
      <w:r w:rsidRPr="0008481A">
        <w:t>också att det överklagade beslutet tills vidare inte skulle gälla (inhibition). C.S. yrkade å sin sida bl.a. att normalarbetstiden skulle beräknas med hänsyn också till den tid hon arbetat extra. I beslut den 4 mars 1998 avslog kammarrätten yrkandet om inhibition. Arbetslöshetskassan överklagade beslutet till Regeringsrätten, som den 22 juni 1998 avvisade överklagandet med hänvisning till att Arbetsmarknadsstyrelsen (AMS) för det allmännas talan i Regeringsrätten och att kassan således inte haft rätt att öv</w:t>
      </w:r>
      <w:r w:rsidRPr="0008481A">
        <w:t xml:space="preserve">erklaga kammarrättens beslut. </w:t>
      </w:r>
    </w:p>
    <w:p w:rsidR="003B3271" w:rsidRPr="0008481A" w:rsidRDefault="003B3271">
      <w:pPr>
        <w:pStyle w:val="Normaltindrag"/>
      </w:pPr>
      <w:r w:rsidRPr="0008481A">
        <w:t>C.S. klagade till JO på att Transportarbetarnas arbetslöshetskassa ännu den 8 juli 1998 inte verkställt länsrättens dom.</w:t>
      </w:r>
    </w:p>
    <w:p w:rsidR="003B3271" w:rsidRPr="0008481A" w:rsidRDefault="003B3271">
      <w:pPr>
        <w:pStyle w:val="Rubrik3"/>
      </w:pPr>
      <w:r w:rsidRPr="0008481A">
        <w:t>Utredning</w:t>
      </w:r>
    </w:p>
    <w:p w:rsidR="003B3271" w:rsidRPr="0008481A" w:rsidRDefault="003B3271">
      <w:r w:rsidRPr="0008481A">
        <w:t xml:space="preserve">Ärendet remitterades till Arbetsmarknadsstyrelsen (AMS) för utredning och yttrande. </w:t>
      </w:r>
    </w:p>
    <w:p w:rsidR="003B3271" w:rsidRPr="0008481A" w:rsidRDefault="003B3271">
      <w:pPr>
        <w:pStyle w:val="Normaltindrag"/>
      </w:pPr>
      <w:r w:rsidRPr="0008481A">
        <w:t xml:space="preserve">Till remissvaret, inkommet till JO den 9 oktober 1998, fogades ett yttrande från Transportarbetarnas arbetslöshetskassa, i vilket bl.a. följande anfördes. </w:t>
      </w:r>
    </w:p>
    <w:p w:rsidR="003B3271" w:rsidRPr="0008481A" w:rsidRDefault="003B3271">
      <w:pPr>
        <w:pStyle w:val="Citat"/>
      </w:pPr>
      <w:r w:rsidRPr="0008481A">
        <w:t xml:space="preserve">Länsrätten har i sitt domslut fastställt att C.S:s dagpenning skall vara 31,98 timmar per vecka. Enligt de regler som gäller för arbetslöshetsförsäkringen skall normalarbetstiden fastställas till närmast lägre heltal timmar eftersom del av timme ej kan registreras. </w:t>
      </w:r>
    </w:p>
    <w:p w:rsidR="003B3271" w:rsidRPr="0008481A" w:rsidRDefault="003B3271">
      <w:pPr>
        <w:tabs>
          <w:tab w:val="left" w:pos="-142"/>
        </w:tabs>
        <w:rPr>
          <w:sz w:val="20"/>
        </w:rPr>
      </w:pPr>
      <w:r w:rsidRPr="0008481A">
        <w:rPr>
          <w:sz w:val="20"/>
        </w:rPr>
        <w:t>– – –</w:t>
      </w:r>
    </w:p>
    <w:p w:rsidR="003B3271" w:rsidRPr="0008481A" w:rsidRDefault="003B3271">
      <w:pPr>
        <w:pStyle w:val="Citat"/>
      </w:pPr>
      <w:r w:rsidRPr="0008481A">
        <w:t xml:space="preserve">Per telefon har kassan fått besked från AMS om att beslutet endast får verkställas i de delar det ej strider mot lagen om arbetslöshetsförsäkring enligt den lydelse som var aktuell vid tiden för utbetalning av ersättning. Ett nytt första beslut får därvid fattas av kassan med information om rätt att ompröva detta beslut. </w:t>
      </w:r>
    </w:p>
    <w:p w:rsidR="003B3271" w:rsidRPr="0008481A" w:rsidRDefault="003B3271">
      <w:pPr>
        <w:pStyle w:val="Citatindrag"/>
      </w:pPr>
      <w:r w:rsidRPr="0008481A">
        <w:t xml:space="preserve">Kassan har för avsikt att följa den rekommendation som AMS lämnat. Justering av utbetald ersättning som ligger långt bakåt i tiden är något komplicerad och kan komma att ske i etapper. </w:t>
      </w:r>
    </w:p>
    <w:p w:rsidR="003B3271" w:rsidRPr="0008481A" w:rsidRDefault="003B3271">
      <w:pPr>
        <w:pStyle w:val="Sidfot"/>
        <w:tabs>
          <w:tab w:val="clear" w:pos="9072"/>
          <w:tab w:val="left" w:pos="0"/>
        </w:tabs>
      </w:pPr>
    </w:p>
    <w:p w:rsidR="003B3271" w:rsidRPr="0008481A" w:rsidRDefault="003B3271">
      <w:r w:rsidRPr="0008481A">
        <w:t>Vidare hade till remissvaret fogats en promemoria upprättad av Birgitta Granberg vid AMS Försäkringsenhet och adresserad till Björn Olsson vid AMS Juridiska enhet. Bl.a. följande anfördes.</w:t>
      </w:r>
    </w:p>
    <w:p w:rsidR="003B3271" w:rsidRPr="0008481A" w:rsidRDefault="003B3271">
      <w:pPr>
        <w:pStyle w:val="Citat"/>
      </w:pPr>
      <w:r w:rsidRPr="0008481A">
        <w:t>Du har frågat mig om vad jag givit för svar på kassans brev 1998-08-06 och varför kassan inte kan verkställa länsrättens beslut om att C.S:s normal</w:t>
      </w:r>
      <w:r w:rsidRPr="0008481A">
        <w:softHyphen/>
        <w:t xml:space="preserve">arbetstid skall vara 31,98 timmar per vecka. </w:t>
      </w:r>
    </w:p>
    <w:p w:rsidR="003B3271" w:rsidRPr="0008481A" w:rsidRDefault="003B3271">
      <w:pPr>
        <w:pStyle w:val="Citatindrag"/>
      </w:pPr>
      <w:r w:rsidRPr="0008481A">
        <w:t>Mitt svar, som jag gav per telefon, var att kassan måste verkställa länsrättens dom och göra en utbetalning av ersättning till medlemmen, varvid beräkningen fick göras enligt lagen och regelbokens regler vid ansök</w:t>
      </w:r>
      <w:r w:rsidRPr="0008481A">
        <w:softHyphen/>
        <w:t xml:space="preserve">ningstillfället. </w:t>
      </w:r>
      <w:r w:rsidRPr="0008481A">
        <w:rPr>
          <w:sz w:val="20"/>
        </w:rPr>
        <w:t>– – –</w:t>
      </w:r>
    </w:p>
    <w:p w:rsidR="003B3271" w:rsidRPr="0008481A" w:rsidRDefault="003B3271">
      <w:pPr>
        <w:pStyle w:val="Citatindrag"/>
      </w:pPr>
      <w:r w:rsidRPr="0008481A">
        <w:t xml:space="preserve">Vad gäller normalarbetstiden så förklarade jag att kassan måste acceptera att länsrätten funnit att C.S. ansågs ha haft en fast avtalad arbetstid och att denna var 31,98 timmar per vecka. </w:t>
      </w:r>
    </w:p>
    <w:p w:rsidR="003B3271" w:rsidRPr="0008481A" w:rsidRDefault="003B3271">
      <w:pPr>
        <w:pStyle w:val="Citatindrag"/>
      </w:pPr>
      <w:r w:rsidRPr="0008481A">
        <w:t>Som kassan sagt så fastställs normalarbetstiden inom arbetslöshets</w:t>
      </w:r>
      <w:r w:rsidRPr="0008481A">
        <w:softHyphen/>
        <w:t>försäkringen till hela timmar. Beräkning av ersättning enligt omräk</w:t>
      </w:r>
      <w:r w:rsidRPr="0008481A">
        <w:softHyphen/>
        <w:t xml:space="preserve">ningstabellen i förordningen om arbetslöshetsförsäkring  – – –  förutsätter en normalarbetstid i hela timmar och kassornas datasystem är programmerade för detta. Det spelar således ingen roll vilken regel man använder i det enskilda fallet för att fastställa normalarbetstiden – blir resultatet ett brutet timtal måste det jämnas ut, uppåt eller neråt. Mitt svar till kassan var därför att oavsett vad länsrätten angav i domslutet så måste en </w:t>
      </w:r>
      <w:r w:rsidRPr="0008481A">
        <w:t xml:space="preserve">avrundning ske till helt timtal. </w:t>
      </w:r>
    </w:p>
    <w:p w:rsidR="003B3271" w:rsidRPr="0008481A" w:rsidRDefault="003B3271">
      <w:pPr>
        <w:pStyle w:val="Citatindrag"/>
      </w:pPr>
      <w:r w:rsidRPr="0008481A">
        <w:t>Den kommentar som finns i regelboken om avrundning av timtalet nedåt är inplacerad under beräkningsregeln för den som haft varierande arbetstid. Under rubriken Fast arbetstid finns ingen föreskrift eller kommentar. Det innebär inte att en avrundning inte skall, eller måste, göras även i dessa fall om den avtalade fasta arbetstiden inte är ett jämnt timtal. Efter att ha hört med mina kollegor på tillsynssektionen har jag förstått att tillämpningen ute på kassorna (beräkninge</w:t>
      </w:r>
      <w:r w:rsidRPr="0008481A">
        <w:t xml:space="preserve">n sker i stor utsträckning på lokal nivå) inte är enhetlig när det gäller avrundningen vid fast, avtalad arbetstid. </w:t>
      </w:r>
    </w:p>
    <w:p w:rsidR="003B3271" w:rsidRPr="0008481A" w:rsidRDefault="003B3271">
      <w:pPr>
        <w:pStyle w:val="Citatindrag"/>
      </w:pPr>
      <w:r w:rsidRPr="0008481A">
        <w:t xml:space="preserve">När det gäller dagsförtjänsten fastställs den på den inkomst medlemmen haft. Om det i arbetsgivarintyget anges en månadslön så delas den med 22, medan en veckolön delas med 5. Anges en timlön så multipliceras denna med normalarbetstiden </w:t>
      </w:r>
      <w:r w:rsidRPr="0008481A">
        <w:rPr>
          <w:i/>
        </w:rPr>
        <w:t>före</w:t>
      </w:r>
      <w:r w:rsidRPr="0008481A">
        <w:rPr>
          <w:b/>
        </w:rPr>
        <w:t xml:space="preserve"> </w:t>
      </w:r>
      <w:r w:rsidRPr="0008481A">
        <w:t xml:space="preserve">avrundning, varefter delning sker med 5. </w:t>
      </w:r>
    </w:p>
    <w:p w:rsidR="003B3271" w:rsidRPr="0008481A" w:rsidRDefault="003B3271">
      <w:pPr>
        <w:pStyle w:val="Citatindrag"/>
      </w:pPr>
      <w:r w:rsidRPr="0008481A">
        <w:t>Normalarbetstiden har endast betydelse om den arbetslöse arbetar en vecka i mindre omfattning än normalarbetstiden. Då skall kvarvarande arbetslösa timmar ersättas enligt omräkningstabellen. Som du ser av denna så blir ersättningen densamma oavsett om normalarbetstiden är 31 eller 32 timmar. Hur avrundningen görs om normalarbetstiden är 31,98 spelar således ingen roll. Däremot kan det ju eventuellt ha betydelse om den försäkrade hamnar i ett annat intervall i t</w:t>
      </w:r>
      <w:r w:rsidRPr="0008481A">
        <w:t>abellen.</w:t>
      </w:r>
    </w:p>
    <w:p w:rsidR="003B3271" w:rsidRPr="0008481A" w:rsidRDefault="003B3271">
      <w:r w:rsidRPr="0008481A">
        <w:t>AMS anförde för egen del bl.a. följande.</w:t>
      </w:r>
    </w:p>
    <w:p w:rsidR="003B3271" w:rsidRPr="0008481A" w:rsidRDefault="003B3271">
      <w:pPr>
        <w:pStyle w:val="Citat"/>
      </w:pPr>
      <w:r w:rsidRPr="0008481A">
        <w:t>Av a-kassans yttrande framgår att man är i färd med att verkställa länsrättens beslut vad gäller C.S:s rätt till ersättning varvid man lägger länsrättens beslut om normalarbetstid om 31,98 timmar per vecka till grund för beräkningen av den ersättning som skall utbetalas.</w:t>
      </w:r>
    </w:p>
    <w:p w:rsidR="003B3271" w:rsidRPr="0008481A" w:rsidRDefault="003B3271">
      <w:pPr>
        <w:pStyle w:val="Citatindrag"/>
      </w:pPr>
      <w:r w:rsidRPr="0008481A">
        <w:t>Kassan har sökt och fått stöd av AMS försäkringsenhet hur C.S:s ersättning med nämnda utgångspunkt skall beräknas för att den faktiska utbetalningen skall kunna göras.</w:t>
      </w:r>
    </w:p>
    <w:p w:rsidR="003B3271" w:rsidRPr="0008481A" w:rsidRDefault="003B3271">
      <w:pPr>
        <w:tabs>
          <w:tab w:val="left" w:pos="0"/>
        </w:tabs>
        <w:rPr>
          <w:sz w:val="20"/>
        </w:rPr>
      </w:pPr>
      <w:r w:rsidRPr="0008481A">
        <w:rPr>
          <w:sz w:val="20"/>
        </w:rPr>
        <w:t xml:space="preserve">– – – </w:t>
      </w:r>
    </w:p>
    <w:p w:rsidR="003B3271" w:rsidRPr="0008481A" w:rsidRDefault="003B3271">
      <w:pPr>
        <w:tabs>
          <w:tab w:val="left" w:pos="0"/>
        </w:tabs>
        <w:rPr>
          <w:sz w:val="20"/>
        </w:rPr>
      </w:pPr>
    </w:p>
    <w:p w:rsidR="003B3271" w:rsidRPr="0008481A" w:rsidRDefault="003B3271">
      <w:pPr>
        <w:pStyle w:val="Citat"/>
      </w:pPr>
      <w:r w:rsidRPr="0008481A">
        <w:t xml:space="preserve">Med hänvisning till vad som framkommit i de gjorda utredningarna finner AMS inte att a-kassan kan anses ha förhindrat verkställigheten av länsrättens dom. </w:t>
      </w:r>
    </w:p>
    <w:p w:rsidR="003B3271" w:rsidRPr="0008481A" w:rsidRDefault="003B3271">
      <w:r w:rsidRPr="0008481A">
        <w:t>C.S. uppgav att hon ännu inte den 1 februari 2000 hade erhållit någon kompletterande ersättning.</w:t>
      </w:r>
    </w:p>
    <w:p w:rsidR="003B3271" w:rsidRPr="0008481A" w:rsidRDefault="003B3271">
      <w:r w:rsidRPr="0008481A">
        <w:rPr>
          <w:i/>
        </w:rPr>
        <w:t>Stf. JO Ekberg</w:t>
      </w:r>
      <w:r w:rsidRPr="0008481A">
        <w:t xml:space="preserve"> anförde följande i beslut den 22 februari 2000.</w:t>
      </w:r>
    </w:p>
    <w:p w:rsidR="003B3271" w:rsidRPr="0008481A" w:rsidRDefault="003B3271">
      <w:r w:rsidRPr="0008481A">
        <w:t>Enligt 20 § lagen (1973:370) om arbetslöshetsförsäkring lämnades vid tidpunkten då C.S. anmälde sig arbetslös dagpenning med 75 procent av den arbetslöses dagsförtjänst. Med dagsförtjänst avsågs för den som inte var månadsanställd en femtedel av veckoinkomsten som den arbetslöse före arbetslöshetens inträde vanligen åtnjöt under arbetstid som var normal för denne.</w:t>
      </w:r>
    </w:p>
    <w:p w:rsidR="003B3271" w:rsidRPr="0008481A" w:rsidRDefault="003B3271">
      <w:pPr>
        <w:pStyle w:val="Normaltindrag"/>
      </w:pPr>
      <w:r w:rsidRPr="0008481A">
        <w:t xml:space="preserve">Med tillämpning av dessa bestämmelser fastställde arbetslöshetskassan genom beslut, som omprövades den 25 mars 1997, C.S:s dagpenning till 356 kr. Kassan utgick därvid från att hennes inkomst före arbetslösheten hade varit 79,07 kr per timme och att hennes normalarbetstid uppgick till 30 timmar per vecka. Hennes dagsförtjänst framräknades således till (79,07 x </w:t>
      </w:r>
      <w:r w:rsidRPr="0008481A">
        <w:br/>
        <w:t>30 : 5) 474,4 kr och 75 procent av detta belopp gav en dagpenning på 355,8 eller avrundat 356 kr.</w:t>
      </w:r>
    </w:p>
    <w:p w:rsidR="003B3271" w:rsidRPr="0008481A" w:rsidRDefault="003B3271">
      <w:pPr>
        <w:pStyle w:val="Normaltindrag"/>
      </w:pPr>
      <w:r w:rsidRPr="0008481A">
        <w:t>Om en högre normalarbetstid läggs till grund för beräkningen innebär det att dagpenningen ökar. Om man i C.S:s fall skulle utgå från en normal</w:t>
      </w:r>
      <w:r w:rsidRPr="0008481A">
        <w:softHyphen/>
        <w:t xml:space="preserve">arbetstid på 31,98 timmar per vecka kommer dagpenningen att uppgå till 75 procent av (79,07 x 31,98 : 5) eller i avrundat tal 379 kr. </w:t>
      </w:r>
    </w:p>
    <w:p w:rsidR="003B3271" w:rsidRPr="0008481A" w:rsidRDefault="003B3271">
      <w:pPr>
        <w:pStyle w:val="Normaltindrag"/>
      </w:pPr>
      <w:r w:rsidRPr="0008481A">
        <w:t>Länsrätten har i sin dom den 4 februari 1998 angivit att C.S:s  arbets</w:t>
      </w:r>
      <w:r w:rsidRPr="0008481A">
        <w:softHyphen/>
        <w:t>löshetsersättning skall beräknas med utgångspunkt från en normalarbetstid av 31,98 timmar per vecka och att hon således har rätt till ersättning med ett högre belopp än som beslutats av arbetslöshetskassan.</w:t>
      </w:r>
    </w:p>
    <w:p w:rsidR="003B3271" w:rsidRPr="0008481A" w:rsidRDefault="003B3271">
      <w:pPr>
        <w:pStyle w:val="Normaltindrag"/>
      </w:pPr>
      <w:r w:rsidRPr="0008481A">
        <w:t>Enligt 102 § lagen om arbetslöshetsförsäkring (57 § i den nya lagen 1997:238) gällde en domstols beslut omedelbart om inte annat bestämts av domstolen eller en överinstans. Kassan yrkade hos kammarrätten att länsrättens dom tills vidare inte skulle gälla (inhibition) men kammarrätten avslog genom beslut</w:t>
      </w:r>
      <w:r w:rsidRPr="0008481A">
        <w:t xml:space="preserve"> den 6 mars 1998 detta yrkande. Regeringsrätten avvisade den 22 juni 1998 kassans överklagande av kammarrättens beslut. Till följd därav gällde i vart fall fr.o.m. denna dag en skyldighet för kassan att verkställa länsrättens dom.</w:t>
      </w:r>
    </w:p>
    <w:p w:rsidR="003B3271" w:rsidRPr="0008481A" w:rsidRDefault="003B3271">
      <w:pPr>
        <w:pStyle w:val="Normaltindrag"/>
      </w:pPr>
      <w:r w:rsidRPr="0008481A">
        <w:t>Det säger sig självt att det är mycket angeläget för en arbetslös att få en efter överklagande till nästa instans höjd ersättning utbetald utan tidsutdräkt. Den rättssäkerhetsgaranti som ligger i möjligheten att få ett beslut överprövat går helt förlorad om verkställighet av överi</w:t>
      </w:r>
      <w:r w:rsidRPr="0008481A">
        <w:t>nstansens avgörande försummas.</w:t>
      </w:r>
    </w:p>
    <w:p w:rsidR="003B3271" w:rsidRPr="0008481A" w:rsidRDefault="003B3271">
      <w:pPr>
        <w:pStyle w:val="Normaltindrag"/>
      </w:pPr>
      <w:r w:rsidRPr="0008481A">
        <w:t xml:space="preserve">Av utredningen i ärendet hos JO framgår att någon verkställighet i form av utbetalning av den av länsrätten beslutade höjningen av C.S:s ersättning ännu i början av februari 2000 inte skett, dvs. drygt ett och ett halvt år efter det att frågan om inhibition slutligen avgjordes genom Regeringsrättens beslut och drygt sexton månader sedan AMS i sitt yttrande till JO anförde att kassan fått stöd av AMS försäkringsenhet för hur utbetalningen skulle kunna göras. </w:t>
      </w:r>
    </w:p>
    <w:p w:rsidR="003B3271" w:rsidRPr="0008481A" w:rsidRDefault="003B3271">
      <w:pPr>
        <w:pStyle w:val="Normaltindrag"/>
      </w:pPr>
      <w:r w:rsidRPr="0008481A">
        <w:t>Jag kan inte finna kassans brist på agerande annat än helt oacceptabel. Ännu mer klandervärt är att kassan uppenbarligen inte har för avsikt att verkställa länsrättens dom över huvud taget, eftersom kassans datasystem enligt vad som anges inte kan klara utbetalningar av dagpenningar som bygger på normalarbetstider som innehåller decimaler. Förutom att jag har svårt att förstå vari den tekniska komplikationen ligger framstår förklaringen som irrelevant. Självfallet får inte svårigheter av teknisk eller admi</w:t>
      </w:r>
      <w:r w:rsidRPr="0008481A">
        <w:t>nistrativ karaktär förhindra att lagstadgade ekonomiska förmåner fastställda av domstol betalas ut till en enskild. Det är kassans skyldighet att omgående lösa de praktiska problem som kan föreligga och verkställa den kompletterande utbetalningen till C.S., i sista hand – om de tekniska problemen inte går att övervinna – genom manuell utbetalning. Jag utgår från att AMS kan lämna kassan ytterligare bistånd i dessa avseenden och att AMS följer upp kassans vidare handläggning.</w:t>
      </w:r>
    </w:p>
    <w:p w:rsidR="003B3271" w:rsidRPr="0008481A" w:rsidRDefault="003B3271">
      <w:pPr>
        <w:pStyle w:val="Rubrik1"/>
        <w:spacing w:before="0"/>
      </w:pPr>
      <w:r w:rsidRPr="0008481A">
        <w:br w:type="page"/>
        <w:t>Utlänningsärenden</w:t>
      </w:r>
    </w:p>
    <w:p w:rsidR="003B3271" w:rsidRPr="0008481A" w:rsidRDefault="003B3271">
      <w:pPr>
        <w:pStyle w:val="Rubrik2"/>
      </w:pPr>
      <w:r w:rsidRPr="0008481A">
        <w:t>Fråga om skyldighet för en svensk ambassad att ta emot asylansökningar och sända dem vidare till behörig beslutsfattare</w:t>
      </w:r>
    </w:p>
    <w:p w:rsidR="003B3271" w:rsidRPr="0008481A" w:rsidRDefault="003B3271">
      <w:pPr>
        <w:rPr>
          <w:sz w:val="28"/>
        </w:rPr>
      </w:pPr>
      <w:r w:rsidRPr="0008481A">
        <w:t xml:space="preserve">(Dnr 3145-1999) </w:t>
      </w:r>
    </w:p>
    <w:p w:rsidR="003B3271" w:rsidRPr="0008481A" w:rsidRDefault="003B3271">
      <w:pPr>
        <w:pStyle w:val="Rubrik3"/>
      </w:pPr>
      <w:r w:rsidRPr="0008481A">
        <w:t>Bakgrund</w:t>
      </w:r>
    </w:p>
    <w:p w:rsidR="003B3271" w:rsidRPr="0008481A" w:rsidRDefault="003B3271">
      <w:r w:rsidRPr="0008481A">
        <w:t>Makarna Ismail och Altun K. uppgav i en skrivelse den 12 juli 1999 till Sveriges ambassad i Bonn att de och deras tre barn sökte asyl/uppe</w:t>
      </w:r>
      <w:r w:rsidRPr="0008481A">
        <w:softHyphen/>
        <w:t>hålls</w:t>
      </w:r>
      <w:r w:rsidRPr="0008481A">
        <w:softHyphen/>
        <w:t>tillstånd i konunga</w:t>
      </w:r>
      <w:r w:rsidRPr="0008481A">
        <w:softHyphen/>
        <w:t>riket Sverige (Asyl/Bleiberecht im Königreich Schweden). Följande svar (i över</w:t>
      </w:r>
      <w:r w:rsidRPr="0008481A">
        <w:softHyphen/>
        <w:t>sättning från tyska) avgavs den 28 juli 1999 av en ambassadsekreterare.</w:t>
      </w:r>
    </w:p>
    <w:p w:rsidR="003B3271" w:rsidRPr="0008481A" w:rsidRDefault="003B3271">
      <w:r w:rsidRPr="0008481A">
        <w:t>Bästa herr K</w:t>
      </w:r>
    </w:p>
    <w:p w:rsidR="003B3271" w:rsidRPr="0008481A" w:rsidRDefault="003B3271">
      <w:pPr>
        <w:spacing w:before="0"/>
      </w:pPr>
      <w:r w:rsidRPr="0008481A">
        <w:t>Bästa fru K</w:t>
      </w:r>
    </w:p>
    <w:p w:rsidR="003B3271" w:rsidRPr="0008481A" w:rsidRDefault="003B3271">
      <w:pPr>
        <w:pStyle w:val="Citat"/>
      </w:pPr>
      <w:r w:rsidRPr="0008481A">
        <w:t>Med anledning av er skrivelse där ni underrättar er om möjligheterna till asyl i Sverige måste ambassaden meddela er att varken den svenska ambas</w:t>
      </w:r>
      <w:r w:rsidRPr="0008481A">
        <w:softHyphen/>
        <w:t>saden eller ett svenskt konsulat i Förbundsrepubliken kan behandla en begä</w:t>
      </w:r>
      <w:r w:rsidRPr="0008481A">
        <w:softHyphen/>
        <w:t>ran om asyl. Asylfråga blir det endast när en flykting till följd av omstän</w:t>
      </w:r>
      <w:r w:rsidRPr="0008481A">
        <w:softHyphen/>
        <w:t xml:space="preserve">digheterna har sett sig tvungen att söka sin tillflykt till Sverige. </w:t>
      </w:r>
    </w:p>
    <w:p w:rsidR="003B3271" w:rsidRPr="0008481A" w:rsidRDefault="003B3271">
      <w:pPr>
        <w:pStyle w:val="Citatindrag"/>
      </w:pPr>
      <w:r w:rsidRPr="0008481A">
        <w:t>I det här sammanhanget skall nämnas att en av grundprinciperna i de svenska flyktingbestämmelserna är regeln om första asylland. Denna regel säger att en flykting måste söka asyl i det första land som han efter sin flykt kommer till om han kan uppehålla sig där utan fara för ytterligare fö</w:t>
      </w:r>
      <w:r w:rsidRPr="0008481A">
        <w:t>rföl</w:t>
      </w:r>
      <w:r w:rsidRPr="0008481A">
        <w:softHyphen/>
        <w:t xml:space="preserve">jelse. Det vill säga att personer, som redan befinner sig i ett tredje land och är utom fara där, inte kan räkna med att få asyl i Sverige. </w:t>
      </w:r>
    </w:p>
    <w:p w:rsidR="003B3271" w:rsidRPr="0008481A" w:rsidRDefault="003B3271">
      <w:pPr>
        <w:pStyle w:val="Citatindrag"/>
      </w:pPr>
      <w:r w:rsidRPr="0008481A">
        <w:t>Här kan också nämnas att Sverige varje år reserverar ett antal platser för flyktingar enligt den s k flyktingkvoten. Dessa flyktingar överförs genom Förenta Nationernas flyktingorgan UNHCR.</w:t>
      </w:r>
    </w:p>
    <w:p w:rsidR="003B3271" w:rsidRPr="0008481A" w:rsidRDefault="003B3271">
      <w:pPr>
        <w:pStyle w:val="Citatindrag"/>
      </w:pPr>
      <w:r w:rsidRPr="0008481A">
        <w:t>Visserligen kan man få uppehållstillstånd i Sverige när det är fråga om fa</w:t>
      </w:r>
      <w:r w:rsidRPr="0008481A">
        <w:softHyphen/>
        <w:t>miljeanknytning. Men detta gäller bara kärnfamiljer eller anhöriga som står i ett sådant förhållande till varandra att de inte kan leva åtskilda. Denna rela</w:t>
      </w:r>
      <w:r w:rsidRPr="0008481A">
        <w:softHyphen/>
        <w:t>tion måste dock ha förevarit redan i hemlandet.</w:t>
      </w:r>
    </w:p>
    <w:p w:rsidR="003B3271" w:rsidRPr="0008481A" w:rsidRDefault="003B3271">
      <w:pPr>
        <w:pStyle w:val="Citatindrag"/>
      </w:pPr>
      <w:r w:rsidRPr="0008481A">
        <w:t>Därmed skulle det vara uteslutet att ni kunde få uppehållstillstånd i Sverige på grund av återförening med er syster.</w:t>
      </w:r>
    </w:p>
    <w:p w:rsidR="003B3271" w:rsidRPr="0008481A" w:rsidRDefault="003B3271">
      <w:pPr>
        <w:pStyle w:val="Rubrik3"/>
      </w:pPr>
      <w:r w:rsidRPr="0008481A">
        <w:t>Anmälan</w:t>
      </w:r>
    </w:p>
    <w:p w:rsidR="003B3271" w:rsidRPr="0008481A" w:rsidRDefault="003B3271">
      <w:r w:rsidRPr="0008481A">
        <w:t>Heidemarie Lüth, som är ledamot av den tyska förbundsdagen, överlämnade de båda skrivelserna den 12 juli respektive den 28 juli 1999 till JO och be</w:t>
      </w:r>
      <w:r w:rsidRPr="0008481A">
        <w:softHyphen/>
        <w:t>gär</w:t>
      </w:r>
      <w:r w:rsidRPr="0008481A">
        <w:softHyphen/>
        <w:t>de att JO skulle utreda handläggningen av familjen K:s ansökningar om asyl och uppehålls</w:t>
      </w:r>
      <w:r w:rsidRPr="0008481A">
        <w:softHyphen/>
        <w:t>till</w:t>
      </w:r>
      <w:r w:rsidRPr="0008481A">
        <w:softHyphen/>
        <w:t>stånd.</w:t>
      </w:r>
    </w:p>
    <w:p w:rsidR="003B3271" w:rsidRPr="0008481A" w:rsidRDefault="003B3271">
      <w:pPr>
        <w:pStyle w:val="Rubrik3"/>
      </w:pPr>
      <w:r w:rsidRPr="0008481A">
        <w:t>Utredning</w:t>
      </w:r>
    </w:p>
    <w:p w:rsidR="003B3271" w:rsidRPr="0008481A" w:rsidRDefault="003B3271">
      <w:r w:rsidRPr="0008481A">
        <w:t>Ärendet remitterades till Regeringskansliet, Utrikesdepartementet, för utredning och yttrande. Utrikesdepartementet, genom expeditionschefen Dag Klackenberg, uttalade följande.</w:t>
      </w:r>
    </w:p>
    <w:p w:rsidR="003B3271" w:rsidRPr="0008481A" w:rsidRDefault="003B3271">
      <w:pPr>
        <w:pStyle w:val="Citat"/>
      </w:pPr>
      <w:r w:rsidRPr="0008481A">
        <w:t>Utrikesdepartementet har inget att anmärka på ambassadens i Bonn/Berlin handläggning av asylärendet. Tvärtom synes enligt departementets bedömning svarsbrevet som ambassaden skickat mycket väl uppfylla alla tänkbara krav på handläggning och service. Ambassadens redogörelse bifogas. Be</w:t>
      </w:r>
      <w:r w:rsidRPr="0008481A">
        <w:softHyphen/>
        <w:t>träffande handläggning av asyl- och uppehållstillståndsärenden [gäller] föl</w:t>
      </w:r>
      <w:r w:rsidRPr="0008481A">
        <w:softHyphen/>
        <w:t>jande.</w:t>
      </w:r>
    </w:p>
    <w:p w:rsidR="003B3271" w:rsidRPr="0008481A" w:rsidRDefault="003B3271">
      <w:pPr>
        <w:pStyle w:val="Citatindrag"/>
      </w:pPr>
      <w:r w:rsidRPr="0008481A">
        <w:t>Två olika asylbegrepp används ofta, nämligen territoriell asyl och diploma</w:t>
      </w:r>
      <w:r w:rsidRPr="0008481A">
        <w:softHyphen/>
        <w:t>tisk asyl. Diplomatisk asyl innebär att en person som är förföljd ges fysiskt skydd på en beskickning i sitt hemland eller i ett tredje land. Enligt svensk folkrättsuppfattning har beskickningar inte någon rätt att ge diplomatisk asyl. Möjligen kan undantag göras i trängande humanitära situationer som t.ex. när någon svävar i akut livsfara.</w:t>
      </w:r>
    </w:p>
    <w:p w:rsidR="003B3271" w:rsidRPr="0008481A" w:rsidRDefault="003B3271">
      <w:pPr>
        <w:pStyle w:val="Citatindrag"/>
      </w:pPr>
      <w:r w:rsidRPr="0008481A">
        <w:t>Med territoriell asyl avses en stats rätt att på sitt territorium ge politiskt för</w:t>
      </w:r>
      <w:r w:rsidRPr="0008481A">
        <w:softHyphen/>
        <w:t>följda rätt att vistas där. Detta är således den form av asyl som Sverige främst kan ha möjlighet att ge. Skyddsprövning enligt den svenska utlän</w:t>
      </w:r>
      <w:r w:rsidRPr="0008481A">
        <w:softHyphen/>
        <w:t>ningslagen (UtlL) omfattar emellertid endast asylsökande som redan befin</w:t>
      </w:r>
      <w:r w:rsidRPr="0008481A">
        <w:softHyphen/>
        <w:t>ner sig i Sverige. Detta innebär att bestämmelserna om asyl i 3 kap UtlL inte avser personer som sökt asyl utanför Sverige och som befinner sig utanför Sveriges gränser. I sammanhanget kan det s.k. kvotflyktingsystemet som handhas av Statens Invandrarverk nämnas. En sådan framställning om sk</w:t>
      </w:r>
      <w:r w:rsidRPr="0008481A">
        <w:t>ydd skall sökanden göra via UNHCR. Det förtjänar också att nämnas att Sverige i enlighet med den s.k. Dublinkonventionen tillämpar den s.k. första asyllandsprincipen. Denna innebär i korthet att asylfrågan skall prövas i det första säkra land som personen kommer till efter flykten.</w:t>
      </w:r>
    </w:p>
    <w:p w:rsidR="003B3271" w:rsidRPr="0008481A" w:rsidRDefault="003B3271">
      <w:pPr>
        <w:pStyle w:val="Citatindrag"/>
      </w:pPr>
      <w:r w:rsidRPr="0008481A">
        <w:t>En utlänning som utanför Sverige, i ett annat land än hemlandet, söker upp en utlandsmyndighet bör således hänvisas till myndigheterna i vistelselandet eller till UNHCR:s kontor i det landet.</w:t>
      </w:r>
    </w:p>
    <w:p w:rsidR="003B3271" w:rsidRPr="0008481A" w:rsidRDefault="003B3271">
      <w:pPr>
        <w:pStyle w:val="Citatindrag"/>
      </w:pPr>
      <w:r w:rsidRPr="0008481A">
        <w:t>En utlänning som kan åberopa anknytning till Sverige genom anhöriga som är bosatta här kan ha möjlighet att få uppehållstillstånd. Av 2 kap 4 § tredje stycket UtlL framgår dock att rätten för personer utanför kärnfamiljen att förena sig med anhöriga i Sverige är mycket begränsad. En ansökan om uppe</w:t>
      </w:r>
      <w:r w:rsidRPr="0008481A">
        <w:softHyphen/>
        <w:t>hållstillstånd skall lämnas in vid ambassaden på ett särskilt ansöknings</w:t>
      </w:r>
      <w:r w:rsidRPr="0008481A">
        <w:softHyphen/>
        <w:t>formulär och en intervju med sökanden skall företas. Beslutet fattas av Sta</w:t>
      </w:r>
      <w:r w:rsidRPr="0008481A">
        <w:softHyphen/>
        <w:t>tens Invandrarverk.</w:t>
      </w:r>
    </w:p>
    <w:p w:rsidR="003B3271" w:rsidRPr="0008481A" w:rsidRDefault="003B3271">
      <w:pPr>
        <w:pStyle w:val="Citatindrag"/>
      </w:pPr>
      <w:r w:rsidRPr="0008481A">
        <w:t>Enligt departementets uppfattning kunde ambassaden ha informerat om möjligheten att ansöka om uppehållstillstånd på det särskilda formuläret. I övrigt anser departementet inte att Heidemarie Lüths klagomål mot ambas</w:t>
      </w:r>
      <w:r w:rsidRPr="0008481A">
        <w:softHyphen/>
        <w:t xml:space="preserve">saden i Bonn/Berlin är befogat. </w:t>
      </w:r>
    </w:p>
    <w:p w:rsidR="003B3271" w:rsidRPr="0008481A" w:rsidRDefault="003B3271">
      <w:r w:rsidRPr="0008481A">
        <w:t>I ambassadens redogörelse anförde ambassadören Mats Hellström bl.a. följande.</w:t>
      </w:r>
    </w:p>
    <w:p w:rsidR="003B3271" w:rsidRPr="0008481A" w:rsidRDefault="003B3271">
      <w:pPr>
        <w:pStyle w:val="Citat"/>
      </w:pPr>
      <w:r w:rsidRPr="0008481A">
        <w:t>Ambassaden får då och då förfrågningar från enskilda och olika organisatio</w:t>
      </w:r>
      <w:r w:rsidRPr="0008481A">
        <w:softHyphen/>
        <w:t>ner om vad som gäller för att asyl skall kunna beviljas i Sverige. Utgångs</w:t>
      </w:r>
      <w:r w:rsidRPr="0008481A">
        <w:softHyphen/>
        <w:t>punkten från ambassadens sida är givetvis att snabbt och korrekt besvara dessa förfrågningar, och ur ett allmänt perspektiv redogöra för möjligheterna till asyl i Sverige. Ambassaden söker samtidigt klargöra att den inte har att pröva enskilda asylansökningar.</w:t>
      </w:r>
    </w:p>
    <w:p w:rsidR="003B3271" w:rsidRPr="0008481A" w:rsidRDefault="003B3271">
      <w:pPr>
        <w:pStyle w:val="Citatindrag"/>
      </w:pPr>
      <w:r w:rsidRPr="0008481A">
        <w:t>Ett svarsbrev skickades från ambassaden den 28 juli 1999 direkt till familjen K. med kopia till Heidemarie Lüth. Utgångspunkten var att lämna informa</w:t>
      </w:r>
      <w:r w:rsidRPr="0008481A">
        <w:softHyphen/>
        <w:t>tion ur ett allmänt perspektiv, utan att göra någon prövning av familjen K:s specifika fall, eftersom det ju inte är ambassadens uppgift att pröva asylan</w:t>
      </w:r>
      <w:r w:rsidRPr="0008481A">
        <w:softHyphen/>
        <w:t>sökningar.</w:t>
      </w:r>
    </w:p>
    <w:p w:rsidR="003B3271" w:rsidRPr="0008481A" w:rsidRDefault="003B3271">
      <w:r w:rsidRPr="0008481A">
        <w:t xml:space="preserve">I beslut den 15 februari 2000 anförde </w:t>
      </w:r>
      <w:r w:rsidRPr="0008481A">
        <w:rPr>
          <w:i/>
        </w:rPr>
        <w:t>stf. JO Ekberg</w:t>
      </w:r>
      <w:r w:rsidRPr="0008481A">
        <w:t xml:space="preserve"> följande.</w:t>
      </w:r>
    </w:p>
    <w:p w:rsidR="003B3271" w:rsidRPr="0008481A" w:rsidRDefault="003B3271">
      <w:pPr>
        <w:pStyle w:val="Rubrik3"/>
      </w:pPr>
      <w:r w:rsidRPr="0008481A">
        <w:t>Bedömning</w:t>
      </w:r>
    </w:p>
    <w:p w:rsidR="003B3271" w:rsidRPr="0008481A" w:rsidRDefault="003B3271">
      <w:r w:rsidRPr="0008481A">
        <w:t>Den fråga som tagits upp till utredning är huruvida familjen K:s skrivelse till am</w:t>
      </w:r>
      <w:r w:rsidRPr="0008481A">
        <w:softHyphen/>
        <w:t>bassaden handlagts på ett korrekt sätt. Av innehållet i svarsskrivelsen den 28 juli 1999 framgår att ambassaden uppfattat och behandlat skrivelsen som endast en begäran om upplysningar, och då främst i fråga om asylförfarandet. Ambassadö</w:t>
      </w:r>
      <w:r w:rsidRPr="0008481A">
        <w:softHyphen/>
        <w:t>ren Mats Hellström har också i sin redogörelse för ärendet bekräftat att ”utgångspunkten var att lämna information ur ett allmänt perspektiv, utan att göra någon prövning av familjen K:s specifika fall, eftersom det ju inte är ambassadens uppgift att pröva asylansökningar”</w:t>
      </w:r>
      <w:r w:rsidRPr="0008481A">
        <w:t xml:space="preserve">. </w:t>
      </w:r>
    </w:p>
    <w:p w:rsidR="003B3271" w:rsidRPr="0008481A" w:rsidRDefault="003B3271">
      <w:pPr>
        <w:pStyle w:val="Normaltindrag"/>
      </w:pPr>
      <w:r w:rsidRPr="0008481A">
        <w:t>Jag konstaterar, för min del, att familjen K:s skrivelse, förutom en beskrivning av levnadsförhållanden m.m., omfattar en klar begäran om asyl/uppehållstillstånd och att familjen åberopar humanitära skäl för sin begäran. Vid sådant förhållande har de haft en ovillkorlig rätt att få sina ansökningar prövade i normal ordning.  En utlandsmyndighet är alltid skyldig att ta emot en ansökan om uppehålls- och/eller arbetstillstånd och, i de fall myndigheten inte själv är behörig att göra prövningen, sända in de</w:t>
      </w:r>
      <w:r w:rsidRPr="0008481A">
        <w:t>n till behörig beslutsfattare, i detta fall Statens invandrar</w:t>
      </w:r>
      <w:r w:rsidRPr="0008481A">
        <w:softHyphen/>
        <w:t>verk (jfr 3 kap. 7 § utlänningsförordningen, 1989:547). Det bör däremot inte före</w:t>
      </w:r>
      <w:r w:rsidRPr="0008481A">
        <w:softHyphen/>
        <w:t>komma att myndigheten gör någon slags förhandsbedömning och utifrån den av</w:t>
      </w:r>
      <w:r w:rsidRPr="0008481A">
        <w:softHyphen/>
        <w:t>gör om en ansökan skall sändas vidare eller inte.</w:t>
      </w:r>
    </w:p>
    <w:p w:rsidR="003B3271" w:rsidRPr="0008481A" w:rsidRDefault="003B3271">
      <w:pPr>
        <w:pStyle w:val="Normaltindrag"/>
      </w:pPr>
      <w:r w:rsidRPr="0008481A">
        <w:t>Ambassaden har givetvis varit i sin fulla rätt att informera familjen K. om til</w:t>
      </w:r>
      <w:r w:rsidRPr="0008481A">
        <w:softHyphen/>
      </w:r>
      <w:r w:rsidRPr="0008481A">
        <w:t>lämpliga regler för asyl m.m. på sätt som skett. Därutöver har det emellertid ålegat ambassaden att formellt behandla den ingivna skrivelsen som en ansökan om asyl/uppehållstillstånd. Ett första steg kunde då ha varit att – tillsammans med informationsskrivelsen – tillställa familjen K. de särskilda ansökningsformulären för uppehållstillstånd.</w:t>
      </w:r>
    </w:p>
    <w:p w:rsidR="003B3271" w:rsidRPr="0008481A" w:rsidRDefault="003B3271">
      <w:pPr>
        <w:pStyle w:val="Normaltindrag"/>
      </w:pPr>
      <w:r w:rsidRPr="0008481A">
        <w:t>Genom att ambassaden handlagt familjen K:s skrivelse på ett ofullständigt sätt har familjen betagits rätten att få ett formligt beslut som den, vid avslag, kunnat öv</w:t>
      </w:r>
      <w:r w:rsidRPr="0008481A">
        <w:t>erklaga. Ambassaden kan inte undgå kritik för det inträffade.</w:t>
      </w:r>
    </w:p>
    <w:p w:rsidR="003B3271" w:rsidRPr="0008481A" w:rsidRDefault="003B3271">
      <w:r w:rsidRPr="0008481A">
        <w:rPr>
          <w:rFonts w:ascii="Garamond" w:hAnsi="Garamond"/>
        </w:rPr>
        <w:t>–––––––––––––––</w:t>
      </w:r>
      <w:r w:rsidRPr="0008481A">
        <w:tab/>
      </w:r>
    </w:p>
    <w:p w:rsidR="003B3271" w:rsidRPr="0008481A" w:rsidRDefault="003B3271">
      <w:r w:rsidRPr="0008481A">
        <w:t>Utrikesdepartementet har i ett cirkulär den 9 mars 2000 tillställt samtliga ambassader och karriärkonsulat samt handelskontoret i Taipei JO:s beslut och särskilt påpekat att en utlandsmyndighet alltid är skyldig att ta emot en klar begäran om asyl/uppehållstillstånd för prövning av Statens invandrarverk. Utlandsmyndigheterna har samtidigt underrättats om att texten i utrikesförvaltningens Rättshandbok är ofullständig beträffande personer som söker asyl/uppehållstillstånd vid en utlandsmyndighet.</w:t>
      </w:r>
    </w:p>
    <w:p w:rsidR="003B3271" w:rsidRPr="0008481A" w:rsidRDefault="003B3271">
      <w:pPr>
        <w:pStyle w:val="Rubrik1"/>
        <w:spacing w:before="0"/>
      </w:pPr>
      <w:r w:rsidRPr="0008481A">
        <w:br w:type="page"/>
        <w:t>Försvaret</w:t>
      </w:r>
    </w:p>
    <w:p w:rsidR="003B3271" w:rsidRPr="0008481A" w:rsidRDefault="003B3271">
      <w:pPr>
        <w:pStyle w:val="Rubrik2"/>
      </w:pPr>
      <w:r w:rsidRPr="0008481A">
        <w:t>Kränkande särbehandling av en värnpliktig</w:t>
      </w:r>
    </w:p>
    <w:p w:rsidR="003B3271" w:rsidRPr="0008481A" w:rsidRDefault="003B3271">
      <w:r w:rsidRPr="0008481A">
        <w:t>(Dnr 2610-1999)</w:t>
      </w:r>
    </w:p>
    <w:p w:rsidR="003B3271" w:rsidRPr="0008481A" w:rsidRDefault="003B3271">
      <w:r w:rsidRPr="0008481A">
        <w:t xml:space="preserve">I ett beslut den 9 maj 2000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G.N. har framfört klagomål mot Försvarsmaktens sätt att behandla en värnpliktig. I sin anmälan har han gjort gällande att den värnpliktige utsatts för kränkande särbehandling genom att, vid en omröstning i samband med utryckningen, utses till plutonens sämste soldat, ”plutonens lök”.</w:t>
      </w:r>
    </w:p>
    <w:p w:rsidR="003B3271" w:rsidRPr="0008481A" w:rsidRDefault="003B3271">
      <w:pPr>
        <w:pStyle w:val="Rubrik3"/>
      </w:pPr>
      <w:r w:rsidRPr="0008481A">
        <w:t>Utredning</w:t>
      </w:r>
    </w:p>
    <w:p w:rsidR="003B3271" w:rsidRPr="0008481A" w:rsidRDefault="003B3271">
      <w:r w:rsidRPr="0008481A">
        <w:t>Efter remiss till Försvarsmakten har generalen Owe Wiktorin anfört följande.</w:t>
      </w:r>
    </w:p>
    <w:p w:rsidR="003B3271" w:rsidRPr="0008481A" w:rsidRDefault="003B3271">
      <w:pPr>
        <w:pStyle w:val="Citat"/>
        <w:spacing w:line="213" w:lineRule="exact"/>
      </w:pPr>
      <w:r w:rsidRPr="0008481A">
        <w:t>G.N. framför i sin anmälan synpunkter på att man vid en omröstning inför utryckning från värn</w:t>
      </w:r>
      <w:r w:rsidRPr="0008481A">
        <w:softHyphen/>
        <w:t>pliktstjänstgöring utsett plutonens sämste soldat. Enligt G.N. har ansvariga militära chefer här</w:t>
      </w:r>
      <w:r w:rsidRPr="0008481A">
        <w:softHyphen/>
        <w:t>igenom inte fullgjort sina åtaganden enligt Hpers 1997 samt brutit mot Arbetarskyddsstyrelsens föreskrifter (AFS 1993:17).</w:t>
      </w:r>
    </w:p>
    <w:p w:rsidR="003B3271" w:rsidRPr="0008481A" w:rsidRDefault="003B3271">
      <w:pPr>
        <w:pStyle w:val="Citatindrag"/>
      </w:pPr>
      <w:r w:rsidRPr="0008481A">
        <w:t>Med anledning av JO:s remiss har Försvarsmakten begärt ett yttrande från förbandschefen, se bilaga (</w:t>
      </w:r>
      <w:r w:rsidRPr="0008481A">
        <w:rPr>
          <w:i/>
        </w:rPr>
        <w:t>utesluts här; min anmärkning</w:t>
      </w:r>
      <w:r w:rsidRPr="0008481A">
        <w:t>).</w:t>
      </w:r>
    </w:p>
    <w:p w:rsidR="003B3271" w:rsidRPr="0008481A" w:rsidRDefault="003B3271">
      <w:pPr>
        <w:pStyle w:val="Citatindrag"/>
      </w:pPr>
      <w:r w:rsidRPr="0008481A">
        <w:t>En värnpliktig har efter omröstning bland de värnpliktiga utsetts till ”plutonens lök”. Av förbands</w:t>
      </w:r>
      <w:r w:rsidRPr="0008481A">
        <w:softHyphen/>
        <w:t>chefens yttrande framgår bl.a. att avsikten med utnämningen inte var att utse den sämste soldaten. Den värnpliktige som blev utnämnd skötte sin tjänst som fordonsförare på ett i huvudsak bra sätt. Förbandschefen anser emellertid att utnämningsförfarandet är olämpligt och har vidtagit åtgärder för att förhindra ett upprepande. Förbandschefen anför också att G.N:s anmälan till JO har föran</w:t>
      </w:r>
      <w:r w:rsidRPr="0008481A">
        <w:softHyphen/>
        <w:t>letts av att bataljonschefen inte ändrat på tjänstgöringsbetyget för G.N:s son. Försvarsmakten anser att ett sådant påpe</w:t>
      </w:r>
      <w:r w:rsidRPr="0008481A">
        <w:t>kande saknar relevans för att behandla den anmälan varom nu är fråga.</w:t>
      </w:r>
    </w:p>
    <w:p w:rsidR="003B3271" w:rsidRPr="0008481A" w:rsidRDefault="003B3271">
      <w:pPr>
        <w:pStyle w:val="Citatindrag"/>
      </w:pPr>
      <w:r w:rsidRPr="0008481A">
        <w:t>Av förbandschefens yttrande framgår inte de närmare skälen för utnäm</w:t>
      </w:r>
      <w:r w:rsidRPr="0008481A">
        <w:softHyphen/>
        <w:t>ningen. Denna kan emel</w:t>
      </w:r>
      <w:r w:rsidRPr="0008481A">
        <w:softHyphen/>
        <w:t xml:space="preserve">lertid omöjligen anses som annat än nedsättande även om avsikten varit att skämta. Vid förbandets kontakt med den värnpliktige som utnämnts har denne ”uppfattat det hela som ett skämt, men med kanske ett inslag av visst allvar, där han till viss del kunde förstå den eventuella kritik mot honom själv som kunde ligga i utnämningen. Han hade dock inte känt sig kränkt”. </w:t>
      </w:r>
    </w:p>
    <w:p w:rsidR="003B3271" w:rsidRPr="0008481A" w:rsidRDefault="003B3271">
      <w:pPr>
        <w:pStyle w:val="Citatindrag"/>
      </w:pPr>
      <w:r w:rsidRPr="0008481A">
        <w:t>Försvarsmakten finner att en sådan utnämning, som får anses sanktionerad av plutonsbefälen, är helt oacceptabel och in</w:t>
      </w:r>
      <w:r w:rsidRPr="0008481A">
        <w:t>te får förekomma. Även om de värnpliktiga själva initierar och genomför en frivillig omröstning förväntas det av yrkesofficerare att de omedelbart ingriper och stoppar ett sådant förfarande, när de får kännedom om det. Skälet är att en värnpliktig mycket väl kan upp</w:t>
      </w:r>
      <w:r w:rsidRPr="0008481A">
        <w:softHyphen/>
        <w:t>fatta det skedda som en kränkning som han inte skall behöva utstå i samband med en plikttjänst</w:t>
      </w:r>
      <w:r w:rsidRPr="0008481A">
        <w:softHyphen/>
        <w:t>göring. I detta fall har emellertid förbandets befäl varit väl medvetna om förfarandet. Försvars</w:t>
      </w:r>
      <w:r w:rsidRPr="0008481A">
        <w:softHyphen/>
        <w:t>makten noterar dock att förbandschefen nu vidtagit er</w:t>
      </w:r>
      <w:r w:rsidRPr="0008481A">
        <w:t>forderliga åtgärder för att säkerställa att förfarandet inte upprepas i framtiden.</w:t>
      </w:r>
    </w:p>
    <w:p w:rsidR="003B3271" w:rsidRPr="0008481A" w:rsidRDefault="003B3271">
      <w:pPr>
        <w:pStyle w:val="Citatindrag"/>
      </w:pPr>
      <w:r w:rsidRPr="0008481A">
        <w:t xml:space="preserve">I 1 § Arbetarskyddsstyrelsens föreskrifter (AFS 1993:17) ”Kränkande särbehandling i arbetslivet” definieras kränkande särbehandling som ”återkommande klandervärda eller negativt präglade handlingar som riktas mot enskilda arbetstagare”. Ifrågavarande utnämning skedde vid ett tillfälle varför den inte kan anses bryta mot föreskrifterna. I kapitel 11.6 Handbok för personaltjänst 1997 (HPers 1997) anges i Försvarsmaktens policy </w:t>
      </w:r>
      <w:r w:rsidRPr="0008481A">
        <w:t>mot kränkande särbehandling/diskriminering bl.a. att ”alla tendenser till kränk</w:t>
      </w:r>
      <w:r w:rsidRPr="0008481A">
        <w:softHyphen/>
        <w:t>an</w:t>
      </w:r>
      <w:r w:rsidRPr="0008481A">
        <w:softHyphen/>
        <w:t>de särbehandling skall förebyggas, uppmärksammas och åtgärdas”. Utnämningen får därför anses strida mot Försvarsmaktens policy.</w:t>
      </w:r>
    </w:p>
    <w:p w:rsidR="003B3271" w:rsidRPr="0008481A" w:rsidRDefault="003B3271">
      <w:pPr>
        <w:pStyle w:val="Citatindrag"/>
      </w:pPr>
      <w:r w:rsidRPr="0008481A">
        <w:t>Försvarsmakten kommer att informera samtliga förband och skolor om detta ärende för att säkerställa att sådana utnämningar inte förekommer framdeles.</w:t>
      </w:r>
    </w:p>
    <w:p w:rsidR="003B3271" w:rsidRPr="0008481A" w:rsidRDefault="003B3271">
      <w:r w:rsidRPr="0008481A">
        <w:t>G.N. har kommenterat remissvaret.</w:t>
      </w:r>
    </w:p>
    <w:p w:rsidR="003B3271" w:rsidRPr="0008481A" w:rsidRDefault="003B3271">
      <w:pPr>
        <w:pStyle w:val="Rubrik3"/>
      </w:pPr>
      <w:r w:rsidRPr="0008481A">
        <w:t>Bedömning</w:t>
      </w:r>
    </w:p>
    <w:p w:rsidR="003B3271" w:rsidRPr="0008481A" w:rsidRDefault="003B3271">
      <w:r w:rsidRPr="0008481A">
        <w:t>I ärendet är klarlagt att en värnpliktig vid Markstridsskolan Kvarn, i samband med en omröstning inför utryckningen, utsetts till årets sämste soldat, benämnd ”pluto</w:t>
      </w:r>
      <w:r w:rsidRPr="0008481A">
        <w:softHyphen/>
        <w:t xml:space="preserve">nens lök”, och att ”utnämningen” varit sanktionerad av plutonsbefälen.                        </w:t>
      </w:r>
    </w:p>
    <w:p w:rsidR="003B3271" w:rsidRPr="0008481A" w:rsidRDefault="003B3271">
      <w:pPr>
        <w:pStyle w:val="Normaltindrag"/>
      </w:pPr>
      <w:r w:rsidRPr="0008481A">
        <w:t>Jag instämmer i vad Försvarsmakten uttalat i remissvaret, med det tillägget att jag finner det häpnadsväckande att förbandets befäl inte vidtog några åtgärder för att stoppa förfarandet. Det borde framstå som uppenbart för en yrkesofficerare att en värnpliktig inte kan uppfatta en utnämning av aktuellt slag som annat än nedsät</w:t>
      </w:r>
      <w:r w:rsidRPr="0008481A">
        <w:softHyphen/>
        <w:t>tan</w:t>
      </w:r>
      <w:r w:rsidRPr="0008481A">
        <w:softHyphen/>
        <w:t>de och innebärande stark kritik mot dennes prestationer under värnpliktstiden. Denna form av utnämningar är helt oacceptabla och får inte förekomma.</w:t>
      </w:r>
    </w:p>
    <w:p w:rsidR="003B3271" w:rsidRPr="0008481A" w:rsidRDefault="003B3271">
      <w:pPr>
        <w:pStyle w:val="Rubrik2"/>
      </w:pPr>
      <w:r w:rsidRPr="0008481A">
        <w:t>Handläggningen av ett ärende rörande ändring av vitsord</w:t>
      </w:r>
    </w:p>
    <w:p w:rsidR="003B3271" w:rsidRPr="0008481A" w:rsidRDefault="003B3271">
      <w:r w:rsidRPr="0008481A">
        <w:t>(Dnr 209-1999)</w:t>
      </w:r>
    </w:p>
    <w:p w:rsidR="003B3271" w:rsidRPr="0008481A" w:rsidRDefault="003B3271">
      <w:r w:rsidRPr="0008481A">
        <w:t xml:space="preserve">I ett beslut den 27 mars 2000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I sin anmälan till JO har O.E. framfört klagomål mot Försvarsmaktens sätt att handlägga ett ärende rörande ändring av vitsord. O.E. har uppgett att han överklagade vitsorden i augusti 1997, efter att ha deltagit i ett fredsbevarande uppdrag i Makedonien, och att han först i januari 1999 fick besked om att vitsorden inte skulle ändras och att anledningen härtill var att Försvars</w:t>
      </w:r>
      <w:r w:rsidRPr="0008481A">
        <w:softHyphen/>
        <w:t xml:space="preserve">makten i oktober 1998 fattat ett principbeslut om att endast yrkes- och reservofficerare skulle kunna överklaga lämnade vitsord. O.E. har vidare ifrågasatt om Försvarsmaktens principbeslut kan omfatta hans överklagande, eftersom beslutet fattades efter det att han begärt överprövning.      </w:t>
      </w:r>
    </w:p>
    <w:p w:rsidR="003B3271" w:rsidRPr="0008481A" w:rsidRDefault="003B3271">
      <w:pPr>
        <w:pStyle w:val="Rubrik3"/>
      </w:pPr>
      <w:r w:rsidRPr="0008481A">
        <w:t>Utredning</w:t>
      </w:r>
    </w:p>
    <w:p w:rsidR="003B3271" w:rsidRPr="0008481A" w:rsidRDefault="003B3271">
      <w:r w:rsidRPr="0008481A">
        <w:t>Efter remiss har Försvarsmakten, stf. överbefälhavaren Frank Rosenius, anfört följande.</w:t>
      </w:r>
    </w:p>
    <w:p w:rsidR="003B3271" w:rsidRPr="0008481A" w:rsidRDefault="003B3271">
      <w:pPr>
        <w:pStyle w:val="Citat"/>
        <w:spacing w:line="213" w:lineRule="exact"/>
      </w:pPr>
      <w:r w:rsidRPr="0008481A">
        <w:t>Regler om erinran mot vitsord och tjänstgöringsomdömen finns för de anställda vid Försvarsmakten som är yrkesofficerare och reservofficerare. O.E. tillhör inte någon av dessa kategorier utan har erhållit vitsord såsom värnpliktig. Sådant vitsord kan, enligt Försvarsmaktens uppfattning, i princip inte överklagas. Denna fråga har tidigare varit föremål för prövning av Riksdagens Ombudsmän, JO, (1985-11-13, dnr 2965-1983).</w:t>
      </w:r>
    </w:p>
    <w:p w:rsidR="003B3271" w:rsidRPr="0008481A" w:rsidRDefault="003B3271">
      <w:pPr>
        <w:pStyle w:val="Citatindrag"/>
      </w:pPr>
      <w:r w:rsidRPr="0008481A">
        <w:t>De grundläggande kraven på saklighet och opartiskhet skall givetvis iakttas vid vitsordsgivning. Inom den ram som dessa krav ger, finns i regel ett utrymme för olika uppfattningar. Ingenting har, vid inhämtning av underlag till detta yttrande, framförts eller eljest framkommit, som indikerar att de grundläggande kraven åsidosatts då O.E. erhöll sitt vitsord.</w:t>
      </w:r>
    </w:p>
    <w:p w:rsidR="003B3271" w:rsidRPr="0008481A" w:rsidRDefault="003B3271">
      <w:pPr>
        <w:pStyle w:val="Citatindrag"/>
      </w:pPr>
      <w:r w:rsidRPr="0008481A">
        <w:t>Försvarsmakten delar O.E:s uppfattning att han fått vänta alltför länge på besked angående det av honom ingivna överklagandet av vitsord från hans tjänstgöring i Makedonien. Därutöver innehöll det besked O.E. slutligen erhöll, en felaktig uppgift beträffande tiden för reglernas tillkomst.</w:t>
      </w:r>
    </w:p>
    <w:p w:rsidR="003B3271" w:rsidRPr="0008481A" w:rsidRDefault="003B3271">
      <w:pPr>
        <w:pStyle w:val="Citatindrag"/>
      </w:pPr>
      <w:r w:rsidRPr="0008481A">
        <w:t>Bristerna som uppdagats i handläggningen av O.E:s ärende föranleder Försvarsmakten att se över handläggningsrutinerna i ärenden av motsvarande karaktär och den prioritet dessa skall ges.</w:t>
      </w:r>
    </w:p>
    <w:p w:rsidR="003B3271" w:rsidRPr="0008481A" w:rsidRDefault="003B3271">
      <w:r w:rsidRPr="0008481A">
        <w:t>I en kommentar till remissvaret har O.E. vidhållit sina klagomål. Han har även bifogat kopior av bl.a. överklagandet och ett yttrande upprättat av överstelöjtnant Harry Vemdal, som undertecknat tjänstgöringsbetyget. I yttrandet, som är daterat den 23 oktober 1997, har Harry Vemdal föreslagit att O.E:s vitsord ändras från X 8 8 till X 9 9.</w:t>
      </w:r>
    </w:p>
    <w:p w:rsidR="003B3271" w:rsidRPr="0008481A" w:rsidRDefault="003B3271">
      <w:pPr>
        <w:pStyle w:val="Normaltindrag"/>
      </w:pPr>
      <w:r w:rsidRPr="0008481A">
        <w:t>Jag har inhämtat kompletterande upplysningar från försvarsjuristen Ulf Lindskog, Högkvarteret, med anledning av O.E:s kommentar till remissvaret. Ulf Lindskog har uppgett bl.a. följande. I normalfallet kan Högkvarteret inte ompröva en värnpliktigs vitsord. Detta ankommer i stället på den eller de personer som har ansvarat för den värnpliktiges utbildning. Som framgår av remissvaret kan Högkvarteret emellertid ha synpunkter på hur vitsorden utformats. Med hänsyn till vad Harry Vemdal har anfört i sitt yttra</w:t>
      </w:r>
      <w:r w:rsidRPr="0008481A">
        <w:t>nde kan dock Försvarsmakten komma att ändra O.E:s vitsord.</w:t>
      </w:r>
    </w:p>
    <w:p w:rsidR="003B3271" w:rsidRPr="0008481A" w:rsidRDefault="003B3271">
      <w:pPr>
        <w:pStyle w:val="Normaltindrag"/>
      </w:pPr>
      <w:r w:rsidRPr="0008481A">
        <w:t>Ulf Lindskog har den 17 mars 2000 inkommit med en skriftlig under</w:t>
      </w:r>
      <w:r w:rsidRPr="0008481A">
        <w:softHyphen/>
        <w:t xml:space="preserve">rättelse om att SWEDINT har utfärdat ett nytt tjänstgöringsbetyg för O.E. i enlighet med Harry Vemdals förslag. Av underrättelsen framgår vidare att Försvarsmakten, i brev till O.E., har beklagat den felaktiga hanteringen av ärendet.           </w:t>
      </w:r>
    </w:p>
    <w:p w:rsidR="003B3271" w:rsidRPr="0008481A" w:rsidRDefault="003B3271">
      <w:pPr>
        <w:pStyle w:val="Rubrik3"/>
      </w:pPr>
      <w:r w:rsidRPr="0008481A">
        <w:t>Bedömning</w:t>
      </w:r>
    </w:p>
    <w:p w:rsidR="003B3271" w:rsidRPr="0008481A" w:rsidRDefault="003B3271">
      <w:r w:rsidRPr="0008481A">
        <w:t xml:space="preserve">Som Försvarsmakten har anfört i yttrandet har en värnpliktig inte någon rätt att överklaga ett vitsord som lämnats honom. Försvarsmakten har emellertid  möjlighet att ompröva lämnade vitsord.     </w:t>
      </w:r>
    </w:p>
    <w:p w:rsidR="003B3271" w:rsidRPr="0008481A" w:rsidRDefault="003B3271">
      <w:pPr>
        <w:pStyle w:val="Normaltindrag"/>
      </w:pPr>
      <w:r w:rsidRPr="0008481A">
        <w:t xml:space="preserve">I ärendet är klarlagt att O.E. lämnade in ett ”överklagande” i augusti 1997 och att han i januari 1999 fick besked om att vitsorden inte skulle ändras. En sådan handläggningstid är helt oacceptabel, inte minst mot bakgrund av att lämnade vitsord kan vara av stor betydelse för den enskildes framtid. Härtill kommer att vitsorden, sedan anmälan gjorts till JO och Försvarsmakten åter uppmärksammats på frågan, kom att ändras i en för O.E. positiv riktning. </w:t>
      </w:r>
    </w:p>
    <w:p w:rsidR="003B3271" w:rsidRPr="0008481A" w:rsidRDefault="003B3271">
      <w:pPr>
        <w:pStyle w:val="Normaltindrag"/>
      </w:pPr>
      <w:r w:rsidRPr="0008481A">
        <w:t>Utredningen i ärendet ger inte annat vid handen än att Försvarsmaktens handläggning av ärendet har varit förenad med mycket stora brister. Det är också förvånande att Harry Vemdals uppfattning i frågan inte inhämtades innan det ursprungliga remissvaret lämnades till JO. Eftersom frågor av aktuellt slag är av stor vikt för den enskilde utgår jag från att rutinerna numera är sådana att ett upprepande kan undvikas.</w:t>
      </w:r>
    </w:p>
    <w:p w:rsidR="003B3271" w:rsidRPr="0008481A" w:rsidRDefault="003B3271">
      <w:pPr>
        <w:pStyle w:val="Rubrik2"/>
      </w:pPr>
      <w:r w:rsidRPr="0008481A">
        <w:t>Ett på JO:s initiativ upptaget ärende angående Försvarsmaktens me</w:t>
      </w:r>
      <w:r w:rsidRPr="0008481A">
        <w:t>d</w:t>
      </w:r>
      <w:r w:rsidRPr="0008481A">
        <w:t>verkan i polisiär verksamhet</w:t>
      </w:r>
    </w:p>
    <w:p w:rsidR="003B3271" w:rsidRPr="0008481A" w:rsidRDefault="003B3271">
      <w:r w:rsidRPr="0008481A">
        <w:t>(Dnr 4110-1998)</w:t>
      </w:r>
    </w:p>
    <w:p w:rsidR="003B3271" w:rsidRPr="0008481A" w:rsidRDefault="003B3271">
      <w:r w:rsidRPr="0008481A">
        <w:t xml:space="preserve">I ett beslut den 8 september 1999 anförde </w:t>
      </w:r>
      <w:r w:rsidRPr="0008481A">
        <w:rPr>
          <w:i/>
        </w:rPr>
        <w:t>JO Pennlöv</w:t>
      </w:r>
      <w:r w:rsidRPr="0008481A">
        <w:t xml:space="preserve"> följande.</w:t>
      </w:r>
    </w:p>
    <w:p w:rsidR="003B3271" w:rsidRPr="0008481A" w:rsidRDefault="003B3271">
      <w:pPr>
        <w:pStyle w:val="Rubrik3"/>
      </w:pPr>
      <w:r w:rsidRPr="0008481A">
        <w:t>Bakgrund</w:t>
      </w:r>
    </w:p>
    <w:p w:rsidR="003B3271" w:rsidRPr="0008481A" w:rsidRDefault="003B3271">
      <w:r w:rsidRPr="0008481A">
        <w:t>Söndagen den 27 september 1998 utförde två personer ett rån på P 10 i Strängnäs. Vid rånet tillgreps ett antal militära automatvapen av typen AK 5. Spaningen efter de misstänkta gärningsmännen koncentrerades snabbt till Nackareservatet i Stockholm. Det aktuella området hade utan framgång genomsökts av polismän   på marken. Dessutom hade också utan framgång använts polishelikopter utrustad med värmekamera. Efter framställning från Polismyndigheten i Stockholms län beslutade Försvarsmakten – överbefälhavaren</w:t>
      </w:r>
      <w:r w:rsidRPr="0008481A">
        <w:t xml:space="preserve"> – att en militär helikopter skulle stödja polisen i spaningsarbetet. Under kvällen och natten den 2 och 3 oktober 1998 deltog en militär helikopter med besättning i spaningen efter vapentj</w:t>
      </w:r>
      <w:r w:rsidRPr="0008481A">
        <w:t>u</w:t>
      </w:r>
      <w:r w:rsidRPr="0008481A">
        <w:t>varna.</w:t>
      </w:r>
    </w:p>
    <w:p w:rsidR="003B3271" w:rsidRPr="0008481A" w:rsidRDefault="003B3271">
      <w:pPr>
        <w:pStyle w:val="Rubrik3"/>
      </w:pPr>
      <w:r w:rsidRPr="0008481A">
        <w:t>Initiativet</w:t>
      </w:r>
    </w:p>
    <w:p w:rsidR="003B3271" w:rsidRPr="0008481A" w:rsidRDefault="003B3271">
      <w:r w:rsidRPr="0008481A">
        <w:t>I en anonym anmälan, som kom in till JO den 19 oktober 1998, ifrågasattes la</w:t>
      </w:r>
      <w:r w:rsidRPr="0008481A">
        <w:t>g</w:t>
      </w:r>
      <w:r w:rsidRPr="0008481A">
        <w:t>ligheten av att militär personal och materiel hade använts i spaningen efter de misstänkta vapentjuvarna. Anmälarna, som uppgav sig vara anställda inom Fö</w:t>
      </w:r>
      <w:r w:rsidRPr="0008481A">
        <w:t>r</w:t>
      </w:r>
      <w:r w:rsidRPr="0008481A">
        <w:t>svarsmakten och Polismyndigheten i Stockholms län, hävdade att Försvarsmakten genom sin medverkan oriktigt hade deltagit i en polisiär operation mot civilb</w:t>
      </w:r>
      <w:r w:rsidRPr="0008481A">
        <w:t>e</w:t>
      </w:r>
      <w:r w:rsidRPr="0008481A">
        <w:t xml:space="preserve">folkning som endast polismyndighet får utföra. Anmälarna pekade dessutom på vissa risker som de ansåg hade varit förenade med uppdraget. </w:t>
      </w:r>
    </w:p>
    <w:p w:rsidR="003B3271" w:rsidRPr="0008481A" w:rsidRDefault="003B3271">
      <w:pPr>
        <w:pStyle w:val="Normaltindrag"/>
      </w:pPr>
      <w:r w:rsidRPr="0008481A">
        <w:t>Jag beslutade den 26 oktober 1998 att inleda en utredning i sa</w:t>
      </w:r>
      <w:r w:rsidRPr="0008481A">
        <w:t>ken.</w:t>
      </w:r>
    </w:p>
    <w:p w:rsidR="003B3271" w:rsidRPr="0008481A" w:rsidRDefault="003B3271">
      <w:pPr>
        <w:pStyle w:val="Rubrik3"/>
      </w:pPr>
      <w:r w:rsidRPr="0008481A">
        <w:t>Utredning</w:t>
      </w:r>
    </w:p>
    <w:p w:rsidR="003B3271" w:rsidRPr="0008481A" w:rsidRDefault="003B3271">
      <w:r w:rsidRPr="0008481A">
        <w:t>Från Polismyndigheten i Stockholms län erhölls två promemorior som upp</w:t>
      </w:r>
      <w:r w:rsidRPr="0008481A">
        <w:softHyphen/>
        <w:t>rättats angående Försvarsmaktens medverkan vid det aktuella tillfället. Munt</w:t>
      </w:r>
      <w:r w:rsidRPr="0008481A">
        <w:softHyphen/>
        <w:t>liga upply</w:t>
      </w:r>
      <w:r w:rsidRPr="0008481A">
        <w:t>s</w:t>
      </w:r>
      <w:r w:rsidRPr="0008481A">
        <w:t>ningar inhämtades från polisöverintendenten Leif Jennekvist, Polis</w:t>
      </w:r>
      <w:r w:rsidRPr="0008481A">
        <w:softHyphen/>
        <w:t>myndigheten i Stockholms län, länskriminalpolisen.</w:t>
      </w:r>
    </w:p>
    <w:p w:rsidR="003B3271" w:rsidRPr="0008481A" w:rsidRDefault="003B3271">
      <w:pPr>
        <w:pStyle w:val="Normaltindrag"/>
      </w:pPr>
      <w:r w:rsidRPr="0008481A">
        <w:t>Försvarsmakten och Rikspolisstyrelsen anmodades därefter att genomföra utre</w:t>
      </w:r>
      <w:r w:rsidRPr="0008481A">
        <w:t>d</w:t>
      </w:r>
      <w:r w:rsidRPr="0008481A">
        <w:t>ning och avge yttrande i ärendet.</w:t>
      </w:r>
    </w:p>
    <w:p w:rsidR="003B3271" w:rsidRPr="0008481A" w:rsidRDefault="003B3271">
      <w:r w:rsidRPr="0008481A">
        <w:t>Försvarsmakten – överbefälhavaren general Owe Wiktorin – anförde följande.</w:t>
      </w:r>
    </w:p>
    <w:p w:rsidR="003B3271" w:rsidRPr="0008481A" w:rsidRDefault="003B3271">
      <w:pPr>
        <w:pStyle w:val="Packad"/>
      </w:pPr>
      <w:r w:rsidRPr="0008481A">
        <w:t>– – –</w:t>
      </w:r>
    </w:p>
    <w:p w:rsidR="003B3271" w:rsidRPr="0008481A" w:rsidRDefault="003B3271">
      <w:pPr>
        <w:pStyle w:val="Citat"/>
        <w:rPr>
          <w:i/>
        </w:rPr>
      </w:pPr>
      <w:r w:rsidRPr="0008481A">
        <w:rPr>
          <w:i/>
        </w:rPr>
        <w:t>Utredning</w:t>
      </w:r>
    </w:p>
    <w:p w:rsidR="003B3271" w:rsidRPr="0008481A" w:rsidRDefault="003B3271">
      <w:pPr>
        <w:pStyle w:val="Citat"/>
        <w:spacing w:line="213" w:lineRule="exact"/>
      </w:pPr>
      <w:r w:rsidRPr="0008481A">
        <w:t>Försvarsmakten har i sin utredning inhämtat yttranden inom Högkvarteret samt från chefen för Försvarsmaktens helikopterflottilj. I utredningen har inte framkommit annat än att Försvarsmakten på av överbefälhavaren beslutat sätt har deltagit i spaningen efter vapentjuvarna i Nackareservatet med en militär helikopter. I helikoptern har medföljt en polisman med bärbar FLIR – utrustning (värmekänslig kamera). Polismannen har skött och hante</w:t>
      </w:r>
      <w:r w:rsidRPr="0008481A">
        <w:softHyphen/>
        <w:t>rat utrustningen. Den militära besättnin</w:t>
      </w:r>
      <w:r w:rsidRPr="0008481A">
        <w:t>g</w:t>
      </w:r>
      <w:r w:rsidRPr="0008481A">
        <w:t>en har under spaningen använt s.k. night vision goggles (ljusförstärkande nattkikare). I anmälan till JO har an</w:t>
      </w:r>
      <w:r w:rsidRPr="0008481A">
        <w:softHyphen/>
        <w:t>getts att ”syftet med uppdraget var att upptäcka de båda rånarna och därefter gripa dem”. Detta stämmer inte såvitt avser syftet med just För</w:t>
      </w:r>
      <w:r w:rsidRPr="0008481A">
        <w:softHyphen/>
        <w:t>svarsmaktens medverkan. Försvarsmaktens uppgift var endast att – på sätt som skedde – från luften söka av området med ljusförstärkningsu</w:t>
      </w:r>
      <w:r w:rsidRPr="0008481A">
        <w:t>t</w:t>
      </w:r>
      <w:r w:rsidRPr="0008481A">
        <w:t>rust</w:t>
      </w:r>
      <w:r w:rsidRPr="0008481A">
        <w:softHyphen/>
        <w:t>ning och värmekäns</w:t>
      </w:r>
      <w:r w:rsidRPr="0008481A">
        <w:softHyphen/>
        <w:t>lig kamera. Om och när indikationer visade på möjlig nä</w:t>
      </w:r>
      <w:r w:rsidRPr="0008481A">
        <w:t>rvaro av de efte</w:t>
      </w:r>
      <w:r w:rsidRPr="0008481A">
        <w:t>r</w:t>
      </w:r>
      <w:r w:rsidRPr="0008481A">
        <w:t>sökta vapentjuvarna skulle besättningen i den militära helikoptern meddela polisen sin position och därefter avbryta sitt deltaga</w:t>
      </w:r>
      <w:r w:rsidRPr="0008481A">
        <w:t>n</w:t>
      </w:r>
      <w:r w:rsidRPr="0008481A">
        <w:t>de.</w:t>
      </w:r>
    </w:p>
    <w:p w:rsidR="003B3271" w:rsidRPr="0008481A" w:rsidRDefault="003B3271">
      <w:pPr>
        <w:pStyle w:val="Rubrik4"/>
      </w:pPr>
      <w:r w:rsidRPr="0008481A">
        <w:t>Yttrande</w:t>
      </w:r>
    </w:p>
    <w:p w:rsidR="003B3271" w:rsidRPr="0008481A" w:rsidRDefault="003B3271">
      <w:pPr>
        <w:pStyle w:val="Citat"/>
      </w:pPr>
      <w:r w:rsidRPr="0008481A">
        <w:t>När begäran angående Försvarsmaktens medverkan kom från polisen var bak</w:t>
      </w:r>
      <w:r w:rsidRPr="0008481A">
        <w:softHyphen/>
        <w:t>grunden att två pe</w:t>
      </w:r>
      <w:r w:rsidRPr="0008481A">
        <w:t>r</w:t>
      </w:r>
      <w:r w:rsidRPr="0008481A">
        <w:t>soner, varav åtminstone en var värnpliktig, hade rånat P 10 i Strängnäs på militära automatvapen. För Försvarsmakten framstod det naturligtvis som utomordentligt angeläget att rånarna och fra</w:t>
      </w:r>
      <w:r w:rsidRPr="0008481A">
        <w:t>m</w:t>
      </w:r>
      <w:r w:rsidRPr="0008481A">
        <w:t>förallt de militära vapnen snarast möjligt kunde omhändertas av polisen. Till detta skall läggas de praktiska problem som polisen enligt uppgift vid tillfället hade att själv utföra helikopterflygnin</w:t>
      </w:r>
      <w:r w:rsidRPr="0008481A">
        <w:t>g</w:t>
      </w:r>
      <w:r w:rsidRPr="0008481A">
        <w:t>en i mörker med de regler som gäller civil luftfart. Enligt polisen var sannolikheten stor att de mi</w:t>
      </w:r>
      <w:r w:rsidRPr="0008481A">
        <w:t>sstänkta rånarna skulle förflytta sig i skydd av mörker. Enligt Försvarsmakten är det bland annat i ljuset av detta man bör se myndighetens bedömning av polisens b</w:t>
      </w:r>
      <w:r w:rsidRPr="0008481A">
        <w:t>e</w:t>
      </w:r>
      <w:r w:rsidRPr="0008481A">
        <w:t>gäran.</w:t>
      </w:r>
    </w:p>
    <w:p w:rsidR="003B3271" w:rsidRPr="0008481A" w:rsidRDefault="003B3271">
      <w:pPr>
        <w:pStyle w:val="Citatindrag"/>
      </w:pPr>
      <w:r w:rsidRPr="0008481A">
        <w:t>Omfattningen och inriktningen av Försvarsmaktens verksamhet finns angiven i förordningen (1994:642) med instruktion för Försvarsmakten. När det särskilt gäller uppgifter utanför det trad</w:t>
      </w:r>
      <w:r w:rsidRPr="0008481A">
        <w:t>i</w:t>
      </w:r>
      <w:r w:rsidRPr="0008481A">
        <w:t>tionella militära verksamhets</w:t>
      </w:r>
      <w:r w:rsidRPr="0008481A">
        <w:softHyphen/>
        <w:t>området styrs och begränsas Försvarsmaktens deltagande dessutom fram</w:t>
      </w:r>
      <w:r w:rsidRPr="0008481A">
        <w:softHyphen/>
        <w:t>förallt av bestämmelserna i förordningen (1986:1111) om militär med</w:t>
      </w:r>
      <w:r w:rsidRPr="0008481A">
        <w:softHyphen/>
        <w:t>verkan i civil verksa</w:t>
      </w:r>
      <w:r w:rsidRPr="0008481A">
        <w:t>m</w:t>
      </w:r>
      <w:r w:rsidRPr="0008481A">
        <w:t>het, men även av 34 § räddningstjänstlagen (1986:1102). Såvitt avser åtagande av uppgifter åt polismyndighet har Försvarsmakten härutöver att tillse att myndigheten inte kommer att delta i – eller ens uppfattas delta i – utövning av våld eller tvång mot den egna befolkningen eller andra civila, dvs. sådan myndighetsutövn</w:t>
      </w:r>
      <w:r w:rsidRPr="0008481A">
        <w:t>ing som endast är förbehållen polismyndighet (jfr regeringens proposition 1995/96:12 Totalförsvar i för</w:t>
      </w:r>
      <w:r w:rsidRPr="0008481A">
        <w:softHyphen/>
        <w:t>nyelse s.  48–51).</w:t>
      </w:r>
    </w:p>
    <w:p w:rsidR="003B3271" w:rsidRPr="0008481A" w:rsidRDefault="003B3271">
      <w:pPr>
        <w:pStyle w:val="Citatindrag"/>
      </w:pPr>
      <w:r w:rsidRPr="0008481A">
        <w:t>Vid sidan av skyldigheten att medverka i räddningstjänst får Försvars</w:t>
      </w:r>
      <w:r w:rsidRPr="0008481A">
        <w:softHyphen/>
        <w:t>makten enligt 5 § föror</w:t>
      </w:r>
      <w:r w:rsidRPr="0008481A">
        <w:t>d</w:t>
      </w:r>
      <w:r w:rsidRPr="0008481A">
        <w:t>ningen om militär medverkan i civil verksamhet dessutom åta sig att utföra uppgift som främjar staten eller annat allmänt samhällsintresse. Vid prövningen av de legala förutsättningarna för ett deltagande fann Försvarsmakten att det efterfrågade stödet till polisen med hänsyn till omständi</w:t>
      </w:r>
      <w:r w:rsidRPr="0008481A">
        <w:t>g</w:t>
      </w:r>
      <w:r w:rsidRPr="0008481A">
        <w:t>heterna kunde bedömas främja ett allmänt samhälls</w:t>
      </w:r>
      <w:r w:rsidRPr="0008481A">
        <w:softHyphen/>
        <w:t>intresse. Enligt Försvarsmaktens uppfattning förhindrades således inte myndighetens deltagande av bestämmelserna i nämnda förordning. Efte</w:t>
      </w:r>
      <w:r w:rsidRPr="0008481A">
        <w:t>r</w:t>
      </w:r>
      <w:r w:rsidRPr="0008481A">
        <w:t>som För</w:t>
      </w:r>
      <w:r w:rsidRPr="0008481A">
        <w:t>svarsmak</w:t>
      </w:r>
      <w:r w:rsidRPr="0008481A">
        <w:softHyphen/>
        <w:t>ten i sin prövning dessutom gjorde bedömningen att den begärda spaningsup</w:t>
      </w:r>
      <w:r w:rsidRPr="0008481A">
        <w:t>p</w:t>
      </w:r>
      <w:r w:rsidRPr="0008481A">
        <w:t>giften inte innefattade utövning av våld eller tvång mot civila, beslutade Försvarsmakten att bitr</w:t>
      </w:r>
      <w:r w:rsidRPr="0008481A">
        <w:t>ä</w:t>
      </w:r>
      <w:r w:rsidRPr="0008481A">
        <w:t>da polisen på begärt sätt. Det skall dock framhållas att beslutet inte på något sätt var självklart eftersom gränserna för när ett allmänt samhällsintresse främjas eller när utövning av våld eller tvång mot civila föreligger inte är enkla att bestämma. Med anledning av omständigheterna var det också nödvändigt med ett relativt s</w:t>
      </w:r>
      <w:r w:rsidRPr="0008481A">
        <w:t>nabbt beslut i frågan.</w:t>
      </w:r>
    </w:p>
    <w:p w:rsidR="003B3271" w:rsidRPr="0008481A" w:rsidRDefault="003B3271">
      <w:pPr>
        <w:pStyle w:val="Citatindrag"/>
      </w:pPr>
      <w:r w:rsidRPr="0008481A">
        <w:t>Försvarsmakten är väl medveten om att eventuellt militärt stöd till polismyn</w:t>
      </w:r>
      <w:r w:rsidRPr="0008481A">
        <w:softHyphen/>
        <w:t>dighet av uppenbara skäl måste hanteras med stor omsorg och med omdöme. Detta är också anledningen till att beslut i frågor om sådant stöd skall fattas centralt i Högkvarteret. Samtidigt finns emellertid ett allt oftare uttalat önskemål (krav) från såväl politiker som företrädare för myndigheter och kommuner etc. att Försvarsmakten skall utöka sitt stöd till det civila samhället. Ofta hänvisas därvid till bestämme</w:t>
      </w:r>
      <w:r w:rsidRPr="0008481A">
        <w:t>l</w:t>
      </w:r>
      <w:r w:rsidRPr="0008481A">
        <w:t>sen i 2 § instruktionen för Försvarsmakten som anger att myndigheten skall kunna stödja samhä</w:t>
      </w:r>
      <w:r w:rsidRPr="0008481A">
        <w:t>llet vid svåra påfrestningar i fred och förbereda sig för denna uppgift. Även om denna bestämmelse i realiteten tar sikte på synnerligen allvarliga och extraordinära tillstånd som är av en sådan omfat</w:t>
      </w:r>
      <w:r w:rsidRPr="0008481A">
        <w:t>t</w:t>
      </w:r>
      <w:r w:rsidRPr="0008481A">
        <w:t>ning att det uppstår allvarliga störningar i viktiga samhällsfunktioner eller hotar grundläggande värden i samhället (jfr Försvarsutskottets betänkande 1998/99:FöU3 s. 3), har den onekligen b</w:t>
      </w:r>
      <w:r w:rsidRPr="0008481A">
        <w:t>i</w:t>
      </w:r>
      <w:r w:rsidRPr="0008481A">
        <w:t>dragit till att förstärka de nämnda åsikterna. Såvitt avser frågan om Försvarsmaktens stöd till just polismyndighet anf</w:t>
      </w:r>
      <w:r w:rsidRPr="0008481A">
        <w:t>örs vidare ofta att det borde vara ekonomiskt förmånligt att inom staten samu</w:t>
      </w:r>
      <w:r w:rsidRPr="0008481A">
        <w:t>t</w:t>
      </w:r>
      <w:r w:rsidRPr="0008481A">
        <w:t>nyttja befintliga resurser när så lämpligen kan ske. Ett uttryck för det senare finns dessutom i den ovan nämnda propositionen 1995/96:12 där det bland annat anges att militära ”resurser kan u</w:t>
      </w:r>
      <w:r w:rsidRPr="0008481A">
        <w:t>t</w:t>
      </w:r>
      <w:r w:rsidRPr="0008481A">
        <w:t>nyttjas till stöd för andra myndigheter som är lagligen berättigade att använda tvång eller våld” (s. 51). Det anges dock i propositionen att resurserna i så fall bör nyttjas på sådant sätt att det inte kan uppfattas som ett avsteg från grun</w:t>
      </w:r>
      <w:r w:rsidRPr="0008481A">
        <w:t>dprincipen att Försvarsmakten inte får användas i uppgifter som rymmer våld eller tvång mot enskilda civila.</w:t>
      </w:r>
    </w:p>
    <w:p w:rsidR="003B3271" w:rsidRPr="0008481A" w:rsidRDefault="003B3271">
      <w:pPr>
        <w:pStyle w:val="Citatindrag"/>
      </w:pPr>
      <w:r w:rsidRPr="0008481A">
        <w:t>Vid sidan av begränsningen att Försvarsmakten inte får medverka i uppgifter som innefattar våld eller tvång mot enskilda, utgör förordningen om militär medverkan i civil verksamhet en legal begränsning av stödet till det civila samhället. I 2 § stadgas att Försvarsmakten får ställa personal och egen</w:t>
      </w:r>
      <w:r w:rsidRPr="0008481A">
        <w:softHyphen/>
        <w:t>dom till förfogande för transporter åt bland annat polismyndighet om det finns trängande behov av transporten. Dessutom får Försvarsmakten enligt 5 § åta sig att utföra transporter och andra arbeten och tjänster för civila mottagare, t.ex. en polismyndighet, under förutsättning att verksamheten kan inordnas som ett led i utbildning som bedrivs vid myndigheten eller främjar staten eller annat allmänt samhällsintresse. Härutöver skall enligt förord</w:t>
      </w:r>
      <w:r w:rsidRPr="0008481A">
        <w:softHyphen/>
        <w:t>ningen gällande bestä</w:t>
      </w:r>
      <w:r w:rsidRPr="0008481A">
        <w:t>m</w:t>
      </w:r>
      <w:r w:rsidRPr="0008481A">
        <w:t>melser om konkurrens beaktas om stödet</w:t>
      </w:r>
      <w:r w:rsidRPr="0008481A">
        <w:t xml:space="preserve"> riktar sig utanför staten. Om inte något av de i föror</w:t>
      </w:r>
      <w:r w:rsidRPr="0008481A">
        <w:t>d</w:t>
      </w:r>
      <w:r w:rsidRPr="0008481A">
        <w:t>ningen stadgade villkoren är uppfyllda är således Försvarsmakten förhindrad att åta sig den begä</w:t>
      </w:r>
      <w:r w:rsidRPr="0008481A">
        <w:t>r</w:t>
      </w:r>
      <w:r w:rsidRPr="0008481A">
        <w:t>da uppgiften (oavsett att t.ex. uppgiften inte rymmer våld eller tvång mot enskilda). Huruvida de nämnda villkoren i ett enskilt fall är uppfyllda eller ej är naturligtvis en ibland besvärlig tolkning</w:t>
      </w:r>
      <w:r w:rsidRPr="0008481A">
        <w:t>s</w:t>
      </w:r>
      <w:r w:rsidRPr="0008481A">
        <w:t xml:space="preserve">fråga. Med anledning av vad nu sagts avböjer Försvarsmakten regelmässigt förfrågningar om stöd (med undantag naturligtvis av insatser i räddningstjänst) från </w:t>
      </w:r>
      <w:r w:rsidRPr="0008481A">
        <w:t>det civila samhä</w:t>
      </w:r>
      <w:r w:rsidRPr="0008481A">
        <w:t>l</w:t>
      </w:r>
      <w:r w:rsidRPr="0008481A">
        <w:t>let.</w:t>
      </w:r>
    </w:p>
    <w:p w:rsidR="003B3271" w:rsidRPr="0008481A" w:rsidRDefault="003B3271">
      <w:pPr>
        <w:pStyle w:val="Citatindrag"/>
      </w:pPr>
      <w:r w:rsidRPr="0008481A">
        <w:t>Enligt Försvarsmaktens tolkning av gällande regelverk anser myndigheten det i detta fall var rätt att – mot bakgrund av de speciella omständigheterna som förelåg och med de begränsningar som fanns i uppdraget – stödja pol</w:t>
      </w:r>
      <w:r w:rsidRPr="0008481A">
        <w:t>i</w:t>
      </w:r>
      <w:r w:rsidRPr="0008481A">
        <w:t>sen genom att utföra begärd flygtransport.</w:t>
      </w:r>
    </w:p>
    <w:p w:rsidR="003B3271" w:rsidRPr="0008481A" w:rsidRDefault="003B3271">
      <w:r w:rsidRPr="0008481A">
        <w:t>Rikspolisstyrelsen inhämtade utredning och yttrande från Polismyndigheten i Stockholms län. Vidare inhämtades skriftliga upplysningar från överdirek</w:t>
      </w:r>
      <w:r w:rsidRPr="0008481A">
        <w:softHyphen/>
        <w:t>tören Olof Egerstedt och chefen för rättssekretariatet Lars Sjöström, båda vid Rikspoli</w:t>
      </w:r>
      <w:r w:rsidRPr="0008481A">
        <w:t>s</w:t>
      </w:r>
      <w:r w:rsidRPr="0008481A">
        <w:t>styrelsen. I sitt remissvar anförde Rikspolisstyrelsen – rikspolis</w:t>
      </w:r>
      <w:r w:rsidRPr="0008481A">
        <w:softHyphen/>
        <w:t>chefen Sten Heckscher – bl.a. följande.</w:t>
      </w:r>
    </w:p>
    <w:p w:rsidR="003B3271" w:rsidRPr="0008481A" w:rsidRDefault="003B3271">
      <w:r w:rsidRPr="0008481A">
        <w:t xml:space="preserve">– – – </w:t>
      </w:r>
    </w:p>
    <w:p w:rsidR="003B3271" w:rsidRPr="0008481A" w:rsidRDefault="003B3271">
      <w:pPr>
        <w:pStyle w:val="Rubrik4"/>
      </w:pPr>
      <w:r w:rsidRPr="0008481A">
        <w:t>2.2 Rikspolisstyrelsens synpunkter</w:t>
      </w:r>
    </w:p>
    <w:p w:rsidR="003B3271" w:rsidRPr="0008481A" w:rsidRDefault="003B3271">
      <w:pPr>
        <w:pStyle w:val="Citat"/>
      </w:pPr>
      <w:r w:rsidRPr="0008481A">
        <w:t>Med redogörelsen i det föregående avsnittet vill Rikspolisstyrelsen peka på det förhållandet att det sedan ett antal år och alltjämt är statsmakternas uppfattning att totalförsvarsresurser, t.ex. Försva</w:t>
      </w:r>
      <w:r w:rsidRPr="0008481A">
        <w:t>r</w:t>
      </w:r>
      <w:r w:rsidRPr="0008481A">
        <w:t>smaktens personal och materiel, i fredstid skall kunna tas i anspråk för att lösa uppgifter som i första hand ankommer på det civila samhället, om än med vissa mer eller mindre givna begrän</w:t>
      </w:r>
      <w:r w:rsidRPr="0008481A">
        <w:t>s</w:t>
      </w:r>
      <w:r w:rsidRPr="0008481A">
        <w:t>ningar. Och detta gäller inte enbart vid sådana allvarliga och omfattande händelser som är att anse som s.k. svåra påfrestningar på samhället. Inför totalförsvarsbeslutets andra etapp menade reg</w:t>
      </w:r>
      <w:r w:rsidRPr="0008481A">
        <w:t>e</w:t>
      </w:r>
      <w:r w:rsidRPr="0008481A">
        <w:t>ringen nämligen, som redan framgått, att totalförsvarsresurser kan tas i anspråk även i andra fall. Det hela ligger i linje me</w:t>
      </w:r>
      <w:r w:rsidRPr="0008481A">
        <w:t>d den helhetssyn som enligt riksdagen och regeringen skall anläggas när det gäller att förebygga och hantera hot och risker riktade mot samhället.</w:t>
      </w:r>
    </w:p>
    <w:p w:rsidR="003B3271" w:rsidRPr="0008481A" w:rsidRDefault="003B3271">
      <w:pPr>
        <w:pStyle w:val="Citatindrag"/>
      </w:pPr>
      <w:r w:rsidRPr="0008481A">
        <w:t>Som ett ytterligare tecken på ett närmande av ett användande av total</w:t>
      </w:r>
      <w:r w:rsidRPr="0008481A">
        <w:softHyphen/>
        <w:t>försvarsresurser i det civila samhällets verksamhet noterar Rikspolis</w:t>
      </w:r>
      <w:r w:rsidRPr="0008481A">
        <w:softHyphen/>
        <w:t>styrelsen att regeringen nyligen ställt sig positiv till att frågor om t.ex. utnyttjande av militära fartyg i Kustb</w:t>
      </w:r>
      <w:r w:rsidRPr="0008481A">
        <w:t>e</w:t>
      </w:r>
      <w:r w:rsidRPr="0008481A">
        <w:t>vakningens tjänst ses över.</w:t>
      </w:r>
    </w:p>
    <w:p w:rsidR="003B3271" w:rsidRPr="0008481A" w:rsidRDefault="003B3271">
      <w:pPr>
        <w:pStyle w:val="Citatindrag"/>
      </w:pPr>
      <w:r w:rsidRPr="0008481A">
        <w:t>När det gäller frågan huruvida totalförsvarsbeslutet har lett till några för detta ärende aktuella fö</w:t>
      </w:r>
      <w:r w:rsidRPr="0008481A">
        <w:t>r</w:t>
      </w:r>
      <w:r w:rsidRPr="0008481A">
        <w:t>fattningsändringar kan det konstateras att total</w:t>
      </w:r>
      <w:r w:rsidRPr="0008481A">
        <w:softHyphen/>
        <w:t>försvarsbeslutet kommit till uttryck genom bl.a. 1996 års ändring i nuvarande 2 § lagen (1992:1403) om totalförsvar och höjd beredskap samt 1997 års ändring i 2 § förordningen (1994:642) med instruktion för Försvarsmakten. Enligt dessa par</w:t>
      </w:r>
      <w:r w:rsidRPr="0008481A">
        <w:t>a</w:t>
      </w:r>
      <w:r w:rsidRPr="0008481A">
        <w:t xml:space="preserve">grafer skall </w:t>
      </w:r>
      <w:r w:rsidRPr="0008481A">
        <w:rPr>
          <w:i/>
        </w:rPr>
        <w:t>dels</w:t>
      </w:r>
      <w:r w:rsidRPr="0008481A">
        <w:t xml:space="preserve"> totalförsvarsresurser utformas så att de bl.a. kan stärka samhällets förmåga att förebygga och hantera svåra påfrestningar på samhället, </w:t>
      </w:r>
      <w:r w:rsidRPr="0008481A">
        <w:rPr>
          <w:i/>
        </w:rPr>
        <w:t>dels</w:t>
      </w:r>
      <w:r w:rsidRPr="0008481A">
        <w:t xml:space="preserve"> Försvarsmakten i fred bl.a. kunna stödja samhället vid svåra p</w:t>
      </w:r>
      <w:r w:rsidRPr="0008481A">
        <w:t>åfrestningar på samhället.</w:t>
      </w:r>
    </w:p>
    <w:p w:rsidR="003B3271" w:rsidRPr="0008481A" w:rsidRDefault="003B3271">
      <w:pPr>
        <w:pStyle w:val="Citatindrag"/>
      </w:pPr>
      <w:r w:rsidRPr="0008481A">
        <w:t>Av betydelse i sammanhanget är förordningen (1986:1111) om militär medverkan i civil verksa</w:t>
      </w:r>
      <w:r w:rsidRPr="0008481A">
        <w:t>m</w:t>
      </w:r>
      <w:r w:rsidRPr="0008481A">
        <w:t>het. Enligt 2 § andra stycket förordningen får För</w:t>
      </w:r>
      <w:r w:rsidRPr="0008481A">
        <w:softHyphen/>
        <w:t>svars</w:t>
      </w:r>
      <w:r w:rsidRPr="0008481A">
        <w:softHyphen/>
        <w:t>makten – utöver vad som följer av paragr</w:t>
      </w:r>
      <w:r w:rsidRPr="0008481A">
        <w:t>a</w:t>
      </w:r>
      <w:r w:rsidRPr="0008481A">
        <w:t>fens första stycke, som rör sjuk</w:t>
      </w:r>
      <w:r w:rsidRPr="0008481A">
        <w:softHyphen/>
        <w:t>transporter med helikopter, och av 34 § räddningstjänstlagen (1986:1102) – ställa personal och egendom till förfogande för transporter av sjuka eller skadade eller för transporter åt polis- och tullmyndigheterna eller åt Kustbevakningen, om det finns ett trängande behov av transporten. Denna bestämmelse har i sak inte varit föremål för någon ändring. Den hade således samma saki</w:t>
      </w:r>
      <w:r w:rsidRPr="0008481A">
        <w:t>nnehåll när grundförfattningen trädde i kraft den 1 januari 1987. Det bör tilläggas att bestämmelsen redan dessförinnan  kunde återfinnas – också med samma innehåll i sak – i 6 § förordningen (1983:479) om militär medverkan i civil verksamhet som trädde i kraft    den 30 juni 1983.</w:t>
      </w:r>
    </w:p>
    <w:p w:rsidR="003B3271" w:rsidRPr="0008481A" w:rsidRDefault="003B3271">
      <w:pPr>
        <w:pStyle w:val="Citatindrag"/>
      </w:pPr>
      <w:r w:rsidRPr="0008481A">
        <w:t>I ljuset av vad riksdagen och regeringen vid upprepade tillfällen uttalat om en helhetssyn är det enligt Rikspolisstyrelsens uppfattning besynnerligt att något förtydligande inte kommit till stånd beträffande förordningen om mili</w:t>
      </w:r>
      <w:r w:rsidRPr="0008481A">
        <w:t>tär medverkan i civil verksamhet. Detta måste rimligen bero på för</w:t>
      </w:r>
      <w:r w:rsidRPr="0008481A">
        <w:softHyphen/>
        <w:t>bi</w:t>
      </w:r>
      <w:r w:rsidRPr="0008481A">
        <w:softHyphen/>
        <w:t>seende. Som läget nu är föreligger det – som styrelsen ser det – en bristande korrespondens mellan å ena sidan gällande regler och å anda sidan den av riksdagen och regeringen anlagda s</w:t>
      </w:r>
      <w:r w:rsidRPr="0008481A">
        <w:t>y</w:t>
      </w:r>
      <w:r w:rsidRPr="0008481A">
        <w:t>nen på hur totalförsvarsresurser skall kunna komma till användning i civil verksamhet. Det finns alltså i och för sig fog för det besked som Lars Sjöström efter endast kortvarigt studium lämnade till Leif Jennekvist. Enligt styrelsen är det angeläget att r</w:t>
      </w:r>
      <w:r w:rsidRPr="0008481A">
        <w:t>iksdagens och regeringens uttalade m</w:t>
      </w:r>
      <w:r w:rsidRPr="0008481A">
        <w:t>e</w:t>
      </w:r>
      <w:r w:rsidRPr="0008481A">
        <w:t>ning kommer till uttryck även i förordnings</w:t>
      </w:r>
      <w:r w:rsidRPr="0008481A">
        <w:softHyphen/>
        <w:t>te</w:t>
      </w:r>
      <w:r w:rsidRPr="0008481A">
        <w:t>x</w:t>
      </w:r>
      <w:r w:rsidRPr="0008481A">
        <w:t>ten.</w:t>
      </w:r>
    </w:p>
    <w:p w:rsidR="003B3271" w:rsidRPr="0008481A" w:rsidRDefault="003B3271">
      <w:pPr>
        <w:pStyle w:val="Rubrik4"/>
      </w:pPr>
      <w:r w:rsidRPr="0008481A">
        <w:t>3 Rikspolisstyrelsens avslutande bedömning</w:t>
      </w:r>
    </w:p>
    <w:p w:rsidR="003B3271" w:rsidRPr="0008481A" w:rsidRDefault="003B3271">
      <w:pPr>
        <w:pStyle w:val="Citat"/>
      </w:pPr>
      <w:r w:rsidRPr="0008481A">
        <w:t>Det framgår av utredningen att en Försvarsmakten tillhörig helikopter ställdes till Polismyndigh</w:t>
      </w:r>
      <w:r w:rsidRPr="0008481A">
        <w:t>e</w:t>
      </w:r>
      <w:r w:rsidRPr="0008481A">
        <w:t>tens i Stockholms län förfogande den 2–3 oktober 1998. Anledningen härtill var att flera omstä</w:t>
      </w:r>
      <w:r w:rsidRPr="0008481A">
        <w:t>n</w:t>
      </w:r>
      <w:r w:rsidRPr="0008481A">
        <w:t>digheter talade för att två män misstänkta för grovt rån samt tolv skjutklara militära handeldvapen (automatkarbin 5) skulle finnas i ett större och i allt väsentligt obebyggt område söder om Stoc</w:t>
      </w:r>
      <w:r w:rsidRPr="0008481A">
        <w:t>k</w:t>
      </w:r>
      <w:r w:rsidRPr="0008481A">
        <w:t xml:space="preserve">holm, nämligen i Nackareservatet eller där omkring. Det aktuella området hade utan framgång genomsökts av polismän på marken. Därjämte användes, också framgångslöst, polishelikopter utrustad med värmekamera. Med hänsyn </w:t>
      </w:r>
      <w:r w:rsidRPr="0008481A">
        <w:t>till de bristande framgångarna uppkom frågan om Fö</w:t>
      </w:r>
      <w:r w:rsidRPr="0008481A">
        <w:t>r</w:t>
      </w:r>
      <w:r w:rsidRPr="0008481A">
        <w:t>svarsmakten skulle kunna ställa militär personal, helikopter och värmekamera till Polisens förf</w:t>
      </w:r>
      <w:r w:rsidRPr="0008481A">
        <w:t>o</w:t>
      </w:r>
      <w:r w:rsidRPr="0008481A">
        <w:t>gande, vilket alltså kom att ske.</w:t>
      </w:r>
    </w:p>
    <w:p w:rsidR="003B3271" w:rsidRPr="0008481A" w:rsidRDefault="003B3271">
      <w:pPr>
        <w:pStyle w:val="Citatindrag"/>
      </w:pPr>
      <w:r w:rsidRPr="0008481A">
        <w:t>I det aktuella fallet var det således på det sättet att Polisens ordinarie resurser inte var tillräckliga och heller inte av tillfredsställande beskaffenhet. Med hänsyn härtill fanns det, mot bakgrund av intresset att så snabbt som möjligt återfinna de efterspanade personerna och de från regementet till</w:t>
      </w:r>
      <w:r w:rsidRPr="0008481A">
        <w:softHyphen/>
        <w:t>gripna vapnen, goda skäl som talade för att vända sig till den organisation eller det organ som möjligen kan inneha den utrustning som Polisen var i behov av. Med hänsyn till den speciella utrustning som krävdes och till den korta tidsrymd som stod till buds, torde Försvarsmakten varit den enda organis</w:t>
      </w:r>
      <w:r w:rsidRPr="0008481A">
        <w:t>a</w:t>
      </w:r>
      <w:r w:rsidRPr="0008481A">
        <w:t>tion som i den uppkomna situationen kunde vara Polisen behjälplig.</w:t>
      </w:r>
    </w:p>
    <w:p w:rsidR="003B3271" w:rsidRPr="0008481A" w:rsidRDefault="003B3271">
      <w:pPr>
        <w:pStyle w:val="Citatindrag"/>
      </w:pPr>
      <w:r w:rsidRPr="0008481A">
        <w:t>Författningsstödet för den framställning som Polismyndigheten i Stock</w:t>
      </w:r>
      <w:r w:rsidRPr="0008481A">
        <w:softHyphen/>
        <w:t>holms län gjorde hos Fö</w:t>
      </w:r>
      <w:r w:rsidRPr="0008481A">
        <w:t>r</w:t>
      </w:r>
      <w:r w:rsidRPr="0008481A">
        <w:t>svarsmakten utgörs av 2 § andra stycket förordningen (1986:1111) om militär medverkan i civil verksamhet. Enligt bestämmelsen får, som redan nämnts och såvitt här är av intresse, Försva</w:t>
      </w:r>
      <w:r w:rsidRPr="0008481A">
        <w:t>r</w:t>
      </w:r>
      <w:r w:rsidRPr="0008481A">
        <w:t>s</w:t>
      </w:r>
      <w:r w:rsidRPr="0008481A">
        <w:softHyphen/>
        <w:t>makten ställa personal och egendom till förfogande för transporter åt polisen, om det finns ett trängande behov av transporten. Även om det är Försvars</w:t>
      </w:r>
      <w:r w:rsidRPr="0008481A">
        <w:softHyphen/>
        <w:t>makten som har att avgöra om en fra</w:t>
      </w:r>
      <w:r w:rsidRPr="0008481A">
        <w:t>m</w:t>
      </w:r>
      <w:r w:rsidRPr="0008481A">
        <w:t>ställning är rättsligen grundad åvilar det, som polismyndigheten anger i sitt yttrande, självfallet Polisen att</w:t>
      </w:r>
      <w:r w:rsidRPr="0008481A">
        <w:t xml:space="preserve"> göra en egen bedömning i frågan om en framställning är förenlig med den angivna författningsbestämmelsen.</w:t>
      </w:r>
    </w:p>
    <w:p w:rsidR="003B3271" w:rsidRPr="0008481A" w:rsidRDefault="003B3271">
      <w:pPr>
        <w:pStyle w:val="Citatindrag"/>
      </w:pPr>
      <w:r w:rsidRPr="0008481A">
        <w:t>När det gäller lämpligheten av att i detta fall använda sig av Försvars</w:t>
      </w:r>
      <w:r w:rsidRPr="0008481A">
        <w:softHyphen/>
        <w:t>maktens personal och ege</w:t>
      </w:r>
      <w:r w:rsidRPr="0008481A">
        <w:t>n</w:t>
      </w:r>
      <w:r w:rsidRPr="0008481A">
        <w:t>dom med stöd av den i föregående stycke om</w:t>
      </w:r>
      <w:r w:rsidRPr="0008481A">
        <w:softHyphen/>
        <w:t>nämn</w:t>
      </w:r>
      <w:r w:rsidRPr="0008481A">
        <w:softHyphen/>
        <w:t>da bestämmelsen fäster Rikspolisstyrelsen sä</w:t>
      </w:r>
      <w:r w:rsidRPr="0008481A">
        <w:t>r</w:t>
      </w:r>
      <w:r w:rsidRPr="0008481A">
        <w:t>skilt avseende vid följande. Från polisiära utgångspunkter förelåg ett trängande behov av att g</w:t>
      </w:r>
      <w:r w:rsidRPr="0008481A">
        <w:t>e</w:t>
      </w:r>
      <w:r w:rsidRPr="0008481A">
        <w:t>nom helikoptertransport avsöka ett område med hjälp av värmekamera. Försvarsmakten kunde bistå med helikopter, personal och värmekamera för att möjliggöra den mest effektiva avsökningen av området. Polisens utrustning är i detta hänseende nämligen inte helt tillfyllest. Det stod såväl före som un</w:t>
      </w:r>
      <w:r w:rsidRPr="0008481A">
        <w:t xml:space="preserve">der Försvarsmaktens medverkan klart </w:t>
      </w:r>
      <w:r w:rsidRPr="0008481A">
        <w:rPr>
          <w:i/>
        </w:rPr>
        <w:t>dels</w:t>
      </w:r>
      <w:r w:rsidRPr="0008481A">
        <w:t xml:space="preserve"> att helikoptern skulle flygas med militär besättning men under polismyndighetens ledning, i följd varav en polisman som upprätthöll sa</w:t>
      </w:r>
      <w:r w:rsidRPr="0008481A">
        <w:t>m</w:t>
      </w:r>
      <w:r w:rsidRPr="0008481A">
        <w:t xml:space="preserve">band med polisinsatsledningen medföljde helikoptern, </w:t>
      </w:r>
      <w:r w:rsidRPr="0008481A">
        <w:rPr>
          <w:i/>
        </w:rPr>
        <w:t xml:space="preserve">dels </w:t>
      </w:r>
      <w:r w:rsidRPr="0008481A">
        <w:t>att något militärt tvång eller våld över huvud taget inte skulle brukas. Ändamålet med Försvarsmaktens medverkan var således att stödja Polisens verksamhet – som syftade till att gripa de misstänkta gärningsmännen och omhänderta de tillgripna vapnen – genom att bistå med person</w:t>
      </w:r>
      <w:r w:rsidRPr="0008481A">
        <w:t>al samt en helikopter och en värmekamera i sa</w:t>
      </w:r>
      <w:r w:rsidRPr="0008481A">
        <w:t>m</w:t>
      </w:r>
      <w:r w:rsidRPr="0008481A">
        <w:t>band med avsökningen av omr</w:t>
      </w:r>
      <w:r w:rsidRPr="0008481A">
        <w:t>å</w:t>
      </w:r>
      <w:r w:rsidRPr="0008481A">
        <w:t>det.</w:t>
      </w:r>
    </w:p>
    <w:p w:rsidR="003B3271" w:rsidRPr="0008481A" w:rsidRDefault="003B3271">
      <w:pPr>
        <w:pStyle w:val="Citatindrag"/>
      </w:pPr>
      <w:r w:rsidRPr="0008481A">
        <w:t>Mot bakgrund av det anförda anser Rikspolisstyrelsen att det inte förelegat något hinder mot att Försvarsmakten medverkade vid den polisiära insatsen på det sätt som kom att ske. I det anförda ligger alltså att förfarandet bör accepteras. Härtill kommer att styrelsen inte kan finna annat än att det sätt på vilket Försvarsmakten ställde personal och egendom till Polisens förfogande ligger väl i linje med statsmakternas under senar</w:t>
      </w:r>
      <w:r w:rsidRPr="0008481A">
        <w:t>e tid klart uttalade uppfattning om hur totalförsvarsresurser skall disponeras under fredstid.</w:t>
      </w:r>
    </w:p>
    <w:p w:rsidR="003B3271" w:rsidRPr="0008481A" w:rsidRDefault="003B3271">
      <w:pPr>
        <w:pStyle w:val="Citatindrag"/>
      </w:pPr>
      <w:r w:rsidRPr="0008481A">
        <w:t>Som påpekats av riksdagens försvarsutskott redan under riksmötet år 1995/96 och numera även av regeringen (skr. 1998/99:33 s. 18) är det aktuella regelsystemet i behov av en översyn. Detsamma har för övrigt påtalats av Polismyndigheten i Stockholms län i dess yttrande. Enligt Rikspolisst</w:t>
      </w:r>
      <w:r w:rsidRPr="0008481A">
        <w:t>y</w:t>
      </w:r>
      <w:r w:rsidRPr="0008481A">
        <w:t>relsens uppfattning finns det ett behov av att förtydliga reglerna så att det av själva författning</w:t>
      </w:r>
      <w:r w:rsidRPr="0008481A">
        <w:t>s</w:t>
      </w:r>
      <w:r w:rsidRPr="0008481A">
        <w:t>texten framgår på ett bättre sätt än för närvarande under vilka förutsättningar det skall vara möjligt för Försvars</w:t>
      </w:r>
      <w:r w:rsidRPr="0008481A">
        <w:softHyphen/>
        <w:t>makten att lämna stöd till Polisen. Mot den bakgrunden har styrelsen för avsikt att, efter samråd med Försvarsmakten, inom kort till regeringen lämna förslag till ändringar i förtydl</w:t>
      </w:r>
      <w:r w:rsidRPr="0008481A">
        <w:t>i</w:t>
      </w:r>
      <w:r w:rsidRPr="0008481A">
        <w:t>gande riktning med avseende på förordningen om militär medverkan i civil verksamhet.</w:t>
      </w:r>
      <w:r w:rsidRPr="0008481A">
        <w:rPr>
          <w:i/>
        </w:rPr>
        <w:t xml:space="preserve"> </w:t>
      </w:r>
    </w:p>
    <w:p w:rsidR="003B3271" w:rsidRPr="0008481A" w:rsidRDefault="003B3271">
      <w:pPr>
        <w:pStyle w:val="Rubrik3"/>
      </w:pPr>
      <w:r w:rsidRPr="0008481A">
        <w:t>Bedömning</w:t>
      </w:r>
    </w:p>
    <w:p w:rsidR="003B3271" w:rsidRPr="0008481A" w:rsidRDefault="003B3271">
      <w:r w:rsidRPr="0008481A">
        <w:t>Användningen av militär personal och materiel i polisens verksamhet utgör ett extraordinärt inslag som strikt måste förbehållas situationer där gällande regler medger ett sådant bistånd och från principiell synpunkt är det ytterst väsentligt   att rågången mellan militäraktioner och</w:t>
      </w:r>
      <w:bookmarkStart w:id="32" w:name="_Hlt460557846"/>
      <w:bookmarkEnd w:id="32"/>
      <w:r w:rsidRPr="0008481A">
        <w:t xml:space="preserve"> normalt polisarbete hålls klar (se JO 1991/92 s. 197 f.).</w:t>
      </w:r>
    </w:p>
    <w:p w:rsidR="003B3271" w:rsidRPr="0008481A" w:rsidRDefault="003B3271">
      <w:pPr>
        <w:pStyle w:val="Normaltindrag"/>
      </w:pPr>
      <w:r w:rsidRPr="0008481A">
        <w:t>Riksdagen och regeringen har vid upprepade tillfällen under senare år gjort utt</w:t>
      </w:r>
      <w:r w:rsidRPr="0008481A">
        <w:t>a</w:t>
      </w:r>
      <w:r w:rsidRPr="0008481A">
        <w:t>landen om ett ökat stöd från Försvarsmaktens sida till det civila samhället. Det har emellertid i de sammanhangen poängterats att de militära resurserna bör utnyttjas på sådant sätt att det inte kan uppfattas som ett avsteg</w:t>
      </w:r>
      <w:bookmarkStart w:id="33" w:name="_Hlt460563027"/>
      <w:bookmarkEnd w:id="33"/>
      <w:r w:rsidRPr="0008481A">
        <w:t xml:space="preserve"> från grundprincipen att Fö</w:t>
      </w:r>
      <w:r w:rsidRPr="0008481A">
        <w:t>r</w:t>
      </w:r>
      <w:r w:rsidRPr="0008481A">
        <w:t>svarsmakten inte får användas i uppgifter som rymmer våld eller</w:t>
      </w:r>
      <w:bookmarkStart w:id="34" w:name="_Hlt460554704"/>
      <w:bookmarkEnd w:id="34"/>
      <w:r w:rsidRPr="0008481A">
        <w:t xml:space="preserve"> tvång mot e</w:t>
      </w:r>
      <w:r w:rsidRPr="0008481A">
        <w:t>n</w:t>
      </w:r>
      <w:r w:rsidRPr="0008481A">
        <w:t>skilda civila (jfr bl.a. prop. 1995/96:12 s. 48–51 och 1995/96:FöU1 s. 21</w:t>
      </w:r>
      <w:bookmarkStart w:id="35" w:name="_Hlt460729675"/>
      <w:bookmarkEnd w:id="35"/>
      <w:r w:rsidRPr="0008481A">
        <w:rPr>
          <w:sz w:val="22"/>
        </w:rPr>
        <w:t>).</w:t>
      </w:r>
      <w:r w:rsidRPr="0008481A">
        <w:t xml:space="preserve"> Rik</w:t>
      </w:r>
      <w:r w:rsidRPr="0008481A">
        <w:t>s</w:t>
      </w:r>
      <w:r w:rsidRPr="0008481A">
        <w:t>polisstyrelsens remissvar innehåller en utförlig redogörelse för riksdagens och regeringens uttalanden i</w:t>
      </w:r>
      <w:r w:rsidRPr="0008481A">
        <w:t xml:space="preserve"> frågan.</w:t>
      </w:r>
    </w:p>
    <w:p w:rsidR="003B3271" w:rsidRPr="0008481A" w:rsidRDefault="003B3271">
      <w:pPr>
        <w:pStyle w:val="Normaltindrag"/>
      </w:pPr>
      <w:r w:rsidRPr="0008481A">
        <w:t>Försvarsmakten har redogjort för de regler som styr och begränsar Försvarsma</w:t>
      </w:r>
      <w:r w:rsidRPr="0008481A">
        <w:t>k</w:t>
      </w:r>
      <w:r w:rsidRPr="0008481A">
        <w:t>tens deltagande i uppgifter utanför det traditionella militära verksamhetsområdet. De bestämmelser som främst är aktuella i detta ärende är 2 och 5 §§ förordningen (1986:1111) om militär medverkan i civil verksamhet. Enligt 2 § får Försva</w:t>
      </w:r>
      <w:r w:rsidRPr="0008481A">
        <w:t>r</w:t>
      </w:r>
      <w:r w:rsidRPr="0008481A">
        <w:t>s</w:t>
      </w:r>
      <w:r w:rsidRPr="0008481A">
        <w:softHyphen/>
        <w:t>makten ställa personal och egendom till förfogande för transporter åt bl.a. poli</w:t>
      </w:r>
      <w:r w:rsidRPr="0008481A">
        <w:t>s</w:t>
      </w:r>
      <w:r w:rsidRPr="0008481A">
        <w:t>myndighet, om det finns ett trängande behov av transporten. Enligt 5 § får Fö</w:t>
      </w:r>
      <w:r w:rsidRPr="0008481A">
        <w:t>r</w:t>
      </w:r>
      <w:r w:rsidRPr="0008481A">
        <w:t>svarsmakten dessutom åta sig att utföra transporter och andra arbeten och tjänster, om denna verksamhet kan ino</w:t>
      </w:r>
      <w:r w:rsidRPr="0008481A">
        <w:t>rdnas som ett led i utbildning som bedrivs vid my</w:t>
      </w:r>
      <w:r w:rsidRPr="0008481A">
        <w:t>n</w:t>
      </w:r>
      <w:r w:rsidRPr="0008481A">
        <w:t>digheten eller främjar staten eller annat allmänt samhällsi</w:t>
      </w:r>
      <w:r w:rsidRPr="0008481A">
        <w:t>n</w:t>
      </w:r>
      <w:r w:rsidRPr="0008481A">
        <w:t>tresse.</w:t>
      </w:r>
    </w:p>
    <w:p w:rsidR="003B3271" w:rsidRPr="0008481A" w:rsidRDefault="003B3271">
      <w:pPr>
        <w:pStyle w:val="Normaltindrag"/>
      </w:pPr>
      <w:r w:rsidRPr="0008481A">
        <w:t>Av utredningen framgår att Försvarsmaktens uppgift vid det aktuella tillfället var, vilket också skedde, att från luften söka av området med ljusför</w:t>
      </w:r>
      <w:r w:rsidRPr="0008481A">
        <w:softHyphen/>
        <w:t>stärk</w:t>
      </w:r>
      <w:r w:rsidRPr="0008481A">
        <w:softHyphen/>
        <w:t>ningsutrus</w:t>
      </w:r>
      <w:r w:rsidRPr="0008481A">
        <w:t>t</w:t>
      </w:r>
      <w:r w:rsidRPr="0008481A">
        <w:t>ning och värmekänslig kamera. Om och när indikationer visade på möjlig närvaro av vapentjuvarna skulle besättningen i den militära helikoptern meddela polisen sin position och därefter avbryta sitt deltagande. Försvarsmaktens medverkan b</w:t>
      </w:r>
      <w:r w:rsidRPr="0008481A">
        <w:t>e</w:t>
      </w:r>
      <w:r w:rsidRPr="0008481A">
        <w:t>stod således inte enbart i att biträda polisen med transport av personal och materiel utan den militära helikoptern kom i själva verket, låt vara i begränsad omfattning, att anvä</w:t>
      </w:r>
      <w:r w:rsidRPr="0008481A">
        <w:t>n</w:t>
      </w:r>
      <w:r w:rsidRPr="0008481A">
        <w:t xml:space="preserve">das i operativ polisverksamhet. </w:t>
      </w:r>
    </w:p>
    <w:p w:rsidR="003B3271" w:rsidRPr="0008481A" w:rsidRDefault="003B3271">
      <w:pPr>
        <w:pStyle w:val="Normaltindrag"/>
      </w:pPr>
      <w:r w:rsidRPr="0008481A">
        <w:t>Mot bakgrund av att det inte var fråga om en</w:t>
      </w:r>
      <w:r w:rsidRPr="0008481A">
        <w:t xml:space="preserve"> renodlad transport, måste frågan om det rättsliga stödet för medverkan bedömas enligt reglerna i 5 § förordningen om militär medverkan i civil verksamhet. Försvarsmakten har anfört att det efterfr</w:t>
      </w:r>
      <w:r w:rsidRPr="0008481A">
        <w:t>å</w:t>
      </w:r>
      <w:r w:rsidRPr="0008481A">
        <w:t>gade stödet till polisen med hänsyn till omständig</w:t>
      </w:r>
      <w:r w:rsidRPr="0008481A">
        <w:softHyphen/>
        <w:t xml:space="preserve">heterna kunde bedömas främja ett allmänt samhällsintresse och att den begärda spaningsuppgiften bedömdes inte innefatta utövning av våld eller tvång mot civila. Som Försvarsmakten anfört är gränserna för när ett allmänt samhällsintresse främjas eller utövning av </w:t>
      </w:r>
      <w:r w:rsidRPr="0008481A">
        <w:t>våld eller tvång mot civila före</w:t>
      </w:r>
      <w:r w:rsidRPr="0008481A">
        <w:softHyphen/>
        <w:t>ligger inte enkla att bestämma. Vad som framkommit i äre</w:t>
      </w:r>
      <w:r w:rsidRPr="0008481A">
        <w:t>n</w:t>
      </w:r>
      <w:r w:rsidRPr="0008481A">
        <w:t>det utgör enligt min uppfattning inte tillräcklig grund för kritik mot Försvarsma</w:t>
      </w:r>
      <w:r w:rsidRPr="0008481A">
        <w:t>k</w:t>
      </w:r>
      <w:r w:rsidRPr="0008481A">
        <w:t>ten. Vid denna bedömning har jag beaktat bl.a. de otydligheter som finns i det aktuella regelsystemet. De uttalanden om en helhetssyn som riksdagen och reg</w:t>
      </w:r>
      <w:r w:rsidRPr="0008481A">
        <w:t>e</w:t>
      </w:r>
      <w:r w:rsidRPr="0008481A">
        <w:t>ringen har gjort vid upprepade tillfällen har nämligen inte föranlett några förtydl</w:t>
      </w:r>
      <w:r w:rsidRPr="0008481A">
        <w:t>i</w:t>
      </w:r>
      <w:r w:rsidRPr="0008481A">
        <w:t>ganden av reglerna i förordningen om militär medverkan i civil verksamhet. Jag har vidare beaktat at</w:t>
      </w:r>
      <w:r w:rsidRPr="0008481A">
        <w:t>t det med hänsyn till omständigheterna var nödvändigt med ett snabbt ställningstagande till polisens begäran om b</w:t>
      </w:r>
      <w:r w:rsidRPr="0008481A">
        <w:t>i</w:t>
      </w:r>
      <w:r w:rsidRPr="0008481A">
        <w:t>träde.</w:t>
      </w:r>
    </w:p>
    <w:p w:rsidR="003B3271" w:rsidRPr="0008481A" w:rsidRDefault="003B3271">
      <w:pPr>
        <w:pStyle w:val="Normaltindrag"/>
      </w:pPr>
      <w:r w:rsidRPr="0008481A">
        <w:t>När en myndighet begär assistans i sin tjänsteutövning av en annan myndighet åvilar självklart huvudansvaret för att framställningen behandlas enligt tillämpliga regler den senare myndigheten. Den begärande myndig</w:t>
      </w:r>
      <w:r w:rsidRPr="0008481A">
        <w:softHyphen/>
        <w:t>heten har emellertid också ett ansvar i sammanhanget, vilket bl.a. innefattar att en framställning till en annan myndighet inte skall göras om denna myndighets medverkan är direkt förfat</w:t>
      </w:r>
      <w:r w:rsidRPr="0008481A">
        <w:t>t</w:t>
      </w:r>
      <w:r w:rsidRPr="0008481A">
        <w:t>nings</w:t>
      </w:r>
      <w:r w:rsidRPr="0008481A">
        <w:softHyphen/>
        <w:t>stridig eller olämplig.</w:t>
      </w:r>
    </w:p>
    <w:p w:rsidR="003B3271" w:rsidRPr="0008481A" w:rsidRDefault="003B3271">
      <w:pPr>
        <w:pStyle w:val="Normaltindrag"/>
      </w:pPr>
      <w:r w:rsidRPr="0008481A">
        <w:t>Rikspolisstyrelsen har i en framställning till regeringen den 10 maj 1999 om än</w:t>
      </w:r>
      <w:r w:rsidRPr="0008481A">
        <w:t>d</w:t>
      </w:r>
      <w:r w:rsidRPr="0008481A">
        <w:t>ring i förordningen om militär medverkan i civil verksamhet lämnat förslag i syfte att skapa bättre möjligheter för polisen att nyttja Försvars</w:t>
      </w:r>
      <w:r w:rsidRPr="0008481A">
        <w:softHyphen/>
        <w:t>maktens helikoptrar. Därvid har framhållits bl.a. att Försvarsmaktens resurser inte skall användas vid sådana moment i en polisiär insats där det finns risk för att polisen eller det tran</w:t>
      </w:r>
      <w:r w:rsidRPr="0008481A">
        <w:t>s</w:t>
      </w:r>
      <w:r w:rsidRPr="0008481A">
        <w:t>portmedel som polisen använder sig av kan komma att utsättas för något slags våld. Jag delar helt den uppfattningen. Med hänsyn till att de misstänkta vapentj</w:t>
      </w:r>
      <w:r w:rsidRPr="0008481A">
        <w:t>u</w:t>
      </w:r>
      <w:r w:rsidRPr="0008481A">
        <w:t>varna enligt uppgift</w:t>
      </w:r>
      <w:r w:rsidRPr="0008481A">
        <w:t xml:space="preserve"> bedömdes kunna ha tillgång till ett större antal militära skju</w:t>
      </w:r>
      <w:r w:rsidRPr="0008481A">
        <w:t>t</w:t>
      </w:r>
      <w:r w:rsidRPr="0008481A">
        <w:t>vapen med ammunition anser jag att lämpligheten av att polisen begärde biträde av Försvarsmakten kan ifrågasättas. En eventuell beskjutning av den militära hel</w:t>
      </w:r>
      <w:r w:rsidRPr="0008481A">
        <w:t>i</w:t>
      </w:r>
      <w:r w:rsidRPr="0008481A">
        <w:t>koptern skulle ha kunnat få ödesdigra konsekvenser i olika avseenden. Jag föru</w:t>
      </w:r>
      <w:r w:rsidRPr="0008481A">
        <w:t>t</w:t>
      </w:r>
      <w:r w:rsidRPr="0008481A">
        <w:t xml:space="preserve">sätter att erforderliga riskbedömningar gjordes. Inte heller i denna del föreligger tillräcklig grund för kritik från min sida. </w:t>
      </w:r>
    </w:p>
    <w:p w:rsidR="003B3271" w:rsidRPr="0008481A" w:rsidRDefault="003B3271">
      <w:pPr>
        <w:pStyle w:val="Normaltindrag"/>
      </w:pPr>
      <w:r w:rsidRPr="0008481A">
        <w:t>Vad gäller Polismyndigheten i Stockholms län har jag samrått med chefsJO Claes E</w:t>
      </w:r>
      <w:r w:rsidRPr="0008481A">
        <w:t>k</w:t>
      </w:r>
      <w:r w:rsidRPr="0008481A">
        <w:t>lundh, som har tillsyn över polisväsendet.</w:t>
      </w:r>
    </w:p>
    <w:p w:rsidR="003B3271" w:rsidRPr="0008481A" w:rsidRDefault="003B3271">
      <w:pPr>
        <w:pStyle w:val="Rubrik1"/>
        <w:spacing w:before="0"/>
      </w:pPr>
      <w:r w:rsidRPr="0008481A">
        <w:br w:type="page"/>
        <w:t>Länsförvaltningen</w:t>
      </w:r>
    </w:p>
    <w:p w:rsidR="003B3271" w:rsidRPr="0008481A" w:rsidRDefault="003B3271">
      <w:pPr>
        <w:pStyle w:val="Rubrik2"/>
      </w:pPr>
      <w:r w:rsidRPr="0008481A">
        <w:t>Fråga huruvida en länsstyrelse överlämnat förvaltnings</w:t>
      </w:r>
      <w:r w:rsidRPr="0008481A">
        <w:softHyphen/>
        <w:t>uppgifter som innefattar myndighetsutövning till en jägarorganisation</w:t>
      </w:r>
    </w:p>
    <w:p w:rsidR="003B3271" w:rsidRPr="0008481A" w:rsidRDefault="003B3271">
      <w:r w:rsidRPr="0008481A">
        <w:t>(Dnr 488-1998)</w:t>
      </w:r>
    </w:p>
    <w:p w:rsidR="003B3271" w:rsidRPr="0008481A" w:rsidRDefault="003B3271">
      <w:pPr>
        <w:pStyle w:val="Rubrik3"/>
      </w:pPr>
      <w:r w:rsidRPr="0008481A">
        <w:t>Anmälan</w:t>
      </w:r>
    </w:p>
    <w:p w:rsidR="003B3271" w:rsidRPr="0008481A" w:rsidRDefault="003B3271">
      <w:r w:rsidRPr="0008481A">
        <w:t>I en anmälan begärde Bengt Nyström att JO skulle granska Länsstyrelsens i Värmlands län handläggning av jaktärenden. Bengt Nyström var bl.a. miss</w:t>
      </w:r>
      <w:r w:rsidRPr="0008481A">
        <w:softHyphen/>
        <w:t>nöjd med att länsstyrelsen hade uppdragit åt Värmlands läns jaktvårds</w:t>
      </w:r>
      <w:r w:rsidRPr="0008481A">
        <w:softHyphen/>
        <w:t>för</w:t>
      </w:r>
      <w:r w:rsidRPr="0008481A">
        <w:softHyphen/>
        <w:t>bund (som är en underorganisation till Svenska Jägareförbundet) att hand</w:t>
      </w:r>
      <w:r w:rsidRPr="0008481A">
        <w:softHyphen/>
        <w:t>lägga vissa jaktäre</w:t>
      </w:r>
      <w:r w:rsidRPr="0008481A">
        <w:t>n</w:t>
      </w:r>
      <w:r w:rsidRPr="0008481A">
        <w:t>den. I anmälan anfördes bl.a. följande.</w:t>
      </w:r>
    </w:p>
    <w:p w:rsidR="003B3271" w:rsidRPr="0008481A" w:rsidRDefault="003B3271">
      <w:pPr>
        <w:pStyle w:val="Normaltindrag"/>
      </w:pPr>
      <w:r w:rsidRPr="0008481A">
        <w:t>Länsstyrelsen har uppdragit åt jaktvårdsförbundet att handlägga ärenden rörande licenstilldelning för avskjutning av älg och registrering av älgjakts</w:t>
      </w:r>
      <w:r w:rsidRPr="0008481A">
        <w:softHyphen/>
        <w:t>områden. Des</w:t>
      </w:r>
      <w:r w:rsidRPr="0008481A">
        <w:t>s</w:t>
      </w:r>
      <w:r w:rsidRPr="0008481A">
        <w:t>utom har länsstyrelsen flyttat över länsviltsnämndens kansli till jaktvårdsförbu</w:t>
      </w:r>
      <w:r w:rsidRPr="0008481A">
        <w:t>n</w:t>
      </w:r>
      <w:r w:rsidRPr="0008481A">
        <w:t>dets expedition. Det kan därvid noteras att länsviltsnämn</w:t>
      </w:r>
      <w:r w:rsidRPr="0008481A">
        <w:softHyphen/>
        <w:t>dens ordförande tillika är vice ordförande i jaktvårdsförbundet. Vidare har länets jaktvårdskretsar (lokala</w:t>
      </w:r>
      <w:r w:rsidRPr="0008481A">
        <w:t>v</w:t>
      </w:r>
      <w:r w:rsidRPr="0008481A">
        <w:t>delningar till jaktvårdsförbundet) fått fullmakt från länsstyrelsen att bevilja extra tilldelning för avskjutning av älg. Något formellt avtal finns dock inte mellan länsstyrelsen respektive jaktvårdsför</w:t>
      </w:r>
      <w:r w:rsidRPr="0008481A">
        <w:softHyphen/>
        <w:t>bundet och dess lokalavdelningar. Mot denna bak</w:t>
      </w:r>
      <w:r w:rsidRPr="0008481A">
        <w:t>grund bör JO bl.a. utreda vilka garantier som finns för att en person som inte är medlem i Svenska Jägareförbundet får sin ansökan behandlad på samma sätt som en person som är medlem. Även de jävsfrågor som kan uppkomma bör up</w:t>
      </w:r>
      <w:r w:rsidRPr="0008481A">
        <w:t>p</w:t>
      </w:r>
      <w:r w:rsidRPr="0008481A">
        <w:t>märksammas, eftersom det inte finns någon tydlig skiljelinje mellan ”vad som är offentlig respektive privat my</w:t>
      </w:r>
      <w:r w:rsidRPr="0008481A">
        <w:t>n</w:t>
      </w:r>
      <w:r w:rsidRPr="0008481A">
        <w:t>dighetsutövning”.</w:t>
      </w:r>
    </w:p>
    <w:p w:rsidR="003B3271" w:rsidRPr="0008481A" w:rsidRDefault="003B3271">
      <w:pPr>
        <w:pStyle w:val="Rubrik3"/>
      </w:pPr>
      <w:r w:rsidRPr="0008481A">
        <w:t>Utredning</w:t>
      </w:r>
    </w:p>
    <w:p w:rsidR="003B3271" w:rsidRPr="0008481A" w:rsidRDefault="003B3271">
      <w:r w:rsidRPr="0008481A">
        <w:t>Anmälan remitterades till Länsstyrelsen i Värmlands län för yttrande. Länsstyre</w:t>
      </w:r>
      <w:r w:rsidRPr="0008481A">
        <w:t>l</w:t>
      </w:r>
      <w:r w:rsidRPr="0008481A">
        <w:t>sen anförde i sitt remissvar, som beslutats av landshövdingen Ingemar Eliasson, bl.a. följande (bil</w:t>
      </w:r>
      <w:r w:rsidRPr="0008481A">
        <w:t>a</w:t>
      </w:r>
      <w:r w:rsidRPr="0008481A">
        <w:t>gorna här uteslutna).</w:t>
      </w:r>
    </w:p>
    <w:p w:rsidR="003B3271" w:rsidRPr="0008481A" w:rsidRDefault="003B3271">
      <w:pPr>
        <w:pStyle w:val="Citat"/>
      </w:pPr>
      <w:r w:rsidRPr="0008481A">
        <w:t>Länsstyrelsen har tagit fram en promemoria med bilagor som Länsstyrelsen vill hänvisa till när det gäller bakgrunden till det samarbete som finns mellan Länsstyrelsen och Värmlands läns jak</w:t>
      </w:r>
      <w:r w:rsidRPr="0008481A">
        <w:t>t</w:t>
      </w:r>
      <w:r w:rsidRPr="0008481A">
        <w:t>vårdsförbund. I promemorian finns även beskrivet hur ärendehanteringen går till, de ekonomiska förutsätt</w:t>
      </w:r>
      <w:r w:rsidRPr="0008481A">
        <w:softHyphen/>
        <w:t>ning</w:t>
      </w:r>
      <w:r w:rsidRPr="0008481A">
        <w:softHyphen/>
        <w:t>ar</w:t>
      </w:r>
      <w:r w:rsidRPr="0008481A">
        <w:softHyphen/>
        <w:t>na, bidrag till Jaktvårdsförbundet och diskuterade förändringar i administra</w:t>
      </w:r>
      <w:r w:rsidRPr="0008481A">
        <w:softHyphen/>
        <w:t>tionen. Utöver vad som framgår av promemorian med bilagor vill Län</w:t>
      </w:r>
      <w:r w:rsidRPr="0008481A">
        <w:t>s</w:t>
      </w:r>
      <w:r w:rsidRPr="0008481A">
        <w:t>styrel</w:t>
      </w:r>
      <w:r w:rsidRPr="0008481A">
        <w:softHyphen/>
        <w:t>sen anföra följande.</w:t>
      </w:r>
    </w:p>
    <w:p w:rsidR="003B3271" w:rsidRPr="0008481A" w:rsidRDefault="003B3271">
      <w:pPr>
        <w:pStyle w:val="Citatindrag"/>
      </w:pPr>
      <w:r w:rsidRPr="0008481A">
        <w:t>Rubriken till den anmälan som Länsstyrelsen nu yttrar sig över har inne</w:t>
      </w:r>
      <w:r w:rsidRPr="0008481A">
        <w:softHyphen/>
        <w:t>hållet ”Beträffande privat myndighetsutövning”. Länsstyrelsen vill redan inledningsvis påtala att någon verksamhet som avser myndighetsutövning, enligt definitionen att för enskild bestämma om förmån, rättighet, skyldighet, disciplinpåföljd, avskedande eller annat jämförbart förhållande, inte har över</w:t>
      </w:r>
      <w:r w:rsidRPr="0008481A">
        <w:softHyphen/>
        <w:t>flyttats till Värmlands läns jaktvårdsförbund. Däremot har alltsedan jakt</w:t>
      </w:r>
      <w:r w:rsidRPr="0008481A">
        <w:softHyphen/>
        <w:t>året 1976/77, när försöksverksamhet med samordnad älgjakt infördes i Värmlands län, funnits ett nära samarbete mellan Länsstyrelsen oc</w:t>
      </w:r>
      <w:r w:rsidRPr="0008481A">
        <w:t>h Värm</w:t>
      </w:r>
      <w:r w:rsidRPr="0008481A">
        <w:softHyphen/>
        <w:t>lands läns jaktvårdsförbund i frågor om älgjaktsadminis</w:t>
      </w:r>
      <w:r w:rsidRPr="0008481A">
        <w:t>t</w:t>
      </w:r>
      <w:r w:rsidRPr="0008481A">
        <w:t>rationen.</w:t>
      </w:r>
    </w:p>
    <w:p w:rsidR="003B3271" w:rsidRPr="0008481A" w:rsidRDefault="003B3271">
      <w:pPr>
        <w:pStyle w:val="Citatindrag"/>
      </w:pPr>
      <w:r w:rsidRPr="0008481A">
        <w:t xml:space="preserve"> Grunden för detta samarbete var och är bland annat de intentioner och riktlinjer om samarbete som kom till uttryck i olika förarbeten till för</w:t>
      </w:r>
      <w:r w:rsidRPr="0008481A">
        <w:softHyphen/>
        <w:t>söks</w:t>
      </w:r>
      <w:r w:rsidRPr="0008481A">
        <w:softHyphen/>
        <w:t>ver</w:t>
      </w:r>
      <w:r w:rsidRPr="0008481A">
        <w:t>k</w:t>
      </w:r>
      <w:r w:rsidRPr="0008481A">
        <w:t>samheten.</w:t>
      </w:r>
    </w:p>
    <w:p w:rsidR="003B3271" w:rsidRPr="0008481A" w:rsidRDefault="003B3271">
      <w:pPr>
        <w:pStyle w:val="Citatindrag"/>
      </w:pPr>
      <w:r w:rsidRPr="0008481A">
        <w:t>Även senare reglering ger uttryck för intentioner att jaktvårds</w:t>
      </w:r>
      <w:r w:rsidRPr="0008481A">
        <w:softHyphen/>
        <w:t>samman</w:t>
      </w:r>
      <w:r w:rsidRPr="0008481A">
        <w:softHyphen/>
        <w:t>slutningar bör medverka i älgjaktsadministrationen. I regeringens proposition 1991/92:9 med förslag till lag om ändring i jaktlagen anför departements</w:t>
      </w:r>
      <w:r w:rsidRPr="0008481A">
        <w:softHyphen/>
        <w:t>chefen på sidan 33 bl.a. följande: ”Det finns ingen anledning att d</w:t>
      </w:r>
      <w:r w:rsidRPr="0008481A">
        <w:t>e</w:t>
      </w:r>
      <w:r w:rsidRPr="0008481A">
        <w:t>taljreglera länsstyrelsens administration i fortsättningen. Förhållandena mellan länen varierar a</w:t>
      </w:r>
      <w:r w:rsidRPr="0008481A">
        <w:t>v</w:t>
      </w:r>
      <w:r w:rsidRPr="0008481A">
        <w:t>sevärt. I vissa län utför jägarorganisationerna ett stort arbete med bl.a. underlag för älgtilldelnin</w:t>
      </w:r>
      <w:r w:rsidRPr="0008481A">
        <w:t>g</w:t>
      </w:r>
      <w:r w:rsidRPr="0008481A">
        <w:t xml:space="preserve">en. Varje länsstyrelse bör därför inom givna ramar få möjlighet att själv besluta om </w:t>
      </w:r>
      <w:r w:rsidRPr="0008481A">
        <w:t>sin adminis</w:t>
      </w:r>
      <w:r w:rsidRPr="0008481A">
        <w:t>t</w:t>
      </w:r>
      <w:r w:rsidRPr="0008481A">
        <w:t>ration. Besluten att registrera licensområden och om tilldelning får dock inte fattas av någon org</w:t>
      </w:r>
      <w:r w:rsidRPr="0008481A">
        <w:t>a</w:t>
      </w:r>
      <w:r w:rsidRPr="0008481A">
        <w:t>nisation utan måste fattas av länsstyrelsen.” Här kan även nämnas Natur</w:t>
      </w:r>
      <w:r w:rsidRPr="0008481A">
        <w:softHyphen/>
        <w:t>vårdsverkets uttalanden i de allmänna råden till jaktkungörelsen (SNFS 1995:6, NV 61) i vilka sägs bl.a. följande: ”Under förutsättning att kost</w:t>
      </w:r>
      <w:r w:rsidRPr="0008481A">
        <w:softHyphen/>
        <w:t>na</w:t>
      </w:r>
      <w:r w:rsidRPr="0008481A">
        <w:softHyphen/>
        <w:t>der</w:t>
      </w:r>
      <w:r w:rsidRPr="0008481A">
        <w:softHyphen/>
        <w:t>na för länets älgjaktsadministration kan minskas får länsstyrelsen medge bidrag ur älgvårdsfonden till jaktvårdssammanslutning för länet för arbete med älgadministrati</w:t>
      </w:r>
      <w:r w:rsidRPr="0008481A">
        <w:t>o</w:t>
      </w:r>
      <w:r w:rsidRPr="0008481A">
        <w:t>nen.”</w:t>
      </w:r>
    </w:p>
    <w:p w:rsidR="003B3271" w:rsidRPr="0008481A" w:rsidRDefault="003B3271">
      <w:pPr>
        <w:pStyle w:val="Citatindrag"/>
      </w:pPr>
      <w:r w:rsidRPr="0008481A">
        <w:t>Sam</w:t>
      </w:r>
      <w:r w:rsidRPr="0008481A">
        <w:t>arbetet är och har varit väl känt för de myndigheter, förbund och privatpersoner som berörs av älgadministrationen. De misstankar som nu framförs om att jägare som inte tillhör Jaktvårdsfö</w:t>
      </w:r>
      <w:r w:rsidRPr="0008481A">
        <w:t>r</w:t>
      </w:r>
      <w:r w:rsidRPr="0008481A">
        <w:t>bundet skulle missgynnas genom att Jaktvårdsförbundet deltar i beredningen av ärenden har inte besannats vare sig i överklagningsärenden eller genom att missnöje på annat sätt kommit till Län</w:t>
      </w:r>
      <w:r w:rsidRPr="0008481A">
        <w:t>s</w:t>
      </w:r>
      <w:r w:rsidRPr="0008481A">
        <w:t>styrelsens kännedom.</w:t>
      </w:r>
    </w:p>
    <w:p w:rsidR="003B3271" w:rsidRPr="0008481A" w:rsidRDefault="003B3271">
      <w:pPr>
        <w:pStyle w:val="Citatindrag"/>
      </w:pPr>
      <w:r w:rsidRPr="0008481A">
        <w:t>Länsstyrelsen vill även peka på det förhållandet att ansökningar som helt eller delvis avstyrks eller som unde</w:t>
      </w:r>
      <w:r w:rsidRPr="0008481A">
        <w:t>r behandlingen tillförs uppgifter som kan utgöra grund för avslag eller medföra avvike</w:t>
      </w:r>
      <w:r w:rsidRPr="0008481A">
        <w:t>l</w:t>
      </w:r>
      <w:r w:rsidRPr="0008481A">
        <w:t>ser från ansökan kommuniceras av Länsstyrelsen med sökanden innan beslut fattas. Länsstyrelsen vill dessutom peka på den viktiga roll som den partssammansatta Länsvilt</w:t>
      </w:r>
      <w:r w:rsidRPr="0008481A">
        <w:softHyphen/>
        <w:t>nämn</w:t>
      </w:r>
      <w:r w:rsidRPr="0008481A">
        <w:softHyphen/>
        <w:t>den har i framt</w:t>
      </w:r>
      <w:r w:rsidRPr="0008481A">
        <w:t>a</w:t>
      </w:r>
      <w:r w:rsidRPr="0008481A">
        <w:t>gande av beslutsunderlag. Det förtjänar också att upprepas att det är Länsstyrelsen som har utre</w:t>
      </w:r>
      <w:r w:rsidRPr="0008481A">
        <w:t>d</w:t>
      </w:r>
      <w:r w:rsidRPr="0008481A">
        <w:t>ningsansvaret och fattar de formella besluten under handläggningen samt slutligt beslut i äre</w:t>
      </w:r>
      <w:r w:rsidRPr="0008481A">
        <w:t>n</w:t>
      </w:r>
      <w:r w:rsidRPr="0008481A">
        <w:t>det.</w:t>
      </w:r>
    </w:p>
    <w:p w:rsidR="003B3271" w:rsidRPr="0008481A" w:rsidRDefault="003B3271">
      <w:pPr>
        <w:pStyle w:val="Citatindrag"/>
      </w:pPr>
      <w:r w:rsidRPr="0008481A">
        <w:t>Med påståendet om att länets jaktvårdskr</w:t>
      </w:r>
      <w:r w:rsidRPr="0008481A">
        <w:t>etsar erhållit fullmakt från Länsstyrelsen att självständigt bevilja extra tilldelning för avskjutning av älg torde anmälaren avse den särskilda tilläggstillde</w:t>
      </w:r>
      <w:r w:rsidRPr="0008481A">
        <w:t>l</w:t>
      </w:r>
      <w:r w:rsidRPr="0008481A">
        <w:t>ning som efter önskemål vid de lokala samråden ges för vissa älgvårdsdistrikt i form av en saml</w:t>
      </w:r>
      <w:r w:rsidRPr="0008481A">
        <w:t>i</w:t>
      </w:r>
      <w:r w:rsidRPr="0008481A">
        <w:t>cens avseende samtliga registrerade A-licensområden i distriktet. Samlicensen meddelas med stöd av 3 § andra stycket 2. jaktförordningen och uppfyller tillämpliga bestämmelser i jaktkungöre</w:t>
      </w:r>
      <w:r w:rsidRPr="0008481A">
        <w:t>l</w:t>
      </w:r>
      <w:r w:rsidRPr="0008481A">
        <w:t>sen.</w:t>
      </w:r>
    </w:p>
    <w:p w:rsidR="003B3271" w:rsidRPr="0008481A" w:rsidRDefault="003B3271">
      <w:pPr>
        <w:pStyle w:val="Citatindrag"/>
      </w:pPr>
      <w:r w:rsidRPr="0008481A">
        <w:t>Anmälaren uppger också att det framkommit att kansliet för Lä</w:t>
      </w:r>
      <w:r w:rsidRPr="0008481A">
        <w:t>nsvilt</w:t>
      </w:r>
      <w:r w:rsidRPr="0008481A">
        <w:softHyphen/>
        <w:t>nämn</w:t>
      </w:r>
      <w:r w:rsidRPr="0008481A">
        <w:softHyphen/>
        <w:t>den har överflyttats till och samordnats med Jaktvårdsför</w:t>
      </w:r>
      <w:r w:rsidRPr="0008481A">
        <w:softHyphen/>
        <w:t>bundets expedition. Anmälaren uppger inte varifrån Länsvilt</w:t>
      </w:r>
      <w:r w:rsidRPr="0008481A">
        <w:t>s</w:t>
      </w:r>
      <w:r w:rsidRPr="0008481A">
        <w:t>nämndens kansli har överflyttats. Av 39 § jaktlagen framgår att till varje länsstyrelse är knuten en läns</w:t>
      </w:r>
      <w:r w:rsidRPr="0008481A">
        <w:softHyphen/>
        <w:t>vilts</w:t>
      </w:r>
      <w:r w:rsidRPr="0008481A">
        <w:softHyphen/>
        <w:t>nämnd med uppgift att vara länsstyrelsens rådgivande organ i frågor om viltvården. Län</w:t>
      </w:r>
      <w:r w:rsidRPr="0008481A">
        <w:t>s</w:t>
      </w:r>
      <w:r w:rsidRPr="0008481A">
        <w:t>viltsnämndens sammansättning regleras i 46 § jaktförord</w:t>
      </w:r>
      <w:r w:rsidRPr="0008481A">
        <w:softHyphen/>
        <w:t>ningen. Där framgår även att Naturvård</w:t>
      </w:r>
      <w:r w:rsidRPr="0008481A">
        <w:t>s</w:t>
      </w:r>
      <w:r w:rsidRPr="0008481A">
        <w:t>verket fastställer arbetsordningen för Länsviltnämn</w:t>
      </w:r>
      <w:r w:rsidRPr="0008481A">
        <w:softHyphen/>
        <w:t>den. Länsviltnämndens arbete förutsä</w:t>
      </w:r>
      <w:r w:rsidRPr="0008481A">
        <w:t>tter viss kontorsverk</w:t>
      </w:r>
      <w:r w:rsidRPr="0008481A">
        <w:softHyphen/>
        <w:t>sam</w:t>
      </w:r>
      <w:r w:rsidRPr="0008481A">
        <w:softHyphen/>
        <w:t>het. Någon reglering av hur denna skall ordnas finns inte. Att ett förbunds exped</w:t>
      </w:r>
      <w:r w:rsidRPr="0008481A">
        <w:t>i</w:t>
      </w:r>
      <w:r w:rsidRPr="0008481A">
        <w:t>tion utnyttjas för detta ändamål torde inte v</w:t>
      </w:r>
      <w:r w:rsidRPr="0008481A">
        <w:t>a</w:t>
      </w:r>
      <w:r w:rsidRPr="0008481A">
        <w:t>ra ovanligt.</w:t>
      </w:r>
    </w:p>
    <w:p w:rsidR="003B3271" w:rsidRPr="0008481A" w:rsidRDefault="003B3271">
      <w:pPr>
        <w:pStyle w:val="Packad"/>
      </w:pPr>
      <w:r w:rsidRPr="0008481A">
        <w:t>– – –</w:t>
      </w:r>
    </w:p>
    <w:p w:rsidR="003B3271" w:rsidRPr="0008481A" w:rsidRDefault="003B3271">
      <w:pPr>
        <w:pStyle w:val="Citat"/>
      </w:pPr>
      <w:r w:rsidRPr="0008481A">
        <w:t>Länsstyrelsen vill även informera om att av olika skäl var formerna för samarbetet med jaktvård</w:t>
      </w:r>
      <w:r w:rsidRPr="0008481A">
        <w:t>s</w:t>
      </w:r>
      <w:r w:rsidRPr="0008481A">
        <w:t>förbundet under övervägande redan innan den nu gjorda anmälan. Något beslut har ännu inte fa</w:t>
      </w:r>
      <w:r w:rsidRPr="0008481A">
        <w:t>t</w:t>
      </w:r>
      <w:r w:rsidRPr="0008481A">
        <w:t>tats. JO:s uttalanden med anledning av anmälan kommer inte att kunna avvaktas. De beslut som kommer att fattas i frågan kommer dock att få sådan utformning att JO:s uttalanden kommer att kunna beaktas om så blir nödvändigt.</w:t>
      </w:r>
    </w:p>
    <w:p w:rsidR="003B3271" w:rsidRPr="0008481A" w:rsidRDefault="003B3271">
      <w:pPr>
        <w:pStyle w:val="Packad"/>
      </w:pPr>
      <w:r w:rsidRPr="0008481A">
        <w:t>– – –</w:t>
      </w:r>
    </w:p>
    <w:p w:rsidR="003B3271" w:rsidRPr="0008481A" w:rsidRDefault="003B3271">
      <w:r w:rsidRPr="0008481A">
        <w:t>Bengt Nyström kommenterade remissvaret och vidhöll sin kritik. Han anför</w:t>
      </w:r>
      <w:r w:rsidRPr="0008481A">
        <w:softHyphen/>
        <w:t>de även bl.a. följande. En förvaltningsuppgift som innefattar myndig</w:t>
      </w:r>
      <w:r w:rsidRPr="0008481A">
        <w:softHyphen/>
        <w:t>hets</w:t>
      </w:r>
      <w:r w:rsidRPr="0008481A">
        <w:softHyphen/>
        <w:t>utövning får överlåtas till ett enskilt rättssubjekt endast med stöd av lag. Med myndighetsutö</w:t>
      </w:r>
      <w:r w:rsidRPr="0008481A">
        <w:t>v</w:t>
      </w:r>
      <w:r w:rsidRPr="0008481A">
        <w:t>ning avses därvid inte endast själva beslutet i ett ärende utan även handläggningen av ärendet. Länsstyrelsen i Värmlands län har utan stöd i lag överlåtit uppgifter som innefattar myndighetsutövning till Värmlands läns jaktvårdsförbund. Detta får bl.a. till följd att vissa allmänna handlingar inte finns tillgängliga i länsstyre</w:t>
      </w:r>
      <w:r w:rsidRPr="0008481A">
        <w:t>l</w:t>
      </w:r>
      <w:r w:rsidRPr="0008481A">
        <w:t>sens lokale</w:t>
      </w:r>
      <w:r w:rsidRPr="0008481A">
        <w:t>r samt att länsstyrel</w:t>
      </w:r>
      <w:r w:rsidRPr="0008481A">
        <w:softHyphen/>
        <w:t xml:space="preserve">sen inte har möjlighet att kontrollera efterlevnaden av förvaltningslagens bestämmelser om handläggning av ärenden. </w:t>
      </w:r>
    </w:p>
    <w:p w:rsidR="003B3271" w:rsidRPr="0008481A" w:rsidRDefault="003B3271">
      <w:pPr>
        <w:pStyle w:val="Normaltindrag"/>
      </w:pPr>
      <w:r w:rsidRPr="0008481A">
        <w:t>Upplysningar inhämtades från Länsstyrelsen i Värmlands län, varvid framkom att något skriftligt avtal angående samarbetet mellan länsstyrelsen och Värmlands läns jaktvårdsfö</w:t>
      </w:r>
      <w:r w:rsidRPr="0008481A">
        <w:t>r</w:t>
      </w:r>
      <w:r w:rsidRPr="0008481A">
        <w:t>bund inte hade påträffats.</w:t>
      </w:r>
    </w:p>
    <w:p w:rsidR="003B3271" w:rsidRPr="0008481A" w:rsidRDefault="003B3271">
      <w:pPr>
        <w:pStyle w:val="Normaltindrag"/>
      </w:pPr>
      <w:r w:rsidRPr="0008481A">
        <w:t>Härefter upprättades inom JO:s expedition en promemoria, i vilken anfördes bl.a. följa</w:t>
      </w:r>
      <w:r w:rsidRPr="0008481A">
        <w:t>n</w:t>
      </w:r>
      <w:r w:rsidRPr="0008481A">
        <w:t>de.</w:t>
      </w:r>
    </w:p>
    <w:p w:rsidR="003B3271" w:rsidRPr="0008481A" w:rsidRDefault="003B3271">
      <w:pPr>
        <w:pStyle w:val="Citat"/>
        <w:spacing w:before="120"/>
      </w:pPr>
      <w:r w:rsidRPr="0008481A">
        <w:t>Ytterligare utredning i ärendet bedöms erforderlig. Yttrande från länsstyrel</w:t>
      </w:r>
      <w:r w:rsidRPr="0008481A">
        <w:softHyphen/>
        <w:t>sen bör därför ånyo infordras enligt nedan angivna frågeställningar.</w:t>
      </w:r>
    </w:p>
    <w:p w:rsidR="003B3271" w:rsidRPr="0008481A" w:rsidRDefault="003B3271">
      <w:pPr>
        <w:pStyle w:val="Citatindrag"/>
      </w:pPr>
      <w:r w:rsidRPr="0008481A">
        <w:t>1. Länsstyrelsen har till Värmlands läns jaktvårdsförbund överlämnat visst arbete med älgadm</w:t>
      </w:r>
      <w:r w:rsidRPr="0008481A">
        <w:t>i</w:t>
      </w:r>
      <w:r w:rsidRPr="0008481A">
        <w:t>nistrationen. Länsstyrelsen bör redovisa vad som har avtalats – skriftligt eller muntligt – med jak</w:t>
      </w:r>
      <w:r w:rsidRPr="0008481A">
        <w:t>t</w:t>
      </w:r>
      <w:r w:rsidRPr="0008481A">
        <w:t>vårdsförbundet i fråga om dessa arbetsuppgifter (jfr Naturvårdsverkets uttalanden i allmänna råd, SNFS 1995:6, NV61, angående förutsättningarna för bidrag ur älgvårdsfonden till jaktvårdssa</w:t>
      </w:r>
      <w:r w:rsidRPr="0008481A">
        <w:t>m</w:t>
      </w:r>
      <w:r w:rsidRPr="0008481A">
        <w:t>manslutnings arbete med älgadministra</w:t>
      </w:r>
      <w:r w:rsidRPr="0008481A">
        <w:softHyphen/>
        <w:t>tion), samt redogöra för och precisera vilka uppgifter som faktiskt har överlämnats till jaktvårds</w:t>
      </w:r>
      <w:r w:rsidRPr="0008481A">
        <w:softHyphen/>
        <w:t>förbundet. Länsstyrelsen bör vidare redovisa hur dessa a</w:t>
      </w:r>
      <w:r w:rsidRPr="0008481A">
        <w:t>r</w:t>
      </w:r>
      <w:r w:rsidRPr="0008481A">
        <w:t>betsuppgifter utförs av för</w:t>
      </w:r>
      <w:r w:rsidRPr="0008481A">
        <w:t>bundet.</w:t>
      </w:r>
    </w:p>
    <w:p w:rsidR="003B3271" w:rsidRPr="0008481A" w:rsidRDefault="003B3271">
      <w:pPr>
        <w:pStyle w:val="Citatindrag"/>
      </w:pPr>
      <w:r w:rsidRPr="0008481A">
        <w:t>Länsstyrelsen har gjort gällande att delegationen till jaktvårdsförbundet av arbetsuppgifter inte innefattar myndighetsutövning. Länsstyrelsen bör närmare utveckla grunderna för sin uppfat</w:t>
      </w:r>
      <w:r w:rsidRPr="0008481A">
        <w:t>t</w:t>
      </w:r>
      <w:r w:rsidRPr="0008481A">
        <w:t>ning.</w:t>
      </w:r>
    </w:p>
    <w:p w:rsidR="003B3271" w:rsidRPr="0008481A" w:rsidRDefault="003B3271">
      <w:pPr>
        <w:pStyle w:val="Citatindrag"/>
      </w:pPr>
      <w:r w:rsidRPr="0008481A">
        <w:t>2. Länsstyrelsen bör yttra sig över vad anmälaren anfört angående förvaltnings</w:t>
      </w:r>
      <w:r w:rsidRPr="0008481A">
        <w:softHyphen/>
        <w:t>lagens, tryckfr</w:t>
      </w:r>
      <w:r w:rsidRPr="0008481A">
        <w:t>i</w:t>
      </w:r>
      <w:r w:rsidRPr="0008481A">
        <w:t>hetsförordningens och sekretesslagens tillämp</w:t>
      </w:r>
      <w:r w:rsidRPr="0008481A">
        <w:softHyphen/>
        <w:t>lig</w:t>
      </w:r>
      <w:r w:rsidRPr="0008481A">
        <w:softHyphen/>
      </w:r>
      <w:r w:rsidRPr="0008481A">
        <w:softHyphen/>
        <w:t>het i ärenden som bereds av jaktvårdsförbundet, se aktbil 15. Även vad anmälaren anfört i jävsfrågan bör kommenteras och b</w:t>
      </w:r>
      <w:r w:rsidRPr="0008481A">
        <w:t>e</w:t>
      </w:r>
      <w:r w:rsidRPr="0008481A">
        <w:t>dömas.</w:t>
      </w:r>
    </w:p>
    <w:p w:rsidR="003B3271" w:rsidRPr="0008481A" w:rsidRDefault="003B3271">
      <w:pPr>
        <w:pStyle w:val="Packad"/>
      </w:pPr>
      <w:r w:rsidRPr="0008481A">
        <w:t>– – –</w:t>
      </w:r>
    </w:p>
    <w:p w:rsidR="003B3271" w:rsidRPr="0008481A" w:rsidRDefault="003B3271">
      <w:pPr>
        <w:pStyle w:val="Citatindrag"/>
        <w:spacing w:before="120"/>
      </w:pPr>
      <w:r w:rsidRPr="0008481A">
        <w:t>4. Länsstyrelsen har i remissvaret anfört att formerna för samarbetet med jaktvårdsförbundet  är under övervägande. Resultatet av dessa över</w:t>
      </w:r>
      <w:r w:rsidRPr="0008481A">
        <w:softHyphen/>
        <w:t>väga</w:t>
      </w:r>
      <w:r w:rsidRPr="0008481A">
        <w:t>n</w:t>
      </w:r>
      <w:r w:rsidRPr="0008481A">
        <w:t>den bör redovisas.</w:t>
      </w:r>
    </w:p>
    <w:p w:rsidR="003B3271" w:rsidRPr="0008481A" w:rsidRDefault="003B3271">
      <w:r w:rsidRPr="0008481A">
        <w:t>Länsstyrelsen anmodades att yttra sig i enlighet med vad som anförts i promem</w:t>
      </w:r>
      <w:r w:rsidRPr="0008481A">
        <w:t>o</w:t>
      </w:r>
      <w:r w:rsidRPr="0008481A">
        <w:t>rian.</w:t>
      </w:r>
    </w:p>
    <w:p w:rsidR="003B3271" w:rsidRPr="0008481A" w:rsidRDefault="003B3271">
      <w:pPr>
        <w:pStyle w:val="Normaltindrag"/>
      </w:pPr>
      <w:r w:rsidRPr="0008481A">
        <w:t>I yttrande från Länsstyrelsen i Värmlands län, som beslutats av lands</w:t>
      </w:r>
      <w:r w:rsidRPr="0008481A">
        <w:softHyphen/>
        <w:t>hövdingen Ingemar Eliasson, anfördes följande (bilagorna här uteslutna).</w:t>
      </w:r>
    </w:p>
    <w:p w:rsidR="003B3271" w:rsidRPr="0008481A" w:rsidRDefault="003B3271">
      <w:pPr>
        <w:pStyle w:val="Citat"/>
      </w:pPr>
      <w:r w:rsidRPr="0008481A">
        <w:t>Länsstyrelsen vill redan inledningsvis upplysa om att det förfaringssätt som anmälan avser ko</w:t>
      </w:r>
      <w:r w:rsidRPr="0008481A">
        <w:t>m</w:t>
      </w:r>
      <w:r w:rsidRPr="0008481A">
        <w:t>mer att upphöra. Från och med den 1 maj 2000 kommer samarbetet i stort sett att ha upphört. En närmare redovisning finns under frågeställning 4.</w:t>
      </w:r>
    </w:p>
    <w:p w:rsidR="003B3271" w:rsidRPr="0008481A" w:rsidRDefault="003B3271">
      <w:pPr>
        <w:pStyle w:val="Packad"/>
      </w:pPr>
    </w:p>
    <w:p w:rsidR="003B3271" w:rsidRPr="0008481A" w:rsidRDefault="003B3271">
      <w:pPr>
        <w:pStyle w:val="Rubrik5"/>
        <w:spacing w:before="0"/>
      </w:pPr>
      <w:r w:rsidRPr="0008481A">
        <w:t xml:space="preserve">Allmänt </w:t>
      </w:r>
    </w:p>
    <w:p w:rsidR="003B3271" w:rsidRPr="0008481A" w:rsidRDefault="003B3271">
      <w:pPr>
        <w:pStyle w:val="Citat"/>
      </w:pPr>
      <w:r w:rsidRPr="0008481A">
        <w:t>Svenska Jägareförbundet har av Sveriges riksdag fått ett uppdrag att sköta jakten och den praktiska viltvården i landet, det s.k. allmänna uppdraget. (Jfr SOU 1997:91, ”Jaktens villkor”, och vad däri avhandlas i frågan.) För</w:t>
      </w:r>
      <w:r w:rsidRPr="0008481A">
        <w:softHyphen/>
        <w:t>bundets organ i länen, för Värmlands del länets jaktvårdsförbund, har allt</w:t>
      </w:r>
      <w:r w:rsidRPr="0008481A">
        <w:softHyphen/>
        <w:t>sedan uppdragets tillkomst genom sina heltidsanställda jaktvårds</w:t>
      </w:r>
      <w:r w:rsidRPr="0008481A">
        <w:softHyphen/>
        <w:t>konsulenter utnyttjats som sakkunnigorgan inom jakt- och viltvårdsområdet. Såväl myndigheter som domstolar inhämtar i sin mål- och ärendehantering sak</w:t>
      </w:r>
      <w:r w:rsidRPr="0008481A">
        <w:softHyphen/>
        <w:t>kunnigutlåtanden från länsjaktvårdsföreningarna. Det är mot denna bakgrund som bestämmelsen i 13 § 8 mom. dåvarande jaktstadgan att länsstyrelsen skulle ha hört jaktvårdssammanslutning för länet innan länsstyrelsen beslu</w:t>
      </w:r>
      <w:r w:rsidRPr="0008481A">
        <w:t>tade om registrering av ett älgjaktso</w:t>
      </w:r>
      <w:r w:rsidRPr="0008481A">
        <w:t>m</w:t>
      </w:r>
      <w:r w:rsidRPr="0008481A">
        <w:t>råde skall ses. I förarbetena till lagstiftningen var även en av de bärande tankarna att jaktvård</w:t>
      </w:r>
      <w:r w:rsidRPr="0008481A">
        <w:t>s</w:t>
      </w:r>
      <w:r w:rsidRPr="0008481A">
        <w:t>samman</w:t>
      </w:r>
      <w:r w:rsidRPr="0008481A">
        <w:softHyphen/>
        <w:t>slut</w:t>
      </w:r>
      <w:r w:rsidRPr="0008481A">
        <w:softHyphen/>
        <w:t>ningarna skulle medverka för att få till stånd en ändamålsenlig sam</w:t>
      </w:r>
      <w:r w:rsidRPr="0008481A">
        <w:softHyphen/>
        <w:t>or</w:t>
      </w:r>
      <w:r w:rsidRPr="0008481A">
        <w:t>d</w:t>
      </w:r>
      <w:r w:rsidRPr="0008481A">
        <w:softHyphen/>
        <w:t>ning av jakten.</w:t>
      </w:r>
    </w:p>
    <w:p w:rsidR="003B3271" w:rsidRPr="0008481A" w:rsidRDefault="003B3271">
      <w:pPr>
        <w:pStyle w:val="Citatindrag"/>
      </w:pPr>
      <w:r w:rsidRPr="0008481A">
        <w:t>Mot bakgrund av vad som uttalats om jaktvårdssammanslutningarnas medverkan i försöksver</w:t>
      </w:r>
      <w:r w:rsidRPr="0008481A">
        <w:t>k</w:t>
      </w:r>
      <w:r w:rsidRPr="0008481A">
        <w:t>samheten med samordnad älgjakt, föll det sig i länet naturligt att Jaktvårdsförbundet, som också var villigt därtill, i samband med att förbundet erhöll registreringshandlingarna för yttrande också ombesörjde att dessa ordnades och där så behövdes kompletterades med för registre</w:t>
      </w:r>
      <w:r w:rsidRPr="0008481A">
        <w:softHyphen/>
        <w:t>ringen erfo</w:t>
      </w:r>
      <w:r w:rsidRPr="0008481A">
        <w:t>r</w:t>
      </w:r>
      <w:r w:rsidRPr="0008481A">
        <w:t>derliga uppgifter (fastighetsu</w:t>
      </w:r>
      <w:r w:rsidRPr="0008481A">
        <w:t>t</w:t>
      </w:r>
      <w:r w:rsidRPr="0008481A">
        <w:t>redningar m m).</w:t>
      </w:r>
    </w:p>
    <w:p w:rsidR="003B3271" w:rsidRPr="0008481A" w:rsidRDefault="003B3271">
      <w:pPr>
        <w:pStyle w:val="Rubrik5"/>
      </w:pPr>
      <w:r w:rsidRPr="0008481A">
        <w:t>Frågeställning 1</w:t>
      </w:r>
    </w:p>
    <w:p w:rsidR="003B3271" w:rsidRPr="0008481A" w:rsidRDefault="003B3271">
      <w:pPr>
        <w:pStyle w:val="Citat"/>
      </w:pPr>
      <w:r w:rsidRPr="0008481A">
        <w:t>Som redovisats i Länsstyrelsens promemoria 1998-03-20 fick också Jakt</w:t>
      </w:r>
      <w:r w:rsidRPr="0008481A">
        <w:softHyphen/>
        <w:t>vårdsförbundet, helt med stöd av dåvarande föreskrifter, Länsstyrelsens uppdrag att upprätta och föra områdesregistret i</w:t>
      </w:r>
      <w:r w:rsidRPr="0008481A">
        <w:t>n</w:t>
      </w:r>
      <w:r w:rsidRPr="0008481A">
        <w:t>klusive översiktskartan över älgjaktsområdena (jfr dåvarande jaktvårdskonsulentens beskrivning av arbetet på Jaktvårdsförbundet, bil. 5 till promemorian).</w:t>
      </w:r>
    </w:p>
    <w:p w:rsidR="003B3271" w:rsidRPr="0008481A" w:rsidRDefault="003B3271">
      <w:pPr>
        <w:pStyle w:val="Citatindrag"/>
      </w:pPr>
      <w:r w:rsidRPr="0008481A">
        <w:t xml:space="preserve">  Några handlingar utvisande Länsstyrelsens överväganden och slutliga ställningstagande i frågan om uppdraget till Jaktvårdsförbundet, utöver vad som redovisats i bilagorna till den tidigare pr</w:t>
      </w:r>
      <w:r w:rsidRPr="0008481A">
        <w:t>o</w:t>
      </w:r>
      <w:r w:rsidRPr="0008481A">
        <w:t>memorian, har inte kunnat återfinnas. Ingen av de personer som vid den aktuella tidpunkten var ansvariga för uppgörelsen med Jaktvårdsförbundet är längre i tjänst hos Länsstyrelsen. Inte heller den då ansvarige på Jaktvårdsförbundet är längre i tjänst. Ytterligare klarhet i frågan har därför inte kunnat vinnas. Med hänsyn till vad som nu är känt måste Länsstyrelsen utgå från att någon formell skriftlig överenskommelse aldrig upprätt</w:t>
      </w:r>
      <w:r w:rsidRPr="0008481A">
        <w:t>a</w:t>
      </w:r>
      <w:r w:rsidRPr="0008481A">
        <w:t>des.</w:t>
      </w:r>
    </w:p>
    <w:p w:rsidR="003B3271" w:rsidRPr="0008481A" w:rsidRDefault="003B3271">
      <w:pPr>
        <w:pStyle w:val="Citat"/>
        <w:spacing w:before="240"/>
        <w:rPr>
          <w:u w:val="single"/>
        </w:rPr>
      </w:pPr>
      <w:r w:rsidRPr="0008481A">
        <w:rPr>
          <w:u w:val="single"/>
        </w:rPr>
        <w:t>Arbetet på Jaktvårdsförbundet</w:t>
      </w:r>
    </w:p>
    <w:p w:rsidR="003B3271" w:rsidRPr="0008481A" w:rsidRDefault="003B3271">
      <w:pPr>
        <w:pStyle w:val="Citat"/>
      </w:pPr>
      <w:r w:rsidRPr="0008481A">
        <w:t>Arbetet på Jaktvårdsförbundet har alltsedan införandet av den samordnade älgjakten tillgått på samma sätt, dock att områdesregistret sedan 1988 är datoriserat. Nedan redovisas arbet</w:t>
      </w:r>
      <w:r w:rsidRPr="0008481A">
        <w:t>s</w:t>
      </w:r>
      <w:r w:rsidRPr="0008481A">
        <w:t>gång m.m.</w:t>
      </w:r>
    </w:p>
    <w:p w:rsidR="003B3271" w:rsidRPr="0008481A" w:rsidRDefault="003B3271">
      <w:pPr>
        <w:pStyle w:val="Rubrik4"/>
      </w:pPr>
      <w:r w:rsidRPr="0008481A">
        <w:t>Registrering</w:t>
      </w:r>
    </w:p>
    <w:p w:rsidR="003B3271" w:rsidRPr="0008481A" w:rsidRDefault="003B3271">
      <w:pPr>
        <w:pStyle w:val="Citat"/>
      </w:pPr>
      <w:r w:rsidRPr="0008481A">
        <w:t>En ansökan om registrering förtecknas i ett hjälpregister på Länsstyrelsen. Diarieföring i huvuddi</w:t>
      </w:r>
      <w:r w:rsidRPr="0008481A">
        <w:t>a</w:t>
      </w:r>
      <w:r w:rsidRPr="0008481A">
        <w:t>riet sker inte.</w:t>
      </w:r>
    </w:p>
    <w:p w:rsidR="003B3271" w:rsidRPr="0008481A" w:rsidRDefault="003B3271">
      <w:pPr>
        <w:pStyle w:val="Citatindrag"/>
      </w:pPr>
      <w:r w:rsidRPr="0008481A">
        <w:t>Efter att ansökningsavgiften betalats in har ansökan översänts till Jakt</w:t>
      </w:r>
      <w:r w:rsidRPr="0008481A">
        <w:softHyphen/>
        <w:t>vårds</w:t>
      </w:r>
      <w:r w:rsidRPr="0008481A">
        <w:softHyphen/>
        <w:t>förbundet (ansökning</w:t>
      </w:r>
      <w:r w:rsidRPr="0008481A">
        <w:t>s</w:t>
      </w:r>
      <w:r w:rsidRPr="0008481A">
        <w:t>avgift infördes 1992).</w:t>
      </w:r>
    </w:p>
    <w:p w:rsidR="003B3271" w:rsidRPr="0008481A" w:rsidRDefault="003B3271">
      <w:pPr>
        <w:pStyle w:val="Citatindrag"/>
      </w:pPr>
      <w:r w:rsidRPr="0008481A">
        <w:t>Jaktvårdsförbundet har kontrollerat fastighetsuppgifterna i ansökan mot översiktskartan över lice</w:t>
      </w:r>
      <w:r w:rsidRPr="0008481A">
        <w:t>n</w:t>
      </w:r>
      <w:r w:rsidRPr="0008481A">
        <w:t>sområdena. Detta gäller såväl ansökningar avseen</w:t>
      </w:r>
      <w:r w:rsidRPr="0008481A">
        <w:softHyphen/>
        <w:t>de oregistrerad mark som ansökningar om än</w:t>
      </w:r>
      <w:r w:rsidRPr="0008481A">
        <w:t>d</w:t>
      </w:r>
      <w:r w:rsidRPr="0008481A">
        <w:t>ring i redan befintliga om</w:t>
      </w:r>
      <w:r w:rsidRPr="0008481A">
        <w:softHyphen/>
        <w:t>råden. De flesta ansökningar kräver viss kommunikation med företräd</w:t>
      </w:r>
      <w:r w:rsidRPr="0008481A">
        <w:t>a</w:t>
      </w:r>
      <w:r w:rsidRPr="0008481A">
        <w:t>ren för området och i regel även med företrädarna för intilliggande områden. Kommunikationen har skett skriftligen eller via telefon. Oklarheter i fastighetsredovisningen kan ibland ta avsevärd tid att reda ut (se bif. exempel). Efter att ev. oklarheter retts ut, har ärendet skickats tillbaka till Länsstyrelsen med förbund</w:t>
      </w:r>
      <w:r w:rsidRPr="0008481A">
        <w:t>ets yttrande bifogat.</w:t>
      </w:r>
    </w:p>
    <w:p w:rsidR="003B3271" w:rsidRPr="0008481A" w:rsidRDefault="003B3271">
      <w:pPr>
        <w:pStyle w:val="Citatindrag"/>
      </w:pPr>
      <w:r w:rsidRPr="0008481A">
        <w:t xml:space="preserve"> Sedan samtliga registreringsärenden för året avgjorts av Länsstyrelsen, har handlingarna översänts till Jaktvårdsförbundet som ritat in licensområdena på översiktskartan och fört in berörda uppgifter i områdesregistret (jfr organisationskort, bil. 12 till den tidigare prom</w:t>
      </w:r>
      <w:r w:rsidRPr="0008481A">
        <w:t>e</w:t>
      </w:r>
      <w:r w:rsidRPr="0008481A">
        <w:t>morian).</w:t>
      </w:r>
    </w:p>
    <w:p w:rsidR="003B3271" w:rsidRPr="0008481A" w:rsidRDefault="003B3271">
      <w:pPr>
        <w:pStyle w:val="Citatindrag"/>
      </w:pPr>
      <w:r w:rsidRPr="0008481A">
        <w:t>Berörda handlingar har hos förbundet förvarats i mappar för varje område för sig.</w:t>
      </w:r>
    </w:p>
    <w:p w:rsidR="003B3271" w:rsidRPr="0008481A" w:rsidRDefault="003B3271">
      <w:pPr>
        <w:pStyle w:val="Citatindrag"/>
      </w:pPr>
      <w:r w:rsidRPr="0008481A">
        <w:t>I sammanhanget hänvisas även till redovisningen under rubriken arbetets uppläggning i redogöre</w:t>
      </w:r>
      <w:r w:rsidRPr="0008481A">
        <w:t>l</w:t>
      </w:r>
      <w:r w:rsidRPr="0008481A">
        <w:t>sen till Naturvårdsverket över försöksverksamheten med samordnad älgjakt, bil. 6 till den tidigare promemorian.</w:t>
      </w:r>
    </w:p>
    <w:p w:rsidR="003B3271" w:rsidRPr="0008481A" w:rsidRDefault="003B3271">
      <w:pPr>
        <w:pStyle w:val="Citatindrag"/>
      </w:pPr>
      <w:r w:rsidRPr="0008481A">
        <w:t>Under försöksverksamheten med den samordnade älgjakten medverkade ofta Jaktvårdsförbundet, helt enligt intentionerna bakom lagstiftningen, aktivt i möten tillsammans med berörda partsför</w:t>
      </w:r>
      <w:r w:rsidRPr="0008481A">
        <w:t>e</w:t>
      </w:r>
      <w:r w:rsidRPr="0008481A">
        <w:t>trädare i syfte att få till stånd en ändamålsenlig samordning av jakten. Även i det nuvarande ä</w:t>
      </w:r>
      <w:r w:rsidRPr="0008481A">
        <w:t>l</w:t>
      </w:r>
      <w:r w:rsidRPr="0008481A">
        <w:t>gjaktssystemet har företrädare för förbundet, i fall när önskemål om detta ställs från berörda parter, vid åtskilliga tillfällen medverkat i liknande möten. Tillgången till ett gott kartmaterial har då visat sig utomordentligt värdefull och ofta varit en förutsättning för att en avsedd samordning kunnat komma till stånd.</w:t>
      </w:r>
    </w:p>
    <w:p w:rsidR="003B3271" w:rsidRPr="0008481A" w:rsidRDefault="003B3271">
      <w:pPr>
        <w:pStyle w:val="Rubrik4"/>
      </w:pPr>
      <w:r w:rsidRPr="0008481A">
        <w:t>Licenser</w:t>
      </w:r>
    </w:p>
    <w:p w:rsidR="003B3271" w:rsidRPr="0008481A" w:rsidRDefault="003B3271">
      <w:pPr>
        <w:pStyle w:val="Citat"/>
      </w:pPr>
      <w:r w:rsidRPr="0008481A">
        <w:t>Beträffande förfarandet vid licensgivningen hänvisas till beskrivningen i den tidigare promemor</w:t>
      </w:r>
      <w:r w:rsidRPr="0008481A">
        <w:t>i</w:t>
      </w:r>
      <w:r w:rsidRPr="0008481A">
        <w:t>an.</w:t>
      </w:r>
    </w:p>
    <w:p w:rsidR="003B3271" w:rsidRPr="0008481A" w:rsidRDefault="003B3271">
      <w:pPr>
        <w:pStyle w:val="Rubrik4"/>
      </w:pPr>
      <w:r w:rsidRPr="0008481A">
        <w:t>Statistik</w:t>
      </w:r>
    </w:p>
    <w:p w:rsidR="003B3271" w:rsidRPr="0008481A" w:rsidRDefault="003B3271">
      <w:pPr>
        <w:pStyle w:val="Citat"/>
      </w:pPr>
      <w:r w:rsidRPr="0008481A">
        <w:t>Efter att Länsstyrelsen kontrollerat att anmälnings- och betalningsskyldig</w:t>
      </w:r>
      <w:r w:rsidRPr="0008481A">
        <w:softHyphen/>
        <w:t>heten fullgjorts, har Jak</w:t>
      </w:r>
      <w:r w:rsidRPr="0008481A">
        <w:t>t</w:t>
      </w:r>
      <w:r w:rsidRPr="0008481A">
        <w:t>vårdsförbundet fört in jaktresultaten i licensregistret och upprättat erforderlig stati</w:t>
      </w:r>
      <w:r w:rsidRPr="0008481A">
        <w:t>s</w:t>
      </w:r>
      <w:r w:rsidRPr="0008481A">
        <w:t>tik.</w:t>
      </w:r>
    </w:p>
    <w:p w:rsidR="003B3271" w:rsidRPr="0008481A" w:rsidRDefault="003B3271">
      <w:pPr>
        <w:pStyle w:val="Rubrik4"/>
      </w:pPr>
      <w:r w:rsidRPr="0008481A">
        <w:t>Myndighetsutövning</w:t>
      </w:r>
    </w:p>
    <w:p w:rsidR="003B3271" w:rsidRPr="0008481A" w:rsidRDefault="003B3271">
      <w:pPr>
        <w:pStyle w:val="Citat"/>
      </w:pPr>
      <w:r w:rsidRPr="0008481A">
        <w:t>Personal vid Värmlands läns Jaktvårdsförbund har utfört vissa moment av handläggningen av ärenden som Länsstyrelsen författningsenligt har att fatta beslut i. Ett av skälen till detta synes ha varit att Jaktvårdsförbundet, i vart fall vid tiden när samarbetet började, skulle yttra sig i ärendena. I de fall ansökningarna saknat uppgifter som Jaktvårdsförbundet ansett vara nöd</w:t>
      </w:r>
      <w:r w:rsidRPr="0008481A">
        <w:softHyphen/>
        <w:t>vändiga för att kunna yttra sig till Länsstyrelsen så har det ansetts lämpligt att Jaktvårdsförbundet direkt i dialog med sökanden sökt få in nödvändiga uppgifter för att kunna avge yttrande. Jaktvårdsförbundet har inte fattat några beslut som varit bindande för sökanden eller haft annan rättsverkan för s</w:t>
      </w:r>
      <w:r w:rsidRPr="0008481A">
        <w:t>ö</w:t>
      </w:r>
      <w:r w:rsidRPr="0008481A">
        <w:t>kanden.</w:t>
      </w:r>
    </w:p>
    <w:p w:rsidR="003B3271" w:rsidRPr="0008481A" w:rsidRDefault="003B3271">
      <w:pPr>
        <w:pStyle w:val="Citatindrag"/>
      </w:pPr>
      <w:r w:rsidRPr="0008481A">
        <w:t>Det slutliga beslutet samt beslut under handläggningen som kunnat få rättsverkan gentemot den som berörs av beslutet har fattats av personal anställd vid Länsstyrelsen. Länsstyrelsens beslut har t</w:t>
      </w:r>
      <w:r w:rsidRPr="0008481A">
        <w:t>ill sin innebörd varit sådana att de är att betrakta som myndighetsutövning mot enskild och Län</w:t>
      </w:r>
      <w:r w:rsidRPr="0008481A">
        <w:t>s</w:t>
      </w:r>
      <w:r w:rsidRPr="0008481A">
        <w:t>styrelsens handläggning är att anse som ett led i denna myndighets</w:t>
      </w:r>
      <w:r w:rsidRPr="0008481A">
        <w:softHyphen/>
        <w:t>utövning (jfr äldre förvaltnin</w:t>
      </w:r>
      <w:r w:rsidRPr="0008481A">
        <w:t>g</w:t>
      </w:r>
      <w:r w:rsidRPr="0008481A">
        <w:t>slagen ”utövning av befogenhet att för enskild bestämma om förmån, rättighet, ........... eller annat jämförbart förhållande”). I sammanhanget måste understrykas att ansökningar som helt eller delvis avstyrkts av Jaktvårdsförbundet eller som under behandlingen tillförts uppgifter som har kunnat utgöra grund för avsla</w:t>
      </w:r>
      <w:r w:rsidRPr="0008481A">
        <w:t>g eller medföra avvikelse från ansökan har kommunicerats av Länsstyrelsen med sökanden innan Länsstyrelsen fattat b</w:t>
      </w:r>
      <w:r w:rsidRPr="0008481A">
        <w:t>e</w:t>
      </w:r>
      <w:r w:rsidRPr="0008481A">
        <w:t>slut i ärendet.</w:t>
      </w:r>
    </w:p>
    <w:p w:rsidR="003B3271" w:rsidRPr="0008481A" w:rsidRDefault="003B3271">
      <w:pPr>
        <w:pStyle w:val="Citatindrag"/>
      </w:pPr>
      <w:r w:rsidRPr="0008481A">
        <w:t>Sammanfattningsvis kan sägas att personal från Jaktvårdsförbundet på sätt och vis varit behjälplig vid Länsstyrelsens myndighetsutövning genom att söka få den sökande på frivillig väg och utan Länsstyrelsens direkta medverkan att komplettera sitt ärende så att Jaktvårdsförbundet kunnat yttra sig i ärendet.</w:t>
      </w:r>
    </w:p>
    <w:p w:rsidR="003B3271" w:rsidRPr="0008481A" w:rsidRDefault="003B3271">
      <w:pPr>
        <w:pStyle w:val="Citatindrag"/>
      </w:pPr>
      <w:r w:rsidRPr="0008481A">
        <w:t>Länsstyrelsen bilägger kopior av ärenden vilka bl.a. ger exempel på den utredning som gjorts i ärendet, Jaktvårdsförbundets yttrande, Länsstyrelsens kommunicering i de fall det bedömts nö</w:t>
      </w:r>
      <w:r w:rsidRPr="0008481A">
        <w:t>d</w:t>
      </w:r>
      <w:r w:rsidRPr="0008481A">
        <w:t>vändigt och Länsstyrelsens beslut.</w:t>
      </w:r>
    </w:p>
    <w:p w:rsidR="003B3271" w:rsidRPr="0008481A" w:rsidRDefault="003B3271">
      <w:pPr>
        <w:pStyle w:val="Citatindrag"/>
      </w:pPr>
      <w:r w:rsidRPr="0008481A">
        <w:t>Länsstyrelsen vill avslutningsvis poängtera att det är Länsstyrelsen som slutligt avgjort om b</w:t>
      </w:r>
      <w:r w:rsidRPr="0008481A">
        <w:t>e</w:t>
      </w:r>
      <w:r w:rsidRPr="0008481A">
        <w:t>slutsunderlaget varit tillräckligt.</w:t>
      </w:r>
    </w:p>
    <w:p w:rsidR="003B3271" w:rsidRPr="0008481A" w:rsidRDefault="003B3271">
      <w:pPr>
        <w:pStyle w:val="Rubrik5"/>
      </w:pPr>
      <w:r w:rsidRPr="0008481A">
        <w:t>Frågeställning 2</w:t>
      </w:r>
    </w:p>
    <w:p w:rsidR="003B3271" w:rsidRPr="0008481A" w:rsidRDefault="003B3271">
      <w:pPr>
        <w:pStyle w:val="Rubrik4"/>
        <w:spacing w:before="120"/>
      </w:pPr>
      <w:r w:rsidRPr="0008481A">
        <w:t>Förvaltningslagen</w:t>
      </w:r>
    </w:p>
    <w:p w:rsidR="003B3271" w:rsidRPr="0008481A" w:rsidRDefault="003B3271">
      <w:pPr>
        <w:pStyle w:val="Citat"/>
      </w:pPr>
      <w:r w:rsidRPr="0008481A">
        <w:t>Anmälaren påstår att när Länsstyrelsen överlåter viktiga delar av hand</w:t>
      </w:r>
      <w:r w:rsidRPr="0008481A">
        <w:softHyphen/>
        <w:t>läggningen i jaktärenden som avser myndighetsutövning till Värmlands läns jaktvårdsförbund upphör också Länsstyrelsens möjlighet att kunna se till bestämmelserna i 14 och 15 §§ förvaltnin</w:t>
      </w:r>
      <w:r w:rsidRPr="0008481A">
        <w:t>g</w:t>
      </w:r>
      <w:r w:rsidRPr="0008481A">
        <w:t>slagen.</w:t>
      </w:r>
    </w:p>
    <w:p w:rsidR="003B3271" w:rsidRPr="0008481A" w:rsidRDefault="003B3271">
      <w:pPr>
        <w:pStyle w:val="Citatindrag"/>
      </w:pPr>
      <w:r w:rsidRPr="0008481A">
        <w:t>De ärenden som nu är i fråga har endast en part, den sökande. Det är mycket lätt för den sökande att bedöma i vilken mån uppgifter som kan ha betydelse för utgången av ärendet har tillförts äre</w:t>
      </w:r>
      <w:r w:rsidRPr="0008481A">
        <w:t>n</w:t>
      </w:r>
      <w:r w:rsidRPr="0008481A">
        <w:t>det eftersom sådana uppgifter skall kommuniceras med sökanden. De ansökningar som helt eller delvis avstyrks av Jaktvårdsförbundet eller som under behandlingen tillförs uppgifter som kan utgöra grund för avslag eller medföra avvikelse från ansökan skall enligt 16 § förvaltningslagen alltid kommuniceras med sökanden innan Länsstyrelsen fattar beslut i ärendet. Så har alltid skett.</w:t>
      </w:r>
    </w:p>
    <w:p w:rsidR="003B3271" w:rsidRPr="0008481A" w:rsidRDefault="003B3271">
      <w:pPr>
        <w:pStyle w:val="Rubrik4"/>
      </w:pPr>
      <w:r w:rsidRPr="0008481A">
        <w:t>Allmänna handlingar</w:t>
      </w:r>
    </w:p>
    <w:p w:rsidR="003B3271" w:rsidRPr="0008481A" w:rsidRDefault="003B3271">
      <w:pPr>
        <w:pStyle w:val="Citat"/>
      </w:pPr>
      <w:r w:rsidRPr="0008481A">
        <w:t>Vad gäller frågan om handlingar så har Länsstyrelsen alltid betraktat dessa som allmänna och förvarade hos Länsstyrelsen även i de fall de faktiskt förvarats i Jaktvårdsförbundets lokaler. Om någon hade begärt att få ta del av en allmän handling i dessa ärenden så hade Länsstyrelsen om handlingen befunnit sig i Jaktvårdsförbundets lokaler antingen a) hämtat handlingen, b) skjutsat personen till lokalen för att där ta del av den eller c) hänvisat per</w:t>
      </w:r>
      <w:r w:rsidRPr="0008481A">
        <w:softHyphen/>
        <w:t>sonen till att själv uppsöka lok</w:t>
      </w:r>
      <w:r w:rsidRPr="0008481A">
        <w:t>a</w:t>
      </w:r>
      <w:r w:rsidRPr="0008481A">
        <w:t>lerna. Här kan nämnas att Jaktvårdsför</w:t>
      </w:r>
      <w:r w:rsidRPr="0008481A">
        <w:softHyphen/>
        <w:t>bun</w:t>
      </w:r>
      <w:r w:rsidRPr="0008481A">
        <w:softHyphen/>
        <w:t>dets lokaler är belägna cirka tre mil från Länsstyrelsen. Eftersom hand</w:t>
      </w:r>
      <w:r w:rsidRPr="0008481A">
        <w:softHyphen/>
        <w:t>lingarna inte omfattas av sekretess enligt sekretesslagens bestämmelser skall inte heller någon prövning ske när handlingarna lämnas ut. Detta är väl känt av Jaktvårdsförbundet. Någon myndighetsutövning kan inte anses före</w:t>
      </w:r>
      <w:r w:rsidRPr="0008481A">
        <w:softHyphen/>
        <w:t>komma när personal på Jaktvårdsförbundet lämnar ut en allmän handling som faktiskt förvaras där.</w:t>
      </w:r>
    </w:p>
    <w:p w:rsidR="003B3271" w:rsidRPr="0008481A" w:rsidRDefault="003B3271">
      <w:pPr>
        <w:pStyle w:val="Packad"/>
      </w:pPr>
      <w:r w:rsidRPr="0008481A">
        <w:t>– – –</w:t>
      </w:r>
    </w:p>
    <w:p w:rsidR="003B3271" w:rsidRPr="0008481A" w:rsidRDefault="003B3271">
      <w:pPr>
        <w:pStyle w:val="Rubrik5"/>
      </w:pPr>
      <w:r w:rsidRPr="0008481A">
        <w:t>Frågeställning 4</w:t>
      </w:r>
    </w:p>
    <w:p w:rsidR="003B3271" w:rsidRPr="0008481A" w:rsidRDefault="003B3271">
      <w:pPr>
        <w:pStyle w:val="Rubrik4"/>
        <w:spacing w:before="120"/>
      </w:pPr>
      <w:r w:rsidRPr="0008481A">
        <w:t>Förändringar i administrationen</w:t>
      </w:r>
    </w:p>
    <w:p w:rsidR="003B3271" w:rsidRPr="0008481A" w:rsidRDefault="003B3271">
      <w:pPr>
        <w:pStyle w:val="Citat"/>
      </w:pPr>
      <w:r w:rsidRPr="0008481A">
        <w:t>I den tidigare promemorian uttalas att formerna för förbundets medverkan är under övervägande. Detta som en följd av planerna på en övergång till digital översiktskarta genom användning av GIS-teknik.</w:t>
      </w:r>
    </w:p>
    <w:p w:rsidR="003B3271" w:rsidRPr="0008481A" w:rsidRDefault="003B3271">
      <w:pPr>
        <w:pStyle w:val="Citatindrag"/>
      </w:pPr>
      <w:r w:rsidRPr="0008481A">
        <w:t>Planerna har nu konkretiserats och redovisas i det följande.</w:t>
      </w:r>
    </w:p>
    <w:p w:rsidR="003B3271" w:rsidRPr="0008481A" w:rsidRDefault="003B3271">
      <w:pPr>
        <w:pStyle w:val="Citatindrag"/>
      </w:pPr>
      <w:r w:rsidRPr="0008481A">
        <w:t>På grund av personalförändringar inom Länsstyrelsen och som ett led i förberedelsearbetet för ett införande av GIS-teknik i administrationen anställde Länsstyrelsen fr.o.m. den 1 juli 1998 på de</w:t>
      </w:r>
      <w:r w:rsidRPr="0008481A">
        <w:t>l</w:t>
      </w:r>
      <w:r w:rsidRPr="0008481A">
        <w:t>tid (40 %) den tjänste</w:t>
      </w:r>
      <w:r w:rsidRPr="0008481A">
        <w:softHyphen/>
        <w:t>man inom Jaktvårdsförbundet som främst varit verksam med de älg</w:t>
      </w:r>
      <w:r w:rsidRPr="0008481A">
        <w:softHyphen/>
        <w:t>adminis</w:t>
      </w:r>
      <w:r w:rsidRPr="0008481A">
        <w:t>t</w:t>
      </w:r>
      <w:r w:rsidRPr="0008481A">
        <w:t>rativa göromålen. Fr.o.m. den 1 maj i år kommer Länsstyrelsen att överta det fulla arbetsgiv</w:t>
      </w:r>
      <w:r w:rsidRPr="0008481A">
        <w:t>a</w:t>
      </w:r>
      <w:r w:rsidRPr="0008481A">
        <w:t>ransvaret för tjänstemannen, som då helt kom</w:t>
      </w:r>
      <w:r w:rsidRPr="0008481A">
        <w:softHyphen/>
        <w:t>mer att vara verksam inom Länsstyrelsen. En full satsning på GIS-tekniken kommer då att inledas.</w:t>
      </w:r>
    </w:p>
    <w:p w:rsidR="003B3271" w:rsidRPr="0008481A" w:rsidRDefault="003B3271">
      <w:pPr>
        <w:pStyle w:val="Citatindrag"/>
      </w:pPr>
      <w:r w:rsidRPr="0008481A">
        <w:t>Fr.o.m. i år finns hela licensområdesregistret på Länsstyrelsen. Enbart vissa handlingar som berör innevarande års registeransökningar samt hand</w:t>
      </w:r>
      <w:r w:rsidRPr="0008481A">
        <w:softHyphen/>
        <w:t>lingar som fortfarande erfordras för att slutligt ju</w:t>
      </w:r>
      <w:r w:rsidRPr="0008481A">
        <w:t>s</w:t>
      </w:r>
      <w:r w:rsidRPr="0008481A">
        <w:t>tera översiktskartan avseen</w:t>
      </w:r>
      <w:r w:rsidRPr="0008481A">
        <w:softHyphen/>
        <w:t>de 1999-års registreringsärenden finns för närvarande på Jaktvårds</w:t>
      </w:r>
      <w:r w:rsidRPr="0008481A">
        <w:softHyphen/>
        <w:t>fö</w:t>
      </w:r>
      <w:r w:rsidRPr="0008481A">
        <w:t>r</w:t>
      </w:r>
      <w:r w:rsidRPr="0008481A">
        <w:softHyphen/>
        <w:t>bundet. Allteftersom arbetet i den delen slutförs, återförs berörda handlingar till Länsstyrelsen. Arbetet avslutas u</w:t>
      </w:r>
      <w:r w:rsidRPr="0008481A">
        <w:t>n</w:t>
      </w:r>
      <w:r w:rsidRPr="0008481A">
        <w:t>der april.</w:t>
      </w:r>
    </w:p>
    <w:p w:rsidR="003B3271" w:rsidRPr="0008481A" w:rsidRDefault="003B3271">
      <w:pPr>
        <w:pStyle w:val="Citatindrag"/>
      </w:pPr>
      <w:r w:rsidRPr="0008481A">
        <w:t>Fortsättningsvis kommer Jaktvårdsförbundet vad gäller registreringsarbetet enbart att utnyttjas som remissinstans i ärenden där sakkunnigutlåtanden bedöms behöva inhämtas.</w:t>
      </w:r>
    </w:p>
    <w:p w:rsidR="003B3271" w:rsidRPr="0008481A" w:rsidRDefault="003B3271">
      <w:pPr>
        <w:pStyle w:val="Citatindrag"/>
      </w:pPr>
      <w:r w:rsidRPr="0008481A">
        <w:t>Den officiella avskjutningsstatistiken kommer i fortsättningen att upprättas av Länsstyre</w:t>
      </w:r>
      <w:r w:rsidRPr="0008481A">
        <w:t>l</w:t>
      </w:r>
      <w:r w:rsidRPr="0008481A">
        <w:t>sen.</w:t>
      </w:r>
    </w:p>
    <w:p w:rsidR="003B3271" w:rsidRPr="0008481A" w:rsidRDefault="003B3271">
      <w:pPr>
        <w:pStyle w:val="Citatindrag"/>
      </w:pPr>
      <w:r w:rsidRPr="0008481A">
        <w:t>Förfarandet i samband med licensgivningen förändras i huvudsak inte. Eftersom dataregistret dock numera finns på Länsstyrelsen, sker databe</w:t>
      </w:r>
      <w:r w:rsidRPr="0008481A">
        <w:softHyphen/>
        <w:t>arbetningen av länsviltsnämndens avskjutningsnormer inom Länsstyrelsen.</w:t>
      </w:r>
    </w:p>
    <w:p w:rsidR="003B3271" w:rsidRPr="0008481A" w:rsidRDefault="003B3271">
      <w:pPr>
        <w:pStyle w:val="Rubrik4"/>
      </w:pPr>
      <w:r w:rsidRPr="0008481A">
        <w:t>Övrigt</w:t>
      </w:r>
    </w:p>
    <w:p w:rsidR="003B3271" w:rsidRPr="0008481A" w:rsidRDefault="003B3271">
      <w:pPr>
        <w:pStyle w:val="Citat"/>
      </w:pPr>
      <w:r w:rsidRPr="0008481A">
        <w:t>Jaktvårdsförbundets medverkan i älgjaktsadministrationen kommer även fortsättningsvis att vara omfattande. Uppgiften att ansvara för de lokala samråden samt rollen som sammanhållande eller direkt ansvarig vid olika älginventeringar m.m. jämte utvärderingen av inventeringsresultaten kräver betydande insatser av förbundet. Jfr vad som uttalas i prop. 1991/92:9 om medverkan av jaktvårdsorganisationerna i äl</w:t>
      </w:r>
      <w:r w:rsidRPr="0008481A">
        <w:t>g</w:t>
      </w:r>
      <w:r w:rsidRPr="0008481A">
        <w:t>jaktsadministrationen.</w:t>
      </w:r>
    </w:p>
    <w:p w:rsidR="003B3271" w:rsidRPr="0008481A" w:rsidRDefault="003B3271">
      <w:pPr>
        <w:pStyle w:val="Citatindrag"/>
      </w:pPr>
      <w:r w:rsidRPr="0008481A">
        <w:t>Jaktvårdsförbundet avses även i fortsättningen svara för länsviltsnämndens kansl</w:t>
      </w:r>
      <w:r w:rsidRPr="0008481A">
        <w:t>i</w:t>
      </w:r>
      <w:r w:rsidRPr="0008481A">
        <w:t>funktion.</w:t>
      </w:r>
    </w:p>
    <w:p w:rsidR="003B3271" w:rsidRPr="0008481A" w:rsidRDefault="003B3271">
      <w:r w:rsidRPr="0008481A">
        <w:t>Bengt Nyström kommenterade remissvaret och vidhöll sin kritik.</w:t>
      </w:r>
    </w:p>
    <w:p w:rsidR="003B3271" w:rsidRPr="0008481A" w:rsidRDefault="003B3271">
      <w:r w:rsidRPr="0008481A">
        <w:t xml:space="preserve">I beslut den 28 juni 2000 anförde </w:t>
      </w:r>
      <w:r w:rsidRPr="0008481A">
        <w:rPr>
          <w:i/>
        </w:rPr>
        <w:t>stf. JO Ekberg</w:t>
      </w:r>
      <w:r w:rsidRPr="0008481A">
        <w:t xml:space="preserve"> i fråga om myndighets</w:t>
      </w:r>
      <w:r w:rsidRPr="0008481A">
        <w:softHyphen/>
        <w:t>utövning följande.</w:t>
      </w:r>
    </w:p>
    <w:p w:rsidR="003B3271" w:rsidRPr="0008481A" w:rsidRDefault="003B3271">
      <w:pPr>
        <w:pStyle w:val="Rubrik4"/>
      </w:pPr>
      <w:r w:rsidRPr="0008481A">
        <w:t>Bestämmelser rörande älgjakt</w:t>
      </w:r>
    </w:p>
    <w:p w:rsidR="003B3271" w:rsidRPr="0008481A" w:rsidRDefault="003B3271">
      <w:r w:rsidRPr="0008481A">
        <w:t>Jakt efter älg får enligt 33 § första stycket jaktlagen (1987:259) ske endast efter licens av länsstyrelsen och inom ett område som länsstyrelsen har registrerat, ett s.k. licensområde. Naturvårdsverket får meddela närmare före</w:t>
      </w:r>
      <w:r w:rsidRPr="0008481A">
        <w:softHyphen/>
        <w:t>skrifter om registr</w:t>
      </w:r>
      <w:r w:rsidRPr="0008481A">
        <w:t>e</w:t>
      </w:r>
      <w:r w:rsidRPr="0008481A">
        <w:t>ring av licensområden för älgjakt och licens för jakt efter älg samt länsstyrelsens prövning av dessa ärenden (7 § jak</w:t>
      </w:r>
      <w:r w:rsidRPr="0008481A">
        <w:t>t</w:t>
      </w:r>
      <w:r w:rsidRPr="0008481A">
        <w:t>förord</w:t>
      </w:r>
      <w:r w:rsidRPr="0008481A">
        <w:softHyphen/>
        <w:t xml:space="preserve">ningen, 1987:905).  </w:t>
      </w:r>
    </w:p>
    <w:p w:rsidR="003B3271" w:rsidRPr="0008481A" w:rsidRDefault="003B3271">
      <w:pPr>
        <w:pStyle w:val="Normaltindrag"/>
      </w:pPr>
      <w:r w:rsidRPr="0008481A">
        <w:t>Naturvårdsverket har meddelat sådana föreskrifter i jaktkungörelsen (SNFS 1994:3 NV:58). Ansökan om registrering av licensområde för älgjakt skall av jakträttshavare, eller företrädare för dessa, göras hos länsstyrelsen i det län i vilket området eller större delen av detta är beläget (3 §). I 4 § redo</w:t>
      </w:r>
      <w:r w:rsidRPr="0008481A">
        <w:softHyphen/>
        <w:t>görs för vad ansökan skall innehålla. Licens för älgjakt utfärdas för om</w:t>
      </w:r>
      <w:r w:rsidRPr="0008481A">
        <w:softHyphen/>
        <w:t>rå</w:t>
      </w:r>
      <w:r w:rsidRPr="0008481A">
        <w:softHyphen/>
        <w:t>den som är registrerade enligt 33 § andra stycket jaktlagen, s.k. A-licens</w:t>
      </w:r>
      <w:r w:rsidRPr="0008481A">
        <w:softHyphen/>
        <w:t>områden. En sådan licens kan ges för ett registrerat A-licensområde för sig eller för flera registrerade A-licensområden i samverkan, s.k. samlicens. Ansökan om licens skall ges in till länsstyrelsen i det län där jaktområdet är registrerat och åtföljas av de handlingar som länsstyrelsen beslutar (14 och 15 §§). Läns</w:t>
      </w:r>
      <w:r w:rsidRPr="0008481A">
        <w:softHyphen/>
        <w:t>styrelsen får dock meddela licens även om</w:t>
      </w:r>
      <w:r w:rsidRPr="0008481A">
        <w:t xml:space="preserve"> ansökan inte givits in (16 §). </w:t>
      </w:r>
    </w:p>
    <w:p w:rsidR="003B3271" w:rsidRPr="0008481A" w:rsidRDefault="003B3271">
      <w:pPr>
        <w:pStyle w:val="Normaltindrag"/>
      </w:pPr>
      <w:r w:rsidRPr="0008481A">
        <w:t>Jaktkungörelsen innehåller även av Naturvårdsverket beslutade allmänna råd. Vad gäller administrationen av älgjakten erinrar Naturvårdsverket i dessa råd om vad som sägs i propositionen om Jakt och Viltvård (prop. 1991/92:9) om att länsst</w:t>
      </w:r>
      <w:r w:rsidRPr="0008481A">
        <w:t>y</w:t>
      </w:r>
      <w:r w:rsidRPr="0008481A">
        <w:t>relserna bör förenkla administrationen av älgjakten. I råden anförs vidare att rik</w:t>
      </w:r>
      <w:r w:rsidRPr="0008481A">
        <w:t>s</w:t>
      </w:r>
      <w:r w:rsidRPr="0008481A">
        <w:t>dagens beslut att anta propositionen bl.a. innebär att jägare och markägare i for</w:t>
      </w:r>
      <w:r w:rsidRPr="0008481A">
        <w:t>t</w:t>
      </w:r>
      <w:r w:rsidRPr="0008481A">
        <w:t>sättningen tillsammans skall ta ett större ansvar för älgstammens skötsel. Det a</w:t>
      </w:r>
      <w:r w:rsidRPr="0008481A">
        <w:t>n</w:t>
      </w:r>
      <w:r w:rsidRPr="0008481A">
        <w:t>kommer därför på jägarna att ta ansvar för och initiativ till att samråd årligen sker mellan markägare och jägare om älgstammens skötsel. Samrådet, som bl.a. bör avse hur stor älgavskjutningen bör vara, skall lämpligen redovisas till länsstyre</w:t>
      </w:r>
      <w:r w:rsidRPr="0008481A">
        <w:t>l</w:t>
      </w:r>
      <w:r w:rsidRPr="0008481A">
        <w:t>sen liksom uppgift om</w:t>
      </w:r>
      <w:r w:rsidRPr="0008481A">
        <w:t xml:space="preserve"> förslag till den avskjutning som överensko</w:t>
      </w:r>
      <w:r w:rsidRPr="0008481A">
        <w:t>m</w:t>
      </w:r>
      <w:r w:rsidRPr="0008481A">
        <w:t xml:space="preserve">mits. </w:t>
      </w:r>
    </w:p>
    <w:p w:rsidR="003B3271" w:rsidRPr="0008481A" w:rsidRDefault="003B3271">
      <w:pPr>
        <w:pStyle w:val="Normaltindrag"/>
      </w:pPr>
      <w:r w:rsidRPr="0008481A">
        <w:t>I samband med att ansökan om registrering av ett licensområde ges in till länsst</w:t>
      </w:r>
      <w:r w:rsidRPr="0008481A">
        <w:t>y</w:t>
      </w:r>
      <w:r w:rsidRPr="0008481A">
        <w:t>relsen skall avgift betalas. Länsstyrelsens kostnader för administra</w:t>
      </w:r>
      <w:r w:rsidRPr="0008481A">
        <w:softHyphen/>
        <w:t>tionen av älgjakten skall enligt Naturvårdsverkets allmänna råd i första hand täckas av influtna avgifter och i andra hand av medel ur länets viltskadefond. Viltskadefonderna har numera ersatts av länsvisa älgvård</w:t>
      </w:r>
      <w:r w:rsidRPr="0008481A">
        <w:t>s</w:t>
      </w:r>
      <w:r w:rsidRPr="0008481A">
        <w:softHyphen/>
        <w:t xml:space="preserve">fonder. </w:t>
      </w:r>
    </w:p>
    <w:p w:rsidR="003B3271" w:rsidRPr="0008481A" w:rsidRDefault="003B3271">
      <w:pPr>
        <w:pStyle w:val="Normaltindrag"/>
      </w:pPr>
      <w:r w:rsidRPr="0008481A">
        <w:t>I 52 d § jaktförordningen stadgas att länsstyrelsen enligt föreskrifter som medd</w:t>
      </w:r>
      <w:r w:rsidRPr="0008481A">
        <w:t>e</w:t>
      </w:r>
      <w:r w:rsidRPr="0008481A">
        <w:t>las av Naturvårdsverket får lämna bidrag till kostnaderna för admi</w:t>
      </w:r>
      <w:r w:rsidRPr="0008481A">
        <w:softHyphen/>
        <w:t>nistra</w:t>
      </w:r>
      <w:r w:rsidRPr="0008481A">
        <w:softHyphen/>
        <w:t>tionen av jakten, däribland registerhållning som avser områden som registrerats för jakt e</w:t>
      </w:r>
      <w:r w:rsidRPr="0008481A">
        <w:t>f</w:t>
      </w:r>
      <w:r w:rsidRPr="0008481A">
        <w:t>ter älg, tilldelning av djur inom områden som registre</w:t>
      </w:r>
      <w:r w:rsidRPr="0008481A">
        <w:softHyphen/>
        <w:t>rats för jakt efter älg samt viltvård, information och utbildning i jaktliga frågor. Naturvårdsverket har beträffande bestämmelsens tillämpning före</w:t>
      </w:r>
      <w:r w:rsidRPr="0008481A">
        <w:softHyphen/>
        <w:t>skrivit i sina allmänna råd att länsstyre</w:t>
      </w:r>
      <w:r w:rsidRPr="0008481A">
        <w:t>l</w:t>
      </w:r>
      <w:r w:rsidRPr="0008481A">
        <w:t>sen, under förutsättning att kost</w:t>
      </w:r>
      <w:r w:rsidRPr="0008481A">
        <w:softHyphen/>
        <w:t>naderna för länets älgadministration kan minskas, får medge bidrag</w:t>
      </w:r>
      <w:r w:rsidRPr="0008481A">
        <w:t xml:space="preserve"> ur älgvårdsfonden till jaktvårdssammanslutning för länet för arbete med älg</w:t>
      </w:r>
      <w:r w:rsidRPr="0008481A">
        <w:softHyphen/>
        <w:t>administra</w:t>
      </w:r>
      <w:r w:rsidRPr="0008481A">
        <w:softHyphen/>
        <w:t>tionen. Jaktvårdssammanslutningens arbete måste dock vara avtalat med länsstyrelsen innan arbetet utförs och får inte innefatta myndi</w:t>
      </w:r>
      <w:r w:rsidRPr="0008481A">
        <w:t>g</w:t>
      </w:r>
      <w:r w:rsidRPr="0008481A">
        <w:softHyphen/>
        <w:t>hetsutö</w:t>
      </w:r>
      <w:r w:rsidRPr="0008481A">
        <w:t>v</w:t>
      </w:r>
      <w:r w:rsidRPr="0008481A">
        <w:t>ning.</w:t>
      </w:r>
    </w:p>
    <w:p w:rsidR="003B3271" w:rsidRPr="0008481A" w:rsidRDefault="003B3271">
      <w:pPr>
        <w:pStyle w:val="Rubrik4"/>
      </w:pPr>
      <w:r w:rsidRPr="0008481A">
        <w:t xml:space="preserve"> Myndighetsutövning</w:t>
      </w:r>
    </w:p>
    <w:p w:rsidR="003B3271" w:rsidRPr="0008481A" w:rsidRDefault="003B3271">
      <w:r w:rsidRPr="0008481A">
        <w:rPr>
          <w:i/>
        </w:rPr>
        <w:t xml:space="preserve"> </w:t>
      </w:r>
      <w:r w:rsidRPr="0008481A">
        <w:t>Enligt 11 kap. 6 § regeringsformen kan förvaltningsuppgift överlämnas till pr</w:t>
      </w:r>
      <w:r w:rsidRPr="0008481A">
        <w:t>i</w:t>
      </w:r>
      <w:r w:rsidRPr="0008481A">
        <w:t>vaträttsliga organ, såsom t.ex. bolag och föreningar. Innefattar uppgiften myndi</w:t>
      </w:r>
      <w:r w:rsidRPr="0008481A">
        <w:t>g</w:t>
      </w:r>
      <w:r w:rsidRPr="0008481A">
        <w:t xml:space="preserve">hetsutövning skall detta ske med stöd av lag. </w:t>
      </w:r>
    </w:p>
    <w:p w:rsidR="003B3271" w:rsidRPr="0008481A" w:rsidRDefault="003B3271">
      <w:pPr>
        <w:pStyle w:val="Normaltindrag"/>
      </w:pPr>
      <w:r w:rsidRPr="0008481A">
        <w:t>Beträffande innebörden av begreppet myndighetsutövning hänvisas i förarbetena till regeringsformen till de uttalanden som gjordes i denna fråga vid tillkomsten av den äldre förvaltningslagen (prop. 1973:90 s. 397 och prop. 1975/76:209 s. 165). Vissa av bestämmelserna i den äldre förvalt</w:t>
      </w:r>
      <w:r w:rsidRPr="0008481A">
        <w:softHyphen/>
        <w:t>nings</w:t>
      </w:r>
      <w:r w:rsidRPr="0008481A">
        <w:softHyphen/>
        <w:t>lagen (1971:290) skulle enligt 3 § tillämpas när det var fråga om utövning av befogenhet att för enskild bestä</w:t>
      </w:r>
      <w:r w:rsidRPr="0008481A">
        <w:t>m</w:t>
      </w:r>
      <w:r w:rsidRPr="0008481A">
        <w:t>ma om förmån, rättighet, skyldighet, disciplinpåföljd, avskedande eller annat jä</w:t>
      </w:r>
      <w:r w:rsidRPr="0008481A">
        <w:t>m</w:t>
      </w:r>
      <w:r w:rsidRPr="0008481A">
        <w:t>förbart förhållande. Av för</w:t>
      </w:r>
      <w:r w:rsidRPr="0008481A">
        <w:softHyphen/>
        <w:t>arbetena framgår att härmed avsågs myndighetsutö</w:t>
      </w:r>
      <w:r w:rsidRPr="0008481A">
        <w:t>v</w:t>
      </w:r>
      <w:r w:rsidRPr="0008481A">
        <w:t>ning. Begreppet togs dock inte in i lagtexten. Med uttrycket ”annat jämförbart förhållande” avsågs att klargöra att även ärenden som inte kunde sägas röra fö</w:t>
      </w:r>
      <w:r w:rsidRPr="0008481A">
        <w:t>r</w:t>
      </w:r>
      <w:r w:rsidRPr="0008481A">
        <w:t>mån, rättighet, skyldighet, disciplinär bestraffning eller avskedande kan hänf</w:t>
      </w:r>
      <w:r w:rsidRPr="0008481A">
        <w:t>öras till myn</w:t>
      </w:r>
      <w:r w:rsidRPr="0008481A">
        <w:softHyphen/>
        <w:t>dig</w:t>
      </w:r>
      <w:r w:rsidRPr="0008481A">
        <w:softHyphen/>
        <w:t>hetsutövningens område, om det i något hänseende gäller ett offen</w:t>
      </w:r>
      <w:r w:rsidRPr="0008481A">
        <w:t>t</w:t>
      </w:r>
      <w:r w:rsidRPr="0008481A">
        <w:softHyphen/>
        <w:t>lig</w:t>
      </w:r>
      <w:r w:rsidRPr="0008481A">
        <w:softHyphen/>
        <w:t xml:space="preserve">rättsligt ingrepp i enskilds ställning. (Se prop. 1971:30 s. 330 f.). </w:t>
      </w:r>
    </w:p>
    <w:p w:rsidR="003B3271" w:rsidRPr="0008481A" w:rsidRDefault="003B3271">
      <w:pPr>
        <w:pStyle w:val="Normaltindrag"/>
      </w:pPr>
      <w:r w:rsidRPr="0008481A">
        <w:t>Vad gäller förvaltningslagens syfte anförde departementschefen att lagens b</w:t>
      </w:r>
      <w:r w:rsidRPr="0008481A">
        <w:t>e</w:t>
      </w:r>
      <w:r w:rsidRPr="0008481A">
        <w:t>stämmelser rörande handläggningen av ärenden – varmed avses hela den procedur som börjar med ett ärendes anhängiggörande och slutar med dess avgörande – skulle bidra till att ge ett så korrekt underlag som möjligt för förvaltningsbesluten och därmed till att besluten blev riktiga i sak. Det största behovet av regler för handläggningen förelåg vid förvaltnings</w:t>
      </w:r>
      <w:r w:rsidRPr="0008481A">
        <w:softHyphen/>
        <w:t>verk</w:t>
      </w:r>
      <w:r w:rsidRPr="0008481A">
        <w:softHyphen/>
        <w:t>samhet som innefattar myndighet</w:t>
      </w:r>
      <w:r w:rsidRPr="0008481A">
        <w:t>s</w:t>
      </w:r>
      <w:r w:rsidRPr="0008481A">
        <w:t>utövning. Det var också sådan verksamhet som man främst hade haft i tankarna när man efterlyst en uniformering o</w:t>
      </w:r>
      <w:r w:rsidRPr="0008481A">
        <w:t>ch komplettering av förfarandereglerna för förvaltningsärenden. De regler som infördes rörande aktinsyn, kommunicering och beslutsmotivering m.m. ansågs fylla centrala rättsskyddsfunktioner (prop. 1971:30 s. 285).</w:t>
      </w:r>
    </w:p>
    <w:p w:rsidR="003B3271" w:rsidRPr="0008481A" w:rsidRDefault="003B3271">
      <w:pPr>
        <w:pStyle w:val="Normaltindrag"/>
      </w:pPr>
      <w:r w:rsidRPr="0008481A">
        <w:t>I den nu gällande förvaltningslagen (1986:223) förekommer begreppet myndi</w:t>
      </w:r>
      <w:r w:rsidRPr="0008481A">
        <w:t>g</w:t>
      </w:r>
      <w:r w:rsidRPr="0008481A">
        <w:t>hetsutövning i flera bestämmelser. Lagens användning av begreppet syftar inte till någon saklig ändring i förhållande till motsvarande avgräns</w:t>
      </w:r>
      <w:r w:rsidRPr="0008481A">
        <w:softHyphen/>
        <w:t>ning i den äldre fö</w:t>
      </w:r>
      <w:r w:rsidRPr="0008481A">
        <w:t>r</w:t>
      </w:r>
      <w:r w:rsidRPr="0008481A">
        <w:t xml:space="preserve">valtningslagen. </w:t>
      </w:r>
    </w:p>
    <w:p w:rsidR="003B3271" w:rsidRPr="0008481A" w:rsidRDefault="003B3271">
      <w:pPr>
        <w:pStyle w:val="Normaltindrag"/>
      </w:pPr>
      <w:r w:rsidRPr="0008481A">
        <w:t>Utmärkande för all myndighetsutövning är att det rör sig om beslut eller andra åtgärder som ytterst är ett uttryck för samhällets maktbefogenheter i förhållande till medborgarna. Myndighetsutövning kan förekomma både i form av missgy</w:t>
      </w:r>
      <w:r w:rsidRPr="0008481A">
        <w:t>n</w:t>
      </w:r>
      <w:r w:rsidRPr="0008481A">
        <w:t>nande beslut, t.ex. förbud, föreläggande eller liknande, och gynnande beslut, t.ex. tillstånd till att bedriva viss verksamhet. Karakteris</w:t>
      </w:r>
      <w:r w:rsidRPr="0008481A">
        <w:softHyphen/>
        <w:t>tiskt är emellertid, att den e</w:t>
      </w:r>
      <w:r w:rsidRPr="0008481A">
        <w:t>n</w:t>
      </w:r>
      <w:r w:rsidRPr="0008481A">
        <w:t>skilde befinner sig i ett slags beroende</w:t>
      </w:r>
      <w:r w:rsidRPr="0008481A">
        <w:softHyphen/>
        <w:t>för</w:t>
      </w:r>
      <w:r w:rsidRPr="0008481A">
        <w:softHyphen/>
        <w:t>hållande. Är det fråga om ett missgy</w:t>
      </w:r>
      <w:r w:rsidRPr="0008481A">
        <w:t>n</w:t>
      </w:r>
      <w:r w:rsidRPr="0008481A">
        <w:t>nande beslut måste den enskilde rätta sig efter beslutet, eftersom denne annars riskerar att tvångsmedel av något slag används mot honom. Rör det sig om ett gynnande beslut, kommer beroendeförhållandet till uttryck på så sätt att den e</w:t>
      </w:r>
      <w:r w:rsidRPr="0008481A">
        <w:t>n</w:t>
      </w:r>
      <w:r w:rsidRPr="0008481A">
        <w:t xml:space="preserve">skilde måste vända sig </w:t>
      </w:r>
      <w:r w:rsidRPr="0008481A">
        <w:t>till myndigheten för att få t.ex. en viss förmån och att myndighetens tillämpning av de föreskrifter som gäller på området får avgörande betydelse för honom. För att myndighetsutövning skall föreligga krävs även att myndigheten grundar sin befogenhet att bestämma om ett visst förhållande på en författning eller något annat beslut av regeringen eller riksdagen.</w:t>
      </w:r>
    </w:p>
    <w:p w:rsidR="003B3271" w:rsidRPr="0008481A" w:rsidRDefault="003B3271">
      <w:pPr>
        <w:pStyle w:val="Normaltindrag"/>
      </w:pPr>
      <w:r w:rsidRPr="0008481A">
        <w:t>En ytterligare avgränsning av begreppet myndighetsutövning görs på så sätt att endast ärenden som mynnar ut i bindande beslut omfattas av be</w:t>
      </w:r>
      <w:r w:rsidRPr="0008481A">
        <w:softHyphen/>
        <w:t>greppet.  Ärenden som uteslutande avser lämnande av råd, upplysningar eller andra oförbindande besked innefattar således inte myndighetsutövning. (Jfr Hellners-Malmqvist, Nya förvaltningslagen med ko</w:t>
      </w:r>
      <w:r w:rsidRPr="0008481A">
        <w:t>m</w:t>
      </w:r>
      <w:r w:rsidRPr="0008481A">
        <w:t>mentarer, 5 u. 1999, s. 134 f.)</w:t>
      </w:r>
    </w:p>
    <w:p w:rsidR="003B3271" w:rsidRPr="0008481A" w:rsidRDefault="003B3271">
      <w:pPr>
        <w:pStyle w:val="Normaltindrag"/>
      </w:pPr>
      <w:r w:rsidRPr="0008481A">
        <w:t>Något uttalande i frågan huruvida handläggningen av ett ärende som i sig inn</w:t>
      </w:r>
      <w:r w:rsidRPr="0008481A">
        <w:t>e</w:t>
      </w:r>
      <w:r w:rsidRPr="0008481A">
        <w:t>fattar myndighetsutövning utgör myndighetsutövning i alla sina led har inte gjorts vare sig i förarbeten eller i doktrin. Att så inte nödvändigtvis behöver vara fallet skulle möjligen kunna utläsas av 11 kap. 6 § rege</w:t>
      </w:r>
      <w:r w:rsidRPr="0008481A">
        <w:softHyphen/>
        <w:t>rings</w:t>
      </w:r>
      <w:r w:rsidRPr="0008481A">
        <w:softHyphen/>
        <w:t>formen eftersom det där talas om dels förvaltningsuppgifter dels för</w:t>
      </w:r>
      <w:r w:rsidRPr="0008481A">
        <w:softHyphen/>
        <w:t>valt</w:t>
      </w:r>
      <w:r w:rsidRPr="0008481A">
        <w:softHyphen/>
        <w:t>ningsuppgifter som innefattar myndighetsutövning. Sannolikt syftar denna uppdelning i första hand på olika slag av ärenden och inte på delar av beredningen kontra beslut i samma ärende, men någon vägledning ges in</w:t>
      </w:r>
      <w:r w:rsidRPr="0008481A">
        <w:t>te av lagstiftaren. Om det nu skulle vara så att det finns en möjlighet till upp</w:t>
      </w:r>
      <w:r w:rsidRPr="0008481A">
        <w:softHyphen/>
        <w:t>delning av handläggningen kan man fråga sig om t.ex. kontroll av att inlämna</w:t>
      </w:r>
      <w:r w:rsidRPr="0008481A">
        <w:softHyphen/>
        <w:t>de handlingar är kompletta eller införskaffande av ytterligare han</w:t>
      </w:r>
      <w:r w:rsidRPr="0008481A">
        <w:t>d</w:t>
      </w:r>
      <w:r w:rsidRPr="0008481A">
        <w:softHyphen/>
        <w:t>lingar eller sammanställning av materialet i ett ärende är hänförligt till myndi</w:t>
      </w:r>
      <w:r w:rsidRPr="0008481A">
        <w:t>g</w:t>
      </w:r>
      <w:r w:rsidRPr="0008481A">
        <w:softHyphen/>
        <w:t xml:space="preserve">hetsutövning. Svaret blir uppenbarligen ja om åtgärden kombineras med någon form av föreläggande för den enskilde att komma in med en handling eller eljest vidta en åtgärd. Mera tveksamt skulle det kunna </w:t>
      </w:r>
      <w:r w:rsidRPr="0008481A">
        <w:t>vara om den begärda insatsen bygger på ett helt frivilligt åtagande från den enskildes sida. Skulle emellertid passivitet från den enskilde i en sådan situation kunna påverka utgången av äre</w:t>
      </w:r>
      <w:r w:rsidRPr="0008481A">
        <w:t>n</w:t>
      </w:r>
      <w:r w:rsidRPr="0008481A">
        <w:t>det, talar det mesta för att det är fråga om myndig</w:t>
      </w:r>
      <w:r w:rsidRPr="0008481A">
        <w:softHyphen/>
        <w:t xml:space="preserve">hetsutövning. Ansvaret för att utredningen leder fram till ett användbart beslutsunderlag – som förutsätter en sammanställning av materialet – utgör också som jag ser det myndighetsutövning liksom tillämpning av bl.a. bestämmelserna i 16 och 17 §§ förvaltningslagen om </w:t>
      </w:r>
      <w:r w:rsidRPr="0008481A">
        <w:t>sökandes rätt att få del av up</w:t>
      </w:r>
      <w:r w:rsidRPr="0008481A">
        <w:t>p</w:t>
      </w:r>
      <w:r w:rsidRPr="0008481A">
        <w:t>gifter.</w:t>
      </w:r>
    </w:p>
    <w:p w:rsidR="003B3271" w:rsidRPr="0008481A" w:rsidRDefault="003B3271">
      <w:pPr>
        <w:pStyle w:val="Normaltindrag"/>
      </w:pPr>
      <w:r w:rsidRPr="0008481A">
        <w:t>Vägledande för tolkningen blir närmast om åtgärden kan ses som ett offen</w:t>
      </w:r>
      <w:r w:rsidRPr="0008481A">
        <w:t>t</w:t>
      </w:r>
      <w:r w:rsidRPr="0008481A">
        <w:t>ligrättsligt ingrepp i den enskildes personliga förhållanden. Någon säker grän</w:t>
      </w:r>
      <w:r w:rsidRPr="0008481A">
        <w:t>s</w:t>
      </w:r>
      <w:r w:rsidRPr="0008481A">
        <w:t>dragning mellan förvaltningsåtgärder som innefattar respektive inte innefattar myndighetsutövning går dessvärre inte att göra. En bedömning får många gånger göras i det enskilda fallet.</w:t>
      </w:r>
    </w:p>
    <w:p w:rsidR="003B3271" w:rsidRPr="0008481A" w:rsidRDefault="003B3271">
      <w:pPr>
        <w:pStyle w:val="Rubrik4"/>
      </w:pPr>
      <w:r w:rsidRPr="0008481A">
        <w:t>Innefattar de förvaltningsuppgifter som överlåtits till jaktvårdsförbundet myndi</w:t>
      </w:r>
      <w:r w:rsidRPr="0008481A">
        <w:t>g</w:t>
      </w:r>
      <w:r w:rsidRPr="0008481A">
        <w:t>hetsutö</w:t>
      </w:r>
      <w:r w:rsidRPr="0008481A">
        <w:t>v</w:t>
      </w:r>
      <w:r w:rsidRPr="0008481A">
        <w:t>ning?</w:t>
      </w:r>
    </w:p>
    <w:p w:rsidR="003B3271" w:rsidRPr="0008481A" w:rsidRDefault="003B3271">
      <w:r w:rsidRPr="0008481A">
        <w:t>Länsstyrelsens ärenden rörande registrering av älgjaktsområden mynnar ut i bi</w:t>
      </w:r>
      <w:r w:rsidRPr="0008481A">
        <w:t>n</w:t>
      </w:r>
      <w:r w:rsidRPr="0008481A">
        <w:t>dande beslut och innefattar således myndighetsutövning. Det saknas stöd i lag för att överlämna dessa ärenden till ett privaträttsligt organ som Värmlands läns jak</w:t>
      </w:r>
      <w:r w:rsidRPr="0008481A">
        <w:t>t</w:t>
      </w:r>
      <w:r w:rsidRPr="0008481A">
        <w:t>vårdsförbund. Länsstyrelsen i Värmlands län har uppgivit att länsstyrelsen – som har utredningsansvaret och alltid fattar det slutliga beslutet i varje ärende – inte har överlåtit några uppgifter som innefattar myndighetsutövning till jaktvårdsfö</w:t>
      </w:r>
      <w:r w:rsidRPr="0008481A">
        <w:t>r</w:t>
      </w:r>
      <w:r w:rsidRPr="0008481A">
        <w:t>bundet, utan förbundet är endast behjälpligt vid länsstyrelsens myndighetsutö</w:t>
      </w:r>
      <w:r w:rsidRPr="0008481A">
        <w:t>v</w:t>
      </w:r>
      <w:r w:rsidRPr="0008481A">
        <w:t xml:space="preserve">ning genom att få den </w:t>
      </w:r>
      <w:r w:rsidRPr="0008481A">
        <w:t xml:space="preserve">sökande på frivillig väg att komplettera sitt ärende så att förbundet kan yttra sig. </w:t>
      </w:r>
    </w:p>
    <w:p w:rsidR="003B3271" w:rsidRPr="0008481A" w:rsidRDefault="003B3271">
      <w:pPr>
        <w:pStyle w:val="Normaltindrag"/>
      </w:pPr>
      <w:r w:rsidRPr="0008481A">
        <w:t xml:space="preserve">Det råder – främst på grund av att någon skriftlig överenskommelse inte finns – viss osäkerhet om vilka uppgifter som länsstyrelsen har överlåtit till Värmlands läns jaktvårdsförbund samt hur dessa närmare skall genomföras. Jag återkommer senare till vilka följder avsaknaden av en skriftlig överenskommelse kan få. Vad som framkommit beträffande handläggningen av de aktuella ärendena är bl.a. följande. </w:t>
      </w:r>
    </w:p>
    <w:p w:rsidR="003B3271" w:rsidRPr="0008481A" w:rsidRDefault="003B3271">
      <w:pPr>
        <w:pStyle w:val="Normaltindrag"/>
      </w:pPr>
      <w:r w:rsidRPr="0008481A">
        <w:t>Ärenden rörande registrering av licensområde för älgjakt anhängiggörs hos län</w:t>
      </w:r>
      <w:r w:rsidRPr="0008481A">
        <w:t>s</w:t>
      </w:r>
      <w:r w:rsidRPr="0008481A">
        <w:t>styrelsen genom en ansökan. Enligt länsstyrelsen diarieförs denna inte i huvuddi</w:t>
      </w:r>
      <w:r w:rsidRPr="0008481A">
        <w:t>a</w:t>
      </w:r>
      <w:r w:rsidRPr="0008481A">
        <w:t>riet, utan endast i ett hjälpregister. Vad detta närmare innebär framgår inte. Efter det att ansökningsavgiften betalats in översänds ansökan till jaktvårdsförbundet för yttrande.</w:t>
      </w:r>
    </w:p>
    <w:p w:rsidR="003B3271" w:rsidRPr="0008481A" w:rsidRDefault="003B3271">
      <w:pPr>
        <w:pStyle w:val="Normaltindrag"/>
      </w:pPr>
      <w:r w:rsidRPr="0008481A">
        <w:t>Jaktvårdsförbundet kontrollerar fastighetsuppgifterna i ansökan mot den öve</w:t>
      </w:r>
      <w:r w:rsidRPr="0008481A">
        <w:t>r</w:t>
      </w:r>
      <w:r w:rsidRPr="0008481A">
        <w:t>siktskarta över licensområden som förbundet för och tar ställning till om man skall ta in ytterligare utredning. Beträffande de flesta ansökningarna tar förbundet kontakt med dels företrädare för det aktuella licensområdet, dels företrädare för angrä</w:t>
      </w:r>
      <w:r w:rsidRPr="0008481A">
        <w:t>n</w:t>
      </w:r>
      <w:r w:rsidRPr="0008481A">
        <w:t>sande områden, för att inhämta de ytterligare uppgifter som förbundet anser nö</w:t>
      </w:r>
      <w:r w:rsidRPr="0008481A">
        <w:t>d</w:t>
      </w:r>
      <w:r w:rsidRPr="0008481A">
        <w:t>vändiga för att kunna yttra sig över ansökan. Detta kan ske skriftligen eller per telefon. När ärendet är så pass utrett som förbundet finner nödvändigt översänds handlingarna i äre</w:t>
      </w:r>
      <w:r w:rsidRPr="0008481A">
        <w:t>ndet till länsstyrel</w:t>
      </w:r>
      <w:r w:rsidRPr="0008481A">
        <w:softHyphen/>
        <w:t>sen tillsammans med förbundets yttrande. Det framgår inte vilka åtgärder som jaktvårdsförbundet vidtar om sökanden inte i</w:t>
      </w:r>
      <w:r w:rsidRPr="0008481A">
        <w:t>n</w:t>
      </w:r>
      <w:r w:rsidRPr="0008481A">
        <w:t>kommer med de komplet</w:t>
      </w:r>
      <w:r w:rsidRPr="0008481A">
        <w:softHyphen/>
        <w:t>te</w:t>
      </w:r>
      <w:r w:rsidRPr="0008481A">
        <w:softHyphen/>
        <w:t>ringar som förbundet begärt. Någon form av tvångsm</w:t>
      </w:r>
      <w:r w:rsidRPr="0008481A">
        <w:t>e</w:t>
      </w:r>
      <w:r w:rsidRPr="0008481A">
        <w:t>del finns inte tillgängligt. Jag utgår därför ifrån att den åtgärd som förbundet kan komma att vidta, för det fall sökanden inte inkommer med de uppgifter som fö</w:t>
      </w:r>
      <w:r w:rsidRPr="0008481A">
        <w:t>r</w:t>
      </w:r>
      <w:r w:rsidRPr="0008481A">
        <w:t xml:space="preserve">bundet begärt, är att förbundet i sitt yttrande till länsstyrelsen antingen avstyrker ansökan på grund av det bristande underlaget </w:t>
      </w:r>
      <w:r w:rsidRPr="0008481A">
        <w:t>eller uppger att man inte har til</w:t>
      </w:r>
      <w:r w:rsidRPr="0008481A">
        <w:t>l</w:t>
      </w:r>
      <w:r w:rsidRPr="0008481A">
        <w:t>räckligt underlag för att kunna ta stäl</w:t>
      </w:r>
      <w:r w:rsidRPr="0008481A">
        <w:t>l</w:t>
      </w:r>
      <w:r w:rsidRPr="0008481A">
        <w:t>ning till ansökan.</w:t>
      </w:r>
    </w:p>
    <w:p w:rsidR="003B3271" w:rsidRPr="0008481A" w:rsidRDefault="003B3271">
      <w:pPr>
        <w:pStyle w:val="Normaltindrag"/>
      </w:pPr>
      <w:r w:rsidRPr="0008481A">
        <w:t>Om förbundet helt eller delvis avstyrker ansökan, eller om ärendet tillförts up</w:t>
      </w:r>
      <w:r w:rsidRPr="0008481A">
        <w:t>p</w:t>
      </w:r>
      <w:r w:rsidRPr="0008481A">
        <w:t>gifter som kan utgöra grund för avslag eller medföra avvikelse från ansökan, kommunicerar länsstyrelsen ansökan med sökanden innan läns</w:t>
      </w:r>
      <w:r w:rsidRPr="0008481A">
        <w:softHyphen/>
        <w:t>styrelsen fattar b</w:t>
      </w:r>
      <w:r w:rsidRPr="0008481A">
        <w:t>e</w:t>
      </w:r>
      <w:r w:rsidRPr="0008481A">
        <w:t>slut i ärendet.</w:t>
      </w:r>
    </w:p>
    <w:p w:rsidR="003B3271" w:rsidRPr="0008481A" w:rsidRDefault="003B3271">
      <w:pPr>
        <w:pStyle w:val="Normaltindrag"/>
      </w:pPr>
      <w:r w:rsidRPr="0008481A">
        <w:t>Som länsstyrelsen framhåller i yttrandena till JO är situationen när det gäller ä</w:t>
      </w:r>
      <w:r w:rsidRPr="0008481A">
        <w:t>l</w:t>
      </w:r>
      <w:r w:rsidRPr="0008481A">
        <w:t>gjaktsadministrationen något speciell så till vida som statsmakterna i olika sa</w:t>
      </w:r>
      <w:r w:rsidRPr="0008481A">
        <w:t>m</w:t>
      </w:r>
      <w:r w:rsidRPr="0008481A">
        <w:t>manhang förutsatt att jägarorganisationerna kan medverka i denna. Ersättning har också kunnat utgå enligt jaktkungörelsen i form av bidrag ur älgvårdsfonden till jaktvårdssammanslutning för länet för arbete med älgadministrationen. Någon närmare reglering av hur detta samarbete skall utformas har inte angivits utan statsmakterna har överlåtit till varje läns</w:t>
      </w:r>
      <w:r w:rsidRPr="0008481A">
        <w:softHyphen/>
        <w:t>sty</w:t>
      </w:r>
      <w:r w:rsidRPr="0008481A">
        <w:softHyphen/>
        <w:t>rel</w:t>
      </w:r>
      <w:r w:rsidRPr="0008481A">
        <w:softHyphen/>
        <w:t>se att själv besluta om sin adminis</w:t>
      </w:r>
      <w:r w:rsidRPr="0008481A">
        <w:t>t</w:t>
      </w:r>
      <w:r w:rsidRPr="0008481A">
        <w:t>ration.</w:t>
      </w:r>
    </w:p>
    <w:p w:rsidR="003B3271" w:rsidRPr="0008481A" w:rsidRDefault="003B3271">
      <w:pPr>
        <w:pStyle w:val="Normaltindrag"/>
      </w:pPr>
      <w:r w:rsidRPr="0008481A">
        <w:t>Det kan således ko</w:t>
      </w:r>
      <w:r w:rsidRPr="0008481A">
        <w:t>nstateras att det står länstyrelsen fritt att utnyttja jägarorganis</w:t>
      </w:r>
      <w:r w:rsidRPr="0008481A">
        <w:t>a</w:t>
      </w:r>
      <w:r w:rsidRPr="0008481A">
        <w:t>tionerna eller underavdelningar av dessa för medverkan i den administrativa handläggningen av frågor hänförliga till älgjakten. Det ligger dock i sakens natur att samarbetet inte kan läggas upp på sådant sätt att länsstyrelsen överlåter up</w:t>
      </w:r>
      <w:r w:rsidRPr="0008481A">
        <w:t>p</w:t>
      </w:r>
      <w:r w:rsidRPr="0008481A">
        <w:t>gifter som utgör myndighetsutövning till någon annan. Det undertryks också från statsmakternas sida att någon organisation inte får fatta beslut om registrering av licensområden eller om tilldelning av ja</w:t>
      </w:r>
      <w:r w:rsidRPr="0008481A">
        <w:t>kt. Sådana beslut måste fattas av länsst</w:t>
      </w:r>
      <w:r w:rsidRPr="0008481A">
        <w:t>y</w:t>
      </w:r>
      <w:r w:rsidRPr="0008481A">
        <w:t>relsen (prop. 1991/92:9 s. 33). I det sammanhanget sägs det däremot inte något om handläggningen i övrigt av sådana ärenden.</w:t>
      </w:r>
    </w:p>
    <w:p w:rsidR="003B3271" w:rsidRPr="0008481A" w:rsidRDefault="003B3271">
      <w:pPr>
        <w:pStyle w:val="Normaltindrag"/>
      </w:pPr>
      <w:r w:rsidRPr="0008481A">
        <w:t>I förevarande fall är det utrett att länsstyrelsen fattar det slutliga beslutet i varje enskilt ärende. Länsstyrelsen svarar också för kommunikation av tillfört material och för föreläggande om komplettering eller annan åtgärd. Länsstyrelsen har oc</w:t>
      </w:r>
      <w:r w:rsidRPr="0008481A">
        <w:t>k</w:t>
      </w:r>
      <w:r w:rsidRPr="0008481A">
        <w:t>så ansvaret för att utredningen slutförs så att ett användbart beslutsunderlag för</w:t>
      </w:r>
      <w:r w:rsidRPr="0008481A">
        <w:t>e</w:t>
      </w:r>
      <w:r w:rsidRPr="0008481A">
        <w:t>ligger innan slutlig ställning tas i ärendet. Samtliga dessa delar av handläggningen av ärendet får som anförts ovan anses utgöra myndighetsutövning.</w:t>
      </w:r>
    </w:p>
    <w:p w:rsidR="003B3271" w:rsidRPr="0008481A" w:rsidRDefault="003B3271">
      <w:pPr>
        <w:pStyle w:val="Normaltindrag"/>
      </w:pPr>
      <w:r w:rsidRPr="0008481A">
        <w:t>Vad länsstyrelsen enligt egen uppgift överlåtit till jaktvårdsförbundet är att gran</w:t>
      </w:r>
      <w:r w:rsidRPr="0008481A">
        <w:t>s</w:t>
      </w:r>
      <w:r w:rsidRPr="0008481A">
        <w:t>ka om ett ingivet material är komplett som underlag för förbundets yttrande i ärendet och om så ej är fallet en rätt för förbundet att ombesörja komplettering genom införskaffande av skriftliga eller muntliga uppgifter. Jag utgår från att de sistnämnda dokumenteras i ärendet. Om ytterligare kompletteringar behövs vid den fortsatta handläggningen av ärendet ombe</w:t>
      </w:r>
      <w:r w:rsidRPr="0008481A">
        <w:softHyphen/>
        <w:t>sörjer – om jag uppfattat länsstyre</w:t>
      </w:r>
      <w:r w:rsidRPr="0008481A">
        <w:t>l</w:t>
      </w:r>
      <w:r w:rsidRPr="0008481A">
        <w:t>sens redogörelse rätt – länsstyrelsen själv denna sak.</w:t>
      </w:r>
    </w:p>
    <w:p w:rsidR="003B3271" w:rsidRPr="0008481A" w:rsidRDefault="003B3271">
      <w:pPr>
        <w:pStyle w:val="Normaltindrag"/>
      </w:pPr>
      <w:r w:rsidRPr="0008481A">
        <w:t>Jag måste för min del uttrycka tveksamhet inför länsstyr</w:t>
      </w:r>
      <w:r w:rsidRPr="0008481A">
        <w:t>elsens arrange</w:t>
      </w:r>
      <w:r w:rsidRPr="0008481A">
        <w:softHyphen/>
        <w:t>mang. Om det skulle förhålla sig så att jaktvårdsförbundet insats endast utgör ett led i att möjliggöra förbundets yttrande över den gjorda ansökan torde uppdraget till fö</w:t>
      </w:r>
      <w:r w:rsidRPr="0008481A">
        <w:t>r</w:t>
      </w:r>
      <w:r w:rsidRPr="0008481A">
        <w:t>bundet sannolikt kunna godtas. Det kan inte vara alldeles ovanligt att ett organ som skall fungera som remissinstans genom egen försorg breddar underlaget för sitt yttrande. Något annorlunda förhåller det sig om syftet med förbundets insats är att ersätta den granskning av det ingivna materialet och den komplettering av det</w:t>
      </w:r>
      <w:r w:rsidRPr="0008481A">
        <w:t>ta som länsstyrelsen eljest skulle ha gjort för att få underlag för sitt beslut. S</w:t>
      </w:r>
      <w:r w:rsidRPr="0008481A">
        <w:t>å</w:t>
      </w:r>
      <w:r w:rsidRPr="0008481A">
        <w:t>dana åtgärder får anses ingå i myndighetsövning och kan inte överlåtas till fö</w:t>
      </w:r>
      <w:r w:rsidRPr="0008481A">
        <w:t>r</w:t>
      </w:r>
      <w:r w:rsidRPr="0008481A">
        <w:t>bundet.</w:t>
      </w:r>
    </w:p>
    <w:p w:rsidR="003B3271" w:rsidRPr="0008481A" w:rsidRDefault="003B3271">
      <w:pPr>
        <w:pStyle w:val="Normaltindrag"/>
      </w:pPr>
      <w:r w:rsidRPr="0008481A">
        <w:t>I brist på säkra besked om avsikten med länsstyrelsens uppdrag till jaktvård</w:t>
      </w:r>
      <w:r w:rsidRPr="0008481A">
        <w:t>s</w:t>
      </w:r>
      <w:r w:rsidRPr="0008481A">
        <w:t>förbundet och om det exakta innehållet i uppdraget kan jag inte med säkerhet b</w:t>
      </w:r>
      <w:r w:rsidRPr="0008481A">
        <w:t>e</w:t>
      </w:r>
      <w:r w:rsidRPr="0008481A">
        <w:t>döma om länsstyrelsen överskridit sina befogenheter att utan uttryckligt stöd av lag ge jaktvårdsförbundet det berörda uppdraget. Jag finner det dock klokt att länsstyrelsen numera själv ombesörjer all admi</w:t>
      </w:r>
      <w:r w:rsidRPr="0008481A">
        <w:softHyphen/>
        <w:t>nistration av dessa registrerings</w:t>
      </w:r>
      <w:r w:rsidRPr="0008481A">
        <w:t>ä</w:t>
      </w:r>
      <w:r w:rsidRPr="0008481A">
        <w:t>renden.</w:t>
      </w:r>
    </w:p>
    <w:p w:rsidR="003B3271" w:rsidRPr="0008481A" w:rsidRDefault="003B3271">
      <w:pPr>
        <w:pStyle w:val="Normaltindrag"/>
      </w:pPr>
      <w:r w:rsidRPr="0008481A">
        <w:t>Vad gäller handläggningen av ärenden rörande utfärdande av licenser för älgjakt har länsstyrelsen lämnat en närmare redogörelse för handlägg</w:t>
      </w:r>
      <w:r w:rsidRPr="0008481A">
        <w:softHyphen/>
        <w:t>nings</w:t>
      </w:r>
      <w:r w:rsidRPr="0008481A">
        <w:softHyphen/>
        <w:t>sättet i en bil</w:t>
      </w:r>
      <w:r w:rsidRPr="0008481A">
        <w:t>a</w:t>
      </w:r>
      <w:r w:rsidRPr="0008481A">
        <w:t>ga till sitt första remissyttrande. De uppgifter som jaktvårds</w:t>
      </w:r>
      <w:r w:rsidRPr="0008481A">
        <w:softHyphen/>
        <w:t>förbundet utför, t.ex. att ta ansvar för och initiativ till samråd mellan jägare och markägare samt lämna förslag till avskjutning, har stöd i gällande författningsbestämmelser. Jag finner därför inte anledning att ytterligare u</w:t>
      </w:r>
      <w:r w:rsidRPr="0008481A">
        <w:t>t</w:t>
      </w:r>
      <w:r w:rsidRPr="0008481A">
        <w:t>reda denna fråga.</w:t>
      </w:r>
    </w:p>
    <w:p w:rsidR="003B3271" w:rsidRPr="0008481A" w:rsidRDefault="003B3271">
      <w:pPr>
        <w:pStyle w:val="Rubrik4"/>
      </w:pPr>
      <w:r w:rsidRPr="0008481A">
        <w:t>Formerna för överlämnande av förvaltningsuppgift till privaträttsligt organ</w:t>
      </w:r>
    </w:p>
    <w:p w:rsidR="003B3271" w:rsidRPr="0008481A" w:rsidRDefault="003B3271">
      <w:r w:rsidRPr="0008481A">
        <w:t>Ett överlämnande av förvaltningsuppgifter sker genom att myndigheten och det privata rättssubjektet träffar ett avtal om vilka uppgifter som det senare skall utf</w:t>
      </w:r>
      <w:r w:rsidRPr="0008481A">
        <w:t>ö</w:t>
      </w:r>
      <w:r w:rsidRPr="0008481A">
        <w:t>ra. Ett sådant överlämnande får konsekvenser på flera områden, bl.a. rörande möjligheterna att ta del av allmänna handlingar, sekretessen, tillämpliga han</w:t>
      </w:r>
      <w:r w:rsidRPr="0008481A">
        <w:t>d</w:t>
      </w:r>
      <w:r w:rsidRPr="0008481A">
        <w:t>läggningsregler, tjänstefelsansvaret, och tillsynen över verksamheten (se SOU 1994:139 s. 281 f.). Det är därför angeläget att frågan hur den enskildes rättssäke</w:t>
      </w:r>
      <w:r w:rsidRPr="0008481A">
        <w:t>r</w:t>
      </w:r>
      <w:r w:rsidRPr="0008481A">
        <w:t>het bäst kan tryggas efter överlämnandet upp</w:t>
      </w:r>
      <w:r w:rsidRPr="0008481A">
        <w:softHyphen/>
        <w:t>märksammas i avtalet. Som exempel kan nämnas att myndigheten – vad gäller möjligheten att ta del av allmänna han</w:t>
      </w:r>
      <w:r w:rsidRPr="0008481A">
        <w:t>d</w:t>
      </w:r>
      <w:r w:rsidRPr="0008481A">
        <w:t>lingar –  kan utforma avtalet med de</w:t>
      </w:r>
      <w:r w:rsidRPr="0008481A">
        <w:t xml:space="preserve">t privata rättssubjektet så att den enskilde får insyn i verksamheten.  </w:t>
      </w:r>
    </w:p>
    <w:p w:rsidR="003B3271" w:rsidRPr="0008481A" w:rsidRDefault="003B3271">
      <w:pPr>
        <w:pStyle w:val="Normaltindrag"/>
      </w:pPr>
      <w:r w:rsidRPr="0008481A">
        <w:t>Med hänsyn bl.a. till följderna för den enskilde och dennes rättssäkerhet bör avt</w:t>
      </w:r>
      <w:r w:rsidRPr="0008481A">
        <w:t>a</w:t>
      </w:r>
      <w:r w:rsidRPr="0008481A">
        <w:t>let vara skriftligt. Ett sådant förfarande leder i regel till en mer genomarbetad överenskommelse och ökar den enskildes möjlighet till insyn. Dessutom säkras bevis om vad som avtalats till undvikande av framtida oklarheter rörande omfat</w:t>
      </w:r>
      <w:r w:rsidRPr="0008481A">
        <w:t>t</w:t>
      </w:r>
      <w:r w:rsidRPr="0008481A">
        <w:t>ningen av de uppgifter som överlåtits och om vilken ersättning som skall utgå för fullgöra</w:t>
      </w:r>
      <w:r w:rsidRPr="0008481A">
        <w:t>n</w:t>
      </w:r>
      <w:r w:rsidRPr="0008481A">
        <w:t xml:space="preserve">det av dessa.   </w:t>
      </w:r>
    </w:p>
    <w:p w:rsidR="003B3271" w:rsidRPr="0008481A" w:rsidRDefault="003B3271">
      <w:pPr>
        <w:pStyle w:val="Normaltindrag"/>
      </w:pPr>
      <w:r w:rsidRPr="0008481A">
        <w:t>Länsstyrelsen i Värmlands län har uppgivit att man inte kunnat påträffa något skriftligt avtal rörande de uppgifter som överlåtits till Värmlands läns jaktvård</w:t>
      </w:r>
      <w:r w:rsidRPr="0008481A">
        <w:t>s</w:t>
      </w:r>
      <w:r w:rsidRPr="0008481A">
        <w:t>förbund och att myndigheten utgår ifrån att något sådant aldrig upprättats. Inte heller finns några handlingar som utvisar de överväganden och ställningstaganden till att inleda samarbetet som myndigheten gjort. De närmare detaljerna om vad som avtalats är numera okända eftersom de per</w:t>
      </w:r>
      <w:r w:rsidRPr="0008481A">
        <w:softHyphen/>
        <w:t>so</w:t>
      </w:r>
      <w:r w:rsidRPr="0008481A">
        <w:softHyphen/>
        <w:t>ner hos länsstyrelsen som var ansvariga för uppgörelsen med jakt</w:t>
      </w:r>
      <w:r w:rsidRPr="0008481A">
        <w:softHyphen/>
        <w:t>vårds</w:t>
      </w:r>
      <w:r w:rsidRPr="0008481A">
        <w:softHyphen/>
        <w:t>förbundet inte längre är i tjänst. Detta leder självfallet till oklarhet om vilka uppgifter som överlåtits samt om länsstyre</w:t>
      </w:r>
      <w:r w:rsidRPr="0008481A">
        <w:t>l</w:t>
      </w:r>
      <w:r w:rsidRPr="0008481A">
        <w:t xml:space="preserve">sen lämnat några närmare </w:t>
      </w:r>
      <w:r w:rsidRPr="0008481A">
        <w:t>instruk</w:t>
      </w:r>
      <w:r w:rsidRPr="0008481A">
        <w:softHyphen/>
        <w:t>tioner om hur uppgifterna skall utföras m.m. Avsaknaden av en klar och tydlig överenskommelse framstår som än mer a</w:t>
      </w:r>
      <w:r w:rsidRPr="0008481A">
        <w:t>n</w:t>
      </w:r>
      <w:r w:rsidRPr="0008481A">
        <w:t>märkningsvärd mot bak</w:t>
      </w:r>
      <w:r w:rsidRPr="0008481A">
        <w:softHyphen/>
        <w:t>grund av vad som föreskrivs i Naturvårdsverkets allmänna råd om att en av förutsättningarna för att få medge bidrag ur älgvårdsfonden till jaktvårds</w:t>
      </w:r>
      <w:r w:rsidRPr="0008481A">
        <w:softHyphen/>
        <w:t>förbund för administration av älgjakten är att arbetet är avtalat innan det utförs. Länsstyrelsen har inte närmare kommenterat denna omständighet. Jag vill i samband härmed påpeka att även om samarbetet under lång tid</w:t>
      </w:r>
      <w:r w:rsidRPr="0008481A">
        <w:t xml:space="preserve"> inte reglerats i något skriftligt avtal har länsstyrelsen, som ansvarar för hand</w:t>
      </w:r>
      <w:r w:rsidRPr="0008481A">
        <w:softHyphen/>
        <w:t>läggningen av de aktuella ärendena, haft möjlighet att när som helst formalisera det vidare sama</w:t>
      </w:r>
      <w:r w:rsidRPr="0008481A">
        <w:t>r</w:t>
      </w:r>
      <w:r w:rsidRPr="0008481A">
        <w:t xml:space="preserve">betet i ett skriftligt avtal eller liknande. Detta hade under alla förhållanden bort ske när länsstyrelsen fr.o.m. budgetåret 1991/92 började betala ersättning till förbundet för det utförda arbetet. </w:t>
      </w:r>
    </w:p>
    <w:p w:rsidR="003B3271" w:rsidRPr="0008481A" w:rsidRDefault="003B3271">
      <w:pPr>
        <w:pStyle w:val="Normaltindrag"/>
      </w:pPr>
      <w:r w:rsidRPr="0008481A">
        <w:t>Mot bakgrund av det anförda är jag kritisk till att länsstyrelsen inte genom ett skriftligt avtal eller på annat sätt har nedtecknat</w:t>
      </w:r>
      <w:r w:rsidRPr="0008481A">
        <w:t xml:space="preserve"> de närmare villkoren och omfat</w:t>
      </w:r>
      <w:r w:rsidRPr="0008481A">
        <w:t>t</w:t>
      </w:r>
      <w:r w:rsidRPr="0008481A">
        <w:t>ningen av de uppgifter som överlåtits. Jag utgår från att länsstyrelsen, i den mån myndigheten även framdeles kommer att engagera privaträttsliga organ, på ett tillfredsställande sätt dokumenterar vilka uppgifter som överlåts, eventuella för</w:t>
      </w:r>
      <w:r w:rsidRPr="0008481A">
        <w:t>e</w:t>
      </w:r>
      <w:r w:rsidRPr="0008481A">
        <w:t>skrifter för hur dessa skall utföras, vilken ersättning som skall utgå för fullgöra</w:t>
      </w:r>
      <w:r w:rsidRPr="0008481A">
        <w:t>n</w:t>
      </w:r>
      <w:r w:rsidRPr="0008481A">
        <w:t>det av dessa uppgi</w:t>
      </w:r>
      <w:r w:rsidRPr="0008481A">
        <w:t>f</w:t>
      </w:r>
      <w:r w:rsidRPr="0008481A">
        <w:t xml:space="preserve">ter m.m. </w:t>
      </w:r>
    </w:p>
    <w:p w:rsidR="003B3271" w:rsidRPr="0008481A" w:rsidRDefault="003B3271">
      <w:pPr>
        <w:pStyle w:val="Normaltindrag"/>
      </w:pPr>
      <w:r w:rsidRPr="0008481A">
        <w:t>Vad gäller de uppgifter som överlåtits och regleringen av dessa – i den mån det framkommit – finner jag anledning att något u</w:t>
      </w:r>
      <w:r w:rsidRPr="0008481A">
        <w:t>ppehålla mig vid frågan om utlä</w:t>
      </w:r>
      <w:r w:rsidRPr="0008481A">
        <w:t>m</w:t>
      </w:r>
      <w:r w:rsidRPr="0008481A">
        <w:t>nandet av allmänna handlingar i ärenden rörande registrering av licenso</w:t>
      </w:r>
      <w:r w:rsidRPr="0008481A">
        <w:t>m</w:t>
      </w:r>
      <w:r w:rsidRPr="0008481A">
        <w:t>råden.</w:t>
      </w:r>
    </w:p>
    <w:p w:rsidR="003B3271" w:rsidRPr="0008481A" w:rsidRDefault="003B3271">
      <w:pPr>
        <w:pStyle w:val="Normaltindrag"/>
      </w:pPr>
      <w:r w:rsidRPr="0008481A">
        <w:t>I 2 kap. 12 § första stycket tryckfrihetsförordningen föreskrivs att en allmän handling, som får lämnas ut, på begäran genast eller så snart det är möjligt skall tillhandahållas på stället och utan avgift. Enligt 3 § första stycket samma kapitel är en handling allmän om den förvaras hos en myn</w:t>
      </w:r>
      <w:r w:rsidRPr="0008481A">
        <w:softHyphen/>
        <w:t>dig</w:t>
      </w:r>
      <w:r w:rsidRPr="0008481A">
        <w:softHyphen/>
        <w:t>het eller enligt 6 eller 7 § är att anse som inkommen till eller upprättad hos myndig</w:t>
      </w:r>
      <w:r w:rsidRPr="0008481A">
        <w:softHyphen/>
        <w:t>heten. Det är inte nödvä</w:t>
      </w:r>
      <w:r w:rsidRPr="0008481A">
        <w:t>n</w:t>
      </w:r>
      <w:r w:rsidRPr="0008481A">
        <w:t>digt att handlingen faktiskt finns i myndighetens lokaler för att den skall anses förvarad hos myndigheten. Om handlingen borde finnas där men för tillfället finns hos någon utanför myn</w:t>
      </w:r>
      <w:r w:rsidRPr="0008481A">
        <w:softHyphen/>
        <w:t>digheten från vilken myndigheten lätt kan kräva in han</w:t>
      </w:r>
      <w:r w:rsidRPr="0008481A">
        <w:t>d</w:t>
      </w:r>
      <w:r w:rsidRPr="0008481A">
        <w:t xml:space="preserve">lingen kan den ändå anses förvarad hos myndigheten (prop. 1975/76:160 s. 122). </w:t>
      </w:r>
    </w:p>
    <w:p w:rsidR="003B3271" w:rsidRPr="0008481A" w:rsidRDefault="003B3271">
      <w:pPr>
        <w:pStyle w:val="Normaltindrag"/>
      </w:pPr>
      <w:r w:rsidRPr="0008481A">
        <w:t>Länsstyrelsen har uppgivit att för det fall någon skulle begära att få ta d</w:t>
      </w:r>
      <w:r w:rsidRPr="0008481A">
        <w:t>el av en handling, som för tillfället finns hos jaktvårdsförbundet för hand</w:t>
      </w:r>
      <w:r w:rsidRPr="0008481A">
        <w:softHyphen/>
        <w:t>läggning, kan någon företrädare för länsstyrelsen antingen hämta handlingen, skjutsa personen till lokalen för att där ta del av den eller hänvisa personen till att själv uppsöka lokalerna, som är belägna ca tre mil från länsstyrelsens lokaler. Jag utgår i sa</w:t>
      </w:r>
      <w:r w:rsidRPr="0008481A">
        <w:t>m</w:t>
      </w:r>
      <w:r w:rsidRPr="0008481A">
        <w:t>band härmed ifrån att jaktvårdsförbundet är införstått med och har accepterat detta förfarande. Ett tillhandahållande av en begärd handling skulle under dessa föru</w:t>
      </w:r>
      <w:r w:rsidRPr="0008481A">
        <w:t>t</w:t>
      </w:r>
      <w:r w:rsidRPr="0008481A">
        <w:t>sättningar k</w:t>
      </w:r>
      <w:r w:rsidRPr="0008481A">
        <w:t>unna ske ganska snabbt. Mot denna bakgrund får handlingarna anses förvarade hos länsstyrelsen även om de faktiskt finns hos jaktvårdsförbu</w:t>
      </w:r>
      <w:r w:rsidRPr="0008481A">
        <w:t>n</w:t>
      </w:r>
      <w:r w:rsidRPr="0008481A">
        <w:t>det. Detta får anses gälla i vart fall för de ansökningar som länsstyrelsen översänt till jaktvårdsförbundet. Huruvida även de kompletteringar som inkommer direkt till förbundet skall anses förvarade hos länsstyrelsen är beroende av vad som uppdr</w:t>
      </w:r>
      <w:r w:rsidRPr="0008481A">
        <w:t>a</w:t>
      </w:r>
      <w:r w:rsidRPr="0008481A">
        <w:t>gits till jakt</w:t>
      </w:r>
      <w:r w:rsidRPr="0008481A">
        <w:softHyphen/>
        <w:t>vårds</w:t>
      </w:r>
      <w:r w:rsidRPr="0008481A">
        <w:softHyphen/>
        <w:t>förbundet (jfr JO 1989/90 s. 415 och JO 1990/91 s. 391). Efte</w:t>
      </w:r>
      <w:r w:rsidRPr="0008481A">
        <w:t>r</w:t>
      </w:r>
      <w:r w:rsidRPr="0008481A">
        <w:t>som innehållet i uppdraget inte kunnat klar</w:t>
      </w:r>
      <w:r w:rsidRPr="0008481A">
        <w:t xml:space="preserve">läggas har jag inte underlag för att ta ställning i denna fråga. </w:t>
      </w:r>
    </w:p>
    <w:p w:rsidR="003B3271" w:rsidRPr="0008481A" w:rsidRDefault="003B3271">
      <w:pPr>
        <w:pStyle w:val="Normaltindrag"/>
      </w:pPr>
      <w:r w:rsidRPr="0008481A">
        <w:t>En begäran om utfående av allmän handling skall prövas av länsstyrelsen. Det hade därför enligt min mening varit lämpligt att länsstyrelsen översänt kopior av ansökningarna till jaktvårdsförbundet och behållit orginalen själv. En framställan om handlingsutlämnande hade då kunna prövas utan någon omgång med inhä</w:t>
      </w:r>
      <w:r w:rsidRPr="0008481A">
        <w:t>m</w:t>
      </w:r>
      <w:r w:rsidRPr="0008481A">
        <w:t>tande av handlingar från förbundet.</w:t>
      </w:r>
    </w:p>
    <w:p w:rsidR="003B3271" w:rsidRPr="0008481A" w:rsidRDefault="003B3271">
      <w:pPr>
        <w:pStyle w:val="Rubrik1"/>
        <w:spacing w:before="0"/>
      </w:pPr>
      <w:r w:rsidRPr="0008481A">
        <w:br w:type="page"/>
        <w:t>Taxering och uppbörd samt folkbokföring</w:t>
      </w:r>
    </w:p>
    <w:p w:rsidR="003B3271" w:rsidRPr="0008481A" w:rsidRDefault="003B3271">
      <w:pPr>
        <w:pStyle w:val="Rubrik2"/>
      </w:pPr>
      <w:r w:rsidRPr="0008481A">
        <w:t>Skat</w:t>
      </w:r>
      <w:r w:rsidRPr="0008481A">
        <w:softHyphen/>
        <w:t>te</w:t>
      </w:r>
      <w:r w:rsidRPr="0008481A">
        <w:softHyphen/>
        <w:t>myn</w:t>
      </w:r>
      <w:r w:rsidRPr="0008481A">
        <w:softHyphen/>
        <w:t>dig</w:t>
      </w:r>
      <w:r w:rsidRPr="0008481A">
        <w:softHyphen/>
        <w:t>he</w:t>
      </w:r>
      <w:r w:rsidRPr="0008481A">
        <w:softHyphen/>
        <w:t>t har underlåtit att kommunicera uppgifter vilka senare lagts till grund för beslut i ett folkbokföringsärende</w:t>
      </w:r>
    </w:p>
    <w:p w:rsidR="003B3271" w:rsidRPr="0008481A" w:rsidRDefault="003B3271">
      <w:r w:rsidRPr="0008481A">
        <w:t>(Dnr 4109-1998)</w:t>
      </w:r>
    </w:p>
    <w:p w:rsidR="003B3271" w:rsidRPr="0008481A" w:rsidRDefault="003B3271">
      <w:r w:rsidRPr="0008481A">
        <w:t>J.T. klagade hos JO på dåvarande Skattemyndigheten i Östergötlands län (numera Skattemyndigheten i Linköping), skattekontoret i Mjölby, för dess handläggning av ett folkbokföringsärende. Till stöd för anmälan anförde han bl.a. att skattemyndigheten i sitt beslut i ärendet hade hänvisat till kom</w:t>
      </w:r>
      <w:r w:rsidRPr="0008481A">
        <w:softHyphen/>
        <w:t xml:space="preserve">munen, posten och andra som skulle ha lämnat uppgifter. Han har inte fått veta vilka personer skattemyndigheten har pratat med och har därför inte heller kunnat bemöta dessa uppgifter. </w:t>
      </w:r>
      <w:r w:rsidRPr="0008481A">
        <w:rPr>
          <w:rFonts w:ascii="Garamond" w:hAnsi="Garamond"/>
        </w:rPr>
        <w:t>–</w:t>
      </w:r>
      <w:r w:rsidRPr="0008481A">
        <w:t xml:space="preserve"> J.T. uttryckte missnöje även med andra delar av skattemyndighetens handläggning, vilka dock inte upptas här.</w:t>
      </w:r>
    </w:p>
    <w:p w:rsidR="003B3271" w:rsidRPr="0008481A" w:rsidRDefault="003B3271">
      <w:pPr>
        <w:pStyle w:val="Normaltindrag"/>
      </w:pPr>
      <w:r w:rsidRPr="0008481A">
        <w:t>Ärendet remitterades till skattemyndigheten som anmodades att yttra sig över vad som framförts i anmälan. I remissvaret hänvisade skatte</w:t>
      </w:r>
      <w:r w:rsidRPr="0008481A">
        <w:softHyphen/>
        <w:t>myndig</w:t>
      </w:r>
      <w:r w:rsidRPr="0008481A">
        <w:softHyphen/>
        <w:t xml:space="preserve">heten, länsskattechefen Karl-Erik Nord, till ett yttrande av Anita Karlström, chefen för skattekontoret i Mjölby. I yttrandet anförde Anita Karlström </w:t>
      </w:r>
      <w:r w:rsidRPr="0008481A">
        <w:rPr>
          <w:rFonts w:ascii="Garamond" w:hAnsi="Garamond"/>
        </w:rPr>
        <w:t>–</w:t>
      </w:r>
      <w:r w:rsidRPr="0008481A">
        <w:t xml:space="preserve"> såvitt avser frågan om kommunicering </w:t>
      </w:r>
      <w:r w:rsidRPr="0008481A">
        <w:rPr>
          <w:rFonts w:ascii="Garamond" w:hAnsi="Garamond"/>
        </w:rPr>
        <w:t>–</w:t>
      </w:r>
      <w:r w:rsidRPr="0008481A">
        <w:t xml:space="preserve"> följande.</w:t>
      </w:r>
    </w:p>
    <w:p w:rsidR="003B3271" w:rsidRPr="0008481A" w:rsidRDefault="003B3271">
      <w:pPr>
        <w:pStyle w:val="Citat"/>
      </w:pPr>
      <w:r w:rsidRPr="0008481A">
        <w:t>J.T. framhåller att kontoret i beslutet inte angivit namnet på de personer som varit kontaktade i kontrollen. I beslutet har angivits vilka myndigheter och organisationer som kontaktats vilket är det normala förfarandet i dessa situationer. Om osäkerhet finns kan den person som en utredning avser konta</w:t>
      </w:r>
      <w:r w:rsidRPr="0008481A">
        <w:t>kta kontoret för att få de enskilda personernas namn.</w:t>
      </w:r>
    </w:p>
    <w:p w:rsidR="003B3271" w:rsidRPr="0008481A" w:rsidRDefault="003B3271">
      <w:r w:rsidRPr="0008481A">
        <w:t>Skattemyndigheten uppgav för sin del att den delade Anita Karlströms uppfattning att några felaktigheter inte begåtts.</w:t>
      </w:r>
    </w:p>
    <w:p w:rsidR="003B3271" w:rsidRPr="0008481A" w:rsidRDefault="003B3271">
      <w:pPr>
        <w:pStyle w:val="Normaltindrag"/>
      </w:pPr>
      <w:r w:rsidRPr="0008481A">
        <w:t>J.T. kommenterade skattemyndighetens remissvar.</w:t>
      </w:r>
    </w:p>
    <w:p w:rsidR="003B3271" w:rsidRPr="0008481A" w:rsidRDefault="003B3271">
      <w:pPr>
        <w:rPr>
          <w:i/>
        </w:rPr>
      </w:pPr>
      <w:r w:rsidRPr="0008481A">
        <w:rPr>
          <w:i/>
        </w:rPr>
        <w:t xml:space="preserve">JO Pennlöv </w:t>
      </w:r>
      <w:r w:rsidRPr="0008481A">
        <w:t>fattade</w:t>
      </w:r>
      <w:r w:rsidRPr="0008481A">
        <w:rPr>
          <w:i/>
        </w:rPr>
        <w:t xml:space="preserve"> </w:t>
      </w:r>
      <w:r w:rsidRPr="0008481A">
        <w:t>beslut i ärendet den 26 november 1999. Efter att i beslutet inledningsvis ha behandlat vissa av de begränsningar som gäller för JO:s tillsyn anförde han följande såvitt avser frågan om skattemyndigheten borde ha kommunicerat de uppgifter som inhämtats.</w:t>
      </w:r>
    </w:p>
    <w:p w:rsidR="003B3271" w:rsidRPr="0008481A" w:rsidRDefault="003B3271">
      <w:pPr>
        <w:pStyle w:val="Normaltindrag"/>
      </w:pPr>
      <w:r w:rsidRPr="0008481A">
        <w:t>Enligt 34 § första stycket folkbokföringslagen (1991:481) beslutar skatte</w:t>
      </w:r>
      <w:r w:rsidRPr="0008481A">
        <w:softHyphen/>
        <w:t>myndigheten i ärenden enligt lagen efter anmälan eller ansökan eller annars när det finns skäl till det. I förarbetena till bestämmelsen sägs följande (prop. 1990/91:153 s. 139).</w:t>
      </w:r>
    </w:p>
    <w:p w:rsidR="003B3271" w:rsidRPr="0008481A" w:rsidRDefault="003B3271">
      <w:pPr>
        <w:pStyle w:val="Citat"/>
      </w:pPr>
      <w:r w:rsidRPr="0008481A">
        <w:t>Av paragrafens första stycke följer att skattemyndigheten självmant kan ta upp en persons folkbokföring till prövning. Ofta torde detta ske sedan någon annan myndighet upplyst skattemyndigheten exempelvis om att en person använder en annan adress än den som förekommer inom folkbokföringen. Självfallet skall sedan prövningen ske me</w:t>
      </w:r>
      <w:r w:rsidRPr="0008481A">
        <w:t>d iakttagande av förvaltningslagens bestämmelser om bl.a. parters rätt att få del av uppgifter.</w:t>
      </w:r>
    </w:p>
    <w:p w:rsidR="003B3271" w:rsidRPr="0008481A" w:rsidRDefault="003B3271">
      <w:r w:rsidRPr="0008481A">
        <w:t>En av de bestämmelser i förvaltningslagen (1986:223) som reglerar parts rätt att få del av uppgifter är 17 §. I paragrafens första respektive andra stycke föreskrivs följande, såvitt nu är av intresse:</w:t>
      </w:r>
    </w:p>
    <w:p w:rsidR="003B3271" w:rsidRPr="0008481A" w:rsidRDefault="003B3271">
      <w:pPr>
        <w:pStyle w:val="Citat"/>
      </w:pPr>
      <w:r w:rsidRPr="0008481A">
        <w:t>Ett ärende får inte avgöras utan att den som är sökande, klagande eller annan part har underrättats om en uppgift som har tillförts ärendet genom någon annan än honom själv och han har fått tillfälle att yttra sig över den, om ärendet avser myndighetsutövning mot någon enskild. Myndigheten får dock avgöra ärendet utan att så har skett</w:t>
      </w:r>
    </w:p>
    <w:p w:rsidR="003B3271" w:rsidRPr="0008481A" w:rsidRDefault="003B3271">
      <w:pPr>
        <w:pStyle w:val="Citat"/>
      </w:pPr>
      <w:r w:rsidRPr="0008481A">
        <w:t>1. om avgörandet inte går part emot, om uppgiften saknar betydelse eller om åtgärderna av någon annan anledning är uppenbart obehövliga, – – –</w:t>
      </w:r>
    </w:p>
    <w:p w:rsidR="003B3271" w:rsidRPr="0008481A" w:rsidRDefault="003B3271">
      <w:r w:rsidRPr="0008481A">
        <w:t>Av en i skattemyndighetens akt föreliggande tjänsteanteckning framgår att skattemyndigheten som ett led i utredningen av ärendet varit i kontakt med bl.a. posten, kommunen, arbetsförmedlingen och ägaren till den fastighet till vilken J.T. anmält flyttning. Av handlingarna framgår vidare att skatte</w:t>
      </w:r>
      <w:r w:rsidRPr="0008481A">
        <w:softHyphen/>
        <w:t>myndigheten genom en kommuniceringsskrivelse den 21 september 1998 underrättat J.T. om att myndigheten övervägde att folkbokföra honom på annan adress än den han anmält flyttning till. I kommuniceringsskrivelsen har flera av de uppgifter som inhämtats i ärendet utelämnats. Uppgifterna i fråga är av den karaktären att de typiskt sett måste anses ha betydelse vid en bedömning av ärendet. Av skattemyndighetens beslut den 2 oktober 1998 framgår också att myndigheten lagt även vissa uppgifter som inte kom</w:t>
      </w:r>
      <w:r w:rsidRPr="0008481A">
        <w:softHyphen/>
        <w:t>munic</w:t>
      </w:r>
      <w:r w:rsidRPr="0008481A">
        <w:t>erats med J.T. till grund för sitt avgörande. Enligt min uppfattning kan skattemyndigheten därmed inte anses ha fullgjort den kommunicerings</w:t>
      </w:r>
      <w:r w:rsidRPr="0008481A">
        <w:softHyphen/>
        <w:t>skyldighet som uppställs i 17 § förvaltningslagen. Myndigheten kan inte undgå kritik för den bristfälliga handläggningen av ärendet i detta avseende.</w:t>
      </w:r>
    </w:p>
    <w:p w:rsidR="003B3271" w:rsidRPr="0008481A" w:rsidRDefault="003B3271">
      <w:pPr>
        <w:pStyle w:val="Rubrik1"/>
        <w:spacing w:before="0"/>
      </w:pPr>
      <w:r w:rsidRPr="0008481A">
        <w:br w:type="page"/>
        <w:t>Socialtjänst</w:t>
      </w:r>
    </w:p>
    <w:p w:rsidR="003B3271" w:rsidRPr="0008481A" w:rsidRDefault="003B3271">
      <w:pPr>
        <w:pStyle w:val="Rubrik2"/>
        <w:spacing w:before="120"/>
        <w:rPr>
          <w:i/>
        </w:rPr>
      </w:pPr>
      <w:r w:rsidRPr="0008481A">
        <w:rPr>
          <w:i/>
        </w:rPr>
        <w:t>Socialtjänstlagen (SoL)</w:t>
      </w:r>
    </w:p>
    <w:p w:rsidR="003B3271" w:rsidRPr="0008481A" w:rsidRDefault="003B3271">
      <w:pPr>
        <w:pStyle w:val="Rubrik2"/>
      </w:pPr>
      <w:r w:rsidRPr="0008481A">
        <w:t>Fråga om socialtjänstens möjlighet att, vid tvist mellan två föräldrar, medverka när den ene föräldern avser att hämta ett gemensamt barn från den andra föräldern</w:t>
      </w:r>
    </w:p>
    <w:p w:rsidR="003B3271" w:rsidRPr="0008481A" w:rsidRDefault="003B3271">
      <w:r w:rsidRPr="0008481A">
        <w:t>(Dnr 3870-1997)</w:t>
      </w:r>
    </w:p>
    <w:p w:rsidR="003B3271" w:rsidRPr="0008481A" w:rsidRDefault="003B3271">
      <w:r w:rsidRPr="0008481A">
        <w:t>I en anmälan till JO klagade I.S. på hur Vuxennämnden i Valdemars</w:t>
      </w:r>
      <w:r w:rsidRPr="0008481A">
        <w:softHyphen/>
        <w:t>viks kommun handlagt ett ärende rörande hans son D., född 1992. Han ifrågasatte om en vårdnadsutredning som nämnden verkställt genomförts på ett opartiskt och korrekt sätt. Han ifrågasatte även en socialsek</w:t>
      </w:r>
      <w:r w:rsidRPr="0008481A">
        <w:softHyphen/>
        <w:t>reterares agerande när I.S:s  f.d. hustru K.S. hämtade D. i hans bostad.</w:t>
      </w:r>
    </w:p>
    <w:p w:rsidR="003B3271" w:rsidRPr="0008481A" w:rsidRDefault="003B3271">
      <w:pPr>
        <w:pStyle w:val="Normaltindrag"/>
      </w:pPr>
      <w:r w:rsidRPr="0008481A">
        <w:t>Anmälan remitterades för utredning och yttrande till Vuxennämnden i Valdemarsviks kommun. I remissen angavs att utredningen särskilt borde belysa so</w:t>
      </w:r>
      <w:r w:rsidRPr="0008481A">
        <w:softHyphen/>
        <w:t xml:space="preserve">cialtjänstens medverkan vid ”hämtningen” av D. den 19 december 1996. </w:t>
      </w:r>
    </w:p>
    <w:p w:rsidR="003B3271" w:rsidRPr="0008481A" w:rsidRDefault="003B3271">
      <w:pPr>
        <w:pStyle w:val="Normaltindrag"/>
      </w:pPr>
      <w:r w:rsidRPr="0008481A">
        <w:t>Vuxen</w:t>
      </w:r>
      <w:r w:rsidRPr="0008481A">
        <w:softHyphen/>
        <w:t xml:space="preserve">nämnden anförde i ett remissvar anfört bl.a. följande.   </w:t>
      </w:r>
    </w:p>
    <w:p w:rsidR="003B3271" w:rsidRPr="0008481A" w:rsidRDefault="003B3271">
      <w:pPr>
        <w:pStyle w:val="Rubrik4"/>
      </w:pPr>
      <w:r w:rsidRPr="0008481A">
        <w:t>Bakgrund i ärendet</w:t>
      </w:r>
    </w:p>
    <w:p w:rsidR="003B3271" w:rsidRPr="0008481A" w:rsidRDefault="003B3271">
      <w:pPr>
        <w:pStyle w:val="Citat"/>
      </w:pPr>
      <w:r w:rsidRPr="0008481A">
        <w:t>De första kontakterna i ärendet inleddes med att K.S. tog kon</w:t>
      </w:r>
      <w:r w:rsidRPr="0008481A">
        <w:softHyphen/>
        <w:t>takt med socialtjänsten under våren 96. Anledningen till kontakten var att K.S. ville diskutera hur hon skulle lösa problem i äktenskapet. Utveck</w:t>
      </w:r>
      <w:r w:rsidRPr="0008481A">
        <w:softHyphen/>
        <w:t>lingen i förhållandet gick sedan mot att makarna bosatte sig på skilda håll, därefter nya försök att bo tillsammans en tid, och förnyad separation.</w:t>
      </w:r>
    </w:p>
    <w:p w:rsidR="003B3271" w:rsidRPr="0008481A" w:rsidRDefault="003B3271">
      <w:pPr>
        <w:pStyle w:val="Citatindrag"/>
      </w:pPr>
      <w:r w:rsidRPr="0008481A">
        <w:t>Nämnden hänvisar till att vidtagen vårdnadsutredning i ärendet, liksom av I.S. bifogade skrivelser, beskriver bakgrunden och händelseutveck</w:t>
      </w:r>
      <w:r w:rsidRPr="0008481A">
        <w:softHyphen/>
        <w:t>lingen i ärendet.</w:t>
      </w:r>
    </w:p>
    <w:p w:rsidR="003B3271" w:rsidRPr="0008481A" w:rsidRDefault="003B3271">
      <w:pPr>
        <w:pStyle w:val="Rubrik4"/>
      </w:pPr>
      <w:r w:rsidRPr="0008481A">
        <w:t>Ang händelserna den 19 december 1996</w:t>
      </w:r>
    </w:p>
    <w:p w:rsidR="003B3271" w:rsidRPr="0008481A" w:rsidRDefault="003B3271">
      <w:pPr>
        <w:pStyle w:val="Citat"/>
      </w:pPr>
      <w:r w:rsidRPr="0008481A">
        <w:t>I december inkom olika anmälningar till socialtjänsten som uttryckte farhå</w:t>
      </w:r>
      <w:r w:rsidRPr="0008481A">
        <w:softHyphen/>
        <w:t>gor om D:s situation när han vistades hos sin fader I.S. Främst var K.S. orolig för att pojken skulle kunna utsättas för fara. K.S:s oro grundades på den konflikt som utspelades mellan henne och I.S. K.S:s uttalanden tydde på att det fanns en risk att D. användes som påtryckningsmedel i makarnas separationsproblem. Den 19 december besökte K.S. socialtjänstens kontor i Valdemarsvik. Hon var vid tillfället mycket orolig över D. Hon ville att socialsekrete</w:t>
      </w:r>
      <w:r w:rsidRPr="0008481A">
        <w:softHyphen/>
        <w:t>rare Karin Cederqvist skulle följa med henne upp till</w:t>
      </w:r>
      <w:r w:rsidRPr="0008481A">
        <w:t xml:space="preserve"> I.S:s lägenhet för att bedöma situationen. K.S. hade också en vilja att försöka få med sig pojken hem. K.S. ville inte att besöket skulle föranmälas per telefon på Karin Cederqvists förslag. Karin Cederqvist har i sin skrivelse till Gunilla Edelberg vid Edelbergs advokatbyrå uppgivit vad som sedan följde vid besöket hos I.S. Karin uppger att hon inte deltog aktivt med att tvinga på D.S. hans kläder utan att det var K.S. som helt och hållet på sitt initiativ klädde D.</w:t>
      </w:r>
    </w:p>
    <w:p w:rsidR="003B3271" w:rsidRPr="0008481A" w:rsidRDefault="003B3271">
      <w:pPr>
        <w:pStyle w:val="Citatindrag"/>
      </w:pPr>
      <w:r w:rsidRPr="0008481A">
        <w:t>Socialtjänstens agerande styrdes av att</w:t>
      </w:r>
      <w:r w:rsidRPr="0008481A">
        <w:t xml:space="preserve"> utredning enl 50 § socialtjänstlagen hade inletts angående de anmälningar som redan förelåg i ärendet. Syftet med besöket var att i första hand skaffa information om hur situationen såg ut, om det förelåg risk för att pojken kunde fara illa i den akuta situationen. I andra hand, att få till stånd att D. kom hem till K.S. om det var en för tillfället praktisk och godtagbar lösning som kunde accepteras av båda parter. Som händelserna sedan utvecklades kom Karin Cederqvist i en situa</w:t>
      </w:r>
      <w:r w:rsidRPr="0008481A">
        <w:softHyphen/>
        <w:t>tion där det från I.S:s s</w:t>
      </w:r>
      <w:r w:rsidRPr="0008481A">
        <w:t xml:space="preserve">ida sett har uppfattats som att socialtjänsten aktivt medverkade till att D. följde med K. </w:t>
      </w:r>
    </w:p>
    <w:p w:rsidR="003B3271" w:rsidRPr="0008481A" w:rsidRDefault="003B3271">
      <w:pPr>
        <w:pStyle w:val="Rubrik4"/>
      </w:pPr>
      <w:r w:rsidRPr="0008481A">
        <w:t>Ang Vårdnadsutredningen</w:t>
      </w:r>
    </w:p>
    <w:p w:rsidR="003B3271" w:rsidRPr="0008481A" w:rsidRDefault="003B3271">
      <w:pPr>
        <w:pStyle w:val="Citat"/>
      </w:pPr>
      <w:r w:rsidRPr="0008481A">
        <w:t>Vuxenförvaltningen i Valdemarsvik lämnade i uppdrag till Norrköpings kommun att utföra vårdnadsutredningen gällande makarna S. Anled</w:t>
      </w:r>
      <w:r w:rsidRPr="0008481A">
        <w:softHyphen/>
        <w:t>ningen till detta var att få till stånd en opartisk, oberoende vårdnadsutred</w:t>
      </w:r>
      <w:r w:rsidRPr="0008481A">
        <w:softHyphen/>
        <w:t>ning.</w:t>
      </w:r>
    </w:p>
    <w:p w:rsidR="003B3271" w:rsidRPr="0008481A" w:rsidRDefault="003B3271">
      <w:r w:rsidRPr="0008481A">
        <w:t>I.S. yttrade sig över vad som anförts i remissvaret.</w:t>
      </w:r>
    </w:p>
    <w:p w:rsidR="003B3271" w:rsidRPr="0008481A" w:rsidRDefault="003B3271">
      <w:r w:rsidRPr="0008481A">
        <w:t xml:space="preserve">JO lånade därefter in vuxenförvaltningens journalanteckningar. Mot bakgrund av vad som framgick av dessa upprättades vid JO:s expedition en promemoria som remitterades till Vuxennämnden i Valdemarsviks kommun för utredning och yttrande. I promemorian anfördes följande. </w:t>
      </w:r>
    </w:p>
    <w:p w:rsidR="003B3271" w:rsidRPr="0008481A" w:rsidRDefault="003B3271">
      <w:pPr>
        <w:pStyle w:val="Citat"/>
      </w:pPr>
      <w:r w:rsidRPr="0008481A">
        <w:t xml:space="preserve">I.S. har i en anmälan till JO klagat på Vuxennämnden i Valdemarsviks kommun. Efter remiss anförde nämnden i ett yttrande den 21 november 1997 bl.a. följande. </w:t>
      </w:r>
    </w:p>
    <w:p w:rsidR="003B3271" w:rsidRPr="0008481A" w:rsidRDefault="003B3271">
      <w:pPr>
        <w:pStyle w:val="Citatindrag"/>
      </w:pPr>
      <w:r w:rsidRPr="0008481A">
        <w:t>”Socialtjänstens agerande styrdes av att utredning enl 50 § social</w:t>
      </w:r>
      <w:r w:rsidRPr="0008481A">
        <w:softHyphen/>
        <w:t>tjänst</w:t>
      </w:r>
      <w:r w:rsidRPr="0008481A">
        <w:softHyphen/>
        <w:t>lagen hade inletts angående de anmälningar som redan förelåg i ärendet.”</w:t>
      </w:r>
    </w:p>
    <w:p w:rsidR="003B3271" w:rsidRPr="0008481A" w:rsidRDefault="003B3271">
      <w:pPr>
        <w:pStyle w:val="Citatindrag"/>
      </w:pPr>
      <w:r w:rsidRPr="0008481A">
        <w:t>I samband med att JO:s handläggare avsåg att föredra ärendet för JO vid årsskiftet 1998/99 inlånades de journalanteckningar som förts i ärendet un</w:t>
      </w:r>
      <w:r w:rsidRPr="0008481A">
        <w:softHyphen/>
        <w:t>der tiden från september månad 1996 fram till januari månad 1997. Av dessa framgick inte att nämnden hade beslutat att inleda eller rent faktiskt utfört någon utredning rörande D:s förhållanden.</w:t>
      </w:r>
    </w:p>
    <w:p w:rsidR="003B3271" w:rsidRPr="0008481A" w:rsidRDefault="003B3271">
      <w:pPr>
        <w:pStyle w:val="Citatindrag"/>
      </w:pPr>
      <w:r w:rsidRPr="0008481A">
        <w:t xml:space="preserve">Mot bakgrund av det anförda bör ett </w:t>
      </w:r>
      <w:r w:rsidRPr="0008481A">
        <w:rPr>
          <w:u w:val="single"/>
        </w:rPr>
        <w:t>förnyat yttrande</w:t>
      </w:r>
      <w:r w:rsidRPr="0008481A">
        <w:t xml:space="preserve"> inhämtas från Vuxen</w:t>
      </w:r>
      <w:r w:rsidRPr="0008481A">
        <w:softHyphen/>
        <w:t>nämnden i Valdemarsviks kommun rörande förvaltningens medverkan vid ”hämtningen” av D. den 19 december 1996.</w:t>
      </w:r>
    </w:p>
    <w:p w:rsidR="003B3271" w:rsidRPr="0008481A" w:rsidRDefault="003B3271">
      <w:pPr>
        <w:pStyle w:val="Citatindrag"/>
      </w:pPr>
      <w:r w:rsidRPr="0008481A">
        <w:t>I en journalanteckning den 19 december 1996 antecknades bl.a. följande.</w:t>
      </w:r>
    </w:p>
    <w:p w:rsidR="003B3271" w:rsidRPr="0008481A" w:rsidRDefault="003B3271">
      <w:pPr>
        <w:pStyle w:val="Citatindrag"/>
      </w:pPr>
      <w:r w:rsidRPr="0008481A">
        <w:t>”K.S. känner stor oro över D. och det gör även grannar, vänner och distriktssköt. i Gryt som ringer hit.”</w:t>
      </w:r>
    </w:p>
    <w:p w:rsidR="003B3271" w:rsidRPr="0008481A" w:rsidRDefault="003B3271">
      <w:pPr>
        <w:pStyle w:val="Citatindrag"/>
      </w:pPr>
      <w:r w:rsidRPr="0008481A">
        <w:t>Nämndens förnyade yttrande bör även omfatta följande frågor.</w:t>
      </w:r>
    </w:p>
    <w:p w:rsidR="003B3271" w:rsidRPr="0008481A" w:rsidRDefault="003B3271">
      <w:pPr>
        <w:pStyle w:val="Citat"/>
        <w:spacing w:before="0"/>
        <w:ind w:left="284" w:hanging="284"/>
      </w:pPr>
      <w:r w:rsidRPr="0008481A">
        <w:t xml:space="preserve">1. </w:t>
      </w:r>
      <w:r w:rsidRPr="0008481A">
        <w:tab/>
        <w:t>Hur har distriktssköterskans uppgifter dokumenterats av socialförvalt</w:t>
      </w:r>
      <w:r w:rsidRPr="0008481A">
        <w:softHyphen/>
        <w:t>ningen?</w:t>
      </w:r>
    </w:p>
    <w:p w:rsidR="003B3271" w:rsidRPr="0008481A" w:rsidRDefault="003B3271">
      <w:pPr>
        <w:pStyle w:val="Citat"/>
        <w:spacing w:before="0"/>
        <w:ind w:left="284" w:hanging="284"/>
      </w:pPr>
      <w:r w:rsidRPr="0008481A">
        <w:t>2.</w:t>
      </w:r>
      <w:r w:rsidRPr="0008481A">
        <w:tab/>
        <w:t>Hade grannar och vänner till familjen kontaktat socialförvaltningen – hur har deras eventuella uppgifter dokumenterats?</w:t>
      </w:r>
    </w:p>
    <w:p w:rsidR="003B3271" w:rsidRPr="0008481A" w:rsidRDefault="003B3271">
      <w:pPr>
        <w:pStyle w:val="Citat"/>
        <w:spacing w:before="0"/>
        <w:ind w:left="284" w:hanging="284"/>
        <w:rPr>
          <w:sz w:val="20"/>
        </w:rPr>
      </w:pPr>
      <w:r w:rsidRPr="0008481A">
        <w:rPr>
          <w:sz w:val="20"/>
        </w:rPr>
        <w:t>3.</w:t>
      </w:r>
      <w:r w:rsidRPr="0008481A">
        <w:rPr>
          <w:sz w:val="20"/>
        </w:rPr>
        <w:tab/>
        <w:t>De uppgifter som åtminstone modern lämnade till socialför</w:t>
      </w:r>
      <w:r w:rsidRPr="0008481A">
        <w:rPr>
          <w:sz w:val="20"/>
        </w:rPr>
        <w:softHyphen/>
        <w:t>valtningen den 19 december 1996 var sådana att det normalt sett finns anledning hysa oro för barnets förhållanden.</w:t>
      </w:r>
    </w:p>
    <w:p w:rsidR="003B3271" w:rsidRPr="0008481A" w:rsidRDefault="003B3271">
      <w:pPr>
        <w:pStyle w:val="Citat"/>
        <w:spacing w:before="0"/>
        <w:ind w:left="284" w:hanging="284"/>
      </w:pPr>
      <w:r w:rsidRPr="0008481A">
        <w:t>3.1 Vilken bedömning gjordes rörande behovet att inleda en utredning med anledning av de uppgifter som framförts till socialnämnden</w:t>
      </w:r>
    </w:p>
    <w:p w:rsidR="003B3271" w:rsidRPr="0008481A" w:rsidRDefault="003B3271">
      <w:pPr>
        <w:pStyle w:val="Citat"/>
        <w:spacing w:before="0"/>
        <w:ind w:left="284" w:hanging="284"/>
      </w:pPr>
      <w:r w:rsidRPr="0008481A">
        <w:t>3.2 Under tiden från den 19 december till den 23 december 1996 förekom flera kontakter mellan modern och socialförvaltningen rörande I.S:s   umgänge med D. under den förestående julhelgen. Vil</w:t>
      </w:r>
      <w:r w:rsidRPr="0008481A">
        <w:softHyphen/>
        <w:t>ken bedömning gjordes rörande lämpligheten av ett umgänge mot bakgrund av de uppgifter som modern lämnade till socialförvaltningen den 19 december 1996.</w:t>
      </w:r>
    </w:p>
    <w:p w:rsidR="003B3271" w:rsidRPr="0008481A" w:rsidRDefault="003B3271">
      <w:r w:rsidRPr="0008481A">
        <w:t xml:space="preserve">I ett yttrande som kom in till JO den 26 april 1999 anförde Vuxennämnden i Valdemarsviks kommun följande. </w:t>
      </w:r>
    </w:p>
    <w:p w:rsidR="003B3271" w:rsidRPr="0008481A" w:rsidRDefault="003B3271">
      <w:pPr>
        <w:pStyle w:val="Citat"/>
      </w:pPr>
      <w:r w:rsidRPr="0008481A">
        <w:t>I en journalanteckning från den 19 december 1996 antecknas bl.a. följande:</w:t>
      </w:r>
    </w:p>
    <w:p w:rsidR="003B3271" w:rsidRPr="0008481A" w:rsidRDefault="003B3271">
      <w:pPr>
        <w:pStyle w:val="Citatindrag"/>
      </w:pPr>
      <w:r w:rsidRPr="0008481A">
        <w:t>”K.S. känner stor oro över D. och det gör även grannar, vänner och distriktssköterskan i Gryt som ringer hit.” JO vill ha svar på frågor rörande dokumentationen av uppgifterna samt information om vilken bedömning som gjordes rörande behovet att in</w:t>
      </w:r>
      <w:r w:rsidRPr="0008481A">
        <w:softHyphen/>
        <w:t>leda en utredning och rörande ett umgänge mellan far och son, mot bak</w:t>
      </w:r>
      <w:r w:rsidRPr="0008481A">
        <w:softHyphen/>
        <w:t xml:space="preserve">grund av moderns uppgifter, från den </w:t>
      </w:r>
      <w:r w:rsidRPr="0008481A">
        <w:br/>
        <w:t>19 december 1996.</w:t>
      </w:r>
    </w:p>
    <w:p w:rsidR="003B3271" w:rsidRPr="0008481A" w:rsidRDefault="003B3271">
      <w:pPr>
        <w:pStyle w:val="Citatindrag"/>
      </w:pPr>
      <w:r w:rsidRPr="0008481A">
        <w:t>Distriktssköterskan ringde hit, efter att D:s mor pratat med henne om sin oro över D. Det samtalet finns inte dokumenterat på annat sätt, än ge</w:t>
      </w:r>
      <w:r w:rsidRPr="0008481A">
        <w:softHyphen/>
        <w:t>nom ett omnämnande i journalanteckningen den 19 december 1996.</w:t>
      </w:r>
    </w:p>
    <w:p w:rsidR="003B3271" w:rsidRPr="0008481A" w:rsidRDefault="003B3271">
      <w:pPr>
        <w:pStyle w:val="Citatindrag"/>
      </w:pPr>
      <w:r w:rsidRPr="0008481A">
        <w:t>En grannkvinna samt en manlig vän ringde likaledes till socialtjänsten, efter samtal med D:s mor, K.S. Hon upplevde en van</w:t>
      </w:r>
      <w:r w:rsidRPr="0008481A">
        <w:softHyphen/>
        <w:t>makt i den aktuella situationen och pratade med dem som fanns nära henne. Vännerna för</w:t>
      </w:r>
      <w:r w:rsidRPr="0008481A">
        <w:softHyphen/>
        <w:t>medlade och förstärkte den oro som K.S. berättade om för dem. Under dessa samtal tillfördes inte några nya uppgifter, det handlade mer om funderingar kring vad man, som medmänniska, kan och bör göra. Dessa uppgifter finns inte heller dokumenterade på annat sätt än genom journal</w:t>
      </w:r>
      <w:r w:rsidRPr="0008481A">
        <w:softHyphen/>
        <w:t>anteckningen den 19 december 1996.</w:t>
      </w:r>
    </w:p>
    <w:p w:rsidR="003B3271" w:rsidRPr="0008481A" w:rsidRDefault="003B3271">
      <w:pPr>
        <w:pStyle w:val="Citatindrag"/>
      </w:pPr>
      <w:r w:rsidRPr="0008481A">
        <w:t>Dokumentation skulle naturligtvis ha varit bättre, och eftersom vi faktiskt misstänkte att D. for illa, så bor</w:t>
      </w:r>
      <w:r w:rsidRPr="0008481A">
        <w:t>de en bedömning lett till, att en utred</w:t>
      </w:r>
      <w:r w:rsidRPr="0008481A">
        <w:softHyphen/>
        <w:t>ning jml § 50 socialtjänstlagen inletts. Vilket dock inte gjordes. När allting hände, under några intensiva dagar i december 1996, blev det mest primära, att få D:s välmående bekräftat. Vid besöket hemma hos I.S., så visade D. inga tecken på att må dåligt. Han var nöjd med att vara hos pappa och ville stanna kvar där, vilket fick till följd att han protesterade kraftigt mot att följa med mamma hem.</w:t>
      </w:r>
    </w:p>
    <w:p w:rsidR="003B3271" w:rsidRPr="0008481A" w:rsidRDefault="003B3271">
      <w:pPr>
        <w:pStyle w:val="Citatindrag"/>
      </w:pPr>
      <w:r w:rsidRPr="0008481A">
        <w:t>Mot bakgrund av moderns uppgifter till socialförvaltningen så antog vi</w:t>
      </w:r>
      <w:r w:rsidRPr="0008481A">
        <w:t xml:space="preserve"> att han skulle stanna hos sin mor över julhelgen, och bedömde detta som lämp</w:t>
      </w:r>
      <w:r w:rsidRPr="0008481A">
        <w:softHyphen/>
        <w:t>ligt. I.S. ville dock gärna ha sonen över jul och modern samtyckte till detta, efter kontakt med en äldre halvbror till D. Denne lovade att ta ansvar för att D. skulle komma hem, den dag som avtalades. Modern hjälpte till med julförberedelserna, och såg inte någon fara med att låta D. fira jul hos fadern. Socialtjänsten fann då heller ingen anledning att försöka förhindra detta.</w:t>
      </w:r>
    </w:p>
    <w:p w:rsidR="003B3271" w:rsidRPr="0008481A" w:rsidRDefault="003B3271">
      <w:r w:rsidRPr="0008481A">
        <w:t>JO tog del av vårdnadsutredningen beträffande D.</w:t>
      </w:r>
    </w:p>
    <w:p w:rsidR="003B3271" w:rsidRPr="0008481A" w:rsidRDefault="003B3271">
      <w:r w:rsidRPr="0008481A">
        <w:rPr>
          <w:i/>
        </w:rPr>
        <w:t>JO André</w:t>
      </w:r>
      <w:r w:rsidRPr="0008481A">
        <w:t xml:space="preserve"> anförde i ett beslut den 30 september 1999 följande. </w:t>
      </w:r>
    </w:p>
    <w:p w:rsidR="003B3271" w:rsidRPr="0008481A" w:rsidRDefault="003B3271">
      <w:r w:rsidRPr="0008481A">
        <w:t xml:space="preserve">K.S. framförde i december 1996 till vuxenförvaltningen bl.a. att hon kände oro för hur D. hade det hos I.S. Enligt en journalanteckning den 19 december 1996 ringde även grannar och vänner till familjen samt en distriktssköterska till vuxenförvaltningen och uttryckte oro för D:s förhållanden. </w:t>
      </w:r>
    </w:p>
    <w:p w:rsidR="003B3271" w:rsidRPr="0008481A" w:rsidRDefault="003B3271">
      <w:pPr>
        <w:pStyle w:val="Normaltindrag"/>
      </w:pPr>
      <w:r w:rsidRPr="0008481A">
        <w:t xml:space="preserve">Förutom distriktssköterskan var det enligt remissvaret </w:t>
      </w:r>
      <w:r w:rsidRPr="0008481A">
        <w:rPr>
          <w:i/>
        </w:rPr>
        <w:t>en</w:t>
      </w:r>
      <w:r w:rsidRPr="0008481A">
        <w:t xml:space="preserve"> granne och </w:t>
      </w:r>
      <w:r w:rsidRPr="0008481A">
        <w:rPr>
          <w:i/>
        </w:rPr>
        <w:t>en</w:t>
      </w:r>
      <w:r w:rsidRPr="0008481A">
        <w:t xml:space="preserve"> vän till K.S. som ringde till vuxenförvaltningen. Journalanteckningen ger närmast intrycket av att det var betydligt fler personer som hade kontaktat förvaltningen. Detta är självfallet inte tillfredsställande. Enligt remissvaret lämnades vid telefonsamtalen inte uppgifter som förvaltningen inte redan kände till. Av utredningen framgår dock att uppgifterna bidrog till att förvaltningen kände oro för D. I journalen har ändå inte antecknats vad som sades vid samtalen. Som nämnden har anfört i</w:t>
      </w:r>
      <w:r w:rsidRPr="0008481A">
        <w:t xml:space="preserve"> sitt yttrande borde uppgifterna ha dokumenterats. Det är förvånande att inte ens distriktssköterskans upp</w:t>
      </w:r>
      <w:r w:rsidRPr="0008481A">
        <w:softHyphen/>
        <w:t>gifter har antecknats. Det ligger i sakens natur att när personal inom hälso- och sjukvården anmäler misstanke om att ett barn far illa bör uppgifterna tas på särskilt allvar. För att upprätthålla en rättssäker handläggning är det därför av vikt att en sådan anmälan dokumenteras. Jag vill för övrigt påpeka att om en person som enligt 71 § socialtjänstlagen (1980:620), SoL, är skyldig att till socialnäm</w:t>
      </w:r>
      <w:r w:rsidRPr="0008481A">
        <w:t xml:space="preserve">nden anmäla misstanke om att ett barn far illa gör en muntlig anmälan, skall nämnden i efterhand se till att den bekräftas skriftligt.  </w:t>
      </w:r>
    </w:p>
    <w:p w:rsidR="003B3271" w:rsidRPr="0008481A" w:rsidRDefault="003B3271">
      <w:pPr>
        <w:pStyle w:val="Normaltindrag"/>
      </w:pPr>
      <w:r w:rsidRPr="0008481A">
        <w:t>De uppgifter som nämnden erhöll i början av december 1996 innehöll farhågor för D:s liv. Handläggaren, Karin Cederqvist, tog uppenbarligen de framförda uppgifterna på allvar och gjorde därför ett hembesök hos I.S. Enligt nämndens remissvar var syftet med besöket i första hand att skaffa information om hur situationen såg ut och om det förelåg någon risk för att D. kunde fa</w:t>
      </w:r>
      <w:r w:rsidRPr="0008481A">
        <w:t xml:space="preserve">ra illa i den akuta situationen. </w:t>
      </w:r>
    </w:p>
    <w:p w:rsidR="003B3271" w:rsidRPr="0008481A" w:rsidRDefault="003B3271">
      <w:pPr>
        <w:pStyle w:val="Normaltindrag"/>
      </w:pPr>
      <w:r w:rsidRPr="0008481A">
        <w:t xml:space="preserve">Av 50 § SoL framgår att en socialnämnd utan dröjsmål skall inleda utredning av vad som genom ansökan eller på annat sätt har kommit till nämndens kännedom och som kan föranleda någon åtgärd av nämnden. Omständigheterna i förevarande fall var sådana att det uppenbarligen förelåg anledning för nämnden att inleda en sådan utredning för att klarlägga om det fanns behov av några insatser från socialtjänstens sida för D. </w:t>
      </w:r>
    </w:p>
    <w:p w:rsidR="003B3271" w:rsidRPr="0008481A" w:rsidRDefault="003B3271">
      <w:pPr>
        <w:pStyle w:val="Normaltindrag"/>
      </w:pPr>
      <w:r w:rsidRPr="0008481A">
        <w:t>Nämnden har i sitt kompletterande yttrande anfört att någon utredning inte inleddes. De åtgärder som vuxenförvaltningen vidtog har dock i praktiken inneburit att någon form av utredning påbörjades. Handläggningen har dock fått för löslig form. Detta har t.ex. medfört att det i efterhand uppenbarligen varit svårt att avgöra om ett ärende öppnades. Eventuellt har handläggaren i och för sig ansett att en utredning skulle inledas men efter hembesöket bedömt att några åtgärder från nämndens sida inte var aktuel</w:t>
      </w:r>
      <w:r w:rsidRPr="0008481A">
        <w:t>la eftersom D. flyttade hem till K.S. Vid förvaltningen finns dock inte några uppgifter om vilka slutsatser handläggaren drog efter hembesöket och samtalen med I.S. eller av de diskussioner som senare fördes med K.S. Denna allvarliga brist i dokumentationen hade med all sannolikhet inte uppstått om handläggaren sett till att ett formellt beslut att inleda en utredning hade fattats. Den mycket informella handläggning som det varit fråga om i detta fall kan inte godtas i ett ärende som rör påståenden om att e</w:t>
      </w:r>
      <w:r w:rsidRPr="0008481A">
        <w:t xml:space="preserve">tt barn far illa.   </w:t>
      </w:r>
    </w:p>
    <w:p w:rsidR="003B3271" w:rsidRPr="0008481A" w:rsidRDefault="003B3271">
      <w:pPr>
        <w:pStyle w:val="Normaltindrag"/>
      </w:pPr>
      <w:r w:rsidRPr="0008481A">
        <w:t>Syftet med besöket var enligt remissvaret inte enbart att skaffa kunskap om D:s förhållanden. Av nämndens yttrande till JO framgår att handläggaren även ville se till att D. kom hem till K.S. om det var en praktisk och godtagbar lösning som kunde accepteras av båda parter.</w:t>
      </w:r>
    </w:p>
    <w:p w:rsidR="003B3271" w:rsidRPr="0008481A" w:rsidRDefault="003B3271">
      <w:pPr>
        <w:pStyle w:val="Normaltindrag"/>
      </w:pPr>
      <w:r w:rsidRPr="0008481A">
        <w:t xml:space="preserve">Man kan utifrån dokumentationen fråga sig om det huvudsakliga syftet med besöket var att handläggaren skulle bilda sig en uppfattning om D:s förhållanden hos I.S. eller om handläggaren skulle hjälpa K.S. att hämta D. I journalanteckningen den 19 december 1996 har antecknats bl.a. följande. </w:t>
      </w:r>
    </w:p>
    <w:p w:rsidR="003B3271" w:rsidRPr="0008481A" w:rsidRDefault="003B3271">
      <w:pPr>
        <w:pStyle w:val="Citat"/>
      </w:pPr>
      <w:r w:rsidRPr="0008481A">
        <w:t xml:space="preserve">K.S. ringer då till mig eftersom hon vill hämta hem D. genast. Jag avböjer dock och vi kommer överens om att vänta till idag. Efter moget övervägande åker vi med blandade känslor till I., sedan jag meddelat polisen våra avsikter. I.S. välkomnar oss och berättar – – – K.S. försöker under tiden klä på D., för att kunna ta med ut och hem. D. vill dock inte – – – Jag försöker fråga D. vad som gör honom så förtvivlad. – – – Vi får med oss D. ut och han blir lugn när vi kommit ut till bilen.  </w:t>
      </w:r>
    </w:p>
    <w:p w:rsidR="003B3271" w:rsidRPr="0008481A" w:rsidRDefault="003B3271">
      <w:r w:rsidRPr="0008481A">
        <w:t>I ett brev den 27 december 1996 till I.S:s ombud, advokaten Gunilla Edberg, har Karin Cederqvist redogjort för händelsen. Hon har där beskrivit hän</w:t>
      </w:r>
      <w:r w:rsidRPr="0008481A">
        <w:softHyphen/>
        <w:t>delse</w:t>
      </w:r>
      <w:r w:rsidRPr="0008481A">
        <w:softHyphen/>
        <w:t>förloppet i huvudsak i enlighet med vad som anges i journal</w:t>
      </w:r>
      <w:r w:rsidRPr="0008481A">
        <w:softHyphen/>
        <w:t>anteck</w:t>
      </w:r>
      <w:r w:rsidRPr="0008481A">
        <w:softHyphen/>
        <w:t xml:space="preserve">ningarna. I brevet sägs vidare bl.a. att socialtjänsten kände oro för D. och: ”Jag valde att skjutsa K.S. till I.S. för att hon skulle kunna hämta hem D.”   </w:t>
      </w:r>
    </w:p>
    <w:p w:rsidR="003B3271" w:rsidRPr="0008481A" w:rsidRDefault="003B3271">
      <w:pPr>
        <w:pStyle w:val="Normaltindrag"/>
      </w:pPr>
      <w:r w:rsidRPr="0008481A">
        <w:t xml:space="preserve">Journalanteckningarna och brevet till I.S:s ombud ger närmast intrycket av att Karin Cederqvist besök hos I.S. huvudsakligen syftade till att se till att D. togs om hand av K.S. Utredningen ger inte heller vid handen att Karin Cederqvist med någon större kraft försökte klarlägga </w:t>
      </w:r>
      <w:r w:rsidRPr="0008481A">
        <w:t>bakgrunden till de uppgifter som lämnats till socialförvaltningen och som borde ha legat till grund för avgörandet om en utredning skulle inledas eller ej. Även om Karin Cederqvist förefaller ha förhållit sig passiv under hembesöket ger utred</w:t>
      </w:r>
      <w:r w:rsidRPr="0008481A">
        <w:softHyphen/>
        <w:t>ningen dock intryck av att hennes närvaro huvudsakligen var inriktad på att stödja K.S:s försök att ta med sig D. I vart fall har situationen utvecklats så att I.S. för sin del måste anses ha haft fog för den uppfattningen att det var socialtjänsten som stod bakom hämt</w:t>
      </w:r>
      <w:r w:rsidRPr="0008481A">
        <w:t>ningen av D.</w:t>
      </w:r>
    </w:p>
    <w:p w:rsidR="003B3271" w:rsidRPr="0008481A" w:rsidRDefault="003B3271">
      <w:pPr>
        <w:pStyle w:val="Normaltindrag"/>
      </w:pPr>
      <w:r w:rsidRPr="0008481A">
        <w:t>Det förelåg uppenbarligen en konflikt mellan K.S. och I.S. rörande hos vem av dem som D. skulle bo. I en sådan konflikt har socialtjänsten flera viktiga uppgifter. Nämnden skall agera utifrån vad som är bäst för barnet. Om föräldrarna har gemensam vårdnad kan nämnden inte utan vidare verka för att en av föräldrarna skall ha hand om barnet. I allmänhet bör för</w:t>
      </w:r>
      <w:r w:rsidRPr="0008481A">
        <w:softHyphen/>
        <w:t>valtningen försöka förmå föräldrarna att komma överens i frågorna rörande barnet. Socialförvaltningens handlande skall ske i sam</w:t>
      </w:r>
      <w:r w:rsidRPr="0008481A">
        <w:softHyphen/>
        <w:t>råd med föräldrarna. Om socialtjänsten handlar på ett sätt som hos någon av för</w:t>
      </w:r>
      <w:r w:rsidRPr="0008481A">
        <w:softHyphen/>
        <w:t>äldrarna är ägnat att ifråga</w:t>
      </w:r>
      <w:r w:rsidRPr="0008481A">
        <w:softHyphen/>
        <w:t>sätta myndighetens opartiskhet riskerar man att kon</w:t>
      </w:r>
      <w:r w:rsidRPr="0008481A">
        <w:softHyphen/>
        <w:t>flikten förvärras och äventyrar därmed möjligheten att få till stånd lösningar som är bäst för barnet. Handläggarna måste därför vinnlägga sig om att arbeta på ett sätt som kan godtas av alla berörda. So</w:t>
      </w:r>
      <w:r w:rsidRPr="0008481A">
        <w:softHyphen/>
        <w:t>cialnämnden kan e</w:t>
      </w:r>
      <w:r w:rsidRPr="0008481A">
        <w:t>ndast framtvinga en lösning rörande barnets boende efter att ha gjort ett ingripande enligt lagen (1990:52) med sär</w:t>
      </w:r>
      <w:r w:rsidRPr="0008481A">
        <w:softHyphen/>
        <w:t>skilda bestämmelser om vård av unga (LVU). I annat fall är det domstol som på talan av en för</w:t>
      </w:r>
      <w:r w:rsidRPr="0008481A">
        <w:softHyphen/>
        <w:t>älder förordnar om vårdnaden om barnet eller om var barnet skall bo i avvaktan på domstolens slutliga prövning av saken. När det gäller verkstäl</w:t>
      </w:r>
      <w:r w:rsidRPr="0008481A">
        <w:softHyphen/>
        <w:t>lighet av domstolens förordnande finns regler i 21 kap. föräldrabalken.</w:t>
      </w:r>
    </w:p>
    <w:p w:rsidR="003B3271" w:rsidRPr="0008481A" w:rsidRDefault="003B3271">
      <w:pPr>
        <w:pStyle w:val="Normaltindrag"/>
      </w:pPr>
      <w:r w:rsidRPr="0008481A">
        <w:t>Jag har på grundval av vad som kommit fram i ärendet förståelse för att vuxenförvaltn</w:t>
      </w:r>
      <w:r w:rsidRPr="0008481A">
        <w:t xml:space="preserve">ingen i det akuta skedet gärna såg att D. flyttade hem till K.S. Ytterst hade i och för sig ett omhändertagande enligt 6 § LVU kunnat aktualiseras. Enligt det kompletterande remissvaret verkade emellertid förhållandena vara normala i hemmet och D. ville stanna kvar hos fadern. Något skäl för att omedelbart omhänderta D. tycks därför inte ha förelegat. </w:t>
      </w:r>
    </w:p>
    <w:p w:rsidR="003B3271" w:rsidRPr="0008481A" w:rsidRDefault="003B3271">
      <w:pPr>
        <w:pStyle w:val="Normaltindrag"/>
      </w:pPr>
      <w:r w:rsidRPr="0008481A">
        <w:t>För att socialtjänsten skall kunna fullgöra sina uppgifter är det av vikt att den arbetar så att alla berörda förstår myndighetens roll, uppgifter och befoge</w:t>
      </w:r>
      <w:r w:rsidRPr="0008481A">
        <w:t xml:space="preserve">nheter. I detta fall kan man på goda grunder anta att förvaltningens handläggning brustit i denna del. </w:t>
      </w:r>
    </w:p>
    <w:p w:rsidR="003B3271" w:rsidRPr="0008481A" w:rsidRDefault="003B3271">
      <w:pPr>
        <w:pStyle w:val="Normaltindrag"/>
      </w:pPr>
      <w:r w:rsidRPr="0008481A">
        <w:t xml:space="preserve">Som jag nyss sagt tycks handläggaren i och för sig ha ansett att det inte förelåg någon fara för D. hos fadern. Det fanns dock motsättningar mellan föräldrarna som kan antas ha påverkat D. negativt. Socialförvaltningen hade i D:s fall inte någon befogenhet att bestämma rörande D. Handläggaren har emellertid utifrån sin bedömning av D:s bästa likväl kunnat verka för att D. åtminstone tillfälligt skulle bo </w:t>
      </w:r>
      <w:r w:rsidRPr="0008481A">
        <w:t xml:space="preserve">hos K.S. Hon borde dock ha arbetat för en sådan lösning på ett annat sätt än genom att medverka till att K.S. hämtade D. mot I.S:s vilja. I första hand borde Karin Cederqvist ha framfört sina synpunkter till I.S. och i samråd med denne och K.S. försökt finna en lösning på frågan om D:s boende den närmaste tiden. Om hon inte lyckats har det ytterst ankommit på domstol att på yrkande av någon av föräldrarna bestämma om bl.a. vårdnaden om D.  </w:t>
      </w:r>
    </w:p>
    <w:p w:rsidR="003B3271" w:rsidRPr="0008481A" w:rsidRDefault="003B3271">
      <w:pPr>
        <w:pStyle w:val="Normaltindrag"/>
      </w:pPr>
      <w:r w:rsidRPr="0008481A">
        <w:t>Jag vill även ifrågasätta lämpligheten av att K.S. var närvarande v</w:t>
      </w:r>
      <w:r w:rsidRPr="0008481A">
        <w:t>id hem</w:t>
      </w:r>
      <w:r w:rsidRPr="0008481A">
        <w:softHyphen/>
        <w:t>besöket. Vid besöket borde handläggaren ha inriktat sig på att klarlägga D:s förhållanden hos fadern. Detta rymmer sådana inslag av myndighets</w:t>
      </w:r>
      <w:r w:rsidRPr="0008481A">
        <w:softHyphen/>
        <w:t>utövning att det inte är lämpligt att låta den andre föräldern närvara. Karin Cederqvist tycks även ha hyst farhågor för hur besöket skulle avlöpa efter</w:t>
      </w:r>
      <w:r w:rsidRPr="0008481A">
        <w:softHyphen/>
        <w:t>som hon kontaktade polis och informerade om att hon och K.S. åkte hem till I.S. Om hon misstänkte att hembesöket skulle få en våldsam utveckling har det än mer talat för att detta företogs utan att K.S. var me</w:t>
      </w:r>
      <w:r w:rsidRPr="0008481A">
        <w:t xml:space="preserve">d. </w:t>
      </w:r>
    </w:p>
    <w:p w:rsidR="003B3271" w:rsidRPr="0008481A" w:rsidRDefault="003B3271">
      <w:pPr>
        <w:pStyle w:val="Normaltindrag"/>
      </w:pPr>
      <w:r w:rsidRPr="0008481A">
        <w:t xml:space="preserve">I.S. har även anfört bl.a. att den vårdnadsutredning som utförts varit partisk.  </w:t>
      </w:r>
    </w:p>
    <w:p w:rsidR="003B3271" w:rsidRPr="0008481A" w:rsidRDefault="003B3271">
      <w:pPr>
        <w:pStyle w:val="Normaltindrag"/>
      </w:pPr>
      <w:r w:rsidRPr="0008481A">
        <w:t>En domstol som handlägger ett ärende rörande bl.a. vårdnad om eller umgänge med barn skall enligt 6 kap. 19 § föräldrabalken se till att frågorna blir tillbörligt ut</w:t>
      </w:r>
      <w:r w:rsidRPr="0008481A">
        <w:softHyphen/>
        <w:t>re</w:t>
      </w:r>
      <w:r w:rsidRPr="0008481A">
        <w:t>d</w:t>
      </w:r>
      <w:r w:rsidRPr="0008481A">
        <w:t xml:space="preserve">da. Innan rätten avgör målet skall socialnämnden ges tillfälle att lämna upplysningar. Om det behövs ytterligare utredning får rätten uppdra åt socialnämnden eller något annat organ att utse någon att verkställa den. </w:t>
      </w:r>
    </w:p>
    <w:p w:rsidR="003B3271" w:rsidRPr="0008481A" w:rsidRDefault="003B3271">
      <w:pPr>
        <w:pStyle w:val="Normaltindrag"/>
      </w:pPr>
      <w:r w:rsidRPr="0008481A">
        <w:t>JO skall inte utan särskilda skäl uttala sig om innehållet i en sådan utred</w:t>
      </w:r>
      <w:r w:rsidRPr="0008481A">
        <w:softHyphen/>
        <w:t>ning. En part, som anser att det finns felaktigheter eller brister i utredningen, har möjli</w:t>
      </w:r>
      <w:r w:rsidRPr="0008481A">
        <w:t>g</w:t>
      </w:r>
      <w:r w:rsidRPr="0008481A">
        <w:softHyphen/>
        <w:t>het att påpeka detta inför domstolen. Domstolen skall självständigt pröva vilket värde som kan tillmätas de inhämtade uppgifterna och kan även ta initiativ till ytterligare utredning. Det är inte påkallat med någon åtgärd från min sida i denna del.</w:t>
      </w:r>
    </w:p>
    <w:p w:rsidR="003B3271" w:rsidRPr="0008481A" w:rsidRDefault="003B3271">
      <w:pPr>
        <w:pStyle w:val="Rubrik2"/>
      </w:pPr>
      <w:r w:rsidRPr="0008481A">
        <w:t>En socialförvaltning kan inte neka den som har ett s.k. egna</w:t>
      </w:r>
      <w:r w:rsidRPr="0008481A">
        <w:softHyphen/>
        <w:t>medels</w:t>
      </w:r>
      <w:r w:rsidRPr="0008481A">
        <w:softHyphen/>
        <w:t>konto att göra ett uttag av pengar som finns på kontot</w:t>
      </w:r>
    </w:p>
    <w:p w:rsidR="003B3271" w:rsidRPr="0008481A" w:rsidRDefault="003B3271">
      <w:r w:rsidRPr="0008481A">
        <w:t>(Dnr 565-1998)</w:t>
      </w:r>
    </w:p>
    <w:p w:rsidR="003B3271" w:rsidRPr="0008481A" w:rsidRDefault="003B3271">
      <w:r w:rsidRPr="0008481A">
        <w:t xml:space="preserve">I en anmälan till JO klagade B.W. på Ronna kommundelsnämnd i Södertälje kommun. Han anförde bl. a. att kommundelsförvaltningen nekat hans hustru, E. W., att ta ut pengar från sitt s.k. egnamedelskonto. </w:t>
      </w:r>
    </w:p>
    <w:p w:rsidR="003B3271" w:rsidRPr="0008481A" w:rsidRDefault="003B3271">
      <w:pPr>
        <w:pStyle w:val="Normaltindrag"/>
      </w:pPr>
      <w:r w:rsidRPr="0008481A">
        <w:t>Anmälan remitterades till Ronna kommundelsnämnd i Södertälje kommun för utredning och yttrande. Nämnden överlämnade som sitt remissvar ett yttrande, upprättat av enhetschefen AnneMarie Danon. I yttrandet anfördes bl. a. följande.</w:t>
      </w:r>
    </w:p>
    <w:p w:rsidR="003B3271" w:rsidRPr="0008481A" w:rsidRDefault="003B3271">
      <w:pPr>
        <w:pStyle w:val="Citat"/>
      </w:pPr>
      <w:r w:rsidRPr="0008481A">
        <w:t>– – –</w:t>
      </w:r>
    </w:p>
    <w:p w:rsidR="003B3271" w:rsidRPr="0008481A" w:rsidRDefault="003B3271">
      <w:pPr>
        <w:pStyle w:val="Citat"/>
      </w:pPr>
      <w:r w:rsidRPr="0008481A">
        <w:t>Av anmälan framgår att B. W. riktar kritik mot kommundelens hand</w:t>
      </w:r>
      <w:r w:rsidRPr="0008481A">
        <w:softHyphen/>
        <w:t>läggning av familjens bistånd i form av ”egna medel konto” samt ”kommunkontrakt”.</w:t>
      </w:r>
    </w:p>
    <w:p w:rsidR="003B3271" w:rsidRPr="0008481A" w:rsidRDefault="003B3271">
      <w:pPr>
        <w:pStyle w:val="Citatindrag"/>
      </w:pPr>
      <w:r w:rsidRPr="0008481A">
        <w:t>Makarna W. samt deras minderåriga dotter flyttade i början av 1996 in i en lägenhet om 3 rum och kök i Södertälje. Makarna hade tidigare blivit avhysta från sin bostad hos bostads</w:t>
      </w:r>
      <w:r w:rsidRPr="0008481A">
        <w:softHyphen/>
        <w:t>företaget Linada. Makarna hade hyresskulder till Linada, Telgebostäder samt Allhus. De hade också en skuld till kommun</w:t>
      </w:r>
      <w:r w:rsidRPr="0008481A">
        <w:softHyphen/>
        <w:t>delen för obetalade hyror i samband med ett tidigare kommunkontrakt. Den utväg som fanns för att sä</w:t>
      </w:r>
      <w:r w:rsidRPr="0008481A">
        <w:softHyphen/>
        <w:t>kerställa familjen ett fullgott boende var att på nytt bevilja familjen bistånd i form av s k kommunkontrakt. Då familjen har skulder till flera hyresvärdar var det ytterst svårt att hitta en hyresvärd som var villig att låta familjen flytta in. Ett kommunkontrakt innebär att kommundelen tec</w:t>
      </w:r>
      <w:r w:rsidRPr="0008481A">
        <w:t>knar första</w:t>
      </w:r>
      <w:r w:rsidRPr="0008481A">
        <w:softHyphen/>
        <w:t>handskontrakt med hyresvärden, i detta fall Ronna Park AB. Därefter teck</w:t>
      </w:r>
      <w:r w:rsidRPr="0008481A">
        <w:softHyphen/>
        <w:t>nas ett andrahandskontrakt med den aktuella familjen. I detta fall tecknades kontraktet mellan Ronna kommundel, delegat Margareta Andersson och AB Stadsfastigheter (numera Ronna Park AB) 960125. Samma dag tecknades ett andrahandskontrakt samt arbetsplan mellan Ronna kommundel, Margareta Andersson samt E. W. Samma dag tecknas också en överenskommelse om avstående från besittningsskydd, som insän</w:t>
      </w:r>
      <w:r w:rsidRPr="0008481A">
        <w:softHyphen/>
        <w:t>des till hyresnämnden. Beslut</w:t>
      </w:r>
      <w:r w:rsidRPr="0008481A">
        <w:t xml:space="preserve"> att godkänna överenskommelsen att familjen avsade sig besittningsskyddet fattades 960221. Anledningen till att endast E. W. tecknade andrahandskontrakt m m var att B. W. inte var villig att delta i den arbetsplan som upprättades. I arbetsplanen från 960125 fram</w:t>
      </w:r>
      <w:r w:rsidRPr="0008481A">
        <w:softHyphen/>
        <w:t>går bl a att E. W. förbinder sig att låta kommundelen förvalta månads</w:t>
      </w:r>
      <w:r w:rsidRPr="0008481A">
        <w:softHyphen/>
        <w:t>lönen från sin arbetsgivare. Inkomsterna förvaltades på s k egna me</w:t>
      </w:r>
      <w:r w:rsidRPr="0008481A">
        <w:softHyphen/>
        <w:t>dels</w:t>
      </w:r>
      <w:r w:rsidRPr="0008481A">
        <w:softHyphen/>
        <w:t>konto. Kommundelen förband sig att från egna medelskontot betala hy</w:t>
      </w:r>
      <w:r w:rsidRPr="0008481A">
        <w:softHyphen/>
        <w:t>ran till hyres</w:t>
      </w:r>
      <w:r w:rsidRPr="0008481A">
        <w:softHyphen/>
        <w:t>värden samt vissa andra</w:t>
      </w:r>
      <w:r w:rsidRPr="0008481A">
        <w:t xml:space="preserve"> av familjens räkningar. Resterande del av E. W:s lön skickas till familjen, som därtill har inkomster i form av man</w:t>
      </w:r>
      <w:r w:rsidRPr="0008481A">
        <w:softHyphen/>
        <w:t>nens pension samt barnbidrag. I andrahandskontraktet framgår att kommun</w:t>
      </w:r>
      <w:r w:rsidRPr="0008481A">
        <w:softHyphen/>
        <w:t>delen hyr ut till familjen med 1 månad i taget. Kommundelen kan säga upp boendet med en uppsägningstid av 1 månad.</w:t>
      </w:r>
    </w:p>
    <w:p w:rsidR="003B3271" w:rsidRPr="0008481A" w:rsidRDefault="003B3271">
      <w:pPr>
        <w:pStyle w:val="Citatindrag"/>
      </w:pPr>
      <w:r w:rsidRPr="0008481A">
        <w:t>Vid besök på kommundelen 970912 berättar E. W. för 1:e soc sekr Margareta Andersson samt assistent Lena Zetterwall att hon blivit uppsagd. Hon har erhållit ett avgångsvederlag på sammanlagt 103.660 kronor. Vi</w:t>
      </w:r>
      <w:r w:rsidRPr="0008481A">
        <w:t>d besöket vill E. W. betala 27.890 kronor avseende en skuld till Berga lanthushållsskola där parets dotter går. Skulden måste regleras om dottern ska få gå kvar. Vidare vill E. W. ha 10.000 kronor för egen del, dessa avsåg hon använda till en resa tillsammans med sin son. Dessa utbetalningar sker. E. W. och handläggarna kommer också överens om att reglera skulden till Ronna kommundel om 12.583 kronor. Vidare kommer man överens om att den resterande summan ska finnas kvar på egna medels kontot för att betala</w:t>
      </w:r>
      <w:r w:rsidRPr="0008481A">
        <w:t xml:space="preserve"> hyra och elkostnader som tidigare. Pengarna beräknas täcka dessa kostnader 1 år framåt.</w:t>
      </w:r>
    </w:p>
    <w:p w:rsidR="003B3271" w:rsidRPr="0008481A" w:rsidRDefault="003B3271">
      <w:pPr>
        <w:pStyle w:val="Citatindrag"/>
      </w:pPr>
      <w:r w:rsidRPr="0008481A">
        <w:t>971023 ringer E. W. till sin handläggare Lena Zetterwall. Hon vill ta ut ytterligare 10.000 kronor från sitt egna medels konto. Handläggaren på</w:t>
      </w:r>
      <w:r w:rsidRPr="0008481A">
        <w:softHyphen/>
        <w:t>minner om överenskommelsen från 970912, samt om innehållet i arbetspla</w:t>
      </w:r>
      <w:r w:rsidRPr="0008481A">
        <w:softHyphen/>
        <w:t>nen kring andrahandskontraktet. E. W. ges en tid för besök nästa dag (fre</w:t>
      </w:r>
      <w:r w:rsidRPr="0008481A">
        <w:softHyphen/>
        <w:t>dag), då träffar hon enhetschef AnneMarie Danon samt assistent Lena Zetterwall. När E. W. bokade besöket fördes något krav på att maken B. W. skulle delta inte fram. Handläggaren talar dock med B. W. i telefon. E. W. säger vid besöket att hon omgående behöver pengar till att köpa kläder och skor. Hon säger också att hon vill säga upp hyreskontraktet med kommundele</w:t>
      </w:r>
      <w:r w:rsidRPr="0008481A">
        <w:t xml:space="preserve">n. E. W. berättar att familjen har planer på att flytta antingen till Ljusdal eller till annat boende inom Södertälje kommun. </w:t>
      </w:r>
    </w:p>
    <w:p w:rsidR="003B3271" w:rsidRPr="0008481A" w:rsidRDefault="003B3271">
      <w:pPr>
        <w:pStyle w:val="Citatindrag"/>
      </w:pPr>
      <w:r w:rsidRPr="0008481A">
        <w:t>Handläggarna diskuterar med E. W. om skälet till att familjen har ett kom</w:t>
      </w:r>
      <w:r w:rsidRPr="0008481A">
        <w:softHyphen/>
        <w:t>munkontrakt, dvs de svårigheter som fanns för familjen att ordna ett boende på egen hand. Samt pekar på risken att familjen blir uppsagda, om arbets</w:t>
      </w:r>
      <w:r w:rsidRPr="0008481A">
        <w:softHyphen/>
        <w:t>planen med kommundelen ej fullföljs. Handläggarna ber E. W. tänka över hur hon ska göra över helgen. E. W. och B. W. godtar inte detta utan kommer båda två till socialkontoret där de får träffa sin handläggare. Där</w:t>
      </w:r>
      <w:r w:rsidRPr="0008481A">
        <w:softHyphen/>
        <w:t>efter kontaktar makarna ett juridiskt ombud, och vidhåller att de vill ha pengarna samma dag. E. W. kommer senare samma dag till kom</w:t>
      </w:r>
      <w:r w:rsidRPr="0008481A">
        <w:softHyphen/>
        <w:t xml:space="preserve">mundelen. Hon </w:t>
      </w:r>
      <w:r w:rsidRPr="0008481A">
        <w:t>erhåller 10.000 kronor och skriver under uppsägning av and</w:t>
      </w:r>
      <w:r w:rsidRPr="0008481A">
        <w:softHyphen/>
        <w:t>rahandskontraktet. Detta innebar att familjen skulle flytta senast 971130. Samma dag säger kommundelen upp kontraktet i förhållande till hyresvär</w:t>
      </w:r>
      <w:r w:rsidRPr="0008481A">
        <w:softHyphen/>
        <w:t>den Ronna Park. 971027 säger E. W. upp hela egna medelskontot och erhåller resterande pengar från kontot.</w:t>
      </w:r>
    </w:p>
    <w:p w:rsidR="003B3271" w:rsidRPr="0008481A" w:rsidRDefault="003B3271">
      <w:pPr>
        <w:pStyle w:val="Citat"/>
      </w:pPr>
      <w:r w:rsidRPr="0008481A">
        <w:t>– – –</w:t>
      </w:r>
    </w:p>
    <w:p w:rsidR="003B3271" w:rsidRPr="0008481A" w:rsidRDefault="003B3271">
      <w:pPr>
        <w:pStyle w:val="Citat"/>
      </w:pPr>
      <w:r w:rsidRPr="0008481A">
        <w:t>Sammanfattningsvis menar förvaltningen att de diskussionerna företrädare för socialtjänsten haft med E. W. har grundats i en omsorg för famil</w:t>
      </w:r>
      <w:r w:rsidRPr="0008481A">
        <w:softHyphen/>
        <w:t>jen och dess fortsatta boende. Socialtjänsten har kunskap om ma</w:t>
      </w:r>
      <w:r w:rsidRPr="0008481A">
        <w:softHyphen/>
        <w:t>karna W:s  problem genom åren med att betala sin hyra. E. W. poängte</w:t>
      </w:r>
      <w:r w:rsidRPr="0008481A">
        <w:softHyphen/>
        <w:t>rade dock för förvaltningen att de ej önskade bo kvar i lägenheten. Att låta familjen bo kvar i sin lägenhet när arbetsplanen brutits samt då fa</w:t>
      </w:r>
      <w:r w:rsidRPr="0008481A">
        <w:softHyphen/>
        <w:t>miljen ville flytta uppfattas inte som en framkomlig väg.</w:t>
      </w:r>
    </w:p>
    <w:p w:rsidR="003B3271" w:rsidRPr="0008481A" w:rsidRDefault="003B3271">
      <w:r w:rsidRPr="0008481A">
        <w:rPr>
          <w:i/>
        </w:rPr>
        <w:t xml:space="preserve">JO André </w:t>
      </w:r>
      <w:r w:rsidRPr="0008481A">
        <w:t xml:space="preserve">anförde i ett beslut den 31 augusti 1999 bl.a. följande. </w:t>
      </w:r>
    </w:p>
    <w:p w:rsidR="003B3271" w:rsidRPr="0008481A" w:rsidRDefault="003B3271">
      <w:pPr>
        <w:pStyle w:val="Normaltindrag"/>
      </w:pPr>
      <w:r w:rsidRPr="0008481A">
        <w:t>Av utredningen framgår att E. W. har begärt att få ut 10 000 kr från det egnamedelskonto som hon hade hos kommundelen. Begäran framställdes första gången den 23 oktober 1997 per telefon och upprepades dagen därpå – fredagen den 24 oktober 1997 – vid ett personligt besök hos handläggaren. Det är också klart att E. W. nekades att få ut pengarna vid besöket och att hon av handläggaren fick beskedet att de skulle betalas ut efter helgen för att E. W. sku</w:t>
      </w:r>
      <w:r w:rsidRPr="0008481A">
        <w:t xml:space="preserve">lle få tid att tänka över situationen. Pengarna betalades emellertid ut senare under dagen sedan en advokat hade kontaktat förvaltningen på </w:t>
      </w:r>
      <w:r w:rsidRPr="0008481A">
        <w:br/>
        <w:t>E. W:s uppdrag.</w:t>
      </w:r>
    </w:p>
    <w:p w:rsidR="003B3271" w:rsidRPr="0008481A" w:rsidRDefault="003B3271">
      <w:pPr>
        <w:pStyle w:val="Normaltindrag"/>
      </w:pPr>
      <w:r w:rsidRPr="0008481A">
        <w:t>Genom en överenskommelse mellan en socialnämnd och en enskild om att dennes lön eller del av lön skall sättas in på ett konto hos nämnden och att vissa räkningar och skulder skall betalas från detta konto förvärvar nämnden inte någon dispositions- eller bestämmanderätt över medlen på kontot. Den enskilde kan när som helst bestämma sig för att bryta över</w:t>
      </w:r>
      <w:r w:rsidRPr="0008481A">
        <w:t xml:space="preserve">enskommelsen med nämnden och disponera pengarna på det sätt han önskar. Bistånd i form av av ett egnamedelskonto förutsätter således ett fortgående samtycke av den enskilde.      </w:t>
      </w:r>
    </w:p>
    <w:p w:rsidR="003B3271" w:rsidRPr="0008481A" w:rsidRDefault="003B3271">
      <w:pPr>
        <w:pStyle w:val="Normaltindrag"/>
      </w:pPr>
      <w:r w:rsidRPr="0008481A">
        <w:t>Handläggaren har haft anledning att med E. W. diskutera om det var förståndigt att ta ut pengarna från egnamedelskontot. Någon invändning kan inte heller resas mot att handläggaren har försökt förmå E. W. att avvakta med att ta ut pengarna åtminstone till efter helgen. E. W. har dock avböjt förvaltningens förslag och vidhållit sin</w:t>
      </w:r>
      <w:r w:rsidRPr="0008481A">
        <w:t xml:space="preserve"> begäran att omedelbart få pengarna.</w:t>
      </w:r>
    </w:p>
    <w:p w:rsidR="003B3271" w:rsidRPr="0008481A" w:rsidRDefault="003B3271">
      <w:pPr>
        <w:pStyle w:val="Normaltindrag"/>
      </w:pPr>
      <w:r w:rsidRPr="0008481A">
        <w:t xml:space="preserve">Förvaltningens handlande har uppenbarligen motiverats av omsorg om </w:t>
      </w:r>
      <w:r w:rsidRPr="0008481A">
        <w:br/>
        <w:t>E. W. och hennes familj. Förvaltningen har dock som framgår av det nyss sagda inte ägt vägra att till E. W. betala ut beloppet när E. W. insisterat på  att omedelbart få ut pengarna. Det är självfallet inte tillfredsställande att ut</w:t>
      </w:r>
      <w:r w:rsidRPr="0008481A">
        <w:softHyphen/>
        <w:t>betalningen ägde rum först efter det att E. W. hade påkallat hjälp av en advokat.</w:t>
      </w:r>
    </w:p>
    <w:p w:rsidR="003B3271" w:rsidRPr="0008481A" w:rsidRDefault="003B3271">
      <w:pPr>
        <w:pStyle w:val="Rubrik2"/>
      </w:pPr>
      <w:r w:rsidRPr="0008481A">
        <w:t>Om en ansökan om bistånd är oklar skall socialnämnden försöka klarlägga vad sökanden begär bistånd till</w:t>
      </w:r>
    </w:p>
    <w:p w:rsidR="003B3271" w:rsidRPr="0008481A" w:rsidRDefault="003B3271">
      <w:r w:rsidRPr="0008481A">
        <w:t>(Dnr 3480-1998)</w:t>
      </w:r>
    </w:p>
    <w:p w:rsidR="003B3271" w:rsidRPr="0008481A" w:rsidRDefault="003B3271">
      <w:r w:rsidRPr="0008481A">
        <w:t>I en anmälan till JO klagade S.T. på hur Socialnämnden i Eslövs kommun hade handlagt ett ärende rörande ekonomiskt bistånd. Han anförde bl.a. att han inte erhållit den vägledning från nämndens sida som han varit berättigad till enligt förvaltningslagens bestämmelser. Den bristfälliga vägledningen ledde till att hans ansökan om försörjningsstöd avslagits.</w:t>
      </w:r>
      <w:r w:rsidRPr="0008481A">
        <w:softHyphen/>
      </w:r>
    </w:p>
    <w:p w:rsidR="003B3271" w:rsidRPr="0008481A" w:rsidRDefault="003B3271">
      <w:pPr>
        <w:pStyle w:val="Normaltindrag"/>
      </w:pPr>
      <w:r w:rsidRPr="0008481A">
        <w:rPr>
          <w:b/>
        </w:rPr>
        <w:softHyphen/>
      </w:r>
      <w:r w:rsidRPr="0008481A">
        <w:t>Anmälan remitterades till Socialnämnden i Eslövs kommun för yttrande. Nämn</w:t>
      </w:r>
      <w:r w:rsidRPr="0008481A">
        <w:softHyphen/>
        <w:t>den avgav som yttrande en tjänsteskrivelse upprättad av social</w:t>
      </w:r>
      <w:r w:rsidRPr="0008481A">
        <w:softHyphen/>
        <w:t>sekre</w:t>
      </w:r>
      <w:r w:rsidRPr="0008481A">
        <w:softHyphen/>
        <w:t>teraren Birgitta Cronqvist vari anfördes följande.</w:t>
      </w:r>
    </w:p>
    <w:p w:rsidR="003B3271" w:rsidRPr="0008481A" w:rsidRDefault="003B3271">
      <w:pPr>
        <w:pStyle w:val="Citat"/>
      </w:pPr>
      <w:r w:rsidRPr="0008481A">
        <w:t>Vid ansökan om socialbidrag tillhandahåller Eslövs kommun en särskild blankett för ändamålet. Av blanketten framgår vilka uppgifter den sökande måste lämna. Anser sig sökande vara i behov av hjälp vid ifyllandet kan so</w:t>
      </w:r>
      <w:r w:rsidRPr="0008481A">
        <w:softHyphen/>
        <w:t>cialförvaltningen kontaktas.</w:t>
      </w:r>
    </w:p>
    <w:p w:rsidR="003B3271" w:rsidRPr="0008481A" w:rsidRDefault="003B3271">
      <w:pPr>
        <w:pStyle w:val="Citatindrag"/>
      </w:pPr>
      <w:r w:rsidRPr="0008481A">
        <w:t>Det åligger den enskilde att uppge inkomster och styrka dessa med utbetal</w:t>
      </w:r>
      <w:r w:rsidRPr="0008481A">
        <w:softHyphen/>
        <w:t>ningsbesked. Det förutsätts att den enskilde ansöker om försörjningsstöd till de utgifter som han anger i sin bidragsansökan. Kostnaderna skall styrkas med kvitto vilket också framgår av ansökningsblanketten.</w:t>
      </w:r>
    </w:p>
    <w:p w:rsidR="003B3271" w:rsidRPr="0008481A" w:rsidRDefault="003B3271">
      <w:pPr>
        <w:pStyle w:val="Citatindrag"/>
      </w:pPr>
      <w:r w:rsidRPr="0008481A">
        <w:t>Om S.T. glömt att ansöka om boendekostnad har han möjlighet att ansöka om boendekostnad och få denna prövad.</w:t>
      </w:r>
    </w:p>
    <w:p w:rsidR="003B3271" w:rsidRPr="0008481A" w:rsidRDefault="003B3271">
      <w:pPr>
        <w:pStyle w:val="Citatindrag"/>
      </w:pPr>
      <w:r w:rsidRPr="0008481A">
        <w:t>Socialförvaltningen bedömer att förvaltningslagens bestämmelser har iakt</w:t>
      </w:r>
      <w:r w:rsidRPr="0008481A">
        <w:softHyphen/>
        <w:t>tagits.</w:t>
      </w:r>
    </w:p>
    <w:p w:rsidR="003B3271" w:rsidRPr="0008481A" w:rsidRDefault="003B3271">
      <w:r w:rsidRPr="0008481A">
        <w:t xml:space="preserve">S.T. yttrade sig över vad om anförts i remissvaret. </w:t>
      </w:r>
    </w:p>
    <w:p w:rsidR="003B3271" w:rsidRPr="0008481A" w:rsidRDefault="003B3271">
      <w:pPr>
        <w:pStyle w:val="Normaltindrag"/>
      </w:pPr>
      <w:r w:rsidRPr="0008481A">
        <w:t>JO hade vid beslutet tillgång till socialförvaltningens handlingar i bistånds</w:t>
      </w:r>
      <w:r w:rsidRPr="0008481A">
        <w:softHyphen/>
        <w:t>ärendet.</w:t>
      </w:r>
    </w:p>
    <w:p w:rsidR="003B3271" w:rsidRPr="0008481A" w:rsidRDefault="003B3271">
      <w:r w:rsidRPr="0008481A">
        <w:rPr>
          <w:i/>
        </w:rPr>
        <w:t>JO André</w:t>
      </w:r>
      <w:r w:rsidRPr="0008481A">
        <w:t xml:space="preserve"> anförde i ett beslut den 6 september 1999 följande.</w:t>
      </w:r>
    </w:p>
    <w:p w:rsidR="003B3271" w:rsidRPr="0008481A" w:rsidRDefault="003B3271">
      <w:pPr>
        <w:pStyle w:val="Normaltindrag"/>
      </w:pPr>
      <w:r w:rsidRPr="0008481A">
        <w:t>Enligt 4 § förvaltningslagen (1986:223) skall varje myndighet lämna upplys</w:t>
      </w:r>
      <w:r w:rsidRPr="0008481A">
        <w:softHyphen/>
        <w:t>ningar, vägledning, råd och annan sådan hjälp till enskilda i frågor som rör myn</w:t>
      </w:r>
      <w:r w:rsidRPr="0008481A">
        <w:softHyphen/>
        <w:t>dighetens ansvarsområde. Hjälpen skall lämnas i den utsträckning som är lämplig med hänsyn till frågans art, den enskildes behov av hjälp och myndighetens verk</w:t>
      </w:r>
      <w:r w:rsidRPr="0008481A">
        <w:softHyphen/>
        <w:t>samhet.</w:t>
      </w:r>
    </w:p>
    <w:p w:rsidR="003B3271" w:rsidRPr="0008481A" w:rsidRDefault="003B3271">
      <w:pPr>
        <w:pStyle w:val="Normaltindrag"/>
      </w:pPr>
      <w:r w:rsidRPr="0008481A">
        <w:t>S.T. använde den blankett som socialförvaltningen tillhandahåller för ansökningar om ekonomiskt bistånd. Under rubriken "TILL VAD SÖKER DU/NI HJÄLP?" hade han kryssat i rutorna för uppehälle, fackförenings</w:t>
      </w:r>
      <w:r w:rsidRPr="0008481A">
        <w:softHyphen/>
        <w:t>avgift, läkar</w:t>
      </w:r>
      <w:r w:rsidRPr="0008481A">
        <w:softHyphen/>
        <w:t>vård, umgänge med barn, medicin, hemförsäkring och elräkning. Han hade inte kryssat i rutan för hyra. Inte heller framgår av ansöknings</w:t>
      </w:r>
      <w:r w:rsidRPr="0008481A">
        <w:softHyphen/>
        <w:t>handlingen i övrigt ut</w:t>
      </w:r>
      <w:r w:rsidRPr="0008481A">
        <w:softHyphen/>
        <w:t>tryckligt att S.T. begärde bistånd till bl.a. räntor för sina huslån. Däremot hade han till förvaltningen skickat med räkningar som utvisade vilka hans boendekostnader var. Detta behöver inte i och för sig tolkas som att han an</w:t>
      </w:r>
      <w:r w:rsidRPr="0008481A">
        <w:softHyphen/>
        <w:t xml:space="preserve">sökte om bistånd även till de kostnaderna, men det måste onekligen ha legat nära till hands att misstänka att </w:t>
      </w:r>
      <w:r w:rsidRPr="0008481A">
        <w:t>så var fallet. Härvid bör även beaktas att S.T. lämnade uppgift om sitt bostadsbidrag och att förvaltningen vid beräk</w:t>
      </w:r>
      <w:r w:rsidRPr="0008481A">
        <w:softHyphen/>
        <w:t>ningen av hans rätt till bistånd tog upp bidraget som en intäkt. Mot den bakgrun</w:t>
      </w:r>
      <w:r w:rsidRPr="0008481A">
        <w:softHyphen/>
        <w:t>den menar jag att handläggaren borde ha kontaktat S.T. för att klar</w:t>
      </w:r>
      <w:r w:rsidRPr="0008481A">
        <w:softHyphen/>
        <w:t>göra om han sökte bistånd även till bostads</w:t>
      </w:r>
      <w:r w:rsidRPr="0008481A">
        <w:softHyphen/>
        <w:t>kostnaden.</w:t>
      </w:r>
    </w:p>
    <w:p w:rsidR="003B3271" w:rsidRPr="0008481A" w:rsidRDefault="003B3271">
      <w:pPr>
        <w:pStyle w:val="Rubrik2"/>
      </w:pPr>
      <w:r w:rsidRPr="0008481A">
        <w:t>Fråga om en socialnämnd har iakttagit bl.a. föreskrifterna i 33 § SoL när nämnden har beviljat bistånd mot återbetalning</w:t>
      </w:r>
    </w:p>
    <w:p w:rsidR="003B3271" w:rsidRPr="0008481A" w:rsidRDefault="003B3271">
      <w:r w:rsidRPr="0008481A">
        <w:t xml:space="preserve">(Dnr 306-1999) </w:t>
      </w:r>
    </w:p>
    <w:p w:rsidR="003B3271" w:rsidRPr="0008481A" w:rsidRDefault="003B3271">
      <w:r w:rsidRPr="0008481A">
        <w:t>Vid utredningen i anledning av en anmälan till JO mot Socialnämnden och social</w:t>
      </w:r>
      <w:r w:rsidRPr="0008481A">
        <w:softHyphen/>
        <w:t>förvaltningen i Norbergs kommun (JO:s ärende nr 4758-1998) fram</w:t>
      </w:r>
      <w:r w:rsidRPr="0008481A">
        <w:softHyphen/>
        <w:t>kom bl.a. följande.</w:t>
      </w:r>
    </w:p>
    <w:p w:rsidR="003B3271" w:rsidRPr="0008481A" w:rsidRDefault="003B3271">
      <w:pPr>
        <w:pStyle w:val="Normaltindrag"/>
      </w:pPr>
      <w:r w:rsidRPr="0008481A">
        <w:t>Vid besök på socialförvaltningen den 4 december 1998 ansökte N.Ö. med familj om ekonomiskt bistånd till en elskuld mot återbetalning och uppe</w:t>
      </w:r>
      <w:r w:rsidRPr="0008481A">
        <w:softHyphen/>
        <w:t>hälle (mat</w:t>
      </w:r>
      <w:r w:rsidRPr="0008481A">
        <w:softHyphen/>
        <w:t>pengar) under viss tid mot återbetalning. Samma dag beslutade socialnämnden (genom delegationsbeslut) att bifalla ansökan till den del den avsåg matpengar mot återbetalning. Beloppet skulle återbetalas genom två delbetalningar, den 30 januari 1999 respektive den 28 februari 1999. Beslutet meddelades muntligt.</w:t>
      </w:r>
    </w:p>
    <w:p w:rsidR="003B3271" w:rsidRPr="0008481A" w:rsidRDefault="003B3271">
      <w:pPr>
        <w:pStyle w:val="Normaltindrag"/>
      </w:pPr>
      <w:r w:rsidRPr="0008481A">
        <w:t>Nästa arbetsdag, den 7 december 1998, beslutade socialnämnden (genom delegationsbeslut) att avslå ansökan till den del ansökan avsåg bistånd till el-skulden. Beslutet meddelades muntligt.</w:t>
      </w:r>
    </w:p>
    <w:p w:rsidR="003B3271" w:rsidRPr="0008481A" w:rsidRDefault="003B3271">
      <w:pPr>
        <w:pStyle w:val="Normaltindrag"/>
      </w:pPr>
      <w:r w:rsidRPr="0008481A">
        <w:t>Utredningen och de nämnda besluten skickades till sökanden per post efter det att JO kontaktat socialförvaltningen i anledning av den ovan nämnda an</w:t>
      </w:r>
      <w:r w:rsidRPr="0008481A">
        <w:softHyphen/>
        <w:t>mälan. Några journalanteckningar hade inte förts i saken, utan den dokumen</w:t>
      </w:r>
      <w:r w:rsidRPr="0008481A">
        <w:softHyphen/>
        <w:t>tation som fanns i ärendet var utredningen och besluten intagna i en handling, daterad den 7 december 1998.</w:t>
      </w:r>
    </w:p>
    <w:p w:rsidR="003B3271" w:rsidRPr="0008481A" w:rsidRDefault="003B3271">
      <w:pPr>
        <w:pStyle w:val="Normaltindrag"/>
      </w:pPr>
      <w:r w:rsidRPr="0008481A">
        <w:t>JO beslutade på eget initiativ att från Socialnämnden i Norbergs kommun inhämta yttrande över huruvida handlägg</w:t>
      </w:r>
      <w:r w:rsidRPr="0008481A">
        <w:softHyphen/>
        <w:t xml:space="preserve">ningen i anledning av N.Ö:s ansökan uppfyllt de krav som ställs i 33 och 51 §§ socialtjänstlagen.      </w:t>
      </w:r>
    </w:p>
    <w:p w:rsidR="003B3271" w:rsidRPr="0008481A" w:rsidRDefault="003B3271">
      <w:pPr>
        <w:pStyle w:val="Normaltindrag"/>
      </w:pPr>
      <w:r w:rsidRPr="0008481A">
        <w:t>Socialnämnden i Norbergs kommun anförde i ett remissvar att handlägg</w:t>
      </w:r>
      <w:r w:rsidRPr="0008481A">
        <w:softHyphen/>
        <w:t>ningen hade skett i överensstämmelse med kraven i 33 och 51 §§ social</w:t>
      </w:r>
      <w:r w:rsidRPr="0008481A">
        <w:softHyphen/>
        <w:t>tjänst</w:t>
      </w:r>
      <w:r w:rsidRPr="0008481A">
        <w:softHyphen/>
        <w:t>lagen (1980:620). I en tjänsteskrivelse som hade upprättats av avdelnings</w:t>
      </w:r>
      <w:r w:rsidRPr="0008481A">
        <w:softHyphen/>
        <w:t>chefen Göran Nilsson anfördes huvudsakligen följande.</w:t>
      </w:r>
    </w:p>
    <w:p w:rsidR="003B3271" w:rsidRPr="0008481A" w:rsidRDefault="003B3271">
      <w:pPr>
        <w:pStyle w:val="Citat"/>
      </w:pPr>
      <w:r w:rsidRPr="0008481A">
        <w:t>Ansökan om socialbidrag till matpengar gjordes utifrån att sökanden ville ha det som förskott på förmån mot återbetalning. Någon ansökan om att det skulle ses som social</w:t>
      </w:r>
      <w:r w:rsidRPr="0008481A">
        <w:softHyphen/>
        <w:t>bidrag utan återbetalning, gjordes ej. Därmed fattades aldrig något avslagsbeslut, efter</w:t>
      </w:r>
      <w:r w:rsidRPr="0008481A">
        <w:softHyphen/>
        <w:t>som sökanden i denna del beviljades det som sökts. Beslutet gick dem ej emot. Vid ansökningstillfället klargjordes de formella delarna om återbetalning, beslut jml 6 b § och 6 g §, förvalt</w:t>
      </w:r>
      <w:r w:rsidRPr="0008481A">
        <w:softHyphen/>
        <w:t>nings</w:t>
      </w:r>
      <w:r w:rsidRPr="0008481A">
        <w:softHyphen/>
        <w:t>besvär och kommunalbesvär.</w:t>
      </w:r>
    </w:p>
    <w:p w:rsidR="003B3271" w:rsidRPr="0008481A" w:rsidRDefault="003B3271">
      <w:pPr>
        <w:pStyle w:val="Citatindrag"/>
      </w:pPr>
      <w:r w:rsidRPr="0008481A">
        <w:t>Beslutet som avsåg avslag på ansökan om socialbidrag till elskulden kunde ej fattas omedelbart. Sökanden informerades muntligen samma dag beslutet fattades om att det var ett beslut jml 6 g § Socialtj</w:t>
      </w:r>
      <w:r w:rsidRPr="0008481A">
        <w:t>änstlagen och att det endast var möjligt att få en laglighets</w:t>
      </w:r>
      <w:r w:rsidRPr="0008481A">
        <w:softHyphen/>
        <w:t>prövning enligt kommunalbesvär.</w:t>
      </w:r>
    </w:p>
    <w:p w:rsidR="003B3271" w:rsidRPr="0008481A" w:rsidRDefault="003B3271">
      <w:pPr>
        <w:pStyle w:val="Citatindrag"/>
      </w:pPr>
      <w:r w:rsidRPr="0008481A">
        <w:t>Någon överklagan från sökanden har inte, i skrivande stund, inkommit. De efterfrågade aldrig något skriftligt beslut men trots detta valde vi att efter en tid skicka detta. Enligt 21 § Förvaltningslagen avgör myndigheten själv om beslutet ska underrättas muntligt eller skriftligt. Bedömningen var att sökanden lättare skulle förstå beslutet om de i lugn och ro själva fick läsa igenom det.</w:t>
      </w:r>
    </w:p>
    <w:p w:rsidR="003B3271" w:rsidRPr="0008481A" w:rsidRDefault="003B3271">
      <w:pPr>
        <w:pStyle w:val="Citatindrag"/>
      </w:pPr>
      <w:r w:rsidRPr="0008481A">
        <w:t>– – – Dokumentationen vid utredningstillfället gjordes med papper och penna i form av arbetsanteckningar och sedan fördes uppgifterna över till utredningen som tillställts JO. Arbetsanteckningarna makulerades efter att de överförts till utredning som framställdes med hjälp av datasystemet.</w:t>
      </w:r>
    </w:p>
    <w:p w:rsidR="003B3271" w:rsidRPr="0008481A" w:rsidRDefault="003B3271">
      <w:r w:rsidRPr="0008481A">
        <w:rPr>
          <w:i/>
        </w:rPr>
        <w:t>JO André</w:t>
      </w:r>
      <w:r w:rsidRPr="0008481A">
        <w:t xml:space="preserve"> anförde i ett beslut den 22 februari 2000 följande. </w:t>
      </w:r>
    </w:p>
    <w:p w:rsidR="003B3271" w:rsidRPr="0008481A" w:rsidRDefault="003B3271">
      <w:pPr>
        <w:pStyle w:val="Rubrik4"/>
      </w:pPr>
      <w:r w:rsidRPr="0008481A">
        <w:t>Inledning</w:t>
      </w:r>
    </w:p>
    <w:p w:rsidR="003B3271" w:rsidRPr="0008481A" w:rsidRDefault="003B3271">
      <w:r w:rsidRPr="0008481A">
        <w:t>Som redan har framgått omfattar mitt initiativ två frågor, nämligen frågan om dokumentationskravet är uppfyllt och frågan om socialförvaltningen på ett korrekt sätt har tillämpat bestämmelserna i socialtjänst</w:t>
      </w:r>
      <w:r w:rsidRPr="0008481A">
        <w:softHyphen/>
        <w:t xml:space="preserve">lagen (i fortsättningen benämnd SoL) om ekonomiskt bistånd mot återbetalning. Det finns även anledning att kortfattat beröra frågan om underrättelse om beslut i allmänhet. De angivna frågorna tas i det följande upp i skilda avsnitt. </w:t>
      </w:r>
    </w:p>
    <w:p w:rsidR="003B3271" w:rsidRPr="0008481A" w:rsidRDefault="003B3271">
      <w:pPr>
        <w:pStyle w:val="Rubrik4"/>
      </w:pPr>
      <w:r w:rsidRPr="0008481A">
        <w:t>Dokumentationsskyldigheten</w:t>
      </w:r>
    </w:p>
    <w:p w:rsidR="003B3271" w:rsidRPr="0008481A" w:rsidRDefault="003B3271">
      <w:r w:rsidRPr="0008481A">
        <w:t>Enligt 51 § första stycket SoL skall handläggningen av ärenden som rör enskilda samt genomförande av beslut om stödinsatser, vård och behandling dokumenteras. Dokumentationen skall, enligt samma lagrum, utvisa beslut och åtgärder som vid</w:t>
      </w:r>
      <w:r w:rsidRPr="0008481A">
        <w:softHyphen/>
        <w:t xml:space="preserve">tas i ärendet samt faktiska omständigheter och händelser av betydelse. </w:t>
      </w:r>
    </w:p>
    <w:p w:rsidR="003B3271" w:rsidRPr="0008481A" w:rsidRDefault="003B3271">
      <w:pPr>
        <w:pStyle w:val="Normaltindrag"/>
      </w:pPr>
      <w:r w:rsidRPr="0008481A">
        <w:t>I förevarande fall har nämnden i remissvaret anfört att de formella delarna vad gäller bl.a. återbetalning klargjordes vid ansökningstillfället och att sökanden under</w:t>
      </w:r>
      <w:r w:rsidRPr="0008481A">
        <w:softHyphen/>
        <w:t>rättades muntligt om beslutet att avslå ansökan om ekonomiskt bistånd till elskulden. Någon dokumentation om detta finns emellertid inte i ärendet. Det kan inte heller av dokumentationen utläsas när eller hur an</w:t>
      </w:r>
      <w:r w:rsidRPr="0008481A">
        <w:softHyphen/>
        <w:t>sökan om för</w:t>
      </w:r>
      <w:r w:rsidRPr="0008481A">
        <w:softHyphen/>
        <w:t xml:space="preserve">sörjningsstödet gjordes. </w:t>
      </w:r>
    </w:p>
    <w:p w:rsidR="003B3271" w:rsidRPr="0008481A" w:rsidRDefault="003B3271">
      <w:pPr>
        <w:pStyle w:val="Normaltindrag"/>
      </w:pPr>
      <w:r w:rsidRPr="0008481A">
        <w:t>När det gäller dokumentationen i ärendet vill jag även ta upp följande oklarhet. I social</w:t>
      </w:r>
      <w:r w:rsidRPr="0008481A">
        <w:softHyphen/>
        <w:t xml:space="preserve">förvaltningens beslutsunderlag har det angetts följande under rubriken ”Ansökan/Aktuell fråga”. </w:t>
      </w:r>
    </w:p>
    <w:p w:rsidR="003B3271" w:rsidRPr="0008481A" w:rsidRDefault="003B3271">
      <w:pPr>
        <w:pStyle w:val="Citat"/>
      </w:pPr>
      <w:r w:rsidRPr="0008481A">
        <w:t>Framställan jml. 6 och 6 g §§ Socialtjänstlagen (SoL) om ekonomiskt bistånd mot åter</w:t>
      </w:r>
      <w:r w:rsidRPr="0008481A">
        <w:softHyphen/>
        <w:t xml:space="preserve">betalning till sanering av elskuld på 6795 kr. samt jml 6 b SoL matpengar till 981216. </w:t>
      </w:r>
    </w:p>
    <w:p w:rsidR="003B3271" w:rsidRPr="0008481A" w:rsidRDefault="003B3271">
      <w:r w:rsidRPr="0008481A">
        <w:t>Enligt remissvaret avsåg ansökan om matpengar bistånd mot återbetalning. Det som har antecknats i socialförvaltningens beslutsunderlag är emellertid inte tillräckligt tydligt i den delen. Den oklara formuleringen leder till oviss</w:t>
      </w:r>
      <w:r w:rsidRPr="0008481A">
        <w:softHyphen/>
        <w:t>het om beslutet att bevilja försörjningsstöd avseende matpengar mot åter</w:t>
      </w:r>
      <w:r w:rsidRPr="0008481A">
        <w:softHyphen/>
        <w:t xml:space="preserve">betalning delvis gick den enskilde emot eller ej. </w:t>
      </w:r>
    </w:p>
    <w:p w:rsidR="003B3271" w:rsidRPr="0008481A" w:rsidRDefault="003B3271">
      <w:pPr>
        <w:pStyle w:val="Normaltindrag"/>
      </w:pPr>
      <w:r w:rsidRPr="0008481A">
        <w:t>Det finns särskilda krav på dokumentationen när det gäller socialförvalt</w:t>
      </w:r>
      <w:r w:rsidRPr="0008481A">
        <w:softHyphen/>
        <w:t>ningens möjlighet att återkräva ekonomiskt bistånd som utgått mot återbetalning. Jag åter</w:t>
      </w:r>
      <w:r w:rsidRPr="0008481A">
        <w:softHyphen/>
        <w:t xml:space="preserve">kommer i det följande till dessa bestämmelser. </w:t>
      </w:r>
    </w:p>
    <w:p w:rsidR="003B3271" w:rsidRPr="0008481A" w:rsidRDefault="003B3271">
      <w:pPr>
        <w:pStyle w:val="Rubrik4"/>
      </w:pPr>
      <w:r w:rsidRPr="0008481A">
        <w:t>Ekonomiskt bistånd enligt socialtjänstlagen mot återbetalning</w:t>
      </w:r>
    </w:p>
    <w:p w:rsidR="003B3271" w:rsidRPr="0008481A" w:rsidRDefault="003B3271">
      <w:pPr>
        <w:pStyle w:val="Rubrik5"/>
        <w:spacing w:before="120"/>
      </w:pPr>
      <w:r w:rsidRPr="0008481A">
        <w:t>Rättsliga utgångspunkter</w:t>
      </w:r>
    </w:p>
    <w:p w:rsidR="003B3271" w:rsidRPr="0008481A" w:rsidRDefault="003B3271">
      <w:r w:rsidRPr="0008481A">
        <w:t>Socialnämndens möjlighet till återkrav av ekonomiskt bistånd som har utgått enligt 6 b § eller 6 g § SoL regleras genom bestämmelser i 33 och 33 a §§ SoL. Enligt 33 § första stycket SoL får socialnämnden, i andra fall än som avses i 33 a §, återkräva försörjnings</w:t>
      </w:r>
      <w:r w:rsidRPr="0008481A">
        <w:softHyphen/>
        <w:t>stöd som den enskilde har erhållit enligt 6 b § endast om det har lämnats som förskott på en förmån eller ersättning, till den som är in</w:t>
      </w:r>
      <w:r w:rsidRPr="0008481A">
        <w:softHyphen/>
        <w:t>dragen i arbetskonflikt eller till den som på grund av förhållanden som han eller hon inte kunnat råda över hindrats från att förfoga över sina inkomster och till</w:t>
      </w:r>
      <w:r w:rsidRPr="0008481A">
        <w:softHyphen/>
        <w:t>gångar.</w:t>
      </w:r>
    </w:p>
    <w:p w:rsidR="003B3271" w:rsidRPr="0008481A" w:rsidRDefault="003B3271">
      <w:pPr>
        <w:pStyle w:val="Normaltindrag"/>
      </w:pPr>
      <w:r w:rsidRPr="0008481A">
        <w:t>Har ekonomisk hjälp lämnats med stöd av 6 g § SoL, får socialnämnden, enligt 33 § andra stycket SoL, återkräva hjälpen om den har getts under villkor om åter</w:t>
      </w:r>
      <w:r w:rsidRPr="0008481A">
        <w:softHyphen/>
        <w:t>betalning.</w:t>
      </w:r>
    </w:p>
    <w:p w:rsidR="003B3271" w:rsidRPr="0008481A" w:rsidRDefault="003B3271">
      <w:pPr>
        <w:pStyle w:val="Normaltindrag"/>
      </w:pPr>
      <w:r w:rsidRPr="0008481A">
        <w:t>I 33 § tredje stycket anges att beslut som avser ekonomisk hjälp som kan komma att återkrävas enligt paragrafen skall vara skriftligt. Beslutet skall även innehålla uppgift om den eller de om</w:t>
      </w:r>
      <w:r w:rsidRPr="0008481A">
        <w:softHyphen/>
        <w:t>ständig</w:t>
      </w:r>
      <w:r w:rsidRPr="0008481A">
        <w:softHyphen/>
        <w:t>heter som enligt paragrafen utgör grund för åter</w:t>
      </w:r>
      <w:r w:rsidRPr="0008481A">
        <w:softHyphen/>
      </w:r>
      <w:r w:rsidRPr="0008481A">
        <w:softHyphen/>
        <w:t>betal</w:t>
      </w:r>
      <w:r w:rsidRPr="0008481A">
        <w:softHyphen/>
        <w:t xml:space="preserve">ningsplikten. Beslutet skall delges den enskilde. </w:t>
      </w:r>
    </w:p>
    <w:p w:rsidR="003B3271" w:rsidRPr="0008481A" w:rsidRDefault="003B3271">
      <w:pPr>
        <w:pStyle w:val="Normaltindrag"/>
      </w:pPr>
      <w:r w:rsidRPr="0008481A">
        <w:t>33 a § SoL reglerar möjligheterna för socialnämnden att återkräva ekono</w:t>
      </w:r>
      <w:r w:rsidRPr="0008481A">
        <w:softHyphen/>
        <w:t xml:space="preserve">miskt bistånd enligt 6 b § eller 6 g § som någon har uppburit obehörigen eller som har utgått med för högt belopp. Bestämmelsen saknar emellertid intresse här. </w:t>
      </w:r>
    </w:p>
    <w:p w:rsidR="003B3271" w:rsidRPr="0008481A" w:rsidRDefault="003B3271">
      <w:pPr>
        <w:pStyle w:val="Rubrik4"/>
      </w:pPr>
      <w:r w:rsidRPr="0008481A">
        <w:t>Förskott på förmån eller ersättning</w:t>
      </w:r>
    </w:p>
    <w:p w:rsidR="003B3271" w:rsidRPr="0008481A" w:rsidRDefault="003B3271">
      <w:r w:rsidRPr="0008481A">
        <w:t>I förevarande fall har försörjningsstöd utgått enligt 6 b § SoL till matpengar mot återbetalning. Enligt remissvaret har stödet utgått såsom förskott på förmån. Av en återbetalningsförbindelse som N.Ö. under</w:t>
      </w:r>
      <w:r w:rsidRPr="0008481A">
        <w:softHyphen/>
        <w:t>tecknat framgår att det beviljade försörjningsstödet skulle betalas tillbaka genom två delbetal</w:t>
      </w:r>
      <w:r w:rsidRPr="0008481A">
        <w:softHyphen/>
        <w:t xml:space="preserve">ningar, den 30 januari 1999 och den 28 februari 1999. </w:t>
      </w:r>
    </w:p>
    <w:p w:rsidR="003B3271" w:rsidRPr="0008481A" w:rsidRDefault="003B3271">
      <w:pPr>
        <w:pStyle w:val="Normaltindrag"/>
      </w:pPr>
      <w:r w:rsidRPr="0008481A">
        <w:t>Jag kan konstatera att det av beslutet inte framgår vilken förmån eller ersättning som förskotterades. Inte heller framgår det när återbetalning skulle ske. Dessa frågor måste vara klarlagda när beslutet att bevilja försörjnings</w:t>
      </w:r>
      <w:r w:rsidRPr="0008481A">
        <w:softHyphen/>
        <w:t>stöd mot återbetalning fattas. Om så inte är fallet kan det enligt min mening ifrågasättas om det i lagens mening över huvud taget är fråga om förskott på förmån eller ersättning. I förevarande fall framgår det dock av en ”åter</w:t>
      </w:r>
      <w:r w:rsidRPr="0008481A">
        <w:softHyphen/>
        <w:t>betalningsförbindelse” när åter</w:t>
      </w:r>
      <w:r w:rsidRPr="0008481A">
        <w:softHyphen/>
        <w:t>betalning skulle ske.</w:t>
      </w:r>
    </w:p>
    <w:p w:rsidR="003B3271" w:rsidRPr="0008481A" w:rsidRDefault="003B3271">
      <w:pPr>
        <w:pStyle w:val="Normaltindrag"/>
      </w:pPr>
      <w:r w:rsidRPr="0008481A">
        <w:t>Utredningen ger vid handen att makarna Ö:s huvudsakliga in</w:t>
      </w:r>
      <w:r w:rsidRPr="0008481A">
        <w:softHyphen/>
        <w:t>komst fram</w:t>
      </w:r>
      <w:r w:rsidRPr="0008481A">
        <w:softHyphen/>
        <w:t>deles skulle komma att utgöras av ersättning från arbets</w:t>
      </w:r>
      <w:r w:rsidRPr="0008481A">
        <w:softHyphen/>
        <w:t xml:space="preserve">löshetskassan. Det synes ha förelegat förutsättningar för att bevilja försörjningsstöd som förskott på förmån eller ersättning, dvs. kommande arbetslöshetsersättning. Förutom den bristfälliga dokumentationen ger utredningen hos JO inte underlag för någon kritik mot att försörjningsstödet utgick som förskott på förmån.       </w:t>
      </w:r>
    </w:p>
    <w:p w:rsidR="003B3271" w:rsidRPr="0008481A" w:rsidRDefault="003B3271">
      <w:pPr>
        <w:pStyle w:val="Rubrik4"/>
      </w:pPr>
      <w:r w:rsidRPr="0008481A">
        <w:t>Kraven på motivering och skriftlighet</w:t>
      </w:r>
    </w:p>
    <w:p w:rsidR="003B3271" w:rsidRPr="0008481A" w:rsidRDefault="003B3271">
      <w:r w:rsidRPr="0008481A">
        <w:t>Som jag redan har nämnt skall ett beslut som avser ekonomisk hjälp som kan komma att återkrävas vara skriftligt. Beslutet skall också inne</w:t>
      </w:r>
      <w:r w:rsidRPr="0008481A">
        <w:softHyphen/>
        <w:t>hålla uppgift om den eller de om</w:t>
      </w:r>
      <w:r w:rsidRPr="0008481A">
        <w:softHyphen/>
        <w:t>ständig</w:t>
      </w:r>
      <w:r w:rsidRPr="0008481A">
        <w:softHyphen/>
        <w:t>heter som enligt samma paragraf utgör grund för åter</w:t>
      </w:r>
      <w:r w:rsidRPr="0008481A">
        <w:softHyphen/>
        <w:t>betalningsplikten. Dessa i 33 § tredje stycket SoL angivna formkraven jämte kravet på att beslutet skall delges den enskilde utgör en förutsättning för att social</w:t>
      </w:r>
      <w:r w:rsidRPr="0008481A">
        <w:softHyphen/>
        <w:t xml:space="preserve">nämnden skall ha möjlighet att återkräva ekonomiskt bistånd som den enskilde har erhållit (prop. 1996/97:124 s. 178). </w:t>
      </w:r>
    </w:p>
    <w:p w:rsidR="003B3271" w:rsidRPr="0008481A" w:rsidRDefault="003B3271">
      <w:pPr>
        <w:pStyle w:val="Normaltindrag"/>
      </w:pPr>
      <w:r w:rsidRPr="0008481A">
        <w:t>Jag kan konstatera att det skriftliga beslutsunderlaget och beslutet vad gäller det beviljade försörjningsstödet inte inne</w:t>
      </w:r>
      <w:r w:rsidRPr="0008481A">
        <w:softHyphen/>
        <w:t>håller någon uppgift om den eller de om</w:t>
      </w:r>
      <w:r w:rsidRPr="0008481A">
        <w:softHyphen/>
        <w:t>ständig</w:t>
      </w:r>
      <w:r w:rsidRPr="0008481A">
        <w:softHyphen/>
        <w:t>heter som enligt 33 § SoL utgör grund för återbetal</w:t>
      </w:r>
      <w:r w:rsidRPr="0008481A">
        <w:softHyphen/>
        <w:t xml:space="preserve">ningsplikten. </w:t>
      </w:r>
    </w:p>
    <w:p w:rsidR="003B3271" w:rsidRPr="0008481A" w:rsidRDefault="003B3271">
      <w:pPr>
        <w:pStyle w:val="Rubrik4"/>
      </w:pPr>
      <w:r w:rsidRPr="0008481A">
        <w:t>Delgivning</w:t>
      </w:r>
    </w:p>
    <w:p w:rsidR="003B3271" w:rsidRPr="0008481A" w:rsidRDefault="003B3271">
      <w:r w:rsidRPr="0008481A">
        <w:t>Kravet på delgivning av beslut om ekonomiskt bistånd mot återbetalning innebär, enligt 1 § delgivnings</w:t>
      </w:r>
      <w:r w:rsidRPr="0008481A">
        <w:softHyphen/>
        <w:t>lagen, (1970:428) att del</w:t>
      </w:r>
      <w:r w:rsidRPr="0008481A">
        <w:softHyphen/>
        <w:t>givning skall ske enligt bestämmelserna i den lagen. Det finns flera olika del</w:t>
      </w:r>
      <w:r w:rsidRPr="0008481A">
        <w:softHyphen/>
        <w:t>givningsformer angivna i delgivningslagen. I ärenden enligt SoL, som avser myndighets</w:t>
      </w:r>
      <w:r w:rsidRPr="0008481A">
        <w:softHyphen/>
        <w:t>utövning mot enskild, får emellertid delgivning inte ske enligt 12 eller 15 §§ delgivnings</w:t>
      </w:r>
      <w:r w:rsidRPr="0008481A">
        <w:softHyphen/>
        <w:t xml:space="preserve">lagen. Denna begränsning följer av 58 § SoL.    </w:t>
      </w:r>
    </w:p>
    <w:p w:rsidR="003B3271" w:rsidRPr="0008481A" w:rsidRDefault="003B3271">
      <w:pPr>
        <w:pStyle w:val="Normaltindrag"/>
      </w:pPr>
      <w:r w:rsidRPr="0008481A">
        <w:t>Som huvudregel anvisar delgivningslagen så kallad ordinär delgivning (3 §). Denna delgivningsform innebär att myndigheten skall om</w:t>
      </w:r>
      <w:r w:rsidRPr="0008481A">
        <w:softHyphen/>
        <w:t>besörja delgivning genom att sända handlingen med post eller med bud eller på annat sätt till den sökte. Som bevis att denne mottagit försändelsen skall myndig</w:t>
      </w:r>
      <w:r w:rsidRPr="0008481A">
        <w:softHyphen/>
        <w:t>heten begära delgivningskvitto eller mot</w:t>
      </w:r>
      <w:r w:rsidRPr="0008481A">
        <w:softHyphen/>
        <w:t xml:space="preserve">tagningsbevis. </w:t>
      </w:r>
    </w:p>
    <w:p w:rsidR="003B3271" w:rsidRPr="0008481A" w:rsidRDefault="003B3271">
      <w:pPr>
        <w:pStyle w:val="Normaltindrag"/>
      </w:pPr>
      <w:r w:rsidRPr="0008481A">
        <w:t>Varken av dokumentationen i ärendet eller av remissvaret framgår det att del</w:t>
      </w:r>
      <w:r w:rsidRPr="0008481A">
        <w:softHyphen/>
        <w:t>givning genomfördes i enlighet med delgivningslagens regler. Enligt en an</w:t>
      </w:r>
      <w:r w:rsidRPr="0008481A">
        <w:softHyphen/>
        <w:t xml:space="preserve">teckning på beslutshandlingen har kopia på beslutsunderlag och beslut sänts med post till Ö. den 14 januari 1999, dvs. drygt en månad efter att beslutet fattats. Jag kan konstatera att det inte finns någon dokumentation som utvisar att reglerna om delgivning har följts i förevarande fall.   </w:t>
      </w:r>
    </w:p>
    <w:p w:rsidR="003B3271" w:rsidRPr="0008481A" w:rsidRDefault="003B3271">
      <w:pPr>
        <w:pStyle w:val="Rubrik4"/>
      </w:pPr>
      <w:r w:rsidRPr="0008481A">
        <w:t>Underrättelse om beslut i allmänhet</w:t>
      </w:r>
    </w:p>
    <w:p w:rsidR="003B3271" w:rsidRPr="0008481A" w:rsidRDefault="003B3271">
      <w:r w:rsidRPr="0008481A">
        <w:t>I remissvaret har det hänvisats till 21 § förvaltningslagen (1986:223) när det gäller underrättelse om ett avslagsbeslut som avsåg ansökan om bistånd enligt 6 g § SoL. Det finns därför anledning att ta upp frågan om förvaltningslagens tilllämplighet i sådana ärenden. Enligt 31 § förvalt</w:t>
      </w:r>
      <w:r w:rsidRPr="0008481A">
        <w:softHyphen/>
        <w:t>ningslagen gäller inte 21 § samma lag sådana beslut som endast kan över</w:t>
      </w:r>
      <w:r w:rsidRPr="0008481A">
        <w:softHyphen/>
        <w:t>klagas för laglighetsprövning enligt 10 kap. kom</w:t>
      </w:r>
      <w:r w:rsidRPr="0008481A">
        <w:softHyphen/>
        <w:t>munal</w:t>
      </w:r>
      <w:r w:rsidRPr="0008481A">
        <w:softHyphen/>
        <w:t>lagen (1991:900). Beslut enligt 6 g § SoL kan endast överklagas för laglighetsprövning. Följaktligen gäller inte bestämmelserna i 21 § förvaltnings</w:t>
      </w:r>
      <w:r w:rsidRPr="0008481A">
        <w:softHyphen/>
        <w:t>lagen vid beslut enligt 6 g § SoL. För dessa beslut gäller i stället kommunallagens regler om till</w:t>
      </w:r>
      <w:r w:rsidRPr="0008481A">
        <w:softHyphen/>
        <w:t>kännagivande och justering av protokoll. De socialtjänstärenden som jag har granskat vid min till</w:t>
      </w:r>
      <w:r w:rsidRPr="0008481A">
        <w:softHyphen/>
        <w:t>syns</w:t>
      </w:r>
      <w:r w:rsidRPr="0008481A">
        <w:softHyphen/>
        <w:t>verksamhet visar att kommunerna re</w:t>
      </w:r>
      <w:r w:rsidRPr="0008481A">
        <w:t>gelmässigt även underrättar den enskilde om beslut enligt 6 g § SoL. Eftersom beslut enligt den bestämmelsen utgör myndighetsutövning mot en enskild är det självfallet lämpligt att underrättelse också sker i de fallen.</w:t>
      </w:r>
    </w:p>
    <w:p w:rsidR="003B3271" w:rsidRPr="0008481A" w:rsidRDefault="003B3271">
      <w:pPr>
        <w:pStyle w:val="Rubrik4"/>
      </w:pPr>
      <w:r w:rsidRPr="0008481A">
        <w:t>Avslutning</w:t>
      </w:r>
    </w:p>
    <w:p w:rsidR="003B3271" w:rsidRPr="0008481A" w:rsidRDefault="003B3271">
      <w:r w:rsidRPr="0008481A">
        <w:t>Som framgår av det anförda uppfyller handläggningen inte de krav som följer av bestämmelserna i SoL. Förutsättningar för social</w:t>
      </w:r>
      <w:r w:rsidRPr="0008481A">
        <w:softHyphen/>
        <w:t>nämnden att återkräva det utgivna försörjningsstödet har således inte förelegat. Det finns därför skäl att rikta kritik mot handläggningen av ärendet.</w:t>
      </w:r>
    </w:p>
    <w:p w:rsidR="003B3271" w:rsidRPr="0008481A" w:rsidRDefault="003B3271">
      <w:pPr>
        <w:pStyle w:val="Rubrik2"/>
      </w:pPr>
      <w:r w:rsidRPr="0008481A">
        <w:t>Fråga om en socialnämnds ansvar för personer med psykiska funktionshinder</w:t>
      </w:r>
    </w:p>
    <w:p w:rsidR="003B3271" w:rsidRPr="0008481A" w:rsidRDefault="003B3271">
      <w:r w:rsidRPr="0008481A">
        <w:t>(Dnr 727-1999)</w:t>
      </w:r>
    </w:p>
    <w:p w:rsidR="003B3271" w:rsidRPr="0008481A" w:rsidRDefault="003B3271">
      <w:r w:rsidRPr="0008481A">
        <w:t>I en skrivelse till JO begärde G.Y. att JO skulle inleda en undersökning mot Socialnämnden i Nacka kommun med anledning av att nämnden, trots inkomna anmälningar, underlåtit att agera i ett ärende rörande en psykiskt sjuk man som trakasserade en kvinna och hennes dotter som bodde granne med denne. G.Y. grundade sin skrivelse på uppgifter i en tidningsartikel.</w:t>
      </w:r>
    </w:p>
    <w:p w:rsidR="003B3271" w:rsidRPr="0008481A" w:rsidRDefault="003B3271">
      <w:pPr>
        <w:pStyle w:val="Normaltindrag"/>
      </w:pPr>
      <w:r w:rsidRPr="0008481A">
        <w:t>Upplysningar över anmälan infordrades från socialförvaltningen i Nacka kom</w:t>
      </w:r>
      <w:r w:rsidRPr="0008481A">
        <w:softHyphen/>
        <w:t>mun.</w:t>
      </w:r>
    </w:p>
    <w:p w:rsidR="003B3271" w:rsidRPr="0008481A" w:rsidRDefault="003B3271">
      <w:pPr>
        <w:pStyle w:val="Normaltindrag"/>
      </w:pPr>
      <w:r w:rsidRPr="0008481A">
        <w:t>Förvaltningen överlämnade som svar en av enhetschefen Kent Spångberg upp</w:t>
      </w:r>
      <w:r w:rsidRPr="0008481A">
        <w:softHyphen/>
        <w:t>rättad skrivelse. Till skrivelsen fogades ett ärendeblad, varav det framgick att den i artikeln nämnde mannen, H.J., under hösten 1997 och fram till januari 1998 var aktuell hos socialförvaltningen med anledning av en ansökan om bistånd till place</w:t>
      </w:r>
      <w:r w:rsidRPr="0008481A">
        <w:softHyphen/>
        <w:t xml:space="preserve">ring i familjehem. I skrivelsen anfördes bl.a. följande </w:t>
      </w:r>
      <w:r w:rsidRPr="0008481A">
        <w:rPr>
          <w:i/>
        </w:rPr>
        <w:t>(bilagorna här ute</w:t>
      </w:r>
      <w:r w:rsidRPr="0008481A">
        <w:rPr>
          <w:i/>
        </w:rPr>
        <w:softHyphen/>
        <w:t>läm</w:t>
      </w:r>
      <w:r w:rsidRPr="0008481A">
        <w:rPr>
          <w:i/>
        </w:rPr>
        <w:softHyphen/>
        <w:t>nade).</w:t>
      </w:r>
    </w:p>
    <w:p w:rsidR="003B3271" w:rsidRPr="0008481A" w:rsidRDefault="003B3271">
      <w:pPr>
        <w:pStyle w:val="Citat"/>
      </w:pPr>
      <w:r w:rsidRPr="0008481A">
        <w:t>Tidigare kontakter mellan H.J. och nämnden framgår av bilaga 1, ärende</w:t>
      </w:r>
      <w:r w:rsidRPr="0008481A">
        <w:softHyphen/>
        <w:t xml:space="preserve">blad. </w:t>
      </w:r>
    </w:p>
    <w:p w:rsidR="003B3271" w:rsidRPr="0008481A" w:rsidRDefault="003B3271">
      <w:pPr>
        <w:pStyle w:val="Citatindrag"/>
      </w:pPr>
      <w:r w:rsidRPr="0008481A">
        <w:t xml:space="preserve"> Därefter har tre PM inkommit, den 980731 (bilaga 2), den 980810 (bilaga 3) samt den 980904 (bilaga 4).</w:t>
      </w:r>
    </w:p>
    <w:p w:rsidR="003B3271" w:rsidRPr="0008481A" w:rsidRDefault="003B3271">
      <w:pPr>
        <w:pStyle w:val="Citat"/>
      </w:pPr>
      <w:r w:rsidRPr="0008481A">
        <w:t>Följande åtgärder har vidtagits med anledning av de tre promemoriorna.</w:t>
      </w:r>
    </w:p>
    <w:p w:rsidR="003B3271" w:rsidRPr="0008481A" w:rsidRDefault="003B3271">
      <w:pPr>
        <w:pStyle w:val="Citat"/>
      </w:pPr>
      <w:r w:rsidRPr="0008481A">
        <w:t>980731</w:t>
      </w:r>
    </w:p>
    <w:p w:rsidR="003B3271" w:rsidRPr="0008481A" w:rsidRDefault="003B3271">
      <w:pPr>
        <w:pStyle w:val="Citat"/>
        <w:spacing w:before="0"/>
      </w:pPr>
      <w:r w:rsidRPr="0008481A">
        <w:t>Pinsp. Arne Larsson besökte socialtjänstens kontor i Ektorp för att lämna ett PM ang H.J., daterat 980730 samt med ett önskemål om att H.J. skulle få vård. Handläggaren, som talade med Arne L. frågade om det fanns missbruk med i bilden men fick till svar att det var psykiatriska problem, vilket också framgår av den överlämnade promemorian. Handläggaren informerade Arne L. om att socialtjänsten varken har kompetens att bedöma vårdbehov av psykiatrisk art eller befogenhet att agera tvångsmässigt. För detta b</w:t>
      </w:r>
      <w:r w:rsidRPr="0008481A">
        <w:t>ehövs en läkare med psykiatrisk kompetens. Handläggaren lovade att kontakta och in</w:t>
      </w:r>
      <w:r w:rsidRPr="0008481A">
        <w:softHyphen/>
        <w:t>formera psykiatrin ang H.J. Därefter kontaktades den öppna psykmottag</w:t>
      </w:r>
      <w:r w:rsidRPr="0008481A">
        <w:softHyphen/>
        <w:t>ningens jour för att aktualisera vårdbehovet. Handläggaren ombads faxa över polisens PM för en bedömning, vilket också skedde.</w:t>
      </w:r>
    </w:p>
    <w:p w:rsidR="003B3271" w:rsidRPr="0008481A" w:rsidRDefault="003B3271">
      <w:pPr>
        <w:pStyle w:val="Citat"/>
      </w:pPr>
      <w:r w:rsidRPr="0008481A">
        <w:t>980812</w:t>
      </w:r>
    </w:p>
    <w:p w:rsidR="003B3271" w:rsidRPr="0008481A" w:rsidRDefault="003B3271">
      <w:pPr>
        <w:pStyle w:val="Citat"/>
        <w:spacing w:before="0"/>
      </w:pPr>
      <w:r w:rsidRPr="0008481A">
        <w:t>Nytt PM från polisen. Handläggaren faxade även detta till landstingspsyki</w:t>
      </w:r>
      <w:r w:rsidRPr="0008481A">
        <w:softHyphen/>
        <w:t>at</w:t>
      </w:r>
      <w:r w:rsidRPr="0008481A">
        <w:softHyphen/>
        <w:t>rin med hänvisning till samtalet den 980731. Senare under dagen blev handläggaren uppringd av personal från psykiatrin, som hade önskemål om att bli uppringda av polisen när de nästa gång gjorde en utryckning till H.J. Avsikten var att då kunna göra en bedömning. Handläggaren föreslog då istället att psykiatripersonalen skulle ta direkt kontakt med polisen. Telefon</w:t>
      </w:r>
      <w:r w:rsidRPr="0008481A">
        <w:softHyphen/>
        <w:t>nummer till Arne Larsson överlämnades. Man lovade kontakta honom.</w:t>
      </w:r>
    </w:p>
    <w:p w:rsidR="003B3271" w:rsidRPr="0008481A" w:rsidRDefault="003B3271">
      <w:pPr>
        <w:pStyle w:val="Citat"/>
      </w:pPr>
      <w:r w:rsidRPr="0008481A">
        <w:t>980909</w:t>
      </w:r>
    </w:p>
    <w:p w:rsidR="003B3271" w:rsidRPr="0008481A" w:rsidRDefault="003B3271">
      <w:pPr>
        <w:pStyle w:val="Citat"/>
        <w:spacing w:before="0"/>
      </w:pPr>
      <w:r w:rsidRPr="0008481A">
        <w:t>Nytt PM. Även detta faxades till psykiatrimottagningen med ett följebrev och hänvisning till förra kontakten. Handläggaren sökte även pinsp. Håkan Asplund som dock ej var i tjänst varför hon talade med hans kollega, som upplystes om att PM:et vidarebefordrats till psykiatrin och att de hade en önskan om att bli kontaktade när något händer så att de kunde följa med och göra en bedömning. Polisen lovade göra en anteckning om detta.</w:t>
      </w:r>
    </w:p>
    <w:p w:rsidR="003B3271" w:rsidRPr="0008481A" w:rsidRDefault="003B3271">
      <w:pPr>
        <w:pStyle w:val="Citat"/>
      </w:pPr>
      <w:r w:rsidRPr="0008481A">
        <w:t>Undertecknads bedömning av ärendets handläggning.</w:t>
      </w:r>
    </w:p>
    <w:p w:rsidR="003B3271" w:rsidRPr="0008481A" w:rsidRDefault="003B3271">
      <w:pPr>
        <w:pStyle w:val="Citat"/>
      </w:pPr>
      <w:r w:rsidRPr="0008481A">
        <w:t>En vårdbedömning av en person i kris måste göras av personal med kompe</w:t>
      </w:r>
      <w:r w:rsidRPr="0008481A">
        <w:softHyphen/>
        <w:t>tens för detta ändamål. Socialtjänstens roll i detta fall kan bara vara att för</w:t>
      </w:r>
      <w:r w:rsidRPr="0008481A">
        <w:softHyphen/>
        <w:t>medla kontakt till rätt instans. Ett tvångsmässigt ingripande är ett stort in</w:t>
      </w:r>
      <w:r w:rsidRPr="0008481A">
        <w:softHyphen/>
        <w:t>grepp i en människas liv. Socialtjänsten kan ingripa enl. LVM då missbruk föreligger. Psykiatrin då psykisk sjukdom föreligger och polisen då brott föreligger. Varje instans har tydligt reglerat då man kan agera. Ibland görs bedömningen att kriterier ej föreligger trots att allmänheten drabbas. Detta är priset för den rättssäkerhet vi har. Det är trag</w:t>
      </w:r>
      <w:r w:rsidRPr="0008481A">
        <w:t>iskt när oskyldiga människor drabbas och varje instans måste noga överväga sitt agerande. I det nu redo</w:t>
      </w:r>
      <w:r w:rsidRPr="0008481A">
        <w:softHyphen/>
        <w:t>visade ärendet har handläggande socialsekreteraren förvissat sig om att det inte förelåg något missbruk. Hon har dessutom uppfyllt kravet på service till andra genom att vid flera tillfällen förmedlat och följt upp kontakter med öv</w:t>
      </w:r>
      <w:r w:rsidRPr="0008481A">
        <w:softHyphen/>
        <w:t>riga aktörer.</w:t>
      </w:r>
    </w:p>
    <w:p w:rsidR="003B3271" w:rsidRPr="0008481A" w:rsidRDefault="003B3271">
      <w:r w:rsidRPr="0008481A">
        <w:t>Med anledning av innehållet i de inkomna upplysningarna remitterades ärendet till Socialnämnden i Nacka kommun för yttrande över dess inställ</w:t>
      </w:r>
      <w:r w:rsidRPr="0008481A">
        <w:softHyphen/>
        <w:t>ning i frågan om nämnden fullgjort sina åligganden enligt 21 och 21 a §§ socialtjänstlagen (1980:620), SoL, samt om socialtjänsten med hänsyn till gällande bestämmelser om sekre</w:t>
      </w:r>
      <w:r w:rsidRPr="0008481A">
        <w:softHyphen/>
        <w:t>tess hade kunnat lämna ut de aktuella uppgifterna till hälso- och sjukvården.</w:t>
      </w:r>
    </w:p>
    <w:p w:rsidR="003B3271" w:rsidRPr="0008481A" w:rsidRDefault="003B3271">
      <w:pPr>
        <w:pStyle w:val="Normaltindrag"/>
      </w:pPr>
      <w:r w:rsidRPr="0008481A">
        <w:t>Nämnden åberopade som sitt remissvar ett av Kent Spångberg och social</w:t>
      </w:r>
      <w:r w:rsidRPr="0008481A">
        <w:softHyphen/>
        <w:t>chefen Börje Karlsson upprättat yttrande samt föreslog JO att inga ytterligare åtgärder vidtas utöver den av dem gjorda utred</w:t>
      </w:r>
      <w:r w:rsidRPr="0008481A">
        <w:softHyphen/>
        <w:t xml:space="preserve">ningen. I yttrandet anfördes bl.a. följande </w:t>
      </w:r>
      <w:r w:rsidRPr="0008481A">
        <w:rPr>
          <w:i/>
        </w:rPr>
        <w:t>(bilagorna här utelämnade)</w:t>
      </w:r>
      <w:r w:rsidRPr="0008481A">
        <w:t>.</w:t>
      </w:r>
    </w:p>
    <w:p w:rsidR="003B3271" w:rsidRPr="0008481A" w:rsidRDefault="003B3271">
      <w:pPr>
        <w:pStyle w:val="Citat"/>
      </w:pPr>
      <w:r w:rsidRPr="0008481A">
        <w:t>Med anledning av att nämnden genom inkomna promemorior från polisen fått kännedom om att H.J. riskerade förlora sin bostad erbjöds han tid för ett samtal (bilaga 3). Den 981029 ringde H.J. till handläggaren för att meddela att han inte hade möjlighet att besöka socialkontoret. Han hade då flyttat till sina föräl</w:t>
      </w:r>
      <w:r w:rsidRPr="0008481A">
        <w:t>drar i Malung. Hans hyresvärd i Nacka har för avsikt att vräka ho</w:t>
      </w:r>
      <w:r w:rsidRPr="0008481A">
        <w:softHyphen/>
        <w:t>nom. Ny kontakt togs den 981030 för att avtala ny tid men H.J. ville avvakta med besöket till mitten av november. Den 981104 togs ny telefonkontakt och ny tid för sammanträffande bestämdes till den 981123. Samtidigt inled</w:t>
      </w:r>
      <w:r w:rsidRPr="0008481A">
        <w:softHyphen/>
        <w:t>des utredning jml. 50 § SoL och kontakt togs med försäkringskassan för att efterhöra hur handläggningen av H.J:s förlängningsansökan avseende fort</w:t>
      </w:r>
      <w:r w:rsidRPr="0008481A">
        <w:softHyphen/>
        <w:t>satt sjukbidrag fortgick.</w:t>
      </w:r>
    </w:p>
    <w:p w:rsidR="003B3271" w:rsidRPr="0008481A" w:rsidRDefault="003B3271">
      <w:pPr>
        <w:pStyle w:val="Citatindrag"/>
      </w:pPr>
      <w:r w:rsidRPr="0008481A">
        <w:t>Den 981110 förmedlades kontakt från H.J. via social</w:t>
      </w:r>
      <w:r w:rsidRPr="0008481A">
        <w:t>tjänsten i Malung då han söker ekonomiskt bistånd i avvaktan på förlängt sjukbidrag. H.J. bevil</w:t>
      </w:r>
      <w:r w:rsidRPr="0008481A">
        <w:softHyphen/>
        <w:t>jas då ekonomiskt bistånd i avvaktan på att hans ansökan om förlängning av sjukbidraget skall behandlas. § 50 utredningen avslutades då H.J. förklarat att han var i behov av annat än ekonomisk hjälp. Den 990419 kom det till nämndens kännedom att H.J. omhändertagits inom kriminalvården och ärendet avslutades. F.n. är H.J. föremål för rättspsykiatrisk vård enl. LRV.</w:t>
      </w:r>
    </w:p>
    <w:p w:rsidR="003B3271" w:rsidRPr="0008481A" w:rsidRDefault="003B3271">
      <w:pPr>
        <w:pStyle w:val="Citatindrag"/>
      </w:pPr>
      <w:r w:rsidRPr="0008481A">
        <w:t>Genom ovan redovisade kontakter anser nämnden att</w:t>
      </w:r>
      <w:r w:rsidRPr="0008481A">
        <w:t xml:space="preserve"> de åligganden som av</w:t>
      </w:r>
      <w:r w:rsidRPr="0008481A">
        <w:softHyphen/>
        <w:t>ses i 21 och 21 a §§ har fullgjorts.</w:t>
      </w:r>
    </w:p>
    <w:p w:rsidR="003B3271" w:rsidRPr="0008481A" w:rsidRDefault="003B3271">
      <w:pPr>
        <w:pStyle w:val="Citatindrag"/>
      </w:pPr>
      <w:r w:rsidRPr="0008481A">
        <w:t>Vad avser huruvida nämnden p.g.a. sekretess har kunnat lämna ut de aktu</w:t>
      </w:r>
      <w:r w:rsidRPr="0008481A">
        <w:softHyphen/>
        <w:t>ella uppgifterna som skedde till psykiatrin kan bara konstateras att handläg</w:t>
      </w:r>
      <w:r w:rsidRPr="0008481A">
        <w:softHyphen/>
        <w:t>gande socialsekreteraren i sin ambition att skapa goda relationer till närpoli</w:t>
      </w:r>
      <w:r w:rsidRPr="0008481A">
        <w:softHyphen/>
        <w:t>sen begått ett misstag. Med beaktande av formuleringen i sekretesslagen 14 kap. 2 § punkt 3 sista stycket, där det framgår att uppgift om missbru</w:t>
      </w:r>
      <w:r w:rsidRPr="0008481A">
        <w:softHyphen/>
        <w:t xml:space="preserve">kare kan lämnas ut om det behövs för att den enskilde skall få nödvändig vård, ligger det nära till hands att se även psykiatriska vårdbehov angelägna att tillgodose. Denna bedömning av en socialsekreterare i </w:t>
      </w:r>
      <w:r w:rsidRPr="0008481A">
        <w:t>en stressad arbets</w:t>
      </w:r>
      <w:r w:rsidRPr="0008481A">
        <w:softHyphen/>
        <w:t>si</w:t>
      </w:r>
      <w:r w:rsidRPr="0008481A">
        <w:softHyphen/>
        <w:t>tuation mitt under semestertid där möjligheterna att konsultera juridisk ex</w:t>
      </w:r>
      <w:r w:rsidRPr="0008481A">
        <w:softHyphen/>
        <w:t>pertis var begränsade, förtjänar inte kritik.</w:t>
      </w:r>
    </w:p>
    <w:p w:rsidR="003B3271" w:rsidRPr="0008481A" w:rsidRDefault="003B3271">
      <w:pPr>
        <w:pStyle w:val="Citatindrag"/>
      </w:pPr>
      <w:r w:rsidRPr="0008481A">
        <w:t>I efterskott kan vi under lugnare förhållanden konstatera att ett juridiskt rik</w:t>
      </w:r>
      <w:r w:rsidRPr="0008481A">
        <w:softHyphen/>
        <w:t>tigt förfaringssätt hade varit att den besökande polismannen skulle ha infor</w:t>
      </w:r>
      <w:r w:rsidRPr="0008481A">
        <w:softHyphen/>
        <w:t>merats om sekretesslagens bestämmelser och istället hänvisats till den in</w:t>
      </w:r>
      <w:r w:rsidRPr="0008481A">
        <w:softHyphen/>
        <w:t>stans där kompetens för bedömning av misstänkt psykiskt sjuka personer finns.</w:t>
      </w:r>
    </w:p>
    <w:p w:rsidR="003B3271" w:rsidRPr="0008481A" w:rsidRDefault="003B3271">
      <w:pPr>
        <w:pStyle w:val="Citatindrag"/>
      </w:pPr>
      <w:r w:rsidRPr="0008481A">
        <w:t>Misstaget har uppmärksammats genom den aktuella anmälan. Ingen person har drabbats p.g.a. detta misstag. Någon ytterligare åtgärd än denna utred</w:t>
      </w:r>
      <w:r w:rsidRPr="0008481A">
        <w:softHyphen/>
        <w:t>ning kan inte anses nödvändig.</w:t>
      </w:r>
    </w:p>
    <w:p w:rsidR="003B3271" w:rsidRPr="0008481A" w:rsidRDefault="003B3271">
      <w:r w:rsidRPr="0008481A">
        <w:rPr>
          <w:i/>
        </w:rPr>
        <w:t>JO</w:t>
      </w:r>
      <w:r w:rsidRPr="0008481A">
        <w:t xml:space="preserve"> </w:t>
      </w:r>
      <w:r w:rsidRPr="0008481A">
        <w:rPr>
          <w:i/>
        </w:rPr>
        <w:t>André</w:t>
      </w:r>
      <w:r w:rsidRPr="0008481A">
        <w:t xml:space="preserve"> anförde i ett beslut den 13 september 1999 följande. </w:t>
      </w:r>
    </w:p>
    <w:p w:rsidR="003B3271" w:rsidRPr="0008481A" w:rsidRDefault="003B3271">
      <w:pPr>
        <w:pStyle w:val="Rubrik4"/>
      </w:pPr>
      <w:r w:rsidRPr="0008481A">
        <w:t>Nämndens agerande mot bakgrund av bestämmelserna i 21 och 21 a § § social</w:t>
      </w:r>
      <w:r w:rsidRPr="0008481A">
        <w:softHyphen/>
        <w:t>tjänstlagen</w:t>
      </w:r>
    </w:p>
    <w:p w:rsidR="003B3271" w:rsidRPr="0008481A" w:rsidRDefault="003B3271">
      <w:r w:rsidRPr="0008481A">
        <w:t>Enligt 21 § SoL skall socialnämnden verka för att människor som av fysiska, psy</w:t>
      </w:r>
      <w:r w:rsidRPr="0008481A">
        <w:softHyphen/>
        <w:t>kiska eller andra skäl möter betydande svårigheter i sin livsföring får möjlighet att delta i samhällets gemenskap och att leva som andra. Social</w:t>
      </w:r>
      <w:r w:rsidRPr="0008481A">
        <w:softHyphen/>
        <w:t>nämnden skall med</w:t>
      </w:r>
      <w:r w:rsidRPr="0008481A">
        <w:softHyphen/>
        <w:t>verka till att den enskilde får en meningsfull syssel</w:t>
      </w:r>
      <w:r w:rsidRPr="0008481A">
        <w:softHyphen/>
        <w:t>sättning och att han får bo på ett sätt som är anpassat efter hans behov av särskilt stöd. Vidare åligger det kom</w:t>
      </w:r>
      <w:r w:rsidRPr="0008481A">
        <w:softHyphen/>
        <w:t xml:space="preserve">munen att inrätta bostäder med särskild service för dem som till följd av sådana svårigheter som anges i bestämmelsen behöver ett sådant boende. </w:t>
      </w:r>
    </w:p>
    <w:p w:rsidR="003B3271" w:rsidRPr="0008481A" w:rsidRDefault="003B3271">
      <w:pPr>
        <w:pStyle w:val="Normaltindrag"/>
      </w:pPr>
      <w:r w:rsidRPr="0008481A">
        <w:t>I 21 a § SoL anges att socialnämn</w:t>
      </w:r>
      <w:r w:rsidRPr="0008481A">
        <w:t>den skall göra sig väl förtrogen med levnadsför</w:t>
      </w:r>
      <w:r w:rsidRPr="0008481A">
        <w:softHyphen/>
        <w:t>hållandena i kommunen för människor med fysiska och psykiska funktionshinder samt i sin uppsökande verksamhet upplysa om social</w:t>
      </w:r>
      <w:r w:rsidRPr="0008481A">
        <w:softHyphen/>
        <w:t>tjänstens verksamhet på dessa områden. Kommunen skall planera sina insatser för människor med fysiska och psykiska funktionshinder och i planeringen skall kommunen samverka med landstinget samt andra sam</w:t>
      </w:r>
      <w:r w:rsidRPr="0008481A">
        <w:softHyphen/>
        <w:t>hällsorgan och institutioner.</w:t>
      </w:r>
    </w:p>
    <w:p w:rsidR="003B3271" w:rsidRPr="0008481A" w:rsidRDefault="003B3271">
      <w:pPr>
        <w:pStyle w:val="Normaltindrag"/>
      </w:pPr>
      <w:r w:rsidRPr="0008481A">
        <w:t xml:space="preserve"> Det kan sammanfattningsvis konstateras att kommunernas soci</w:t>
      </w:r>
      <w:r w:rsidRPr="0008481A">
        <w:softHyphen/>
        <w:t>altjänst har ålagts ett långtgående ansvar för människor med fysiska och psykiska funktions</w:t>
      </w:r>
      <w:r w:rsidRPr="0008481A">
        <w:softHyphen/>
        <w:t>hinder. Detta innebär bl.a. att kommunerna skall bedriva upp</w:t>
      </w:r>
      <w:r w:rsidRPr="0008481A">
        <w:softHyphen/>
        <w:t>sökande verksamhet och samordna behövliga insatser samt, med iakttagande av sekretesslagens bestäm</w:t>
      </w:r>
      <w:r w:rsidRPr="0008481A">
        <w:softHyphen/>
        <w:t>melser, samverka med landstingen och andra samhälls</w:t>
      </w:r>
      <w:r w:rsidRPr="0008481A">
        <w:softHyphen/>
        <w:t>organ. I detta ansvar ligger också att initiera och till respektive organ påtala behovet av de åtgärder som iden</w:t>
      </w:r>
      <w:r w:rsidRPr="0008481A">
        <w:softHyphen/>
        <w:t xml:space="preserve">tifieras i den uppsökande verksamheten. (Se prop. 1993/94:218 s. 22 f.) </w:t>
      </w:r>
    </w:p>
    <w:p w:rsidR="003B3271" w:rsidRPr="0008481A" w:rsidRDefault="003B3271">
      <w:pPr>
        <w:pStyle w:val="Normaltindrag"/>
      </w:pPr>
      <w:r w:rsidRPr="0008481A">
        <w:t xml:space="preserve"> Av utredningen kan u</w:t>
      </w:r>
      <w:r w:rsidRPr="0008481A">
        <w:t>tläsas att socialtjänstens kontakter med H.J. avsluta</w:t>
      </w:r>
      <w:r w:rsidRPr="0008481A">
        <w:softHyphen/>
        <w:t>des i januari 1998 och att de återupptogs först i slutet av oktober samma år. De prome</w:t>
      </w:r>
      <w:r w:rsidRPr="0008481A">
        <w:softHyphen/>
        <w:t xml:space="preserve">morior angående H.J. som inkom från polismyndigheten under juli till september 1998 föranledde inledningsvis, såvitt framgår av de infordrade upplysningarna och remissvaret, inte någon annan åtgärd av socialtjänsten än att kontakt förmedlades mellan polisen och hälso- och sjukvården. </w:t>
      </w:r>
    </w:p>
    <w:p w:rsidR="003B3271" w:rsidRPr="0008481A" w:rsidRDefault="003B3271">
      <w:pPr>
        <w:pStyle w:val="Normaltindrag"/>
      </w:pPr>
      <w:r w:rsidRPr="0008481A">
        <w:t>Förvaltningen har i de ingivna upplysningarna anfört att socialtjänsten inte har komp</w:t>
      </w:r>
      <w:r w:rsidRPr="0008481A">
        <w:t>etens att bedöma vårdbehov av psykiatrisk art eller befogenhet att tillgripa  tvångsåtgärder vid misstanke om behov av psykiatrisk vård. Det är självfallet så att det i ett akut skede är en uppgift för hälso- och sjukvården att bedöma om ett in</w:t>
      </w:r>
      <w:r w:rsidRPr="0008481A">
        <w:softHyphen/>
        <w:t>gripande med psykiatrisk tvångsvård är påkallat och att, om så befinns vara fal</w:t>
      </w:r>
      <w:r w:rsidRPr="0008481A">
        <w:softHyphen/>
        <w:t xml:space="preserve">let, vidta erforderliga åtgärder. Innehållet i polisens promemorior var emellertid av den karaktären att förvaltningen, inom ramen för sina åligganden enligt 21 och 21 a §§ SoL, borde ha </w:t>
      </w:r>
      <w:r w:rsidRPr="0008481A">
        <w:t>undersökt om H.J. var i behov av några stödåtgärder från kommunens sida. För</w:t>
      </w:r>
      <w:r w:rsidRPr="0008481A">
        <w:softHyphen/>
        <w:t>valtningen har dock inte tagit initiativ till någon kontakt med H.J. förrän i slutet av oktober 1998, dvs. närmare tre månader efter det att den första promemorian in</w:t>
      </w:r>
      <w:r w:rsidRPr="0008481A">
        <w:softHyphen/>
        <w:t>kom från polisen. Den kontakt som då ägde rum bestod endast i att H.J. i ett brev erbjöds en tid för besök på förvaltningen och kontakten skedde, enligt remissvaret, med anledning av att det av promemori</w:t>
      </w:r>
      <w:r w:rsidRPr="0008481A">
        <w:softHyphen/>
        <w:t>orna framgick att H.J. riskerade att förlora sin bostad. Den vid</w:t>
      </w:r>
      <w:r w:rsidRPr="0008481A">
        <w:t>tagna åtgärden är givetvis inte till</w:t>
      </w:r>
      <w:r w:rsidRPr="0008481A">
        <w:softHyphen/>
        <w:t>räcklig för att förvaltningen skall anses ha fullgjort sina åligganden enligt social</w:t>
      </w:r>
      <w:r w:rsidRPr="0008481A">
        <w:softHyphen/>
        <w:t>tjänstlagen. Handläggningen har inte varit tillfredsställande och för</w:t>
      </w:r>
      <w:r w:rsidRPr="0008481A">
        <w:softHyphen/>
        <w:t>valtningen kan inte undgå kritik i denna del.</w:t>
      </w:r>
    </w:p>
    <w:p w:rsidR="003B3271" w:rsidRPr="0008481A" w:rsidRDefault="003B3271">
      <w:pPr>
        <w:pStyle w:val="Normaltindrag"/>
      </w:pPr>
      <w:r w:rsidRPr="0008481A">
        <w:t>Av remissvaret kan inte utläsas om det inom kommunen finns någon uppsökande verksamhet i syfte att nå personer med sådana funk</w:t>
      </w:r>
      <w:r w:rsidRPr="0008481A">
        <w:softHyphen/>
        <w:t>tionshinder att de kan vara i behov av hjälp och stöd. Jag förutsätter dock att nämnden är bekant med de skyldig</w:t>
      </w:r>
      <w:r w:rsidRPr="0008481A">
        <w:softHyphen/>
        <w:t>heter som kommunernas socialtjänst ålagts genom de regler som jag redogjort för ovan.</w:t>
      </w:r>
    </w:p>
    <w:p w:rsidR="003B3271" w:rsidRPr="0008481A" w:rsidRDefault="003B3271">
      <w:pPr>
        <w:pStyle w:val="Normaltindrag"/>
      </w:pPr>
      <w:r w:rsidRPr="0008481A">
        <w:t>Den kritik jag funnit skäl att rikta mot kommunen är av den karaktären att det finns anledning att tillställa länsstyrelsen en kopia av beslutet.</w:t>
      </w:r>
    </w:p>
    <w:p w:rsidR="003B3271" w:rsidRPr="0008481A" w:rsidRDefault="003B3271">
      <w:pPr>
        <w:pStyle w:val="Rubrik4"/>
      </w:pPr>
      <w:r w:rsidRPr="0008481A">
        <w:t>Sekretess</w:t>
      </w:r>
    </w:p>
    <w:p w:rsidR="003B3271" w:rsidRPr="0008481A" w:rsidRDefault="003B3271">
      <w:r w:rsidRPr="0008481A">
        <w:t>Enligt 7 kap. 4 § sekretessla</w:t>
      </w:r>
      <w:r w:rsidRPr="0008481A">
        <w:softHyphen/>
        <w:t>gen (1980:100), SekrL, gäller sekretess inom social</w:t>
      </w:r>
      <w:r w:rsidRPr="0008481A">
        <w:softHyphen/>
        <w:t>tjänsten för uppgift om enskilds personliga förhållanden om det inte står klart att uppgiften kan röjas utan att den enskilde eller honom närstående lider men. Be</w:t>
      </w:r>
      <w:r w:rsidRPr="0008481A">
        <w:softHyphen/>
        <w:t>stämmelsen innebär att socialtjänsen kan röja en sådan uppgift i princip endast med den enskildes samtycke. Enligt 14 kap. 2 § SekrL kan dock socialtjänsten till hälso- och sjukvården lämna ut vissa uppgifter om missbruk m.m. om det behövs för att den enskilde skall kunna få erforderlig vård. Nå</w:t>
      </w:r>
      <w:r w:rsidRPr="0008481A">
        <w:t>gon motsvarande möjlighet att lämna ut uppgifter om personer med psykiska funktionshinder finns emellertid inte. Jag bortser i det här sammanhanget från sådana fall där det föreligger någon form av nödsituation som motiverar att en uppgift lämnas ut.</w:t>
      </w:r>
    </w:p>
    <w:p w:rsidR="003B3271" w:rsidRPr="0008481A" w:rsidRDefault="003B3271">
      <w:pPr>
        <w:pStyle w:val="Normaltindrag"/>
      </w:pPr>
      <w:r w:rsidRPr="0008481A">
        <w:t>I förevarande fall har uppgiftslämnandet varit begränsat till att till hälso- och sjuk</w:t>
      </w:r>
      <w:r w:rsidRPr="0008481A">
        <w:softHyphen/>
        <w:t>vården översända de promemorior som polisen lämnade till förvaltningen. Som nämnden har anfört i sitt yttrande var detta rent formellt inte korrekt. Handlägga</w:t>
      </w:r>
      <w:r w:rsidRPr="0008481A">
        <w:softHyphen/>
        <w:t>ren kunde t.ex., efter att ha mottagit handlingarna i syfte att utröna om innehållet moti</w:t>
      </w:r>
      <w:r w:rsidRPr="0008481A">
        <w:softHyphen/>
        <w:t>verade någon åtgärd från socialtjänstens sida, ha upplyst polisen om att den borde vända sig direkt till någon psykiatrisk enhet för att begära medverkan av psykiatrisk expertis i det akuta skedet.</w:t>
      </w:r>
    </w:p>
    <w:p w:rsidR="003B3271" w:rsidRPr="0008481A" w:rsidRDefault="003B3271">
      <w:pPr>
        <w:pStyle w:val="Normaltindrag"/>
      </w:pPr>
      <w:r w:rsidRPr="0008481A">
        <w:t>Samarbetet mellan hälso- och sjukvård och socialtjänst är inte h</w:t>
      </w:r>
      <w:r w:rsidRPr="0008481A">
        <w:t>elt okomplicerat när det gäller personer med psykiska funktionshinder. Det är sannolikt så att gäl</w:t>
      </w:r>
      <w:r w:rsidRPr="0008481A">
        <w:softHyphen/>
        <w:t>lande regler om sekretess inom hälso- och sjukvården respektive socialtjänsten inte sällan uppfattas som ett hinder när det gäller att utbyta nödvändig information  om enskilda som kan vara i behov av åtgärder från någondera myndigheten. Jag kommer i min tillsynsverksamhet att ägna denna fråga särskilt intresse.</w:t>
      </w:r>
    </w:p>
    <w:p w:rsidR="003B3271" w:rsidRPr="0008481A" w:rsidRDefault="003B3271">
      <w:pPr>
        <w:pStyle w:val="Rubrik2"/>
      </w:pPr>
      <w:r w:rsidRPr="0008481A">
        <w:t>Principen om helhetssyn skall gälla vid handläggningen av ett ärende inom socialtjänsten</w:t>
      </w:r>
    </w:p>
    <w:p w:rsidR="003B3271" w:rsidRPr="0008481A" w:rsidRDefault="003B3271">
      <w:r w:rsidRPr="0008481A">
        <w:t>(Dnr 3882-1999)</w:t>
      </w:r>
    </w:p>
    <w:p w:rsidR="003B3271" w:rsidRPr="0008481A" w:rsidRDefault="003B3271">
      <w:r w:rsidRPr="0008481A">
        <w:t>I en anmälan till JO framförde S.J. klagomål mot socialförvaltningen i Lunds kommun angående handläggningen av frågor rörande hennes son A.J., född 1953. Samman</w:t>
      </w:r>
      <w:r w:rsidRPr="0008481A">
        <w:softHyphen/>
        <w:t>fattningsvis anförde S.J. följande. Socialförvaltningen behand</w:t>
      </w:r>
      <w:r w:rsidRPr="0008481A">
        <w:softHyphen/>
        <w:t>lar A.J. som fullt frisk, trots kännedom om A.J:s problem och sjuk</w:t>
      </w:r>
      <w:r w:rsidRPr="0008481A">
        <w:softHyphen/>
        <w:t>dom som han har haft sedan flera år tillbaka. Detta synsätt har bl.a. resulterat i att A.J. blev avhyst från sin bostad i februari 1999. Social</w:t>
      </w:r>
      <w:r w:rsidRPr="0008481A">
        <w:softHyphen/>
        <w:t xml:space="preserve">förvaltningen tog inte heller hand om honom vid avhysningen såsom tidigare hade utlovats. </w:t>
      </w:r>
    </w:p>
    <w:p w:rsidR="003B3271" w:rsidRPr="0008481A" w:rsidRDefault="003B3271">
      <w:pPr>
        <w:pStyle w:val="Normaltindrag"/>
      </w:pPr>
      <w:r w:rsidRPr="0008481A">
        <w:t>Socialnämnden i Lunds kommun anmodades att inkomma med utredning och yttrande över det som framfördes i S.J:s anmälan såvitt avsåg hand</w:t>
      </w:r>
      <w:r w:rsidRPr="0008481A">
        <w:softHyphen/>
        <w:t>läggningen fr.o.m. september 1997.</w:t>
      </w:r>
    </w:p>
    <w:p w:rsidR="003B3271" w:rsidRPr="0008481A" w:rsidRDefault="003B3271">
      <w:pPr>
        <w:pStyle w:val="Normaltindrag"/>
      </w:pPr>
      <w:r w:rsidRPr="0008481A">
        <w:t xml:space="preserve">Socialnämndens i Lunds kommun IFO-utskott anförde huvudsakligen följande i ett remissvar. </w:t>
      </w:r>
    </w:p>
    <w:p w:rsidR="003B3271" w:rsidRPr="0008481A" w:rsidRDefault="003B3271">
      <w:pPr>
        <w:pStyle w:val="Rubrik4"/>
      </w:pPr>
      <w:r w:rsidRPr="0008481A">
        <w:t>Angående samarbetet med S:t Lars</w:t>
      </w:r>
    </w:p>
    <w:p w:rsidR="003B3271" w:rsidRPr="0008481A" w:rsidRDefault="003B3271">
      <w:pPr>
        <w:pStyle w:val="Citat"/>
      </w:pPr>
      <w:r w:rsidRPr="0008481A">
        <w:t>A.J. blev inlagd på S:t Lars enligt LPT (lagen [1991:1128] om psykiatrisk tvångsvård, JO:s anm.) i början av mars -99. 990329 kontaktade kurator Birgitta Linddahl, S:t Lars, socialförvaltningen då A.J. var intresserad av att komma ifråga för en av socialför</w:t>
      </w:r>
      <w:r w:rsidRPr="0008481A">
        <w:softHyphen/>
        <w:t>valtningens stödbostäder. Tillsammans med S:t Lars hade socialförvalt</w:t>
      </w:r>
      <w:r w:rsidRPr="0008481A">
        <w:softHyphen/>
        <w:t>ningen bedrivit ett motivationsarbete för att förmå A.J. att ac</w:t>
      </w:r>
      <w:r w:rsidRPr="0008481A">
        <w:softHyphen/>
        <w:t>ceptera en sådan boendeform. Redan tidigare när det blivit känt för social</w:t>
      </w:r>
      <w:r w:rsidRPr="0008481A">
        <w:softHyphen/>
        <w:t>förvaltningen att A.J. skulle kunna komma att bli vräkt, har han er-bjudits att erhålla en stödbostad. Han tackade då nej till detta eftersom detta boende är förenat med kontakt med behandlingsassistent för kontinuer</w:t>
      </w:r>
      <w:r w:rsidRPr="0008481A">
        <w:softHyphen/>
        <w:t>lig uppföljning.</w:t>
      </w:r>
    </w:p>
    <w:p w:rsidR="003B3271" w:rsidRPr="0008481A" w:rsidRDefault="003B3271">
      <w:pPr>
        <w:pStyle w:val="Citatindrag"/>
      </w:pPr>
      <w:r w:rsidRPr="0008481A">
        <w:t>En samverkansträff bokades med alla inblandade kring A.J. för att gö</w:t>
      </w:r>
      <w:r w:rsidRPr="0008481A">
        <w:t>ra en behandlingsplanering. 990426 träffades läkare Ingvar Jönsson, kurator Birgitta Linddahl från S:t Lars, Lena Adolfsson, samordnare psykia</w:t>
      </w:r>
      <w:r w:rsidRPr="0008481A">
        <w:softHyphen/>
        <w:t>tri/socialtjänst, 1:e socialsekreterare Inger Fröman och socialsekreterare Roger Dürnberger från socialförvaltningen, kurator Leif Öhlin från Råd</w:t>
      </w:r>
      <w:r w:rsidRPr="0008481A">
        <w:softHyphen/>
        <w:t>givningsbyrån i narkotikafrågor samt A.J. En inventering av A.J:s behov gjordes och därefter en planering för att samordna hans olika kontakter. Det beslutades att A.J. skulle ha konti</w:t>
      </w:r>
      <w:r w:rsidRPr="0008481A">
        <w:softHyphen/>
        <w:t>nuerlig kontakt med Rådgivningsbyrån p</w:t>
      </w:r>
      <w:r w:rsidRPr="0008481A">
        <w:t>å grund av sitt missbruk. Hans be</w:t>
      </w:r>
      <w:r w:rsidRPr="0008481A">
        <w:softHyphen/>
        <w:t>hov av fortsatt medicinering skulle följas upp av läkaren vid S:t Lars. En an</w:t>
      </w:r>
      <w:r w:rsidRPr="0008481A">
        <w:softHyphen/>
        <w:t>sökan om stödboende gjordes och socialförvaltningen skulle även hjälpa A.J. till ett tillfälligt boende i avvaktan på att en stödbostad skulle kunna bli tillgänglig. A.J. var nöjd med denna planering.</w:t>
      </w:r>
    </w:p>
    <w:p w:rsidR="003B3271" w:rsidRPr="0008481A" w:rsidRDefault="003B3271">
      <w:pPr>
        <w:pStyle w:val="Citatindrag"/>
      </w:pPr>
      <w:r w:rsidRPr="0008481A">
        <w:t>A.J. blev försöksutskriven 990501 efter eget önskemål, hans LPT gick ut 990707. Under den tiden ordnades ett hotellboende i Landskrona. 990715 flyttade A.J. till socialförvaltningens stödboende och h</w:t>
      </w:r>
      <w:r w:rsidRPr="0008481A">
        <w:t>an bor kvar där.</w:t>
      </w:r>
    </w:p>
    <w:p w:rsidR="003B3271" w:rsidRPr="0008481A" w:rsidRDefault="003B3271">
      <w:pPr>
        <w:pStyle w:val="Rubrik4"/>
      </w:pPr>
      <w:r w:rsidRPr="0008481A">
        <w:t>Angående handläggning av ekonomiskt bistånd</w:t>
      </w:r>
    </w:p>
    <w:p w:rsidR="003B3271" w:rsidRPr="0008481A" w:rsidRDefault="003B3271">
      <w:pPr>
        <w:pStyle w:val="Citat"/>
      </w:pPr>
      <w:r w:rsidRPr="0008481A">
        <w:t>A.J. har erhållit ekonomiskt bistånd till sin försörjning sedan 1993. Han har varit arbetslös och i perioder även sjukskriven utan rätt till sjukpenning. Socialbidrag har beviljats månatligen efter inlämnad ansökan om fortsatt socialbidrag.</w:t>
      </w:r>
    </w:p>
    <w:p w:rsidR="003B3271" w:rsidRPr="0008481A" w:rsidRDefault="003B3271">
      <w:pPr>
        <w:pStyle w:val="Citatindrag"/>
      </w:pPr>
      <w:r w:rsidRPr="0008481A">
        <w:t>Efter det att A.J. varit omhändertagen enligt LPT i september 1997 önskade A.J. att bistånd till hyra skulle inbetalas direkt till hyresvärden LKF. Bistånd har därefter utgått varje månad under perioden september 1997 till och med oktober 1998. Något avslag på ansökan om ekonomiskt bistånd till hyres</w:t>
      </w:r>
      <w:r w:rsidRPr="0008481A">
        <w:softHyphen/>
        <w:t>kostnad på grund av att han ej medverkat i pla</w:t>
      </w:r>
      <w:r w:rsidRPr="0008481A">
        <w:softHyphen/>
        <w:t>nering kring vård har ej förekommit. A.J. ansökte inte om eko</w:t>
      </w:r>
      <w:r w:rsidRPr="0008481A">
        <w:softHyphen/>
        <w:t>nomiskt bistånd under perioden november 1998–februari 1999. Han har varit väl förtrogen med de regler som gäller för ansökan om socialbidrag och att ansökan skall inlämnas varje månad. A.J. har även blivit in</w:t>
      </w:r>
      <w:r w:rsidRPr="0008481A">
        <w:softHyphen/>
        <w:t>formerad om möjligheten att få god man i det fall han anser sig ha stora svå</w:t>
      </w:r>
      <w:r w:rsidRPr="0008481A">
        <w:softHyphen/>
        <w:t>righeter att klara av sin ekonomi men har ej ansett sig vara i behov av det.</w:t>
      </w:r>
    </w:p>
    <w:p w:rsidR="003B3271" w:rsidRPr="0008481A" w:rsidRDefault="003B3271">
      <w:pPr>
        <w:pStyle w:val="Citatindrag"/>
      </w:pPr>
      <w:r w:rsidRPr="0008481A">
        <w:t>I normalfallet utbetalas alltid bistånd</w:t>
      </w:r>
      <w:r w:rsidRPr="0008481A">
        <w:t>et till den enskilde. Endast i de fall bi</w:t>
      </w:r>
      <w:r w:rsidRPr="0008481A">
        <w:softHyphen/>
        <w:t>ståndstagaren missköter sin ekonomi brukar socialnämnden, efter samråd med den enskilde, betala ut biståndet direkt till hyresvärd/fordringsägare. Då det saknades skäl att anta att A.J. inte skulle kunna betros med att sköta sina hyresbetalningar utbetalades fram till september 1997 social</w:t>
      </w:r>
      <w:r w:rsidRPr="0008481A">
        <w:softHyphen/>
        <w:t>bidrag i sin helhet till honom. Därefter har hyresbeloppet varje månad inbe</w:t>
      </w:r>
      <w:r w:rsidRPr="0008481A">
        <w:softHyphen/>
        <w:t>talats direkt till hyresvärden i enlighet med sökandens önskemål. A.J. blev avhyst från sin bostad i fe</w:t>
      </w:r>
      <w:r w:rsidRPr="0008481A">
        <w:t>bruari 1999 på grund av störande beteende samt obetalda hyror för månaderna efter oktober 1998. – – –</w:t>
      </w:r>
    </w:p>
    <w:p w:rsidR="003B3271" w:rsidRPr="0008481A" w:rsidRDefault="003B3271">
      <w:pPr>
        <w:pStyle w:val="Citatindrag"/>
      </w:pPr>
      <w:r w:rsidRPr="0008481A">
        <w:t>A.J. har vid ett flertal tillfällen erbjudits hjälp med att sanera sin lägenhet men tackat nej då han sagt sig klara detta på egen hand och själv flyttat en del saker till goda vänners förråd. Han har även erbjudits kontakt med det specialteam inom socialförvaltningen som arbetar med de personer som behöver stöd i boendesituationen. Utöver samtalskontakt med den social</w:t>
      </w:r>
      <w:r w:rsidRPr="0008481A">
        <w:softHyphen/>
        <w:t>sekreterare som arbetar på en samverkanstjänst mellan socialtjänst och psykiatri har det ej varit möjligt att genom frivilliga insatser ge A.J. ytter</w:t>
      </w:r>
      <w:r w:rsidRPr="0008481A">
        <w:softHyphen/>
        <w:t>ligare stöd i samband med boendesituationen.</w:t>
      </w:r>
    </w:p>
    <w:p w:rsidR="003B3271" w:rsidRPr="0008481A" w:rsidRDefault="003B3271">
      <w:r w:rsidRPr="0008481A">
        <w:t xml:space="preserve">S.J. yttrade sig över remissvaret. </w:t>
      </w:r>
    </w:p>
    <w:p w:rsidR="003B3271" w:rsidRPr="0008481A" w:rsidRDefault="003B3271">
      <w:r w:rsidRPr="0008481A">
        <w:t>JO hade tillgång till A.J:s personakt.</w:t>
      </w:r>
    </w:p>
    <w:p w:rsidR="003B3271" w:rsidRPr="0008481A" w:rsidRDefault="003B3271">
      <w:r w:rsidRPr="0008481A">
        <w:rPr>
          <w:i/>
        </w:rPr>
        <w:t>Stf. JO Norell Söderblom</w:t>
      </w:r>
      <w:r w:rsidRPr="0008481A">
        <w:t xml:space="preserve"> anförde i ett beslut den 15 mars följande.</w:t>
      </w:r>
    </w:p>
    <w:p w:rsidR="003B3271" w:rsidRPr="0008481A" w:rsidRDefault="003B3271">
      <w:pPr>
        <w:pStyle w:val="Normaltindrag"/>
      </w:pPr>
      <w:r w:rsidRPr="0008481A">
        <w:t>JO skall enligt de regler som gäller för JO:s verksamhet normalt inte utreda hä</w:t>
      </w:r>
      <w:r w:rsidRPr="0008481A">
        <w:t>n</w:t>
      </w:r>
      <w:r w:rsidRPr="0008481A">
        <w:softHyphen/>
        <w:t xml:space="preserve">delser eller förhållanden som ligger mer än två år tillbaka i tiden om det inte finns särskilda skäl för det. Jag anser inte att det föreligger något sådant skäl.  </w:t>
      </w:r>
    </w:p>
    <w:p w:rsidR="003B3271" w:rsidRPr="0008481A" w:rsidRDefault="003B3271">
      <w:pPr>
        <w:pStyle w:val="Normaltindrag"/>
      </w:pPr>
      <w:r w:rsidRPr="0008481A">
        <w:t>Min granskning av ärendet föranleder vissa kommentarer angående hand</w:t>
      </w:r>
      <w:r w:rsidRPr="0008481A">
        <w:softHyphen/>
        <w:t>lägg</w:t>
      </w:r>
      <w:r w:rsidRPr="0008481A">
        <w:softHyphen/>
        <w:t>ningen av frågan om ekonomiskt bistånd. Sådant bistånd hade utgått kontinuerligt till A.J. under tidsperioden september 1997–oktober 1998. Enligt remissvaret ansökte inte A.J. om ekonomiskt bistånd under tids</w:t>
      </w:r>
      <w:r w:rsidRPr="0008481A">
        <w:softHyphen/>
        <w:t>perioden november 1998–februari 1999. Av journalanteckningarna fram</w:t>
      </w:r>
      <w:r w:rsidRPr="0008481A">
        <w:softHyphen/>
        <w:t>går vidare att en handläggare vid socialförvaltningens vuxensektion den 18 november 1998 upp</w:t>
      </w:r>
      <w:r w:rsidRPr="0008481A">
        <w:softHyphen/>
        <w:t>lyste att A.J. hade ”blivit av med sin bostad” och att A.J. var intagen enligt LPT. Vidare framgår det att en kurator den 23 november 19</w:t>
      </w:r>
      <w:r w:rsidRPr="0008481A">
        <w:t>98 lämnade information om att A.J. var intagen med stöd av LPT och att tvångs</w:t>
      </w:r>
      <w:r w:rsidRPr="0008481A">
        <w:softHyphen/>
        <w:t>vården inte skulle komma att för</w:t>
      </w:r>
      <w:r w:rsidRPr="0008481A">
        <w:softHyphen/>
        <w:t xml:space="preserve">längas efter den 4 december 1998. Den 25 november 1998 inkom ett meddelande om uppsägning av A.J:s bostad. </w:t>
      </w:r>
    </w:p>
    <w:p w:rsidR="003B3271" w:rsidRPr="0008481A" w:rsidRDefault="003B3271">
      <w:pPr>
        <w:pStyle w:val="Normaltindrag"/>
      </w:pPr>
      <w:r w:rsidRPr="0008481A">
        <w:t>När socialtjänstlagen (1980:620) infördes 1982 var helhetssyn ett av de centrala begreppen. Helhetssynen avsåg flera dimensioner, bl.a. att social</w:t>
      </w:r>
      <w:r w:rsidRPr="0008481A">
        <w:softHyphen/>
        <w:t>tjänsten skulle beakta den enskildes totala sociala situation. Det var också fråga om en helhetssyn i socialtjänstens arbetssätt. Specialisering skulle kunna förekomma under förut</w:t>
      </w:r>
      <w:r w:rsidRPr="0008481A">
        <w:softHyphen/>
        <w:t>sätt</w:t>
      </w:r>
      <w:r w:rsidRPr="0008481A">
        <w:softHyphen/>
        <w:t>ning att sådan inte ledde till att helhetssynen på olika problem försummades. Stora förändringar av socialtjänstens organisation har emellertid skett efter det att social</w:t>
      </w:r>
      <w:r w:rsidRPr="0008481A">
        <w:softHyphen/>
        <w:t>tjänstlagen trädde i kraft. Dessa förändringar har inneburit såväl integrering som specialisering av social</w:t>
      </w:r>
      <w:r w:rsidRPr="0008481A">
        <w:softHyphen/>
        <w:t>tjänstens arbete. Oavsett vilken organisationsf</w:t>
      </w:r>
      <w:r w:rsidRPr="0008481A">
        <w:t xml:space="preserve">orm som har valts kvarstår emellertid grundprincipen om en helhetssyn.   </w:t>
      </w:r>
    </w:p>
    <w:p w:rsidR="003B3271" w:rsidRPr="0008481A" w:rsidRDefault="003B3271">
      <w:pPr>
        <w:pStyle w:val="Normaltindrag"/>
      </w:pPr>
      <w:r w:rsidRPr="0008481A">
        <w:t>I förvarande fall är det uppenbarligen fråga om en person som under vissa perioder har bedömts lida av en allvarlig psykisk störning. Oavsett A.J:s tidigare inställning till hjälp från socialnämndens sida ålåg det social</w:t>
      </w:r>
      <w:r w:rsidRPr="0008481A">
        <w:softHyphen/>
        <w:t>för</w:t>
      </w:r>
      <w:r w:rsidRPr="0008481A">
        <w:softHyphen/>
        <w:t>valtningen att aktivt försöka utreda om det var riktigt att A.J. inte avsåg att ansöka om bistånd till sin försörjning avseende tidsperioden november 1998–februari 1999. Det var själv</w:t>
      </w:r>
      <w:r w:rsidRPr="0008481A">
        <w:softHyphen/>
        <w:t>fallet viktigt att ta upp frågan om hyreskost</w:t>
      </w:r>
      <w:r w:rsidRPr="0008481A">
        <w:softHyphen/>
        <w:t>naden med A.J. Enligt min mening faller det sig naturligt om socialförvalt</w:t>
      </w:r>
      <w:r w:rsidRPr="0008481A">
        <w:softHyphen/>
        <w:t>ningen hade tagit kontakt med A.J. för att diskutera biståndsfrågan när handläggaren fick kännedom om att A.J. var intagen på sjukhus. Såvitt dokumentationen utvisar har A.J. i biståndshän</w:t>
      </w:r>
      <w:r w:rsidRPr="0008481A">
        <w:softHyphen/>
        <w:t>seende behand</w:t>
      </w:r>
      <w:r w:rsidRPr="0008481A">
        <w:t>lats som ett vanligt ”ekonomiärende”, trots förvaltningens känne</w:t>
      </w:r>
      <w:r w:rsidRPr="0008481A">
        <w:softHyphen/>
        <w:t>dom om hans psykiska status och hans tidigare behov av bistånd för sin försörjning. Hand</w:t>
      </w:r>
      <w:r w:rsidRPr="0008481A">
        <w:softHyphen/>
        <w:t xml:space="preserve">läggningen måste i den delen anses stå i strid med principen om en helhetssyn på det sociala arbetet.   </w:t>
      </w:r>
    </w:p>
    <w:p w:rsidR="003B3271" w:rsidRPr="0008481A" w:rsidRDefault="003B3271">
      <w:pPr>
        <w:pStyle w:val="Normaltindrag"/>
      </w:pPr>
      <w:r w:rsidRPr="0008481A">
        <w:t>Vad som i övrigt har framkommit angående handläggningen är inte av sådan beskaffenhet att det för</w:t>
      </w:r>
      <w:r w:rsidRPr="0008481A">
        <w:softHyphen/>
        <w:t>anleder något uttalande eller någon vidare åtgärd från min sida.</w:t>
      </w:r>
    </w:p>
    <w:p w:rsidR="003B3271" w:rsidRPr="0008481A" w:rsidRDefault="003B3271">
      <w:pPr>
        <w:pStyle w:val="Rubrik2"/>
        <w:spacing w:before="0"/>
        <w:rPr>
          <w:i/>
        </w:rPr>
      </w:pPr>
      <w:r w:rsidRPr="0008481A">
        <w:br w:type="page"/>
      </w:r>
      <w:r w:rsidRPr="0008481A">
        <w:rPr>
          <w:i/>
        </w:rPr>
        <w:t>Lagen med särskilda bestämmelser om vård av unga (LVU)</w:t>
      </w:r>
    </w:p>
    <w:p w:rsidR="003B3271" w:rsidRPr="0008481A" w:rsidRDefault="003B3271">
      <w:pPr>
        <w:pStyle w:val="Rubrik2"/>
      </w:pPr>
      <w:r w:rsidRPr="0008481A">
        <w:t>Efter att polisen till socialnämnden anmält att en yngling var misstänkt för tillgrepp av en moped beslutades att den unge skulle omhändertas med stöd av 6 § LVU. Vid samtal med socialnämndens handläggare förnekade dock den unge att han tillgripit mopeden och hans uppgift visade sig senare vara riktig. Genom att inte omgående efter samtalet med den unge närmare undersöka vad som låg till grund för polisens misstankar har nämnden brustit i sitt ansvar fö</w:t>
      </w:r>
      <w:r w:rsidRPr="0008481A">
        <w:t xml:space="preserve">r utredningen   </w:t>
      </w:r>
    </w:p>
    <w:p w:rsidR="003B3271" w:rsidRPr="0008481A" w:rsidRDefault="003B3271">
      <w:r w:rsidRPr="0008481A">
        <w:t>(Dnr 855-1998)</w:t>
      </w:r>
    </w:p>
    <w:p w:rsidR="003B3271" w:rsidRPr="0008481A" w:rsidRDefault="003B3271">
      <w:pPr>
        <w:pStyle w:val="Normaltindrag"/>
      </w:pPr>
    </w:p>
    <w:p w:rsidR="003B3271" w:rsidRPr="0008481A" w:rsidRDefault="003B3271">
      <w:r w:rsidRPr="0008481A">
        <w:t xml:space="preserve">I en anmälan till JO klagade G.W. på Individ- och familjenämnden i Västerås kommun. Hon ifrågasatte ett beslut den 17 september 1997 att omhänderta hennes son T., född 1983, med stöd av 6 § LVU. Hon klagade även på att hon underrättades om beslutet först dagen efter omhändertagandet. </w:t>
      </w:r>
    </w:p>
    <w:p w:rsidR="003B3271" w:rsidRPr="0008481A" w:rsidRDefault="003B3271">
      <w:pPr>
        <w:pStyle w:val="Normaltindrag"/>
      </w:pPr>
      <w:r w:rsidRPr="0008481A">
        <w:t xml:space="preserve">Efter remiss anförde Individ- och familjenämnden i Västerås kommun i ett yttrande till JO bl.a. följande. </w:t>
      </w:r>
    </w:p>
    <w:p w:rsidR="003B3271" w:rsidRPr="0008481A" w:rsidRDefault="003B3271">
      <w:pPr>
        <w:pStyle w:val="Citat"/>
      </w:pPr>
      <w:r w:rsidRPr="0008481A">
        <w:t>1. T. blev omhändertagen jml LVU 970917. (G.W. har felaktigt uppgivit 97-10-17.) G.W. blir inte informerad om detta förrän dagen därpå på morgo</w:t>
      </w:r>
      <w:r w:rsidRPr="0008481A">
        <w:softHyphen/>
        <w:t>nen, 97-09-18. Anledningen till att vi inte kontaktade G.W. på kvällen 98-09-17 var att det var sent och att vi tidigare hade avtalat att träffa henne morgo</w:t>
      </w:r>
      <w:r w:rsidRPr="0008481A">
        <w:softHyphen/>
        <w:t>nen därpå. Detta handlande är från vår sida inte försvarbart. Vi skulle ha in</w:t>
      </w:r>
      <w:r w:rsidRPr="0008481A">
        <w:softHyphen/>
        <w:t>formerat G.W. och vi har bett om ursäkt och förklarat vårt handlande. T. bodde vid den tidpunkten hos sin pappa A.K. och han var informe</w:t>
      </w:r>
      <w:r w:rsidRPr="0008481A">
        <w:softHyphen/>
        <w:t>rad och införstådd med att T. denna dag blev omhändertagen.</w:t>
      </w:r>
    </w:p>
    <w:p w:rsidR="003B3271" w:rsidRPr="0008481A" w:rsidRDefault="003B3271">
      <w:pPr>
        <w:pStyle w:val="Citat"/>
      </w:pPr>
      <w:r w:rsidRPr="0008481A">
        <w:t>2. G.W. anser att beslutet om att omhändertaga T. jml LVU var felaktigt. T. har</w:t>
      </w:r>
      <w:r w:rsidRPr="0008481A">
        <w:t xml:space="preserve"> varit inblandad i mycket kriminalitet bl a stulna cyklar, stulna mopeder, trippelåkning på moped, skadegörelse, stöld i skola, (T. blev vid ett tillfälle skadad i en mopedolycka då han körde in i en bil) inbrott i garage och tillgrepp av en go-cart som T. åkte omkring med tills bensi</w:t>
      </w:r>
      <w:r w:rsidRPr="0008481A">
        <w:softHyphen/>
        <w:t>nen tog slut. Hans uppväxt har präglats av social problematik, skolgången har fungerat dåligt, för närvarande går det inte alls att få T. till skolan osv. Han hade ett socialt nedbrytande beteende. När polisen kontaktade In</w:t>
      </w:r>
      <w:r w:rsidRPr="0008481A">
        <w:softHyphen/>
        <w:t>di</w:t>
      </w:r>
      <w:r w:rsidRPr="0008481A">
        <w:t>vid och familj och uppgav att T. hade varit inblandad i en mopedstöld så beslutade ordförande i Individ- och familjenämnden att omedelbart om</w:t>
      </w:r>
      <w:r w:rsidRPr="0008481A">
        <w:softHyphen/>
        <w:t>händertaga honom jml § 6 LVU. Båda föräldrarna var införstådda med att om T. skulle vara inblandad i mer kriminalitet skulle vi vara tvungna att omhändertaga honom. T. var placerad i ett HVB-hem i Västerås under cirka två veckor. Senare visade det sig att T. var  oskyldig till brottet. Länsrätten upphävde beslutet. I efterhand kan vi se en positiv effekt av be</w:t>
      </w:r>
      <w:r w:rsidRPr="0008481A">
        <w:softHyphen/>
        <w:t>slutet.</w:t>
      </w:r>
      <w:r w:rsidRPr="0008481A">
        <w:t xml:space="preserve"> T. tycks ha upphört med all kriminalitet. Polisen har inte in</w:t>
      </w:r>
      <w:r w:rsidRPr="0008481A">
        <w:softHyphen/>
        <w:t>kommit med några rapporter angående T. Beslutet att omhänder</w:t>
      </w:r>
      <w:r w:rsidRPr="0008481A">
        <w:softHyphen/>
        <w:t>taga honom, trots att han inte hade blivit förhörd av polisen kan i efterhand anses felaktigt, men effekterna av omhändertagandet har varit bra. Vi tror att det blev en kraftfull markering för T. T:s pappa har berättat att när han och T. en gång pratade om omhändertagandet så tyckte de båda att det var bra det som hände.</w:t>
      </w:r>
    </w:p>
    <w:p w:rsidR="003B3271" w:rsidRPr="0008481A" w:rsidRDefault="003B3271">
      <w:r w:rsidRPr="0008481A">
        <w:t xml:space="preserve">G.W. gavs tillfälle att yttra sig över remissvaret. </w:t>
      </w:r>
    </w:p>
    <w:p w:rsidR="003B3271" w:rsidRPr="0008481A" w:rsidRDefault="003B3271">
      <w:r w:rsidRPr="0008481A">
        <w:t>JO hade vid beslutet tillgång till individ- och familjeförvaltningens journal</w:t>
      </w:r>
      <w:r w:rsidRPr="0008481A">
        <w:softHyphen/>
        <w:t xml:space="preserve">anteckningar beträffande T. för den aktuella tiden. </w:t>
      </w:r>
    </w:p>
    <w:p w:rsidR="003B3271" w:rsidRPr="0008481A" w:rsidRDefault="003B3271">
      <w:pPr>
        <w:pStyle w:val="Normaltindrag"/>
      </w:pPr>
      <w:r w:rsidRPr="0008481A">
        <w:t xml:space="preserve">Stf JO </w:t>
      </w:r>
      <w:r w:rsidRPr="0008481A">
        <w:rPr>
          <w:i/>
        </w:rPr>
        <w:t>Norell Söderblom</w:t>
      </w:r>
      <w:r w:rsidRPr="0008481A">
        <w:t xml:space="preserve"> anförde i ett beslut den 17 november 1999 bl.a. följande. </w:t>
      </w:r>
    </w:p>
    <w:p w:rsidR="003B3271" w:rsidRPr="0008481A" w:rsidRDefault="003B3271">
      <w:pPr>
        <w:pStyle w:val="Normaltindrag"/>
      </w:pPr>
      <w:r w:rsidRPr="0008481A">
        <w:t>Socialnämnden har särskilda skyldigheter när det gäller barn och ung</w:t>
      </w:r>
      <w:r w:rsidRPr="0008481A">
        <w:softHyphen/>
        <w:t>domar. Detta kommer till uttryck i bl.a. 12 § socialtjänstlagen (1980:620) där det sägs att socialnämnden med särskild uppmärksamhet skall följa utveck</w:t>
      </w:r>
      <w:r w:rsidRPr="0008481A">
        <w:softHyphen/>
        <w:t>lingen hos barn och ungdom som visat tecken till en ogynnsam utveck</w:t>
      </w:r>
      <w:r w:rsidRPr="0008481A">
        <w:softHyphen/>
        <w:t xml:space="preserve">ling och i nära samarbete med hemmen sörja för att barn och ungdomar som riskerar att utvecklas ogynnsamt får det skydd och stöd som de behöver och, om hänsynen till den unges bästa motiverar det, vård och fostran utanför det egna hemmet. </w:t>
      </w:r>
    </w:p>
    <w:p w:rsidR="003B3271" w:rsidRPr="0008481A" w:rsidRDefault="003B3271">
      <w:pPr>
        <w:pStyle w:val="Normaltindrag"/>
      </w:pPr>
      <w:r w:rsidRPr="0008481A">
        <w:t>Socialtjänstens insatser för barn och ungdomar bygg</w:t>
      </w:r>
      <w:r w:rsidRPr="0008481A">
        <w:t xml:space="preserve">er på frivillighet från de berördas sida. Under vissa förutsättningar kan det dock bli aktuellt med ett tvångsingripande. Regler härom finns i LVU. Där sägs bl.a. att vård skall beslutas om den unge utsätter sin hälsa eller utveckling för en påtaglig risk att skadas genom missbruk av beroendeframkallande medel, brottslig verksamhet eller något annat socialt nedbrytande beteende. </w:t>
      </w:r>
    </w:p>
    <w:p w:rsidR="003B3271" w:rsidRPr="0008481A" w:rsidRDefault="003B3271">
      <w:pPr>
        <w:pStyle w:val="Normaltindrag"/>
      </w:pPr>
      <w:r w:rsidRPr="0008481A">
        <w:t xml:space="preserve"> Beslut om vård enligt LVU fattas av länsrätten efter ansökan av social</w:t>
      </w:r>
      <w:r w:rsidRPr="0008481A">
        <w:softHyphen/>
        <w:t xml:space="preserve">nämnden. Socialnämnden får enligt 6 § LVU besluta att den som är under 20 år omedelbart skall omhändertas om det är sannolikt att den unge behöver beredas vård med stöd av LVU och rättens beslut om vård inte kan avvaktas med hänsyn till bl.a. risken för den unges hälsa eller utveckling. Om socialnämndens beslut inte kan avvaktas, får nämndens ordförande eller  någon annan ledamot som nämnden förordnat besluta om omhändertagande (6 § andra stycket LVU). </w:t>
      </w:r>
    </w:p>
    <w:p w:rsidR="003B3271" w:rsidRPr="0008481A" w:rsidRDefault="003B3271">
      <w:pPr>
        <w:pStyle w:val="Normaltindrag"/>
      </w:pPr>
      <w:r w:rsidRPr="0008481A">
        <w:t>Med brottslig verksamhet i 3 § LVU avses inte rena ba</w:t>
      </w:r>
      <w:r w:rsidRPr="0008481A">
        <w:t xml:space="preserve">gatellförseelser  och inte heller enstaka brott  som inte är av allvarlig art. Det är först vid en brottslighet som ger uttryck för en sådan bristande anpassning till samhällslivet att det kan sägas föreligga ett vård- och behandlingsbehov som det kan bli fråga om att bereda den unge vård med stöd av LVU. </w:t>
      </w:r>
    </w:p>
    <w:p w:rsidR="003B3271" w:rsidRPr="0008481A" w:rsidRDefault="003B3271">
      <w:pPr>
        <w:pStyle w:val="Normaltindrag"/>
      </w:pPr>
      <w:r w:rsidRPr="0008481A">
        <w:t>Beslutet att omhänderta T. utlöstes av en misstanke om att T. hade tillgripit en moped. Det visade sig senare att T. inte begått det brottet. Detta för</w:t>
      </w:r>
      <w:r w:rsidRPr="0008481A">
        <w:softHyphen/>
        <w:t xml:space="preserve">hållande innebär emellertid inte att ingripandet nödvändigtvis var felaktigt. Ett omhändertagande enligt 6 § LVU förutsätter nämligen inte att det är utrett att den unge har begått brottet. Det är tillräckligt att det på goda grunder kan antas att vård enligt LVU är erforderlig.   </w:t>
      </w:r>
    </w:p>
    <w:p w:rsidR="003B3271" w:rsidRPr="0008481A" w:rsidRDefault="003B3271">
      <w:pPr>
        <w:pStyle w:val="Normaltindrag"/>
      </w:pPr>
      <w:r w:rsidRPr="0008481A">
        <w:t>Uppgiften att T. var misstänkt för brottet erhöll nämnden från en polis som synes ha varit väl förtrogen med T:s förhållanden. Ansvaret för att utreda om den unge har begått brott är inte en primär uppgift för en socialnämnd. De</w:t>
      </w:r>
      <w:r w:rsidRPr="0008481A">
        <w:t xml:space="preserve">t ligger i sakens natur att nämnden måste kunna förlita sig på de professionella bedömningar som polis och åklagare gör i ett visst fall. </w:t>
      </w:r>
    </w:p>
    <w:p w:rsidR="003B3271" w:rsidRPr="0008481A" w:rsidRDefault="003B3271">
      <w:pPr>
        <w:pStyle w:val="Normaltindrag"/>
      </w:pPr>
      <w:r w:rsidRPr="0008481A">
        <w:t>Vid ett samtal som förvaltningens handläggare hade med T. den 18 sep</w:t>
      </w:r>
      <w:r w:rsidRPr="0008481A">
        <w:softHyphen/>
        <w:t>tem</w:t>
      </w:r>
      <w:r w:rsidRPr="0008481A">
        <w:softHyphen/>
        <w:t>ber 1997 förnekade T. att han hade tagit mopeden. T. lämnade då en redogörelse för vad han hade gjort när mopeden blev stulen och uppgav även att han hade alibi. De uppgifter som förvaltningen hade erhållit från polisen angav inte närmare vad misstanken mot T. grundade sig på. Ett omhändertagande enligt LVU är en ingripande åtgärd och det är självfallet angeläget att nämndens bedömning av nödvändigheten av en sådan åtgärd grundas på en så tillfredsställande utredning som möjligt. Med hänsyn till T:s up</w:t>
      </w:r>
      <w:r w:rsidRPr="0008481A">
        <w:t>pgifter borde handläggaren därför ha kontaktat polisen och tagit reda på de närmare grunderna för misstankarna mot T. Genom att okritiskt lägga poli</w:t>
      </w:r>
      <w:r w:rsidRPr="0008481A">
        <w:softHyphen/>
        <w:t xml:space="preserve">sens tidigare allmänna uppgifter till grund för sitt handlande har nämnden enligt min mening brustit i sitt ansvar för utredningen. </w:t>
      </w:r>
    </w:p>
    <w:p w:rsidR="003B3271" w:rsidRPr="0008481A" w:rsidRDefault="003B3271">
      <w:pPr>
        <w:pStyle w:val="Normaltindrag"/>
      </w:pPr>
      <w:r w:rsidRPr="0008481A">
        <w:t>I sitt yttrande har nämnden tagit på sig ansvaret för att G.W. underrättades om omhändertagandet först på morgonen den 18 september. Nämnden har anfört att underlåtenheten att informera G.W. om omhändertagandet redan den 17 septem</w:t>
      </w:r>
      <w:r w:rsidRPr="0008481A">
        <w:t>ber inte är försvarbar. Jag vill för egen del inte gå så långt i min kritik av nämnden. Några regler om när en vårdnadshavare skall underrättas om ett LVU-beslut finns inte. Det ligger dock i sakens natur att underrättelsen skall lämnas utan dröjsmål. Det finns utrymme för att i vissa fall beakta vid vilken tid på dygnet som omhändertagandet sker. Även andra förhållanden kan få inverka på bedömningen. Nämnden har i sitt yttrande redovisat varför underrättelsen om LVU-beslutet lämnades till G.W. först den 18</w:t>
      </w:r>
      <w:r w:rsidRPr="0008481A">
        <w:t xml:space="preserve"> september. Såvitt framgår av utredningen skedde dock omhänder</w:t>
      </w:r>
      <w:r w:rsidRPr="0008481A">
        <w:softHyphen/>
        <w:t>tagandet inte så sent att det på grund därav var olämpligt att kontakta G.W.</w:t>
      </w:r>
    </w:p>
    <w:p w:rsidR="003B3271" w:rsidRPr="0008481A" w:rsidRDefault="003B3271">
      <w:pPr>
        <w:pStyle w:val="Rubrik2"/>
      </w:pPr>
      <w:r w:rsidRPr="0008481A">
        <w:t>Fråga om en socialnämnd ägt placera en flicka i nedre tonåren, som vårdades med stöd av 2 § LVU, i ett ”eget boende”</w:t>
      </w:r>
    </w:p>
    <w:p w:rsidR="003B3271" w:rsidRPr="0008481A" w:rsidRDefault="003B3271">
      <w:r w:rsidRPr="0008481A">
        <w:t>(Dnr 1624-1998)</w:t>
      </w:r>
    </w:p>
    <w:p w:rsidR="003B3271" w:rsidRPr="0008481A" w:rsidRDefault="003B3271">
      <w:pPr>
        <w:pStyle w:val="Normaltindrag"/>
      </w:pPr>
    </w:p>
    <w:p w:rsidR="003B3271" w:rsidRPr="0008481A" w:rsidRDefault="003B3271">
      <w:r w:rsidRPr="0008481A">
        <w:t xml:space="preserve">K.W. är ensam vårdnadshavare för D., född 1982. Genom en dom av Länsrätten i Skaraborgs län den 11 februari 1992 beslutades att D. skulle beredas vård enligt lagen (1990:52) med särskilda bestämmelser om vård av unga (LVU). </w:t>
      </w:r>
    </w:p>
    <w:p w:rsidR="003B3271" w:rsidRPr="0008481A" w:rsidRDefault="003B3271">
      <w:pPr>
        <w:pStyle w:val="Normaltindrag"/>
      </w:pPr>
      <w:r w:rsidRPr="0008481A">
        <w:t>K.W. och O.K. klagade i olika skrivelser till JO på Social</w:t>
      </w:r>
      <w:r w:rsidRPr="0008481A">
        <w:softHyphen/>
        <w:t>nämndens i Tidaholms kommun handläggning av ärendet rörande D. (JO:s dnr 2484-1996 och 2659-1996). I ett beslut den 27 april 1997 uttalade sig ställföreträ</w:t>
      </w:r>
      <w:r w:rsidRPr="0008481A">
        <w:softHyphen/>
        <w:t>dande JO Leif Ekberg med anledning av klagomålen.</w:t>
      </w:r>
    </w:p>
    <w:p w:rsidR="003B3271" w:rsidRPr="0008481A" w:rsidRDefault="003B3271">
      <w:pPr>
        <w:pStyle w:val="Normaltindrag"/>
      </w:pPr>
      <w:r w:rsidRPr="0008481A">
        <w:t>Vid ärendenas slutliga beredning hos JO uppmärksammades att vissa tillkomman</w:t>
      </w:r>
      <w:r w:rsidRPr="0008481A">
        <w:softHyphen/>
        <w:t>de frågor behövde utredas ytterligare. Yttrande begärdes därför från Socialnämn</w:t>
      </w:r>
      <w:r w:rsidRPr="0008481A">
        <w:softHyphen/>
        <w:t>den i Tidaholm rörande bl.a. D:s boende under vårdtiden.</w:t>
      </w:r>
    </w:p>
    <w:p w:rsidR="003B3271" w:rsidRPr="0008481A" w:rsidRDefault="003B3271">
      <w:r w:rsidRPr="0008481A">
        <w:rPr>
          <w:b/>
        </w:rPr>
        <w:t xml:space="preserve"> </w:t>
      </w:r>
      <w:r w:rsidRPr="0008481A">
        <w:t>Socialnämnden i Tidaholm anförde i ett remissvar bl.a. följande.</w:t>
      </w:r>
    </w:p>
    <w:p w:rsidR="003B3271" w:rsidRPr="0008481A" w:rsidRDefault="003B3271">
      <w:r w:rsidRPr="0008481A">
        <w:t>– – –</w:t>
      </w:r>
    </w:p>
    <w:p w:rsidR="003B3271" w:rsidRPr="0008481A" w:rsidRDefault="003B3271">
      <w:pPr>
        <w:pStyle w:val="Citat"/>
      </w:pPr>
      <w:r w:rsidRPr="0008481A">
        <w:t>911128 fattar socialnämnden – – – beslut jm1 6 och 11 §§ LVU. 911202 fastställer länsrätten beslutet.</w:t>
      </w:r>
    </w:p>
    <w:p w:rsidR="003B3271" w:rsidRPr="0008481A" w:rsidRDefault="003B3271">
      <w:pPr>
        <w:pStyle w:val="Citat"/>
      </w:pPr>
      <w:r w:rsidRPr="0008481A">
        <w:t>911213 placeras D. på Solsidans barnhem för vård och boende. Länsrätten fastställer 920211 ansökan om vård jml 1 § st 2 och 2 § LVU.</w:t>
      </w:r>
    </w:p>
    <w:p w:rsidR="003B3271" w:rsidRPr="0008481A" w:rsidRDefault="003B3271">
      <w:pPr>
        <w:pStyle w:val="Citat"/>
      </w:pPr>
      <w:r w:rsidRPr="0008481A">
        <w:t>– – –</w:t>
      </w:r>
    </w:p>
    <w:p w:rsidR="003B3271" w:rsidRPr="0008481A" w:rsidRDefault="003B3271">
      <w:pPr>
        <w:pStyle w:val="Citat"/>
      </w:pPr>
      <w:r w:rsidRPr="0008481A">
        <w:t>940818 beslutar socialnämndens arbetsutskott att med stöd av 11 § LVU placera D. i familjehem för stadigvarande vård och fostran.</w:t>
      </w:r>
    </w:p>
    <w:p w:rsidR="003B3271" w:rsidRPr="0008481A" w:rsidRDefault="003B3271">
      <w:pPr>
        <w:pStyle w:val="Citat"/>
      </w:pPr>
      <w:r w:rsidRPr="0008481A">
        <w:t xml:space="preserve">940901 överklagar vårdnadshavaren socialnämndens beslut hos länsrätten. </w:t>
      </w:r>
    </w:p>
    <w:p w:rsidR="003B3271" w:rsidRPr="0008481A" w:rsidRDefault="003B3271">
      <w:pPr>
        <w:pStyle w:val="Citat"/>
        <w:spacing w:before="0"/>
      </w:pPr>
      <w:r w:rsidRPr="0008481A">
        <w:t>– – – Resultatet blir att D. 950102 placeras i familjehem.</w:t>
      </w:r>
    </w:p>
    <w:p w:rsidR="003B3271" w:rsidRPr="0008481A" w:rsidRDefault="003B3271">
      <w:pPr>
        <w:pStyle w:val="Citat"/>
      </w:pPr>
      <w:r w:rsidRPr="0008481A">
        <w:t>950503 återplaceras D. till Solsidan, då familjehemmet p.g.a. den press de utsätts för av vårdnadshavaren inte längre anser sig klara av att fullgöra uppdraget. D. bor sedan kvar på Solsidan till 970301. Under mellantiden 9505–9703 tas ett flertal beslut i socialnämndens arbetsutskott angående besöks- och umgängesförbud, samt vården i sin helhet. – – –</w:t>
      </w:r>
    </w:p>
    <w:p w:rsidR="003B3271" w:rsidRPr="0008481A" w:rsidRDefault="003B3271">
      <w:pPr>
        <w:pStyle w:val="Citat"/>
      </w:pPr>
      <w:r w:rsidRPr="0008481A">
        <w:t>970301 omplaceras D. till eget boende med personliga assistenter i hem</w:t>
      </w:r>
      <w:r w:rsidRPr="0008481A">
        <w:softHyphen/>
        <w:t>kommunen. Anledningen till denna extra ordinära åtgärd från socialnämn</w:t>
      </w:r>
      <w:r w:rsidRPr="0008481A">
        <w:softHyphen/>
        <w:t>dens sida är att nämnden bedömer utsikten att familjehemsplacera D. som obefintlig med anledning av vårdnadshavarens inställning. D. är då 13 år fyllda och Solsidan har bara placeringar upp till 12 års ålder. Solsidan har låtit flickan vara kvar p g a de svåra omständigheterna, men klart sagt ifrån att placeringen måste upphöra snarast möjligt. Alternativa placeringar som diskuteras är annars institutionsplacering eller internatskola. I</w:t>
      </w:r>
      <w:r w:rsidRPr="0008481A">
        <w:t>nget av detta motsvarar dock flickans behov av en god omvårdnad.</w:t>
      </w:r>
    </w:p>
    <w:p w:rsidR="003B3271" w:rsidRPr="0008481A" w:rsidRDefault="003B3271">
      <w:pPr>
        <w:pStyle w:val="Citatindrag"/>
      </w:pPr>
      <w:r w:rsidRPr="0008481A">
        <w:t>Intentionen från nämndens sida har hela tiden varit att en familje</w:t>
      </w:r>
      <w:r w:rsidRPr="0008481A">
        <w:softHyphen/>
        <w:t>hems</w:t>
      </w:r>
      <w:r w:rsidRPr="0008481A">
        <w:softHyphen/>
        <w:t>place</w:t>
      </w:r>
      <w:r w:rsidRPr="0008481A">
        <w:softHyphen/>
        <w:t>ring måste vara det lämpligaste. Uppdraget till tjänste</w:t>
      </w:r>
      <w:r w:rsidRPr="0008481A">
        <w:softHyphen/>
        <w:t>männen att möjliggöra en sådan placering kvarstår.</w:t>
      </w:r>
    </w:p>
    <w:p w:rsidR="003B3271" w:rsidRPr="0008481A" w:rsidRDefault="003B3271">
      <w:r w:rsidRPr="0008481A">
        <w:t>O.K. yttrade sig över remissvaret.</w:t>
      </w:r>
    </w:p>
    <w:p w:rsidR="003B3271" w:rsidRPr="0008481A" w:rsidRDefault="003B3271">
      <w:pPr>
        <w:pStyle w:val="Normaltindrag"/>
      </w:pPr>
      <w:r w:rsidRPr="0008481A">
        <w:t>Föredraganden inhämtade per telefon kompletterande upplysningar från social</w:t>
      </w:r>
      <w:r w:rsidRPr="0008481A">
        <w:softHyphen/>
        <w:t>förvaltningen i Tidaholms kommun. Därvid framkom att D. sedan den 10</w:t>
      </w:r>
      <w:r w:rsidRPr="0008481A">
        <w:softHyphen/>
        <w:t xml:space="preserve"> december 1998 var placerad i ett familjehem.</w:t>
      </w:r>
    </w:p>
    <w:p w:rsidR="003B3271" w:rsidRPr="0008481A" w:rsidRDefault="003B3271">
      <w:r w:rsidRPr="0008481A">
        <w:rPr>
          <w:i/>
        </w:rPr>
        <w:t>JO André</w:t>
      </w:r>
      <w:r w:rsidRPr="0008481A">
        <w:t xml:space="preserve"> anförde i ett beslut den 30 augusti 1999 följande.</w:t>
      </w:r>
    </w:p>
    <w:p w:rsidR="003B3271" w:rsidRPr="0008481A" w:rsidRDefault="003B3271">
      <w:r w:rsidRPr="0008481A">
        <w:t>Enligt 12 § socialtjänstlagen (1980:620), SoL, skall socialnämnden verka för att barn och ungdomar växer upp under trygga och goda förhållanden. Nämnden skall i nära samarbete med hemmen sörja för att barn och ungdomar som riskerar att utvecklas ogynnsamt får det skydd och stöd som de behöver och, om hänsynen till den unges bästa motiverar det, vård och fostran utanför det egna hemmet. Vård utanför det egna hemmet kan beredas på frivillig väg med stöd av S</w:t>
      </w:r>
      <w:r w:rsidRPr="0008481A">
        <w:t>oL eller tvångsvis enligt LVU.</w:t>
      </w:r>
    </w:p>
    <w:p w:rsidR="003B3271" w:rsidRPr="0008481A" w:rsidRDefault="003B3271">
      <w:pPr>
        <w:pStyle w:val="Normaltindrag"/>
      </w:pPr>
      <w:r w:rsidRPr="0008481A">
        <w:t>Vid vård enligt LVU bestämmer socialnämnden hur vården av den unge skall ordnas och var den unge skall vistas under vårdtiden (11 § LVU). Normalt ges vården i ett familjehem eller i ett hem för vård eller boende (HVB-hem). Placering i familjehem är i allmänhet den mest naturliga och lämpliga vårdformen för barn och ungdomar som omhändertagits eller beretts vård med stöd av LVU. I flertalet fall måste vård i familjehem anses vara bättre än vård i institution beroende på den när</w:t>
      </w:r>
      <w:r w:rsidRPr="0008481A">
        <w:t>a anknytningen till vuxna föräldraersättare och den känslomässiga relation som uppstår mellan dem och barnet (se prop. 1979/80:1 s. 307).</w:t>
      </w:r>
    </w:p>
    <w:p w:rsidR="003B3271" w:rsidRPr="0008481A" w:rsidRDefault="003B3271">
      <w:pPr>
        <w:pStyle w:val="Normaltindrag"/>
      </w:pPr>
      <w:r w:rsidRPr="0008481A">
        <w:t>Valet av vårdform måste alltid anpassas efter den unges behov. Det kan för korta</w:t>
      </w:r>
      <w:r w:rsidRPr="0008481A">
        <w:softHyphen/>
        <w:t>re eller längre tid bli aktuellt med olika vårdformer. En tids vistelse på ett HVB</w:t>
      </w:r>
      <w:r w:rsidRPr="0008481A">
        <w:softHyphen/>
        <w:t>-hem kan således leda till att ett bättre underlag ges för en bedöm</w:t>
      </w:r>
      <w:r w:rsidRPr="0008481A">
        <w:softHyphen/>
        <w:t>ning av vilken typ av familjehem eller annan form av insats eller placering som ett barn kan behöva.</w:t>
      </w:r>
    </w:p>
    <w:p w:rsidR="003B3271" w:rsidRPr="0008481A" w:rsidRDefault="003B3271">
      <w:pPr>
        <w:pStyle w:val="Normaltindrag"/>
      </w:pPr>
      <w:r w:rsidRPr="0008481A">
        <w:t>Även andra vårdformer än familjehem eller HVB-hem torde kunna komma i fråga om det anses påkallat med hänsyn till den unges behov. Att som i det aktuella fallet placera ett barn i de nedre tonåren i ett eget boende, i och för sig med regel</w:t>
      </w:r>
      <w:r w:rsidRPr="0008481A">
        <w:softHyphen/>
        <w:t>bundet stöd av personliga assistenter, måste dock – som social</w:t>
      </w:r>
      <w:r w:rsidRPr="0008481A">
        <w:softHyphen/>
        <w:t>nämnden anfört i sitt remissvar – anses som en extraordinär åtgärd. Enligt min mening bör en så</w:t>
      </w:r>
      <w:r w:rsidRPr="0008481A">
        <w:softHyphen/>
        <w:t>dan boendeform endast undantagsvis komma i fråga och då uteslutande med hän</w:t>
      </w:r>
      <w:r w:rsidRPr="0008481A">
        <w:softHyphen/>
        <w:t>syn till den unges särskilda behov.</w:t>
      </w:r>
    </w:p>
    <w:p w:rsidR="003B3271" w:rsidRPr="0008481A" w:rsidRDefault="003B3271">
      <w:pPr>
        <w:pStyle w:val="Normaltindrag"/>
      </w:pPr>
      <w:r w:rsidRPr="0008481A">
        <w:t>Enligt remissvaret placerades D. i eget boende eftersom en placering i familjehem inte bedömdes som möjlig på grund av vårdnadshavarens inställning. Placeringen av D. synes således inte i första hand ha skett utifrån en bedömning av D:s egn</w:t>
      </w:r>
      <w:r w:rsidRPr="0008481A">
        <w:t>a behov. Detta är i och för sig inte tillfredsställande. Jag har dock förståelse för de problem som förelegat i detta fall och finner inte skäl att rikta någon kritik mot nämnden i denna del.</w:t>
      </w:r>
    </w:p>
    <w:p w:rsidR="003B3271" w:rsidRPr="0008481A" w:rsidRDefault="003B3271">
      <w:pPr>
        <w:pStyle w:val="Normaltindrag"/>
      </w:pPr>
      <w:r w:rsidRPr="0008481A">
        <w:t>Placeringen av D. i eget boende var tänkt som en tillfällig lösning. Denna boende</w:t>
      </w:r>
      <w:r w:rsidRPr="0008481A">
        <w:softHyphen/>
        <w:t>form kom dock att gälla under förhållandevis lång tid, drygt ett år och nio måna</w:t>
      </w:r>
      <w:r w:rsidRPr="0008481A">
        <w:softHyphen/>
        <w:t>der. Det framgår inte helt klart med vilken intensitet som förvalt</w:t>
      </w:r>
      <w:r w:rsidRPr="0008481A">
        <w:softHyphen/>
        <w:t>ningen under denna tid bedrivit efterforskning efter ett nytt familjehem och det torde kunna ifrågasättas om inte förvaltningen borde ha varit mer aktiv i denna fråga. Eftersom D. numera är placerad i ett familjehem finner jag dock inte skäl att ytterligare uppehålla mig i saken.</w:t>
      </w:r>
    </w:p>
    <w:p w:rsidR="003B3271" w:rsidRPr="0008481A" w:rsidRDefault="003B3271">
      <w:pPr>
        <w:pStyle w:val="Rubrik2"/>
        <w:spacing w:before="0"/>
        <w:rPr>
          <w:i/>
        </w:rPr>
      </w:pPr>
      <w:r w:rsidRPr="0008481A">
        <w:br w:type="page"/>
      </w:r>
      <w:r w:rsidRPr="0008481A">
        <w:rPr>
          <w:i/>
        </w:rPr>
        <w:t>Lagen om vård av missbrukare i vissa fall ( LVM)</w:t>
      </w:r>
    </w:p>
    <w:p w:rsidR="003B3271" w:rsidRPr="0008481A" w:rsidRDefault="003B3271">
      <w:pPr>
        <w:pStyle w:val="Rubrik2"/>
      </w:pPr>
      <w:r w:rsidRPr="0008481A">
        <w:t xml:space="preserve">Fråga om föreståndaren för ett LVM-hem haft rätt att omhänderta ett bankomatkort och en legitimationshandling från en person som vårdades vid hemmet </w:t>
      </w:r>
    </w:p>
    <w:p w:rsidR="003B3271" w:rsidRPr="0008481A" w:rsidRDefault="003B3271">
      <w:r w:rsidRPr="0008481A">
        <w:t>(Dnr 1138-1999)</w:t>
      </w:r>
    </w:p>
    <w:p w:rsidR="003B3271" w:rsidRPr="0008481A" w:rsidRDefault="003B3271">
      <w:r w:rsidRPr="0008481A">
        <w:t>A.G., som varit intagen för vård enligt lagen (1988:870) om vård av missbrukare i vissa fall, LVM, klagade i en anmälan till JO på att institutionschefen vid Hornö LVM-hem, Owe Lundmark, beslagtagit hans bankomatkort och legitimation.</w:t>
      </w:r>
    </w:p>
    <w:p w:rsidR="003B3271" w:rsidRPr="0008481A" w:rsidRDefault="003B3271">
      <w:pPr>
        <w:pStyle w:val="Normaltindrag"/>
      </w:pPr>
      <w:r w:rsidRPr="0008481A">
        <w:t>Anmälan remitterades till Statens institutionsstyrelse, SiS, för utredning och yttrande. I sitt remissvar, beslutat av generaldirektören Sture Korpi efter föredragning av chefsjuristen Sören Öman, anförde SiS bl.a. följande. (Remissvaret innefattade även yttrande i JO:s ärende 1323-1999 avseende en anmälan från T.J. i en liknande fråga).</w:t>
      </w:r>
    </w:p>
    <w:p w:rsidR="003B3271" w:rsidRPr="0008481A" w:rsidRDefault="003B3271">
      <w:pPr>
        <w:pStyle w:val="Rubrik4"/>
      </w:pPr>
      <w:r w:rsidRPr="0008481A">
        <w:t>Utredning</w:t>
      </w:r>
    </w:p>
    <w:p w:rsidR="003B3271" w:rsidRPr="0008481A" w:rsidRDefault="003B3271">
      <w:pPr>
        <w:pStyle w:val="Citat"/>
      </w:pPr>
      <w:r w:rsidRPr="0008481A">
        <w:t>A.G. har varit intagen med stöd av LVM på Hornö LVM-hem vid flera tillfällen under de tre senaste åren.</w:t>
      </w:r>
    </w:p>
    <w:p w:rsidR="003B3271" w:rsidRPr="0008481A" w:rsidRDefault="003B3271">
      <w:pPr>
        <w:pStyle w:val="Citatindrag"/>
      </w:pPr>
      <w:r w:rsidRPr="0008481A">
        <w:t>Den 20 maj 1997 intogs han första gången på Hornö LVM-hem. Han överflyttades emellertid efter en kortare tid till Frösö behandlingshem, eftersom han bedömdes vara alltför bråkig för att kunna stanna på Hornö LVM-hem.</w:t>
      </w:r>
    </w:p>
    <w:p w:rsidR="003B3271" w:rsidRPr="0008481A" w:rsidRDefault="003B3271">
      <w:pPr>
        <w:pStyle w:val="Citatindrag"/>
      </w:pPr>
      <w:r w:rsidRPr="0008481A">
        <w:t>Den 5 augusti 1998 intogs han för andra gången på Hornö LVM-hem. Den 12 oktober samma år skedde överflyttning enligt 27 § LVM till Jälla behandlingshem, och den 12 november 1998 skrevs han ut från Hornö LVM-hem.</w:t>
      </w:r>
    </w:p>
    <w:p w:rsidR="003B3271" w:rsidRPr="0008481A" w:rsidRDefault="003B3271">
      <w:pPr>
        <w:pStyle w:val="Citatindrag"/>
      </w:pPr>
      <w:r w:rsidRPr="0008481A">
        <w:t>Den 14 december 1998 intogs han igen på Hornö LVM-hem med stöd av 13 § LVM. Det omedelbara omhändertagandet upphävdes emellertid den 17 december.</w:t>
      </w:r>
    </w:p>
    <w:p w:rsidR="003B3271" w:rsidRPr="0008481A" w:rsidRDefault="003B3271">
      <w:pPr>
        <w:pStyle w:val="Citatindrag"/>
      </w:pPr>
      <w:r w:rsidRPr="0008481A">
        <w:t>Redan den 31 december 1998 intogs han för fjärde gången på Hornö LVM-hem. Den 3 februari 1999 skedde överflyttning enligt 27 § till Jälla behandlingshem, men redan den 4 februari återkom han till Hornö LVM-hem. Den 1 mars 1999 avvek han, men återkom till Hornö LVM-hem senare samma dag och lämnade ett urinprov som vid analys visade spår av amfetamin. Han är alltjämt (1999-04-22) intagen på Hornö LVM-hem.</w:t>
      </w:r>
    </w:p>
    <w:p w:rsidR="003B3271" w:rsidRPr="0008481A" w:rsidRDefault="003B3271">
      <w:pPr>
        <w:pStyle w:val="Citatindrag"/>
      </w:pPr>
      <w:r w:rsidRPr="0008481A">
        <w:t>När det gäller perioden från och med den 31 december 1998 har A.G:s bankomatkort och legitimation omhändertagits med stöd av 31 § LVM vid varje tillfälle då han tagits in på Hornö LVM-hem. Bankomatkortet och legitimationen har återlämnats till A.G. vid de två tillfällen då han lämnade Hornö LVM-hem för placering enligt 27 § LVM på Jälla behandlingshem.</w:t>
      </w:r>
    </w:p>
    <w:p w:rsidR="003B3271" w:rsidRPr="0008481A" w:rsidRDefault="003B3271">
      <w:pPr>
        <w:pStyle w:val="Rubrik4"/>
      </w:pPr>
      <w:r w:rsidRPr="0008481A">
        <w:t>Institutionschefens bedömningar</w:t>
      </w:r>
    </w:p>
    <w:p w:rsidR="003B3271" w:rsidRPr="0008481A" w:rsidRDefault="003B3271">
      <w:pPr>
        <w:pStyle w:val="Citat"/>
      </w:pPr>
      <w:r w:rsidRPr="0008481A">
        <w:t xml:space="preserve"> Institutionschefen har vid varje tillfälle då A.G:s bankomatkort och legitimation omhändertagits gjort bedömningen att A.G:s innehav av dessa skulle vara till sådant men för vården och ordningen vid hemmet som avses i 31 § LVM. A.G. har ett dokumenterat destruktivt och impulsmässigt beteende. Vid den ena placeringen på Jälla behandlingshem, då han återfått bankomatkortet och legitimationen, avvek han nästan genast och återföll i missbruk. Om klienter på Hornö LVM-hem skulle få inneha föremål som enkelt ka</w:t>
      </w:r>
      <w:r w:rsidRPr="0008481A">
        <w:t>n användas för att få kontanter, som i sin tur kan användas för flykt eller inköp av missbruksmedel, skulle det för det första befrämja sådana impulshandlingar som avvikning och återfall i missbruk, vilka är till men för vården och ordningen vid LVM-hemmet. Det skulle för det andra kunna leda till en ordningsstörande handel och köpslagan.</w:t>
      </w:r>
    </w:p>
    <w:p w:rsidR="003B3271" w:rsidRPr="0008481A" w:rsidRDefault="003B3271">
      <w:r w:rsidRPr="0008481A">
        <w:t>– – –</w:t>
      </w:r>
    </w:p>
    <w:p w:rsidR="003B3271" w:rsidRPr="0008481A" w:rsidRDefault="003B3271">
      <w:pPr>
        <w:pStyle w:val="Rubrik4"/>
      </w:pPr>
      <w:r w:rsidRPr="0008481A">
        <w:t>Yttrande</w:t>
      </w:r>
    </w:p>
    <w:p w:rsidR="003B3271" w:rsidRPr="0008481A" w:rsidRDefault="003B3271">
      <w:pPr>
        <w:pStyle w:val="Citat"/>
      </w:pPr>
      <w:r w:rsidRPr="0008481A">
        <w:t>Institutionschefen har omhändertagit bankomatkort och legitimation med stöd av 31 § LVM och gjort den bedömningen att A.G:s respektive T.J:s innehav av föremålen skulle vara till men för vården och ordningen vid hemmet. Enligt SiS mening kan man i 31 § LVM som regel finna stöd för att omhänderta kontanter, annat än mindre summor, och sådana föremål som enkelt kan användas för att få kontanter samt sådana föremål som är särskilt användbara i samband med flykt. SiS kan inte se att institutionschefen saknat g</w:t>
      </w:r>
      <w:r w:rsidRPr="0008481A">
        <w:t>rund för ett omhändertagande av föremålen.</w:t>
      </w:r>
    </w:p>
    <w:p w:rsidR="003B3271" w:rsidRPr="0008481A" w:rsidRDefault="003B3271">
      <w:r w:rsidRPr="0008481A">
        <w:t>A.G. gavs tillfälle att kommentera remissvaret.</w:t>
      </w:r>
    </w:p>
    <w:p w:rsidR="003B3271" w:rsidRPr="0008481A" w:rsidRDefault="003B3271">
      <w:r w:rsidRPr="0008481A">
        <w:rPr>
          <w:i/>
        </w:rPr>
        <w:t xml:space="preserve">JO André </w:t>
      </w:r>
      <w:r w:rsidRPr="0008481A">
        <w:t>anförde i ett beslut den 7 april 2000 följande.</w:t>
      </w:r>
    </w:p>
    <w:p w:rsidR="003B3271" w:rsidRPr="0008481A" w:rsidRDefault="003B3271">
      <w:r w:rsidRPr="0008481A">
        <w:t>Den som är intagen för vård enligt LVM är inte på grund av detta fråntagen sin rätt att själv förfoga över sin egendom. Inskränkningar i denna rätt kan emellertid göras av ordningsskäl och för att vården skall kunna genomföras. Enligt 31 § LVM får den som vårdas i ett LVM-hem inte inneha alkohol</w:t>
      </w:r>
      <w:r w:rsidRPr="0008481A">
        <w:softHyphen/>
        <w:t>haltiga drycker, nar</w:t>
      </w:r>
      <w:r w:rsidRPr="0008481A">
        <w:softHyphen/>
        <w:t>kotika, flyktiga lösningsmedel, sådana medel som avses i lagen (1991:1969) om förbud mot vissa dopningsmedel eller sådana varor som omfattas av lagen (1999:42) om förbud mot vissa hälsofarliga varor eller injektionssprutor, kanyler eller andra föremål som är särskilt ägnade att an</w:t>
      </w:r>
      <w:r w:rsidRPr="0008481A">
        <w:softHyphen/>
        <w:t>vän</w:t>
      </w:r>
      <w:r w:rsidRPr="0008481A">
        <w:softHyphen/>
        <w:t>das för missbruk av eller an</w:t>
      </w:r>
      <w:r w:rsidRPr="0008481A">
        <w:softHyphen/>
        <w:t>nan befattning med narkotika. Enligt samma bestämmelse får den intagne inte heller inneha något annat som kan vara till men för vården eller ordningen vid hemmet. Påträffas så</w:t>
      </w:r>
      <w:r w:rsidRPr="0008481A">
        <w:t>dan egendom får den omhändertas. Av 32 § LVM följer att kroppsvisitering eller ytlig kropps</w:t>
      </w:r>
      <w:r w:rsidRPr="0008481A">
        <w:softHyphen/>
        <w:t>besikt</w:t>
      </w:r>
      <w:r w:rsidRPr="0008481A">
        <w:softHyphen/>
        <w:t>ning får användas för att kontrollera att de intagna inte bär på sig något som de inte får inneha under vistelsen i LVM-hem</w:t>
      </w:r>
      <w:r w:rsidRPr="0008481A">
        <w:softHyphen/>
        <w:t>met.</w:t>
      </w:r>
    </w:p>
    <w:p w:rsidR="003B3271" w:rsidRPr="0008481A" w:rsidRDefault="003B3271">
      <w:pPr>
        <w:pStyle w:val="Normaltindrag"/>
      </w:pPr>
      <w:r w:rsidRPr="0008481A">
        <w:t>De redovisade bestämmelserna i 31 och 32 §§ LVM gäller enligt 33 § LVM för alla som vårdas i ett LVM-hem, om det är nödvändigt för att genomföra vården och upprätta ordningen vid hemmet och regeringen eller, efter regeringens bemyndigande, Statens institutionsstyrelse medger det. Det</w:t>
      </w:r>
      <w:r w:rsidRPr="0008481A">
        <w:t>ta innebär att även intagna som inte vårdas enligt LVM omfattas av bestämmelserna.</w:t>
      </w:r>
    </w:p>
    <w:p w:rsidR="003B3271" w:rsidRPr="0008481A" w:rsidRDefault="003B3271">
      <w:pPr>
        <w:pStyle w:val="Normaltindrag"/>
      </w:pPr>
      <w:r w:rsidRPr="0008481A">
        <w:t>I 34 och 35 §§ LVM finns ytterligare bestämmelser om tvångs</w:t>
      </w:r>
      <w:r w:rsidRPr="0008481A">
        <w:softHyphen/>
        <w:t>befogen</w:t>
      </w:r>
      <w:r w:rsidRPr="0008481A">
        <w:softHyphen/>
        <w:t>heter beträffande dem som vårdas i ett LVM-hem för särskilt noggrann tillsyn. I 34 § anges att den intagne får hindras att lämna hemmet och i övrigt underkastas den begränsning av rörelsefriheten som är nödvändig för att vården skall kunna genomföras. Av bestämmelsen följer vidare att hans rörelsefrihet får inskränkas när det behövs av hänsyn till andra intagnas eller personalens säkerhet. I 35 § LVM ges möjlighet att kontrollera försändelser till den intagne och omhänderta egendom som inte får inn</w:t>
      </w:r>
      <w:r w:rsidRPr="0008481A">
        <w:t>ehas enligt 31 § om sådan påträffas i en ankommande försändelse.</w:t>
      </w:r>
    </w:p>
    <w:p w:rsidR="003B3271" w:rsidRPr="0008481A" w:rsidRDefault="003B3271">
      <w:r w:rsidRPr="0008481A">
        <w:t>I förarbetena till 31 § LVM har angetts att med föremål som kan vara till men för vården eller ordningen vid hemmet avses företrädesvis vapen och till</w:t>
      </w:r>
      <w:r w:rsidRPr="0008481A">
        <w:softHyphen/>
        <w:t>hyggen som kan skada personalen eller andra intagna (prop. 1981/82:8 s. 93 f. och 1987/88:147 s. 107). JO har i tidigare beslut uttalat att även större penningsummor som innehas av de intagna kan omhändertas med stöd av 31 § LVM, när syftet med omhändertagandet varit bl.a. att förhindra utpress</w:t>
      </w:r>
      <w:r w:rsidRPr="0008481A">
        <w:softHyphen/>
        <w:t xml:space="preserve">ningssituationer samt för att undvika att droger förs in på anstalten, JO:s ämbetsberättelse 1995/96 s. 294 f. </w:t>
      </w:r>
    </w:p>
    <w:p w:rsidR="003B3271" w:rsidRPr="0008481A" w:rsidRDefault="003B3271">
      <w:pPr>
        <w:pStyle w:val="Normaltindrag"/>
      </w:pPr>
      <w:r w:rsidRPr="0008481A">
        <w:t>Regleringen av vilken egendom som får omhändertas från en patient som vårdas enligt lagen (1991:1129) o</w:t>
      </w:r>
      <w:r w:rsidRPr="0008481A">
        <w:t>m rättspsykiatrisk vård, LRV, är i huvud</w:t>
      </w:r>
      <w:r w:rsidRPr="0008481A">
        <w:softHyphen/>
        <w:t>sak densamma som vid vård enligt LVM. Av 21 § lagen (1991:1128) om psykiatrisk tvångsvård jämförd med 8 § LRV framgår att en patient som är intagen på en rättspsykiatrisk vårdinrättning, utöver narkotika och liknande, inte får inneha annan egendom som kan skada honom själv eller någon annan eller vara till men för vården eller ordningen på avdelningen. Enligt vad JO tidigare uttalat kunde en patients inne</w:t>
      </w:r>
      <w:r w:rsidRPr="0008481A">
        <w:softHyphen/>
        <w:t>hav av en större summa pengar – 27 000 kr – menligt inverka på</w:t>
      </w:r>
      <w:r w:rsidRPr="0008481A">
        <w:t xml:space="preserve"> både vården och ordningen på vård</w:t>
      </w:r>
      <w:r w:rsidRPr="0008481A">
        <w:softHyphen/>
        <w:t>inrätt</w:t>
      </w:r>
      <w:r w:rsidRPr="0008481A">
        <w:softHyphen/>
        <w:t>ningen, varför JO ansåg det rimligt att tolka begreppet an</w:t>
      </w:r>
      <w:r w:rsidRPr="0008481A">
        <w:softHyphen/>
        <w:t>nan egendom så att det även innefattar pengar (se JO:s ämbetsberättelse 1996/97 s. 301). Jag fann i ett beslut den 7 mars i år, dnr 2563-1999, inte anledning att inta någon annan ståndpunkt när det gällde ett om</w:t>
      </w:r>
      <w:r w:rsidRPr="0008481A">
        <w:softHyphen/>
        <w:t>händertagande av ett s.k. minuten-kort. Förhållandena i det ärendet var sådana att kortinne</w:t>
      </w:r>
      <w:r w:rsidRPr="0008481A">
        <w:softHyphen/>
        <w:t>havaren miss</w:t>
      </w:r>
      <w:r w:rsidRPr="0008481A">
        <w:softHyphen/>
        <w:t>brukade droger och det hade förekommit nar</w:t>
      </w:r>
      <w:r w:rsidRPr="0008481A">
        <w:softHyphen/>
        <w:t>kotika på avdelningen när denne vistades där. Det f</w:t>
      </w:r>
      <w:r w:rsidRPr="0008481A">
        <w:t>anns vidare skäl att befara att patientens ”minuten</w:t>
      </w:r>
      <w:r w:rsidRPr="0008481A">
        <w:softHyphen/>
        <w:t>kort” skulle kunna komma att överlämnas till annan patient på vårdinrätt</w:t>
      </w:r>
      <w:r w:rsidRPr="0008481A">
        <w:softHyphen/>
        <w:t>ningen för uttag av pengar. På det aktuella kontot fanns 48 000 kr inne</w:t>
      </w:r>
      <w:r w:rsidRPr="0008481A">
        <w:softHyphen/>
        <w:t xml:space="preserve">stående. Sammantaget fanns en beaktansvärd risk att ”minutenkortet” skulle kunna vara till men för vården eller ordningen på samma sätt som innehav av en större summa pengar. </w:t>
      </w:r>
    </w:p>
    <w:p w:rsidR="003B3271" w:rsidRPr="0008481A" w:rsidRDefault="003B3271">
      <w:pPr>
        <w:pStyle w:val="Normaltindrag"/>
      </w:pPr>
      <w:r w:rsidRPr="0008481A">
        <w:t>Enligt min mening bör samma synsätt i princip kunna anläggas när det gäller ”minutenkort” eller liknande kort som innehas av någon som är i</w:t>
      </w:r>
      <w:r w:rsidRPr="0008481A">
        <w:t>ntagen för vård i ett LVM-hem. Det är i och för sig inte lika tydligt att innehavet av en legitima</w:t>
      </w:r>
      <w:r w:rsidRPr="0008481A">
        <w:softHyphen/>
        <w:t>tionshandling skulle kunna vara till men för vården eller ordningen vid hemmet. Det skall dock inte bortses från att även en sådan handling, genom att den t.ex. möjliggör uttag av medel i bank, representerar ett sådant värde att handlingen i detta sammanhang kan vara att jämställa med ett bankomatkort eller kontanter. Jag anser därför att det inte bör föreligga något hinder mot att omhänderta banko</w:t>
      </w:r>
      <w:r w:rsidRPr="0008481A">
        <w:softHyphen/>
        <w:t>matkort och</w:t>
      </w:r>
      <w:r w:rsidRPr="0008481A">
        <w:t xml:space="preserve"> identitets</w:t>
      </w:r>
      <w:r w:rsidRPr="0008481A">
        <w:softHyphen/>
        <w:t>handlingar med stöd av 31 § LVM när förutsättningarna för omhänder</w:t>
      </w:r>
      <w:r w:rsidRPr="0008481A">
        <w:softHyphen/>
        <w:t>tagande i övrigt är uppfyllda.</w:t>
      </w:r>
    </w:p>
    <w:p w:rsidR="003B3271" w:rsidRPr="0008481A" w:rsidRDefault="003B3271">
      <w:pPr>
        <w:pStyle w:val="Normaltindrag"/>
      </w:pPr>
      <w:r w:rsidRPr="0008481A">
        <w:t>I remissvaret har anförts att omhändertagandet av A.G:s bankomatkort och legiti</w:t>
      </w:r>
      <w:r w:rsidRPr="0008481A">
        <w:softHyphen/>
        <w:t>mation grundats på en bedömning av att innehavet av föremålen skulle kunna vara till men för vården och ordningen vid hemmet. Det har emellertid inte påståtts att bankomatkortet och/eller legitimationen i detta fall – inne på institutionen – ut</w:t>
      </w:r>
      <w:r w:rsidRPr="0008481A">
        <w:softHyphen/>
        <w:t>gjort något men för vården eller någon fara för ordningen där. Den yttersta anled</w:t>
      </w:r>
      <w:r w:rsidRPr="0008481A">
        <w:softHyphen/>
        <w:t>ningen till omhändertagandet av föremålen synes ha varit att avhålla A.G. från att avvika från LVM-hemmet.</w:t>
      </w:r>
    </w:p>
    <w:p w:rsidR="003B3271" w:rsidRPr="0008481A" w:rsidRDefault="003B3271">
      <w:pPr>
        <w:pStyle w:val="Normaltindrag"/>
      </w:pPr>
      <w:r w:rsidRPr="0008481A">
        <w:t>Det kan naturligtvis ifrågasättas om ett omhändertagande av egendom, som sker</w:t>
      </w:r>
      <w:r w:rsidRPr="0008481A">
        <w:t xml:space="preserve"> i syfte att avhålla en intagen från att avvika, ryms inom stad</w:t>
      </w:r>
      <w:r w:rsidRPr="0008481A">
        <w:softHyphen/>
        <w:t>gandet i 31 § LVM. Det inger av principiella skäl vissa betänkligheter att ge en bestäm</w:t>
      </w:r>
      <w:r w:rsidRPr="0008481A">
        <w:softHyphen/>
        <w:t>melse om tvångsbe</w:t>
      </w:r>
      <w:r w:rsidRPr="0008481A">
        <w:softHyphen/>
        <w:t>fogenheter ett alltför vidsträckt tillämpnings</w:t>
      </w:r>
      <w:r w:rsidRPr="0008481A">
        <w:softHyphen/>
        <w:t>om</w:t>
      </w:r>
      <w:r w:rsidRPr="0008481A">
        <w:softHyphen/>
        <w:t>råde. Jag anser dock att sambandet mellan risken för att en intagen avviker och det men för vården och ordningen på hemmet som ett avvikande eller ett planerat avvikande skulle kunna innebära är tillräckligt påtagligt för att 31 § LVM skall kunna tillämpas även i en sådan situation.</w:t>
      </w:r>
    </w:p>
    <w:p w:rsidR="003B3271" w:rsidRPr="0008481A" w:rsidRDefault="003B3271">
      <w:pPr>
        <w:pStyle w:val="Normaltindrag"/>
      </w:pPr>
      <w:r w:rsidRPr="0008481A">
        <w:t>I föreva</w:t>
      </w:r>
      <w:r w:rsidRPr="0008481A">
        <w:t>rande fall får institutionschefen anses ha haft befogad anledning att anta att A.G:s innehav av såväl bankomatkortet som legitimationshandlingen kunnat vara till men för vården och ordningen vid hemmet. Omhändertagan</w:t>
      </w:r>
      <w:r w:rsidRPr="0008481A">
        <w:softHyphen/>
        <w:t>det av handlingarna föranleder därför ingen kritik från min sida.</w:t>
      </w:r>
    </w:p>
    <w:p w:rsidR="003B3271" w:rsidRPr="0008481A" w:rsidRDefault="003B3271">
      <w:pPr>
        <w:pStyle w:val="Rubrik2"/>
        <w:spacing w:before="0"/>
        <w:rPr>
          <w:i/>
        </w:rPr>
      </w:pPr>
      <w:r w:rsidRPr="0008481A">
        <w:br w:type="page"/>
      </w:r>
      <w:r w:rsidRPr="0008481A">
        <w:rPr>
          <w:i/>
        </w:rPr>
        <w:t>Handläggning</w:t>
      </w:r>
    </w:p>
    <w:p w:rsidR="003B3271" w:rsidRPr="0008481A" w:rsidRDefault="003B3271">
      <w:pPr>
        <w:pStyle w:val="Rubrik2"/>
      </w:pPr>
      <w:r w:rsidRPr="0008481A">
        <w:t>En person erhöll av en socialnämnd bistånd mot åter</w:t>
      </w:r>
      <w:r w:rsidRPr="0008481A">
        <w:softHyphen/>
        <w:t>betalnings</w:t>
      </w:r>
      <w:r w:rsidRPr="0008481A">
        <w:softHyphen/>
        <w:t xml:space="preserve">skyldighet och utfärdade i samband med beslutet fullmakt för socialnämnden att från hennes arbetsgivare uppbära kommande lön. Fråga om en tjänsteman vid socialförvaltningen i efterhand i fullmakten kunnat fylla i det belopp som arbetsgivaren skulle betala till socialnämnden </w:t>
      </w:r>
    </w:p>
    <w:p w:rsidR="003B3271" w:rsidRPr="0008481A" w:rsidRDefault="003B3271">
      <w:r w:rsidRPr="0008481A">
        <w:t xml:space="preserve">(Dnr 4205-1997) </w:t>
      </w:r>
    </w:p>
    <w:p w:rsidR="003B3271" w:rsidRPr="0008481A" w:rsidRDefault="003B3271">
      <w:r w:rsidRPr="0008481A">
        <w:t>U.G. studerade vid</w:t>
      </w:r>
      <w:r w:rsidRPr="0008481A">
        <w:rPr>
          <w:b/>
        </w:rPr>
        <w:t xml:space="preserve"> </w:t>
      </w:r>
      <w:r w:rsidRPr="0008481A">
        <w:t xml:space="preserve">en högskola. Under sommaren 1997 hade hon erhållit ett feriearbete. Den första lönen skulle betalas ut den 25 juli 1997. I juni 1997 ansökte U.G. hos Socialnämnden i Gävle kommun om bistånd för juni och juli 1997. </w:t>
      </w:r>
    </w:p>
    <w:p w:rsidR="003B3271" w:rsidRPr="0008481A" w:rsidRDefault="003B3271">
      <w:pPr>
        <w:pStyle w:val="Normaltindrag"/>
      </w:pPr>
      <w:r w:rsidRPr="0008481A">
        <w:t>I ett beslut den 9 juli 1997 avslog Socialnämnden i Gävle kommun (delega</w:t>
      </w:r>
      <w:r w:rsidRPr="0008481A">
        <w:softHyphen/>
        <w:t xml:space="preserve">tionsbeslut) ansökan om bistånd enligt 6 § socialtjänstlagen (1980:620), SoL, för juni månad eftersom U.G. hade inkomst. Däremot beviljades hon enligt 5 § SoL bistånd med 2 157 kr mot återbetalning. U.G. beviljades samma dag bistånd för juli månad 1997 med 5 434 kr (i beslutet angavs på grund av skrivfel att U.G. hade beviljats bistånd med 6 434 kr). Även det biståndet beviljades enligt 5 § SoL mot återbetalning.  </w:t>
      </w:r>
    </w:p>
    <w:p w:rsidR="003B3271" w:rsidRPr="0008481A" w:rsidRDefault="003B3271">
      <w:pPr>
        <w:pStyle w:val="Normaltindrag"/>
      </w:pPr>
      <w:r w:rsidRPr="0008481A">
        <w:t xml:space="preserve">   I samband med att U.G. beviljades bistånd fick hon underteckna två handlingar som gav soc</w:t>
      </w:r>
      <w:r w:rsidRPr="0008481A">
        <w:t>ialförvaltningen i Gävle kommun rätt att för hennes räkning ”… utkvittera och uppbära mig tillkommande lön som utbetalas i augusti -97 med …”. Det belopp som socialförvaltningen skulle ha rätt att uppbära fylldes i av förvaltningen vid ett senare tillfälle.</w:t>
      </w:r>
    </w:p>
    <w:p w:rsidR="003B3271" w:rsidRPr="0008481A" w:rsidRDefault="003B3271">
      <w:pPr>
        <w:pStyle w:val="Normaltindrag"/>
        <w:rPr>
          <w:b/>
          <w:i/>
        </w:rPr>
      </w:pPr>
      <w:r w:rsidRPr="0008481A">
        <w:t>Den 25 augusti 1997 betalade U.G:s  arbetsgivare 8 454 kr till social</w:t>
      </w:r>
      <w:r w:rsidRPr="0008481A">
        <w:softHyphen/>
        <w:t xml:space="preserve">förvaltningen i Gävle kommun. </w:t>
      </w:r>
    </w:p>
    <w:p w:rsidR="003B3271" w:rsidRPr="0008481A" w:rsidRDefault="003B3271">
      <w:pPr>
        <w:pStyle w:val="Normaltindrag"/>
        <w:rPr>
          <w:b/>
        </w:rPr>
      </w:pPr>
      <w:r w:rsidRPr="0008481A">
        <w:t>I en anmälan till JO klagade U.G. på hur Socialnämnden i Gävle kommun hade handlagt hennes biståndsärende. Hon ifrågasatte bl.a. om socialför</w:t>
      </w:r>
      <w:r w:rsidRPr="0008481A">
        <w:softHyphen/>
        <w:t xml:space="preserve">valtningen hade haft rätt att ändra i de fullmakter som hon hade skrivit under. </w:t>
      </w:r>
    </w:p>
    <w:p w:rsidR="003B3271" w:rsidRPr="0008481A" w:rsidRDefault="003B3271">
      <w:pPr>
        <w:pStyle w:val="Normaltindrag"/>
      </w:pPr>
      <w:r w:rsidRPr="0008481A">
        <w:t>Anmälan remitterades till Socialnämnden i Gävle kommun för utredning och yttrande. Nämnden åberopade som sitt remissvar ett tjänsteutlåtande som upprättats av enhetschefen Wolther Planck. I utlåtandet anfördes bl.a. följande.</w:t>
      </w:r>
    </w:p>
    <w:p w:rsidR="003B3271" w:rsidRPr="0008481A" w:rsidRDefault="003B3271">
      <w:r w:rsidRPr="0008481A">
        <w:t>– – –</w:t>
      </w:r>
    </w:p>
    <w:p w:rsidR="003B3271" w:rsidRPr="0008481A" w:rsidRDefault="003B3271">
      <w:pPr>
        <w:pStyle w:val="Citat"/>
      </w:pPr>
      <w:r w:rsidRPr="0008481A">
        <w:t>Under sommaren uppgick det utbetalda socialbidraget till 7.591 kr för juni och juli. En felräkning gjorde att beloppet skrevs in som 8.591 kr i akten, ett belopp som återkrävdes. Hennes arbetsgivare betalade in 8.454 kr, dvs 863 kr för mycket, till socialtjänsten. Efter påpekande från U. korrigera</w:t>
      </w:r>
      <w:r w:rsidRPr="0008481A">
        <w:softHyphen/>
        <w:t>des detta med 863 kr + 103 kr i ränta som återbetalades under november -97.</w:t>
      </w:r>
    </w:p>
    <w:p w:rsidR="003B3271" w:rsidRPr="0008481A" w:rsidRDefault="003B3271">
      <w:pPr>
        <w:rPr>
          <w:sz w:val="22"/>
        </w:rPr>
      </w:pPr>
      <w:r w:rsidRPr="0008481A">
        <w:t>– – –</w:t>
      </w:r>
    </w:p>
    <w:p w:rsidR="003B3271" w:rsidRPr="0008481A" w:rsidRDefault="003B3271">
      <w:pPr>
        <w:pStyle w:val="Citat"/>
      </w:pPr>
      <w:r w:rsidRPr="0008481A">
        <w:t>När det gäller vuxna studerande så finns det en uttalad policy i propositio</w:t>
      </w:r>
      <w:r w:rsidRPr="0008481A">
        <w:softHyphen/>
        <w:t>nen 1979/80, dvs förarbetet till den nuvarande socialtjänstlagen. I denna ut</w:t>
      </w:r>
      <w:r w:rsidRPr="0008481A">
        <w:softHyphen/>
        <w:t>trycks det ordagrant att ”Grundregeln bör därför vara att socialbidrag inte skall ges till studerande som i övrigt är arbetsföra”. Detta innebär i klartext att studerande under terminerna inte är berättigade till socialbidrag, utom i speciella undantagsfall. Detta innebär också att det inte godtas att stude</w:t>
      </w:r>
      <w:r w:rsidRPr="0008481A">
        <w:softHyphen/>
        <w:t>rande med hänvisning till skulder som uppstått under studietiden ska ha so</w:t>
      </w:r>
      <w:r w:rsidRPr="0008481A">
        <w:softHyphen/>
        <w:t>cialbidrag för att betala dessa, om det inte finns</w:t>
      </w:r>
      <w:r w:rsidRPr="0008481A">
        <w:t xml:space="preserve"> väldigt speciella skäl.</w:t>
      </w:r>
    </w:p>
    <w:p w:rsidR="003B3271" w:rsidRPr="0008481A" w:rsidRDefault="003B3271">
      <w:pPr>
        <w:pStyle w:val="Citatindrag"/>
      </w:pPr>
      <w:r w:rsidRPr="0008481A">
        <w:t>Då studiemedlen var avsedda att räcka till och med 7/6 så bokades studen</w:t>
      </w:r>
      <w:r w:rsidRPr="0008481A">
        <w:softHyphen/>
        <w:t>terna in omkring detta datum.</w:t>
      </w:r>
    </w:p>
    <w:p w:rsidR="003B3271" w:rsidRPr="0008481A" w:rsidRDefault="003B3271">
      <w:pPr>
        <w:pStyle w:val="Citatindrag"/>
      </w:pPr>
      <w:r w:rsidRPr="0008481A">
        <w:t>När de kom på besök så gjordes en beräkning av deras ekonomi för vårter</w:t>
      </w:r>
      <w:r w:rsidRPr="0008481A">
        <w:softHyphen/>
        <w:t>minen under den period som studiemedlen skulle täcka, samt en beräkning av hur stort socialbidrag som skulle utgå under sommarlovet.</w:t>
      </w:r>
    </w:p>
    <w:p w:rsidR="003B3271" w:rsidRPr="0008481A" w:rsidRDefault="003B3271">
      <w:pPr>
        <w:pStyle w:val="Citatindrag"/>
      </w:pPr>
      <w:r w:rsidRPr="0008481A">
        <w:t xml:space="preserve">Därefter har en beräkning av eventuella inkomster under sommarlovet gjorts. För de som hade arbete över sommaren och fick slutlön i slutet av augusti/september, så </w:t>
      </w:r>
      <w:r w:rsidRPr="0008481A">
        <w:rPr>
          <w:i/>
        </w:rPr>
        <w:t>begärdes återbetalning av utbetalt socialbidrag för den period de hade arbetsinkomst</w:t>
      </w:r>
      <w:r w:rsidRPr="0008481A">
        <w:t>, dvs om de hade en period av arbetslöshet så begärdes ingen återbetalning för denna tid. Om inte detta hade skett, så hade effekten blivit att de skulle uppbära både lön och socialbidrag för samma tidsperiod.</w:t>
      </w:r>
    </w:p>
    <w:p w:rsidR="003B3271" w:rsidRPr="0008481A" w:rsidRDefault="003B3271">
      <w:pPr>
        <w:pStyle w:val="Citatindrag"/>
      </w:pPr>
      <w:r w:rsidRPr="0008481A">
        <w:t>I samband med beviljandet av socialbidraget ombads de studerande att skriva på en fullmakt som socialtjänsten sände in till arbetsgivaren sedan det var känt hur mycket socialbidrag som utbetalats över sommaren. Detta i</w:t>
      </w:r>
      <w:r w:rsidRPr="0008481A">
        <w:t>n</w:t>
      </w:r>
      <w:r w:rsidRPr="0008481A">
        <w:softHyphen/>
        <w:t>nebar för de flesta att beloppet ej kunde preciseras i samband med att full</w:t>
      </w:r>
      <w:r w:rsidRPr="0008481A">
        <w:softHyphen/>
        <w:t>makten skrevs ut, utan kompletterades när det var klart hur mycket som ut</w:t>
      </w:r>
      <w:r w:rsidRPr="0008481A">
        <w:softHyphen/>
        <w:t>betalts i socialbidrag över sommaren. Alla som erhöll socialbidrag mot åter</w:t>
      </w:r>
      <w:r w:rsidRPr="0008481A">
        <w:softHyphen/>
        <w:t>betalning fick en genomgång av hur socialbidraget beräknades över somma</w:t>
      </w:r>
      <w:r w:rsidRPr="0008481A">
        <w:softHyphen/>
        <w:t>ren och visste att det socialbidrag de fick utbetalt skulle återbetalas. De hade alltså full information om hanteringen.</w:t>
      </w:r>
    </w:p>
    <w:p w:rsidR="003B3271" w:rsidRPr="0008481A" w:rsidRDefault="003B3271">
      <w:pPr>
        <w:pStyle w:val="Citatindrag"/>
      </w:pPr>
      <w:r w:rsidRPr="0008481A">
        <w:t>Skälet till att vi ber studerande att skriva en fullmakt är att den frivilliga återbetalnin</w:t>
      </w:r>
      <w:r w:rsidRPr="0008481A">
        <w:t>gen av utgivet socialbidrag under tidigare år fungerat mycket dåligt.</w:t>
      </w:r>
    </w:p>
    <w:p w:rsidR="003B3271" w:rsidRPr="0008481A" w:rsidRDefault="003B3271">
      <w:pPr>
        <w:pStyle w:val="Citatindrag"/>
      </w:pPr>
      <w:r w:rsidRPr="0008481A">
        <w:t>Inför 1998 kommer rutinerna att ses över och den skriftliga dokumentatio</w:t>
      </w:r>
      <w:r w:rsidRPr="0008481A">
        <w:softHyphen/>
        <w:t>nen göras tydligare så att sådana här situationer inte ska uppstå på nytt.</w:t>
      </w:r>
    </w:p>
    <w:p w:rsidR="003B3271" w:rsidRPr="0008481A" w:rsidRDefault="003B3271">
      <w:r w:rsidRPr="0008481A">
        <w:t xml:space="preserve">U.G. yttrade sig över vad socialnämnden hade anfört. </w:t>
      </w:r>
    </w:p>
    <w:p w:rsidR="003B3271" w:rsidRPr="0008481A" w:rsidRDefault="003B3271">
      <w:pPr>
        <w:pStyle w:val="Normaltindrag"/>
      </w:pPr>
      <w:r w:rsidRPr="0008481A">
        <w:t xml:space="preserve">JO lånade in och granskade socialförvaltningens handlingar rörande U.G. </w:t>
      </w:r>
    </w:p>
    <w:p w:rsidR="003B3271" w:rsidRPr="0008481A" w:rsidRDefault="003B3271">
      <w:r w:rsidRPr="0008481A">
        <w:rPr>
          <w:i/>
        </w:rPr>
        <w:t>JO</w:t>
      </w:r>
      <w:r w:rsidRPr="0008481A">
        <w:t xml:space="preserve"> </w:t>
      </w:r>
      <w:r w:rsidRPr="0008481A">
        <w:rPr>
          <w:i/>
        </w:rPr>
        <w:t>André</w:t>
      </w:r>
      <w:r w:rsidRPr="0008481A">
        <w:t xml:space="preserve"> anförde i ett beslut den 30 september 1999 följande såvitt avsåg ut</w:t>
      </w:r>
      <w:r w:rsidRPr="0008481A">
        <w:softHyphen/>
        <w:t>fyllnaden av fullmakten (i beslutet uttalade sig JO även om förutsätt</w:t>
      </w:r>
      <w:r w:rsidRPr="0008481A">
        <w:softHyphen/>
        <w:t xml:space="preserve">ningarna för att utfärda en fullmakt avseende lön m.m.)   </w:t>
      </w:r>
    </w:p>
    <w:p w:rsidR="003B3271" w:rsidRPr="0008481A" w:rsidRDefault="003B3271">
      <w:pPr>
        <w:pStyle w:val="Normaltindrag"/>
      </w:pPr>
      <w:r w:rsidRPr="0008481A">
        <w:t xml:space="preserve">Reglerna om bistånd i socialtjänstlagen ändrades på flera väsentliga punkter den 1 januari 1998. Vid tiden för U.G:s  ansökan om bistånd gällde bl.a. följande. </w:t>
      </w:r>
    </w:p>
    <w:p w:rsidR="003B3271" w:rsidRPr="0008481A" w:rsidRDefault="003B3271">
      <w:pPr>
        <w:pStyle w:val="Normaltindrag"/>
      </w:pPr>
      <w:r w:rsidRPr="0008481A">
        <w:t xml:space="preserve">Den enskilde hade enligt 6 § SoL rätt till bistånd av socialnämnden för sin försörjning och livsföring i övrigt, om hans behov inte kunde tillgodoses på annat sätt. Socialnämnden hade dessutom möjlighet att ge ekonomiskt bistånd enligt 5 § SoL även om någon skyldighet att utge bistånd enligt 6 § SoL inte förelåg. </w:t>
      </w:r>
    </w:p>
    <w:p w:rsidR="003B3271" w:rsidRPr="0008481A" w:rsidRDefault="003B3271">
      <w:pPr>
        <w:pStyle w:val="Normaltindrag"/>
      </w:pPr>
      <w:r w:rsidRPr="0008481A">
        <w:t>Ekonomisk hjälp som en enskild hade erhållit enligt 6 § SoL fick enligt 33 § första stycket SoL återkrävas endast om den hade lämnats som förskott på en förmån eller ersättning eller till den som var indragen i arbetskonflikt. Hade ekonomisk hjälp lämnats i annat fall än som avsågs i 6 § SoL fick socialnämnden återkräva hjälpen om den getts under villkor om återbetalning (33 § andra stycket SoL). Om den enskilde inte frivilligt återbetalade den erhållna hjälpen kunde socialnämnden väcka talan om ersättning</w:t>
      </w:r>
      <w:r w:rsidRPr="0008481A">
        <w:t xml:space="preserve"> (36 § SoL). En sådan talan förutsatte att den enskilde genom att återbetala hjälpen inte kunde antas bli ur stånd att klara sin försörjning eller sin dagliga livsföring i övrigt.     </w:t>
      </w:r>
    </w:p>
    <w:p w:rsidR="003B3271" w:rsidRPr="0008481A" w:rsidRDefault="003B3271">
      <w:pPr>
        <w:pStyle w:val="Normaltindrag"/>
      </w:pPr>
      <w:r w:rsidRPr="0008481A">
        <w:t xml:space="preserve">Hänvisningarna nedan till bestämmelser i socialtjänstlagen avser lagen i dess lydelse före den 1 januari 1998.  </w:t>
      </w:r>
    </w:p>
    <w:p w:rsidR="003B3271" w:rsidRPr="0008481A" w:rsidRDefault="003B3271">
      <w:pPr>
        <w:pStyle w:val="Normaltindrag"/>
      </w:pPr>
      <w:r w:rsidRPr="0008481A">
        <w:t>U.G:s ansökningar om bistånd enligt 6 § SoL avslogs därför att hon hade inkomst. Den inkomst som då åsyftades synes ha varit lönen för juni och juli. Vid ansökningstillfället saknade dock U.G. medel för sin försörjning. Hur handläggaren närmare har resonerat rörande U.G:s rätt till bistånd enligt 6 § SoL framgår inte av beslutet eller utredningen i övrigt. Om U.G. hade beviljats bistånd enligt 6 § SoL hade den hjälpen kunnat återkrävas av henne eftersom biståndet hade utgjort ett förskott på förmån eller a</w:t>
      </w:r>
      <w:r w:rsidRPr="0008481A">
        <w:t xml:space="preserve">nnan ersättning (33 § första stycket SoL). U.G. erhöll emellertid bistånd enligt 5 § SoL med återbetalningsskyldighet. I praktiken var beslutet inte till någon nackdel för U.G. Det finns inte skäl för mig att ytterligare uppehålla mig vid saken. </w:t>
      </w:r>
    </w:p>
    <w:p w:rsidR="003B3271" w:rsidRPr="0008481A" w:rsidRDefault="003B3271">
      <w:pPr>
        <w:pStyle w:val="Normaltindrag"/>
      </w:pPr>
      <w:r w:rsidRPr="0008481A">
        <w:t>I augusti aktualiserade socialnämnden sitt krav på återbetalning av biståndet för månaderna juni och juli. Förvaltningen sände då till U.G:s arbetsgivare  den fullmakt som U.G. hade utfärdat. Handläggaren vid social</w:t>
      </w:r>
      <w:r w:rsidRPr="0008481A">
        <w:softHyphen/>
        <w:t xml:space="preserve">förvaltningen hade då fyllt i det belopp, 8 591 kr, som förvaltningen önskade uppbära. Beloppet översteg augustilönen.   </w:t>
      </w:r>
    </w:p>
    <w:p w:rsidR="003B3271" w:rsidRPr="0008481A" w:rsidRDefault="003B3271">
      <w:r w:rsidRPr="0008481A">
        <w:t>– – –</w:t>
      </w:r>
    </w:p>
    <w:p w:rsidR="003B3271" w:rsidRPr="0008481A" w:rsidRDefault="003B3271">
      <w:r w:rsidRPr="0008481A">
        <w:t xml:space="preserve">Beloppet i den fullmakt som förvaltningen sände till U.G:s arbetsgivare hade skrivits dit av förvaltningens handläggare i efterhand när det var klart hur mycket bistånd som förvaltningen hade betalat ut till U.G. </w:t>
      </w:r>
    </w:p>
    <w:p w:rsidR="003B3271" w:rsidRPr="0008481A" w:rsidRDefault="003B3271">
      <w:pPr>
        <w:pStyle w:val="Normaltindrag"/>
      </w:pPr>
      <w:r w:rsidRPr="0008481A">
        <w:t xml:space="preserve">En fullmakt, som ger socialförvaltningen rätt att för en enskilds räkning uppbära lön som utbetalas av dennes arbetsgivare, tjänar som ett bevismedel för vad parterna har kommit överens om. Den ligger också till grund för arbetsgivarens beslut att betala ut lönen till socialförvaltningen i stället för till arbetstagaren. Handlingen utgör vad som i rättsliga sammanhang benämns en urkund. En urkund får inte utan vidare ändras. Här kan erinras om bestämmelsen i 14 kap. 1 § brottsbalken. </w:t>
      </w:r>
    </w:p>
    <w:p w:rsidR="003B3271" w:rsidRPr="0008481A" w:rsidRDefault="003B3271">
      <w:pPr>
        <w:pStyle w:val="Normaltindrag"/>
      </w:pPr>
      <w:r w:rsidRPr="0008481A">
        <w:t>Att ändra eller lägga till en uppgift i en urkund kan i och för sig ske om alla berörda samtycker. Något samtycke till att göra ett tillägg i den aktuella fullmakten inhämtades inte från U.G. när fullmakten sändes till arbets</w:t>
      </w:r>
      <w:r w:rsidRPr="0008481A">
        <w:softHyphen/>
        <w:t>givaren. Däremot får det anses ha varit underförstått mellan U.G. och förvaltningen att beloppet skulle fyllas i av förvaltningen i efterhand. Handläggaren torde därför ha ansett sig ha haft U.G:s samtycke till sitt hand</w:t>
      </w:r>
      <w:r w:rsidRPr="0008481A">
        <w:softHyphen/>
        <w:t>lande. I fullmakten angavs ett för högt belopp. Det berodde dock uppenbar</w:t>
      </w:r>
      <w:r w:rsidRPr="0008481A">
        <w:softHyphen/>
        <w:t>ligen på ett misstag från förvaltningens sida. I journalanteck</w:t>
      </w:r>
      <w:r w:rsidRPr="0008481A">
        <w:softHyphen/>
        <w:t>ningarna fanns nämligen en felaktig uppgift om vilket bistånd som U.G. hade erhållit. Mot bakgrund av det anförda saknas det skäl att väcka fråga om någo</w:t>
      </w:r>
      <w:r w:rsidRPr="0008481A">
        <w:t>t straffrätts</w:t>
      </w:r>
      <w:r w:rsidRPr="0008481A">
        <w:softHyphen/>
        <w:t xml:space="preserve">ligt ansvar (jfr bl.a. Beckman m.fl., Kommentar till Brottsbalken II, 6 uppl. s. 93). Detta innebär dock inte att förvaltningens hantering av fullmakten är godtagbar. </w:t>
      </w:r>
    </w:p>
    <w:p w:rsidR="003B3271" w:rsidRPr="0008481A" w:rsidRDefault="003B3271">
      <w:pPr>
        <w:pStyle w:val="Normaltindrag"/>
      </w:pPr>
      <w:r w:rsidRPr="0008481A">
        <w:t>När bistånd har beviljats mot återbetalning har det enligt remissvaret varit en del av förvaltningens rutiner att låta hjälptagaren underteckna en fullmakt där beloppet fyllts i först vid ett senare tillfälle. Förfarandet riskerar leda till uppenbara problem att senare avgöra vad parterna kan ha kommit överens om. Värdet av en f</w:t>
      </w:r>
      <w:r w:rsidRPr="0008481A">
        <w:t>ullmakt som bevismedel är förfelat om förvaltningen har förbehållit sig rätt att göra tillägg i den. Det finns inte något som hindrar att förvaltningen erhåller flera fullmakter från den enskilde, t.ex. en fullmakt för varje tillfälle då bistånd har utgivits mot återbetalningsskyldighet. Det finns därför inte ens i praktiskt hänseende något skäl för den rutin som förvaltningen har tillämpat. I detta sammanhang vill jag även peka på att handläggaren på grund av ett fel i journalanteckningarna fyllde i ett fö</w:t>
      </w:r>
      <w:r w:rsidRPr="0008481A">
        <w:t>r högt belopp i fullmakten. Detta fel hade sannolikt inte uppstått om U.G. hade fått medverka när beloppet angavs i fullmakten.</w:t>
      </w:r>
    </w:p>
    <w:p w:rsidR="003B3271" w:rsidRPr="0008481A" w:rsidRDefault="003B3271">
      <w:pPr>
        <w:pStyle w:val="Normaltindrag"/>
      </w:pPr>
      <w:r w:rsidRPr="0008481A">
        <w:t>Av journalanteckningarna eller akten i övrigt framgår inte vilken överens</w:t>
      </w:r>
      <w:r w:rsidRPr="0008481A">
        <w:softHyphen/>
        <w:t>kommelse som förvaltningen hade träffat med U.G. om återbetalningen av biståndet eller vilken information som hade lämnats till U.G. om återbetal</w:t>
      </w:r>
      <w:r w:rsidRPr="0008481A">
        <w:softHyphen/>
        <w:t>ningen i samband med att hon beviljades bistånd. Det hade varit av värde om journalanteckningarna tydligare hade återgett de diskussioner som förts med U.G. Detta hade underlättat en granskning av ärendet men skulle framför allt sannolikt ha minskat risken för missförstånd mellan för</w:t>
      </w:r>
      <w:r w:rsidRPr="0008481A">
        <w:softHyphen/>
        <w:t>valt</w:t>
      </w:r>
      <w:r w:rsidRPr="0008481A">
        <w:softHyphen/>
        <w:t>ningen och U.G. Nämnden har i sitt yttrande utlovat att förbättra dokumen</w:t>
      </w:r>
      <w:r w:rsidRPr="0008481A">
        <w:softHyphen/>
        <w:t>t</w:t>
      </w:r>
      <w:r w:rsidRPr="0008481A">
        <w:t>ationen i sin ärendehantering. Jag lämnar därför frågan.</w:t>
      </w:r>
    </w:p>
    <w:p w:rsidR="003B3271" w:rsidRPr="0008481A" w:rsidRDefault="003B3271">
      <w:pPr>
        <w:pStyle w:val="Rubrik2"/>
      </w:pPr>
      <w:r w:rsidRPr="0008481A">
        <w:t>Fråga om rätt till partsinsyn under handläggningen av en vårdnadsutredning</w:t>
      </w:r>
    </w:p>
    <w:p w:rsidR="003B3271" w:rsidRPr="0008481A" w:rsidRDefault="003B3271">
      <w:r w:rsidRPr="0008481A">
        <w:t>(Dnr 1523-1998)</w:t>
      </w:r>
    </w:p>
    <w:p w:rsidR="003B3271" w:rsidRPr="0008481A" w:rsidRDefault="003B3271">
      <w:r w:rsidRPr="0008481A">
        <w:t>Hasse R. och hans tidigare hustru Lena R. har tillsammans barnen S., född 1986, och P., född 1988. Efter äktenskapsskillnad år 1991 hade föräldrarna till en början gemensam vårdnad om barnen. Under år 1993 väckte Hasse R. vid Stockholms tingsrätt talan om att han ensam skulle anförtros vårdnaden om barnen. I ett inte</w:t>
      </w:r>
      <w:r w:rsidRPr="0008481A">
        <w:softHyphen/>
        <w:t>rimistiskt beslut den 4 november 1993 förordnade tingsrätten att Hasse R. ensam skulle ha vårdnaden om S. och P. Tingsrätten uppdrog samtidigt åt Socialnämn</w:t>
      </w:r>
      <w:r w:rsidRPr="0008481A">
        <w:softHyphen/>
        <w:t xml:space="preserve">den i Stockholms kommun att företa en vårdnadsutredning beträffande barnen. Till utredare utsågs en tjänsteman vid familjerättsbyrån i kommunen. </w:t>
      </w:r>
    </w:p>
    <w:p w:rsidR="003B3271" w:rsidRPr="0008481A" w:rsidRDefault="003B3271">
      <w:pPr>
        <w:pStyle w:val="Normaltindrag"/>
      </w:pPr>
      <w:r w:rsidRPr="0008481A">
        <w:t>Under den tid då arbetet med vårdnadsutredningen pågick genomförde Sociala distriktsnämnden 16 i Stockholms kommun en s.k. barnavårdsutred</w:t>
      </w:r>
      <w:r w:rsidRPr="0008481A">
        <w:softHyphen/>
        <w:t>ning rörande barnens förhållanden. Barnen vistades under utredningen en tid vid Geneta barn</w:t>
      </w:r>
      <w:r w:rsidRPr="0008481A">
        <w:softHyphen/>
        <w:t>hem. Där gjordes bl.a. en bedömning av om barnen varit utsatta för sexuella över</w:t>
      </w:r>
      <w:r w:rsidRPr="0008481A">
        <w:softHyphen/>
        <w:t xml:space="preserve">grepp. I ett utlåtande från barnhemmet den </w:t>
      </w:r>
      <w:r w:rsidRPr="0008481A">
        <w:br/>
        <w:t>15 december 1994 (nedan kallad Geneta-utredningen) fann utredarna vid barnhemmet inte skäl anta att barnen varit utsatta för något övergrepp. Sociala distriktsnämnden avslutade barnavårdsutred</w:t>
      </w:r>
      <w:r w:rsidRPr="0008481A">
        <w:softHyphen/>
        <w:t>ningen den 9 juni 1995. Vad som kommit fram under utredningen föranledde inte någon åtgärd från nämnd</w:t>
      </w:r>
      <w:r w:rsidRPr="0008481A">
        <w:t xml:space="preserve">ens sida.  </w:t>
      </w:r>
    </w:p>
    <w:p w:rsidR="003B3271" w:rsidRPr="0008481A" w:rsidRDefault="003B3271">
      <w:pPr>
        <w:pStyle w:val="Normaltindrag"/>
      </w:pPr>
      <w:r w:rsidRPr="0008481A">
        <w:t>Vårdnadsutredningen blev klar den 13 maj 1996 och kom in till tingsrätten den 31 maj samma år. Till utredningen fogades bl.a. Geneta-utredningen. Vårdnadsut</w:t>
      </w:r>
      <w:r w:rsidRPr="0008481A">
        <w:softHyphen/>
        <w:t xml:space="preserve">redaren hade dessförinnan lämnat en kopia av Geneta-utredningen till Lena R. </w:t>
      </w:r>
    </w:p>
    <w:p w:rsidR="003B3271" w:rsidRPr="0008481A" w:rsidRDefault="003B3271">
      <w:pPr>
        <w:pStyle w:val="Normaltindrag"/>
      </w:pPr>
      <w:r w:rsidRPr="0008481A">
        <w:t xml:space="preserve">I en anmälan som kom in till JO den 27 augusti 1997 ifrågasatte Hasse R. om vårdnadsutredaren brutit sekretessen genom att lämna ut Geneta-utredningen till Lena R. I ärendet inhämtades att en utredning om saken pågick vid Länsstyrelsen i Stockholms län. JO fann därför inte skäl inleda någon egen utredning (beslut den 8 september 1997, JO:s dnr 3226-1997).  </w:t>
      </w:r>
    </w:p>
    <w:p w:rsidR="003B3271" w:rsidRPr="0008481A" w:rsidRDefault="003B3271">
      <w:pPr>
        <w:pStyle w:val="Normaltindrag"/>
      </w:pPr>
      <w:r w:rsidRPr="0008481A">
        <w:t xml:space="preserve">Länsstyrelsen i Stockholms län meddelade beslut i sitt ärende den </w:t>
      </w:r>
      <w:r w:rsidRPr="0008481A">
        <w:br/>
        <w:t>16 december 1997. I beslutet behandlade länsstyrelsen klagomål från Hasse R. mot hur hand</w:t>
      </w:r>
      <w:r w:rsidRPr="0008481A">
        <w:softHyphen/>
        <w:t>läggaren hade bedrivit vårdnadsutredningen och mot att utredningen förhalats samt mot utläm</w:t>
      </w:r>
      <w:r w:rsidRPr="0008481A">
        <w:softHyphen/>
        <w:t>nandet av Geneta-utredningen till Lena R. När det gällde utläm</w:t>
      </w:r>
      <w:r w:rsidRPr="0008481A">
        <w:softHyphen/>
        <w:t>nandet av Geneta-utredningen ansåg länsstyrelsen inte att uppgifterna i den utred</w:t>
      </w:r>
      <w:r w:rsidRPr="0008481A">
        <w:softHyphen/>
        <w:t>ningen var sådana att de hade kunnat undanhållas modern som part i vårdnadsut</w:t>
      </w:r>
      <w:r w:rsidRPr="0008481A">
        <w:softHyphen/>
        <w:t>redningen. Länssty</w:t>
      </w:r>
      <w:r w:rsidRPr="0008481A">
        <w:softHyphen/>
        <w:t>relsens bedömning grundades på reglerna i 16 § förvaltningsla</w:t>
      </w:r>
      <w:r w:rsidRPr="0008481A">
        <w:softHyphen/>
        <w:t>gen (1986:223), FL, och 1</w:t>
      </w:r>
      <w:r w:rsidRPr="0008481A">
        <w:t xml:space="preserve">4 kap. 5 § sekretesslagen (1980:100), SekrL. </w:t>
      </w:r>
    </w:p>
    <w:p w:rsidR="003B3271" w:rsidRPr="0008481A" w:rsidRDefault="003B3271">
      <w:pPr>
        <w:pStyle w:val="Normaltindrag"/>
      </w:pPr>
      <w:r w:rsidRPr="0008481A">
        <w:t xml:space="preserve">Efter det att länsstyrelsen fattat sitt beslut hemställde Hasse R. i en anmälan till JO att JO skulle utreda om Länsstyrelsen i Stockholms län hanterat hans anmälan mot Familjerättsbyrån i Stockholm på ett riktigt sätt. I sin anmälan tog Hasse R. upp frågan om utlämnandet av Geneta-utredningen till Lena R. </w:t>
      </w:r>
    </w:p>
    <w:p w:rsidR="003B3271" w:rsidRPr="0008481A" w:rsidRDefault="003B3271">
      <w:pPr>
        <w:pStyle w:val="Normaltindrag"/>
      </w:pPr>
      <w:r w:rsidRPr="0008481A">
        <w:t xml:space="preserve">Vad Hasse R. anförde i sin anmälan föranledde JO att närmare utreda om Lena R. hade haft rätt till s.k. partsinsyn enligt 16 § FL såvitt gällde Geneta-utredningen. JO inhämtade därför Länsstyrelsens i Stockholms län beslut den 16 december 1997. I beslutet anförde länsstyrelsen, såvitt nu är av intresse, följande. </w:t>
      </w:r>
    </w:p>
    <w:p w:rsidR="003B3271" w:rsidRPr="0008481A" w:rsidRDefault="003B3271">
      <w:pPr>
        <w:pStyle w:val="Rubrik4"/>
      </w:pPr>
      <w:r w:rsidRPr="0008481A">
        <w:t>Partsbegreppet</w:t>
      </w:r>
    </w:p>
    <w:p w:rsidR="003B3271" w:rsidRPr="0008481A" w:rsidRDefault="003B3271">
      <w:pPr>
        <w:pStyle w:val="Citat"/>
      </w:pPr>
      <w:r w:rsidRPr="0008481A">
        <w:t>Det kan vara viktigt att reda ut de skilda partsbegreppen som gäller social</w:t>
      </w:r>
      <w:r w:rsidRPr="0008481A">
        <w:softHyphen/>
        <w:t>distriktets utredning efter anmälan om sexuella övergrepp respektive famil</w:t>
      </w:r>
      <w:r w:rsidRPr="0008481A">
        <w:softHyphen/>
        <w:t>jerättens utredning i vårdnadsfrågan.</w:t>
      </w:r>
    </w:p>
    <w:p w:rsidR="003B3271" w:rsidRPr="0008481A" w:rsidRDefault="003B3271">
      <w:pPr>
        <w:pStyle w:val="Citatindrag"/>
      </w:pPr>
      <w:r w:rsidRPr="0008481A">
        <w:t>När det gäller socialtjänstens utredning görs den enligt 50 § socialtjänstla</w:t>
      </w:r>
      <w:r w:rsidRPr="0008481A">
        <w:softHyphen/>
        <w:t>gen. Det är barnens förhållanden hos Er som vårdnadshavare som utreds. Ni är part i egenskap av vårdnadshavare till barnen. Modern är inte vårdnadsha</w:t>
      </w:r>
      <w:r w:rsidRPr="0008481A">
        <w:softHyphen/>
        <w:t>vare och berörs inte annat än som eventuell uppgiftslämnare. Hon är därför inte part och har inte rätt att ta del av material i ärendet.</w:t>
      </w:r>
    </w:p>
    <w:p w:rsidR="003B3271" w:rsidRPr="0008481A" w:rsidRDefault="003B3271">
      <w:pPr>
        <w:pStyle w:val="Citatindrag"/>
      </w:pPr>
      <w:r w:rsidRPr="0008481A">
        <w:t>I vårdnadsutredningen däremot är Ni båda parter. Ni berörs på samma juri</w:t>
      </w:r>
      <w:r w:rsidRPr="0008481A">
        <w:softHyphen/>
        <w:t>diska villkor av den konflikt som skall avgöras i vårdnadsfrågan. Därav följer att Ni båda skall ha tillgång till det material som kommer att ingå i be</w:t>
      </w:r>
      <w:r w:rsidRPr="0008481A">
        <w:softHyphen/>
        <w:t>slutsunderlaget för vårdnadsutredningen.</w:t>
      </w:r>
    </w:p>
    <w:p w:rsidR="003B3271" w:rsidRPr="0008481A" w:rsidRDefault="003B3271">
      <w:pPr>
        <w:pStyle w:val="Rubrik4"/>
      </w:pPr>
      <w:r w:rsidRPr="0008481A">
        <w:t xml:space="preserve">Saken </w:t>
      </w:r>
    </w:p>
    <w:p w:rsidR="003B3271" w:rsidRPr="0008481A" w:rsidRDefault="003B3271">
      <w:pPr>
        <w:pStyle w:val="Citat"/>
      </w:pPr>
      <w:r w:rsidRPr="0008481A">
        <w:t>Under vårdnadsutredningen gjordes en utredning av barnen på Geneta barn</w:t>
      </w:r>
      <w:r w:rsidRPr="0008481A">
        <w:softHyphen/>
        <w:t>hem i Södertälje. Utredningen var en del i den barnavårdsutredning som gjordes av dåvarande socialdistrikt 16 i Stockholm efter anmälan om even</w:t>
      </w:r>
      <w:r w:rsidRPr="0008481A">
        <w:softHyphen/>
        <w:t>tuella sexuella övergrepp.</w:t>
      </w:r>
    </w:p>
    <w:p w:rsidR="003B3271" w:rsidRPr="0008481A" w:rsidRDefault="003B3271">
      <w:pPr>
        <w:pStyle w:val="Citatindrag"/>
      </w:pPr>
      <w:r w:rsidRPr="0008481A">
        <w:t>Ni hade tydligt uttalat att Ni som vårdnadshavare motsatte Er att modern tog del av Genetas utredning.</w:t>
      </w:r>
    </w:p>
    <w:p w:rsidR="003B3271" w:rsidRPr="0008481A" w:rsidRDefault="003B3271">
      <w:pPr>
        <w:pStyle w:val="Citatindrag"/>
      </w:pPr>
      <w:r w:rsidRPr="0008481A">
        <w:t>Länsstyrelsen anser det rimligt att vårdnadsutredaren önskade ta del av Genetas utredning om barnen, som fanns på socialdistriktet. Det fanns an</w:t>
      </w:r>
      <w:r w:rsidRPr="0008481A">
        <w:softHyphen/>
        <w:t>ledning tro att dess innehåll kunde ha betydelse för utredningen i vårdnads</w:t>
      </w:r>
      <w:r w:rsidRPr="0008481A">
        <w:softHyphen/>
        <w:t>frågan.</w:t>
      </w:r>
    </w:p>
    <w:p w:rsidR="003B3271" w:rsidRPr="0008481A" w:rsidRDefault="003B3271">
      <w:pPr>
        <w:pStyle w:val="Citatindrag"/>
      </w:pPr>
      <w:r w:rsidRPr="0008481A">
        <w:t>Vårdnadsutredaren har rätt att begära in och få del av det material som finns i den egna myndigheten, d.v.s. dåvarande sociala distriktsnämnden 16 i Stockholms stad.</w:t>
      </w:r>
    </w:p>
    <w:p w:rsidR="003B3271" w:rsidRPr="0008481A" w:rsidRDefault="003B3271">
      <w:pPr>
        <w:pStyle w:val="Citatindrag"/>
      </w:pPr>
      <w:r w:rsidRPr="0008481A">
        <w:t>I och med att Genetautredningen inkommit till handläggaren på familjerät</w:t>
      </w:r>
      <w:r w:rsidRPr="0008481A">
        <w:softHyphen/>
        <w:t>ten och tillförts vårdnadsärendet har barnens mor, som part i vårdnadsutred</w:t>
      </w:r>
      <w:r w:rsidRPr="0008481A">
        <w:softHyphen/>
        <w:t>ningen, tillgång till dessa handlingar liksom till annat material som ingick i ärendet.</w:t>
      </w:r>
    </w:p>
    <w:p w:rsidR="003B3271" w:rsidRPr="0008481A" w:rsidRDefault="003B3271">
      <w:pPr>
        <w:pStyle w:val="Citatindrag"/>
      </w:pPr>
      <w:r w:rsidRPr="0008481A">
        <w:t>I 16 § förvaltningslagen (FL) stadgas att part har rätt att ta del av alla upp</w:t>
      </w:r>
      <w:r w:rsidRPr="0008481A">
        <w:softHyphen/>
        <w:t xml:space="preserve">gifter som tillförts ärendet med de begränsningar som är reglerade i 14 kap. 5 § SekrL. Huvudregeln är alltså att sekretessen får vika för parts rätt att ta del av material i ett ärende. I 14 kap. 5 § SekrL regleras undantagen. Där står att undantag kan göras om ”det av hänsyn till allmänt eller enskilt intresse är av synnerlig vikt att sekretessbelagd uppgift i materialet inte röjs”. </w:t>
      </w:r>
    </w:p>
    <w:p w:rsidR="003B3271" w:rsidRPr="0008481A" w:rsidRDefault="003B3271">
      <w:pPr>
        <w:pStyle w:val="Citatindrag"/>
      </w:pPr>
      <w:r w:rsidRPr="0008481A">
        <w:t>I Socialstyrelsens allmänna råd om handläggning och dokumentation 1994:3 (sid. 32) poängteras att det krävs mycket tungt v</w:t>
      </w:r>
      <w:r w:rsidRPr="0008481A">
        <w:t>ägande skäl för att principen om parts rätt till insyn skall stå tillbaka. Som exempel nämns att anmälare eller uppgiftslämnare i en utredning kan behöva skyddas och inte lämnas ut med namn om det föreligger risk för våld (7 kap 6 § SekrL).</w:t>
      </w:r>
    </w:p>
    <w:p w:rsidR="003B3271" w:rsidRPr="0008481A" w:rsidRDefault="003B3271">
      <w:pPr>
        <w:pStyle w:val="Citatindrag"/>
      </w:pPr>
      <w:r w:rsidRPr="0008481A">
        <w:t>Uppgifterna i Genetas utredning, som tillförts vårdnadsutredningen, kan inte anses vara av den art att de kan undanhållas modern som part i vårdnads</w:t>
      </w:r>
      <w:r w:rsidRPr="0008481A">
        <w:softHyphen/>
        <w:t>ut</w:t>
      </w:r>
      <w:r w:rsidRPr="0008481A">
        <w:softHyphen/>
        <w:t>redningen.</w:t>
      </w:r>
    </w:p>
    <w:p w:rsidR="003B3271" w:rsidRPr="0008481A" w:rsidRDefault="003B3271">
      <w:pPr>
        <w:pStyle w:val="Citatindrag"/>
      </w:pPr>
      <w:r w:rsidRPr="0008481A">
        <w:t>Länsstyrelsen finner inte anledning att rikta kritik mot familjerätten i Stockholm när det gäller hanteringen av de sekretessbelagda uppgifterna i utredningen från Geneta barnhem.</w:t>
      </w:r>
    </w:p>
    <w:p w:rsidR="003B3271" w:rsidRPr="0008481A" w:rsidRDefault="003B3271">
      <w:r w:rsidRPr="0008481A">
        <w:t>Därefter inhämtades ett yttrande från Länsstyrelsen i Stockholms län. I re</w:t>
      </w:r>
      <w:r w:rsidRPr="0008481A">
        <w:softHyphen/>
        <w:t xml:space="preserve">missen till länsstyrelsen angavs att länsstyrelsen skulle utveckla sin ståndpunkt när det gällde vissa frågor rörande partsinsynen enligt 16 § FL. I sitt yttrande anförde länsstyrelsen följande. </w:t>
      </w:r>
    </w:p>
    <w:p w:rsidR="003B3271" w:rsidRPr="0008481A" w:rsidRDefault="003B3271">
      <w:pPr>
        <w:pStyle w:val="Citat"/>
      </w:pPr>
      <w:r w:rsidRPr="0008481A">
        <w:t>Den mest centrala frågan i Hasse R:s klagomål till Länsstyrelsen var om modern, Lena R., under vårdnadsutredningens gång fått del av sekretessbe</w:t>
      </w:r>
      <w:r w:rsidRPr="0008481A">
        <w:softHyphen/>
        <w:t>lagda uppgifter som hon inte haft rätt att få.</w:t>
      </w:r>
    </w:p>
    <w:p w:rsidR="003B3271" w:rsidRPr="0008481A" w:rsidRDefault="003B3271">
      <w:pPr>
        <w:pStyle w:val="Citatindrag"/>
      </w:pPr>
      <w:r w:rsidRPr="0008481A">
        <w:t>Familjerättsbyrån upplyste i sitt yttrande till Länsstyrelsen att modern under vårdnadsutredningen ansetts vara part och därför haft rätt att ta del av mate</w:t>
      </w:r>
      <w:r w:rsidRPr="0008481A">
        <w:softHyphen/>
        <w:t>rial som tillförts vårdnadsärendet. Både fadern och modern bereddes tillfälle att ta del av och yttra sig över den färdigställda vårdnadsutredningen med alla bilagor innan den gavs in till tingsrätten.</w:t>
      </w:r>
    </w:p>
    <w:p w:rsidR="003B3271" w:rsidRPr="0008481A" w:rsidRDefault="003B3271">
      <w:pPr>
        <w:pStyle w:val="Citatindrag"/>
      </w:pPr>
      <w:r w:rsidRPr="0008481A">
        <w:t>När det gäller frågan om en vårdnads- eller umgängesutredning bör kom</w:t>
      </w:r>
      <w:r w:rsidRPr="0008481A">
        <w:softHyphen/>
        <w:t>municeras med parterna enligt bestämmelserna i 17 § förvaltningslagen (1986:223) har JO i ett beslut den 30 juli 1993 uttalat följande.</w:t>
      </w:r>
    </w:p>
    <w:p w:rsidR="003B3271" w:rsidRPr="0008481A" w:rsidRDefault="003B3271">
      <w:pPr>
        <w:pStyle w:val="Citat"/>
      </w:pPr>
      <w:r w:rsidRPr="0008481A">
        <w:t>”Uppenbarligen utgör utredningen underlag för den myndighetsutövning som domstolen utövar mot den enskilde i vårdnads- eller umgängesmålet. Den som är part i ett vårdnads- eller umgängesärende vid allmän domstol berörs alltså så nära av en utredning att han bör äga rätt att få del av och yttra sig över utredningen, innan den inges till domstolen. Därtill kommer att en så</w:t>
      </w:r>
      <w:r w:rsidRPr="0008481A">
        <w:softHyphen/>
        <w:t>dan kommunikation är ägnad att öka förutsättningarna för en objektiv ut</w:t>
      </w:r>
      <w:r w:rsidRPr="0008481A">
        <w:softHyphen/>
        <w:t>redning. Det räcker inte att parten kan komma med sina invändningar inför domstolen. Han har rätt att kräva skäligt rådrum för att  anlägga synpunk</w:t>
      </w:r>
      <w:r w:rsidRPr="0008481A">
        <w:softHyphen/>
        <w:t>ter på utredningen. Min uppfattning är således att en vårdnads</w:t>
      </w:r>
      <w:r w:rsidRPr="0008481A">
        <w:softHyphen/>
        <w:t>- eller um</w:t>
      </w:r>
      <w:r w:rsidRPr="0008481A">
        <w:softHyphen/>
        <w:t>gängesut</w:t>
      </w:r>
      <w:r w:rsidRPr="0008481A">
        <w:softHyphen/>
        <w:t>redning alltid bör kommuniceras med parterna innan den inges till domsto</w:t>
      </w:r>
      <w:r w:rsidRPr="0008481A">
        <w:softHyphen/>
        <w:t>len, och detta alldeles oavsett om den innehåller ett ställningsta</w:t>
      </w:r>
      <w:r w:rsidRPr="0008481A">
        <w:softHyphen/>
        <w:t>gande i sakfrågan. (JO 1994/95 sid 363)”</w:t>
      </w:r>
    </w:p>
    <w:p w:rsidR="003B3271" w:rsidRPr="0008481A" w:rsidRDefault="003B3271">
      <w:pPr>
        <w:pStyle w:val="Citat"/>
      </w:pPr>
      <w:r w:rsidRPr="0008481A">
        <w:t>Enligt 16 § förvaltningslag</w:t>
      </w:r>
      <w:r w:rsidRPr="0008481A">
        <w:t>en har part rätt att – – – med viss begränsning</w:t>
      </w:r>
      <w:r w:rsidRPr="0008481A">
        <w:br/>
        <w:t>– – – få ta del av uppgifter som tillförts ett ärende om detta avser myndig</w:t>
      </w:r>
      <w:r w:rsidRPr="0008481A">
        <w:softHyphen/>
        <w:t>hets</w:t>
      </w:r>
      <w:r w:rsidRPr="0008481A">
        <w:softHyphen/>
        <w:t>utövning mot någon enskild. När det gäller frågan om även denna bestämmelse måste anses tillämplig hos socialnämnd i ärenden om vårdnads- eller umgängesut</w:t>
      </w:r>
      <w:r w:rsidRPr="0008481A">
        <w:softHyphen/>
        <w:t>redning kan anföras följande.</w:t>
      </w:r>
    </w:p>
    <w:p w:rsidR="003B3271" w:rsidRPr="0008481A" w:rsidRDefault="003B3271">
      <w:pPr>
        <w:pStyle w:val="Citatindrag"/>
      </w:pPr>
      <w:r w:rsidRPr="0008481A">
        <w:t>16 och 17 §§ förvaltningslagen rör olika aspekter av en grundläggande ga</w:t>
      </w:r>
      <w:r w:rsidRPr="0008481A">
        <w:softHyphen/>
        <w:t>ranti för den enskildes rättssäkerhet, den att en part ska ha tillgång till det material som en myndighet avser att grunda sitt avgörande på för att han ska kunna bemöta påståenden och eventuellt komplettera utredningen. Partsbe</w:t>
      </w:r>
      <w:r w:rsidRPr="0008481A">
        <w:softHyphen/>
        <w:t>greppet uttrycks i bägge paragraferna med orden ”sökande, klagande eller annan part”. Bägge bestämmelserna gäller vidare ärende som avser myndig</w:t>
      </w:r>
      <w:r w:rsidRPr="0008481A">
        <w:softHyphen/>
        <w:t>hetsutövning mot någon enskild.</w:t>
      </w:r>
    </w:p>
    <w:p w:rsidR="003B3271" w:rsidRPr="0008481A" w:rsidRDefault="003B3271">
      <w:pPr>
        <w:pStyle w:val="Citatindrag"/>
      </w:pPr>
      <w:r w:rsidRPr="0008481A">
        <w:t>När det gäller vilka uppgifter som omfattas av bestämmelserna i de båda pa</w:t>
      </w:r>
      <w:r w:rsidRPr="0008481A">
        <w:softHyphen/>
        <w:t>ragraferna skiljer sig dessa enligt Länsstyrelsens bedömning inte i vård</w:t>
      </w:r>
      <w:r w:rsidRPr="0008481A">
        <w:softHyphen/>
        <w:t xml:space="preserve">nads- och umgängesärenden på något avgörande sätt. Visserligen kan sägas att kommunikationsskyldigheten endast gäller förslaget till vårdnads- </w:t>
      </w:r>
      <w:r w:rsidRPr="0008481A">
        <w:softHyphen/>
        <w:t>eller um</w:t>
      </w:r>
      <w:r w:rsidRPr="0008481A">
        <w:softHyphen/>
        <w:t>gängesutredning medan insynsrätten även kan omfatta material som inte ta</w:t>
      </w:r>
      <w:r w:rsidRPr="0008481A">
        <w:softHyphen/>
        <w:t>gits med i utredningen men som finns i ärendets akt. Med hänsyn till den re</w:t>
      </w:r>
      <w:r w:rsidRPr="0008481A">
        <w:softHyphen/>
        <w:t>striktivitet som rekommenderas i fråga om att ta in referenser i ifrågava</w:t>
      </w:r>
      <w:r w:rsidRPr="0008481A">
        <w:softHyphen/>
        <w:t xml:space="preserve">rande utredningar och att uppgifter i en utredning aldrig bör </w:t>
      </w:r>
      <w:r w:rsidRPr="0008481A">
        <w:t>inhämtas bakom ryggen på den enskilde, anser Länsstyrelsen att det torde vara liten risk för att det i akten finns uppgifter om enskilds personliga förhållanden som saknar relevans i utredningen men som part ändå kan ha rätt att ta del av.</w:t>
      </w:r>
    </w:p>
    <w:p w:rsidR="003B3271" w:rsidRPr="0008481A" w:rsidRDefault="003B3271">
      <w:pPr>
        <w:pStyle w:val="Citatindrag"/>
      </w:pPr>
      <w:r w:rsidRPr="0008481A">
        <w:t>Länsstyrelsen kan inte finna annat än att stadgandena i de båda para</w:t>
      </w:r>
      <w:r w:rsidRPr="0008481A">
        <w:softHyphen/>
        <w:t>graferna är lika viktiga för den enskildes rättsskydd. Mot bakgrund härav anser Läns</w:t>
      </w:r>
      <w:r w:rsidRPr="0008481A">
        <w:softHyphen/>
        <w:t>styrelsen att de ur rättssäkerhetssynpunkt tungt vägande skäl, som JO anfört till stöd för sin uppfattning att bestämmelserna i 17 § förvaltnings</w:t>
      </w:r>
      <w:r w:rsidRPr="0008481A">
        <w:softHyphen/>
        <w:t>lagen ska tillämpas i vårdnads- och umgängesutredningar, har bärkraft även när det gäller den insynsrätt som tillförsäkras part i 16 § förvaltningslagen.</w:t>
      </w:r>
    </w:p>
    <w:p w:rsidR="003B3271" w:rsidRPr="0008481A" w:rsidRDefault="003B3271">
      <w:pPr>
        <w:pStyle w:val="Citatindrag"/>
      </w:pPr>
      <w:r w:rsidRPr="0008481A">
        <w:t>Sammanfattningsvis anser Länsstyrelsen att en vårdnadsutredning utgör myndighetsutövning mot enskild och att bestämmelserna om</w:t>
      </w:r>
      <w:r w:rsidRPr="0008481A">
        <w:t xml:space="preserve"> partsinsyn i 16 § förvaltningslagen därför skall tillämpas i vårdnads- och umgängesären</w:t>
      </w:r>
      <w:r w:rsidRPr="0008481A">
        <w:softHyphen/>
        <w:t>den hos socialnämnd.</w:t>
      </w:r>
    </w:p>
    <w:p w:rsidR="003B3271" w:rsidRPr="0008481A" w:rsidRDefault="003B3271">
      <w:pPr>
        <w:pStyle w:val="Citatindrag"/>
      </w:pPr>
      <w:r w:rsidRPr="0008481A">
        <w:t>Vad slutligen gäller frågan om den s k Geneta-utredningen tillförts vård</w:t>
      </w:r>
      <w:r w:rsidRPr="0008481A">
        <w:softHyphen/>
        <w:t>nads</w:t>
      </w:r>
      <w:r w:rsidRPr="0008481A">
        <w:softHyphen/>
        <w:t>utredningen kan konstateras att den fogats som bilaga till denna och således utgör en del av denna. Geneta-utredningen berör till stor del rela</w:t>
      </w:r>
      <w:r w:rsidRPr="0008481A">
        <w:softHyphen/>
        <w:t>tioner</w:t>
      </w:r>
      <w:r w:rsidRPr="0008481A">
        <w:softHyphen/>
        <w:t>na mellan föräldrarna och barnen. Länsstyrelsen anser att ett så</w:t>
      </w:r>
      <w:r w:rsidRPr="0008481A">
        <w:softHyphen/>
        <w:t>dant utredningsmaterial har självklar relevans i en vårdnadsutredning och måste redovisas för tingsrätten.</w:t>
      </w:r>
    </w:p>
    <w:p w:rsidR="003B3271" w:rsidRPr="0008481A" w:rsidRDefault="003B3271">
      <w:r w:rsidRPr="0008481A">
        <w:t xml:space="preserve">Hasse R. yttrade sig över länsstyrelsens remissvar. </w:t>
      </w:r>
    </w:p>
    <w:p w:rsidR="003B3271" w:rsidRPr="0008481A" w:rsidRDefault="003B3271">
      <w:r w:rsidRPr="0008481A">
        <w:rPr>
          <w:i/>
        </w:rPr>
        <w:t xml:space="preserve">JO André </w:t>
      </w:r>
      <w:r w:rsidRPr="0008481A">
        <w:t>anförde i ett beslut den 18 februari 2000 följande.</w:t>
      </w:r>
    </w:p>
    <w:p w:rsidR="003B3271" w:rsidRPr="0008481A" w:rsidRDefault="003B3271">
      <w:pPr>
        <w:pStyle w:val="Normaltindrag"/>
      </w:pPr>
      <w:r w:rsidRPr="0008481A">
        <w:t>Hasse R. har i sin anmälan och i sitt yttrande över länsstyrelsens remissvar tagit upp flera frågor som rör socialförvaltningens agerande i samband med konflikten mellan honom och Lena R. Förhållandena har i väsentliga hänseenden inträffat mer än två år före det att anmälan kom in till JO. JO skall enligt de regler som gäller för JO:s verksamhet som regel inte utreda förhållanden som ligger så långt tillbaka i tiden. Jag har inte funnit skäl att frångå huv</w:t>
      </w:r>
      <w:r w:rsidRPr="0008481A">
        <w:t>udregeln. När det gäller in</w:t>
      </w:r>
      <w:r w:rsidRPr="0008481A">
        <w:softHyphen/>
        <w:t>nehållet i vårdnadsutredningen, som Hasse R. anser delvis vara partisk, vill jag påpeka att en domstol själv</w:t>
      </w:r>
      <w:r w:rsidRPr="0008481A">
        <w:softHyphen/>
        <w:t>ständigt skall avgöra vilket värde som skall tillmätas innehållet i utredningen. En part som anser att det finns fel eller brister i utred</w:t>
      </w:r>
      <w:r w:rsidRPr="0008481A">
        <w:softHyphen/>
        <w:t xml:space="preserve">ningen har möjlighet att anföra detta under rättegången. Domstolen har möjlighet att förordna om att vårdnadsutredningen skall kompletteras. JO brukar som regel inte ta upp frågor som rör innehållet i en sådan utredning.   </w:t>
      </w:r>
    </w:p>
    <w:p w:rsidR="003B3271" w:rsidRPr="0008481A" w:rsidRDefault="003B3271">
      <w:pPr>
        <w:pStyle w:val="Normaltindrag"/>
      </w:pPr>
      <w:r w:rsidRPr="0008481A">
        <w:t>Min granskni</w:t>
      </w:r>
      <w:r w:rsidRPr="0008481A">
        <w:t>ng har inriktats på olika frågor som uppkommit med anled</w:t>
      </w:r>
      <w:r w:rsidRPr="0008481A">
        <w:softHyphen/>
        <w:t xml:space="preserve">ning av utlämnandet av Geneta-utredningen till Lena R. </w:t>
      </w:r>
    </w:p>
    <w:p w:rsidR="003B3271" w:rsidRPr="0008481A" w:rsidRDefault="003B3271">
      <w:pPr>
        <w:pStyle w:val="Normaltindrag"/>
      </w:pPr>
      <w:r w:rsidRPr="0008481A">
        <w:t>I tryckfrihetsförordningen finns grundläggande regler om rätten att ta del av all</w:t>
      </w:r>
      <w:r w:rsidRPr="0008481A">
        <w:softHyphen/>
        <w:t xml:space="preserve">männa handlingar. Rätten att ta del av sådana handlingar begränsas emellertid av bestämmelser i sekretesslagen (1980:100), SekrL. Uppgift för vilken sekretess gäller får inte röjas för enskild i andra fall än som anges i sekretesslagen eller i lag eller förordning till vilken sekretesslagen hänvisar. Sekretessen innebär även att en uppgift som omfattas av sekretess hos en myndighet inte utan vidare kan röjas för en annan myndighet (jfr bl.a. 1 kap. 5 § och 14 kap. 1–3 §§ SekrL). </w:t>
      </w:r>
    </w:p>
    <w:p w:rsidR="003B3271" w:rsidRPr="0008481A" w:rsidRDefault="003B3271">
      <w:pPr>
        <w:pStyle w:val="Normaltindrag"/>
      </w:pPr>
      <w:r w:rsidRPr="0008481A">
        <w:t>Inom socialtjänsten gäller</w:t>
      </w:r>
      <w:r w:rsidRPr="0008481A">
        <w:t xml:space="preserve"> enligt 7 kap. 4 § SekrL sekretess för uppgift om en</w:t>
      </w:r>
      <w:r w:rsidRPr="0008481A">
        <w:softHyphen/>
        <w:t>skilds personliga förhållanden, om det inte står klart att uppgiften kan röjas utan att den enskilde eller någon honom närstående lider men. Av bestäm</w:t>
      </w:r>
      <w:r w:rsidRPr="0008481A">
        <w:softHyphen/>
        <w:t>mel</w:t>
      </w:r>
      <w:r w:rsidRPr="0008481A">
        <w:softHyphen/>
        <w:t>sen fram</w:t>
      </w:r>
      <w:r w:rsidRPr="0008481A">
        <w:softHyphen/>
        <w:t>går att vissa uppgifter undantas från sekretessen men de undan</w:t>
      </w:r>
      <w:r w:rsidRPr="0008481A">
        <w:softHyphen/>
        <w:t>tagen saknar in</w:t>
      </w:r>
      <w:r w:rsidRPr="0008481A">
        <w:softHyphen/>
        <w:t>tresse här. Enligt 14 kap. 4 § första stycket SekrL gäller sekretess till skydd för en enskild som regel inte i förhållande till den enskilde själv och kan i övrigt helt eller delvis efterges av denne. En vård</w:t>
      </w:r>
      <w:r w:rsidRPr="0008481A">
        <w:softHyphen/>
        <w:t>nadsha</w:t>
      </w:r>
      <w:r w:rsidRPr="0008481A">
        <w:t>vare kan med vissa undantag i all</w:t>
      </w:r>
      <w:r w:rsidRPr="0008481A">
        <w:softHyphen/>
        <w:t xml:space="preserve">mänhet förfoga över den sekretess som gäller för uppgifter om en underårig (14 kap. 4 § andra stycket SekrL). Däremot gäller i princip sekretess för uppgifter inom socialtjänsten om ett barn gentemot en förälder som inte har del i vårdnaden. </w:t>
      </w:r>
    </w:p>
    <w:p w:rsidR="003B3271" w:rsidRPr="0008481A" w:rsidRDefault="003B3271">
      <w:pPr>
        <w:pStyle w:val="Normaltindrag"/>
      </w:pPr>
      <w:r w:rsidRPr="0008481A">
        <w:t>Geneta-utredningen hade utförts i ett s.k. barnavårdsärende hos Sociala distrikts</w:t>
      </w:r>
      <w:r w:rsidRPr="0008481A">
        <w:softHyphen/>
        <w:t>nämnden 16 i Stockholms kommun. Utredningen omfattades hos distriktsnämn</w:t>
      </w:r>
      <w:r w:rsidRPr="0008481A">
        <w:softHyphen/>
        <w:t xml:space="preserve">den av sekretess enligt 7 kap. 4 § SekrL. Nämnden har därför inte utan vidare kunnat lämna ut utredningen till någon enskild eller någon annan myndighet med mindre barnens vårdnadshavare, Hasse R., lämnat sitt samtycke. Däremot har Lena R. i princip inte haft rätt att få ta del av Geneta-utredningen sedd för sig eftersom hon inte var vårdnadshavare. </w:t>
      </w:r>
    </w:p>
    <w:p w:rsidR="003B3271" w:rsidRPr="0008481A" w:rsidRDefault="003B3271">
      <w:pPr>
        <w:pStyle w:val="Normaltindrag"/>
      </w:pPr>
      <w:r w:rsidRPr="0008481A">
        <w:t>En barnavårdsutredning är normalt av intresse för den som utför en vård</w:t>
      </w:r>
      <w:r w:rsidRPr="0008481A">
        <w:softHyphen/>
        <w:t>nadsut</w:t>
      </w:r>
      <w:r w:rsidRPr="0008481A">
        <w:softHyphen/>
        <w:t>redning. Det framstår som naturligt att vårdnadsutredaren önskade ta del av den utredning som hade utförts vid sociala distriktsnämnden rörande Hasse R:s och Lena R:s barn. Om en barnavårdsutredning har utförts vid en annan myndighet än den som handlägger utredningen rörande vård</w:t>
      </w:r>
      <w:r w:rsidRPr="0008481A">
        <w:softHyphen/>
        <w:t>naden om ett barn utgör den s.k. socialtjänstsekretessen hinder mot att lämna ut barnavårdsutredningen eller en uppgift ur den till vårdnadsutredaren. Härvid skall framhållas att två sociala dist</w:t>
      </w:r>
      <w:r w:rsidRPr="0008481A">
        <w:softHyphen/>
        <w:t>riktsnämnder i en kommun är</w:t>
      </w:r>
      <w:r w:rsidRPr="0008481A">
        <w:t xml:space="preserve"> att betrakta som självständiga myndigheter. Jag kan i denna del hänvisa till mitt beslut den 3 november 1999, JO:s dnr 2569-1998. Problemet torde dock som regel lösas genom att vårdnadshavaren samtycker till att barnavårdsutredningen lämnas ut till den som utreder vårdnadsfrågan.  </w:t>
      </w:r>
    </w:p>
    <w:p w:rsidR="003B3271" w:rsidRPr="0008481A" w:rsidRDefault="003B3271">
      <w:pPr>
        <w:pStyle w:val="Normaltindrag"/>
      </w:pPr>
      <w:r w:rsidRPr="0008481A">
        <w:t>I förevarande fall var det Sociala distriktsnämnden 16 i Stockholms kommun som hade ansvaret för vårdnadsutredningen. Till utredare hade utsetts en tjänsteman vid Familjerättsbyrån i Stockholms kommun. Familje</w:t>
      </w:r>
      <w:r w:rsidRPr="0008481A">
        <w:softHyphen/>
        <w:t>rättsbyrån var en central kommunal enhet under Resursnämnden i Stock</w:t>
      </w:r>
      <w:r w:rsidRPr="0008481A">
        <w:softHyphen/>
        <w:t>holms kommun. Utredaren har vid sitt uppdrag att utföra vårdnadsut</w:t>
      </w:r>
      <w:r w:rsidRPr="0008481A">
        <w:softHyphen/>
        <w:t>red</w:t>
      </w:r>
      <w:r w:rsidRPr="0008481A">
        <w:softHyphen/>
        <w:t xml:space="preserve">ningen dock varit knuten till socialdistrikt 16. Mellan tjänstemän eller olika enheter inom en socialförvaltning gäller som regel inte sekretess (se bl.a. JO:s ämbetsberättelse 1983/84 s. 245). Det har därför inte förelegat något hinder mot att vårdnadsutredaren fick ta del av handlingarna i nämndens barnavårdsutredning, bl.a. Geneta-utredningen.  </w:t>
      </w:r>
    </w:p>
    <w:p w:rsidR="003B3271" w:rsidRPr="0008481A" w:rsidRDefault="003B3271">
      <w:pPr>
        <w:pStyle w:val="Normaltindrag"/>
      </w:pPr>
      <w:r w:rsidRPr="0008481A">
        <w:t>Geneta-utredningen k</w:t>
      </w:r>
      <w:r w:rsidRPr="0008481A">
        <w:t>om att bli en del av det material som låg till grund för vård</w:t>
      </w:r>
      <w:r w:rsidRPr="0008481A">
        <w:softHyphen/>
        <w:t>nadsutredningen. Den fråga som nu uppkommer är därför om vårdnads</w:t>
      </w:r>
      <w:r w:rsidRPr="0008481A">
        <w:softHyphen/>
        <w:t>utredaren, inom ramen för vårdnadsutredningen, har kunnat lämna en kopia av Geneta-utredningen till Lena R. Härvid vill jag först anmärka att det av utredningen i ärendet hos JO inte klart framgår vad som föregick utlämnandet. På grund av de svårigheter det sannolikt skulle möta att i efterhand klarlägga saken har jag inte funnit skäl att fortsätta utredningen i den delen.</w:t>
      </w:r>
    </w:p>
    <w:p w:rsidR="003B3271" w:rsidRPr="0008481A" w:rsidRDefault="003B3271">
      <w:pPr>
        <w:pStyle w:val="Normaltindrag"/>
      </w:pPr>
      <w:r w:rsidRPr="0008481A">
        <w:t xml:space="preserve">När man </w:t>
      </w:r>
      <w:r w:rsidRPr="0008481A">
        <w:t>bedömer om vårdnadsutredaren haft rätt att lämna ut utredningen till Lena R. är det som länsstyrelsen anfört i sitt tillsynsbeslut i första hand 16 § FL och 14 kap. 5 § första stycket SekrL som är av intresse. I bestäm</w:t>
      </w:r>
      <w:r w:rsidRPr="0008481A">
        <w:softHyphen/>
        <w:t xml:space="preserve">melserna sägs följande. </w:t>
      </w:r>
    </w:p>
    <w:p w:rsidR="003B3271" w:rsidRPr="0008481A" w:rsidRDefault="003B3271">
      <w:pPr>
        <w:pStyle w:val="Rubrik4"/>
      </w:pPr>
      <w:r w:rsidRPr="0008481A">
        <w:t>16 § FL</w:t>
      </w:r>
    </w:p>
    <w:p w:rsidR="003B3271" w:rsidRPr="0008481A" w:rsidRDefault="003B3271">
      <w:pPr>
        <w:pStyle w:val="Citat"/>
      </w:pPr>
      <w:r w:rsidRPr="0008481A">
        <w:t>En sökande, klagande eller annan part har rätt att ta del av det som har till</w:t>
      </w:r>
      <w:r w:rsidRPr="0008481A">
        <w:softHyphen/>
        <w:t xml:space="preserve">förts ärendet, om detta avser myndighetsutövning mot någon enskild. Rätten att ta del av uppgifter gäller med de begränsningar som följer av 14 kap. 5 § sekretesslagen (1980:100). </w:t>
      </w:r>
    </w:p>
    <w:p w:rsidR="003B3271" w:rsidRPr="0008481A" w:rsidRDefault="003B3271">
      <w:pPr>
        <w:pStyle w:val="Rubrik4"/>
        <w:spacing w:before="120"/>
      </w:pPr>
      <w:r w:rsidRPr="0008481A">
        <w:t>14 kap. 5 § första stycket SekrL</w:t>
      </w:r>
    </w:p>
    <w:p w:rsidR="003B3271" w:rsidRPr="0008481A" w:rsidRDefault="003B3271">
      <w:pPr>
        <w:pStyle w:val="Citat"/>
      </w:pPr>
      <w:r w:rsidRPr="0008481A">
        <w:t>Sekretess hindrar inte att sökande, klagande eller annan part i mål eller ärende hos domstol eller annan myndighet tar del av handling eller annat material i målet eller ärendet. Handling eller annat material får dock inte lämnas ut, i den mån det av hänsyn till allmänt eller enskilt intresse är av synnerlig vikt att sekretessbelagd uppgift i materialet inte röjs. I sådana fall skall myndigheten på annat sätt lämna parten upplysning om vad materialet innehåller, i den mån det behövs för att han skall kunna</w:t>
      </w:r>
      <w:r w:rsidRPr="0008481A">
        <w:t xml:space="preserve"> ta till vara sin rätt och det kan ske utan allvarlig skada för det intresse som sekretessen skall skydda. </w:t>
      </w:r>
    </w:p>
    <w:p w:rsidR="003B3271" w:rsidRPr="0008481A" w:rsidRDefault="003B3271">
      <w:r w:rsidRPr="0008481A">
        <w:t>Den nu gällande förvaltningslagen trädde i kraft den 1 januari 1987. Genom la</w:t>
      </w:r>
      <w:r w:rsidRPr="0008481A">
        <w:softHyphen/>
        <w:t xml:space="preserve">gen upphävdes förvaltningslagen (1971:290). 16 § FL motsvarades i den äldre lagen av 14 §. Om bakgrunden till införandet av en regel om partsinsyn kan jag hänvisa till vad föredragande statsrådet anförde i proposition 1971:30 s. 440 f. </w:t>
      </w:r>
    </w:p>
    <w:p w:rsidR="003B3271" w:rsidRPr="0008481A" w:rsidRDefault="003B3271">
      <w:pPr>
        <w:pStyle w:val="Normaltindrag"/>
      </w:pPr>
      <w:r w:rsidRPr="0008481A">
        <w:t>Som framgår av 16 § FL förutsätter rätten till insyn enligt bestämmelsen att ären</w:t>
      </w:r>
      <w:r w:rsidRPr="0008481A">
        <w:softHyphen/>
        <w:t>det avser myndighetsutövning. Myndighetsutövning utgör vad som brukar betecknas som ett uttryck för samhällets maktbefogenheter i förhållande till med</w:t>
      </w:r>
      <w:r w:rsidRPr="0008481A">
        <w:softHyphen/>
        <w:t>borgarna. Till myndighetsutövning hör först och främst sådan offentlig verksam</w:t>
      </w:r>
      <w:r w:rsidRPr="0008481A">
        <w:softHyphen/>
        <w:t xml:space="preserve">het, varigenom en myndighet ensidigt bestämmer om enskildas skyldigheter och ingrepp i enskildas frihet eller egendom. Under myndighetsutövning faller även åtskilliga gynnande beslut.  </w:t>
      </w:r>
    </w:p>
    <w:p w:rsidR="003B3271" w:rsidRPr="0008481A" w:rsidRDefault="003B3271">
      <w:pPr>
        <w:pStyle w:val="Normaltindrag"/>
      </w:pPr>
      <w:r w:rsidRPr="0008481A">
        <w:t>En domstols handläggning av ett ärende eller ett mål angående vårdnad om barn och domstolens av</w:t>
      </w:r>
      <w:r w:rsidRPr="0008481A">
        <w:t>görande i frågan hör till vad som avses med myndighetsutöv</w:t>
      </w:r>
      <w:r w:rsidRPr="0008481A">
        <w:softHyphen/>
        <w:t>ning. En vårdnadsutredning innefattar inte något beslut rörande en enskilds rätts</w:t>
      </w:r>
      <w:r w:rsidRPr="0008481A">
        <w:softHyphen/>
        <w:t>liga ställning. Den innehåller i princip endast en redovisning av omständigheter som vård</w:t>
      </w:r>
      <w:r w:rsidRPr="0008481A">
        <w:softHyphen/>
        <w:t>nadsutredaren anser att domstolen bör ha kännedom om när den tar ställ</w:t>
      </w:r>
      <w:r w:rsidRPr="0008481A">
        <w:softHyphen/>
        <w:t>ning i vårdnadsfrågan. Det torde stå klart att en sådan utredning inte i sig utgör myndig</w:t>
      </w:r>
      <w:r w:rsidRPr="0008481A">
        <w:softHyphen/>
        <w:t>hetsutövning. En part kan därför inte med stöd av 16 § FL åberopa en rätt att hos socialnämnden få ta del av vad som kom</w:t>
      </w:r>
      <w:r w:rsidRPr="0008481A">
        <w:t xml:space="preserve">mer fram under utredningsarbetet.  </w:t>
      </w:r>
    </w:p>
    <w:p w:rsidR="003B3271" w:rsidRPr="0008481A" w:rsidRDefault="003B3271">
      <w:pPr>
        <w:pStyle w:val="Normaltindrag"/>
      </w:pPr>
      <w:r w:rsidRPr="0008481A">
        <w:t>Efter tillkomsten av den tidigare förvaltningslagen utvecklades hos socialnämn</w:t>
      </w:r>
      <w:r w:rsidRPr="0008481A">
        <w:softHyphen/>
        <w:t xml:space="preserve">derna en praxis enligt vilken förvaltningslagens bestämmelser om insyn och kommunikation kom att tillämpas i bl.a. sådana ärenden då nämnden skulle avge ett yttrande till en annan myndighet (SOU 1977:40 </w:t>
      </w:r>
      <w:r w:rsidRPr="0008481A">
        <w:br/>
        <w:t>s. 606). Denna praxis lagfästes vid tillkomsten av socialtjänstlagen (1980:620), SoL. I 54 § tredje stycket SoL intogs sålunda en bestämmelse som innebar att motsvarigheten till de nu gällande bestämmelserna i 16 och 17 §§ FL skulle tillämpas när det var fråga om en ansö</w:t>
      </w:r>
      <w:r w:rsidRPr="0008481A">
        <w:softHyphen/>
        <w:t>kan eller ett yttrande till en anna</w:t>
      </w:r>
      <w:r w:rsidRPr="0008481A">
        <w:t>n myndighet i ett mål eller ärende som rör myn</w:t>
      </w:r>
      <w:r w:rsidRPr="0008481A">
        <w:softHyphen/>
        <w:t>dig</w:t>
      </w:r>
      <w:r w:rsidRPr="0008481A">
        <w:softHyphen/>
        <w:t>hetsutövning mot enskild hos denna. Bestämmelsen i 54 § SoL innebar bl.a. en lagstadgad skyldighet för en socialnämnd att bereda den som berördes av en ut</w:t>
      </w:r>
      <w:r w:rsidRPr="0008481A">
        <w:softHyphen/>
        <w:t>redning i t.ex. ett vårdnadsärende vid allmän domstol tillfälle att yttra sig över ut</w:t>
      </w:r>
      <w:r w:rsidRPr="0008481A">
        <w:softHyphen/>
        <w:t>red</w:t>
      </w:r>
      <w:r w:rsidRPr="0008481A">
        <w:softHyphen/>
        <w:t>ningen och nämndens förslag till yttrande, innan dessa lämnades till dom</w:t>
      </w:r>
      <w:r w:rsidRPr="0008481A">
        <w:softHyphen/>
        <w:t xml:space="preserve">stolen (prop. 1979/80:1 del A s. 566).  </w:t>
      </w:r>
    </w:p>
    <w:p w:rsidR="003B3271" w:rsidRPr="0008481A" w:rsidRDefault="003B3271">
      <w:pPr>
        <w:pStyle w:val="Normaltindrag"/>
      </w:pPr>
      <w:r w:rsidRPr="0008481A">
        <w:t>Den 1 april 1991 ändrades reglerna om vårdnads- och umgängesrätts</w:t>
      </w:r>
      <w:r w:rsidRPr="0008481A">
        <w:softHyphen/>
        <w:t>utredningar i föräldrabalken. Ändringen innebar bl.a. att en socialnämnd inte längre skulle hö</w:t>
      </w:r>
      <w:r w:rsidRPr="0008481A">
        <w:softHyphen/>
        <w:t>ras eller beredas tillfälle att yttra sig i en vårdnadsfråga. Innan rätten avgör ett sådant mål skall dock socialnämnden ges tillfälle att lämna upplysningar. Om nämnden har tillgång till upplysningar som kan vara av betydelse för frågans be</w:t>
      </w:r>
      <w:r w:rsidRPr="0008481A">
        <w:softHyphen/>
        <w:t>dömning är nämnden skyldig att lämna rätten sådana upplysningar. Om det be</w:t>
      </w:r>
      <w:r w:rsidRPr="0008481A">
        <w:softHyphen/>
        <w:t>hövs ytterligare utredning får rätten uppdra åt socialnämnden eller något annat organ att utse någo</w:t>
      </w:r>
      <w:r w:rsidRPr="0008481A">
        <w:t xml:space="preserve">n att verkställa den </w:t>
      </w:r>
      <w:r w:rsidRPr="0008481A">
        <w:br/>
        <w:t xml:space="preserve">(6 kap. 19 § föräldrabalken). </w:t>
      </w:r>
    </w:p>
    <w:p w:rsidR="003B3271" w:rsidRPr="0008481A" w:rsidRDefault="003B3271">
      <w:pPr>
        <w:pStyle w:val="Normaltindrag"/>
      </w:pPr>
      <w:r w:rsidRPr="0008481A">
        <w:t>Ändringen i föräldrabalken av reglerna om vårdnads- och umgängesrätts</w:t>
      </w:r>
      <w:r w:rsidRPr="0008481A">
        <w:softHyphen/>
        <w:t>utred</w:t>
      </w:r>
      <w:r w:rsidRPr="0008481A">
        <w:softHyphen/>
        <w:t>ningar syftade till att påskynda handläggningen av utredningarna genom bl.a. att utredningen inte skulle behöva behandlas av den politiskt sammansatta social</w:t>
      </w:r>
      <w:r w:rsidRPr="0008481A">
        <w:softHyphen/>
        <w:t xml:space="preserve">nämnden. En konsekvens av ändringen blev dock att en vårdnadsutredning inte längre utgör ett yttrande av en </w:t>
      </w:r>
      <w:r w:rsidRPr="0008481A">
        <w:rPr>
          <w:i/>
        </w:rPr>
        <w:t>socialnämnd.</w:t>
      </w:r>
      <w:r w:rsidRPr="0008481A">
        <w:t xml:space="preserve"> Någon skyldighet för socialnämnden att enligt 54 § tredje stycket SoL kommunicera utredningen enligt 17 § FL förelåg därför inte längre. </w:t>
      </w:r>
    </w:p>
    <w:p w:rsidR="003B3271" w:rsidRPr="0008481A" w:rsidRDefault="003B3271">
      <w:pPr>
        <w:pStyle w:val="Normaltindrag"/>
      </w:pPr>
      <w:r w:rsidRPr="0008481A">
        <w:t xml:space="preserve">I ett beslut som refererats i JO:s ämbetsberättelse 1994/95 s. 363 f. anförde JO Gunnel </w:t>
      </w:r>
      <w:r w:rsidRPr="0008481A">
        <w:t>Norell Söderblom att den som är part vid allmän domstol i ett mål rörande vårdnad om eller umgänge med barn berörs så nära av en vårdnads- eller umgäng</w:t>
      </w:r>
      <w:r w:rsidRPr="0008481A">
        <w:softHyphen/>
        <w:t>esrättsutredning att han bör äga rätt att få ta del av och yttra sig över den innan utredningen ges in till domstolen. Hon framhöll därför att en sådan utredning all</w:t>
      </w:r>
      <w:r w:rsidRPr="0008481A">
        <w:softHyphen/>
        <w:t>tid bör kommuniceras med parterna och detta alldeles oberoende av om den inne</w:t>
      </w:r>
      <w:r w:rsidRPr="0008481A">
        <w:softHyphen/>
        <w:t>höll ett ställningstagande i sakfrågan (länsstyrelsen har i sitt yttrande till JO åter</w:t>
      </w:r>
      <w:r w:rsidRPr="0008481A">
        <w:softHyphen/>
        <w:t>gett ett utdrag ur beslutet).</w:t>
      </w:r>
      <w:r w:rsidRPr="0008481A">
        <w:t xml:space="preserve"> Att en vårdnads</w:t>
      </w:r>
      <w:r w:rsidRPr="0008481A">
        <w:softHyphen/>
        <w:t>utredning bör kommuniceras med par</w:t>
      </w:r>
      <w:r w:rsidRPr="0008481A">
        <w:softHyphen/>
        <w:t xml:space="preserve">terna innan den ges in till domstolen har kommit till uttryck i flera senare JO-beslut. </w:t>
      </w:r>
    </w:p>
    <w:p w:rsidR="003B3271" w:rsidRPr="0008481A" w:rsidRDefault="003B3271">
      <w:pPr>
        <w:pStyle w:val="Normaltindrag"/>
      </w:pPr>
      <w:r w:rsidRPr="0008481A">
        <w:t>De överväganden som JO Gunnel Norell Söderblom gjorde beträffande frågan om   kommunikation av en vårdnadsutredning gör sig i allt väsentligt gällande även när det gäller rät</w:t>
      </w:r>
      <w:r w:rsidRPr="0008481A">
        <w:softHyphen/>
        <w:t>ten till insyn i det pågående arbetet med en vårdnadsutredning. Prin</w:t>
      </w:r>
      <w:r w:rsidRPr="0008481A">
        <w:softHyphen/>
        <w:t>cipen om en sådan rätt och skyldigheten att kommu</w:t>
      </w:r>
      <w:r w:rsidRPr="0008481A">
        <w:softHyphen/>
        <w:t>ni</w:t>
      </w:r>
      <w:r w:rsidRPr="0008481A">
        <w:softHyphen/>
        <w:t>cera en vårdnadsutredning har vunnit allmän acceptans i den praktiska rättstillämpningen redan före till</w:t>
      </w:r>
      <w:r w:rsidRPr="0008481A">
        <w:softHyphen/>
        <w:t>komsten av so</w:t>
      </w:r>
      <w:r w:rsidRPr="0008481A">
        <w:softHyphen/>
        <w:t>cialtjänstlagen. Såvitt framgår av förarbetena till ändringen år 1991 i föräldrabal</w:t>
      </w:r>
      <w:r w:rsidRPr="0008481A">
        <w:softHyphen/>
        <w:t>ken syftade de nya bestäm</w:t>
      </w:r>
      <w:r w:rsidRPr="0008481A">
        <w:softHyphen/>
        <w:t>melserna om vårdnadsutredning m.m. inte till att be</w:t>
      </w:r>
      <w:r w:rsidRPr="0008481A">
        <w:softHyphen/>
        <w:t>gränsa parts</w:t>
      </w:r>
      <w:r w:rsidRPr="0008481A">
        <w:softHyphen/>
        <w:t>insynen. Enligt min mening bör därför den som berörs av en vård</w:t>
      </w:r>
      <w:r w:rsidRPr="0008481A">
        <w:softHyphen/>
        <w:t>nadsutredning ha rätt till insy</w:t>
      </w:r>
      <w:r w:rsidRPr="0008481A">
        <w:t>n i det material som ligger till grund för utred</w:t>
      </w:r>
      <w:r w:rsidRPr="0008481A">
        <w:softHyphen/>
        <w:t xml:space="preserve">ningen på samma sätt som gällde före lagändringen.       </w:t>
      </w:r>
    </w:p>
    <w:p w:rsidR="003B3271" w:rsidRPr="0008481A" w:rsidRDefault="003B3271">
      <w:pPr>
        <w:pStyle w:val="Normaltindrag"/>
      </w:pPr>
      <w:r w:rsidRPr="0008481A">
        <w:t>Jag anser således att det inte har funnits något hinder mot att, inom ramen för vårdnadsutredningen, lämna ut Geneta-utred</w:t>
      </w:r>
      <w:r w:rsidRPr="0008481A">
        <w:softHyphen/>
        <w:t>ningen till Lena R, såvida det inte av hänsyn till något allmänt eller enskilt in</w:t>
      </w:r>
      <w:r w:rsidRPr="0008481A">
        <w:softHyphen/>
        <w:t>tresse varit av synnerlig vikt att sekretess</w:t>
      </w:r>
      <w:r w:rsidRPr="0008481A">
        <w:softHyphen/>
        <w:t>belagd uppgift i materialet inte röjdes (14 kap. 5 § första stycket SekrL). Som länsstyrelsen anfört i sitt tillsynsbeslut tar undantaget sikte på bl.a. om utlämnan</w:t>
      </w:r>
      <w:r w:rsidRPr="0008481A">
        <w:softHyphen/>
        <w:t>det av en uppgift skulle innebära t.ex. risk för våld mot den som lämnat en uppgift till socialnämnden. Det har inte påståtts att det fanns någon sådan risk i det aktuel</w:t>
      </w:r>
      <w:r w:rsidRPr="0008481A">
        <w:softHyphen/>
        <w:t>la fallet. Inte heller i övrigt har det kommit fr</w:t>
      </w:r>
      <w:r w:rsidRPr="0008481A">
        <w:t>am något som ger vid handen att det av hänsyn till något annat allmänt eller enskilt intresse var av synnerlig vikt att Lena R. inte fick ta del av utred</w:t>
      </w:r>
      <w:r w:rsidRPr="0008481A">
        <w:softHyphen/>
        <w:t xml:space="preserve">ningen i sin helhet. </w:t>
      </w:r>
    </w:p>
    <w:p w:rsidR="003B3271" w:rsidRPr="0008481A" w:rsidRDefault="003B3271">
      <w:pPr>
        <w:pStyle w:val="Normaltindrag"/>
      </w:pPr>
      <w:r w:rsidRPr="0008481A">
        <w:t xml:space="preserve"> Sammanfattningsvis har jag alltså kommit till samma slutsats som läns</w:t>
      </w:r>
      <w:r w:rsidRPr="0008481A">
        <w:softHyphen/>
        <w:t>styrelsen, låt vara att de rättsliga överväganden som ligger till grund för mitt ställningsta</w:t>
      </w:r>
      <w:r w:rsidRPr="0008481A">
        <w:softHyphen/>
        <w:t>gande är delvis andra än de som länsstyrelsen gett uttryck för. Någon anledning att rikta kritik mot sociala distriktsnämnden eller läns</w:t>
      </w:r>
      <w:r w:rsidRPr="0008481A">
        <w:softHyphen/>
        <w:t>styrelsen finns följaktligen inte.</w:t>
      </w:r>
    </w:p>
    <w:p w:rsidR="003B3271" w:rsidRPr="0008481A" w:rsidRDefault="003B3271">
      <w:pPr>
        <w:pStyle w:val="Normaltindrag"/>
      </w:pPr>
      <w:r w:rsidRPr="0008481A">
        <w:t>En utredning som ingår i ett barnavårdsärende innehåller inte sällan uppgifter som är känsliga för både vårdnadshavaren och barnen samt ibland även för andra per</w:t>
      </w:r>
      <w:r w:rsidRPr="0008481A">
        <w:softHyphen/>
        <w:t>soner. Jag vill därför peka på bestämmelsen i 14 kap. 10 § första stycket 1 SekrL. Där anges att en myndighet får uppställa förbehåll som inskränker en</w:t>
      </w:r>
      <w:r w:rsidRPr="0008481A">
        <w:softHyphen/>
        <w:t>skild motta</w:t>
      </w:r>
      <w:r w:rsidRPr="0008481A">
        <w:softHyphen/>
        <w:t>gares rätt att lämna uppgift vidare när myndigheten enligt 14 kap. 5 § SekrL läm</w:t>
      </w:r>
      <w:r w:rsidRPr="0008481A">
        <w:softHyphen/>
        <w:t>nat ut en sekretessbelagd uppgift till en part. Såvitt kommit fram i ären</w:t>
      </w:r>
      <w:r w:rsidRPr="0008481A">
        <w:softHyphen/>
        <w:t>det tycks något sådant förbehåll inte ha uppställts när vårdnadsutredaren lämnade ut Geneta-utredningen till Lena R. Utredningen här ger i och för sig inte belägg för att Lena R. har använt Ge</w:t>
      </w:r>
      <w:r w:rsidRPr="0008481A">
        <w:t>neta-utredningen till skada för Hasse R. och barnen eller att ut</w:t>
      </w:r>
      <w:r w:rsidRPr="0008481A">
        <w:softHyphen/>
        <w:t>redaren hade anledning befara att Lena R. skulle göra så. Jag har därför inte funnit skäl att fortsätta utredningen i denna del. Däremot vill jag rent allmänt framhålla att när man inom socialtjänsten med stöd av 14 kap. 5 § SekrL lämnar ut en utred</w:t>
      </w:r>
      <w:r w:rsidRPr="0008481A">
        <w:softHyphen/>
        <w:t>ning som innehåller känsliga uppgifter om någon annan än parten själv, det ofta finns anledning att överväga att uppställa villkor som inskränker partens rätt att förfoga över utredningen.</w:t>
      </w:r>
    </w:p>
    <w:p w:rsidR="003B3271" w:rsidRPr="0008481A" w:rsidRDefault="003B3271">
      <w:pPr>
        <w:pStyle w:val="Normaltindrag"/>
      </w:pPr>
      <w:r w:rsidRPr="0008481A">
        <w:t>Avslutni</w:t>
      </w:r>
      <w:r w:rsidRPr="0008481A">
        <w:t xml:space="preserve">ngsvis vill jag tillägga följande. </w:t>
      </w:r>
    </w:p>
    <w:p w:rsidR="003B3271" w:rsidRPr="0008481A" w:rsidRDefault="003B3271">
      <w:pPr>
        <w:pStyle w:val="Normaltindrag"/>
      </w:pPr>
      <w:r w:rsidRPr="0008481A">
        <w:t>Det har ifrågasatts om en parts rätt att ta del av uppgifter i ett ärende kan bedömas utifrån vad som anges i 14 kap. 5 § SekrL oberoende av om det finns en särskild regel om rätt till partsinsyn. Denna fråga får särskild betydelse i sådana fall då ett ärende inte avser myndighetsutövning och rätt till partsinsyn enligt 16 § FL inte föreligger. Mot bakgrund av vad jag har uttalat ovan finns det inte skäl att i detta ärende närmare gå in på hur bestämmelsen bör eller skall</w:t>
      </w:r>
      <w:r w:rsidRPr="0008481A">
        <w:t xml:space="preserve"> tolkas utan jag vill i den delen hänvisa till vad som sägs i JO:s ämbetsberättelse 1995/96 s. 46 f. För när</w:t>
      </w:r>
      <w:r w:rsidRPr="0008481A">
        <w:softHyphen/>
        <w:t>varande pågår en översyn av sekretesslagen. Det finns därför sannolikt anledning att åter</w:t>
      </w:r>
      <w:r w:rsidRPr="0008481A">
        <w:softHyphen/>
        <w:t>komma till denna frågeställning i samband med re</w:t>
      </w:r>
      <w:r w:rsidRPr="0008481A">
        <w:softHyphen/>
        <w:t xml:space="preserve">missbehandlingen av kommitténs betänkande. </w:t>
      </w:r>
    </w:p>
    <w:p w:rsidR="003B3271" w:rsidRPr="0008481A" w:rsidRDefault="003B3271">
      <w:pPr>
        <w:pStyle w:val="Normaltindrag"/>
      </w:pPr>
      <w:r w:rsidRPr="0008481A">
        <w:t>Jag har funnit skäl att för kännedom tillställa berörda departement en kopia av beslutet.</w:t>
      </w:r>
    </w:p>
    <w:p w:rsidR="003B3271" w:rsidRPr="0008481A" w:rsidRDefault="003B3271">
      <w:pPr>
        <w:pStyle w:val="Rubrik2"/>
        <w:spacing w:before="0"/>
        <w:rPr>
          <w:caps/>
        </w:rPr>
      </w:pPr>
      <w:r w:rsidRPr="0008481A">
        <w:t>En länsrätt handlade ett mål angående verkställighet av en dom rörande umgängesrätt. Fråga om en tjänsteman vid en social-förvaltning självmant ägt rätt att tillskriva länsrätten och ge uttryck för sin uppfattning i umgängesfrågan</w:t>
      </w:r>
    </w:p>
    <w:p w:rsidR="003B3271" w:rsidRPr="0008481A" w:rsidRDefault="003B3271">
      <w:r w:rsidRPr="0008481A">
        <w:t>(Dnr 2908-1998)</w:t>
      </w:r>
    </w:p>
    <w:p w:rsidR="003B3271" w:rsidRPr="0008481A" w:rsidRDefault="003B3271">
      <w:r w:rsidRPr="0008481A">
        <w:t>A.L. har två döttrar tillsammans med A.H. Sedan år 1993 hade det förelegat kon</w:t>
      </w:r>
      <w:r w:rsidRPr="0008481A">
        <w:softHyphen/>
        <w:t>flikter mellan dem beträffande A.L:s umgänge med barnen. Framför allt rörde kon</w:t>
      </w:r>
      <w:r w:rsidRPr="0008481A">
        <w:softHyphen/>
        <w:t>flikten det förhållandet att A.H. inte tillåtit umgänge med över</w:t>
      </w:r>
      <w:r w:rsidRPr="0008481A">
        <w:softHyphen/>
        <w:t>natt</w:t>
      </w:r>
      <w:r w:rsidRPr="0008481A">
        <w:softHyphen/>
        <w:t>ning hos A.L. Sedan A.L. i hovrätten tilldömts umgängesrätt med barnen med övernattning väckte han talan vid länsrätten om verkställighet av domen. Inför Länsrättens i Stockholms län muntliga förhandling skickade familjerättssekreteraren Barbro Pegelow vid socialförvaltningen i Sigtuna kommun ett yttrande, daterat den 15 april 1998, till länsrätten. I yttrand</w:t>
      </w:r>
      <w:r w:rsidRPr="0008481A">
        <w:t>et redogjorde hon för de kontakter som hon tidigare haft med A.H. och A.L. och vad som framkommit vid genomförda sam</w:t>
      </w:r>
      <w:r w:rsidRPr="0008481A">
        <w:softHyphen/>
        <w:t>arbetssamtal samt anförde därutöver bl.a. följande.</w:t>
      </w:r>
    </w:p>
    <w:p w:rsidR="003B3271" w:rsidRPr="0008481A" w:rsidRDefault="003B3271">
      <w:pPr>
        <w:pStyle w:val="Citat"/>
      </w:pPr>
      <w:r w:rsidRPr="0008481A">
        <w:t>Utifrån att jag tidigare haft flera kontakter med A.H. och A.L. vill jag på eget initiativ delge länsrätten mina åsikter i rubr. mål.</w:t>
      </w:r>
    </w:p>
    <w:p w:rsidR="003B3271" w:rsidRPr="0008481A" w:rsidRDefault="003B3271">
      <w:pPr>
        <w:pStyle w:val="Citat"/>
      </w:pPr>
      <w:r w:rsidRPr="0008481A">
        <w:t>– – –</w:t>
      </w:r>
    </w:p>
    <w:p w:rsidR="003B3271" w:rsidRPr="0008481A" w:rsidRDefault="003B3271">
      <w:pPr>
        <w:pStyle w:val="Citat"/>
      </w:pPr>
      <w:r w:rsidRPr="0008481A">
        <w:t>A.H. trodde att A.L:s drickande kring jul berodde på spänningar inför helgerna och lämnade barnen till honom en helg i januari. Under januari fick A.H. även signaler från bekanta i Sigtuna, som känner både henne och A.L., att A.L. setts redlöst berusad vid flera tillfällen i Sigtuna. Vid denna tid ringde A.L. dessutom 3–4 ggr till A.H. och var då berusad.</w:t>
      </w:r>
    </w:p>
    <w:p w:rsidR="003B3271" w:rsidRPr="0008481A" w:rsidRDefault="003B3271">
      <w:pPr>
        <w:rPr>
          <w:sz w:val="22"/>
        </w:rPr>
      </w:pPr>
      <w:r w:rsidRPr="0008481A">
        <w:t>– – –</w:t>
      </w:r>
    </w:p>
    <w:p w:rsidR="003B3271" w:rsidRPr="0008481A" w:rsidRDefault="003B3271">
      <w:pPr>
        <w:pStyle w:val="Citat"/>
      </w:pPr>
      <w:r w:rsidRPr="0008481A">
        <w:t>Efter att ha träffat A.H. och A.L. vid flera tillfällen från 1993 är min uppfattning den att A.H. är en ansvarstagande och klok mamma som vill sina barns bästa. Detta innefattar ett gott umgänge med pappa, men under betryggande omständigheter. Hennes oro för A.L:s alkoholproblem anser jag vara realistiska. Min uppfattning, efter att ha träffat A.L. på förvaltningen samt även sett honom ute i samhället, är att han fortfarande har alkoholproblem även om han sköter dem på ett sådant sätt att han klarar av att</w:t>
      </w:r>
      <w:r w:rsidRPr="0008481A">
        <w:t xml:space="preserve"> regelbundet arbeta.</w:t>
      </w:r>
    </w:p>
    <w:p w:rsidR="003B3271" w:rsidRPr="0008481A" w:rsidRDefault="003B3271">
      <w:pPr>
        <w:rPr>
          <w:sz w:val="22"/>
        </w:rPr>
      </w:pPr>
      <w:r w:rsidRPr="0008481A">
        <w:t>– – –</w:t>
      </w:r>
    </w:p>
    <w:p w:rsidR="003B3271" w:rsidRPr="0008481A" w:rsidRDefault="003B3271">
      <w:pPr>
        <w:pStyle w:val="Citat"/>
      </w:pPr>
      <w:r w:rsidRPr="0008481A">
        <w:t>A.H:s förslag angående umgänget har varit antingen dagumgänge eller nattumgänge med kontaktperson för att säkra barnen. A.L. har helt förkastat detta. Undertecknad anser att förslaget om dagumgänge vore positivt för barnen till en början. Det kommer då ganska snart att kunna visa sig om detta fungerar och om umgänget eventuellt kan utökas. Det anses inte realistiskt att få fram en främmande kontaktperson nattetid.</w:t>
      </w:r>
    </w:p>
    <w:p w:rsidR="003B3271" w:rsidRPr="0008481A" w:rsidRDefault="003B3271">
      <w:r w:rsidRPr="0008481A">
        <w:t>Med anledning av yttrandet tillskrev A.L:s advokat Barbro Pegelow och anförde bl.a. att Barbro Pegelow, för det fall hon vidhöll uppgifterna i yttrandet, skulle komma att kallas att höras som vittne i länsrätten.</w:t>
      </w:r>
    </w:p>
    <w:p w:rsidR="003B3271" w:rsidRPr="0008481A" w:rsidRDefault="003B3271">
      <w:pPr>
        <w:pStyle w:val="Normaltindrag"/>
      </w:pPr>
      <w:r w:rsidRPr="0008481A">
        <w:t xml:space="preserve">I ett yttrande den 12 juni 1998 ställt till A.L:s advokat anförde Barbro Pegelow bl.a. följande. </w:t>
      </w:r>
    </w:p>
    <w:p w:rsidR="003B3271" w:rsidRPr="0008481A" w:rsidRDefault="003B3271">
      <w:pPr>
        <w:pStyle w:val="Citat"/>
      </w:pPr>
      <w:r w:rsidRPr="0008481A">
        <w:t>Jag håller med om att mina formuleringar var olyckliga vad gäller A.L:s eventuella missbruk och jag beklagar detta.</w:t>
      </w:r>
    </w:p>
    <w:p w:rsidR="003B3271" w:rsidRPr="0008481A" w:rsidRDefault="003B3271">
      <w:pPr>
        <w:pStyle w:val="Citat"/>
      </w:pPr>
      <w:r w:rsidRPr="0008481A">
        <w:t xml:space="preserve">Först vill jag säga att jag </w:t>
      </w:r>
      <w:r w:rsidRPr="0008481A">
        <w:rPr>
          <w:i/>
        </w:rPr>
        <w:t>inte</w:t>
      </w:r>
      <w:r w:rsidRPr="0008481A">
        <w:t xml:space="preserve"> har sett A.L. onykter.</w:t>
      </w:r>
    </w:p>
    <w:p w:rsidR="003B3271" w:rsidRPr="0008481A" w:rsidRDefault="003B3271">
      <w:pPr>
        <w:pStyle w:val="Sidfot"/>
        <w:tabs>
          <w:tab w:val="clear" w:pos="9072"/>
        </w:tabs>
      </w:pPr>
      <w:r w:rsidRPr="0008481A">
        <w:t>– – –</w:t>
      </w:r>
    </w:p>
    <w:p w:rsidR="003B3271" w:rsidRPr="0008481A" w:rsidRDefault="003B3271">
      <w:r w:rsidRPr="0008481A">
        <w:t>Länsrätten förordnade sedermera om verkställighet av hovrättens dom i enlighet med A.L:s yrkande.</w:t>
      </w:r>
    </w:p>
    <w:p w:rsidR="003B3271" w:rsidRPr="0008481A" w:rsidRDefault="003B3271">
      <w:pPr>
        <w:pStyle w:val="Normaltindrag"/>
      </w:pPr>
      <w:r w:rsidRPr="0008481A">
        <w:t>I en anmälan till JO klagade A.L. på Socialnämnden i Sigtuna kommun. Han anförde bl.a. att nämnden, genom Barbro Pegelow, agerat partiskt till förmån för A.H. i den pågående umgängestvisten genom att på eget initiativ skriva ett yttrande och ge in det till länsrätten för att utgöra underlag i den där pågående verkställighetsprövningen.</w:t>
      </w:r>
    </w:p>
    <w:p w:rsidR="003B3271" w:rsidRPr="0008481A" w:rsidRDefault="003B3271">
      <w:pPr>
        <w:pStyle w:val="Normaltindrag"/>
      </w:pPr>
      <w:r w:rsidRPr="0008481A">
        <w:t>Anmälan remitterades till Socialnämnden i Sigtuna kommun för utredning och yttrande. Nämnden överlämnade som sitt remissvar ett tjänsteutlåtande upprättat av socialchefen Caroline Henjered och utvecklingsledaren Heléna Nellvik, vari anfördes bl.a. följande.</w:t>
      </w:r>
    </w:p>
    <w:p w:rsidR="003B3271" w:rsidRPr="0008481A" w:rsidRDefault="003B3271">
      <w:pPr>
        <w:pStyle w:val="Citat"/>
      </w:pPr>
      <w:r w:rsidRPr="0008481A">
        <w:t>A.L. hade tillsammans med sin f.d. sambo under åren 1993–94 ett stort antal samarbetssamtal med familjerätten i Sigtuna kommun. Samtalen ledde fram till beslut om vårdnadsutredning. Denna utredning gjordes på Sigtuna kommuns uppdrag av en utomstående konsult. Utredningen utmyn</w:t>
      </w:r>
      <w:r w:rsidRPr="0008481A">
        <w:softHyphen/>
        <w:t>nade inte i något förslag till beslut, vilket är ovanligt, utan den lämnades över till tingsrätten att fatta beslut.</w:t>
      </w:r>
    </w:p>
    <w:p w:rsidR="003B3271" w:rsidRPr="0008481A" w:rsidRDefault="003B3271">
      <w:pPr>
        <w:pStyle w:val="Citatindrag"/>
      </w:pPr>
      <w:r w:rsidRPr="0008481A">
        <w:t>Tingsrätten fastställde umgänge med undantag för nattumgänge, vilket överklagades i hovrätten, där man tillerkände A.L. umgänge även över natten.</w:t>
      </w:r>
    </w:p>
    <w:p w:rsidR="003B3271" w:rsidRPr="0008481A" w:rsidRDefault="003B3271">
      <w:pPr>
        <w:pStyle w:val="Citatindrag"/>
      </w:pPr>
      <w:r w:rsidRPr="0008481A">
        <w:t>I kontakter med familjerätten uttryckte A.L:s f.d. sambo först oro efter hovrättens dom, men umgänget fungerade bra fram till årsskiftet 97/98, då oron kom tillbaka.</w:t>
      </w:r>
    </w:p>
    <w:p w:rsidR="003B3271" w:rsidRPr="0008481A" w:rsidRDefault="003B3271">
      <w:pPr>
        <w:pStyle w:val="Citatindrag"/>
      </w:pPr>
      <w:r w:rsidRPr="0008481A">
        <w:t>I samband med detta återupptogs samarbetssamtalen på nytt. Det rådde de</w:t>
      </w:r>
      <w:r w:rsidRPr="0008481A">
        <w:softHyphen/>
        <w:t>lade meningar om vad som föranledde oron, och A.L. ansåg att han inte ville fortsätta dessa samtal då han upplevde att handläggande familjerätts-sekreterare tagit parti för hans f.d. sambo.</w:t>
      </w:r>
    </w:p>
    <w:p w:rsidR="003B3271" w:rsidRPr="0008481A" w:rsidRDefault="003B3271">
      <w:pPr>
        <w:pStyle w:val="Citatindrag"/>
      </w:pPr>
      <w:r w:rsidRPr="0008481A">
        <w:t>I stället begärde A.L. verkställighet via länsrätten. Familjerätten nåddes av detta besked via A.L:s f.d. sambo som uttryckte stark oro inför förhand</w:t>
      </w:r>
      <w:r w:rsidRPr="0008481A">
        <w:softHyphen/>
        <w:t>lingen. Det är familjerättens erfarenhet att länsrätten i dessa fall inte begär någon utredning från socialnämnden. Därför händer det att handläggarna oombedda inkommer med en inlaga. Efter moget övervä</w:t>
      </w:r>
      <w:r w:rsidRPr="0008481A">
        <w:softHyphen/>
        <w:t>gande samt diskus</w:t>
      </w:r>
      <w:r w:rsidRPr="0008481A">
        <w:softHyphen/>
        <w:t>sion internt mellan de två handläggarna inom familjerät</w:t>
      </w:r>
      <w:r w:rsidRPr="0008481A">
        <w:softHyphen/>
        <w:t>ten valde hand</w:t>
      </w:r>
      <w:r w:rsidRPr="0008481A">
        <w:softHyphen/>
        <w:t>läggande familjerättssekreterare att, på eget initiativ, skicka en skrivelse till länsrätten, innehållande uppgifter som kommit till handlägga</w:t>
      </w:r>
      <w:r w:rsidRPr="0008481A">
        <w:softHyphen/>
        <w:t>rens kännedom under tjänsteutövningen, dels via de tidigare samarbetssam</w:t>
      </w:r>
      <w:r w:rsidRPr="0008481A">
        <w:softHyphen/>
        <w:t>tal</w:t>
      </w:r>
      <w:r w:rsidRPr="0008481A">
        <w:t>en dels via kontakter med A.L:s f.d. sambo. Inlagan är skriven på officiellt brevpapper eftersom den innehåller uppgifter som kommit till handläggarens kännedom via dennes yrkesutövning.</w:t>
      </w:r>
    </w:p>
    <w:p w:rsidR="003B3271" w:rsidRPr="0008481A" w:rsidRDefault="003B3271">
      <w:pPr>
        <w:pStyle w:val="Citatindrag"/>
      </w:pPr>
      <w:r w:rsidRPr="0008481A">
        <w:t>Anledningen till att handläggande familjerättssekreterare valde att delge länsrätten sin inställning är att familjerättens uppgift är att gå barnens ären</w:t>
      </w:r>
      <w:r w:rsidRPr="0008481A">
        <w:softHyphen/>
        <w:t>den för att intentionerna i Föräldrabalken ”barn har rätt till omvårdnad, trygghet, och en god fostran. Barn skall behandlas med aktning för sin per</w:t>
      </w:r>
      <w:r w:rsidRPr="0008481A">
        <w:softHyphen/>
        <w:t>son och egenart och får inte utsättas för kroppslig behandling eller annan kränkande behandling” skall kunna uppfyllas. I det aktuella ärendet kom barnens bedömda behov att stå i samklang med A.L:s f.d. sambos önskemål.</w:t>
      </w:r>
    </w:p>
    <w:p w:rsidR="003B3271" w:rsidRPr="0008481A" w:rsidRDefault="003B3271">
      <w:pPr>
        <w:pStyle w:val="Citatindrag"/>
      </w:pPr>
      <w:r w:rsidRPr="0008481A">
        <w:t>Det har hela tiden varit, och är handläggande familjerättssekreterares upp</w:t>
      </w:r>
      <w:r w:rsidRPr="0008481A">
        <w:softHyphen/>
        <w:t>fattning att det viktigaste är att ordna det så tryggt för barnen så att de både kan och vill ha regelbunden kontakt med bägge sina föräldrar.</w:t>
      </w:r>
    </w:p>
    <w:p w:rsidR="003B3271" w:rsidRPr="0008481A" w:rsidRDefault="003B3271">
      <w:pPr>
        <w:pStyle w:val="Citatindrag"/>
      </w:pPr>
      <w:r w:rsidRPr="0008481A">
        <w:t>En del formuleringar i handläggarens inlaga var sett i efterhand olyckliga, vilket handläggaren skriftligt beklagat till A.L:s ombud. A.L. erbjöds också företräde hos socialchef Caroline Henjered för att diskutera handläggningen i ärendet, men kom ej på avtalad tid.</w:t>
      </w:r>
    </w:p>
    <w:p w:rsidR="003B3271" w:rsidRPr="0008481A" w:rsidRDefault="003B3271">
      <w:pPr>
        <w:pStyle w:val="Citatindrag"/>
      </w:pPr>
      <w:r w:rsidRPr="0008481A">
        <w:t>Vad gäller uppgiften att handläggaren skulle vara närmare bekant med A.L:s f.d. sambo, kan konstateras att de känner till varandra efter att handläggaren har arbetat en kort tid tillsammans med dennes mor på 70-talet. Sedan dess har dessa två träffats vid endast ett par tillfällen, enbart å yrkets vägnar. De har samma grundutbildning men arbetar med helt skilda frågor, ej inom samma kommun. Någon närmare bekantskap med vare sig A.L:s f.d. sambo eller dennes mor existerar således inte.</w:t>
      </w:r>
    </w:p>
    <w:p w:rsidR="003B3271" w:rsidRPr="0008481A" w:rsidRDefault="003B3271">
      <w:pPr>
        <w:pStyle w:val="Citat"/>
      </w:pPr>
      <w:r w:rsidRPr="0008481A">
        <w:t>Sammanfattning</w:t>
      </w:r>
    </w:p>
    <w:p w:rsidR="003B3271" w:rsidRPr="0008481A" w:rsidRDefault="003B3271">
      <w:pPr>
        <w:pStyle w:val="Citat"/>
      </w:pPr>
      <w:r w:rsidRPr="0008481A">
        <w:t>Handläggande familjerättssekreterare har oombedd, på eget initiativ till länsrätten ingett skrivelse rörande umgängesfrågan för A.L. Skrivelsen delger länsrätten uppgifter i ärendet som handläggaren erhållit under tjänsteutövning. Motivet till skrivelsen är att det är familjerättens uppgift att i arbetet anta ett barnperspektiv, att på bästa sätt företräda barnet så att intentionerna i föräldrabalken kan uppnås.</w:t>
      </w:r>
    </w:p>
    <w:p w:rsidR="003B3271" w:rsidRPr="0008481A" w:rsidRDefault="003B3271">
      <w:pPr>
        <w:pStyle w:val="Citatindrag"/>
      </w:pPr>
      <w:r w:rsidRPr="0008481A">
        <w:t>En del formuleringar i skrivelsen var olyckliga, vilket handläggaren skriftli</w:t>
      </w:r>
      <w:r w:rsidRPr="0008481A">
        <w:softHyphen/>
        <w:t>gen beklagat till ombudet, och A.L. har även erbjudits företräde hos socialchefen för att vidare diskutera handläggningen i ärendet.</w:t>
      </w:r>
    </w:p>
    <w:p w:rsidR="003B3271" w:rsidRPr="0008481A" w:rsidRDefault="003B3271">
      <w:pPr>
        <w:pStyle w:val="Citatindrag"/>
      </w:pPr>
      <w:r w:rsidRPr="0008481A">
        <w:t>För att ytterligare säkerställa kvaliteten på denna typ av skrivelser i framti</w:t>
      </w:r>
      <w:r w:rsidRPr="0008481A">
        <w:softHyphen/>
        <w:t>den, kommer dessa fortsättningsvis att noggrant diskuteras samt även grans</w:t>
      </w:r>
      <w:r w:rsidRPr="0008481A">
        <w:softHyphen/>
        <w:t>kas och godkännas av närmaste chef.</w:t>
      </w:r>
    </w:p>
    <w:p w:rsidR="003B3271" w:rsidRPr="0008481A" w:rsidRDefault="003B3271">
      <w:r w:rsidRPr="0008481A">
        <w:t>A.L. kommenterade remissvaret.</w:t>
      </w:r>
    </w:p>
    <w:p w:rsidR="003B3271" w:rsidRPr="0008481A" w:rsidRDefault="003B3271">
      <w:r w:rsidRPr="0008481A">
        <w:t>JO hade vid beslutet tillgång till Kammarrättens i Stockholm akt i mål nr 5702-1998.</w:t>
      </w:r>
    </w:p>
    <w:p w:rsidR="003B3271" w:rsidRPr="0008481A" w:rsidRDefault="003B3271">
      <w:r w:rsidRPr="0008481A">
        <w:rPr>
          <w:i/>
        </w:rPr>
        <w:t xml:space="preserve">JO André </w:t>
      </w:r>
      <w:r w:rsidRPr="0008481A">
        <w:t>anförde i ett beslut den 29 oktober 1999 följande.</w:t>
      </w:r>
    </w:p>
    <w:p w:rsidR="003B3271" w:rsidRPr="0008481A" w:rsidRDefault="003B3271">
      <w:r w:rsidRPr="0008481A">
        <w:t>Av den företagna utredningen har framkommit att Barbro Pegelow skrev yttrandet till länsrätten på eget initiativ och att avsikten synes ha varit att det skulle utgöra ett underlag i den pågående verkställighetsprocessen. Som yttrandet kommit att ut</w:t>
      </w:r>
      <w:r w:rsidRPr="0008481A">
        <w:softHyphen/>
        <w:t xml:space="preserve">formas har det inneburit ett stöd för A.H:s ståndpunkt i processen. </w:t>
      </w:r>
    </w:p>
    <w:p w:rsidR="003B3271" w:rsidRPr="0008481A" w:rsidRDefault="003B3271">
      <w:pPr>
        <w:pStyle w:val="Normaltindrag"/>
      </w:pPr>
      <w:r w:rsidRPr="0008481A">
        <w:t>I mål hos länsrätt om verkställighet av allmän domstols avgörande i fråga om vårdnad eller umgänge har vardera parten möjlighet att uppmärksamma rätten på behovet av kompletterande utredning, t.ex. yttranden från social</w:t>
      </w:r>
      <w:r w:rsidRPr="0008481A">
        <w:softHyphen/>
        <w:t>tjänsten. Läns</w:t>
      </w:r>
      <w:r w:rsidRPr="0008481A">
        <w:softHyphen/>
        <w:t>rätten kan också på eget initiativ komplettera utredningen med sådana yttranden eller begära upplysningar från tjänsteman inom social</w:t>
      </w:r>
      <w:r w:rsidRPr="0008481A">
        <w:softHyphen/>
        <w:t>tjänsten. Länsrätten skall enligt 8 § förvaltningsprocesslagen (1971:291), FPL, se till att mål blir så utredda som dess beskaffenhet kräver.</w:t>
      </w:r>
    </w:p>
    <w:p w:rsidR="003B3271" w:rsidRPr="0008481A" w:rsidRDefault="003B3271">
      <w:pPr>
        <w:pStyle w:val="Normaltindrag"/>
      </w:pPr>
      <w:r w:rsidRPr="0008481A">
        <w:t>Enligt 7 kap. 4 § sekretesslagen (1980:100), SekrL, gäller sekretess inom socialtjänsten för uppgift om enskilds personliga förhållanden, om det inte står klart att uppgiften kan röjas utan att den enskilde eller någon h</w:t>
      </w:r>
      <w:r w:rsidRPr="0008481A">
        <w:t>onom närstående lider men. Sekretessen hindrar emellertid inte att uppgift lämnas till annan myndighet om uppgiftsskyldigheten följer av lag, se 14 kap. 1 § SekrL, jfr 20 och 25 §§ FPL. Socialnämnden kan med stöd av dessa bestäm</w:t>
      </w:r>
      <w:r w:rsidRPr="0008481A">
        <w:softHyphen/>
        <w:t>melser lämna eljest sekretesskyddade uppgifter till allmän förvaltnings</w:t>
      </w:r>
      <w:r w:rsidRPr="0008481A">
        <w:softHyphen/>
        <w:t>dom</w:t>
      </w:r>
      <w:r w:rsidRPr="0008481A">
        <w:softHyphen/>
        <w:t>stol när det föreligger en begäran därifrån om utfående av uppgifterna. Om någon sådan begäran däremot inte föreligger kan socialnämnden lämna ut sek</w:t>
      </w:r>
      <w:r w:rsidRPr="0008481A">
        <w:softHyphen/>
        <w:t>retesskyddade uppgifter endast om nämnden har något annat</w:t>
      </w:r>
      <w:r w:rsidRPr="0008481A">
        <w:t xml:space="preserve"> författnings</w:t>
      </w:r>
      <w:r w:rsidRPr="0008481A">
        <w:softHyphen/>
        <w:t>stöd för åtgärden. Sådant stöd torde, enligt vad JO tidigare uttalat, finnas i 42 § socialtjänstförord</w:t>
      </w:r>
      <w:r w:rsidRPr="0008481A">
        <w:softHyphen/>
        <w:t>ningen (1981:750) när det gäller yttranden till allmän domstol i frågor rörande vårdnad om barn, JO:s beslut den 16 oktober 1997 i ärende 3825-1996. Någon möjlighet för nämnden att med stöd av den bestämmelsen yttra sig till länsrätt vid verkställighetsprövning synes dock inte föreligga. Jag har även övervägt om bestämmelsen i 1 kap. 5 § sekretess</w:t>
      </w:r>
      <w:r w:rsidRPr="0008481A">
        <w:softHyphen/>
        <w:t>lagen skulle kunna legitimera ett uppgiftsläm</w:t>
      </w:r>
      <w:r w:rsidRPr="0008481A">
        <w:t>nande av ifrågavarande slag. Det är inte uteslutet att det kan finnas situationer då den bestämmelsen kan motivera en sådan åtgärd. Det har emellertid inte förelegat några omständig</w:t>
      </w:r>
      <w:r w:rsidRPr="0008481A">
        <w:softHyphen/>
        <w:t>heter av det slaget i det nu prövade ärendet.</w:t>
      </w:r>
    </w:p>
    <w:p w:rsidR="003B3271" w:rsidRPr="0008481A" w:rsidRDefault="003B3271">
      <w:pPr>
        <w:pStyle w:val="Normaltindrag"/>
      </w:pPr>
      <w:r w:rsidRPr="0008481A">
        <w:t xml:space="preserve"> Av det anförda följer att Barbro Pegelows uppgiftslämnande till länsrätten skett i strid med gällande bestämmelser om sekretess. För områden där mottagande myndighet själv har möjlighet att begära in uppgifterna med stöd av annan författningsbestämmelse, framstår emellertid sekretes</w:t>
      </w:r>
      <w:r w:rsidRPr="0008481A">
        <w:t xml:space="preserve">skyddet som mindre uttalat, och det kan många gånger vara en tillfällighet om uppgift begärts eller ej beträffande viss information, se bl.a. JO:s beslut den 18 maj 1994, dnr 883-1993 och den 12 maj 1998, dnr 796-1998.  </w:t>
      </w:r>
    </w:p>
    <w:p w:rsidR="003B3271" w:rsidRPr="0008481A" w:rsidRDefault="003B3271">
      <w:pPr>
        <w:pStyle w:val="Normaltindrag"/>
      </w:pPr>
      <w:r w:rsidRPr="0008481A">
        <w:t xml:space="preserve"> Även med beaktande av att sekretesskyddet i förevarande fall framstår som mindre uttalat på grund av länsrättens möjlighet att själv begära att få ta del av uppgifterna är det självfallet inte tillfredsställande att handläggare inom socialtjänsten lämnar ut uppgifter utan stöd i sekretessl</w:t>
      </w:r>
      <w:r w:rsidRPr="0008481A">
        <w:t xml:space="preserve">agen. </w:t>
      </w:r>
    </w:p>
    <w:p w:rsidR="003B3271" w:rsidRPr="0008481A" w:rsidRDefault="003B3271">
      <w:pPr>
        <w:pStyle w:val="Normaltindrag"/>
      </w:pPr>
      <w:r w:rsidRPr="0008481A">
        <w:t>Barbro Pegelows agerande är även av andra skäl inte fritt från invändningar. Mot bakgrund av de viktiga uppgifter som socialtjänsten har vid en konflikt som den aktuella är det angeläget att dess tjänstemän agerar på ett sådant sätt att en part i ärendet inte har anledning att misstänka att någon handläggare tar ovidkommande hänsyn eller inte är objektiv. Jag har förståelse för att A.L. uppfattade situationen som att Barbro Pegelow handlade ”bakom ryggen” på honom och det måste rimligen ha gett honom</w:t>
      </w:r>
      <w:r w:rsidRPr="0008481A">
        <w:t xml:space="preserve"> skäl att betvivla hennes opartiskhet. I sammanhanget vill jag även påpeka att utlåtandet fick en olycklig utformning. Barbro Pegelow har i en särskild skrivelse förtydligat sig. Eftersom Barbro Pegelow enligt min mening inte alls borde ha skrivit utlåtandet finns det inte skäl för mig att närmare uppe</w:t>
      </w:r>
      <w:r w:rsidRPr="0008481A">
        <w:softHyphen/>
        <w:t xml:space="preserve">hålla mig vid utlåtandets innehåll.  </w:t>
      </w:r>
    </w:p>
    <w:p w:rsidR="003B3271" w:rsidRPr="0008481A" w:rsidRDefault="003B3271">
      <w:pPr>
        <w:pStyle w:val="Normaltindrag"/>
      </w:pPr>
      <w:r w:rsidRPr="0008481A">
        <w:t>Med hänsyn till det anförda är jag kritisk till Barbro Pegelows förfarings</w:t>
      </w:r>
      <w:r w:rsidRPr="0008481A">
        <w:softHyphen/>
        <w:t xml:space="preserve">sätt. Det är med viss förvåning jag har noterat att nämnden i sitt yttrande till JO inte har funnit skäl att ifrågasätta hennes handlande.            </w:t>
      </w:r>
    </w:p>
    <w:p w:rsidR="003B3271" w:rsidRPr="0008481A" w:rsidRDefault="003B3271">
      <w:pPr>
        <w:pStyle w:val="Normaltindrag"/>
      </w:pPr>
      <w:r w:rsidRPr="0008481A">
        <w:t>Som framkommit ovan anser jag att en socialnämnd normalt inte har möjlig</w:t>
      </w:r>
      <w:r w:rsidRPr="0008481A">
        <w:softHyphen/>
        <w:t>het att på eget initiativ delge en allmän förvaltningsdomstol omstän</w:t>
      </w:r>
      <w:r w:rsidRPr="0008481A">
        <w:softHyphen/>
        <w:t>dig</w:t>
      </w:r>
      <w:r w:rsidRPr="0008481A">
        <w:softHyphen/>
        <w:t>heter som nämnden anser kan vara av betydelse för domstolens prövning i mål angående verkställighet av domar eller beslut angående vårdnad och umgänge. I remissvaret har nämnden framhållit att länsrätten i fall som det nu prövade ofta inte begär någon utredning från socialnämnden och att det därför händer att handläggarna oombedda inkommer med en inlaga. Mot den bakgrunden finner jag anledning att något ytterligare uppehålla mig vid d</w:t>
      </w:r>
      <w:r w:rsidRPr="0008481A">
        <w:t xml:space="preserve">enna fråga. </w:t>
      </w:r>
    </w:p>
    <w:p w:rsidR="003B3271" w:rsidRPr="0008481A" w:rsidRDefault="003B3271">
      <w:pPr>
        <w:pStyle w:val="Normaltindrag"/>
      </w:pPr>
      <w:r w:rsidRPr="0008481A">
        <w:t>Den prövning som en allmän förvaltningsdomstol har att utföra när verkställighet begärs av allmän domstols dom eller beslut i fråga om vårdnad eller umgänge är till sin natur summarisk. Den primära prövningen av om t.ex. ett umgänge är till barnets bästa eller inte skall göras av allmän domstol. Vid den prövningen skall nämnden alltid beredas tillfälle att yttra sig, se 6 kap. 19 § andra stycket föräldra-balken. Länsrätten har vid sin prövning tillgång till den allmänna domstolens dom eller bes</w:t>
      </w:r>
      <w:r w:rsidRPr="0008481A">
        <w:t>lut. Länsrätten har därutöver möjlighet att ta del av den fullständiga utredning som förekommit vid den allmänna domstolen genom att inhämta dess akt i målet. Som angetts redan inledningsvis skall länsrätten vid verkställighetsprövningen föranstalta om den utredning som är behövlig. Det föreligger emellertid inte någon skyl</w:t>
      </w:r>
      <w:r w:rsidRPr="0008481A">
        <w:softHyphen/>
        <w:t>dighet för länsrätten att regel</w:t>
      </w:r>
      <w:r w:rsidRPr="0008481A">
        <w:softHyphen/>
        <w:t>mässigt inhämta yttrande från social</w:t>
      </w:r>
      <w:r w:rsidRPr="0008481A">
        <w:softHyphen/>
        <w:t>tjänsten. För det fall socialnämnden innehar information som den be</w:t>
      </w:r>
      <w:r w:rsidRPr="0008481A">
        <w:softHyphen/>
        <w:t>dömer vara av intresse för domstolens verkställig</w:t>
      </w:r>
      <w:r w:rsidRPr="0008481A">
        <w:t>hets</w:t>
      </w:r>
      <w:r w:rsidRPr="0008481A">
        <w:softHyphen/>
        <w:t>prövning har nämnden, om den anser det vara påkallat, möjlighet att uppmärksamma domstolen på detta för</w:t>
      </w:r>
      <w:r w:rsidRPr="0008481A">
        <w:softHyphen/>
        <w:t>hållande. Det ankommer därefter på domstolen att ta ställning till om ytt</w:t>
      </w:r>
      <w:r w:rsidRPr="0008481A">
        <w:softHyphen/>
        <w:t>ran</w:t>
      </w:r>
      <w:r w:rsidRPr="0008481A">
        <w:softHyphen/>
        <w:t>de eller annan utredning skall inhämtas. Här kan tilläggas att social</w:t>
      </w:r>
      <w:r w:rsidRPr="0008481A">
        <w:softHyphen/>
        <w:t xml:space="preserve">nämnden bör ha i åtanke att det endast i rena undantagssituationer kan godtas att den tar ställning mot ett beslut om vårdnad eller umgänge som har fattats av allmän domstol. </w:t>
      </w:r>
    </w:p>
    <w:p w:rsidR="003B3271" w:rsidRPr="0008481A" w:rsidRDefault="003B3271">
      <w:pPr>
        <w:pStyle w:val="Normaltindrag"/>
      </w:pPr>
      <w:r w:rsidRPr="0008481A">
        <w:t>Möjlig</w:t>
      </w:r>
      <w:r w:rsidRPr="0008481A">
        <w:softHyphen/>
        <w:t>heten att avge yttranden till domstol tillkommer inte varje enskild tjänste</w:t>
      </w:r>
      <w:r w:rsidRPr="0008481A">
        <w:softHyphen/>
        <w:t>man vid en för</w:t>
      </w:r>
      <w:r w:rsidRPr="0008481A">
        <w:softHyphen/>
        <w:t>valtning utan är en uppgift för nämnden eller den eller de tjänste</w:t>
      </w:r>
      <w:r w:rsidRPr="0008481A">
        <w:softHyphen/>
        <w:t>män till vilka nämnden delegerat uppgiften. Ett sådant yttrande skall också, i enlighet med 54 § tredje stycket SoL, kommuniceras med de berörda. Jag vill i sammanhanget påtala att jag finner det väsentligt att inte en</w:t>
      </w:r>
      <w:r w:rsidRPr="0008481A">
        <w:softHyphen/>
        <w:t>skilda tjänstemän, genom egna initiativ och på mer eller mindre informella vägar, lämnar informa</w:t>
      </w:r>
      <w:r w:rsidRPr="0008481A">
        <w:softHyphen/>
        <w:t>tion till domstolen. Ett sådant förfa</w:t>
      </w:r>
      <w:r w:rsidRPr="0008481A">
        <w:t>ringssätt kan innebära en upp</w:t>
      </w:r>
      <w:r w:rsidRPr="0008481A">
        <w:softHyphen/>
        <w:t>enbar risk för att parterna eller någon av dem förlorar förtroendet för tjänstemän</w:t>
      </w:r>
      <w:r w:rsidRPr="0008481A">
        <w:softHyphen/>
        <w:t>nen vid förvalt</w:t>
      </w:r>
      <w:r w:rsidRPr="0008481A">
        <w:softHyphen/>
        <w:t>ningen. Detta kan ytterst leda till att förutsättningarna att, i det be</w:t>
      </w:r>
      <w:r w:rsidRPr="0008481A">
        <w:softHyphen/>
        <w:t xml:space="preserve">rörda barnets intresse, medverka till ett gott samarbetsklimat mellan föräldrarna äventyras. </w:t>
      </w:r>
    </w:p>
    <w:p w:rsidR="003B3271" w:rsidRPr="0008481A" w:rsidRDefault="003B3271">
      <w:pPr>
        <w:pStyle w:val="Normaltindrag"/>
      </w:pPr>
      <w:r w:rsidRPr="0008481A">
        <w:t>Jag utgår från att nämnden i framtida utredningar beaktar vad jag nu har uttalat samt tillser att berörda handläggare har tillräckliga kunskaper i gällande regler rörande sekretess.</w:t>
      </w:r>
    </w:p>
    <w:p w:rsidR="003B3271" w:rsidRPr="0008481A" w:rsidRDefault="003B3271">
      <w:pPr>
        <w:pStyle w:val="Rubrik2"/>
      </w:pPr>
      <w:r w:rsidRPr="0008481A">
        <w:t>En tingsrätt handlade ett mål angående umgänge med barn. Fråga om lämpligheten av att två tjänstemän vid en socialförvaltning, som svarat för s.k. samarbets</w:t>
      </w:r>
      <w:r w:rsidRPr="0008481A">
        <w:softHyphen/>
        <w:t>samtal mellan föräldrarna, i en skrivelse till den ena förälderns ombud i målet uttalade sin uppfattning i umgängesfrågan</w:t>
      </w:r>
    </w:p>
    <w:p w:rsidR="003B3271" w:rsidRPr="0008481A" w:rsidRDefault="003B3271">
      <w:r w:rsidRPr="0008481A">
        <w:t>(Dnr 1409-1999)</w:t>
      </w:r>
    </w:p>
    <w:p w:rsidR="003B3271" w:rsidRPr="0008481A" w:rsidRDefault="003B3271">
      <w:r w:rsidRPr="0008481A">
        <w:t>J.B. har tillsammans med Y.S. dottern R. Det var Y.S. som hade vårdnaden om R. Sedan länge hade det förelegat konflikter mellan Y.S. och J.B. om bl.a. um</w:t>
      </w:r>
      <w:r w:rsidRPr="0008481A">
        <w:softHyphen/>
        <w:t>gänget mellan R. och J.B.</w:t>
      </w:r>
    </w:p>
    <w:p w:rsidR="003B3271" w:rsidRPr="0008481A" w:rsidRDefault="003B3271">
      <w:pPr>
        <w:pStyle w:val="Normaltindrag"/>
      </w:pPr>
      <w:r w:rsidRPr="0008481A">
        <w:t>Sedan J.B. väckt talan vid Stockholms tingsrätt om vårdnad och umgänge med R. förordnade tingsrätten att Hammarby stadsdelsnämnd (numera Skarpnäcks stadsdelsnämnd) i Stockholms kommun skulle genomföra samarbetssamtal med Y.S och J.B. Efter det att de handläggare som fick uppdraget att genomföra samtalen, Lars Prebo och Anita Palm Thim, bedömt att samtalen inte längre var konstruktiva, upprättade de den 9 april 1997 en skrivelse som de tillställde Y.S:s juridiska ombud Anna Björklu</w:t>
      </w:r>
      <w:r w:rsidRPr="0008481A">
        <w:t>nd. I skrivelsen anförde de bl.a. följande.</w:t>
      </w:r>
    </w:p>
    <w:p w:rsidR="003B3271" w:rsidRPr="0008481A" w:rsidRDefault="003B3271">
      <w:pPr>
        <w:pStyle w:val="Citat"/>
        <w:spacing w:before="240"/>
      </w:pPr>
      <w:r w:rsidRPr="0008481A">
        <w:t>TILL ANNA BJÖRKLUND</w:t>
      </w:r>
    </w:p>
    <w:p w:rsidR="003B3271" w:rsidRPr="0008481A" w:rsidRDefault="003B3271">
      <w:pPr>
        <w:pStyle w:val="Citat"/>
      </w:pPr>
      <w:r w:rsidRPr="0008481A">
        <w:t>Vi bedömer att samarbetssamtalen mellan Y.S. och J.B. inte är konstruktiva. Ingenting i kontakten med Y.S. visar att hon brister i omsorg om R. Där</w:t>
      </w:r>
      <w:r w:rsidRPr="0008481A">
        <w:softHyphen/>
        <w:t>emot är vi oroliga för R:s framtida hälsa och utveckling, då vi anser att J.B. drar in R. i sin konflikt med Y.S. Vi föreslår att en psykologbedömning ge</w:t>
      </w:r>
      <w:r w:rsidRPr="0008481A">
        <w:softHyphen/>
        <w:t>nom PBU genomförs för att närmare klargöra R:s behov.</w:t>
      </w:r>
    </w:p>
    <w:p w:rsidR="003B3271" w:rsidRPr="0008481A" w:rsidRDefault="003B3271">
      <w:pPr>
        <w:pStyle w:val="Citatindrag"/>
      </w:pPr>
      <w:r w:rsidRPr="0008481A">
        <w:t>Vi kan i nuläget inte se att R:s umgänge med J.B. gagnar hennes behov av trygghet, förutsägbarhet och stabilitet som ett barn behöver.</w:t>
      </w:r>
    </w:p>
    <w:p w:rsidR="003B3271" w:rsidRPr="0008481A" w:rsidRDefault="003B3271">
      <w:pPr>
        <w:pStyle w:val="Citat"/>
      </w:pPr>
      <w:r w:rsidRPr="0008481A">
        <w:t>– – –</w:t>
      </w:r>
    </w:p>
    <w:p w:rsidR="003B3271" w:rsidRPr="0008481A" w:rsidRDefault="003B3271">
      <w:r w:rsidRPr="0008481A">
        <w:t>Anna Björklund gav samma dag in ett yttrande till tingsrätten i det där pågående målet mellan Y.S och J.B. Till yttrandet fogade hon Lars Prebos och Anita Palm Thims skrivelse. I yttrandet hänvisade Anna Björklund till innehållet i skrivelsen och begärde bl.a. att tingsrätten skulle besluta att umgänge mellan J.B. och R. i enlighet med en av tingsrätten den 14 juni 1993 meddelad dom inte längre skulle komma till stånd.</w:t>
      </w:r>
    </w:p>
    <w:p w:rsidR="003B3271" w:rsidRPr="0008481A" w:rsidRDefault="003B3271">
      <w:pPr>
        <w:pStyle w:val="Normaltindrag"/>
      </w:pPr>
      <w:r w:rsidRPr="0008481A">
        <w:t>Tingsrätten beslutade den 16 maj 1997 att interimistiskt inskränka J.B:s umgänge med R.</w:t>
      </w:r>
    </w:p>
    <w:p w:rsidR="003B3271" w:rsidRPr="0008481A" w:rsidRDefault="003B3271">
      <w:pPr>
        <w:pStyle w:val="Normaltindrag"/>
        <w:rPr>
          <w:b/>
        </w:rPr>
      </w:pPr>
      <w:r w:rsidRPr="0008481A">
        <w:t>I en anmälan till JO klagade J.B. på Hammarby stadsdelsnämnd (numera Skarpnäcks stadsdelsnämnd) i Stock</w:t>
      </w:r>
      <w:r w:rsidRPr="0008481A">
        <w:softHyphen/>
        <w:t>holms kommun. Han anförde bl.a. att nämnden, genom Lars Prebo och Anita Palm Thim, agerat partiskt i den pågående vårdnads- och umgängestvisten genom att tillställa Y.S:s juridiska ombud ett yttrande angå</w:t>
      </w:r>
      <w:r w:rsidRPr="0008481A">
        <w:softHyphen/>
        <w:t>ende resultatet av genomförda samarbetssamtal jämte ett ställningsta</w:t>
      </w:r>
      <w:r w:rsidRPr="0008481A">
        <w:softHyphen/>
        <w:t>gande i tviste</w:t>
      </w:r>
      <w:r w:rsidRPr="0008481A">
        <w:softHyphen/>
        <w:t xml:space="preserve">frågan. </w:t>
      </w:r>
    </w:p>
    <w:p w:rsidR="003B3271" w:rsidRPr="0008481A" w:rsidRDefault="003B3271">
      <w:pPr>
        <w:pStyle w:val="Normaltindrag"/>
      </w:pPr>
      <w:r w:rsidRPr="0008481A">
        <w:t>Anmälan remitterades till Skarpnäcks stadsdelsnämnd i Stockholms kommun för utredning och yttrande över vad som däri anförts i fråga om den skrivelse som Lars Prebo och Anita Palm Thim upprättade den 9 april 1997.</w:t>
      </w:r>
      <w:r w:rsidRPr="0008481A">
        <w:t xml:space="preserve"> Nämnden överlämnade som sitt remissvar ett tjäns</w:t>
      </w:r>
      <w:r w:rsidRPr="0008481A">
        <w:softHyphen/>
        <w:t>teutlåtande upprättat av socialinspektören Eva Hellström, vari anfördes bl.a. föl</w:t>
      </w:r>
      <w:r w:rsidRPr="0008481A">
        <w:softHyphen/>
        <w:t xml:space="preserve">jande </w:t>
      </w:r>
      <w:r w:rsidRPr="0008481A">
        <w:rPr>
          <w:i/>
        </w:rPr>
        <w:t>(bilagorna här utelämnade)</w:t>
      </w:r>
      <w:r w:rsidRPr="0008481A">
        <w:t>.</w:t>
      </w:r>
    </w:p>
    <w:p w:rsidR="003B3271" w:rsidRPr="0008481A" w:rsidRDefault="003B3271">
      <w:pPr>
        <w:pStyle w:val="Citat"/>
      </w:pPr>
      <w:r w:rsidRPr="0008481A">
        <w:t>Y.S. och J.B. har sedan R. föddes haft avsevärda svårigheter att samarbeta om stort sett allt som rör deras dotter R. Modern har ensam vårdnad om R. sedan den 3 december 1989.</w:t>
      </w:r>
    </w:p>
    <w:p w:rsidR="003B3271" w:rsidRPr="0008481A" w:rsidRDefault="003B3271">
      <w:pPr>
        <w:pStyle w:val="Citatindrag"/>
      </w:pPr>
      <w:r w:rsidRPr="0008481A">
        <w:t>I början av 1997 uppgav Y.S. och rektor Ann-Mari Flodin att R. under en längre tid visade symptom på att må dåligt av föräldrarnas samarbetssvårig</w:t>
      </w:r>
      <w:r w:rsidRPr="0008481A">
        <w:softHyphen/>
        <w:t>heter och att J.B. drar in R. i sin konflikt med Y.S.</w:t>
      </w:r>
    </w:p>
    <w:p w:rsidR="003B3271" w:rsidRPr="0008481A" w:rsidRDefault="003B3271">
      <w:pPr>
        <w:pStyle w:val="Citatindrag"/>
      </w:pPr>
      <w:r w:rsidRPr="0008481A">
        <w:t>Stockholms tingsrätt begärde 1997-03-19 att stadsdelsnämnden i Hammar</w:t>
      </w:r>
      <w:r w:rsidRPr="0008481A">
        <w:softHyphen/>
        <w:t>by skulle ha samarbetssamtal med föräldrarna.</w:t>
      </w:r>
    </w:p>
    <w:p w:rsidR="003B3271" w:rsidRPr="0008481A" w:rsidRDefault="003B3271">
      <w:pPr>
        <w:pStyle w:val="Citatindrag"/>
      </w:pPr>
      <w:r w:rsidRPr="0008481A">
        <w:t>Föräldrarna erbjöds fem samarbetssamtal. Vid mötet den 9 april 1997 upp</w:t>
      </w:r>
      <w:r w:rsidRPr="0008481A">
        <w:softHyphen/>
        <w:t>fattade handläggarna att J.B. inte ville förstå att R. mådde dåligt av föräld</w:t>
      </w:r>
      <w:r w:rsidRPr="0008481A">
        <w:softHyphen/>
        <w:t>rarnas konflikter.</w:t>
      </w:r>
    </w:p>
    <w:p w:rsidR="003B3271" w:rsidRPr="0008481A" w:rsidRDefault="003B3271">
      <w:pPr>
        <w:pStyle w:val="Citatindrag"/>
      </w:pPr>
      <w:r w:rsidRPr="0008481A">
        <w:t>Han reagerade med att skylla på andra och lägga skulden utanför sig själv. Handläggarna blev väldigt oroade över J.B:s beteende och vi bedömde att föräldrarnas konflikt var så djup att det inte var konstruktivt att fortsätta.</w:t>
      </w:r>
    </w:p>
    <w:p w:rsidR="003B3271" w:rsidRPr="0008481A" w:rsidRDefault="003B3271">
      <w:pPr>
        <w:pStyle w:val="Citatindrag"/>
      </w:pPr>
      <w:r w:rsidRPr="0008481A">
        <w:t>J.B. informerades muntligt under besöket att handläggarna bedömde att det inte gick att fortsätta med samarbetssamtalen och att vi var oroade över R:s fortsatta hälsa och utveckling. Vidare informerades han om att vi ansåg att en psykologbedömning borde göras för att klargöra R:s behov i föräldrarnas konflikt.</w:t>
      </w:r>
    </w:p>
    <w:p w:rsidR="003B3271" w:rsidRPr="0008481A" w:rsidRDefault="003B3271">
      <w:pPr>
        <w:pStyle w:val="Citatindrag"/>
      </w:pPr>
      <w:r w:rsidRPr="0008481A">
        <w:t>Samma dag upplystes Y.S:s juridiska ombud, Anna Björklund, via fax om vår bedömning och i överenskommelse med henne delgav hon J.B:s juri</w:t>
      </w:r>
      <w:r w:rsidRPr="0008481A">
        <w:softHyphen/>
        <w:t>diska ombud Karl Potapoff och Stockholms tingsrätt den 9 april 1997.</w:t>
      </w:r>
    </w:p>
    <w:p w:rsidR="003B3271" w:rsidRPr="0008481A" w:rsidRDefault="003B3271">
      <w:r w:rsidRPr="0008481A">
        <w:t>J.B. kommenterade remissvaret.</w:t>
      </w:r>
    </w:p>
    <w:p w:rsidR="003B3271" w:rsidRPr="0008481A" w:rsidRDefault="003B3271">
      <w:r w:rsidRPr="0008481A">
        <w:t>JO hade tillgång till den skrivelse som Lars Prebo och Anita Palm Thim den 9 april 1997 tillställde Anna Björklund och det yttrande som Anna Björklund samma dag gav in till Stockholms tingsrätt.</w:t>
      </w:r>
    </w:p>
    <w:p w:rsidR="003B3271" w:rsidRPr="0008481A" w:rsidRDefault="003B3271">
      <w:pPr>
        <w:rPr>
          <w:i/>
        </w:rPr>
      </w:pPr>
      <w:r w:rsidRPr="0008481A">
        <w:rPr>
          <w:i/>
        </w:rPr>
        <w:t xml:space="preserve">JO André </w:t>
      </w:r>
      <w:r w:rsidRPr="0008481A">
        <w:t>anförde i ett beslut den 29 oktober 1999 följande</w:t>
      </w:r>
      <w:r w:rsidRPr="0008481A">
        <w:rPr>
          <w:i/>
        </w:rPr>
        <w:t>.</w:t>
      </w:r>
    </w:p>
    <w:p w:rsidR="003B3271" w:rsidRPr="0008481A" w:rsidRDefault="003B3271">
      <w:r w:rsidRPr="0008481A">
        <w:t>Den i ärendet aktuella skrivelsen har tillställts Y.S:s juridiska ombud. En tjänsteman inom socialtjänsten bör självfallet vara återhållsam med att till en enskild person ut</w:t>
      </w:r>
      <w:r w:rsidRPr="0008481A">
        <w:softHyphen/>
        <w:t>färda ett intyg eller ett utlåtande som innehåller värdeomdömen om någon annan. Möjligheten att i en sådan handling ta in uppgifter som rör annan än den som tar emot utlåtandet begränsas dessutom av den sekretess som gäller inom socialtjänsten. I förevarande fall har jag i och för sig inte funnit att Lars Prebo och Anita Palm Thim kan anses ha brutit mot sin tystnadsplikt genom att ta in uppgifter om J.B. i skrivelsen. Deras handlande är ändå inte fritt från invändningar.</w:t>
      </w:r>
    </w:p>
    <w:p w:rsidR="003B3271" w:rsidRPr="0008481A" w:rsidRDefault="003B3271">
      <w:pPr>
        <w:pStyle w:val="Normaltindrag"/>
      </w:pPr>
      <w:r w:rsidRPr="0008481A">
        <w:t>I föräldrabalken finns regler om h</w:t>
      </w:r>
      <w:r w:rsidRPr="0008481A">
        <w:t>ur tingsrätten kan inhämta uppgifter från socialtjänsten innan domstolen fattar beslut om vårdnad eller umgänge. Det bör noteras att sådana yttranden till domstol som avges av socialnämnden, eller av en tjänsteman efter nämndens delegation, som huvudregel skall kommuniceras med föräldrarna innan det ges in till domstolen (se JO:s ämbetsberättelse 1995/96 s. 309 f. och 1996/97 s. 297 f.). Om det aktuella utlåtandet hade utgjort ett sådant yttrande hade det förelegat kommunika</w:t>
      </w:r>
      <w:r w:rsidRPr="0008481A">
        <w:softHyphen/>
        <w:t>tions</w:t>
      </w:r>
      <w:r w:rsidRPr="0008481A">
        <w:softHyphen/>
        <w:t>plikt. Skyldigheten att ko</w:t>
      </w:r>
      <w:r w:rsidRPr="0008481A">
        <w:t>mmunicera yttranden har tillkommit för att bidra till en rättssäker handläggning.</w:t>
      </w:r>
    </w:p>
    <w:p w:rsidR="003B3271" w:rsidRPr="0008481A" w:rsidRDefault="003B3271">
      <w:pPr>
        <w:pStyle w:val="Normaltindrag"/>
      </w:pPr>
      <w:r w:rsidRPr="0008481A">
        <w:t>Om en socialnämnd, när tvist föreligger i allmän domstol angående vård</w:t>
      </w:r>
      <w:r w:rsidRPr="0008481A">
        <w:softHyphen/>
        <w:t>nad eller umgänge med barn, får vetskap om förhållanden som kan vara av betydelse för prövningen kan nämnden underrätta domstolen härom även om domstolen inte har begärt något yttrande. Denna befogenhet torde kunna grundas på bestämmelsen i 42 § socialtjänstförordningen (1981:750), jfr JO:s beslut den 16 oktober 1997 i ärende 3825-1996. Möjlig</w:t>
      </w:r>
      <w:r w:rsidRPr="0008481A">
        <w:softHyphen/>
        <w:t>heten att avge ett sådant yttrande kan emellertid inte tillkomma varje enskild tjänsteman vid en för</w:t>
      </w:r>
      <w:r w:rsidRPr="0008481A">
        <w:softHyphen/>
        <w:t>valtning utan måste vara en uppgift för nämnden eller den tjänst</w:t>
      </w:r>
      <w:r w:rsidRPr="0008481A">
        <w:t>eman till vilken nämnden delegerat uppgiften. För yttranden av nu aktuellt slag föreligger kommuniceringsskyldighet i samma ut</w:t>
      </w:r>
      <w:r w:rsidRPr="0008481A">
        <w:softHyphen/>
        <w:t>sträckning som för yttran</w:t>
      </w:r>
      <w:r w:rsidRPr="0008481A">
        <w:softHyphen/>
        <w:t xml:space="preserve">den som avges med stöd av föräldrabalken på domstols begäran, se 54 § tredje stycket socialtjänstlagen (1980:620). </w:t>
      </w:r>
    </w:p>
    <w:p w:rsidR="003B3271" w:rsidRPr="0008481A" w:rsidRDefault="003B3271">
      <w:pPr>
        <w:pStyle w:val="Normaltindrag"/>
      </w:pPr>
      <w:r w:rsidRPr="0008481A">
        <w:t>Såvitt framkommit föregicks upprättandet av skrivelsen inte av någon begäran vare sig från tingsrättens sida eller av Y.S. och hennes juridiska ombud. I stället synes den ha tillkommit på Lars Prebos och Anita Palm Thims eget initiativ. Mot ba</w:t>
      </w:r>
      <w:r w:rsidRPr="0008481A">
        <w:t>kgrund av vad jag anfört om möjligheten för nämnden att självmant uppmärk</w:t>
      </w:r>
      <w:r w:rsidRPr="0008481A">
        <w:softHyphen/>
        <w:t>samma domstolen på förhållanden som kan vara av betydelse för prövningen kan det knappast föreligga något skäl att avge skrivelser av ifrågavarande slag till nå</w:t>
      </w:r>
      <w:r w:rsidRPr="0008481A">
        <w:softHyphen/>
        <w:t>gon av parterna i målet. Ett korrekt förfaringssätt hade varit att nämnden hade informerat upp</w:t>
      </w:r>
      <w:r w:rsidRPr="0008481A">
        <w:softHyphen/>
        <w:t>drags</w:t>
      </w:r>
      <w:r w:rsidRPr="0008481A">
        <w:softHyphen/>
        <w:t xml:space="preserve">givaren, dvs. domstolen, om att samarbetssamtalen inte längre bedömdes vara konstruktiva. </w:t>
      </w:r>
    </w:p>
    <w:p w:rsidR="003B3271" w:rsidRPr="0008481A" w:rsidRDefault="003B3271">
      <w:pPr>
        <w:pStyle w:val="Normaltindrag"/>
      </w:pPr>
      <w:r w:rsidRPr="0008481A">
        <w:t>Av utredningen framgår vidare att J.B. inte blev informerad av Lars Prebo och Anita P</w:t>
      </w:r>
      <w:r w:rsidRPr="0008481A">
        <w:t>alm Thim om skrivelsen och att de inte heller tillställde honom kopia av den. Att förvaltningen handlat ”bakom ryggen” på J.B. måste rimligen ha gett honom skäl att betvivla dess opartiskhet. Mot bakgrund av de viktiga uppgifter som social</w:t>
      </w:r>
      <w:r w:rsidRPr="0008481A">
        <w:softHyphen/>
        <w:t xml:space="preserve">tjänsten har vid en konflikt som den aktuella är det angeläget att tjänstemännen handlar på ett sådant sätt att en part i ärendet inte har anledning att misstänka att någon av dem tar ovidkommande hänsyn eller inte är objektiv. </w:t>
      </w:r>
    </w:p>
    <w:p w:rsidR="003B3271" w:rsidRPr="0008481A" w:rsidRDefault="003B3271">
      <w:pPr>
        <w:pStyle w:val="Normaltindrag"/>
      </w:pPr>
      <w:r w:rsidRPr="0008481A">
        <w:t>Sammanfattningsvis anser jag att Lars Prebo</w:t>
      </w:r>
      <w:r w:rsidRPr="0008481A">
        <w:t xml:space="preserve"> och Anita Palm Thim inte borde ha avlåtit skrivelsen i fråga. Det är med viss förvåning jag har noterat att nämnden i sitt yttrande till JO inte har funnit skäl att ifrågasätta deras handlande. Jag utgår dock från att nämnden fortsättningsvis beaktar vad jag nu har uttalat.</w:t>
      </w:r>
    </w:p>
    <w:p w:rsidR="003B3271" w:rsidRPr="0008481A" w:rsidRDefault="003B3271">
      <w:pPr>
        <w:pStyle w:val="Rubrik2"/>
      </w:pPr>
      <w:r w:rsidRPr="0008481A">
        <w:t>Fråga bl.a. om utformningen av ett beslut enligt 6 kap. 19 § föräldrabalken att utse en vårdnadsutredare</w:t>
      </w:r>
    </w:p>
    <w:p w:rsidR="003B3271" w:rsidRPr="0008481A" w:rsidRDefault="003B3271">
      <w:r w:rsidRPr="0008481A">
        <w:t xml:space="preserve">(Dnr 2569-1998) </w:t>
      </w:r>
    </w:p>
    <w:p w:rsidR="003B3271" w:rsidRPr="0008481A" w:rsidRDefault="003B3271">
      <w:r w:rsidRPr="0008481A">
        <w:t>I en anmälan till JO klagade V.K. på innehållet i en barnavårdsutredning som Stadsdelsnämnden Biskopsgå</w:t>
      </w:r>
      <w:r w:rsidRPr="0008481A">
        <w:t>r</w:t>
      </w:r>
      <w:r w:rsidRPr="0008481A">
        <w:t xml:space="preserve">den i Göteborgs kommun hade utfört. Den </w:t>
      </w:r>
      <w:r w:rsidRPr="0008481A">
        <w:br/>
        <w:t>2 juli 1998 beslutade JO att inte inleda någon utredning med anledning av anmälan.</w:t>
      </w:r>
    </w:p>
    <w:p w:rsidR="003B3271" w:rsidRPr="0008481A" w:rsidRDefault="003B3271">
      <w:pPr>
        <w:pStyle w:val="Normaltindrag"/>
      </w:pPr>
      <w:r w:rsidRPr="0008481A">
        <w:t>Under ärendets handläggning hos JO framkom bl.a. följande.</w:t>
      </w:r>
    </w:p>
    <w:p w:rsidR="003B3271" w:rsidRPr="0008481A" w:rsidRDefault="003B3271">
      <w:pPr>
        <w:pStyle w:val="Normaltindrag"/>
      </w:pPr>
      <w:r w:rsidRPr="0008481A">
        <w:t>I ett mål vid Göteborgs tingsrätt mellan M.K. och V.K. rörande vårdnad om barn anhöll tingsrätten hos familjerättsbyrån – som adm</w:t>
      </w:r>
      <w:r w:rsidRPr="0008481A">
        <w:t>i</w:t>
      </w:r>
      <w:r w:rsidRPr="0008481A">
        <w:softHyphen/>
        <w:t xml:space="preserve">nistrativt lyder under </w:t>
      </w:r>
      <w:r w:rsidRPr="0008481A">
        <w:rPr>
          <w:i/>
        </w:rPr>
        <w:t>Stadsdelsnämnden Backa</w:t>
      </w:r>
      <w:r w:rsidRPr="0008481A">
        <w:t xml:space="preserve"> – i Göteborgs kommun om utre</w:t>
      </w:r>
      <w:r w:rsidRPr="0008481A">
        <w:t>d</w:t>
      </w:r>
      <w:r w:rsidRPr="0008481A">
        <w:softHyphen/>
        <w:t>ning enligt 6 kap. 19 § föräldrabalken (FB). Tingsrättens begäran inkom till f</w:t>
      </w:r>
      <w:r w:rsidRPr="0008481A">
        <w:t>a</w:t>
      </w:r>
      <w:r w:rsidRPr="0008481A">
        <w:softHyphen/>
        <w:t>milje</w:t>
      </w:r>
      <w:r w:rsidRPr="0008481A">
        <w:softHyphen/>
        <w:t>rätts</w:t>
      </w:r>
      <w:r w:rsidRPr="0008481A">
        <w:softHyphen/>
        <w:t>byrån den 1 september 1997. Erna Lagerfors förordnades till vård</w:t>
      </w:r>
      <w:r w:rsidRPr="0008481A">
        <w:softHyphen/>
        <w:t>nadsu</w:t>
      </w:r>
      <w:r w:rsidRPr="0008481A">
        <w:t>t</w:t>
      </w:r>
      <w:r w:rsidRPr="0008481A">
        <w:softHyphen/>
        <w:t>redare. Efter begäran från Erna Lagerfors lämnade</w:t>
      </w:r>
      <w:r w:rsidRPr="0008481A">
        <w:rPr>
          <w:i/>
        </w:rPr>
        <w:t xml:space="preserve"> Stadsdels</w:t>
      </w:r>
      <w:r w:rsidRPr="0008481A">
        <w:rPr>
          <w:i/>
        </w:rPr>
        <w:softHyphen/>
        <w:t>nämnden Biskop</w:t>
      </w:r>
      <w:r w:rsidRPr="0008481A">
        <w:rPr>
          <w:i/>
        </w:rPr>
        <w:softHyphen/>
      </w:r>
      <w:r w:rsidRPr="0008481A">
        <w:rPr>
          <w:i/>
        </w:rPr>
        <w:softHyphen/>
        <w:t xml:space="preserve">gården </w:t>
      </w:r>
      <w:r w:rsidRPr="0008481A">
        <w:t>uppgifter till henne ur den barnavårdsutredning som nämnden tidi</w:t>
      </w:r>
      <w:r w:rsidRPr="0008481A">
        <w:softHyphen/>
        <w:t xml:space="preserve">gare utfört rörande familjen. </w:t>
      </w:r>
    </w:p>
    <w:p w:rsidR="003B3271" w:rsidRPr="0008481A" w:rsidRDefault="003B3271">
      <w:pPr>
        <w:pStyle w:val="Normaltindrag"/>
      </w:pPr>
      <w:r w:rsidRPr="0008481A">
        <w:t xml:space="preserve">När tingsrätten anhöll hos familjerättsbyrån om utredning enligt 6 kap. 19 § FB var barnen </w:t>
      </w:r>
      <w:r w:rsidRPr="0008481A">
        <w:t xml:space="preserve">och föräldrarna bosatta inom Lundby stadsdel i Göteborgs kommun. </w:t>
      </w:r>
    </w:p>
    <w:p w:rsidR="003B3271" w:rsidRPr="0008481A" w:rsidRDefault="003B3271">
      <w:pPr>
        <w:pStyle w:val="Normaltindrag"/>
      </w:pPr>
      <w:r w:rsidRPr="0008481A">
        <w:t>JO beslutade att på eget initiativ inleda en utredning med anledning av handläg</w:t>
      </w:r>
      <w:r w:rsidRPr="0008481A">
        <w:t>g</w:t>
      </w:r>
      <w:r w:rsidRPr="0008481A">
        <w:softHyphen/>
        <w:t>ningen av vårdnadsutredningen med inriktning på om stadsdels</w:t>
      </w:r>
      <w:r w:rsidRPr="0008481A">
        <w:softHyphen/>
        <w:t>förvalt</w:t>
      </w:r>
      <w:r w:rsidRPr="0008481A">
        <w:softHyphen/>
      </w:r>
      <w:r w:rsidRPr="0008481A">
        <w:softHyphen/>
        <w:t>ningen Biskopsgården, på grund av gällande sekretessbestämmelser, borde ha lämnat ut vissa uppgifter om familjen till vårdnadsutredaren och hur familjerättsbyråns beslut om utseende av vårdnadsutredare hade utformats.</w:t>
      </w:r>
    </w:p>
    <w:p w:rsidR="003B3271" w:rsidRPr="0008481A" w:rsidRDefault="003B3271">
      <w:pPr>
        <w:pStyle w:val="Normaltindrag"/>
      </w:pPr>
      <w:r w:rsidRPr="0008481A">
        <w:t>Stadsdelsnämnderna Biskopsgården och Backa i Göteborgs kommun anmo</w:t>
      </w:r>
      <w:r w:rsidRPr="0008481A">
        <w:softHyphen/>
        <w:t>dades att till JO inkomma med yttranden enligt följande.</w:t>
      </w:r>
    </w:p>
    <w:p w:rsidR="003B3271" w:rsidRPr="0008481A" w:rsidRDefault="003B3271">
      <w:r w:rsidRPr="0008481A">
        <w:rPr>
          <w:i/>
        </w:rPr>
        <w:br w:type="page"/>
        <w:t>Backa</w:t>
      </w:r>
      <w:r w:rsidRPr="0008481A">
        <w:t xml:space="preserve"> (familjerättsbyrån) </w:t>
      </w:r>
    </w:p>
    <w:p w:rsidR="003B3271" w:rsidRPr="0008481A" w:rsidRDefault="003B3271">
      <w:pPr>
        <w:spacing w:before="0"/>
      </w:pPr>
      <w:r w:rsidRPr="0008481A">
        <w:t>1. Vilken tjänsteställning hade den tjänsteman som förordnade Erna Lagerfors till vårdnadsutredare?</w:t>
      </w:r>
    </w:p>
    <w:p w:rsidR="003B3271" w:rsidRPr="0008481A" w:rsidRDefault="003B3271">
      <w:pPr>
        <w:spacing w:before="0"/>
      </w:pPr>
      <w:r w:rsidRPr="0008481A">
        <w:t>2. För vilken stadsdelsnämnds räkning förordnades vårdnadsutredaren?</w:t>
      </w:r>
    </w:p>
    <w:p w:rsidR="003B3271" w:rsidRPr="0008481A" w:rsidRDefault="003B3271">
      <w:pPr>
        <w:spacing w:before="240"/>
      </w:pPr>
      <w:r w:rsidRPr="0008481A">
        <w:rPr>
          <w:i/>
        </w:rPr>
        <w:t>Biskopsgården</w:t>
      </w:r>
      <w:r w:rsidRPr="0008481A">
        <w:t xml:space="preserve"> </w:t>
      </w:r>
    </w:p>
    <w:p w:rsidR="003B3271" w:rsidRPr="0008481A" w:rsidRDefault="003B3271">
      <w:r w:rsidRPr="0008481A">
        <w:t>Var det förenligt med bestämmelserna i se</w:t>
      </w:r>
      <w:r w:rsidRPr="0008481A">
        <w:t>k</w:t>
      </w:r>
      <w:r w:rsidRPr="0008481A">
        <w:softHyphen/>
        <w:t>retesslagen (1980:100) att lämna upp</w:t>
      </w:r>
      <w:r w:rsidRPr="0008481A">
        <w:softHyphen/>
        <w:t>gifter ur barnavårdsutredningen till vår</w:t>
      </w:r>
      <w:r w:rsidRPr="0008481A">
        <w:t>d</w:t>
      </w:r>
      <w:r w:rsidRPr="0008481A">
        <w:softHyphen/>
        <w:t>nadsutredaren?</w:t>
      </w:r>
    </w:p>
    <w:p w:rsidR="003B3271" w:rsidRPr="0008481A" w:rsidRDefault="003B3271">
      <w:r w:rsidRPr="0008481A">
        <w:t>Stadsdelsnämnderna anförde i sina remissvar bl.a följande.</w:t>
      </w:r>
    </w:p>
    <w:p w:rsidR="003B3271" w:rsidRPr="0008481A" w:rsidRDefault="003B3271">
      <w:pPr>
        <w:pStyle w:val="Citat"/>
        <w:spacing w:before="240"/>
        <w:rPr>
          <w:i/>
        </w:rPr>
      </w:pPr>
      <w:r w:rsidRPr="0008481A">
        <w:rPr>
          <w:i/>
        </w:rPr>
        <w:t>Backa</w:t>
      </w:r>
    </w:p>
    <w:p w:rsidR="003B3271" w:rsidRPr="0008481A" w:rsidRDefault="003B3271">
      <w:pPr>
        <w:pStyle w:val="Citat"/>
      </w:pPr>
      <w:r w:rsidRPr="0008481A">
        <w:t>Kretschef Marianne Leidenhed utsåg Erna Lagerfors till utredare i den vårdnad</w:t>
      </w:r>
      <w:r w:rsidRPr="0008481A">
        <w:t>s</w:t>
      </w:r>
      <w:r w:rsidRPr="0008481A">
        <w:softHyphen/>
        <w:t>utredning som inkom till Göteborgs tingsrätt 1997-09-01. Eftersom ärendet var aktuellt som utredningsärende på socialkontoret på Stadsdels</w:t>
      </w:r>
      <w:r w:rsidRPr="0008481A">
        <w:softHyphen/>
        <w:t>nämnden i Biskop</w:t>
      </w:r>
      <w:r w:rsidRPr="0008481A">
        <w:t>s</w:t>
      </w:r>
      <w:r w:rsidRPr="0008481A">
        <w:t>gården sedan 1997-06-16, förordnades vårdnadsutredaren för samma stadsde</w:t>
      </w:r>
      <w:r w:rsidRPr="0008481A">
        <w:t>l</w:t>
      </w:r>
      <w:r w:rsidRPr="0008481A">
        <w:t>snämnd även om barnen inte var bosatta inom denna stadsdelsnämnds an</w:t>
      </w:r>
      <w:r w:rsidRPr="0008481A">
        <w:softHyphen/>
        <w:t>svarso</w:t>
      </w:r>
      <w:r w:rsidRPr="0008481A">
        <w:t>m</w:t>
      </w:r>
      <w:r w:rsidRPr="0008481A">
        <w:t>råde.</w:t>
      </w:r>
    </w:p>
    <w:p w:rsidR="003B3271" w:rsidRPr="0008481A" w:rsidRDefault="003B3271">
      <w:pPr>
        <w:pStyle w:val="Rubrik4"/>
      </w:pPr>
      <w:r w:rsidRPr="0008481A">
        <w:t>Biskopsgården</w:t>
      </w:r>
    </w:p>
    <w:p w:rsidR="003B3271" w:rsidRPr="0008481A" w:rsidRDefault="003B3271">
      <w:pPr>
        <w:pStyle w:val="Citat"/>
      </w:pPr>
      <w:r w:rsidRPr="0008481A">
        <w:t>I Göteborgs kommun handhas socialtjänsten av 21 stadsdelsnämnder, vilka var och en inom sitt geogra</w:t>
      </w:r>
      <w:r w:rsidRPr="0008481A">
        <w:softHyphen/>
        <w:t>fiska område ansvarar för bl a socialtjänsten och övriga uppgifter som enligt lag ankommer på socialnämnd. Därav följer att dessa nämnder också har an</w:t>
      </w:r>
      <w:r w:rsidRPr="0008481A">
        <w:softHyphen/>
        <w:t xml:space="preserve">svaret för att i enlighet med bestämmelserna i </w:t>
      </w:r>
      <w:r w:rsidRPr="0008481A">
        <w:br/>
        <w:t>6 kap. 19 § föräldrabalken på uppdrag av domstol utse någon att verkställa u</w:t>
      </w:r>
      <w:r w:rsidRPr="0008481A">
        <w:t>t</w:t>
      </w:r>
      <w:r w:rsidRPr="0008481A">
        <w:t>redning i mål eller ärende om vårdnad eller umgänge.</w:t>
      </w:r>
    </w:p>
    <w:p w:rsidR="003B3271" w:rsidRPr="0008481A" w:rsidRDefault="003B3271">
      <w:pPr>
        <w:pStyle w:val="Citatindrag"/>
      </w:pPr>
      <w:r w:rsidRPr="0008481A">
        <w:t>I Göteborgs kommun ställs remisser av detta slag till Familjerättsbyrån. Denna enhet, som i administrativt hänseende lyder under Stadsdelsnämnden Backa, har till uppgift att för stad</w:t>
      </w:r>
      <w:r w:rsidRPr="0008481A">
        <w:t>sdelsnämndernas räkning handlägga olika familjerättsliga ärenden, däribland att svara för att någon utses att verkställa sådana utredningar som avses i 6 kap. 19 § föräldrabalken.</w:t>
      </w:r>
    </w:p>
    <w:p w:rsidR="003B3271" w:rsidRPr="0008481A" w:rsidRDefault="003B3271">
      <w:pPr>
        <w:pStyle w:val="Citatindrag"/>
      </w:pPr>
      <w:r w:rsidRPr="0008481A">
        <w:t>Den som får uppdraget att verkställa utredningen har självfallet behov av att från socialtjänsten inhämta uppgifter och upplysningar om de personer som remissen avser. Eftersom remisserna regelmässigt ställs till Familje</w:t>
      </w:r>
      <w:r w:rsidRPr="0008481A">
        <w:softHyphen/>
        <w:t>rätts</w:t>
      </w:r>
      <w:r w:rsidRPr="0008481A">
        <w:softHyphen/>
        <w:t>by</w:t>
      </w:r>
      <w:r w:rsidRPr="0008481A">
        <w:softHyphen/>
        <w:t>rån och inte till någon bestämd stadsdelsnämnd, framgår det inte av själva remisshandlingen vilken av kommunens stadsdelsnämnder som har det for</w:t>
      </w:r>
      <w:r w:rsidRPr="0008481A">
        <w:softHyphen/>
        <w:t>mella ansvar som följer med remissen. Det ligger emellertid i sakens natur att utredaren i första hand vänder sig till den nämnd där den familj som re</w:t>
      </w:r>
      <w:r w:rsidRPr="0008481A">
        <w:softHyphen/>
        <w:t>missen gäller är aktuell.</w:t>
      </w:r>
    </w:p>
    <w:p w:rsidR="003B3271" w:rsidRPr="0008481A" w:rsidRDefault="003B3271">
      <w:pPr>
        <w:pStyle w:val="Citatindrag"/>
      </w:pPr>
      <w:r w:rsidRPr="0008481A">
        <w:t>I detta fall var familjen i fråga vid tiden för tingsrättens remiss aktuell vid Stadsdelnämnden Biskopsgården i ett ärende om barnavård. En utredning avseende familjens barn hade i</w:t>
      </w:r>
      <w:r w:rsidRPr="0008481A">
        <w:t>nletts 1997-06-16, då familjen fortfarande var bosatt inom nämndens område. Utredningen, som inte ledde fram till nå</w:t>
      </w:r>
      <w:r w:rsidRPr="0008481A">
        <w:softHyphen/>
        <w:t>gon åtgärd från nämndens sida, avslutades 1997-10-31. Vid samma tillfälle var familjen aktuell i ärende om ekonomiskt bistånd sedan 1997-02-12. Detta ärende avslutades 1998-02-18. Den sista utbetalningen av försörj</w:t>
      </w:r>
      <w:r w:rsidRPr="0008481A">
        <w:softHyphen/>
        <w:t>ningsstöd skedde 1997-12-19. Familjen är numera sedan 1998-06-02 aktuell i ärende om försörjningsstöd vid Stadsdelsnämnden Lundby, till vars om</w:t>
      </w:r>
      <w:r w:rsidRPr="0008481A">
        <w:softHyphen/>
        <w:t>r</w:t>
      </w:r>
      <w:r w:rsidRPr="0008481A">
        <w:t>å</w:t>
      </w:r>
      <w:r w:rsidRPr="0008481A">
        <w:t>de famil</w:t>
      </w:r>
      <w:r w:rsidRPr="0008481A">
        <w:softHyphen/>
        <w:t>jen flyttade i juli 1997.</w:t>
      </w:r>
    </w:p>
    <w:p w:rsidR="003B3271" w:rsidRPr="0008481A" w:rsidRDefault="003B3271">
      <w:pPr>
        <w:pStyle w:val="Citatindrag"/>
      </w:pPr>
      <w:r w:rsidRPr="0008481A">
        <w:t>Eftersom barnavårdsutredningen avslutades utan någon åtgärd från nämn</w:t>
      </w:r>
      <w:r w:rsidRPr="0008481A">
        <w:softHyphen/>
        <w:t>dens sida var det aldrig aktuellt med någon överflyttning av ärendet till Stadsdelsnämnden Lundby. Inte heller skedde det någon överflyttning till denna nämnd av ärendet om försörjningsstöd.</w:t>
      </w:r>
    </w:p>
    <w:p w:rsidR="003B3271" w:rsidRPr="0008481A" w:rsidRDefault="003B3271">
      <w:pPr>
        <w:pStyle w:val="Citatindrag"/>
      </w:pPr>
      <w:r w:rsidRPr="0008481A">
        <w:t>Av det ovan framförda framgår att ett personärende inom socialtjänsten un</w:t>
      </w:r>
      <w:r w:rsidRPr="0008481A">
        <w:softHyphen/>
        <w:t>der viss tid kan vara aktuellt hos en nämnd, trots att den berörda personen eller familjen inte är bosatt inom nämndens område. Förklaringen till detta är att ett ärende, t ex en barnavårdsutredning, som har påbörjats medan fa</w:t>
      </w:r>
      <w:r w:rsidRPr="0008481A">
        <w:softHyphen/>
        <w:t>miljen fortfarande var bosatt inom nämndens område, som regel inte förs över till en annan nämnd när familjen flyttar till en annan stadsdel. Först när utredningen är slutförd kan det bli aktuellt med en sådan överflyttning men detta kräver i så fall att den mottagande nämnden samtyc</w:t>
      </w:r>
      <w:r w:rsidRPr="0008481A">
        <w:t>ker till det. I detta fall följer således stadsdelsnämnderna de principer för överflyttning av ären</w:t>
      </w:r>
      <w:r w:rsidRPr="0008481A">
        <w:softHyphen/>
        <w:t>den som har kommit till uttryck i 72 § socialtjänstlagen.</w:t>
      </w:r>
    </w:p>
    <w:p w:rsidR="003B3271" w:rsidRPr="0008481A" w:rsidRDefault="003B3271">
      <w:pPr>
        <w:pStyle w:val="Citatindrag"/>
      </w:pPr>
      <w:r w:rsidRPr="0008481A">
        <w:t>JO aktualiserar i sin remisspromemoria frågan huruvida det var förenligt med bestämmelserna i sekretesslagen att i februari 1998, närmare bestämt 1998-02-23 och 1998-02-25, till vårdnadsutredaren lämna uppgifter ur den barnavårdsutredning som fanns hos Stadsdelsnämnden Biskopsgården, trots att familjen sedan juli 1997 var bosatt i stadsdelen Lundby.</w:t>
      </w:r>
    </w:p>
    <w:p w:rsidR="003B3271" w:rsidRPr="0008481A" w:rsidRDefault="003B3271">
      <w:pPr>
        <w:pStyle w:val="Citatindrag"/>
      </w:pPr>
      <w:r w:rsidRPr="0008481A">
        <w:t>Enligt nämndens uppfattning bör frågan, vilken av kommunens stadsdels</w:t>
      </w:r>
      <w:r w:rsidRPr="0008481A">
        <w:softHyphen/>
        <w:t>nämnder som skall anses vara formellt ansvarig för en remiss i ett vård</w:t>
      </w:r>
      <w:r w:rsidRPr="0008481A">
        <w:softHyphen/>
        <w:t>nadsmål, avgöras utifrån den situation som råder, när remissen först aktuali</w:t>
      </w:r>
      <w:r w:rsidRPr="0008481A">
        <w:softHyphen/>
        <w:t>seras inom socialtjänsten, d v s i detta fall 1997-09-01.</w:t>
      </w:r>
    </w:p>
    <w:p w:rsidR="003B3271" w:rsidRPr="0008481A" w:rsidRDefault="003B3271">
      <w:pPr>
        <w:pStyle w:val="Citatindrag"/>
      </w:pPr>
      <w:r w:rsidRPr="0008481A">
        <w:t>Eftersom den berörda familjen faktiskt var aktuell vid Stadsdelsnämnden Biskopsgården vid denna tidpunkt, blir slutsatsen att det var denna nämnd som i formell mening hade att svara för remissen, d v s att handha uppdraget att utse någon att verkställa den begärda utredningen. Beslutet att förordna en v</w:t>
      </w:r>
      <w:r w:rsidRPr="0008481A">
        <w:t>årdnadsutredare i ärendet får således anses ha skett för Stadsdelsnämn</w:t>
      </w:r>
      <w:r w:rsidRPr="0008481A">
        <w:softHyphen/>
        <w:t>den Biskopsgårdens räkning. I konsekvens härmed får den person, som ut</w:t>
      </w:r>
      <w:r w:rsidRPr="0008481A">
        <w:softHyphen/>
        <w:t>setts att verkställa utredningen, anses göra detta på uppdrag av denna nämnd. Därav torde följa att vårdnadsutredaren, utan hinder av sekretess, kan få del av de uppgifter och upplysningar om familjen som finns hos nämnden och som är av betydelse för utredningen.</w:t>
      </w:r>
    </w:p>
    <w:p w:rsidR="003B3271" w:rsidRPr="0008481A" w:rsidRDefault="003B3271">
      <w:pPr>
        <w:pStyle w:val="Citatindrag"/>
      </w:pPr>
      <w:r w:rsidRPr="0008481A">
        <w:t>Att familjen varken var bosatt inom nämndens område eller aktuell i något ärende vid nämnden när uppgifter</w:t>
      </w:r>
      <w:r w:rsidRPr="0008481A">
        <w:t>na lämnades ut till vårdnadsutredaren sak</w:t>
      </w:r>
      <w:r w:rsidRPr="0008481A">
        <w:softHyphen/>
        <w:t>nar enligt nämndens uppfattning betydelse. Även om utredningen inte sköt</w:t>
      </w:r>
      <w:r w:rsidRPr="0008481A">
        <w:softHyphen/>
        <w:t>tes av någon handläggare som var direkt knuten till Stadsdelsnämnden Bi</w:t>
      </w:r>
      <w:r w:rsidRPr="0008481A">
        <w:t>s</w:t>
      </w:r>
      <w:r w:rsidRPr="0008481A">
        <w:t>kops</w:t>
      </w:r>
      <w:r w:rsidRPr="0008481A">
        <w:softHyphen/>
        <w:t>gården, får denna nämnd ändå fortfarande anses ha haft det formella ansvaret för remissen när uppgifterna lämnades.</w:t>
      </w:r>
    </w:p>
    <w:p w:rsidR="003B3271" w:rsidRPr="0008481A" w:rsidRDefault="003B3271">
      <w:pPr>
        <w:pStyle w:val="Citatindrag"/>
      </w:pPr>
      <w:r w:rsidRPr="0008481A">
        <w:t>Nämnden är väl medveten om att hanteringen av domstolsremisser om vård</w:t>
      </w:r>
      <w:r w:rsidRPr="0008481A">
        <w:softHyphen/>
        <w:t>nad och umgänge i en kommun, som i likhet med Göteborg har hel</w:t>
      </w:r>
      <w:r w:rsidRPr="0008481A">
        <w:softHyphen/>
        <w:t>täckande stadsdelsnämnder men samtidigt en central handläggning av de akt</w:t>
      </w:r>
      <w:r w:rsidRPr="0008481A">
        <w:t>u</w:t>
      </w:r>
      <w:r w:rsidRPr="0008481A">
        <w:t>ella re</w:t>
      </w:r>
      <w:r w:rsidRPr="0008481A">
        <w:softHyphen/>
        <w:t>misserna, aktualiserar många besvärliga problem när det gäller vår</w:t>
      </w:r>
      <w:r w:rsidRPr="0008481A">
        <w:t>d</w:t>
      </w:r>
      <w:r w:rsidRPr="0008481A">
        <w:t>nadsut</w:t>
      </w:r>
      <w:r w:rsidRPr="0008481A">
        <w:softHyphen/>
        <w:t>redarens möjligheter att få tillgång till uppgifter från kommunens s</w:t>
      </w:r>
      <w:r w:rsidRPr="0008481A">
        <w:t>o</w:t>
      </w:r>
      <w:r w:rsidRPr="0008481A">
        <w:t>cial</w:t>
      </w:r>
      <w:r w:rsidRPr="0008481A">
        <w:softHyphen/>
        <w:t>tjänst. Det är därför av mycket stort intresse att det blir klarlagt, huru</w:t>
      </w:r>
      <w:r w:rsidRPr="0008481A">
        <w:softHyphen/>
        <w:t>vida den hantering av remisser som här har redovisats är förenlig med de sekre</w:t>
      </w:r>
      <w:r w:rsidRPr="0008481A">
        <w:softHyphen/>
        <w:t>tessregler som gäller inom socialtjänsten.</w:t>
      </w:r>
    </w:p>
    <w:p w:rsidR="003B3271" w:rsidRPr="0008481A" w:rsidRDefault="003B3271">
      <w:pPr>
        <w:pStyle w:val="Citatindrag"/>
      </w:pPr>
      <w:r w:rsidRPr="0008481A">
        <w:t>En fråga som också be</w:t>
      </w:r>
      <w:r w:rsidRPr="0008481A">
        <w:t>höver klarläggas är huruvida uppgifter kan lämnas till en vårdnadsutredare utan hinder av sekretess i det fall den person eller den familj som berörs av utredningen vid tiden för domstolens remiss inte längre är men väl tidigare har varit aktuell inom socialtjänsten vid en nämnd inom kommunen. Kan nämnden i ett sådant fall lämna ut uppgifter om de berörda personerna till en vårdnadsutredare, även om familjen är bosatt inom en annan nämnds område.</w:t>
      </w:r>
    </w:p>
    <w:p w:rsidR="003B3271" w:rsidRPr="0008481A" w:rsidRDefault="003B3271">
      <w:r w:rsidRPr="0008481A">
        <w:t>Vid beslutet hade JO tillgång till bl.a. vissa handlingar rör</w:t>
      </w:r>
      <w:r w:rsidRPr="0008481A">
        <w:t>ande nämnd</w:t>
      </w:r>
      <w:r w:rsidRPr="0008481A">
        <w:softHyphen/>
        <w:t xml:space="preserve">organisationen i Göteborgs kommun. </w:t>
      </w:r>
    </w:p>
    <w:p w:rsidR="003B3271" w:rsidRPr="0008481A" w:rsidRDefault="003B3271">
      <w:r w:rsidRPr="0008481A">
        <w:rPr>
          <w:i/>
        </w:rPr>
        <w:t>JO André</w:t>
      </w:r>
      <w:r w:rsidRPr="0008481A">
        <w:t xml:space="preserve"> anförde i ett beslut den 3 november 1999 följande. </w:t>
      </w:r>
    </w:p>
    <w:p w:rsidR="003B3271" w:rsidRPr="0008481A" w:rsidRDefault="003B3271">
      <w:pPr>
        <w:pStyle w:val="Normaltindrag"/>
      </w:pPr>
      <w:r w:rsidRPr="0008481A">
        <w:t>Enligt 6 kap. 19 § FB skall rätten se till att frågor angående vård</w:t>
      </w:r>
      <w:r w:rsidRPr="0008481A">
        <w:softHyphen/>
        <w:t>nad, boende och umgänge blir tillbörligt utredda. Innan rätten avgör ett sådant mål eller ärende skall socia</w:t>
      </w:r>
      <w:r w:rsidRPr="0008481A">
        <w:t>l</w:t>
      </w:r>
      <w:r w:rsidRPr="0008481A">
        <w:softHyphen/>
        <w:t>nämnden ges tillfälle att lämna upplysningar. Om det be</w:t>
      </w:r>
      <w:r w:rsidRPr="0008481A">
        <w:softHyphen/>
        <w:t>hövs ytterligare utredning får rätten enligt 6 kap. 19 § tredje stycket FB uppdra åt socialnämnden eller något annan organ att utse någon att verkställa den.</w:t>
      </w:r>
    </w:p>
    <w:p w:rsidR="003B3271" w:rsidRPr="0008481A" w:rsidRDefault="003B3271">
      <w:pPr>
        <w:pStyle w:val="Normaltindrag"/>
      </w:pPr>
      <w:r w:rsidRPr="0008481A">
        <w:t>Nämndens val av utredare skall komma till u</w:t>
      </w:r>
      <w:r w:rsidRPr="0008481A">
        <w:t>t</w:t>
      </w:r>
      <w:r w:rsidRPr="0008481A">
        <w:softHyphen/>
        <w:t xml:space="preserve">tryck i ett beslut. Beslutet kan ges en ganska enkel utformning. Det måste dock framgå på ett tydligt sätt vem som utses till utredare, när beslutet har fattats och vem som har fattat beslutet. </w:t>
      </w:r>
    </w:p>
    <w:p w:rsidR="003B3271" w:rsidRPr="0008481A" w:rsidRDefault="003B3271">
      <w:pPr>
        <w:pStyle w:val="Normaltindrag"/>
      </w:pPr>
      <w:r w:rsidRPr="0008481A">
        <w:t>Socialnämndens uppgift enligt 6 kap. 19 § tredje stycket FB ankommer i Göt</w:t>
      </w:r>
      <w:r w:rsidRPr="0008481A">
        <w:t>e</w:t>
      </w:r>
      <w:r w:rsidRPr="0008481A">
        <w:t>borgs kommun på stadsdelsnämnderna. Stadsdelsnämnderna har delege</w:t>
      </w:r>
      <w:r w:rsidRPr="0008481A">
        <w:softHyphen/>
        <w:t>rat up</w:t>
      </w:r>
      <w:r w:rsidRPr="0008481A">
        <w:t>p</w:t>
      </w:r>
      <w:r w:rsidRPr="0008481A">
        <w:t>giften att utse utredare till kretschef vid familjerättsbyrån. Om en begäran att utse någon att verkställa en vårdnads- eller umgängesrättsut</w:t>
      </w:r>
      <w:r w:rsidRPr="0008481A">
        <w:softHyphen/>
        <w:t>red</w:t>
      </w:r>
      <w:r w:rsidRPr="0008481A">
        <w:softHyphen/>
        <w:t>ning kommer in till en stadsdelsnämnd skall framställningen således översändas till familjerättsbyrån. Det förekommer emellertid – som i förevarande fall – att Göteborgs tingsrätt sän</w:t>
      </w:r>
      <w:r w:rsidRPr="0008481A">
        <w:softHyphen/>
        <w:t>der framställningen direkt till familjerättsbyrån.</w:t>
      </w:r>
    </w:p>
    <w:p w:rsidR="003B3271" w:rsidRPr="0008481A" w:rsidRDefault="003B3271">
      <w:pPr>
        <w:pStyle w:val="Normaltindrag"/>
      </w:pPr>
      <w:r w:rsidRPr="0008481A">
        <w:t>Vid familjerättsbyrån antecknas den person som utses till</w:t>
      </w:r>
      <w:r w:rsidRPr="0008481A">
        <w:t xml:space="preserve"> utredare på ett särskilt personblad. På personbladet finns bl.a. följande rubriker.</w:t>
      </w:r>
    </w:p>
    <w:p w:rsidR="003B3271" w:rsidRPr="0008481A" w:rsidRDefault="003B3271">
      <w:pPr>
        <w:spacing w:before="0"/>
      </w:pPr>
      <w:r w:rsidRPr="0008481A">
        <w:t>– Ärendenr</w:t>
      </w:r>
    </w:p>
    <w:p w:rsidR="003B3271" w:rsidRPr="0008481A" w:rsidRDefault="003B3271">
      <w:pPr>
        <w:spacing w:before="0"/>
      </w:pPr>
      <w:r w:rsidRPr="0008481A">
        <w:t>– Stadsdelsnämnd</w:t>
      </w:r>
    </w:p>
    <w:p w:rsidR="003B3271" w:rsidRPr="0008481A" w:rsidRDefault="003B3271">
      <w:pPr>
        <w:spacing w:before="0"/>
      </w:pPr>
      <w:r w:rsidRPr="0008481A">
        <w:t>– Namn (avser utredarens namn [JO:s anm])</w:t>
      </w:r>
    </w:p>
    <w:p w:rsidR="003B3271" w:rsidRPr="0008481A" w:rsidRDefault="003B3271">
      <w:pPr>
        <w:spacing w:before="0"/>
      </w:pPr>
      <w:r w:rsidRPr="0008481A">
        <w:t>– Barnets namn och personnummer</w:t>
      </w:r>
    </w:p>
    <w:p w:rsidR="003B3271" w:rsidRPr="0008481A" w:rsidRDefault="003B3271">
      <w:pPr>
        <w:spacing w:before="0"/>
      </w:pPr>
      <w:r w:rsidRPr="0008481A">
        <w:t>– Föräldrarnas namn och personnummer</w:t>
      </w:r>
    </w:p>
    <w:p w:rsidR="003B3271" w:rsidRPr="0008481A" w:rsidRDefault="003B3271">
      <w:pPr>
        <w:pStyle w:val="Citat"/>
        <w:spacing w:before="0" w:line="245" w:lineRule="exact"/>
      </w:pPr>
      <w:r w:rsidRPr="0008481A">
        <w:t>– Ärendetyp</w:t>
      </w:r>
    </w:p>
    <w:p w:rsidR="003B3271" w:rsidRPr="0008481A" w:rsidRDefault="003B3271">
      <w:r w:rsidRPr="0008481A">
        <w:t>På personbladet finns också utrymme för anteckningar om när en framställan om en viss åtgärd – ärendetyp – inkom och när ärendetypen avslutades.</w:t>
      </w:r>
    </w:p>
    <w:p w:rsidR="003B3271" w:rsidRPr="0008481A" w:rsidRDefault="003B3271">
      <w:pPr>
        <w:pStyle w:val="Normaltindrag"/>
      </w:pPr>
      <w:r w:rsidRPr="0008481A">
        <w:t>I förevarande fall begärde tingsrätten att familjerättsbyrån skulle utse någon att verkställa en vårdnadsutredning rörande M.K:s och V.K:s barn. På ett personblad i familjerättsbyråns ärende, under rubriken ”namn”, finns antecknat: Erna Lage</w:t>
      </w:r>
      <w:r w:rsidRPr="0008481A">
        <w:t>r</w:t>
      </w:r>
      <w:r w:rsidRPr="0008481A">
        <w:t>fors. Det har dock inte angivits vilken tjänsteman som fattat beslutet att utse henne till utredare. Under rubriken Stadsdelsnämnd saknas anteckning. Det fram</w:t>
      </w:r>
      <w:r w:rsidRPr="0008481A">
        <w:softHyphen/>
      </w:r>
      <w:r w:rsidRPr="0008481A">
        <w:softHyphen/>
        <w:t>går såle</w:t>
      </w:r>
      <w:r w:rsidRPr="0008481A">
        <w:softHyphen/>
        <w:t>des inte för vilken stadsdelsnämnds räkning som familjerättsb</w:t>
      </w:r>
      <w:r w:rsidRPr="0008481A">
        <w:t>y</w:t>
      </w:r>
      <w:r w:rsidRPr="0008481A">
        <w:t>rån utsett Erna Lagerfors till vårdnadsutredare. Detta är inte tillfredsställande. Det får självklart inte råda någon tvekan om vilken nämnd som ytterst svarar för ett beslut om utse</w:t>
      </w:r>
      <w:r w:rsidRPr="0008481A">
        <w:softHyphen/>
        <w:t>ende av en vård</w:t>
      </w:r>
      <w:r w:rsidRPr="0008481A">
        <w:softHyphen/>
        <w:t>nadsutredare. Oklarheter på denna punkt kan leda till pro</w:t>
      </w:r>
      <w:r w:rsidRPr="0008481A">
        <w:softHyphen/>
        <w:t>blem i olika situa</w:t>
      </w:r>
      <w:r w:rsidRPr="0008481A">
        <w:softHyphen/>
        <w:t>tion</w:t>
      </w:r>
      <w:r w:rsidRPr="0008481A">
        <w:t>er, t.ex. om det blir aktuellt för nämnden att fatta beslut om att entlediga utredaren p.g.a. jäv. Då måste man naturligtvis veta vilken nämnd som svarade för det första beslutet. Av större praktisk betydelse är dock de kon</w:t>
      </w:r>
      <w:r w:rsidRPr="0008481A">
        <w:softHyphen/>
        <w:t>sekvenser som oklarheter i aktuellt hänseende kan få när det gäller stadsdels</w:t>
      </w:r>
      <w:r w:rsidRPr="0008481A">
        <w:softHyphen/>
        <w:t>nämnd</w:t>
      </w:r>
      <w:r w:rsidRPr="0008481A">
        <w:softHyphen/>
        <w:t xml:space="preserve">ernas tillämpning av sekretessbestämmelserna.  </w:t>
      </w:r>
    </w:p>
    <w:p w:rsidR="003B3271" w:rsidRPr="0008481A" w:rsidRDefault="003B3271">
      <w:pPr>
        <w:pStyle w:val="Normaltindrag"/>
      </w:pPr>
      <w:r w:rsidRPr="0008481A">
        <w:t>Enligt 7 kap. 4 § sekretesslagen (1980:100) gäller som huvudregel sekre</w:t>
      </w:r>
      <w:r w:rsidRPr="0008481A">
        <w:softHyphen/>
        <w:t>tess inom socialtjänsten för uppgift om enskilds personliga förhållanden. Gäller enligt se</w:t>
      </w:r>
      <w:r w:rsidRPr="0008481A">
        <w:t>k</w:t>
      </w:r>
      <w:r w:rsidRPr="0008481A">
        <w:softHyphen/>
        <w:t>retesslagen sekretess för uppgift som förekommer hos viss myndighet, får up</w:t>
      </w:r>
      <w:r w:rsidRPr="0008481A">
        <w:t>p</w:t>
      </w:r>
      <w:r w:rsidRPr="0008481A">
        <w:softHyphen/>
        <w:t>giften enligt 1 kap. 3 § sekretesslagen inte röjas för annan myndighet i andra fall än som anges i sekretesslagen eller i lag eller annan förordning till vilken sekr</w:t>
      </w:r>
      <w:r w:rsidRPr="0008481A">
        <w:t>e</w:t>
      </w:r>
      <w:r w:rsidRPr="0008481A">
        <w:softHyphen/>
        <w:t xml:space="preserve">tesslagen hänvisar. </w:t>
      </w:r>
    </w:p>
    <w:p w:rsidR="003B3271" w:rsidRPr="0008481A" w:rsidRDefault="003B3271">
      <w:pPr>
        <w:pStyle w:val="Normaltindrag"/>
      </w:pPr>
      <w:r w:rsidRPr="0008481A">
        <w:t>En stadsdelsnämnd är i förhållande till en annan stadsdelsnämnd att betrakta som en självständig myndighet. Härav följer att en stadsdelsnämnd inte utan v</w:t>
      </w:r>
      <w:r w:rsidRPr="0008481A">
        <w:t xml:space="preserve">idare kan lämna ut en uppgift som omfattas av sekretess enligt </w:t>
      </w:r>
      <w:r w:rsidRPr="0008481A">
        <w:br/>
        <w:t>7 kap. 4 § sekretesslagen till en annan stadsdelsnämnd. I vissa fall följer av lag att en myndighet är skyldig att lämna ut en uppgift som normalt sett är hemlig. Som exempel kan nämnas 71 § fjärde stycket socialtjänstlagen (1980:620). Där anges att vissa myndigheter, be</w:t>
      </w:r>
      <w:r w:rsidRPr="0008481A">
        <w:softHyphen/>
        <w:t>fattningshavare och yrke</w:t>
      </w:r>
      <w:r w:rsidRPr="0008481A">
        <w:t>s</w:t>
      </w:r>
      <w:r w:rsidRPr="0008481A">
        <w:softHyphen/>
        <w:t>verksamma är skyldiga att lämna socialnämnden alla uppgifter som kan vara av betydelse för en underårigs behov av skydd. Som ytter</w:t>
      </w:r>
      <w:r w:rsidRPr="0008481A">
        <w:softHyphen/>
        <w:t xml:space="preserve">ligare exempel kan </w:t>
      </w:r>
      <w:r w:rsidRPr="0008481A">
        <w:t>nämnas en socialnämnds skyldighet att på begäran lämna ut vissa uppgifter till en annan socialnämnd som har att pröva ett avtal om barns bo</w:t>
      </w:r>
      <w:r w:rsidRPr="0008481A">
        <w:softHyphen/>
        <w:t>ende m.m. (se 6 kap. 17 a § FB). Det finns emellertid inte någon motsvarande re</w:t>
      </w:r>
      <w:r w:rsidRPr="0008481A">
        <w:softHyphen/>
        <w:t>gel som gäller utlämnande av uppgifter till den som handlägger en vår</w:t>
      </w:r>
      <w:r w:rsidRPr="0008481A">
        <w:t>d</w:t>
      </w:r>
      <w:r w:rsidRPr="0008481A">
        <w:softHyphen/>
        <w:t>nadsutred</w:t>
      </w:r>
      <w:r w:rsidRPr="0008481A">
        <w:softHyphen/>
        <w:t>ning. För att en stadsdelsnämnd i ett sådant fall skall kunna lämna ut uppgifter som o</w:t>
      </w:r>
      <w:r w:rsidRPr="0008481A">
        <w:t>m</w:t>
      </w:r>
      <w:r w:rsidRPr="0008481A">
        <w:softHyphen/>
        <w:t>fattas av den s.k. socialtjänstsekretessen till en annan stadsdelsnämnd måste därför i princip de berörda lämna sitt samtyc</w:t>
      </w:r>
      <w:r w:rsidRPr="0008481A">
        <w:t xml:space="preserve">ke därtill. </w:t>
      </w:r>
    </w:p>
    <w:p w:rsidR="003B3271" w:rsidRPr="0008481A" w:rsidRDefault="003B3271">
      <w:pPr>
        <w:pStyle w:val="Normaltindrag"/>
      </w:pPr>
      <w:r w:rsidRPr="0008481A">
        <w:t>Inom en stadsdelsnämnd föreligger som regel inte sekretess mellan social</w:t>
      </w:r>
      <w:r w:rsidRPr="0008481A">
        <w:softHyphen/>
        <w:t>tjänstens olika enheter. Detta innebär att om en tjänsteman vid förvaltningen har utsetts av den ”egna” nämnden att utföra en vårdnadsutred</w:t>
      </w:r>
      <w:r w:rsidRPr="0008481A">
        <w:softHyphen/>
        <w:t>ning, har han möjlighet att ta del av handlingar i andra socialtjänstärenden hos nämnden. En utredare, som inte är knuten till nämnden, saknar en sådan möjlighet. Om en nämnd utser en utredare vid en annan nämnd, får utredaren anses utföra uppdraget för den nämnd som har utsett honom. I sådant fall är utredaren således i princip förhindrad att ta del av sekretessbelagd</w:t>
      </w:r>
      <w:r w:rsidRPr="0008481A">
        <w:t>a han</w:t>
      </w:r>
      <w:r w:rsidRPr="0008481A">
        <w:t>d</w:t>
      </w:r>
      <w:r w:rsidRPr="0008481A">
        <w:t xml:space="preserve">lingar hos den förvaltning som han normalt arbetar vid. </w:t>
      </w:r>
    </w:p>
    <w:p w:rsidR="003B3271" w:rsidRPr="0008481A" w:rsidRDefault="003B3271">
      <w:pPr>
        <w:pStyle w:val="Normaltindrag"/>
      </w:pPr>
      <w:r w:rsidRPr="0008481A">
        <w:t>Eftersom barnen och båda föräldrarna bodde inom Lundby stadsdel hade det legat nära till hands anta att det var den nämnden som skulle svara för utseende av vård</w:t>
      </w:r>
      <w:r w:rsidRPr="0008481A">
        <w:softHyphen/>
        <w:t>nadsutredare. Även om det inte framgår av beslutet att utse vårdnadsutredare sy</w:t>
      </w:r>
      <w:r w:rsidRPr="0008481A">
        <w:softHyphen/>
        <w:t>nes dock både familjerättsbyrån och Biskopsgårdens stadsdelsnämnd anse att det var Biskopsgården som ansvarade för utred</w:t>
      </w:r>
      <w:r w:rsidRPr="0008481A">
        <w:softHyphen/>
        <w:t>ningen. Det har därmed inte funnits något hinder för utredaren, som arbetade inom socialtjänsten vid Biskopsgårdens stadsdelsförvaltning, att ta del av uppgifter som fanns vid den myndigheten rö</w:t>
      </w:r>
      <w:r w:rsidRPr="0008481A">
        <w:softHyphen/>
        <w:t xml:space="preserve">rande familjen. </w:t>
      </w:r>
    </w:p>
    <w:p w:rsidR="003B3271" w:rsidRPr="0008481A" w:rsidRDefault="003B3271">
      <w:pPr>
        <w:pStyle w:val="Normaltindrag"/>
      </w:pPr>
      <w:r w:rsidRPr="0008481A">
        <w:t>Orsaken till att ansvaret för vårdnadsutredningen lades på Biskopsgårdens stads</w:t>
      </w:r>
      <w:r w:rsidRPr="0008481A">
        <w:softHyphen/>
        <w:t>delsnämnd var att familjen hade varit aktuell där tidigare. Omständig</w:t>
      </w:r>
      <w:r w:rsidRPr="0008481A">
        <w:softHyphen/>
        <w:t>heterna är inte sådana att jag finner skäl att närmare uttala mig i den delen. Däremot kan jag på grundval av utredningen här konstatera att det inte synes finnas några fasta riktlinjer inom kommunen om vilken nämnd som skall svara för en vårdnadsut</w:t>
      </w:r>
      <w:r w:rsidRPr="0008481A">
        <w:softHyphen/>
        <w:t>redning. Yttrandena ger närmast vid handen att den som på delegation fattar be</w:t>
      </w:r>
      <w:r w:rsidRPr="0008481A">
        <w:softHyphen/>
        <w:t>slut om vem som skall förordnas till vårdnads</w:t>
      </w:r>
      <w:r w:rsidRPr="0008481A">
        <w:softHyphen/>
        <w:t xml:space="preserve">utredare från fall till fall kan avgöra vilken nämnd som formellt </w:t>
      </w:r>
      <w:r w:rsidRPr="0008481A">
        <w:t xml:space="preserve">skall svara för beslutet. Lämpligheten av en så löslig ordning kan ifrågasättas. Det ankommer dock närmast på de ansvariga nämnderna att ta ställning till saken. </w:t>
      </w:r>
    </w:p>
    <w:p w:rsidR="003B3271" w:rsidRPr="0008481A" w:rsidRDefault="003B3271">
      <w:pPr>
        <w:pStyle w:val="Normaltindrag"/>
      </w:pPr>
      <w:r w:rsidRPr="0008481A">
        <w:t>Jag översänder en kopia av detta beslut för kännedom till Länsstyrelsen i Västra Götalands län.</w:t>
      </w:r>
    </w:p>
    <w:p w:rsidR="003B3271" w:rsidRPr="0008481A" w:rsidRDefault="003B3271">
      <w:pPr>
        <w:pStyle w:val="Rubrik2"/>
        <w:spacing w:before="0"/>
      </w:pPr>
      <w:r w:rsidRPr="0008481A">
        <w:t>En tjänsteman vid en socialförvaltning har förtydligat ett läkarintyg efter kontakt med den läkare som utfärdat intyget. Tjänstemannen borde därvid ha gjort en notering om bl.a. vem som hade gjort tillägget</w:t>
      </w:r>
    </w:p>
    <w:p w:rsidR="003B3271" w:rsidRPr="0008481A" w:rsidRDefault="003B3271">
      <w:r w:rsidRPr="0008481A">
        <w:t>(Dnr 3389-1999)</w:t>
      </w:r>
    </w:p>
    <w:p w:rsidR="003B3271" w:rsidRPr="0008481A" w:rsidRDefault="003B3271">
      <w:r w:rsidRPr="0008481A">
        <w:t>I en anmälan till JO klagade B.P. på hur Socialnämnden i Luleå kommun handlagt ett barnavårdsärende. Hon ifrågasatte därvid bl.a. om en tjänsteman vid social</w:t>
      </w:r>
      <w:r w:rsidRPr="0008481A">
        <w:softHyphen/>
        <w:t>förvalt</w:t>
      </w:r>
      <w:r w:rsidRPr="0008481A">
        <w:softHyphen/>
        <w:t>ningen ägt göra ett tillägg på ett läkarintyg som hade utfär</w:t>
      </w:r>
      <w:r w:rsidRPr="0008481A">
        <w:softHyphen/>
        <w:t>dats den 20 augusti 1998 av överläkaren Hans Ekenberg vid barnmot</w:t>
      </w:r>
      <w:r w:rsidRPr="0008481A">
        <w:softHyphen/>
        <w:t xml:space="preserve">tagningen, Luleå sjukhus. </w:t>
      </w:r>
    </w:p>
    <w:p w:rsidR="003B3271" w:rsidRPr="0008481A" w:rsidRDefault="003B3271">
      <w:pPr>
        <w:pStyle w:val="Normaltindrag"/>
      </w:pPr>
      <w:r w:rsidRPr="0008481A">
        <w:t>JO tog del av det aktuella läkarintyget. I intyget, som hade utfärdats på begäran av B.P., anfördes, såvitt nu är av intresse, följande.</w:t>
      </w:r>
    </w:p>
    <w:p w:rsidR="003B3271" w:rsidRPr="0008481A" w:rsidRDefault="003B3271">
      <w:pPr>
        <w:pStyle w:val="Rubrik5"/>
      </w:pPr>
      <w:r w:rsidRPr="0008481A">
        <w:t>Uppgiven skadehändelse</w:t>
      </w:r>
    </w:p>
    <w:p w:rsidR="003B3271" w:rsidRPr="0008481A" w:rsidRDefault="003B3271">
      <w:pPr>
        <w:pStyle w:val="Citat"/>
      </w:pPr>
      <w:r w:rsidRPr="0008481A">
        <w:t>Biten av modern i höger överarm cirka 8 juli varvid han fick en missfärgning och förhårdnad som nu försvunnit.</w:t>
      </w:r>
    </w:p>
    <w:p w:rsidR="003B3271" w:rsidRPr="0008481A" w:rsidRDefault="003B3271">
      <w:pPr>
        <w:pStyle w:val="Rubrik5"/>
      </w:pPr>
      <w:r w:rsidRPr="0008481A">
        <w:t>Bedömning</w:t>
      </w:r>
    </w:p>
    <w:p w:rsidR="003B3271" w:rsidRPr="0008481A" w:rsidRDefault="003B3271">
      <w:r w:rsidRPr="0008481A">
        <w:t xml:space="preserve">– – – </w:t>
      </w:r>
    </w:p>
    <w:p w:rsidR="003B3271" w:rsidRPr="0008481A" w:rsidRDefault="003B3271">
      <w:pPr>
        <w:pStyle w:val="Citat"/>
      </w:pPr>
      <w:r w:rsidRPr="0008481A">
        <w:t>Jag har träffat pojken och mamman vid några tillfällen i samband med utredning – – – bl.a. Första gången 95-08-01. Jag har inte haft anledning att misstänka att pojken har varit utsatt för fysisk misshandel.</w:t>
      </w:r>
    </w:p>
    <w:p w:rsidR="003B3271" w:rsidRPr="0008481A" w:rsidRDefault="003B3271">
      <w:r w:rsidRPr="0008481A">
        <w:t>I direkt anslutning till det sist återgivna stycket hade för hand lagts till följande text.</w:t>
      </w:r>
    </w:p>
    <w:p w:rsidR="003B3271" w:rsidRPr="0008481A" w:rsidRDefault="003B3271">
      <w:pPr>
        <w:pStyle w:val="Citat"/>
      </w:pPr>
      <w:r w:rsidRPr="0008481A">
        <w:t xml:space="preserve">”tidigare, utöver det nu aktuella bitmärket.”  </w:t>
      </w:r>
    </w:p>
    <w:p w:rsidR="003B3271" w:rsidRPr="0008481A" w:rsidRDefault="003B3271">
      <w:r w:rsidRPr="0008481A">
        <w:t>Upplysningar inhämtades per telefon från överläkaren Hans Ekenberg, barn- och ungdomsmedicinska mottagningen vid Luleå sjukhus. Hans Ekenberg uppgav att en tjänsteman vid socialförvaltningen i Luleå kommun fått hans tillåtelse att göra det aktuella tillägget och förtyd</w:t>
      </w:r>
      <w:r w:rsidRPr="0008481A">
        <w:softHyphen/>
        <w:t xml:space="preserve">ligandet.  </w:t>
      </w:r>
    </w:p>
    <w:p w:rsidR="003B3271" w:rsidRPr="0008481A" w:rsidRDefault="003B3271">
      <w:pPr>
        <w:pStyle w:val="Normaltindrag"/>
      </w:pPr>
      <w:r w:rsidRPr="0008481A">
        <w:t>Socialnämnden i Luleå kommun anmodades att inkomma med utredning och yttrande angående det gjorda tillägget i läkarintyget. Social</w:t>
      </w:r>
      <w:r w:rsidRPr="0008481A">
        <w:softHyphen/>
        <w:t>nämndens arbetsutskott avgav ett remissvar med huvud</w:t>
      </w:r>
      <w:r w:rsidRPr="0008481A">
        <w:softHyphen/>
        <w:t xml:space="preserve">sakligen följande innehåll. </w:t>
      </w:r>
    </w:p>
    <w:p w:rsidR="003B3271" w:rsidRPr="0008481A" w:rsidRDefault="003B3271">
      <w:pPr>
        <w:pStyle w:val="Citat"/>
      </w:pPr>
      <w:r w:rsidRPr="0008481A">
        <w:t>I samband med utredning som inleddes 1998-07-17 med anledning av miss</w:t>
      </w:r>
      <w:r w:rsidRPr="0008481A">
        <w:softHyphen/>
        <w:t>tänkt misshandel av barnen /…./ inkom B.P. med ett läkar</w:t>
      </w:r>
      <w:r w:rsidRPr="0008481A">
        <w:softHyphen/>
        <w:t>intyg.</w:t>
      </w:r>
    </w:p>
    <w:p w:rsidR="003B3271" w:rsidRPr="0008481A" w:rsidRDefault="003B3271">
      <w:pPr>
        <w:rPr>
          <w:sz w:val="22"/>
        </w:rPr>
      </w:pPr>
      <w:r w:rsidRPr="0008481A">
        <w:rPr>
          <w:sz w:val="22"/>
        </w:rPr>
        <w:t xml:space="preserve">– – – </w:t>
      </w:r>
    </w:p>
    <w:p w:rsidR="003B3271" w:rsidRPr="0008481A" w:rsidRDefault="003B3271">
      <w:pPr>
        <w:pStyle w:val="Citat"/>
      </w:pPr>
      <w:r w:rsidRPr="0008481A">
        <w:t>Efter samråd med handledande socialsekreterare på Barn- och familjesek</w:t>
      </w:r>
      <w:r w:rsidRPr="0008481A">
        <w:softHyphen/>
        <w:t>tionen Lena Lindahl ringde Elisabeth Börjesson 1998-09-02 till Hans Ekenberg som är läkare på barnmottagningen, Luleå sjukhus för att höra hans inställning till detta att /…./ B.P. hade bitit so</w:t>
      </w:r>
      <w:r w:rsidRPr="0008481A">
        <w:softHyphen/>
        <w:t>nen. Detta då läkarintyget inte klargjorde huruvida Hans Ekenberg ansåg att detta att bita ett barn var att anse som barnmisshandel eller inte. Hans Ekenberg ville då vid samtalet med Elisabeth Börjesson att det skulle för</w:t>
      </w:r>
      <w:r w:rsidRPr="0008481A">
        <w:softHyphen/>
        <w:t xml:space="preserve">tydligas att han ansåg att bettet var att betrakta som barnmisshandel men att han utöver det </w:t>
      </w:r>
      <w:r w:rsidRPr="0008481A">
        <w:t>aktuella bitmärket inte haft anledning att misstänka att miss</w:t>
      </w:r>
      <w:r w:rsidRPr="0008481A">
        <w:softHyphen/>
        <w:t>handel mot /.…/ förekommit. Därav önskade han att det skulle göras ett tillägg till intyget vid före</w:t>
      </w:r>
      <w:r w:rsidRPr="0008481A">
        <w:softHyphen/>
        <w:t>dragning av det /..../. Tillägget var följaktligen ett starkt önskemål från läkaren i syfte att för</w:t>
      </w:r>
      <w:r w:rsidRPr="0008481A">
        <w:softHyphen/>
        <w:t>tydliga bedömningen av händelsen med bettet från modern i ljuset av tidigare förekommande kontakter med patienten.</w:t>
      </w:r>
    </w:p>
    <w:p w:rsidR="003B3271" w:rsidRPr="0008481A" w:rsidRDefault="003B3271">
      <w:r w:rsidRPr="0008481A">
        <w:t xml:space="preserve">B.P. yttrade sig över remissvaret. </w:t>
      </w:r>
    </w:p>
    <w:p w:rsidR="003B3271" w:rsidRPr="0008481A" w:rsidRDefault="003B3271">
      <w:r w:rsidRPr="0008481A">
        <w:rPr>
          <w:i/>
        </w:rPr>
        <w:t>JO André</w:t>
      </w:r>
      <w:r w:rsidRPr="0008481A">
        <w:t xml:space="preserve"> anförde i ett beslut den 31 januari 2000 följande. </w:t>
      </w:r>
    </w:p>
    <w:p w:rsidR="003B3271" w:rsidRPr="0008481A" w:rsidRDefault="003B3271">
      <w:r w:rsidRPr="0008481A">
        <w:t>Av utredningen hos JO framgår att Hans Ekenberg hade lämnat sitt medgivande till att läkarintyget kompletterades i enlighet med vad han upp</w:t>
      </w:r>
      <w:r w:rsidRPr="0008481A">
        <w:softHyphen/>
        <w:t>gav vid telefonsamtalet med Elisabeth Börjesson. Av den kopia av läkar</w:t>
      </w:r>
      <w:r w:rsidRPr="0008481A">
        <w:softHyphen/>
        <w:t>intyget som B.P. skickade med sin anmälan till JO, vilken även bifogades JO:s remiss till socialnämnden, är det inte möjligt att utläsa vem som svarat för den handskrivna anteckningen på intyget. Eftersom denna fråga inte har berörts i remissvaret utgår jag från att det inte fanns några ytterligare anteckningar på det intyg som, enligt B.P., lades fram under förhandlingen vid länsrätten.</w:t>
      </w:r>
    </w:p>
    <w:p w:rsidR="003B3271" w:rsidRPr="0008481A" w:rsidRDefault="003B3271">
      <w:pPr>
        <w:pStyle w:val="Normaltindrag"/>
      </w:pPr>
      <w:r w:rsidRPr="0008481A">
        <w:t>Om det finns ett tillägg eller förtydligande på e</w:t>
      </w:r>
      <w:r w:rsidRPr="0008481A">
        <w:t>tt läkarintyg skall det själv</w:t>
      </w:r>
      <w:r w:rsidRPr="0008481A">
        <w:softHyphen/>
        <w:t>fallet av samma handling framgå både vem som har gjort anteckningen och när den har gjorts. Detta gäller oavsett om tillägget eller förtydligandet har påtecknats av intygs</w:t>
      </w:r>
      <w:r w:rsidRPr="0008481A">
        <w:softHyphen/>
        <w:t>givaren själv eller av någon på hans upp</w:t>
      </w:r>
      <w:r w:rsidRPr="0008481A">
        <w:softHyphen/>
        <w:t>drag. En social</w:t>
      </w:r>
      <w:r w:rsidRPr="0008481A">
        <w:softHyphen/>
        <w:t>sekreterare bör för övrigt vara åter</w:t>
      </w:r>
      <w:r w:rsidRPr="0008481A">
        <w:softHyphen/>
        <w:t>hållsam med att göra anteckningar direkt på ett läkar</w:t>
      </w:r>
      <w:r w:rsidRPr="0008481A">
        <w:softHyphen/>
        <w:t>intyg som socialnämnden skall använda vid en domstols</w:t>
      </w:r>
      <w:r w:rsidRPr="0008481A">
        <w:softHyphen/>
        <w:t>prövning. Normalt bör eventuella tillägg eller förtyd</w:t>
      </w:r>
      <w:r w:rsidRPr="0008481A">
        <w:softHyphen/>
        <w:t>liganden göras av vederbörande läkare.</w:t>
      </w:r>
    </w:p>
    <w:p w:rsidR="003B3271" w:rsidRPr="0008481A" w:rsidRDefault="003B3271">
      <w:pPr>
        <w:pStyle w:val="Rubrik1"/>
        <w:spacing w:before="0"/>
      </w:pPr>
      <w:r w:rsidRPr="0008481A">
        <w:br w:type="page"/>
        <w:t>Hälso- och sju</w:t>
      </w:r>
      <w:r w:rsidRPr="0008481A">
        <w:t>kvård</w:t>
      </w:r>
    </w:p>
    <w:p w:rsidR="003B3271" w:rsidRPr="0008481A" w:rsidRDefault="003B3271">
      <w:pPr>
        <w:pStyle w:val="Rubrik2"/>
      </w:pPr>
      <w:r w:rsidRPr="0008481A">
        <w:t>Kritik mot en överläkare för det sätt på vilket en psykiskt utvecklings</w:t>
      </w:r>
      <w:r w:rsidRPr="0008481A">
        <w:softHyphen/>
        <w:t>störd pojke återförts till sjukhus enligt bestäm</w:t>
      </w:r>
      <w:r w:rsidRPr="0008481A">
        <w:softHyphen/>
        <w:t>melserna i lagen (1991:1128) om psykiatrisk tvångsvård (LPT). Även fråga om omfatt</w:t>
      </w:r>
      <w:r w:rsidRPr="0008481A">
        <w:softHyphen/>
        <w:t>ningen av polisens skyldighet att lämna handräckningsbiträde enligt 47 § LPT</w:t>
      </w:r>
    </w:p>
    <w:p w:rsidR="003B3271" w:rsidRPr="0008481A" w:rsidRDefault="003B3271">
      <w:r w:rsidRPr="0008481A">
        <w:t>(Dnr 1338-1998)</w:t>
      </w:r>
    </w:p>
    <w:p w:rsidR="003B3271" w:rsidRPr="0008481A" w:rsidRDefault="003B3271">
      <w:pPr>
        <w:pStyle w:val="Rubrik3"/>
      </w:pPr>
      <w:r w:rsidRPr="0008481A">
        <w:t>Anmälan</w:t>
      </w:r>
    </w:p>
    <w:p w:rsidR="003B3271" w:rsidRPr="0008481A" w:rsidRDefault="003B3271">
      <w:r w:rsidRPr="0008481A">
        <w:t>L.L. riktade i en anmälan till JO kritik mot olika instanser beträffande vården av hans son A.L., född 1981, som har en psykisk utvecklingsstörning och flera neu</w:t>
      </w:r>
      <w:r w:rsidRPr="0008481A">
        <w:softHyphen/>
        <w:t>ropsykiat</w:t>
      </w:r>
      <w:r w:rsidRPr="0008481A">
        <w:softHyphen/>
        <w:t>riska diagnoser. L.L. kritiserade bl.a. överläkaren Håkan Jarbin vid barn- och ungdomspsykiatriska kliniken i Lund för att han begärt hand</w:t>
      </w:r>
      <w:r w:rsidRPr="0008481A">
        <w:softHyphen/>
        <w:t>räckning av poli</w:t>
      </w:r>
      <w:r w:rsidRPr="0008481A">
        <w:softHyphen/>
        <w:t>sen för att transportera A.L. från Länssjukhuset i Kalmar, där A.L. intagits för vård, till kliniken i Lund. Han anförde att handräckningsåtgärden bl.a. har innebu</w:t>
      </w:r>
      <w:r w:rsidRPr="0008481A">
        <w:softHyphen/>
        <w:t>rit att A.L. fick tillbringa en tid inlåst i häkte. – – –</w:t>
      </w:r>
    </w:p>
    <w:p w:rsidR="003B3271" w:rsidRPr="0008481A" w:rsidRDefault="003B3271">
      <w:pPr>
        <w:pStyle w:val="Normaltindrag"/>
      </w:pPr>
      <w:r w:rsidRPr="0008481A">
        <w:t>L.L. tog i sin anmälan även upp frågor rörande den medicinska vården av A.L. och användningen av bältesläggning. Prövningen</w:t>
      </w:r>
      <w:r w:rsidRPr="0008481A">
        <w:t xml:space="preserve"> av dessa frågor över</w:t>
      </w:r>
      <w:r w:rsidRPr="0008481A">
        <w:softHyphen/>
        <w:t>lämnade JO i ett beslut den 18 maj 1998, dnr 1792-1998 till Social</w:t>
      </w:r>
      <w:r w:rsidRPr="0008481A">
        <w:softHyphen/>
        <w:t>styrelsen.</w:t>
      </w:r>
    </w:p>
    <w:p w:rsidR="003B3271" w:rsidRPr="0008481A" w:rsidRDefault="003B3271">
      <w:pPr>
        <w:pStyle w:val="Normaltindrag"/>
      </w:pPr>
      <w:r w:rsidRPr="0008481A">
        <w:t>Vad L.L. anförde rörande polishandräckningen föranledde chefsJO Claes Ek</w:t>
      </w:r>
      <w:r w:rsidRPr="0008481A">
        <w:softHyphen/>
        <w:t>lundh, som har tillsyn över polisväsendet, att på eget initiativ inleda en utred</w:t>
      </w:r>
      <w:r w:rsidRPr="0008481A">
        <w:softHyphen/>
        <w:t>ning mot Polismyndigheten i Kalmar län angående handläggningen av barn- och ungdomspsykiatriska klinikens begäran om handräckning, dnr 1872-1998, beslut den 24 januari 2000.</w:t>
      </w:r>
    </w:p>
    <w:p w:rsidR="003B3271" w:rsidRPr="0008481A" w:rsidRDefault="003B3271">
      <w:pPr>
        <w:pStyle w:val="Rubrik3"/>
      </w:pPr>
      <w:r w:rsidRPr="0008481A">
        <w:t>Utredning</w:t>
      </w:r>
    </w:p>
    <w:p w:rsidR="003B3271" w:rsidRPr="0008481A" w:rsidRDefault="003B3271">
      <w:r w:rsidRPr="0008481A">
        <w:t>Anmälan remitterades till Direktionen för sjukvården i Landskrona–Lund–Orup för utredning och yttrande i fråga om dels anledningen till att hand</w:t>
      </w:r>
      <w:r w:rsidRPr="0008481A">
        <w:softHyphen/>
        <w:t>räckning be</w:t>
      </w:r>
      <w:r w:rsidRPr="0008481A">
        <w:softHyphen/>
        <w:t>gärdes av polisen för transporten av A.L. från Länssjukhuset i Kalmar till barn- och ung</w:t>
      </w:r>
      <w:r w:rsidRPr="0008481A">
        <w:softHyphen/>
        <w:t>domspsykiatriska kliniken i Lund, dels hur denna begäran har dokumente</w:t>
      </w:r>
      <w:r w:rsidRPr="0008481A">
        <w:softHyphen/>
        <w:t>rats. Di</w:t>
      </w:r>
      <w:r w:rsidRPr="0008481A">
        <w:softHyphen/>
        <w:t>rektionen överlämnade som sitt remissvar ett av överläkaren Håkan Jarbin upp</w:t>
      </w:r>
      <w:r w:rsidRPr="0008481A">
        <w:softHyphen/>
        <w:t>rättat yttrande, vari anfördes följande.</w:t>
      </w:r>
    </w:p>
    <w:p w:rsidR="003B3271" w:rsidRPr="0008481A" w:rsidRDefault="003B3271">
      <w:pPr>
        <w:pStyle w:val="Citat"/>
      </w:pPr>
      <w:r w:rsidRPr="0008481A">
        <w:t>1. Dokumentation av handräckningsbegäran 970906.</w:t>
      </w:r>
    </w:p>
    <w:p w:rsidR="003B3271" w:rsidRPr="0008481A" w:rsidRDefault="003B3271">
      <w:pPr>
        <w:pStyle w:val="Citat"/>
      </w:pPr>
      <w:r w:rsidRPr="0008481A">
        <w:t>Beslut om handräckningsbegäran finns dokumenterat i vår journal datum 970905 i sam</w:t>
      </w:r>
      <w:r w:rsidRPr="0008481A">
        <w:softHyphen/>
        <w:t>band med familjesamtal, där A.L. och båda föräldrarna deltog.</w:t>
      </w:r>
    </w:p>
    <w:p w:rsidR="003B3271" w:rsidRPr="0008481A" w:rsidRDefault="003B3271">
      <w:pPr>
        <w:pStyle w:val="Citat"/>
      </w:pPr>
      <w:r w:rsidRPr="0008481A">
        <w:t>2. Anledning till att biträde begärts av polismyndigheten.</w:t>
      </w:r>
    </w:p>
    <w:p w:rsidR="003B3271" w:rsidRPr="0008481A" w:rsidRDefault="003B3271">
      <w:pPr>
        <w:pStyle w:val="Citat"/>
      </w:pPr>
      <w:r w:rsidRPr="0008481A">
        <w:t>A.L. vårdades enligt LPT p g a allvarlig psykisk störning och fara för annan. Han hade vid ett flertal tillfällen orsakat skadegörelse i hemmet samt våld mot föräldrarna samt allvarliga hotelser mot andra personer. Vissa inciden</w:t>
      </w:r>
      <w:r w:rsidRPr="0008481A">
        <w:softHyphen/>
        <w:t>ter hade även skett under pågående vård. För att begränsa aggressivt age</w:t>
      </w:r>
      <w:r w:rsidRPr="0008481A">
        <w:softHyphen/>
        <w:t>rande och fara för föräldrarna, så beslöts vid familje</w:t>
      </w:r>
      <w:r w:rsidRPr="0008481A">
        <w:softHyphen/>
        <w:t>samtalet, att permission till hemmet skulle ske med föreskrifter och att permissionen skulle avbrytas om A.L. inte klarade att fungera inom dessa ramar. Då föräldrarna slog larm kontaktades polismyndighet, som inte hade möjlighet till akut transport av A.L. till Lund, utan sådan fick ske till vuxenpsykiatriska kliniken i Kalmar. A.L. samtyckte dock till vård där och fadern åkte in</w:t>
      </w:r>
      <w:r w:rsidRPr="0008481A">
        <w:t xml:space="preserve"> själv med A.L. enligt överens</w:t>
      </w:r>
      <w:r w:rsidRPr="0008481A">
        <w:softHyphen/>
        <w:t>kommelse med mig per telefon. Polisen lovade dock att ordna trans</w:t>
      </w:r>
      <w:r w:rsidRPr="0008481A">
        <w:softHyphen/>
        <w:t>port till Lund enligt begäran om handräckning och så skedde nästföljande dag. Jag kan inte påminna mig att vi då diskuterade att fadern var beredd att köra A.L. ner till Lund.</w:t>
      </w:r>
    </w:p>
    <w:p w:rsidR="003B3271" w:rsidRPr="0008481A" w:rsidRDefault="003B3271">
      <w:r w:rsidRPr="0008481A">
        <w:t>Håkan Jarbin hade i en tidigare skrivelse meddelat JO att den begäran om hand</w:t>
      </w:r>
      <w:r w:rsidRPr="0008481A">
        <w:softHyphen/>
        <w:t>räckning gällande A.L. som faxats till polismyndigheten inte hade kunnat återfinnas vid sjukhuset.</w:t>
      </w:r>
    </w:p>
    <w:p w:rsidR="003B3271" w:rsidRPr="0008481A" w:rsidRDefault="003B3271">
      <w:pPr>
        <w:spacing w:before="82"/>
        <w:rPr>
          <w:sz w:val="22"/>
        </w:rPr>
      </w:pPr>
      <w:r w:rsidRPr="0008481A">
        <w:rPr>
          <w:sz w:val="22"/>
        </w:rPr>
        <w:t>– – –</w:t>
      </w:r>
    </w:p>
    <w:p w:rsidR="003B3271" w:rsidRPr="0008481A" w:rsidRDefault="003B3271">
      <w:pPr>
        <w:spacing w:before="82"/>
      </w:pPr>
      <w:r w:rsidRPr="0008481A">
        <w:t>L.L. kommenterade remissvaret.</w:t>
      </w:r>
    </w:p>
    <w:p w:rsidR="003B3271" w:rsidRPr="0008481A" w:rsidRDefault="003B3271">
      <w:r w:rsidRPr="0008481A">
        <w:t>Journalanteckningarna rörande A.L. från barn- och ung</w:t>
      </w:r>
      <w:r w:rsidRPr="0008481A">
        <w:softHyphen/>
        <w:t>domspsykiatriska kliniken i Lund för tiden den 3 till den 17 september 1997 samt  journal- och omvårdnads</w:t>
      </w:r>
      <w:r w:rsidRPr="0008481A">
        <w:softHyphen/>
        <w:t>anteckningar rörande A.L. från vuxenpsykiatriska kliniken i Kalmar från den 6 september 1997 har funnits tillgängliga på ombudsmanna</w:t>
      </w:r>
      <w:r w:rsidRPr="0008481A">
        <w:softHyphen/>
        <w:t>expeditionen. Från Polismyndigheten i Kalmar län inhämta</w:t>
      </w:r>
      <w:r w:rsidRPr="0008481A">
        <w:softHyphen/>
        <w:t>des en kopia av den begäran om hand</w:t>
      </w:r>
      <w:r w:rsidRPr="0008481A">
        <w:softHyphen/>
        <w:t xml:space="preserve">räckning avseende A.L. som inkom från Håkan Jarbin den 6 september 1997. </w:t>
      </w:r>
    </w:p>
    <w:p w:rsidR="003B3271" w:rsidRPr="0008481A" w:rsidRDefault="003B3271">
      <w:r w:rsidRPr="0008481A">
        <w:t xml:space="preserve">I beslut den 20 september 1999 anförde </w:t>
      </w:r>
      <w:r w:rsidRPr="0008481A">
        <w:rPr>
          <w:i/>
        </w:rPr>
        <w:t>JO André</w:t>
      </w:r>
      <w:r w:rsidRPr="0008481A">
        <w:t xml:space="preserve"> bl.a. följande.</w:t>
      </w:r>
    </w:p>
    <w:p w:rsidR="003B3271" w:rsidRPr="0008481A" w:rsidRDefault="003B3271">
      <w:pPr>
        <w:pStyle w:val="Rubrik3"/>
        <w:spacing w:before="360"/>
      </w:pPr>
      <w:r w:rsidRPr="0008481A">
        <w:t>Bedömning</w:t>
      </w:r>
    </w:p>
    <w:p w:rsidR="003B3271" w:rsidRPr="0008481A" w:rsidRDefault="003B3271">
      <w:pPr>
        <w:pStyle w:val="Rubrik4"/>
        <w:spacing w:before="120"/>
      </w:pPr>
      <w:r w:rsidRPr="0008481A">
        <w:t>Begäran om polishandräckning</w:t>
      </w:r>
    </w:p>
    <w:p w:rsidR="003B3271" w:rsidRPr="0008481A" w:rsidRDefault="003B3271">
      <w:r w:rsidRPr="0008481A">
        <w:t>Regler om polismyndighets skyldighet att lämna biträde finns i 47 § lagen (1991:1128) om psykiatrisk tvångsvård, LPT. Polismyndigheten skall enligt be</w:t>
      </w:r>
      <w:r w:rsidRPr="0008481A">
        <w:softHyphen/>
        <w:t>stämmelsen lämna biträde på begäran av chefsöverläkaren för att återföra en pati</w:t>
      </w:r>
      <w:r w:rsidRPr="0008481A">
        <w:softHyphen/>
        <w:t>ent som har lämnat vårdinrätt</w:t>
      </w:r>
      <w:r w:rsidRPr="0008481A">
        <w:softHyphen/>
        <w:t>ningen utan tillstånd eller för att återföra en patient till vårdinrättningen om denne inte har återvänt dit sedan tiden för ett tillstånd att vistas utanför vårdinrättningens område har gått ut eller till</w:t>
      </w:r>
      <w:r w:rsidRPr="0008481A">
        <w:softHyphen/>
        <w:t>ståndet har återkallats. I förarbetena har i fråga om til</w:t>
      </w:r>
      <w:r w:rsidRPr="0008481A">
        <w:softHyphen/>
      </w:r>
      <w:r w:rsidRPr="0008481A">
        <w:t>lämpningen av hand</w:t>
      </w:r>
      <w:r w:rsidRPr="0008481A">
        <w:softHyphen/>
        <w:t xml:space="preserve">räckningsinstitutet anförts bl.a. att det är önskvärt att man så långt som möjligt använder sig av personal inom den </w:t>
      </w:r>
      <w:r w:rsidRPr="0008481A">
        <w:t>psykiatriska vården eller social</w:t>
      </w:r>
      <w:r w:rsidRPr="0008481A">
        <w:softHyphen/>
        <w:t>tjänsten för att övertyga patienten om att han fri</w:t>
      </w:r>
      <w:r w:rsidRPr="0008481A">
        <w:softHyphen/>
        <w:t>villigt skall följa med till vårdinrättningen (prop. 1990/91:58 s. 287).</w:t>
      </w:r>
    </w:p>
    <w:p w:rsidR="003B3271" w:rsidRPr="0008481A" w:rsidRDefault="003B3271">
      <w:pPr>
        <w:pStyle w:val="Normaltindrag"/>
      </w:pPr>
      <w:r w:rsidRPr="0008481A">
        <w:t>En åtgärd av ifrågavarande slag utgör ett stort ingrepp i den personliga integrite</w:t>
      </w:r>
      <w:r w:rsidRPr="0008481A">
        <w:softHyphen/>
        <w:t>ten. Det är därför av största vikt att gällande handräcknings</w:t>
      </w:r>
      <w:r w:rsidRPr="0008481A">
        <w:softHyphen/>
        <w:t>bestäm</w:t>
      </w:r>
      <w:r w:rsidRPr="0008481A">
        <w:softHyphen/>
        <w:t>melser används på ett korrekt sätt. JO har tidigare behandlat frågan om tillämpningen av bestäm</w:t>
      </w:r>
      <w:r w:rsidRPr="0008481A">
        <w:softHyphen/>
        <w:t>melserna. I ett beslut anförde JO bl.a. att anlitande av polismyndighet för en åt</w:t>
      </w:r>
      <w:r w:rsidRPr="0008481A">
        <w:softHyphen/>
        <w:t xml:space="preserve">gärds genomförande endast bör komma i fråga då det finns grundad anledning att anta att de särskilda tvångsbefogenheter som handräckningsinstitutet innefattar är påkallade för åtgärdens genomförande (JO:s ämbetsberättelse 1981/82 s. 172 f., se även 1988/89 s. 194 </w:t>
      </w:r>
      <w:r w:rsidRPr="0008481A">
        <w:t>f.). Det kan således inte komma i fråga att anlita polis</w:t>
      </w:r>
      <w:r w:rsidRPr="0008481A">
        <w:softHyphen/>
        <w:t>myn</w:t>
      </w:r>
      <w:r w:rsidRPr="0008481A">
        <w:softHyphen/>
        <w:t>dighet för en transport endast under hänvisning till att det föreligger praktiska svå</w:t>
      </w:r>
      <w:r w:rsidRPr="0008481A">
        <w:softHyphen/>
        <w:t>righeter för en sjukvårds</w:t>
      </w:r>
      <w:r w:rsidRPr="0008481A">
        <w:softHyphen/>
        <w:t>inrättning att själv svara för transporten. Sjukvårdens fö</w:t>
      </w:r>
      <w:r w:rsidRPr="0008481A">
        <w:softHyphen/>
        <w:t xml:space="preserve">reträdare måste också beakta vilka konsekvenser en begäran om handräckning kan få för patienten, nämligen att som i förevarande fall behöva bli intagen i häkte. </w:t>
      </w:r>
    </w:p>
    <w:p w:rsidR="003B3271" w:rsidRPr="0008481A" w:rsidRDefault="003B3271">
      <w:pPr>
        <w:pStyle w:val="Normaltindrag"/>
      </w:pPr>
      <w:r w:rsidRPr="0008481A">
        <w:t>Genom utredningen har framkommit att Håkan Jarbin begärde hand</w:t>
      </w:r>
      <w:r w:rsidRPr="0008481A">
        <w:softHyphen/>
        <w:t>räckning av polisen för att återföra A.L. till kliniken sedan A.L:s per</w:t>
      </w:r>
      <w:r w:rsidRPr="0008481A">
        <w:softHyphen/>
        <w:t>missions</w:t>
      </w:r>
      <w:r w:rsidRPr="0008481A">
        <w:softHyphen/>
      </w:r>
      <w:r w:rsidRPr="0008481A">
        <w:softHyphen/>
        <w:t>tillstånd återkal</w:t>
      </w:r>
      <w:r w:rsidRPr="0008481A">
        <w:softHyphen/>
        <w:t>lats på grund av att han hade varit aggressiv i hemmet under permissionen. I det akuta läge som då uppstod finns det inte någon anledning att ifrågasätta att det var befogat att använda sig av hand</w:t>
      </w:r>
      <w:r w:rsidRPr="0008481A">
        <w:softHyphen/>
        <w:t xml:space="preserve">räckningsinstitutet för transporten av A.L. </w:t>
      </w:r>
    </w:p>
    <w:p w:rsidR="003B3271" w:rsidRPr="0008481A" w:rsidRDefault="003B3271">
      <w:pPr>
        <w:pStyle w:val="Normaltindrag"/>
      </w:pPr>
      <w:r w:rsidRPr="0008481A">
        <w:t xml:space="preserve">Det är emellertid också utrett att A.L., sedan man konstaterat att polisen inte hade möjlighet att efterkomma begäran om handräckning samma dag, samtyckt till vård vid </w:t>
      </w:r>
      <w:r w:rsidRPr="0008481A">
        <w:t>vuxenpsykiatriska kliniken i Kalmar och också bereddes vård där till näst</w:t>
      </w:r>
      <w:r w:rsidRPr="0008481A">
        <w:softHyphen/>
        <w:t xml:space="preserve">kommande morgon. </w:t>
      </w:r>
    </w:p>
    <w:p w:rsidR="003B3271" w:rsidRPr="0008481A" w:rsidRDefault="003B3271">
      <w:pPr>
        <w:pStyle w:val="Normaltindrag"/>
      </w:pPr>
      <w:r w:rsidRPr="0008481A">
        <w:t>I remissvaret har inte angetts vilka skäl som i detta senare skede av hän</w:t>
      </w:r>
      <w:r w:rsidRPr="0008481A">
        <w:softHyphen/>
        <w:t>del</w:t>
      </w:r>
      <w:r w:rsidRPr="0008481A">
        <w:softHyphen/>
        <w:t>se</w:t>
      </w:r>
      <w:r w:rsidRPr="0008481A">
        <w:softHyphen/>
      </w:r>
      <w:r w:rsidRPr="0008481A">
        <w:softHyphen/>
        <w:t>för</w:t>
      </w:r>
      <w:r w:rsidRPr="0008481A">
        <w:softHyphen/>
        <w:t>loppet motiverade användning av handräckningsinstitutet. Vid denna tidpunkt var ju A.L. redan intagen för sjukhusvård, låt vara vid en annan sjuk</w:t>
      </w:r>
      <w:r w:rsidRPr="0008481A">
        <w:softHyphen/>
        <w:t>vårdsinrätt</w:t>
      </w:r>
      <w:r w:rsidRPr="0008481A">
        <w:softHyphen/>
        <w:t>ning, och intagningen där hade skett i samråd med behand</w:t>
      </w:r>
      <w:r w:rsidRPr="0008481A">
        <w:softHyphen/>
        <w:t>lan</w:t>
      </w:r>
      <w:r w:rsidRPr="0008481A">
        <w:softHyphen/>
        <w:t xml:space="preserve">de läkaren Håkan Jarbin, vilken var den läkare som dagen innan hade begärt handräckningen. </w:t>
      </w:r>
    </w:p>
    <w:p w:rsidR="003B3271" w:rsidRPr="0008481A" w:rsidRDefault="003B3271">
      <w:pPr>
        <w:pStyle w:val="Normaltindrag"/>
      </w:pPr>
      <w:r w:rsidRPr="0008481A">
        <w:t xml:space="preserve">Enligt min mening kan det ifrågasättas vilket stöd som bestämmelsen i 47 § LPT ger för att använda sig av handräckningsinstitutet när det, som i förevarande fall, är fråga om transport av </w:t>
      </w:r>
      <w:r w:rsidRPr="0008481A">
        <w:t>en patient från en vårdinrättning till en annan. Vad som talar för att en tillämpning av handräckningsinstitutet inte är utesluten i en situa</w:t>
      </w:r>
      <w:r w:rsidRPr="0008481A">
        <w:softHyphen/>
        <w:t>tion som den här aktuella är att patienten ännu inte var återförd till den institution där vården avsetts bedrivas, dvs. kliniken i Lund, och att intagningen vid klini</w:t>
      </w:r>
      <w:r w:rsidRPr="0008481A">
        <w:softHyphen/>
        <w:t>ken i Kalmar får ses endast som en temporär åtgärd. Rättsläget i denna fråga synes vara något oklart men det mesta talar ändå för att det i detta fall inte har förelegat några formella hinder mot att lå</w:t>
      </w:r>
      <w:r w:rsidRPr="0008481A">
        <w:t>ta handräckningsbegäran kvarstå.</w:t>
      </w:r>
    </w:p>
    <w:p w:rsidR="003B3271" w:rsidRPr="0008481A" w:rsidRDefault="003B3271">
      <w:pPr>
        <w:pStyle w:val="Normaltindrag"/>
      </w:pPr>
      <w:r w:rsidRPr="0008481A">
        <w:t>Oavsett hur det förhåller sig med de rättsliga förutsättningarna för att i den upp</w:t>
      </w:r>
      <w:r w:rsidRPr="0008481A">
        <w:softHyphen/>
        <w:t>komna situationen använda sig av handräckningsinstitutet anser jag att Håkan Jarbin borde ha gjort en förnyad prövning av sin begäran om polis</w:t>
      </w:r>
      <w:r w:rsidRPr="0008481A">
        <w:softHyphen/>
        <w:t>handräckning med beaktande av att A.L. frivilligt blivit föremål för vård vid kliniken i Kalmar. Det framgår inte av remissvaret att Håkan Jarbin har gjort några överväganden i denna fråga. Om så ändå har skett borde det enligt min mening ha dokumenterats på något sätt. Det kan ifrågasättas om det i det senare skedet av hän</w:t>
      </w:r>
      <w:r w:rsidRPr="0008481A">
        <w:softHyphen/>
        <w:t>delseförloppet fortfarande var sakligt bef</w:t>
      </w:r>
      <w:r w:rsidRPr="0008481A">
        <w:t>ogat att tillgripa handräckning för trans</w:t>
      </w:r>
      <w:r w:rsidRPr="0008481A">
        <w:softHyphen/>
        <w:t>porten av A.L. Jag vill dock inte uttala någon upp</w:t>
      </w:r>
      <w:r w:rsidRPr="0008481A">
        <w:softHyphen/>
        <w:t>fattning i den frågan i och för sig. Mot bak</w:t>
      </w:r>
      <w:r w:rsidRPr="0008481A">
        <w:softHyphen/>
        <w:t>grund av fram</w:t>
      </w:r>
      <w:r w:rsidRPr="0008481A">
        <w:softHyphen/>
        <w:t>för allt de uttalanden som gjorts i förarbetena till be</w:t>
      </w:r>
      <w:r w:rsidRPr="0008481A">
        <w:softHyphen/>
        <w:t>stämmelsen i 47 § LPT om vikten av att man i första hand försöker övertala pati</w:t>
      </w:r>
      <w:r w:rsidRPr="0008481A">
        <w:softHyphen/>
        <w:t>enten att fri</w:t>
      </w:r>
      <w:r w:rsidRPr="0008481A">
        <w:softHyphen/>
        <w:t>villigt följa med tillbaka till vårdinrättningen anser jag emellertid att det är an</w:t>
      </w:r>
      <w:r w:rsidRPr="0008481A">
        <w:softHyphen/>
        <w:t>märknings</w:t>
      </w:r>
      <w:r w:rsidRPr="0008481A">
        <w:softHyphen/>
        <w:t>värt att Håkan Jarbin, såvitt kan utläsas av utredningen, har låtit hand</w:t>
      </w:r>
      <w:r w:rsidRPr="0008481A">
        <w:softHyphen/>
        <w:t>räckningsbe</w:t>
      </w:r>
      <w:r w:rsidRPr="0008481A">
        <w:softHyphen/>
        <w:t>gäran kvarstå utan att vidta nå</w:t>
      </w:r>
      <w:r w:rsidRPr="0008481A">
        <w:t>gra åtgärder i anledning av den ändrade situa</w:t>
      </w:r>
      <w:r w:rsidRPr="0008481A">
        <w:softHyphen/>
        <w:t>tion som inträtt genom att A.L. samtyckt till vård på en vårdinrättning även om det gällde en annan inrättning än den som han fått permission från. Jag för</w:t>
      </w:r>
      <w:r w:rsidRPr="0008481A">
        <w:softHyphen/>
        <w:t>utsätter att ledningen ser över sjukhusets riktlinjer i fråga om användningen av handräckningsinstitutet och därvid beaktar de uttalanden som redogjorts för ovan.</w:t>
      </w:r>
    </w:p>
    <w:p w:rsidR="003B3271" w:rsidRPr="0008481A" w:rsidRDefault="003B3271">
      <w:pPr>
        <w:pStyle w:val="Normaltindrag"/>
      </w:pPr>
      <w:r w:rsidRPr="0008481A">
        <w:t>Det kan i sammanhanget anmärkas att av 6 § hälso- och sjukvårdslagen (1982:763) följer att respektive landsting ansvarar för att det finns en funge</w:t>
      </w:r>
      <w:r w:rsidRPr="0008481A">
        <w:t>rande organisation för transporter av patienter mellan vårdenheter och att hälso- och sjukvården alltså normalt själv skall ordna med sådana. Detta gäller även vid transporter av patienter som är intagna enligt LPT. I vissa fall kan det dock av säkerhetsskäl finnas anledning att kontakta polisen i frågan om polismedverkan, vilket dock är något annat än att begära polishand</w:t>
      </w:r>
      <w:r w:rsidRPr="0008481A">
        <w:softHyphen/>
        <w:t xml:space="preserve">räckning.  </w:t>
      </w:r>
    </w:p>
    <w:p w:rsidR="003B3271" w:rsidRPr="0008481A" w:rsidRDefault="003B3271">
      <w:pPr>
        <w:pStyle w:val="Normaltindrag"/>
      </w:pPr>
      <w:r w:rsidRPr="0008481A">
        <w:t>Med hänsyn till vad som ovan anförts i fråga om tolkningen av bestämmelsen i 47 § LPT i situationer som den förevarande finn</w:t>
      </w:r>
      <w:r w:rsidRPr="0008481A">
        <w:t>er jag det befogat att översända en kopia av beslutet till Regeringskansliet för känne</w:t>
      </w:r>
      <w:r w:rsidRPr="0008481A">
        <w:softHyphen/>
        <w:t>dom.</w:t>
      </w:r>
    </w:p>
    <w:p w:rsidR="003B3271" w:rsidRPr="0008481A" w:rsidRDefault="003B3271">
      <w:pPr>
        <w:pStyle w:val="Rubrik4"/>
        <w:spacing w:before="360"/>
      </w:pPr>
      <w:r w:rsidRPr="0008481A">
        <w:t>Dokumentation av begäran om handräckning</w:t>
      </w:r>
    </w:p>
    <w:p w:rsidR="003B3271" w:rsidRPr="0008481A" w:rsidRDefault="003B3271">
      <w:r w:rsidRPr="0008481A">
        <w:t>En begäran om polishandräckning är en uppgift om vårdåtgärd och skall följ</w:t>
      </w:r>
      <w:r w:rsidRPr="0008481A">
        <w:softHyphen/>
        <w:t>akt</w:t>
      </w:r>
      <w:r w:rsidRPr="0008481A">
        <w:softHyphen/>
        <w:t>li</w:t>
      </w:r>
      <w:r w:rsidRPr="0008481A">
        <w:softHyphen/>
        <w:t>gen bevaras som en journalhandling i enlighet med 3 § patientjournal</w:t>
      </w:r>
      <w:r w:rsidRPr="0008481A">
        <w:softHyphen/>
        <w:t>lagen (1985:562). Såvitt har framkommit i utredningen finns denna handling inte i be</w:t>
      </w:r>
      <w:r w:rsidRPr="0008481A">
        <w:softHyphen/>
        <w:t>håll hos kliniken. Detta är inte godtagbart.</w:t>
      </w:r>
    </w:p>
    <w:p w:rsidR="003B3271" w:rsidRPr="0008481A" w:rsidRDefault="003B3271">
      <w:pPr>
        <w:pStyle w:val="Normaltindrag"/>
      </w:pPr>
      <w:r w:rsidRPr="0008481A">
        <w:t>JO har i tidigare beslut uttalat att det är av största vikt att fattade beslut om hand</w:t>
      </w:r>
      <w:r w:rsidRPr="0008481A">
        <w:softHyphen/>
        <w:t>räckning dokumenteras på ett sätt som gör att risken för misstag mini</w:t>
      </w:r>
      <w:r w:rsidRPr="0008481A">
        <w:softHyphen/>
        <w:t xml:space="preserve">meras (JO:s ämbetsberättelse 1998/99 s. 319). Ett minimikrav måste härvidlag vara att det klart framgår vem som har fattat beslutet i fråga, när så skedde samt till vilken polismyndighet som begäran har ställts. </w:t>
      </w:r>
    </w:p>
    <w:p w:rsidR="003B3271" w:rsidRPr="0008481A" w:rsidRDefault="003B3271">
      <w:pPr>
        <w:pStyle w:val="Normaltindrag"/>
      </w:pPr>
      <w:r w:rsidRPr="0008481A">
        <w:t>Håkan Jarbin har i sitt yttrande angett att begäran om polishandräckning doku</w:t>
      </w:r>
      <w:r w:rsidRPr="0008481A">
        <w:softHyphen/>
        <w:t>menterats genom en anteckning i A.L:s journal den 5 september 1997, alltså da</w:t>
      </w:r>
      <w:r w:rsidRPr="0008481A">
        <w:softHyphen/>
        <w:t>gen innan den incident inträffade som medförde att begäran i fråga kom att in</w:t>
      </w:r>
      <w:r w:rsidRPr="0008481A">
        <w:softHyphen/>
        <w:t>ges till polismyndigheten. Vid granskning av den aktuella journal</w:t>
      </w:r>
      <w:r w:rsidRPr="0008481A">
        <w:softHyphen/>
        <w:t>anteckningen kan konstateras att denna inte innehåller annat än att A.L. och hans föräldrar upp</w:t>
      </w:r>
      <w:r w:rsidRPr="0008481A">
        <w:softHyphen/>
        <w:t>lystes om vilka förutsättningar som gällde för A.L. under permissionen samt att permis</w:t>
      </w:r>
      <w:r w:rsidRPr="0008481A">
        <w:softHyphen/>
        <w:t>sionen omedelbart skulle avbrytas om A.L. på något sätt bröt mot dessa förutsätt</w:t>
      </w:r>
      <w:r w:rsidRPr="0008481A">
        <w:softHyphen/>
        <w:t>ningar och att polistrans</w:t>
      </w:r>
      <w:r w:rsidRPr="0008481A">
        <w:t>port då skulle ske tillbaka till kliniken. Någon annan do</w:t>
      </w:r>
      <w:r w:rsidRPr="0008481A">
        <w:softHyphen/>
        <w:t>kumentation om handräckningsåtgärden finns inte. Själva handräckningsbegä</w:t>
      </w:r>
      <w:r w:rsidRPr="0008481A">
        <w:softHyphen/>
        <w:t>ran har, som framgått ovan, inte åter</w:t>
      </w:r>
      <w:r w:rsidRPr="0008481A">
        <w:softHyphen/>
        <w:t>funnits på kliniken och det går inte att utläsa av journalen vem som den 6 september 1997 kom att fatta beslutet om att begära handräckning. Det framgår inte heller vilken polismyndighet som tillställts begä</w:t>
      </w:r>
      <w:r w:rsidRPr="0008481A">
        <w:softHyphen/>
        <w:t>ran.</w:t>
      </w:r>
    </w:p>
    <w:p w:rsidR="003B3271" w:rsidRPr="0008481A" w:rsidRDefault="003B3271">
      <w:pPr>
        <w:pStyle w:val="Normaltindrag"/>
      </w:pPr>
      <w:r w:rsidRPr="0008481A">
        <w:t>Den dokumentation som skett i förevarande fall är självfallet inte till</w:t>
      </w:r>
      <w:r w:rsidRPr="0008481A">
        <w:softHyphen/>
        <w:t>räcklig. Jag vill i sammanhanget påtala vikten av att det finns klara och dokumenterade rikt</w:t>
      </w:r>
      <w:r w:rsidRPr="0008481A">
        <w:softHyphen/>
        <w:t>linjer för handläggningen av dessa frågor och jag förutsätter att sjukhusledningen omgående ser över rutinerna i detta av</w:t>
      </w:r>
      <w:r w:rsidRPr="0008481A">
        <w:softHyphen/>
        <w:t xml:space="preserve">seende. </w:t>
      </w:r>
    </w:p>
    <w:p w:rsidR="003B3271" w:rsidRPr="0008481A" w:rsidRDefault="003B3271">
      <w:r w:rsidRPr="0008481A">
        <w:t>– – –</w:t>
      </w:r>
    </w:p>
    <w:p w:rsidR="003B3271" w:rsidRPr="0008481A" w:rsidRDefault="003B3271">
      <w:pPr>
        <w:rPr>
          <w:b/>
        </w:rPr>
      </w:pPr>
      <w:r w:rsidRPr="0008481A">
        <w:t>Vad L.L. anfört i övrigt föranleder inte någon åtgärd eller något yt</w:t>
      </w:r>
      <w:r w:rsidRPr="0008481A">
        <w:softHyphen/>
        <w:t>terligare utta</w:t>
      </w:r>
      <w:r w:rsidRPr="0008481A">
        <w:softHyphen/>
        <w:t>lande från min sida.</w:t>
      </w:r>
    </w:p>
    <w:p w:rsidR="003B3271" w:rsidRPr="0008481A" w:rsidRDefault="003B3271">
      <w:pPr>
        <w:pStyle w:val="Normaltindrag"/>
      </w:pPr>
      <w:r w:rsidRPr="0008481A">
        <w:t>Med den kritik som ligger i det anförda avslutas ärendet.</w:t>
      </w:r>
    </w:p>
    <w:p w:rsidR="003B3271" w:rsidRPr="0008481A" w:rsidRDefault="003B3271">
      <w:pPr>
        <w:pStyle w:val="Rubrik2"/>
      </w:pPr>
      <w:r w:rsidRPr="0008481A">
        <w:t>Uttalanden rörande förutsättningarna att inom ramen för vård enligt bestämmelserna i lagen (1991:1129) om rättspsykiatrisk vård omhän</w:t>
      </w:r>
      <w:r w:rsidRPr="0008481A">
        <w:softHyphen/>
        <w:t>derta patients bankkort (minutenkort). Kritik för underlåtenhet att do</w:t>
      </w:r>
      <w:r w:rsidRPr="0008481A">
        <w:softHyphen/>
        <w:t>kumentera åtgärden i patientens journal</w:t>
      </w:r>
    </w:p>
    <w:p w:rsidR="003B3271" w:rsidRPr="0008481A" w:rsidRDefault="003B3271">
      <w:r w:rsidRPr="0008481A">
        <w:t>(Dnr 2563-1999)</w:t>
      </w:r>
    </w:p>
    <w:p w:rsidR="003B3271" w:rsidRPr="0008481A" w:rsidRDefault="003B3271">
      <w:pPr>
        <w:pStyle w:val="Rubrik3"/>
      </w:pPr>
      <w:r w:rsidRPr="0008481A">
        <w:t xml:space="preserve">Anmälan </w:t>
      </w:r>
    </w:p>
    <w:p w:rsidR="003B3271" w:rsidRPr="0008481A" w:rsidRDefault="003B3271">
      <w:r w:rsidRPr="0008481A">
        <w:t>J.A. var intagen för rättspsykiatrisk vård vid Restad gård, rättspsykiatrisk enhet inom NU-sjukvården, Västra Götalandsregionen. I en anmälan till JO fram</w:t>
      </w:r>
      <w:r w:rsidRPr="0008481A">
        <w:softHyphen/>
        <w:t>förde J.A. klago</w:t>
      </w:r>
      <w:r w:rsidRPr="0008481A">
        <w:softHyphen/>
      </w:r>
      <w:r w:rsidRPr="0008481A">
        <w:softHyphen/>
        <w:t>mål huvudsakligen mot att personalen hade tagit hand om hans minutenkort.</w:t>
      </w:r>
    </w:p>
    <w:p w:rsidR="003B3271" w:rsidRPr="0008481A" w:rsidRDefault="003B3271">
      <w:pPr>
        <w:pStyle w:val="Rubrik3"/>
      </w:pPr>
      <w:r w:rsidRPr="0008481A">
        <w:t>Utredning</w:t>
      </w:r>
    </w:p>
    <w:p w:rsidR="003B3271" w:rsidRPr="0008481A" w:rsidRDefault="003B3271">
      <w:r w:rsidRPr="0008481A">
        <w:t>Inledningsvis tog JO del av J.A:s journal. Därefter anmodades Utförar</w:t>
      </w:r>
      <w:r w:rsidRPr="0008481A">
        <w:softHyphen/>
        <w:t xml:space="preserve">styrelsen för NU-sjukvården, Västra Götalandsregionen, att inkomma med utredning och yttrande angående det som J.A. hade framfört i sin anmälan. Utförarstyrelsen anförde följande i sitt remissvar. </w:t>
      </w:r>
    </w:p>
    <w:p w:rsidR="003B3271" w:rsidRPr="0008481A" w:rsidRDefault="003B3271">
      <w:pPr>
        <w:pStyle w:val="Rubrik4"/>
      </w:pPr>
      <w:r w:rsidRPr="0008481A">
        <w:t xml:space="preserve">Bakgrund </w:t>
      </w:r>
    </w:p>
    <w:p w:rsidR="003B3271" w:rsidRPr="0008481A" w:rsidRDefault="003B3271">
      <w:pPr>
        <w:pStyle w:val="Citat"/>
      </w:pPr>
      <w:r w:rsidRPr="0008481A">
        <w:t>Omständigheterna i fallet är, såsom framgår av bifogade yttrande från patient</w:t>
      </w:r>
      <w:r w:rsidRPr="0008481A">
        <w:softHyphen/>
        <w:t>ansvarig överläkare (här utelämnat, JO:s anm.), bl a följande.</w:t>
      </w:r>
    </w:p>
    <w:p w:rsidR="003B3271" w:rsidRPr="0008481A" w:rsidRDefault="003B3271">
      <w:pPr>
        <w:pStyle w:val="Citatindrag"/>
      </w:pPr>
      <w:r w:rsidRPr="0008481A">
        <w:t>Aktuell patient vårdas sedan 1996 på rättspsykiatriska enheten enligt lagen om rätts</w:t>
      </w:r>
      <w:r w:rsidRPr="0008481A">
        <w:softHyphen/>
        <w:t>psykiatrisk vård med särskild utskrivningsprövning. Patienten har drogproblem och missbrukar narkotika. Det har även förekommit narkotika medan patienten vistats på avdelningen. Vid tre tillfällen har patienten av</w:t>
      </w:r>
      <w:r w:rsidRPr="0008481A">
        <w:softHyphen/>
        <w:t>vikit i samband med frigång och har då missbrukat narkotika.</w:t>
      </w:r>
    </w:p>
    <w:p w:rsidR="003B3271" w:rsidRPr="0008481A" w:rsidRDefault="003B3271">
      <w:pPr>
        <w:pStyle w:val="Rubrik4"/>
      </w:pPr>
      <w:r w:rsidRPr="0008481A">
        <w:t xml:space="preserve">Beslutet </w:t>
      </w:r>
    </w:p>
    <w:p w:rsidR="003B3271" w:rsidRPr="0008481A" w:rsidRDefault="003B3271">
      <w:pPr>
        <w:pStyle w:val="Citat"/>
      </w:pPr>
      <w:r w:rsidRPr="0008481A">
        <w:t>I sin anmälan till JO vänder sig patienten mot att han ej själv får ha hand om sitt minutenkort och själv ansvara för sina pengar.</w:t>
      </w:r>
    </w:p>
    <w:p w:rsidR="003B3271" w:rsidRPr="0008481A" w:rsidRDefault="003B3271">
      <w:pPr>
        <w:pStyle w:val="Citatindrag"/>
      </w:pPr>
      <w:r w:rsidRPr="0008481A">
        <w:t>Såsom framgår av överläkarens yttrande är rutinen på avdelningen att minutenkort och större mängd kontanter placeras i förvaringsfack. Patienten har tillgång till förvarings</w:t>
      </w:r>
      <w:r w:rsidRPr="0008481A">
        <w:softHyphen/>
        <w:t>facket tillsammans med sin kontaktman.</w:t>
      </w:r>
    </w:p>
    <w:p w:rsidR="003B3271" w:rsidRPr="0008481A" w:rsidRDefault="003B3271">
      <w:pPr>
        <w:pStyle w:val="Citatindrag"/>
      </w:pPr>
      <w:r w:rsidRPr="0008481A">
        <w:t>Överläkaren har även i sitt yttrande framhållit att det inte sällan före</w:t>
      </w:r>
      <w:r w:rsidRPr="0008481A">
        <w:softHyphen/>
        <w:t>kommer transaktioner mellan patienter och att dessa transaktioner sedan blir gro</w:t>
      </w:r>
      <w:r w:rsidRPr="0008481A">
        <w:softHyphen/>
        <w:t>grund för konflikter och att de också kan medföra att narkotika lättare kom</w:t>
      </w:r>
      <w:r w:rsidRPr="0008481A">
        <w:softHyphen/>
        <w:t>mer in på avdelningen. Utförarstyrelsen hän</w:t>
      </w:r>
      <w:r w:rsidRPr="0008481A">
        <w:softHyphen/>
        <w:t>visar till bifogad journal</w:t>
      </w:r>
      <w:r w:rsidRPr="0008481A">
        <w:softHyphen/>
        <w:t>anteck</w:t>
      </w:r>
      <w:r w:rsidRPr="0008481A">
        <w:softHyphen/>
        <w:t>ning 981222 (här utelämnad, JO:s anm.).</w:t>
      </w:r>
    </w:p>
    <w:p w:rsidR="003B3271" w:rsidRPr="0008481A" w:rsidRDefault="003B3271">
      <w:pPr>
        <w:pStyle w:val="Citatindrag"/>
      </w:pPr>
      <w:r w:rsidRPr="0008481A">
        <w:t>Enligt 21 § 4 st lag (1991:1128) om psykiatrisk tvångsvård får patient inte in</w:t>
      </w:r>
      <w:r w:rsidRPr="0008481A">
        <w:softHyphen/>
        <w:t>neha egen</w:t>
      </w:r>
      <w:r w:rsidRPr="0008481A">
        <w:softHyphen/>
        <w:t>dom som kan vara till men för vården eller ordningen på vårdin</w:t>
      </w:r>
      <w:r w:rsidRPr="0008481A">
        <w:softHyphen/>
        <w:t>rätt</w:t>
      </w:r>
      <w:r w:rsidRPr="0008481A">
        <w:softHyphen/>
        <w:t>ningen.</w:t>
      </w:r>
    </w:p>
    <w:p w:rsidR="003B3271" w:rsidRPr="0008481A" w:rsidRDefault="003B3271">
      <w:pPr>
        <w:pStyle w:val="Citatindrag"/>
      </w:pPr>
      <w:r w:rsidRPr="0008481A">
        <w:t>Utförarstyrelsen ansluter sig till överläkarens bedömning att det med hänsyn till patien</w:t>
      </w:r>
      <w:r w:rsidRPr="0008481A">
        <w:softHyphen/>
        <w:t>tens svåra drogproblem är motiverat att han ej själv har hand om sitt minuten</w:t>
      </w:r>
      <w:r w:rsidRPr="0008481A">
        <w:softHyphen/>
        <w:t>kort.</w:t>
      </w:r>
    </w:p>
    <w:p w:rsidR="003B3271" w:rsidRPr="0008481A" w:rsidRDefault="003B3271">
      <w:r w:rsidRPr="0008481A">
        <w:t>Utförarstyrelsen anmodades därefter att inkomma med kompletterande yttrande angående hur åtgärden med J.A:s minutenkort hade dokumen</w:t>
      </w:r>
      <w:r w:rsidRPr="0008481A">
        <w:softHyphen/>
        <w:t>terats. I den delen anförde styrelsen följande i sitt kompletterande remissvar (bilagorna här ute</w:t>
      </w:r>
      <w:r w:rsidRPr="0008481A">
        <w:softHyphen/>
        <w:t>läm</w:t>
      </w:r>
      <w:r w:rsidRPr="0008481A">
        <w:softHyphen/>
        <w:t>nade, JO:s anm.).</w:t>
      </w:r>
    </w:p>
    <w:p w:rsidR="003B3271" w:rsidRPr="0008481A" w:rsidRDefault="003B3271">
      <w:r w:rsidRPr="0008481A">
        <w:t>Patientansvarig överläkare och chefsöverläkare hänvisar i bifogat yttrande (bil 1) till journalanteckning 981222 (bil 2) och avdel</w:t>
      </w:r>
      <w:r w:rsidRPr="0008481A">
        <w:softHyphen/>
        <w:t>ningsanteckningar 981222 och 981227 (bil 3 och 4) samt avdelnings</w:t>
      </w:r>
      <w:r w:rsidRPr="0008481A">
        <w:softHyphen/>
        <w:t>anteckning beträffande medpatient 981222 (bil 5). Anteckningarna visar på patientens problem att handha minu</w:t>
      </w:r>
      <w:r w:rsidRPr="0008481A">
        <w:softHyphen/>
        <w:t>tenkortet. Ytterligare dokumentation av åtgärden med J.A:s minutenkort har ej skett.</w:t>
      </w:r>
    </w:p>
    <w:p w:rsidR="003B3271" w:rsidRPr="0008481A" w:rsidRDefault="003B3271">
      <w:r w:rsidRPr="0008481A">
        <w:t>Till remissvaret hade utförarstyrelsen bifogat utdrag ur de nämnda jour</w:t>
      </w:r>
      <w:r w:rsidRPr="0008481A">
        <w:softHyphen/>
        <w:t>nalerna.</w:t>
      </w:r>
    </w:p>
    <w:p w:rsidR="003B3271" w:rsidRPr="0008481A" w:rsidRDefault="003B3271">
      <w:pPr>
        <w:pStyle w:val="Normaltindrag"/>
      </w:pPr>
      <w:r w:rsidRPr="0008481A">
        <w:t>J.A. bereddes tillfälle att yttra sig över remissvaren men avhördes inte.</w:t>
      </w:r>
    </w:p>
    <w:p w:rsidR="003B3271" w:rsidRPr="0008481A" w:rsidRDefault="003B3271">
      <w:r w:rsidRPr="0008481A">
        <w:t xml:space="preserve">I sitt beslut den 7 mars 2000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r w:rsidRPr="0008481A">
        <w:t xml:space="preserve">Huvudfrågan i förevarande ärende rör en för rättspsykiatrisk vård intagen patients rätt att fritt disponera sitt minutenkort. </w:t>
      </w:r>
    </w:p>
    <w:p w:rsidR="003B3271" w:rsidRPr="0008481A" w:rsidRDefault="003B3271">
      <w:pPr>
        <w:pStyle w:val="Normaltindrag"/>
      </w:pPr>
      <w:r w:rsidRPr="0008481A">
        <w:t>Självfallet är det möjligt för sjukvårdspersonalen att bistå patienten med förvalt</w:t>
      </w:r>
      <w:r w:rsidRPr="0008481A">
        <w:softHyphen/>
        <w:t>ning av dennes egna medel om detta sker efter en överenskommelse med patien</w:t>
      </w:r>
      <w:r w:rsidRPr="0008481A">
        <w:softHyphen/>
        <w:t>ten. Den fråga som här skall behandlas rör emellertid omhänder</w:t>
      </w:r>
      <w:r w:rsidRPr="0008481A">
        <w:softHyphen/>
        <w:t>tagande av J.A:s minutenkort mot hans vilja. Enligt remissvaret var skälet till omhänder</w:t>
      </w:r>
      <w:r w:rsidRPr="0008481A">
        <w:softHyphen/>
        <w:t>tagandet att innehavet kunde vara till men för vården eller ordningen på vård</w:t>
      </w:r>
      <w:r w:rsidRPr="0008481A">
        <w:softHyphen/>
        <w:t>inrättningen. Den problemställning som aktualiseras i ärendet har tidigare berörts i ett beslut av JO Gunnel Norell Söderblom, redo</w:t>
      </w:r>
      <w:r w:rsidRPr="0008481A">
        <w:softHyphen/>
        <w:t>visat i JO:s ämbetsberättelse 1996/97 s. 301. Gunnel Norell Söderblom anf</w:t>
      </w:r>
      <w:r w:rsidRPr="0008481A">
        <w:t xml:space="preserve">örde bl.a. följande. </w:t>
      </w:r>
    </w:p>
    <w:p w:rsidR="003B3271" w:rsidRPr="0008481A" w:rsidRDefault="003B3271">
      <w:pPr>
        <w:pStyle w:val="Citat"/>
      </w:pPr>
      <w:r w:rsidRPr="0008481A">
        <w:t>Den som är intagen för rättspsykiatrisk vård är inte på grund härav betagen sin rätt att själv förfoga över sina tillgångar. För den som är myndig men som på grund av sjukdom, psykisk störning, försvagat hälsotillstånd eller liknande förhållanden behöver hjälp med att bevaka sin rätt, förvalta sin egendom eller sörja för sin person och som är ur stånd att vårda sig eller sin egendom kan enligt bestämmelserna i 11 kap. 7 § föräldrabalken för</w:t>
      </w:r>
      <w:r w:rsidRPr="0008481A">
        <w:softHyphen/>
        <w:t>valtare förordnas. I sådant fall har förvaltaren vidsträckta befogenheter att sköta perso</w:t>
      </w:r>
      <w:r w:rsidRPr="0008481A">
        <w:softHyphen/>
        <w:t xml:space="preserve">nens ekonomi. </w:t>
      </w:r>
    </w:p>
    <w:p w:rsidR="003B3271" w:rsidRPr="0008481A" w:rsidRDefault="003B3271">
      <w:pPr>
        <w:pStyle w:val="Citatindrag"/>
      </w:pPr>
      <w:r w:rsidRPr="0008481A">
        <w:t>– – – Inskränkningar i rätten att själv förfoga över sina tillgångar kan emellertid även göras av bl.a. ordningsskäl. I 21 § lagen (1991:1128) om psykiatrisk tvångsvård jämförd med 8 § lagen (1991:1129) om rätts</w:t>
      </w:r>
      <w:r w:rsidRPr="0008481A">
        <w:softHyphen/>
        <w:t>psykiatrisk vård framgår att patient som är intagen på en rättspsykiatrisk sjukvårdsinrättning utöver narkotika och liknande heller inte får inneha annan egendom som kan skada honom själv eller någon annan eller vara till men för vår</w:t>
      </w:r>
      <w:r w:rsidRPr="0008481A">
        <w:softHyphen/>
        <w:t>den eller ordningen på av</w:t>
      </w:r>
      <w:r w:rsidRPr="0008481A">
        <w:softHyphen/>
        <w:t>delningen. Det kan vara vanskligt att dra för långtgående slut</w:t>
      </w:r>
      <w:r w:rsidRPr="0008481A">
        <w:softHyphen/>
        <w:t>satser av lag</w:t>
      </w:r>
      <w:r w:rsidRPr="0008481A">
        <w:softHyphen/>
        <w:t>rummet. Jämförelse kan emellertid göras med motsvarande regelsystem för den som är intagen inom kriminalvården. Av 24 § lagen (1974:203) om kriminalvård i anstalt framgår att</w:t>
      </w:r>
      <w:r w:rsidRPr="0008481A">
        <w:t xml:space="preserve"> rätten för intagen att inneha penningmedel regleras i särskild ordning. Skälen att inskränka rätten att inneha pengar är bl.a. att förhindra narkotikaaffärer och spel om pengar mellan de intagna. Frånvaron av uttrycklig reglering vad gäller den psyki</w:t>
      </w:r>
      <w:r w:rsidRPr="0008481A">
        <w:softHyphen/>
        <w:t>atriska tvångslag</w:t>
      </w:r>
      <w:r w:rsidRPr="0008481A">
        <w:softHyphen/>
        <w:t>stiftningen kan visserligen tolkas så att lagstiftaren, som inte berört sa</w:t>
      </w:r>
      <w:r w:rsidRPr="0008481A">
        <w:softHyphen/>
        <w:t>ken i förarbetena, ej avsett att inskränka patienternas rätt att fritt förfoga över penning</w:t>
      </w:r>
      <w:r w:rsidRPr="0008481A">
        <w:softHyphen/>
        <w:t>medel på sjukhuset. Å andra sidan är det ovedersägligt att de skäl som föra</w:t>
      </w:r>
      <w:r w:rsidRPr="0008481A">
        <w:t>nlett lagstift</w:t>
      </w:r>
      <w:r w:rsidRPr="0008481A">
        <w:softHyphen/>
        <w:t>ningen på kriminalvårdssidan med samma kraft gör sig gällande även inom den rättspsy</w:t>
      </w:r>
      <w:r w:rsidRPr="0008481A">
        <w:softHyphen/>
        <w:t xml:space="preserve">kiatriska vården. </w:t>
      </w:r>
    </w:p>
    <w:p w:rsidR="003B3271" w:rsidRPr="0008481A" w:rsidRDefault="003B3271">
      <w:pPr>
        <w:pStyle w:val="Citatindrag"/>
      </w:pPr>
      <w:r w:rsidRPr="0008481A">
        <w:t>Det får anses uppenbart att 27 000 kr i kontanter bland patienterna kan menligt påverka både vården och ordningen på vårdinrättningen. Mot den bak</w:t>
      </w:r>
      <w:r w:rsidRPr="0008481A">
        <w:softHyphen/>
        <w:t>grunden framstår det rimligt att tolka begreppet annan egendom så att det även innefattar pengar.</w:t>
      </w:r>
    </w:p>
    <w:p w:rsidR="003B3271" w:rsidRPr="0008481A" w:rsidRDefault="003B3271">
      <w:r w:rsidRPr="0008481A">
        <w:t>Det har inte skett några huvudsakliga förändringar i de bestämmelser som Gunnel Norell Söderblom hänförde sig till. Frågan har inte heller berörts i det förslag till ändringar av lagstiftningen som regeringen framlagt i proposi</w:t>
      </w:r>
      <w:r w:rsidRPr="0008481A">
        <w:softHyphen/>
        <w:t>tion 1999/2000:44 Psykiatrisk tvångsvård och rättspsykiatrisk vård. Jag ansluter mig till det som Gunnel Norell Söderblom har anfört och anser följakt</w:t>
      </w:r>
      <w:r w:rsidRPr="0008481A">
        <w:softHyphen/>
        <w:t>ligen att 21 § lagen om psy</w:t>
      </w:r>
      <w:r w:rsidRPr="0008481A">
        <w:softHyphen/>
        <w:t>kiatrisk tvångsvård jämförd med 8 § lagen om rätts</w:t>
      </w:r>
      <w:r w:rsidRPr="0008481A">
        <w:softHyphen/>
        <w:t xml:space="preserve">psykiatrisk vård ger utrymme för att mot patientens vilja omhänderta pengar om förutsättningarna i lagrummet är uppfyllda i övrigt. </w:t>
      </w:r>
    </w:p>
    <w:p w:rsidR="003B3271" w:rsidRPr="0008481A" w:rsidRDefault="003B3271">
      <w:pPr>
        <w:pStyle w:val="Normaltindrag"/>
      </w:pPr>
      <w:r w:rsidRPr="0008481A">
        <w:t>Det framgår av journalanteckningarna att det fanns ca 48 000 kr inne</w:t>
      </w:r>
      <w:r w:rsidRPr="0008481A">
        <w:softHyphen/>
        <w:t>stående på det konto som J.A. hade ett minutenkort anslutet till. Ut</w:t>
      </w:r>
      <w:r w:rsidRPr="0008481A">
        <w:softHyphen/>
        <w:t>redningen hos JO visar att det fanns problem med narkotika på den aktuella avdel</w:t>
      </w:r>
      <w:r w:rsidRPr="0008481A">
        <w:softHyphen/>
        <w:t>ningen. I remiss</w:t>
      </w:r>
      <w:r w:rsidRPr="0008481A">
        <w:softHyphen/>
        <w:t>svaret har även angetts att J.A. hade drog</w:t>
      </w:r>
      <w:r w:rsidRPr="0008481A">
        <w:softHyphen/>
        <w:t>problem och miss</w:t>
      </w:r>
      <w:r w:rsidRPr="0008481A">
        <w:softHyphen/>
        <w:t>brukade narkotika och att det hade förekommit narkotika på avdelningen när J.A. vistades där. Vidare framgår det av journal</w:t>
      </w:r>
      <w:r w:rsidRPr="0008481A">
        <w:softHyphen/>
        <w:t>anteckningarna att det fanns goda skäl för uppfattningen att J.A:s minutenkort skulle kunna komma att användas för uttag av någon patient på vårdinrättningen. D</w:t>
      </w:r>
      <w:r w:rsidRPr="0008481A">
        <w:t>et fanns följakt</w:t>
      </w:r>
      <w:r w:rsidRPr="0008481A">
        <w:softHyphen/>
        <w:t>ligen en beaktansvärd risk för att minuten</w:t>
      </w:r>
      <w:r w:rsidRPr="0008481A">
        <w:softHyphen/>
        <w:t>kortet skulle kunna vara till men för vården eller ordningen på samma sätt som innehav av en större summa pengar. I den situationen finns det enligt min mening inte anledning att lägga något annat synsätt på omhändertagandet av minuten</w:t>
      </w:r>
      <w:r w:rsidRPr="0008481A">
        <w:softHyphen/>
        <w:t>kortet än på om</w:t>
      </w:r>
      <w:r w:rsidRPr="0008481A">
        <w:softHyphen/>
        <w:t>händer</w:t>
      </w:r>
      <w:r w:rsidRPr="0008481A">
        <w:softHyphen/>
      </w:r>
      <w:r w:rsidRPr="0008481A">
        <w:softHyphen/>
        <w:t xml:space="preserve">tagande av pengar. </w:t>
      </w:r>
    </w:p>
    <w:p w:rsidR="003B3271" w:rsidRPr="0008481A" w:rsidRDefault="003B3271">
      <w:pPr>
        <w:pStyle w:val="Normaltindrag"/>
      </w:pPr>
      <w:r w:rsidRPr="0008481A">
        <w:t>Jag vill understryka att omhändertagande av egendom enligt de aktuella lag</w:t>
      </w:r>
      <w:r w:rsidRPr="0008481A">
        <w:softHyphen/>
        <w:t>rummen skall föregås av en bedömning i det enskilda fallet. Av 2 § 9 för</w:t>
      </w:r>
      <w:r w:rsidRPr="0008481A">
        <w:softHyphen/>
        <w:t>ord</w:t>
      </w:r>
      <w:r w:rsidRPr="0008481A">
        <w:softHyphen/>
        <w:t>ningen (1991:1472) om psykiatrisk tvångsvård och rättspsykiatrisk vård följer även att uppgift om omhändertagande av egendom skall antecknas i patientens journal. Såvitt utredningen visar har det inte skett någon sådan anteckning. Det finns därför skäl att kritisera den bristande dokumentationen i saken.</w:t>
      </w:r>
    </w:p>
    <w:p w:rsidR="003B3271" w:rsidRPr="0008481A" w:rsidRDefault="003B3271">
      <w:pPr>
        <w:pStyle w:val="Normaltindrag"/>
      </w:pPr>
      <w:r w:rsidRPr="0008481A">
        <w:t xml:space="preserve">Vad J.A. i övrigt har anfört föranleder inte något vidare uttalande från min sida. </w:t>
      </w:r>
    </w:p>
    <w:p w:rsidR="003B3271" w:rsidRPr="0008481A" w:rsidRDefault="003B3271">
      <w:pPr>
        <w:spacing w:before="0"/>
      </w:pPr>
      <w:r w:rsidRPr="0008481A">
        <w:t>_________</w:t>
      </w:r>
    </w:p>
    <w:p w:rsidR="003B3271" w:rsidRPr="0008481A" w:rsidRDefault="003B3271">
      <w:r w:rsidRPr="0008481A">
        <w:t>Ärendet avslutas med den kritik som framgår av det anförda. Jag utgår från att Utförarstyrelsen ser till att uppgift om omhändertagande av egendom enligt de nämnda lagrummen fort</w:t>
      </w:r>
      <w:r w:rsidRPr="0008481A">
        <w:softHyphen/>
        <w:t>sätt</w:t>
      </w:r>
      <w:r w:rsidRPr="0008481A">
        <w:softHyphen/>
        <w:t>ningsvis dokumenteras i journalen.</w:t>
      </w:r>
    </w:p>
    <w:p w:rsidR="003B3271" w:rsidRPr="0008481A" w:rsidRDefault="003B3271">
      <w:pPr>
        <w:pStyle w:val="Rubrik2"/>
        <w:spacing w:before="0"/>
      </w:pPr>
      <w:r w:rsidRPr="0008481A">
        <w:br w:type="page"/>
        <w:t>Kritik mot rättspsykiatrisk enhet för genomförandet av ytliga kropps</w:t>
      </w:r>
      <w:r w:rsidRPr="0008481A">
        <w:softHyphen/>
        <w:t>besiktningar och kontroll av brevförsändelser. Även kritik för un</w:t>
      </w:r>
      <w:r w:rsidRPr="0008481A">
        <w:softHyphen/>
        <w:t>derlåtenhet att dokumentera dessa tvångsåtgärder i patientjournalen</w:t>
      </w:r>
    </w:p>
    <w:p w:rsidR="003B3271" w:rsidRPr="0008481A" w:rsidRDefault="003B3271">
      <w:r w:rsidRPr="0008481A">
        <w:t>(Dnr 3890-1999)</w:t>
      </w:r>
    </w:p>
    <w:p w:rsidR="003B3271" w:rsidRPr="0008481A" w:rsidRDefault="003B3271">
      <w:pPr>
        <w:pStyle w:val="Rubrik3"/>
      </w:pPr>
      <w:r w:rsidRPr="0008481A">
        <w:t xml:space="preserve">Anmälan </w:t>
      </w:r>
    </w:p>
    <w:p w:rsidR="003B3271" w:rsidRPr="0008481A" w:rsidRDefault="003B3271">
      <w:r w:rsidRPr="0008481A">
        <w:t>J.A. var intagen för rättspsykiatrisk vård vid Restad gård, en rättspsykiatrisk enhet inom NU-sjukvården, Västra Götalandsregionen. I en anmälan till JO framförde J.A. klagomål mot att han ständigt visiterades när han lämnade och återvände till avdelningen, vilket han gjorde flera gånger dagligen. Vid visitationerna fick han klä av sig naken.  J.A. ifrågasatte om det inte skulle före</w:t>
      </w:r>
      <w:r w:rsidRPr="0008481A">
        <w:softHyphen/>
        <w:t>ligga misstanke om in</w:t>
      </w:r>
      <w:r w:rsidRPr="0008481A">
        <w:softHyphen/>
        <w:t>smuggling av narkotika för att visitation skulle få ske. J.A. klagade även på ruti</w:t>
      </w:r>
      <w:r w:rsidRPr="0008481A">
        <w:softHyphen/>
        <w:t>nerna för kontroll av försändelser och tog därvid bl.a. upp att det förekom att för</w:t>
      </w:r>
      <w:r w:rsidRPr="0008481A">
        <w:softHyphen/>
        <w:t>sändelser öppnades utan att den intagne var när</w:t>
      </w:r>
      <w:r w:rsidRPr="0008481A">
        <w:softHyphen/>
        <w:t xml:space="preserve">varande. </w:t>
      </w:r>
    </w:p>
    <w:p w:rsidR="003B3271" w:rsidRPr="0008481A" w:rsidRDefault="003B3271">
      <w:pPr>
        <w:pStyle w:val="Rubrik3"/>
      </w:pPr>
      <w:r w:rsidRPr="0008481A">
        <w:t>Utredning</w:t>
      </w:r>
    </w:p>
    <w:p w:rsidR="003B3271" w:rsidRPr="0008481A" w:rsidRDefault="003B3271">
      <w:r w:rsidRPr="0008481A">
        <w:t>Inledningsvis tog JO del av journalen rörande J.A. Därefter anmodades Utförar</w:t>
      </w:r>
      <w:r w:rsidRPr="0008481A">
        <w:softHyphen/>
        <w:t>styrelsen för NU-sjukvården, Västra Götalandsregionen, att inkomma med utred</w:t>
      </w:r>
      <w:r w:rsidRPr="0008481A">
        <w:softHyphen/>
        <w:t>ning och yttrande angående det som J.A. framförde i sin anmälan. I remissen an</w:t>
      </w:r>
      <w:r w:rsidRPr="0008481A">
        <w:softHyphen/>
        <w:t>gavs att remissvaret även skulle innehålla en beskrivning av hur åtgärderna hade dokumenterats. Utförarstyrelsens majoritet avgav remissvar. En av leda</w:t>
      </w:r>
      <w:r w:rsidRPr="0008481A">
        <w:softHyphen/>
        <w:t>möterna var skiljaktig och ansåg att ärendet skulle återremitteras för komp</w:t>
      </w:r>
      <w:r w:rsidRPr="0008481A">
        <w:softHyphen/>
        <w:t xml:space="preserve">lettering. Utförarstyrelsen anförde huvudsakligen följande i sitt remissvar. </w:t>
      </w:r>
    </w:p>
    <w:p w:rsidR="003B3271" w:rsidRPr="0008481A" w:rsidRDefault="003B3271">
      <w:pPr>
        <w:pStyle w:val="Citat"/>
      </w:pPr>
      <w:r w:rsidRPr="0008481A">
        <w:t>Såsom framgår av bifogat yttrande från patientans</w:t>
      </w:r>
      <w:r w:rsidRPr="0008481A">
        <w:t>varig överläkare på rätts</w:t>
      </w:r>
      <w:r w:rsidRPr="0008481A">
        <w:softHyphen/>
        <w:t>psykiatriska enheten och chefsöverläkaren (yttrandet här utelämnat, JO:s anm.) har den rättspsykiat</w:t>
      </w:r>
      <w:r w:rsidRPr="0008481A">
        <w:softHyphen/>
        <w:t>riska enheten på Restad Gård stora problem med narkotika</w:t>
      </w:r>
      <w:r w:rsidRPr="0008481A">
        <w:softHyphen/>
        <w:t>införsel på avdelningen och narkotika</w:t>
      </w:r>
      <w:r w:rsidRPr="0008481A">
        <w:softHyphen/>
        <w:t>användning av de intagna patienterna. Enligt yttrandet använder sig den rätts</w:t>
      </w:r>
      <w:r w:rsidRPr="0008481A">
        <w:softHyphen/>
        <w:t>psykiatriska enheten av möjligheten till kroppsvisitation av pa</w:t>
      </w:r>
      <w:r w:rsidRPr="0008481A">
        <w:softHyphen/>
        <w:t>tienterna som ett hjälp</w:t>
      </w:r>
      <w:r w:rsidRPr="0008481A">
        <w:softHyphen/>
        <w:t xml:space="preserve">medel i strävan att förhindra att narkotika förs in på avdelningen. Lagen (1991:1129) om rättspsykiatrisk vård § 8 och lagen </w:t>
      </w:r>
      <w:r w:rsidRPr="0008481A">
        <w:t>(1991:1128) om psykiatrisk tvångsvård § 23 åberopas.</w:t>
      </w:r>
    </w:p>
    <w:p w:rsidR="003B3271" w:rsidRPr="0008481A" w:rsidRDefault="003B3271">
      <w:pPr>
        <w:pStyle w:val="Citatindrag"/>
      </w:pPr>
      <w:r w:rsidRPr="0008481A">
        <w:t>Problemet med narkotika på avdelningen är också orsaken till att inkom</w:t>
      </w:r>
      <w:r w:rsidRPr="0008481A">
        <w:softHyphen/>
        <w:t>mande brev öpp</w:t>
      </w:r>
      <w:r w:rsidRPr="0008481A">
        <w:softHyphen/>
        <w:t>nas inför personalens åsyn. Lagen (1991:1129) om rätts</w:t>
      </w:r>
      <w:r w:rsidRPr="0008481A">
        <w:softHyphen/>
        <w:t>psykiatrisk vård § 8 och lagen (1991:1128) om psykiatrisk tvångsvård § 22 åberopas. Enligt bifogat yttrande får det inte förekomma att brev öppnas utan att patienten är närvarande. Inte heller får personal ta del av det skrift</w:t>
      </w:r>
      <w:r w:rsidRPr="0008481A">
        <w:softHyphen/>
        <w:t>liga innehållet.</w:t>
      </w:r>
    </w:p>
    <w:p w:rsidR="003B3271" w:rsidRPr="0008481A" w:rsidRDefault="003B3271">
      <w:pPr>
        <w:pStyle w:val="Citatindrag"/>
      </w:pPr>
      <w:r w:rsidRPr="0008481A">
        <w:t>Utförarstyrelsen ställer sig bakom av chefsöverläkare och patientansvarig läkare vidtagna åtgärder enligt ovan för att förhindra att narkotika förs in på avdelningen.</w:t>
      </w:r>
    </w:p>
    <w:p w:rsidR="003B3271" w:rsidRPr="0008481A" w:rsidRDefault="003B3271">
      <w:pPr>
        <w:pStyle w:val="Rubrik4"/>
      </w:pPr>
      <w:r w:rsidRPr="0008481A">
        <w:t>Dokumentation av åtgärderna</w:t>
      </w:r>
    </w:p>
    <w:p w:rsidR="003B3271" w:rsidRPr="0008481A" w:rsidRDefault="003B3271">
      <w:pPr>
        <w:pStyle w:val="Citat"/>
      </w:pPr>
      <w:r w:rsidRPr="0008481A">
        <w:t>Såsom framgår av bifogat yttrande har någon strukturerad journalföring av angivna åt</w:t>
      </w:r>
      <w:r w:rsidRPr="0008481A">
        <w:softHyphen/>
        <w:t>gärder tidigare ej skett. Sådan rutin har emellertid nu införts.</w:t>
      </w:r>
    </w:p>
    <w:p w:rsidR="003B3271" w:rsidRPr="0008481A" w:rsidRDefault="003B3271">
      <w:r w:rsidRPr="0008481A">
        <w:t>J.A. yttrade sig över remissvaret.</w:t>
      </w:r>
    </w:p>
    <w:p w:rsidR="003B3271" w:rsidRPr="0008481A" w:rsidRDefault="003B3271">
      <w:r w:rsidRPr="0008481A">
        <w:t>I sitt beslut den 7 mars 2000 anförde</w:t>
      </w:r>
      <w:r w:rsidRPr="0008481A">
        <w:rPr>
          <w:i/>
        </w:rPr>
        <w:t xml:space="preserve"> JO André</w:t>
      </w:r>
      <w:r w:rsidRPr="0008481A">
        <w:t xml:space="preserve"> följande.</w:t>
      </w:r>
    </w:p>
    <w:p w:rsidR="003B3271" w:rsidRPr="0008481A" w:rsidRDefault="003B3271">
      <w:pPr>
        <w:pStyle w:val="Rubrik3"/>
      </w:pPr>
      <w:r w:rsidRPr="0008481A">
        <w:t>Bedömning</w:t>
      </w:r>
    </w:p>
    <w:p w:rsidR="003B3271" w:rsidRPr="0008481A" w:rsidRDefault="003B3271">
      <w:r w:rsidRPr="0008481A">
        <w:t>Enligt 8 § lagen (1991:1129) om rättspsykiatrisk vård (LRV) gäller i tillämp</w:t>
      </w:r>
      <w:r w:rsidRPr="0008481A">
        <w:softHyphen/>
        <w:t>liga delar bestämmelserna i 16–24 §§ lagen (1991:1128) om psykiatrisk tvångsvård (LPT) även vid rättspsykiatrisk vård. I 22 § LPT finns det bestämmelser om kon</w:t>
      </w:r>
      <w:r w:rsidRPr="0008481A">
        <w:softHyphen/>
        <w:t>troll av ankommande försändelser och i 23 § LPT regleras förutsättningarna för kropps</w:t>
      </w:r>
      <w:r w:rsidRPr="0008481A">
        <w:softHyphen/>
        <w:t>visitation och ytlig kropps</w:t>
      </w:r>
      <w:r w:rsidRPr="0008481A">
        <w:softHyphen/>
        <w:t>besiktning.</w:t>
      </w:r>
    </w:p>
    <w:p w:rsidR="003B3271" w:rsidRPr="0008481A" w:rsidRDefault="003B3271">
      <w:pPr>
        <w:pStyle w:val="Rubrik4"/>
      </w:pPr>
      <w:r w:rsidRPr="0008481A">
        <w:t>Kontroll av ankommande försändelser</w:t>
      </w:r>
    </w:p>
    <w:p w:rsidR="003B3271" w:rsidRPr="0008481A" w:rsidRDefault="003B3271">
      <w:r w:rsidRPr="0008481A">
        <w:t>22 § LPT har följande lydelse.</w:t>
      </w:r>
    </w:p>
    <w:p w:rsidR="003B3271" w:rsidRPr="0008481A" w:rsidRDefault="003B3271">
      <w:pPr>
        <w:pStyle w:val="Citat"/>
      </w:pPr>
      <w:r w:rsidRPr="0008481A">
        <w:t>Chefsöverläkaren får besluta att försändelser till en patient får under</w:t>
      </w:r>
      <w:r w:rsidRPr="0008481A">
        <w:softHyphen/>
        <w:t>sökas för kontroll av att de inte innehåller sådan egendom som avses i 21 §. Granskningen av en försändelse får inte avse det skriftliga innehållet i brev eller annan skriftlig handling.</w:t>
      </w:r>
    </w:p>
    <w:p w:rsidR="003B3271" w:rsidRPr="0008481A" w:rsidRDefault="003B3271">
      <w:pPr>
        <w:pStyle w:val="Citatindrag"/>
      </w:pPr>
      <w:r w:rsidRPr="0008481A">
        <w:t>Om en ankommande försändelse innehåller egendom som inte får innehas enligt 21 §, får egendomen omhändertas.</w:t>
      </w:r>
    </w:p>
    <w:p w:rsidR="003B3271" w:rsidRPr="0008481A" w:rsidRDefault="003B3271">
      <w:r w:rsidRPr="0008481A">
        <w:t>Enligt 23 § LRV får chefsöverläkaren delegera uppgiften till en annan läkare.</w:t>
      </w:r>
    </w:p>
    <w:p w:rsidR="003B3271" w:rsidRPr="0008481A" w:rsidRDefault="003B3271">
      <w:pPr>
        <w:pStyle w:val="Normaltindrag"/>
      </w:pPr>
      <w:r w:rsidRPr="0008481A">
        <w:t>Med hänsyn till att bestämmelserna i 22 § LPT hänvisar till 21 § LPT finns det anledning att även redovisa innehållet i 21 § första stycket LPT. Det lag</w:t>
      </w:r>
      <w:r w:rsidRPr="0008481A">
        <w:softHyphen/>
        <w:t xml:space="preserve">rummet har följande lydelse. </w:t>
      </w:r>
    </w:p>
    <w:p w:rsidR="003B3271" w:rsidRPr="0008481A" w:rsidRDefault="003B3271">
      <w:r w:rsidRPr="0008481A">
        <w:t>En patient får inte inneha</w:t>
      </w:r>
    </w:p>
    <w:p w:rsidR="003B3271" w:rsidRPr="0008481A" w:rsidRDefault="003B3271">
      <w:pPr>
        <w:pStyle w:val="Citatindrag"/>
      </w:pPr>
      <w:r w:rsidRPr="0008481A">
        <w:t>1. narkotika, alkoholhaltiga drycker, andra berusningsmedel eller sådana varor som om</w:t>
      </w:r>
      <w:r w:rsidRPr="0008481A">
        <w:softHyphen/>
        <w:t>fattas av lagen (1999:42) om förbud mot vissa hälsofarliga varor,</w:t>
      </w:r>
    </w:p>
    <w:p w:rsidR="003B3271" w:rsidRPr="0008481A" w:rsidRDefault="003B3271">
      <w:pPr>
        <w:pStyle w:val="Citatindrag"/>
      </w:pPr>
      <w:r w:rsidRPr="0008481A">
        <w:t>2. sådana medel som avses i lagen (1991:1969) om förbud mot vissa dopningsmedel,</w:t>
      </w:r>
    </w:p>
    <w:p w:rsidR="003B3271" w:rsidRPr="0008481A" w:rsidRDefault="003B3271">
      <w:pPr>
        <w:pStyle w:val="Citatindrag"/>
      </w:pPr>
      <w:r w:rsidRPr="0008481A">
        <w:t>3. injektionssprutor eller kanyler, som kan användas för insprutning i människo</w:t>
      </w:r>
      <w:r w:rsidRPr="0008481A">
        <w:softHyphen/>
        <w:t>kroppen,</w:t>
      </w:r>
    </w:p>
    <w:p w:rsidR="003B3271" w:rsidRPr="0008481A" w:rsidRDefault="003B3271">
      <w:pPr>
        <w:pStyle w:val="Citatindrag"/>
      </w:pPr>
      <w:r w:rsidRPr="0008481A">
        <w:t>4. andra föremål som är särskilt ägnade att användas för missbruk av eller annan befatt</w:t>
      </w:r>
      <w:r w:rsidRPr="0008481A">
        <w:softHyphen/>
        <w:t>ning med narkotika, eller</w:t>
      </w:r>
    </w:p>
    <w:p w:rsidR="003B3271" w:rsidRPr="0008481A" w:rsidRDefault="003B3271">
      <w:pPr>
        <w:pStyle w:val="Citatindrag"/>
      </w:pPr>
      <w:r w:rsidRPr="0008481A">
        <w:t>5. annan egendom som kan skada honom själv eller någon annan eller vara till men för vården eller ordningen på vårdinrättningen.</w:t>
      </w:r>
    </w:p>
    <w:p w:rsidR="003B3271" w:rsidRPr="0008481A" w:rsidRDefault="003B3271">
      <w:r w:rsidRPr="0008481A">
        <w:t>Av remissvaret framgår att den aktuella avdelningen har haft stora problem med narkotikainförsel. Vad som har framkommit utgör inte skäl att ifrågasätta att an</w:t>
      </w:r>
      <w:r w:rsidRPr="0008481A">
        <w:softHyphen/>
        <w:t>kommande försändelser kontrolleras. Beträffande formen för kontrollen har utfö</w:t>
      </w:r>
      <w:r w:rsidRPr="0008481A">
        <w:softHyphen/>
        <w:t>rar</w:t>
      </w:r>
      <w:r w:rsidRPr="0008481A">
        <w:softHyphen/>
        <w:t>styrelsen angett att den inte får ske i patientens utevaro. J.A. har påstått att kontroll av ankommande försändelser har skett i patientens utevaro. Påståendet har inte bemötts i remissvaret, varför jag utgår från att det är riktigt. Jag konstate</w:t>
      </w:r>
      <w:r w:rsidRPr="0008481A">
        <w:softHyphen/>
        <w:t>rar att detta förfarande strider mot enhetens rutiner för kontroll av för</w:t>
      </w:r>
      <w:r w:rsidRPr="0008481A">
        <w:softHyphen/>
        <w:t xml:space="preserve">sändelser. </w:t>
      </w:r>
    </w:p>
    <w:p w:rsidR="003B3271" w:rsidRPr="0008481A" w:rsidRDefault="003B3271">
      <w:pPr>
        <w:pStyle w:val="Rubrik4"/>
      </w:pPr>
      <w:r w:rsidRPr="0008481A">
        <w:t>Visitationer och kroppsbesiktningar</w:t>
      </w:r>
    </w:p>
    <w:p w:rsidR="003B3271" w:rsidRPr="0008481A" w:rsidRDefault="003B3271">
      <w:r w:rsidRPr="0008481A">
        <w:t>23 § LPT har följande lydelse.</w:t>
      </w:r>
    </w:p>
    <w:p w:rsidR="003B3271" w:rsidRPr="0008481A" w:rsidRDefault="003B3271">
      <w:pPr>
        <w:pStyle w:val="Citat"/>
      </w:pPr>
      <w:r w:rsidRPr="0008481A">
        <w:t>Om det är påkallat får en patient kroppsvisiteras eller ytligt kroppsbesiktigas, när han kommer till sjukvårdsinrättningen, för kontroll av att han inte bär på sig egendom som avses i 21 §. Detsamma gäller om det under vistelsen på vårdinrätt</w:t>
      </w:r>
      <w:r w:rsidRPr="0008481A">
        <w:softHyphen/>
        <w:t>ningen uppkommer misstanke att sådan egendom skall påträffas hos patienten.</w:t>
      </w:r>
    </w:p>
    <w:p w:rsidR="003B3271" w:rsidRPr="0008481A" w:rsidRDefault="003B3271">
      <w:pPr>
        <w:pStyle w:val="Citatindrag"/>
      </w:pPr>
      <w:r w:rsidRPr="0008481A">
        <w:t>Kroppsvisitation och ytlig kroppsbesiktning får inte göras mer ingående än vad ändamålet med åtgärden kräver. All den hänsyn som omständigheterna medger skall iakttas. Om möjligt skall ett vittne närvara.</w:t>
      </w:r>
    </w:p>
    <w:p w:rsidR="003B3271" w:rsidRPr="0008481A" w:rsidRDefault="003B3271">
      <w:pPr>
        <w:pStyle w:val="Citatindrag"/>
      </w:pPr>
      <w:r w:rsidRPr="0008481A">
        <w:t>Chefsöverläkaren beslutar om kroppsvisitation och ytlig kroppsbesiktning.</w:t>
      </w:r>
    </w:p>
    <w:p w:rsidR="003B3271" w:rsidRPr="0008481A" w:rsidRDefault="003B3271">
      <w:r w:rsidRPr="0008481A">
        <w:t>Enligt 23 § LRV får chefsöverläkaren delegera uppgiften till en annan läkare.</w:t>
      </w:r>
    </w:p>
    <w:p w:rsidR="003B3271" w:rsidRPr="0008481A" w:rsidRDefault="003B3271">
      <w:pPr>
        <w:pStyle w:val="Normaltindrag"/>
      </w:pPr>
      <w:r w:rsidRPr="0008481A">
        <w:t>Med kroppsvisitation avses undersökning av patientens kläder, väska eller något annat som han för med sig, däremot inte av hans kropp. En ytlig kroppsbesiktning innebär en granskning av de delar av den nakna kroppen som är synliga. Även armhålorna, håret och fotsulorna får undersökas (prop. 1999/91:58 s. 263). Det tillvägagångssätt som J.A. har beskrivit innebär ett påstående om att det regelmässigt förekom ytliga kroppsbesikt</w:t>
      </w:r>
      <w:r w:rsidRPr="0008481A">
        <w:softHyphen/>
        <w:t>ningar. Jag noterar att såväl utförarstyrelsen som chefsöver</w:t>
      </w:r>
      <w:r w:rsidRPr="0008481A">
        <w:softHyphen/>
        <w:t>läkaren och över</w:t>
      </w:r>
      <w:r w:rsidRPr="0008481A">
        <w:softHyphen/>
        <w:t>läkaren i remissvar och yttrande har talat om kropps</w:t>
      </w:r>
      <w:r w:rsidRPr="0008481A">
        <w:softHyphen/>
        <w:t>visitationer. Eftersom utförar</w:t>
      </w:r>
      <w:r w:rsidRPr="0008481A">
        <w:softHyphen/>
        <w:t>styrelsen inte har invänt mot J.A:s beskrivning av hur ”visitationerna” gick till, utgår jag från att det var fråga om ytliga kroppsbesikt</w:t>
      </w:r>
      <w:r w:rsidRPr="0008481A">
        <w:softHyphen/>
        <w:t>ningar. Som har framgått är det tillåtet att genomföra sådana kropps</w:t>
      </w:r>
      <w:r w:rsidRPr="0008481A">
        <w:softHyphen/>
        <w:t>besiktningar under vissa förutsättningar. Mot bakgrund av vad som har framkommit i utredningen om narkotika</w:t>
      </w:r>
      <w:r w:rsidRPr="0008481A">
        <w:softHyphen/>
        <w:t>införsel, har jag inte funnit skä</w:t>
      </w:r>
      <w:r w:rsidRPr="0008481A">
        <w:t xml:space="preserve">l att ifrågasätta att det fanns skäl för att vidta sådana tvångsåtgärder. </w:t>
      </w:r>
    </w:p>
    <w:p w:rsidR="003B3271" w:rsidRPr="0008481A" w:rsidRDefault="003B3271">
      <w:pPr>
        <w:pStyle w:val="Normaltindrag"/>
      </w:pPr>
      <w:r w:rsidRPr="0008481A">
        <w:t>Jag vill dock understryka att avsikten med bestämmelsen inte är att där beskriv</w:t>
      </w:r>
      <w:r w:rsidRPr="0008481A">
        <w:softHyphen/>
        <w:t>na åtgärder skall vidtas rutinmässigt, utan det måste alltid i det särskilda fallet göras en bedöm</w:t>
      </w:r>
      <w:r w:rsidRPr="0008481A">
        <w:softHyphen/>
        <w:t>ning av om åtgärden är befogad eller ej (a. prop. s. 263). Utförar</w:t>
      </w:r>
      <w:r w:rsidRPr="0008481A">
        <w:softHyphen/>
        <w:t>styrelsen har inte kommenterat J.A:s uttalande om att ”visitationerna” utfördes regel</w:t>
      </w:r>
      <w:r w:rsidRPr="0008481A">
        <w:softHyphen/>
        <w:t>mässigt utan misstanke i det särskilda fallet. Mot bakgrund av det som har kommit fram genom ut</w:t>
      </w:r>
      <w:r w:rsidRPr="0008481A">
        <w:softHyphen/>
        <w:t>redningen hos JO drar jag emellertid den slutsatsen att ytliga kroppsbesikt</w:t>
      </w:r>
      <w:r w:rsidRPr="0008481A">
        <w:softHyphen/>
        <w:t>ningar har använts som ett generellt medel för att få stopp på narkotikainförsel till d</w:t>
      </w:r>
      <w:r w:rsidRPr="0008481A">
        <w:t xml:space="preserve">en aktuella avdelningen, dvs. i strid med det som ovan har anförts om avsikten med den aktuella bestämmelsen. </w:t>
      </w:r>
    </w:p>
    <w:p w:rsidR="003B3271" w:rsidRPr="0008481A" w:rsidRDefault="003B3271">
      <w:pPr>
        <w:pStyle w:val="Rubrik4"/>
      </w:pPr>
      <w:r w:rsidRPr="0008481A">
        <w:t xml:space="preserve">Dokumentationen  </w:t>
      </w:r>
    </w:p>
    <w:p w:rsidR="003B3271" w:rsidRPr="0008481A" w:rsidRDefault="003B3271">
      <w:r w:rsidRPr="0008481A">
        <w:t>Av 2 § 8 förordningen (1991:1472) om psykiatrisk tvångsvård och rätts</w:t>
      </w:r>
      <w:r w:rsidRPr="0008481A">
        <w:softHyphen/>
        <w:t>psykiatrisk vård följer att uppgift om visitation eller kroppsbesiktning enligt 23 § LPT skall dokumenteras i patientens journal jämte skälen för åtgärden. Enligt 2 § 9 samma förordning skall även uppgift om omhändertagande av egendom och kontroll av försändelser dokumenteras i patientens journal.</w:t>
      </w:r>
    </w:p>
    <w:p w:rsidR="003B3271" w:rsidRPr="0008481A" w:rsidRDefault="003B3271">
      <w:pPr>
        <w:pStyle w:val="Normaltindrag"/>
      </w:pPr>
      <w:r w:rsidRPr="0008481A">
        <w:t xml:space="preserve">Av remissvaret framgår att någon strukturerad dokumentation enligt de aktuella bestämmelserna inte har skett. Jag har inte heller vid min granskning av journalen beträffande J.A. kunnat finna någon dokumentation </w:t>
      </w:r>
      <w:r w:rsidRPr="0008481A">
        <w:t>avseende kontroll av försän</w:t>
      </w:r>
      <w:r w:rsidRPr="0008481A">
        <w:softHyphen/>
        <w:t xml:space="preserve">delser eller ytliga kroppsbesiktningar. </w:t>
      </w:r>
    </w:p>
    <w:p w:rsidR="003B3271" w:rsidRPr="0008481A" w:rsidRDefault="003B3271">
      <w:pPr>
        <w:pStyle w:val="Normaltindrag"/>
      </w:pPr>
      <w:r w:rsidRPr="0008481A">
        <w:t>Utförarstyrelsen har inte kommenterat det som J.A. har anfört om att hans för</w:t>
      </w:r>
      <w:r w:rsidRPr="0008481A">
        <w:softHyphen/>
        <w:t xml:space="preserve">sändelser har kontrollerats och att han har utsatts för ständiga ”visitationer” (ytliga kroppsbesiktningar). Jag utgår från att det har vidtagits sådana åtgärder beträffande J.A. utan att dessa har dokumenterats. </w:t>
      </w:r>
    </w:p>
    <w:p w:rsidR="003B3271" w:rsidRPr="0008481A" w:rsidRDefault="003B3271">
      <w:pPr>
        <w:pStyle w:val="Normaltindrag"/>
      </w:pPr>
      <w:r w:rsidRPr="0008481A">
        <w:t>Ur rättssäkerhetssynpunkt är det självfallet av största vikt att dokumenta</w:t>
      </w:r>
      <w:r w:rsidRPr="0008481A">
        <w:softHyphen/>
        <w:t>tion av de aktuella åtgärderna sker i enlighet med gällande bestäm</w:t>
      </w:r>
      <w:r w:rsidRPr="0008481A">
        <w:softHyphen/>
        <w:t>melser. En korrekt do</w:t>
      </w:r>
      <w:r w:rsidRPr="0008481A">
        <w:softHyphen/>
        <w:t>kumentation är nödvändig för att en granskning av vården skall kunna ske i efter</w:t>
      </w:r>
      <w:r w:rsidRPr="0008481A">
        <w:softHyphen/>
        <w:t>hand. Jag kan konstatera att den bristande dokumen</w:t>
      </w:r>
      <w:r w:rsidRPr="0008481A">
        <w:softHyphen/>
        <w:t xml:space="preserve">tationen rörande såväl motiven till som genomförandet av tvångsåtgärder väsentligt har försvårat min granskning av det som J.A. har tagit upp i sin anmälan. </w:t>
      </w:r>
    </w:p>
    <w:p w:rsidR="003B3271" w:rsidRPr="0008481A" w:rsidRDefault="003B3271">
      <w:pPr>
        <w:pStyle w:val="Normaltindrag"/>
      </w:pPr>
      <w:r w:rsidRPr="0008481A">
        <w:t>Jag ser allvarligt på att vidtagna tvångsåtgärder inte har dokumenterats i veder</w:t>
      </w:r>
      <w:r w:rsidRPr="0008481A">
        <w:softHyphen/>
        <w:t>börlig ordning. Det är självfallet ett oavvisligt krav att sådana rätts</w:t>
      </w:r>
      <w:r w:rsidRPr="0008481A">
        <w:softHyphen/>
        <w:t>säkerhets</w:t>
      </w:r>
      <w:r w:rsidRPr="0008481A">
        <w:softHyphen/>
        <w:t>garan</w:t>
      </w:r>
      <w:r w:rsidRPr="0008481A">
        <w:softHyphen/>
        <w:t>tier iakttas av den som ansvarar för vården. Jag kan konstatera att en rutin nu har införts om att dokumentation skall ske. Mot bakgrund härav finner jag inte skäl att vidta några ytterligare åtgärder i anledning av vad som har framkommit.</w:t>
      </w:r>
    </w:p>
    <w:p w:rsidR="003B3271" w:rsidRPr="0008481A" w:rsidRDefault="003B3271">
      <w:pPr>
        <w:pStyle w:val="Sidfot"/>
        <w:tabs>
          <w:tab w:val="clear" w:pos="9072"/>
        </w:tabs>
        <w:ind w:right="-142"/>
      </w:pPr>
      <w:r w:rsidRPr="0008481A">
        <w:t xml:space="preserve">___________    </w:t>
      </w:r>
    </w:p>
    <w:p w:rsidR="003B3271" w:rsidRPr="0008481A" w:rsidRDefault="003B3271">
      <w:r w:rsidRPr="0008481A">
        <w:t>Ärendet avslutas med den allvarliga kritik som framgår av det anförda. Jag förut</w:t>
      </w:r>
      <w:r w:rsidRPr="0008481A">
        <w:softHyphen/>
        <w:t>sätter att utförarstyrelsen agerar på sådant sätt att den rättspsykiatriska vården sker i enlighet med gällande lagstiftning.</w:t>
      </w:r>
    </w:p>
    <w:p w:rsidR="003B3271" w:rsidRPr="0008481A" w:rsidRDefault="003B3271">
      <w:pPr>
        <w:pStyle w:val="Rubrik2"/>
      </w:pPr>
      <w:r w:rsidRPr="0008481A">
        <w:t>Handläggningen av ett ärende avseende journalförstöring – fråga om Socialstyrelsen haft att pröva en ny framställan i samma sak oaktat det först av</w:t>
      </w:r>
      <w:r w:rsidRPr="0008481A">
        <w:softHyphen/>
        <w:t xml:space="preserve">gjorda ärendet var föremål för överprövning i domstol </w:t>
      </w:r>
    </w:p>
    <w:p w:rsidR="003B3271" w:rsidRPr="0008481A" w:rsidRDefault="003B3271">
      <w:r w:rsidRPr="0008481A">
        <w:t>(Dnr 4840-1998)</w:t>
      </w:r>
    </w:p>
    <w:p w:rsidR="003B3271" w:rsidRPr="0008481A" w:rsidRDefault="003B3271">
      <w:pPr>
        <w:pStyle w:val="Rubrik3"/>
      </w:pPr>
      <w:r w:rsidRPr="0008481A">
        <w:t>Bakgrund</w:t>
      </w:r>
    </w:p>
    <w:p w:rsidR="003B3271" w:rsidRPr="0008481A" w:rsidRDefault="003B3271">
      <w:r w:rsidRPr="0008481A">
        <w:t>T.P. ansökte under 1998 hos Socialstyrelsen, regionala tillsynsenheten i Örebro (RT-Ö), om förstöring av vissa sjukjournaler vid bl.a. Mora lasarett. Ge</w:t>
      </w:r>
      <w:r w:rsidRPr="0008481A">
        <w:softHyphen/>
        <w:t>nom be</w:t>
      </w:r>
      <w:r w:rsidRPr="0008481A">
        <w:softHyphen/>
        <w:t>slut den 24 november 1998 biföll Socialstyrelsen delvis T.P.s framställan. T.P. överklagade Socialstyrelsens beslut. Den 4 december 1998 återkom T.P. till RT-Ö med en ny begäran om att de aktuella journalerna skulle förstöras. I svar den 9 december 1998 meddelade RT-Ö att Social</w:t>
      </w:r>
      <w:r w:rsidRPr="0008481A">
        <w:softHyphen/>
        <w:t>styrelsen redan prövat saken och att T.P. överklagat styrelsens beslut. Social</w:t>
      </w:r>
      <w:r w:rsidRPr="0008481A">
        <w:softHyphen/>
        <w:t>styrelsen anförde vidare: ”Ert ärende har överlämnats till Länsrätten i Örebro för prövning i den del Er ansökan ej bifallits. Ärendet är så</w:t>
      </w:r>
      <w:r w:rsidRPr="0008481A">
        <w:softHyphen/>
        <w:t>lund</w:t>
      </w:r>
      <w:r w:rsidRPr="0008481A">
        <w:t>a föremål för fortsatt prövning i de avseenden Ni nu ansökt om varför Ert brev i nuläget inte föranleder något ytterligare ställningsta</w:t>
      </w:r>
      <w:r w:rsidRPr="0008481A">
        <w:softHyphen/>
        <w:t>gande från Social</w:t>
      </w:r>
      <w:r w:rsidRPr="0008481A">
        <w:softHyphen/>
        <w:t>styrelsens sida.” Social</w:t>
      </w:r>
      <w:r w:rsidRPr="0008481A">
        <w:softHyphen/>
        <w:t>styrelsens svar var undertecknat ”Vänliga häls</w:t>
      </w:r>
      <w:r w:rsidRPr="0008481A">
        <w:softHyphen/>
        <w:t>ningar, Sven-Olof Pettersson, Av</w:t>
      </w:r>
      <w:r w:rsidRPr="0008481A">
        <w:softHyphen/>
        <w:t>delningsdirektör.”</w:t>
      </w:r>
    </w:p>
    <w:p w:rsidR="003B3271" w:rsidRPr="0008481A" w:rsidRDefault="003B3271">
      <w:pPr>
        <w:pStyle w:val="Rubrik3"/>
      </w:pPr>
      <w:r w:rsidRPr="0008481A">
        <w:t>Anmälan</w:t>
      </w:r>
    </w:p>
    <w:p w:rsidR="003B3271" w:rsidRPr="0008481A" w:rsidRDefault="003B3271">
      <w:r w:rsidRPr="0008481A">
        <w:t>I en anmälan till JO riktade T.P. klagomål mot Socialstyrelsen, RT-Ö, för under</w:t>
      </w:r>
      <w:r w:rsidRPr="0008481A">
        <w:softHyphen/>
        <w:t>låtenhet att pröva hans ansökan om journalförstöring från den 4 decem</w:t>
      </w:r>
      <w:r w:rsidRPr="0008481A">
        <w:softHyphen/>
        <w:t>ber 1998.</w:t>
      </w:r>
    </w:p>
    <w:p w:rsidR="003B3271" w:rsidRPr="0008481A" w:rsidRDefault="003B3271">
      <w:pPr>
        <w:pStyle w:val="Rubrik3"/>
      </w:pPr>
      <w:r w:rsidRPr="0008481A">
        <w:t>Utredning</w:t>
      </w:r>
    </w:p>
    <w:p w:rsidR="003B3271" w:rsidRPr="0008481A" w:rsidRDefault="003B3271">
      <w:r w:rsidRPr="0008481A">
        <w:t>Anmälan remitterades till Socialstyrelsen, verksledningen, för utredning och ytt</w:t>
      </w:r>
      <w:r w:rsidRPr="0008481A">
        <w:softHyphen/>
        <w:t>rande och att därvid särskilt beakta vad som anförts i Hellners-Malmqvist, Nya för</w:t>
      </w:r>
      <w:r w:rsidRPr="0008481A">
        <w:softHyphen/>
        <w:t>valtningslagen med kommentarer, fjärde upplagan, s. 335 angående förfarings</w:t>
      </w:r>
      <w:r w:rsidRPr="0008481A">
        <w:softHyphen/>
        <w:t>sättet vid en uttrycklig begäran om att beslutsmyndigheten skall pröva saken på nytt.</w:t>
      </w:r>
    </w:p>
    <w:p w:rsidR="003B3271" w:rsidRPr="0008481A" w:rsidRDefault="003B3271">
      <w:pPr>
        <w:pStyle w:val="Normaltindrag"/>
      </w:pPr>
      <w:r w:rsidRPr="0008481A">
        <w:t>I remissvar anförde Socialstyrelsen, överdirektören Nina Rehnqvist, följande.</w:t>
      </w:r>
    </w:p>
    <w:p w:rsidR="003B3271" w:rsidRPr="0008481A" w:rsidRDefault="003B3271">
      <w:pPr>
        <w:pStyle w:val="Citat"/>
      </w:pPr>
      <w:r w:rsidRPr="0008481A">
        <w:t>I en anmälan till JO har T.P. framfört klagomål mot Social</w:t>
      </w:r>
      <w:r w:rsidRPr="0008481A">
        <w:softHyphen/>
        <w:t>styrelsen för att styrelsen inte prövat en förnyad ansökan från honom om jour</w:t>
      </w:r>
      <w:r w:rsidRPr="0008481A">
        <w:softHyphen/>
        <w:t>nalförstöring. Anmälan har remitterats till Socialstyrelsen för utred</w:t>
      </w:r>
      <w:r w:rsidRPr="0008481A">
        <w:softHyphen/>
        <w:t>ning och yttrande. I remissen har hänvisats till Hellners-Malmqvist, Nya förvalt</w:t>
      </w:r>
      <w:r w:rsidRPr="0008481A">
        <w:softHyphen/>
        <w:t>ningslagen med kommentarer, fjärde upplagan, s. 335 angående för</w:t>
      </w:r>
      <w:r w:rsidRPr="0008481A">
        <w:softHyphen/>
        <w:t>farings</w:t>
      </w:r>
      <w:r w:rsidRPr="0008481A">
        <w:softHyphen/>
        <w:t>sättet vid en ut</w:t>
      </w:r>
      <w:r w:rsidRPr="0008481A">
        <w:softHyphen/>
        <w:t>trycklig begäran om att beslutsmyndigheten skall pröva sa</w:t>
      </w:r>
      <w:r w:rsidRPr="0008481A">
        <w:softHyphen/>
        <w:t>ken på nytt.</w:t>
      </w:r>
    </w:p>
    <w:p w:rsidR="003B3271" w:rsidRPr="0008481A" w:rsidRDefault="003B3271">
      <w:pPr>
        <w:pStyle w:val="Rubrik4"/>
        <w:spacing w:before="120"/>
      </w:pPr>
      <w:r w:rsidRPr="0008481A">
        <w:t>Socialstyrelsens utredning</w:t>
      </w:r>
    </w:p>
    <w:p w:rsidR="003B3271" w:rsidRPr="0008481A" w:rsidRDefault="003B3271">
      <w:pPr>
        <w:pStyle w:val="Citat"/>
      </w:pPr>
      <w:r w:rsidRPr="0008481A">
        <w:t>Av utredningen i ärendet framgår följande.</w:t>
      </w:r>
    </w:p>
    <w:p w:rsidR="003B3271" w:rsidRPr="0008481A" w:rsidRDefault="003B3271">
      <w:pPr>
        <w:pStyle w:val="Citat"/>
      </w:pPr>
      <w:r w:rsidRPr="0008481A">
        <w:t>I en ansökan den 19 september 1998 begärde T.P. att hans jour</w:t>
      </w:r>
      <w:r w:rsidRPr="0008481A">
        <w:softHyphen/>
        <w:t>naler vid Saxnäs vårdcentral och Mora lasarett skulle förstöras. Efter vidta</w:t>
      </w:r>
      <w:r w:rsidRPr="0008481A">
        <w:softHyphen/>
        <w:t>gen utred</w:t>
      </w:r>
      <w:r w:rsidRPr="0008481A">
        <w:softHyphen/>
        <w:t>ning fattade Socialstyrelsen – genom sin regionala tillsynsen</w:t>
      </w:r>
      <w:r w:rsidRPr="0008481A">
        <w:softHyphen/>
        <w:t>het i Örebro (RT-Ö) – beslut i ärendet den 24 november 1998. Beslutet in</w:t>
      </w:r>
      <w:r w:rsidRPr="0008481A">
        <w:softHyphen/>
        <w:t>nebar att ansö</w:t>
      </w:r>
      <w:r w:rsidRPr="0008481A">
        <w:softHyphen/>
        <w:t>kan bifölls vad gällde journalerna vid kirurgiska kliniken, Mora lasa</w:t>
      </w:r>
      <w:r w:rsidRPr="0008481A">
        <w:softHyphen/>
        <w:t xml:space="preserve">rett, men att den avslogs i övriga delar, </w:t>
      </w:r>
      <w:r w:rsidRPr="0008481A">
        <w:rPr>
          <w:u w:val="single"/>
        </w:rPr>
        <w:t xml:space="preserve">bilaga 1 </w:t>
      </w:r>
      <w:r w:rsidRPr="0008481A">
        <w:t>(här utelämnad, JO:s anm). Sedan T.P. överklagat beslutet, överlämnades handlingarna i ärendet till Läns</w:t>
      </w:r>
      <w:r w:rsidRPr="0008481A">
        <w:softHyphen/>
        <w:t>rätten i Örebro län den 30 november 1998.</w:t>
      </w:r>
    </w:p>
    <w:p w:rsidR="003B3271" w:rsidRPr="0008481A" w:rsidRDefault="003B3271">
      <w:pPr>
        <w:pStyle w:val="Citatindrag"/>
      </w:pPr>
      <w:r w:rsidRPr="0008481A">
        <w:t>I en n</w:t>
      </w:r>
      <w:r w:rsidRPr="0008481A">
        <w:t>y ansökan den 4 december 1998 begärde T.P. på nytt att hans journaler skulle förstöras. I ansökan uppgav T.P. – som det får förstås – att han öns</w:t>
      </w:r>
      <w:r w:rsidRPr="0008481A">
        <w:softHyphen/>
        <w:t>kade att samtliga journaler hänförliga till Mora lasa</w:t>
      </w:r>
      <w:r w:rsidRPr="0008481A">
        <w:softHyphen/>
        <w:t>rett och journalerna av</w:t>
      </w:r>
      <w:r w:rsidRPr="0008481A">
        <w:softHyphen/>
        <w:t>seende tiden från och med 1975 till och med 1996 hänförliga till Saxnäs vårdcentral skulle förstöras. Denna ansökan föran</w:t>
      </w:r>
      <w:r w:rsidRPr="0008481A">
        <w:softHyphen/>
        <w:t>ledde inte något nytt beslut i ärendet, utan T.P. underrätta</w:t>
      </w:r>
      <w:r w:rsidRPr="0008481A">
        <w:softHyphen/>
        <w:t>des skriftligen av handläggaren vid RT-Ö om att hans ansökan inte föran</w:t>
      </w:r>
      <w:r w:rsidRPr="0008481A">
        <w:softHyphen/>
        <w:t>ledde något ytterligare ställning</w:t>
      </w:r>
      <w:r w:rsidRPr="0008481A">
        <w:t>stagande i saken.</w:t>
      </w:r>
    </w:p>
    <w:p w:rsidR="003B3271" w:rsidRPr="0008481A" w:rsidRDefault="003B3271">
      <w:pPr>
        <w:pStyle w:val="Citatindrag"/>
      </w:pPr>
      <w:r w:rsidRPr="0008481A">
        <w:t xml:space="preserve">Med anledning av JO:s remiss har Socialstyrelsen genom RT-Ö den </w:t>
      </w:r>
      <w:r w:rsidRPr="0008481A">
        <w:br/>
        <w:t>15 feb</w:t>
      </w:r>
      <w:r w:rsidRPr="0008481A">
        <w:softHyphen/>
        <w:t>ruari 1999 fattat ett nytt beslut på grundval av T.P.s senaste an</w:t>
      </w:r>
      <w:r w:rsidRPr="0008481A">
        <w:softHyphen/>
        <w:t xml:space="preserve">sökan, </w:t>
      </w:r>
      <w:r w:rsidRPr="0008481A">
        <w:rPr>
          <w:u w:val="single"/>
        </w:rPr>
        <w:t xml:space="preserve">bilaga 2 </w:t>
      </w:r>
      <w:r w:rsidRPr="0008481A">
        <w:t>(här utelämnad, JO:s anm). Även detta beslut har överkla</w:t>
      </w:r>
      <w:r w:rsidRPr="0008481A">
        <w:softHyphen/>
        <w:t>gats.</w:t>
      </w:r>
    </w:p>
    <w:p w:rsidR="003B3271" w:rsidRPr="0008481A" w:rsidRDefault="003B3271">
      <w:pPr>
        <w:pStyle w:val="Citatindrag"/>
      </w:pPr>
      <w:r w:rsidRPr="0008481A">
        <w:t xml:space="preserve">RT-Ö:s internremissvar fogas som </w:t>
      </w:r>
      <w:r w:rsidRPr="0008481A">
        <w:rPr>
          <w:u w:val="single"/>
        </w:rPr>
        <w:t>bilaga 3</w:t>
      </w:r>
      <w:r w:rsidRPr="0008481A">
        <w:t xml:space="preserve"> (här utelämnad, JO:s anm).</w:t>
      </w:r>
    </w:p>
    <w:p w:rsidR="003B3271" w:rsidRPr="0008481A" w:rsidRDefault="003B3271">
      <w:pPr>
        <w:pStyle w:val="Rubrik4"/>
        <w:spacing w:before="120"/>
      </w:pPr>
      <w:r w:rsidRPr="0008481A">
        <w:t>Socialstyrelsens yttrande</w:t>
      </w:r>
    </w:p>
    <w:p w:rsidR="003B3271" w:rsidRPr="0008481A" w:rsidRDefault="003B3271">
      <w:pPr>
        <w:pStyle w:val="Citat"/>
      </w:pPr>
      <w:r w:rsidRPr="0008481A">
        <w:t>Om en enskild som av en myndighet fått avslag på en ansökan återkommer med en ut</w:t>
      </w:r>
      <w:r w:rsidRPr="0008481A">
        <w:softHyphen/>
        <w:t>trycklig begäran om att beslutsmyndigheten skall pröva saken på nytt, anses myndigheten skyldig att göra en ny prövning i sak och att därvid fatta ett nytt beslut (jfr Hellners-Malmqvist s. 335). Det sagda framgår inte av någon uttrycklig författningsbestämmelse utan torde följa av allmänna förvaltningsrättsliga grundsatser.</w:t>
      </w:r>
    </w:p>
    <w:p w:rsidR="003B3271" w:rsidRPr="0008481A" w:rsidRDefault="003B3271">
      <w:pPr>
        <w:pStyle w:val="Citatindrag"/>
      </w:pPr>
      <w:r w:rsidRPr="0008481A">
        <w:t>Det är emellertid tveksamt om den redovisade skyldigheten gäller om – som i detta fall – beslutsmyndigheten har överlämnat ärendet till en högre in</w:t>
      </w:r>
      <w:r w:rsidRPr="0008481A">
        <w:softHyphen/>
        <w:t>stans. Någon omprövningsskyldighet enligt 27 § förvaltningslagen (1986:223) fö</w:t>
      </w:r>
      <w:r w:rsidRPr="0008481A">
        <w:softHyphen/>
        <w:t>religger inte i dessa fall. Det bör då också anses uteslutet att myndigheten gör en omprövning med stöd av principer i praxis eftersom det annars kan uppstå olägenheter i form av motstridiga avgöranden m. m. (jfr Hellners-Malmqvist s. 337).</w:t>
      </w:r>
    </w:p>
    <w:p w:rsidR="003B3271" w:rsidRPr="0008481A" w:rsidRDefault="003B3271">
      <w:pPr>
        <w:pStyle w:val="Citatindrag"/>
      </w:pPr>
      <w:r w:rsidRPr="0008481A">
        <w:t>Oavsett hur det förhåller sig härmed har Socialstyrelsen genom RT-Ö nu fattat ett nytt beslut i frågan.</w:t>
      </w:r>
    </w:p>
    <w:p w:rsidR="003B3271" w:rsidRPr="0008481A" w:rsidRDefault="003B3271">
      <w:r w:rsidRPr="0008481A">
        <w:t>T.P. bereddes tillfälle att bemöta remissvaret.</w:t>
      </w:r>
    </w:p>
    <w:p w:rsidR="003B3271" w:rsidRPr="0008481A" w:rsidRDefault="003B3271">
      <w:r w:rsidRPr="0008481A">
        <w:t>I ärendet inhämtades att länsrätten i Örebro län den 17 december 1998 avslagit T.P.s överklagande dit och att Kammar</w:t>
      </w:r>
      <w:r w:rsidRPr="0008481A">
        <w:softHyphen/>
        <w:t>rätten i Jönköping den 15 feb</w:t>
      </w:r>
      <w:r w:rsidRPr="0008481A">
        <w:softHyphen/>
        <w:t>ruari 1999 beslutat att ej meddela prövningstill</w:t>
      </w:r>
      <w:r w:rsidRPr="0008481A">
        <w:softHyphen/>
        <w:t>stånd i målet. Läns</w:t>
      </w:r>
      <w:r w:rsidRPr="0008481A">
        <w:softHyphen/>
        <w:t>rätten i Örebro län prövade därefter T.P.s överklagande av Socialstyrel</w:t>
      </w:r>
      <w:r w:rsidRPr="0008481A">
        <w:softHyphen/>
        <w:t>sens beslut den 15 februari 1999 att avslå hans framställning av den 4 december 1998. I dom den 12 maj 1999 (mål nr 569-99) hänvisade länsrätten till att kammarrätten så sent som den 11 februari 1999 (beslutet expedierat den 15 februari 1999, JO:s  anm.) prövat saken och att inga nya omständigheter som kunde föranleda annan bedöm</w:t>
      </w:r>
      <w:r w:rsidRPr="0008481A">
        <w:softHyphen/>
        <w:t>ning i d</w:t>
      </w:r>
      <w:r w:rsidRPr="0008481A">
        <w:t>et nu aktuella målet hade fram</w:t>
      </w:r>
      <w:r w:rsidRPr="0008481A">
        <w:softHyphen/>
        <w:t>kommit, varför överklagandet avslogs.</w:t>
      </w:r>
    </w:p>
    <w:p w:rsidR="003B3271" w:rsidRPr="0008481A" w:rsidRDefault="003B3271">
      <w:r w:rsidRPr="0008481A">
        <w:t xml:space="preserve">I beslut den 4 maj 2000 anförde </w:t>
      </w:r>
      <w:r w:rsidRPr="0008481A">
        <w:rPr>
          <w:i/>
        </w:rPr>
        <w:t>JO André</w:t>
      </w:r>
      <w:r w:rsidRPr="0008481A">
        <w:t xml:space="preserve"> följande.</w:t>
      </w:r>
    </w:p>
    <w:p w:rsidR="003B3271" w:rsidRPr="0008481A" w:rsidRDefault="003B3271">
      <w:pPr>
        <w:pStyle w:val="Rubrik3"/>
      </w:pPr>
      <w:r w:rsidRPr="0008481A">
        <w:t>Rättslig reglering</w:t>
      </w:r>
    </w:p>
    <w:p w:rsidR="003B3271" w:rsidRPr="0008481A" w:rsidRDefault="003B3271">
      <w:r w:rsidRPr="0008481A">
        <w:t>I 27 § första stycket förvaltningslagen (1986:223), FL, föreskrivs att om en myn</w:t>
      </w:r>
      <w:r w:rsidRPr="0008481A">
        <w:softHyphen/>
        <w:t>dighet finner att ett beslut, som den har meddelat som första instans, är uppenbart oriktigt på grund av nya omständigheter eller av någon annan anledning, skall myn</w:t>
      </w:r>
      <w:r w:rsidRPr="0008481A">
        <w:softHyphen/>
        <w:t>digheten ändra beslutet, om det kan ske snabbt och enkelt och utan att det blir till nackdel för någon enskild part. Skyldigheten gäller även om beslutet överkla</w:t>
      </w:r>
      <w:r w:rsidRPr="0008481A">
        <w:softHyphen/>
        <w:t>gas, såvida inte klaganden begär att beslutet tills vidare inte skall gälla (inhibi</w:t>
      </w:r>
      <w:r w:rsidRPr="0008481A">
        <w:softHyphen/>
        <w:t>tion).</w:t>
      </w:r>
    </w:p>
    <w:p w:rsidR="003B3271" w:rsidRPr="0008481A" w:rsidRDefault="003B3271">
      <w:pPr>
        <w:pStyle w:val="Normaltindrag"/>
      </w:pPr>
      <w:r w:rsidRPr="0008481A">
        <w:t>I bestämmelsens andra stycke föreskrivs att omprövningsskyldigheten inte gäller, om myndighe</w:t>
      </w:r>
      <w:r w:rsidRPr="0008481A">
        <w:t xml:space="preserve">ten har överlämnat handlingarna i ärendet till en högre instans eller om det i annat fall finns särskilda skäl mot att myndigheten ändrar beslutet.  </w:t>
      </w:r>
    </w:p>
    <w:p w:rsidR="003B3271" w:rsidRPr="0008481A" w:rsidRDefault="003B3271">
      <w:pPr>
        <w:pStyle w:val="Rubrik3"/>
      </w:pPr>
      <w:r w:rsidRPr="0008481A">
        <w:t>Bedömning</w:t>
      </w:r>
    </w:p>
    <w:p w:rsidR="003B3271" w:rsidRPr="0008481A" w:rsidRDefault="003B3271">
      <w:r w:rsidRPr="0008481A">
        <w:t>Av 27 § FL följer att en myndighet under vissa förutsättningar skall ompröva ett tidigare meddelat beslut. Skyldigheten att ompröva ett beslut före</w:t>
      </w:r>
      <w:r w:rsidRPr="0008481A">
        <w:softHyphen/>
        <w:t>ligger emellertid inte om beslutet har överklagats och myndigheten överläm</w:t>
      </w:r>
      <w:r w:rsidRPr="0008481A">
        <w:softHyphen/>
        <w:t>nat handlingarna till den högre instansen. Bestämmelsen innebär inte något hinder för en myndighet att ompröva ett beslut också i andra fall än då den är skyldig att göra det enligt FL. I lagen anges sålunda inte uttömmande i vilka fall en myndighet får ändra ett redan fattat beslut. Lagstiftaren har förutsatt att vissa prin</w:t>
      </w:r>
      <w:r w:rsidRPr="0008481A">
        <w:softHyphen/>
        <w:t>ciper om för</w:t>
      </w:r>
      <w:r w:rsidRPr="0008481A">
        <w:softHyphen/>
        <w:t xml:space="preserve">valtningsbeslutens rättskraft som vuxit fram i praxis skall ha en utfyllande roll. Enligt dessa </w:t>
      </w:r>
      <w:r w:rsidRPr="0008481A">
        <w:t xml:space="preserve">principer får myndigheterna göra omprövningar också i vissa andra fall än då de är skyldiga att göra det enligt FL.  </w:t>
      </w:r>
    </w:p>
    <w:p w:rsidR="003B3271" w:rsidRPr="0008481A" w:rsidRDefault="003B3271">
      <w:pPr>
        <w:pStyle w:val="Normaltindrag"/>
      </w:pPr>
      <w:r w:rsidRPr="0008481A">
        <w:t>I det aktuella ärendet har Socialstyrelsen inte ansett att det först meddelade beslu</w:t>
      </w:r>
      <w:r w:rsidRPr="0008481A">
        <w:softHyphen/>
        <w:t>tet varit fel i sak. Re</w:t>
      </w:r>
      <w:r w:rsidRPr="0008481A">
        <w:softHyphen/>
        <w:t>dan av det skälet har det således saknats förutsättningar att ompröva ärendet med tillämpning av 27 § FL. Den domstolsprövning som däref</w:t>
      </w:r>
      <w:r w:rsidRPr="0008481A">
        <w:softHyphen/>
        <w:t>ter skett har heller inte inneburit någon ändring i Socialstyrelsens beslut. Rätten för den en</w:t>
      </w:r>
      <w:r w:rsidRPr="0008481A">
        <w:softHyphen/>
        <w:t>skilde att få till stånd en förnyad pröv</w:t>
      </w:r>
      <w:r w:rsidRPr="0008481A">
        <w:softHyphen/>
        <w:t>ning är emellertid, som framgått ovan, inte inskränkt till de fall där myndigheten enligt 27 § FL är skyldig att om</w:t>
      </w:r>
      <w:r w:rsidRPr="0008481A">
        <w:softHyphen/>
        <w:t>pröva beslutet till följd av att det är uppenbart felaktigt.</w:t>
      </w:r>
    </w:p>
    <w:p w:rsidR="003B3271" w:rsidRPr="0008481A" w:rsidRDefault="003B3271">
      <w:pPr>
        <w:pStyle w:val="Normaltindrag"/>
      </w:pPr>
      <w:r w:rsidRPr="0008481A">
        <w:t>Rent allmänt gäller inom förvaltnings</w:t>
      </w:r>
      <w:r w:rsidRPr="0008481A">
        <w:t>rätten att ett meddelat avslagsbeslut inte utgör hinder för en sökande att på nytt begära ett gynnande beslut av myndig</w:t>
      </w:r>
      <w:r w:rsidRPr="0008481A">
        <w:softHyphen/>
        <w:t>he</w:t>
      </w:r>
      <w:r w:rsidRPr="0008481A">
        <w:softHyphen/>
        <w:t>ten. Den omständigheten att en myndighet inte finner skäl föreligga att ändra in</w:t>
      </w:r>
      <w:r w:rsidRPr="0008481A">
        <w:softHyphen/>
        <w:t>ställning i själva sakfrågan, innebär inte att myndigheten kan un</w:t>
      </w:r>
      <w:r w:rsidRPr="0008481A">
        <w:softHyphen/>
        <w:t>derlåta att pröva  den nya framställningen. Myndigheten har ansetts skyldig att besvara varje sådan begäran genom ett nytt beslut oavsett om det tidigare beslutet bör ändras eller ej (Hellners-Malmqvist, Nya förvalt</w:t>
      </w:r>
      <w:r w:rsidRPr="0008481A">
        <w:softHyphen/>
        <w:t>ningslagen med kommentarer</w:t>
      </w:r>
      <w:r w:rsidRPr="0008481A">
        <w:t>, femte upplagan s. 299)</w:t>
      </w:r>
      <w:r w:rsidRPr="0008481A">
        <w:rPr>
          <w:i/>
        </w:rPr>
        <w:t xml:space="preserve">. </w:t>
      </w:r>
    </w:p>
    <w:p w:rsidR="003B3271" w:rsidRPr="0008481A" w:rsidRDefault="003B3271">
      <w:pPr>
        <w:pStyle w:val="Normaltindrag"/>
      </w:pPr>
      <w:r w:rsidRPr="0008481A">
        <w:t>Som Socialstyrelsen har pekat på i sitt remissvar är det emellertid tveksamt om skyldigheten att göra en ny prövning i sak gäller om, som i detta fall, beslutsmyn</w:t>
      </w:r>
      <w:r w:rsidRPr="0008481A">
        <w:softHyphen/>
        <w:t>digheten har överlämnat ärendet till en högre instans. Någon omprövningsskyl</w:t>
      </w:r>
      <w:r w:rsidRPr="0008481A">
        <w:softHyphen/>
        <w:t>dighet enligt 27 § FL föreligger då inte längre och det bör då också anses ute</w:t>
      </w:r>
      <w:r w:rsidRPr="0008481A">
        <w:softHyphen/>
        <w:t>slutet att myndigheten gör en omprövning med stöd av principer i praxis, eftersom det kan uppstå olägenheter i form av motstridiga avgöranden (jfr a.a. s. 301 f.).</w:t>
      </w:r>
    </w:p>
    <w:p w:rsidR="003B3271" w:rsidRPr="0008481A" w:rsidRDefault="003B3271">
      <w:pPr>
        <w:pStyle w:val="Normaltindrag"/>
      </w:pPr>
      <w:r w:rsidRPr="0008481A">
        <w:t>Socialstyrelsens beslut i anledning av T.P.s första begäran om journal</w:t>
      </w:r>
      <w:r w:rsidRPr="0008481A">
        <w:softHyphen/>
        <w:t>förstöring var sålunda föremål för prövning i domstol (länsrätten), när T.P.s nya ansökan i samma sak inkom till Socialstyrelsen. Huvudregeln är givetvis att omprövning inte bör ske sedan beslutsmyndigheten har över</w:t>
      </w:r>
      <w:r w:rsidRPr="0008481A">
        <w:softHyphen/>
        <w:t>lämnat handlingarna i ärendet till den högre instansen (jfr prop. 1985/86:80 s. 77). I vissa typer av ärenden ligger det dock i sakens natur att om</w:t>
      </w:r>
      <w:r w:rsidRPr="0008481A">
        <w:softHyphen/>
        <w:t>prövning får eller till och med skall ske utan hinder av överklagandet, t.ex. inom den psykiatriska tvångs</w:t>
      </w:r>
      <w:r w:rsidRPr="0008481A">
        <w:softHyphen/>
        <w:t>vården. Frågan om när en myn</w:t>
      </w:r>
      <w:r w:rsidRPr="0008481A">
        <w:softHyphen/>
        <w:t xml:space="preserve">dighet kan </w:t>
      </w:r>
      <w:r w:rsidRPr="0008481A">
        <w:t>ompröva beslut, som är föremål för överprövning i allmän förvalt</w:t>
      </w:r>
      <w:r w:rsidRPr="0008481A">
        <w:softHyphen/>
        <w:t>ningsdomstol, är således knap</w:t>
      </w:r>
      <w:r w:rsidRPr="0008481A">
        <w:softHyphen/>
        <w:t>past möjlig att besvara i generella termer. Det är ärendets karaktär som blir avgö</w:t>
      </w:r>
      <w:r w:rsidRPr="0008481A">
        <w:softHyphen/>
        <w:t>rande. Ett ärende i an</w:t>
      </w:r>
      <w:r w:rsidRPr="0008481A">
        <w:softHyphen/>
        <w:t>ledning av en begäran om förstöring av patient</w:t>
      </w:r>
      <w:r w:rsidRPr="0008481A">
        <w:softHyphen/>
        <w:t>journal kan enligt min mening knappast anses vara att hänföra till en sådan ärendegrupp där det av rättssäker</w:t>
      </w:r>
      <w:r w:rsidRPr="0008481A">
        <w:softHyphen/>
        <w:t>hetsskäl för den enskilde framstår som angeläget att den lägre instansen skall om</w:t>
      </w:r>
      <w:r w:rsidRPr="0008481A">
        <w:softHyphen/>
        <w:t>pröva saken utan hinder av att den är föremål för prövning i högre insta</w:t>
      </w:r>
      <w:r w:rsidRPr="0008481A">
        <w:t>ns. Det besked som T.P. erhöll den 9 decem</w:t>
      </w:r>
      <w:r w:rsidRPr="0008481A">
        <w:softHyphen/>
        <w:t>ber 1998 kan därför inte kritiseras i sak. Däremot borde beskedet ha utformats som ett formellt beslut med överkla</w:t>
      </w:r>
      <w:r w:rsidRPr="0008481A">
        <w:softHyphen/>
        <w:t>gandehän</w:t>
      </w:r>
      <w:r w:rsidRPr="0008481A">
        <w:softHyphen/>
        <w:t xml:space="preserve">visning. </w:t>
      </w:r>
    </w:p>
    <w:p w:rsidR="003B3271" w:rsidRPr="0008481A" w:rsidRDefault="003B3271">
      <w:pPr>
        <w:pStyle w:val="Normaltindrag"/>
      </w:pPr>
      <w:r w:rsidRPr="0008481A">
        <w:t>Med det påpekandet av</w:t>
      </w:r>
      <w:r w:rsidRPr="0008481A">
        <w:softHyphen/>
        <w:t>slutas ärendet.</w:t>
      </w:r>
    </w:p>
    <w:p w:rsidR="003B3271" w:rsidRPr="0008481A" w:rsidRDefault="003B3271">
      <w:pPr>
        <w:pStyle w:val="Rubrik2"/>
        <w:spacing w:before="0"/>
      </w:pPr>
      <w:r w:rsidRPr="0008481A">
        <w:br w:type="page"/>
        <w:t>Disciplinansvar för en överläkare vars felaktiga journal</w:t>
      </w:r>
      <w:r w:rsidRPr="0008481A">
        <w:softHyphen/>
        <w:t>anteckningar lett till beslut om återintagning av patient till sjukvårdsinrättning oaktat stöd härför sak</w:t>
      </w:r>
      <w:r w:rsidRPr="0008481A">
        <w:softHyphen/>
        <w:t>nats i bestämmelserna i lagen (1991:1128) om psykiatrisk tvångsvård</w:t>
      </w:r>
    </w:p>
    <w:p w:rsidR="003B3271" w:rsidRPr="0008481A" w:rsidRDefault="003B3271">
      <w:r w:rsidRPr="0008481A">
        <w:t>(Dnr 3972-1998)</w:t>
      </w:r>
    </w:p>
    <w:p w:rsidR="003B3271" w:rsidRPr="0008481A" w:rsidRDefault="003B3271">
      <w:pPr>
        <w:pStyle w:val="Rubrik3"/>
      </w:pPr>
      <w:r w:rsidRPr="0008481A">
        <w:t>Initiativet</w:t>
      </w:r>
    </w:p>
    <w:p w:rsidR="003B3271" w:rsidRPr="0008481A" w:rsidRDefault="003B3271">
      <w:r w:rsidRPr="0008481A">
        <w:t>Den 21 oktober 1998 upprättades en promemoria på Riksdagens ombuds</w:t>
      </w:r>
      <w:r w:rsidRPr="0008481A">
        <w:softHyphen/>
        <w:t>man</w:t>
      </w:r>
      <w:r w:rsidRPr="0008481A">
        <w:softHyphen/>
        <w:t xml:space="preserve">naexpedition med följande lydelse. </w:t>
      </w:r>
    </w:p>
    <w:p w:rsidR="003B3271" w:rsidRPr="0008481A" w:rsidRDefault="003B3271">
      <w:pPr>
        <w:pStyle w:val="Rubrik3"/>
      </w:pPr>
      <w:r w:rsidRPr="0008481A">
        <w:t>Tvångsvård utan lagstöd</w:t>
      </w:r>
    </w:p>
    <w:p w:rsidR="003B3271" w:rsidRPr="0008481A" w:rsidRDefault="003B3271">
      <w:pPr>
        <w:pStyle w:val="Citat"/>
      </w:pPr>
      <w:r w:rsidRPr="0008481A">
        <w:t>Den 29 juli 1998 upptog JO Lavin ett initiativärende mot Länsrätten i Östergöt</w:t>
      </w:r>
      <w:r w:rsidRPr="0008481A">
        <w:softHyphen/>
        <w:t>lands län (dnr 2879-1998). Saken gällde ett mål enligt lagen (1991:1128) om psy</w:t>
      </w:r>
      <w:r w:rsidRPr="0008481A">
        <w:softHyphen/>
        <w:t>kiatrisk tvångs</w:t>
      </w:r>
      <w:r w:rsidRPr="0008481A">
        <w:softHyphen/>
        <w:t>vård, LPT, och avsåg länsrättens dom den 11 juni 1998 avseende fortsatt vård av patien</w:t>
      </w:r>
      <w:r w:rsidRPr="0008481A">
        <w:softHyphen/>
        <w:t>ten B. som var intagen på psykiatriska kliniken, Vrinnevi</w:t>
      </w:r>
      <w:r w:rsidRPr="0008481A">
        <w:softHyphen/>
        <w:t xml:space="preserve">sjukhuset i Norrköping. Av handlingarna framgår bl. a. följande. </w:t>
      </w:r>
    </w:p>
    <w:p w:rsidR="003B3271" w:rsidRPr="0008481A" w:rsidRDefault="003B3271">
      <w:pPr>
        <w:pStyle w:val="Citatindrag"/>
      </w:pPr>
      <w:r w:rsidRPr="0008481A">
        <w:t>Genom dom den 11 december 1997 biföll länsrätten en framställan från chefs</w:t>
      </w:r>
      <w:r w:rsidRPr="0008481A">
        <w:softHyphen/>
        <w:t>överläkaren om fortsatt tvångsvård av B. Det angavs i domen att vården fick pågå under högst tre må</w:t>
      </w:r>
      <w:r w:rsidRPr="0008481A">
        <w:softHyphen/>
        <w:t>nader från den dagen. Det antecknades i journalen att länsrätten förlängt vården. Däremot angavs inte vårdtidens längd. Den 11 juni 1998 biföll länsrätten en den 8 juni inkommen ansökan från chefsöverläkaren om medgivande till fort</w:t>
      </w:r>
      <w:r w:rsidRPr="0008481A">
        <w:softHyphen/>
        <w:t>satt vård. I dom den 15 juli 1998 konstaterade Kammarrätten i Jönköping att tvångs</w:t>
      </w:r>
      <w:r w:rsidRPr="0008481A">
        <w:softHyphen/>
        <w:t>vården till följd av bestämmelserna i LPT redan upphört vid tiden för ansö</w:t>
      </w:r>
      <w:r w:rsidRPr="0008481A">
        <w:softHyphen/>
        <w:t>kan och undan</w:t>
      </w:r>
      <w:r w:rsidRPr="0008481A">
        <w:softHyphen/>
        <w:t>röjde l</w:t>
      </w:r>
      <w:r w:rsidRPr="0008481A">
        <w:t xml:space="preserve">änsrättens dom. </w:t>
      </w:r>
    </w:p>
    <w:p w:rsidR="003B3271" w:rsidRPr="0008481A" w:rsidRDefault="003B3271">
      <w:pPr>
        <w:pStyle w:val="Citatindrag"/>
      </w:pPr>
      <w:r w:rsidRPr="0008481A">
        <w:t>Av journal från Vrinnevisjukhuset framgår bl.a. att B. den 24 februari 1998 intogs med polishandräckning och skrevs ut den 2 mars 1998. Samtidigt antecknades i journalen att B. inkom från permission och att LPT kvarstår till 980611. En an</w:t>
      </w:r>
      <w:r w:rsidRPr="0008481A">
        <w:softHyphen/>
        <w:t>teck</w:t>
      </w:r>
      <w:r w:rsidRPr="0008481A">
        <w:softHyphen/>
        <w:t>ning om att LPT kvarstår till 980611 återkommer den 20 maj 1998 i samband med att då beslutades att B. skulle återintas med polishandräckning. Den 22 maj 1998 in</w:t>
      </w:r>
      <w:r w:rsidRPr="0008481A">
        <w:softHyphen/>
        <w:t>kom B. med polis</w:t>
      </w:r>
      <w:r w:rsidRPr="0008481A">
        <w:softHyphen/>
        <w:t>handräck</w:t>
      </w:r>
      <w:r w:rsidRPr="0008481A">
        <w:softHyphen/>
        <w:t>ning.</w:t>
      </w:r>
    </w:p>
    <w:p w:rsidR="003B3271" w:rsidRPr="0008481A" w:rsidRDefault="003B3271">
      <w:pPr>
        <w:pStyle w:val="Citatindrag"/>
      </w:pPr>
      <w:r w:rsidRPr="0008481A">
        <w:t>Som framgår av kammarrättens dom har vården enligt LPT upphört senast tre månader räknat från den 11 december 1997. När B. intogs med polis</w:t>
      </w:r>
      <w:r w:rsidRPr="0008481A">
        <w:softHyphen/>
        <w:t>handräckning den 22 maj 1998 och därefter kvarhölls på Vrinnevisjukhuset fram till kammar</w:t>
      </w:r>
      <w:r w:rsidRPr="0008481A">
        <w:softHyphen/>
        <w:t xml:space="preserve">rättens dom, saknades lagstöd för tvångsåtgärder mot B. </w:t>
      </w:r>
    </w:p>
    <w:p w:rsidR="003B3271" w:rsidRPr="0008481A" w:rsidRDefault="003B3271">
      <w:pPr>
        <w:pStyle w:val="Citatindrag"/>
      </w:pPr>
      <w:r w:rsidRPr="0008481A">
        <w:t>I 2 kap. regeringsformen (RF) finns bestämmelser om grundläggande fri- och rättigheter. Bl. a. föreskrivs i 8 § att varje medborgare är gentemot det allmänna skyddad mot frihets</w:t>
      </w:r>
      <w:r w:rsidRPr="0008481A">
        <w:softHyphen/>
        <w:t>berövande. Av 12 § följer att dessa rättigheter under vissa förutsättningar kan begränsas genom lag eller, i särskilda fall, genom förordning. LPT är en sådan lag genom vilken skyddet mot frihets</w:t>
      </w:r>
      <w:r w:rsidRPr="0008481A">
        <w:softHyphen/>
        <w:t>berövande kan inskränkas.</w:t>
      </w:r>
    </w:p>
    <w:p w:rsidR="003B3271" w:rsidRPr="0008481A" w:rsidRDefault="003B3271">
      <w:pPr>
        <w:pStyle w:val="Citatindrag"/>
      </w:pPr>
      <w:r w:rsidRPr="0008481A">
        <w:t>De åtgärder som sjukvården vidtagit mot B. från och med beslutet om återintag</w:t>
      </w:r>
      <w:r w:rsidRPr="0008481A">
        <w:softHyphen/>
        <w:t>ning den 20 maj 1998 bör utredas närmare genom remiss. Landstings</w:t>
      </w:r>
      <w:r w:rsidRPr="0008481A">
        <w:softHyphen/>
        <w:t>styrelsen i Östergötlands län bör an</w:t>
      </w:r>
      <w:r w:rsidRPr="0008481A">
        <w:softHyphen/>
        <w:t>modas att yttra sig över innehållet i denna promemoria.</w:t>
      </w:r>
    </w:p>
    <w:p w:rsidR="003B3271" w:rsidRPr="0008481A" w:rsidRDefault="003B3271">
      <w:r w:rsidRPr="0008481A">
        <w:t>JO beslutade att i ett särskilt ärende utreda det inträffade.</w:t>
      </w:r>
    </w:p>
    <w:p w:rsidR="003B3271" w:rsidRPr="0008481A" w:rsidRDefault="003B3271">
      <w:pPr>
        <w:pStyle w:val="Rubrik3"/>
      </w:pPr>
      <w:r w:rsidRPr="0008481A">
        <w:t>Utredning</w:t>
      </w:r>
    </w:p>
    <w:p w:rsidR="003B3271" w:rsidRPr="0008481A" w:rsidRDefault="003B3271">
      <w:r w:rsidRPr="0008481A">
        <w:t>Ärendet remitterades för utredning och yttrande till landstingsstyrelsen i Östergöt</w:t>
      </w:r>
      <w:r w:rsidRPr="0008481A">
        <w:softHyphen/>
        <w:t>lands län mot bakgrund av vad som angavs i promemorian. I remissvar anförde landstingsdirektören Arne Johansson följande.</w:t>
      </w:r>
    </w:p>
    <w:p w:rsidR="003B3271" w:rsidRPr="0008481A" w:rsidRDefault="003B3271">
      <w:pPr>
        <w:pStyle w:val="Citat"/>
      </w:pPr>
      <w:r w:rsidRPr="0008481A">
        <w:t>Utifrån framställd begäran om yttrande har på Landstingsstyrelsens uppdrag påkallats begäran om utredning och yttrande från överläkaren Göran Stjerna vid psykiatriska kliniken, avd 26, Vrinnevisjukhuset, Norrköping i ärende avseende tvångsvård utan lagstöd angående patienten B.</w:t>
      </w:r>
    </w:p>
    <w:p w:rsidR="003B3271" w:rsidRPr="0008481A" w:rsidRDefault="003B3271">
      <w:pPr>
        <w:pStyle w:val="Citatindrag"/>
      </w:pPr>
      <w:r w:rsidRPr="0008481A">
        <w:t xml:space="preserve">Överläkaren Göran Stjerna har tillsammans med överläkaren </w:t>
      </w:r>
      <w:r w:rsidRPr="0008481A">
        <w:rPr>
          <w:spacing w:val="-6"/>
        </w:rPr>
        <w:t>Maria Var</w:t>
      </w:r>
      <w:r w:rsidRPr="0008481A">
        <w:rPr>
          <w:spacing w:val="-6"/>
        </w:rPr>
        <w:softHyphen/>
        <w:t>gas,</w:t>
      </w:r>
      <w:r w:rsidRPr="0008481A">
        <w:t xml:space="preserve"> Vuxenpsykiatriska mottagningen, Finspång i skrivelse daterad 1998-11-17, bilaga 1(</w:t>
      </w:r>
      <w:r w:rsidRPr="0008481A">
        <w:rPr>
          <w:i/>
        </w:rPr>
        <w:t>se nedan)</w:t>
      </w:r>
      <w:r w:rsidRPr="0008481A">
        <w:t>, låtit meddela vad som framkommit i ärendet vid genom</w:t>
      </w:r>
      <w:r w:rsidRPr="0008481A">
        <w:softHyphen/>
        <w:t>gång av patientens journal vid de båda enheterna.</w:t>
      </w:r>
    </w:p>
    <w:p w:rsidR="003B3271" w:rsidRPr="0008481A" w:rsidRDefault="003B3271">
      <w:pPr>
        <w:pStyle w:val="Citatindrag"/>
      </w:pPr>
      <w:r w:rsidRPr="0008481A">
        <w:t>Överläkare Göran Stjerna medger att av Länsrättens dom framgår att fortsatt tvångsomhändertagnde av patienten B. avsåg tre månader. Uppges av lä</w:t>
      </w:r>
      <w:r w:rsidRPr="0008481A">
        <w:softHyphen/>
        <w:t>karna att LPT sedvanligen beslutas fortgå under sex månader och att Läns</w:t>
      </w:r>
      <w:r w:rsidRPr="0008481A">
        <w:softHyphen/>
        <w:t>rättens beslut i aktuellt ärende om fortsatt vård under enbart tre månader inte har observerats med tillräcklig tydlighet. I patientens journal har enbart an</w:t>
      </w:r>
      <w:r w:rsidRPr="0008481A">
        <w:softHyphen/>
        <w:t>givits att beslut om tvångsvård enligt LPT meddelats, någon uppgift om slutdatum har inte noterats. 1998-02-24 förekommer för första gången note</w:t>
      </w:r>
      <w:r w:rsidRPr="0008481A">
        <w:softHyphen/>
        <w:t>ring om att pågående LPT löper ut 1998-06-11. Därefter förekommer denna felaktiga uppgift vid flera tillfällen.</w:t>
      </w:r>
    </w:p>
    <w:p w:rsidR="003B3271" w:rsidRPr="0008481A" w:rsidRDefault="003B3271">
      <w:pPr>
        <w:pStyle w:val="Citatindrag"/>
      </w:pPr>
      <w:r w:rsidRPr="0008481A">
        <w:t>Utifrån patientens beho</w:t>
      </w:r>
      <w:r w:rsidRPr="0008481A">
        <w:t>v av fortsatta behandlingsinsatser ingavs den 8 juni 1998 begäran om fortsatt tvångsvård och bifalles denna av Länsrätten den 11 juni 1998. Den föreliggande bristen i vårdkedjan uppdagas för berörda först i samband med Kammarrättens dom den 15 juli 1998.</w:t>
      </w:r>
    </w:p>
    <w:p w:rsidR="003B3271" w:rsidRPr="0008481A" w:rsidRDefault="003B3271">
      <w:pPr>
        <w:pStyle w:val="Citatindrag"/>
      </w:pPr>
      <w:r w:rsidRPr="0008481A">
        <w:t>Utifrån vad som framkommit genom den begärda utredningen medges att personalen vid psykiatriska kliniken inom Vrinnevisjukhuset, Norrköping och vuxenpsykiatriska mottagningen, Finspång genom bristande journalfö</w:t>
      </w:r>
      <w:r w:rsidRPr="0008481A">
        <w:softHyphen/>
        <w:t>ring och tillika uppmärksamhet har förorsakat att tvångsvård fortgått utan lagstöd. Den skada patienten B. härigenom förorsakats bör emellertid värde</w:t>
      </w:r>
      <w:r w:rsidRPr="0008481A">
        <w:softHyphen/>
        <w:t>ras utifrån den omständigheten att patientens mentala hälsa i mars 1998 var sådan att en i rätt tid ingiven framställan om fortsatt tvångsvård sannolikt hade bifallits av Länsrätten.</w:t>
      </w:r>
    </w:p>
    <w:p w:rsidR="003B3271" w:rsidRPr="0008481A" w:rsidRDefault="003B3271">
      <w:pPr>
        <w:pStyle w:val="Rubrik4"/>
      </w:pPr>
      <w:r w:rsidRPr="0008481A">
        <w:t>Bilaga 1</w:t>
      </w:r>
    </w:p>
    <w:p w:rsidR="003B3271" w:rsidRPr="0008481A" w:rsidRDefault="003B3271">
      <w:pPr>
        <w:pStyle w:val="Citat"/>
      </w:pPr>
      <w:r w:rsidRPr="0008481A">
        <w:t>Patienten B. har en mycket svårbehandlad schizofren sjukdom, han har va</w:t>
      </w:r>
      <w:r w:rsidRPr="0008481A">
        <w:softHyphen/>
        <w:t>rit föremål för flertaliga vårdtillfällen i slutenvård och dessutom konti</w:t>
      </w:r>
      <w:r w:rsidRPr="0008481A">
        <w:softHyphen/>
        <w:t>nuer</w:t>
      </w:r>
      <w:r w:rsidRPr="0008481A">
        <w:softHyphen/>
        <w:t>lig öppenvårdskontakt under flera år. Massiva insatser där det handlat mycket om att få patienten motiverad att både sköta den medicinska be</w:t>
      </w:r>
      <w:r w:rsidRPr="0008481A">
        <w:softHyphen/>
        <w:t>handlingen samt övrigt behandlingsarbete.</w:t>
      </w:r>
    </w:p>
    <w:p w:rsidR="003B3271" w:rsidRPr="0008481A" w:rsidRDefault="003B3271">
      <w:pPr>
        <w:pStyle w:val="Citatindrag"/>
      </w:pPr>
      <w:r w:rsidRPr="0008481A">
        <w:t>Undertecknad har diskuterat ärendet med ansvarig läkare i öppenvård, överläkare Maria Vargas, vuxenpsykiatriska mottagningen, Finspång.</w:t>
      </w:r>
    </w:p>
    <w:p w:rsidR="003B3271" w:rsidRPr="0008481A" w:rsidRDefault="003B3271">
      <w:pPr>
        <w:pStyle w:val="Citatindrag"/>
      </w:pPr>
      <w:r w:rsidRPr="0008481A">
        <w:t>Vid genomgång av journalhandlingar framkommer att Länsrätten vid dom den 11 december -97 biföll ansökan om fortsatt tvångsvård dock med tids</w:t>
      </w:r>
      <w:r w:rsidRPr="0008481A">
        <w:softHyphen/>
        <w:t>begränsningen högst 3 månader. Tidsrymden 3 månader finns angivet i Länsrättens dom dock infördes detta inte i löpande text i journalen. Sedvan</w:t>
      </w:r>
      <w:r w:rsidRPr="0008481A">
        <w:softHyphen/>
        <w:t xml:space="preserve">ligt är att LPT-vården förlängs 6 månader vilket alltså inte skedde vid detta tillfälle utan enbart 3 månader. Här har ett beklagligt missförstånd uppstått. I löpande text återkommer vår uppfattning att LPT-vården förlängdes till 980611. Pat utskrevs den 2/3 </w:t>
      </w:r>
      <w:r w:rsidRPr="0008481A">
        <w:softHyphen/>
        <w:t>–98 för fortsatt vård med permission LPT, lö</w:t>
      </w:r>
      <w:r w:rsidRPr="0008481A">
        <w:softHyphen/>
        <w:t>pande till datumet 980611. Då kollegan Maria Vargas fick denna</w:t>
      </w:r>
      <w:r w:rsidRPr="0008481A">
        <w:t xml:space="preserve"> uppgift handlade hon ärendet därefter.</w:t>
      </w:r>
    </w:p>
    <w:p w:rsidR="003B3271" w:rsidRPr="0008481A" w:rsidRDefault="003B3271">
      <w:r w:rsidRPr="0008481A">
        <w:t>Härefter inhämtades kompletterande upplysningar i fråga om organisation och journalföring vid Vrinnevisjukhuset. I remissvar uppgavs att vuxen</w:t>
      </w:r>
      <w:r w:rsidRPr="0008481A">
        <w:softHyphen/>
        <w:t>psykiatriska mottagningen i Finspång ingår organisatoriskt i psykiatriska kliniken inom Vrin</w:t>
      </w:r>
      <w:r w:rsidRPr="0008481A">
        <w:softHyphen/>
        <w:t>nevisjukhuset, att samtliga överläkare vid enheten erhållit chefsöverläkarens dele</w:t>
      </w:r>
      <w:r w:rsidRPr="0008481A">
        <w:softHyphen/>
        <w:t>gation att handlägga ärenden angående LPT och LRV samt att endast en jour</w:t>
      </w:r>
      <w:r w:rsidRPr="0008481A">
        <w:softHyphen/>
        <w:t>nal upprättas beträffande patienterna vid enheten. Även telefonupplysningar har in</w:t>
      </w:r>
      <w:r w:rsidRPr="0008481A">
        <w:softHyphen/>
        <w:t>hämtats.</w:t>
      </w:r>
    </w:p>
    <w:p w:rsidR="003B3271" w:rsidRPr="0008481A" w:rsidRDefault="003B3271">
      <w:r w:rsidRPr="0008481A">
        <w:t>Vidare har delar av journalen rörande B. samt domar från Länsrätten i Östergöt</w:t>
      </w:r>
      <w:r w:rsidRPr="0008481A">
        <w:softHyphen/>
        <w:t>lands län och Kammarrätten i Jönköping funnits tillgängliga på ombuds</w:t>
      </w:r>
      <w:r w:rsidRPr="0008481A">
        <w:softHyphen/>
        <w:t>manna</w:t>
      </w:r>
      <w:r w:rsidRPr="0008481A">
        <w:softHyphen/>
        <w:t>expeditionen.</w:t>
      </w:r>
    </w:p>
    <w:p w:rsidR="003B3271" w:rsidRPr="0008481A" w:rsidRDefault="003B3271">
      <w:r w:rsidRPr="0008481A">
        <w:t>Genom utredningen kan händelseförloppet, såsom det är av intresse här, samman</w:t>
      </w:r>
      <w:r w:rsidRPr="0008481A">
        <w:softHyphen/>
        <w:t>fattas enligt följande. Framställan till Länsrätten i Östergötlands län om medgi</w:t>
      </w:r>
      <w:r w:rsidRPr="0008481A">
        <w:softHyphen/>
        <w:t>vande till fortsatt vård enligt LPT avseende B. gjordes den 9 december 1997 av överläkaren Göran Stjerna. I dom den 11 december 1997 medgav länsrätten för</w:t>
      </w:r>
      <w:r w:rsidRPr="0008481A">
        <w:softHyphen/>
        <w:t>längning av tvångsvården för B.</w:t>
      </w:r>
      <w:r w:rsidRPr="0008481A">
        <w:rPr>
          <w:i/>
        </w:rPr>
        <w:t xml:space="preserve"> </w:t>
      </w:r>
      <w:r w:rsidRPr="0008481A">
        <w:t>med högst tre må</w:t>
      </w:r>
      <w:r w:rsidRPr="0008481A">
        <w:softHyphen/>
        <w:t>nader. Av domskälen framgår att Göran Stjerna själv åberopade att fort</w:t>
      </w:r>
      <w:r w:rsidRPr="0008481A">
        <w:softHyphen/>
        <w:t>satt vård behövdes under tre månader. I Beslutsblankett LPT-vård rörande B. har under avsnittet Länsrättens domar den 11 december 1997 antecknats ”Vårdtide</w:t>
      </w:r>
      <w:r w:rsidRPr="0008481A">
        <w:t>n förlängd tom 980611”. Anteckningen är införd av en läkar</w:t>
      </w:r>
      <w:r w:rsidRPr="0008481A">
        <w:softHyphen/>
        <w:t>sekre</w:t>
      </w:r>
      <w:r w:rsidRPr="0008481A">
        <w:softHyphen/>
        <w:t>terare. I en av</w:t>
      </w:r>
      <w:r w:rsidRPr="0008481A">
        <w:rPr>
          <w:i/>
        </w:rPr>
        <w:t xml:space="preserve"> </w:t>
      </w:r>
      <w:r w:rsidRPr="0008481A">
        <w:t>Göran Stjerna signerad</w:t>
      </w:r>
      <w:r w:rsidRPr="0008481A">
        <w:rPr>
          <w:i/>
        </w:rPr>
        <w:t xml:space="preserve"> </w:t>
      </w:r>
      <w:r w:rsidRPr="0008481A">
        <w:t>daganteckning den 11 december 1997 angavs att vården enligt LPT förlängts av länsrätten. Någon vårdtid angavs däremot inte. I samband med en återintagning från permis</w:t>
      </w:r>
      <w:r w:rsidRPr="0008481A">
        <w:softHyphen/>
        <w:t>sion av B. an</w:t>
      </w:r>
      <w:r w:rsidRPr="0008481A">
        <w:softHyphen/>
        <w:t>teck</w:t>
      </w:r>
      <w:r w:rsidRPr="0008481A">
        <w:softHyphen/>
        <w:t>nade först en avdelningschef</w:t>
      </w:r>
      <w:r w:rsidRPr="0008481A">
        <w:rPr>
          <w:i/>
        </w:rPr>
        <w:t xml:space="preserve"> </w:t>
      </w:r>
      <w:r w:rsidRPr="0008481A">
        <w:t>och därefter</w:t>
      </w:r>
      <w:r w:rsidRPr="0008481A">
        <w:rPr>
          <w:i/>
        </w:rPr>
        <w:t xml:space="preserve"> </w:t>
      </w:r>
      <w:r w:rsidRPr="0008481A">
        <w:t>en AT-läkare för den 24 febru</w:t>
      </w:r>
      <w:r w:rsidRPr="0008481A">
        <w:softHyphen/>
        <w:t>a</w:t>
      </w:r>
      <w:r w:rsidRPr="0008481A">
        <w:softHyphen/>
        <w:t>ri 1998 bl.a. att LPT kvarstår respektive löper till den 11 juni 1998. Upp</w:t>
      </w:r>
      <w:r w:rsidRPr="0008481A">
        <w:softHyphen/>
        <w:t>giften åter</w:t>
      </w:r>
      <w:r w:rsidRPr="0008481A">
        <w:softHyphen/>
        <w:t>kommer i epikrisen signe</w:t>
      </w:r>
      <w:r w:rsidRPr="0008481A">
        <w:softHyphen/>
        <w:t>rad av Göran Stjerna. I en daganteck</w:t>
      </w:r>
      <w:r w:rsidRPr="0008481A">
        <w:t xml:space="preserve">ning den </w:t>
      </w:r>
      <w:r w:rsidRPr="0008481A">
        <w:br/>
        <w:t>20 maj 1998 antecknade över</w:t>
      </w:r>
      <w:r w:rsidRPr="0008481A">
        <w:softHyphen/>
        <w:t>lä</w:t>
      </w:r>
      <w:r w:rsidRPr="0008481A">
        <w:softHyphen/>
        <w:t>karen Maria Vargas bl.a. att ”då pat. står på LPT till den 11 juni 1998 ordnas en polishandräckning så pat. kommer till avd. 23”. Patienten hade då undersökts av Maria Vargas som bedömt B:s hälsotillstånd som försäm</w:t>
      </w:r>
      <w:r w:rsidRPr="0008481A">
        <w:softHyphen/>
        <w:t>rat. Den 8 juni 1998 an</w:t>
      </w:r>
      <w:r w:rsidRPr="0008481A">
        <w:softHyphen/>
        <w:t>sökte överläkaren Göran Stjerna hos länsrätten om medgi</w:t>
      </w:r>
      <w:r w:rsidRPr="0008481A">
        <w:softHyphen/>
        <w:t>vande till fortsatt tvångsvård. Sedan länsrätten, genom dom den 11 juni 1998 medgivit fortsatt vård längst till den 11 december 1998, skrevs B. den 16 juni 1998 ut med permiss</w:t>
      </w:r>
      <w:r w:rsidRPr="0008481A">
        <w:t xml:space="preserve">ion fram till detta datum. I dom den 15 juli 1998 undanröjde kammarrätten länsrättens dom. </w:t>
      </w:r>
    </w:p>
    <w:p w:rsidR="003B3271" w:rsidRPr="0008481A" w:rsidRDefault="003B3271">
      <w:r w:rsidRPr="0008481A">
        <w:t>Genom beslut den 29 oktober 1998 i ovannämnda initiativärende (dnr 2879/98) anmälde JO Lavin med stöd av 6 § tredje stycket lagen (1986:765) med instruk</w:t>
      </w:r>
      <w:r w:rsidRPr="0008481A">
        <w:softHyphen/>
        <w:t>tion för Riksdagens ombudsmän hos Statens ansvarsnämnd frågan om discipli</w:t>
      </w:r>
      <w:r w:rsidRPr="0008481A">
        <w:softHyphen/>
        <w:t>nansvar för den rådman som handlagt målet hos länsrätten. Genom beslut den 28 januari 1999 har ansvarsnämnden meddelat rådmannen disciplinpåföljd i form av löneavdrag.</w:t>
      </w:r>
    </w:p>
    <w:p w:rsidR="003B3271" w:rsidRPr="0008481A" w:rsidRDefault="003B3271">
      <w:r w:rsidRPr="0008481A">
        <w:t xml:space="preserve">I ett beslut den 26 februari 1999 anförde </w:t>
      </w:r>
      <w:r w:rsidRPr="0008481A">
        <w:rPr>
          <w:i/>
        </w:rPr>
        <w:t xml:space="preserve">JO André </w:t>
      </w:r>
      <w:r w:rsidRPr="0008481A">
        <w:t>följande.</w:t>
      </w:r>
    </w:p>
    <w:p w:rsidR="003B3271" w:rsidRPr="0008481A" w:rsidRDefault="003B3271">
      <w:pPr>
        <w:pStyle w:val="Rubrik3"/>
      </w:pPr>
      <w:r w:rsidRPr="0008481A">
        <w:t>Rättslig reglering</w:t>
      </w:r>
    </w:p>
    <w:p w:rsidR="003B3271" w:rsidRPr="0008481A" w:rsidRDefault="003B3271">
      <w:r w:rsidRPr="0008481A">
        <w:t>I 2 kap. 8 § regeringsformen (RF) föreskrivs att varje medborgare är gente</w:t>
      </w:r>
      <w:r w:rsidRPr="0008481A">
        <w:softHyphen/>
        <w:t>mot det allmänna skyddad mot frihetsberövande. Inskränkningar i denna rättighet kan en</w:t>
      </w:r>
      <w:r w:rsidRPr="0008481A">
        <w:softHyphen/>
        <w:t>dast begränsas genom lag eller, i särskilda fall, genom för</w:t>
      </w:r>
      <w:r w:rsidRPr="0008481A">
        <w:softHyphen/>
        <w:t xml:space="preserve">ordning, 2 kap. 12 § RF. </w:t>
      </w:r>
    </w:p>
    <w:p w:rsidR="003B3271" w:rsidRPr="0008481A" w:rsidRDefault="003B3271">
      <w:pPr>
        <w:pStyle w:val="Normaltindrag"/>
      </w:pPr>
      <w:r w:rsidRPr="0008481A">
        <w:t>I lagen (1991:1128) om psykiatrisk tvångsvård, LPT, finns bestämmelser om tvångsvård som innefattar frihetsberövande av patienten. Förutsättning</w:t>
      </w:r>
      <w:r w:rsidRPr="0008481A">
        <w:softHyphen/>
        <w:t>arna för tvångsvård anges i 3 § och enligt 4 § får ett beslut om intagning på en sjukvårdsin</w:t>
      </w:r>
      <w:r w:rsidRPr="0008481A">
        <w:softHyphen/>
        <w:t>rättning för tvångsvård inte fattas utan att s.k. vårdintyg har utfärdats av vilket det framgår att det finns sannolika skäl för att förutsätt</w:t>
      </w:r>
      <w:r w:rsidRPr="0008481A">
        <w:softHyphen/>
        <w:t>ningarna för tvångsvård av pa</w:t>
      </w:r>
      <w:r w:rsidRPr="0008481A">
        <w:softHyphen/>
        <w:t>tienten är uppfyllda. Om chefsöverläkaren vid den enhet där patienten vårdas fin</w:t>
      </w:r>
      <w:r w:rsidRPr="0008481A">
        <w:softHyphen/>
        <w:t>ner att denne bör ges tvångsvård utöver fyra veckor från dagen för beslutet om intagning skall chefsöverläkaren före utgången av fyraveckorstiden ansöka hos länsrät</w:t>
      </w:r>
      <w:r w:rsidRPr="0008481A">
        <w:t>ten om medgivande till så</w:t>
      </w:r>
      <w:r w:rsidRPr="0008481A">
        <w:softHyphen/>
        <w:t>dan vård (7 §). Länsrätten får medge fortsatt tvångsvård längst fyra måna</w:t>
      </w:r>
      <w:r w:rsidRPr="0008481A">
        <w:softHyphen/>
        <w:t>der första gången räknat från dagen för beslutet om intagning och därefter med högst sex månader åt gången räknat från prövningstill</w:t>
      </w:r>
      <w:r w:rsidRPr="0008481A">
        <w:softHyphen/>
        <w:t>fället (8–9 §§). Tvångsvården upphör automatiskt om ansökan om medgivande till förläng</w:t>
      </w:r>
      <w:r w:rsidRPr="0008481A">
        <w:softHyphen/>
        <w:t>ning inte inkommit till länsrätten inom den tid som anges i 7 respektive 9 § (28 §). I 25 och 26 §§ finns bestämmelser om permission och återkallelse av per</w:t>
      </w:r>
      <w:r w:rsidRPr="0008481A">
        <w:softHyphen/>
        <w:t>mission. Chefsöverläkaren får enlig</w:t>
      </w:r>
      <w:r w:rsidRPr="0008481A">
        <w:t>t 39 § uppdra åt erfaren läkare vid sjuk</w:t>
      </w:r>
      <w:r w:rsidRPr="0008481A">
        <w:softHyphen/>
        <w:t>vårdsin</w:t>
      </w:r>
      <w:r w:rsidRPr="0008481A">
        <w:softHyphen/>
        <w:t>rättningen med specialistkompetens inom någon gren av psykiat</w:t>
      </w:r>
      <w:r w:rsidRPr="0008481A">
        <w:softHyphen/>
        <w:t>rin att fullgöra uppgifter som chefsöverläkaren har enligt LPT. Att chefs</w:t>
      </w:r>
      <w:r w:rsidRPr="0008481A">
        <w:softHyphen/>
        <w:t>överläkaren i vissa fall kan påkalla polishandräckning framgår av 47 §.</w:t>
      </w:r>
    </w:p>
    <w:p w:rsidR="003B3271" w:rsidRPr="0008481A" w:rsidRDefault="003B3271">
      <w:pPr>
        <w:pStyle w:val="Normaltindrag"/>
      </w:pPr>
      <w:r w:rsidRPr="0008481A">
        <w:t>I förordningen (1991:1472) om psykiatrisk tvångsvård och rättspsykiatrisk vård anges i 2 § att chefsöverläkaren skall tillse att patientjournalen bl.a. skall inne</w:t>
      </w:r>
      <w:r w:rsidRPr="0008481A">
        <w:softHyphen/>
        <w:t>hålla upp</w:t>
      </w:r>
      <w:r w:rsidRPr="0008481A">
        <w:softHyphen/>
        <w:t>gift om ansökan enligt 7 eller 9 § LPT samt om rättens beslut med an</w:t>
      </w:r>
      <w:r w:rsidRPr="0008481A">
        <w:softHyphen/>
        <w:t>ledning av ansökan. Vidare föreskrivs i 3 § patientjournal</w:t>
      </w:r>
      <w:r w:rsidRPr="0008481A">
        <w:softHyphen/>
        <w:t>lagen (1985:562) att en patientjournal skall innehålla de uppgifter som behövs för en god och säker vård av patienten.</w:t>
      </w:r>
    </w:p>
    <w:p w:rsidR="003B3271" w:rsidRPr="0008481A" w:rsidRDefault="003B3271">
      <w:pPr>
        <w:pStyle w:val="Rubrik3"/>
      </w:pPr>
      <w:r w:rsidRPr="0008481A">
        <w:t>Bedömning</w:t>
      </w:r>
    </w:p>
    <w:p w:rsidR="003B3271" w:rsidRPr="0008481A" w:rsidRDefault="003B3271">
      <w:r w:rsidRPr="0008481A">
        <w:t>Av utredningen framgår att vården av B. enligt bestämmelserna i LPT upp</w:t>
      </w:r>
      <w:r w:rsidRPr="0008481A">
        <w:softHyphen/>
        <w:t>hörde med utgången av den tid som länsrätten medgivit i domen den 11 de</w:t>
      </w:r>
      <w:r w:rsidRPr="0008481A">
        <w:softHyphen/>
        <w:t>cember 1997, nämligen den 11 mars 1998. Efter denna tidpunkt kunde tvångsvård komma till stånd endast genom ett sådant intagningsförfarande som regleras i 4–6 §§ LPT. När beslut fattades den 20 maj 1998 om att återinta B. till sjukvårdsinrättningen för vård där och om att begära polis</w:t>
      </w:r>
      <w:r w:rsidRPr="0008481A">
        <w:softHyphen/>
        <w:t>handräck</w:t>
      </w:r>
      <w:r w:rsidRPr="0008481A">
        <w:softHyphen/>
        <w:t>ning, innebar detta att det allmänna kränkte B:s i 2 kap. 8 § RF grundlagsfästa skydd mot frihetsberövande åtgärder. Frihetsberövande som inte h</w:t>
      </w:r>
      <w:r w:rsidRPr="0008481A">
        <w:t>ar stöd i lag strider dessutom mot artikel 5 första punkten konventio</w:t>
      </w:r>
      <w:r w:rsidRPr="0008481A">
        <w:softHyphen/>
        <w:t>nen (d. 4 november 1950) angående skydd för de mänskliga rättigheterna och de grundläggande friheterna. Det inträffade är självfallet mycket allvar</w:t>
      </w:r>
      <w:r w:rsidRPr="0008481A">
        <w:softHyphen/>
        <w:t>ligt och förfarandet innebär objektivt sett ett olaga frihetsberövande. De vidtagna åtgär</w:t>
      </w:r>
      <w:r w:rsidRPr="0008481A">
        <w:softHyphen/>
        <w:t>derna liksom vad i övrigt förekommit i ärendet, särskilt ansö</w:t>
      </w:r>
      <w:r w:rsidRPr="0008481A">
        <w:softHyphen/>
        <w:t>kan den 8 juni 1998 till länsrätten om medgivande till fortsatt tvångsvård, kan också ha inneburit att be</w:t>
      </w:r>
      <w:r w:rsidRPr="0008481A">
        <w:softHyphen/>
        <w:t>fattningsha</w:t>
      </w:r>
      <w:r w:rsidRPr="0008481A">
        <w:softHyphen/>
        <w:t>vare, genom att uppsåtli</w:t>
      </w:r>
      <w:r w:rsidRPr="0008481A">
        <w:t>gen eller av oaktsamhet vid myndighetsutöv</w:t>
      </w:r>
      <w:r w:rsidRPr="0008481A">
        <w:softHyphen/>
        <w:t>ning åsidosätta vad som gäller för uppgiften, gjort sig skyldig till tjänstefel (20 kap. 1 § BrB). Jag har därför allvarligt övervägt att inleda förunder</w:t>
      </w:r>
      <w:r w:rsidRPr="0008481A">
        <w:softHyphen/>
        <w:t xml:space="preserve">sökning. </w:t>
      </w:r>
    </w:p>
    <w:p w:rsidR="003B3271" w:rsidRPr="0008481A" w:rsidRDefault="003B3271">
      <w:pPr>
        <w:pStyle w:val="Normaltindrag"/>
      </w:pPr>
      <w:r w:rsidRPr="0008481A">
        <w:t>För att någon skall kunna ställas till ansvar för brott i något avseende krävs emel</w:t>
      </w:r>
      <w:r w:rsidRPr="0008481A">
        <w:softHyphen/>
        <w:t>lertid att även det subjektiva rekvisitet är uppfyllt. Det kan här direkt konstateras att fråga om uppsåtligt brott inte över huvud taget är aktuell. Frågan är i stället om den oaktsamhet som förevarit är så straffvärd att det funnits anledning att gå vi</w:t>
      </w:r>
      <w:r w:rsidRPr="0008481A">
        <w:softHyphen/>
        <w:t>dare i saken i straffrättslig ordning. Jag har, om än med viss tvekan, stannat för att avstå från att inleda förundersökning och har valt att i stället vidta åtgärder för in</w:t>
      </w:r>
      <w:r w:rsidRPr="0008481A">
        <w:softHyphen/>
        <w:t xml:space="preserve">ledande av disciplinärt förfarande mot berörda läkare.  </w:t>
      </w:r>
    </w:p>
    <w:p w:rsidR="003B3271" w:rsidRPr="0008481A" w:rsidRDefault="003B3271">
      <w:pPr>
        <w:pStyle w:val="Normaltindrag"/>
      </w:pPr>
      <w:r w:rsidRPr="0008481A">
        <w:t>Enligt 5 kap. 3 § lagen (</w:t>
      </w:r>
      <w:r w:rsidRPr="0008481A">
        <w:t>1998:531) om yrkesverksamhet på hälso- och sjuk</w:t>
      </w:r>
      <w:r w:rsidRPr="0008481A">
        <w:softHyphen/>
        <w:t>vår</w:t>
      </w:r>
      <w:r w:rsidRPr="0008481A">
        <w:softHyphen/>
        <w:t>dens område får disciplinpåföjd åläggas om den som tillhör hälso- och sjukvårds</w:t>
      </w:r>
      <w:r w:rsidRPr="0008481A">
        <w:softHyphen/>
        <w:t>perso</w:t>
      </w:r>
      <w:r w:rsidRPr="0008481A">
        <w:softHyphen/>
        <w:t>nalen uppsåtligen eller av oaktsam</w:t>
      </w:r>
      <w:r w:rsidRPr="0008481A">
        <w:softHyphen/>
        <w:t>het inte fullgör en sådan skyldighet enligt 2 kap. 1, 2, 4, 6, 8 eller 9 § eller någon annan föreskrift som är av direkt betydelse för säkerheten i vården. Om felet är ringa eller om det framstår som ursäktligt får disciplinpåföljd underlåtas. Motsvarande be</w:t>
      </w:r>
      <w:r w:rsidRPr="0008481A">
        <w:softHyphen/>
        <w:t>stämmelser fanns i 4 § lagen (1994:954) om disciplinpåföljd m.m. på hälso- och s</w:t>
      </w:r>
      <w:r w:rsidRPr="0008481A">
        <w:t>jukvårdens område jämfört med lagen (1994:953) om åliggan</w:t>
      </w:r>
      <w:r w:rsidRPr="0008481A">
        <w:softHyphen/>
        <w:t>den för personal inom hälso- och sjukvården, vilka lagar gällde fram till ut</w:t>
      </w:r>
      <w:r w:rsidRPr="0008481A">
        <w:softHyphen/>
        <w:t>gången av år 1998.</w:t>
      </w:r>
    </w:p>
    <w:p w:rsidR="003B3271" w:rsidRPr="0008481A" w:rsidRDefault="003B3271">
      <w:pPr>
        <w:pStyle w:val="Normaltindrag"/>
      </w:pPr>
      <w:r w:rsidRPr="0008481A">
        <w:t>I patientjournallagen stad</w:t>
      </w:r>
      <w:r w:rsidRPr="0008481A">
        <w:softHyphen/>
        <w:t>gas att pati</w:t>
      </w:r>
      <w:r w:rsidRPr="0008481A">
        <w:softHyphen/>
        <w:t>entjournal skall innehålla de uppgifter som behövs för en god och säker vård av patienten. Av 2 § i den tidigare nämnda för</w:t>
      </w:r>
      <w:r w:rsidRPr="0008481A">
        <w:softHyphen/>
        <w:t>ordningen om psykiatrisk tvångsvård och rättspsykiatrisk vård följer att länsrät</w:t>
      </w:r>
      <w:r w:rsidRPr="0008481A">
        <w:softHyphen/>
        <w:t>tens dom angående medgivande till förläng</w:t>
      </w:r>
      <w:r w:rsidRPr="0008481A">
        <w:softHyphen/>
        <w:t>ning av vårdtiden skall antecknas. Det kan, som också händelseförlop</w:t>
      </w:r>
      <w:r w:rsidRPr="0008481A">
        <w:softHyphen/>
        <w:t>pet i föreva</w:t>
      </w:r>
      <w:r w:rsidRPr="0008481A">
        <w:softHyphen/>
        <w:t>rande fall vi</w:t>
      </w:r>
      <w:r w:rsidRPr="0008481A">
        <w:softHyphen/>
        <w:t>sat, få allvarliga konsekven</w:t>
      </w:r>
      <w:r w:rsidRPr="0008481A">
        <w:softHyphen/>
        <w:t>ser för den enskilde patienten när den av läns</w:t>
      </w:r>
      <w:r w:rsidRPr="0008481A">
        <w:softHyphen/>
        <w:t xml:space="preserve">rätten medgivna längsta tiden för tvångsvård som här antingen har angivits fel </w:t>
      </w:r>
      <w:r w:rsidRPr="0008481A">
        <w:t>(beslutsjournalen) eller utelämnats (den löpande journaltexten). Den fel</w:t>
      </w:r>
      <w:r w:rsidRPr="0008481A">
        <w:softHyphen/>
        <w:t>aktigt angivna vårdtiden har därefter uppre</w:t>
      </w:r>
      <w:r w:rsidRPr="0008481A">
        <w:softHyphen/>
        <w:t>pats vid ett flertal tillfällen. En korrekt angiven tidsuppgift är således av väsentlig betydelse för säkerheten i vården. Överläkaren Göran Stjerna har, genom att i sin anteckning den 11 december 1997 inte anteckna den av länsrätten medgivna längsta vård</w:t>
      </w:r>
      <w:r w:rsidRPr="0008481A">
        <w:softHyphen/>
        <w:t>tiden liksom att i sin signerade epikrisanteckning ange en felaktig vårdtid, brustit i sina ålig</w:t>
      </w:r>
      <w:r w:rsidRPr="0008481A">
        <w:softHyphen/>
        <w:t>gan</w:t>
      </w:r>
      <w:r w:rsidRPr="0008481A">
        <w:softHyphen/>
        <w:t>den.</w:t>
      </w:r>
    </w:p>
    <w:p w:rsidR="003B3271" w:rsidRPr="0008481A" w:rsidRDefault="003B3271">
      <w:pPr>
        <w:pStyle w:val="Normaltindrag"/>
      </w:pPr>
      <w:r w:rsidRPr="0008481A">
        <w:t>Jag anser mig däremot inte ha någ</w:t>
      </w:r>
      <w:r w:rsidRPr="0008481A">
        <w:t>on anledning att driva frågan om discipli</w:t>
      </w:r>
      <w:r w:rsidRPr="0008481A">
        <w:softHyphen/>
        <w:t xml:space="preserve">närt ansvar vidare såvitt gäller de övriga befattningshavare som fört in den felaktiga uppgiften om vårdtiden. </w:t>
      </w:r>
    </w:p>
    <w:p w:rsidR="003B3271" w:rsidRPr="0008481A" w:rsidRDefault="003B3271">
      <w:pPr>
        <w:pStyle w:val="Normaltindrag"/>
      </w:pPr>
      <w:r w:rsidRPr="0008481A">
        <w:t>Göran Stjerna har vidare hos länsrätten ansökt om medgivande till fortsatt tvångs</w:t>
      </w:r>
      <w:r w:rsidRPr="0008481A">
        <w:softHyphen/>
        <w:t>vård, oaktat de formella förutsättningarna härför inte förelegat. Åt</w:t>
      </w:r>
      <w:r w:rsidRPr="0008481A">
        <w:softHyphen/>
        <w:t>gärden har in</w:t>
      </w:r>
      <w:r w:rsidRPr="0008481A">
        <w:softHyphen/>
        <w:t>neburit skada för patienten då länsrätten bifallit framställan. Göran Stjerna har även i här angivet hänseende brustit i sina åligganden.</w:t>
      </w:r>
    </w:p>
    <w:p w:rsidR="003B3271" w:rsidRPr="0008481A" w:rsidRDefault="003B3271">
      <w:pPr>
        <w:pStyle w:val="Normaltindrag"/>
      </w:pPr>
      <w:r w:rsidRPr="0008481A">
        <w:t>Överläkaren Maria Vargas har, sedan hon undersökt B., fattat beslut om att B. skulle återintas med polishandräckning för vård på sjukvårdsinrättning. Hennes beslut har lett till att B. kommit att frihets</w:t>
      </w:r>
      <w:r w:rsidRPr="0008481A">
        <w:softHyphen/>
        <w:t>berövas utan laga stöd. Detta måste läg</w:t>
      </w:r>
      <w:r w:rsidRPr="0008481A">
        <w:softHyphen/>
        <w:t>gas Maria Vargas till last. Hennes ställningstagande i for</w:t>
      </w:r>
      <w:r w:rsidRPr="0008481A">
        <w:softHyphen/>
        <w:t>mellt hänseende har emellertid av allt att döma grundats på den felak</w:t>
      </w:r>
      <w:r w:rsidRPr="0008481A">
        <w:softHyphen/>
        <w:t>tiga datumangivelsen och det saknas anledning anta annat än att Maria Vargas, om hon haft det formella läget klart för sig, i stäl</w:t>
      </w:r>
      <w:r w:rsidRPr="0008481A">
        <w:softHyphen/>
        <w:t>let skulle ha utfärdat ett vårdintyg beträf</w:t>
      </w:r>
      <w:r w:rsidRPr="0008481A">
        <w:softHyphen/>
        <w:t>fande B. Då kraven för att återkalla ett permissionstillstånd är jämförbara med de krav som ställs vid in</w:t>
      </w:r>
      <w:r w:rsidRPr="0008481A">
        <w:softHyphen/>
        <w:t xml:space="preserve">tagningsprövning enligt 6 § LPT, får det förutsättas att det </w:t>
      </w:r>
      <w:r w:rsidRPr="0008481A">
        <w:t>i vart fall förelåg san</w:t>
      </w:r>
      <w:r w:rsidRPr="0008481A">
        <w:softHyphen/>
        <w:t>nolika skäl för att förutsätt</w:t>
      </w:r>
      <w:r w:rsidRPr="0008481A">
        <w:softHyphen/>
        <w:t>ningarna för tvångsvård var upp</w:t>
      </w:r>
      <w:r w:rsidRPr="0008481A">
        <w:softHyphen/>
        <w:t>fyllda. De formella för</w:t>
      </w:r>
      <w:r w:rsidRPr="0008481A">
        <w:softHyphen/>
        <w:t>utsättningarna för en begäran om polishandräckning hade därmed också varit för handen. Om</w:t>
      </w:r>
      <w:r w:rsidRPr="0008481A">
        <w:softHyphen/>
        <w:t>ständig</w:t>
      </w:r>
      <w:r w:rsidRPr="0008481A">
        <w:softHyphen/>
        <w:t xml:space="preserve">heterna synes därför förmildrande. </w:t>
      </w:r>
    </w:p>
    <w:p w:rsidR="003B3271" w:rsidRPr="0008481A" w:rsidRDefault="003B3271">
      <w:pPr>
        <w:pStyle w:val="Normaltindrag"/>
      </w:pPr>
      <w:r w:rsidRPr="0008481A">
        <w:t>Med stöd av 6 § tredje stycket lagen (1986:765) med instruktion för Riks</w:t>
      </w:r>
      <w:r w:rsidRPr="0008481A">
        <w:softHyphen/>
        <w:t>dagens ombudsmän anmäler jag ärendet till Hälso- och sjukvårdens ansvarsnämnd med yrkande om disciplinär påföljd för Göran Stjerna och Maria Vargas.</w:t>
      </w:r>
    </w:p>
    <w:p w:rsidR="003B3271" w:rsidRPr="0008481A" w:rsidRDefault="003B3271">
      <w:pPr>
        <w:pStyle w:val="Normaltindrag"/>
      </w:pPr>
      <w:r w:rsidRPr="0008481A">
        <w:t>Vid min granskning av handlingarna i ärendet har jag kunnat konstatera att jour</w:t>
      </w:r>
      <w:r w:rsidRPr="0008481A">
        <w:softHyphen/>
        <w:t>nalföringen även i andra hänseenden än vad som påtalats synes bristfäl</w:t>
      </w:r>
      <w:r w:rsidRPr="0008481A">
        <w:softHyphen/>
        <w:t xml:space="preserve">lig. Bl.a. saknas signering i ett flertal fall. Jag överlämnar därför en kopia av detta beslut till Socialstyrelsen för den åtgärd som styrelsen kan finna påkallad. </w:t>
      </w:r>
    </w:p>
    <w:p w:rsidR="003B3271" w:rsidRPr="0008481A" w:rsidRDefault="003B3271">
      <w:pPr>
        <w:pStyle w:val="Rubrik3"/>
      </w:pPr>
      <w:r w:rsidRPr="0008481A">
        <w:t>Hälso- och sjukvårdens ansvarsnämnds (HSAN) prövning</w:t>
      </w:r>
    </w:p>
    <w:p w:rsidR="003B3271" w:rsidRPr="0008481A" w:rsidRDefault="003B3271">
      <w:r w:rsidRPr="0008481A">
        <w:t>I ett beslut den 16 juni 1999 anförde HSAN bl.a. följande</w:t>
      </w:r>
    </w:p>
    <w:p w:rsidR="003B3271" w:rsidRPr="0008481A" w:rsidRDefault="003B3271">
      <w:pPr>
        <w:pStyle w:val="Citat"/>
      </w:pPr>
      <w:r w:rsidRPr="0008481A">
        <w:t>BEDÖMNING</w:t>
      </w:r>
    </w:p>
    <w:p w:rsidR="003B3271" w:rsidRPr="0008481A" w:rsidRDefault="003B3271">
      <w:r w:rsidRPr="0008481A">
        <w:t>Ansvarsnämnden delar JO:s bedömning att Göran Stjerna åsidosatt sina skyldig</w:t>
      </w:r>
      <w:r w:rsidRPr="0008481A">
        <w:softHyphen/>
        <w:t>heter i yrkesutövningen genom att i sin anteckning den 11 december 1997 inte anteckna den av länsrätten medgivna längsta vårdtiden och genom att i sin signe</w:t>
      </w:r>
      <w:r w:rsidRPr="0008481A">
        <w:softHyphen/>
        <w:t>rade epikrisanteckning ange en felaktig vårdtid.  Han har dess</w:t>
      </w:r>
      <w:r w:rsidRPr="0008481A">
        <w:softHyphen/>
        <w:t>utom ansökt om medgivande till fortsatt tvångsvård, trots att det inte funnits formella förutsätt</w:t>
      </w:r>
      <w:r w:rsidRPr="0008481A">
        <w:softHyphen/>
        <w:t>ningar för detta. Hans fel är varken ringa eller ursäktligt och bör medföra discip</w:t>
      </w:r>
      <w:r w:rsidRPr="0008481A">
        <w:softHyphen/>
        <w:t>linpåföljd i form av en varning.</w:t>
      </w:r>
    </w:p>
    <w:p w:rsidR="003B3271" w:rsidRPr="0008481A" w:rsidRDefault="003B3271">
      <w:pPr>
        <w:pStyle w:val="Normaltindrag"/>
      </w:pPr>
      <w:r w:rsidRPr="0008481A">
        <w:t>Maria Vargas beslut om att B. skulle återintas ledde till att B. frihets</w:t>
      </w:r>
      <w:r w:rsidRPr="0008481A">
        <w:softHyphen/>
        <w:t>beröva</w:t>
      </w:r>
      <w:r w:rsidRPr="0008481A">
        <w:softHyphen/>
        <w:t>des utan laga stöd. Maria Vargas ställningstagande grundades dock på de felaktiga datumangivelserna i journalen. Såvitt framkommit fanns det inte skäl för henne att misstänka att datumangivelserna kunde vara felaktiga och det fanns således inte heller anledning för henne att kontrollera uppgifterna närmare. Hennes fel fram</w:t>
      </w:r>
      <w:r w:rsidRPr="0008481A">
        <w:softHyphen/>
        <w:t>står som ursäktligt. Det skall därför inte medföra någon påföljd.</w:t>
      </w:r>
    </w:p>
    <w:p w:rsidR="003B3271" w:rsidRPr="0008481A" w:rsidRDefault="003B3271">
      <w:pPr>
        <w:pStyle w:val="Rubrik3"/>
      </w:pPr>
      <w:r w:rsidRPr="0008481A">
        <w:t>HSAN:s beslut</w:t>
      </w:r>
    </w:p>
    <w:p w:rsidR="003B3271" w:rsidRPr="0008481A" w:rsidRDefault="003B3271">
      <w:r w:rsidRPr="0008481A">
        <w:t>HSAN beslutade – med stöd av 5 kap. 3 § lagen (1998:531) om yrkes</w:t>
      </w:r>
      <w:r w:rsidRPr="0008481A">
        <w:softHyphen/>
        <w:t>verk</w:t>
      </w:r>
      <w:r w:rsidRPr="0008481A">
        <w:softHyphen/>
        <w:t>samhet på hälso- och sjukvårdens område – att ålägga Göran Stjerna en varning. HSAN lämnade anmälan i övrigt utan åtgärd.</w:t>
      </w:r>
    </w:p>
    <w:p w:rsidR="003B3271" w:rsidRPr="0008481A" w:rsidRDefault="003B3271">
      <w:r w:rsidRPr="0008481A">
        <w:t>Beslutet vann laga kraft.</w:t>
      </w:r>
    </w:p>
    <w:p w:rsidR="003B3271" w:rsidRPr="0008481A" w:rsidRDefault="003B3271">
      <w:pPr>
        <w:pStyle w:val="Rubrik1"/>
        <w:spacing w:before="0"/>
      </w:pPr>
      <w:r w:rsidRPr="0008481A">
        <w:br w:type="page"/>
        <w:t>Stöd och service till vissa funktionshindrande</w:t>
      </w:r>
    </w:p>
    <w:p w:rsidR="003B3271" w:rsidRPr="0008481A" w:rsidRDefault="003B3271">
      <w:pPr>
        <w:pStyle w:val="Rubrik2"/>
      </w:pPr>
      <w:r w:rsidRPr="0008481A">
        <w:t>Kritik mot kommun för bristande rutiner och åtgärder vid en anställds övergrepp mot boende i ett kommunalt gruppboende</w:t>
      </w:r>
    </w:p>
    <w:p w:rsidR="003B3271" w:rsidRPr="0008481A" w:rsidRDefault="003B3271">
      <w:pPr>
        <w:pStyle w:val="Sidfot"/>
        <w:tabs>
          <w:tab w:val="clear" w:pos="9072"/>
        </w:tabs>
      </w:pPr>
      <w:r w:rsidRPr="0008481A">
        <w:t>(Dnr 585-1999)</w:t>
      </w:r>
    </w:p>
    <w:p w:rsidR="003B3271" w:rsidRPr="0008481A" w:rsidRDefault="003B3271">
      <w:pPr>
        <w:pStyle w:val="Rubrik3"/>
      </w:pPr>
      <w:r w:rsidRPr="0008481A">
        <w:t>Anmälan m.m.</w:t>
      </w:r>
    </w:p>
    <w:p w:rsidR="003B3271" w:rsidRPr="0008481A" w:rsidRDefault="003B3271">
      <w:pPr>
        <w:pStyle w:val="Sidfot"/>
        <w:tabs>
          <w:tab w:val="clear" w:pos="9072"/>
        </w:tabs>
      </w:pPr>
      <w:r w:rsidRPr="0008481A">
        <w:t>I en anmälan till JO framförde Kurt Andersson klagomål mot Motala kom</w:t>
      </w:r>
      <w:r w:rsidRPr="0008481A">
        <w:softHyphen/>
        <w:t>mun. Klagomålen avsåg kommunens handläggning i anledning av en an</w:t>
      </w:r>
      <w:r w:rsidRPr="0008481A">
        <w:softHyphen/>
        <w:t>ställds över</w:t>
      </w:r>
      <w:r w:rsidRPr="0008481A">
        <w:softHyphen/>
        <w:t>grepp mot boende i ett kommunalt gruppboende. Kurt Andersson tog upp bl.a. att varken de boendes gode män och förvaltare eller över</w:t>
      </w:r>
      <w:r w:rsidRPr="0008481A">
        <w:softHyphen/>
        <w:t>förmyndaren infor</w:t>
      </w:r>
      <w:r w:rsidRPr="0008481A">
        <w:softHyphen/>
        <w:t>merades av kommunen angående misstanken om över</w:t>
      </w:r>
      <w:r w:rsidRPr="0008481A">
        <w:softHyphen/>
        <w:t>grepp. Han tog vidare upp att den anställda personalen borde ha anmält sina iakttagelser till ledningen i ett tidigare skede och att det ytterst var kommunens organisation och bristande rutiner som hade fördröjt en an</w:t>
      </w:r>
      <w:r w:rsidRPr="0008481A">
        <w:softHyphen/>
        <w:t>mälan.</w:t>
      </w:r>
    </w:p>
    <w:p w:rsidR="003B3271" w:rsidRPr="0008481A" w:rsidRDefault="003B3271">
      <w:pPr>
        <w:pStyle w:val="Rubrik3"/>
      </w:pPr>
      <w:r w:rsidRPr="0008481A">
        <w:t>Utredning</w:t>
      </w:r>
    </w:p>
    <w:p w:rsidR="003B3271" w:rsidRPr="0008481A" w:rsidRDefault="003B3271">
      <w:pPr>
        <w:pStyle w:val="Sidfot"/>
        <w:tabs>
          <w:tab w:val="clear" w:pos="9072"/>
        </w:tabs>
        <w:ind w:right="-142"/>
      </w:pPr>
      <w:r w:rsidRPr="0008481A">
        <w:rPr>
          <w:spacing w:val="-6"/>
        </w:rPr>
        <w:t xml:space="preserve">Motala </w:t>
      </w:r>
      <w:r w:rsidRPr="0008481A">
        <w:rPr>
          <w:spacing w:val="-4"/>
        </w:rPr>
        <w:t xml:space="preserve">tingsrätts </w:t>
      </w:r>
      <w:r w:rsidRPr="0008481A">
        <w:rPr>
          <w:spacing w:val="-6"/>
        </w:rPr>
        <w:t xml:space="preserve">dom nr DB 22, </w:t>
      </w:r>
      <w:r w:rsidRPr="0008481A">
        <w:rPr>
          <w:spacing w:val="-2"/>
        </w:rPr>
        <w:t>med</w:t>
      </w:r>
      <w:r w:rsidRPr="0008481A">
        <w:rPr>
          <w:spacing w:val="-2"/>
        </w:rPr>
        <w:softHyphen/>
        <w:t>delad</w:t>
      </w:r>
      <w:r w:rsidRPr="0008481A">
        <w:rPr>
          <w:spacing w:val="-6"/>
        </w:rPr>
        <w:t xml:space="preserve"> den 2 februari 1999 i mål nr B</w:t>
      </w:r>
      <w:r w:rsidRPr="0008481A">
        <w:t xml:space="preserve"> 324/98, infordrades och granskades. Av denna framgår att den aktuella vårdaren dömdes av Motala tings</w:t>
      </w:r>
      <w:r w:rsidRPr="0008481A">
        <w:softHyphen/>
        <w:t xml:space="preserve">rätt för ofredande enligt 4 kap. 7 § brottsbalken, bl.a. gentemot H.A.   </w:t>
      </w:r>
    </w:p>
    <w:p w:rsidR="003B3271" w:rsidRPr="0008481A" w:rsidRDefault="003B3271">
      <w:pPr>
        <w:pStyle w:val="Normaltindrag"/>
      </w:pPr>
      <w:r w:rsidRPr="0008481A">
        <w:t>Motala kommun anmodades att inkomma med utredning och yttrande över vad som framfördes i anmälan. Skola-, fritids- och omsorgsstyrelsen i kom</w:t>
      </w:r>
      <w:r w:rsidRPr="0008481A">
        <w:softHyphen/>
        <w:t>munen anförde huvudsakligen följande i sitt remissvar.</w:t>
      </w:r>
    </w:p>
    <w:p w:rsidR="003B3271" w:rsidRPr="0008481A" w:rsidRDefault="003B3271">
      <w:pPr>
        <w:pStyle w:val="Citat"/>
      </w:pPr>
      <w:r w:rsidRPr="0008481A">
        <w:t>Motala kommun och därmed omsorgsverksamheten har anmälts av god man Kurt Andersson till Riksdagens ombudsman vad gäller utredning av kommunens handläggning av ärende rörande personal vid vårdenhet som misstänkts för att ha ofredat vårdtagare.</w:t>
      </w:r>
    </w:p>
    <w:p w:rsidR="003B3271" w:rsidRPr="0008481A" w:rsidRDefault="003B3271">
      <w:pPr>
        <w:pStyle w:val="Citatindrag"/>
      </w:pPr>
      <w:r w:rsidRPr="0008481A">
        <w:t>Anmälaren riktar sin kritik mot kommunens organisation och mot brist</w:t>
      </w:r>
      <w:r w:rsidRPr="0008481A">
        <w:softHyphen/>
        <w:t>fälliga rutiner vil</w:t>
      </w:r>
      <w:r w:rsidRPr="0008481A">
        <w:softHyphen/>
        <w:t xml:space="preserve">ket skulle ligga till grund för att ofredande pågått under, enl anmälaren två år. </w:t>
      </w:r>
    </w:p>
    <w:p w:rsidR="003B3271" w:rsidRPr="0008481A" w:rsidRDefault="003B3271">
      <w:pPr>
        <w:pStyle w:val="Citatindrag"/>
      </w:pPr>
      <w:r w:rsidRPr="0008481A">
        <w:t>Tiden måste från anmälarens sida vara en mycket grov skattning eller en felräkning. Första tillfället enl. dom 1999-02-02 var våren 97 men det ogillades varför första tillfället var sommaren 97 och det sista i feb. 98 alltså ett drygt halvår. Detta är dock inte accepta</w:t>
      </w:r>
      <w:r w:rsidRPr="0008481A">
        <w:softHyphen/>
        <w:t>belt men tiden bör relateras rätt.</w:t>
      </w:r>
    </w:p>
    <w:p w:rsidR="003B3271" w:rsidRPr="0008481A" w:rsidRDefault="003B3271">
      <w:pPr>
        <w:pStyle w:val="Citatindrag"/>
      </w:pPr>
      <w:r w:rsidRPr="0008481A">
        <w:t>Motala kommun beslutade 92 om en ny platt organisation med långt</w:t>
      </w:r>
      <w:r w:rsidRPr="0008481A">
        <w:softHyphen/>
        <w:t>gående decentralise</w:t>
      </w:r>
      <w:r w:rsidRPr="0008481A">
        <w:softHyphen/>
        <w:t>ring till enskilda arbetstagare och arbetslag. Organisa</w:t>
      </w:r>
      <w:r w:rsidRPr="0008481A">
        <w:softHyphen/>
        <w:t>tionen justerades ur funktionsyn</w:t>
      </w:r>
      <w:r w:rsidRPr="0008481A">
        <w:softHyphen/>
        <w:t>punkt 95 men fortfarande med samma mål</w:t>
      </w:r>
      <w:r w:rsidRPr="0008481A">
        <w:softHyphen/>
        <w:t>sättning att ansvar och befogenheter skulle decentraliseras så långt ut som möjligt. Detta innebär att styrning och uppföljning måste ske utifrån fast</w:t>
      </w:r>
      <w:r w:rsidRPr="0008481A">
        <w:softHyphen/>
        <w:t>ställda riktlinjer och föreskrifter vilka måste av arbetsledningen delges och tydlig</w:t>
      </w:r>
      <w:r w:rsidRPr="0008481A">
        <w:softHyphen/>
        <w:t xml:space="preserve">göras. </w:t>
      </w:r>
    </w:p>
    <w:p w:rsidR="003B3271" w:rsidRPr="0008481A" w:rsidRDefault="003B3271">
      <w:pPr>
        <w:pStyle w:val="Citatindrag"/>
      </w:pPr>
      <w:r w:rsidRPr="0008481A">
        <w:t>När det gäller rutiner för anmälan om övergrepp inom den kommunala äldre- och handi</w:t>
      </w:r>
      <w:r w:rsidRPr="0008481A">
        <w:softHyphen/>
        <w:t>kappomsorgen i Motala kommun fastställdes dessa 970415 och de bygger på Social</w:t>
      </w:r>
      <w:r w:rsidRPr="0008481A">
        <w:softHyphen/>
        <w:t>styrelsens SOSFS 1996:11. Samtlig berörd personal gavs under våren en grundlig infor</w:t>
      </w:r>
      <w:r w:rsidRPr="0008481A">
        <w:softHyphen/>
        <w:t>mation varvid det personliga ansvaret förtydligades av resp. resultatchef inom verksam</w:t>
      </w:r>
      <w:r w:rsidRPr="0008481A">
        <w:softHyphen/>
        <w:t xml:space="preserve">hetsområdet. </w:t>
      </w:r>
    </w:p>
    <w:p w:rsidR="003B3271" w:rsidRPr="0008481A" w:rsidRDefault="003B3271">
      <w:pPr>
        <w:pStyle w:val="Citatindrag"/>
      </w:pPr>
      <w:r w:rsidRPr="0008481A">
        <w:t>En organisation måste bygga på att varje individ tar sitt ansvar men också ges förtroende av arbetsledning vilket leder till en individuell anpassad vård och omsorg. En chefstätare organisation skulle knappast ge bättre effekter utan förr passivi</w:t>
      </w:r>
      <w:r w:rsidRPr="0008481A">
        <w:t>sera och därmed minska effektiviteten.</w:t>
      </w:r>
    </w:p>
    <w:p w:rsidR="003B3271" w:rsidRPr="0008481A" w:rsidRDefault="003B3271">
      <w:pPr>
        <w:pStyle w:val="Citatindrag"/>
      </w:pPr>
      <w:r w:rsidRPr="0008481A">
        <w:t>När det gäller rutiner så anser vi dessa tillfyllest men efter det som inträffat måste vi yt</w:t>
      </w:r>
      <w:r w:rsidRPr="0008481A">
        <w:softHyphen/>
        <w:t>terligare informera och samtala om det ansvar det innebär för var och en inom verksam</w:t>
      </w:r>
      <w:r w:rsidRPr="0008481A">
        <w:softHyphen/>
        <w:t>heten. Att anmälan till resultatchef ej skett i tid för</w:t>
      </w:r>
      <w:r w:rsidRPr="0008481A">
        <w:softHyphen/>
        <w:t>stärker detta och tyder på att det finns problem att överbygga när det gäller den kollegiala samhörigheten gentemot den profes</w:t>
      </w:r>
      <w:r w:rsidRPr="0008481A">
        <w:softHyphen/>
        <w:t>sionella inställning som yrket kräver. Vi måste också förstärka uppföljningen så att det inte bara sker information utan även kontinuerlig kontroll vilket kan ske vid årliga ut</w:t>
      </w:r>
      <w:r w:rsidRPr="0008481A">
        <w:softHyphen/>
        <w:t>vecklings</w:t>
      </w:r>
      <w:r w:rsidRPr="0008481A">
        <w:softHyphen/>
        <w:t>samtal samt som en stående punkt vid personalmöten.</w:t>
      </w:r>
    </w:p>
    <w:p w:rsidR="003B3271" w:rsidRPr="0008481A" w:rsidRDefault="003B3271">
      <w:pPr>
        <w:pStyle w:val="Citatindrag"/>
      </w:pPr>
      <w:r w:rsidRPr="0008481A">
        <w:t>Med</w:t>
      </w:r>
      <w:r w:rsidRPr="0008481A">
        <w:t xml:space="preserve"> händelseförloppet bakom oss ser vi också att information till anhöriga och gode män missats vilket vi kommer att komplettera våra rutiner med.</w:t>
      </w:r>
    </w:p>
    <w:p w:rsidR="003B3271" w:rsidRPr="0008481A" w:rsidRDefault="003B3271">
      <w:r w:rsidRPr="0008481A">
        <w:t>Kommunens bestämmelser angående anmälan om och utredning av över</w:t>
      </w:r>
      <w:r w:rsidRPr="0008481A">
        <w:softHyphen/>
        <w:t xml:space="preserve">grepp inom den kommunala äldre- och handikappomsorgen bifogades remissvaret </w:t>
      </w:r>
      <w:r w:rsidRPr="0008481A">
        <w:rPr>
          <w:i/>
        </w:rPr>
        <w:t>(här utelämnat).</w:t>
      </w:r>
    </w:p>
    <w:p w:rsidR="003B3271" w:rsidRPr="0008481A" w:rsidRDefault="003B3271">
      <w:r w:rsidRPr="0008481A">
        <w:t>Kurt Andersson yttrade sig över remissvaret.</w:t>
      </w:r>
    </w:p>
    <w:p w:rsidR="003B3271" w:rsidRPr="0008481A" w:rsidRDefault="003B3271">
      <w:r w:rsidRPr="0008481A">
        <w:t xml:space="preserve">Från Överförmyndaren i Motala kommun inhämtades att Kurt Andersson sedan den 19 november 1997 var förordnad som förvaltare för H.A. enligt </w:t>
      </w:r>
      <w:r w:rsidRPr="0008481A">
        <w:br/>
        <w:t xml:space="preserve">11 kap. 7 § föräldrabalken. </w:t>
      </w:r>
    </w:p>
    <w:p w:rsidR="003B3271" w:rsidRPr="0008481A" w:rsidRDefault="003B3271">
      <w:r w:rsidRPr="0008481A">
        <w:t>Skola-, fritids- och omsorgsstyrelsen upplyste att H.A:s boende utgjorde en insats enligt lagen (1993:387) om stöd och service till vissa funktions</w:t>
      </w:r>
      <w:r w:rsidRPr="0008481A">
        <w:softHyphen/>
        <w:t xml:space="preserve">hindrade (LSS).    </w:t>
      </w:r>
    </w:p>
    <w:p w:rsidR="003B3271" w:rsidRPr="0008481A" w:rsidRDefault="003B3271">
      <w:r w:rsidRPr="0008481A">
        <w:t>Slutligen inhämtades att Motala tingsrätts dom i mål nr B 324/98 inte hade över</w:t>
      </w:r>
      <w:r w:rsidRPr="0008481A">
        <w:softHyphen/>
        <w:t>klagats vad gällde skuldfrågan.</w:t>
      </w:r>
    </w:p>
    <w:p w:rsidR="003B3271" w:rsidRPr="0008481A" w:rsidRDefault="003B3271">
      <w:r w:rsidRPr="0008481A">
        <w:t xml:space="preserve">I sitt beslut den 6 april 2000 anförde </w:t>
      </w:r>
      <w:r w:rsidRPr="0008481A">
        <w:rPr>
          <w:i/>
        </w:rPr>
        <w:t xml:space="preserve">JO André </w:t>
      </w:r>
      <w:r w:rsidRPr="0008481A">
        <w:t>följande.</w:t>
      </w:r>
    </w:p>
    <w:p w:rsidR="003B3271" w:rsidRPr="0008481A" w:rsidRDefault="003B3271">
      <w:pPr>
        <w:pStyle w:val="Rubrik3"/>
      </w:pPr>
      <w:r w:rsidRPr="0008481A">
        <w:t>Bedömning</w:t>
      </w:r>
    </w:p>
    <w:p w:rsidR="003B3271" w:rsidRPr="0008481A" w:rsidRDefault="003B3271">
      <w:pPr>
        <w:pStyle w:val="Rubrik4"/>
        <w:spacing w:before="120"/>
      </w:pPr>
      <w:r w:rsidRPr="0008481A">
        <w:t>Inledning</w:t>
      </w:r>
    </w:p>
    <w:p w:rsidR="003B3271" w:rsidRPr="0008481A" w:rsidRDefault="003B3271">
      <w:pPr>
        <w:pStyle w:val="Sidfot"/>
        <w:tabs>
          <w:tab w:val="clear" w:pos="9072"/>
        </w:tabs>
      </w:pPr>
      <w:r w:rsidRPr="0008481A">
        <w:t>Socialstyrelsens allmänna råd 1996:11 ”Anmälan om övergrepp inom kom</w:t>
      </w:r>
      <w:r w:rsidRPr="0008481A">
        <w:softHyphen/>
        <w:t>muner</w:t>
      </w:r>
      <w:r w:rsidRPr="0008481A">
        <w:softHyphen/>
        <w:t>nas äldre- och handikappomsorg samt den därtill knutna hälso- och sjukvården” upphävdes genom Socialstyrelsens kun</w:t>
      </w:r>
      <w:r w:rsidRPr="0008481A">
        <w:softHyphen/>
        <w:t>görelse SOSFS 1999:3, beslutad den 15 februari 1999. Anledningen till Socialstyrelsens beslut var ändringar i social</w:t>
      </w:r>
      <w:r w:rsidRPr="0008481A">
        <w:softHyphen/>
        <w:t>tjänstlagen (1980:620) som trädde i kraft den 1 januari 1999, bl.a. en bestämmelse 71 a § angående anmälan om missförhållanden i omsorger om äldre och funk</w:t>
      </w:r>
      <w:r w:rsidRPr="0008481A">
        <w:softHyphen/>
        <w:t>tionshindrade.</w:t>
      </w:r>
    </w:p>
    <w:p w:rsidR="003B3271" w:rsidRPr="0008481A" w:rsidRDefault="003B3271">
      <w:pPr>
        <w:pStyle w:val="Normaltindrag"/>
      </w:pPr>
      <w:r w:rsidRPr="0008481A">
        <w:t>Vid den tidsperiod som är aktuell i förevarande ärende gällde emellertid Social</w:t>
      </w:r>
      <w:r w:rsidRPr="0008481A">
        <w:softHyphen/>
        <w:t>styrelsens allmänna råd 1996:11. Motala kommun fastställde den 15 april 1997 bestämmelser angående anmälan om övergrepp inom den kom</w:t>
      </w:r>
      <w:r w:rsidRPr="0008481A">
        <w:softHyphen/>
        <w:t>munala äldre- och handikappomsorgen, se bilaga (</w:t>
      </w:r>
      <w:r w:rsidRPr="0008481A">
        <w:rPr>
          <w:i/>
        </w:rPr>
        <w:t>här utelämnad)</w:t>
      </w:r>
      <w:r w:rsidRPr="0008481A">
        <w:t>. Bestäm</w:t>
      </w:r>
      <w:r w:rsidRPr="0008481A">
        <w:softHyphen/>
        <w:t>melserna, som utgår från Socialstyrelsens all</w:t>
      </w:r>
      <w:r w:rsidRPr="0008481A">
        <w:softHyphen/>
        <w:t xml:space="preserve">männa råd, är väl avvägda. Jag har inte något att erinra mot kommunens rutiner i allmänhet. </w:t>
      </w:r>
    </w:p>
    <w:p w:rsidR="003B3271" w:rsidRPr="0008481A" w:rsidRDefault="003B3271">
      <w:pPr>
        <w:pStyle w:val="Rubrik4"/>
      </w:pPr>
      <w:r w:rsidRPr="0008481A">
        <w:t>Anmälningsplikten</w:t>
      </w:r>
    </w:p>
    <w:p w:rsidR="003B3271" w:rsidRPr="0008481A" w:rsidRDefault="003B3271">
      <w:pPr>
        <w:pStyle w:val="Sidfot"/>
        <w:tabs>
          <w:tab w:val="clear" w:pos="9072"/>
        </w:tabs>
      </w:pPr>
      <w:r w:rsidRPr="0008481A">
        <w:t>En viktig del i kommunens bestämmelser är anmälningsplikten. I linje med Social</w:t>
      </w:r>
      <w:r w:rsidRPr="0008481A">
        <w:softHyphen/>
        <w:t>styrelsens allmänna råd föreskriver kommunen att ”All personal som arbetar inom vård och omsorg skall anmäla kända eller misstänkta missför</w:t>
      </w:r>
      <w:r w:rsidRPr="0008481A">
        <w:softHyphen/>
        <w:t>hållanden till resultat</w:t>
      </w:r>
      <w:r w:rsidRPr="0008481A">
        <w:softHyphen/>
        <w:t>chefen.” I förevarande fall anmälde vissa vårdare vid den aktuella grupp</w:t>
      </w:r>
      <w:r w:rsidRPr="0008481A">
        <w:softHyphen/>
        <w:t xml:space="preserve">bostaden att en arbetskamrat hade utsatt boende för övergrepp. Anmälan upptogs skriftligt den 30 april 1998. </w:t>
      </w:r>
    </w:p>
    <w:p w:rsidR="003B3271" w:rsidRPr="0008481A" w:rsidRDefault="003B3271">
      <w:pPr>
        <w:pStyle w:val="Normaltindrag"/>
      </w:pPr>
      <w:r w:rsidRPr="0008481A">
        <w:t>Av utredningen hos JO framgår att det i vart fall från våren 1997 och fram till början av 1998 förekom sådana miss</w:t>
      </w:r>
      <w:r w:rsidRPr="0008481A">
        <w:softHyphen/>
        <w:t>förhållanden vid den aktuella grupp</w:t>
      </w:r>
      <w:r w:rsidRPr="0008481A">
        <w:softHyphen/>
        <w:t>bostaden som omfattades av de anställdas anmäl</w:t>
      </w:r>
      <w:r w:rsidRPr="0008481A">
        <w:softHyphen/>
        <w:t>nings</w:t>
      </w:r>
      <w:r w:rsidRPr="0008481A">
        <w:softHyphen/>
        <w:t>plikt. Missför</w:t>
      </w:r>
      <w:r w:rsidRPr="0008481A">
        <w:softHyphen/>
        <w:t>hållan</w:t>
      </w:r>
      <w:r w:rsidRPr="0008481A">
        <w:softHyphen/>
        <w:t>d</w:t>
      </w:r>
      <w:r w:rsidRPr="0008481A">
        <w:softHyphen/>
        <w:t>ena bestod av närmare angivna övergrepp gentemot de boende från en vårdares sida. Vidare framgår det av tingsrättens dom och övriga handlingar att vårdarens arbetskamrater hade iakttagit övergreppen under den aktuella tids</w:t>
      </w:r>
      <w:r w:rsidRPr="0008481A">
        <w:softHyphen/>
        <w:t>perioden, utan att anmäla saken till arbetsled</w:t>
      </w:r>
      <w:r w:rsidRPr="0008481A">
        <w:softHyphen/>
        <w:t xml:space="preserve">ningen. </w:t>
      </w:r>
    </w:p>
    <w:p w:rsidR="003B3271" w:rsidRPr="0008481A" w:rsidRDefault="003B3271">
      <w:pPr>
        <w:pStyle w:val="Normaltindrag"/>
      </w:pPr>
      <w:r w:rsidRPr="0008481A">
        <w:t>Personer som vårdas i särskilda boendeformer har som regel ett stort vård</w:t>
      </w:r>
      <w:r w:rsidRPr="0008481A">
        <w:softHyphen/>
        <w:t>behov och är på olika sätt beroende av anhöriga och vårdpersonalen. Det kan antas att de boende upplever att de har ett sådant beroendeförhållande till personalen att de har svårt att framföra klagomål mot en vårdare, även om kritiken skulle vara be</w:t>
      </w:r>
      <w:r w:rsidRPr="0008481A">
        <w:softHyphen/>
        <w:t>fogad. Vidare är hjälptagarna oftast för</w:t>
      </w:r>
      <w:r w:rsidRPr="0008481A">
        <w:softHyphen/>
        <w:t>svarslösa om de utsätts för övergrepp. Mot bakgrund härav är det av yttersta vikt att de bestämmelser och rutiner som finns inom en kommun kring dessa frågor kontinuerligt diskuteras och förs ut till de anställda för att</w:t>
      </w:r>
      <w:r w:rsidRPr="0008481A">
        <w:t xml:space="preserve"> mot</w:t>
      </w:r>
      <w:r w:rsidRPr="0008481A">
        <w:softHyphen/>
        <w:t>verka att de anställda av solidaritet eller något annat skäl avstår från att anmäla en arbets</w:t>
      </w:r>
      <w:r w:rsidRPr="0008481A">
        <w:softHyphen/>
        <w:t>kamrats övergrepp mot de boende. Jag kan kon</w:t>
      </w:r>
      <w:r w:rsidRPr="0008481A">
        <w:softHyphen/>
        <w:t>statera att kommunen i förvarande fall inte hade vidtagit tillräckliga åt</w:t>
      </w:r>
      <w:r w:rsidRPr="0008481A">
        <w:softHyphen/>
        <w:t>gärder för att tillse att de anställda följde bestämmelserna om anmälningsplikt. Styrelsen har i remiss</w:t>
      </w:r>
      <w:r w:rsidRPr="0008481A">
        <w:softHyphen/>
        <w:t>svaret angett att vissa åtgärder avseende information och uppföljning kommer att vidtas för att säkerställa att kommunens bestämmelser följs. Jag förutsätter att styrelsen numera har vidtagi</w:t>
      </w:r>
      <w:r w:rsidRPr="0008481A">
        <w:t>t dessa åtgärder.</w:t>
      </w:r>
    </w:p>
    <w:p w:rsidR="003B3271" w:rsidRPr="0008481A" w:rsidRDefault="003B3271">
      <w:pPr>
        <w:pStyle w:val="Rubrik4"/>
        <w:spacing w:before="120"/>
      </w:pPr>
      <w:r w:rsidRPr="0008481A">
        <w:t xml:space="preserve">Information till gode män och förvaltare </w:t>
      </w:r>
    </w:p>
    <w:p w:rsidR="003B3271" w:rsidRPr="0008481A" w:rsidRDefault="003B3271">
      <w:pPr>
        <w:pStyle w:val="Sidfot"/>
        <w:tabs>
          <w:tab w:val="clear" w:pos="9072"/>
        </w:tabs>
      </w:pPr>
      <w:r w:rsidRPr="0008481A">
        <w:t>Kurt Andersson är enligt 11 kap. 7 § föräldrabalken förordnad som förvaltare för H.A. Förvaltaruppdraget är inte be</w:t>
      </w:r>
      <w:r w:rsidRPr="0008481A">
        <w:softHyphen/>
        <w:t>gränsat, vilket innebär att uppdraget även inne</w:t>
      </w:r>
      <w:r w:rsidRPr="0008481A">
        <w:softHyphen/>
        <w:t>fattar att sörja för H.A:s person. Kurt Andersson är med andra ord H.A:s ställ</w:t>
      </w:r>
      <w:r w:rsidRPr="0008481A">
        <w:softHyphen/>
        <w:t>företrädare även när det gäller H.A:s personliga förhållanden. Som förvaltare hade Kurt Andersson följaktligen ett berättigat intresse av att få kännedom om den an</w:t>
      </w:r>
      <w:r w:rsidRPr="0008481A">
        <w:softHyphen/>
        <w:t>mälan om över</w:t>
      </w:r>
      <w:r w:rsidRPr="0008481A">
        <w:softHyphen/>
        <w:t>grepp som gjordes jämte de bakom</w:t>
      </w:r>
      <w:r w:rsidRPr="0008481A">
        <w:softHyphen/>
        <w:t>liggan</w:t>
      </w:r>
      <w:r w:rsidRPr="0008481A">
        <w:softHyphen/>
        <w:t>de omständig</w:t>
      </w:r>
      <w:r w:rsidRPr="0008481A">
        <w:softHyphen/>
      </w:r>
      <w:r w:rsidRPr="0008481A">
        <w:softHyphen/>
        <w:t>heterna. Att en förvaltare erhåller sådana upplysningar utgör närmast en för</w:t>
      </w:r>
      <w:r w:rsidRPr="0008481A">
        <w:softHyphen/>
        <w:t>utsättning för dennes möjlighet att fullgöra förvaltar</w:t>
      </w:r>
      <w:r w:rsidRPr="0008481A">
        <w:softHyphen/>
        <w:t xml:space="preserve">uppdraget i de fall </w:t>
      </w:r>
      <w:r w:rsidRPr="0008481A">
        <w:t>upp</w:t>
      </w:r>
      <w:r w:rsidRPr="0008481A">
        <w:softHyphen/>
        <w:t>draget innefattar att sörja för huvud</w:t>
      </w:r>
      <w:r w:rsidRPr="0008481A">
        <w:softHyphen/>
        <w:t>mannens person. Det saknas dess</w:t>
      </w:r>
      <w:r w:rsidRPr="0008481A">
        <w:softHyphen/>
        <w:t>utom anledning att anta att det finns några motstående intressen mellan förvaltaren och huvudmannen när det gäller information till förvaltaren om misstänkta eller konstaterade över</w:t>
      </w:r>
      <w:r w:rsidRPr="0008481A">
        <w:softHyphen/>
        <w:t>grepp mot huvudmannen. Bestämmelserna i 7 kap. 4 § sekretesslagen (1980:100) utgjorde därför inte något hinder mot att informera Kurt Andersson. I stället borde kommu</w:t>
      </w:r>
      <w:r w:rsidRPr="0008481A">
        <w:softHyphen/>
        <w:t>nen på eget initiativ ha tagit kontakt med Kurt Andersson och upplyst honom om de anmälda</w:t>
      </w:r>
      <w:r w:rsidRPr="0008481A">
        <w:t xml:space="preserve"> miss</w:t>
      </w:r>
      <w:r w:rsidRPr="0008481A">
        <w:softHyphen/>
        <w:t>förhållandena vid gruppbostaden. Som förvaltare hade ju Kurt Andersson att överväga och vidta lämpliga åtgärder på H.A:s vägnar i an</w:t>
      </w:r>
      <w:r w:rsidRPr="0008481A">
        <w:softHyphen/>
        <w:t>ledning av det som hade in</w:t>
      </w:r>
      <w:r w:rsidRPr="0008481A">
        <w:softHyphen/>
        <w:t xml:space="preserve">träffat. </w:t>
      </w:r>
    </w:p>
    <w:p w:rsidR="003B3271" w:rsidRPr="0008481A" w:rsidRDefault="003B3271">
      <w:pPr>
        <w:pStyle w:val="Normaltindrag"/>
      </w:pPr>
      <w:r w:rsidRPr="0008481A">
        <w:t>När det gäller gode män och förvaltare för de övriga boende framgår det inte av utredningen huru</w:t>
      </w:r>
      <w:r w:rsidRPr="0008481A">
        <w:softHyphen/>
        <w:t>vida de hade uppdrag att sörja för respektive huvud</w:t>
      </w:r>
      <w:r w:rsidRPr="0008481A">
        <w:softHyphen/>
        <w:t>mans person eller ej. Om så var fallet borde kommunen – i enlighet med det ovan anförda – om</w:t>
      </w:r>
      <w:r w:rsidRPr="0008481A">
        <w:softHyphen/>
        <w:t>gående ha upplyst även dem om de anmälda missför</w:t>
      </w:r>
      <w:r w:rsidRPr="0008481A">
        <w:softHyphen/>
        <w:t>hållandena.</w:t>
      </w:r>
    </w:p>
    <w:p w:rsidR="003B3271" w:rsidRPr="0008481A" w:rsidRDefault="003B3271">
      <w:pPr>
        <w:pStyle w:val="Rubrik4"/>
        <w:spacing w:before="120"/>
      </w:pPr>
      <w:r w:rsidRPr="0008481A">
        <w:t>Övrigt</w:t>
      </w:r>
    </w:p>
    <w:p w:rsidR="003B3271" w:rsidRPr="0008481A" w:rsidRDefault="003B3271">
      <w:pPr>
        <w:pStyle w:val="Sidfot"/>
        <w:tabs>
          <w:tab w:val="clear" w:pos="9072"/>
        </w:tabs>
      </w:pPr>
      <w:r w:rsidRPr="0008481A">
        <w:t>Vad som i övrigt har framkommit föranleder inte någon åtgärd eller något utta</w:t>
      </w:r>
      <w:r w:rsidRPr="0008481A">
        <w:softHyphen/>
        <w:t>lande från min sida.</w:t>
      </w:r>
    </w:p>
    <w:p w:rsidR="003B3271" w:rsidRPr="0008481A" w:rsidRDefault="003B3271">
      <w:pPr>
        <w:pStyle w:val="Sidfot"/>
        <w:tabs>
          <w:tab w:val="clear" w:pos="9072"/>
        </w:tabs>
      </w:pPr>
      <w:r w:rsidRPr="0008481A">
        <w:t>_____________</w:t>
      </w:r>
    </w:p>
    <w:p w:rsidR="003B3271" w:rsidRPr="0008481A" w:rsidRDefault="003B3271">
      <w:r w:rsidRPr="0008481A">
        <w:t>Med den kritik som framgår av det anförda avslutas ärendet.</w:t>
      </w:r>
    </w:p>
    <w:p w:rsidR="003B3271" w:rsidRPr="0008481A" w:rsidRDefault="003B3271">
      <w:pPr>
        <w:pStyle w:val="Rubrik1"/>
        <w:spacing w:before="0"/>
      </w:pPr>
      <w:r w:rsidRPr="0008481A">
        <w:br w:type="page"/>
      </w:r>
      <w:r w:rsidRPr="0008481A">
        <w:t>Socialförsäkring</w:t>
      </w:r>
    </w:p>
    <w:p w:rsidR="003B3271" w:rsidRPr="0008481A" w:rsidRDefault="003B3271">
      <w:pPr>
        <w:pStyle w:val="Rubrik2"/>
      </w:pPr>
      <w:r w:rsidRPr="0008481A">
        <w:t>En tjänsteman vid försäkringskassa har kritiserats för att ha överskridit sin behörighet</w:t>
      </w:r>
    </w:p>
    <w:p w:rsidR="003B3271" w:rsidRPr="0008481A" w:rsidRDefault="003B3271">
      <w:r w:rsidRPr="0008481A">
        <w:t>(Dnr 1827-1999)</w:t>
      </w:r>
    </w:p>
    <w:p w:rsidR="003B3271" w:rsidRPr="0008481A" w:rsidRDefault="003B3271">
      <w:r w:rsidRPr="0008481A">
        <w:rPr>
          <w:i/>
        </w:rPr>
        <w:t>JO</w:t>
      </w:r>
      <w:r w:rsidRPr="0008481A">
        <w:t xml:space="preserve"> </w:t>
      </w:r>
      <w:r w:rsidRPr="0008481A">
        <w:rPr>
          <w:i/>
        </w:rPr>
        <w:t>Pennlöv</w:t>
      </w:r>
      <w:r w:rsidRPr="0008481A">
        <w:t xml:space="preserve"> meddelade </w:t>
      </w:r>
      <w:r w:rsidRPr="0008481A">
        <w:rPr>
          <w:rFonts w:ascii="Garamond" w:hAnsi="Garamond"/>
        </w:rPr>
        <w:t>–</w:t>
      </w:r>
      <w:r w:rsidRPr="0008481A">
        <w:t xml:space="preserve"> efter en anmälan mot Stockholms läns allmänna försäkringskassa </w:t>
      </w:r>
      <w:r w:rsidRPr="0008481A">
        <w:rPr>
          <w:rFonts w:ascii="Garamond" w:hAnsi="Garamond"/>
        </w:rPr>
        <w:t>–</w:t>
      </w:r>
      <w:r w:rsidRPr="0008481A">
        <w:t xml:space="preserve"> den 4 maj 2000 ett beslut med följande innehåll.</w:t>
      </w:r>
    </w:p>
    <w:p w:rsidR="003B3271" w:rsidRPr="0008481A" w:rsidRDefault="003B3271">
      <w:pPr>
        <w:pStyle w:val="Rubrik3"/>
      </w:pPr>
      <w:r w:rsidRPr="0008481A">
        <w:t>Anmälan</w:t>
      </w:r>
    </w:p>
    <w:p w:rsidR="003B3271" w:rsidRPr="0008481A" w:rsidRDefault="003B3271">
      <w:r w:rsidRPr="0008481A">
        <w:t>C.E. hävdade att en tjänsteman vid kassan, G.J., skulle ha lämnat ut uppgifter om hennes bostadsbidrag till hennes f.d. make, J.E. G.J. skulle också på olika sätt ha hjälpt och bistått J.E. i samband med att denne överklagade ett beslut om underhållsstöd.</w:t>
      </w:r>
    </w:p>
    <w:p w:rsidR="003B3271" w:rsidRPr="0008481A" w:rsidRDefault="003B3271">
      <w:pPr>
        <w:pStyle w:val="Rubrik3"/>
      </w:pPr>
      <w:r w:rsidRPr="0008481A">
        <w:t>Utredning</w:t>
      </w:r>
    </w:p>
    <w:p w:rsidR="003B3271" w:rsidRPr="0008481A" w:rsidRDefault="003B3271">
      <w:r w:rsidRPr="0008481A">
        <w:t>Anmälan remitterades till försäkringskassan för utredning och yttrande. Kassan – direktören Henrik Meldahl – hänvisade i remissvaret till en av kassans revisionsenhet gjord utredning om någon tjänsteman obehörigen inhämtat uppgifter avseende C.E. I utredningen angavs följande.</w:t>
      </w:r>
    </w:p>
    <w:p w:rsidR="003B3271" w:rsidRPr="0008481A" w:rsidRDefault="003B3271">
      <w:pPr>
        <w:pStyle w:val="Rubrik4"/>
      </w:pPr>
      <w:r w:rsidRPr="0008481A">
        <w:t>Bakgrund</w:t>
      </w:r>
    </w:p>
    <w:p w:rsidR="003B3271" w:rsidRPr="0008481A" w:rsidRDefault="003B3271">
      <w:pPr>
        <w:pStyle w:val="Citat"/>
      </w:pPr>
      <w:r w:rsidRPr="0008481A">
        <w:t>Den 4 maj 1999 inkom ett brev till kassan från C.E. ställt till Christel Rönnblad, Länskontor 2. Brevet innehöll en redogörelse över C.E:s situation i ett omprövningsärende rörande underhållsstöd. I brevet beskrevs att hennes tidigare make, J.E., hade via en bekant anställd på försäkrings</w:t>
      </w:r>
      <w:r w:rsidRPr="0008481A">
        <w:softHyphen/>
        <w:t>kassan fått uppgifter som rörde bl a hennes bostadsbidrag. I brevet nämndes inget namn på denna person på försäkringskassan, utan bara som – ”en bekant i hög position”.</w:t>
      </w:r>
    </w:p>
    <w:p w:rsidR="003B3271" w:rsidRPr="0008481A" w:rsidRDefault="003B3271">
      <w:pPr>
        <w:pStyle w:val="Citatindrag"/>
      </w:pPr>
      <w:r w:rsidRPr="0008481A">
        <w:t>C.E. är inskriven vid lokalkontoret i Sollentuna.</w:t>
      </w:r>
    </w:p>
    <w:p w:rsidR="003B3271" w:rsidRPr="0008481A" w:rsidRDefault="003B3271">
      <w:pPr>
        <w:pStyle w:val="Citatindrag"/>
      </w:pPr>
      <w:r w:rsidRPr="0008481A">
        <w:t>Länskontor 2 har till revisionsenheten lämnat en redogörelse för sina kontakter i ärendet. Till denna redogörelse bifogades kopior av journal</w:t>
      </w:r>
      <w:r w:rsidRPr="0008481A">
        <w:softHyphen/>
        <w:t>an</w:t>
      </w:r>
      <w:r w:rsidRPr="0008481A">
        <w:softHyphen/>
        <w:t>teckningar som upprättats på lokalkontoret i Sollentuna. Av dessa journaler framgår att den åsyftade personen som anmälaren avsåg är områdeschef G.J. vid kontorsområdet Södra Järva (0153).</w:t>
      </w:r>
    </w:p>
    <w:p w:rsidR="003B3271" w:rsidRPr="0008481A" w:rsidRDefault="003B3271">
      <w:pPr>
        <w:pStyle w:val="Citatindrag"/>
      </w:pPr>
      <w:r w:rsidRPr="0008481A">
        <w:t>Det har senare framkommit att J.E. är sambo med dottern till G.J:s sambo.</w:t>
      </w:r>
    </w:p>
    <w:p w:rsidR="003B3271" w:rsidRPr="0008481A" w:rsidRDefault="003B3271">
      <w:pPr>
        <w:pStyle w:val="Packad"/>
      </w:pPr>
      <w:r w:rsidRPr="0008481A">
        <w:t>Internrevisionen fick i uppdrag att utreda ärendet.</w:t>
      </w:r>
    </w:p>
    <w:p w:rsidR="003B3271" w:rsidRPr="0008481A" w:rsidRDefault="003B3271">
      <w:pPr>
        <w:pStyle w:val="Rubrik4"/>
      </w:pPr>
      <w:r w:rsidRPr="0008481A">
        <w:t>Vidtagna åtgärder</w:t>
      </w:r>
    </w:p>
    <w:p w:rsidR="003B3271" w:rsidRPr="0008481A" w:rsidRDefault="003B3271">
      <w:pPr>
        <w:pStyle w:val="Citat"/>
      </w:pPr>
      <w:r w:rsidRPr="0008481A">
        <w:t>Revisionsenheten beslöt att göra ett uttag ur transaktionsloggen från RFV-Data i syfte att utreda vem/vilka som varit inne i systemen och tagit ut information om C.E. Logguttagets resultat visade att ett antal fråge</w:t>
      </w:r>
      <w:r w:rsidRPr="0008481A">
        <w:softHyphen/>
        <w:t>trans</w:t>
      </w:r>
      <w:r w:rsidRPr="0008481A">
        <w:softHyphen/>
        <w:t>aktioner gjorts via ett behörighetskort tillhörigt Södra Järva-kontoret. Vid kontroll visade sig kortet tillhöra försäkringssekreteraren E.S. som arbetar på kontorets kundtjänst. Frågetransaktionerna avsåg 070-trans ”Uppgifter om BDF:UHS/BET/VHV”, 073 trans ”Uppgifter om bidragsskyldigs beslut och barn” samt 745-trans ”Översikt av US-skrivelser”. Samtliga transaktioner var utförda den 16 december 1998 och i en tidsföljd.</w:t>
      </w:r>
    </w:p>
    <w:p w:rsidR="003B3271" w:rsidRPr="0008481A" w:rsidRDefault="003B3271">
      <w:pPr>
        <w:pStyle w:val="Citatindrag"/>
      </w:pPr>
      <w:r w:rsidRPr="0008481A">
        <w:t>Revisionsenheten besökte lokalkontoret den 19 maj 1999 för att intervjua E.S. om</w:t>
      </w:r>
      <w:r w:rsidRPr="0008481A">
        <w:t xml:space="preserve"> motivet bakom ovanstående frågetransaktioner. Vid samtalet med E.S. erinrade hon sig att G.J. kommit till henne och diskuterat regler för underhållsstöd. G.J. hade även bett E.S. att ta fram vissa bilder på C.E. Detta skulle enligt E.S. ha ägt rum – ”någon gång kring jul föregående år”.</w:t>
      </w:r>
    </w:p>
    <w:p w:rsidR="003B3271" w:rsidRPr="0008481A" w:rsidRDefault="003B3271">
      <w:pPr>
        <w:pStyle w:val="Citatindrag"/>
      </w:pPr>
      <w:r w:rsidRPr="0008481A">
        <w:t>Samma dag, den 19 maj 1999, kallade vi G.J. till revisionsenheten för ett samtal. Från revisionsenheten deltog Anders Fridh och Peter Schmidt. Vi berättade för G.J. att vi fått en anmälan för utredning och vad den innehöll.</w:t>
      </w:r>
    </w:p>
    <w:p w:rsidR="003B3271" w:rsidRPr="0008481A" w:rsidRDefault="003B3271">
      <w:pPr>
        <w:pStyle w:val="Citatindrag"/>
      </w:pPr>
      <w:r w:rsidRPr="0008481A">
        <w:t>Vid vårt samtal med G.J. framkom följande:</w:t>
      </w:r>
    </w:p>
    <w:p w:rsidR="003B3271" w:rsidRPr="0008481A" w:rsidRDefault="003B3271">
      <w:pPr>
        <w:pStyle w:val="Citatindrag"/>
      </w:pPr>
      <w:r w:rsidRPr="0008481A">
        <w:t>G.J. erinrade sig ärendet och berättade att J.E. hade bett henne om hjälp att få sitt ärende angående underhållsstöd förklarat för sig. Han hade enligt G.J. vänt sig till sitt kontor (Sollentuna) men hade inte fått den hjälp han behövde. G.J:s syfte hade varit att försöka hjälpa J.E. som kund till Försäkringskassan. G.J. betonade att det inte hade varit hennes mening att ”lägga sig i”.</w:t>
      </w:r>
    </w:p>
    <w:p w:rsidR="003B3271" w:rsidRPr="0008481A" w:rsidRDefault="003B3271">
      <w:pPr>
        <w:pStyle w:val="Citatindrag"/>
      </w:pPr>
      <w:r w:rsidRPr="0008481A">
        <w:t>Ett annat syfte var att hon inte ville att Försäkringskassan skulle framstå som om vi inte bryr oss och tar hänsyn till kundens behov. Utifrån den information G.J. fått från J.E. om hans ärende bedömde hon att det verkade märkligt ur flera aspekter. Bl a hade han fått flera beslutsbrev vid samma tidpunkt med olika dateringar och att han skulle vara underhållsskyldig för barn som han har delad vårdnad för. G.J. tog då kontakt med en handläggare på sitt eget kontor, E.S., för att få veta vilka regler som gäl</w:t>
      </w:r>
      <w:r w:rsidRPr="0008481A">
        <w:t>ler generellt. G.J. har vid detta tillfälle fått J.E:s personnummer per telefon och bett E.S. att ta fram den nödvändiga informationen för att hon skall kunna ge J.E. svar på varför han fått de ovannämnda beslutsbreven. Dessutom hade J.E. uppgivit att när han kontaktat sitt kontor för att avtala en tid för besök för att förklara sin situation, istället blev (– – –) uppmanad att faxa in sina handlingar som han ville åberopa. G.J. tog kontakt med handläggaren, C.B. vid Sollentuna-kontoret, för att informera d</w:t>
      </w:r>
      <w:r w:rsidRPr="0008481A">
        <w:t>enne att J.E. vill komma på besök och visa sina handlingar från tingsrätten etc. G.J. fick då till svar från handläggaren att hon bett honom faxa handlingarna till kontoret. (Enligt journalanteckningar ägde detta samtal rum den 17 december 1999). Enligt G.J. faxade J.E. sina hand</w:t>
      </w:r>
      <w:r w:rsidRPr="0008481A">
        <w:softHyphen/>
        <w:t>lingar till Sollentuna-kontoret tillsammans med en begäran om omprövning.</w:t>
      </w:r>
    </w:p>
    <w:p w:rsidR="003B3271" w:rsidRPr="0008481A" w:rsidRDefault="003B3271">
      <w:pPr>
        <w:pStyle w:val="Citatindrag"/>
      </w:pPr>
      <w:r w:rsidRPr="0008481A">
        <w:t>Efter årsskiftet fick J.E. ett beslut om att hans omprövning avslagits. J.E. kontaktade då G.J. igen med en undran hur han skulle förfara. G.J. informerade a</w:t>
      </w:r>
      <w:r w:rsidRPr="0008481A">
        <w:t>tt J.E. hade rätt att ta del av de handlingar som rörde hans ärende och förvarades på försäkringskassan. J.E. ville ha hjälp av G.J. för att få kopior av aktuella handlingar. G.J. tog därför en förnyad kontakt med lokalkontoret i Sollentuna. Denna gång med försäkringsspecialist G.A. och bad henne tillställa J.E. kopior av aktuella handlingar. När J.E. fått handlingarna visade han dessa för G.J. som förklarade omprövnings</w:t>
      </w:r>
      <w:r w:rsidRPr="0008481A">
        <w:softHyphen/>
        <w:t>förfarandet för honom. J.E. hade svårt att förstå att man inte beviljat omprövning då m</w:t>
      </w:r>
      <w:r w:rsidRPr="0008481A">
        <w:t>an samtidigt dragit in underhållsstödet för hans tidigare hustru. G.J. höll med om J.E:s uppfattning. Någon ytterligare kontakt med Sollentuna-kontoret har G.J. inte haft förutom att hon via handläggarens områdeschef, I.H., förklarat att hennes mening inte var – ”att lägga sig i” och därmed bett om ursäkt om det uppfattats så.</w:t>
      </w:r>
    </w:p>
    <w:p w:rsidR="003B3271" w:rsidRPr="0008481A" w:rsidRDefault="003B3271">
      <w:pPr>
        <w:pStyle w:val="Citatindrag"/>
      </w:pPr>
      <w:r w:rsidRPr="0008481A">
        <w:t>På vår fråga om G.J. avsiktligt eller oavsiktligt kunde ha lämnat ut uppgifter om C.E:s bostadsbidrag förnekade hon detta bestämt.</w:t>
      </w:r>
    </w:p>
    <w:p w:rsidR="003B3271" w:rsidRPr="0008481A" w:rsidRDefault="003B3271">
      <w:pPr>
        <w:pStyle w:val="Citatindrag"/>
      </w:pPr>
      <w:r w:rsidRPr="0008481A">
        <w:t>Vidare har revisionsenheten talat med handläggaren på Sollentuna-kontoret, C.B., för att höra hur hon upplevt kontakten med G.J.</w:t>
      </w:r>
    </w:p>
    <w:p w:rsidR="003B3271" w:rsidRPr="0008481A" w:rsidRDefault="003B3271">
      <w:pPr>
        <w:pStyle w:val="Citatindrag"/>
      </w:pPr>
      <w:r w:rsidRPr="0008481A">
        <w:t>C.B. uppgav att samtalet med G.J. upplevdes som olustigt. I C.B:s journalanteckningar har noterats – ”det kändes så fel att diskutera ett enskilt ärende med en chef som måste känna till regler om fullmakt, jäv osv”. C.B. uppfattade som om G.J. ville veta hur handläggningen i J.E:s ärende framskred samt att hon ”krävt” att J.E:s akt skulle rekvireras från CK.</w:t>
      </w:r>
    </w:p>
    <w:p w:rsidR="003B3271" w:rsidRPr="0008481A" w:rsidRDefault="003B3271">
      <w:pPr>
        <w:pStyle w:val="Citatindrag"/>
      </w:pPr>
      <w:r w:rsidRPr="0008481A">
        <w:t>Beträffande kontakterna som C.B. haft med J.E. så uppgav hon att hon kan ha uppfattats som ”reserverad” när J.E. bett att få en tid för besök och i stället blivit ombedd att faxa in sina handlingar.</w:t>
      </w:r>
    </w:p>
    <w:p w:rsidR="003B3271" w:rsidRPr="0008481A" w:rsidRDefault="003B3271">
      <w:pPr>
        <w:pStyle w:val="Citat"/>
      </w:pPr>
      <w:r w:rsidRPr="0008481A">
        <w:t>– – –</w:t>
      </w:r>
    </w:p>
    <w:p w:rsidR="003B3271" w:rsidRPr="0008481A" w:rsidRDefault="003B3271">
      <w:r w:rsidRPr="0008481A">
        <w:t>Henrik Meldahl anförde därutöver i remissvaret för försäkringskassans räkning följande.</w:t>
      </w:r>
    </w:p>
    <w:p w:rsidR="003B3271" w:rsidRPr="0008481A" w:rsidRDefault="003B3271">
      <w:r w:rsidRPr="0008481A">
        <w:t>– – –</w:t>
      </w:r>
    </w:p>
    <w:p w:rsidR="003B3271" w:rsidRPr="0008481A" w:rsidRDefault="003B3271">
      <w:pPr>
        <w:pStyle w:val="Rubrik4"/>
        <w:spacing w:before="120"/>
      </w:pPr>
      <w:r w:rsidRPr="0008481A">
        <w:t>Yttrande</w:t>
      </w:r>
    </w:p>
    <w:p w:rsidR="003B3271" w:rsidRPr="0008481A" w:rsidRDefault="003B3271">
      <w:pPr>
        <w:pStyle w:val="Citat"/>
      </w:pPr>
      <w:r w:rsidRPr="0008481A">
        <w:t>Försäkringskassan i Stockholms läns revisionsenhet har gjort en utredning avseende frågan om någon tjänsteman obehörigen inhämtat uppgifter avseende C.E. Uttag från transaktionsloggen från RFV-Data har visat att några bilder inte har tagits från lokalkontoret Södra Järva där sådana uppgifter finns tillgängliga. Områdeschefen har redovisat korrespondens mellan C.E:s advokat och den före detta maken där de aktuella uppgifterna finns. Försäkringskassans utredning har inte visat att någon</w:t>
      </w:r>
      <w:r w:rsidRPr="0008481A">
        <w:rPr>
          <w:b/>
        </w:rPr>
        <w:t xml:space="preserve"> </w:t>
      </w:r>
      <w:r w:rsidRPr="0008481A">
        <w:t>i tjänsten otillbörligt skaffat uppgifter om C.E:s bostadsbidrag.</w:t>
      </w:r>
    </w:p>
    <w:p w:rsidR="003B3271" w:rsidRPr="0008481A" w:rsidRDefault="003B3271">
      <w:pPr>
        <w:pStyle w:val="Citatindrag"/>
      </w:pPr>
      <w:r w:rsidRPr="0008481A">
        <w:t>Vad avser C.E:s anmälan i övriga delar får försäkringskassan anföra följande.</w:t>
      </w:r>
    </w:p>
    <w:p w:rsidR="003B3271" w:rsidRPr="0008481A" w:rsidRDefault="003B3271">
      <w:pPr>
        <w:pStyle w:val="Citatindrag"/>
      </w:pPr>
      <w:r w:rsidRPr="0008481A">
        <w:t>I bland annat förvaltningslagen finns regler om hur försäkringskassan och dess anställda skall agera. I 4 § förvaltningslagen anges att varje myndighet skall lämna upplysningar, vägledning, råd och annan sådan hjälp till enskilda i frågor som rör myndighetens verksamhetsområde. Denna serviceskyldighet skall utövas bland annat inom ramen för vad som i 1 kap. 9 § regerings</w:t>
      </w:r>
      <w:r w:rsidRPr="0008481A">
        <w:softHyphen/>
        <w:t>formen anges om att förvaltningsmyndigheter skall iakttaga saklighet och opartiskhet.</w:t>
      </w:r>
    </w:p>
    <w:p w:rsidR="003B3271" w:rsidRPr="0008481A" w:rsidRDefault="003B3271">
      <w:pPr>
        <w:pStyle w:val="Citatindrag"/>
      </w:pPr>
      <w:r w:rsidRPr="0008481A">
        <w:t>I förevarande ärende har utredningen visat att områdeschefen agerat på ett sådant sätt att det i vart fall kan ha uppfattats som om hon agerat som ombud för en enskild i ett ärende hos myndigheten och som om hon sökt använda sin ställning för att påverka ett ärende. Områdeschefen har själv uppgett att hon har hjälpt en enskild som kund.</w:t>
      </w:r>
    </w:p>
    <w:p w:rsidR="003B3271" w:rsidRPr="0008481A" w:rsidRDefault="003B3271">
      <w:pPr>
        <w:pStyle w:val="Citatindrag"/>
      </w:pPr>
      <w:r w:rsidRPr="0008481A">
        <w:t>Vad som aktualiseras i ärendet är alltså å ena sidan kravet på att myndig</w:t>
      </w:r>
      <w:r w:rsidRPr="0008481A">
        <w:softHyphen/>
        <w:t>heter skall vara opartiska och å andra myndigheternas serviceskyldighet. Försäkringskassan anser att områdeschefen agerat på ett sådant sätt som går utöver den serviceskyldighet som åvilar myndigheten. Hennes agerande har inte inskränkt sig till upplysningar, vägledning, råd eller annan sådan hjälp. Hon har agerat på ett sådant sätt att det har funnits anledning att ifrågasätta hennes opartiskhet.</w:t>
      </w:r>
    </w:p>
    <w:p w:rsidR="003B3271" w:rsidRPr="0008481A" w:rsidRDefault="003B3271">
      <w:pPr>
        <w:pStyle w:val="Citatindrag"/>
      </w:pPr>
      <w:r w:rsidRPr="0008481A">
        <w:t>Det kan i sammanhanget påpekas att den utredning som företagits inte visat att områdeschefens agerande påverka</w:t>
      </w:r>
      <w:r w:rsidRPr="0008481A">
        <w:t>t handläggningen av det ärende hon engagerat sig i.</w:t>
      </w:r>
    </w:p>
    <w:p w:rsidR="003B3271" w:rsidRPr="0008481A" w:rsidRDefault="003B3271">
      <w:pPr>
        <w:pStyle w:val="Citatindrag"/>
      </w:pPr>
      <w:r w:rsidRPr="0008481A">
        <w:t>Avslutningsvis vill försäkringskassan framhålla att kassan ser allvarligt på det inträffade. Den anmälda händelsen har också, som framgår, föranlett en omfattande intern utredning av försäkringskassans revisionsenhet.</w:t>
      </w:r>
    </w:p>
    <w:p w:rsidR="003B3271" w:rsidRPr="0008481A" w:rsidRDefault="003B3271">
      <w:r w:rsidRPr="0008481A">
        <w:t>C.E. fick tillfälle att kommentera remissvaret men hördes inte av.</w:t>
      </w:r>
    </w:p>
    <w:p w:rsidR="003B3271" w:rsidRPr="0008481A" w:rsidRDefault="003B3271">
      <w:pPr>
        <w:pStyle w:val="Rubrik3"/>
      </w:pPr>
      <w:r w:rsidRPr="0008481A">
        <w:t>Bedömning</w:t>
      </w:r>
    </w:p>
    <w:p w:rsidR="003B3271" w:rsidRPr="0008481A" w:rsidRDefault="003B3271">
      <w:r w:rsidRPr="0008481A">
        <w:t>Av utredningen framgår att G.J. på olika sätt agerat för att försöka hjälpa sin bekant, J.E., med dennes ärende om underhållsstöd. Detta skedde trots att G.J. varken var handläggare av ärendet eller hade fullmakt att företräda J.E. J.E. tillhörde dessutom ett lokalkontor inom ett annat kontorsområde än det där G.J. var chef.</w:t>
      </w:r>
    </w:p>
    <w:p w:rsidR="003B3271" w:rsidRPr="0008481A" w:rsidRDefault="003B3271">
      <w:pPr>
        <w:pStyle w:val="Normaltindrag"/>
      </w:pPr>
      <w:r w:rsidRPr="0008481A">
        <w:t>G.J. bad den 16 december 1998 en tjänsteman vid sitt lokalkontor att gå in i socialförsäkringens ADB-register och ta fram vissa databilder där uppgifter om C.E. förekom. Dagen därpå ringde G.J. till handläggaren av J.E:s under</w:t>
      </w:r>
      <w:r w:rsidRPr="0008481A">
        <w:softHyphen/>
        <w:t>hållsstödsärende vid kassans lokalkontor Sollentuna för att informera denne om att J.E. ville komma på besök. Det framgår av utredningen att hand</w:t>
      </w:r>
      <w:r w:rsidRPr="0008481A">
        <w:softHyphen/>
        <w:t>läggaren upplevde samtalet som olustigt. Vid en senare tidpunkt har G.J. återigen tagit kontakt med en handläggare vid detta kontor och bett denne att skicka J.E. kopior av handlingar.</w:t>
      </w:r>
    </w:p>
    <w:p w:rsidR="003B3271" w:rsidRPr="0008481A" w:rsidRDefault="003B3271">
      <w:pPr>
        <w:pStyle w:val="Normaltindrag"/>
      </w:pPr>
      <w:r w:rsidRPr="0008481A">
        <w:t xml:space="preserve">G.J:s förklaring till att hon på ett så aktivt sätt försökte hjälpa J.E. är att hon upplevde att han inte fick den hjälp han behövde av försäkringskassan och att hon var angelägen </w:t>
      </w:r>
      <w:r w:rsidRPr="0008481A">
        <w:t>om att kassan inte skulle framstå som en myndighet som inte brydde sig om sina ”kunder”. Jag finner det svårt att tro på den förklaringen och delar försäkringskassans uppfattning att G.J. har agerat på ett sådant sätt att hennes opartiskhet kunnat ifrågasättas. Hon har också använt sig av sin ställning som chef för att förmå en tjänsteman vid det kontor där hon arbetade att gå in i socialförsäkringens dataregister och ta fram vissa databilder där uppgifter om C.E. förekom. Hon överskred därigenom sin behöri</w:t>
      </w:r>
      <w:r w:rsidRPr="0008481A">
        <w:t xml:space="preserve">ghet eftersom hon inte hade något ärende rörande vare sig J.E. eller C.E. att handlägga. Sammantaget har G.J:s befattning med ärendet präglats av en anmärkningsvärd brist på omdöme. </w:t>
      </w:r>
    </w:p>
    <w:p w:rsidR="003B3271" w:rsidRPr="0008481A" w:rsidRDefault="003B3271">
      <w:pPr>
        <w:pStyle w:val="Normaltindrag"/>
      </w:pPr>
      <w:r w:rsidRPr="0008481A">
        <w:t>G.J. har förnekat att hon lämnat ut uppgifter om C.E:s bostadsbidrag. Det hon har sagt vinner stöd dels av att de databilder som togs inte avsåg bostadsbidrag, dels av att uppgiften om bostadsbidragets storlek fanns tillgänglig i en korrespondens mellan C.E:s advokat och J.E. Vad som fram</w:t>
      </w:r>
      <w:r w:rsidRPr="0008481A">
        <w:softHyphen/>
        <w:t>kommit ger således inte utrymme för ett antagande att G.J. obehörigen lämnat ut dessa uppgifter.</w:t>
      </w:r>
    </w:p>
    <w:p w:rsidR="003B3271" w:rsidRPr="0008481A" w:rsidRDefault="003B3271">
      <w:pPr>
        <w:pStyle w:val="Rubrik2"/>
      </w:pPr>
      <w:r w:rsidRPr="0008481A">
        <w:t>Kritik mot en försäkringskassa för fel som uppstått med anledning av att en akt i ett arbetsskadeärende inte kunnat återfinnas och heller inte efterforskats</w:t>
      </w:r>
    </w:p>
    <w:p w:rsidR="003B3271" w:rsidRPr="0008481A" w:rsidRDefault="003B3271">
      <w:r w:rsidRPr="0008481A">
        <w:t>(Dnr 3149-1998)</w:t>
      </w:r>
    </w:p>
    <w:p w:rsidR="003B3271" w:rsidRPr="0008481A" w:rsidRDefault="003B3271">
      <w:r w:rsidRPr="0008481A">
        <w:t>I en anmälan mot Stockholms läns allmänna försäkringskassa klagade Bo-Gunnar Hemtke, som ombud för U.H., på försäkringskassans handläggning av hennes arbetsskadeärende. Han anförde bl.a. följande. Han skrev till försäkringskassan i februari 1997 och påminde kassan om ett yrkande om livränta för förlorad arbetsförtjänst. Han påminde ånyo försäkringskassan om ärendet i juni 1997, i december 1997 och i januari 1998 utan att få något besked. I slutet av januari 1998 fick han svar från försäkringskassan att äre</w:t>
      </w:r>
      <w:r w:rsidRPr="0008481A">
        <w:t xml:space="preserve">ndet var under utredning och att kommunicering skulle ske de närmaste månaderna. Eftersom han inget hörde påminde han försäkringskassan på nytt i april och i maj 1998. </w:t>
      </w:r>
    </w:p>
    <w:p w:rsidR="003B3271" w:rsidRPr="0008481A" w:rsidRDefault="003B3271">
      <w:pPr>
        <w:pStyle w:val="Normaltindrag"/>
      </w:pPr>
      <w:r w:rsidRPr="0008481A">
        <w:t>I ett inhämtat yttrande över anmälan anförde försäkringskassan genom direktören Henrik Meldahl bl.a. följande.</w:t>
      </w:r>
    </w:p>
    <w:p w:rsidR="003B3271" w:rsidRPr="0008481A" w:rsidRDefault="003B3271">
      <w:r w:rsidRPr="0008481A">
        <w:t>– – –</w:t>
      </w:r>
    </w:p>
    <w:p w:rsidR="003B3271" w:rsidRPr="0008481A" w:rsidRDefault="003B3271">
      <w:pPr>
        <w:pStyle w:val="Rubrik4"/>
      </w:pPr>
      <w:r w:rsidRPr="0008481A">
        <w:t>Yttrande</w:t>
      </w:r>
    </w:p>
    <w:p w:rsidR="003B3271" w:rsidRPr="0008481A" w:rsidRDefault="003B3271">
      <w:pPr>
        <w:pStyle w:val="Citat"/>
      </w:pPr>
      <w:r w:rsidRPr="0008481A">
        <w:t>Enligt 4 § förvaltningslagen skall frågor av enskilda besvaras så snart som möjligt. Försäkringskassan är skyldig att lämna någon form av svar. Svaret får inte heller dröja längre än nödvändigt.</w:t>
      </w:r>
    </w:p>
    <w:p w:rsidR="003B3271" w:rsidRPr="0008481A" w:rsidRDefault="003B3271">
      <w:pPr>
        <w:pStyle w:val="Citatindrag"/>
      </w:pPr>
      <w:r w:rsidRPr="0008481A">
        <w:t>Enligt 7 § förvaltningslagen skall varje ärende där någon enskild är part handläggas så enkelt, snabbt och billigt som möjligt utan att säkerheten eftersätts.</w:t>
      </w:r>
    </w:p>
    <w:p w:rsidR="003B3271" w:rsidRPr="0008481A" w:rsidRDefault="003B3271">
      <w:pPr>
        <w:pStyle w:val="Citatindrag"/>
      </w:pPr>
      <w:r w:rsidRPr="0008481A">
        <w:t>Enligt lokalkontorets redogörelse har handläggaren lagt ombudet Hemtkes skrivelser åt sidan då hon inte kunde hitta arbetsskadeakten. Handläggaren säger vidare att hon inte visste att akten var hos länsrätten. Akten skall dock enligt handlingarna [ha] återkommit till försäkringskassan den 15 maj 1998. Någon åtgärd för att besvara skrivelserna eller hitta akten har inte vidtagits förrän i oktober 1998. Lokalkontoret har emellertid inte funnit akten.</w:t>
      </w:r>
    </w:p>
    <w:p w:rsidR="003B3271" w:rsidRPr="0008481A" w:rsidRDefault="003B3271">
      <w:pPr>
        <w:pStyle w:val="Citatindrag"/>
      </w:pPr>
      <w:r w:rsidRPr="0008481A">
        <w:t xml:space="preserve">Det föreligger allvarliga brister i försäkringskassans handläggning av U.H:s arbetsskadeärenden.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p>
    <w:p w:rsidR="003B3271" w:rsidRPr="0008481A" w:rsidRDefault="003B3271">
      <w:pPr>
        <w:pStyle w:val="Rubrik3"/>
        <w:rPr>
          <w:b w:val="0"/>
        </w:rPr>
      </w:pPr>
      <w:r w:rsidRPr="0008481A">
        <w:rPr>
          <w:b w:val="0"/>
        </w:rPr>
        <w:t>Bo-Gunnar Hemtke tog del av remissvaret.</w:t>
      </w:r>
    </w:p>
    <w:p w:rsidR="003B3271" w:rsidRPr="0008481A" w:rsidRDefault="003B3271">
      <w:r w:rsidRPr="0008481A">
        <w:t xml:space="preserve">I sitt beslut den 4 november 1999 anförde </w:t>
      </w:r>
      <w:r w:rsidRPr="0008481A">
        <w:rPr>
          <w:i/>
        </w:rPr>
        <w:t xml:space="preserve">JO Pennlöv </w:t>
      </w:r>
      <w:r w:rsidRPr="0008481A">
        <w:t xml:space="preserve"> i bedömningsdelen följande.</w:t>
      </w:r>
    </w:p>
    <w:p w:rsidR="003B3271" w:rsidRPr="0008481A" w:rsidRDefault="003B3271">
      <w:pPr>
        <w:pStyle w:val="Normaltindrag"/>
      </w:pPr>
      <w:r w:rsidRPr="0008481A">
        <w:t>Av försäkringskassans remissvar framgår att det förevarit flera allvarliga fel i kassans handläggning av U.H:s arbetsskadeärende. Försäkrings</w:t>
      </w:r>
      <w:r w:rsidRPr="0008481A">
        <w:softHyphen/>
        <w:t>kassan har underlåtit att fatta beslut med anledning av U.H:s begäran om livränta för förlorad arbetsförtjänst. Försäkringskassan har också underlåtit att besvara ett flertal förfrågningar om ärendet från hennes ombud Bo-Gunnar Hemtke. Enligt försäkringskassan finns det flera orsaker till detta, såsom att kassan inte kunnat hitta arbetsskadeakten och tidsbrist hos handläggaren. Jag finner det utomordentligt anmärkningsvärt att handläggaren bara lagt Bo-Gunnar Hemtkes förfrågningar åt sidan utan att uppenba</w:t>
      </w:r>
      <w:r w:rsidRPr="0008481A">
        <w:t>rligen ens göra allvarliga försök att leta efter akten. Om inte annat borde Bo-Gunnar Hemtkes många påminnelser ha fått försäkringskassan att reagera så att kassan, om akten inte kunde återfinnas, kunde ha börjat rekonstruera den.</w:t>
      </w:r>
    </w:p>
    <w:p w:rsidR="003B3271" w:rsidRPr="0008481A" w:rsidRDefault="003B3271">
      <w:pPr>
        <w:pStyle w:val="Normaltindrag"/>
      </w:pPr>
      <w:r w:rsidRPr="0008481A">
        <w:t>Försäkringskassan har inte heller verkställt länsrättens dom på grund av att handläggaren inte visste att domen och akten återkommit från länsrätten. Även detta är ytterst anmärkningsvärt. Sammantaget tyder kassans förklaringar på att det förelegat stora brister i försäkringskassa</w:t>
      </w:r>
      <w:r w:rsidRPr="0008481A">
        <w:t>ns bevaknings</w:t>
      </w:r>
      <w:r w:rsidRPr="0008481A">
        <w:softHyphen/>
        <w:t>rutiner. Försäkringskassan förtjänar således mycket allvarlig kritik för sin handläggning av ärendet.</w:t>
      </w:r>
    </w:p>
    <w:p w:rsidR="003B3271" w:rsidRPr="0008481A" w:rsidRDefault="003B3271">
      <w:pPr>
        <w:pStyle w:val="Rubrik2"/>
      </w:pPr>
      <w:r w:rsidRPr="0008481A">
        <w:t>En för</w:t>
      </w:r>
      <w:r w:rsidRPr="0008481A">
        <w:softHyphen/>
        <w:t>säk</w:t>
      </w:r>
      <w:r w:rsidRPr="0008481A">
        <w:softHyphen/>
        <w:t>rings</w:t>
      </w:r>
      <w:r w:rsidRPr="0008481A">
        <w:softHyphen/>
        <w:t>kas</w:t>
      </w:r>
      <w:r w:rsidRPr="0008481A">
        <w:softHyphen/>
        <w:t>sa har gjort en rad fel vid handläggningen av ett sjukbidragsärende</w:t>
      </w:r>
    </w:p>
    <w:p w:rsidR="003B3271" w:rsidRPr="0008481A" w:rsidRDefault="003B3271">
      <w:r w:rsidRPr="0008481A">
        <w:t>(Dnr 4192-1998)</w:t>
      </w:r>
    </w:p>
    <w:p w:rsidR="003B3271" w:rsidRPr="0008481A" w:rsidRDefault="003B3271">
      <w:r w:rsidRPr="0008481A">
        <w:t>I en anmälan till JO klagade L.K. på att Stockholms läns allmänna för</w:t>
      </w:r>
      <w:r w:rsidRPr="0008481A">
        <w:softHyphen/>
        <w:t>säkrings</w:t>
      </w:r>
      <w:r w:rsidRPr="0008481A">
        <w:softHyphen/>
        <w:t>kassa i februari 1998 hade lämnat felaktig information till honom om tidpunkten för när hans tidsbegränsade sjukbidrag skulle löpa ut samt att kassan i september 1998 hade dragit för mycket preliminärskatt eller beslutat om för låg retroaktiv pension.</w:t>
      </w:r>
    </w:p>
    <w:p w:rsidR="003B3271" w:rsidRPr="0008481A" w:rsidRDefault="003B3271">
      <w:pPr>
        <w:pStyle w:val="Normaltindrag"/>
      </w:pPr>
      <w:r w:rsidRPr="0008481A">
        <w:t>I ett från för</w:t>
      </w:r>
      <w:r w:rsidRPr="0008481A">
        <w:softHyphen/>
        <w:t>säk</w:t>
      </w:r>
      <w:r w:rsidRPr="0008481A">
        <w:softHyphen/>
        <w:t>rings</w:t>
      </w:r>
      <w:r w:rsidRPr="0008481A">
        <w:softHyphen/>
        <w:t>kas</w:t>
      </w:r>
      <w:r w:rsidRPr="0008481A">
        <w:softHyphen/>
        <w:t>san inhämtat yttrande anförde direktören Henrik Meldahl bl.a. följande.</w:t>
      </w:r>
    </w:p>
    <w:p w:rsidR="003B3271" w:rsidRPr="0008481A" w:rsidRDefault="003B3271">
      <w:pPr>
        <w:pStyle w:val="Rubrik4"/>
      </w:pPr>
      <w:r w:rsidRPr="0008481A">
        <w:t>Bakgrund</w:t>
      </w:r>
    </w:p>
    <w:p w:rsidR="003B3271" w:rsidRPr="0008481A" w:rsidRDefault="003B3271">
      <w:pPr>
        <w:pStyle w:val="Citat"/>
      </w:pPr>
      <w:r w:rsidRPr="0008481A">
        <w:t>Försäkringskassan i Jönköping har beviljat L.K. sjukbidrag sa</w:t>
      </w:r>
      <w:r w:rsidRPr="0008481A">
        <w:t>m</w:t>
      </w:r>
      <w:r w:rsidRPr="0008481A">
        <w:t>man</w:t>
      </w:r>
      <w:r w:rsidRPr="0008481A">
        <w:softHyphen/>
        <w:t>hängande från juli 1992 till juni 1997.</w:t>
      </w:r>
    </w:p>
    <w:p w:rsidR="003B3271" w:rsidRPr="0008481A" w:rsidRDefault="003B3271">
      <w:pPr>
        <w:pStyle w:val="Citatindrag"/>
      </w:pPr>
      <w:r w:rsidRPr="0008481A">
        <w:t>Från och med 1997 tillhör L.K. kontorsområdet Norsborg och l</w:t>
      </w:r>
      <w:r w:rsidRPr="0008481A">
        <w:t>o</w:t>
      </w:r>
      <w:r w:rsidRPr="0008481A">
        <w:t>kal</w:t>
      </w:r>
      <w:r w:rsidRPr="0008481A">
        <w:softHyphen/>
        <w:t>kontoret Norsborg. Vid besök på lokalkontoret i Norsborg den 23 januari 1997 lämnade L.K. in en ny ansökan om sjukbidrag. Den 16 juni 1997 för</w:t>
      </w:r>
      <w:r w:rsidRPr="0008481A">
        <w:softHyphen/>
        <w:t>längde försäkringskassan L.K:s sjukbidrag provisoriskt till och med septem</w:t>
      </w:r>
      <w:r w:rsidRPr="0008481A">
        <w:softHyphen/>
        <w:t>ber 1997. Därefter förlängdes sjukbidraget ytterligare en gång, till och med november 1997, genom provisoriskt beslut den 23 september 1997. Vid dessa provisoriska beslut har läkarutlåtande inte krävts in.</w:t>
      </w:r>
    </w:p>
    <w:p w:rsidR="003B3271" w:rsidRPr="0008481A" w:rsidRDefault="003B3271">
      <w:pPr>
        <w:pStyle w:val="Citatindrag"/>
      </w:pPr>
      <w:r w:rsidRPr="0008481A">
        <w:t>Försäkringskassan fattade beslut om helt sjukbidrag för perioden juli 1997 till maj</w:t>
      </w:r>
      <w:r w:rsidRPr="0008481A">
        <w:t xml:space="preserve"> 1998 i beslut i socialförsäkringsnämnden den 9 december 1998 [to</w:t>
      </w:r>
      <w:r w:rsidRPr="0008481A">
        <w:t>r</w:t>
      </w:r>
      <w:r w:rsidRPr="0008481A">
        <w:t>de vara 1997, JO:s anm.]. Som underlag fanns då läkarutlåtande från d</w:t>
      </w:r>
      <w:r w:rsidRPr="0008481A">
        <w:t>i</w:t>
      </w:r>
      <w:r w:rsidRPr="0008481A">
        <w:t>strikts</w:t>
      </w:r>
      <w:r w:rsidRPr="0008481A">
        <w:softHyphen/>
        <w:t>läkare Norouzi, daterat den 26 februari 1997. Detta utlåtande har fö</w:t>
      </w:r>
      <w:r w:rsidRPr="0008481A">
        <w:t>r</w:t>
      </w:r>
      <w:r w:rsidRPr="0008481A">
        <w:t>säkrings</w:t>
      </w:r>
      <w:r w:rsidRPr="0008481A">
        <w:softHyphen/>
        <w:t>kassan själv införskaffat utan L.K:s medverkan. Handlägg</w:t>
      </w:r>
      <w:r w:rsidRPr="0008481A">
        <w:t>a</w:t>
      </w:r>
      <w:r w:rsidRPr="0008481A">
        <w:t>ren lämnade över ärendet till föredragande tjänsteman den 31 oktober 1997. PM från föredrag</w:t>
      </w:r>
      <w:r w:rsidRPr="0008481A">
        <w:softHyphen/>
        <w:t>ningen finns i utredningsakten, däremot ingen kopia av b</w:t>
      </w:r>
      <w:r w:rsidRPr="0008481A">
        <w:t>e</w:t>
      </w:r>
      <w:r w:rsidRPr="0008481A">
        <w:t>slutsmeddelandet.</w:t>
      </w:r>
    </w:p>
    <w:p w:rsidR="003B3271" w:rsidRPr="0008481A" w:rsidRDefault="003B3271">
      <w:pPr>
        <w:pStyle w:val="Citatindrag"/>
      </w:pPr>
      <w:r w:rsidRPr="0008481A">
        <w:t>L.K. meddelades försäkringskassans sjukbidragsbeslut den 12 decemb</w:t>
      </w:r>
      <w:r w:rsidRPr="0008481A">
        <w:t>er 1997. Meddelande har skickats ut av föredragande tjänsteman och i detta fall utan återkoppling till utredande handläggare.</w:t>
      </w:r>
    </w:p>
    <w:p w:rsidR="003B3271" w:rsidRPr="0008481A" w:rsidRDefault="003B3271">
      <w:pPr>
        <w:pStyle w:val="Citatindrag"/>
      </w:pPr>
      <w:r w:rsidRPr="0008481A">
        <w:t>I samband med omorganisation inom lokalkontorsområdet under 1997 lades samtliga utredningsärenden i sjukbidragsärenden ut på lokalkontoret i Tu</w:t>
      </w:r>
      <w:r w:rsidRPr="0008481A">
        <w:t>m</w:t>
      </w:r>
      <w:r w:rsidRPr="0008481A">
        <w:t>ba. Uträkning och utbetalning görs dock ifrån lokalkontoret i Norsborg. S</w:t>
      </w:r>
      <w:r w:rsidRPr="0008481A">
        <w:t>å</w:t>
      </w:r>
      <w:r w:rsidRPr="0008481A">
        <w:t>ledes skickades L.K:s sjukbidragsakt över till en ny handläggare.</w:t>
      </w:r>
    </w:p>
    <w:p w:rsidR="003B3271" w:rsidRPr="0008481A" w:rsidRDefault="003B3271">
      <w:pPr>
        <w:pStyle w:val="Citatindrag"/>
      </w:pPr>
      <w:r w:rsidRPr="0008481A">
        <w:t>Enligt uppgift från den nya handläggaren vid kontoret i Tumba kon</w:t>
      </w:r>
      <w:r w:rsidRPr="0008481A">
        <w:softHyphen/>
        <w:t>taktades hon av L.K:s läkare någon gång under våren 1998. L.K. var vid tillfället på besök hos sin läkare och önskade själv få uppgift om hur länge han beviljats sjukbidrag och om han behövde inkomma med nytt l</w:t>
      </w:r>
      <w:r w:rsidRPr="0008481A">
        <w:t>ä</w:t>
      </w:r>
      <w:r w:rsidRPr="0008481A">
        <w:t>kar</w:t>
      </w:r>
      <w:r w:rsidRPr="0008481A">
        <w:softHyphen/>
        <w:t>utlåtande. Handläggaren lämnade då uppgiften att L.K. beviljats sjukbidrag till och med december 1998. Denna uppgift var dock tyvärr felaktig. Upp</w:t>
      </w:r>
      <w:r w:rsidRPr="0008481A">
        <w:softHyphen/>
        <w:t>giften härrörde ur den kopia av PM som hade föredragits för socialför</w:t>
      </w:r>
      <w:r w:rsidRPr="0008481A">
        <w:softHyphen/>
        <w:t>säkrings</w:t>
      </w:r>
      <w:r w:rsidRPr="0008481A">
        <w:softHyphen/>
        <w:t xml:space="preserve">nämnden. Försäkringskassans förslag till beslut hade varit sjukbidrag </w:t>
      </w:r>
      <w:r w:rsidRPr="0008481A">
        <w:t>till och med december 1998. Vad som sedan inträffade var att socialförsäk</w:t>
      </w:r>
      <w:r w:rsidRPr="0008481A">
        <w:softHyphen/>
        <w:t>rings</w:t>
      </w:r>
      <w:r w:rsidRPr="0008481A">
        <w:softHyphen/>
        <w:t>nämnden beslutade att L.K. var berättigad till sjukbidrag till och med maj 1998. PM i original med de riktiga uppgifterna fanns längre bak i akten. Tyvärr hade kopian av försäkringskassans förslag inte rensats ut. Någon kopia av beslutsmeddelandet till L.K. fanns inte i utredningsakten, som nämnts ovan, utan var insorterad i den ekonomiska akten som rör uträknings</w:t>
      </w:r>
      <w:r w:rsidRPr="0008481A">
        <w:softHyphen/>
        <w:t>beslutet och denna akt förvaras på kontoret i Tumba. Handläggaren</w:t>
      </w:r>
      <w:r w:rsidRPr="0008481A">
        <w:t xml:space="preserve"> kunde därför inte heller via beslutsmeddelandet bli uppmärksammad om social</w:t>
      </w:r>
      <w:r w:rsidRPr="0008481A">
        <w:softHyphen/>
        <w:t>försäkringsnämndens beslut.</w:t>
      </w:r>
    </w:p>
    <w:p w:rsidR="003B3271" w:rsidRPr="0008481A" w:rsidRDefault="003B3271">
      <w:pPr>
        <w:pStyle w:val="Citatindrag"/>
      </w:pPr>
      <w:r w:rsidRPr="0008481A">
        <w:t>L.K:s utbetalning av sjukbidrag upphörde automatiskt i juni 1998 eftersom någon ansökan om förlängt sjukbidrag inte kommit in till försäkringskassan. Enligt gällande rutiner brukar lokalkontoret skicka en påminnelse till samtliga som uppbär sjukbidrag sex månader innan ersättningen löper ut. Detta är en ren serviceåtgärd som försäkringskassan åtar sig för att någon som är ersättningsberättigad inte ska b</w:t>
      </w:r>
      <w:r w:rsidRPr="0008481A">
        <w:t>li utan ersättning av ren glömska. Vid lokalkontorets kontroll av den s.k. bevakningslistan fanns inte L.K. med. Detta kan bero på att det endast var fyra månader kvar av ersättningsperioden när L.K. fick besked om sjukbidraget. Tyvärr finns inget dokumenterat om varför någon bevakning inte lades in.</w:t>
      </w:r>
    </w:p>
    <w:p w:rsidR="003B3271" w:rsidRPr="0008481A" w:rsidRDefault="003B3271">
      <w:pPr>
        <w:pStyle w:val="Citatindrag"/>
      </w:pPr>
      <w:r w:rsidRPr="0008481A">
        <w:t>Eftersom rätten till pension upphörde i maj 1998 stoppades även utbetal</w:t>
      </w:r>
      <w:r w:rsidRPr="0008481A">
        <w:softHyphen/>
        <w:t>ningen av L.K:s bostadstillägg för pension. Detta sker automatiskt utan att något meddelande går ut till pensionstagaren. Samma sak gällde även L.K:s handikappersättning.</w:t>
      </w:r>
    </w:p>
    <w:p w:rsidR="003B3271" w:rsidRPr="0008481A" w:rsidRDefault="003B3271">
      <w:pPr>
        <w:pStyle w:val="Citatindrag"/>
      </w:pPr>
      <w:r w:rsidRPr="0008481A">
        <w:t>L.K. var enligt egen uppgift till försäkringskassan bortrest mellan maj och juli 1998. När han i slutet av juli kommer hem till Sverige upptäckte han att han inte fått någon pension sedan juni 1998, han kontaktade då försäkrings</w:t>
      </w:r>
      <w:r w:rsidRPr="0008481A">
        <w:softHyphen/>
        <w:t>kassan och undrade var hans ersättning var. Försäkringskassan konstaterade då att sjukbidraget löpt ut och att någon förlängning inte gjorts. Det finns tyvärr inte någon anteckning om detta samtal från L.K.</w:t>
      </w:r>
    </w:p>
    <w:p w:rsidR="003B3271" w:rsidRPr="0008481A" w:rsidRDefault="003B3271">
      <w:pPr>
        <w:pStyle w:val="Citatindrag"/>
      </w:pPr>
      <w:r w:rsidRPr="0008481A">
        <w:t>En kort tid efter L.K:s kontakt med försäkringskassan, den 10 augusti 1998, skrev handläggaren ett brev till L.K. och bad honom att inkomma med ansökan samt läkarutlåtande i det fall han önskade fortsatt sjukbidrag. Av journalanteckningar i ärendet framgår att försäkringskassan och L.K. sedan hade tät k</w:t>
      </w:r>
      <w:r w:rsidRPr="0008481A">
        <w:t>ontakt under augusti och september. Försäkringskassan hjälpte bland annat L.K. att fylla i ansökan samt genom tolkservice vid flera tillfällen förklara för L.K. hur handläggningen skulle komma att gå till.</w:t>
      </w:r>
    </w:p>
    <w:p w:rsidR="003B3271" w:rsidRPr="0008481A" w:rsidRDefault="003B3271">
      <w:pPr>
        <w:pStyle w:val="Citatindrag"/>
      </w:pPr>
      <w:r w:rsidRPr="0008481A">
        <w:t>Försäkringskassan meddelade L.K. den 4 september 1998 att hans sjukbidrag förlängts provisoriskt till och med mars 1999. Därefter lämnades ärendet över till lokalkontoret i Norsborg för uträkning.</w:t>
      </w:r>
    </w:p>
    <w:p w:rsidR="003B3271" w:rsidRPr="0008481A" w:rsidRDefault="003B3271">
      <w:pPr>
        <w:pStyle w:val="Citatindrag"/>
      </w:pPr>
      <w:r w:rsidRPr="0008481A">
        <w:t>Försäkringskassans uträkningsbeslut skickades till L.K. den 14 september 1998. Beslutet avsåg perioden juni 1998 till och med september 1998 vilket framgår av meddelandet. Den retroaktiva pensionen uppgick till 23.960 kronor. Detta belopp blir en månatlig ersättning på 5.990 kronor (folkpension 2.676 kronor, pensionstillskott 1.691 kronor, ATP 1.623 kronor). Av meddelandet framgår pensionsbelopp med avdrag för preliminärskatt och utbetalning till Botkyrka kommun. I meddelandet framgår även de bestäm</w:t>
      </w:r>
      <w:r w:rsidRPr="0008481A">
        <w:softHyphen/>
        <w:t>melser som gäller för utbetalning till kommunen. Däremot framgår inte vilka typer av ersättningar som betalats ut. Försäkringskassan missade vid utbetal</w:t>
      </w:r>
      <w:r w:rsidRPr="0008481A">
        <w:softHyphen/>
        <w:t>ningen L.K. bostadstillägg från och med juni 1998 till och med september 1998 samt handikappersättning för juni till och med a</w:t>
      </w:r>
      <w:r w:rsidRPr="0008481A">
        <w:t>u</w:t>
      </w:r>
      <w:r w:rsidRPr="0008481A">
        <w:t>gusti, däremot betala</w:t>
      </w:r>
      <w:r w:rsidRPr="0008481A">
        <w:softHyphen/>
        <w:t>des ersättningen ut för september månad.</w:t>
      </w:r>
    </w:p>
    <w:p w:rsidR="003B3271" w:rsidRPr="0008481A" w:rsidRDefault="003B3271">
      <w:pPr>
        <w:pStyle w:val="Citatindrag"/>
      </w:pPr>
      <w:r w:rsidRPr="0008481A">
        <w:t>Den 14 augusti 1998 hade socialbidragsenheten vid Botkyrka kommun inkommit med framställning om utbetalning av ersättning för utgivet social</w:t>
      </w:r>
      <w:r w:rsidRPr="0008481A">
        <w:softHyphen/>
        <w:t>bidrag med ett sammanlagt belopp av 15.349 kronor. När försäkringskassan räknat ut L.K:s retroaktiva utbetalning och gjort avdrag för prelim</w:t>
      </w:r>
      <w:r w:rsidRPr="0008481A">
        <w:t>i</w:t>
      </w:r>
      <w:r w:rsidRPr="0008481A">
        <w:t>när skatt kvarstod 11.261 kronor som utbetalades till Botkyrka kommun. Således fick L.K. inte någon del av den utbetalade retroaktiva pe</w:t>
      </w:r>
      <w:r w:rsidRPr="0008481A">
        <w:t>n</w:t>
      </w:r>
      <w:r w:rsidRPr="0008481A">
        <w:t>sionen för tiden juni till september 1998.</w:t>
      </w:r>
    </w:p>
    <w:p w:rsidR="003B3271" w:rsidRPr="0008481A" w:rsidRDefault="003B3271">
      <w:pPr>
        <w:pStyle w:val="Citatindrag"/>
      </w:pPr>
      <w:r w:rsidRPr="0008481A">
        <w:t>Av kassans journalanteckningar framgår att L.K. besökte kontoret i Norsborg den 16 september 1998 och undrar varför han inte fått några pengar utbetalade. Handläggaren förklarade då att utbe</w:t>
      </w:r>
      <w:r w:rsidRPr="0008481A">
        <w:t>talning skett till kom</w:t>
      </w:r>
      <w:r w:rsidRPr="0008481A">
        <w:softHyphen/>
        <w:t>munen eftersom de hade sörjt för hans försörjning under tiden som fö</w:t>
      </w:r>
      <w:r w:rsidRPr="0008481A">
        <w:t>r</w:t>
      </w:r>
      <w:r w:rsidRPr="0008481A">
        <w:softHyphen/>
        <w:t>säkringskassan utrett hans rätt till fortsatt sjukbidrag. Vid sitt besök på kommunen hade L.K. undertecknat en fullmakt som medgav Bo</w:t>
      </w:r>
      <w:r w:rsidRPr="0008481A">
        <w:t>t</w:t>
      </w:r>
      <w:r w:rsidRPr="0008481A">
        <w:t>kyrka kommuns socialbidragsenhet att kräva ersättning från försäkringska</w:t>
      </w:r>
      <w:r w:rsidRPr="0008481A">
        <w:t>s</w:t>
      </w:r>
      <w:r w:rsidRPr="0008481A">
        <w:t>san när den retroaktiva pensionen beviljades.</w:t>
      </w:r>
    </w:p>
    <w:p w:rsidR="003B3271" w:rsidRPr="0008481A" w:rsidRDefault="003B3271">
      <w:pPr>
        <w:pStyle w:val="Citatindrag"/>
      </w:pPr>
      <w:r w:rsidRPr="0008481A">
        <w:t>Den 17 september 1998 återkommer L.K. till lokalkontoret via texttelefon. Han undrar hur han skall kunna betala sina räkningar eftersom han inte fått någon ersättning</w:t>
      </w:r>
      <w:r w:rsidRPr="0008481A">
        <w:t xml:space="preserve"> från försäkringskassan. Han kunde inte heller få någon ersättning från de sociala myndigheterna uppgav han.</w:t>
      </w:r>
    </w:p>
    <w:p w:rsidR="003B3271" w:rsidRPr="0008481A" w:rsidRDefault="003B3271">
      <w:pPr>
        <w:pStyle w:val="Citatindrag"/>
      </w:pPr>
      <w:r w:rsidRPr="0008481A">
        <w:t>Den 21 september ringer L.K. till enhetschefen och vid detta samtal fram</w:t>
      </w:r>
      <w:r w:rsidRPr="0008481A">
        <w:softHyphen/>
        <w:t>kommer att försäkringskassan glömt att betala ut L.K:s b</w:t>
      </w:r>
      <w:r w:rsidRPr="0008481A">
        <w:t>o</w:t>
      </w:r>
      <w:r w:rsidRPr="0008481A">
        <w:t>stadstillägg samt att avdrag för preliminärskatt gjorts med ett felaktigt b</w:t>
      </w:r>
      <w:r w:rsidRPr="0008481A">
        <w:t>e</w:t>
      </w:r>
      <w:r w:rsidRPr="0008481A">
        <w:t>lopp. I stället för att räkna ut den faktiska skatt som L.K. skulle betala hade försäkringskassan gjort procentavdrag utan hänsyn till det särskilda grundavdraget. Denna uträkning resulterade i ett alldeles för högt skatteavdrag, 3.174 kronor i stället för 783 kronor per månad.</w:t>
      </w:r>
    </w:p>
    <w:p w:rsidR="003B3271" w:rsidRPr="0008481A" w:rsidRDefault="003B3271">
      <w:pPr>
        <w:pStyle w:val="Citatindrag"/>
      </w:pPr>
      <w:r w:rsidRPr="0008481A">
        <w:t xml:space="preserve">Den felaktiga utbetalningen korrigerades och utbetalades dagen efter, den 22 september 1998, genom </w:t>
      </w:r>
      <w:r w:rsidRPr="0008481A">
        <w:t>direktutbetalning. Däremot upptäcktes inte att handikappersättningen utgått med felaktigt belopp.</w:t>
      </w:r>
    </w:p>
    <w:p w:rsidR="003B3271" w:rsidRPr="0008481A" w:rsidRDefault="003B3271">
      <w:pPr>
        <w:pStyle w:val="Rubrik4"/>
      </w:pPr>
      <w:r w:rsidRPr="0008481A">
        <w:t>Yttrande</w:t>
      </w:r>
    </w:p>
    <w:p w:rsidR="003B3271" w:rsidRPr="0008481A" w:rsidRDefault="003B3271">
      <w:pPr>
        <w:pStyle w:val="Citat"/>
      </w:pPr>
      <w:r w:rsidRPr="0008481A">
        <w:t>Problemen i detta ärende uppkom i samband med att försäkringskassan munt</w:t>
      </w:r>
      <w:r w:rsidRPr="0008481A">
        <w:softHyphen/>
        <w:t>ligen felaktigt informerat L.K. om hur lång period han beviljats sjuk</w:t>
      </w:r>
      <w:r w:rsidRPr="0008481A">
        <w:softHyphen/>
        <w:t>bidrag. I och med detta vilseleddes L.K. att tro att hans sjukbidrag gällde under hela 1998. Denna information i kombination med hur handläggningen av L.K:s ärende tidigare gått till kan ha bidragit till att han inte insett att han behövde förlänga sin sjukbidragsansökan. Under större del av den tid som L.K. uppburit sjukbidrag har försäkringskassan administrerat att hans sjuk</w:t>
      </w:r>
      <w:r w:rsidRPr="0008481A">
        <w:softHyphen/>
        <w:t xml:space="preserve">bidrag förlängts genom provisoriska förlängningar utan L.K:s </w:t>
      </w:r>
      <w:r w:rsidRPr="0008481A">
        <w:t>medverkan. Den felaktiga information som L.K. fick och de övriga omständigheterna i ärendet fråntar dock inte det faktum att L.K. i december 1997 faktiskt fått ett skriftligt beslut där det klart framgår att han beviljats sjukbidrag till och med maj 1998. Ett visst ansvar får därför anses åvila L.K. att inkomma med an</w:t>
      </w:r>
      <w:r w:rsidRPr="0008481A">
        <w:softHyphen/>
        <w:t>sökan om förlängt sjukbidrag.</w:t>
      </w:r>
    </w:p>
    <w:p w:rsidR="003B3271" w:rsidRPr="0008481A" w:rsidRDefault="003B3271">
      <w:pPr>
        <w:pStyle w:val="Citatindrag"/>
      </w:pPr>
      <w:r w:rsidRPr="0008481A">
        <w:t>De uppgifter som anförts att tidigare läkarutlåtande även täckte den tid som ansökan i augusti avsåg är en felaktig uppfattning från L.K:s läkare utifrån uppgifte</w:t>
      </w:r>
      <w:r w:rsidRPr="0008481A">
        <w:t>rna hon fått vid försäkringskassans muntliga information. När L.K. på nytt ansökte om förlängning av sjukbidraget infordrades nytt läkarutlåtande från distriktsläkaren.</w:t>
      </w:r>
    </w:p>
    <w:p w:rsidR="003B3271" w:rsidRPr="0008481A" w:rsidRDefault="003B3271">
      <w:pPr>
        <w:pStyle w:val="Citatindrag"/>
      </w:pPr>
      <w:r w:rsidRPr="0008481A">
        <w:t>När försäkringskassan uppmärksammar att L.K:s sjukbidrag löpt ut och att han även fortsättningsvis önskar uppbära sjukbidrag vidtar försäkringskassan åtgärder med den skyndsamhet som kan förväntas. Tyvärr blir det ett misstag vid beräkning av preliminärskatt. Försäkringskassan kan e</w:t>
      </w:r>
      <w:r w:rsidRPr="0008481A">
        <w:t>n</w:t>
      </w:r>
      <w:r w:rsidRPr="0008481A">
        <w:t>dast konstatera att skatten drogs med ett felaktigt belopp. Detta skall natu</w:t>
      </w:r>
      <w:r w:rsidRPr="0008481A">
        <w:t>r</w:t>
      </w:r>
      <w:r w:rsidRPr="0008481A">
        <w:t>ligtvis inte hända och försäkringskassan beklagar det inträffade som inte kan härledas till något annat än den mänskliga faktorn. Handläggaren som gjo</w:t>
      </w:r>
      <w:r w:rsidRPr="0008481A">
        <w:t>r</w:t>
      </w:r>
      <w:r w:rsidRPr="0008481A">
        <w:t>de uträkningen är erfaren och kan inte själv ge någon annan förklaring än att hon av misstag gjorde fel.</w:t>
      </w:r>
    </w:p>
    <w:p w:rsidR="003B3271" w:rsidRPr="0008481A" w:rsidRDefault="003B3271">
      <w:pPr>
        <w:pStyle w:val="Citatindrag"/>
      </w:pPr>
      <w:r w:rsidRPr="0008481A">
        <w:t>Försäkringskassan beklagar även att handläggaren i samband med utbetal</w:t>
      </w:r>
      <w:r w:rsidRPr="0008481A">
        <w:softHyphen/>
        <w:t>ningen av sjukbidraget inte uppmärksammade att även betala ut bostads</w:t>
      </w:r>
      <w:r w:rsidRPr="0008481A">
        <w:softHyphen/>
        <w:t>tillägget samt handikappersättningen. Bostadstillägget är ett pensionstillägg som är beroende av rätten till sjukbidrag och av denna anledning upphör rätten till bostadstillägg samtidigt som pensionsrätten upphör. Det ankommer på pensionstagaren att ansöka om bostadstillägg i samband med beviljandet av pension. Bostadstillägg utgår sedan löpande från det att ansökan beviljats. Några nya beslut i samband med förlängning av sjukbidraget sk</w:t>
      </w:r>
      <w:r w:rsidRPr="0008481A">
        <w:t>ickas inte ut. Även handikappersättningen är en tilläggsersättning i de fall pension utgår och löper utan tidsbegränsning men skall omprövas om sjukbidraget upphör.</w:t>
      </w:r>
    </w:p>
    <w:p w:rsidR="003B3271" w:rsidRPr="0008481A" w:rsidRDefault="003B3271">
      <w:pPr>
        <w:pStyle w:val="Citatindrag"/>
      </w:pPr>
      <w:r w:rsidRPr="0008481A">
        <w:t>När försäkringskassan upptäckt de fel som uppstått i samband med utbetalningen åtgärdades detta så att L.K. fick utbetalningen av bostads</w:t>
      </w:r>
      <w:r w:rsidRPr="0008481A">
        <w:softHyphen/>
        <w:t>tillägget samt en månads handikappersättning dagen efter, åtta dagar efter utbetalningen av den retroaktiva ersättningen. Försäkringskassan har handlat med önskvärd skyndsamhet för att om möjligt minska de besvär som uppstått genom den felaktiga handläggningen. Det är däremot mycket beklagligt att ärendet inte gicks igenom ordentligt så att även handikappe</w:t>
      </w:r>
      <w:r w:rsidRPr="0008481A">
        <w:t>r</w:t>
      </w:r>
      <w:r w:rsidRPr="0008481A">
        <w:t>sättning betalades ut med korrekt belopp.</w:t>
      </w:r>
    </w:p>
    <w:p w:rsidR="003B3271" w:rsidRPr="0008481A" w:rsidRDefault="003B3271">
      <w:pPr>
        <w:pStyle w:val="Citatindrag"/>
      </w:pPr>
      <w:r w:rsidRPr="0008481A">
        <w:t xml:space="preserve">Försäkringskassan beklagar att L.K. anser att försäkringskassan felaktigt betalat ut ersättning till Borkyrka </w:t>
      </w:r>
      <w:r w:rsidRPr="0008481A">
        <w:t>kommun. Efter utredning framkommer att avdraget stämmer överens med de av de sociala myndigheternas yrkande och försäkringskassan kan inte finna att beloppen som sådana är felaktiga. I vanliga fall brukar lokalkontoret kommunicera den försäkrade om beloppet som kommer att dras av pensionen innan de betalar till kommunen. I detta fall har det inte gjorts. Enligt uppgift från handläggaren beror det på att L.K. undertecknat en fullmakt hos socialtjänsten endast några veckor före det att beslutet skulle skickas</w:t>
      </w:r>
      <w:r w:rsidRPr="0008481A">
        <w:t xml:space="preserve"> från försäkringskassan. Försäkringskassan antog därför att L.K. var väl medveten om att utbetalning till kommunen skulle ske. Försäkringskassan beklagar att gällande rutiner inte följts.</w:t>
      </w:r>
    </w:p>
    <w:p w:rsidR="003B3271" w:rsidRPr="0008481A" w:rsidRDefault="003B3271">
      <w:pPr>
        <w:pStyle w:val="Citatindrag"/>
      </w:pPr>
      <w:r w:rsidRPr="0008481A">
        <w:t>Vad gäller L.K:s handikappersättning för tiden juni 1998 till och med augusti 1998 upptäcktes först i samband med utredningen av handläggningen att utbetalningen inte gjorts. Handläggaren har nu gjort en utbetalning med 3.276 kronor den 15 januari 1998 och ersättningen kommer till L.K. inom fem dagar.</w:t>
      </w:r>
    </w:p>
    <w:p w:rsidR="003B3271" w:rsidRPr="0008481A" w:rsidRDefault="003B3271">
      <w:pPr>
        <w:pStyle w:val="Citatindrag"/>
      </w:pPr>
      <w:r w:rsidRPr="0008481A">
        <w:t>Avslutningsvis kan försäkringskassan konstatera att det har förekommit fl</w:t>
      </w:r>
      <w:r w:rsidRPr="0008481A">
        <w:t>e</w:t>
      </w:r>
      <w:r w:rsidRPr="0008481A">
        <w:t>ra mycket beklagliga misstag i detta ärende. Det vore naturligtvis önskvärt att L.K:s ärende hade gåtts igenom mer noggrant i samband med L.K:s första besök den 16 september 1998 så att alla felaktigheter kunnat rättas till omedel</w:t>
      </w:r>
      <w:r w:rsidRPr="0008481A">
        <w:softHyphen/>
        <w:t>bart. Varför detta inte gjordes saknar förklaring. Det förekommer även bristande journalanteckningar i ärendet varför delar av u</w:t>
      </w:r>
      <w:r w:rsidRPr="0008481A">
        <w:t>t</w:t>
      </w:r>
      <w:r w:rsidRPr="0008481A">
        <w:t>redningen fått göras genom muntlig återgivning från inblandade handlägg</w:t>
      </w:r>
      <w:r w:rsidRPr="0008481A">
        <w:t>a</w:t>
      </w:r>
      <w:r w:rsidRPr="0008481A">
        <w:t>re. Det finns ingen anledning att betvivla dessa handläggares uppgifter men upp</w:t>
      </w:r>
      <w:r w:rsidRPr="0008481A">
        <w:t>gifterna borde enligt gällande rutiner ha framgått av journalanteckningar i ärendet.</w:t>
      </w:r>
    </w:p>
    <w:p w:rsidR="003B3271" w:rsidRPr="0008481A" w:rsidRDefault="003B3271">
      <w:pPr>
        <w:pStyle w:val="Citatindrag"/>
      </w:pPr>
      <w:r w:rsidRPr="0008481A">
        <w:t>Kontoret har nu uppmärksammats på bristerna i handläggningen. Diskus</w:t>
      </w:r>
      <w:r w:rsidRPr="0008481A">
        <w:softHyphen/>
        <w:t>sioner har även förts om betydelsen av väl fungerande rutiner när administrationen av försäkringsärendena har lagts upp på olika handläggare och olika kontor. De fel som uppstått i detta ärende kan dels tillskrivas den mänskliga faktorn men även de organisatoriska förändringar som skett. Kom</w:t>
      </w:r>
      <w:r w:rsidRPr="0008481A">
        <w:softHyphen/>
        <w:t>munikationen mellan de inblandade handläggarna har till viss del brustit, i vart fall på så sätt att den utredande aktens innehåll inte varit kom</w:t>
      </w:r>
      <w:r w:rsidRPr="0008481A">
        <w:softHyphen/>
        <w:t xml:space="preserve">plett med de kopior som, enligt gällande rutiner, skall finnas med. Det </w:t>
      </w:r>
      <w:r w:rsidRPr="0008481A">
        <w:t>är av y</w:t>
      </w:r>
      <w:r w:rsidRPr="0008481A">
        <w:t>t</w:t>
      </w:r>
      <w:r w:rsidRPr="0008481A">
        <w:t>tersta vikt att organisatoriska förändringar och val av organisation som fö</w:t>
      </w:r>
      <w:r w:rsidRPr="0008481A">
        <w:t>r</w:t>
      </w:r>
      <w:r w:rsidRPr="0008481A">
        <w:t>säkringskassan gör inte skall påverka säkerheten i handläggningen. Det som inträffat i detta ärende får ses som ett beklagligt misstag där den mänskliga faktorn haft avgörande betydelse. Försäkringskassan beklagar de besvär som L.K. fått till följd av den delvis mycket bristfälliga hand</w:t>
      </w:r>
      <w:r w:rsidRPr="0008481A">
        <w:softHyphen/>
        <w:t>läggnin</w:t>
      </w:r>
      <w:r w:rsidRPr="0008481A">
        <w:t>g</w:t>
      </w:r>
      <w:r w:rsidRPr="0008481A">
        <w:t>en.</w:t>
      </w:r>
    </w:p>
    <w:p w:rsidR="003B3271" w:rsidRPr="0008481A" w:rsidRDefault="003B3271">
      <w:r w:rsidRPr="0008481A">
        <w:t>L.K. fick tillfälle att yttra sig över remissvaret.</w:t>
      </w:r>
    </w:p>
    <w:p w:rsidR="003B3271" w:rsidRPr="0008481A" w:rsidRDefault="003B3271">
      <w:r w:rsidRPr="0008481A">
        <w:t xml:space="preserve">I sitt beslut den 17 september 1999 anförde </w:t>
      </w:r>
      <w:r w:rsidRPr="0008481A">
        <w:rPr>
          <w:i/>
        </w:rPr>
        <w:t xml:space="preserve">JO Pennlöv </w:t>
      </w:r>
      <w:r w:rsidRPr="0008481A">
        <w:t xml:space="preserve"> följande.</w:t>
      </w:r>
    </w:p>
    <w:p w:rsidR="003B3271" w:rsidRPr="0008481A" w:rsidRDefault="003B3271">
      <w:pPr>
        <w:pStyle w:val="Normaltindrag"/>
      </w:pPr>
      <w:r w:rsidRPr="0008481A">
        <w:t xml:space="preserve">Utredningen i ärendet har visat att försäkringskassans handläggning av L.K:s ärende har skötts på ett synnerligen undermåligt sätt och präglats av ett flertal allvarliga brister. Försäkringskassan har inte följt förvaltningslagens (1986:223) regler om kommunicering rörande socialnämndens framställning om utbetalning av ersättning för utgivet socialbidrag. Försäkringskassan har vidare gjort ett för stort preliminärskatteavdrag samt underlåtit att i rätt tid betala ut bostadstillägg vid </w:t>
      </w:r>
      <w:r w:rsidRPr="0008481A">
        <w:t>ett tillfälle och handikappersättning vid två till</w:t>
      </w:r>
      <w:r w:rsidRPr="0008481A">
        <w:softHyphen/>
        <w:t>fällen. Det förekommer även bristande journalföring i ärendet. Kassan har också lämnat felaktig information till L.K. om hur lång tid han beviljats sjukbidrag. Försäkringskassan är e</w:t>
      </w:r>
      <w:r w:rsidRPr="0008481A">
        <w:t>n</w:t>
      </w:r>
      <w:r w:rsidRPr="0008481A">
        <w:t>ligt remissvaret väl medveten om den bristfälliga handläggningen och har anfört att det som inträffat i ärendet får ses som ett beklagligt misstag där den mänskliga faktorn haft avgörande betydelse. Försäkringskassan har även beklagat de besvär som L.K. fått till följd av den d</w:t>
      </w:r>
      <w:r w:rsidRPr="0008481A">
        <w:t>elvis mycket bristfälliga handläggningen. Jag ser mycket allvarligt på det inträffade och vill särskilt betona vikten av no</w:t>
      </w:r>
      <w:r w:rsidRPr="0008481A">
        <w:t>g</w:t>
      </w:r>
      <w:r w:rsidRPr="0008481A">
        <w:t>grannhet vid försäkringskassans handläg</w:t>
      </w:r>
      <w:r w:rsidRPr="0008481A">
        <w:t>g</w:t>
      </w:r>
      <w:r w:rsidRPr="0008481A">
        <w:t>ning.</w:t>
      </w:r>
    </w:p>
    <w:p w:rsidR="003B3271" w:rsidRPr="0008481A" w:rsidRDefault="003B3271">
      <w:pPr>
        <w:pStyle w:val="Rubrik2"/>
        <w:spacing w:before="0"/>
      </w:pPr>
      <w:r w:rsidRPr="0008481A">
        <w:t>Kritik mot två försäkringskassor för att de inte har prövat en anmälan om en skada enligt lagen (1977:265) om statligt personskadeskydd</w:t>
      </w:r>
    </w:p>
    <w:p w:rsidR="003B3271" w:rsidRPr="0008481A" w:rsidRDefault="003B3271">
      <w:r w:rsidRPr="0008481A">
        <w:t>(Dnr 1512-1999)</w:t>
      </w:r>
    </w:p>
    <w:p w:rsidR="003B3271" w:rsidRPr="0008481A" w:rsidRDefault="003B3271">
      <w:r w:rsidRPr="0008481A">
        <w:t>I en anmälan till JO klagade N.H. på Södermanlands läns och Kalmar läns allmänna försäkringskassor för deras handläggning av ett ärende enligt lagen (1977:265) om statligt personskadeskydd (LSP). Han anförde bl.a. följande. Under sin militärtjänstgöring fick han en hörselskada efter en olycka den 22 oktober 1995. Händelsen anmäldes omedelbart till Södermanlands läns allmänna försäkringskassa, lokalkontoret i Nyköping. Försäkringskassan registre</w:t>
      </w:r>
      <w:r w:rsidRPr="0008481A">
        <w:softHyphen/>
        <w:t>ra</w:t>
      </w:r>
      <w:r w:rsidRPr="0008481A">
        <w:softHyphen/>
        <w:t>de dock inte hans anmälan enligt LSP. Kassan lämnade även mycket dålig information om hur han skulle agera i fråga om ersättning eller bidrag till vård och dylikt. Kassan anmälde inte heller skadan till Arbetar</w:t>
      </w:r>
      <w:r w:rsidRPr="0008481A">
        <w:softHyphen/>
        <w:t>skyddsstyrelsen. N.H. begärde under hösten 1998 att få skadan prövad. För</w:t>
      </w:r>
      <w:r w:rsidRPr="0008481A">
        <w:softHyphen/>
        <w:t>säk</w:t>
      </w:r>
      <w:r w:rsidRPr="0008481A">
        <w:softHyphen/>
        <w:t>ringskassan vägrade dock att pröva skadan med motiveringen att han inte kunde ställa några ersättningsanspråk på kassan. På grund av att han flyttat till Kalmar begärde han att försäkringskassan där skulle överta ärende</w:t>
      </w:r>
      <w:r w:rsidRPr="0008481A">
        <w:t>t. Även försäkringskassan i Kalmar vägrade emellertid, med samma motivering som kassan i Nyköping, att pröva anmälan.</w:t>
      </w:r>
    </w:p>
    <w:p w:rsidR="003B3271" w:rsidRPr="0008481A" w:rsidRDefault="003B3271">
      <w:pPr>
        <w:pStyle w:val="Normaltindrag"/>
      </w:pPr>
      <w:r w:rsidRPr="0008481A">
        <w:t>Ärendet remitterades först till Kalmar läns allmänna försäkringskassa för utredning och yttrande. Till kassans remissvar fogades en kopia av ett yttran</w:t>
      </w:r>
      <w:r w:rsidRPr="0008481A">
        <w:softHyphen/>
        <w:t>de från områdeskontoret i Kalmar. I remissvaret anförde försäkrings</w:t>
      </w:r>
      <w:r w:rsidRPr="0008481A">
        <w:softHyphen/>
        <w:t>kassan (direktören Örjan Österbo) följande.</w:t>
      </w:r>
    </w:p>
    <w:p w:rsidR="003B3271" w:rsidRPr="0008481A" w:rsidRDefault="003B3271">
      <w:pPr>
        <w:pStyle w:val="Citat"/>
      </w:pPr>
      <w:r w:rsidRPr="0008481A">
        <w:t>N.H., som tidigare varit inskriven i försäkringskassan i Nyköping, blev 1998 inskriven i försäkringskassan i Kalmar. Försäkringskassan här fick ärendet till sig den 30 november 1998.</w:t>
      </w:r>
    </w:p>
    <w:p w:rsidR="003B3271" w:rsidRPr="0008481A" w:rsidRDefault="003B3271">
      <w:pPr>
        <w:pStyle w:val="Citatindrag"/>
      </w:pPr>
      <w:r w:rsidRPr="0008481A">
        <w:t>Försäkringskassan i Nyköping tog den 20 november 1995 emot N.H:s anmälan om skada enligt lagen om statligt personskadeskydd. Den 5 mars 1996 skickade samma försäkringskassa det sedvanliga informationsbrevet till honom inklusive en broschyr.</w:t>
      </w:r>
    </w:p>
    <w:p w:rsidR="003B3271" w:rsidRPr="0008481A" w:rsidRDefault="003B3271">
      <w:pPr>
        <w:pStyle w:val="Citatindrag"/>
      </w:pPr>
      <w:r w:rsidRPr="0008481A">
        <w:t>Därefter finns det ingen dokumentation förrän den 10 november 1998. N.H. har då ringt försäkringskassan och begärt att få en kopia av anmälan, dels till sig, dels till AMF. Kopiorna skickas den 12 november 1998. Detta anges på en handskriven lapp med en oläslig signatur. Sannolikt har anteckningen skrivits av en handläggare på försäkringskassan i Nyköping, eftersom försäkringskassan i Kalmar enligt ankomststämpeln fick ärendet först den 30 november 1998. Något meddelande från försäkringskassan i Nyköping e</w:t>
      </w:r>
      <w:r w:rsidRPr="0008481A">
        <w:t>ller någon annan impuls om att en prövning borde göras fanns inte. Ärendet kom därför liksom i Nyköping att arkiveras utan någon prövning. Någon journal fanns inte upplagd utan den har försäkringskassan i Kalmar i efterhand fått lägga upp sedan frågan om prövning aktualiserats i april 1999.</w:t>
      </w:r>
    </w:p>
    <w:p w:rsidR="003B3271" w:rsidRPr="0008481A" w:rsidRDefault="003B3271">
      <w:pPr>
        <w:pStyle w:val="Rubrik4"/>
      </w:pPr>
      <w:r w:rsidRPr="0008481A">
        <w:t>Händelseförlopp hittills under 1999</w:t>
      </w:r>
    </w:p>
    <w:p w:rsidR="003B3271" w:rsidRPr="0008481A" w:rsidRDefault="003B3271">
      <w:pPr>
        <w:pStyle w:val="Citat"/>
      </w:pPr>
      <w:r w:rsidRPr="0008481A">
        <w:t>Den 1 februari 1999 kommer till försäkringskassan i Kalmar ett intyg från öronkliniken på länssjukhuset i Kalmar. Den 1 mars kom från N.H. ett medicinskt material med bland annat sju audiogram. Den 8 mars</w:t>
      </w:r>
      <w:r w:rsidRPr="0008481A">
        <w:rPr>
          <w:i/>
        </w:rPr>
        <w:t xml:space="preserve"> </w:t>
      </w:r>
      <w:r w:rsidRPr="0008481A">
        <w:t>kom ytterligare handlingar.</w:t>
      </w:r>
    </w:p>
    <w:p w:rsidR="003B3271" w:rsidRPr="0008481A" w:rsidRDefault="003B3271">
      <w:pPr>
        <w:pStyle w:val="Citatindrag"/>
      </w:pPr>
      <w:r w:rsidRPr="0008481A">
        <w:t>I ett handskrivet meddelande från försäkringskassans områdeskontor i Kalmar, daterat ”9903”, uppges att N.H. ringt. Han får beskedet att hans ärende inte skall prövas eftersom det inte finns något ersättningsanspråk.</w:t>
      </w:r>
    </w:p>
    <w:p w:rsidR="003B3271" w:rsidRPr="0008481A" w:rsidRDefault="003B3271">
      <w:pPr>
        <w:pStyle w:val="Citatindrag"/>
      </w:pPr>
      <w:r w:rsidRPr="0008481A">
        <w:t>Den 14 april kom från N.H. en skrivelse. Han begär att hans ärende skall prövas med hänvisning till kopior av RFV:s Meddelande Im 1995:189 och 16 § LSP och 8 kap. 3 § andra stycket lagen om arbetsskadeförsäkring.</w:t>
      </w:r>
    </w:p>
    <w:p w:rsidR="003B3271" w:rsidRPr="0008481A" w:rsidRDefault="003B3271">
      <w:pPr>
        <w:pStyle w:val="Citatindrag"/>
      </w:pPr>
      <w:r w:rsidRPr="0008481A">
        <w:t>Den 20 april klarläggs det att försäkringskassan gjort en felaktig tolkning av reglerna för LSP och att en prövning skall göras. N.H. meddelas detta samma dag.</w:t>
      </w:r>
    </w:p>
    <w:p w:rsidR="003B3271" w:rsidRPr="0008481A" w:rsidRDefault="003B3271">
      <w:pPr>
        <w:pStyle w:val="Citatindrag"/>
      </w:pPr>
      <w:r w:rsidRPr="0008481A">
        <w:t>Den 21 april kommer en skrivelse från AMF som med hänvisning till bilagor av samma slag som N.H. tidigare insänt informerar om försäkrings</w:t>
      </w:r>
      <w:r w:rsidRPr="0008481A">
        <w:softHyphen/>
        <w:t>kassans skyldighet att göra en prövning.</w:t>
      </w:r>
    </w:p>
    <w:p w:rsidR="003B3271" w:rsidRPr="0008481A" w:rsidRDefault="003B3271">
      <w:pPr>
        <w:pStyle w:val="Citat"/>
      </w:pPr>
      <w:r w:rsidRPr="0008481A">
        <w:t>– – –</w:t>
      </w:r>
    </w:p>
    <w:p w:rsidR="003B3271" w:rsidRPr="0008481A" w:rsidRDefault="003B3271">
      <w:pPr>
        <w:pStyle w:val="Rubrik4"/>
        <w:spacing w:before="120"/>
      </w:pPr>
      <w:r w:rsidRPr="0008481A">
        <w:t>Övrig utredning</w:t>
      </w:r>
    </w:p>
    <w:p w:rsidR="003B3271" w:rsidRPr="0008481A" w:rsidRDefault="003B3271">
      <w:pPr>
        <w:pStyle w:val="Citat"/>
      </w:pPr>
      <w:r w:rsidRPr="0008481A">
        <w:t>– – –</w:t>
      </w:r>
    </w:p>
    <w:p w:rsidR="003B3271" w:rsidRPr="0008481A" w:rsidRDefault="003B3271">
      <w:pPr>
        <w:pStyle w:val="Citat"/>
      </w:pPr>
      <w:r w:rsidRPr="0008481A">
        <w:t xml:space="preserve">N.H:s kontakt med handläggaren i Kalmar kom (...) inledningsvis att styras av en felaktig tolkning av vad som gäller för vissa LSP-ärenden till skillnad från andra och framför allt till skillnad från den stora mängden vanliga arbetsskador enligt lagen om arbetsskadeförsäkring. De speciella reglerna för en viss typ LSP-ärenden har även tidigare gett upphov till missförstånd vilket AMF sannolikt har erfarenheter av. Reglerna har varit föremål för flera påminnelser på temadagar för arbetsskadehandläggare och </w:t>
      </w:r>
      <w:r w:rsidRPr="0008481A">
        <w:t>föredragande men konkurrensen från annan information och från olika regeländringar har varit mycket stor de senaste åren. Denna speciella och relativt sällan uppträdande typ av LSP-skador har tyvärr kommit att hanteras enligt de regler som gäller för den stora mängden av övriga skadeärenden. Detta beklagas.</w:t>
      </w:r>
    </w:p>
    <w:p w:rsidR="003B3271" w:rsidRPr="0008481A" w:rsidRDefault="003B3271">
      <w:pPr>
        <w:pStyle w:val="Citat"/>
      </w:pPr>
      <w:r w:rsidRPr="0008481A">
        <w:t>– – –</w:t>
      </w:r>
    </w:p>
    <w:p w:rsidR="003B3271" w:rsidRPr="0008481A" w:rsidRDefault="003B3271">
      <w:r w:rsidRPr="0008481A">
        <w:t>I yttrandet från områdeskontoret i Kalmar anförde områdeschefen Lisbeth Konradsson bl.a. följande.</w:t>
      </w:r>
    </w:p>
    <w:p w:rsidR="003B3271" w:rsidRPr="0008481A" w:rsidRDefault="003B3271">
      <w:pPr>
        <w:pStyle w:val="Citat"/>
      </w:pPr>
      <w:r w:rsidRPr="0008481A">
        <w:t>– – –</w:t>
      </w:r>
    </w:p>
    <w:p w:rsidR="003B3271" w:rsidRPr="0008481A" w:rsidRDefault="003B3271">
      <w:pPr>
        <w:pStyle w:val="Citat"/>
      </w:pPr>
      <w:r w:rsidRPr="0008481A">
        <w:t>Det är först när N.H. kontaktar en handläggare på kontoret i mars 1999 som vi får veta att han vill ha sitt ärende prövat. Vid det tillfället fick han besked om att hans ärende inte skulle prövas. Som grund för kassans besked låg ett av Riksförsäkringsverket utgivet meddelande daterat den 20 november 1997 som hade tolkats på så sätt att någon prövning i dessa ärenden inte skulle ske förrän det fanns ett ersättningsanspråk. N.H. hade vid den tidpunkten inte gjort anspråk på någon ersättning.</w:t>
      </w:r>
    </w:p>
    <w:p w:rsidR="003B3271" w:rsidRPr="0008481A" w:rsidRDefault="003B3271">
      <w:pPr>
        <w:pStyle w:val="Citatindrag"/>
      </w:pPr>
      <w:r w:rsidRPr="0008481A">
        <w:t>När N.H. i skrivelse daterad den 13 april 1999 vidhöll sitt yrkande om att kassan skulle pröva hans ärende och hänvisade till ett av Riksförsäkrings</w:t>
      </w:r>
      <w:r w:rsidRPr="0008481A">
        <w:softHyphen/>
        <w:t>verket tidigare utgivet meddelande daterat den 4 december 1995 fann kassans handläggare, efter utredning, att detta meddelande fortfarande gällde. Under dessa omständigheter borde prövningen varit gjord redan 1996. Handläggaren startade då omgående den utredning som ska ligga till grund för prövningen.</w:t>
      </w:r>
    </w:p>
    <w:p w:rsidR="003B3271" w:rsidRPr="0008481A" w:rsidRDefault="003B3271">
      <w:pPr>
        <w:pStyle w:val="Citat"/>
      </w:pPr>
      <w:r w:rsidRPr="0008481A">
        <w:t>– – –</w:t>
      </w:r>
    </w:p>
    <w:p w:rsidR="003B3271" w:rsidRPr="0008481A" w:rsidRDefault="003B3271">
      <w:pPr>
        <w:pStyle w:val="Citat"/>
      </w:pPr>
      <w:r w:rsidRPr="0008481A">
        <w:t>Det ska naturligtvis inte behöva inträffa att en försäkrad ska informera kassan om vid vilken tidpunkt ett ärende skall prövas. Det är vår förhoppning att detta inte ska behöva hända i fortsättningen, då vi har ett speciellt nätverk i länet, bestående av en representant från samtliga områden, som hanterar arbetsskadeförsäkringen. Där aktualiseras och diskuteras allt som inträffar i försäkringen för att rättstillämpningen ska bli så riktig som möjligt och för att kompetens ska spridas ut till samtliga som h</w:t>
      </w:r>
      <w:r w:rsidRPr="0008481A">
        <w:t>andlägger försäkringen.</w:t>
      </w:r>
    </w:p>
    <w:p w:rsidR="003B3271" w:rsidRPr="0008481A" w:rsidRDefault="003B3271">
      <w:r w:rsidRPr="0008481A">
        <w:t>Ärendet remitterades därefter till Södermanlands läns allmänna försäkrings</w:t>
      </w:r>
      <w:r w:rsidRPr="0008481A">
        <w:softHyphen/>
        <w:t>kassa för utredning och yttrande. Till kassans remissvar (direktören Solveig Lindblom) fogades en kopia av ett yttrande från lokalkontoret i Nyköping. I detta yttrande anfördes bl.a. följande.</w:t>
      </w:r>
    </w:p>
    <w:p w:rsidR="003B3271" w:rsidRPr="0008481A" w:rsidRDefault="003B3271">
      <w:pPr>
        <w:pStyle w:val="Citat"/>
      </w:pPr>
      <w:r w:rsidRPr="0008481A">
        <w:t>Anmälan om olycksfall eller annan skada avseende en hörselnedsättning inkom till försäkringskassans kontor i Nyköping den 20 november 1995. Anmälan, vilket får förmodas, åtgärdades i enlighet med av Riksför</w:t>
      </w:r>
      <w:r w:rsidRPr="0008481A">
        <w:softHyphen/>
        <w:t>säk</w:t>
      </w:r>
      <w:r w:rsidRPr="0008481A">
        <w:softHyphen/>
        <w:t>rings</w:t>
      </w:r>
      <w:r w:rsidRPr="0008481A">
        <w:softHyphen/>
        <w:t>verket utfärdade instruktioner på så vis att N.H. erhöll ett informationsbrev daterat den 5 mars 1996 angående vad som gällde beträffande anmäld skada, samt, enligt samma instruktioner, en kopia av anmälan skickades till Trygghetsnämnden, AMF-Trygghetsförsäkring, 113 88 Stockholm, och till Yrkesinspektionen. Därefter har anmälan arkiverats.</w:t>
      </w:r>
    </w:p>
    <w:p w:rsidR="003B3271" w:rsidRPr="0008481A" w:rsidRDefault="003B3271">
      <w:pPr>
        <w:pStyle w:val="Citatindrag"/>
      </w:pPr>
      <w:r w:rsidRPr="0008481A">
        <w:t>I och med den lagändring som genomfördes fr.o.m. den 1 juli 1993, som innebar bl.a. att endast ärenden där ett ersättningsanspråk framfördes skulle bli föremå</w:t>
      </w:r>
      <w:r w:rsidRPr="0008481A">
        <w:t>l för kassans prövning, så har förmodligen denna ändring tolkats på så sätt att den gäller alla anmälda arbetsskador, såväl skador enligt lagen om arbetsskadeförsäkring (LAF) som skador enligt lagen om statligt personskadeskydd (LSP).</w:t>
      </w:r>
    </w:p>
    <w:p w:rsidR="003B3271" w:rsidRPr="0008481A" w:rsidRDefault="003B3271">
      <w:pPr>
        <w:pStyle w:val="Citat"/>
      </w:pPr>
      <w:r w:rsidRPr="0008481A">
        <w:t>– – –</w:t>
      </w:r>
    </w:p>
    <w:p w:rsidR="003B3271" w:rsidRPr="0008481A" w:rsidRDefault="003B3271">
      <w:pPr>
        <w:pStyle w:val="Citat"/>
      </w:pPr>
      <w:r w:rsidRPr="0008481A">
        <w:t>När N.H. kontaktade vårt kontor hösten 1998 så har N.H. fått beskedet att endast anmälda skador där ett ersättningsanspråk föreligger skall prövas. N.H. har efter framfört önskemål tillsänts en kopia av anmälan, samt att en kopia har översänts till AMF. Därefter har anmälan översänts till försäkringskassan i Kalmar, då N.H. sedan 1 januari 1998 är inskriven hos försäkringskassan i Kalmar.</w:t>
      </w:r>
    </w:p>
    <w:p w:rsidR="003B3271" w:rsidRPr="0008481A" w:rsidRDefault="003B3271">
      <w:pPr>
        <w:pStyle w:val="Citatindrag"/>
      </w:pPr>
      <w:r w:rsidRPr="0008481A">
        <w:t>Vi gör samma konstaterande som försäkringskassan i Kalmar gjort, att Riksförsäkringsverkets meddelande Im 1995:189 skall gälla.</w:t>
      </w:r>
    </w:p>
    <w:p w:rsidR="003B3271" w:rsidRPr="0008481A" w:rsidRDefault="003B3271">
      <w:pPr>
        <w:pStyle w:val="Citatindrag"/>
      </w:pPr>
      <w:r w:rsidRPr="0008481A">
        <w:t>Vi har alltså, ej avsiktligt, lämnat N.H. felaktig information och beklagar detta.</w:t>
      </w:r>
    </w:p>
    <w:p w:rsidR="003B3271" w:rsidRPr="0008481A" w:rsidRDefault="003B3271">
      <w:pPr>
        <w:pStyle w:val="Citat"/>
      </w:pPr>
      <w:r w:rsidRPr="0008481A">
        <w:t>– – –</w:t>
      </w:r>
    </w:p>
    <w:p w:rsidR="003B3271" w:rsidRPr="0008481A" w:rsidRDefault="003B3271">
      <w:r w:rsidRPr="0008481A">
        <w:t>Solveig Lindblom anförde härutöver följande.</w:t>
      </w:r>
    </w:p>
    <w:p w:rsidR="003B3271" w:rsidRPr="0008481A" w:rsidRDefault="003B3271">
      <w:pPr>
        <w:pStyle w:val="Citat"/>
      </w:pPr>
      <w:r w:rsidRPr="0008481A">
        <w:t>Kassan kan konstatera att det brustit i kunskaperna om vilka rutiner som skall gälla i aktuellt avseende. Omorganisation och byte av arbetsskade</w:t>
      </w:r>
      <w:r w:rsidRPr="0008481A">
        <w:softHyphen/>
        <w:t>handläggare är sannolikt en förklaring till att oklarhet om vilka regler som gäller på området har förelegat.</w:t>
      </w:r>
    </w:p>
    <w:p w:rsidR="003B3271" w:rsidRPr="0008481A" w:rsidRDefault="003B3271">
      <w:pPr>
        <w:pStyle w:val="Citatindrag"/>
      </w:pPr>
      <w:r w:rsidRPr="0008481A">
        <w:t>Det är inte osannolikt att det dessutom inom kassan kan föreligga en sammanblandning av anvisningar från RFV, där meddelande Im 1995:189 avser just prövning av LSP-anmälan medan meddelande Im 1996:55 (...) avser prövning av anmälan om arbetsskada jml. lagen om arbetsskade</w:t>
      </w:r>
      <w:r w:rsidRPr="0008481A">
        <w:softHyphen/>
        <w:t>för</w:t>
      </w:r>
      <w:r w:rsidRPr="0008481A">
        <w:softHyphen/>
        <w:t>säk</w:t>
      </w:r>
      <w:r w:rsidRPr="0008481A">
        <w:softHyphen/>
        <w:t>ring (LAF).</w:t>
      </w:r>
    </w:p>
    <w:p w:rsidR="003B3271" w:rsidRPr="0008481A" w:rsidRDefault="003B3271">
      <w:pPr>
        <w:pStyle w:val="Citatindrag"/>
      </w:pPr>
      <w:r w:rsidRPr="0008481A">
        <w:t>För att säkerställa att vi i fortsättningen i länet kan särskilja de två olika lagstiftningarnas krav och olika handläggning, kommer nätverksrepresentant på centralkontorets ledningsstöd att omedelbart lyfta problemet inom nät</w:t>
      </w:r>
      <w:r w:rsidRPr="0008481A">
        <w:softHyphen/>
        <w:t>verket för arbetsskador. I övrigt har område Syd genomfört informations</w:t>
      </w:r>
      <w:r w:rsidRPr="0008481A">
        <w:softHyphen/>
        <w:t>insatser inom sitt ansvarsområde.</w:t>
      </w:r>
    </w:p>
    <w:p w:rsidR="003B3271" w:rsidRPr="0008481A" w:rsidRDefault="003B3271">
      <w:pPr>
        <w:pStyle w:val="Citatindrag"/>
        <w:rPr>
          <w:b/>
        </w:rPr>
      </w:pPr>
      <w:r w:rsidRPr="0008481A">
        <w:t>Kassan beklagar att vi givit N.H. felaktig information.</w:t>
      </w:r>
    </w:p>
    <w:p w:rsidR="003B3271" w:rsidRPr="0008481A" w:rsidRDefault="003B3271">
      <w:r w:rsidRPr="0008481A">
        <w:t>N.H. har kommenterat remissvaren.</w:t>
      </w:r>
    </w:p>
    <w:p w:rsidR="003B3271" w:rsidRPr="0008481A" w:rsidRDefault="003B3271">
      <w:pPr>
        <w:pStyle w:val="Normaltindrag"/>
      </w:pPr>
      <w:r w:rsidRPr="0008481A">
        <w:t>Från kassan inhämtades att beslut i N.H:s ärende meddelades den 2 september 1999.</w:t>
      </w:r>
    </w:p>
    <w:p w:rsidR="003B3271" w:rsidRPr="0008481A" w:rsidRDefault="003B3271">
      <w:pPr>
        <w:pStyle w:val="Normaltindrag"/>
      </w:pPr>
      <w:r w:rsidRPr="0008481A">
        <w:t xml:space="preserve">I sitt den 6 juni 2000 meddelade beslut anförde </w:t>
      </w:r>
      <w:r w:rsidRPr="0008481A">
        <w:rPr>
          <w:i/>
        </w:rPr>
        <w:t xml:space="preserve">JO Pennlöv </w:t>
      </w:r>
      <w:r w:rsidRPr="0008481A">
        <w:t>följande.</w:t>
      </w:r>
    </w:p>
    <w:p w:rsidR="003B3271" w:rsidRPr="0008481A" w:rsidRDefault="003B3271">
      <w:pPr>
        <w:pStyle w:val="Normaltindrag"/>
      </w:pPr>
      <w:r w:rsidRPr="0008481A">
        <w:t>I 16 § lagen (1977:265) om statligt personskadeskydd (LSP) stadgas följande.</w:t>
      </w:r>
    </w:p>
    <w:p w:rsidR="003B3271" w:rsidRPr="0008481A" w:rsidRDefault="003B3271">
      <w:pPr>
        <w:pStyle w:val="Citat"/>
      </w:pPr>
      <w:r w:rsidRPr="0008481A">
        <w:t>Bestämmelserna i 8 kap. 3 § andra stycket lagen (1976:380) om arbetsskade</w:t>
      </w:r>
      <w:r w:rsidRPr="0008481A">
        <w:softHyphen/>
        <w:t>försäkring angående anmälan om skada, bestämmande och utbetalning av ersättning, uppgiftsskyldighet, ansvar och besvär m.m. gäller i tillämpliga delar i ärende enligt denna lag.</w:t>
      </w:r>
    </w:p>
    <w:p w:rsidR="003B3271" w:rsidRPr="0008481A" w:rsidRDefault="003B3271">
      <w:pPr>
        <w:pStyle w:val="Citatindrag"/>
      </w:pPr>
      <w:r w:rsidRPr="0008481A">
        <w:t>Bestämmelserna i 8 kap. 3 § andra stycket lagen (1976:380) om arbets</w:t>
      </w:r>
      <w:r w:rsidRPr="0008481A">
        <w:softHyphen/>
        <w:t>skade</w:t>
      </w:r>
      <w:r w:rsidRPr="0008481A">
        <w:softHyphen/>
        <w:t>försäkring gäller inte i ärende enligt denna lag.</w:t>
      </w:r>
    </w:p>
    <w:p w:rsidR="003B3271" w:rsidRPr="0008481A" w:rsidRDefault="003B3271">
      <w:r w:rsidRPr="0008481A">
        <w:t>I 8 kap. 3 § andra stycket första meningen lagen (1976:380) om arbetsskade</w:t>
      </w:r>
      <w:r w:rsidRPr="0008481A">
        <w:softHyphen/>
        <w:t xml:space="preserve">försäkring (LAF) </w:t>
      </w:r>
      <w:r w:rsidRPr="0008481A">
        <w:rPr>
          <w:rFonts w:ascii="Garamond" w:hAnsi="Garamond"/>
        </w:rPr>
        <w:t>–</w:t>
      </w:r>
      <w:r w:rsidRPr="0008481A">
        <w:t xml:space="preserve"> som alltså inte skall tillämpas i ärenden enligt LSP </w:t>
      </w:r>
      <w:r w:rsidRPr="0008481A">
        <w:rPr>
          <w:rFonts w:ascii="Garamond" w:hAnsi="Garamond"/>
        </w:rPr>
        <w:t>–</w:t>
      </w:r>
      <w:r w:rsidRPr="0008481A">
        <w:t xml:space="preserve"> föreskrivs bl.a. att frågan om den försäkrade har ådragit sig en arbetsskada endast skall prövas i den mån det behövs för att bestämma ersättning enligt denna lag. Regleringen innebär med andra ord att en skada som anmäls enligt LSP skall prövas av försäkringskassan oavsett om det finns ersättnings</w:t>
      </w:r>
      <w:r w:rsidRPr="0008481A">
        <w:softHyphen/>
        <w:t>anspråk eller inte.</w:t>
      </w:r>
    </w:p>
    <w:p w:rsidR="003B3271" w:rsidRPr="0008481A" w:rsidRDefault="003B3271">
      <w:pPr>
        <w:pStyle w:val="Normaltindrag"/>
      </w:pPr>
      <w:r w:rsidRPr="0008481A">
        <w:t>I 18 § samt 19 § (jämförd med 12 §) förordningen (1977:284) om arbetsskade</w:t>
      </w:r>
      <w:r w:rsidRPr="0008481A">
        <w:softHyphen/>
        <w:t>försäkring och statligt personskadeskydd anges att försäkrings</w:t>
      </w:r>
      <w:r w:rsidRPr="0008481A">
        <w:softHyphen/>
        <w:t>kassan skall skicka en kopia av arbetsskadeanmälan till Yrkesinspektionen och Trygghetsnämnden.</w:t>
      </w:r>
    </w:p>
    <w:p w:rsidR="003B3271" w:rsidRPr="0008481A" w:rsidRDefault="003B3271">
      <w:pPr>
        <w:pStyle w:val="Normaltindrag"/>
      </w:pPr>
      <w:r w:rsidRPr="0008481A">
        <w:t>Försäkringskassornas felaktiga tillämpning är märklig eftersom det redan av lagtexten framgår att 8 kap. 3 § andra stycket LAF inte är tillämplig i ärenden enligt LSP. Till detta kommer att kassorna misstolkat innehållet i ett meddelandeblad från RFV. Kassornas handläggning visar på en anmärk</w:t>
      </w:r>
      <w:r w:rsidRPr="0008481A">
        <w:softHyphen/>
        <w:t>nings</w:t>
      </w:r>
      <w:r w:rsidRPr="0008481A">
        <w:softHyphen/>
        <w:t>värd brist på kunskap om lagstiftningen på detta område. De för</w:t>
      </w:r>
      <w:r w:rsidRPr="0008481A">
        <w:softHyphen/>
        <w:t>klaring</w:t>
      </w:r>
      <w:r w:rsidRPr="0008481A">
        <w:softHyphen/>
        <w:t>ar som lämnats till denna brist är, enligt min uppfattning, inte acceptabla. Kassorna har i remissvaren anfört att de beklagar den felaktiga hand</w:t>
      </w:r>
      <w:r w:rsidRPr="0008481A">
        <w:softHyphen/>
        <w:t>lägg</w:t>
      </w:r>
      <w:r w:rsidRPr="0008481A">
        <w:softHyphen/>
        <w:t>ningen samt uppgivit att de vidtagit samt kommer att vidta ytter</w:t>
      </w:r>
      <w:r w:rsidRPr="0008481A">
        <w:softHyphen/>
        <w:t>ligare åtgärder för att försöka förhindra en upprepning av det inträffade. Försäk</w:t>
      </w:r>
      <w:r w:rsidRPr="0008481A">
        <w:softHyphen/>
        <w:t>ringskassorna kan likväl inte undgå kritik för den felaktiga hand</w:t>
      </w:r>
      <w:r w:rsidRPr="0008481A">
        <w:softHyphen/>
        <w:t>läggningen.</w:t>
      </w:r>
    </w:p>
    <w:p w:rsidR="003B3271" w:rsidRPr="0008481A" w:rsidRDefault="003B3271">
      <w:pPr>
        <w:pStyle w:val="Rubrik2"/>
      </w:pPr>
      <w:r w:rsidRPr="0008481A">
        <w:t>Ett initiativärende rörande handläggning av ärenden enlig</w:t>
      </w:r>
      <w:r w:rsidRPr="0008481A">
        <w:t>t 17 kap. 1 § andra stycket lagen (1962:381) om allmän försäkring</w:t>
      </w:r>
    </w:p>
    <w:p w:rsidR="003B3271" w:rsidRPr="0008481A" w:rsidRDefault="003B3271">
      <w:r w:rsidRPr="0008481A">
        <w:t>(Dnr 4837-1998)</w:t>
      </w:r>
    </w:p>
    <w:p w:rsidR="003B3271" w:rsidRPr="0008481A" w:rsidRDefault="003B3271">
      <w:r w:rsidRPr="0008481A">
        <w:rPr>
          <w:i/>
        </w:rPr>
        <w:t xml:space="preserve">JO Pennlöv </w:t>
      </w:r>
      <w:r w:rsidRPr="0008481A">
        <w:t>meddelade den 14 oktober 1999 ett beslut med följande innehåll.</w:t>
      </w:r>
    </w:p>
    <w:p w:rsidR="003B3271" w:rsidRPr="0008481A" w:rsidRDefault="003B3271">
      <w:pPr>
        <w:pStyle w:val="Rubrik3"/>
      </w:pPr>
      <w:r w:rsidRPr="0008481A">
        <w:t>Initiativet</w:t>
      </w:r>
    </w:p>
    <w:p w:rsidR="003B3271" w:rsidRPr="0008481A" w:rsidRDefault="003B3271">
      <w:r w:rsidRPr="0008481A">
        <w:t>Vid inspektion den 10</w:t>
      </w:r>
      <w:r w:rsidRPr="0008481A">
        <w:rPr>
          <w:rFonts w:ascii="Garamond" w:hAnsi="Garamond"/>
        </w:rPr>
        <w:t>–</w:t>
      </w:r>
      <w:r w:rsidRPr="0008481A">
        <w:t>12 november 1998 av Västerbottens läns allmänna försäkringskassa (dnr 4284-1998) granskade jag bl.a. ärenden där det upp</w:t>
      </w:r>
      <w:r w:rsidRPr="0008481A">
        <w:softHyphen/>
        <w:t>kommit fråga om utbetalning till socialnämnd enligt 17 kap. 1 § andra stycket AFL. Vid granskningen uppmärksammades att av socialnämnden gjorda framställningar om utbetalning enligt nämnda paragraf införlivats med den försäkrades akt hos kassan. I anledning härav uppkom frågan hur en försäkringskassa bör hantera nämnda framställningar. Jag beslutade därför att i en vidare mening utreda f</w:t>
      </w:r>
      <w:r w:rsidRPr="0008481A">
        <w:t>örsäkringskassornas handläggning av det aktuella ärendeslaget inom ramen för ett på mitt initiativ upptaget ärende.</w:t>
      </w:r>
    </w:p>
    <w:p w:rsidR="003B3271" w:rsidRPr="0008481A" w:rsidRDefault="003B3271">
      <w:r w:rsidRPr="0008481A">
        <w:t>En promemoria upprättades i ärendet. I den anfördes bl.a. följande.</w:t>
      </w:r>
    </w:p>
    <w:p w:rsidR="003B3271" w:rsidRPr="0008481A" w:rsidRDefault="003B3271">
      <w:pPr>
        <w:pStyle w:val="Citat"/>
      </w:pPr>
      <w:r w:rsidRPr="0008481A">
        <w:t>Tidigare fanns i 17 kap. AFL (4 §) en avräkningsregel som enbart tog sikte på retroaktiva pensionsbelopp. I samband med att denna regel den 1 juli 1983 utvidgades att gälla alla förmåner enligt AFL uttalade departementschefen (prop. 1982/83:3 s. 70) i specialmotiveringen till 17 kap. 1 § andra stycket att Riksförsäkringsverket bör meddela närmare föreskrifter om tillämpningen.</w:t>
      </w:r>
    </w:p>
    <w:p w:rsidR="003B3271" w:rsidRPr="0008481A" w:rsidRDefault="003B3271">
      <w:pPr>
        <w:pStyle w:val="Rubrik3"/>
      </w:pPr>
      <w:r w:rsidRPr="0008481A">
        <w:t>Utredning</w:t>
      </w:r>
    </w:p>
    <w:p w:rsidR="003B3271" w:rsidRPr="0008481A" w:rsidRDefault="003B3271">
      <w:r w:rsidRPr="0008481A">
        <w:t>I remiss till Riksförsäkringsverket (RFV) infordrades verkets yttrande i följande avseenden.</w:t>
      </w:r>
    </w:p>
    <w:p w:rsidR="003B3271" w:rsidRPr="0008481A" w:rsidRDefault="003B3271">
      <w:pPr>
        <w:pStyle w:val="PunktlistaTankstreck"/>
        <w:tabs>
          <w:tab w:val="num" w:pos="360"/>
        </w:tabs>
      </w:pPr>
      <w:r w:rsidRPr="0008481A">
        <w:t>om RFV har meddelat föreskrifter, anvisningar eller liknande för tillämp</w:t>
      </w:r>
      <w:r w:rsidRPr="0008481A">
        <w:softHyphen/>
        <w:t>ningen av 17 kap. 1 § andra stycket AFL,</w:t>
      </w:r>
    </w:p>
    <w:p w:rsidR="003B3271" w:rsidRPr="0008481A" w:rsidRDefault="003B3271">
      <w:pPr>
        <w:pStyle w:val="PunktlistaTankstreck"/>
        <w:tabs>
          <w:tab w:val="num" w:pos="360"/>
        </w:tabs>
      </w:pPr>
      <w:r w:rsidRPr="0008481A">
        <w:t>om RFV anser att försäkringskassorna bör upprätta ett särskilt diarium för socialnämndens framställningar av detta slag och om ärendena således bör läggas upp separat,</w:t>
      </w:r>
    </w:p>
    <w:p w:rsidR="003B3271" w:rsidRPr="0008481A" w:rsidRDefault="003B3271">
      <w:pPr>
        <w:pStyle w:val="PunktlistaTankstreck"/>
        <w:tabs>
          <w:tab w:val="num" w:pos="360"/>
        </w:tabs>
      </w:pPr>
      <w:r w:rsidRPr="0008481A">
        <w:t>om RFV anser att socialnämnden är part i det aktuella ärendeslaget och, om svaret är ja på denna fråga, vilka överklaganderegler och eventuella omprövningsregler som verket anser gälla för socialnämnden.</w:t>
      </w:r>
    </w:p>
    <w:p w:rsidR="003B3271" w:rsidRPr="0008481A" w:rsidRDefault="003B3271">
      <w:r w:rsidRPr="0008481A">
        <w:t>RFV anförde genom avdelningschefen Astrid Christiernsson i huvudsak följande.</w:t>
      </w:r>
    </w:p>
    <w:p w:rsidR="003B3271" w:rsidRPr="0008481A" w:rsidRDefault="003B3271">
      <w:pPr>
        <w:pStyle w:val="Citat"/>
      </w:pPr>
      <w:r w:rsidRPr="0008481A">
        <w:t>1. På frågan om Riksförsäkringsverket har meddelat föreskrifter, anvisningar eller liknande för tillämpningen av 17 kap. 1 § andra stycket AFL får RFV anföra följande.</w:t>
      </w:r>
    </w:p>
    <w:p w:rsidR="003B3271" w:rsidRPr="0008481A" w:rsidRDefault="003B3271">
      <w:pPr>
        <w:pStyle w:val="Citatindrag"/>
      </w:pPr>
      <w:r w:rsidRPr="0008481A">
        <w:t>Det finns inte några föreskrifter utfärdade av RFV på området. Det gäller varken tillämpningen materiellt eller förfarandet vid handläggningen av ärendena. Tidigare har det funnits föreskrifter utfärdade till ledning för tolk</w:t>
      </w:r>
      <w:r w:rsidRPr="0008481A">
        <w:softHyphen/>
        <w:t>ningen av 17 kap. 1 § andra stycket AFL. Dessa föreskrifter har funnits i en av RFV år 1977 utfärdad kungörelse – kungörelsen (1977:5) om minskning av pensionsbelopp i vissa fall. Denna kungörelse upphörde att gälla halvårs</w:t>
      </w:r>
      <w:r w:rsidRPr="0008481A">
        <w:softHyphen/>
        <w:t>skiftet 1986. Kungörelsen fördes inte upp på den förteckning över gällande författningar som RFV och andra myndigheter ålades att upprätta enligt författningssamlingsförordningen (1976:725) senast den 1 juli 1986.</w:t>
      </w:r>
    </w:p>
    <w:p w:rsidR="003B3271" w:rsidRPr="0008481A" w:rsidRDefault="003B3271">
      <w:pPr>
        <w:pStyle w:val="Citatindrag"/>
      </w:pPr>
      <w:r w:rsidRPr="0008481A">
        <w:t xml:space="preserve">I vissa allmänna råd – bl.a. det allmänna rådet 1996:4 om förtidspension </w:t>
      </w:r>
      <w:r w:rsidRPr="0008481A">
        <w:t>enligt lagen om allmän försäkring (AFL) – lämnas beskrivning över avräk</w:t>
      </w:r>
      <w:r w:rsidRPr="0008481A">
        <w:softHyphen/>
        <w:t>nings</w:t>
      </w:r>
      <w:r w:rsidRPr="0008481A">
        <w:softHyphen/>
        <w:t>reglerna i 17 kap. 1 § andra stycket. Det ges också exempel på till</w:t>
      </w:r>
      <w:r w:rsidRPr="0008481A">
        <w:softHyphen/>
        <w:t>lämpningen av avräkningsreglerna. Några riktlinjer för förfarandet vid handläggningen av ärendena i fråga lämnas inte.</w:t>
      </w:r>
    </w:p>
    <w:p w:rsidR="003B3271" w:rsidRPr="0008481A" w:rsidRDefault="003B3271">
      <w:pPr>
        <w:pStyle w:val="Citat"/>
      </w:pPr>
      <w:r w:rsidRPr="0008481A">
        <w:t>2. På frågan om RFV anser att försäkringskassorna bör upprätta ett särskilt diarium för socialnämndens framställningar av detta slag och om ärendena således bör läggas upp separat får RFV framhålla följande.</w:t>
      </w:r>
    </w:p>
    <w:p w:rsidR="003B3271" w:rsidRPr="0008481A" w:rsidRDefault="003B3271">
      <w:pPr>
        <w:pStyle w:val="Citatindrag"/>
      </w:pPr>
      <w:r w:rsidRPr="0008481A">
        <w:t>Enligt 15 kap. 1 § andra stycket sekretesslagen (1980:100) får regeringen, om särskilda skäl föreligger, föreskriva undantag från den registrerings</w:t>
      </w:r>
      <w:r w:rsidRPr="0008481A">
        <w:softHyphen/>
        <w:t>skyldighet som anges i paragrafens första stycke. Undantag får ske i fråga om handlingar av visst slag som förekommer hos myndighet i betydande omfattning. I 5 § sekretessförordningen (1980:657) anges vilka myndigheter som är undantagna från registreringsskyldigheten enligt 15 kap. 1 § första stycket sekretesslagen. Bland de myndigheter som är undantagna finns försäkringskassorna. De handlingar som inte behöver registreras är bl.a. hand</w:t>
      </w:r>
      <w:r w:rsidRPr="0008481A">
        <w:softHyphen/>
        <w:t>lingar i försäkringsärenden.</w:t>
      </w:r>
    </w:p>
    <w:p w:rsidR="003B3271" w:rsidRPr="0008481A" w:rsidRDefault="003B3271">
      <w:pPr>
        <w:pStyle w:val="Citatindrag"/>
      </w:pPr>
      <w:r w:rsidRPr="0008481A">
        <w:t xml:space="preserve">Ett ärende om avräkning enligt 17 kap. 1 </w:t>
      </w:r>
      <w:r w:rsidRPr="0008481A">
        <w:t>§ andra stycket AFL utgör ett för</w:t>
      </w:r>
      <w:r w:rsidRPr="0008481A">
        <w:softHyphen/>
        <w:t>säkrings</w:t>
      </w:r>
      <w:r w:rsidRPr="0008481A">
        <w:softHyphen/>
        <w:t>ärende. En framställning om avräkning utgör en handling i ett sådant ärende. Det finns ingen skyldighet att diarieföra framställningen. Det förhållandet att det genom den inkomna framställningen skapas ett nytt ärende hos kassan gör enligt RFV ingen skillnad därvidlag. En annan fråga är i vad mån det ändå kan vara lämpligt att det sker en registrering av framställningen i ett avräkningsärende.</w:t>
      </w:r>
    </w:p>
    <w:p w:rsidR="003B3271" w:rsidRPr="0008481A" w:rsidRDefault="003B3271">
      <w:pPr>
        <w:pStyle w:val="Citatindrag"/>
      </w:pPr>
      <w:r w:rsidRPr="0008481A">
        <w:t>Allmänt gäller att handlingarna i ett ärende skall hållas väl ordnade. D</w:t>
      </w:r>
      <w:r w:rsidRPr="0008481A">
        <w:t>etta är av betydelse bl.a. mot bakgrund av offentlighetsprincipen och den rätt till insyn i utredningsmaterialet som finns enligt förvaltningslagen (1986:223). RFV utgår från att kravet på att hålla handlingarna väl ordnade iakttas även när det gäller framställningar om avräkning. I jämförelse med andra typer av handlingar kan det också vara svårt att motivera varför just framställningar om avräkning bör diarieföras. RFV anser inte att det finns anledning att göra någon generell översyn av rutinerna. Vidare</w:t>
      </w:r>
      <w:r w:rsidRPr="0008481A">
        <w:t xml:space="preserve"> kan noteras att ett krav på diarieföring innebär ett merarbete för administrationen.</w:t>
      </w:r>
    </w:p>
    <w:p w:rsidR="003B3271" w:rsidRPr="0008481A" w:rsidRDefault="003B3271">
      <w:pPr>
        <w:pStyle w:val="Citatindrag"/>
      </w:pPr>
      <w:r w:rsidRPr="0008481A">
        <w:t>RFV anser inte, med hänvisning till det anförda, att det bör upprättas ett särskilt diarium för socialnämndens framställningar om avräkning. Det föreligger inte heller behov av att lägga upp ett ärende om avräkning separat. Ärendet bör kunna förvaras tillsammans med ärendet om rätten till social</w:t>
      </w:r>
      <w:r w:rsidRPr="0008481A">
        <w:softHyphen/>
        <w:t>försäkringsförmånen. Detta underlättar också handläggningen.</w:t>
      </w:r>
    </w:p>
    <w:p w:rsidR="003B3271" w:rsidRPr="0008481A" w:rsidRDefault="003B3271">
      <w:pPr>
        <w:pStyle w:val="Citat"/>
      </w:pPr>
      <w:r w:rsidRPr="0008481A">
        <w:t>3. På frågan om RFV anser att socialnämnden är part i det aktuella ärendeslaget och, om svaret är ja på denna fråga, vilka överklaganderegler och eventuella omprövningsregler som verket anser bör gälla för social</w:t>
      </w:r>
      <w:r w:rsidRPr="0008481A">
        <w:softHyphen/>
        <w:t>nämnden får RFV framhålla följande.</w:t>
      </w:r>
    </w:p>
    <w:p w:rsidR="003B3271" w:rsidRPr="0008481A" w:rsidRDefault="003B3271">
      <w:pPr>
        <w:pStyle w:val="Citatindrag"/>
      </w:pPr>
      <w:r w:rsidRPr="0008481A">
        <w:t>Socialnämnden är enligt RFV:s uppfattning part i ärendet. Det framgår också av ett flertal domar från Försäkringsöverdomstolen (bl.a. i målen dnr 1096/84, 1831/84 och 81/87) att socialnämnden eller motsvarande ansetts som part.</w:t>
      </w:r>
    </w:p>
    <w:p w:rsidR="003B3271" w:rsidRPr="0008481A" w:rsidRDefault="003B3271">
      <w:pPr>
        <w:pStyle w:val="Citatindrag"/>
      </w:pPr>
      <w:r w:rsidRPr="0008481A">
        <w:t>RFV anser att ett beslut som en försäkringskassa fattar i ett avräknings</w:t>
      </w:r>
      <w:r w:rsidRPr="0008481A">
        <w:softHyphen/>
        <w:t>ärende är ett beslut i ett ärende om försäkring enligt AFL. Det gör att prövningen av vilka möjligheter som skall finnas att begära omprövning av och att överklaga ett beslut om avräkning i första hand bör bedömas i för</w:t>
      </w:r>
      <w:r w:rsidRPr="0008481A">
        <w:softHyphen/>
        <w:t>hållande till reglerna i AFL.</w:t>
      </w:r>
    </w:p>
    <w:p w:rsidR="003B3271" w:rsidRPr="0008481A" w:rsidRDefault="003B3271">
      <w:pPr>
        <w:pStyle w:val="Citatindrag"/>
      </w:pPr>
      <w:r w:rsidRPr="0008481A">
        <w:t>Tolkningsproblem kan därvid uppkomma på grund av att begreppet enskild används. I 20 kap. 10 § första stycket AFL anges att beslut av en allmän försäkringskassa som har fattats av tjänsteman i ärenden om för</w:t>
      </w:r>
      <w:r w:rsidRPr="0008481A">
        <w:softHyphen/>
        <w:t>säkring enligt denna lag skall omprövas av kassan, om det begärs av en enskild som beslutet angår etc. I 20 kap. 11 § anges bl.a. att ett beslut som har fattats av en tjänsteman hos försäkringskassan inte får överklagas av en enskild innan beslutet har omprövats enligt 10 §.</w:t>
      </w:r>
    </w:p>
    <w:p w:rsidR="003B3271" w:rsidRPr="0008481A" w:rsidRDefault="003B3271">
      <w:pPr>
        <w:pStyle w:val="Citatindrag"/>
      </w:pPr>
      <w:r w:rsidRPr="0008481A">
        <w:t>Begreppet enskild används på flera ställen i förvaltningslagen, bl.a. i 4 §. I Nya förvaltningslagen med kommentarer, fjärde upplagan, Trygve Hellners och Bo Malmqvist, framhålls (s. 68) att med enskilda i 4 § och på andra ställen i la</w:t>
      </w:r>
      <w:r w:rsidRPr="0008481A">
        <w:t>gen menas inte bara enskilda individer utan också företag, organisationer och andra privaträttsliga subjekt. Däremot avses i princip inte organ för det allmänna, t.ex. kommuner. Om samma tolkning görs be</w:t>
      </w:r>
      <w:r w:rsidRPr="0008481A">
        <w:softHyphen/>
        <w:t>träffande de ifrågavarande bestämmelserna i AFL skulle det tala för att dessa bestämmelser inte är tillämpliga.</w:t>
      </w:r>
    </w:p>
    <w:p w:rsidR="003B3271" w:rsidRPr="0008481A" w:rsidRDefault="003B3271">
      <w:pPr>
        <w:pStyle w:val="Citatindrag"/>
      </w:pPr>
      <w:r w:rsidRPr="0008481A">
        <w:t>Det är dock enligt RFV:s mening svårt att se några sakliga skäl som motiverar att socialnämnden undantas från omprövnings-/överklagande</w:t>
      </w:r>
      <w:r w:rsidRPr="0008481A">
        <w:softHyphen/>
        <w:t>reglerna enligt AFL. Bestämmelserna i AFL bör anses tillämpliga även i ett fall som detta. Ytterst är det dock en fråga för förvaltningsdomstol att avgöra i vad mån dessa bestämmelser är tillämpliga.</w:t>
      </w:r>
    </w:p>
    <w:p w:rsidR="003B3271" w:rsidRPr="0008481A" w:rsidRDefault="003B3271">
      <w:pPr>
        <w:pStyle w:val="Citat"/>
      </w:pPr>
      <w:r w:rsidRPr="0008481A">
        <w:t>– – –</w:t>
      </w:r>
    </w:p>
    <w:p w:rsidR="003B3271" w:rsidRPr="0008481A" w:rsidRDefault="003B3271">
      <w:pPr>
        <w:pStyle w:val="Rubrik3"/>
      </w:pPr>
      <w:r w:rsidRPr="0008481A">
        <w:t>Bedömning</w:t>
      </w:r>
    </w:p>
    <w:p w:rsidR="003B3271" w:rsidRPr="0008481A" w:rsidRDefault="003B3271">
      <w:pPr>
        <w:pStyle w:val="Rubrik4"/>
        <w:spacing w:before="120"/>
      </w:pPr>
      <w:r w:rsidRPr="0008481A">
        <w:t>Frågan om försäkringskassan bör upprätta ett diarium för socialnämndens framställningar om avräkning och/eller lägga upp ärendena separat</w:t>
      </w:r>
    </w:p>
    <w:p w:rsidR="003B3271" w:rsidRPr="0008481A" w:rsidRDefault="003B3271">
      <w:r w:rsidRPr="0008481A">
        <w:t>Enligt 15 kap. 1 § första stycket sekretesslagen skall allmän handling regi</w:t>
      </w:r>
      <w:r w:rsidRPr="0008481A">
        <w:softHyphen/>
        <w:t>streras utan dröjsmål, när den har kommit in till eller upprättats hos myndig</w:t>
      </w:r>
      <w:r w:rsidRPr="0008481A">
        <w:softHyphen/>
        <w:t>het, om det inte är uppenbart att den är av ringa betydelse för myndighetens verksamhet. I fråga om allmänna handlingar, för vilka sekretess inte gäller, får dock registrering underlåtas om handlingarna hålls så ordnade att det utan svårighet kan fastställas om handling har kommit in eller upprättats.</w:t>
      </w:r>
    </w:p>
    <w:p w:rsidR="003B3271" w:rsidRPr="0008481A" w:rsidRDefault="003B3271">
      <w:pPr>
        <w:pStyle w:val="Normaltindrag"/>
      </w:pPr>
      <w:r w:rsidRPr="0008481A">
        <w:t>I andra stycket till samma paragraf har regeringen bemyndigats att, om särskilda skäl föreligger, föreskriva undantag från registr</w:t>
      </w:r>
      <w:r w:rsidRPr="0008481A">
        <w:t>eringsskyldigheten i fråga om handlingar av visst slag som hos myndigheten förekommer i betyd</w:t>
      </w:r>
      <w:r w:rsidRPr="0008481A">
        <w:softHyphen/>
        <w:t>ande omfattning. Med stöd av detta bemyndigande har regeringen i 5 § sekretessförordningen undantagit de allmänna försäkringskassorna från att registrera bl.a. handlingar i försäkringsärenden.</w:t>
      </w:r>
    </w:p>
    <w:p w:rsidR="003B3271" w:rsidRPr="0008481A" w:rsidRDefault="003B3271">
      <w:pPr>
        <w:pStyle w:val="Normaltindrag"/>
      </w:pPr>
      <w:r w:rsidRPr="0008481A">
        <w:t>Syftet med bestämmelserna om registrering av allmänna handlingar är att garantera allmänhetens rätt att få tillgång till allmänna handlingar. Vad gäller undantagsregeln i andra stycket är ett av skälen till denna att registre</w:t>
      </w:r>
      <w:r w:rsidRPr="0008481A">
        <w:t>rings</w:t>
      </w:r>
      <w:r w:rsidRPr="0008481A">
        <w:softHyphen/>
        <w:t>skyldigheten i vissa fall kan komma att bli utomordentligt betungande för myndigheten. Mot de vinster i kostnader och arbete som kan göras måste vägas intresset av allmän insyn i myndigheternas verksamhet. Detta har i bestäm</w:t>
      </w:r>
      <w:r w:rsidRPr="0008481A">
        <w:softHyphen/>
        <w:t>melsen kommit till uttryck i att särskilda skäl krävs för att undantag skall kunna föreskrivas (prop. 1979/80:2 Del A s. 354 f.).</w:t>
      </w:r>
    </w:p>
    <w:p w:rsidR="003B3271" w:rsidRPr="0008481A" w:rsidRDefault="003B3271">
      <w:pPr>
        <w:pStyle w:val="Normaltindrag"/>
      </w:pPr>
      <w:r w:rsidRPr="0008481A">
        <w:t>RFV har anfört att en framställning om avräkning enligt 17 kap. 1 § andra stycket AFL utgör en handling i ett försäkringsärende, för vilken det inte fö</w:t>
      </w:r>
      <w:r w:rsidRPr="0008481A">
        <w:t>re</w:t>
      </w:r>
      <w:r w:rsidRPr="0008481A">
        <w:softHyphen/>
        <w:t>ligger någon registreringsskyldighet enligt sekretesslagen. Jag delar denna uppfattning. De ovan nämnda bestämmelserna i sekretesslagen hindrar visserligen inte att registrering ändå sker. I likhet med RFV anser jag emellertid att det, vid en jämförelse med hanteringen av andra handlingar i försäkringsärenden, inte finns skäl att särbehandla framställningar om avräkning i detta avseende.</w:t>
      </w:r>
    </w:p>
    <w:p w:rsidR="003B3271" w:rsidRPr="0008481A" w:rsidRDefault="003B3271">
      <w:pPr>
        <w:pStyle w:val="Normaltindrag"/>
      </w:pPr>
      <w:r w:rsidRPr="0008481A">
        <w:t>Vad gäller förvaringen av de handlingar som hör till ett avräkningsärende har jag i samband med mina inspektioner av f</w:t>
      </w:r>
      <w:r w:rsidRPr="0008481A">
        <w:t>örsäkringskassor noterat att handlingarna vanligtvis sammanförs med de handlingar som hör till ärendet om rätten till socialförsäkringsförmånen. Fråga är om det finns skäl att lägga upp ett ärende om avräkning separat. Det förhållandet att partsställningen är annan än i ärendet om rätten till socialförsäkringsförmånen skulle kunna utgöra ett argument för detta. RFV har å sin sida uppgett att det inte före</w:t>
      </w:r>
      <w:r w:rsidRPr="0008481A">
        <w:softHyphen/>
        <w:t>ligger behov av att separera ett avräkningsärende från ärendet om rätten till socialförsäkringsförmånen</w:t>
      </w:r>
      <w:r w:rsidRPr="0008481A">
        <w:t xml:space="preserve"> och att handläggningen underlättas om ärendena förvaras tillsammans. Jag har inte anledning att ifrågasätta dessa uppgifter. Jag vill också understryka att en parts begäran att ta del av materialet i sitt ärende om rätten till socialförsäkringsförmånen även bör anses omfatta hand</w:t>
      </w:r>
      <w:r w:rsidRPr="0008481A">
        <w:softHyphen/>
        <w:t>lingarna i avräkningsärendet. Handläggningen av en sådan begäran under</w:t>
      </w:r>
      <w:r w:rsidRPr="0008481A">
        <w:softHyphen/>
        <w:t xml:space="preserve">lättas självklart om handlingarna förvaras tillsammans. </w:t>
      </w:r>
      <w:r w:rsidRPr="0008481A">
        <w:rPr>
          <w:rFonts w:ascii="Garamond" w:hAnsi="Garamond"/>
        </w:rPr>
        <w:t>–</w:t>
      </w:r>
      <w:r w:rsidRPr="0008481A">
        <w:t xml:space="preserve"> Övervägande skäl talar således för att ett avräkningsärende förvaras tillsammans med ärendet om rätte</w:t>
      </w:r>
      <w:r w:rsidRPr="0008481A">
        <w:t>n till socialförsäkringsförmånen. Det finns emellertid inget hinder mot att handlingarna i avräkningsärendet förvaras i en särskild mapp eller i övrigt hålls samman inom förmånsärendet. En sådan förvaring skulle själv</w:t>
      </w:r>
      <w:r w:rsidRPr="0008481A">
        <w:softHyphen/>
        <w:t>fallet underlätta försäkringskassans handläggning, t.ex. i samband med att en part begär överprövning av kassans avräkningsbeslut. Med dessa besked lämnar jag ärendet i denna del.</w:t>
      </w:r>
    </w:p>
    <w:p w:rsidR="003B3271" w:rsidRPr="0008481A" w:rsidRDefault="003B3271">
      <w:pPr>
        <w:pStyle w:val="Rubrik4"/>
      </w:pPr>
      <w:r w:rsidRPr="0008481A">
        <w:t>Frågan om vilka överprövningsregler som gäller för socialnämnden</w:t>
      </w:r>
    </w:p>
    <w:p w:rsidR="003B3271" w:rsidRPr="0008481A" w:rsidRDefault="003B3271">
      <w:r w:rsidRPr="0008481A">
        <w:t>Enligt 20 kap. 10 § första stycket AFL skall beslut av en allmän försäkrings</w:t>
      </w:r>
      <w:r w:rsidRPr="0008481A">
        <w:softHyphen/>
        <w:t>kassa som har fattats av tjänsteman i ärenden om försäkring enligt denna lag omprövas av kassan, om det begärs av en enskild som beslutet angår och beslutet inte har meddelats med stöd av 10 a §. Enligt 11 § samma kapitel får beslut av en allmän försäkringskassa eller Riksförsäkringsverket i ärenden om försäkring enligt denna lag överklagas hos allmän förvaltningsdomstol. Ett beslut som har fattats av en tjänsteman hos försäkringskassan får dock inte överklagas av en enskild innan beslutet har omprövats en</w:t>
      </w:r>
      <w:r w:rsidRPr="0008481A">
        <w:t>ligt 10 §. En enskilds överklagande av ett sådant beslut innan beslutet har omprövats skall anses som en begäran om omprövning enligt nämnda paragraf.</w:t>
      </w:r>
    </w:p>
    <w:p w:rsidR="003B3271" w:rsidRPr="0008481A" w:rsidRDefault="003B3271">
      <w:pPr>
        <w:pStyle w:val="Normaltindrag"/>
      </w:pPr>
      <w:r w:rsidRPr="0008481A">
        <w:t>Jag delar RFV:s uppfattning att socialnämnden är att anse som part i avräkningsärenden och att ett beslut av försäkringskassan i ett sådant ärende är ett beslut i ett ärende om försäkring enligt AFL.</w:t>
      </w:r>
    </w:p>
    <w:p w:rsidR="003B3271" w:rsidRPr="0008481A" w:rsidRDefault="003B3271">
      <w:pPr>
        <w:pStyle w:val="Normaltindrag"/>
      </w:pPr>
      <w:r w:rsidRPr="0008481A">
        <w:t>Vad gäller begreppet ”enskild” vill jag anföra följande. Som RFV har upp</w:t>
      </w:r>
      <w:r w:rsidRPr="0008481A">
        <w:softHyphen/>
        <w:t>gett avses med detta begrepp i förvaltningsrätten privaträttsliga subjekt. Ett organ för det allmänna, t.ex. kommuner, kan dock i vissa situationer ha samma ställning som en enskild, t.ex. när en kommun äger en fastighet (se prop. 1971:30 s. 334 och 1985/86:80 s. 59). Det saknas enligt min mening skäl att anta att begreppet ”enskild” skulle ha en annan innebörd i AFL. Att en förvaltningsmyndighet i ett avräkningsärende enligt 17 kap. 1 § andra stycket AFL skulle ha samma ställning som en enskild förefaller</w:t>
      </w:r>
      <w:r w:rsidRPr="0008481A">
        <w:t xml:space="preserve"> mig rent av vara helt uteslutet. Fråga är ju om en förvaltningsmyndighets begäran om ersättning för ett på offentligrättslig grund utgivet bistånd.</w:t>
      </w:r>
    </w:p>
    <w:p w:rsidR="003B3271" w:rsidRPr="0008481A" w:rsidRDefault="003B3271">
      <w:pPr>
        <w:pStyle w:val="Normaltindrag"/>
      </w:pPr>
      <w:r w:rsidRPr="0008481A">
        <w:t>Förarbetena till 20 kap. 10 § AFL bringar inte klarhet i frågan om hur en socialnämnds begäran om överprövning av ett tjänstemannabeslut enligt 17 kap. 1 § andra stycket AFL skall behandlas. Av det ovan anförda följer enligt min uppfattning att en sådan begäran av socialnämnd inte omfattas av omprövningsregeln i 20 kap. 10 § AFL. En socialnämnd är således hänvi</w:t>
      </w:r>
      <w:r w:rsidRPr="0008481A">
        <w:t>sad till att, i likhet med vad som gäller för RFV, överklaga ett beslut om avräkning.</w:t>
      </w:r>
    </w:p>
    <w:p w:rsidR="003B3271" w:rsidRPr="0008481A" w:rsidRDefault="003B3271">
      <w:pPr>
        <w:pStyle w:val="Normaltindrag"/>
        <w:rPr>
          <w:rFonts w:ascii="Garamond" w:hAnsi="Garamond"/>
        </w:rPr>
      </w:pPr>
      <w:r w:rsidRPr="0008481A">
        <w:t>Jag instämmer emellertid i RFV:s uppfattning att det borde vara möjligt för socialnämnder att begära omprövning på samma sätt som gäller för enskilda. Mot denna bakgrund får jag härmed, efter samråd med chefsJO Claes Eklundh, enligt 4 § (1986:765) lagen med instruktion för Riksdagens ombudsmän, väcka fråga om författningsändring i enlighet med det anförda. Jag överlämnar därför en kopia av detta beslut till Regeringskansli</w:t>
      </w:r>
      <w:r w:rsidRPr="0008481A">
        <w:t>et (Social</w:t>
      </w:r>
      <w:r w:rsidRPr="0008481A">
        <w:softHyphen/>
        <w:t>departementet). Jag överlämnar också en kopia av beslutet till socialförsäk</w:t>
      </w:r>
      <w:r w:rsidRPr="0008481A">
        <w:softHyphen/>
        <w:t>rings</w:t>
      </w:r>
      <w:r w:rsidRPr="0008481A">
        <w:softHyphen/>
        <w:t xml:space="preserve">utskottet för kännedom.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p>
    <w:p w:rsidR="003B3271" w:rsidRPr="0008481A" w:rsidRDefault="003B3271">
      <w:pPr>
        <w:pStyle w:val="Rubrik2"/>
        <w:spacing w:before="0"/>
      </w:pPr>
      <w:r w:rsidRPr="0008481A">
        <w:t>Fråga om behov av kommunicering i ärende där det inte av den försäkrades ansökan framgick om den avsåg förtidspension eller sjukbidrag</w:t>
      </w:r>
    </w:p>
    <w:p w:rsidR="003B3271" w:rsidRPr="0008481A" w:rsidRDefault="003B3271">
      <w:r w:rsidRPr="0008481A">
        <w:t>(Dnr 3632-1998)</w:t>
      </w:r>
    </w:p>
    <w:p w:rsidR="003B3271" w:rsidRPr="0008481A" w:rsidRDefault="003B3271">
      <w:r w:rsidRPr="0008481A">
        <w:t>I en anmälan mot Stockholms läns allmänna försäkringskassa klagade R.M. på kassans handläggning av hans förtidspensions- och sjukbidragsärende. Han anförde bl.a. följande. Trots att han ansökte om förtidspension har försäkringskassan föreslagit fortsatt sjukbidrag utan att dessförinnan ha kommunicerat honom föredragningspromemorian. Om han hade fått del av föredragningspromemorian med kassans förslag hade han kunnat meddela socialförsäkringsnämnden om sitt försämrade hälsotillstånd som styrkts av läkarutlå</w:t>
      </w:r>
      <w:r w:rsidRPr="0008481A">
        <w:t>tande. Han hade också haft möjlighet att närvara vid nämndens sam</w:t>
      </w:r>
      <w:r w:rsidRPr="0008481A">
        <w:softHyphen/>
        <w:t>manträde.</w:t>
      </w:r>
    </w:p>
    <w:p w:rsidR="003B3271" w:rsidRPr="0008481A" w:rsidRDefault="003B3271">
      <w:pPr>
        <w:pStyle w:val="Normaltindrag"/>
      </w:pPr>
      <w:r w:rsidRPr="0008481A">
        <w:t>Anmälan remitterades till försäkringskassan för yttrande. I sitt remissvar anförde försäkringskassan genom direktören Henrik Meldahl följande.</w:t>
      </w:r>
    </w:p>
    <w:p w:rsidR="003B3271" w:rsidRPr="0008481A" w:rsidRDefault="003B3271">
      <w:pPr>
        <w:pStyle w:val="Packad"/>
        <w:spacing w:before="120"/>
      </w:pPr>
      <w:r w:rsidRPr="0008481A">
        <w:t>– – –</w:t>
      </w:r>
    </w:p>
    <w:p w:rsidR="003B3271" w:rsidRPr="0008481A" w:rsidRDefault="003B3271">
      <w:pPr>
        <w:pStyle w:val="Rubrik4"/>
        <w:spacing w:before="120"/>
      </w:pPr>
      <w:r w:rsidRPr="0008481A">
        <w:t>Bakgrund</w:t>
      </w:r>
    </w:p>
    <w:p w:rsidR="003B3271" w:rsidRPr="0008481A" w:rsidRDefault="003B3271">
      <w:pPr>
        <w:pStyle w:val="Citat"/>
      </w:pPr>
      <w:r w:rsidRPr="0008481A">
        <w:t>R.M. har uppburit helt sjukbidrag under perioden november 1996 till och med september 1998. Den 9 juni 1998 ansökte R.M. på nytt om förtids</w:t>
      </w:r>
      <w:r w:rsidRPr="0008481A">
        <w:softHyphen/>
        <w:t>pension/sjukbidrag för tid efter september 1998.</w:t>
      </w:r>
    </w:p>
    <w:p w:rsidR="003B3271" w:rsidRPr="0008481A" w:rsidRDefault="003B3271">
      <w:pPr>
        <w:pStyle w:val="Citatindrag"/>
      </w:pPr>
      <w:r w:rsidRPr="0008481A">
        <w:t>Med anledning av ansökan den 9 juni 1998 beviljades R.M. helt sjukbidrag för tiden oktober 1998 till och med september år 2000. Beslutet meddelades den 21 augusti 1998. Den 26 augusti 1998 sände R.M. ett brev till försäkringskassan med anledning av sjukbidragsbeslutet. I brevet efter</w:t>
      </w:r>
      <w:r w:rsidRPr="0008481A">
        <w:softHyphen/>
        <w:t>frågade han föredragningspromemorian och menade att försäkringskassan fattat beslut över hans huvud. Efter detta följde en tid med många kontakter mellan R.M. och försäkringskassan, främst enhetschef Lena Nilsson-Ordell.</w:t>
      </w:r>
    </w:p>
    <w:p w:rsidR="003B3271" w:rsidRPr="0008481A" w:rsidRDefault="003B3271">
      <w:pPr>
        <w:pStyle w:val="Rubrik4"/>
      </w:pPr>
      <w:r w:rsidRPr="0008481A">
        <w:t>Yttrande</w:t>
      </w:r>
    </w:p>
    <w:p w:rsidR="003B3271" w:rsidRPr="0008481A" w:rsidRDefault="003B3271">
      <w:pPr>
        <w:pStyle w:val="Citat"/>
      </w:pPr>
      <w:r w:rsidRPr="0008481A">
        <w:t>Ansökan om förtidspension och sjukbidrag görs på samma blankett. Av ansökningsblanketten framgår inte vilken ersättningsform den försäkrade främst önskar. De två aktuella ersättningsformerna kan beviljas en person vars arbetsförmåga på grund av sjukdom eller annan nedsättning av den fysiska eller psykiska prestationsförmågan är nedsatt med minst en fjärdedel. Förtidspension beviljas när nedsättningen kan anses varaktig och sjukbidrag beviljas när nedsättningen inte anses varaktig, men kan antas bli beståen</w:t>
      </w:r>
      <w:r w:rsidRPr="0008481A">
        <w:t>de under avsevärd tid. Sjukbidrag beviljas vanligen för en period av ett till två år.</w:t>
      </w:r>
    </w:p>
    <w:p w:rsidR="003B3271" w:rsidRPr="0008481A" w:rsidRDefault="003B3271">
      <w:pPr>
        <w:pStyle w:val="Citatindrag"/>
      </w:pPr>
      <w:r w:rsidRPr="0008481A">
        <w:t>R.M. har ansökt om förtidspension/sjukbidrag. Det har först efter att beslut om sjukbidrag fattats framkommit att R.M:s ansökan i första hand avsåg förtids</w:t>
      </w:r>
      <w:r w:rsidRPr="0008481A">
        <w:softHyphen/>
      </w:r>
      <w:r w:rsidRPr="0008481A">
        <w:softHyphen/>
        <w:t>pension. Det är olyckligt att ansökan avseende de två ersättningsformerna görs på samma blankett och att det inte framgår vilken ersättningsform som den försäkrade i första hand ansöker om. Innan för</w:t>
      </w:r>
      <w:r w:rsidRPr="0008481A">
        <w:softHyphen/>
        <w:t>säkrings</w:t>
      </w:r>
      <w:r w:rsidRPr="0008481A">
        <w:softHyphen/>
        <w:t>kassan fattar beslut i ärendet är det därför viktigt att försäkrings</w:t>
      </w:r>
      <w:r w:rsidRPr="0008481A">
        <w:softHyphen/>
        <w:t>kassan har informerat sig om vad ansökan i första hand avser.</w:t>
      </w:r>
    </w:p>
    <w:p w:rsidR="003B3271" w:rsidRPr="0008481A" w:rsidRDefault="003B3271">
      <w:pPr>
        <w:pStyle w:val="Rubrik4"/>
      </w:pPr>
      <w:r w:rsidRPr="0008481A">
        <w:t>Försäkringskassan har, utan att dessförinnan ha sänt föredragnings</w:t>
      </w:r>
      <w:r w:rsidRPr="0008481A">
        <w:softHyphen/>
        <w:t>promemoria till R.M., fattat beslut om att bevilja honom helt sjukbidrag</w:t>
      </w:r>
    </w:p>
    <w:p w:rsidR="003B3271" w:rsidRPr="0008481A" w:rsidRDefault="003B3271">
      <w:pPr>
        <w:pStyle w:val="Citat"/>
      </w:pPr>
      <w:r w:rsidRPr="0008481A">
        <w:t>R.M. uppger att försäkringskassan har brutit mot förvaltningslagen då försäkringskassan inte kommunicerat honom förslag till beslut innan social</w:t>
      </w:r>
      <w:r w:rsidRPr="0008481A">
        <w:softHyphen/>
        <w:t>försäkringsnämnden beslutat om hans rätt till sjukbidrag. Enligt 17 § för</w:t>
      </w:r>
      <w:r w:rsidRPr="0008481A">
        <w:softHyphen/>
        <w:t xml:space="preserve">valtningslagen (1986:223) får ett ärende inte avgöras utan att den sökande har underrättats om en uppgift som tillförts ärendet genom någon annan än honom själv och han har fått möjlighet att yttra sig över uppgiften. Detta gäller i ärenden då avgörandet går parten emot. Det är därför viktigt att försäkringskassan har informerat sig om att ett föreslaget beslut inte går den försäkrade emot i de fall försäkringskassan väljer att inte </w:t>
      </w:r>
      <w:r w:rsidRPr="0008481A">
        <w:t>kommunicera förslaget. I R.M:s ärende har det inte inkommit några uppgifter från någon annan än honom själv. Enligt förvaltningslagen förelåg därmed inte någon skyldighet att kommunicera honom innan ärendet avgjordes, även om av</w:t>
      </w:r>
      <w:r w:rsidRPr="0008481A">
        <w:softHyphen/>
        <w:t>görandet gick honom emot. Försäkringskassan har dock som rutin att kommunicera förslag till beslut i alla ärenden i vilka det råder osäkerhet kring om förslaget går sökanden emot.</w:t>
      </w:r>
    </w:p>
    <w:p w:rsidR="003B3271" w:rsidRPr="0008481A" w:rsidRDefault="003B3271">
      <w:pPr>
        <w:pStyle w:val="Citatindrag"/>
      </w:pPr>
      <w:r w:rsidRPr="0008481A">
        <w:t>Det finns inga journalanteckningar i akten som tydliggör vad R.M:s an</w:t>
      </w:r>
      <w:r w:rsidRPr="0008481A">
        <w:softHyphen/>
        <w:t>sökan gäller. Först av R.M:s klagoskrivelser framgår att hans ansökan avsåg förtidspension. Lokalkontoret förefaller att ha utgått från att R.M. ansökt om ett förlängt sjukbidrag. Försäkringskassan har av denna anledning inte ansett att det föreslagna beslutet gått R.M. emot, vilket resulterat i att för</w:t>
      </w:r>
      <w:r w:rsidRPr="0008481A">
        <w:softHyphen/>
        <w:t>säkringskassan inte har tillsänt honom föredragningspromemorian och givit honom tid att inkomma med yttrande däröver.</w:t>
      </w:r>
    </w:p>
    <w:p w:rsidR="003B3271" w:rsidRPr="0008481A" w:rsidRDefault="003B3271">
      <w:pPr>
        <w:pStyle w:val="Citatindrag"/>
      </w:pPr>
      <w:r w:rsidRPr="0008481A">
        <w:t>Försäkringskassans underlåtenhet att kommunicera R.M. förslaget till beslut har fått til</w:t>
      </w:r>
      <w:r w:rsidRPr="0008481A">
        <w:t>l följd att R.M. inte haft möjlighet att inkomma med ytterligare medicinskt underlag för att styrka hans anspråk på förtidspension. Försäkringskassan ser allvarligt på detta och beklagar det inträffade.</w:t>
      </w:r>
    </w:p>
    <w:p w:rsidR="003B3271" w:rsidRPr="0008481A" w:rsidRDefault="003B3271">
      <w:pPr>
        <w:pStyle w:val="Rubrik4"/>
      </w:pPr>
      <w:r w:rsidRPr="0008481A">
        <w:t>Ej fått möjlighet att närvara vid socialförsäkringsnämndens sammanträde</w:t>
      </w:r>
    </w:p>
    <w:p w:rsidR="003B3271" w:rsidRPr="0008481A" w:rsidRDefault="003B3271">
      <w:pPr>
        <w:pStyle w:val="Citat"/>
      </w:pPr>
      <w:r w:rsidRPr="0008481A">
        <w:t>R.M. framhåller att han undantagits möjligheten att närvara vid social</w:t>
      </w:r>
      <w:r w:rsidRPr="0008481A">
        <w:softHyphen/>
        <w:t>försäkringsnämndens sammanträde. En försäkrad har rätt att närvara vid nämndens sammanträde för att muntligen kunna framföra uppgifter i för</w:t>
      </w:r>
      <w:r w:rsidRPr="0008481A">
        <w:softHyphen/>
        <w:t>säkrings</w:t>
      </w:r>
      <w:r w:rsidRPr="0008481A">
        <w:softHyphen/>
        <w:t>ärendet. Detta följer av 14 § förvaltningslagen. Eftersom för</w:t>
      </w:r>
      <w:r w:rsidRPr="0008481A">
        <w:softHyphen/>
        <w:t>säkrings</w:t>
      </w:r>
      <w:r w:rsidRPr="0008481A">
        <w:softHyphen/>
        <w:t>kassan varit i den felaktiga tron att det föreslagna beslutet inte gick R.M. emot, så har R.M. inte kommunicerats förslag till beslut och inte heller beretts möjlighet att närvara vid socialförsäkringsnämndens sammanträde. Försäkringskassan beklagar detta.</w:t>
      </w:r>
    </w:p>
    <w:p w:rsidR="003B3271" w:rsidRPr="0008481A" w:rsidRDefault="003B3271">
      <w:pPr>
        <w:pStyle w:val="Citatindrag"/>
      </w:pPr>
      <w:r w:rsidRPr="0008481A">
        <w:t>R.M. har överklagat försäkringska</w:t>
      </w:r>
      <w:r w:rsidRPr="0008481A">
        <w:t>ssans beslut till länsrätten. Försäkrings</w:t>
      </w:r>
      <w:r w:rsidRPr="0008481A">
        <w:softHyphen/>
        <w:t>kassan har inte ansett att det underlag som bifogats överklagan har givit stöd för en ändring av beslutet enligt 20 kap 10 a § lagen om allmän försäkring.</w:t>
      </w:r>
    </w:p>
    <w:p w:rsidR="003B3271" w:rsidRPr="0008481A" w:rsidRDefault="003B3271">
      <w:pPr>
        <w:pStyle w:val="Citatindrag"/>
        <w:spacing w:before="120"/>
        <w:ind w:firstLine="0"/>
      </w:pPr>
      <w:r w:rsidRPr="0008481A">
        <w:t xml:space="preserve">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p>
    <w:p w:rsidR="003B3271" w:rsidRPr="0008481A" w:rsidRDefault="003B3271">
      <w:r w:rsidRPr="0008481A">
        <w:t>Anmälan remitterades därefter till Riksförsäkringsverket för yttrande över utformningen av blanketten för ansökan om förtidspension/sjukbidrag. Riks</w:t>
      </w:r>
      <w:r w:rsidRPr="0008481A">
        <w:softHyphen/>
        <w:t>försäkringsverket anförde genom överdirektören Ingrid Pettersson följande.</w:t>
      </w:r>
    </w:p>
    <w:p w:rsidR="003B3271" w:rsidRPr="0008481A" w:rsidRDefault="003B3271">
      <w:pPr>
        <w:pStyle w:val="Citat"/>
      </w:pPr>
      <w:r w:rsidRPr="0008481A">
        <w:t>RFV utgår ifrån att JO:s begäran om yttrande närmast är föranledd av det förhållandet att det inte finns skilda ansökningsblanketter för förtids</w:t>
      </w:r>
      <w:r w:rsidRPr="0008481A">
        <w:softHyphen/>
        <w:t>pension respektive sjukbidrag samt att den försäkrade på den av RFV fastställda ansökningsblanketten inte uppmanas ange om ansökan om pension avser förtidspension eller sjukbidrag.</w:t>
      </w:r>
    </w:p>
    <w:p w:rsidR="003B3271" w:rsidRPr="0008481A" w:rsidRDefault="003B3271">
      <w:pPr>
        <w:pStyle w:val="Citatindrag"/>
      </w:pPr>
      <w:r w:rsidRPr="0008481A">
        <w:t>Av 7 kap. 1 § och 13 kap. 1 § i lagen om allmän försäkring (AFL) framgår att en försäkrad har rätt till förtidspension om hans arbetsförmåga på grund av sjukdom eller annan nedsättning av den fysiska eller psykiska prestations</w:t>
      </w:r>
      <w:r w:rsidRPr="0008481A">
        <w:softHyphen/>
        <w:t>förmågan är nedsatt med minst en fjärdedel och nedsättningen kan anses varaktig.</w:t>
      </w:r>
    </w:p>
    <w:p w:rsidR="003B3271" w:rsidRPr="0008481A" w:rsidRDefault="003B3271">
      <w:pPr>
        <w:pStyle w:val="Citatindrag"/>
      </w:pPr>
      <w:r w:rsidRPr="0008481A">
        <w:t>Kan nedsättningen av arbetsförmågan inte anses varaktig men kan den antas bli bestående avsevärd tid har den försäkrade rätt till sjukbidrag. Sådant bidrag skall vara begränsat till viss tid. I övrigt skall gälla beträffande sjuk</w:t>
      </w:r>
      <w:r w:rsidRPr="0008481A">
        <w:softHyphen/>
        <w:t>bidrag vad som är föreskrivet om förtidspension enligt 7 kap. 1 § första stycket och 13 kap. 1 § första stycket AFL.</w:t>
      </w:r>
    </w:p>
    <w:p w:rsidR="003B3271" w:rsidRPr="0008481A" w:rsidRDefault="003B3271">
      <w:pPr>
        <w:pStyle w:val="Citatindrag"/>
      </w:pPr>
      <w:r w:rsidRPr="0008481A">
        <w:t>Försäkringskassans prövning skall vid ansökan enligt 16 kap. 1 § första stycket omfatta den försäkrades rätt till pensionsförmån i form av förtids</w:t>
      </w:r>
      <w:r w:rsidRPr="0008481A">
        <w:softHyphen/>
        <w:t>pension eller sjukbidrag, oavsett vad han/hon har framfört önskemål om i sin ansökan eller under försäkringskassans utredning.</w:t>
      </w:r>
    </w:p>
    <w:p w:rsidR="003B3271" w:rsidRPr="0008481A" w:rsidRDefault="003B3271">
      <w:pPr>
        <w:pStyle w:val="Citatindrag"/>
      </w:pPr>
      <w:r w:rsidRPr="0008481A">
        <w:t>Försäkringsöverdomstolen har i ett avgörande fastställt att någon frihet för försäkrade att välja om förmånen förtidspension skall utges som förtids</w:t>
      </w:r>
      <w:r w:rsidRPr="0008481A">
        <w:softHyphen/>
        <w:t>pension eller sjukbidrag inte föreligger enligt gällande bestämmelser. (FÖD:s dom 1981-08-12, mål nr 1051/80.) Den försäkrade ansågs inte kunna göra detta. FÖD anförde följande:</w:t>
      </w:r>
    </w:p>
    <w:tbl>
      <w:tblPr>
        <w:tblW w:w="0" w:type="auto"/>
        <w:tblInd w:w="142" w:type="dxa"/>
        <w:tblLayout w:type="fixed"/>
        <w:tblCellMar>
          <w:left w:w="70" w:type="dxa"/>
          <w:right w:w="70" w:type="dxa"/>
        </w:tblCellMar>
        <w:tblLook w:val="0000" w:firstRow="0" w:lastRow="0" w:firstColumn="0" w:lastColumn="0" w:noHBand="0" w:noVBand="0"/>
      </w:tblPr>
      <w:tblGrid>
        <w:gridCol w:w="5825"/>
      </w:tblGrid>
      <w:tr w:rsidR="00000000" w:rsidRPr="0008481A">
        <w:tblPrEx>
          <w:tblCellMar>
            <w:top w:w="0" w:type="dxa"/>
            <w:bottom w:w="0" w:type="dxa"/>
          </w:tblCellMar>
        </w:tblPrEx>
        <w:trPr>
          <w:trHeight w:val="2482"/>
        </w:trPr>
        <w:tc>
          <w:tcPr>
            <w:tcW w:w="5825" w:type="dxa"/>
          </w:tcPr>
          <w:p w:rsidR="003B3271" w:rsidRPr="0008481A" w:rsidRDefault="003B3271">
            <w:pPr>
              <w:pStyle w:val="Citatindrag"/>
              <w:spacing w:before="120"/>
              <w:ind w:firstLine="0"/>
            </w:pPr>
            <w:r w:rsidRPr="0008481A">
              <w:t>L:s ansökan i maj 1979 måste emellertid, trots att hon velat begränsa den till att gälla endast fortsatt sjukbidrag, anses utgöra en ansökan om förtids</w:t>
            </w:r>
            <w:r w:rsidRPr="0008481A">
              <w:softHyphen/>
              <w:t>pensionsförmån, på grund av vilken försäkringskassan vid bifall har att avgöra huruvida förmånen skall utges i form av förtidspension eller sjuk</w:t>
            </w:r>
            <w:r w:rsidRPr="0008481A">
              <w:softHyphen/>
              <w:t>bidrag. Någon frihet för sökanden att välja mellan nämnda båda förmåner anser försäkringsöverdomstolen alltså inte föreligga enligt gällande bestäm</w:t>
            </w:r>
            <w:r w:rsidRPr="0008481A">
              <w:softHyphen/>
              <w:t>melser. Domstolen antecknar för övrigt att motsatt ståndpunkt i ett fall som det förevarande skulle innebära, att den försäkrade skulle kunna hindra för</w:t>
            </w:r>
            <w:r w:rsidRPr="0008481A">
              <w:softHyphen/>
              <w:t>säkringskassan från att någonsin pröva frågan om förtidspension (</w:t>
            </w:r>
            <w:r w:rsidRPr="0008481A">
              <w:t>i stället för sjukbidrag), oavsett hur varaktig den försäkrades arbets</w:t>
            </w:r>
            <w:r w:rsidRPr="0008481A">
              <w:softHyphen/>
              <w:t>förmåga än är. Detta kan lagstiftaren inte antas ha avsett.</w:t>
            </w:r>
          </w:p>
        </w:tc>
      </w:tr>
    </w:tbl>
    <w:p w:rsidR="003B3271" w:rsidRPr="0008481A" w:rsidRDefault="003B3271">
      <w:pPr>
        <w:pStyle w:val="Citat"/>
      </w:pPr>
      <w:r w:rsidRPr="0008481A">
        <w:t>RFV har konstruerat blanketten för ansökan om förtidspensionsförmån (FKF 3030) efter FÖD:s ställningstagande i den aktuella frågan.</w:t>
      </w:r>
    </w:p>
    <w:p w:rsidR="003B3271" w:rsidRPr="0008481A" w:rsidRDefault="003B3271">
      <w:pPr>
        <w:pStyle w:val="Citatindrag"/>
      </w:pPr>
      <w:r w:rsidRPr="0008481A">
        <w:t>RFV anser att blankettens konstruktion inte står hindrande i vägen för försäkringskassan att pröva frågan om kommuniceringsskyldighet enligt för-valtningslagen (1986:223) i det enskilda fallet.</w:t>
      </w:r>
    </w:p>
    <w:p w:rsidR="003B3271" w:rsidRPr="0008481A" w:rsidRDefault="003B3271">
      <w:pPr>
        <w:pStyle w:val="Citatindrag"/>
      </w:pPr>
      <w:r w:rsidRPr="0008481A">
        <w:t>RFV vill härutöver tillägga att det inte är ovanligt att det av handlingarna eller på annat sätt framgår att den enskilde har begärt eller uttalat önskemål om vilken form av pensionsförmån han/hon vill ha. – – –</w:t>
      </w:r>
    </w:p>
    <w:p w:rsidR="003B3271" w:rsidRPr="0008481A" w:rsidRDefault="003B3271">
      <w:pPr>
        <w:pStyle w:val="Citatindrag"/>
      </w:pPr>
      <w:r w:rsidRPr="0008481A">
        <w:t>Om det förslag till beslut föredraganden i socialförsäkringsnämnden avser att lägga fram för nämnden går emot den försäkrades önskemål eller begäran, bör givetvis den försäkrade kommuniceras föredragningspromemorian med eventuella bilagor. Av föredragningspromemorian bör framgå föredrag</w:t>
      </w:r>
      <w:r w:rsidRPr="0008481A">
        <w:softHyphen/>
        <w:t>andens förslag till beslut med beslutsmotivering.</w:t>
      </w:r>
    </w:p>
    <w:p w:rsidR="003B3271" w:rsidRPr="0008481A" w:rsidRDefault="003B3271">
      <w:pPr>
        <w:pStyle w:val="Citatindrag"/>
      </w:pPr>
      <w:r w:rsidRPr="0008481A">
        <w:t>Upplysningsvis vill RFV nämna att verket för närvarande arbetar med att ta fram ett allmänt råd om försäkringskassornas tillämpning av förvaltnings</w:t>
      </w:r>
      <w:r w:rsidRPr="0008481A">
        <w:softHyphen/>
        <w:t>lagen. I rådet kommer de viktigaste och mest grundläggande reglerna i för</w:t>
      </w:r>
      <w:r w:rsidRPr="0008481A">
        <w:softHyphen/>
        <w:t>valtningslagen att behandlas, bl.a. kommuniceringsskyldigheten enligt nämnda lag.</w:t>
      </w:r>
    </w:p>
    <w:p w:rsidR="003B3271" w:rsidRPr="0008481A" w:rsidRDefault="003B3271">
      <w:pPr>
        <w:pStyle w:val="Citatindrag"/>
      </w:pPr>
      <w:r w:rsidRPr="0008481A">
        <w:t>Avslutningsvis vill RFV också informera om att försäkringarna inom ohälso</w:t>
      </w:r>
      <w:r w:rsidRPr="0008481A">
        <w:softHyphen/>
      </w:r>
      <w:r w:rsidRPr="0008481A">
        <w:softHyphen/>
        <w:t>området under de senaste åren varit föremål för en omfattande översyn. Frågan om att avskaffa sjukbidraget har bl.a. varit aktuell. Ärendet bereds för närvarande inom regeringskansliet.</w:t>
      </w:r>
    </w:p>
    <w:p w:rsidR="003B3271" w:rsidRPr="0008481A" w:rsidRDefault="003B3271">
      <w:r w:rsidRPr="0008481A">
        <w:t>R.M. kommenterade remissvaren.</w:t>
      </w:r>
    </w:p>
    <w:p w:rsidR="003B3271" w:rsidRPr="0008481A" w:rsidRDefault="003B3271">
      <w:r w:rsidRPr="0008481A">
        <w:rPr>
          <w:i/>
        </w:rPr>
        <w:t xml:space="preserve">JO Pennlöv </w:t>
      </w:r>
      <w:r w:rsidRPr="0008481A">
        <w:t>meddelade beslut i ärendet den 23 december 1999. I bedömningsdelen anförde han, såvitt avser ovan upptagna frågeställningar, följande.</w:t>
      </w:r>
    </w:p>
    <w:p w:rsidR="003B3271" w:rsidRPr="0008481A" w:rsidRDefault="003B3271">
      <w:pPr>
        <w:pStyle w:val="Normaltindrag"/>
      </w:pPr>
      <w:r w:rsidRPr="0008481A">
        <w:t>Enligt 17 § förvaltningslagen (1986:223) får ett ärende inte avgöras utan att den som är sökande, klagande eller annan part har underrättats om en uppgift som har tillförts ärendet genom någon annan än honom själv och han har fått tillfälle att yttra sig över den, om ärendet avser myndighetsutövning mot någon enskild. Undantag från huvudregeln kan ske bl.a. när det är uppen</w:t>
      </w:r>
      <w:r w:rsidRPr="0008481A">
        <w:softHyphen/>
        <w:t>bart att det inte är nödvändigt att kommunicera. Gynnande beslut, t.ex. bifall till en ansökan, kan fattas utan föregående kommunicering. Syftet med förvaltningslagens bestämmelser om kommunicering är att den försäkrade därigenom skall få kännedom om uppgifter som lämnats av andra och ges tillfälle att komma med egna synpunkter och bemöta eventuella felaktigheter.</w:t>
      </w:r>
    </w:p>
    <w:p w:rsidR="003B3271" w:rsidRPr="0008481A" w:rsidRDefault="003B3271">
      <w:pPr>
        <w:pStyle w:val="Normaltindrag"/>
      </w:pPr>
      <w:r w:rsidRPr="0008481A">
        <w:t>Förvaltningslagen representerar en minimistandard i fråga om hand</w:t>
      </w:r>
      <w:r w:rsidRPr="0008481A">
        <w:softHyphen/>
        <w:t>läggningen av förvaltningsärenden. Det förhållandet att 17 § av formella skäl inte är tillämplig i ett ärende får således inte uppfattas så att paragrafen saknar aktualitet. De skäl som ligger bakom kommunikationsprincipen kan tvärtom göra sig gällande med samma styrka. – Lagtexten i 17 § för</w:t>
      </w:r>
      <w:r w:rsidRPr="0008481A">
        <w:softHyphen/>
        <w:t>valtnings</w:t>
      </w:r>
      <w:r w:rsidRPr="0008481A">
        <w:softHyphen/>
        <w:t>lagen ger närmast vid handen att bestämmelsen endast reglerar det fallet att något finns att kommunicera och att parten därvid skall lämnas till</w:t>
      </w:r>
      <w:r w:rsidRPr="0008481A">
        <w:softHyphen/>
        <w:t>fälle att yttra sig över materialet. Det ligger därför i myndi</w:t>
      </w:r>
      <w:r w:rsidRPr="0008481A">
        <w:t>ghetens hand att avgöra i vad mån tillfälle skall lämnas parten att yttra sig också i det fall då något nytt material inte tillförts ärendet. Att generellt lämna parten tillfälle att yttra sig när myndighetens bedömning avviker från partens kan knappast komma i fråga. Å andra sidan kan emellertid kommunikation ibland vara att rekommendera, t.ex. för att undvika att myndighetens beslut annars kommer att bygga på ett ofullständigt eller missvisande underlag (se Hellners/Malmqvist, Nya förvaltningslagen, 5 upp</w:t>
      </w:r>
      <w:r w:rsidRPr="0008481A">
        <w:t xml:space="preserve">l., s. 166 och 175 f.). </w:t>
      </w:r>
    </w:p>
    <w:p w:rsidR="003B3271" w:rsidRPr="0008481A" w:rsidRDefault="003B3271">
      <w:pPr>
        <w:pStyle w:val="Normaltindrag"/>
      </w:pPr>
      <w:r w:rsidRPr="0008481A">
        <w:t>Försäkringskassan har uppgett att anledningen till att den inte kom</w:t>
      </w:r>
      <w:r w:rsidRPr="0008481A">
        <w:softHyphen/>
        <w:t>municerade R.M. föredragningspromemorian före socialförsäkrings</w:t>
      </w:r>
      <w:r w:rsidRPr="0008481A">
        <w:softHyphen/>
        <w:t>nämndens sammanträde var att försäkringskassan var av uppfattningen att förslaget till beslut inte gick honom emot. R.M. hade ansökt om förtids</w:t>
      </w:r>
      <w:r w:rsidRPr="0008481A">
        <w:softHyphen/>
        <w:t>pension/sjukbidrag utan att närmare ange att han i första hand avsåg att ansöka om förtidspension. Vidare hade det i ärendet endast inkommit material från R.M. själv. Ärendet hade således inte tillförts uppgifter från någon annan. Skäl för försäkringskassan att kommunicera uppgifterna som sådana förelå</w:t>
      </w:r>
      <w:r w:rsidRPr="0008481A">
        <w:t>g inte. Försäkringskassan har uppgett att den har som rutin att kommunicera förslag till beslut i alla ärenden i vilka det råder osäkerhet kring om förslaget går sökanden emot. Jag delar uppfattningen att det i tveksamma fall är bättre att kommunicera parten beslutsunderlaget än att underlåta kommunicering. När det gäller beslut om sjukbidrag eller förtids</w:t>
      </w:r>
      <w:r w:rsidRPr="0008481A">
        <w:softHyphen/>
        <w:t>pension är det många gånger svårt att avgöra om beslutet är helt gynnande eller inte för den försäkrade. Beroende på den enskildes situation kan valet av</w:t>
      </w:r>
      <w:r w:rsidRPr="0008481A">
        <w:t xml:space="preserve"> pensionsförmån av den enskilde uppfattas på olika sätt med hänsyn bl.a. till att sjukbidrag är en tidsbestämd pensionsförmån och till pensions</w:t>
      </w:r>
      <w:r w:rsidRPr="0008481A">
        <w:softHyphen/>
        <w:t>förmånens betydelse för ett anställningsförhållande. Enligt min mening bör därför den försäkrade ges möjlighet att ta del av kassans beslutsförslag, även om försäkringskassan självständigt har att pröva om den försäkrade skall tillerkännas sjukbidrag eller förtidspension.</w:t>
      </w:r>
    </w:p>
    <w:p w:rsidR="003B3271" w:rsidRPr="0008481A" w:rsidRDefault="003B3271">
      <w:pPr>
        <w:pStyle w:val="Rubrik4"/>
      </w:pPr>
      <w:r w:rsidRPr="0008481A">
        <w:t>Utformning av blankett för ansökan om förtidspension/sjukbidrag</w:t>
      </w:r>
    </w:p>
    <w:p w:rsidR="003B3271" w:rsidRPr="0008481A" w:rsidRDefault="003B3271">
      <w:r w:rsidRPr="0008481A">
        <w:t>Riksförsäkringsverket har i sitt remissvar redogjort för en dom av För</w:t>
      </w:r>
      <w:r w:rsidRPr="0008481A">
        <w:softHyphen/>
        <w:t>säkrings</w:t>
      </w:r>
      <w:r w:rsidRPr="0008481A">
        <w:softHyphen/>
        <w:t>överdomstolen, vari domstolen fastställer att mot bakgrund av gällande regler kan den som ansöker om pensionsförmån inte välja om han vill ha sjukbidrag eller förtidspension. Riksförsäkringsverket har utformat blanketten därefter. Jag delar Riksförsäkringsverkets uppfattning att oavsett blankettens utformning bör försäkringskassan utifrån förvaltningslagens regler pröva om den skall kommunicera den försäkrade innan beslut fattas.</w:t>
      </w:r>
    </w:p>
    <w:p w:rsidR="003B3271" w:rsidRPr="0008481A" w:rsidRDefault="003B3271">
      <w:pPr>
        <w:pStyle w:val="Rubrik2"/>
      </w:pPr>
      <w:r w:rsidRPr="0008481A">
        <w:t>Initiativärende angående ansökningar om fö</w:t>
      </w:r>
      <w:r w:rsidRPr="0008481A">
        <w:t>r</w:t>
      </w:r>
      <w:r w:rsidRPr="0008481A">
        <w:t>längt underhållsstöd som undertecknats enbart av underåriga</w:t>
      </w:r>
    </w:p>
    <w:p w:rsidR="003B3271" w:rsidRPr="0008481A" w:rsidRDefault="003B3271">
      <w:r w:rsidRPr="0008481A">
        <w:t>(Dnr 723-1999)</w:t>
      </w:r>
    </w:p>
    <w:p w:rsidR="003B3271" w:rsidRPr="0008481A" w:rsidRDefault="003B3271">
      <w:pPr>
        <w:pStyle w:val="Rubrik3"/>
      </w:pPr>
      <w:r w:rsidRPr="0008481A">
        <w:t>Initiativet</w:t>
      </w:r>
    </w:p>
    <w:p w:rsidR="003B3271" w:rsidRPr="0008481A" w:rsidRDefault="003B3271">
      <w:r w:rsidRPr="0008481A">
        <w:rPr>
          <w:i/>
        </w:rPr>
        <w:t xml:space="preserve">JO Pennlöv </w:t>
      </w:r>
      <w:r w:rsidRPr="0008481A">
        <w:t>inspekterade den 10–12 november 1998 Västerbottens läns allmänna försäkringskassa (dnr 4284-1998). Vid inspektionen granskade han bl.a. ärenden om förlängt unde</w:t>
      </w:r>
      <w:r w:rsidRPr="0008481A">
        <w:t>r</w:t>
      </w:r>
      <w:r w:rsidRPr="0008481A">
        <w:t>hållsstöd enligt lagen (1996:1030) om under</w:t>
      </w:r>
      <w:r w:rsidRPr="0008481A">
        <w:softHyphen/>
        <w:t>hålls</w:t>
      </w:r>
      <w:r w:rsidRPr="0008481A">
        <w:softHyphen/>
        <w:t xml:space="preserve">stöd (USL). Vid granskningen uppmärksammades att försäkringskassan </w:t>
      </w:r>
      <w:r w:rsidRPr="0008481A">
        <w:rPr>
          <w:rFonts w:ascii="Garamond" w:hAnsi="Garamond"/>
        </w:rPr>
        <w:t>–</w:t>
      </w:r>
      <w:r w:rsidRPr="0008481A">
        <w:t xml:space="preserve"> i enlighet med Riksförsäkringsverkets rekommendationer </w:t>
      </w:r>
      <w:r w:rsidRPr="0008481A">
        <w:rPr>
          <w:rFonts w:ascii="Garamond" w:hAnsi="Garamond"/>
        </w:rPr>
        <w:t>–</w:t>
      </w:r>
      <w:r w:rsidRPr="0008481A">
        <w:t xml:space="preserve"> godtog an</w:t>
      </w:r>
      <w:r w:rsidRPr="0008481A">
        <w:softHyphen/>
        <w:t>sökningar om förlängt underhållsstöd som unde</w:t>
      </w:r>
      <w:r w:rsidRPr="0008481A">
        <w:t>r</w:t>
      </w:r>
      <w:r w:rsidRPr="0008481A">
        <w:t>tecknats enbart av en alltjämt underårig. JO Pennlöv beslutade att inom ramen för ett init</w:t>
      </w:r>
      <w:r w:rsidRPr="0008481A">
        <w:t>i</w:t>
      </w:r>
      <w:r w:rsidRPr="0008481A">
        <w:t>ativ</w:t>
      </w:r>
      <w:r w:rsidRPr="0008481A">
        <w:softHyphen/>
        <w:t>ärende utreda den rätts</w:t>
      </w:r>
      <w:r w:rsidRPr="0008481A">
        <w:t>liga grunden för det aktuella förfarandet och för Rik</w:t>
      </w:r>
      <w:r w:rsidRPr="0008481A">
        <w:t>s</w:t>
      </w:r>
      <w:r w:rsidRPr="0008481A">
        <w:t>försäkringsverkets rekommend</w:t>
      </w:r>
      <w:r w:rsidRPr="0008481A">
        <w:t>a</w:t>
      </w:r>
      <w:r w:rsidRPr="0008481A">
        <w:t>tion.</w:t>
      </w:r>
    </w:p>
    <w:p w:rsidR="003B3271" w:rsidRPr="0008481A" w:rsidRDefault="003B3271">
      <w:pPr>
        <w:pStyle w:val="Normaltindrag"/>
      </w:pPr>
      <w:r w:rsidRPr="0008481A">
        <w:t>Föredraganden i ärendet upprättade en promemoria med i huvudsak följande l</w:t>
      </w:r>
      <w:r w:rsidRPr="0008481A">
        <w:t>y</w:t>
      </w:r>
      <w:r w:rsidRPr="0008481A">
        <w:t>delse.</w:t>
      </w:r>
    </w:p>
    <w:p w:rsidR="003B3271" w:rsidRPr="0008481A" w:rsidRDefault="003B3271">
      <w:pPr>
        <w:pStyle w:val="Citat"/>
      </w:pPr>
      <w:r w:rsidRPr="0008481A">
        <w:t>Vid granskningen uppmärksammades att försäkringskassan hade accepterat ansökningar som endast var underskrivna av en alltjämt underårig. JO u</w:t>
      </w:r>
      <w:r w:rsidRPr="0008481A">
        <w:t>n</w:t>
      </w:r>
      <w:r w:rsidRPr="0008481A">
        <w:t>derströk att kassan därvid hade följt Riksförsäkringsverkets allmänna råd på området (1996:15 s. 38 [numera 1999:2 s. 45]) och därmed inte kunde kritiseras för detta förfaringssätt. I de allmänna råden rekommenderar Rik</w:t>
      </w:r>
      <w:r w:rsidRPr="0008481A">
        <w:t>s</w:t>
      </w:r>
      <w:r w:rsidRPr="0008481A">
        <w:softHyphen/>
        <w:t>försäkringsverket att försäkringskassan, för att undvika uppehåll i ut</w:t>
      </w:r>
      <w:r w:rsidRPr="0008481A">
        <w:softHyphen/>
        <w:t>beta</w:t>
      </w:r>
      <w:r w:rsidRPr="0008481A">
        <w:t>l</w:t>
      </w:r>
      <w:r w:rsidRPr="0008481A">
        <w:t>ningen, godtar en ansökan om förlängt underhållsstöd som en studerande har gjort i anslutning till 18-årsdagen även om sökanden vid ansökningstil</w:t>
      </w:r>
      <w:r w:rsidRPr="0008481A">
        <w:t>l</w:t>
      </w:r>
      <w:r w:rsidRPr="0008481A">
        <w:t>fället inte har fyllt 18 år. I anledning härav uppkom frågan om denn</w:t>
      </w:r>
      <w:r w:rsidRPr="0008481A">
        <w:t>a r</w:t>
      </w:r>
      <w:r w:rsidRPr="0008481A">
        <w:t>e</w:t>
      </w:r>
      <w:r w:rsidRPr="0008481A">
        <w:t>kommendation står i överensstämmelse med föräldrabalkens regler om omyndighet.</w:t>
      </w:r>
    </w:p>
    <w:p w:rsidR="003B3271" w:rsidRPr="0008481A" w:rsidRDefault="003B3271">
      <w:pPr>
        <w:pStyle w:val="Citatindrag"/>
      </w:pPr>
      <w:r w:rsidRPr="0008481A">
        <w:t>Enligt 7 § första stycket USL har ett barn rätt till förlängt underhållsstöd, om barnet går i skolan när han eller hon fyller 18 år eller återupptar sko</w:t>
      </w:r>
      <w:r w:rsidRPr="0008481A">
        <w:t>l</w:t>
      </w:r>
      <w:r w:rsidRPr="0008481A">
        <w:t>gången innan han eller hon fyller 19 år. Förlängt underhållsstöd lämnas så länge barnet bedriver studier som ger rätt till förlängt barnbidrag enligt lagen (1986:378) om förlängt barnbidrag eller studiehjälp enligt 3 kap. studiestödslagen (1973:349), dock längst till och med juni det år då barnet fy</w:t>
      </w:r>
      <w:r w:rsidRPr="0008481A">
        <w:t>l</w:t>
      </w:r>
      <w:r w:rsidRPr="0008481A">
        <w:t>ler 20 år.</w:t>
      </w:r>
    </w:p>
    <w:p w:rsidR="003B3271" w:rsidRPr="0008481A" w:rsidRDefault="003B3271">
      <w:pPr>
        <w:pStyle w:val="Citatindrag"/>
      </w:pPr>
      <w:r w:rsidRPr="0008481A">
        <w:t>Enligt 12 § första stycket sista meningen USL skall ansökan om förlängt underhållsstöd göras av den studerande. Enligt bestämmelsens andra stycke skall en ansökan innehålla nödvändiga upplysningar fö</w:t>
      </w:r>
      <w:r w:rsidRPr="0008481A">
        <w:t>r bedömnin</w:t>
      </w:r>
      <w:r w:rsidRPr="0008481A">
        <w:t>g</w:t>
      </w:r>
      <w:r w:rsidRPr="0008481A">
        <w:t>en av barnets rätt till stöd och en försäkran på heder och samvete att de lä</w:t>
      </w:r>
      <w:r w:rsidRPr="0008481A">
        <w:t>m</w:t>
      </w:r>
      <w:r w:rsidRPr="0008481A">
        <w:t>nade uppgifterna är riktiga.</w:t>
      </w:r>
    </w:p>
    <w:p w:rsidR="003B3271" w:rsidRPr="0008481A" w:rsidRDefault="003B3271">
      <w:pPr>
        <w:pStyle w:val="Citatindrag"/>
      </w:pPr>
      <w:r w:rsidRPr="0008481A">
        <w:t>Av 17 § andra stycket USL framgår att förlängt underhållsstöd betalas ut till den studerande.</w:t>
      </w:r>
    </w:p>
    <w:p w:rsidR="003B3271" w:rsidRPr="0008481A" w:rsidRDefault="003B3271">
      <w:pPr>
        <w:pStyle w:val="Citatindrag"/>
      </w:pPr>
      <w:r w:rsidRPr="0008481A">
        <w:t>Har underhållsstöd lämnats felaktigt eller med för högt belopp, skall försä</w:t>
      </w:r>
      <w:r w:rsidRPr="0008481A">
        <w:t>k</w:t>
      </w:r>
      <w:r w:rsidRPr="0008481A">
        <w:t>ringskassan enligt 20 § första stycket USL besluta om återkrav av beloppet från den som det har betalats ut till.</w:t>
      </w:r>
    </w:p>
    <w:p w:rsidR="003B3271" w:rsidRPr="0008481A" w:rsidRDefault="003B3271">
      <w:pPr>
        <w:pStyle w:val="Citatindrag"/>
      </w:pPr>
      <w:r w:rsidRPr="0008481A">
        <w:t>Enligt 9 kap. 1 § föräldrabalken är den som är under arton år (underårig) omyndig och får inte själv råda över sin egendom eller åta sig förbindelser i vidare mån än vad som följer av vad som skall gälla på grund av lag eller villkor vid förvärv genom gåva, testamente eller förmånstagarförordnande vid försäkring eller pensionssparande enligt lagen (1993:931) om individ</w:t>
      </w:r>
      <w:r w:rsidRPr="0008481A">
        <w:t>u</w:t>
      </w:r>
      <w:r w:rsidRPr="0008481A">
        <w:t>ellt pensionssparande.</w:t>
      </w:r>
    </w:p>
    <w:p w:rsidR="003B3271" w:rsidRPr="0008481A" w:rsidRDefault="003B3271">
      <w:pPr>
        <w:pStyle w:val="Citatindrag"/>
      </w:pPr>
      <w:r w:rsidRPr="0008481A">
        <w:t>Riksförsäkringsverket bör mot bakgrund av de ovan nämnda reglerna yttra sig över den rättsliga grunden för det aktuella förfarandet och för den akt</w:t>
      </w:r>
      <w:r w:rsidRPr="0008481A">
        <w:t>u</w:t>
      </w:r>
      <w:r w:rsidRPr="0008481A">
        <w:t>ella rekommendationen samt de eventuella rättsliga frågeställningar som kan uppkomma, t.ex. i en återkravssituation enligt 20 § USL, där ansökan är gjord av en underårig.</w:t>
      </w:r>
    </w:p>
    <w:p w:rsidR="003B3271" w:rsidRPr="0008481A" w:rsidRDefault="003B3271">
      <w:pPr>
        <w:pStyle w:val="Rubrik3"/>
      </w:pPr>
      <w:r w:rsidRPr="0008481A">
        <w:t>Utredning</w:t>
      </w:r>
    </w:p>
    <w:p w:rsidR="003B3271" w:rsidRPr="0008481A" w:rsidRDefault="003B3271">
      <w:r w:rsidRPr="0008481A">
        <w:t>Ärendet remitterades till Riksförsäkringsverket för yttrande över vad som fra</w:t>
      </w:r>
      <w:r w:rsidRPr="0008481A">
        <w:t>m</w:t>
      </w:r>
      <w:r w:rsidRPr="0008481A">
        <w:t>förts i promemorian. Verket anförde genom överdirektören Ingrid Petersson fö</w:t>
      </w:r>
      <w:r w:rsidRPr="0008481A">
        <w:t>l</w:t>
      </w:r>
      <w:r w:rsidRPr="0008481A">
        <w:t>jande (yttrandet återges här inte i dess helhet).</w:t>
      </w:r>
    </w:p>
    <w:p w:rsidR="003B3271" w:rsidRPr="0008481A" w:rsidRDefault="003B3271">
      <w:r w:rsidRPr="0008481A">
        <w:rPr>
          <w:rFonts w:ascii="Garamond" w:hAnsi="Garamond"/>
        </w:rPr>
        <w:t>– – –</w:t>
      </w:r>
    </w:p>
    <w:p w:rsidR="003B3271" w:rsidRPr="0008481A" w:rsidRDefault="003B3271">
      <w:pPr>
        <w:pStyle w:val="Citat"/>
      </w:pPr>
      <w:r w:rsidRPr="0008481A">
        <w:t>Bestämmelser om föräldrars underhållsskyldighet gentemot sina barn finns i 7 kap. föräldrabalken. Föräldrars underhållsskyldighet upphör vid 18 års ålder. Går barnet i skolan vid den tidpunkten eller återupptar barnet sko</w:t>
      </w:r>
      <w:r w:rsidRPr="0008481A">
        <w:t>l</w:t>
      </w:r>
      <w:r w:rsidRPr="0008481A">
        <w:t>gången före 19 års ålder är föräldrarna underhållsskyldiga så länge sko</w:t>
      </w:r>
      <w:r w:rsidRPr="0008481A">
        <w:t>l</w:t>
      </w:r>
      <w:r w:rsidRPr="0008481A">
        <w:t>gången pågår, dock längst till dess barnet fyller 21 år.</w:t>
      </w:r>
    </w:p>
    <w:p w:rsidR="003B3271" w:rsidRPr="0008481A" w:rsidRDefault="003B3271">
      <w:pPr>
        <w:pStyle w:val="Citatindrag"/>
      </w:pPr>
      <w:r w:rsidRPr="0008481A">
        <w:t>RFV anser följaktligen att det förlängda underhållsstödet är en allmän e</w:t>
      </w:r>
      <w:r w:rsidRPr="0008481A">
        <w:t>r</w:t>
      </w:r>
      <w:r w:rsidRPr="0008481A">
        <w:t>sättning som den studerande i vissa angivna situationer i USL har rätt till och som träder istället för förälders underhållsskyldighet samt att en unde</w:t>
      </w:r>
      <w:r w:rsidRPr="0008481A">
        <w:t>r</w:t>
      </w:r>
      <w:r w:rsidRPr="0008481A">
        <w:t>årig studerande har förmåga att på egen hand förvärva (ansöka om) förlängt underhållsstöd i nära anslutning till 18-årsdagen. Detta innebär att den akt</w:t>
      </w:r>
      <w:r w:rsidRPr="0008481A">
        <w:t>u</w:t>
      </w:r>
      <w:r w:rsidRPr="0008481A">
        <w:t>ella rekommendationen i RFV:s allmänna råd inte skulle stå i strid med fö</w:t>
      </w:r>
      <w:r w:rsidRPr="0008481A">
        <w:t>r</w:t>
      </w:r>
      <w:r w:rsidRPr="0008481A">
        <w:t>äl</w:t>
      </w:r>
      <w:r w:rsidRPr="0008481A">
        <w:t>d</w:t>
      </w:r>
      <w:r w:rsidRPr="0008481A">
        <w:t>rabalkens bestämmelser om underårigs omyndighet.</w:t>
      </w:r>
    </w:p>
    <w:p w:rsidR="003B3271" w:rsidRPr="0008481A" w:rsidRDefault="003B3271">
      <w:pPr>
        <w:pStyle w:val="Citatindrag"/>
      </w:pPr>
      <w:r w:rsidRPr="0008481A">
        <w:t>Det finns emellertid en annan bestämmelse i USL som komplicerar den juridiska bed</w:t>
      </w:r>
      <w:r w:rsidRPr="0008481A">
        <w:t>ömningen av denna fråga ytterligare. Detta framgår också av JO:s promemoria enligt vilken JO även vill ha RFV:s yttrande över de rätt</w:t>
      </w:r>
      <w:r w:rsidRPr="0008481A">
        <w:t>s</w:t>
      </w:r>
      <w:r w:rsidRPr="0008481A">
        <w:t>liga frågeställningar som kan uppkomma t.ex. i en återkravssituation enligt 20 § USL, där ansökan är gjord av en underårig. I 20 § första stycket USL anges nämligen bl.a. att har underhållsstöd lämnats felaktigt eller med för högt belopp, skall försäkringskassan besluta om återkrav av beloppet från den som det har betalats ut till.</w:t>
      </w:r>
    </w:p>
    <w:p w:rsidR="003B3271" w:rsidRPr="0008481A" w:rsidRDefault="003B3271">
      <w:pPr>
        <w:pStyle w:val="Citatindrag"/>
      </w:pPr>
      <w:r w:rsidRPr="0008481A">
        <w:t>Som tidigare har nämnts hindrar inte stadgan</w:t>
      </w:r>
      <w:r w:rsidRPr="0008481A">
        <w:t>det i 9 kap. 1 § föräldrabalken den underårige från att på egen hand förvärva rättigheter och det finns inte anledning att hindra honom från att medverka till rättshandlingar som ut</w:t>
      </w:r>
      <w:r w:rsidRPr="0008481A">
        <w:t>e</w:t>
      </w:r>
      <w:r w:rsidRPr="0008481A">
        <w:t>slutande är till hans fördel. Gösta Walin utvecklar detta ytterligare i sin</w:t>
      </w:r>
      <w:r w:rsidRPr="0008481A">
        <w:br/>
        <w:t xml:space="preserve">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r w:rsidRPr="0008481A">
        <w:t xml:space="preserve"> bok, s. 315, där han bl.a. säger att det skall vara fråga om en ren förvärvsakt, vid vars ingående varje ekonomisk risk för den omyndige pra</w:t>
      </w:r>
      <w:r w:rsidRPr="0008481A">
        <w:t>k</w:t>
      </w:r>
      <w:r w:rsidRPr="0008481A">
        <w:t>tiskt taget framstår som utesluten. Den omyndige är sålunda, enligt Walin, inte behörig att sluta avtal om</w:t>
      </w:r>
      <w:r w:rsidRPr="0008481A">
        <w:t xml:space="preserve"> förvärv av egendom mot vederlag, även en sådan transaktion kan, enligt Walin, lätt bli till den omyndiges skada, om han förslösar den förvärvade egendomen eller ådrar sig skade</w:t>
      </w:r>
      <w:r w:rsidRPr="0008481A">
        <w:softHyphen/>
        <w:t>ståndsskyldi</w:t>
      </w:r>
      <w:r w:rsidRPr="0008481A">
        <w:t>g</w:t>
      </w:r>
      <w:r w:rsidRPr="0008481A">
        <w:t>het på grund av kontraktsbrott.</w:t>
      </w:r>
    </w:p>
    <w:p w:rsidR="003B3271" w:rsidRPr="0008481A" w:rsidRDefault="003B3271">
      <w:pPr>
        <w:pStyle w:val="Citatindrag"/>
      </w:pPr>
      <w:r w:rsidRPr="0008481A">
        <w:t>Förlängt underhållsstöd är en rättighetsbaserad ersättning som i och för sig i vissa situationer kan leda till återbetalningsskyldighet för den studerande men detta allmänna stöd är enligt RFV:s mening inte jämförbart med den typ av privatekonomiska avtal med risker som Gösta Walin beskri</w:t>
      </w:r>
      <w:r w:rsidRPr="0008481A">
        <w:t>ver ovan.</w:t>
      </w:r>
    </w:p>
    <w:p w:rsidR="003B3271" w:rsidRPr="0008481A" w:rsidRDefault="003B3271">
      <w:pPr>
        <w:pStyle w:val="Citatindrag"/>
      </w:pPr>
      <w:r w:rsidRPr="0008481A">
        <w:t>Vidare kan nämnas att ingen utbetalning av förlängt underhållsstöd görs till den bidragsberättigade förrän han fyllt 18 år och möjligheten till eventuellt återkrav är inte beroende av att oriktiga uppgifter lämnats eller att den som mottagit stödet skäligen borde ha insett att det var en felaktig utbetalning. Det föreligger istället en strikt skyldighet att betala tillbaka underhållsstödet i de fall stödet lämnats felaktigt eller med för högt belopp. Dessutom anges i beslutet om förlängt underhåll</w:t>
      </w:r>
      <w:r w:rsidRPr="0008481A">
        <w:t>sstöd under rubriken Allmänna upplysningar att ”om du får underhållsstöd felaktigt eller med för högt belopp är du sky</w:t>
      </w:r>
      <w:r w:rsidRPr="0008481A">
        <w:t>l</w:t>
      </w:r>
      <w:r w:rsidRPr="0008481A">
        <w:t>dig att återbetala det som du fått för mycket”.</w:t>
      </w:r>
    </w:p>
    <w:p w:rsidR="003B3271" w:rsidRPr="0008481A" w:rsidRDefault="003B3271">
      <w:pPr>
        <w:pStyle w:val="Citatindrag"/>
      </w:pPr>
      <w:r w:rsidRPr="0008481A">
        <w:t>RFV anser därför att bestämmelsen om återkrav enligt 20 § USL inte me</w:t>
      </w:r>
      <w:r w:rsidRPr="0008481A">
        <w:t>d</w:t>
      </w:r>
      <w:r w:rsidRPr="0008481A">
        <w:t>för att den aktuella rekommendationen i RFV:s allmänna råd skulle stå i strid med föräldrabalkens bestämmelser om underårigs omyndighet. En underårig studerande har därmed förmåga att på egen hand förvärva (ansöka om) förlängt underhållsstöd i nära anslutning till 18-årsdagen.</w:t>
      </w:r>
    </w:p>
    <w:p w:rsidR="003B3271" w:rsidRPr="0008481A" w:rsidRDefault="003B3271">
      <w:r w:rsidRPr="0008481A">
        <w:t xml:space="preserve">I sitt beslut den 13 april 2000 uttalade </w:t>
      </w:r>
      <w:r w:rsidRPr="0008481A">
        <w:rPr>
          <w:i/>
        </w:rPr>
        <w:t xml:space="preserve">JO Pennlöv </w:t>
      </w:r>
      <w:r w:rsidRPr="0008481A">
        <w:t>följande.</w:t>
      </w:r>
    </w:p>
    <w:p w:rsidR="003B3271" w:rsidRPr="0008481A" w:rsidRDefault="003B3271">
      <w:pPr>
        <w:pStyle w:val="Rubrik3"/>
      </w:pPr>
      <w:r w:rsidRPr="0008481A">
        <w:t>Bedömning</w:t>
      </w:r>
    </w:p>
    <w:p w:rsidR="003B3271" w:rsidRPr="0008481A" w:rsidRDefault="003B3271">
      <w:r w:rsidRPr="0008481A">
        <w:t>Av 9 kap. 1 § föräldrabalken framgår att den som är under 18 år är omyndig (u</w:t>
      </w:r>
      <w:r w:rsidRPr="0008481A">
        <w:t>n</w:t>
      </w:r>
      <w:r w:rsidRPr="0008481A">
        <w:t>derårig) och enligt huvudregeln inte får råda över sin egendom eller åta sig fö</w:t>
      </w:r>
      <w:r w:rsidRPr="0008481A">
        <w:t>r</w:t>
      </w:r>
      <w:r w:rsidRPr="0008481A">
        <w:t>bindelser. En underårig saknar således full rättshandlingsförmåga. Inom proces</w:t>
      </w:r>
      <w:r w:rsidRPr="0008481A">
        <w:t>s</w:t>
      </w:r>
      <w:r w:rsidRPr="0008481A">
        <w:t>rätten har begreppet rättshandlingsförmåga sin motsvarighet i begreppet proces</w:t>
      </w:r>
      <w:r w:rsidRPr="0008481A">
        <w:t>s</w:t>
      </w:r>
      <w:r w:rsidRPr="0008481A">
        <w:t>habilitet eller processbehörighet, som innebär förmågan att själv utföra sin talan i en domstolsprocess. Det råder korrespondens mellan processbehörighet och rätt</w:t>
      </w:r>
      <w:r w:rsidRPr="0008481A">
        <w:t>s</w:t>
      </w:r>
      <w:r w:rsidRPr="0008481A">
        <w:t>handlingsförmåga på så sätt att en part normalt är processbehörig endast i den mån han civilrättsligt kan förf</w:t>
      </w:r>
      <w:r w:rsidRPr="0008481A">
        <w:t>oga över det som processen rör sig om (se Ekelöf, Rätt</w:t>
      </w:r>
      <w:r w:rsidRPr="0008481A">
        <w:t>e</w:t>
      </w:r>
      <w:r w:rsidRPr="0008481A">
        <w:t>gång, Andra häftet, 8 uppl, s. 51).</w:t>
      </w:r>
    </w:p>
    <w:p w:rsidR="003B3271" w:rsidRPr="0008481A" w:rsidRDefault="003B3271">
      <w:pPr>
        <w:pStyle w:val="Normaltindrag"/>
      </w:pPr>
      <w:r w:rsidRPr="0008481A">
        <w:t>Regleringen om underårigs bristande rättshandlingsförmåga och process</w:t>
      </w:r>
      <w:r w:rsidRPr="0008481A">
        <w:softHyphen/>
        <w:t>behöri</w:t>
      </w:r>
      <w:r w:rsidRPr="0008481A">
        <w:t>g</w:t>
      </w:r>
      <w:r w:rsidRPr="0008481A">
        <w:t>het syftar till att skydda den omyndige mot följderna av ekonomiskt ofördelaktiga rättshandlingar. Från denna synpunkt föreligger, enligt Walin, inte anledning att hindra en underårig från att medverka till rättshandlingar som uteslutande är till hans fördel. Det skall i sådant fall, enligt Walin, vara fråga om en ren förvärvsakt, vid vars ingående varje ekonomisk risk för den omyndige praktiskt taget framstår som utesluten (se hänvisning till Walin i RFV:s remissvar ovan). Som framgår ovan under ru</w:t>
      </w:r>
      <w:r w:rsidRPr="0008481A">
        <w:t>briken Initiativet skall en ansökan om förlängt underhåll</w:t>
      </w:r>
      <w:r w:rsidRPr="0008481A">
        <w:t>s</w:t>
      </w:r>
      <w:r w:rsidRPr="0008481A">
        <w:t>stöd innehålla nödvändiga upp</w:t>
      </w:r>
      <w:r w:rsidRPr="0008481A">
        <w:softHyphen/>
        <w:t>lysningar för bedömningen av barnets rätt till stöd och en försäkran på heder och samvete att de lämnade uppgifterna är riktiga. Om en uppgift i ansökan angående t.ex. barnets skolgång senare visar sig vara felaktig kan betalningskrav komma att riktas mot den som har erhållit förlängt underhåll</w:t>
      </w:r>
      <w:r w:rsidRPr="0008481A">
        <w:t>s</w:t>
      </w:r>
      <w:r w:rsidRPr="0008481A">
        <w:t>stöd. Ett sådant krav grundar sig alltså på uppgifter som är lämnade i ansökan. En ansökan om förlängt underhållsstöd kan därmed</w:t>
      </w:r>
      <w:r w:rsidRPr="0008481A">
        <w:t xml:space="preserve"> enligt min mening inte anses vara så fri från ekonomisk risk att en underårig av den anledningen skulle vara behörig att själv ansöka om stödet.</w:t>
      </w:r>
    </w:p>
    <w:p w:rsidR="003B3271" w:rsidRPr="0008481A" w:rsidRDefault="003B3271">
      <w:pPr>
        <w:pStyle w:val="Normaltindrag"/>
      </w:pPr>
      <w:r w:rsidRPr="0008481A">
        <w:t>I föräldrabalken finns en rad undantag från huvudregeln i 9 kap. 1 §. Sålunda har t.ex. en underårig enligt 9 kap. 3 § första stycket föräldrabalken rätt att själv råda över egendom, som han själv förvärvat genom eget arbete efter fyllda 16 år. De</w:t>
      </w:r>
      <w:r w:rsidRPr="0008481A">
        <w:t>t</w:t>
      </w:r>
      <w:r w:rsidRPr="0008481A">
        <w:t>samma gäller avkastningen av sådan egendom och vad som trätt i egendomens ställe. Härav följer att en omyndig även har rätt att själv föra sin talan i en process rörande sådan egendom. Dessa undantag i 9 kap. föräldrabalken kan dock enligt min mening inte åberopas som stöd för att en underårig skulle vara behörig att själv ansöka om förlängt u</w:t>
      </w:r>
      <w:r w:rsidRPr="0008481A">
        <w:t>n</w:t>
      </w:r>
      <w:r w:rsidRPr="0008481A">
        <w:t>derhållsstöd.</w:t>
      </w:r>
    </w:p>
    <w:p w:rsidR="003B3271" w:rsidRPr="0008481A" w:rsidRDefault="003B3271">
      <w:pPr>
        <w:pStyle w:val="Normaltindrag"/>
      </w:pPr>
      <w:r w:rsidRPr="0008481A">
        <w:t>I USL finns inte heller på det sätt som avses i 9 kap. 1 § föräldrabalken någon direkt föreskrift som ger stöd för uppfattningen att omyndig skulle kun</w:t>
      </w:r>
      <w:r w:rsidRPr="0008481A">
        <w:t>na ansöka om förlängt underhållsstöd. Bestämmelsen att förlängt underhållsstöd skall sökas av den studerande ger inte vägledning i den nu aktuella frågan.</w:t>
      </w:r>
    </w:p>
    <w:p w:rsidR="003B3271" w:rsidRPr="0008481A" w:rsidRDefault="003B3271">
      <w:pPr>
        <w:pStyle w:val="Normaltindrag"/>
      </w:pPr>
      <w:r w:rsidRPr="0008481A">
        <w:t>Inom förvaltningsrätten gäller enligt vanliga förvaltningsprocessuella regler att en förälder normalt företräder sitt barn som ställföreträdare med stöd av föräldraba</w:t>
      </w:r>
      <w:r w:rsidRPr="0008481A">
        <w:t>l</w:t>
      </w:r>
      <w:r w:rsidRPr="0008481A">
        <w:t>kens regler om vårdnad när det gäller barnets personliga angelägenheter och om förmynderskap när det gäller andra angelägenheter än som rör barnets person. Detta gäller så länge barnet är omyndigt, dvs. till dess barnet har fyllt 18 år. Från dessa regler har undantag gjorts i viss lagstiftning, se t.ex. 56 § socialtjänstlagen (1980:620) och 36 § lagen (1990:52) med särskilda bestämmelser om vård av unga, där barn som har fyllt 15 år har givits rätt att själv föra sin talan. Den nu angivna lagstiftningen gä</w:t>
      </w:r>
      <w:r w:rsidRPr="0008481A">
        <w:t>ller dock främst omyndigs personliga förhållanden.</w:t>
      </w:r>
    </w:p>
    <w:p w:rsidR="003B3271" w:rsidRPr="0008481A" w:rsidRDefault="003B3271">
      <w:pPr>
        <w:pStyle w:val="Normaltindrag"/>
      </w:pPr>
      <w:r w:rsidRPr="0008481A">
        <w:t>I viss lagstiftning anges i texten att underårig företräds av sin förmyndare. Så är t.ex. fallet enligt 3 § kungörelsen (1962:394) med vissa bestämmelser rörande ansökan om pension enligt lagen om allmän försäkring, m.m. och, för ett annat närliggande område, 3 kap. 25 § studiestödsförordningen (1973:418), där det är uttryckligen föreskrivet att en underårig företräds av sin förmyndare.</w:t>
      </w:r>
    </w:p>
    <w:p w:rsidR="003B3271" w:rsidRPr="0008481A" w:rsidRDefault="003B3271">
      <w:pPr>
        <w:pStyle w:val="Normaltindrag"/>
      </w:pPr>
      <w:r w:rsidRPr="0008481A">
        <w:t>Riksförsäkringsverket har inte använt sig av sin möjlighet enligt för</w:t>
      </w:r>
      <w:r w:rsidRPr="0008481A">
        <w:softHyphen/>
        <w:t>ordningen (1996:1036) om underhållsstöd att meddela verkställighets</w:t>
      </w:r>
      <w:r w:rsidRPr="0008481A">
        <w:softHyphen/>
        <w:t>före</w:t>
      </w:r>
      <w:r w:rsidRPr="0008481A">
        <w:softHyphen/>
        <w:t>skrifter i frågan. I samband med inspektioner av försäkringskassor har jag iakttagit att vissa kassor uppfattat de förut nämnda allmänna råden som innebärande hinder för förmyndare att underteckna ansökan kort tid före den studerandes 18-årsdag och krävt unde</w:t>
      </w:r>
      <w:r w:rsidRPr="0008481A">
        <w:t>r</w:t>
      </w:r>
      <w:r w:rsidRPr="0008481A">
        <w:t>tecknande av den ännu omyndige studerande.</w:t>
      </w:r>
    </w:p>
    <w:p w:rsidR="003B3271" w:rsidRPr="0008481A" w:rsidRDefault="003B3271">
      <w:pPr>
        <w:pStyle w:val="Normaltindrag"/>
      </w:pPr>
      <w:r w:rsidRPr="0008481A">
        <w:t>Självfallet delar jag Riksförsäkringsverkets uppfattning att det knappast kan ha varit lagstiftarens mening att den som är berättigad t</w:t>
      </w:r>
      <w:r w:rsidRPr="0008481A">
        <w:t>ill förlängt underhållsstöd skall behöva acceptera ett uppehåll i utbetalningarna mellan det tidigare unde</w:t>
      </w:r>
      <w:r w:rsidRPr="0008481A">
        <w:t>r</w:t>
      </w:r>
      <w:r w:rsidRPr="0008481A">
        <w:t>hållsstödet och det förlängda underhållsstödet enbart av den anledningen att ans</w:t>
      </w:r>
      <w:r w:rsidRPr="0008481A">
        <w:t>ö</w:t>
      </w:r>
      <w:r w:rsidRPr="0008481A">
        <w:t>kan inte skulle kunna undertecknas och sändas in till försäkringskassan innan den studerande fyller 18 år. Såsom USL kommit att tillämpas i den aktuella frågan finns det emellertid enligt min mening skäl att ändra reglerna så att rådande tve</w:t>
      </w:r>
      <w:r w:rsidRPr="0008481A">
        <w:t>k</w:t>
      </w:r>
      <w:r w:rsidRPr="0008481A">
        <w:t>samhet undanröjs. Jag får därför, efter samråd med chefsjustitieombudsmannen Claes</w:t>
      </w:r>
      <w:r w:rsidRPr="0008481A">
        <w:t xml:space="preserve"> Eklundh, enligt 4 § lagen (1986:765) med instruktion för Riksdagens o</w:t>
      </w:r>
      <w:r w:rsidRPr="0008481A">
        <w:t>m</w:t>
      </w:r>
      <w:r w:rsidRPr="0008481A">
        <w:t>budsmän väcka fråga om för</w:t>
      </w:r>
      <w:r w:rsidRPr="0008481A">
        <w:softHyphen/>
        <w:t>fattningsändring i berört avseende. Jag överlämnar därför en kopia av detta beslut till Regeringskansliet (Socialdeparteme</w:t>
      </w:r>
      <w:r w:rsidRPr="0008481A">
        <w:t>n</w:t>
      </w:r>
      <w:r w:rsidRPr="0008481A">
        <w:t>tet).</w:t>
      </w:r>
    </w:p>
    <w:p w:rsidR="003B3271" w:rsidRPr="0008481A" w:rsidRDefault="003B3271">
      <w:pPr>
        <w:pStyle w:val="Rubrik2"/>
        <w:spacing w:before="0"/>
      </w:pPr>
      <w:r w:rsidRPr="0008481A">
        <w:t>Ett intitiativärende angående försäkringskassas utredningsskyldighet i ett ärende om underhållsstöd</w:t>
      </w:r>
    </w:p>
    <w:p w:rsidR="003B3271" w:rsidRPr="0008481A" w:rsidRDefault="003B3271">
      <w:r w:rsidRPr="0008481A">
        <w:t>(Dnr 572-1999)</w:t>
      </w:r>
    </w:p>
    <w:p w:rsidR="003B3271" w:rsidRPr="0008481A" w:rsidRDefault="003B3271">
      <w:r w:rsidRPr="0008481A">
        <w:rPr>
          <w:i/>
        </w:rPr>
        <w:t xml:space="preserve">JO Pennlöv </w:t>
      </w:r>
      <w:r w:rsidRPr="0008481A">
        <w:t>meddelade den 29 februari 2000 ett beslut med följande innehåll.</w:t>
      </w:r>
    </w:p>
    <w:p w:rsidR="003B3271" w:rsidRPr="0008481A" w:rsidRDefault="003B3271">
      <w:pPr>
        <w:pStyle w:val="Rubrik3"/>
      </w:pPr>
      <w:r w:rsidRPr="0008481A">
        <w:t>Initiativet</w:t>
      </w:r>
    </w:p>
    <w:p w:rsidR="003B3271" w:rsidRPr="0008481A" w:rsidRDefault="003B3271">
      <w:r w:rsidRPr="0008481A">
        <w:t>Vid min inspektion av Stockholms läns allmänna försäkringskassa, lokalkontoret City, den 11 februari 1999 granskade jag bl.a. ärenden rörande underhållsstöd.</w:t>
      </w:r>
    </w:p>
    <w:p w:rsidR="003B3271" w:rsidRPr="0008481A" w:rsidRDefault="003B3271">
      <w:pPr>
        <w:pStyle w:val="Normaltindrag"/>
      </w:pPr>
      <w:r w:rsidRPr="0008481A">
        <w:t xml:space="preserve">I ett ärende hade försäkringskassan förelagt sökanden att </w:t>
      </w:r>
      <w:r w:rsidRPr="0008481A">
        <w:rPr>
          <w:rFonts w:ascii="Garamond" w:hAnsi="Garamond"/>
        </w:rPr>
        <w:t>–</w:t>
      </w:r>
      <w:r w:rsidRPr="0008481A">
        <w:t xml:space="preserve"> vid äventyr av avslag </w:t>
      </w:r>
      <w:r w:rsidRPr="0008481A">
        <w:rPr>
          <w:rFonts w:ascii="Garamond" w:hAnsi="Garamond"/>
        </w:rPr>
        <w:t>–</w:t>
      </w:r>
      <w:r w:rsidRPr="0008481A">
        <w:t xml:space="preserve"> komplettera sin ansökan med meddelande om betänketid och personbevis. Efte</w:t>
      </w:r>
      <w:r w:rsidRPr="0008481A">
        <w:t>r</w:t>
      </w:r>
      <w:r w:rsidRPr="0008481A">
        <w:t>som kompletteringen uteblev avslog kassan ansökan, varvid 4 § lagen (1996:1030) om underhållsstöd (USL) åberopades. Det som iakttagits föranledde frågor om hur långt kassans egen utredningsskyldighet sträcker sig i ett sådant fall, om kassan vid utebliven komplettering bör avvisa en ansökan i stället för att avslå den samt om kassan åberopat rätt lagrum i sitt beslut. Jag beslutade därför att låta utreda sak</w:t>
      </w:r>
      <w:r w:rsidRPr="0008481A">
        <w:t>en inom ramen för ett på mitt initiativ upptaget ärende.</w:t>
      </w:r>
    </w:p>
    <w:p w:rsidR="003B3271" w:rsidRPr="0008481A" w:rsidRDefault="003B3271">
      <w:pPr>
        <w:pStyle w:val="Rubrik3"/>
      </w:pPr>
      <w:r w:rsidRPr="0008481A">
        <w:t>Utredning</w:t>
      </w:r>
    </w:p>
    <w:p w:rsidR="003B3271" w:rsidRPr="0008481A" w:rsidRDefault="003B3271">
      <w:r w:rsidRPr="0008481A">
        <w:t>Ärendet remitterades till försäkringskassan för yttrande över handläggningen av ärendet. I sitt remissvar har försäkringskassan genom direktören Henrik Meldahl anfört bl.a. följande.</w:t>
      </w:r>
    </w:p>
    <w:p w:rsidR="003B3271" w:rsidRPr="0008481A" w:rsidRDefault="003B3271">
      <w:pPr>
        <w:pStyle w:val="Rubrik4"/>
      </w:pPr>
      <w:r w:rsidRPr="0008481A">
        <w:t>Bakgrund</w:t>
      </w:r>
    </w:p>
    <w:p w:rsidR="003B3271" w:rsidRPr="0008481A" w:rsidRDefault="003B3271">
      <w:pPr>
        <w:pStyle w:val="Citat"/>
      </w:pPr>
      <w:r w:rsidRPr="0008481A">
        <w:t>Försäkringskassan fick den 27 november 1998 in ansökan om underhållsstöd för barnen Z. och K.B. Enligt ansökan samt försäkringskassans up</w:t>
      </w:r>
      <w:r w:rsidRPr="0008481A">
        <w:t>p</w:t>
      </w:r>
      <w:r w:rsidRPr="0008481A">
        <w:t>gifter var föräldrarna fortfarande gifta med varandra. Enligt försäkring</w:t>
      </w:r>
      <w:r w:rsidRPr="0008481A">
        <w:t>s</w:t>
      </w:r>
      <w:r w:rsidRPr="0008481A">
        <w:t>kassans uppgifter var de även folkbokförda på samma adress. Enligt 5 § lagen (1996:1030) om underhållsstöd (USL) skall föräldrar som är gifta med va</w:t>
      </w:r>
      <w:r w:rsidRPr="0008481A">
        <w:t>r</w:t>
      </w:r>
      <w:r w:rsidRPr="0008481A">
        <w:t>andra anses bo tillsammans även om de inte är folkbokförda på samma adress, om inte den som begär underhållsstöd eller som stöd betalats ut till visar annat.</w:t>
      </w:r>
    </w:p>
    <w:p w:rsidR="003B3271" w:rsidRPr="0008481A" w:rsidRDefault="003B3271">
      <w:pPr>
        <w:pStyle w:val="Citatindrag"/>
      </w:pPr>
      <w:r w:rsidRPr="0008481A">
        <w:t>Försäkringskassan skickade därför en kommuniceringsskrivelse till bo</w:t>
      </w:r>
      <w:r w:rsidRPr="0008481A">
        <w:softHyphen/>
        <w:t>föräl</w:t>
      </w:r>
      <w:r w:rsidRPr="0008481A">
        <w:softHyphen/>
        <w:t>dern L.B. med anmodan att senast [den] 30 december 1998 komplettera a</w:t>
      </w:r>
      <w:r w:rsidRPr="0008481A">
        <w:t>n</w:t>
      </w:r>
      <w:r w:rsidRPr="0008481A">
        <w:t>sökan med betänketidshandling och personbevis, i annat fall avsåg försäkringskassan att avslå ansökan. Försäkringskassan ansåg sig även behöva veta varför L.B. ansökt om underhållsstöd.</w:t>
      </w:r>
    </w:p>
    <w:p w:rsidR="003B3271" w:rsidRPr="0008481A" w:rsidRDefault="003B3271">
      <w:pPr>
        <w:pStyle w:val="Citatindrag"/>
      </w:pPr>
      <w:r w:rsidRPr="0008481A">
        <w:t>Eftersom någon komplettering som kunde styrka att föräldrarna inte längre bodde tillsammans inte kommit till försäkringskassan fattade för</w:t>
      </w:r>
      <w:r w:rsidRPr="0008481A">
        <w:softHyphen/>
        <w:t>säkrings</w:t>
      </w:r>
      <w:r w:rsidRPr="0008481A">
        <w:softHyphen/>
        <w:t>kassan den 14 januari 1999 beslut att avslå ansökan om underhållsstöd.</w:t>
      </w:r>
    </w:p>
    <w:p w:rsidR="003B3271" w:rsidRPr="0008481A" w:rsidRDefault="003B3271">
      <w:pPr>
        <w:pStyle w:val="Rubrik4"/>
      </w:pPr>
      <w:r w:rsidRPr="0008481A">
        <w:t>Yttrande</w:t>
      </w:r>
    </w:p>
    <w:p w:rsidR="003B3271" w:rsidRPr="0008481A" w:rsidRDefault="003B3271">
      <w:pPr>
        <w:pStyle w:val="Citat"/>
      </w:pPr>
      <w:r w:rsidRPr="0008481A">
        <w:t>Av förarbetena till den nya lagen om underhållsstöd framgår följande. Enligt skrivningen i 5 § finns två presumtionsregler som anger [i] vilka situationer föräldrar skall anses bo tillsammans. I dessa fall blir det den som begär underhållsstöd (dvs. sökanden) som har att visa att något sammanboende i lagens mening inte föreligger. Förmår denne inte visa detta skall under</w:t>
      </w:r>
      <w:r w:rsidRPr="0008481A">
        <w:softHyphen/>
        <w:t>hållsstöd vägras eller dras in.</w:t>
      </w:r>
    </w:p>
    <w:p w:rsidR="003B3271" w:rsidRPr="0008481A" w:rsidRDefault="003B3271">
      <w:pPr>
        <w:pStyle w:val="Citatindrag"/>
      </w:pPr>
      <w:r w:rsidRPr="0008481A">
        <w:t>Utifrån dessa förhållanden får det anses åligga L.B. att visa att hon inte längre sammanbor med sin make, tillika barnens fader. Då hon inte gjort detta har försäkringskassan haft rätt att avslå ansökan.</w:t>
      </w:r>
    </w:p>
    <w:p w:rsidR="003B3271" w:rsidRPr="0008481A" w:rsidRDefault="003B3271">
      <w:pPr>
        <w:pStyle w:val="Citatindrag"/>
      </w:pPr>
      <w:r w:rsidRPr="0008481A">
        <w:t>Den utredningsskyldighet som åligger försäkringskassan enligt förvalt</w:t>
      </w:r>
      <w:r w:rsidRPr="0008481A">
        <w:softHyphen/>
        <w:t>ningslagens regler måste, enligt försäkringskassans uppfattning, anses vara subsidiär till reglerna i USL.</w:t>
      </w:r>
    </w:p>
    <w:p w:rsidR="003B3271" w:rsidRPr="0008481A" w:rsidRDefault="003B3271">
      <w:pPr>
        <w:pStyle w:val="Citatindrag"/>
      </w:pPr>
      <w:r w:rsidRPr="0008481A">
        <w:t>Försäkringskassan anser även att det är rätt att i dessa ärenden avslå ansökan och inte avvisa. Försäkringskassan prövar förhållandena i sak och det är därmed korrekt att avslå ansökan. Avvisning är, enligt försäkrings</w:t>
      </w:r>
      <w:r w:rsidRPr="0008481A">
        <w:softHyphen/>
        <w:t>kassans mening, förbehållet situationer då försäkringskassan saknar möjlig</w:t>
      </w:r>
      <w:r w:rsidRPr="0008481A">
        <w:softHyphen/>
        <w:t>het att pröva frågan i sak.</w:t>
      </w:r>
    </w:p>
    <w:p w:rsidR="003B3271" w:rsidRPr="0008481A" w:rsidRDefault="003B3271">
      <w:pPr>
        <w:pStyle w:val="Citatindrag"/>
      </w:pPr>
      <w:r w:rsidRPr="0008481A">
        <w:t>Avslutningsvis vill försäkringskassan beklaga att det i beslutsbrevet förekommit vissa brister. Försäkringskassan har genom skrivfel hänvisat till 4 § USL i stället för 5 § USL. Beslutsbrevet kunde även på ett tydligare sätt ha angett orsaken till varför försäkringskassan avslog ansökan. Den egentliga anledningen till avslaget är inte de uteblivna kompletteringarna utan att fö</w:t>
      </w:r>
      <w:r w:rsidRPr="0008481A">
        <w:t>r</w:t>
      </w:r>
      <w:r w:rsidRPr="0008481A">
        <w:t>äldrarna anses fortfarande sammanbo och vid dessa förhållanden kan underhållsstöd inte beviljas.</w:t>
      </w:r>
    </w:p>
    <w:p w:rsidR="003B3271" w:rsidRPr="0008481A" w:rsidRDefault="003B3271">
      <w:pPr>
        <w:pStyle w:val="Rubrik3"/>
      </w:pPr>
      <w:r w:rsidRPr="0008481A">
        <w:t>Bedömning</w:t>
      </w:r>
    </w:p>
    <w:p w:rsidR="003B3271" w:rsidRPr="0008481A" w:rsidRDefault="003B3271">
      <w:r w:rsidRPr="0008481A">
        <w:t>Som en allmän princip brukar hävdas att official- eller undersökningsplikten gäl</w:t>
      </w:r>
      <w:r w:rsidRPr="0008481A">
        <w:t>l</w:t>
      </w:r>
      <w:r w:rsidRPr="0008481A">
        <w:t>er inom myndighetsförvaltningen. Myndigheten (i det här fallet försäk</w:t>
      </w:r>
      <w:r w:rsidRPr="0008481A">
        <w:softHyphen/>
        <w:t>rings</w:t>
      </w:r>
      <w:r w:rsidRPr="0008481A">
        <w:softHyphen/>
        <w:t>ka</w:t>
      </w:r>
      <w:r w:rsidRPr="0008481A">
        <w:t>s</w:t>
      </w:r>
      <w:r w:rsidRPr="0008481A">
        <w:t>san) skall alltså se till att ett ärende blir så utrett som dess beskaffenhet kräver. Denna grundsats har delvis blivit lagfäst genom regeln om serviceskyldighet i 4 § förvaltningslagen (1986:223). Svaret på frågan om hur långt försäkringskassans utredningsansvar sträcker sig låter sig dock inte ges i generella ordalag. Förhå</w:t>
      </w:r>
      <w:r w:rsidRPr="0008481A">
        <w:t>l</w:t>
      </w:r>
      <w:r w:rsidRPr="0008481A">
        <w:t>landena växlar starkt mellan olika kate</w:t>
      </w:r>
      <w:r w:rsidRPr="0008481A">
        <w:softHyphen/>
        <w:t>gorier av ärenden (Hellners/Malmqvist, Nya förvaltningslagen med</w:t>
      </w:r>
      <w:r w:rsidRPr="0008481A">
        <w:t xml:space="preserve"> kommen</w:t>
      </w:r>
      <w:r w:rsidRPr="0008481A">
        <w:softHyphen/>
        <w:t>tarer, 5 uppl, s. 54).</w:t>
      </w:r>
    </w:p>
    <w:p w:rsidR="003B3271" w:rsidRPr="0008481A" w:rsidRDefault="003B3271">
      <w:pPr>
        <w:pStyle w:val="Normaltindrag"/>
      </w:pPr>
      <w:r w:rsidRPr="0008481A">
        <w:t>Enligt 7 § andra meningen förvaltningslagen skall en myndighet vid hand</w:t>
      </w:r>
      <w:r w:rsidRPr="0008481A">
        <w:softHyphen/>
        <w:t>läg</w:t>
      </w:r>
      <w:r w:rsidRPr="0008481A">
        <w:t>g</w:t>
      </w:r>
      <w:r w:rsidRPr="0008481A">
        <w:t>ningen beakta möjligheten att själv inhämta upplysningar och yttranden från andra myndigheter, om sådana behövs. I vad mån försäkringskassan självmant skall skaffa utredning i ett ärende är ytterst en fråga om hur långt officialprincipen sträcker sig. Som framgår ovan får den frågan avgöras med hänsyn till framför allt ärendets karaktär (a.a. s. 72).</w:t>
      </w:r>
    </w:p>
    <w:p w:rsidR="003B3271" w:rsidRPr="0008481A" w:rsidRDefault="003B3271">
      <w:pPr>
        <w:pStyle w:val="Normaltindrag"/>
      </w:pPr>
      <w:r w:rsidRPr="0008481A">
        <w:t>Ragnemalm har uttalat följande angående myndigheters utrednings</w:t>
      </w:r>
      <w:r w:rsidRPr="0008481A">
        <w:softHyphen/>
        <w:t>skyldighet (Förvaltningsprocessens grunder, 7 uppl. s. 55 f.). Då en myndig</w:t>
      </w:r>
      <w:r w:rsidRPr="0008481A">
        <w:softHyphen/>
        <w:t xml:space="preserve">het som ett led i fullgörandet av sin samhällsfunktion ex officio påbörjar handläggningen av ett ärende, är det naturligt, att man också har ansvaret för beredningen, även om ärendet direkt </w:t>
      </w:r>
      <w:r w:rsidRPr="0008481A">
        <w:rPr>
          <w:rFonts w:ascii="Garamond" w:hAnsi="Garamond"/>
        </w:rPr>
        <w:t>–</w:t>
      </w:r>
      <w:r w:rsidRPr="0008481A">
        <w:t xml:space="preserve"> positivt eller negativt </w:t>
      </w:r>
      <w:r w:rsidRPr="0008481A">
        <w:rPr>
          <w:rFonts w:ascii="Garamond" w:hAnsi="Garamond"/>
        </w:rPr>
        <w:t xml:space="preserve">– </w:t>
      </w:r>
      <w:r w:rsidRPr="0008481A">
        <w:t>berör</w:t>
      </w:r>
      <w:r w:rsidRPr="0008481A">
        <w:rPr>
          <w:rFonts w:ascii="Garamond" w:hAnsi="Garamond"/>
        </w:rPr>
        <w:t xml:space="preserve"> </w:t>
      </w:r>
      <w:r w:rsidRPr="0008481A">
        <w:t xml:space="preserve">enskilt subjekt.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r w:rsidRPr="0008481A">
        <w:t xml:space="preserve">  Då det dä</w:t>
      </w:r>
      <w:r w:rsidRPr="0008481A">
        <w:t>r</w:t>
      </w:r>
      <w:r w:rsidRPr="0008481A">
        <w:t>emot gäller ärenden, där den enskilde söker utverka en förmån av det allmänna, är det inte lika självklart, att official</w:t>
      </w:r>
      <w:r w:rsidRPr="0008481A">
        <w:softHyphen/>
        <w:t>principen bör gälla. I sådana ärenden om bidrag, tillstå</w:t>
      </w:r>
      <w:r w:rsidRPr="0008481A">
        <w:t>nd och liknande får det tvärtom anses åvila sökanden att visa, att förutsät</w:t>
      </w:r>
      <w:r w:rsidRPr="0008481A">
        <w:t>t</w:t>
      </w:r>
      <w:r w:rsidRPr="0008481A">
        <w:t>ningarna för ett positivt beslut är uppfyllda. Skulle utredningen behöva komplett</w:t>
      </w:r>
      <w:r w:rsidRPr="0008481A">
        <w:t>e</w:t>
      </w:r>
      <w:r w:rsidRPr="0008481A">
        <w:t>ras i något avseende, får det dock även här anses åligga myndigheten att ge anvi</w:t>
      </w:r>
      <w:r w:rsidRPr="0008481A">
        <w:t>s</w:t>
      </w:r>
      <w:r w:rsidRPr="0008481A">
        <w:t>ningar om detta. Inte minst i ärenden rörande sociala förmåner är det angeläget, att myndigheternas service i detta avseende inte är alltför begränsad. Man torde alltså kunna</w:t>
      </w:r>
      <w:r w:rsidRPr="0008481A">
        <w:rPr>
          <w:rFonts w:ascii="Garamond" w:hAnsi="Garamond"/>
        </w:rPr>
        <w:t xml:space="preserve"> </w:t>
      </w:r>
      <w:r w:rsidRPr="0008481A">
        <w:t>hävda, att officialprincipen gäller också i dessa ärenden men med en något modifierad tillämpning.</w:t>
      </w:r>
      <w:r w:rsidRPr="0008481A">
        <w:t xml:space="preserve"> Det beslutsfattande organet har ett principiellt ansvar för att den enskilde informeras om vad som krävs för att avgörandet skall vila på ett tillfredsställande underlag, men det åligger primärt initiativtagaren att skaffa fram detta material. Passivitet från initiativtagarens sida kan alltså leda till ett för h</w:t>
      </w:r>
      <w:r w:rsidRPr="0008481A">
        <w:t>o</w:t>
      </w:r>
      <w:r w:rsidRPr="0008481A">
        <w:t>nom oförmånligt beslut.</w:t>
      </w:r>
    </w:p>
    <w:p w:rsidR="003B3271" w:rsidRPr="0008481A" w:rsidRDefault="003B3271">
      <w:pPr>
        <w:pStyle w:val="Normaltindrag"/>
      </w:pPr>
      <w:r w:rsidRPr="0008481A">
        <w:t>Enligt 3 § första stycket USL har ett barn rätt till underhållsstöd, om föräldrarna inte bor tillsammans eller den ena föräldern är avliden. Det krävs dessutom att barnet va</w:t>
      </w:r>
      <w:r w:rsidRPr="0008481A">
        <w:t>raktigt bor och är folkbokfört hos en av föräldrarna (boföräldern) samt att boföräldern bor här i landet och, om barnet är underårigt, är vårdnadshavare för barnet.</w:t>
      </w:r>
    </w:p>
    <w:p w:rsidR="003B3271" w:rsidRPr="0008481A" w:rsidRDefault="003B3271">
      <w:pPr>
        <w:pStyle w:val="Normaltindrag"/>
      </w:pPr>
      <w:r w:rsidRPr="0008481A">
        <w:t>I 4 § USL uppräknas ett antal situationer när ett barn inte har rätt till underhåll</w:t>
      </w:r>
      <w:r w:rsidRPr="0008481A">
        <w:t>s</w:t>
      </w:r>
      <w:r w:rsidRPr="0008481A">
        <w:t>stöd.</w:t>
      </w:r>
    </w:p>
    <w:p w:rsidR="003B3271" w:rsidRPr="0008481A" w:rsidRDefault="003B3271">
      <w:pPr>
        <w:pStyle w:val="Normaltindrag"/>
      </w:pPr>
      <w:r w:rsidRPr="0008481A">
        <w:t>När barnets föräldrar är folkbokförda på samma adress anses de enligt 5 § USL bo tillsammans, om inte den som begär underhållsstöd eller som stöd betalas ut till visar annat. Föräldrar som är gifta med varandra anses bo tillsammans även om de inte är folkbokförda på samma adress, om inte den som begär underhållsstöd eller stöd betalas ut till visar annat.</w:t>
      </w:r>
    </w:p>
    <w:p w:rsidR="003B3271" w:rsidRPr="0008481A" w:rsidRDefault="003B3271">
      <w:pPr>
        <w:pStyle w:val="Normaltindrag"/>
      </w:pPr>
      <w:r w:rsidRPr="0008481A">
        <w:t>I de fall där någon av de två presumtionerna för sammanboende enligt 5 § USL föreligger, åligger det således den sökande föräldern att visa att hon/han inte bor tillsammans med den andra föräldern, för att rätt till underhållsstöd skall kunna komma i fråga. I det aktuella ärendet har försäkringskassan i skrivelse den 15 d</w:t>
      </w:r>
      <w:r w:rsidRPr="0008481A">
        <w:t>e</w:t>
      </w:r>
      <w:r w:rsidRPr="0008481A">
        <w:t>cember 1998 till sökanden angett att komplettering med betänketidshandling och personbevis var nödvändig ”för att kunna handlägga ansökan” och även uppgett att den vid uteblivet svar kommer att avslå ansökan. Kassan har därmed enligt min mening fullgjort sin informations</w:t>
      </w:r>
      <w:r w:rsidRPr="0008481A">
        <w:softHyphen/>
        <w:t>skyldighet och kan inte kritiseras för att den a</w:t>
      </w:r>
      <w:r w:rsidRPr="0008481A">
        <w:t>v</w:t>
      </w:r>
      <w:r w:rsidRPr="0008481A">
        <w:t>gjort ärendet utan att själv införskaffa de aktuella handlingarna från andra my</w:t>
      </w:r>
      <w:r w:rsidRPr="0008481A">
        <w:t>n</w:t>
      </w:r>
      <w:r w:rsidRPr="0008481A">
        <w:t>digheter.</w:t>
      </w:r>
    </w:p>
    <w:p w:rsidR="003B3271" w:rsidRPr="0008481A" w:rsidRDefault="003B3271">
      <w:pPr>
        <w:pStyle w:val="Normaltindrag"/>
      </w:pPr>
      <w:r w:rsidRPr="0008481A">
        <w:t>Eftersom kassan genom sitt beslut den 14 januari 1999 har prövat ärendet i sak var det också riktigt</w:t>
      </w:r>
      <w:r w:rsidRPr="0008481A">
        <w:t xml:space="preserve"> att avslå i stället för att avvisa ansökan. Av beslutet kan dock inte med klarhet utläsas att kassan prövat ärendet i sak. I beslutet anges nämligen som enda motivering att sökanden inte inkommit med komplettering inom föreskriven tid. Därutöver hänvisas till 4 § USL. I sitt remissvar har kassan anfört att den g</w:t>
      </w:r>
      <w:r w:rsidRPr="0008481A">
        <w:t>e</w:t>
      </w:r>
      <w:r w:rsidRPr="0008481A">
        <w:t>nom skrivfel har hänvisat till 4 § USL i stället för till 5 § USL. Enligt min mening borde kassan även ha hänvisat till 3 § USL, som anger bl.a. att rätt till underhåll</w:t>
      </w:r>
      <w:r w:rsidRPr="0008481A">
        <w:t>s</w:t>
      </w:r>
      <w:r w:rsidRPr="0008481A">
        <w:t>stöd förutsätter att föräldr</w:t>
      </w:r>
      <w:r w:rsidRPr="0008481A">
        <w:t>arna inte bor tillsammans. Av remissvaret framgår vid</w:t>
      </w:r>
      <w:r w:rsidRPr="0008481A">
        <w:t>a</w:t>
      </w:r>
      <w:r w:rsidRPr="0008481A">
        <w:t>re att den egentliga motiveringen till kassans avslagsbeslut var att föräldrarna ansågs sammanbo. Denna motivering borde givetvis ha kommit till uttryck i b</w:t>
      </w:r>
      <w:r w:rsidRPr="0008481A">
        <w:t>e</w:t>
      </w:r>
      <w:r w:rsidRPr="0008481A">
        <w:t>slutet. Såsom beslutet blivit formulerat kan det enligt min mening inte anses up</w:t>
      </w:r>
      <w:r w:rsidRPr="0008481A">
        <w:t>p</w:t>
      </w:r>
      <w:r w:rsidRPr="0008481A">
        <w:t>fylla kravet på motivering enligt 20 § förvaltningslagen. Kassan kan inte undgå kritik hä</w:t>
      </w:r>
      <w:r w:rsidRPr="0008481A">
        <w:t>r</w:t>
      </w:r>
      <w:r w:rsidRPr="0008481A">
        <w:t>för.</w:t>
      </w:r>
    </w:p>
    <w:p w:rsidR="003B3271" w:rsidRPr="0008481A" w:rsidRDefault="003B3271">
      <w:pPr>
        <w:pStyle w:val="Normaltindrag"/>
      </w:pPr>
      <w:r w:rsidRPr="0008481A">
        <w:t>Jag är vidare kritisk till utformningen av kassans skrivelse till sökanden den 15 december 1998. Formuleringen ”för att vi sk</w:t>
      </w:r>
      <w:r w:rsidRPr="0008481A">
        <w:t>all kunna handlägga ansökan behöver vi komplettering ...” är inte korrekt. Med den återgivna formuleringen förefaller kassan närmast avse ”för att vi skall kunna bifalla ansökan ...”. Ansökan har ju också rent faktiskt kunnat handläggas utan de efterfrågade handlingarna. Det vore enligt min mening bättre om kassan i skrivelsen till sökanden hade redogjort för innehållet i 3 och 5 §§ USL och även talat om att föräldrarna enligt kassans up</w:t>
      </w:r>
      <w:r w:rsidRPr="0008481A">
        <w:t>p</w:t>
      </w:r>
      <w:r w:rsidRPr="0008481A">
        <w:t>gifter fortfarande var gifta med varandra och folkbokförda på samma ad</w:t>
      </w:r>
      <w:r w:rsidRPr="0008481A">
        <w:t>ress. I stället för formuleringen ”kommer vi att avslå din ansökan” skulle skrivelsen med fördel kunnat avslutats med en upplysning om att kassan efter den utsatta svarstidens utgång hade kunnat avgöra ärendet på befintligt material.</w:t>
      </w:r>
    </w:p>
    <w:p w:rsidR="003B3271" w:rsidRPr="0008481A" w:rsidRDefault="003B3271">
      <w:pPr>
        <w:pStyle w:val="Normaltindrag"/>
      </w:pPr>
      <w:r w:rsidRPr="0008481A">
        <w:t>Ärendet avslutas med den kritik som uttalats ovan.</w:t>
      </w:r>
    </w:p>
    <w:p w:rsidR="003B3271" w:rsidRPr="0008481A" w:rsidRDefault="003B3271">
      <w:pPr>
        <w:pStyle w:val="Rubrik2"/>
      </w:pPr>
      <w:r w:rsidRPr="0008481A">
        <w:t>Fråga om lämpligheten av kommunicering i ett ärende om bostadsbidrag</w:t>
      </w:r>
    </w:p>
    <w:p w:rsidR="003B3271" w:rsidRPr="0008481A" w:rsidRDefault="003B3271">
      <w:r w:rsidRPr="0008481A">
        <w:t>(Dnr 4923-1998)</w:t>
      </w:r>
    </w:p>
    <w:p w:rsidR="003B3271" w:rsidRPr="0008481A" w:rsidRDefault="003B3271">
      <w:r w:rsidRPr="0008481A">
        <w:rPr>
          <w:i/>
        </w:rPr>
        <w:t xml:space="preserve">JO Pennlöv </w:t>
      </w:r>
      <w:r w:rsidRPr="0008481A">
        <w:t>meddelade den 23 september 1999 ett beslut med följande innehåll.</w:t>
      </w:r>
    </w:p>
    <w:p w:rsidR="003B3271" w:rsidRPr="0008481A" w:rsidRDefault="003B3271">
      <w:pPr>
        <w:pStyle w:val="Rubrik3"/>
      </w:pPr>
      <w:r w:rsidRPr="0008481A">
        <w:t>Anmälan</w:t>
      </w:r>
    </w:p>
    <w:p w:rsidR="003B3271" w:rsidRPr="0008481A" w:rsidRDefault="003B3271">
      <w:r w:rsidRPr="0008481A">
        <w:t>Å. och M.H. har anfört i huvudsak följande. Vid försäkringskassans hand</w:t>
      </w:r>
      <w:r w:rsidRPr="0008481A">
        <w:softHyphen/>
        <w:t>läggning av ansökningar om bostadstillägg rörande L. och I.H. avvek kassan från de uppgifter som lämnats i ansökningarna genom att lägga till inkomster som L. och I.H. inte haft. Försäkringskassan fattade sedan beslut utan att kommunicera uppgifterna. Besluten, som således blev felaktiga, rättades sedermera med stöd av 20 kap. 10 a § lagen (1962:381) om allmän för</w:t>
      </w:r>
      <w:r w:rsidRPr="0008481A">
        <w:softHyphen/>
        <w:t>säkring.</w:t>
      </w:r>
    </w:p>
    <w:p w:rsidR="003B3271" w:rsidRPr="0008481A" w:rsidRDefault="003B3271">
      <w:pPr>
        <w:pStyle w:val="Rubrik3"/>
      </w:pPr>
      <w:r w:rsidRPr="0008481A">
        <w:t>Utredning</w:t>
      </w:r>
    </w:p>
    <w:p w:rsidR="003B3271" w:rsidRPr="0008481A" w:rsidRDefault="003B3271">
      <w:r w:rsidRPr="0008481A">
        <w:t>Yttrande har inhämtats från Stockholms läns allmänna försäkringskassa om vad som i anmälan anförts om att kassan har fattat beslut utan att först kom</w:t>
      </w:r>
      <w:r w:rsidRPr="0008481A">
        <w:softHyphen/>
        <w:t>municera uppgifter som tillförts ärendet.</w:t>
      </w:r>
    </w:p>
    <w:p w:rsidR="003B3271" w:rsidRPr="0008481A" w:rsidRDefault="003B3271">
      <w:pPr>
        <w:pStyle w:val="Normaltindrag"/>
      </w:pPr>
      <w:r w:rsidRPr="0008481A">
        <w:t xml:space="preserve">Försäkringskassan </w:t>
      </w:r>
      <w:r w:rsidRPr="0008481A">
        <w:rPr>
          <w:rFonts w:ascii="Garamond" w:hAnsi="Garamond"/>
        </w:rPr>
        <w:t>–</w:t>
      </w:r>
      <w:r w:rsidRPr="0008481A">
        <w:t xml:space="preserve"> direktören Henrik Meldahl </w:t>
      </w:r>
      <w:r w:rsidRPr="0008481A">
        <w:rPr>
          <w:rFonts w:ascii="Garamond" w:hAnsi="Garamond"/>
        </w:rPr>
        <w:t>–</w:t>
      </w:r>
      <w:r w:rsidRPr="0008481A">
        <w:t xml:space="preserve"> har sammanfattningsvis anfört följande. Kassan har i de aktuella ärendena inhämtat deklarationer från skattemyndigheten. Uppgifter ur deklarationerna har sedan, utan föregående kommunicering, lagts till grund för försäkringskassans beslut. Försäkrings</w:t>
      </w:r>
      <w:r w:rsidRPr="0008481A">
        <w:softHyphen/>
        <w:t>kassan skulle ha berett makarna H. tillfälle att yttra sig över de inhämtade uppgifterna.</w:t>
      </w:r>
    </w:p>
    <w:p w:rsidR="003B3271" w:rsidRPr="0008481A" w:rsidRDefault="003B3271">
      <w:pPr>
        <w:pStyle w:val="Normaltindrag"/>
      </w:pPr>
      <w:r w:rsidRPr="0008481A">
        <w:t>Å. och M.H. har i yttrande över försäkringskassans remissvar uppgett bl.a. följande. Det var de själva som gav in kopior av de aktuella dekl</w:t>
      </w:r>
      <w:r w:rsidRPr="0008481A">
        <w:t>arationerna till kassan. Ärendet tillfördes således inte uppgifter från någon annan. Där</w:t>
      </w:r>
      <w:r w:rsidRPr="0008481A">
        <w:softHyphen/>
        <w:t>emot använde försäkringskassan uppgifter ur det inhämtade materialet på ett svårbegripligt sätt. I det beslut som meddelades avvek försäkringskassan från de uppgifter som lämnats i ansökningarna och lade utan föregående kom</w:t>
      </w:r>
      <w:r w:rsidRPr="0008481A">
        <w:softHyphen/>
        <w:t>muni</w:t>
      </w:r>
      <w:r w:rsidRPr="0008481A">
        <w:softHyphen/>
        <w:t>cering till uppgifter från deklarationerna om inkomster som I. och L. H. haft under 1997 men inte längre uppbar 1998.</w:t>
      </w:r>
    </w:p>
    <w:p w:rsidR="003B3271" w:rsidRPr="0008481A" w:rsidRDefault="003B3271">
      <w:pPr>
        <w:pStyle w:val="Normaltindrag"/>
      </w:pPr>
      <w:r w:rsidRPr="0008481A">
        <w:t xml:space="preserve">Härefter har ärendet på nytt remitterats till försäkringskassan. Kassan har </w:t>
      </w:r>
      <w:r w:rsidRPr="0008481A">
        <w:t>genom direktören Henrik Meldahl beklagat att uppgifterna i det tidigare remissvaret var felaktiga och anfört att det inte förelegat någon skyldighet enligt 17 § förvaltningslagen (1986:223) för kassan att kommunicera de aktuella uppgifterna eftersom ärendet inte tillförts någon uppgift från annan.</w:t>
      </w:r>
    </w:p>
    <w:p w:rsidR="003B3271" w:rsidRPr="0008481A" w:rsidRDefault="003B3271">
      <w:pPr>
        <w:pStyle w:val="Normaltindrag"/>
      </w:pPr>
      <w:r w:rsidRPr="0008481A">
        <w:t>Å. och M.H. har kommenterat remissvaret.</w:t>
      </w:r>
    </w:p>
    <w:p w:rsidR="003B3271" w:rsidRPr="0008481A" w:rsidRDefault="003B3271">
      <w:pPr>
        <w:pStyle w:val="Rubrik3"/>
      </w:pPr>
      <w:r w:rsidRPr="0008481A">
        <w:t>Bedömning</w:t>
      </w:r>
    </w:p>
    <w:p w:rsidR="003B3271" w:rsidRPr="0008481A" w:rsidRDefault="003B3271">
      <w:r w:rsidRPr="0008481A">
        <w:t>Enligt 17 § förvaltningslagen får ett ärende inte avgöras utan att den som är sökande, klagande eller annan part har underrättats om en uppgift som har tillförts ärendet genom någon annan än honom själv och han har fått tillfälle att yttra sig över den, om ärendet avser myndighetsutövning mot någon enskild. Från denna regel gäller vissa undantag, som dock inte är aktuella här.</w:t>
      </w:r>
    </w:p>
    <w:p w:rsidR="003B3271" w:rsidRPr="0008481A" w:rsidRDefault="003B3271">
      <w:pPr>
        <w:pStyle w:val="Normaltindrag"/>
      </w:pPr>
      <w:r w:rsidRPr="0008481A">
        <w:t>Förvaltningslagen representerar en minimistandard i fråga om hand</w:t>
      </w:r>
      <w:r w:rsidRPr="0008481A">
        <w:softHyphen/>
        <w:t xml:space="preserve">läggningen av förvaltningsärenden. Det förhållandet att 17 § av formella skäl inte är tillämplig i ett ärende får således inte uppfattas så att paragrafen saknar aktualitet. De skäl som ligger bakom kommunikationsprincipen kan tvärtom göra sig gällande med samma styrka. </w:t>
      </w:r>
      <w:r w:rsidRPr="0008481A">
        <w:rPr>
          <w:rFonts w:ascii="Garamond" w:hAnsi="Garamond"/>
        </w:rPr>
        <w:t>–</w:t>
      </w:r>
      <w:r w:rsidRPr="0008481A">
        <w:t xml:space="preserve"> Lagtexten i 17 § förval</w:t>
      </w:r>
      <w:r w:rsidRPr="0008481A">
        <w:softHyphen/>
        <w:t>t</w:t>
      </w:r>
      <w:r w:rsidRPr="0008481A">
        <w:softHyphen/>
        <w:t>nings</w:t>
      </w:r>
      <w:r w:rsidRPr="0008481A">
        <w:softHyphen/>
        <w:t>lagen ger närmast vid handen att bestämmelsen endast reglerar det fallet att något finns att kommunicera och att parten därvid skall lämnas tillfälle att yttra sig över materialet. Det ligger därför i myndi</w:t>
      </w:r>
      <w:r w:rsidRPr="0008481A">
        <w:t xml:space="preserve">ghetens hand att avgöra i vad mån tillfälle skall lämnas parten att yttra sig också i fall då något nytt material inte tillförts ärendet. Att generellt lämna parten tillfälle att yttra sig när myndighetens bedömning avviker från partens kan knappast komma i fråga. Å andra sidan kan emellertid kommunikation ibland vara att rekommendera, t.ex. för att undvika att myndighetens beslut annars kommer att bygga på ett ofullständigt eller missvisande underlag (se Hellners/Malmqvist, Nya förvaltningslagen, 5 uppl., </w:t>
      </w:r>
      <w:r w:rsidRPr="0008481A">
        <w:t>s. 166 och 175 f.).</w:t>
      </w:r>
    </w:p>
    <w:p w:rsidR="003B3271" w:rsidRPr="0008481A" w:rsidRDefault="003B3271">
      <w:pPr>
        <w:pStyle w:val="Normaltindrag"/>
      </w:pPr>
      <w:r w:rsidRPr="0008481A">
        <w:t>I de aktuella ärendena hade komplettering skett genom parternas eller deras biträdens försorg. Ärendena hade således inte tillförts uppgifter från någon annan. Skäl för försäkringskassan att kommunicera uppgifterna som sådana förelåg inte. I samband med att försäkringskassan övervägde att lägga till inkomster till dem som redovisats i ansökningarna, och som följd medge bidrag med lägre belopp än annars, hade det enligt min mening varit lämpligt om kassan berett parterna eller deras biträ</w:t>
      </w:r>
      <w:r w:rsidRPr="0008481A">
        <w:t>den tillfälle att yttra sig i frågan. Genom att underlåta detta kom försäkringskassans respektive beslut att bygga på ett oriktigt underlag.</w:t>
      </w:r>
    </w:p>
    <w:p w:rsidR="003B3271" w:rsidRPr="0008481A" w:rsidRDefault="003B3271">
      <w:pPr>
        <w:pStyle w:val="Normaltindrag"/>
      </w:pPr>
      <w:r w:rsidRPr="0008481A">
        <w:t>Vad som i övrigt förekommit i detta ärende föranleder inte någon kom</w:t>
      </w:r>
      <w:r w:rsidRPr="0008481A">
        <w:softHyphen/>
        <w:t>mentar från min sida.</w:t>
      </w:r>
    </w:p>
    <w:p w:rsidR="003B3271" w:rsidRPr="0008481A" w:rsidRDefault="003B3271">
      <w:pPr>
        <w:pStyle w:val="Rubrik2"/>
      </w:pPr>
      <w:r w:rsidRPr="0008481A">
        <w:t>Kritik mot försäkringskassa angående utformningen av en kommuniceringsskrivelse</w:t>
      </w:r>
    </w:p>
    <w:p w:rsidR="003B3271" w:rsidRPr="0008481A" w:rsidRDefault="003B3271">
      <w:r w:rsidRPr="0008481A">
        <w:t>(Dnr 1216-1999)</w:t>
      </w:r>
    </w:p>
    <w:p w:rsidR="003B3271" w:rsidRPr="0008481A" w:rsidRDefault="003B3271">
      <w:r w:rsidRPr="0008481A">
        <w:t xml:space="preserve">Med anledning av en anmälan mot Skåne läns allmänna försäkringskassa meddelade </w:t>
      </w:r>
      <w:r w:rsidRPr="0008481A">
        <w:rPr>
          <w:i/>
        </w:rPr>
        <w:t xml:space="preserve">JO Pennlöv </w:t>
      </w:r>
      <w:r w:rsidRPr="0008481A">
        <w:t>den 6 oktober 1999 ett beslut med följande innehåll.</w:t>
      </w:r>
    </w:p>
    <w:p w:rsidR="003B3271" w:rsidRPr="0008481A" w:rsidRDefault="003B3271">
      <w:pPr>
        <w:pStyle w:val="Rubrik3"/>
      </w:pPr>
      <w:r w:rsidRPr="0008481A">
        <w:t>Anmälan</w:t>
      </w:r>
    </w:p>
    <w:p w:rsidR="003B3271" w:rsidRPr="0008481A" w:rsidRDefault="003B3271">
      <w:r w:rsidRPr="0008481A">
        <w:t>K.D. har anfört synpunkter på utformningen av en skrivelse från för</w:t>
      </w:r>
      <w:r w:rsidRPr="0008481A">
        <w:softHyphen/>
        <w:t>säkringskassan, daterad den 7 januari 1999. Hon har därvid anfört i huvudsak följande. Skrivelsen saknar titel och dess innebörd är otydlig. Rubriken ger inte någon vägledning om vilka rättsverkningar skrivelsen har. Vidare kan det ifrågasättas om omprövningshänvisningen är korrekt utformad. I den står: ”Även Riksförsäkringsverket kan överklaga försäkringskassans beslut till länsrätten inom två månader från den dag då beslutet meddelades.” Det kan sättas i fråga vad som avses med ordet ”även”.</w:t>
      </w:r>
    </w:p>
    <w:p w:rsidR="003B3271" w:rsidRPr="0008481A" w:rsidRDefault="003B3271">
      <w:pPr>
        <w:pStyle w:val="Rubrik3"/>
      </w:pPr>
      <w:r w:rsidRPr="0008481A">
        <w:t>Utredning</w:t>
      </w:r>
    </w:p>
    <w:p w:rsidR="003B3271" w:rsidRPr="0008481A" w:rsidRDefault="003B3271">
      <w:r w:rsidRPr="0008481A">
        <w:t>Ärendet har remitterats till Skåne läns allmänna försäkringskassa, som har svarat genom direktören Kurt Inge Persson. I remissvaret har återgivits ett yttrande av chefen för lokalkontoret, Christer Andersson. Av remissvaret framgår till att börja med sammanfattningsvis följande.</w:t>
      </w:r>
    </w:p>
    <w:p w:rsidR="003B3271" w:rsidRPr="0008481A" w:rsidRDefault="003B3271">
      <w:pPr>
        <w:pStyle w:val="Normaltindrag"/>
      </w:pPr>
      <w:r w:rsidRPr="0008481A">
        <w:t xml:space="preserve">Skrivelsen den 7 januari 1999 var avsedd som en kommuniceringsskrivelse inför ett beslut rörande sjukpenning. Skrivelsen saknar inledning och är i övrigt otydligt formulerad. Det finns vidare sakfel i texten. Det stycke som skulle tala om att K.D. hade möjlighet att höra av sig inom viss tid har olyckligtvis fallit bort. I stället har en omprövningshänvisning kommit med. K.D:s kritik vad gäller utformningen av skrivelsen är berättigad. Den uppfyller inte det krav på enkelhet som kan ställas. Skrivelsen är </w:t>
      </w:r>
      <w:r w:rsidRPr="0008481A">
        <w:t>svår att förstå och ger upphov till osäkerhet om den är avsedd som ett kom</w:t>
      </w:r>
      <w:r w:rsidRPr="0008481A">
        <w:softHyphen/>
        <w:t>municerings- eller beslutsbrev. Dessutom innehåller skrivelsen sakfel.</w:t>
      </w:r>
    </w:p>
    <w:p w:rsidR="003B3271" w:rsidRPr="0008481A" w:rsidRDefault="003B3271">
      <w:pPr>
        <w:pStyle w:val="Normaltindrag"/>
      </w:pPr>
      <w:r w:rsidRPr="0008481A">
        <w:t>Härefter har försäkringskassan anfört följande angående utformningen av den aktuella omprövningshänvisningen.</w:t>
      </w:r>
    </w:p>
    <w:p w:rsidR="003B3271" w:rsidRPr="0008481A" w:rsidRDefault="003B3271">
      <w:pPr>
        <w:spacing w:after="120"/>
      </w:pPr>
      <w:r w:rsidRPr="0008481A">
        <w:t>Upplysningen har nedanstående lydelse.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7"/>
      </w:tblGrid>
      <w:tr w:rsidR="00000000" w:rsidRPr="0008481A">
        <w:tblPrEx>
          <w:tblCellMar>
            <w:top w:w="0" w:type="dxa"/>
            <w:bottom w:w="0" w:type="dxa"/>
          </w:tblCellMar>
        </w:tblPrEx>
        <w:trPr>
          <w:trHeight w:val="3171"/>
        </w:trPr>
        <w:tc>
          <w:tcPr>
            <w:tcW w:w="6037" w:type="dxa"/>
          </w:tcPr>
          <w:p w:rsidR="003B3271" w:rsidRPr="0008481A" w:rsidRDefault="003B3271">
            <w:pPr>
              <w:keepNext/>
              <w:keepLines/>
              <w:jc w:val="left"/>
              <w:rPr>
                <w:sz w:val="16"/>
              </w:rPr>
            </w:pPr>
            <w:r w:rsidRPr="0008481A">
              <w:rPr>
                <w:sz w:val="16"/>
              </w:rPr>
              <w:t>OMPRÖVNING</w:t>
            </w:r>
          </w:p>
          <w:p w:rsidR="003B3271" w:rsidRPr="0008481A" w:rsidRDefault="003B3271">
            <w:pPr>
              <w:keepNext/>
              <w:keepLines/>
              <w:rPr>
                <w:sz w:val="16"/>
              </w:rPr>
            </w:pPr>
            <w:r w:rsidRPr="0008481A">
              <w:rPr>
                <w:sz w:val="16"/>
              </w:rPr>
              <w:t>Om du inte är nöjd med detta beslut kan du begära att kassan prövar ärendet igen. I så fall skall du skriva till kassan och begära omprövning av beslutet. Skrivelsen måste vara hos försäkringskassan inom två månader från den dag du tog emot beslutet. I skrivelsen bör du ange följande:</w:t>
            </w:r>
          </w:p>
          <w:p w:rsidR="003B3271" w:rsidRPr="0008481A" w:rsidRDefault="003B3271">
            <w:pPr>
              <w:keepNext/>
              <w:keepLines/>
              <w:spacing w:before="0"/>
              <w:rPr>
                <w:sz w:val="16"/>
              </w:rPr>
            </w:pPr>
            <w:r w:rsidRPr="0008481A">
              <w:rPr>
                <w:sz w:val="16"/>
              </w:rPr>
              <w:t>- Namn, personnummer, postadress och telefonnummer.</w:t>
            </w:r>
          </w:p>
          <w:p w:rsidR="003B3271" w:rsidRPr="0008481A" w:rsidRDefault="003B3271">
            <w:pPr>
              <w:keepNext/>
              <w:keepLines/>
              <w:spacing w:before="0"/>
              <w:rPr>
                <w:sz w:val="16"/>
              </w:rPr>
            </w:pPr>
            <w:r w:rsidRPr="0008481A">
              <w:rPr>
                <w:sz w:val="16"/>
              </w:rPr>
              <w:t>- Vilket beslut du vill ha omprövat.</w:t>
            </w:r>
          </w:p>
          <w:p w:rsidR="003B3271" w:rsidRPr="0008481A" w:rsidRDefault="003B3271">
            <w:pPr>
              <w:keepNext/>
              <w:keepLines/>
              <w:spacing w:before="0"/>
              <w:rPr>
                <w:b/>
                <w:sz w:val="16"/>
              </w:rPr>
            </w:pPr>
            <w:r w:rsidRPr="0008481A">
              <w:rPr>
                <w:sz w:val="16"/>
              </w:rPr>
              <w:t>- Vilken ändring du önskar och vilka skäl du har för ändring av be</w:t>
            </w:r>
            <w:r w:rsidRPr="0008481A">
              <w:rPr>
                <w:sz w:val="16"/>
              </w:rPr>
              <w:softHyphen/>
              <w:t xml:space="preserve">slutet.Skrivelsen skall vara undertecknad av dig eller ditt ombud. Om ombud har undertecknat bör fullmakt för ombudet sändas med. Ytterligare upplysningar kan du få hos försäkringskassan. </w:t>
            </w:r>
            <w:r w:rsidRPr="0008481A">
              <w:rPr>
                <w:b/>
                <w:sz w:val="16"/>
              </w:rPr>
              <w:t>Även Riksförsäkrings</w:t>
            </w:r>
            <w:r w:rsidRPr="0008481A">
              <w:rPr>
                <w:b/>
                <w:sz w:val="16"/>
              </w:rPr>
              <w:softHyphen/>
              <w:t>verket kan överklaga försäkringskassans beslut till länsrätten inom två månader från den dag då beslutet meddelades.</w:t>
            </w:r>
          </w:p>
        </w:tc>
      </w:tr>
    </w:tbl>
    <w:p w:rsidR="003B3271" w:rsidRPr="0008481A" w:rsidRDefault="003B3271">
      <w:pPr>
        <w:keepNext/>
        <w:keepLines/>
        <w:spacing w:before="0"/>
        <w:ind w:right="992"/>
        <w:rPr>
          <w:b/>
        </w:rPr>
      </w:pPr>
      <w:r w:rsidRPr="0008481A">
        <w:rPr>
          <w:b/>
          <w:sz w:val="16"/>
        </w:rPr>
        <w:t xml:space="preserve"> </w:t>
      </w:r>
    </w:p>
    <w:p w:rsidR="003B3271" w:rsidRPr="0008481A" w:rsidRDefault="003B3271">
      <w:pPr>
        <w:pStyle w:val="Citat"/>
      </w:pPr>
      <w:r w:rsidRPr="0008481A">
        <w:t>Försäkringskassan instämmer i K.D:s kritik mot omprövningshänvisningens utformning. K.D. har uppenbarligen förstått upplysningen så, att hon hade möjlighet att välja mellan att begära omprövning och att överklaga, eftersom det står att ” även ” Riksförsäkringsverket kan överklaga beslutet.</w:t>
      </w:r>
    </w:p>
    <w:p w:rsidR="003B3271" w:rsidRPr="0008481A" w:rsidRDefault="003B3271">
      <w:pPr>
        <w:pStyle w:val="Citatindrag"/>
      </w:pPr>
      <w:r w:rsidRPr="0008481A">
        <w:t>Erfarenhetsmässigt förekommer det inte sällan att enskilda, som klagar på ett tjänstemannabeslut av här aktuellt slag rubricerat klagoskrivelsen som ”överklagan”.</w:t>
      </w:r>
    </w:p>
    <w:p w:rsidR="003B3271" w:rsidRPr="0008481A" w:rsidRDefault="003B3271">
      <w:pPr>
        <w:pStyle w:val="Citatindrag"/>
      </w:pPr>
      <w:r w:rsidRPr="0008481A">
        <w:t>Såsom försäkringskassan förstår innebörden av 21 § andra stycket FL, finns det inget rättsligt krav på att underrättelsen skall innefatta upplysning om hur annan än den enskilde kan angripa beslutet. Skulle Riksförsäkrings</w:t>
      </w:r>
      <w:r w:rsidRPr="0008481A">
        <w:softHyphen/>
        <w:t>verket överklaga blir ju detta förhållande då uppenbart för den enskilde genom kommuniceringsförfarandet vid domstolen.</w:t>
      </w:r>
    </w:p>
    <w:p w:rsidR="003B3271" w:rsidRPr="0008481A" w:rsidRDefault="003B3271">
      <w:pPr>
        <w:pStyle w:val="Citatindrag"/>
      </w:pPr>
      <w:r w:rsidRPr="0008481A">
        <w:t>Försäkringskassan finner vidare, att informationen om verkets processuella ställning kan ifrågasättas även utifrån kravet på lättbegriplighet i uttryckssätt, som finns stadgat i 7 § FL.</w:t>
      </w:r>
    </w:p>
    <w:p w:rsidR="003B3271" w:rsidRPr="0008481A" w:rsidRDefault="003B3271">
      <w:pPr>
        <w:pStyle w:val="Citatindrag"/>
      </w:pPr>
      <w:r w:rsidRPr="0008481A">
        <w:t>Då formuleringen uppenbarligen kan leda till att den enskilde kan riskera att få den helt felaktiga uppfattningen, att han har möjlighet att välja mellan att begära omprövning och att överklaga ett tjänstemannabeslut av här aktuellt slag har försäkringskassan kontaktat Riksförsäkringsverket med förslag att det ovan fetstilsmarkerade textavsnittet borttages eller att lydelsen i vart fall ändras så att ordet ”även” borttages.</w:t>
      </w:r>
    </w:p>
    <w:p w:rsidR="003B3271" w:rsidRPr="0008481A" w:rsidRDefault="003B3271">
      <w:pPr>
        <w:pStyle w:val="Citatindrag"/>
      </w:pPr>
      <w:r w:rsidRPr="0008481A">
        <w:t>Försäkringskassan anser att fullföljdshänvisningen bör ändras på samma sätt.</w:t>
      </w:r>
    </w:p>
    <w:p w:rsidR="003B3271" w:rsidRPr="0008481A" w:rsidRDefault="003B3271">
      <w:r w:rsidRPr="0008481A">
        <w:t>K.D. har yttrat sig över remissvaret.</w:t>
      </w:r>
    </w:p>
    <w:p w:rsidR="003B3271" w:rsidRPr="0008481A" w:rsidRDefault="003B3271">
      <w:pPr>
        <w:pStyle w:val="Rubrik3"/>
      </w:pPr>
      <w:r w:rsidRPr="0008481A">
        <w:t>Bedömning</w:t>
      </w:r>
    </w:p>
    <w:p w:rsidR="003B3271" w:rsidRPr="0008481A" w:rsidRDefault="003B3271">
      <w:r w:rsidRPr="0008481A">
        <w:t>Jag delar försäkringskassans uppfattning avseende bristerna i skrivelsen den 7 januari 1999. Jag vill betona vikten av att försäkringskassan uttrycker sig på ett klart och tydligt sätt i sina skrivelser och att dessa får ett korrekt innehåll. Detta gäller i synnerhet kommuniceringsskrivelser, eftersom de för</w:t>
      </w:r>
      <w:r w:rsidRPr="0008481A">
        <w:softHyphen/>
        <w:t>säkrade genom dessa ges möjlighet att argumentera i ärendet.</w:t>
      </w:r>
    </w:p>
    <w:p w:rsidR="003B3271" w:rsidRPr="0008481A" w:rsidRDefault="003B3271">
      <w:r w:rsidRPr="0008481A">
        <w:t>Jag instämmer i att den aktuella omprövningshänvisningen är olyckligt formulerad. Jag översänder en kopia av detta beslut till Riksförsäkrings</w:t>
      </w:r>
      <w:r w:rsidRPr="0008481A">
        <w:softHyphen/>
        <w:t>verket för den åtgärd det kan föranleda.</w:t>
      </w:r>
    </w:p>
    <w:p w:rsidR="003B3271" w:rsidRPr="0008481A" w:rsidRDefault="003B3271">
      <w:pPr>
        <w:pStyle w:val="Normaltindrag"/>
      </w:pPr>
      <w:r w:rsidRPr="0008481A">
        <w:t>Ärendet avslutas med den kritik som ligger i det sagda.</w:t>
      </w:r>
    </w:p>
    <w:p w:rsidR="003B3271" w:rsidRPr="0008481A" w:rsidRDefault="003B3271">
      <w:pPr>
        <w:pStyle w:val="Rubrik2"/>
      </w:pPr>
      <w:r w:rsidRPr="0008481A">
        <w:t>Ett initiativärende rörande utformningen av provisoriskt beslut om sjukbidrag</w:t>
      </w:r>
    </w:p>
    <w:p w:rsidR="003B3271" w:rsidRPr="0008481A" w:rsidRDefault="003B3271">
      <w:r w:rsidRPr="0008481A">
        <w:t>(Dnr 1261-1999)</w:t>
      </w:r>
    </w:p>
    <w:p w:rsidR="003B3271" w:rsidRPr="0008481A" w:rsidRDefault="003B3271">
      <w:pPr>
        <w:pStyle w:val="Rubrik3"/>
      </w:pPr>
      <w:r w:rsidRPr="0008481A">
        <w:t>Initiativet</w:t>
      </w:r>
    </w:p>
    <w:p w:rsidR="003B3271" w:rsidRPr="0008481A" w:rsidRDefault="003B3271">
      <w:r w:rsidRPr="0008481A">
        <w:t>Vid en inspektion den 23–25 mars 1999 av Kronobergs läns allmänna för</w:t>
      </w:r>
      <w:r w:rsidRPr="0008481A">
        <w:softHyphen/>
        <w:t xml:space="preserve">säkringskassa (dnr 1206-1999) granskade </w:t>
      </w:r>
      <w:r w:rsidRPr="0008481A">
        <w:rPr>
          <w:i/>
        </w:rPr>
        <w:t xml:space="preserve">JO Pennlöv </w:t>
      </w:r>
      <w:r w:rsidRPr="0008481A">
        <w:t>bl.a. protokoll och akter från socialförsäkringsnämndssammanträden. I ett ärende uppmärk</w:t>
      </w:r>
      <w:r w:rsidRPr="0008481A">
        <w:softHyphen/>
        <w:t>sammades att socialförsäkringsnämnden beslutat att tillerkänna den för</w:t>
      </w:r>
      <w:r w:rsidRPr="0008481A">
        <w:softHyphen/>
        <w:t>säkrade helt sjukbidrag för tiden ”juni 1998 och tills vidare intill dess slutligt beslut fattats”. Enligt vad som i samband med granskningen inhämtats från föredraganden i nämnden var det fråga om ett provisoriskt beslut.</w:t>
      </w:r>
    </w:p>
    <w:p w:rsidR="003B3271" w:rsidRPr="0008481A" w:rsidRDefault="003B3271">
      <w:pPr>
        <w:pStyle w:val="Normaltindrag"/>
      </w:pPr>
      <w:r w:rsidRPr="0008481A">
        <w:t>Enligt 7 kap. 1 § andra stycket och 13 kap. 1 § andra stycket lagen (1962:381</w:t>
      </w:r>
      <w:r w:rsidRPr="0008481A">
        <w:t>) om all</w:t>
      </w:r>
      <w:r w:rsidRPr="0008481A">
        <w:softHyphen/>
        <w:t>män för</w:t>
      </w:r>
      <w:r w:rsidRPr="0008481A">
        <w:softHyphen/>
        <w:t>säk</w:t>
      </w:r>
      <w:r w:rsidRPr="0008481A">
        <w:softHyphen/>
        <w:t>ring (AFL) skall sjukbidrag vara begränsat till viss tid. Mot bakgrund härav beslutade jag att låta utreda saken i ett särskilt upplagt ärende.</w:t>
      </w:r>
    </w:p>
    <w:p w:rsidR="003B3271" w:rsidRPr="0008481A" w:rsidRDefault="003B3271">
      <w:pPr>
        <w:pStyle w:val="Rubrik3"/>
      </w:pPr>
      <w:r w:rsidRPr="0008481A">
        <w:t>Utredning</w:t>
      </w:r>
    </w:p>
    <w:p w:rsidR="003B3271" w:rsidRPr="0008481A" w:rsidRDefault="003B3271">
      <w:r w:rsidRPr="0008481A">
        <w:t>Försäkringskassan anmodades att yttra sig. I sitt remissvar anförde kassan genom direktören Sten Yngvesson huvudsakligen följande.</w:t>
      </w:r>
    </w:p>
    <w:p w:rsidR="003B3271" w:rsidRPr="0008481A" w:rsidRDefault="003B3271">
      <w:pPr>
        <w:pStyle w:val="Citat"/>
      </w:pPr>
      <w:r w:rsidRPr="0008481A">
        <w:t>Samtliga föredraganden vid kassan har erhållit delegation från socialför</w:t>
      </w:r>
      <w:r w:rsidRPr="0008481A">
        <w:softHyphen/>
        <w:t>säkrings</w:t>
      </w:r>
      <w:r w:rsidRPr="0008481A">
        <w:softHyphen/>
        <w:t>nämnderna att fatta provisoriska beslut i ärenden rörande förtidspension/sjukbidrag. I vissa fall, exempelvis då provisoriskt beslut fattats av föredraganden under längre tider, tas ärendena upp i nämnden för ställningstagande om provisoriskt beslut kan fattas under ytterligare tid. I förevarande fall var den försäkrade beviljad helt sjukbidrag. När tiden för sjukbidraget gick ut ansökte den försäkrade om fortsatt förtids</w:t>
      </w:r>
      <w:r w:rsidRPr="0008481A">
        <w:softHyphen/>
        <w:t>pension/</w:t>
      </w:r>
      <w:r w:rsidRPr="0008481A">
        <w:softHyphen/>
        <w:t>sjukbidrag. Något läkarutlåtande bifogades inte. Föredraganden besl</w:t>
      </w:r>
      <w:r w:rsidRPr="0008481A">
        <w:t>öt då att provisoriskt förlänga sjukbidraget. Efter hand kom sådana beslut att fattas för tiden juni 1998</w:t>
      </w:r>
      <w:r w:rsidRPr="0008481A">
        <w:rPr>
          <w:rFonts w:ascii="Garamond" w:hAnsi="Garamond"/>
        </w:rPr>
        <w:t>–</w:t>
      </w:r>
      <w:r w:rsidRPr="0008481A">
        <w:t>januari 1999. Föredraganden beslöt därefter att underställa nämnden ärendet för ställningstagande till om provisoriskt beslut kunde fattas under ytterligare tid. Beslutet blev att sjukbidrag skulle beviljas tills vidare.</w:t>
      </w:r>
    </w:p>
    <w:p w:rsidR="003B3271" w:rsidRPr="0008481A" w:rsidRDefault="003B3271">
      <w:pPr>
        <w:pStyle w:val="Citatindrag"/>
      </w:pPr>
      <w:r w:rsidRPr="0008481A">
        <w:t>I det ärende som ovan refererats har av misstag beslutet formulerats enligt följande. ”Helt sjukbidrag fr.o.m. juli [juni, JO:s anm.] 1998 och tills vidare intill dess slutligt beslut f</w:t>
      </w:r>
      <w:r w:rsidRPr="0008481A">
        <w:t>attats.” Enligt den ordning som normalt tillämpas inom kassan skulle beslutet ha formulerats enligt följande. ”Helt sjukbidrag fr.o.m. juli [juni, JO:s anm.] 1998 och tills vidare, dock längst t.o.m. (angivande av månad och år).” Enligt kassans mening uppfyller ett sådant beslut kravet i 7 kap. 1 § lagen om allmän försäkring om att sjukbidrag skall vara begränsat till viss tid.</w:t>
      </w:r>
    </w:p>
    <w:p w:rsidR="003B3271" w:rsidRPr="0008481A" w:rsidRDefault="003B3271">
      <w:r w:rsidRPr="0008481A">
        <w:t xml:space="preserve">I sitt beslut den 12 oktober 1999 anförde </w:t>
      </w:r>
      <w:r w:rsidRPr="0008481A">
        <w:rPr>
          <w:i/>
        </w:rPr>
        <w:t xml:space="preserve">JO Pennlöv </w:t>
      </w:r>
      <w:r w:rsidRPr="0008481A">
        <w:t>följande.</w:t>
      </w:r>
    </w:p>
    <w:p w:rsidR="003B3271" w:rsidRPr="0008481A" w:rsidRDefault="003B3271">
      <w:pPr>
        <w:pStyle w:val="Rubrik3"/>
      </w:pPr>
      <w:r w:rsidRPr="0008481A">
        <w:t>Bedömning</w:t>
      </w:r>
    </w:p>
    <w:p w:rsidR="003B3271" w:rsidRPr="0008481A" w:rsidRDefault="003B3271">
      <w:r w:rsidRPr="0008481A">
        <w:t>Som framgått av de ovan angivna lagrummen skall sjukbidrag fastställas att utgå för viss tid. Det föreligger i detta avseende ingen skillnad på om beslutet är slutligt eller provisoriskt. Försäkringskassans beslut att provisoriskt tillerkänna den försäkrade sjukbidrag tills vidare uppfyllde således inte kravet på begränsning i tiden av förmånen. Kassan har anfört att beslutet av misstag fått en felaktig lydelse. Jag har inte anledning att ifrågasätta detta. Mot den formulering som kassan normalt använder s</w:t>
      </w:r>
      <w:r w:rsidRPr="0008481A">
        <w:t>ig av har jag i princip inga invändningar. För att det aktuella misstaget inte skall upprepas skulle försäkringskassan lämpligen kunna utesluta orden ”och tills vidare”.</w:t>
      </w:r>
    </w:p>
    <w:p w:rsidR="003B3271" w:rsidRPr="0008481A" w:rsidRDefault="003B3271">
      <w:pPr>
        <w:pStyle w:val="Normaltindrag"/>
      </w:pPr>
      <w:r w:rsidRPr="0008481A">
        <w:t>Ärendet avslutas med den kritik som ligger i det sagda.</w:t>
      </w:r>
    </w:p>
    <w:p w:rsidR="003B3271" w:rsidRPr="0008481A" w:rsidRDefault="003B3271">
      <w:pPr>
        <w:pStyle w:val="Rubrik2"/>
        <w:spacing w:before="0"/>
      </w:pPr>
      <w:r w:rsidRPr="0008481A">
        <w:br w:type="page"/>
        <w:t>Fråga om dröjsmål med att fatta beslut i ett ärende rörande handikappersättning. Även fråga om rättelse av en underrättelse om beslut</w:t>
      </w:r>
    </w:p>
    <w:p w:rsidR="003B3271" w:rsidRPr="0008481A" w:rsidRDefault="003B3271">
      <w:r w:rsidRPr="0008481A">
        <w:t>(Dnr 4431-1998)</w:t>
      </w:r>
    </w:p>
    <w:p w:rsidR="003B3271" w:rsidRPr="0008481A" w:rsidRDefault="003B3271">
      <w:r w:rsidRPr="0008481A">
        <w:t xml:space="preserve">I ett beslut den 19 november 1999 </w:t>
      </w:r>
      <w:r w:rsidRPr="0008481A">
        <w:rPr>
          <w:rFonts w:ascii="Garamond" w:hAnsi="Garamond"/>
        </w:rPr>
        <w:t>–</w:t>
      </w:r>
      <w:r w:rsidRPr="0008481A">
        <w:t xml:space="preserve"> som avsåg dåvarande Bohusläns all</w:t>
      </w:r>
      <w:r w:rsidRPr="0008481A">
        <w:softHyphen/>
        <w:t>männa försäkringskassa (numera Västra Götalands läns allmänna för</w:t>
      </w:r>
      <w:r w:rsidRPr="0008481A">
        <w:softHyphen/>
        <w:t>säkrings</w:t>
      </w:r>
      <w:r w:rsidRPr="0008481A">
        <w:softHyphen/>
        <w:t xml:space="preserve">kassa) </w:t>
      </w:r>
      <w:r w:rsidRPr="0008481A">
        <w:rPr>
          <w:rFonts w:ascii="Garamond" w:hAnsi="Garamond"/>
        </w:rPr>
        <w:t>–</w:t>
      </w:r>
      <w:r w:rsidRPr="0008481A">
        <w:t xml:space="preserve"> anförde </w:t>
      </w:r>
      <w:r w:rsidRPr="0008481A">
        <w:rPr>
          <w:i/>
        </w:rPr>
        <w:t xml:space="preserve">JO Pennlöv </w:t>
      </w:r>
      <w:r w:rsidRPr="0008481A">
        <w:t>följande.</w:t>
      </w:r>
    </w:p>
    <w:p w:rsidR="003B3271" w:rsidRPr="0008481A" w:rsidRDefault="003B3271">
      <w:pPr>
        <w:pStyle w:val="Rubrik3"/>
      </w:pPr>
      <w:r w:rsidRPr="0008481A">
        <w:t>Anmälan</w:t>
      </w:r>
    </w:p>
    <w:p w:rsidR="003B3271" w:rsidRPr="0008481A" w:rsidRDefault="003B3271">
      <w:r w:rsidRPr="0008481A">
        <w:t>I en anmälan som kom in till JO den 19 november 1998 har H.F. klagat på försäkringskassans handläggning av ett ärende rörande handikappersättning. Hon har därvid bl.a. anfört att R.F. – på inrådan av försäkringkassan – ansökt om handikappersättning under hösten 1997 och att han ännu inte fått något besked från försäkringskassan i saken. Kassan har inte heller informerat R.F. om förmånen eller om ärendets handläggning.</w:t>
      </w:r>
    </w:p>
    <w:p w:rsidR="003B3271" w:rsidRPr="0008481A" w:rsidRDefault="003B3271">
      <w:pPr>
        <w:pStyle w:val="Rubrik3"/>
      </w:pPr>
      <w:r w:rsidRPr="0008481A">
        <w:t>Utredning</w:t>
      </w:r>
    </w:p>
    <w:p w:rsidR="003B3271" w:rsidRPr="0008481A" w:rsidRDefault="003B3271">
      <w:r w:rsidRPr="0008481A">
        <w:t>Anmälan remitterades den 1 december 1998 till försäkringskassan för yttrande såvitt avser handläggningstiden i ärendet. I remissvaret daterat den 29 januari 1999 hänvisade försäkringskassans direktör Benny Carlsson till ett yttrade av lokalkontoret i Lysekil vari angavs bl.a. följande.</w:t>
      </w:r>
    </w:p>
    <w:p w:rsidR="003B3271" w:rsidRPr="0008481A" w:rsidRDefault="003B3271">
      <w:pPr>
        <w:pStyle w:val="Citat"/>
      </w:pPr>
      <w:r w:rsidRPr="0008481A">
        <w:t>R.F. har den 21 november 1997 inkommit med ansökan om handikapp</w:t>
      </w:r>
      <w:r w:rsidRPr="0008481A">
        <w:softHyphen/>
        <w:t>ersättning. Samtidigt som ansökan om handikappersättning inkom pågick utredning om rätt till assistansersättning. Frågan om assistansersättning behandlades i socialförsäkringsnämnden den 6 april 1998. F. fick avslag på ansökan om assistansersättning. Handikappersättning prövades ej vid detta tillfälle. Beslutet om avslag på assistansersättning har överklagats till läns</w:t>
      </w:r>
      <w:r w:rsidRPr="0008481A">
        <w:softHyphen/>
        <w:t xml:space="preserve">rätten den 6 april 1998. Den 26 maj 1998 efterlyser F. utredning och beslut rörande handikappersättning genom brev till försäkringskassan. </w:t>
      </w:r>
      <w:r w:rsidRPr="0008481A">
        <w:t>Den 30 juni 1998 svarar handläggande tjänsteman på denna förfrågan, att ansökan om handikappersättning ej har prövats, då försäkringskassan väntat på beslut från länsrätten angående rätten till assistansersättning då dessa två förmåner till viss del går i varandra. Därefter har F. ej avhörts.</w:t>
      </w:r>
    </w:p>
    <w:p w:rsidR="003B3271" w:rsidRPr="0008481A" w:rsidRDefault="003B3271">
      <w:pPr>
        <w:pStyle w:val="Citatindrag"/>
      </w:pPr>
      <w:r w:rsidRPr="0008481A">
        <w:t xml:space="preserve">F. har i sin skrivelse till JO framfört tre olika frågeställningar. För det första undrar han om han inte på ett tidigt stadium borde få upplysning och hjälp med att fylla i ansökan om handikappersättning. Detta ansåg </w:t>
      </w:r>
      <w:r w:rsidRPr="0008481A">
        <w:t>hand</w:t>
      </w:r>
      <w:r w:rsidRPr="0008481A">
        <w:softHyphen/>
        <w:t>läggande tjänsteman ej nödvändigt med tanke på att uppgifterna angående hjälpbehovet redan fanns inhämtade för utredning angående assistans</w:t>
      </w:r>
      <w:r w:rsidRPr="0008481A">
        <w:softHyphen/>
        <w:t>ersättning. Nästa fråga är om det har varit riktigt av försäkringskassan att avvakta länsrättens beslut. De båda handikappförmånerna assistansersättning och handikappersättning påverkar varandra inbördes så att om man beviljas assistansersättning kan detta påverka storleken på handikappersättningen då hjälpbehovet tillgodoses genom assistanstimmar. Detta har enligt</w:t>
      </w:r>
      <w:r w:rsidRPr="0008481A">
        <w:t xml:space="preserve"> hand</w:t>
      </w:r>
      <w:r w:rsidRPr="0008481A">
        <w:softHyphen/>
        <w:t>läggande tjänsteman varit anledningen till att man valt att avvakta länsrättens beslut. Den sista frågan är om handläggningstiden kan anses rimlig. När det gäller handläggningstiden för handikappersättning är försäkringskassans mål</w:t>
      </w:r>
      <w:r w:rsidRPr="0008481A">
        <w:softHyphen/>
        <w:t xml:space="preserve">sättning fyra månader. Handläggningstiden för detta ärende är således ej i linje med kassans målsättning. </w:t>
      </w:r>
    </w:p>
    <w:p w:rsidR="003B3271" w:rsidRPr="0008481A" w:rsidRDefault="003B3271">
      <w:pPr>
        <w:pStyle w:val="Citatindrag"/>
      </w:pPr>
      <w:r w:rsidRPr="0008481A">
        <w:t>Lokalkontorets uppfattning i frågan är att ansökan om handikappersättning borde ha prövats samtidigt med rätten till assistansersättning. Att avvakta beslut i länsrätt</w:t>
      </w:r>
      <w:r w:rsidRPr="0008481A">
        <w:t>en har ej varit en riktig åtgärd. Ansökan om handikapp</w:t>
      </w:r>
      <w:r w:rsidRPr="0008481A">
        <w:softHyphen/>
        <w:t>ersättning kommer snarast att behandlas.</w:t>
      </w:r>
    </w:p>
    <w:p w:rsidR="003B3271" w:rsidRPr="0008481A" w:rsidRDefault="003B3271">
      <w:r w:rsidRPr="0008481A">
        <w:t>För egen del anförde Benny Carlsson i huvudsak följande.</w:t>
      </w:r>
    </w:p>
    <w:p w:rsidR="003B3271" w:rsidRPr="0008481A" w:rsidRDefault="003B3271">
      <w:r w:rsidRPr="0008481A">
        <w:t>– – –</w:t>
      </w:r>
    </w:p>
    <w:p w:rsidR="003B3271" w:rsidRPr="0008481A" w:rsidRDefault="003B3271">
      <w:pPr>
        <w:pStyle w:val="Rubrik4"/>
        <w:spacing w:before="120"/>
      </w:pPr>
      <w:r w:rsidRPr="0008481A">
        <w:t>Bedömning</w:t>
      </w:r>
    </w:p>
    <w:p w:rsidR="003B3271" w:rsidRPr="0008481A" w:rsidRDefault="003B3271">
      <w:pPr>
        <w:pStyle w:val="Citat"/>
      </w:pPr>
      <w:r w:rsidRPr="0008481A">
        <w:t>Det är naturligtvis mycket viktigt att den som ansöker om en förmån får den information som är nödvändig, även om alla handlingar/uppgifter redan finns tillgängliga hos kassan. Om så inte skett kan vi bara beklaga detta. När det gäller handläggningstiden är den alltför lång och ligger inte i linje med kassans målsättning. Att avvakta beslutet i länsrätten var inte en riktig åtgärd. Kassan beklagar även detta förfarande.</w:t>
      </w:r>
    </w:p>
    <w:p w:rsidR="003B3271" w:rsidRPr="0008481A" w:rsidRDefault="003B3271">
      <w:pPr>
        <w:pStyle w:val="Rubrik4"/>
      </w:pPr>
      <w:r w:rsidRPr="0008481A">
        <w:t>Åtgärder</w:t>
      </w:r>
    </w:p>
    <w:p w:rsidR="003B3271" w:rsidRPr="0008481A" w:rsidRDefault="003B3271">
      <w:pPr>
        <w:pStyle w:val="Citat"/>
      </w:pPr>
      <w:r w:rsidRPr="0008481A">
        <w:t>Berörda handläggare har informerats om gällande rutiner och regler.</w:t>
      </w:r>
    </w:p>
    <w:p w:rsidR="003B3271" w:rsidRPr="0008481A" w:rsidRDefault="003B3271">
      <w:pPr>
        <w:pStyle w:val="Citatindrag"/>
      </w:pPr>
      <w:r w:rsidRPr="0008481A">
        <w:t>F. kommer att kontaktas och informeras om att hans ansökan om handi</w:t>
      </w:r>
      <w:r w:rsidRPr="0008481A">
        <w:softHyphen/>
        <w:t>kapp</w:t>
      </w:r>
      <w:r w:rsidRPr="0008481A">
        <w:softHyphen/>
      </w:r>
      <w:r w:rsidRPr="0008481A">
        <w:softHyphen/>
        <w:t>ersättning snarast kommer att behandlas.</w:t>
      </w:r>
    </w:p>
    <w:p w:rsidR="003B3271" w:rsidRPr="0008481A" w:rsidRDefault="003B3271">
      <w:r w:rsidRPr="0008481A">
        <w:t>H.F. har beretts tillfälle att yttra sig över försäkringskassans remissvar men har inte hörts av.</w:t>
      </w:r>
    </w:p>
    <w:p w:rsidR="003B3271" w:rsidRPr="0008481A" w:rsidRDefault="003B3271">
      <w:pPr>
        <w:pStyle w:val="Normaltindrag"/>
      </w:pPr>
      <w:r w:rsidRPr="0008481A">
        <w:t>Länsrätten avgjorde – efter överklagande av R.F. – hans mål om assistans</w:t>
      </w:r>
      <w:r w:rsidRPr="0008481A">
        <w:softHyphen/>
        <w:t>ersättning genom dom den 21 december 1998. Länsrätten fastslog därvid att han har behov av personlig assistans för sina grundläggande behov för tid som överstiger 20 timmar per vecka. Länsrätten visade målet åter till kassan för att pröva och fastställa R.F:s assistansbehov. Den 21 juni 1999 fattade försäkringskassan beslut i ärendet. Kassan fattade beslut i R.F:s ärende angående handikappersättning den 25 maj 1999.</w:t>
      </w:r>
    </w:p>
    <w:p w:rsidR="003B3271" w:rsidRPr="0008481A" w:rsidRDefault="003B3271">
      <w:pPr>
        <w:pStyle w:val="Rubrik3"/>
      </w:pPr>
      <w:r w:rsidRPr="0008481A">
        <w:t>Bedömning</w:t>
      </w:r>
    </w:p>
    <w:p w:rsidR="003B3271" w:rsidRPr="0008481A" w:rsidRDefault="003B3271">
      <w:r w:rsidRPr="0008481A">
        <w:t>Det är en allmän förvaltningsrättslig princip att ett ärende skall tas upp till avgörande så snart utredningen är avslutad. Principen har sin legala förankring i det krav på snabbhet i handläggningen som uppställs i 7 § förvaltningslagen (1986:223). I vissa fall har försäkringskassorna intresse av att avvakta vägledande rättsliga avgöranden från högre instans. Att under någon längre tid avvakta ett sådant avgörande kan dock inte anses förenligt med nämnda krav på snabb handläggning. Endast om uppskov med b</w:t>
      </w:r>
      <w:r w:rsidRPr="0008481A">
        <w:t>eslutet medgivits av parten eller om det väntade avgörandet i högre instans är mycket nära förestående anser jag att ett sådant förfarande kan godtas.</w:t>
      </w:r>
    </w:p>
    <w:p w:rsidR="003B3271" w:rsidRPr="0008481A" w:rsidRDefault="003B3271">
      <w:pPr>
        <w:pStyle w:val="Normaltindrag"/>
      </w:pPr>
      <w:r w:rsidRPr="0008481A">
        <w:t>I Allmänna råd 1998:5 Handikappersättning enligt lagen om allmän försäkring anför Riksförsäkringsverket (RFV) under rubriken 6.1 Handikappersättning och andra ersättningar följande på s. 25 f.</w:t>
      </w:r>
    </w:p>
    <w:p w:rsidR="003B3271" w:rsidRPr="0008481A" w:rsidRDefault="003B3271">
      <w:pPr>
        <w:pStyle w:val="Citat"/>
      </w:pPr>
      <w:r w:rsidRPr="0008481A">
        <w:t>Den som omfattas av LSS personkrets har rätt att för sin dagliga livsföring få assistansersättning om han har behov av personlig assistans för sina grundläggande behov under i genomsnitt mer än 20 timmar i veckan. Bestämmelserna om detta finns i lagen om assistansersättning (LASS).</w:t>
      </w:r>
    </w:p>
    <w:p w:rsidR="003B3271" w:rsidRPr="0008481A" w:rsidRDefault="003B3271">
      <w:pPr>
        <w:pStyle w:val="Citatindrag"/>
      </w:pPr>
      <w:r w:rsidRPr="0008481A">
        <w:t>– – –</w:t>
      </w:r>
    </w:p>
    <w:p w:rsidR="003B3271" w:rsidRPr="0008481A" w:rsidRDefault="003B3271">
      <w:pPr>
        <w:pStyle w:val="Citatindrag"/>
      </w:pPr>
      <w:r w:rsidRPr="0008481A">
        <w:t>Det behov av personlig assistans som den enskilde har i sin dagliga livs</w:t>
      </w:r>
      <w:r w:rsidRPr="0008481A">
        <w:softHyphen/>
        <w:t>föring avser i de allra flesta fall samma hjälpbehov som har legat till grund för bedömningen av rätten till handikappersättning. Det innebär att den del av handikappersättningen som kompenserar den funktionshindrades behov av speciell hjälp av annan kan helt eller delvis bli kompenserad med assistans</w:t>
      </w:r>
      <w:r w:rsidRPr="0008481A">
        <w:softHyphen/>
      </w:r>
      <w:r w:rsidRPr="0008481A">
        <w:softHyphen/>
        <w:t>ersättning.</w:t>
      </w:r>
    </w:p>
    <w:p w:rsidR="003B3271" w:rsidRPr="0008481A" w:rsidRDefault="003B3271">
      <w:pPr>
        <w:pStyle w:val="Citatindrag"/>
      </w:pPr>
      <w:r w:rsidRPr="0008481A">
        <w:t>Med hänsyn till vad som sagts ovan rekommenderar RFV att försäkrings</w:t>
      </w:r>
      <w:r w:rsidRPr="0008481A">
        <w:softHyphen/>
        <w:t>kassan gör en omprövning av rätten till handikappersättning i samband med att assistansersättning beviljas. – – –</w:t>
      </w:r>
    </w:p>
    <w:p w:rsidR="003B3271" w:rsidRPr="0008481A" w:rsidRDefault="003B3271">
      <w:r w:rsidRPr="0008481A">
        <w:t>R.F:s ansökan om handikappersättning kom in till försäkringskassan den 21 november 1997. Vid den tidpunkten var fråga om R.F:s rätt till assistans</w:t>
      </w:r>
      <w:r w:rsidRPr="0008481A">
        <w:softHyphen/>
        <w:t>ersättning föremål för utredning hos försäkringskassan. Kassan avgjorde detta ärende genom beslut den 6 april 1998. Efter överklagande av R.F. fastslog länsrätten genom dom den 21 december 1998 att R.F. har behov av personlig assistans för sina grundläggande behov för tid som överstiger 20 timmar per vecka varvid länsrätten återförvisade målet till försäkringskassan för att pröva och fastställa assistansbehovet. Kassan avgjorde härefter R.F:s ärende om assistansersättning genom beslut den 21 juni 1999. Han</w:t>
      </w:r>
      <w:r w:rsidRPr="0008481A">
        <w:t xml:space="preserve">s ärende angående handikappersättning avgjorde kassan genom beslut den 25 maj 1999. </w:t>
      </w:r>
    </w:p>
    <w:p w:rsidR="003B3271" w:rsidRPr="0008481A" w:rsidRDefault="003B3271">
      <w:pPr>
        <w:pStyle w:val="Normaltindrag"/>
      </w:pPr>
      <w:r w:rsidRPr="0008481A">
        <w:t>Genom utredningen har framkommit att R.F:s ärende om handikapp</w:t>
      </w:r>
      <w:r w:rsidRPr="0008481A">
        <w:softHyphen/>
        <w:t>ersättning var färdigt för avgörande redan vid tidpunkten för kassans beslut i ärendet angående assistansersättning den 6 april 1998. I vart fall torde några mera omfattande utredningsåtgärder för att ett materiellt riktigt beslut skulle kunna ha fattats vid den tidpunkten inte ha krävts. Försäkringskassan har emellertid valt att avvakta med att avgöra frågan om R.F:s rätt till handikapp</w:t>
      </w:r>
      <w:r w:rsidRPr="0008481A">
        <w:softHyphen/>
        <w:t xml:space="preserve">ersättning till dess att länsrätten – efter överklagande av R.F. – prövat frågan om hans rätt till assistansersättning. </w:t>
      </w:r>
      <w:r w:rsidRPr="0008481A">
        <w:t>Som skäl för att avvakta länsrättens dom har kassan angivit att de båda förmånerna påverkar varandra inbördes så att assistansersättningen kan komma att påverka handikapp</w:t>
      </w:r>
      <w:r w:rsidRPr="0008481A">
        <w:softHyphen/>
        <w:t>ersättningens storlek.</w:t>
      </w:r>
    </w:p>
    <w:p w:rsidR="003B3271" w:rsidRPr="0008481A" w:rsidRDefault="003B3271">
      <w:pPr>
        <w:pStyle w:val="Normaltindrag"/>
      </w:pPr>
      <w:r w:rsidRPr="0008481A">
        <w:t>Om personlig assistans beviljas kan detta – som framgått ovan – påverka rätten till handikappersättning vad gäller ersättningens storlek. Detta är dock enligt min mening inte ett godtagbart skäl för att – på sätt som skett i R.F:s fall – avvakta med att fatta beslut i fråga om rätten till handikappersättning.</w:t>
      </w:r>
    </w:p>
    <w:p w:rsidR="003B3271" w:rsidRPr="0008481A" w:rsidRDefault="003B3271">
      <w:pPr>
        <w:pStyle w:val="Normaltindrag"/>
      </w:pPr>
      <w:r w:rsidRPr="0008481A">
        <w:t>Försäkringskassan har i remissvaret beklagat dröjsmålet i R.F:s ärende om handikappersättning och anfört att den borde ha avgjort de båda ärendena gällande assistansersättning och handikappersättning samtidigt. Jag är av samma uppfattning. Kassan förtjänar kritik för att ärendets slutbehandling fördröjts.</w:t>
      </w:r>
    </w:p>
    <w:p w:rsidR="003B3271" w:rsidRPr="0008481A" w:rsidRDefault="003B3271">
      <w:pPr>
        <w:pStyle w:val="Normaltindrag"/>
      </w:pPr>
      <w:r w:rsidRPr="0008481A">
        <w:t>Avslutningsvis vill jag anteckna följande. Av från försäkringskassan infordrade handlingar framgår att kassan vid rättelse av en felskrivning i sin underrättelse om socialförsäkringsnämndens beslut den 21 juni 1999 i R.F:s ärende om assistansersättning åberopat 20 kap. 10 a § lagen (1962:381) om all</w:t>
      </w:r>
      <w:r w:rsidRPr="0008481A">
        <w:softHyphen/>
        <w:t xml:space="preserve">män försäkring (AFL). Vad avser rättelse av underrättelser om beslut har jag i tidigare ärenden (se JO:s ämbetsberättelser 1997/98 s. 402 f. och 1999/2000 s. 304 f.) framhållit att </w:t>
      </w:r>
      <w:r w:rsidRPr="0008481A">
        <w:rPr>
          <w:i/>
        </w:rPr>
        <w:t>beslut</w:t>
      </w:r>
      <w:r w:rsidRPr="0008481A">
        <w:t xml:space="preserve"> får eller skall ändras med stöd av 20 kap. 10 a § AFL men att </w:t>
      </w:r>
      <w:r w:rsidRPr="0008481A">
        <w:rPr>
          <w:i/>
        </w:rPr>
        <w:t xml:space="preserve">underrättelser om beslut </w:t>
      </w:r>
      <w:r w:rsidRPr="0008481A">
        <w:t>inte kan ändras med stöd av detta lagrum. Om en beslutsunderrättelse är felaktig eller ofullständig skall rättelse ske med stöd av allmänna principer. Detta kan företrädesvis ske genom att försäkringskassan till den försäkrade skickar e</w:t>
      </w:r>
      <w:r w:rsidRPr="0008481A">
        <w:t xml:space="preserve">n skrivelse, i vilken felaktigheten eller ofullständigheten påpekas och tillrättaläggs. Vidare bör en rättelse göras på den felaktiga eller ofullständiga beslutsunderrättelsen som sedan signeras och dateras. Alternativt kan en hänvisning till den särskilda skrivelsen göras på beslutsunderrättelsen. </w:t>
      </w:r>
    </w:p>
    <w:p w:rsidR="003B3271" w:rsidRPr="0008481A" w:rsidRDefault="003B3271">
      <w:pPr>
        <w:pStyle w:val="Normaltindrag"/>
      </w:pPr>
      <w:r w:rsidRPr="0008481A">
        <w:t>I övrigt har inget framkommit som ger mig anledning till något uttalande.</w:t>
      </w:r>
    </w:p>
    <w:p w:rsidR="003B3271" w:rsidRPr="0008481A" w:rsidRDefault="003B3271">
      <w:pPr>
        <w:pStyle w:val="Normaltindrag"/>
      </w:pPr>
      <w:r w:rsidRPr="0008481A">
        <w:t>Ärendet avslutas.</w:t>
      </w:r>
    </w:p>
    <w:p w:rsidR="003B3271" w:rsidRPr="0008481A" w:rsidRDefault="003B3271">
      <w:pPr>
        <w:pStyle w:val="Rubrik2"/>
      </w:pPr>
      <w:r w:rsidRPr="0008481A">
        <w:t>Ett initiativärende rörande återbetalning av utgivna bidragsbelopp i ett ärende om</w:t>
      </w:r>
      <w:r w:rsidRPr="0008481A">
        <w:rPr>
          <w:b/>
        </w:rPr>
        <w:t xml:space="preserve"> </w:t>
      </w:r>
      <w:r w:rsidRPr="0008481A">
        <w:t>un</w:t>
      </w:r>
      <w:r w:rsidRPr="0008481A">
        <w:softHyphen/>
        <w:t>der</w:t>
      </w:r>
      <w:r w:rsidRPr="0008481A">
        <w:softHyphen/>
        <w:t>hålls</w:t>
      </w:r>
      <w:r w:rsidRPr="0008481A">
        <w:softHyphen/>
        <w:t>stöd. Även fråga om för</w:t>
      </w:r>
      <w:r w:rsidRPr="0008481A">
        <w:softHyphen/>
        <w:t>säk</w:t>
      </w:r>
      <w:r w:rsidRPr="0008481A">
        <w:softHyphen/>
        <w:t>rings</w:t>
      </w:r>
      <w:r w:rsidRPr="0008481A">
        <w:softHyphen/>
        <w:t>kas</w:t>
      </w:r>
      <w:r w:rsidRPr="0008481A">
        <w:softHyphen/>
        <w:t>sans dröjsmål med att verkställa en länsrättsdom</w:t>
      </w:r>
    </w:p>
    <w:p w:rsidR="003B3271" w:rsidRPr="0008481A" w:rsidRDefault="003B3271">
      <w:r w:rsidRPr="0008481A">
        <w:t>(Dnr 1426-1999)</w:t>
      </w:r>
    </w:p>
    <w:p w:rsidR="003B3271" w:rsidRPr="0008481A" w:rsidRDefault="003B3271">
      <w:r w:rsidRPr="0008481A">
        <w:t xml:space="preserve">I ett den 8 juni 2000 meddelat beslut anförde </w:t>
      </w:r>
      <w:r w:rsidRPr="0008481A">
        <w:rPr>
          <w:i/>
        </w:rPr>
        <w:t xml:space="preserve">JO Pennlöv </w:t>
      </w:r>
      <w:r w:rsidRPr="0008481A">
        <w:t>följande.</w:t>
      </w:r>
    </w:p>
    <w:p w:rsidR="003B3271" w:rsidRPr="0008481A" w:rsidRDefault="003B3271">
      <w:pPr>
        <w:pStyle w:val="Rubrik3"/>
      </w:pPr>
      <w:r w:rsidRPr="0008481A">
        <w:t>Initiativet m.m.</w:t>
      </w:r>
    </w:p>
    <w:p w:rsidR="003B3271" w:rsidRPr="0008481A" w:rsidRDefault="003B3271">
      <w:r w:rsidRPr="0008481A">
        <w:t>Vid min inspektion av Kronobergs läns allmänna försäkringskassa den 23</w:t>
      </w:r>
      <w:r w:rsidRPr="0008481A">
        <w:rPr>
          <w:rFonts w:ascii="Garamond" w:hAnsi="Garamond"/>
        </w:rPr>
        <w:t>–</w:t>
      </w:r>
      <w:r w:rsidRPr="0008481A">
        <w:t>25 mars 1999 (dnr 1206-1999) granskade jag bl.a. ärenden om underhålls</w:t>
      </w:r>
      <w:r w:rsidRPr="0008481A">
        <w:softHyphen/>
        <w:t>stöd enligt lagen (1996:1030) om underhållsstöd. I ett av dessa ärenden observe</w:t>
      </w:r>
      <w:r w:rsidRPr="0008481A">
        <w:softHyphen/>
        <w:t>ra</w:t>
      </w:r>
      <w:r w:rsidRPr="0008481A">
        <w:softHyphen/>
        <w:t>des följande.</w:t>
      </w:r>
    </w:p>
    <w:p w:rsidR="003B3271" w:rsidRPr="0008481A" w:rsidRDefault="003B3271">
      <w:pPr>
        <w:pStyle w:val="Normaltindrag"/>
      </w:pPr>
      <w:r w:rsidRPr="0008481A">
        <w:t>X. hade av tingsrätten förpliktats att utge underhållsbidrag till Y. med 1 000 kr i månaden fr.o.m. den 1 juli 1995. Y. ansökte om bidragsför</w:t>
      </w:r>
      <w:r w:rsidRPr="0008481A">
        <w:softHyphen/>
        <w:t>skott. Bidragsförskott beviljades den 12 december 1995 i form av utfyllnads</w:t>
      </w:r>
      <w:r w:rsidRPr="0008481A">
        <w:softHyphen/>
        <w:t>bidrag med 173 kr per månad. X. skulle även fortsättningsvis betala underhålls</w:t>
      </w:r>
      <w:r w:rsidRPr="0008481A">
        <w:softHyphen/>
        <w:t>bidraget direkt till Y.</w:t>
      </w:r>
    </w:p>
    <w:p w:rsidR="003B3271" w:rsidRPr="0008481A" w:rsidRDefault="003B3271">
      <w:pPr>
        <w:pStyle w:val="Normaltindrag"/>
      </w:pPr>
      <w:r w:rsidRPr="0008481A">
        <w:t xml:space="preserve">I april 1997 </w:t>
      </w:r>
      <w:r w:rsidRPr="0008481A">
        <w:rPr>
          <w:rFonts w:ascii="Garamond" w:hAnsi="Garamond"/>
        </w:rPr>
        <w:t>–</w:t>
      </w:r>
      <w:r w:rsidRPr="0008481A">
        <w:t xml:space="preserve"> efter att lagen (1996:1030) om underhållsstöd trätt i kraft </w:t>
      </w:r>
      <w:r w:rsidRPr="0008481A">
        <w:rPr>
          <w:rFonts w:ascii="Garamond" w:hAnsi="Garamond"/>
        </w:rPr>
        <w:t>–</w:t>
      </w:r>
      <w:r w:rsidRPr="0008481A">
        <w:t xml:space="preserve"> med</w:t>
      </w:r>
      <w:r w:rsidRPr="0008481A">
        <w:softHyphen/>
        <w:t>delade försäkringskassan X. att den övervägde att ändra utfyllnads</w:t>
      </w:r>
      <w:r w:rsidRPr="0008481A">
        <w:softHyphen/>
        <w:t>bidraget. Den 22 april 1997 beslutade kassan att dra in utfyllnadsbidraget. Anledningen var att X:s betalningsskyldighet beräknades till 1 173 kr per månad vilket motsvarar fullt underhållsstöd. X. ansåg att försäkrings</w:t>
      </w:r>
      <w:r w:rsidRPr="0008481A">
        <w:softHyphen/>
        <w:t>kassan hade beräknat hans inkomst felaktigt och begärde därför omprövning av kassans beslut. Kassan ändrade inte sitt tidigare beslut. Omprövnings</w:t>
      </w:r>
      <w:r w:rsidRPr="0008481A">
        <w:softHyphen/>
        <w:t xml:space="preserve">beslutet </w:t>
      </w:r>
      <w:r w:rsidRPr="0008481A">
        <w:rPr>
          <w:rFonts w:ascii="Garamond" w:hAnsi="Garamond"/>
        </w:rPr>
        <w:t>–</w:t>
      </w:r>
      <w:r w:rsidRPr="0008481A">
        <w:t xml:space="preserve"> som meddelades den 12 juni 1997 </w:t>
      </w:r>
      <w:r w:rsidRPr="0008481A">
        <w:rPr>
          <w:rFonts w:ascii="Garamond" w:hAnsi="Garamond"/>
        </w:rPr>
        <w:t>–</w:t>
      </w:r>
      <w:r w:rsidRPr="0008481A">
        <w:t xml:space="preserve"> rubricerades Omprövning av beslut om återbetalning av underhållsstöd. X. överklagade beslutet hos länsrätten, som avslog överklagandet. X. överklagade länsrättens dom hos kammar</w:t>
      </w:r>
      <w:r w:rsidRPr="0008481A">
        <w:softHyphen/>
        <w:t>rätten, som i en dom den 9 juli 1998 beslutade att, med ändring av länsrättens dom och försäkringskassans beslut, beräkna X:s inkomst till ett lägre belopp och att det bidragspliktiga beloppet skulle sänkas i enlighet därmed. Kammarrätten återförvisade därefter målet till försäkringskassan för erfo</w:t>
      </w:r>
      <w:r w:rsidRPr="0008481A">
        <w:t>rderlig handläggning.</w:t>
      </w:r>
    </w:p>
    <w:p w:rsidR="003B3271" w:rsidRPr="0008481A" w:rsidRDefault="003B3271">
      <w:pPr>
        <w:pStyle w:val="Normaltindrag"/>
      </w:pPr>
      <w:r w:rsidRPr="0008481A">
        <w:t xml:space="preserve">Med anledning av kammarrättens dom meddelade försäkringskassan den 17 mars 1999 beslut i ärendet. Kassan beräknade X:s </w:t>
      </w:r>
      <w:r w:rsidRPr="0008481A">
        <w:rPr>
          <w:i/>
        </w:rPr>
        <w:t>återbetalningsskyl</w:t>
      </w:r>
      <w:r w:rsidRPr="0008481A">
        <w:rPr>
          <w:i/>
        </w:rPr>
        <w:softHyphen/>
        <w:t xml:space="preserve">dighet </w:t>
      </w:r>
      <w:r w:rsidRPr="0008481A">
        <w:t>till 916 kr per månad. Vidare beslutade kassan att inte betala ut underhållsstöd i form av utfyllnad. Skälet härför var att det framkommit att X. hade betalat 1 173 kr i månaden i underhåll.</w:t>
      </w:r>
    </w:p>
    <w:p w:rsidR="003B3271" w:rsidRPr="0008481A" w:rsidRDefault="003B3271">
      <w:pPr>
        <w:pStyle w:val="Normaltindrag"/>
      </w:pPr>
      <w:r w:rsidRPr="0008481A">
        <w:t>Med anledning av vad som iakttagits beslutade jag att inom ramen för ett initiativärende utreda kassans handläggning av det aktuella ärendet. En särskild promemoria upprättades av föredraganden. Promemorian innehöll i huvudsak vad som återgivits ovan.</w:t>
      </w:r>
    </w:p>
    <w:p w:rsidR="003B3271" w:rsidRPr="0008481A" w:rsidRDefault="003B3271">
      <w:pPr>
        <w:pStyle w:val="Rubrik3"/>
      </w:pPr>
      <w:r w:rsidRPr="0008481A">
        <w:t>Utredning</w:t>
      </w:r>
    </w:p>
    <w:p w:rsidR="003B3271" w:rsidRPr="0008481A" w:rsidRDefault="003B3271">
      <w:r w:rsidRPr="0008481A">
        <w:t>Ärendet remitterades till försäkringskassan för yttrande över följande i promemorian upptagna frågeställningar.</w:t>
      </w:r>
    </w:p>
    <w:p w:rsidR="003B3271" w:rsidRPr="0008481A" w:rsidRDefault="003B3271">
      <w:pPr>
        <w:pStyle w:val="Citat"/>
      </w:pPr>
      <w:r w:rsidRPr="0008481A">
        <w:t>Varför har kassan dröjt drygt åtta månader med att vidta åtgärder med anledning av kammarrättens dom? (Av akten framgår att kammarrättens dom kom in till kassan den 13 juli 1998.)</w:t>
      </w:r>
    </w:p>
    <w:p w:rsidR="003B3271" w:rsidRPr="0008481A" w:rsidRDefault="003B3271">
      <w:pPr>
        <w:pStyle w:val="Citatindrag"/>
      </w:pPr>
      <w:r w:rsidRPr="0008481A">
        <w:t>Varför har kassan tagit ställning till X:s återbetalningsskyldighet? Av akten framgår inte att kassan utgett något belopp för vilket X. skulle ha blivit återbetalningsskyldig.</w:t>
      </w:r>
    </w:p>
    <w:p w:rsidR="003B3271" w:rsidRPr="0008481A" w:rsidRDefault="003B3271">
      <w:pPr>
        <w:pStyle w:val="Citatindrag"/>
      </w:pPr>
      <w:r w:rsidRPr="0008481A">
        <w:t>X. har utgett underhållsbidrag i enlighet med kassans beslut den 22 april 1997. Kassan har med anledning av kammarrättens dom numera sänkt det bidragspliktiga beloppet. Har X. möjlighet att återfå mellanskillnaden? Vad hade gällt rörande mellanskillnaden om X., i stället för att erlägga 1 173 kronor i enlighet med kassans beslut, endast utgett 1 000 kronor i månaden i underhåll.</w:t>
      </w:r>
    </w:p>
    <w:p w:rsidR="003B3271" w:rsidRPr="0008481A" w:rsidRDefault="003B3271">
      <w:r w:rsidRPr="0008481A">
        <w:t>I remissvaret anförde försäkringskassan följande.</w:t>
      </w:r>
    </w:p>
    <w:p w:rsidR="003B3271" w:rsidRPr="0008481A" w:rsidRDefault="003B3271">
      <w:pPr>
        <w:pStyle w:val="Citat"/>
      </w:pPr>
      <w:r w:rsidRPr="0008481A">
        <w:t>– – –</w:t>
      </w:r>
    </w:p>
    <w:p w:rsidR="003B3271" w:rsidRPr="0008481A" w:rsidRDefault="003B3271">
      <w:pPr>
        <w:pStyle w:val="Citat"/>
      </w:pPr>
      <w:r w:rsidRPr="0008481A">
        <w:t>När det gäller varför kassan dröjt drygt åtta månader med att vidta åtgärder med anledning av kammarrättens dom har yttrande inhämtats från loka</w:t>
      </w:r>
      <w:r w:rsidRPr="0008481A">
        <w:softHyphen/>
        <w:t>l</w:t>
      </w:r>
      <w:r w:rsidRPr="0008481A">
        <w:softHyphen/>
        <w:t>kontoret i Ljungby. Enligt lokalkontoret hade handläggaren missupp</w:t>
      </w:r>
      <w:r w:rsidRPr="0008481A">
        <w:softHyphen/>
        <w:t>fattat ärendet och trodde att hon skulle få ytterligare besked om hur ärendet skulle handläggas. Sektionschefen upptäckte att ärendet inte var åtgärdat när hon sökte efter det i annat sammanhang. Ärendet åtgärdades samma dag man upptäckt misstaget.</w:t>
      </w:r>
    </w:p>
    <w:p w:rsidR="003B3271" w:rsidRPr="0008481A" w:rsidRDefault="003B3271">
      <w:pPr>
        <w:pStyle w:val="Citatindrag"/>
      </w:pPr>
      <w:r w:rsidRPr="0008481A">
        <w:t>Grundbeslutet som domen från kammarrätten avser gäller underhållsstöd i form av utfyllnadsbidrag. För att kunna bestämma hur stort utfyllnadsbidrag som ska utbetalas till boföräldern måste förs</w:t>
      </w:r>
      <w:r w:rsidRPr="0008481A">
        <w:t>äkringskassan fastställa ett fiktivt återbetalningsbelopp. Detta fiktiva återbetalningsbelopp fastställs på samma grunder som när återbetalningsbelopp fastställs enligt 24–28 §§ lagen om underhållsstöd. Återbetalningsskyldigheten som nämns i beslutet den 17 mars 1999 avser den skyldighet den bidragsskyldige minst har att betala direkt till boföräldern.</w:t>
      </w:r>
    </w:p>
    <w:p w:rsidR="003B3271" w:rsidRPr="0008481A" w:rsidRDefault="003B3271">
      <w:pPr>
        <w:pStyle w:val="Citatindrag"/>
      </w:pPr>
      <w:r w:rsidRPr="0008481A">
        <w:t>Formuleringen i beslutet daterat den 17 mars 1999 om återbetalnings</w:t>
      </w:r>
      <w:r w:rsidRPr="0008481A">
        <w:softHyphen/>
        <w:t>skyl</w:t>
      </w:r>
      <w:r w:rsidRPr="0008481A">
        <w:softHyphen/>
        <w:t>dighet är inte bra. Skälet till att utfyllnadsbidrag inte betalas ut är att den bidragsskyldige direkt till boföräldern har betalat underhåll som inte är lägre än det belopp som enligt lagen om underhållsstöd skulle betalas i underhålls</w:t>
      </w:r>
      <w:r w:rsidRPr="0008481A">
        <w:softHyphen/>
        <w:t>stöd till barnet, dvs 1 173 kronor (4 § p. 2 lagen om underhållsstöd). Den bidragsskyldige borde under separat rubrik ”Information” [ha] meddelats att försäkringskassan beräknat hans återbetalningsskyldighet till 916 kronor per månad utifrån den återbetalningsgrundande</w:t>
      </w:r>
      <w:r w:rsidRPr="0008481A">
        <w:t xml:space="preserve"> inkomst som hade fastställts av kammarrätten.</w:t>
      </w:r>
    </w:p>
    <w:p w:rsidR="003B3271" w:rsidRPr="0008481A" w:rsidRDefault="003B3271">
      <w:pPr>
        <w:pStyle w:val="Citatindrag"/>
      </w:pPr>
      <w:r w:rsidRPr="0008481A">
        <w:t>Den bidragsskyldige har ingen möjlighet att återfå mellanskillnaden (1 173–916) från försäkringskassan eftersom kassan inte har krävt honom på något återbetalningsbelopp.</w:t>
      </w:r>
    </w:p>
    <w:p w:rsidR="003B3271" w:rsidRPr="0008481A" w:rsidRDefault="003B3271">
      <w:pPr>
        <w:pStyle w:val="Citatindrag"/>
      </w:pPr>
      <w:r w:rsidRPr="0008481A">
        <w:t>Om den bidragsskyldige hade fortsatt att betala 1 000 kronor till boför</w:t>
      </w:r>
      <w:r w:rsidRPr="0008481A">
        <w:softHyphen/>
        <w:t>äldern så hade hon haft rätt att ansöka om helt underhållsstöd. Hade den bidragsskyldige fortsatt att till försäkringskassan betala 1 000 kronor efter det att beslutet om helt underhållsstöd hade fattats så hade ärendet gått över till kronofogdemyndigheten. Emellertid hade den bidragsskyldige fått sin even</w:t>
      </w:r>
      <w:r w:rsidRPr="0008481A">
        <w:softHyphen/>
        <w:t>tuella skuld korrigerad eller fått mellanskillnaden tillbaka om skuld saknats när kammarrätten ändrade den bidragsskyldiges återbetalnings</w:t>
      </w:r>
      <w:r w:rsidRPr="0008481A">
        <w:softHyphen/>
        <w:t>grundan</w:t>
      </w:r>
      <w:r w:rsidRPr="0008481A">
        <w:softHyphen/>
        <w:t>de inkomst.</w:t>
      </w:r>
    </w:p>
    <w:p w:rsidR="003B3271" w:rsidRPr="0008481A" w:rsidRDefault="003B3271">
      <w:pPr>
        <w:pStyle w:val="Citatindrag"/>
      </w:pPr>
      <w:r w:rsidRPr="0008481A">
        <w:t>Om den bidragsskyldige hade fortsatt att bet</w:t>
      </w:r>
      <w:r w:rsidRPr="0008481A">
        <w:t>ala 1 000 kronor till boför</w:t>
      </w:r>
      <w:r w:rsidRPr="0008481A">
        <w:softHyphen/>
        <w:t>äldern och boföräldern inte hade ansökt om helt underhållsstöd hade utfyll</w:t>
      </w:r>
      <w:r w:rsidRPr="0008481A">
        <w:softHyphen/>
        <w:t>nads</w:t>
      </w:r>
      <w:r w:rsidRPr="0008481A">
        <w:softHyphen/>
        <w:t>bidrag beviljats från och med februari 1997 enligt 8 § lagen om underhållsstöd. Utfyllnadsbidrag hade då betalats ut till boföräldern med 257 kronor per månad (1 173–916) för tiden februari 1997–januari 1998. Sedan hade det varit upp till boföräldern om hon hade överlämnat en del av pengarna till den bidragsskyldige.</w:t>
      </w:r>
    </w:p>
    <w:p w:rsidR="003B3271" w:rsidRPr="0008481A" w:rsidRDefault="003B3271">
      <w:pPr>
        <w:pStyle w:val="Rubrik3"/>
      </w:pPr>
      <w:r w:rsidRPr="0008481A">
        <w:t>Bedömning</w:t>
      </w:r>
    </w:p>
    <w:p w:rsidR="003B3271" w:rsidRPr="0008481A" w:rsidRDefault="003B3271">
      <w:pPr>
        <w:pStyle w:val="Rubrik4"/>
        <w:spacing w:before="120"/>
      </w:pPr>
      <w:r w:rsidRPr="0008481A">
        <w:t>Dröjsmål med verkställande av domstols dom</w:t>
      </w:r>
    </w:p>
    <w:p w:rsidR="003B3271" w:rsidRPr="0008481A" w:rsidRDefault="003B3271">
      <w:r w:rsidRPr="0008481A">
        <w:t>Av utredningen i ärendet framgår att det tog försäkringskassan drygt åtta månader att verkställa kammarrättens dom den 9 juli 1998. Kassans för</w:t>
      </w:r>
      <w:r w:rsidRPr="0008481A">
        <w:softHyphen/>
        <w:t>kla</w:t>
      </w:r>
      <w:r w:rsidRPr="0008481A">
        <w:softHyphen/>
        <w:t>ring är att handläggaren missuppfattat ärendet och trott att ytterligare besked skulle ges om hur ärendet skulle handläggas. Mot bakgrund av att den ut</w:t>
      </w:r>
      <w:r w:rsidRPr="0008481A">
        <w:softHyphen/>
        <w:t>dragna handläggningstiden förefaller bero på ett enstaka misstag anser jag inte att det föreligger skäl att säga mer om den saken. Av remissvaret fram</w:t>
      </w:r>
      <w:r w:rsidRPr="0008481A">
        <w:softHyphen/>
        <w:t>går dock att kassan av en tillfällighet, cirka åtta månader efter det att den erhållit kammarrättens dom, upptäckt att ärendet inte åtgärdats. Detta tyder enligt min mening på att det föreligger stora bri</w:t>
      </w:r>
      <w:r w:rsidRPr="0008481A">
        <w:t>ster i kassans bevaknings</w:t>
      </w:r>
      <w:r w:rsidRPr="0008481A">
        <w:softHyphen/>
        <w:t>rutiner vilket är allvarligt, särskilt med beaktande av att mål som återför</w:t>
      </w:r>
      <w:r w:rsidRPr="0008481A">
        <w:softHyphen/>
        <w:t>visats från domstol skall handläggas med förtur. Försäkringskassan har verkställt kammarrättens dom. Jag utgår dessutom från att kassan ser över sina bevakningsrutiner. Jag finner därför inte anledning att vidta ytterligare åtgärder i saken.</w:t>
      </w:r>
    </w:p>
    <w:p w:rsidR="003B3271" w:rsidRPr="0008481A" w:rsidRDefault="003B3271">
      <w:pPr>
        <w:pStyle w:val="Rubrik4"/>
      </w:pPr>
      <w:r w:rsidRPr="0008481A">
        <w:t>Ställningstagande till återbetalningsskyldighet</w:t>
      </w:r>
    </w:p>
    <w:p w:rsidR="003B3271" w:rsidRPr="0008481A" w:rsidRDefault="003B3271">
      <w:r w:rsidRPr="0008481A">
        <w:t>Av kassans remissvar framgår att kassan i beslutet den 17 mars 1999 inte avsett att fastställa någon återbetalningsskyldighet utan endast ett fiktivt återbetalningsbelopp för att därigenom kunna bestämma storleken av ett eventuellt utgående utfyllnadsbidrag. Kassan har förklarat att formuleringen i beslutet inte var bra. Jag instämmer i denna bedömning. Eftersom annat inte framkommit än att det rör sig om en olycklig formulering säger jag inte mer om den saken.</w:t>
      </w:r>
    </w:p>
    <w:p w:rsidR="003B3271" w:rsidRPr="0008481A" w:rsidRDefault="003B3271">
      <w:pPr>
        <w:pStyle w:val="Normaltindrag"/>
      </w:pPr>
      <w:r w:rsidRPr="0008481A">
        <w:t>I beslutet den 17 mars 1999 anges att skälet till att något utfyllnadsbidrag inte beviljades var att den bidragsskyldige betalat underhåll direkt till bo</w:t>
      </w:r>
      <w:r w:rsidRPr="0008481A">
        <w:softHyphen/>
        <w:t>föräldern med ett belopp som uppgick till det belopp som maximalt kan utges i underhållsstöd enligt lagen. Eftersom anledningen till att något utfyll</w:t>
      </w:r>
      <w:r w:rsidRPr="0008481A">
        <w:softHyphen/>
        <w:t>nadsbidrag inte beviljades således inte längre var den bidragsskyldiges framräknade betalningsskyldighet hade det, vilket kassan också påpekat, varit bättre att under en särskild rubrik ha informerat den bidragsskyldige om att det bidragspliktiga beloppet (och inte återbetalningsskyldigheten, då någon sådan inte var fastställd i ärendet) med hänsyn till kamma</w:t>
      </w:r>
      <w:r w:rsidRPr="0008481A">
        <w:t>rrättens dom sänkts från 1 173 kr till 916 kr.</w:t>
      </w:r>
    </w:p>
    <w:p w:rsidR="003B3271" w:rsidRPr="0008481A" w:rsidRDefault="003B3271">
      <w:pPr>
        <w:pStyle w:val="Rubrik4"/>
      </w:pPr>
      <w:r w:rsidRPr="0008481A">
        <w:t>Återbetalning av bidragspliktigt belopp</w:t>
      </w:r>
    </w:p>
    <w:p w:rsidR="003B3271" w:rsidRPr="0008481A" w:rsidRDefault="003B3271">
      <w:r w:rsidRPr="0008481A">
        <w:t>Såsom kassan anfört i remissvaret kan en bidragsskyldig i förevarande fall, då någon återbetalningsskyldighet inte fastställts, inte från försäkringskassan få tillbaka det han betalt för mycket. Den bidragsskyldige är i stället hänvisad till att vända sig till boföräldern. Om den bidragsskyldige i stället hade vägrat att rätta sig efter kassans beslut om att han skulle betala 1 173 kr direkt till boföräldern och boföräldern på grund härav ansökt om underhållsstöd, skulle kassan ha beslutat om helt underhål</w:t>
      </w:r>
      <w:r w:rsidRPr="0008481A">
        <w:t>lsstöd och samtidigt fastställt en åter</w:t>
      </w:r>
      <w:r w:rsidRPr="0008481A">
        <w:softHyphen/>
        <w:t>betalningsskyldighet. Den bidragsskyldige hade i så fall efter det att kammarrätten ändrat kassans beslut fått tillbaka ett eventuellt för mycket inbetalt belopp. Alternativt hade en eventuell skuld hos kronofogdemyndig</w:t>
      </w:r>
      <w:r w:rsidRPr="0008481A">
        <w:softHyphen/>
        <w:t>heten justerats. Enligt min mening är det olyckligt att möjligheten för den bidragsskyldige att återfå det han betalt för mycket skall vara olika beroende av hur han agerat tidigare; detta särskilt med hänsyn till att det är den bidragsskyldige (som fö</w:t>
      </w:r>
      <w:r w:rsidRPr="0008481A">
        <w:t>ljt kassans beslut) som har att på egen hand kräva in beloppet. Med hänsyn härtill finner jag anledning att överlämna en kopia av detta beslut till Socialdepartementet för kännedom.</w:t>
      </w:r>
    </w:p>
    <w:p w:rsidR="003B3271" w:rsidRPr="0008481A" w:rsidRDefault="003B3271">
      <w:pPr>
        <w:pStyle w:val="Normaltindrag"/>
      </w:pPr>
      <w:r w:rsidRPr="0008481A">
        <w:t>Ärendet avslutas med den kritik som ligger i det ovan sagda.</w:t>
      </w:r>
    </w:p>
    <w:p w:rsidR="003B3271" w:rsidRPr="0008481A" w:rsidRDefault="003B3271">
      <w:pPr>
        <w:pStyle w:val="Rubrik2"/>
      </w:pPr>
      <w:r w:rsidRPr="0008481A">
        <w:t>Kritik mot försäkringskassa i fråga om utformningen av en underrättelse om ett av socialförsäkringsnämnden fattat beslut</w:t>
      </w:r>
    </w:p>
    <w:p w:rsidR="003B3271" w:rsidRPr="0008481A" w:rsidRDefault="003B3271">
      <w:r w:rsidRPr="0008481A">
        <w:t>(Dnr 439-2000)</w:t>
      </w:r>
    </w:p>
    <w:p w:rsidR="003B3271" w:rsidRPr="0008481A" w:rsidRDefault="003B3271">
      <w:r w:rsidRPr="0008481A">
        <w:t>Den 14</w:t>
      </w:r>
      <w:r w:rsidRPr="0008481A">
        <w:rPr>
          <w:rFonts w:ascii="Garamond" w:hAnsi="Garamond"/>
        </w:rPr>
        <w:t>–</w:t>
      </w:r>
      <w:r w:rsidRPr="0008481A">
        <w:t xml:space="preserve">16 mars 2000 inspekterade </w:t>
      </w:r>
      <w:r w:rsidRPr="0008481A">
        <w:rPr>
          <w:i/>
        </w:rPr>
        <w:t xml:space="preserve">JO Pennlöv </w:t>
      </w:r>
      <w:r w:rsidRPr="0008481A">
        <w:t>Värmlands läns allmänna försäkringskassa. Därvid granskades bl.a. akter i ärenden om handikapp</w:t>
      </w:r>
      <w:r w:rsidRPr="0008481A">
        <w:softHyphen/>
        <w:t>ersättning. En iakttagelse som gjordes vid lokalkontoret i Arvika föranledde JO Pennlöv att anteckna följande till protokollet.</w:t>
      </w:r>
    </w:p>
    <w:p w:rsidR="003B3271" w:rsidRPr="0008481A" w:rsidRDefault="003B3271">
      <w:pPr>
        <w:pStyle w:val="Normaltindrag"/>
      </w:pPr>
      <w:r w:rsidRPr="0008481A">
        <w:t>När so</w:t>
      </w:r>
      <w:r w:rsidRPr="0008481A">
        <w:softHyphen/>
        <w:t>ci</w:t>
      </w:r>
      <w:r w:rsidRPr="0008481A">
        <w:softHyphen/>
        <w:t>al</w:t>
      </w:r>
      <w:r w:rsidRPr="0008481A">
        <w:softHyphen/>
        <w:t>för</w:t>
      </w:r>
      <w:r w:rsidRPr="0008481A">
        <w:softHyphen/>
        <w:t>säk</w:t>
      </w:r>
      <w:r w:rsidRPr="0008481A">
        <w:softHyphen/>
        <w:t>rings</w:t>
      </w:r>
      <w:r w:rsidRPr="0008481A">
        <w:softHyphen/>
        <w:t>nämnden fattar sitt beslut fogas ofta motiveringen till proto</w:t>
      </w:r>
      <w:r w:rsidRPr="0008481A">
        <w:softHyphen/>
        <w:t>kollet som en särskild bilaga. Texten i denna bilaga kopieras därefter över till den underrättelse om beslutet som expedieras till sökanden. Moti</w:t>
      </w:r>
      <w:r w:rsidRPr="0008481A">
        <w:softHyphen/>
        <w:t>veringen är ofta skri</w:t>
      </w:r>
      <w:r w:rsidRPr="0008481A">
        <w:softHyphen/>
        <w:t>ven i andra person singularis, dvs. i ”Du-form”. Att detta förfaringssätt kan orsaka märkliga och rent av stötande resultat framgår i flera ärenden och bl.a. av en un</w:t>
      </w:r>
      <w:r w:rsidRPr="0008481A">
        <w:softHyphen/>
        <w:t>derrättelse om ett beslut om handikapp</w:t>
      </w:r>
      <w:r w:rsidRPr="0008481A">
        <w:softHyphen/>
        <w:t xml:space="preserve">ersättning som ställts till </w:t>
      </w:r>
      <w:r w:rsidRPr="0008481A">
        <w:rPr>
          <w:i/>
        </w:rPr>
        <w:t>vårdnadshavaren</w:t>
      </w:r>
      <w:r w:rsidRPr="0008481A">
        <w:t xml:space="preserve"> för en unde</w:t>
      </w:r>
      <w:r w:rsidRPr="0008481A">
        <w:t>rårig sökande. Under rubriken Skäl anges i underrättelsen bl.a. föl</w:t>
      </w:r>
      <w:r w:rsidRPr="0008481A">
        <w:softHyphen/>
        <w:t>jande.</w:t>
      </w:r>
    </w:p>
    <w:p w:rsidR="003B3271" w:rsidRPr="0008481A" w:rsidRDefault="003B3271">
      <w:pPr>
        <w:pStyle w:val="Citat"/>
      </w:pPr>
      <w:r w:rsidRPr="0008481A">
        <w:t>Du har p.g.a. ditt funktionshinder ett behov av stöd och struktur för att klara den vardagliga livsfö</w:t>
      </w:r>
      <w:r w:rsidRPr="0008481A">
        <w:softHyphen/>
        <w:t xml:space="preserve">ringen. Du behöver hjälp i samband med hygienrutiner; för att få håret tvättat och när du har menstruation. Du behöver hjälp att inse när det är dags att byta kläder p.g.a. att de är smutsiga samt att se till att övrig hygien utförs ordentligt. Du har ett stort tillsynsbehov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r w:rsidRPr="0008481A">
        <w:t xml:space="preserve"> .</w:t>
      </w:r>
    </w:p>
    <w:p w:rsidR="003B3271" w:rsidRPr="0008481A" w:rsidRDefault="003B3271">
      <w:pPr>
        <w:pStyle w:val="Normaltindrag"/>
      </w:pPr>
      <w:r w:rsidRPr="0008481A">
        <w:t>JO underströk vikten av att för</w:t>
      </w:r>
      <w:r w:rsidRPr="0008481A">
        <w:softHyphen/>
        <w:t>säk</w:t>
      </w:r>
      <w:r w:rsidRPr="0008481A">
        <w:softHyphen/>
        <w:t>rings</w:t>
      </w:r>
      <w:r w:rsidRPr="0008481A">
        <w:softHyphen/>
        <w:t>kas</w:t>
      </w:r>
      <w:r w:rsidRPr="0008481A">
        <w:softHyphen/>
        <w:t>san, såväl innan beslut fattas som innan underrättelse om beslutet skickas, kontrollerar texten så att misstag av detta slag kan undvikas.</w:t>
      </w:r>
    </w:p>
    <w:p w:rsidR="003B3271" w:rsidRPr="0008481A" w:rsidRDefault="003B3271">
      <w:pPr>
        <w:pStyle w:val="Rubrik2"/>
      </w:pPr>
      <w:r w:rsidRPr="0008481A">
        <w:t>En försäkringskassa har dröjt med att expediera beslut i ett livränteärende</w:t>
      </w:r>
    </w:p>
    <w:p w:rsidR="003B3271" w:rsidRPr="0008481A" w:rsidRDefault="003B3271">
      <w:r w:rsidRPr="0008481A">
        <w:t>(Dnr 2499-1999)</w:t>
      </w:r>
    </w:p>
    <w:p w:rsidR="003B3271" w:rsidRPr="0008481A" w:rsidRDefault="003B3271">
      <w:r w:rsidRPr="0008481A">
        <w:t>I en anmälan, som kom in till JO den 28 juni 1999, berättade  H.W. att Västmanlands läns allmänna försäkringskassa vid ett sammanträde i social</w:t>
      </w:r>
      <w:r w:rsidRPr="0008481A">
        <w:softHyphen/>
        <w:t>försäkringsnämnd den 8 april 1999 beviljat honom livränta. Kassan hade dock inte skickat någon underrättelse om beslutet till honom, utan endast ett protokollsutdrag, trots att det gått över två månader sedan beslutet fattades. H.W. bifogade till anmälan en kopia av delar av socialförsäkrings</w:t>
      </w:r>
      <w:r w:rsidRPr="0008481A">
        <w:softHyphen/>
        <w:t>nämndens protokoll från sammanträdet den 8 april 1999.</w:t>
      </w:r>
    </w:p>
    <w:p w:rsidR="003B3271" w:rsidRPr="0008481A" w:rsidRDefault="003B3271">
      <w:pPr>
        <w:pStyle w:val="Normaltindrag"/>
      </w:pPr>
      <w:r w:rsidRPr="0008481A">
        <w:t>Sedan akten inhämtats och granskats remitterades anmälan till försäkrings</w:t>
      </w:r>
      <w:r w:rsidRPr="0008481A">
        <w:softHyphen/>
        <w:t>kassan. I sitt remissvar anförde kassan genom direktören Robert Granath följande.</w:t>
      </w:r>
    </w:p>
    <w:p w:rsidR="003B3271" w:rsidRPr="0008481A" w:rsidRDefault="003B3271">
      <w:pPr>
        <w:pStyle w:val="Rubrik4"/>
      </w:pPr>
      <w:r w:rsidRPr="0008481A">
        <w:t>1. Ärendets tidigare handläggning</w:t>
      </w:r>
    </w:p>
    <w:p w:rsidR="003B3271" w:rsidRPr="0008481A" w:rsidRDefault="003B3271">
      <w:pPr>
        <w:pStyle w:val="Citat"/>
      </w:pPr>
      <w:r w:rsidRPr="0008481A">
        <w:t>Den 8 april 1999 beslutade socialförsäkringsnämnden att bevilja H.W. arbetsskadelivränta. Protokollet från nämndens beslut justerades den 12 april 1999. Livränta beviljades för tiden april 1994 till och med maj 1998, med undantag för vissa perioder då inkomstminskningen inte uppgick till en femtondel. Den retroaktiva utbetalningen för tiden april 1994–maj 1998 beräknades till 22 347 kronor efter avdrag för preliminär skatt.</w:t>
      </w:r>
    </w:p>
    <w:p w:rsidR="003B3271" w:rsidRPr="0008481A" w:rsidRDefault="003B3271">
      <w:pPr>
        <w:pStyle w:val="Citatindrag"/>
      </w:pPr>
      <w:r w:rsidRPr="0008481A">
        <w:t>I samband med beräkningen av livräntans storlek den 20 april 1999 fann handläggaren att det fanns en statlig fordran på H.W. omfattande 144 103 kronor. Fordran avser för mycket utbetald sjukpenning enligt ett tidigare beslut om återbetalningsskyldighet. Försäkringskassan hade då att ta ställ</w:t>
      </w:r>
      <w:r w:rsidRPr="0008481A">
        <w:softHyphen/>
        <w:t>ning till om livräntan skulle kvittas mot den tidigare skulden enligt bestäm</w:t>
      </w:r>
      <w:r w:rsidRPr="0008481A">
        <w:softHyphen/>
        <w:t>melser i 6 kap. 7 § lag (1976:380) om arbetsskadeförsäkring och 20 kap. 4 § lag (1962:381) lag om allmän försäkring.</w:t>
      </w:r>
    </w:p>
    <w:p w:rsidR="003B3271" w:rsidRPr="0008481A" w:rsidRDefault="003B3271">
      <w:pPr>
        <w:pStyle w:val="Citatindrag"/>
      </w:pPr>
      <w:r w:rsidRPr="0008481A">
        <w:t>Den 29 april 1999 kommunicerades H.W. skriftligt om kvittning och kom</w:t>
      </w:r>
      <w:r w:rsidRPr="0008481A">
        <w:softHyphen/>
        <w:t>municeringssvar skulle vara inne senast den 17 maj 1999. Den 3 maj 1999 kontaktade H.W. försäkringskassan och önskade förlänga kommunicerings</w:t>
      </w:r>
      <w:r w:rsidRPr="0008481A">
        <w:softHyphen/>
        <w:t>tiden till den 31 maj 1999, vilket beviljades.</w:t>
      </w:r>
    </w:p>
    <w:p w:rsidR="003B3271" w:rsidRPr="0008481A" w:rsidRDefault="003B3271">
      <w:pPr>
        <w:pStyle w:val="Citatindrag"/>
      </w:pPr>
      <w:r w:rsidRPr="0008481A">
        <w:t>Den 20 maj 1999 besökte H.W. försäkringskassan och efterlyste bland annat beslutet om livränta. Tjänstemannen lovade undersöka saken och återkomma med besked. Den 21 maj 1999 sökte försäkringskassan kontakt med H.W. som då inte var anträffbar. Den 25 maj 1999 fick försäkrings</w:t>
      </w:r>
      <w:r w:rsidRPr="0008481A">
        <w:softHyphen/>
        <w:t>kassan kontakt med H.W. och han upplystes då om att han inte fått något beslut på grund av den pågående utredningen om eventuell kvittning mot tidigare skuld. Eftersom den pågående utredningen medförde att försäkringskassan inte kunde fatta ett komplett beslut om belopp och retroaktiv utbetalning avvaktade kassan beslut i kvittningsärendet. H.W. och tjänstemannen kom då överens om att försäkringskassan skickar ett utdrag ur socialförsäkringsnämndens protokoll. Ett utdrag skickades till H.W. samma dag men b</w:t>
      </w:r>
      <w:r w:rsidRPr="0008481A">
        <w:t>lev inte försett med någon överklagandehänvisning. Samtidigt förlängdes kommuniceringstiden i kvittningsärendet ytterligare, till den 30 juni 1999.</w:t>
      </w:r>
    </w:p>
    <w:p w:rsidR="003B3271" w:rsidRPr="0008481A" w:rsidRDefault="003B3271">
      <w:pPr>
        <w:pStyle w:val="Citatindrag"/>
      </w:pPr>
      <w:r w:rsidRPr="0008481A">
        <w:t>Efter att kommuniceringstiden löpt ut den 30 juni 1999 beslutade försäk</w:t>
      </w:r>
      <w:r w:rsidRPr="0008481A">
        <w:softHyphen/>
        <w:t>rings</w:t>
      </w:r>
      <w:r w:rsidRPr="0008481A">
        <w:softHyphen/>
        <w:t>kassan den 29 juli 1999 att kvitta en del av tidigare skuld mot livräntan för den retroaktiva tiden. Den 30 juli 1999 skickade försäkrings</w:t>
      </w:r>
      <w:r w:rsidRPr="0008481A">
        <w:softHyphen/>
        <w:t>kassan underrättelse om socialförsäkringsnämndens beslut med överklagande</w:t>
      </w:r>
      <w:r w:rsidRPr="0008481A">
        <w:softHyphen/>
        <w:t>hänvis</w:t>
      </w:r>
      <w:r w:rsidRPr="0008481A">
        <w:softHyphen/>
        <w:t>ning samt tjänstemannabeslut, om livräntans storlek och retroaktiva belopp, med omprövningshänvisning.</w:t>
      </w:r>
    </w:p>
    <w:p w:rsidR="003B3271" w:rsidRPr="0008481A" w:rsidRDefault="003B3271">
      <w:pPr>
        <w:pStyle w:val="Rubrik4"/>
      </w:pPr>
      <w:r w:rsidRPr="0008481A">
        <w:t>2. Försäkringskassans kommentarer över handläggningen av ärendet</w:t>
      </w:r>
    </w:p>
    <w:p w:rsidR="003B3271" w:rsidRPr="0008481A" w:rsidRDefault="003B3271">
      <w:pPr>
        <w:pStyle w:val="Rubrik5"/>
        <w:spacing w:before="120"/>
      </w:pPr>
      <w:r w:rsidRPr="0008481A">
        <w:t>2.1 Allmänna kommentarer</w:t>
      </w:r>
    </w:p>
    <w:p w:rsidR="003B3271" w:rsidRPr="0008481A" w:rsidRDefault="003B3271">
      <w:pPr>
        <w:pStyle w:val="Citat"/>
      </w:pPr>
      <w:r w:rsidRPr="0008481A">
        <w:t>Riksförsäkringsverket (RFV) presenterade i sitt yttrande till JO (Dnr 11128/96) och i internmeddelande Im 1997:99 en så kallad beslutsmodell. För ärenden som beslutas av socialförsäkringsnämnden innebär besluts</w:t>
      </w:r>
      <w:r w:rsidRPr="0008481A">
        <w:softHyphen/>
        <w:t>modellen att försäkringskassan dels skickar en underrättelse om nämndens beslut och dels ett tjänstemannabeslut med beräkning av förmånens storlek. Av RFV:s internmeddelande framgår att båda besluten bör expedieras samtidigt. Härvid har RFV hänvisat till vad Försäkringsöverdomstolen uttalat i sitt refererade avgörande (FÖD 1993:1) att det är först när bedömningarna gjorts av samtliga delar i ärendet som ett slutligt beslut föreligger.</w:t>
      </w:r>
    </w:p>
    <w:p w:rsidR="003B3271" w:rsidRPr="0008481A" w:rsidRDefault="003B3271">
      <w:pPr>
        <w:pStyle w:val="Citatindrag"/>
      </w:pPr>
      <w:r w:rsidRPr="0008481A">
        <w:t>RFV har i allmänt råd (1998:11) om socialförsäkringsnämnder rekommen</w:t>
      </w:r>
      <w:r w:rsidRPr="0008481A">
        <w:softHyphen/>
        <w:t>derat att beslut bör expedieras omgående efter att socialförsäkringsnämndens protokoll har justerats. För att undvika att expedieringen fördröjs rekommen</w:t>
      </w:r>
      <w:r w:rsidRPr="0008481A">
        <w:softHyphen/>
        <w:t>derar RFV vidare att vissa handläggningsmoment utförs innan ärendet prövas i nämnden.</w:t>
      </w:r>
    </w:p>
    <w:p w:rsidR="003B3271" w:rsidRPr="0008481A" w:rsidRDefault="003B3271">
      <w:pPr>
        <w:pStyle w:val="Citatindrag"/>
        <w:rPr>
          <w:i/>
        </w:rPr>
      </w:pPr>
      <w:r w:rsidRPr="0008481A">
        <w:t>Försäkringskassan i Västmanlands län tillämpar beslutsmodellen och hand</w:t>
      </w:r>
      <w:r w:rsidRPr="0008481A">
        <w:softHyphen/>
        <w:t>lägger i möjligaste mån ärendena innan de prövas i socialförs</w:t>
      </w:r>
      <w:r w:rsidRPr="0008481A">
        <w:softHyphen/>
        <w:t>äkrings</w:t>
      </w:r>
      <w:r w:rsidRPr="0008481A">
        <w:softHyphen/>
        <w:t xml:space="preserve">nämnden. Som ett led i att uppnå en snabb expediering av nämndärenden har försäkringskassan ett internt mål som lyder: </w:t>
      </w:r>
      <w:r w:rsidRPr="0008481A">
        <w:rPr>
          <w:i/>
        </w:rPr>
        <w:t>Tiden från det att justerat SFN-protokoll inkommer, till expedieringsdatum av beslut, skall inte överstiga 7 dagar för SFN-ärenden.</w:t>
      </w:r>
    </w:p>
    <w:p w:rsidR="003B3271" w:rsidRPr="0008481A" w:rsidRDefault="003B3271">
      <w:pPr>
        <w:pStyle w:val="Rubrik5"/>
      </w:pPr>
      <w:r w:rsidRPr="0008481A">
        <w:t>2.2 Kommentarer till handläggningen av H.W:s ärende</w:t>
      </w:r>
    </w:p>
    <w:p w:rsidR="003B3271" w:rsidRPr="0008481A" w:rsidRDefault="003B3271">
      <w:pPr>
        <w:pStyle w:val="Citat"/>
      </w:pPr>
      <w:r w:rsidRPr="0008481A">
        <w:t>I H.W:s ärende har försäkringskassan inte lyckats nå målet för omgående expediering. Orsakerna till detta är flera. I H.W:s ärende fann försäkrings</w:t>
      </w:r>
      <w:r w:rsidRPr="0008481A">
        <w:softHyphen/>
        <w:t>kassan skäl att utreda möjligheterna till kvittning av tidigare skuld och livränta. Under dessa förhållanden kunde inget tjänstemannabeslut fattas om ersättningens storlek, retroaktivbelopp och eventuella avdrag, innan beslut om eventuell kvittning fattats. Mot bakgrund av att underrättelse om social</w:t>
      </w:r>
      <w:r w:rsidRPr="0008481A">
        <w:softHyphen/>
        <w:t>försäkringsnämndens beslut och tjänstemannabeslut om ersättningens storlek m.m. bör meddelas samtidigt väntade därför försäkringskassan med att meddela ett samlat beslut till dess beslut om kvittning fattats.</w:t>
      </w:r>
    </w:p>
    <w:p w:rsidR="003B3271" w:rsidRPr="0008481A" w:rsidRDefault="003B3271">
      <w:pPr>
        <w:pStyle w:val="Citatindrag"/>
      </w:pPr>
      <w:r w:rsidRPr="0008481A">
        <w:t>Anledningen till att ett samlat beslut om livräntan meddelades först den 30 juli 1999 beror i huvudsak på de särskilda omständigheter som förelegat i ärendet. Dels har H.W. begärt och beviljats utsträckt kommuniceringstid i kvittningsärendet till och med den 30 juni 1999. Men det beror också på att försäkringskassan haft en långsam handläggning. Tiden mellan justerat protokoll och första kommuniceringen om kvittning den 29 april 1990 hade kunnat kortats. När sedan kommuniceringstiden för kvittningsärendet g</w:t>
      </w:r>
      <w:r w:rsidRPr="0008481A">
        <w:t>ick ut den 30 juni 1999 kunde beslut om kvittning ha fattats snabbare än den 29 juli 1999, särskilt med tanke på att H.W. inte kom in med något kommuni</w:t>
      </w:r>
      <w:r w:rsidRPr="0008481A">
        <w:softHyphen/>
        <w:t>ce</w:t>
      </w:r>
      <w:r w:rsidRPr="0008481A">
        <w:softHyphen/>
        <w:t>ringssvar. Beslut om livräntan skulle därmed ha kunnat meddelats tidigare. Försäkringskassan beklagar den långsamma handläggningen i dessa delar. H.W. har dock haft flera kontakter med försäkringskassan under handlägg</w:t>
      </w:r>
      <w:r w:rsidRPr="0008481A">
        <w:softHyphen/>
        <w:t>ningen och varit medveten om anledningen till att beslut inte meddelats.</w:t>
      </w:r>
    </w:p>
    <w:p w:rsidR="003B3271" w:rsidRPr="0008481A" w:rsidRDefault="003B3271">
      <w:pPr>
        <w:pStyle w:val="Citatindrag"/>
      </w:pPr>
      <w:r w:rsidRPr="0008481A">
        <w:t>JO har i initiativärende (Dnr 1471-1996) framfört som sin uppfattn</w:t>
      </w:r>
      <w:r w:rsidRPr="0008481A">
        <w:t>ing att om det i enskilda fall inte går att få en omgående expediering skall försäk</w:t>
      </w:r>
      <w:r w:rsidRPr="0008481A">
        <w:softHyphen/>
        <w:t>rings</w:t>
      </w:r>
      <w:r w:rsidRPr="0008481A">
        <w:softHyphen/>
        <w:t>kassan skicka ett utdrag ur socialförsäkringsnämndens protokoll med beslut och överklagandehänvisning. Detta överensstämmer inte helt med RFV:s uppfattning om att beslut bör meddelas samlat. Försäkringskassans uppfattning är att så långt det är möjligt bör ett samlat beslut meddelas den försäkrade. Försäkringskassan grundar denna inställning på att det är först när den försäkrade fått ett samlat beslut som han till ful</w:t>
      </w:r>
      <w:r w:rsidRPr="0008481A">
        <w:t>lo kan förstå vad det fattade beslutet innebär.</w:t>
      </w:r>
    </w:p>
    <w:p w:rsidR="003B3271" w:rsidRPr="0008481A" w:rsidRDefault="003B3271">
      <w:pPr>
        <w:pStyle w:val="Citatindrag"/>
      </w:pPr>
      <w:r w:rsidRPr="0008481A">
        <w:t>Försäkringskassan delar emellertid JO:s uppfattning att om speciella förhållanden i ett ärende medför att handläggningstiden drar ut på tiden bör underrättelse om nämndens beslut meddelas separat. Denna underrättelse kan kompletteras med en upplysning om att beslut om ersättningens storlek etc. meddelas när erforderliga åtgärder vidtagits.</w:t>
      </w:r>
    </w:p>
    <w:p w:rsidR="003B3271" w:rsidRPr="0008481A" w:rsidRDefault="003B3271">
      <w:pPr>
        <w:pStyle w:val="Citatindrag"/>
      </w:pPr>
      <w:r w:rsidRPr="0008481A">
        <w:t>I H.W:s ärende har försäkringskassan följt JO:s uppfattning och den 25 maj 1999 skickat ett utdrag ur nämndens protokoll. Detta sedan kommunice</w:t>
      </w:r>
      <w:r w:rsidRPr="0008481A">
        <w:softHyphen/>
        <w:t>ringstiden i kvittningsärendet förlängts ånyo och därmed skulle komma att fördröja livränteärendet ytterligare. Rätteligen skulle detta utdrag ha varit försett med överklagandehänvisning.</w:t>
      </w:r>
    </w:p>
    <w:p w:rsidR="003B3271" w:rsidRPr="0008481A" w:rsidRDefault="003B3271">
      <w:pPr>
        <w:pStyle w:val="Citatindrag"/>
      </w:pPr>
      <w:r w:rsidRPr="0008481A">
        <w:t>Försäkringskassan följer kontinuerligt expedieringstiderna av SFN-ärenden genom att mäta måluppfyllelsen av det interna målet. Kassaledningen kommer vid dialog med områdeskontoren att lyfta fram vikten av att meddela SFN:s beslut separat då ett samlat beslut inte kan meddelas inom skälig tid.</w:t>
      </w:r>
    </w:p>
    <w:p w:rsidR="003B3271" w:rsidRPr="0008481A" w:rsidRDefault="003B3271">
      <w:r w:rsidRPr="0008481A">
        <w:t>H.W. kommenterade remissvaret.</w:t>
      </w:r>
    </w:p>
    <w:p w:rsidR="003B3271" w:rsidRPr="0008481A" w:rsidRDefault="003B3271">
      <w:r w:rsidRPr="0008481A">
        <w:t xml:space="preserve">I sitt den 13 juni 2000 meddelade beslut anförde </w:t>
      </w:r>
      <w:r w:rsidRPr="0008481A">
        <w:rPr>
          <w:i/>
        </w:rPr>
        <w:t xml:space="preserve">JO Pennlöv </w:t>
      </w:r>
      <w:r w:rsidRPr="0008481A">
        <w:t>i bedöm</w:t>
      </w:r>
      <w:r w:rsidRPr="0008481A">
        <w:softHyphen/>
        <w:t>nings</w:t>
      </w:r>
      <w:r w:rsidRPr="0008481A">
        <w:softHyphen/>
        <w:t>delen följande.</w:t>
      </w:r>
    </w:p>
    <w:p w:rsidR="003B3271" w:rsidRPr="0008481A" w:rsidRDefault="003B3271">
      <w:pPr>
        <w:pStyle w:val="Normaltindrag"/>
      </w:pPr>
      <w:r w:rsidRPr="0008481A">
        <w:t>Inledningsvis vill jag framhålla följande. Försäkringskassans yttrande grundar sig, såvitt det får förstås, på att de s.k. beslutsmeddelanden som försäkringskassans anställda undertecknar och expedierar till de försäkrade med anledning av beslut fattade i socialförsäkringsnämnd utgör själva besluts</w:t>
      </w:r>
      <w:r w:rsidRPr="0008481A">
        <w:softHyphen/>
        <w:t>dokumenten samt att beslutsdatum i ärenden där socialförsäkrings</w:t>
      </w:r>
      <w:r w:rsidRPr="0008481A">
        <w:softHyphen/>
        <w:t>nämnden har beslutat är det datum då beslutsmeddelandet till de försäkrade undertecknats och alltså inte datum för nämndens beslut. Jag har vid ett flertal tillfällen (se bl.a. JO 1997/98 s 375 f.) som min uppfattning anfört att socialförsäkringsnämndens beslut är meddelat när nämndens protokoll är justerat. Denna uppfattning har nu även vunnit stöd i domstolspraxis genom ett avgörande av Regeringsrätten (se RÅ 1999 ref. 51). Beslutet att bev</w:t>
      </w:r>
      <w:r w:rsidRPr="0008481A">
        <w:t>ilja H.W. livränta är således meddelat den 12 april 1999 och inte den 30 juli 1999 då tjänstemannabeslutet gällande livräntans storlek m.m. meddelades. Försäkringskassans inställning att de s.k. beslutsmeddelandena utgör själva beslutsdokumenten kan möjligen förklaras med den mindre lämpliga användningen av benämningen ”beslutsmeddelande” på en handling som rätteligen är en underrättelse enligt 21 § förvaltningslagen (1986:223) om ett fattat beslut. Det finns anledning poängtera att termen ”meddelande” i de</w:t>
      </w:r>
      <w:r w:rsidRPr="0008481A">
        <w:t>tta sammanhang har två helt skilda betydelser. Jag förutsätter att inga miss</w:t>
      </w:r>
      <w:r w:rsidRPr="0008481A">
        <w:softHyphen/>
        <w:t>för</w:t>
      </w:r>
      <w:r w:rsidRPr="0008481A">
        <w:softHyphen/>
        <w:t>stånd i dessa avseenden numera skall behöva råda inom försäkringskassan.</w:t>
      </w:r>
    </w:p>
    <w:p w:rsidR="003B3271" w:rsidRPr="0008481A" w:rsidRDefault="003B3271">
      <w:pPr>
        <w:pStyle w:val="Normaltindrag"/>
      </w:pPr>
      <w:r w:rsidRPr="0008481A">
        <w:t>Vad härefter gäller handläggningen av ärendet vill jag anföra följande.</w:t>
      </w:r>
    </w:p>
    <w:p w:rsidR="003B3271" w:rsidRPr="0008481A" w:rsidRDefault="003B3271">
      <w:pPr>
        <w:pStyle w:val="Normaltindrag"/>
      </w:pPr>
      <w:r w:rsidRPr="0008481A">
        <w:t>Kassan har i remissvaret anfört att den i H.W:s ärende inte uppfyllt målet gällande omgående expediering samt att handläggningen i övrigt i ärendet i vissa delar varit långsam. Jag instämmer i denna bedömning. Försäkrings</w:t>
      </w:r>
      <w:r w:rsidRPr="0008481A">
        <w:softHyphen/>
        <w:t>kassan har lämnat en förklaring till varför kassan i nu aktuellt ärende inte hunnit expediera besluten med nöjaktig skyndsamhet. Kassan har även uppgett att H.W. underrättats om anledningen härtill. Mot bakgrund härav och då försäkringskassan beslutat om livräntans storlek den 30 juli 1999 anser jag inte att det finns anledning för mig att vidta några ytterligare åtgärder i denna del.</w:t>
      </w:r>
    </w:p>
    <w:p w:rsidR="003B3271" w:rsidRPr="0008481A" w:rsidRDefault="003B3271">
      <w:pPr>
        <w:pStyle w:val="Normaltindrag"/>
      </w:pPr>
      <w:r w:rsidRPr="0008481A">
        <w:t>Vad gäller frågan om hur kassan skall agera om det i det enskilda fallet inte är möjligt att vidta alla de åtgärder som ing</w:t>
      </w:r>
      <w:r w:rsidRPr="0008481A">
        <w:t>år i ett ärende före det att socialförsäkringsnämndens protokoll justerats har jag, vilket kassan påpekat, tidigare uttalat bl.a. att försäkringskassan till den försäkrade i stället omgående, efter det att nämndens protokoll justerats, skall expediera utdrag ur nämndens protokoll med beslut och överklagandehänvisning (se JO 1997/98 s. 375, särskilt s. 393). Av utredningen i ärendet framgår att kassan först den 25 maj 1999, efter det att H.W. den 20 maj 1999 efterlyst beslutet om livränta, skickat ett utdrag</w:t>
      </w:r>
      <w:r w:rsidRPr="0008481A">
        <w:t xml:space="preserve"> ur nämndens protokoll till H.W., dock utan överklagandehänvisning. Enligt min mening borde kassan, eftersom nämn</w:t>
      </w:r>
      <w:r w:rsidRPr="0008481A">
        <w:softHyphen/>
        <w:t>dens beslut meddelats den 12 april 1999, i vart fall senast den 20 april 1999, vid vilken tidpunkt det måste ha stått klart för kassan att tjänstemanna</w:t>
      </w:r>
      <w:r w:rsidRPr="0008481A">
        <w:softHyphen/>
        <w:t>beslutet gällande livräntans storlek m.m. skulle komma att dröja en tid, ha skickat ett protokollsutdrag till H.W.</w:t>
      </w:r>
    </w:p>
    <w:p w:rsidR="003B3271" w:rsidRPr="0008481A" w:rsidRDefault="003B3271">
      <w:pPr>
        <w:pStyle w:val="Normaltindrag"/>
      </w:pPr>
      <w:r w:rsidRPr="0008481A">
        <w:t>I 21 § andra stycket förvaltningslagen anges att om ett beslut går en part emot och kan överklagas, skall han underrättas om hur ha</w:t>
      </w:r>
      <w:r w:rsidRPr="0008481A">
        <w:t>n kan överklaga det. Av utredningen i ärendet framgår att försäkringskassan, när den skickade utdraget ur socialförsäkringsnämndens protokoll till H.W. den 25 maj 1999, inte bifogade någon överklagandehänvisning. Försäkringskassan har först i samband med att tjänstemannabeslutet om livräntans storlek m.m. samt underrättelse om nämndens beslut sändes ut den 30 juli 1999 bifogat en överklagandehänvisning. Kassan kan inte undgå kritik härför.</w:t>
      </w:r>
    </w:p>
    <w:p w:rsidR="003B3271" w:rsidRPr="0008481A" w:rsidRDefault="003B3271">
      <w:pPr>
        <w:pStyle w:val="Rubrik2"/>
      </w:pPr>
      <w:r w:rsidRPr="0008481A">
        <w:t>Allmän försäkringskassas rutiner för utsändande av underrättelser om</w:t>
      </w:r>
      <w:r w:rsidRPr="0008481A">
        <w:t xml:space="preserve"> beslut</w:t>
      </w:r>
    </w:p>
    <w:p w:rsidR="003B3271" w:rsidRPr="0008481A" w:rsidRDefault="003B3271">
      <w:r w:rsidRPr="0008481A">
        <w:t>(Dnr 2318-1999)</w:t>
      </w:r>
    </w:p>
    <w:p w:rsidR="003B3271" w:rsidRPr="0008481A" w:rsidRDefault="003B3271">
      <w:r w:rsidRPr="0008481A">
        <w:rPr>
          <w:i/>
        </w:rPr>
        <w:t xml:space="preserve">JO Pennlöv </w:t>
      </w:r>
      <w:r w:rsidRPr="0008481A">
        <w:t>meddelade den 8 december 1999 ett beslut med följande innehåll.</w:t>
      </w:r>
    </w:p>
    <w:p w:rsidR="003B3271" w:rsidRPr="0008481A" w:rsidRDefault="003B3271">
      <w:pPr>
        <w:pStyle w:val="Rubrik3"/>
      </w:pPr>
      <w:r w:rsidRPr="0008481A">
        <w:t>Bakgrund</w:t>
      </w:r>
    </w:p>
    <w:p w:rsidR="003B3271" w:rsidRPr="0008481A" w:rsidRDefault="003B3271">
      <w:r w:rsidRPr="0008481A">
        <w:t>I ett beslut den 22 mars 1999 (JO:s dnr 2092-1997) gällande Blekinge läns allmänna försäkringskassas handläggning av ett ärende om sjukbidrag och livränta behandlade jag bl.a. kassans dröjsmål med utsändande av under</w:t>
      </w:r>
      <w:r w:rsidRPr="0008481A">
        <w:softHyphen/>
        <w:t>rättelse om socialförsäkringsnämndens beslut. Jag hänvisade till ett tidigare beslut (JO:s ämbetsberättelse 1998/1999 s. 377) samt till Riksförsäkrings</w:t>
      </w:r>
      <w:r w:rsidRPr="0008481A">
        <w:softHyphen/>
        <w:t>verkets rekommendationer att försäkringskassans beslut bör expedieras omgående efter det att socialförsäkringsnämndens protokoll justerats (Allmänna råd 1998:11). Jag angav att jag senast den 1 juni 1999 emotsåg besked från kassan vilka åtgärder den vidtagit för att ändra sina rutiner i detta avseende.</w:t>
      </w:r>
    </w:p>
    <w:p w:rsidR="003B3271" w:rsidRPr="0008481A" w:rsidRDefault="003B3271">
      <w:pPr>
        <w:pStyle w:val="Normaltindrag"/>
      </w:pPr>
      <w:r w:rsidRPr="0008481A">
        <w:t>Försäkringskassan yttrade sig i en skrivelse som kom in</w:t>
      </w:r>
      <w:r w:rsidRPr="0008481A">
        <w:t xml:space="preserve"> till JO den 1 juni 1999. I skrivelsen hänvisade kassan bl.a. till Riksförsäkringsverkets med</w:t>
      </w:r>
      <w:r w:rsidRPr="0008481A">
        <w:softHyphen/>
        <w:t>delanden i juni och augusti 1997 angående beslutsmodell och nytt avsnitt till Allmänt råd 1992:4.</w:t>
      </w:r>
    </w:p>
    <w:p w:rsidR="003B3271" w:rsidRPr="0008481A" w:rsidRDefault="003B3271">
      <w:pPr>
        <w:pStyle w:val="Normaltindrag"/>
      </w:pPr>
      <w:r w:rsidRPr="0008481A">
        <w:t>Försäkringskassan redogjorde därefter för sina rutiner vad gäller ut</w:t>
      </w:r>
      <w:r w:rsidRPr="0008481A">
        <w:softHyphen/>
        <w:t>sändande av beslutsunderrättelser efter socialförsäkringsnämndens samman</w:t>
      </w:r>
      <w:r w:rsidRPr="0008481A">
        <w:softHyphen/>
        <w:t>träde. Därav framgick att om beräkningen av förmånen blev klar inom 14 dagar från sammanträdet skickades bägge besluten. Om uträkningen dröjde skickades bara underrättelse om nämndens beslut. Försäkringskassan uppgav att dessa rutiner hade sin utgångspunkt i nämnda föreskrifter från Riks</w:t>
      </w:r>
      <w:r w:rsidRPr="0008481A">
        <w:softHyphen/>
        <w:t>för</w:t>
      </w:r>
      <w:r w:rsidRPr="0008481A">
        <w:softHyphen/>
        <w:t>säkringsverket.</w:t>
      </w:r>
    </w:p>
    <w:p w:rsidR="003B3271" w:rsidRPr="0008481A" w:rsidRDefault="003B3271">
      <w:pPr>
        <w:pStyle w:val="Normaltindrag"/>
      </w:pPr>
      <w:r w:rsidRPr="0008481A">
        <w:t>Mot bakgrund av vad jag tidigare uttalat samt Riksförsäkringsverkets rekommendationer beslutade jag den 14 juni 1999 att i ett in</w:t>
      </w:r>
      <w:r w:rsidRPr="0008481A">
        <w:t>itiativärende ytterligare utreda försäkringskassans rutiner i detta hänseende.</w:t>
      </w:r>
    </w:p>
    <w:p w:rsidR="003B3271" w:rsidRPr="0008481A" w:rsidRDefault="003B3271">
      <w:pPr>
        <w:pStyle w:val="Rubrik3"/>
      </w:pPr>
      <w:r w:rsidRPr="0008481A">
        <w:t>Utredning</w:t>
      </w:r>
    </w:p>
    <w:p w:rsidR="003B3271" w:rsidRPr="0008481A" w:rsidRDefault="003B3271">
      <w:r w:rsidRPr="0008481A">
        <w:t>Ärendet remitterades till försäkringskassan för yttrande enligt en promemoria som i huvudsak innehöll det som angetts under föregående rubrik. I sitt svar anförde försäkringskassan genom direktören Rolf Lindberg följande.</w:t>
      </w:r>
    </w:p>
    <w:p w:rsidR="003B3271" w:rsidRPr="0008481A" w:rsidRDefault="003B3271">
      <w:pPr>
        <w:pStyle w:val="Citat"/>
      </w:pPr>
      <w:r w:rsidRPr="0008481A">
        <w:t>Enligt Allmänna råd 1998:11 rekommenderar RFV att beslut expedieras omgående efter det att socialförsäkringsnämndens protokoll är justerat. Som minimikrav uttrycker JO följande:</w:t>
      </w:r>
    </w:p>
    <w:p w:rsidR="003B3271" w:rsidRPr="0008481A" w:rsidRDefault="003B3271">
      <w:pPr>
        <w:pStyle w:val="Citatindrag"/>
      </w:pPr>
      <w:r w:rsidRPr="0008481A">
        <w:t>– – –  att samtliga åtgärder i ett ärende har vidtagits senast vid justering av socialförsäkringsnämndens protokoll. Exempel på åtgärder som kan göras innan ärendet prövas i nämnden är formell granskning, t.ex. att ansökan har undertecknats av behörig person, tjänstemannaprövning av allmänna förutsättningar för rätt till sådan förmån samt, i så stor utsträckning som möjligt, uträkning av förmånens storlek eventuellt efter samordning med andra förmåner.</w:t>
      </w:r>
    </w:p>
    <w:p w:rsidR="003B3271" w:rsidRPr="0008481A" w:rsidRDefault="003B3271">
      <w:pPr>
        <w:pStyle w:val="Rubrik4"/>
      </w:pPr>
      <w:r w:rsidRPr="0008481A">
        <w:t>Blekingekassans rutiner</w:t>
      </w:r>
    </w:p>
    <w:p w:rsidR="003B3271" w:rsidRPr="0008481A" w:rsidRDefault="003B3271">
      <w:pPr>
        <w:pStyle w:val="Citat"/>
      </w:pPr>
      <w:r w:rsidRPr="0008481A">
        <w:t>Kassans handläggningstider för ärenden vilka beslutas av socialför</w:t>
      </w:r>
      <w:r w:rsidRPr="0008481A">
        <w:softHyphen/>
        <w:t>säkringsnämnderna har under senare år varit föremål för diskussion och översyn. Bl.a. handläggs numera vissa ärendeslag av specialister vilka tar ansvar för samtliga arbetsmoment i handläggningen. Samtidigt har effektivare rutiner utvecklats vilket dock ej avspeglar sig i utvecklingen av våra handläggningstider. Anledningen är att vi p.g.a. en minskad anslagsnivå tvingats till att tilldela verksamheten en lägre resursnivå.</w:t>
      </w:r>
    </w:p>
    <w:p w:rsidR="003B3271" w:rsidRPr="0008481A" w:rsidRDefault="003B3271">
      <w:pPr>
        <w:pStyle w:val="Citatindrag"/>
      </w:pPr>
      <w:r w:rsidRPr="0008481A">
        <w:t>I samband med att JO gjort ovannämnda uttalande påbörjades en diskussion kring rutin</w:t>
      </w:r>
      <w:r w:rsidRPr="0008481A">
        <w:t>er i samband med utfärdande av underrättelse om socialförsäkringsnämndens beslut. Vid uppföljning konstaterades att rekommendationen ej fått fullt genomslag i organisationen. Samtidigt fördes en diskussion kring kassans framtida organisation vilken resulterat i att vi fr.o.m. april 1999 lämnat lokalkontorsindelningen till förmån för en verksamhetsindelad organisation. Numera finns en verksamhetschef för de ärendeslag som beslutas av socialförsäkringsnämnderna med ansvar för verksamheten i hela Blekinge. Här</w:t>
      </w:r>
      <w:r w:rsidRPr="0008481A">
        <w:t>igenom har möjligheterna förbättrats för bl.a. genomslag av pågående utvecklingsarbete.</w:t>
      </w:r>
    </w:p>
    <w:p w:rsidR="003B3271" w:rsidRPr="0008481A" w:rsidRDefault="003B3271">
      <w:pPr>
        <w:pStyle w:val="Citatindrag"/>
      </w:pPr>
      <w:r w:rsidRPr="0008481A">
        <w:t>Samtidigt förändrades socialförsäkringsnämndsorganisationen och rutinerna. Antal nämnder har minskat från tre till två. Varje nämnd samman</w:t>
      </w:r>
      <w:r w:rsidRPr="0008481A">
        <w:softHyphen/>
        <w:t>träder varannan vecka, udda resp. jämn, och beslutsområdet är hela länet för båda nämnderna. Detta innebär att den försäkrade kan få sitt ärende prövat snabbare än tidigare. Tidigare hade kassan tre geografiskt uppdelade nämnder med möte var fjortonde dag. Idag kommer den försäkrades ärende till nästa veckosammanträde. Handläggningstiden kommer härigenom att minska samt likformigheten i besluten att öka.</w:t>
      </w:r>
    </w:p>
    <w:p w:rsidR="003B3271" w:rsidRPr="0008481A" w:rsidRDefault="003B3271">
      <w:pPr>
        <w:pStyle w:val="Citatindrag"/>
      </w:pPr>
      <w:r w:rsidRPr="0008481A">
        <w:t>Ett nämndärende startar hos en utredare med ansvar för handikapp</w:t>
      </w:r>
      <w:r w:rsidRPr="0008481A">
        <w:softHyphen/>
        <w:t>förmåner, sjukbidrag/förtidspension eller arbetsskador. Utredaren gör den formella prövningen, dvs. granskar att ansökan har undertecknats av en behörig person, tjänstemannaprövning av allmänna förutsättningar för rätt till en sådan förmån. Vidare görs utredning med den försäkrade, arbetsgivare, behandlande läkare, försäkringsläkare samt beträffande utlandstjänstgöring och bosättning. Härefter skriver utredaren en promemoria med förslag till beslut. Denna granskas av föredragande, vilken utför kvalitetssäk</w:t>
      </w:r>
      <w:r w:rsidRPr="0008481A">
        <w:t>ring före beslut, enligt RFFS 1998:39. Ärendet lämnas sedan åter till handläggaren för åtgärd, såsom kommunicering, eller direkt till SFN-kansliet, vilket ombesörjer SFN-administrationen med bl.a. kopiering samt utskick till SFN-ledamöterna.</w:t>
      </w:r>
    </w:p>
    <w:p w:rsidR="003B3271" w:rsidRPr="0008481A" w:rsidRDefault="003B3271">
      <w:pPr>
        <w:pStyle w:val="Citatindrag"/>
      </w:pPr>
      <w:r w:rsidRPr="0008481A">
        <w:t>Vad gäller beräkningsdelarna i SFN-ärenden så sköter utredare av handikappförmåner detta på samtliga kontor i länet sedan början av 1999. Således skrivs promemoria och beslut, inkluderande uträkning av förmånen, av en och samma person, vilket innebär att båda besluten e</w:t>
      </w:r>
      <w:r w:rsidRPr="0008481A">
        <w:t>xpedieras samtidigt till den försäkrade. Detta görs med förtur så snart protokollet justerats och beslut noterats på original-PM.</w:t>
      </w:r>
    </w:p>
    <w:p w:rsidR="003B3271" w:rsidRPr="0008481A" w:rsidRDefault="003B3271">
      <w:pPr>
        <w:pStyle w:val="Citatindrag"/>
      </w:pPr>
      <w:r w:rsidRPr="0008481A">
        <w:t>Förtidspension/sjukbidrag räknas av pensionshandläggare efter SFN-sammanträdet. För ärenden där försäkringskassan initierar prövning av pension, 16 kap 1 § 2 st lagen om allmän försäkring, ansvarar utredarna fullt ut, inkl beräkningsdelen. Svårare beräkningsärenden lämnas till pensions</w:t>
      </w:r>
      <w:r w:rsidRPr="0008481A">
        <w:softHyphen/>
        <w:t>handläggarna och likaså samordning av EU-ärenden/konventions</w:t>
      </w:r>
      <w:r w:rsidRPr="0008481A">
        <w:softHyphen/>
        <w:t>ärenden. Dessa ansvarar också för uträkning av arbetsskadelivräntor.</w:t>
      </w:r>
    </w:p>
    <w:p w:rsidR="003B3271" w:rsidRPr="0008481A" w:rsidRDefault="003B3271">
      <w:pPr>
        <w:pStyle w:val="Citatindrag"/>
      </w:pPr>
      <w:r w:rsidRPr="0008481A">
        <w:t>Försäkringskassan i Blekinge genomför f n utvecklingsaktiviteter för att beräkna ersättningens storlek före SFN-beslut. Nuvarande handläggarstöd medför dock att det inte alltid är rationellt att göra nämnda beräkning före beslut i socialförsäkringsnämnden. När RFV, vilka äger socialförsäkrings</w:t>
      </w:r>
      <w:r w:rsidRPr="0008481A">
        <w:softHyphen/>
        <w:t>administrationens datasystem, har utvecklat tekniken, kommer de administrativa handläggningstiderna att förkortas betydligt till fromma för de försäkrade. Vidare pågår också försök med att förkorta den administrativa tiden som bl.a. innebär att SFN-ordförande ska justera protokollet på sammanträdesdagen eller senast dagen efter.</w:t>
      </w:r>
    </w:p>
    <w:p w:rsidR="003B3271" w:rsidRPr="0008481A" w:rsidRDefault="003B3271">
      <w:pPr>
        <w:pStyle w:val="Citatindrag"/>
      </w:pPr>
      <w:r w:rsidRPr="0008481A">
        <w:t>Försäkringskassan i Blekinge har som mål att handlägga ärenden vilka beslutas av socialförsäkringsnämnderna inom 180 dagar. F n lever vi inte upp till detta mål. Vår bedömning är d</w:t>
      </w:r>
      <w:r w:rsidRPr="0008481A">
        <w:t>ock att effekterna av ovan redovisade utvecklingsaktiviteter resulterar i att vi når denna målsättning vid utgången av 1999.</w:t>
      </w:r>
    </w:p>
    <w:p w:rsidR="003B3271" w:rsidRPr="0008481A" w:rsidRDefault="003B3271">
      <w:pPr>
        <w:pStyle w:val="Rubrik3"/>
      </w:pPr>
      <w:r w:rsidRPr="0008481A">
        <w:t>Bedömning</w:t>
      </w:r>
    </w:p>
    <w:p w:rsidR="003B3271" w:rsidRPr="0008481A" w:rsidRDefault="003B3271">
      <w:pPr>
        <w:rPr>
          <w:sz w:val="20"/>
        </w:rPr>
      </w:pPr>
      <w:r w:rsidRPr="0008481A">
        <w:t>Riksförsäkringsverket rekommenderar i Allmänna råd 1998:11 att de åtgärder som ingår i ett ärende i största möjliga utsträckning bör vidtas innan ärendet prövas i socialförsäkringsnämnd, så att kassans beslut kan expedieras omgående efter det att nämndens protokoll är justerat. I det allmänna rådet ges också exempel på olika åtgärder som kan vidtas för att förbereda ärendet.</w:t>
      </w:r>
    </w:p>
    <w:p w:rsidR="003B3271" w:rsidRPr="0008481A" w:rsidRDefault="003B3271">
      <w:pPr>
        <w:pStyle w:val="Normaltindrag"/>
      </w:pPr>
      <w:r w:rsidRPr="0008481A">
        <w:t>Av försäkringskassans remissvar framgår att kassan, i ärenden som gäller förtidspension/sjukbidrag, inte beräknar förmånens storlek i förväg. Försäkringskassan har dock uppgett att den arbetar med att genomföra åtgärder för att kunna göra detta innan socialförsäkringsnämndens sammanträde. Kassan har som sin uppfattning anfört i remissvaret att det inte alltid är rationellt att göra beräkningen före nämndens beslut. Jag vill framhålla för kassan att anledningen till att beräkningen bör göras före socialförs</w:t>
      </w:r>
      <w:r w:rsidRPr="0008481A">
        <w:t>äkringsnämndens sammanträde är att nämndens beslut och tjänstemannens beslut skall kunna expedieras samtidigt och omgående efter det att nämndens protokoll är justerat. Bakgrunden till detta är att protokollet blir allmän handling när det justerats och att – enligt min uppfattning – nämndens gynnande beslut därigenom blir orubbligt. Det är således inte rationaliseringsskäl som ligger bakom min uppfattning i denna fråga. Jag har också i flera tidigare beslut understrukit vikten av att försäkringskassan exped</w:t>
      </w:r>
      <w:r w:rsidRPr="0008481A">
        <w:t>ierar beslutet omgående efter det att nämndens protokoll är justerat. Jag har därvid bl.a. särskilt betonat att socialförsäkringen är statligt finansierad och bör tillämpas på ett likformigt och rättvist sätt över landet samt att det är helt oacceptabelt att en försäkringskassa systematiskt handlägger ärenden på ett sätt som strider mot Riksförsäkringsverkets rekommendationer (JO:s ämbetsberättelse 1998/99 s. 366, särskilt s. 375 f.; se även mitt beslut i samma ämbetsberättelse s. 377).</w:t>
      </w:r>
    </w:p>
    <w:p w:rsidR="003B3271" w:rsidRPr="0008481A" w:rsidRDefault="003B3271">
      <w:pPr>
        <w:pStyle w:val="Normaltindrag"/>
      </w:pPr>
      <w:r w:rsidRPr="0008481A">
        <w:t>Jag vill utrycka min</w:t>
      </w:r>
      <w:r w:rsidRPr="0008481A">
        <w:t xml:space="preserve"> förvåning över att försäkringskassan i Blekinge län – mot bakgrund av Riksförsäkringsverkets otvetydiga rekommendationer i frågan – inte på ett mer aktivt sätt har försökt att få till stånd en ändring av rutinerna härvidlag. Jag förutsätter att kassan mot bakgrund av det jag nu uttalat skyndsamt vidtar de åtgärder som återstår för att handläggningen skall överensstämma med nämnda rekommendationer.</w:t>
      </w:r>
    </w:p>
    <w:p w:rsidR="003B3271" w:rsidRPr="0008481A" w:rsidRDefault="003B3271">
      <w:pPr>
        <w:pStyle w:val="Normaltindrag"/>
      </w:pPr>
      <w:r w:rsidRPr="0008481A">
        <w:t>Jag skickar en kopia av detta beslut till Riksförsäkringsverket för de upp</w:t>
      </w:r>
      <w:r w:rsidRPr="0008481A">
        <w:softHyphen/>
        <w:t>följningsåtgärder som verket i sin egenskap av tillsynsmyndighet över kassorna har att vidta. Jag skickar kopior även till riksdagens social</w:t>
      </w:r>
      <w:r w:rsidRPr="0008481A">
        <w:softHyphen/>
        <w:t>försäkringsutskott och till Regeringskansliet (Socialdepartementet) för kännedom.</w:t>
      </w:r>
    </w:p>
    <w:p w:rsidR="003B3271" w:rsidRPr="0008481A" w:rsidRDefault="003B3271">
      <w:pPr>
        <w:pStyle w:val="Rubrik2"/>
      </w:pPr>
      <w:r w:rsidRPr="0008481A">
        <w:t>Kritik mot en försäkringskassa för handläggningstiden i ett omprövningsärende</w:t>
      </w:r>
    </w:p>
    <w:p w:rsidR="003B3271" w:rsidRPr="0008481A" w:rsidRDefault="003B3271">
      <w:r w:rsidRPr="0008481A">
        <w:t>(Dnr 3050-1999)</w:t>
      </w:r>
    </w:p>
    <w:p w:rsidR="003B3271" w:rsidRPr="0008481A" w:rsidRDefault="003B3271">
      <w:r w:rsidRPr="0008481A">
        <w:t>I en anmälan till JO anförde M.G. att han under hösten 1997 begärde omprövning av ett beslut om indragning av sjukpenning som fattats av Västmanlands läns all</w:t>
      </w:r>
      <w:r w:rsidRPr="0008481A">
        <w:softHyphen/>
        <w:t>män</w:t>
      </w:r>
      <w:r w:rsidRPr="0008481A">
        <w:softHyphen/>
        <w:t>na för</w:t>
      </w:r>
      <w:r w:rsidRPr="0008481A">
        <w:softHyphen/>
        <w:t>säk</w:t>
      </w:r>
      <w:r w:rsidRPr="0008481A">
        <w:softHyphen/>
        <w:t>rings</w:t>
      </w:r>
      <w:r w:rsidRPr="0008481A">
        <w:softHyphen/>
        <w:t>kas</w:t>
      </w:r>
      <w:r w:rsidRPr="0008481A">
        <w:softHyphen/>
        <w:t>sa och att försäkringskassan fattade beslut först den 21 juni 1999.</w:t>
      </w:r>
    </w:p>
    <w:p w:rsidR="003B3271" w:rsidRPr="0008481A" w:rsidRDefault="003B3271">
      <w:pPr>
        <w:pStyle w:val="Normaltindrag"/>
      </w:pPr>
      <w:r w:rsidRPr="0008481A">
        <w:t>Anmälan remitterades till försäkringskassan för yttrande. I sitt remissvar anförde ka</w:t>
      </w:r>
      <w:r w:rsidRPr="0008481A">
        <w:t>s</w:t>
      </w:r>
      <w:r w:rsidRPr="0008481A">
        <w:t xml:space="preserve">san </w:t>
      </w:r>
      <w:r w:rsidRPr="0008481A">
        <w:rPr>
          <w:rFonts w:ascii="Garamond" w:hAnsi="Garamond"/>
        </w:rPr>
        <w:t>–</w:t>
      </w:r>
      <w:r w:rsidRPr="0008481A">
        <w:t xml:space="preserve"> efter att inledningsvis ha redogjort för ärendets hand</w:t>
      </w:r>
      <w:r w:rsidRPr="0008481A">
        <w:softHyphen/>
        <w:t xml:space="preserve">läggning </w:t>
      </w:r>
      <w:r w:rsidRPr="0008481A">
        <w:rPr>
          <w:rFonts w:ascii="Garamond" w:hAnsi="Garamond"/>
        </w:rPr>
        <w:t>–</w:t>
      </w:r>
      <w:r w:rsidRPr="0008481A">
        <w:t xml:space="preserve"> genom direkt</w:t>
      </w:r>
      <w:r w:rsidRPr="0008481A">
        <w:t>ö</w:t>
      </w:r>
      <w:r w:rsidRPr="0008481A">
        <w:t>ren Robert Granath följande.</w:t>
      </w:r>
    </w:p>
    <w:p w:rsidR="003B3271" w:rsidRPr="0008481A" w:rsidRDefault="003B3271">
      <w:r w:rsidRPr="0008481A">
        <w:t>(– – –)</w:t>
      </w:r>
    </w:p>
    <w:p w:rsidR="003B3271" w:rsidRPr="0008481A" w:rsidRDefault="003B3271">
      <w:pPr>
        <w:pStyle w:val="Citat"/>
      </w:pPr>
      <w:r w:rsidRPr="0008481A">
        <w:t>Försäkringskassan har i ärendet så långt det är möjligt tillmötesgått M.G. när han begärt att få anstånd för att inkomma med nytt material. M.G:s önskan att komplettera ärendet har, med hänsyn till u</w:t>
      </w:r>
      <w:r w:rsidRPr="0008481A">
        <w:t>t</w:t>
      </w:r>
      <w:r w:rsidRPr="0008481A">
        <w:t>vecklingen i ärendet, prioriterats före handläggningstiden. Försäkringska</w:t>
      </w:r>
      <w:r w:rsidRPr="0008481A">
        <w:t>s</w:t>
      </w:r>
      <w:r w:rsidRPr="0008481A">
        <w:t>san är medveten om att handläggningstiden vida överstiger de sex veckor som anges i prop. 1981/82:88 och även rekommenderas i RFV:s allmänna råd. Förutom den fördröjning av ärendet som skedde i augusti 1998 bed</w:t>
      </w:r>
      <w:r w:rsidRPr="0008481A">
        <w:t>ö</w:t>
      </w:r>
      <w:r w:rsidRPr="0008481A">
        <w:t>mer försäkringskassan dock att en skyndsam handläggning i detta fall skulle ha medfört att den försäkrades önskemål om förlängd tid inte skulle ha ku</w:t>
      </w:r>
      <w:r w:rsidRPr="0008481A">
        <w:t>n</w:t>
      </w:r>
      <w:r w:rsidRPr="0008481A">
        <w:t>nat tillgodoses. Försäkringskassan anser att handläggningstiden för o</w:t>
      </w:r>
      <w:r w:rsidRPr="0008481A">
        <w:t>m</w:t>
      </w:r>
      <w:r w:rsidRPr="0008481A">
        <w:t>prövni</w:t>
      </w:r>
      <w:r w:rsidRPr="0008481A">
        <w:t>n</w:t>
      </w:r>
      <w:r w:rsidRPr="0008481A">
        <w:t>g</w:t>
      </w:r>
      <w:r w:rsidRPr="0008481A">
        <w:t>en blivit orimligt lång.</w:t>
      </w:r>
    </w:p>
    <w:p w:rsidR="003B3271" w:rsidRPr="0008481A" w:rsidRDefault="003B3271">
      <w:r w:rsidRPr="0008481A">
        <w:t>M.G. kommenterade remissvaret.</w:t>
      </w:r>
    </w:p>
    <w:p w:rsidR="003B3271" w:rsidRPr="0008481A" w:rsidRDefault="003B3271">
      <w:pPr>
        <w:pStyle w:val="Normaltindrag"/>
      </w:pPr>
      <w:r w:rsidRPr="0008481A">
        <w:t xml:space="preserve">I sitt den 14 april 2000 meddelade beslut anförde </w:t>
      </w:r>
      <w:r w:rsidRPr="0008481A">
        <w:rPr>
          <w:i/>
        </w:rPr>
        <w:t>JO</w:t>
      </w:r>
      <w:r w:rsidRPr="0008481A">
        <w:t xml:space="preserve"> </w:t>
      </w:r>
      <w:r w:rsidRPr="0008481A">
        <w:rPr>
          <w:i/>
        </w:rPr>
        <w:t>Pennlöv</w:t>
      </w:r>
      <w:r w:rsidRPr="0008481A">
        <w:t xml:space="preserve"> i bedöm</w:t>
      </w:r>
      <w:r w:rsidRPr="0008481A">
        <w:softHyphen/>
        <w:t>ningsdelen följande.</w:t>
      </w:r>
    </w:p>
    <w:p w:rsidR="003B3271" w:rsidRPr="0008481A" w:rsidRDefault="003B3271">
      <w:r w:rsidRPr="0008481A">
        <w:t>Av utredningen framgår att M.G. inkom till försäkringskassan med sin begäran om omprövning den 15 december 1997. Försäkringskassans första avsikt var att socialförsäkringsnämnden skulle fatta omprövningsbeslutet den 9 februari 1998, dvs. åtta veckor senare. Med tanke på att det finns flera större helger under den tidsperioden hade det dröjsmålet möjligen kunnat godtas. Socialförsäkringsnämnden fattade emellertid sitt beslut först den 21 juni 1999. Det tog således dryg</w:t>
      </w:r>
      <w:r w:rsidRPr="0008481A">
        <w:t>t ett och ett halvt år för försäkringskassan att handlägga M.G:s begäran om omprövning. En så lång tid är helt oacceptabel, vilket kassan också medgett.</w:t>
      </w:r>
    </w:p>
    <w:p w:rsidR="003B3271" w:rsidRPr="0008481A" w:rsidRDefault="003B3271">
      <w:pPr>
        <w:pStyle w:val="Normaltindrag"/>
      </w:pPr>
      <w:r w:rsidRPr="0008481A">
        <w:t xml:space="preserve">Jag har i ett stort antal tidigare beslut understrukit betydelsen av att försäkringskassorna fattar sina beslut om omprövning inom sex veckor. Att omprövning normalt borde kunna ske inom den tiden beror bl.a. på att behovet av ytterligare utredning som regel torde vara begränsat. Det är med andra ord rimligt att utgå från att försäkringskassan utreder sina </w:t>
      </w:r>
      <w:r w:rsidRPr="0008481A">
        <w:t>ärenden med sådan omsorg att allt nödvändigt material finns tillgängligt redan vid tiden för kassans ursprungliga beslut.</w:t>
      </w:r>
    </w:p>
    <w:p w:rsidR="003B3271" w:rsidRPr="0008481A" w:rsidRDefault="003B3271">
      <w:pPr>
        <w:pStyle w:val="Normaltindrag"/>
      </w:pPr>
      <w:r w:rsidRPr="0008481A">
        <w:t xml:space="preserve">De sex veckorna torde i stället främst behövas för att andra beslutsfattare inom kassan än den ursprungliga skall kunna sätta sig in i ärendet. I de fall det är en socialförsäkringsnämnd som skall fatta omprövningsbeslutet måste viss hänsyn också tas till när nämnden kan sammanträda. </w:t>
      </w:r>
      <w:r w:rsidRPr="0008481A">
        <w:rPr>
          <w:rFonts w:ascii="Garamond" w:hAnsi="Garamond"/>
        </w:rPr>
        <w:t>–</w:t>
      </w:r>
      <w:r w:rsidRPr="0008481A">
        <w:t xml:space="preserve"> Det behöver knappast sägas att en försäkringskassa självfallet kan fatta ompröv</w:t>
      </w:r>
      <w:r w:rsidRPr="0008481A">
        <w:softHyphen/>
        <w:t>nings</w:t>
      </w:r>
      <w:r w:rsidRPr="0008481A">
        <w:softHyphen/>
        <w:t>beslutet på betydligt kortare tid än sex veckor, där så är möjligt.</w:t>
      </w:r>
    </w:p>
    <w:p w:rsidR="003B3271" w:rsidRPr="0008481A" w:rsidRDefault="003B3271">
      <w:pPr>
        <w:pStyle w:val="Normaltindrag"/>
      </w:pPr>
      <w:r w:rsidRPr="0008481A">
        <w:t xml:space="preserve">Det är naturligtvis inget som hindrar att kassan </w:t>
      </w:r>
      <w:r w:rsidRPr="0008481A">
        <w:rPr>
          <w:rFonts w:ascii="Garamond" w:hAnsi="Garamond"/>
        </w:rPr>
        <w:t>–</w:t>
      </w:r>
      <w:r w:rsidRPr="0008481A">
        <w:t xml:space="preserve"> om tiden medger </w:t>
      </w:r>
      <w:r w:rsidRPr="0008481A">
        <w:rPr>
          <w:rFonts w:ascii="Garamond" w:hAnsi="Garamond"/>
        </w:rPr>
        <w:t xml:space="preserve">– </w:t>
      </w:r>
      <w:r w:rsidRPr="0008481A">
        <w:t>inhämtar ytterligare utredning. För att överskrida sexveckorsfristen krävs dock särskilda skäl. Ett sådant skäl kan naturligtvis vara att uppgifter som den försäkrade lämnar i sin begäran om omprövning motiverar viss ytterligare utredning. Det kan röra sig om att den försäkrade begär att få komma in med nytt material, t.ex. ett nytt läkarintyg. Detta kan dock inte innebära att några längre överskridanden av tidsfristen kan tillåtas, i synnerhet inte av sådan omfattning som i detta ärende</w:t>
      </w:r>
      <w:r w:rsidRPr="0008481A">
        <w:t>. När eventuellt kompletterande utredningsmaterial inkommit måste den fortsatta hand</w:t>
      </w:r>
      <w:r w:rsidRPr="0008481A">
        <w:softHyphen/>
        <w:t>läggningen, t.ex. inhämtande av utlåtande från försäkringsläkare, präglas av y</w:t>
      </w:r>
      <w:r w:rsidRPr="0008481A">
        <w:t>t</w:t>
      </w:r>
      <w:r w:rsidRPr="0008481A">
        <w:t>tersta skyndsamhet.</w:t>
      </w:r>
    </w:p>
    <w:p w:rsidR="003B3271" w:rsidRPr="0008481A" w:rsidRDefault="003B3271">
      <w:pPr>
        <w:pStyle w:val="Normaltindrag"/>
      </w:pPr>
      <w:r w:rsidRPr="0008481A">
        <w:t xml:space="preserve">Jag vill i detta sammanhang särskilt erinra om att försäkringskassans handläggning utgör ett led i en process som inte behöver vara avslutad i och med att kassan meddelar sitt omprövningsbeslut. Det är nämligen då </w:t>
      </w:r>
      <w:r w:rsidRPr="0008481A">
        <w:rPr>
          <w:rFonts w:ascii="Garamond" w:hAnsi="Garamond"/>
        </w:rPr>
        <w:t>–</w:t>
      </w:r>
      <w:r w:rsidRPr="0008481A">
        <w:t xml:space="preserve"> och först då </w:t>
      </w:r>
      <w:r w:rsidRPr="0008481A">
        <w:rPr>
          <w:rFonts w:ascii="Garamond" w:hAnsi="Garamond"/>
        </w:rPr>
        <w:t>–</w:t>
      </w:r>
      <w:r w:rsidRPr="0008481A">
        <w:t xml:space="preserve"> som den försäkrade får möjlighet att överklaga kassans beslut till länsrätten. Om en försäkringskassa dröjer för länge med sitt ompröv</w:t>
      </w:r>
      <w:r w:rsidRPr="0008481A">
        <w:softHyphen/>
        <w:t>ningsbeslut kommer med andra ord den försäkrades rätt att få sin sak prövad i domstol att försenas i motsvarande mån.</w:t>
      </w:r>
    </w:p>
    <w:p w:rsidR="003B3271" w:rsidRPr="0008481A" w:rsidRDefault="003B3271">
      <w:pPr>
        <w:pStyle w:val="Normaltindrag"/>
      </w:pPr>
      <w:r w:rsidRPr="0008481A">
        <w:t xml:space="preserve">Sammanfattningsvis aktualiseras i ärendet en viktig fråga, nämligen försäkringskassans ansvar för att ett ärende drivs framåt och avslutas inom rimlig tid. Detta ansvar föreligger även då </w:t>
      </w:r>
      <w:r w:rsidRPr="0008481A">
        <w:rPr>
          <w:rFonts w:ascii="Garamond" w:hAnsi="Garamond"/>
        </w:rPr>
        <w:t>–</w:t>
      </w:r>
      <w:r w:rsidRPr="0008481A">
        <w:t xml:space="preserve"> som i detta fall </w:t>
      </w:r>
      <w:r w:rsidRPr="0008481A">
        <w:rPr>
          <w:rFonts w:ascii="Garamond" w:hAnsi="Garamond"/>
        </w:rPr>
        <w:t>–</w:t>
      </w:r>
      <w:r w:rsidRPr="0008481A">
        <w:t xml:space="preserve"> den försäkrade själv bidragit till att handläggningen blivit utdragen. Jag anser att för</w:t>
      </w:r>
      <w:r w:rsidRPr="0008481A">
        <w:softHyphen/>
        <w:t>säkringskassan inte på långa v</w:t>
      </w:r>
      <w:r w:rsidRPr="0008481A">
        <w:t>ä</w:t>
      </w:r>
      <w:r w:rsidRPr="0008481A">
        <w:t>gar har levt upp till detta ansvar i M.G:s ärende.</w:t>
      </w:r>
    </w:p>
    <w:p w:rsidR="003B3271" w:rsidRPr="0008481A" w:rsidRDefault="003B3271">
      <w:pPr>
        <w:pStyle w:val="Rubrik2"/>
      </w:pPr>
      <w:r w:rsidRPr="0008481A">
        <w:t>Fråga om tjänstemans underlåtenhet att tillse att ett överklagande i ett ärende rörande sjukpenning vidarebefordrades till länsrätt</w:t>
      </w:r>
    </w:p>
    <w:p w:rsidR="003B3271" w:rsidRPr="0008481A" w:rsidRDefault="003B3271">
      <w:r w:rsidRPr="0008481A">
        <w:t>(Dnr 2279-1999)</w:t>
      </w:r>
    </w:p>
    <w:p w:rsidR="003B3271" w:rsidRPr="0008481A" w:rsidRDefault="003B3271">
      <w:r w:rsidRPr="0008481A">
        <w:t xml:space="preserve">I ett beslut den 5 maj 2000 gällande ett klagomål mot Örebro läns allmänna försäkringskassa anförde </w:t>
      </w:r>
      <w:r w:rsidRPr="0008481A">
        <w:rPr>
          <w:i/>
        </w:rPr>
        <w:t>JO</w:t>
      </w:r>
      <w:r w:rsidRPr="0008481A">
        <w:t xml:space="preserve"> </w:t>
      </w:r>
      <w:r w:rsidRPr="0008481A">
        <w:rPr>
          <w:i/>
        </w:rPr>
        <w:t xml:space="preserve">Pennlöv </w:t>
      </w:r>
      <w:r w:rsidRPr="0008481A">
        <w:t>följande.</w:t>
      </w:r>
    </w:p>
    <w:p w:rsidR="003B3271" w:rsidRPr="0008481A" w:rsidRDefault="003B3271">
      <w:pPr>
        <w:pStyle w:val="Rubrik3"/>
      </w:pPr>
      <w:r w:rsidRPr="0008481A">
        <w:t>Anmälan m.m.</w:t>
      </w:r>
    </w:p>
    <w:p w:rsidR="003B3271" w:rsidRPr="0008481A" w:rsidRDefault="003B3271">
      <w:r w:rsidRPr="0008481A">
        <w:t>I en anmälan, som kom in till JO den 9 juni 1999, klagade M.P. på att hennes överklagande av försäkringskassans beslut att dra in hennes sjukpenning inte hade skickats vidare till länsrätten.</w:t>
      </w:r>
    </w:p>
    <w:p w:rsidR="003B3271" w:rsidRPr="0008481A" w:rsidRDefault="003B3271">
      <w:pPr>
        <w:pStyle w:val="Normaltindrag"/>
      </w:pPr>
      <w:r w:rsidRPr="0008481A">
        <w:t>Av de handlingar som M.P. bifogade sin anmälan framgår bl.a. följande. Försäkringskassan beslutade den 28 april 1997 att dra in hennes sjukpenning fr.o.m. den 1 juni 1997. Den 9 juni 1997 ingav hon till kassan ett över</w:t>
      </w:r>
      <w:r w:rsidRPr="0008481A">
        <w:softHyphen/>
        <w:t>klagande av beslutet. Försäkringskassans socialförsäkringsnämnd beslutade, efter omprövning enligt 20 kap. 10 och 11 §§ AFL, att inte ändra beslutet. Detta framgår av en underrättelse om beslutet, daterad den 4 augusti 1997. Den 22 september 1997 ingav M.P. till kassan ett överklagande av om</w:t>
      </w:r>
      <w:r w:rsidRPr="0008481A">
        <w:softHyphen/>
        <w:t>prövnings</w:t>
      </w:r>
      <w:r w:rsidRPr="0008481A">
        <w:softHyphen/>
        <w:t>beslutet. Enligt ett meddelande från Länsrätten i Örebro län kom överklagandet in dit den 11 maj 1999.</w:t>
      </w:r>
    </w:p>
    <w:p w:rsidR="003B3271" w:rsidRPr="0008481A" w:rsidRDefault="003B3271">
      <w:pPr>
        <w:pStyle w:val="Rubrik3"/>
      </w:pPr>
      <w:r w:rsidRPr="0008481A">
        <w:t>Utredning</w:t>
      </w:r>
    </w:p>
    <w:p w:rsidR="003B3271" w:rsidRPr="0008481A" w:rsidRDefault="003B3271">
      <w:pPr>
        <w:pStyle w:val="Rubrik4"/>
        <w:spacing w:before="120"/>
      </w:pPr>
      <w:r w:rsidRPr="0008481A">
        <w:t>Remiss</w:t>
      </w:r>
    </w:p>
    <w:p w:rsidR="003B3271" w:rsidRPr="0008481A" w:rsidRDefault="003B3271">
      <w:r w:rsidRPr="0008481A">
        <w:t>I remiss till Örebro läns allmänna försäkringskassa anmodades kassan att inkomma med följande.</w:t>
      </w:r>
    </w:p>
    <w:p w:rsidR="003B3271" w:rsidRPr="0008481A" w:rsidRDefault="003B3271">
      <w:pPr>
        <w:pStyle w:val="Citat"/>
      </w:pPr>
      <w:r w:rsidRPr="0008481A">
        <w:t>1) Upplysningar om försäkringskassans rutiner för hanteringen av över</w:t>
      </w:r>
      <w:r w:rsidRPr="0008481A">
        <w:softHyphen/>
        <w:t>klaganden. Av upplysningarna skall framgå vilka befattningshavare (inklu</w:t>
      </w:r>
      <w:r w:rsidRPr="0008481A">
        <w:softHyphen/>
        <w:t>sive tjänstetitel) som deltar i hanteringen.</w:t>
      </w:r>
    </w:p>
    <w:p w:rsidR="003B3271" w:rsidRPr="0008481A" w:rsidRDefault="003B3271">
      <w:pPr>
        <w:pStyle w:val="Citat"/>
      </w:pPr>
      <w:r w:rsidRPr="0008481A">
        <w:t>2) En redogörelse för hur M.P:s överklagande har hanterats.</w:t>
      </w:r>
    </w:p>
    <w:p w:rsidR="003B3271" w:rsidRPr="0008481A" w:rsidRDefault="003B3271">
      <w:r w:rsidRPr="0008481A">
        <w:t>I remissen uppmanades försäkringskassan att inte höra de berörda tjänste</w:t>
      </w:r>
      <w:r w:rsidRPr="0008481A">
        <w:softHyphen/>
        <w:t>männen om deras närmare deltagande vid handläggningen. Kassan skulle heller inte redovisa sin bedömning av det som förevarit.</w:t>
      </w:r>
    </w:p>
    <w:p w:rsidR="003B3271" w:rsidRPr="0008481A" w:rsidRDefault="003B3271">
      <w:pPr>
        <w:pStyle w:val="Normaltindrag"/>
      </w:pPr>
      <w:r w:rsidRPr="0008481A">
        <w:t>Försäkringskassan (direktören Åke Lindwall) anförde i remissvar den 13 augusti 1999 följande.</w:t>
      </w:r>
    </w:p>
    <w:p w:rsidR="003B3271" w:rsidRPr="0008481A" w:rsidRDefault="003B3271">
      <w:pPr>
        <w:pStyle w:val="Rubrik4"/>
        <w:spacing w:before="0"/>
      </w:pPr>
      <w:r w:rsidRPr="0008481A">
        <w:br w:type="page"/>
        <w:t>1. Försäkringskassans organisation och rutiner</w:t>
      </w:r>
    </w:p>
    <w:p w:rsidR="003B3271" w:rsidRPr="0008481A" w:rsidRDefault="003B3271">
      <w:pPr>
        <w:pStyle w:val="Citat"/>
      </w:pPr>
      <w:r w:rsidRPr="0008481A">
        <w:t>Organisation</w:t>
      </w:r>
    </w:p>
    <w:p w:rsidR="003B3271" w:rsidRPr="0008481A" w:rsidRDefault="003B3271">
      <w:pPr>
        <w:pStyle w:val="Citat"/>
      </w:pPr>
      <w:r w:rsidRPr="0008481A">
        <w:t>Försäkringskassan i Örebro är sedan 1995 organiserad i fyra geografiska områden (Örebro, Söder, Norr och Väster) samt ett centralkontor i Örebro. Inom de fyra områdena finns ett eller flera lokalkontor. Fr.o.m. januari 1999 har varje område en områdeschef, som är personalansvarig samt ansvarig för den löpande verksamheten inom området. Tidigare hade varje områdeschef även processansvar för vissa ärendeslag, men det upphörde då för</w:t>
      </w:r>
      <w:r w:rsidRPr="0008481A">
        <w:softHyphen/>
        <w:t>säkringsenheten inrättades. På varje område finns även en tjänst som planeringssekreterare med administrativa arbetsuppgifter. Övriga anställda på lokalkontoren har titeln försäkringssekreterare. Försäkringssekreterarna arbetar med olika ärendeslag i enlighet med områdeschefens uppdrag. Arbetet på lokalkontoren sker i självplanerande grupper, som är indelade utifrån ärendeslag och kontorets storlek. Inom område Örebro har kassan fr.o.m. den 15 augusti inrättat fyra tjänster som sektionsledare med arbets</w:t>
      </w:r>
      <w:r w:rsidRPr="0008481A">
        <w:softHyphen/>
        <w:t>le</w:t>
      </w:r>
      <w:r w:rsidRPr="0008481A">
        <w:t>dande funktion.</w:t>
      </w:r>
    </w:p>
    <w:p w:rsidR="003B3271" w:rsidRPr="0008481A" w:rsidRDefault="003B3271">
      <w:pPr>
        <w:pStyle w:val="Citatindrag"/>
      </w:pPr>
      <w:r w:rsidRPr="0008481A">
        <w:t>Lokalkontoret i Örebro är inrymt i samma fastighet som centralkontoret och med gemensam postsortering. Försäkringskassan i Örebro har fr.o.m. februari 1999 inrättat en länsväxel och en länskundtjänst för telefon</w:t>
      </w:r>
      <w:r w:rsidRPr="0008481A">
        <w:softHyphen/>
        <w:t>förfrågningar. Samtliga lokalkontor har en besökskundtjänst.</w:t>
      </w:r>
    </w:p>
    <w:p w:rsidR="003B3271" w:rsidRPr="0008481A" w:rsidRDefault="003B3271">
      <w:pPr>
        <w:pStyle w:val="Citatindrag"/>
      </w:pPr>
      <w:r w:rsidRPr="0008481A">
        <w:t>På centralkontoret finns en försäkringsenhet inrättad fr.o.m. januari 1999. På försäkringsenheten finns tolv tjänster som försäkringskonsult. För</w:t>
      </w:r>
      <w:r w:rsidRPr="0008481A">
        <w:softHyphen/>
        <w:t>säkrings</w:t>
      </w:r>
      <w:r w:rsidRPr="0008481A">
        <w:softHyphen/>
        <w:t>konsulterna arbetar med huvudinriktning på vissa ärendeslag enligt försäkringschefens anvisning. Försäkringskonsulterna handlägger om</w:t>
      </w:r>
      <w:r w:rsidRPr="0008481A">
        <w:softHyphen/>
        <w:t>prövningar samt rättidsprövning och prövning enligt 20 kap. 10 a § lagen om allmän försäkring (AFL) av överklaganden. På försäkringsenheten finns handläggningsregister för omprövnings- och överklagningsärenden. Före 1999 föreslog varje processägare sakkunniga, som skulle få uppdrag att handlägga omprövnings- och överklagningsärenden. Beslut om uppdraget fattades sen</w:t>
      </w:r>
      <w:r w:rsidRPr="0008481A">
        <w:t>are av kassans styrelse enligt då gällande Riksförsäkringsverkets föreskrifter (RFFS) 1978:22. Varje sakkunnig hade ett handläggningsregister över omprövningar och överklaganden inom sitt ärendeslag. Hand</w:t>
      </w:r>
      <w:r w:rsidRPr="0008481A">
        <w:softHyphen/>
        <w:t>läggningsregistret fanns på det lokalkontor där den sakkunnige var placerad.</w:t>
      </w:r>
    </w:p>
    <w:p w:rsidR="003B3271" w:rsidRPr="0008481A" w:rsidRDefault="003B3271">
      <w:pPr>
        <w:pStyle w:val="Citatindrag"/>
      </w:pPr>
      <w:r w:rsidRPr="0008481A">
        <w:t>När det gäller överklaganden av tjänstemannabeslut företräder försäkrings</w:t>
      </w:r>
      <w:r w:rsidRPr="0008481A">
        <w:softHyphen/>
        <w:t>konsulterna försäkringskassan i domstol enligt beslut av direktören. Samtliga socialförsäkringsnämnder har beslutat bemyndiga samma försäkrings</w:t>
      </w:r>
      <w:r w:rsidRPr="0008481A">
        <w:softHyphen/>
        <w:t>konsulter att företräda nämnden i domstol.</w:t>
      </w:r>
    </w:p>
    <w:p w:rsidR="003B3271" w:rsidRPr="0008481A" w:rsidRDefault="003B3271">
      <w:pPr>
        <w:pStyle w:val="Citatindrag"/>
      </w:pPr>
      <w:r w:rsidRPr="0008481A">
        <w:t>På centralkontoret finns pensionsenheten, som ansvarar för uträkning och beslut av olika pensionsförmåner för hela länet. På den administrativa en</w:t>
      </w:r>
      <w:r w:rsidRPr="0008481A">
        <w:softHyphen/>
        <w:t>heten handläggs vårdersättningsfrågor och statlig fordran.</w:t>
      </w:r>
    </w:p>
    <w:p w:rsidR="003B3271" w:rsidRPr="0008481A" w:rsidRDefault="003B3271">
      <w:pPr>
        <w:pStyle w:val="Rubrik5"/>
      </w:pPr>
      <w:r w:rsidRPr="0008481A">
        <w:t>Rutiner</w:t>
      </w:r>
    </w:p>
    <w:p w:rsidR="003B3271" w:rsidRPr="0008481A" w:rsidRDefault="003B3271">
      <w:pPr>
        <w:pStyle w:val="Citat"/>
      </w:pPr>
      <w:r w:rsidRPr="0008481A">
        <w:t>Ett överklagande skall vara skriftligt och kan inkomma via fax, post eller lämnas i kundtjänst. Den som tar emot eller öppnar posten lämnar skrivelsen till den självplanerande grupp som handlägger det aktuella ärendeslaget eller frågan. Inom arbetsgrupperna har tjänstemännen gjort ömsesidiga fullmakter om att vid frånvaro öppna post adresserad till namngiven tjänsteman. Den försäkringssekreterare som då tar emot överklagandet skall omgående vidare</w:t>
      </w:r>
      <w:r w:rsidRPr="0008481A">
        <w:softHyphen/>
        <w:t>befordra skrivelsen tillsammans med aktuella handlingar (pensionsakt, sjukkort, bilstödsakt, underhållsakt, återkravsakt etc) samt vid beslut av socialförsäkringsnämnd även protokollsutdrag till försäkringsenheten, före 1999 till respektive sakkunnig.</w:t>
      </w:r>
    </w:p>
    <w:p w:rsidR="003B3271" w:rsidRPr="0008481A" w:rsidRDefault="003B3271">
      <w:pPr>
        <w:pStyle w:val="Citatindrag"/>
      </w:pPr>
      <w:r w:rsidRPr="0008481A">
        <w:t>På försäkringsenheten registreras överklagandet. Försäkringskonsulten gör rättidsprövning och prövning enligt 20 kap. 10 a § AFL. I vissa fall skriver försäkringskonsulten yttrande till länsrätten samtidigt som överklagandet anhängiggörs vid domstolen. I övri</w:t>
      </w:r>
      <w:r w:rsidRPr="0008481A">
        <w:t>ga fall skrivs yttrande efter föreläggande från domstolen. Överklagandet vidarebefordras till länsrätten genom vakt</w:t>
      </w:r>
      <w:r w:rsidRPr="0008481A">
        <w:softHyphen/>
        <w:t>mästeriet, som dagligen går över med akter. Samtliga försäkringstjänstemän är väl medvetna om JO:s inställning att överklaganden skall överlämnas inom en vecka till länsrätten. Enligt gällande rutin skall inkommen post granskas, så att handläggaren kan prioritera och fördela arbetet.</w:t>
      </w:r>
    </w:p>
    <w:p w:rsidR="003B3271" w:rsidRPr="0008481A" w:rsidRDefault="003B3271">
      <w:pPr>
        <w:pStyle w:val="Citatindrag"/>
      </w:pPr>
      <w:r w:rsidRPr="0008481A">
        <w:t>Av besvärshänvisning för överklagande respektive begäran om om</w:t>
      </w:r>
      <w:r w:rsidRPr="0008481A">
        <w:softHyphen/>
        <w:t>prövning framgår vilka uppgifter som den klagande skall ange. Det är mycket vanligt att flera av uppgifterna saknas. Yrkande om vilken ändring som begärs framgår i princip endast om den försäkrade har juridiskt ombud. Ibland kan det vara svårt att uppfatta att det är ett överklagande med hänsyn till övriga uppgifter i skrivelsen. Om avsikten med skrivelsen är oklar skall avsändaren tillfrågas eller tillskrivas.</w:t>
      </w:r>
    </w:p>
    <w:p w:rsidR="003B3271" w:rsidRPr="0008481A" w:rsidRDefault="003B3271">
      <w:pPr>
        <w:pStyle w:val="Rubrik4"/>
      </w:pPr>
      <w:r w:rsidRPr="0008481A">
        <w:t>2. Redogörelse för handläggningen av M.P:s överklagande</w:t>
      </w:r>
    </w:p>
    <w:p w:rsidR="003B3271" w:rsidRPr="0008481A" w:rsidRDefault="003B3271">
      <w:pPr>
        <w:pStyle w:val="Citat"/>
      </w:pPr>
      <w:r w:rsidRPr="0008481A">
        <w:t>Av försäkringskassans journalanteckningar i M.P:s akt, som lånats från länsrätten, framgår följande:</w:t>
      </w:r>
    </w:p>
    <w:p w:rsidR="003B3271" w:rsidRPr="0008481A" w:rsidRDefault="003B3271">
      <w:pPr>
        <w:pStyle w:val="Citatindrag"/>
      </w:pPr>
      <w:r w:rsidRPr="0008481A">
        <w:t>M.P. ringde den 11 maj 1999 till försäkringskassan sedan hon varit i kontakt med länsrätten och efterlyst besked om domstolens hand</w:t>
      </w:r>
      <w:r w:rsidRPr="0008481A">
        <w:softHyphen/>
        <w:t>läggningstid. Hon fick då veta att domstolen inte hade något ärende regi</w:t>
      </w:r>
      <w:r w:rsidRPr="0008481A">
        <w:softHyphen/>
        <w:t>strerat. M.P. fick tala med försäkringskonsult Bertil Wahlqvist. Han tittade i handläggningsregistret och fann endast ett ärende, begäran om omprövning, som var åtgärdat. Tjänstemannabeslut om indragning av sjukpenning var omprövat i socialförsäkringsnämnd och underrättelse om nämndens beslut utfärdat. Bertil Wahlqvist hade upprättat föredragningspromemorian och Arne Jacobsson hade föredragit ärendet för nämnden. Något överklagande fa</w:t>
      </w:r>
      <w:r w:rsidRPr="0008481A">
        <w:t>nns däremot inte registrerat. Bertil Wahlqvist bad att få undersöka ärendet och därefter återkomma.</w:t>
      </w:r>
    </w:p>
    <w:p w:rsidR="003B3271" w:rsidRPr="0008481A" w:rsidRDefault="003B3271">
      <w:pPr>
        <w:pStyle w:val="Citatindrag"/>
      </w:pPr>
      <w:r w:rsidRPr="0008481A">
        <w:t>Efter beslut i socialförsäkringsnämnden arkiveras avslutade ärenden. Bertil Wahlqvist gick därför till arkivet för avslutade utredningsakter och letade efter M.P:s akt. Överst i akten låg då en överklagandeskrivelse insorterad. På överklagandet var en post-it lapp klistrad med noteringen ”För insortering i akt”. Bertil Wahlqvist ringde upp M.P. och bekräftade att hennes över</w:t>
      </w:r>
      <w:r w:rsidRPr="0008481A">
        <w:softHyphen/>
        <w:t>klagandeskrivelse inkommit till kassan och att den var ankomststämplad den 22 september 1997 på lokalkontoret i Örebro. Han gjorde därefter rättids</w:t>
      </w:r>
      <w:r w:rsidRPr="0008481A">
        <w:softHyphen/>
        <w:t>prövning och prövning enligt 20 kap. 10 a § AFL. Ärendet överlämnades samma dag till länsrätten med begäran om förtur.</w:t>
      </w:r>
    </w:p>
    <w:p w:rsidR="003B3271" w:rsidRPr="0008481A" w:rsidRDefault="003B3271">
      <w:pPr>
        <w:pStyle w:val="Citatindrag"/>
      </w:pPr>
      <w:r w:rsidRPr="0008481A">
        <w:t>Av handläggningsjournalen framgår även att Bertil Wahlqvist informerade områdeschefen och försäkringschefen om ovanstående. I samband med att länsrätten begärde att få in det avslutade sjukkortet kontaktade Bertil Wahlqvist den försäkringssekre</w:t>
      </w:r>
      <w:r w:rsidRPr="0008481A">
        <w:t>terare som varit rehabiliteringshandläggare i ärendet och som fattat det ursprungliga tjänstemannabeslutet om indragning av sjukpenning. Han visade henne post-it lappen och hon bekräftade att hon skrivit den. Handläggaren kunde dock inte förstå hur det kunde gått till.</w:t>
      </w:r>
    </w:p>
    <w:p w:rsidR="003B3271" w:rsidRPr="0008481A" w:rsidRDefault="003B3271">
      <w:pPr>
        <w:pStyle w:val="Citatindrag"/>
      </w:pPr>
      <w:r w:rsidRPr="0008481A">
        <w:t>Av de handlingar som bifogats Justitieombudsmannens remiss till för</w:t>
      </w:r>
      <w:r w:rsidRPr="0008481A">
        <w:softHyphen/>
        <w:t>säkrings</w:t>
      </w:r>
      <w:r w:rsidRPr="0008481A">
        <w:softHyphen/>
        <w:t>kassan ingår en kopia av överklagandeskrivelsen. Av den kopian framgår att M.P. lämnat sin överklagandeskrivelse i kundtjänst på lokal</w:t>
      </w:r>
      <w:r w:rsidRPr="0008481A">
        <w:softHyphen/>
        <w:t>kontoret i Örebro, samt att mottagande försäkringssekreterare lämnat tillbaka en kopia på vilken tjänstemannen noterat att överklagandeskrivelsen är mottagen.</w:t>
      </w:r>
    </w:p>
    <w:p w:rsidR="003B3271" w:rsidRPr="0008481A" w:rsidRDefault="003B3271">
      <w:pPr>
        <w:pStyle w:val="Citatindrag"/>
      </w:pPr>
      <w:r w:rsidRPr="0008481A">
        <w:t>Begäran om omprövning inkom den 9 juni 1997. På skrivelsen hade M.P. angivit att det gällde överklagande av beslut. Överklagandet av om</w:t>
      </w:r>
      <w:r w:rsidRPr="0008481A">
        <w:softHyphen/>
        <w:t>pröv</w:t>
      </w:r>
      <w:r w:rsidRPr="0008481A">
        <w:softHyphen/>
        <w:t>nings</w:t>
      </w:r>
      <w:r w:rsidRPr="0008481A">
        <w:softHyphen/>
        <w:t>beslutet inlämnades den 22 september 1997. Skrivelsen är ställd till Länsrätten i Örebro län. Till begäran om omprövning bifogades bilagor på 29 sidor. Samma bilagor bifogades även överklagandeskrivelsen.</w:t>
      </w:r>
    </w:p>
    <w:p w:rsidR="003B3271" w:rsidRPr="0008481A" w:rsidRDefault="003B3271">
      <w:pPr>
        <w:pStyle w:val="Citatindrag"/>
      </w:pPr>
      <w:r w:rsidRPr="0008481A">
        <w:t>Med hänsyn till att Justitieombudsmannen i remissen angivit att för</w:t>
      </w:r>
      <w:r w:rsidRPr="0008481A">
        <w:softHyphen/>
        <w:t>säkringskassan inte skall tillfråga berörda tjänstemän, så avslutas redogörelsen av hur överklaganden hanterats utifrån de uppgifter som handläggningsjournalen visar.</w:t>
      </w:r>
    </w:p>
    <w:p w:rsidR="003B3271" w:rsidRPr="0008481A" w:rsidRDefault="003B3271">
      <w:r w:rsidRPr="0008481A">
        <w:t>Härefter hämtades in bl.a. försäkringskassans skriftliga rutiner för handläggning av omprövningar/överklaganden, utfärdade den 27 februari 1996. Av dessa framgår bl.a. följande.</w:t>
      </w:r>
    </w:p>
    <w:p w:rsidR="003B3271" w:rsidRPr="0008481A" w:rsidRDefault="003B3271">
      <w:r w:rsidRPr="0008481A">
        <w:t>Begäran om omprövning resp. överklagande av försäkringskassans beslut skall skickas till försäkringskassan. I de flesta fall innebär det att skrivelsen kommer till det lokalkontor, som fattat beslutet. Det kontor som fattat beslutet avger ett yttrande med anledning av skrivelsen om begäran avser omprövning. Vid överklaganden bifogas protokollsutdrag. Begäran om omprövning/överklagande skickas till den som genom delegationsbeslut utsetts att ansvara för handläggningen av aktuellt ärendeslag.</w:t>
      </w:r>
    </w:p>
    <w:p w:rsidR="003B3271" w:rsidRPr="0008481A" w:rsidRDefault="003B3271">
      <w:pPr>
        <w:pStyle w:val="Rubrik3"/>
      </w:pPr>
      <w:r w:rsidRPr="0008481A">
        <w:t>Förundersökning</w:t>
      </w:r>
    </w:p>
    <w:p w:rsidR="003B3271" w:rsidRPr="0008481A" w:rsidRDefault="003B3271">
      <w:r w:rsidRPr="0008481A">
        <w:t>Vad som kommit fram gav mig anledning att anta att befattningshavare som står under min tillsyn gjort sig skyldig till tjänstefel enligt 20 kap. 1 § brottsbalken. Jag beslutade därför den 27 september 1999 att inleda förundersökning rörande sådant brott.</w:t>
      </w:r>
    </w:p>
    <w:p w:rsidR="003B3271" w:rsidRPr="0008481A" w:rsidRDefault="003B3271">
      <w:pPr>
        <w:pStyle w:val="Normaltindrag"/>
      </w:pPr>
      <w:r w:rsidRPr="0008481A">
        <w:t>Försäkringskassans akt hämtades in och granskades.</w:t>
      </w:r>
    </w:p>
    <w:p w:rsidR="003B3271" w:rsidRPr="0008481A" w:rsidRDefault="003B3271">
      <w:pPr>
        <w:pStyle w:val="Normaltindrag"/>
      </w:pPr>
      <w:r w:rsidRPr="0008481A">
        <w:t>Förhör hölls med försäkringskonsulten Bertil Wahlqvist, f.d. områdes</w:t>
      </w:r>
      <w:r w:rsidRPr="0008481A">
        <w:softHyphen/>
        <w:t>chefen Bennet Sandberg och konsulten Carina Larsson. Vidare inhämtades upplysningar från försäkringskonsulten Ann Hagenfalk, försäkringschefen Annelie Fors, områdeschefen Christina Kias och projektledaren Per Lindström.</w:t>
      </w:r>
    </w:p>
    <w:p w:rsidR="003B3271" w:rsidRPr="0008481A" w:rsidRDefault="003B3271">
      <w:pPr>
        <w:pStyle w:val="Normaltindrag"/>
      </w:pPr>
      <w:r w:rsidRPr="0008481A">
        <w:t>Den 3 december 1999 beslutade jag att delge försäkringssekreteraren Inger Bengtsson misstanke om tjänstefel enligt 20 kap. 1 § brottsbalken. Gärningen beskrevs enligt följande.</w:t>
      </w:r>
    </w:p>
    <w:p w:rsidR="003B3271" w:rsidRPr="0008481A" w:rsidRDefault="003B3271">
      <w:pPr>
        <w:pStyle w:val="Citat"/>
      </w:pPr>
      <w:r w:rsidRPr="0008481A">
        <w:t>M. P. inkom den 22 september 1997 till Örebro läns allmänna för</w:t>
      </w:r>
      <w:r w:rsidRPr="0008481A">
        <w:softHyphen/>
        <w:t>säkrings</w:t>
      </w:r>
      <w:r w:rsidRPr="0008481A">
        <w:softHyphen/>
        <w:t>kassa med ett överklagande av ett beslut angående sjukpenning som fattats av kassan. Överklagandet lämnades till den självplanerande grupp vid försäkringskassans lokalkontor i Örebro som handlade rehabiliteringsärenden och mottogs av Inger Bengtsson som ingick i gruppen. Inger Bengtsson, som i enlighet med gällande rutiner för handläggning av överklaganden har haft att skicka ärendet till den som genom delegationsbeslut utsetts att ansvara för handläggningen av aktuellt ärendeslag, har från den 22</w:t>
      </w:r>
      <w:r w:rsidRPr="0008481A">
        <w:t xml:space="preserve"> september 1997 eller någon dag därefter då hon mottog överklagandet fram till den 11 maj 1999 underlåtit att vidtaga den åtgärd som enligt handläggningsrutinen ålåg henne.</w:t>
      </w:r>
    </w:p>
    <w:p w:rsidR="003B3271" w:rsidRPr="0008481A" w:rsidRDefault="003B3271">
      <w:pPr>
        <w:pStyle w:val="Citatindrag"/>
      </w:pPr>
      <w:r w:rsidRPr="0008481A">
        <w:t>Inger Bengtsson har genom sin underlåtenhet av oaktsamhet vid sin myndighetsutövning åsidosatt vad som gäller för uppgiften.</w:t>
      </w:r>
    </w:p>
    <w:p w:rsidR="003B3271" w:rsidRPr="0008481A" w:rsidRDefault="003B3271">
      <w:r w:rsidRPr="0008481A">
        <w:t>Örebro tingsrätt förordnade den 15 december 1999 advokaten Christer Jonsson till offentlig försvarare för Inger Bengtsson.</w:t>
      </w:r>
    </w:p>
    <w:p w:rsidR="003B3271" w:rsidRPr="0008481A" w:rsidRDefault="003B3271">
      <w:pPr>
        <w:pStyle w:val="Normaltindrag"/>
      </w:pPr>
      <w:r w:rsidRPr="0008481A">
        <w:t>Förhör hölls med Inger Bengtsson den 17 december 1999. Av förhöret framgår sammanfattningsvis följande.</w:t>
      </w:r>
    </w:p>
    <w:p w:rsidR="003B3271" w:rsidRPr="0008481A" w:rsidRDefault="003B3271">
      <w:pPr>
        <w:pStyle w:val="Normaltindrag"/>
      </w:pPr>
      <w:r w:rsidRPr="0008481A">
        <w:t>Hon kände till försäkringskassans rutiner för handläggning av över</w:t>
      </w:r>
      <w:r w:rsidRPr="0008481A">
        <w:softHyphen/>
        <w:t xml:space="preserve">klaganden. Däremot kände hon inte till om det fanns några skriftliga rutiner. Hon har handlagt sammanlagt två till tre överklaganden. Hon kom ihåg M.P:s sjukpenningärende. Hon kan dock inte dra sig till minnes när hon först kom i kontakt med ärendet. Det var hon som fattade beslutet att dra in sjukpenningen. Hon kom inte ihåg att M.P. begärde omprövning av beslutet. Inte heller kom hon ihåg att omprövningsbeslutet överklagades. Över </w:t>
      </w:r>
      <w:r w:rsidRPr="0008481A">
        <w:softHyphen/>
        <w:t>huvud taget hade hon inte något minne av ärendet efter det att hon fattad</w:t>
      </w:r>
      <w:r w:rsidRPr="0008481A">
        <w:t>e beslutet att dra in sjukpenningen. Hon kände igen lappen med påskriften ”för insortering U-akt”. Hon såg lappen efter att Bertil Wahlqvist hade hittat M.P:s överklagande. Lappen satt på de papper M.P. gett in. Hon drog sig inte till minnes någonting när hon såg lappen. Hon hade inte någon aning om varför överklagandet hamnat i arkivet. Om hon hade handlagt överklagandet rätt skulle hon ha gått till kassans U-arkiv, där hämtat U-akten och vidare</w:t>
      </w:r>
      <w:r w:rsidRPr="0008481A">
        <w:softHyphen/>
        <w:t>befordrat alla handlingar till sakkunnig för handläggning. Ho</w:t>
      </w:r>
      <w:r w:rsidRPr="0008481A">
        <w:t>n hade under den aktuella tidsperioden en mycket pressad arbetssituation.</w:t>
      </w:r>
    </w:p>
    <w:p w:rsidR="003B3271" w:rsidRPr="0008481A" w:rsidRDefault="003B3271">
      <w:pPr>
        <w:pStyle w:val="Normaltindrag"/>
      </w:pPr>
      <w:r w:rsidRPr="0008481A">
        <w:t>Med hänsyn till de uppgifter som framkommit i förhöret med Inger Bengtsson fann jag att brott inte kunde styrkas. Jag beslutade därför den 22 december 1999 att lägga ned förundersökningen.</w:t>
      </w:r>
    </w:p>
    <w:p w:rsidR="003B3271" w:rsidRPr="0008481A" w:rsidRDefault="003B3271">
      <w:pPr>
        <w:pStyle w:val="Rubrik3"/>
      </w:pPr>
      <w:r w:rsidRPr="0008481A">
        <w:t>Förnyad remiss</w:t>
      </w:r>
    </w:p>
    <w:p w:rsidR="003B3271" w:rsidRPr="0008481A" w:rsidRDefault="003B3271">
      <w:r w:rsidRPr="0008481A">
        <w:t>Ärendet remitterades på nytt till försäkringskassan, som anmodades att yttra sig över kassans handläggning av M.P:s överklagande. I remissen angavs att det i yttrandet även skulle ingå en bedömning av de bevakningsrutiner som vid tidpunkten för det inträffade fanns för handläggning av överklaganden.</w:t>
      </w:r>
    </w:p>
    <w:p w:rsidR="003B3271" w:rsidRPr="0008481A" w:rsidRDefault="003B3271">
      <w:pPr>
        <w:pStyle w:val="Normaltindrag"/>
      </w:pPr>
      <w:r w:rsidRPr="0008481A">
        <w:t>Försäkringskassan anförde genom Åke Lindwall följande.</w:t>
      </w:r>
    </w:p>
    <w:p w:rsidR="003B3271" w:rsidRPr="0008481A" w:rsidRDefault="003B3271">
      <w:pPr>
        <w:pStyle w:val="Rubrik4"/>
      </w:pPr>
      <w:r w:rsidRPr="0008481A">
        <w:t>Angående handläggningen av M.P:s överklagande</w:t>
      </w:r>
    </w:p>
    <w:p w:rsidR="003B3271" w:rsidRPr="0008481A" w:rsidRDefault="003B3271">
      <w:pPr>
        <w:pStyle w:val="Citat"/>
      </w:pPr>
      <w:r w:rsidRPr="0008481A">
        <w:t>Av den utredning som gjorts har framkommit att M.P. lämnat sitt överklagande vid besök i kundtjänst. Posten som kommer till kundtjänst sorteras på vaktmästeriet. Överklagandeskrivelsen sorterades till den hand</w:t>
      </w:r>
      <w:r w:rsidRPr="0008481A">
        <w:softHyphen/>
        <w:t>läggare som fattat ursprungsbeslutet. Det var ett tjänstemannabeslut om indragning av sjukpenning efter den 31 maj 1997, då M.P. bedömdes arbetsför i lämplig arbetsmiljö. Beslutet var omprövat av social</w:t>
      </w:r>
      <w:r w:rsidRPr="0008481A">
        <w:softHyphen/>
        <w:t>försäkrings</w:t>
      </w:r>
      <w:r w:rsidRPr="0008481A">
        <w:softHyphen/>
        <w:t>nämnd och handlingarna fanns i kassans arkiv för avslutade ärenden.</w:t>
      </w:r>
    </w:p>
    <w:p w:rsidR="003B3271" w:rsidRPr="0008481A" w:rsidRDefault="003B3271">
      <w:pPr>
        <w:pStyle w:val="Citatindrag"/>
      </w:pPr>
      <w:r w:rsidRPr="0008481A">
        <w:t>Berörd tjänsteman gjorde ett misstag, när hon erhöll skrivelsen. Hon uppmärksammade inte att det var en ny överklagandeskrivelse och inte tidigare begäran om omprövning. Hon skrev en post-it lapp ”För in</w:t>
      </w:r>
      <w:r w:rsidRPr="0008481A">
        <w:softHyphen/>
        <w:t>sortering”. Skrivelsen insorterades i akten i arkivet utan åtgärd. Insorteringen gjordes av en tillfälligt anställd OTA-tjänsteman eftersom arkivet var långt ifrån hennes arbetsplats.</w:t>
      </w:r>
    </w:p>
    <w:p w:rsidR="003B3271" w:rsidRPr="0008481A" w:rsidRDefault="003B3271">
      <w:pPr>
        <w:pStyle w:val="Citatindrag"/>
      </w:pPr>
      <w:r w:rsidRPr="0008481A">
        <w:t>Handläggningen av överklagandeskrivelsen därefter är redovisad i försäkringskassans yttrande den 13 augusti 1999.</w:t>
      </w:r>
    </w:p>
    <w:p w:rsidR="003B3271" w:rsidRPr="0008481A" w:rsidRDefault="003B3271">
      <w:pPr>
        <w:pStyle w:val="Rubrik4"/>
      </w:pPr>
      <w:r w:rsidRPr="0008481A">
        <w:t>Angående bevakningsrutiner</w:t>
      </w:r>
    </w:p>
    <w:p w:rsidR="003B3271" w:rsidRPr="0008481A" w:rsidRDefault="003B3271">
      <w:pPr>
        <w:pStyle w:val="Citat"/>
      </w:pPr>
      <w:r w:rsidRPr="0008481A">
        <w:t>Såsom försäkringskassan redovisat sker postsorteringen i Örebro i ett för centralkontor och lokalkontor Örebro gemensamt vaktmästeri. Övriga lokal</w:t>
      </w:r>
      <w:r w:rsidRPr="0008481A">
        <w:softHyphen/>
        <w:t>kontor har egen postsortering. Försäkringskassan är enligt 5 § sekretess</w:t>
      </w:r>
      <w:r w:rsidRPr="0008481A">
        <w:softHyphen/>
        <w:t>förordningen inte skyldig att registrera handlingar i försäkringsärenden. När en överklagandeskrivelse inkommer till kassan så skall den tjänsteman som tar emot posten eller en kollega ta fram akt och eventuellt protokollsutdrag och skicka handlingarna till den tjänsteman som enligt delegationsbeslut skall handlägga överklagningsärenden. Sedan överklagandeskrivelsen kommit behörig tjänsteman tillhanda skrivs ett handläggningsmissiv, s</w:t>
      </w:r>
      <w:r w:rsidRPr="0008481A">
        <w:t>om även utgör en bevakning att ärendet vidarebefordras till länsrätten. Innan överklagandet vidarebefordras gör den behöriga tjänstemannen rättids</w:t>
      </w:r>
      <w:r w:rsidRPr="0008481A">
        <w:softHyphen/>
        <w:t>prövning och prövar om beslutet är uppenbart felaktigt enligt 20 kap. 10 a § lagen om allmän försäkring. När handlingarna skickas till länsrätten skriver tjänstemannen datum för postbefordran på missivet i handläggningsregistret.</w:t>
      </w:r>
    </w:p>
    <w:p w:rsidR="003B3271" w:rsidRPr="0008481A" w:rsidRDefault="003B3271">
      <w:pPr>
        <w:pStyle w:val="Rubrik4"/>
      </w:pPr>
      <w:r w:rsidRPr="0008481A">
        <w:t>Försäkringskassans bedömning</w:t>
      </w:r>
    </w:p>
    <w:p w:rsidR="003B3271" w:rsidRPr="0008481A" w:rsidRDefault="003B3271">
      <w:pPr>
        <w:pStyle w:val="Citat"/>
      </w:pPr>
      <w:r w:rsidRPr="0008481A">
        <w:t>M.P:s överklagandeskrivelse blev av misstag felaktigt insorterad i akten i arkivet. Orsak till misstaget har inte gått att säkerställa så här långt efteråt. Berörd tjänsteman har hänvisat till sin arbetsbelastning. Det har inte fram</w:t>
      </w:r>
      <w:r w:rsidRPr="0008481A">
        <w:softHyphen/>
        <w:t>kommit några uppgifter som pekar på bristande kännedom om gällande rutiner.</w:t>
      </w:r>
    </w:p>
    <w:p w:rsidR="003B3271" w:rsidRPr="0008481A" w:rsidRDefault="003B3271">
      <w:pPr>
        <w:pStyle w:val="Citatindrag"/>
      </w:pPr>
      <w:r w:rsidRPr="0008481A">
        <w:t>Trots att överklagandeskrivelsen i september inte omgående skickades till länsrätten har rättsförlusten för M.P. inte blivit så stor eftersom M.P. uppburit arbetslöshetsersättning efter indragningsbeslutet fr.o.m. den 2 juni 1997.</w:t>
      </w:r>
    </w:p>
    <w:p w:rsidR="003B3271" w:rsidRPr="0008481A" w:rsidRDefault="003B3271">
      <w:pPr>
        <w:pStyle w:val="Citatindrag"/>
      </w:pPr>
      <w:r w:rsidRPr="0008481A">
        <w:t>Försäkringskassans personal har en hög ambitionsnivå. Vissa typer av fel, såsom felaktig insortering i akt, är misstag som kan ske trots det och som kassan inte helt kan förhindra. Denna typ av misstag kan uppstå oavsett utbildningsinsatser, arbetsbelastning och bevakningsrutiner. Med hänsyn till den stora mängd inkommande post som försäkringskassan hanterar varje dag anser kassan inte att det finns förutsättningar för att skapa bevakningsrutiner förrän handlingen (ansökan, försäkran, läkarutlåtande, begär</w:t>
      </w:r>
      <w:r w:rsidRPr="0008481A">
        <w:t>an om om</w:t>
      </w:r>
      <w:r w:rsidRPr="0008481A">
        <w:softHyphen/>
        <w:t>prövning, överklagande etc) kommit till den tjänsteman som skall handlägga ärendet. Om ordinarie tjänsteman är frånvarande finns det arbetskollegor som ansvarar för prioritering, registrering, handläggning. Undantaget i sek</w:t>
      </w:r>
      <w:r w:rsidRPr="0008481A">
        <w:softHyphen/>
        <w:t>retess</w:t>
      </w:r>
      <w:r w:rsidRPr="0008481A">
        <w:softHyphen/>
        <w:t>förordningen avser att ge försäkringskassan förutsättningar att sortera inkomna handlingar i respektive försäkringsärende utan att omgående registrera att de inkommit. Oavsett om en skrivelse har rubriken ”Över</w:t>
      </w:r>
      <w:r w:rsidRPr="0008481A">
        <w:softHyphen/>
        <w:t>klagande” är det först sedan akten tagits fram som det går at</w:t>
      </w:r>
      <w:r w:rsidRPr="0008481A">
        <w:t>t fastställa att det är ett överklagande av beslut från försäkringskassan.</w:t>
      </w:r>
    </w:p>
    <w:p w:rsidR="003B3271" w:rsidRPr="0008481A" w:rsidRDefault="003B3271">
      <w:pPr>
        <w:pStyle w:val="Citatindrag"/>
      </w:pPr>
      <w:r w:rsidRPr="0008481A">
        <w:t>Om försäkringskassan fattat ett beslut om avslag eller indragning av en förmån innebär det att ärendet är avslutat och arkiveras. Någon bevakning av besvärstiden görs inte. Försäkringskassan anser inte att myndigheten har någon skyldighet att bevaka att överklagan inkommer.</w:t>
      </w:r>
    </w:p>
    <w:p w:rsidR="003B3271" w:rsidRPr="0008481A" w:rsidRDefault="003B3271">
      <w:pPr>
        <w:pStyle w:val="Citatindrag"/>
      </w:pPr>
      <w:r w:rsidRPr="0008481A">
        <w:t>Försäkringskassan kommer att fortsätta arbetet med att skapa förutsättning för personalen att fullgöra sitt arbete åt våra försäkrade på bästa sätt.</w:t>
      </w:r>
    </w:p>
    <w:p w:rsidR="003B3271" w:rsidRPr="0008481A" w:rsidRDefault="003B3271">
      <w:pPr>
        <w:tabs>
          <w:tab w:val="left" w:pos="0"/>
        </w:tabs>
      </w:pPr>
      <w:r w:rsidRPr="0008481A">
        <w:t>M.P. bereddes tillfälle att yttra sig över försäkringskassans remissvar, men hördes inte av.</w:t>
      </w:r>
    </w:p>
    <w:p w:rsidR="003B3271" w:rsidRPr="0008481A" w:rsidRDefault="003B3271">
      <w:pPr>
        <w:pStyle w:val="Rubrik3"/>
      </w:pPr>
      <w:r w:rsidRPr="0008481A">
        <w:t>Bedömning</w:t>
      </w:r>
    </w:p>
    <w:p w:rsidR="003B3271" w:rsidRPr="0008481A" w:rsidRDefault="003B3271">
      <w:r w:rsidRPr="0008481A">
        <w:t>Enligt försäkringskassans remissvar är kassan medveten om min ståndpunkt att tidsrymden för försäkringskassans rättidsprövning och prövning enligt 20 kap. 10 a § AFL och till dess att överklagandet lämnas över till länsrätten inte bör överstiga en vecka (se bl.a. JO:s ämbetsberättelse 1993/94 s. 347). I det här fallet tog det nästan 20 månader innan försäkringskassan över</w:t>
      </w:r>
      <w:r w:rsidRPr="0008481A">
        <w:softHyphen/>
        <w:t>lämnade överklagandet till länsrätten.</w:t>
      </w:r>
    </w:p>
    <w:p w:rsidR="003B3271" w:rsidRPr="0008481A" w:rsidRDefault="003B3271">
      <w:pPr>
        <w:pStyle w:val="Normaltindrag"/>
      </w:pPr>
      <w:r w:rsidRPr="0008481A">
        <w:t>Det har inte kunnat klarläggas annat än att det inträffade beror på ett förb</w:t>
      </w:r>
      <w:r w:rsidRPr="0008481A">
        <w:softHyphen/>
        <w:t>i</w:t>
      </w:r>
      <w:r w:rsidRPr="0008481A">
        <w:softHyphen/>
        <w:t>seende från Inger Bengtssons sida. Sådana misstag kan givetvis förekomma och är svåra att förebygga. Det får ändå inte hända att en så viktig skrift som ett överklagande inte blir föremål för handläggning. Den bristande hand</w:t>
      </w:r>
      <w:r w:rsidRPr="0008481A">
        <w:softHyphen/>
        <w:t>läggningen från Inger Bengtssons sida innebar en avsevärd risk för rätts</w:t>
      </w:r>
      <w:r w:rsidRPr="0008481A">
        <w:softHyphen/>
        <w:t>förlust för M.P. En viss sådan effekt hade redan inträtt genom att M.P. under knappt 20 månader var betagen möjligheten att få sin sak prövad i länsrätten. Om inte M.P. själv hade efterlyst länsrättens avgörande</w:t>
      </w:r>
      <w:r w:rsidRPr="0008481A">
        <w:t xml:space="preserve"> i saken hade över</w:t>
      </w:r>
      <w:r w:rsidRPr="0008481A">
        <w:softHyphen/>
        <w:t>klagandet fortfarande kunnat ligga obehandlat kvar i försäkringskassans akt. En klagande måste kunna lita på att den myndighet som fattat beslutet skyndsamt vidarebefordrar överklagandet till överinstansen. Detta är särskilt viktigt när det gäller beslut av det här aktuella slaget, där ersättningen i normalfallet är av stor betydelse för den försäkrades försörjning. Som fram</w:t>
      </w:r>
      <w:r w:rsidRPr="0008481A">
        <w:softHyphen/>
        <w:t>gått av mina åtgärder i detta ärende ser jag utomordentligt allvarligt på den bristande handläggningen.</w:t>
      </w:r>
    </w:p>
    <w:p w:rsidR="003B3271" w:rsidRPr="0008481A" w:rsidRDefault="003B3271">
      <w:pPr>
        <w:pStyle w:val="Normaltindrag"/>
      </w:pPr>
      <w:r w:rsidRPr="0008481A">
        <w:t>I övrigt ha</w:t>
      </w:r>
      <w:r w:rsidRPr="0008481A">
        <w:t>r inget förevarit i detta ärende som föranleder någon kommentar från min sida.</w:t>
      </w:r>
    </w:p>
    <w:p w:rsidR="003B3271" w:rsidRPr="0008481A" w:rsidRDefault="003B3271">
      <w:pPr>
        <w:pStyle w:val="Normaltindrag"/>
      </w:pPr>
      <w:r w:rsidRPr="0008481A">
        <w:t>Ärendet avslutas.</w:t>
      </w:r>
    </w:p>
    <w:p w:rsidR="003B3271" w:rsidRPr="0008481A" w:rsidRDefault="003B3271">
      <w:pPr>
        <w:pStyle w:val="Rubrik2"/>
      </w:pPr>
      <w:r w:rsidRPr="0008481A">
        <w:t>Ett initiativärende angående försäkringskassas dröjsmål med att verkställa en länsrättsdom</w:t>
      </w:r>
    </w:p>
    <w:p w:rsidR="003B3271" w:rsidRPr="0008481A" w:rsidRDefault="003B3271">
      <w:r w:rsidRPr="0008481A">
        <w:t>(Dnr 1963-1998)</w:t>
      </w:r>
    </w:p>
    <w:p w:rsidR="003B3271" w:rsidRPr="0008481A" w:rsidRDefault="003B3271">
      <w:r w:rsidRPr="0008481A">
        <w:t>Enligt en artikel i Norrköpings Tidningar den 12 maj 1998 hade Öster</w:t>
      </w:r>
      <w:r w:rsidRPr="0008481A">
        <w:softHyphen/>
        <w:t>götlands läns allmänna försäkringskassa dröjt med verkställigheten av en dom, meddelad av Länsrätten i Östergötlands län. Av artikeln framgick bl.a. följande. I maj 1996 meddelade länsrätten en dom i ett arbetsskadeärende som gällde beräkning av livränta. Länsrätten upphävde försäkringskassans beslut och överlämnade ärendet till försäkringskassan för erforderlig handläggning. Försäkringskassan tog upp ärendet på nytt och meddelade i maj 1997 ett beslut som stred mot länsrättens dom, eftersom beräkningen av</w:t>
      </w:r>
      <w:r w:rsidRPr="0008481A">
        <w:t xml:space="preserve"> livräntan gjordes på i stort sett samma grunder som tidigare. Beslutet överklagades till länsrätten som i februari 1998 undanröjde kassans beslut och visade målet åter till försäkringskassan. Anledningen var att länsrätten ansåg att dess första beslut från maj 1996 inte hade verkställts. Länsrätten motiverade sitt beslut bl.a. med att försäkringskassan hade varit skyldig att antingen verkställa länsrättens dom eller att överklaga den.</w:t>
      </w:r>
    </w:p>
    <w:p w:rsidR="003B3271" w:rsidRPr="0008481A" w:rsidRDefault="003B3271">
      <w:pPr>
        <w:pStyle w:val="Normaltindrag"/>
      </w:pPr>
      <w:r w:rsidRPr="0008481A">
        <w:t>Med anledning av vad som framgick av tidningsartikeln beslutade JO Pennl</w:t>
      </w:r>
      <w:r w:rsidRPr="0008481A">
        <w:t>öv att inom ramen för ett initiativärende låta utreda saken. Ärendet remitterades därefter till försäkringskassan, som kom in med ett yttrande.</w:t>
      </w:r>
    </w:p>
    <w:p w:rsidR="003B3271" w:rsidRPr="0008481A" w:rsidRDefault="003B3271">
      <w:pPr>
        <w:pStyle w:val="Normaltindrag"/>
      </w:pPr>
      <w:r w:rsidRPr="0008481A">
        <w:t>Från Kammarrätten i Jönköping inhämtades att länsrättens beslut den 9 februari 1998 ännu inte hade prövats av kammarrätten samt att någon inhibition inte hade meddelats i målet.</w:t>
      </w:r>
    </w:p>
    <w:p w:rsidR="003B3271" w:rsidRPr="0008481A" w:rsidRDefault="003B3271">
      <w:pPr>
        <w:pStyle w:val="Normaltindrag"/>
      </w:pPr>
      <w:r w:rsidRPr="0008481A">
        <w:t>Ärendet remitterades därefter på nytt till försäkringskassan för yttrande över att försäkringskassan, såvitt framgår av handlingarna, inte hade verkställt länsrättens beslut den 9 februari 1998 samt att någon inhibition inte hade meddelats i målet hos kammarrätten.</w:t>
      </w:r>
    </w:p>
    <w:p w:rsidR="003B3271" w:rsidRPr="0008481A" w:rsidRDefault="003B3271">
      <w:pPr>
        <w:pStyle w:val="Normaltindrag"/>
      </w:pPr>
      <w:r w:rsidRPr="0008481A">
        <w:t>Försäkringskassan anförde i remissvaret följande.</w:t>
      </w:r>
    </w:p>
    <w:p w:rsidR="003B3271" w:rsidRPr="0008481A" w:rsidRDefault="003B3271">
      <w:r w:rsidRPr="0008481A">
        <w:t>– – –</w:t>
      </w:r>
    </w:p>
    <w:p w:rsidR="003B3271" w:rsidRPr="0008481A" w:rsidRDefault="003B3271">
      <w:pPr>
        <w:pStyle w:val="Citat"/>
      </w:pPr>
      <w:r w:rsidRPr="0008481A">
        <w:t>Som angetts i försäkringskassans överklagande den 14 maj 1998 av länsrättens beslut har försäkringskassan genom omräkningsbeslut den 12 maj 1997 försökt verkställa en tidigare länsrättsdom den 2 maj 1996 i mål nr Ö 1450-93.</w:t>
      </w:r>
    </w:p>
    <w:p w:rsidR="003B3271" w:rsidRPr="0008481A" w:rsidRDefault="003B3271">
      <w:pPr>
        <w:pStyle w:val="Citatindrag"/>
      </w:pPr>
      <w:r w:rsidRPr="0008481A">
        <w:t>Länsrätten har i det nu överklagade beslutet undanröjt försäkringskassans omräkningsbeslut den 12 maj 1997 och fastställt att det ankommer på kassan att verkställa domen den 2 maj 1996.</w:t>
      </w:r>
    </w:p>
    <w:p w:rsidR="003B3271" w:rsidRPr="0008481A" w:rsidRDefault="003B3271">
      <w:pPr>
        <w:pStyle w:val="Citatindrag"/>
      </w:pPr>
      <w:r w:rsidRPr="0008481A">
        <w:t xml:space="preserve">Då ett verkställande av domen enligt försäkringskassans uppfattning inte skulle kunna leda till en högre livränta för O.H. överklagades länsrättens beslut till kammarrätten. Vid överklagandet yrkades tyvärr inte inhibition av länsrättens dom. </w:t>
      </w:r>
    </w:p>
    <w:p w:rsidR="003B3271" w:rsidRPr="0008481A" w:rsidRDefault="003B3271">
      <w:r w:rsidRPr="0008481A">
        <w:t xml:space="preserve">I sitt den 29 oktober 1999 meddelade beslut anförde </w:t>
      </w:r>
      <w:r w:rsidRPr="0008481A">
        <w:rPr>
          <w:i/>
        </w:rPr>
        <w:t xml:space="preserve">JO Pennlöv </w:t>
      </w:r>
      <w:r w:rsidRPr="0008481A">
        <w:t>i bedöm</w:t>
      </w:r>
      <w:r w:rsidRPr="0008481A">
        <w:softHyphen/>
        <w:t>ningsdelen följande.</w:t>
      </w:r>
    </w:p>
    <w:p w:rsidR="003B3271" w:rsidRPr="0008481A" w:rsidRDefault="003B3271">
      <w:r w:rsidRPr="0008481A">
        <w:t>Inledningsvis vill jag klargöra att JO enligt de regler som gäller för JO:s verksamhet normalt inte utreder förhållanden som ligger mer än två år tillbaka i tiden. Jag uttalar mig därför inte om förhållanden som ligger före länsrättens dom den 2 maj 1996.</w:t>
      </w:r>
    </w:p>
    <w:p w:rsidR="003B3271" w:rsidRPr="0008481A" w:rsidRDefault="003B3271">
      <w:pPr>
        <w:pStyle w:val="Normaltindrag"/>
      </w:pPr>
      <w:r w:rsidRPr="0008481A">
        <w:t>Av försäkringskassans remissvar framgår att det tog försäkringskassan närmare ett år att verkställa länsrättens dom den 2 maj 1996. Kassans förklaring är att domen var oklar och svår att tolka. Med beaktande av att mål som återförvisas av länsrätt till försäkringskassan skall handläggas med förtur kan kassan dock inte undgå kritik för den utdragna handläggningen.</w:t>
      </w:r>
    </w:p>
    <w:p w:rsidR="003B3271" w:rsidRPr="0008481A" w:rsidRDefault="003B3271">
      <w:pPr>
        <w:pStyle w:val="Normaltindrag"/>
      </w:pPr>
      <w:r w:rsidRPr="0008481A">
        <w:t>Vad därefter avser det förhållandet att försäkringskassan i anledning av länsrättens dom fattade ett beslut innebärande att O.H. inte beviljades ytterligare livränta har kassan uppgett att den vid beräkningen av livräntan följt Riksförsäkringsverkets rekommendationer på området. Av utredningen framgår vidare att länsrättens beslut den 9 februari 1998, vari rätten upphävde kassans nämnda beslut, har överklagats till kammarrätten som ännu inte prövat målet. JO uttalar sig inte annat än i undantagsfall i fråg</w:t>
      </w:r>
      <w:r w:rsidRPr="0008481A">
        <w:t xml:space="preserve">or som är föremål för prövning i ordinarie instans. Jag gör därför inte någon egen bedömning av försäkringskassans ställningstagande i det beslutet. Ärendet i den delen föranleder således inget uttalande från min sida. </w:t>
      </w:r>
    </w:p>
    <w:p w:rsidR="003B3271" w:rsidRPr="0008481A" w:rsidRDefault="003B3271">
      <w:pPr>
        <w:pStyle w:val="Normaltindrag"/>
      </w:pPr>
      <w:r w:rsidRPr="0008481A">
        <w:t>Enligt 20 kap. 13 § sista stycket lagen (1962:381) om allmän försäkring skall allmän försäkringskassas, Riksförsäkringsverkets och domstols beslut omedelbart gälla, om inte annat föreskrivits i beslutet eller bestäms av den domstol som har att pröva beslutet.</w:t>
      </w:r>
    </w:p>
    <w:p w:rsidR="003B3271" w:rsidRPr="0008481A" w:rsidRDefault="003B3271">
      <w:pPr>
        <w:pStyle w:val="Normaltindrag"/>
      </w:pPr>
      <w:r w:rsidRPr="0008481A">
        <w:t>Av utredningen framgår att länsrättens beslut den 9 februari 1998 var omedelbart gällande. Kammarrätten har inte heller meddelat inhibition i målet. Försäkringskassan hade således att verkställa länsrättens beslut. Försäkringskassan har uppgett att ett verkställande av beslutet och den bakomliggande domen enligt kassans uppfattning inte skulle leda till högre livränta för O.H., varför kassan överklagade länsrättens beslut. Uppen</w:t>
      </w:r>
      <w:r w:rsidRPr="0008481A">
        <w:softHyphen/>
        <w:t>barligen har försäkringskassan varit av den uppfattningen att kassan genom att överklaga länsrättens beslut inte behövde verkställa det. Jag vill framhålla för kassan att så inte är fallet. Försäkringskassan borde i stället i samband med sitt överklagande ha yrkat att kammarrätten skulle förordna att länsrättens beslut tills vidare inte skulle gälla.</w:t>
      </w:r>
    </w:p>
    <w:p w:rsidR="003B3271" w:rsidRPr="0008481A" w:rsidRDefault="003B3271">
      <w:pPr>
        <w:pStyle w:val="Rubrik2"/>
      </w:pPr>
      <w:r w:rsidRPr="0008481A">
        <w:t>Kritik mot Riksförsäkringsverket för att det, sedan Regeringsrätten klargjort rättsläget i visst avseende, dröjt med att ändra i sina Allmänna råd</w:t>
      </w:r>
    </w:p>
    <w:p w:rsidR="003B3271" w:rsidRPr="0008481A" w:rsidRDefault="003B3271">
      <w:r w:rsidRPr="0008481A">
        <w:t>(Dnr 1142-2000)</w:t>
      </w:r>
    </w:p>
    <w:p w:rsidR="003B3271" w:rsidRPr="0008481A" w:rsidRDefault="003B3271">
      <w:r w:rsidRPr="0008481A">
        <w:rPr>
          <w:i/>
        </w:rPr>
        <w:t xml:space="preserve">JO Pennlöv </w:t>
      </w:r>
      <w:r w:rsidRPr="0008481A">
        <w:t>meddelade den 21 juni 2000 ett beslut med följande innehåll.</w:t>
      </w:r>
    </w:p>
    <w:p w:rsidR="003B3271" w:rsidRPr="0008481A" w:rsidRDefault="003B3271">
      <w:pPr>
        <w:pStyle w:val="Rubrik3"/>
      </w:pPr>
      <w:r w:rsidRPr="0008481A">
        <w:t>Bakgrund</w:t>
      </w:r>
    </w:p>
    <w:p w:rsidR="003B3271" w:rsidRPr="0008481A" w:rsidRDefault="003B3271">
      <w:r w:rsidRPr="0008481A">
        <w:t>Riksförsäkringsverket rekommenderar i sitt Allmänna råd 1998:11 s. 31 följande (kursiveringen har gjorts här).</w:t>
      </w:r>
    </w:p>
    <w:p w:rsidR="003B3271" w:rsidRPr="0008481A" w:rsidRDefault="003B3271">
      <w:pPr>
        <w:pStyle w:val="Citat"/>
      </w:pPr>
      <w:r w:rsidRPr="0008481A">
        <w:t xml:space="preserve">Enligt förarbetena till FL har en statlig myndighet rätt att ändra sina beslut innan de har expedierats eller på annat sätt getts till känna för adressaterna. Det innebär att en </w:t>
      </w:r>
      <w:r w:rsidRPr="0008481A">
        <w:rPr>
          <w:i/>
        </w:rPr>
        <w:t>socialförsäkringsnämnd har möjlighet att ändra ett nämndbeslut som inte har expedierats,</w:t>
      </w:r>
      <w:r w:rsidRPr="0008481A">
        <w:t xml:space="preserve"> t.ex. om nya omständigheter har framkommit. I sådana fall kan inte bestämmelserna i 20 kap. 10 a § AFL tillämpas eftersom försäkringskassan inte har meddelat den försäkrade något beslut. Har beslutet däremot expedierats kan nämnden endast ändra beslutet med tillämpning av 20 kap. 10 a § AFL.</w:t>
      </w:r>
    </w:p>
    <w:p w:rsidR="003B3271" w:rsidRPr="0008481A" w:rsidRDefault="003B3271">
      <w:r w:rsidRPr="0008481A">
        <w:t>Regeringsrätten har i dom den 28 december 1999 (mål nr 3141-1998, RÅ 1999 ref 75) anfört följande (kursiveringen har gjorts här).</w:t>
      </w:r>
    </w:p>
    <w:p w:rsidR="003B3271" w:rsidRPr="0008481A" w:rsidRDefault="003B3271">
      <w:pPr>
        <w:pStyle w:val="Citat"/>
      </w:pPr>
      <w:r w:rsidRPr="0008481A">
        <w:t xml:space="preserve">Regeringsrätten har i en dom den 9 november 1999 (mål nr 7670-1995, RÅ 1999 ref 51) slagit fast att en socialförsäkringsnämnds beslut kan överklagas fr.o.m. den tidpunkt </w:t>
      </w:r>
      <w:r w:rsidRPr="0008481A">
        <w:rPr>
          <w:i/>
        </w:rPr>
        <w:t>då protokollet från nämndens sammanträde justerats eftersom det fr.o.m. den tidpunkten är allmän handling och offentligt till den del det inte är sekretessbelagt. Av detta ställningstagande följer att beslutet fr.o.m. den tidpunkten inte heller kan ändras till nackdel för den enskilde</w:t>
      </w:r>
      <w:r w:rsidRPr="0008481A">
        <w:t xml:space="preserve"> annat än inom ramen för bestämmelserna i 20 kap. 10 a § lagen (1962:381) om allmän försäkring (jfr prop. 1985/86:80 s. 39). – – –</w:t>
      </w:r>
    </w:p>
    <w:p w:rsidR="003B3271" w:rsidRPr="0008481A" w:rsidRDefault="003B3271">
      <w:pPr>
        <w:pStyle w:val="Rubrik3"/>
      </w:pPr>
      <w:r w:rsidRPr="0008481A">
        <w:t>Utredning</w:t>
      </w:r>
    </w:p>
    <w:p w:rsidR="003B3271" w:rsidRPr="0008481A" w:rsidRDefault="003B3271">
      <w:r w:rsidRPr="0008481A">
        <w:t>Med anledning av att Riksförsäkringsverkets rekommendationer i Allmänna råd 1998:11 s. 31 rörande senaste tidpunkt för ändring av socialförsäk</w:t>
      </w:r>
      <w:r w:rsidRPr="0008481A">
        <w:softHyphen/>
        <w:t>ringsnämnds beslut uppenbarligen stred mot Regeringsrättens avgörande beslutade jag att inom ramen för ett initiativärende låta utreda saken. En promemoria upprättades av föredraganden i ärendet. Promemorian innehöll i huvudsak vad som ovan upptagits under rubriken Bakgrund.</w:t>
      </w:r>
    </w:p>
    <w:p w:rsidR="003B3271" w:rsidRPr="0008481A" w:rsidRDefault="003B3271">
      <w:pPr>
        <w:pStyle w:val="Normaltindrag"/>
      </w:pPr>
      <w:r w:rsidRPr="0008481A">
        <w:t>Ärendet remitterades den 24 mars 2000 till Riksförsäkringsverket för yttrande över om verket avsåg att ändra det allmänna rådet och vad som i så fall var skälet till att så ännu inte skett. Riksförsäkringsverket yttrade sig genom överd</w:t>
      </w:r>
      <w:r w:rsidRPr="0008481A">
        <w:t>irektören Ingrid Persson den 28 april 2000. I remissvaret anförde verket följande.</w:t>
      </w:r>
    </w:p>
    <w:p w:rsidR="003B3271" w:rsidRPr="0008481A" w:rsidRDefault="003B3271">
      <w:pPr>
        <w:pStyle w:val="Packad"/>
      </w:pPr>
      <w:r w:rsidRPr="0008481A">
        <w:t>– – –</w:t>
      </w:r>
    </w:p>
    <w:p w:rsidR="003B3271" w:rsidRPr="0008481A" w:rsidRDefault="003B3271">
      <w:pPr>
        <w:pStyle w:val="Citat"/>
      </w:pPr>
      <w:r w:rsidRPr="0008481A">
        <w:t>De aktuella domarna lades in i domsregistret i socialförsäkringsadministra</w:t>
      </w:r>
      <w:r w:rsidRPr="0008481A">
        <w:softHyphen/>
        <w:t>tionens Intranät den 7 respektive 8 februari 2000. I ingressen till respektive dom angavs att de skulle komma att refereras (en uppgift som RFV inhämtat från Regeringsrätten). Direkt när man påbörjar en sökning i domsregistret finns en särskild länk till ”Domar inlagda under de senaste 12 månaderna".</w:t>
      </w:r>
    </w:p>
    <w:p w:rsidR="003B3271" w:rsidRPr="0008481A" w:rsidRDefault="003B3271">
      <w:pPr>
        <w:pStyle w:val="Citatindrag"/>
      </w:pPr>
      <w:r w:rsidRPr="0008481A">
        <w:t>Samtidigt som domarna läggs in i domsregistret läggs också en uppgift om detta ut på Intranätet under rubriken ”Nypublicerat”. Där presenteras en rullande nyhetsbevakning. Där anges t.ex. att en ny dom lagts i</w:t>
      </w:r>
      <w:r w:rsidRPr="0008481A">
        <w:t>n och vad den rör för område.</w:t>
      </w:r>
    </w:p>
    <w:p w:rsidR="003B3271" w:rsidRPr="0008481A" w:rsidRDefault="003B3271">
      <w:pPr>
        <w:pStyle w:val="Citatindrag"/>
      </w:pPr>
      <w:r w:rsidRPr="0008481A">
        <w:t>RFV har vidare den 18 februari 2000 gett ut en Rättsfallsöversikt som omfattar regeringsrättens domar juli 1998–december 1999 (RFV Anser 2000:1). Under rubriken processuellt har de aktuella domarna tagits upp. I kommentaren till mål nr 3141-1998 har RFV noterat att vad som anges i RFV:s Allmänna Råd 1998:11 Socialförsäkringsnämnder om möjligheten att ändra ett beslut av en socialförsäkringsnämnd och som baserats på FÖD 1993:1 inte längre är aktuellt.</w:t>
      </w:r>
    </w:p>
    <w:p w:rsidR="003B3271" w:rsidRPr="0008481A" w:rsidRDefault="003B3271">
      <w:pPr>
        <w:pStyle w:val="Citatindrag"/>
      </w:pPr>
      <w:r w:rsidRPr="0008481A">
        <w:t>När det gäller frågan om det Allmänna Rådet 1998:11 (sid. 31) ändrats får RFV anföra följande.</w:t>
      </w:r>
    </w:p>
    <w:p w:rsidR="003B3271" w:rsidRPr="0008481A" w:rsidRDefault="003B3271">
      <w:pPr>
        <w:pStyle w:val="Citatindrag"/>
      </w:pPr>
      <w:r w:rsidRPr="0008481A">
        <w:t>I december 1999 fattades beslut om att förändra utgivningen av serien Allmänna Råd RFV rekommenderar fr.o.m. den 1 januari 2000. En projektgrupp hade dessförinnan lämnat en rapport (1999-11-03) som låg till grund för ställningstagandet. Den hittillsvarande serien ska ersättas av två nya serier, Allmänna Råd och Vägledningar. Allmänna råd ska endast innehålla RFV:s rekommendationer om tillämpningen av författningar inom RFV:s verksamhetsområde. Vägledningar ska innehålla heltäckande beskriv</w:t>
      </w:r>
      <w:r w:rsidRPr="0008481A">
        <w:softHyphen/>
        <w:t>ningar av vad som gäller inom ett visst försäkringsområde. Skälen bakom förändringen är flera men bl.a. åstadkommer man en bättre överens</w:t>
      </w:r>
      <w:r w:rsidRPr="0008481A">
        <w:softHyphen/>
        <w:t>stäm</w:t>
      </w:r>
      <w:r w:rsidRPr="0008481A">
        <w:softHyphen/>
        <w:t>melse med författningssamlingsförordningens definition av allmänna råd och vad Statsrådsberedningen uttryckt i ”Myndigheternas föreskrifter” (Ds 1998:43). Också införandet av det nya offentliga rättsinformations</w:t>
      </w:r>
      <w:r w:rsidRPr="0008481A">
        <w:softHyphen/>
        <w:t>systemet har motiverat en översyn,</w:t>
      </w:r>
    </w:p>
    <w:p w:rsidR="003B3271" w:rsidRPr="0008481A" w:rsidRDefault="003B3271">
      <w:pPr>
        <w:pStyle w:val="Citatindrag"/>
      </w:pPr>
      <w:r w:rsidRPr="0008481A">
        <w:t>Under en övergångsperiod på två år ska alla ”gamla” Allmänna Råd skrivas om och delas upp i de nya serierna.</w:t>
      </w:r>
    </w:p>
    <w:p w:rsidR="003B3271" w:rsidRPr="0008481A" w:rsidRDefault="003B3271">
      <w:pPr>
        <w:pStyle w:val="Citatindrag"/>
      </w:pPr>
      <w:r w:rsidRPr="0008481A">
        <w:t>Vissa diskussioner om man ska göra ändringar i de ”gamla” Allmänna Råden eller avvakta att de görs om i sin helhet har gjort att det här aktuella Allmänna Rådet 1998:11 ännu inte ändrats. Beslut har dock tagits om att ge ut ett ändringsblad och så kommer att ske inom den närmaste tiden.</w:t>
      </w:r>
    </w:p>
    <w:p w:rsidR="003B3271" w:rsidRPr="0008481A" w:rsidRDefault="003B3271">
      <w:pPr>
        <w:pStyle w:val="Rubrik3"/>
      </w:pPr>
      <w:r w:rsidRPr="0008481A">
        <w:t>Bedömning</w:t>
      </w:r>
    </w:p>
    <w:p w:rsidR="003B3271" w:rsidRPr="0008481A" w:rsidRDefault="003B3271">
      <w:r w:rsidRPr="0008481A">
        <w:t>Av Riksförsäkringsverkets remissvar framgår att de åtgärder verket hittills vidtagit med anledning av de aktuella rättsfallen är att Riksförsäkringsverket i början av februari 2000 lade in rättsfallen i socialförsäkringens intranät och något senare i samma månad redovisade rättsfallen i en av verket utgiven rättsfallsöversikt. I samband därmed angav Riksförsäkringsverket i en kom</w:t>
      </w:r>
      <w:r w:rsidRPr="0008481A">
        <w:softHyphen/>
        <w:t>men</w:t>
      </w:r>
      <w:r w:rsidRPr="0008481A">
        <w:softHyphen/>
        <w:t>tar till rättsfallet RÅ ref. 75 att det medförde att vad som angavs i Allmänna rådet 1998:11 rörande möjligheterna att ändra ett beslut av social</w:t>
      </w:r>
      <w:r w:rsidRPr="0008481A">
        <w:softHyphen/>
        <w:t>försäkringsnämnd inte längre var aktuellt.</w:t>
      </w:r>
    </w:p>
    <w:p w:rsidR="003B3271" w:rsidRPr="0008481A" w:rsidRDefault="003B3271">
      <w:pPr>
        <w:pStyle w:val="Normaltindrag"/>
      </w:pPr>
      <w:r w:rsidRPr="0008481A">
        <w:t>Beträffande orsaken till att Riksförsäkringsverket ännu inte ändrat det Allmänna rådet 1998:11 i nu aktuellt avseende har verket hänvisat till att en förändrad utgivningsform av de allmänna råden är under förberedelse.</w:t>
      </w:r>
    </w:p>
    <w:p w:rsidR="003B3271" w:rsidRPr="0008481A" w:rsidRDefault="003B3271">
      <w:pPr>
        <w:pStyle w:val="Normaltindrag"/>
      </w:pPr>
      <w:r w:rsidRPr="0008481A">
        <w:t>Enligt 2 § förordningen (1998:739) med instruktion för Riksförsäkrings</w:t>
      </w:r>
      <w:r w:rsidRPr="0008481A">
        <w:softHyphen/>
        <w:t>verket skall verket bl.a. särskilt verka för att socialförsäkrings- och bidragssystemen tillämpas likformigt och rättvist. Verket skall också utöva tillsyn över försäkringskassorna och svara för utfärdande av de allmänna råd som fordras för tillämpningen av lagstiftningen inom sitt verksamhets</w:t>
      </w:r>
      <w:r w:rsidRPr="0008481A">
        <w:softHyphen/>
        <w:t>område.</w:t>
      </w:r>
    </w:p>
    <w:p w:rsidR="003B3271" w:rsidRPr="0008481A" w:rsidRDefault="003B3271">
      <w:pPr>
        <w:pStyle w:val="Normaltindrag"/>
      </w:pPr>
      <w:r w:rsidRPr="0008481A">
        <w:t>Jag kan inte underlåta att uttrycka min förvåning över att Riksförsäkrings</w:t>
      </w:r>
      <w:r w:rsidRPr="0008481A">
        <w:softHyphen/>
        <w:t>verket först i februari 2000 förmedlade information till försäkringskassorna om de aktuella rättsfallen och vad de innebär bl.a. beträffande senaste tid</w:t>
      </w:r>
      <w:r w:rsidRPr="0008481A">
        <w:softHyphen/>
        <w:t>punkt för ändring av socialförsäkringsnämnds gynnande beslut. Mot bakgrund av det ansvar verket har för att försäkringskassornas tillämpning av gällande författningar sker på ett likformigt sätt är det av utomordentlig vikt att information om rättspraxis snabbt sprids till försäkringskassorna. Det är också anmärkningsvärt att Riksförsäkringsverket inte – o</w:t>
      </w:r>
      <w:r w:rsidRPr="0008481A">
        <w:t>avsett planerna på en i framtiden förändrad utgivning av de allmänna råden – omedelbart på</w:t>
      </w:r>
      <w:r w:rsidRPr="0008481A">
        <w:softHyphen/>
        <w:t>började arbetet på och gav ut ett ändringsblad till det Allmänna rådet 1998:11, särskilt som det gäller en för den enskilde så väsentlig fråga som från vilken tidpunkt ett för denne gynnande beslut av en socialförsäkrings</w:t>
      </w:r>
      <w:r w:rsidRPr="0008481A">
        <w:softHyphen/>
        <w:t>nämnd inte kan ändras. Fortfarande gäller således allmänna råd som i väsent</w:t>
      </w:r>
      <w:r w:rsidRPr="0008481A">
        <w:softHyphen/>
        <w:t xml:space="preserve">liga frågor strider mot Regeringsrättens avgöranden. Riksförsäkringsverket har i remissvaret den 28 april 2000 uppgett att </w:t>
      </w:r>
      <w:r w:rsidRPr="0008481A">
        <w:t>det inom den närmaste tiden ska ge ut ett ändringsblad. Vid tidpunkten för detta beslut har ännu inte något sådant ändringsblad sänts ut till kassorna. Jag har dock den 20 juni 2000 fått veta att Riksförsäk</w:t>
      </w:r>
      <w:r w:rsidRPr="0008481A">
        <w:softHyphen/>
        <w:t>ringsverket är i slutskedet med arbetet att framställa ändringsbladet. Jag emotser besked av verket när ändringsbladet har sänts till kassorna. – Jag förutsätter att verket även i övrigt ser över de allmänna råden i den omfattning som Regeringsrättens avgöranden föranleder.</w:t>
      </w:r>
    </w:p>
    <w:p w:rsidR="003B3271" w:rsidRPr="0008481A" w:rsidRDefault="003B3271">
      <w:pPr>
        <w:pStyle w:val="Normaltindrag"/>
      </w:pPr>
      <w:r w:rsidRPr="0008481A">
        <w:t>Jag överlämnar en kopia av det</w:t>
      </w:r>
      <w:r w:rsidRPr="0008481A">
        <w:t>ta beslut till Regeringskansliet (Social</w:t>
      </w:r>
      <w:r w:rsidRPr="0008481A">
        <w:softHyphen/>
        <w:t>depar</w:t>
      </w:r>
      <w:r w:rsidRPr="0008481A">
        <w:softHyphen/>
        <w:t>tementet) och socialförsäkringsutskottet för kännedom.</w:t>
      </w:r>
    </w:p>
    <w:p w:rsidR="003B3271" w:rsidRPr="0008481A" w:rsidRDefault="003B3271">
      <w:pPr>
        <w:pStyle w:val="Normaltindrag"/>
      </w:pPr>
      <w:r w:rsidRPr="0008481A">
        <w:t>Med den kritik som ligger i det tidigare sagda avslutar jag ärendet här.</w:t>
      </w:r>
    </w:p>
    <w:p w:rsidR="003B3271" w:rsidRPr="0008481A" w:rsidRDefault="003B3271">
      <w:pPr>
        <w:pStyle w:val="Rubrik1"/>
        <w:spacing w:before="0"/>
      </w:pPr>
      <w:r w:rsidRPr="0008481A">
        <w:br w:type="page"/>
        <w:t>Miljö- och hälsoskydd samt djurskydd</w:t>
      </w:r>
    </w:p>
    <w:p w:rsidR="003B3271" w:rsidRPr="0008481A" w:rsidRDefault="003B3271">
      <w:pPr>
        <w:pStyle w:val="Rubrik2"/>
      </w:pPr>
      <w:r w:rsidRPr="0008481A">
        <w:t>Tillsynsmyndighets skyldighet att utreda och fatta beslut vid klagomål om överträdelser av villkor i täkttillstånd</w:t>
      </w:r>
    </w:p>
    <w:p w:rsidR="003B3271" w:rsidRPr="0008481A" w:rsidRDefault="003B3271">
      <w:r w:rsidRPr="0008481A">
        <w:t>(Dnr 1016-1998)</w:t>
      </w:r>
    </w:p>
    <w:p w:rsidR="003B3271" w:rsidRPr="0008481A" w:rsidRDefault="003B3271">
      <w:pPr>
        <w:pStyle w:val="Rubrik3"/>
      </w:pPr>
      <w:r w:rsidRPr="0008481A">
        <w:t>Anmälan</w:t>
      </w:r>
    </w:p>
    <w:p w:rsidR="003B3271" w:rsidRPr="0008481A" w:rsidRDefault="003B3271">
      <w:r w:rsidRPr="0008481A">
        <w:t>I en skrivelse till JO anmälde Börje Andersson Länsstyrelsen i Östergötlands län. Han riktade på flera punkter kritik mot myndigheten i fråga om dess handläggning av ärenden rörande tillsyn m.m. över en bergtäktverksamhet på fastigheten Åsandby 1:1 i Motala kommun. Börje Andersson anförde bl.a. följande.</w:t>
      </w:r>
    </w:p>
    <w:p w:rsidR="003B3271" w:rsidRPr="0008481A" w:rsidRDefault="003B3271">
      <w:pPr>
        <w:pStyle w:val="Normaltindrag"/>
      </w:pPr>
      <w:r w:rsidRPr="0008481A">
        <w:t>Den 24 april 1996 skickade han, tillsammans med andra närboende till täkten, en skrivelse till länsstyrelsen med klagomål mot att tillståndshavaren för täktverksam</w:t>
      </w:r>
      <w:r w:rsidRPr="0008481A">
        <w:softHyphen/>
        <w:t>heten inte följde vissa av de särskilda villkor som meddelats för verksam</w:t>
      </w:r>
      <w:r w:rsidRPr="0008481A">
        <w:softHyphen/>
        <w:t>heten. De fick inte något svar på skrivelsen. Vid ett besök hos länsstyrelsen den 4 juli 1996 återfanns skrivelsen som en aktbilaga i ett ärende rörande en ny ansökan från verksamhetsutövaren om fortsatt tillstånd till täktverksamhet på den aktuella fastigheten. Länsstyrelsen hade således inte tagit upp klagomålet till behandling utan i stället fogat det till akten i ett ärende rörande en ny ansökan. Länsstyrelsen hade inte heller ta</w:t>
      </w:r>
      <w:r w:rsidRPr="0008481A">
        <w:t>git någon kontakt med de klagande och redogjort för hur klagomålet skulle behandlas.</w:t>
      </w:r>
    </w:p>
    <w:p w:rsidR="003B3271" w:rsidRPr="0008481A" w:rsidRDefault="003B3271">
      <w:pPr>
        <w:pStyle w:val="Normaltindrag"/>
      </w:pPr>
      <w:r w:rsidRPr="0008481A">
        <w:t>Till sin anmälan fogade Börje Andersson kopior av den angivna skrivelsen samt ett flertal ytterligare handlingar rörande täktverk</w:t>
      </w:r>
      <w:r w:rsidRPr="0008481A">
        <w:softHyphen/>
        <w:t xml:space="preserve">samheten. </w:t>
      </w:r>
    </w:p>
    <w:p w:rsidR="003B3271" w:rsidRPr="0008481A" w:rsidRDefault="003B3271">
      <w:pPr>
        <w:pStyle w:val="Rubrik3"/>
      </w:pPr>
      <w:r w:rsidRPr="0008481A">
        <w:t xml:space="preserve"> Utredning</w:t>
      </w:r>
    </w:p>
    <w:p w:rsidR="003B3271" w:rsidRPr="0008481A" w:rsidRDefault="003B3271">
      <w:r w:rsidRPr="0008481A">
        <w:t>Efter remiss anförde länsstyrelsen i yttrande den 22 juni 1998 bl.a. följande.</w:t>
      </w:r>
    </w:p>
    <w:p w:rsidR="003B3271" w:rsidRPr="0008481A" w:rsidRDefault="003B3271">
      <w:pPr>
        <w:pStyle w:val="Rubrik4"/>
      </w:pPr>
      <w:r w:rsidRPr="0008481A">
        <w:t>Bakgrund</w:t>
      </w:r>
    </w:p>
    <w:p w:rsidR="003B3271" w:rsidRPr="0008481A" w:rsidRDefault="003B3271">
      <w:pPr>
        <w:pStyle w:val="Citat"/>
      </w:pPr>
      <w:r w:rsidRPr="0008481A">
        <w:t>Länsstyrelsen beviljade 1993-11-26 Skanska Sydöst AB tillstånd enligt naturvårdslagen till bergtäkt på Åsandby 1:1 att för tiden fram till 1996-06-30 göra ett uttag av högst 125.000 ton bergmaterial. Samma dag lämnade länsstyrelsen, med ett antal särskilda villkor, tillstånd enligt miljö</w:t>
      </w:r>
      <w:r w:rsidRPr="0008481A">
        <w:softHyphen/>
        <w:t>skyddslagen för ett sammanlagt högsta uttag av 150.000 ton. Beslutet lände till omedelbar efterrättelse. Det senare beslutet överklagades av Jan Arvidsson m.fl. till Koncessionsnämnden för miljöskydd, vilken 1994-05-17 lämnade överklagandet utan bifall.</w:t>
      </w:r>
    </w:p>
    <w:p w:rsidR="003B3271" w:rsidRPr="0008481A" w:rsidRDefault="003B3271">
      <w:pPr>
        <w:pStyle w:val="Citatindrag"/>
      </w:pPr>
      <w:r w:rsidRPr="0008481A">
        <w:t>1998-01-07 meddelade länsstyrelsen ett nytt tillstånd för Skanska Anlägg</w:t>
      </w:r>
      <w:r w:rsidRPr="0008481A">
        <w:softHyphen/>
        <w:t xml:space="preserve">nings AB enligt naturvårdslagen till bergtäkt på Åsandby 1:1 att längst till </w:t>
      </w:r>
      <w:r w:rsidRPr="0008481A">
        <w:rPr>
          <w:spacing w:val="-8"/>
        </w:rPr>
        <w:t>2004-12-31</w:t>
      </w:r>
      <w:r w:rsidRPr="0008481A">
        <w:t xml:space="preserve"> utta högst 350.000 ton bergmaterial. Samma dag meddelade länsstyrelsen Skanska Anläggning AB tillstånd enligt miljöskyddslagen för ett totalt uttag av </w:t>
      </w:r>
      <w:r w:rsidRPr="0008481A">
        <w:rPr>
          <w:spacing w:val="-6"/>
        </w:rPr>
        <w:t>700.000</w:t>
      </w:r>
      <w:r w:rsidRPr="0008481A">
        <w:t xml:space="preserve"> ton med det årliga uttaget begränsat till </w:t>
      </w:r>
      <w:r w:rsidRPr="0008481A">
        <w:rPr>
          <w:spacing w:val="-8"/>
        </w:rPr>
        <w:t>100.000</w:t>
      </w:r>
      <w:r w:rsidRPr="0008481A">
        <w:t xml:space="preserve"> ton. Ansökan om det senare tillståndet var ingiven till länsstyrelsen</w:t>
      </w:r>
      <w:r w:rsidRPr="0008481A">
        <w:rPr>
          <w:spacing w:val="-6"/>
        </w:rPr>
        <w:t xml:space="preserve"> 1995-12-11.</w:t>
      </w:r>
    </w:p>
    <w:p w:rsidR="003B3271" w:rsidRPr="0008481A" w:rsidRDefault="003B3271">
      <w:pPr>
        <w:pStyle w:val="Rubrik4"/>
      </w:pPr>
      <w:r w:rsidRPr="0008481A">
        <w:t>JO-anmälan</w:t>
      </w:r>
    </w:p>
    <w:p w:rsidR="003B3271" w:rsidRPr="0008481A" w:rsidRDefault="003B3271">
      <w:pPr>
        <w:pStyle w:val="Citat"/>
      </w:pPr>
      <w:r w:rsidRPr="0008481A">
        <w:t>Klaganden vill ha granskat om länsstyrelsen gjorde rätt, dels när en skrivelse 1996-04-24 inte togs upp som klagomål utan fördes till ett nytt ansök</w:t>
      </w:r>
      <w:r w:rsidRPr="0008481A">
        <w:softHyphen/>
        <w:t>ningsärende, dels när inte kontakt togs med klagandena för redogörelse av hur klagomålet skulle komma att behandlas.</w:t>
      </w:r>
    </w:p>
    <w:p w:rsidR="003B3271" w:rsidRPr="0008481A" w:rsidRDefault="003B3271">
      <w:pPr>
        <w:pStyle w:val="Citatindrag"/>
      </w:pPr>
      <w:r w:rsidRPr="0008481A">
        <w:t>I skrivelsen 1996-04-24 refereras omständigheter i samband med bl.a. de boendes överklagande 1993-12-21 av länsstyrelsens tillstånd 1993-11-26, tillsynsbesök av länsstyrelsen 1994-01-25 och besök i täkten av Motala kommuns miljö- och hälsoskyddsnämnd 1996-04-18. Sammanfattningsvis anges att man med skrivelsen dels ville påvisa att Skanska inte följt de villkor som meddelats, dels att man hop</w:t>
      </w:r>
      <w:r w:rsidRPr="0008481A">
        <w:t>pades att den omständigheten medförde att länsstyrelsen skulle avslå Skanskas ansökan om fortsatt verksamhet i täkten.</w:t>
      </w:r>
    </w:p>
    <w:p w:rsidR="003B3271" w:rsidRPr="0008481A" w:rsidRDefault="003B3271">
      <w:pPr>
        <w:pStyle w:val="Citatindrag"/>
      </w:pPr>
      <w:r w:rsidRPr="0008481A">
        <w:t>Länsstyrelsen har alltså 1994-01-25, i samband med att tillståndet över</w:t>
      </w:r>
      <w:r w:rsidRPr="0008481A">
        <w:softHyphen/>
        <w:t>klagades, företagit ett tillsynsbesök och bedömt de klagomål som framfördes i överklagandet. Tillståndet till täkt utgick 1996-06-30 och prövning av en ny ansökan om tillstånd pågick vid tidpunkten för skrivelsen 1996-04-24 hos länsstyrelsen. Mot bakgrund härav har, i enlighet med vad som sist anges i skrivelsen, denna av länsstyrelsen uppfattats som i huvudsak utgörande en inlaga i den pågående prövningen. Skrivelsen har därför tillförts detta ärende. Tillståndsärendet har sedan behandlats i föreskriven o</w:t>
      </w:r>
      <w:r w:rsidRPr="0008481A">
        <w:t>rdning varvid de boendes synpunkter på vanligt sätt ingått i prövningen. Bl.a. anordnade länsstyrelsen 1997-05-14 ett offentligt sammanträde då de omkringboende var närvarande.</w:t>
      </w:r>
    </w:p>
    <w:p w:rsidR="003B3271" w:rsidRPr="0008481A" w:rsidRDefault="003B3271">
      <w:pPr>
        <w:pStyle w:val="Citatindrag"/>
      </w:pPr>
      <w:r w:rsidRPr="0008481A">
        <w:t>Då åtgärderna bedömdes vara i enlighet med insändarnas önskemål har någon särskild information till dessa inte utgått. Länsstyrelsens möjligheter till sådan information om handläggningen har också med tilltagande resursbrist på tillsynssidan blivit alltmer begränsade.</w:t>
      </w:r>
    </w:p>
    <w:p w:rsidR="003B3271" w:rsidRPr="0008481A" w:rsidRDefault="003B3271">
      <w:pPr>
        <w:pStyle w:val="Citat"/>
      </w:pPr>
      <w:r w:rsidRPr="0008481A">
        <w:t>– – –</w:t>
      </w:r>
    </w:p>
    <w:p w:rsidR="003B3271" w:rsidRPr="0008481A" w:rsidRDefault="003B3271">
      <w:r w:rsidRPr="0008481A">
        <w:t>Börje Andersson kommenterade remissvaret och anförde bl.a. följande. Skrivel</w:t>
      </w:r>
      <w:r w:rsidRPr="0008481A">
        <w:softHyphen/>
        <w:t>sen den 24 april 1996 till länsstyrelsen upprättades efter en telefonkontakt med länsstyrelsens handläggare i ärendet rörande tillsyn över täktverksamheten. Vid denna kontakt framfördes att tillståndsinnehavaren inte följde för tillståndet givna villkor och att de kringboende ville att länsstyrelsen skulle agera. De fick till svar att det inte inkommit något klagomål i detta avseende, varför skrivelsen ingavs.  Det framgår tydligt av denna att den utgjorde ett klagomål på en pågående verksamhet. I skrivels</w:t>
      </w:r>
      <w:r w:rsidRPr="0008481A">
        <w:t xml:space="preserve">en angavs också det diarienummer som avsåg länsstyrelsens ärende om det då gällande tillståndet. Genom att inte behandla skrivelsen som ett klagomål på den pågående verksamheten underlät länsstyrelsen att undersöka riktigheten i de i skrivelsen påstådda avvikelserna från villkoren.   </w:t>
      </w:r>
    </w:p>
    <w:p w:rsidR="003B3271" w:rsidRPr="0008481A" w:rsidRDefault="003B3271">
      <w:r w:rsidRPr="0008481A">
        <w:rPr>
          <w:i/>
        </w:rPr>
        <w:t>Stf. JO Ekberg</w:t>
      </w:r>
      <w:r w:rsidRPr="0008481A">
        <w:t xml:space="preserve"> anförde i beslut den 16 december 1999 bl.a. följande.</w:t>
      </w:r>
    </w:p>
    <w:p w:rsidR="003B3271" w:rsidRPr="0008481A" w:rsidRDefault="003B3271">
      <w:r w:rsidRPr="0008481A">
        <w:t>Länsstyrelsen har i sitt remissyttrande redogjort för delar av innehållet i skrivelsen den 24 april 1996. Jag vill till denna redogörelse lägga att skrivelsen inleddes med en rubrik i fetstil av följande lydelse ”Klagan över täktverksamhet som bedrivs på Åsandby 1:1 i Motala kommun”. Vidare lämnades i skrivelsen en beskrivning av påstådda överträdelser av villkor som gällde för verksamheten och som angavs ha framkommit vid miljö- och hälsoskyddsnämndens</w:t>
      </w:r>
      <w:r w:rsidRPr="0008481A">
        <w:t xml:space="preserve"> besök på täkten den 18 april 1996. Därvid påtalades bl.a. att det vid besöket noterats att det inte funnits något tätt och kantförsett underlag anslutet till en oljeav</w:t>
      </w:r>
      <w:r w:rsidRPr="0008481A">
        <w:softHyphen/>
        <w:t>skiljare där oljehantering och tankning skulle ske, att stenkast utanför täktgränsen förekommit samt att vid skjutning av en salva en vecka tidigare, täktplanen frångåtts genom att brytningsriktningen ändrats 90 grader.</w:t>
      </w:r>
    </w:p>
    <w:p w:rsidR="003B3271" w:rsidRPr="0008481A" w:rsidRDefault="003B3271">
      <w:pPr>
        <w:pStyle w:val="Normaltindrag"/>
      </w:pPr>
      <w:r w:rsidRPr="0008481A">
        <w:t>I länsstyrelsens remissyttrande anförs att länsstyrelsen uppfattat denna skrivelse som i huvudsak utgörande en inlaga i den</w:t>
      </w:r>
      <w:r w:rsidRPr="0008481A">
        <w:t xml:space="preserve"> vid den aktuella tiden pågående prövningen av en ny ansökan från verksamhetsutövaren om tillstånd till fortsatt täktverksamhet på fastigheten. Jag finner dock att det av skrivelsens utformning klart framgår att den i första hand utgjort ett klagomål på den pågående verksamheten. Skrivelsen har innefattat påståenden om att verksamhetsutövaren inte följde vissa av de villkor som föreskrivits i det då gällande beslutet om tillstånd enligt miljöskyddslagen (1969:387). </w:t>
      </w:r>
    </w:p>
    <w:p w:rsidR="003B3271" w:rsidRPr="0008481A" w:rsidRDefault="003B3271">
      <w:pPr>
        <w:pStyle w:val="Normaltindrag"/>
      </w:pPr>
      <w:r w:rsidRPr="0008481A">
        <w:t xml:space="preserve">Miljöskyddslagen har numera, tillsammans </w:t>
      </w:r>
      <w:r w:rsidRPr="0008481A">
        <w:t>med annan miljörättslig lagstiftning, sammansmälts i miljöbalken. I ärendet är dock föreskrifterna i miljöskyddslagen av intresse.</w:t>
      </w:r>
    </w:p>
    <w:p w:rsidR="003B3271" w:rsidRPr="0008481A" w:rsidRDefault="003B3271">
      <w:pPr>
        <w:pStyle w:val="Normaltindrag"/>
      </w:pPr>
      <w:r w:rsidRPr="0008481A">
        <w:t xml:space="preserve"> Länsstyrelsen hade, vid den tid då skrivelsen inkom till myndigheten och fram till den 1 januari 1997, tillsyns</w:t>
      </w:r>
      <w:r w:rsidRPr="0008481A">
        <w:softHyphen/>
        <w:t>ansvar enligt miljöskyddslagen över den aktuella täktverksamheten. I ansvaret som tillsynsmyndighet ligger bl.a. en allmän skyldighet att vara lyhörd för befogade klagomål som rör den verksamhet som tillsynen avser och att se till att överträdelser av aktuella författnings</w:t>
      </w:r>
      <w:r w:rsidRPr="0008481A">
        <w:softHyphen/>
        <w:t>före</w:t>
      </w:r>
      <w:r w:rsidRPr="0008481A">
        <w:softHyphen/>
        <w:t>skrifter och villkor i tillståndsbeslut möts med de åtgärder som påkallas av omständigheterna. Av miljöskyddslagen framgår att läns</w:t>
      </w:r>
      <w:r w:rsidRPr="0008481A">
        <w:softHyphen/>
        <w:t>styrelsen i ett fall som det före</w:t>
      </w:r>
      <w:r w:rsidRPr="0008481A">
        <w:softHyphen/>
        <w:t>varande haft möjligheter att fatta ingripande beslut gentemot verk</w:t>
      </w:r>
      <w:r w:rsidRPr="0008481A">
        <w:t>samhetsutöva</w:t>
      </w:r>
      <w:r w:rsidRPr="0008481A">
        <w:softHyphen/>
        <w:t>ren, om denne överträtt villkor i till</w:t>
      </w:r>
      <w:r w:rsidRPr="0008481A">
        <w:softHyphen/>
        <w:t>ståndsbeslutet. Enligt 40 § tredje stycket i lagen fick i ett sådant fall tillsynsmyndigheten förelägga tillståndshavaren att vidta rättelse. Vidare kan vid fall av överträdelser av dylika villkor en anmälan till åtal komma i fråga, vilket det åligger tillsynsmyndigheten att göra under vissa för</w:t>
      </w:r>
      <w:r w:rsidRPr="0008481A">
        <w:softHyphen/>
        <w:t xml:space="preserve">hållanden (se bl.a. JO:s ämbetsberättelse 1988/89 s. 382). </w:t>
      </w:r>
    </w:p>
    <w:p w:rsidR="003B3271" w:rsidRPr="0008481A" w:rsidRDefault="003B3271">
      <w:pPr>
        <w:pStyle w:val="Normaltindrag"/>
      </w:pPr>
      <w:r w:rsidRPr="0008481A">
        <w:t>Med hänsyn till vad som anförts i skrivelsen den 24 april 1996 från de närboende hade det ålegat länsst</w:t>
      </w:r>
      <w:r w:rsidRPr="0008481A">
        <w:t>yrelsen att i vart fall utreda riktigheten i det som angavs om överträdelser av villkor i tillståndet. Länsstyrelsen har i ärendet inte anfört något om att man vidtagit sådana åtgärder med anledning av det som påtalades i skrivelsen eller att man ens beaktat det påtalade utifrån sitt ansvar som tillsynsmyn</w:t>
      </w:r>
      <w:r w:rsidRPr="0008481A">
        <w:softHyphen/>
        <w:t>dig</w:t>
      </w:r>
      <w:r w:rsidRPr="0008481A">
        <w:softHyphen/>
        <w:t>het. Inte heller av utredningen i övrigt framkommer att så har skett. Jag är kritisk mot läns</w:t>
      </w:r>
      <w:r w:rsidRPr="0008481A">
        <w:softHyphen/>
        <w:t>styrel</w:t>
      </w:r>
      <w:r w:rsidRPr="0008481A">
        <w:softHyphen/>
        <w:t xml:space="preserve">sens underlåtenhet i detta avseende.  </w:t>
      </w:r>
    </w:p>
    <w:p w:rsidR="003B3271" w:rsidRPr="0008481A" w:rsidRDefault="003B3271">
      <w:pPr>
        <w:pStyle w:val="Normaltindrag"/>
      </w:pPr>
      <w:r w:rsidRPr="0008481A">
        <w:t xml:space="preserve"> Vad gäller den formella hanteringen av skrivelsen den 24 ap</w:t>
      </w:r>
      <w:r w:rsidRPr="0008481A">
        <w:t xml:space="preserve">ril 1996 vill jag anföra följande. </w:t>
      </w:r>
    </w:p>
    <w:p w:rsidR="003B3271" w:rsidRPr="0008481A" w:rsidRDefault="003B3271">
      <w:pPr>
        <w:pStyle w:val="Normaltindrag"/>
      </w:pPr>
      <w:r w:rsidRPr="0008481A">
        <w:t>Börje Andersson och de övriga personer som undertecknat skrivelsen var närboende till den aktuella täktverksamheten. Av vad som framkommit i ärendet drar jag slutsatsen att de varit att anse som sakägare enligt miljö</w:t>
      </w:r>
      <w:r w:rsidRPr="0008481A">
        <w:softHyphen/>
        <w:t>skyddslagen. Vid sådant förhållande medför en anmälan från dem till läns</w:t>
      </w:r>
      <w:r w:rsidRPr="0008481A">
        <w:softHyphen/>
        <w:t>styrelsen om att verksamhetsutövaren inte följt vissa villkor som upp</w:t>
      </w:r>
      <w:r w:rsidRPr="0008481A">
        <w:softHyphen/>
        <w:t>ställts i tillståndsbeslutet enligt miljöskyddslagen att det hos länsstyrelsen uppstår ett ärende som skall avslutats genom ett formligt beslut som kan överklagas. Därigenom kan sakägarna få till stånd en överprövning av frågan om åtgärder skall vidtas enligt miljöskydds</w:t>
      </w:r>
      <w:r w:rsidRPr="0008481A">
        <w:softHyphen/>
      </w:r>
      <w:r w:rsidRPr="0008481A">
        <w:softHyphen/>
      </w:r>
      <w:r w:rsidRPr="0008481A">
        <w:softHyphen/>
        <w:t>lagen eller ej. Länsstyrelsen har inte behandlat skrivelsen på detta sätt. Något särskilt ären</w:t>
      </w:r>
      <w:r w:rsidRPr="0008481A">
        <w:t>de har inte lagts upp hos myndigheten och något beslut som kunnat över</w:t>
      </w:r>
      <w:r w:rsidRPr="0008481A">
        <w:softHyphen/>
        <w:t>klagas har uppenbarligen inte heller fattats. Även i detta hänseende har läns</w:t>
      </w:r>
      <w:r w:rsidRPr="0008481A">
        <w:softHyphen/>
        <w:t>styrelsen förfarit felaktigt.</w:t>
      </w:r>
    </w:p>
    <w:p w:rsidR="003B3271" w:rsidRPr="0008481A" w:rsidRDefault="003B3271">
      <w:pPr>
        <w:pStyle w:val="Rubrik2"/>
      </w:pPr>
      <w:r w:rsidRPr="0008481A">
        <w:t>Kritik mot Veterinära ansvarsnämnden för att i ett beslut ha kritiserat anmälarna</w:t>
      </w:r>
    </w:p>
    <w:p w:rsidR="003B3271" w:rsidRPr="0008481A" w:rsidRDefault="003B3271">
      <w:r w:rsidRPr="0008481A">
        <w:t>(Dnr 1436-1998)</w:t>
      </w:r>
    </w:p>
    <w:p w:rsidR="003B3271" w:rsidRPr="0008481A" w:rsidRDefault="003B3271">
      <w:pPr>
        <w:pStyle w:val="Rubrik3"/>
      </w:pPr>
      <w:r w:rsidRPr="0008481A">
        <w:t>Anmälan</w:t>
      </w:r>
    </w:p>
    <w:p w:rsidR="003B3271" w:rsidRPr="0008481A" w:rsidRDefault="003B3271">
      <w:r w:rsidRPr="0008481A">
        <w:t>Carl-Johan Eberstein begärde att JO skulle ta ställning till om Veterinära ansvarsnämnden handlat korrekt när den i ett beslut den 6 april 1998 rörande disciplinansvar för veterinär kritiserat anmälarna.</w:t>
      </w:r>
    </w:p>
    <w:p w:rsidR="003B3271" w:rsidRPr="0008481A" w:rsidRDefault="003B3271">
      <w:pPr>
        <w:pStyle w:val="Normaltindrag"/>
      </w:pPr>
      <w:r w:rsidRPr="0008481A">
        <w:t>Av nämndens beslut, som fogats till anmälan, framgick följande. J.Å. och A.N. anmälde klinikveterinären Jörg Bewig till Veterinära ansvarsnämnden dels för att han inte vårdat deras katt på ett tillfredsställande sätt, dels för att han bemött dem på ett osympatiskt och manipulativt sätt. De anmälde också klinikveterinären Björn Åblad för att han medvetet underlåtit att fastställa orsaken till att katten avled. Ansvarsnämnden lämnade i beslutet anmälan utan åtgärd. Nämnden uttalade i skälen för beslutet, sed</w:t>
      </w:r>
      <w:r w:rsidRPr="0008481A">
        <w:t>an den konstaterat att någon kritik inte kunde riktas mot de båda veterinärerna, följande.</w:t>
      </w:r>
    </w:p>
    <w:p w:rsidR="003B3271" w:rsidRPr="0008481A" w:rsidRDefault="003B3271">
      <w:pPr>
        <w:pStyle w:val="Citat"/>
      </w:pPr>
      <w:r w:rsidRPr="0008481A">
        <w:t xml:space="preserve">Enligt nämndens åsikt bör däremot kraftig kritik riktas mot djurägarna från djurskyddssynpunkt för att de inte genast ville medverka till att förkorta kattens lidande. </w:t>
      </w:r>
    </w:p>
    <w:p w:rsidR="003B3271" w:rsidRPr="0008481A" w:rsidRDefault="003B3271">
      <w:pPr>
        <w:pStyle w:val="Rubrik3"/>
      </w:pPr>
      <w:r w:rsidRPr="0008481A">
        <w:t>Utredning</w:t>
      </w:r>
    </w:p>
    <w:p w:rsidR="003B3271" w:rsidRPr="0008481A" w:rsidRDefault="003B3271">
      <w:r w:rsidRPr="0008481A">
        <w:t xml:space="preserve">Veterinära ansvarsnämnden anförde i infordrat remissvar följande. </w:t>
      </w:r>
    </w:p>
    <w:p w:rsidR="003B3271" w:rsidRPr="0008481A" w:rsidRDefault="003B3271">
      <w:pPr>
        <w:pStyle w:val="Citat"/>
      </w:pPr>
      <w:r w:rsidRPr="0008481A">
        <w:t>Enligt 18 § lagen (1994:844) om behörighet att utöva veterinäryrket är det en uppgift för nämnden att pröva frågor om disciplinansvar eller återkallelse av legitimation m.m. för veterinärer som anmäls till nämnden. Nämnden får också, i anhängiggjorda ärenden, anmäla veterinärer till åtal (30 §).</w:t>
      </w:r>
    </w:p>
    <w:p w:rsidR="003B3271" w:rsidRPr="0008481A" w:rsidRDefault="003B3271">
      <w:pPr>
        <w:pStyle w:val="Citatindrag"/>
      </w:pPr>
      <w:r w:rsidRPr="0008481A">
        <w:t>Även om förfarandet inför nämnden är ett s.k. tvåpartsförfarande, har nämnden ett eget utredningsansvar. Enligt 26 § samma lag är nämnden skyldig att se till att varje ärende blir tillräckligt utrett. Härutöver gäller, enligt 1 kap. 9 § regeringsformen, att nämnden i sin verksamhet är skyldig att beakta allas likhet inför lagen samt att iaktta saklighet och opartiskhet.</w:t>
      </w:r>
    </w:p>
    <w:p w:rsidR="003B3271" w:rsidRPr="0008481A" w:rsidRDefault="003B3271">
      <w:pPr>
        <w:pStyle w:val="Citatindrag"/>
      </w:pPr>
      <w:r w:rsidRPr="0008481A">
        <w:t>I det aktuella ärendet var djurskyddsaspekterna särskilt framträdande. Vad som då träder i förgrunden är bestämmelsen i 2 § djurskyddslagen (1988:534), att djur skall behandlas väl och skyddas mot onödigt lidande. Denna lagregel, den kanske mest grundläggande för alla som har med djur att göra, måste då bilda bakgrunden för nämndens prövning, och utrednings</w:t>
      </w:r>
      <w:r w:rsidRPr="0008481A">
        <w:softHyphen/>
        <w:t>ansvaret blir då särskilt påtagligt. För att rätt kunna bedöma den anmälde veterinärens ansvar för inträffade händelser, måste nämnden så gott som undantagslöst fråga sig vilket ansvar som ligger på andra som också har tagit befattning med djuret och hur ansvaret bör fördelas dem emellan. Man märker i detta sammanhang att nämnden har fått en sådan sammansättning att även djurägarintressena och allmänintresset är företrädda i nämnden (19 § andra stycket behörighetslagen; se vidare prop. 1993/94:139 s. 25 oc</w:t>
      </w:r>
      <w:r w:rsidRPr="0008481A">
        <w:t>h 32); nämnden har således fått kompetens att göra sådana mera allsidiga överväganden. Att inte göra en sådan prövning, när ärendet de facto berör både djurägaransvaret och veterinäransvaret, vore inte sakligt och opartiskt.</w:t>
      </w:r>
    </w:p>
    <w:p w:rsidR="003B3271" w:rsidRPr="0008481A" w:rsidRDefault="003B3271">
      <w:pPr>
        <w:pStyle w:val="Citatindrag"/>
      </w:pPr>
      <w:r w:rsidRPr="0008481A">
        <w:t>Härtill kommer att det är väl känt att nämndens bedömningar ofta bildar utgångspunkten för en prövning som sker i andra instanser, t.ex. i skadeståndsprocesser, försäkringstvister eller anmälningar till åtal (16 kap. 13 § brottsbalken). Av det skälet har nämnden sedan länge sett det som</w:t>
      </w:r>
      <w:r w:rsidRPr="0008481A">
        <w:t xml:space="preserve"> sin uppgift att, när det finns fog för det, även göra mera allmänna uttalanden om ansvarsfrågorna så att veterinäransvaret inte kommer att stå där isolerat utan kunna ses i belysning av det ansvar som åvilar andra som också har haft ett ansvar för skötseln av djuret.</w:t>
      </w:r>
    </w:p>
    <w:p w:rsidR="003B3271" w:rsidRPr="0008481A" w:rsidRDefault="003B3271">
      <w:pPr>
        <w:pStyle w:val="Citatindrag"/>
      </w:pPr>
      <w:r w:rsidRPr="0008481A">
        <w:t>Det anmälda ärendet var mycket inflammerat. Av det skälet ansåg sig nämnden böra ge tillkänna sin åsikt rörande ansvarsfördelningen på ett sätt som inte kunde missförstås. Som framgår av beslutet stod hela nämnden bakom de uttalanden som gjord</w:t>
      </w:r>
      <w:r w:rsidRPr="0008481A">
        <w:t>es, alltså även de båda ledamöter som företräder djurägarintressen.</w:t>
      </w:r>
    </w:p>
    <w:p w:rsidR="003B3271" w:rsidRPr="0008481A" w:rsidRDefault="003B3271">
      <w:pPr>
        <w:pStyle w:val="Citatindrag"/>
      </w:pPr>
      <w:r w:rsidRPr="0008481A">
        <w:t>I tydlighetens intresse bör sägas att nämnden självfallet inte är behörig att vidta några myndighetsåtgärder mot en anmälare. Så har heller inte skett. Den kritik som i skälen riktades mot djurägarna har enbart haft det syfte som nyss har beskrivits.</w:t>
      </w:r>
    </w:p>
    <w:p w:rsidR="003B3271" w:rsidRPr="0008481A" w:rsidRDefault="003B3271">
      <w:pPr>
        <w:pStyle w:val="Citatindrag"/>
      </w:pPr>
      <w:r w:rsidRPr="0008481A">
        <w:t xml:space="preserve">Nämndens beslut har överklagats till länsrätten i Jönköpings län (dnr 1045-98) av den ene av djurägarna. I överklagandet har djurägaren tagit upp frågan om nämndens kritik mot honom var befogad. Om länsrätten menar att nämnden har placerat djurskyddsansvaret fel, bör den rimligen också uttala sig i den delen. </w:t>
      </w:r>
    </w:p>
    <w:p w:rsidR="003B3271" w:rsidRPr="0008481A" w:rsidRDefault="003B3271">
      <w:r w:rsidRPr="0008481A">
        <w:t>JO lånade in ansvarsnämndens akt samt infordrade Länsrättens i Jönköpings län dom den 2 november 1998 i det överklagade målet. I domen anfördes bl.a. följande.</w:t>
      </w:r>
    </w:p>
    <w:p w:rsidR="003B3271" w:rsidRPr="0008481A" w:rsidRDefault="003B3271">
      <w:pPr>
        <w:pStyle w:val="Citat"/>
      </w:pPr>
      <w:r w:rsidRPr="0008481A">
        <w:t>Enligt 14 § lagen (1971:289) om allmänna förvaltningsdomstolar jämfört med 18 och 31 §§ lagen om behörighet att utöva veterinäryrket prövar länsrätten Veterinära ansvarsnämndens beslut i frågor om disciplinansvar, frågor om återkallelse och begränsning av legitimation samt andra frågor som avses i 13–17 §§, vilka behandlar återkallelse av legitimation och annan behörighet m.m. Även om det från J.Å:s sida måste framstå som att ut</w:t>
      </w:r>
      <w:r w:rsidRPr="0008481A">
        <w:softHyphen/>
        <w:t xml:space="preserve">talandena inte varit nödvändiga som motivering för nämndens beslut kan överklagandet, såvitt det avser uttalandena, som en följd av det anförda inte prövas av länsrätten. </w:t>
      </w:r>
    </w:p>
    <w:p w:rsidR="003B3271" w:rsidRPr="0008481A" w:rsidRDefault="003B3271">
      <w:r w:rsidRPr="0008481A">
        <w:rPr>
          <w:i/>
        </w:rPr>
        <w:t>Stf. JO Ekberg</w:t>
      </w:r>
      <w:r w:rsidRPr="0008481A">
        <w:t xml:space="preserve"> anförde i beslut den 25 oktober 1999 följande.</w:t>
      </w:r>
    </w:p>
    <w:p w:rsidR="003B3271" w:rsidRPr="0008481A" w:rsidRDefault="003B3271">
      <w:r w:rsidRPr="0008481A">
        <w:t>I 18 § lagen om behörighet att utöva veterinäryrket anges vilka huvud</w:t>
      </w:r>
      <w:r w:rsidRPr="0008481A">
        <w:softHyphen/>
        <w:t>upp</w:t>
      </w:r>
      <w:r w:rsidRPr="0008481A">
        <w:softHyphen/>
        <w:t>gifter som Veterinära ansvarsnämnden har. Den skall pröva disciplin</w:t>
      </w:r>
      <w:r w:rsidRPr="0008481A">
        <w:softHyphen/>
        <w:t xml:space="preserve">frågor, legitimationsfrågor, andra behörighetsfrågor och frågor om veterinärernas rätt att förskriva alkohol och narkotika. Nämnden får också som nämns i remissvaret, i anhängiggjorda ärenden anmäla veterinärer till åtal (30 §). </w:t>
      </w:r>
    </w:p>
    <w:p w:rsidR="003B3271" w:rsidRPr="0008481A" w:rsidRDefault="003B3271">
      <w:pPr>
        <w:pStyle w:val="Normaltindrag"/>
      </w:pPr>
      <w:r w:rsidRPr="0008481A">
        <w:t>Nämndens verksamhet avgränsas uttömmande av föreskrifterna i behörig</w:t>
      </w:r>
      <w:r w:rsidRPr="0008481A">
        <w:softHyphen/>
        <w:t>hetslagen. Någon uppgift att utöva tillsyn över efterlevnaden av djurskydds</w:t>
      </w:r>
      <w:r w:rsidRPr="0008481A">
        <w:softHyphen/>
        <w:t>lagen (1988:534) har inte ålagts nämnden. Ansvaret för sådan tillsyn tillkommer i första hand Statens jordbruksverk och kommunala nämnder (24 § djurskyddslagen).</w:t>
      </w:r>
    </w:p>
    <w:p w:rsidR="003B3271" w:rsidRPr="0008481A" w:rsidRDefault="003B3271">
      <w:pPr>
        <w:pStyle w:val="Normaltindrag"/>
      </w:pPr>
      <w:r w:rsidRPr="0008481A">
        <w:t>Även under den tid då ansvarsnämnden inte var en självständig myndighet utan en del av Jordbruksverket och fattade sina beslut i verkets namn – fram till juli 1994 – var nämndens verksamhet separerad från Jordbruksverkets funktion som tillsynsmyndighet. Ansvaret för att ti</w:t>
      </w:r>
      <w:r w:rsidRPr="0008481A">
        <w:t>llse efterlevnaden av djur</w:t>
      </w:r>
      <w:r w:rsidRPr="0008481A">
        <w:softHyphen/>
        <w:t>skyddslagen var således då som nu inte en sak för ansvarsnämnden. Någon från tidigare organisation av nämndverksamheten härrörande rätt att uttala sig som ett led i tillsyn av djurskyddsfrågor föreligger således inte.</w:t>
      </w:r>
    </w:p>
    <w:p w:rsidR="003B3271" w:rsidRPr="0008481A" w:rsidRDefault="003B3271">
      <w:pPr>
        <w:pStyle w:val="Normaltindrag"/>
      </w:pPr>
      <w:r w:rsidRPr="0008481A">
        <w:t>Bestämmelser om handläggningen i ansvarsnämnden återfinns i 23–35 §§ behörighetslagen. Därutöver gäller att ansvarsnämnden som en självständig förvaltningsmyndighet har att följa föreskrifterna i förvaltningslagen (1986:223) i den mån dessa kompletterar vad som anges</w:t>
      </w:r>
      <w:r w:rsidRPr="0008481A">
        <w:t xml:space="preserve"> i behörighetslagen. Enligt 20 § förvaltningslagen skall beslut varigenom en myndighet avgör ett ärende i princip innehålla de skäl som har bestämt utgången av ärendet om detta avser myndighetsutövning mot enskild. </w:t>
      </w:r>
    </w:p>
    <w:p w:rsidR="003B3271" w:rsidRPr="0008481A" w:rsidRDefault="003B3271">
      <w:pPr>
        <w:pStyle w:val="Normaltindrag"/>
      </w:pPr>
      <w:r w:rsidRPr="0008481A">
        <w:t>Jag konstaterar att ansvarsnämnden i sitt beslut i anledning av det av J.Å. och A.N. anhängiggjorda disciplinärendet motiverat sitt beslut i enlighet med vad förvaltningslagen föreskriver och att nämnden på anförda grunder funnit att kritik inte kunde riktas mot någon av de anmälda veterinärerna</w:t>
      </w:r>
      <w:r w:rsidRPr="0008481A">
        <w:t>. Det ankommer inte på mig att anlägga några synpunkter på innehållet eller utformningen av nämndens motivering för denna ståndpunkt.</w:t>
      </w:r>
    </w:p>
    <w:p w:rsidR="003B3271" w:rsidRPr="0008481A" w:rsidRDefault="003B3271">
      <w:pPr>
        <w:pStyle w:val="Normaltindrag"/>
      </w:pPr>
      <w:r w:rsidRPr="0008481A">
        <w:t>Vad jag däremot reagerar mot är att nämnden i sin motivering går vidare och i ett särskilt stycke för sig i avsnittet om nämndens bedömning uttalar kritik från djurskyddssynpunkt mot de anmälande djurägarna för att de inte genast ville medverka till att förkorta kattens lidande. Uttalandet ger närmast intryck av att nämnden tagit på sig en roll som tillsynsorgan enligt djur</w:t>
      </w:r>
      <w:r w:rsidRPr="0008481A">
        <w:softHyphen/>
        <w:t>skyddslagen, en roll som nämnden enligt vad som framgår av det ovan</w:t>
      </w:r>
      <w:r w:rsidRPr="0008481A">
        <w:softHyphen/>
        <w:t>stående inte har.</w:t>
      </w:r>
    </w:p>
    <w:p w:rsidR="003B3271" w:rsidRPr="0008481A" w:rsidRDefault="003B3271">
      <w:pPr>
        <w:pStyle w:val="Normaltindrag"/>
      </w:pPr>
      <w:r w:rsidRPr="0008481A">
        <w:t xml:space="preserve">I remissvaret har angetts att nämnden har ett utredningsansvar enligt 26 § behörighetslagen och att den som alla andra myndigheter skall beakta regeringsformens stadganden om att iaktta saklighet och opartiskhet. Mot den bakgrunden har nämnden ansett det nödvändigt att i flertalet ärenden fråga sig vilket ansvar som ligger på andra som har tagit befattning med det i ärendet aktuella djuret och hur ansvaret skall fördelas </w:t>
      </w:r>
      <w:r w:rsidRPr="0008481A">
        <w:t xml:space="preserve">dem emellan.  </w:t>
      </w:r>
    </w:p>
    <w:p w:rsidR="003B3271" w:rsidRPr="0008481A" w:rsidRDefault="003B3271">
      <w:pPr>
        <w:pStyle w:val="Normaltindrag"/>
      </w:pPr>
      <w:r w:rsidRPr="0008481A">
        <w:t>Jag har viss förståelse för detta resonemang. Det torde ofta i ärenden av förevarande slag röra sig om komplicerade sammanhang där förklaringar till det inträffade inte är entydiga, där behandlingsinsatser inte är självklara och där ansvarsfrågan måste vägas mellan olika inblandade. Att nämnden därför i sin utredning och under sina överväganden kommer in på olika aspekter på händelseförloppet är ofrånkomligt. Att också en diskussion kan uppkomma kring t.ex. djurägarens förhållanden i sammanha</w:t>
      </w:r>
      <w:r w:rsidRPr="0008481A">
        <w:t>nget får anses naturligt. I vilken omfattning det kan vara befogat att redovisa dessa överväganden i motiveringen för nämndens beslut angående de anmälda veterinärernas ansvar för det inträffade är inte så lätt att ange. Enligt min mening bör nämnden överväga restriktivitet i detta avseende och undvika att formulera sig i negativt värderande termer angående djurägarens insatser. Det är ju inte dennes utan veterinärens förfarande som är under granskning och bedöm</w:t>
      </w:r>
      <w:r w:rsidRPr="0008481A">
        <w:softHyphen/>
        <w:t>ning. Under alla förhållanden ställer jag mig</w:t>
      </w:r>
      <w:r w:rsidRPr="0008481A">
        <w:t xml:space="preserve"> avvisande till förfarandet att nämnden i sitt beslut redovisar sina resonemang kring de anmälande djurägarnas befattning med djuret i den form som här har skett. </w:t>
      </w:r>
    </w:p>
    <w:p w:rsidR="003B3271" w:rsidRPr="0008481A" w:rsidRDefault="003B3271">
      <w:pPr>
        <w:pStyle w:val="Normaltindrag"/>
      </w:pPr>
      <w:r w:rsidRPr="0008481A">
        <w:t>Förfarandet är också betänkligt ur den aspekten att djurägaren som anmälare kommer i fokus för nämndens bedömning utan att denne varit beredd på att så skulle kunna bli fallet. Vid tillkomsten av behörighetslagen ansågs det viktigt att ge djurägaren en rätt att vara anmälare. Det framhölls särskilt att människors känslomässiga förhållanden till f</w:t>
      </w:r>
      <w:r w:rsidRPr="0008481A">
        <w:t>ramför allt sällskaps</w:t>
      </w:r>
      <w:r w:rsidRPr="0008481A">
        <w:softHyphen/>
        <w:t>djur måste beaktas (prop. 1993/94:139 s. 33). Jag ser en viss diskrepans mellan detta uttalande och nämndens skrivning med kritik av anmälarens förfaringssätt.</w:t>
      </w:r>
    </w:p>
    <w:p w:rsidR="003B3271" w:rsidRPr="0008481A" w:rsidRDefault="003B3271">
      <w:pPr>
        <w:pStyle w:val="Normaltindrag"/>
      </w:pPr>
      <w:r w:rsidRPr="0008481A">
        <w:t>I det sammanhanget aktualiseras också frågan om det är i överens</w:t>
      </w:r>
      <w:r w:rsidRPr="0008481A">
        <w:softHyphen/>
        <w:t>stäm</w:t>
      </w:r>
      <w:r w:rsidRPr="0008481A">
        <w:softHyphen/>
        <w:t>mel</w:t>
      </w:r>
      <w:r w:rsidRPr="0008481A">
        <w:softHyphen/>
        <w:t>se med grundläggande förvaltningsrättsliga principer att en person som uppträder som anmälare offentligen kritiseras för sitt handlande utan att personen dessförinnan fått uttrycklig möjlighet att kommentera sitt handlande. Rättssäkerhetsintressen gör sig gällande inte bara när det gäller den anmäldes utan också när det gäller anmälarens situation.</w:t>
      </w:r>
    </w:p>
    <w:p w:rsidR="003B3271" w:rsidRPr="0008481A" w:rsidRDefault="003B3271">
      <w:pPr>
        <w:pStyle w:val="Normaltindrag"/>
      </w:pPr>
      <w:r w:rsidRPr="0008481A">
        <w:t>Av akten i ansvarsnämndens ärende framgår visserligen att en av de anmälda veterinärerna – i sitt yttrande till nämnden över den kritik som anmälarna r</w:t>
      </w:r>
      <w:r w:rsidRPr="0008481A">
        <w:t>iktat mot honom – uttalat att han ur djurskyddssynpunkt beklagade att katten fick lida längre än nödvändigt genom att ägaren inte gav sitt tillstånd till avlivning. När nämnden gav J.Å. och A.N. tillfälle att i sin tur yttra sig över vad veterinären framfört angavs inte särskilt att de borde kommentera sitt eget agerande. Så skedde inte heller, låt vara att J.Å. i sitt svar ställde frågan hur det ur djurskyddssynpunkt kunde vara förenligt med strävan att begränsa kattens lidande att efter kattens död göra f</w:t>
      </w:r>
      <w:r w:rsidRPr="0008481A">
        <w:t>örsök till återupplivning, vilket enligt journalen skedde.</w:t>
      </w:r>
    </w:p>
    <w:p w:rsidR="003B3271" w:rsidRPr="0008481A" w:rsidRDefault="003B3271">
      <w:pPr>
        <w:pStyle w:val="Normaltindrag"/>
      </w:pPr>
      <w:r w:rsidRPr="0008481A">
        <w:t xml:space="preserve">Jag kan inte göra någon annan bedömning än att den skarpt formulerade kritiken mot djurägarna i nämndens beslut måste ha kommit som en för dem oväntad och obehaglig överraskning. Någon möjlighet att i detta avseende få en ändring till stånd är som framgår av länsrättens dom inte möjlig inom ramen för det ordinarie överprövningssystemet. </w:t>
      </w:r>
    </w:p>
    <w:p w:rsidR="003B3271" w:rsidRPr="0008481A" w:rsidRDefault="003B3271">
      <w:pPr>
        <w:pStyle w:val="Normaltindrag"/>
      </w:pPr>
      <w:r w:rsidRPr="0008481A">
        <w:t>Vad jag nu anfört innebär inte att jag anser att kommunicering med anmälaren skulle rättfärdiga nämndens förfarande. Jag har bara velat ifråga</w:t>
      </w:r>
      <w:r w:rsidRPr="0008481A">
        <w:softHyphen/>
        <w:t>sätta detsamma även ur ett allmänt förvaltningsrättsligt perspektiv.</w:t>
      </w:r>
    </w:p>
    <w:p w:rsidR="003B3271" w:rsidRPr="0008481A" w:rsidRDefault="003B3271">
      <w:pPr>
        <w:pStyle w:val="Normaltindrag"/>
      </w:pPr>
      <w:r w:rsidRPr="0008481A">
        <w:t>I förlängningen innebär ansvarsnämndens förfarande att i anmälda ärenden ta ställning till frågan om anmälarens eventuella skuld en risk för att en anmälare, som anser sig ha fog för en anmälan mot en veterinär, med vetskap om nämndens förfaringssätt kan tveka att göra en anmälan och få sin sak prövad. En sådan utveckling kan inte anses stå i överensstämmelse med lagstiftarens intentioner att tilldela en djurägare rätt att göra anmälan ti</w:t>
      </w:r>
      <w:r w:rsidRPr="0008481A">
        <w:t xml:space="preserve">ll ansvarsnämnden. </w:t>
      </w:r>
    </w:p>
    <w:p w:rsidR="003B3271" w:rsidRPr="0008481A" w:rsidRDefault="003B3271">
      <w:pPr>
        <w:pStyle w:val="Normaltindrag"/>
      </w:pPr>
      <w:r w:rsidRPr="0008481A">
        <w:t>Jag anser sammanfattningsvis att nämnden inte kan undgå klander för sin åtgärd att i beslutet på sätt som skett kritisera de anmälande djurägarna från djurskyddssynpunkt.</w:t>
      </w:r>
    </w:p>
    <w:p w:rsidR="003B3271" w:rsidRPr="0008481A" w:rsidRDefault="003B3271">
      <w:pPr>
        <w:pStyle w:val="Rubrik1"/>
        <w:spacing w:before="0"/>
      </w:pPr>
      <w:r w:rsidRPr="0008481A">
        <w:br w:type="page"/>
        <w:t>Utbildnings- och kultursektorn</w:t>
      </w:r>
    </w:p>
    <w:p w:rsidR="003B3271" w:rsidRPr="0008481A" w:rsidRDefault="003B3271">
      <w:pPr>
        <w:pStyle w:val="Rubrik2"/>
      </w:pPr>
      <w:r w:rsidRPr="0008481A">
        <w:t>Kritik mot en skola som mottagit ett barn som elev under falskt namn och utan att känna till eller försöka få kännedom om hennes riktiga personuppgifter. Kritik även för att skolan inte kontrollerade uppgiften om vem som var vårdnadshavare för barnet</w:t>
      </w:r>
    </w:p>
    <w:p w:rsidR="003B3271" w:rsidRPr="0008481A" w:rsidRDefault="003B3271">
      <w:r w:rsidRPr="0008481A">
        <w:t>(Dnr 3328-1998)</w:t>
      </w:r>
    </w:p>
    <w:p w:rsidR="003B3271" w:rsidRPr="0008481A" w:rsidRDefault="003B3271">
      <w:pPr>
        <w:pStyle w:val="Rubrik3"/>
      </w:pPr>
      <w:r w:rsidRPr="0008481A">
        <w:t>Bakgrund</w:t>
      </w:r>
    </w:p>
    <w:p w:rsidR="003B3271" w:rsidRPr="0008481A" w:rsidRDefault="003B3271">
      <w:r w:rsidRPr="0008481A">
        <w:t>Jennie, född 1990, är dotter till A-M.O. Vårdnaden om Jennie överflyttades från A-M.O. till Jennies far genom en dom av Svea hovrätt den 3 maj 1996. A-M.O. bodde vid den tidpunkten med Jennie i Göteborg och hon hade, sedan augusti 1992, undanhållit Jennie från fadern. Jennie var sedan höstterminen 1997 inskriven som elev vid Stigbergsskolan i Göteborg under annat namn. Efter det att A-M.O. gripits av polis i början av februari 1998, misstänkt för egenmäktighet med barn, har fadern haft även den faktiska vå</w:t>
      </w:r>
      <w:r w:rsidRPr="0008481A">
        <w:t>rdnaden om Jennie. A-M.O. dömdes den 20 mars 1998 av Göteborgs tingsrätt till en månads fängelse för egenmäktighet med barn.</w:t>
      </w:r>
    </w:p>
    <w:p w:rsidR="003B3271" w:rsidRPr="0008481A" w:rsidRDefault="003B3271">
      <w:pPr>
        <w:pStyle w:val="Rubrik3"/>
      </w:pPr>
      <w:r w:rsidRPr="0008481A">
        <w:t>Anmälan</w:t>
      </w:r>
    </w:p>
    <w:p w:rsidR="003B3271" w:rsidRPr="0008481A" w:rsidRDefault="003B3271">
      <w:r w:rsidRPr="0008481A">
        <w:t>Advokaten Anna-Stina Widell begärde i en anmälan till JO att JO skulle granska om olika myndigheter och befattningshavare hade agerat i överens</w:t>
      </w:r>
      <w:r w:rsidRPr="0008481A">
        <w:softHyphen/>
        <w:t>stämmelse med gällande regler då de medverkat till att A-M.O. under så lång tid kunnat hålla sig gömd tillsammans med Jennie. Hon vände sig bl.a. emot att Stig</w:t>
      </w:r>
      <w:r w:rsidRPr="0008481A">
        <w:softHyphen/>
        <w:t>bergsskolan i Göteborg fr.o.m. höstterminen 1997 tagit emot Jennie som elev vid skolan utan att kontrollera vare sig att flickan var folkbokförd inom kommu</w:t>
      </w:r>
      <w:r w:rsidRPr="0008481A">
        <w:softHyphen/>
        <w:t>nen eller att A-M.O. hade vårdnaden om henne.</w:t>
      </w:r>
    </w:p>
    <w:p w:rsidR="003B3271" w:rsidRPr="0008481A" w:rsidRDefault="003B3271">
      <w:pPr>
        <w:pStyle w:val="Rubrik3"/>
      </w:pPr>
      <w:r w:rsidRPr="0008481A">
        <w:t>Utredning</w:t>
      </w:r>
    </w:p>
    <w:p w:rsidR="003B3271" w:rsidRPr="0008481A" w:rsidRDefault="003B3271">
      <w:r w:rsidRPr="0008481A">
        <w:t>Anmälan remitterades till Stadsdelsnämnden Linnéstaden i Göteborgs kommun för utred</w:t>
      </w:r>
      <w:r w:rsidRPr="0008481A">
        <w:softHyphen/>
        <w:t>ning och yttrande. Nämnden överlämnade som sitt remiss</w:t>
      </w:r>
      <w:r w:rsidRPr="0008481A">
        <w:softHyphen/>
        <w:t>svar ett tjänsteutlåtande av tf. stadsdelschefen Anders Muller och verk</w:t>
      </w:r>
      <w:r w:rsidRPr="0008481A">
        <w:softHyphen/>
        <w:t>samhetschefen för förskola/skola Martin Barkstedt. I utlåtandet anfördes bl.a. följande.</w:t>
      </w:r>
    </w:p>
    <w:p w:rsidR="003B3271" w:rsidRPr="0008481A" w:rsidRDefault="003B3271">
      <w:pPr>
        <w:pStyle w:val="Citat"/>
      </w:pPr>
      <w:r w:rsidRPr="0008481A">
        <w:t>Advokat Anna-Stina Widell går i sin anmälan om granskning inte tillbaka längre än till tiden efter 1996-05-02. Genom att granska handläggningen av ärendet från 1993, vid tidpunkten då barnet skrevs in i förskolan, kan en förklaring ges, till varför ärendet senare kom att handläggas så som det g</w:t>
      </w:r>
      <w:r w:rsidRPr="0008481A">
        <w:t>jordes.</w:t>
      </w:r>
    </w:p>
    <w:p w:rsidR="003B3271" w:rsidRPr="0008481A" w:rsidRDefault="003B3271">
      <w:pPr>
        <w:pStyle w:val="Citatindrag"/>
      </w:pPr>
      <w:r w:rsidRPr="0008481A">
        <w:t>Mamman uppgav vid tiden för inskrivning i förskolan att hon var ensam vårdnadshavare och hade skyddad adress på grund av trakasserier från barnets biologiska fader. Detta påstående förstärktes genom samtal och skriftligt intyg från en kurator vid Sjömanskyrkan. Tillsammans gjorde detta att modern föreföll trovärdig. Förskolans köassistent accepterade därför att mamman ensam skrev under platserbjudandet till förskolan.</w:t>
      </w:r>
    </w:p>
    <w:p w:rsidR="003B3271" w:rsidRPr="0008481A" w:rsidRDefault="003B3271">
      <w:pPr>
        <w:pStyle w:val="Brdtext"/>
        <w:rPr>
          <w:sz w:val="19"/>
        </w:rPr>
      </w:pPr>
      <w:r w:rsidRPr="0008481A">
        <w:rPr>
          <w:sz w:val="19"/>
        </w:rPr>
        <w:t>Förskolan hade därefter inte skäl att, då modern inte lämnat annan uppgift, anta att vårdnadsförhållandena ändrats. Vid inskrivningen till skolan har moderns uppgifter godtagits. Barnets fader hade såvitt kan bedömas ej heller hos folkbokföringsmyndigheten efterhört flickans folkbokföringsadress.</w:t>
      </w:r>
    </w:p>
    <w:p w:rsidR="003B3271" w:rsidRPr="0008481A" w:rsidRDefault="003B3271">
      <w:pPr>
        <w:pStyle w:val="Citatindrag"/>
      </w:pPr>
      <w:r w:rsidRPr="0008481A">
        <w:t>Om fadern, vid skolstarten, hos folkbokföringsmyndigheten tagit reda på flickans folkbokföringsadress hade flickans skolgång kunnat spårats genom skolans elevregistreringssystem. Fadern hade då kunnat meddela skolan den ändrade vårdnaden.</w:t>
      </w:r>
    </w:p>
    <w:p w:rsidR="003B3271" w:rsidRPr="0008481A" w:rsidRDefault="003B3271">
      <w:pPr>
        <w:pStyle w:val="Citatindrag"/>
      </w:pPr>
      <w:r w:rsidRPr="0008481A">
        <w:t>För att undvika att denna situation skall kunna inträffa igen så har rutinerna vid erbjudande av förskoleplats ändrats. Numera måste båda för</w:t>
      </w:r>
      <w:r w:rsidRPr="0008481A">
        <w:softHyphen/>
        <w:t>äldrarna skriva på eller uppvisa en dom på ensam vårdnad. Förskole</w:t>
      </w:r>
      <w:r w:rsidRPr="0008481A">
        <w:softHyphen/>
        <w:t>verk</w:t>
      </w:r>
      <w:r w:rsidRPr="0008481A">
        <w:softHyphen/>
        <w:t>samheten får fortfarande dock inte automatiskt kännedom om ändrade vård</w:t>
      </w:r>
      <w:r w:rsidRPr="0008481A">
        <w:softHyphen/>
        <w:t>nadsförhål</w:t>
      </w:r>
      <w:r w:rsidRPr="0008481A">
        <w:softHyphen/>
        <w:t>landen. Detta medför att även fortsättningsvis förälder kan undanhålla upp</w:t>
      </w:r>
      <w:r w:rsidRPr="0008481A">
        <w:softHyphen/>
        <w:t>gift om ändring i vårdnaden.</w:t>
      </w:r>
    </w:p>
    <w:p w:rsidR="003B3271" w:rsidRPr="0008481A" w:rsidRDefault="003B3271">
      <w:pPr>
        <w:pStyle w:val="Citatindrag"/>
      </w:pPr>
      <w:r w:rsidRPr="0008481A">
        <w:t>För grundskolan finns ett datasystem för elevregistrering. Om reglerna för detta följs så skall den situation, som i detta ärende, inte kunna uppstå vid inskrivningen. Men i skolans register kan felaktiga uppgifter om vårdnad finnas om föräldrar underl</w:t>
      </w:r>
      <w:r w:rsidRPr="0008481A">
        <w:t>åter att meddela ändrade förhållanden.</w:t>
      </w:r>
    </w:p>
    <w:p w:rsidR="003B3271" w:rsidRPr="0008481A" w:rsidRDefault="003B3271">
      <w:pPr>
        <w:pStyle w:val="Citatindrag"/>
      </w:pPr>
      <w:r w:rsidRPr="0008481A">
        <w:t>Uppgift om elever med skyddade personuppgifter erhåller skolan på ett ur sekretessynpunkt betryggande sätt.</w:t>
      </w:r>
    </w:p>
    <w:p w:rsidR="003B3271" w:rsidRPr="0008481A" w:rsidRDefault="003B3271">
      <w:r w:rsidRPr="0008481A">
        <w:t xml:space="preserve">– – – </w:t>
      </w:r>
    </w:p>
    <w:p w:rsidR="003B3271" w:rsidRPr="0008481A" w:rsidRDefault="003B3271">
      <w:r w:rsidRPr="0008481A">
        <w:t>Anna-Stina Widell kommenterade remissvaret.</w:t>
      </w:r>
    </w:p>
    <w:p w:rsidR="003B3271" w:rsidRPr="0008481A" w:rsidRDefault="003B3271">
      <w:r w:rsidRPr="0008481A">
        <w:t>JO hade tillgång till delar av den förundersökning som utförts av Polis</w:t>
      </w:r>
      <w:r w:rsidRPr="0008481A">
        <w:softHyphen/>
        <w:t xml:space="preserve">myndigheten i Västra Götaland, dnr K 61460-96, och Göteborgs tingsrätts dom den 20 mars 1998 i mål nr B 11186-98. </w:t>
      </w:r>
    </w:p>
    <w:p w:rsidR="003B3271" w:rsidRPr="0008481A" w:rsidRDefault="003B3271">
      <w:pPr>
        <w:pStyle w:val="Normaltindrag"/>
      </w:pPr>
      <w:r w:rsidRPr="0008481A">
        <w:t>Föredraganden hos JO inhämtade per telefon följande uppgifter från sektionschefen Monica Gustavsson vid lokala skattekontoret i Umeå.</w:t>
      </w:r>
      <w:r w:rsidRPr="0008481A">
        <w:br/>
        <w:t>A-M.O. tillhörde lokala skattekontoret i Umeå under hela den period som är relevant i ärendet. A-M.O. hade under perioderna 930712–940415 och 950126–960703 en s.k. spärrmar</w:t>
      </w:r>
      <w:r w:rsidRPr="0008481A">
        <w:softHyphen/>
        <w:t>kering i folkbokföringen. Det var inte vid något tillfälle fråga om något mer ingripande skydd för hennes och dotterns personuppgifter. Kvarskriv</w:t>
      </w:r>
      <w:r w:rsidRPr="0008481A">
        <w:softHyphen/>
        <w:t>ning eller fingerade personuppgifter aktualisera</w:t>
      </w:r>
      <w:r w:rsidRPr="0008481A">
        <w:softHyphen/>
        <w:t>des alltså aldrig. Anledningen till att spärrmarkeringen togs bort den 3 juli 1996 var att vårdnaden om Jennie då hade överflyttats till fadern</w:t>
      </w:r>
      <w:r w:rsidRPr="0008481A">
        <w:t xml:space="preserve">. </w:t>
      </w:r>
    </w:p>
    <w:p w:rsidR="003B3271" w:rsidRPr="0008481A" w:rsidRDefault="003B3271">
      <w:r w:rsidRPr="0008481A">
        <w:rPr>
          <w:i/>
        </w:rPr>
        <w:t xml:space="preserve">Stf JO Norell Söderblom </w:t>
      </w:r>
      <w:r w:rsidRPr="0008481A">
        <w:t>anförde i ett beslut den 17 mars 2000 följande.</w:t>
      </w:r>
    </w:p>
    <w:p w:rsidR="003B3271" w:rsidRPr="0008481A" w:rsidRDefault="003B3271">
      <w:pPr>
        <w:pStyle w:val="Rubrik3"/>
      </w:pPr>
      <w:r w:rsidRPr="0008481A">
        <w:t>Rättslig reglering</w:t>
      </w:r>
    </w:p>
    <w:p w:rsidR="003B3271" w:rsidRPr="0008481A" w:rsidRDefault="003B3271">
      <w:pPr>
        <w:pStyle w:val="Rubrik4"/>
        <w:spacing w:before="120"/>
      </w:pPr>
      <w:r w:rsidRPr="0008481A">
        <w:t>Sekretesskydd för personuppgifter</w:t>
      </w:r>
    </w:p>
    <w:p w:rsidR="003B3271" w:rsidRPr="0008481A" w:rsidRDefault="003B3271">
      <w:r w:rsidRPr="0008481A">
        <w:t>Av 7 kap. 15 § första stycket sekretesslagen (1980:100) framgår att sekretess gäl</w:t>
      </w:r>
      <w:r w:rsidRPr="0008481A">
        <w:softHyphen/>
        <w:t>ler bl.a. i verksamhet som avser folkbokföring för uppgift om enskilds personliga förhållanden, om det av särskild anledning kan antas att den enskilde eller någon honom närstående lider men om uppgiften röjs.</w:t>
      </w:r>
    </w:p>
    <w:p w:rsidR="003B3271" w:rsidRPr="0008481A" w:rsidRDefault="003B3271">
      <w:pPr>
        <w:pStyle w:val="Normaltindrag"/>
      </w:pPr>
      <w:r w:rsidRPr="0008481A">
        <w:t>Bestämmelsen innebär att det normalt inte gäller någon sekretess för t.ex. en adressuppgift inom folkbokföringen. För att en sådan uppgift skall få hemlighållas krävs att det finns någon särskild anledning till detta. Om det kan antas att utlämnande av uppgifter rörande en viss person innebär men för</w:t>
      </w:r>
      <w:r w:rsidRPr="0008481A">
        <w:t xml:space="preserve"> personen, exempelvis risk för förföljelse, kan skattemyndigheten i folkbok</w:t>
      </w:r>
      <w:r w:rsidRPr="0008481A">
        <w:softHyphen/>
        <w:t>föringsregistret lägga in en markering för särskild sekretessprövning, s.k. sekretessmarkering (spärrmarkering). Sekretessmarke</w:t>
      </w:r>
      <w:r w:rsidRPr="0008481A">
        <w:softHyphen/>
        <w:t>ringen innebär att särskild försiktighet bör iakttas vid bedömningen av om upp</w:t>
      </w:r>
      <w:r w:rsidRPr="0008481A">
        <w:softHyphen/>
        <w:t xml:space="preserve">gifter om personen i fråga bör lämnas ut. Sekretessmarkering motsvarar det som gäller för den hemligstämpel som enligt 15 kap. 3 § sekretesslagen kan åsättas en allmän handling (prop. 1997/98 s. 34 f.). </w:t>
      </w:r>
    </w:p>
    <w:p w:rsidR="003B3271" w:rsidRPr="0008481A" w:rsidRDefault="003B3271">
      <w:pPr>
        <w:pStyle w:val="Normaltindrag"/>
      </w:pPr>
      <w:r w:rsidRPr="0008481A">
        <w:t>I de fall en enskild är i</w:t>
      </w:r>
      <w:r w:rsidRPr="0008481A">
        <w:t xml:space="preserve"> behov av mer ingripande skydd får skatte</w:t>
      </w:r>
      <w:r w:rsidRPr="0008481A">
        <w:softHyphen/>
        <w:t>myn</w:t>
      </w:r>
      <w:r w:rsidRPr="0008481A">
        <w:softHyphen/>
        <w:t>dig</w:t>
      </w:r>
      <w:r w:rsidRPr="0008481A">
        <w:softHyphen/>
        <w:t>heten, om den det gäller har flyttat eller avser att flytta, efter ansökan besluta om kvarskriv</w:t>
      </w:r>
      <w:r w:rsidRPr="0008481A">
        <w:softHyphen/>
        <w:t>ning på den gamla folkbokföringsorten i högst tre år. En enskild kan i vissa fall även medges att använda fingerade person</w:t>
      </w:r>
      <w:r w:rsidRPr="0008481A">
        <w:softHyphen/>
        <w:t>uppgifter enligt lagen (1991:483) om fingerade personuppgifter.</w:t>
      </w:r>
    </w:p>
    <w:p w:rsidR="003B3271" w:rsidRPr="0008481A" w:rsidRDefault="003B3271">
      <w:pPr>
        <w:pStyle w:val="Normaltindrag"/>
      </w:pPr>
      <w:r w:rsidRPr="0008481A">
        <w:t xml:space="preserve">Syftet med de regler om skydd för förföljda personer som jag redogjort för ovan är att hindra att deras förföljare, med hjälp av uppgifter i allmänna handlingar hos en myndighet, </w:t>
      </w:r>
      <w:r w:rsidRPr="0008481A">
        <w:t xml:space="preserve">får kännedom om var den person som behöver skyddas bor eller vistas. Reglerna skall dock inte hindra den som har ett legitimt intresse av att komma i kontakt med personen i fråga.  </w:t>
      </w:r>
    </w:p>
    <w:p w:rsidR="003B3271" w:rsidRPr="0008481A" w:rsidRDefault="003B3271">
      <w:pPr>
        <w:pStyle w:val="Normaltindrag"/>
      </w:pPr>
      <w:r w:rsidRPr="0008481A">
        <w:t>Sekretess i skolan behandlas i 7 kap. 9 § sekretesslagen (1980:100). På skol</w:t>
      </w:r>
      <w:r w:rsidRPr="0008481A">
        <w:softHyphen/>
        <w:t>områ</w:t>
      </w:r>
      <w:r w:rsidRPr="0008481A">
        <w:softHyphen/>
        <w:t>det råder en hög grad av offentlighet. Sekretess gäller i huvudsak endast för upp</w:t>
      </w:r>
      <w:r w:rsidRPr="0008481A">
        <w:softHyphen/>
        <w:t>gifter som har lämnats till psykologer och kuratorer samt för vissa uppgifter inom den elevvårdande verksamheten. Övriga uppgifter om en elev är i princip offent</w:t>
      </w:r>
      <w:r w:rsidRPr="0008481A">
        <w:softHyphen/>
        <w:t>liga, såsom t.ex. vilka betyg eleven fått och uppgifter om närvaro i skolan. Fram till den 1 januari 1998 var möjligheten för skolan att sekretessbelägga upp</w:t>
      </w:r>
      <w:r w:rsidRPr="0008481A">
        <w:softHyphen/>
        <w:t>gifter om enskilds identitet, adress</w:t>
      </w:r>
      <w:r w:rsidRPr="0008481A">
        <w:softHyphen/>
        <w:t>uppgifter och liknande personliga förhållanden mycket begränsad. Se</w:t>
      </w:r>
      <w:r w:rsidRPr="0008481A">
        <w:t>kretess kunde dock inom grundskolan komma i fråga om uppgifterna omfattades av sekretess hos folkbokföringsmyndigheten och de däri</w:t>
      </w:r>
      <w:r w:rsidRPr="0008481A">
        <w:softHyphen/>
        <w:t>från hade överlämnats till grundskolan (se 7 kap. 15 § sekretesslagen i dess ly</w:t>
      </w:r>
      <w:r w:rsidRPr="0008481A">
        <w:softHyphen/>
        <w:t xml:space="preserve">delse före den </w:t>
      </w:r>
      <w:r w:rsidRPr="0008481A">
        <w:br/>
        <w:t>1 januari 1998). Numera finns det i 7 kap. 9 § tredje stycket sekre</w:t>
      </w:r>
      <w:r w:rsidRPr="0008481A">
        <w:softHyphen/>
        <w:t>tesslagen möjlighet för skolan att sekretessbelägga uppgifter om enskildas person</w:t>
      </w:r>
      <w:r w:rsidRPr="0008481A">
        <w:softHyphen/>
        <w:t>uppgifter vid befarad personförföljelse.</w:t>
      </w:r>
    </w:p>
    <w:p w:rsidR="003B3271" w:rsidRPr="0008481A" w:rsidRDefault="003B3271">
      <w:pPr>
        <w:pStyle w:val="Normaltindrag"/>
      </w:pPr>
      <w:r w:rsidRPr="0008481A">
        <w:t>Det kan i sammanhanget påpekas att uppgifter inom skolhälsovården åtnjuter samma sekretesskydd</w:t>
      </w:r>
      <w:r w:rsidRPr="0008481A">
        <w:t xml:space="preserve"> som inom sjukvården i övrigt, jfr 7 kap. 1 § sekretesslagen.</w:t>
      </w:r>
    </w:p>
    <w:p w:rsidR="003B3271" w:rsidRPr="0008481A" w:rsidRDefault="003B3271">
      <w:pPr>
        <w:pStyle w:val="Rubrik4"/>
      </w:pPr>
      <w:r w:rsidRPr="0008481A">
        <w:t>Inskrivning i skolan</w:t>
      </w:r>
    </w:p>
    <w:p w:rsidR="003B3271" w:rsidRPr="0008481A" w:rsidRDefault="003B3271">
      <w:r w:rsidRPr="0008481A">
        <w:t>Enligt 4 kap. 8 § skollagen (1985:1100) skall en kommun i sin grundskola även ta emot en elev för vars grundskoleutbildning kommunen inte är skyldig att sörja, om eleven med hänsyn till sina personliga förhållanden har särskilda skäl att få gå i den kommunens grundskola. Innan kommunen fattar beslut om att för visst läsår ta emot en sådan elev skall den inhämta yttrande från elevens hemkommun, om sådant yttrande inte bedöms som onödigt.</w:t>
      </w:r>
    </w:p>
    <w:p w:rsidR="003B3271" w:rsidRPr="0008481A" w:rsidRDefault="003B3271">
      <w:pPr>
        <w:pStyle w:val="Normaltindrag"/>
      </w:pPr>
      <w:r w:rsidRPr="0008481A">
        <w:t>I förarbetena till bestämmelsen (prop. 1985/86:10 s. 99 f.) uttalas bl.a. att om ett barn stadigvarande vistas i en annan kommun än hemkommunen kan detta vara ett särskilt skäl för eleven att få gå i en annan än hemkommunens grundskola obero</w:t>
      </w:r>
      <w:r w:rsidRPr="0008481A">
        <w:softHyphen/>
        <w:t>ende av orsaken till vistelsen. Det betonas att fråga är om skolplikt och rätt till utbildning för barn som inte själva kan välja sina levnadsomständigheter. En til</w:t>
      </w:r>
      <w:r w:rsidRPr="0008481A">
        <w:softHyphen/>
      </w:r>
      <w:r w:rsidRPr="0008481A">
        <w:t>lämpning av bestämmelsen förutsätter inte en formell ansökan från barnets vård</w:t>
      </w:r>
      <w:r w:rsidRPr="0008481A">
        <w:softHyphen/>
        <w:t>nadshavare eller ens en utredning av att den tänkta skolgången är förenlig med vårdnadshavarens önskemål.</w:t>
      </w:r>
    </w:p>
    <w:p w:rsidR="003B3271" w:rsidRPr="0008481A" w:rsidRDefault="003B3271">
      <w:pPr>
        <w:pStyle w:val="Rubrik3"/>
      </w:pPr>
      <w:r w:rsidRPr="0008481A">
        <w:t>Bedömning</w:t>
      </w:r>
    </w:p>
    <w:p w:rsidR="003B3271" w:rsidRPr="0008481A" w:rsidRDefault="003B3271">
      <w:r w:rsidRPr="0008481A">
        <w:t>JO skall enligt de regler som gäller för JO:s verksamhet normalt inte utreda hä</w:t>
      </w:r>
      <w:r w:rsidRPr="0008481A">
        <w:t>n</w:t>
      </w:r>
      <w:r w:rsidRPr="0008481A">
        <w:softHyphen/>
        <w:t>delser eller förhållanden som ligger mer än två år tillbaka i tiden om det inte finns särskilda skäl för det. Av de handlingar som bifogats anmälan fra</w:t>
      </w:r>
      <w:r w:rsidRPr="0008481A">
        <w:t>m</w:t>
      </w:r>
      <w:r w:rsidRPr="0008481A">
        <w:softHyphen/>
        <w:t>går att en del av det anmälan rör, bl.a. vad som förevarit under den tid Jennie var aktuell inom barnomsorgen, inträffade mer än två år före det att anmälan inkom till JO. Jag anser inte att det finns tillräckligt starka skäl att utreda dessa delar av a</w:t>
      </w:r>
      <w:r w:rsidRPr="0008481A">
        <w:t>n</w:t>
      </w:r>
      <w:r w:rsidRPr="0008481A">
        <w:t>mälan. Jag kommer således att inrikta granskningen på Stigbergsskolans agerande från det att skolan mot</w:t>
      </w:r>
      <w:r w:rsidRPr="0008481A">
        <w:t>tog Jennie som elev i skolan höst</w:t>
      </w:r>
      <w:r w:rsidRPr="0008481A">
        <w:softHyphen/>
        <w:t xml:space="preserve">terminen 1997. </w:t>
      </w:r>
    </w:p>
    <w:p w:rsidR="003B3271" w:rsidRPr="0008481A" w:rsidRDefault="003B3271">
      <w:pPr>
        <w:pStyle w:val="Normaltindrag"/>
      </w:pPr>
      <w:r w:rsidRPr="0008481A">
        <w:t>Genom den företagna utredningen kan det konstateras att A-M.O., när Jennie mottogs som i elev i Stigbergsskolan, sedan ett drygt år tillbaka inte längre var vårdnadshavare för Jennie och att hon var folkbokförd på en adress i Umeå. Hennes personuppgifter var då inte föremål för spärr</w:t>
      </w:r>
      <w:r w:rsidRPr="0008481A">
        <w:softHyphen/>
        <w:t xml:space="preserve">markering i folkbokföringen. Det förelåg inte heller något annat skydd för personuppgifterna. </w:t>
      </w:r>
    </w:p>
    <w:p w:rsidR="003B3271" w:rsidRPr="0008481A" w:rsidRDefault="003B3271">
      <w:pPr>
        <w:pStyle w:val="Normaltindrag"/>
      </w:pPr>
      <w:r w:rsidRPr="0008481A">
        <w:t>Det är självfallet mycket allvarligt att ett barn undanhålls från sin vård</w:t>
      </w:r>
      <w:r w:rsidRPr="0008481A">
        <w:softHyphen/>
        <w:t>nadshavare och det är naturligtvis inte acceptabelt att något offentligt organ medverkar till att så kan ske. Det tillhör tyvärr inte ovanligheten att barn, av olika anledningar, lever skilda från sin vårdnadshavare och i vissa fall mer eller mindre dolda för samhället. Jag vill dock inledningsvis fram</w:t>
      </w:r>
      <w:r w:rsidRPr="0008481A">
        <w:softHyphen/>
        <w:t>hålla att skolan inte har till uppgift att efter</w:t>
      </w:r>
      <w:r w:rsidRPr="0008481A">
        <w:softHyphen/>
        <w:t xml:space="preserve">forska försvunna barn. Den uppgiften åligger i första hand polisväsendet. </w:t>
      </w:r>
    </w:p>
    <w:p w:rsidR="003B3271" w:rsidRPr="0008481A" w:rsidRDefault="003B3271">
      <w:pPr>
        <w:pStyle w:val="Normaltindrag"/>
      </w:pPr>
      <w:r w:rsidRPr="0008481A">
        <w:t>Ett barn kan sällan själv råda över sina levnadsomständigheter och det är mot den b</w:t>
      </w:r>
      <w:r w:rsidRPr="0008481A">
        <w:t xml:space="preserve">akgrunden som man skall se den ovan nämnda bestämmelsen i </w:t>
      </w:r>
      <w:r w:rsidRPr="0008481A">
        <w:br/>
        <w:t>4 kap. 8 § skollagen om att skolan i vissa fall skall ta emot barn även i strid med vårdnadshavarens vilja. En given utgångspunkt för en rektor i ett läge där tvist föreligger mellan barnets föräldrar om var barnet skall bo m.m. måste vara att förhålla sig neutral</w:t>
      </w:r>
      <w:r w:rsidRPr="0008481A">
        <w:rPr>
          <w:b/>
        </w:rPr>
        <w:t xml:space="preserve">. </w:t>
      </w:r>
      <w:r w:rsidRPr="0008481A">
        <w:t>Det kan inte ankomma på skolan att ta ställning på annat sätt än att tillämpa skollagens föreskrifter om barnets rätt till undervisning. I före</w:t>
      </w:r>
      <w:r w:rsidRPr="0008481A">
        <w:softHyphen/>
        <w:t xml:space="preserve">varande fall vistades Jennie stadigvarande </w:t>
      </w:r>
      <w:r w:rsidRPr="0008481A">
        <w:t xml:space="preserve">i Göteborg. Det har således i och för sig förelegat sådana skäl som motiverat att Jennie togs emot som elev i Stigbergsskolan. Jag finner därför inte anledning att rikta kritik mot skolan i det avseendet. Skolans åtgärd att ta emot Jennie som elev aktualiserar emellertid också andra frågor. </w:t>
      </w:r>
    </w:p>
    <w:p w:rsidR="003B3271" w:rsidRPr="0008481A" w:rsidRDefault="003B3271">
      <w:pPr>
        <w:pStyle w:val="Normaltindrag"/>
      </w:pPr>
      <w:r w:rsidRPr="0008481A">
        <w:t>Genom den företagna utredningen kan det konstateras att Jennie aldrig blivit  inskriven vid skolan under sitt rätta namn. I stället har hon vistats där under falskt namn och sko</w:t>
      </w:r>
      <w:r w:rsidRPr="0008481A">
        <w:softHyphen/>
        <w:t>lan har, såvitt framkommit, inte ens haft kännedom om hennes riktiga personupp</w:t>
      </w:r>
      <w:r w:rsidRPr="0008481A">
        <w:softHyphen/>
        <w:t>gifter. I skolans handlingar har Jennie gått under namnet M.Ö. Skolan har inte heller haft några uppgifter beträffande A-M.O.</w:t>
      </w:r>
    </w:p>
    <w:p w:rsidR="003B3271" w:rsidRPr="0008481A" w:rsidRDefault="003B3271">
      <w:pPr>
        <w:pStyle w:val="Normaltindrag"/>
      </w:pPr>
      <w:r w:rsidRPr="0008481A">
        <w:t>Skolan har, såvitt framkommit, inte vidtagit några åtgärder för att kont</w:t>
      </w:r>
      <w:r w:rsidRPr="0008481A">
        <w:softHyphen/>
        <w:t>roll</w:t>
      </w:r>
      <w:r w:rsidRPr="0008481A">
        <w:softHyphen/>
        <w:t>era uppgiften om att A-M.O. var vårdnadshavare för Jennie. Jag har för</w:t>
      </w:r>
      <w:r w:rsidRPr="0008481A">
        <w:softHyphen/>
        <w:t>stått det så att Stigbergsskolan, när det blev aktuellt att Jennie skulle börja där, god</w:t>
      </w:r>
      <w:r w:rsidRPr="0008481A">
        <w:softHyphen/>
        <w:t>tog de uppgifter som A-M.O. tidigare hade lämnat till företrädare för barnomsorgen om sina och Jennies förhållanden, bl.a. att hon var ensam vårdnadshavare för barnet och att hon hade ”skyddad adress” på grund av trakasserier från Jennies biologiska far. Med hänsyn till den tid som förflutit sedan uppgifterna lämnades hade skolan inte bort nöja</w:t>
      </w:r>
      <w:r w:rsidRPr="0008481A">
        <w:t xml:space="preserve"> sig med dessa ofullständiga uppgif</w:t>
      </w:r>
      <w:r w:rsidRPr="0008481A">
        <w:softHyphen/>
        <w:t>ter som grund för att ta emot Jennie som elev. Dess agerande är i det avseendet inte acceptabelt och ger mig anledning att något utveckla mina synpunkter.</w:t>
      </w:r>
    </w:p>
    <w:p w:rsidR="003B3271" w:rsidRPr="0008481A" w:rsidRDefault="003B3271">
      <w:pPr>
        <w:pStyle w:val="Normaltindrag"/>
      </w:pPr>
      <w:r w:rsidRPr="0008481A">
        <w:t>Trots att det, såsom jag ovan uttalat, i och för sig finns möjlighet för en skola att under vissa speciella förhållanden ta emot en elev även om det skulle strida mot vårdnadshavarens önskemål, bortfaller därigenom inte skolans skyldighet att kon</w:t>
      </w:r>
      <w:r w:rsidRPr="0008481A">
        <w:softHyphen/>
        <w:t>trollera vem som har vårdnaden om barnet. Skolan måste självfallet även känna till och kunna belägga de förhållanden som motiverar att barnet skall tas emot i skolan. I det enskilda fallet innebär denna skyldighet först och främst att skolan måste kontrollera uppgifterna i folkbokföringen om vem som är vårdnadshavare för barnet. Vid en sådan kontroll framkommer även om det föreligger något skydd för person</w:t>
      </w:r>
      <w:r w:rsidRPr="0008481A">
        <w:softHyphen/>
        <w:t>upp</w:t>
      </w:r>
      <w:r w:rsidRPr="0008481A">
        <w:softHyphen/>
        <w:t>gifterna. Denna kontroll sker i nor</w:t>
      </w:r>
      <w:r w:rsidRPr="0008481A">
        <w:softHyphen/>
        <w:t>mala fall regelmässigt genom den s.k. skolpliktsbevakningen d</w:t>
      </w:r>
      <w:r w:rsidRPr="0008481A">
        <w:t>å skolan er</w:t>
      </w:r>
      <w:r w:rsidRPr="0008481A">
        <w:softHyphen/>
        <w:t>håller relevanta uppgifter från folkbok</w:t>
      </w:r>
      <w:r w:rsidRPr="0008481A">
        <w:softHyphen/>
        <w:t xml:space="preserve">föringen. När det är fråga om barn som är folkbokfört på annan ort eller barn med oklar identitet måste det självklart åligga skolan att åtminstone försöka inhämta relevanta personuppgifter. </w:t>
      </w:r>
    </w:p>
    <w:p w:rsidR="003B3271" w:rsidRPr="0008481A" w:rsidRDefault="003B3271">
      <w:pPr>
        <w:pStyle w:val="Normaltindrag"/>
      </w:pPr>
      <w:r w:rsidRPr="0008481A">
        <w:t>Skolan hade i förevarande fall i första hand bort fråga A-M.O. om Jennies riktiga identitet och folkbokföringsort. Om A-M.O. vägrat att lämna begärda uppgifter hade detta i och för sig knappast utgjort skäl för att vägra att ta emot Jennie som elev. Däremot borde en e</w:t>
      </w:r>
      <w:r w:rsidRPr="0008481A">
        <w:t>ventuell vägran från A-M.O:s sida utgöra tillräcklig grund för skolan att i enlighet med 71 § socialtjänstlagen (1980:620), göra en anmälan till socialnämnden som har att utreda barnets förhållanden närmare.</w:t>
      </w:r>
    </w:p>
    <w:p w:rsidR="003B3271" w:rsidRPr="0008481A" w:rsidRDefault="003B3271">
      <w:pPr>
        <w:pStyle w:val="Normaltindrag"/>
      </w:pPr>
      <w:r w:rsidRPr="0008481A">
        <w:t>Det är enligt min mening naturligt att skolledning och lärare måste känna till var en elev är bosatt. Det gäller både när eleven första gången registreras för skolgång och i det dagliga skolarbetet. Bland annat är det nödvändigt att elevens vårdnadshavare kan nås i olika situationer. Det har inte framko</w:t>
      </w:r>
      <w:r w:rsidRPr="0008481A">
        <w:t xml:space="preserve">mmit vilka överväganden som skolan gjort i det avseendet.  </w:t>
      </w:r>
    </w:p>
    <w:p w:rsidR="003B3271" w:rsidRPr="0008481A" w:rsidRDefault="003B3271">
      <w:pPr>
        <w:pStyle w:val="Normaltindrag"/>
      </w:pPr>
      <w:r w:rsidRPr="0008481A">
        <w:t>Jag är således på anförda skäl kritisk till Stigbergsskolans handlande eller snarare brist på handlande i fråga om Jennies skolgång. Man kan emellertid inte bortse från att skolan i sådana fall som det aktuella ställs inför stora svårigheter; situationen kan ofta vara så låst att vederbörande förälder föredrar att hålla barnet borta från skolan framför att riskera att barnets vistelseort röjs. En sådan konsekvens står givetvis i bjärt kontrast till</w:t>
      </w:r>
      <w:r w:rsidRPr="0008481A">
        <w:t xml:space="preserve"> kravet att beakta barnets bästa.</w:t>
      </w:r>
    </w:p>
    <w:p w:rsidR="003B3271" w:rsidRPr="0008481A" w:rsidRDefault="003B3271">
      <w:pPr>
        <w:pStyle w:val="Normaltindrag"/>
      </w:pPr>
      <w:r w:rsidRPr="0008481A">
        <w:t>Omständigheterna i detta ärende är sådana att jag finner skäl att sända en kopia av beslutet till Skolverket, som är ordinarie tillsynsmyndighet för skol</w:t>
      </w:r>
      <w:r w:rsidRPr="0008481A">
        <w:softHyphen/>
        <w:t>väsendet. Jag har haft kontakt med verket angående de frågor som aktualise</w:t>
      </w:r>
      <w:r w:rsidRPr="0008481A">
        <w:softHyphen/>
        <w:t>rats i anmälan och erhållit den upplysningen att verket kommer att bevaka dessa i sin tillsyns</w:t>
      </w:r>
      <w:r w:rsidRPr="0008481A">
        <w:softHyphen/>
        <w:t>verksamhet.</w:t>
      </w:r>
    </w:p>
    <w:p w:rsidR="003B3271" w:rsidRPr="0008481A" w:rsidRDefault="003B3271">
      <w:pPr>
        <w:pStyle w:val="Normaltindrag"/>
      </w:pPr>
      <w:r w:rsidRPr="0008481A">
        <w:t>Med den kritik som ligger i det anförda avslutas ärendet.</w:t>
      </w:r>
    </w:p>
    <w:p w:rsidR="003B3271" w:rsidRPr="0008481A" w:rsidRDefault="003B3271">
      <w:pPr>
        <w:pStyle w:val="Rubrik2"/>
        <w:spacing w:before="0"/>
      </w:pPr>
      <w:r w:rsidRPr="0008481A">
        <w:t xml:space="preserve">Ett på JO:s initiativ upptaget ärende mot institutionen för lingvistik vid Uppsala universitet angående strykning av tidigare meddelade kurspoäng utan att höra studenterna </w:t>
      </w:r>
    </w:p>
    <w:p w:rsidR="003B3271" w:rsidRPr="0008481A" w:rsidRDefault="003B3271">
      <w:r w:rsidRPr="0008481A">
        <w:t>(Dnr 3421-1998)</w:t>
      </w:r>
    </w:p>
    <w:p w:rsidR="003B3271" w:rsidRPr="0008481A" w:rsidRDefault="003B3271">
      <w:pPr>
        <w:pStyle w:val="Rubrik3"/>
      </w:pPr>
      <w:r w:rsidRPr="0008481A">
        <w:t>Initiativet</w:t>
      </w:r>
    </w:p>
    <w:p w:rsidR="003B3271" w:rsidRPr="0008481A" w:rsidRDefault="003B3271">
      <w:r w:rsidRPr="0008481A">
        <w:t>I en artikel i Upsala Nya Tidning (UNT) den 10 september 1998 angavs att en lärare vid institutionen för lingvistik vid Uppsala universitet hade strukit vissa studenters tidigare erhållna kurs</w:t>
      </w:r>
      <w:r w:rsidRPr="0008481A">
        <w:softHyphen/>
        <w:t>poäng.</w:t>
      </w:r>
    </w:p>
    <w:p w:rsidR="003B3271" w:rsidRPr="0008481A" w:rsidRDefault="003B3271">
      <w:pPr>
        <w:pStyle w:val="Rubrik3"/>
      </w:pPr>
      <w:r w:rsidRPr="0008481A">
        <w:t>Utredning</w:t>
      </w:r>
    </w:p>
    <w:p w:rsidR="003B3271" w:rsidRPr="0008481A" w:rsidRDefault="003B3271">
      <w:r w:rsidRPr="0008481A">
        <w:t>Rektor vid Uppsala universitet anmodades att inkomma med utredning och yttrande över vad som framfördes i artikeln. Av rektors remissvar framgick inledningsvis att det var universitetslektor Lars Borin som, i sin egenskap av enligt hög</w:t>
      </w:r>
      <w:r w:rsidRPr="0008481A">
        <w:softHyphen/>
        <w:t>skole</w:t>
      </w:r>
      <w:r w:rsidRPr="0008481A">
        <w:softHyphen/>
        <w:t>förord</w:t>
      </w:r>
      <w:r w:rsidRPr="0008481A">
        <w:softHyphen/>
        <w:t>ningen utsedd examinator på kurser inom ämnet datorlingvistik, fattat det ändrings</w:t>
      </w:r>
      <w:r w:rsidRPr="0008481A">
        <w:softHyphen/>
        <w:t>beslut som ärendet gällde. Vidare anfördes i remissvaret huvud</w:t>
      </w:r>
      <w:r w:rsidRPr="0008481A">
        <w:softHyphen/>
        <w:t xml:space="preserve">sakligen följande. </w:t>
      </w:r>
    </w:p>
    <w:p w:rsidR="003B3271" w:rsidRPr="0008481A" w:rsidRDefault="003B3271">
      <w:pPr>
        <w:pStyle w:val="Citat"/>
      </w:pPr>
      <w:r w:rsidRPr="0008481A">
        <w:t>Genom beslut 1998-07-20 har professor Anna Sågvall Hein, också hon i vederbörlig ord</w:t>
      </w:r>
      <w:r w:rsidRPr="0008481A">
        <w:softHyphen/>
        <w:t>ning utsedd examinator på kurser i ämnet datorlingvistik, på underlag från Mark Lee (som under april-maj 1998 var anställd som uni</w:t>
      </w:r>
      <w:r w:rsidRPr="0008481A">
        <w:softHyphen/>
        <w:t>versitetslektor vid Uppsala universitet) satt godkända betyg på tretton stu</w:t>
      </w:r>
      <w:r w:rsidRPr="0008481A">
        <w:softHyphen/>
        <w:t>denter som genomgått kursen Datamaskinell semantik, 5 poäng.</w:t>
      </w:r>
    </w:p>
    <w:p w:rsidR="003B3271" w:rsidRPr="0008481A" w:rsidRDefault="003B3271">
      <w:pPr>
        <w:pStyle w:val="Citatindrag"/>
      </w:pPr>
      <w:r w:rsidRPr="0008481A">
        <w:t>Sedan Mark Lee genom påpekanden från kursdeltagare kommit till insikt om att hans underlag varit oriktigt på grund av att han förväxlat studenternas inlämnade uppgifter, har han 1998-09-02 presenterat ett nytt underlag. En</w:t>
      </w:r>
      <w:r w:rsidRPr="0008481A">
        <w:softHyphen/>
        <w:t>ligt detta var fyra av de tretton studen</w:t>
      </w:r>
      <w:r w:rsidRPr="0008481A">
        <w:softHyphen/>
        <w:t>terna inte längre godkända. Genom be</w:t>
      </w:r>
      <w:r w:rsidRPr="0008481A">
        <w:softHyphen/>
        <w:t>slut 1998-09-02 stadfäste universitetslektor Borin den på grund av förväx</w:t>
      </w:r>
      <w:r w:rsidRPr="0008481A">
        <w:softHyphen/>
        <w:t>ling genomförda ändringen från godkänt till underkänt betyg för de fyra nämnda studenterna.</w:t>
      </w:r>
    </w:p>
    <w:p w:rsidR="003B3271" w:rsidRPr="0008481A" w:rsidRDefault="003B3271">
      <w:pPr>
        <w:pStyle w:val="Citatindrag"/>
      </w:pPr>
      <w:r w:rsidRPr="0008481A">
        <w:t>De omständigheter som framkommit tyder på att beslutet 1998-09-02 utgjort en ompröv</w:t>
      </w:r>
      <w:r w:rsidRPr="0008481A">
        <w:softHyphen/>
        <w:t>ning enligt 27 § förvaltningslagen och inte en rättelse enligt 26 § samma lag. Trots att det ursprungliga beslutet 1998-07-20 var oriktigt, efter</w:t>
      </w:r>
      <w:r w:rsidRPr="0008481A">
        <w:softHyphen/>
        <w:t>som underlaget var felaktigt, borde därför ändringen 1998-09-02 inte ha verk</w:t>
      </w:r>
      <w:r w:rsidRPr="0008481A">
        <w:softHyphen/>
        <w:t>ställts, då den var till berörda studenters nack</w:t>
      </w:r>
      <w:r w:rsidRPr="0008481A">
        <w:softHyphen/>
        <w:t>del. Det bör dock noteras att ändringen aktualiserats efter påpekanden från kursdeltagare, att studen</w:t>
      </w:r>
      <w:r w:rsidRPr="0008481A">
        <w:softHyphen/>
        <w:t>terna i fråga de facto inte presterat vad som fordrats för godkänt betyg och att, som framgår av hans yttrande, examinator befann sig i e</w:t>
      </w:r>
      <w:r w:rsidRPr="0008481A">
        <w:t>n pressad ar</w:t>
      </w:r>
      <w:r w:rsidRPr="0008481A">
        <w:softHyphen/>
        <w:t>betssituation. Det kan slutligen upplysas att, som också framgår av hans ytt</w:t>
      </w:r>
      <w:r w:rsidRPr="0008481A">
        <w:softHyphen/>
        <w:t>rande (se strax nedan, JO:s anm.), universitetslektor Borin numera beslutat att återkalla ändringen i fråga.</w:t>
      </w:r>
    </w:p>
    <w:p w:rsidR="003B3271" w:rsidRPr="0008481A" w:rsidRDefault="003B3271">
      <w:r w:rsidRPr="0008481A">
        <w:t xml:space="preserve">Till remissvaret fogades ett yttrande från universitetslektorn Lars Borin. </w:t>
      </w:r>
    </w:p>
    <w:p w:rsidR="003B3271" w:rsidRPr="0008481A" w:rsidRDefault="003B3271">
      <w:r w:rsidRPr="0008481A">
        <w:t xml:space="preserve">I yttrandet anfördes huvudsakligen följande.   </w:t>
      </w:r>
    </w:p>
    <w:p w:rsidR="003B3271" w:rsidRPr="0008481A" w:rsidRDefault="003B3271">
      <w:pPr>
        <w:pStyle w:val="Citat"/>
      </w:pPr>
      <w:r w:rsidRPr="0008481A">
        <w:t>Vårterminen 1998 anlitade institutionen för lingvistik en yngre forskare vid universitetet i Sheffield, Mark Lee, för att undervisa på två obligatoriska kurser på språkteknologipro</w:t>
      </w:r>
      <w:r w:rsidRPr="0008481A">
        <w:softHyphen/>
        <w:t>grammets tredje år, Datamaskinell semantik och Datamaskinell dis</w:t>
      </w:r>
      <w:r w:rsidRPr="0008481A">
        <w:softHyphen/>
        <w:t>kurs, båda omfat</w:t>
      </w:r>
      <w:r w:rsidRPr="0008481A">
        <w:softHyphen/>
        <w:t>tande 5 poäng. Förslaget att bjuda in ho</w:t>
      </w:r>
      <w:r w:rsidRPr="0008481A">
        <w:softHyphen/>
        <w:t>nom som lärare hade kommit från den aktu</w:t>
      </w:r>
      <w:r w:rsidRPr="0008481A">
        <w:softHyphen/>
        <w:t>ella studentgruppen efter ett stu</w:t>
      </w:r>
      <w:r w:rsidRPr="0008481A">
        <w:softHyphen/>
        <w:t>diebesök vid universitetet i Sheffield höstterminen 1997, där de haft möjlig</w:t>
      </w:r>
      <w:r w:rsidRPr="0008481A">
        <w:softHyphen/>
        <w:t>het att delta i hans undervisning. Lee förordnades på två månader, april och maj 1998, då han genomförde sin undervisning och en del av exa</w:t>
      </w:r>
      <w:r w:rsidRPr="0008481A">
        <w:softHyphen/>
        <w:t>minationen på kur</w:t>
      </w:r>
      <w:r w:rsidRPr="0008481A">
        <w:softHyphen/>
        <w:t>serna. Hans förordnande gick ut i månadsskiftet maj-juni och när han då återvä</w:t>
      </w:r>
      <w:r w:rsidRPr="0008481A">
        <w:t>nde till England hade han ännu inte fått in alla obligatoriska in</w:t>
      </w:r>
      <w:r w:rsidRPr="0008481A">
        <w:softHyphen/>
        <w:t>lämningsuppgifter från studen</w:t>
      </w:r>
      <w:r w:rsidRPr="0008481A">
        <w:softHyphen/>
        <w:t>terna. Han kom därför överens med dem om att de skulle skicka honom resterande in</w:t>
      </w:r>
      <w:r w:rsidRPr="0008481A">
        <w:softHyphen/>
        <w:t>lämningsuppgifter brev</w:t>
      </w:r>
      <w:r w:rsidRPr="0008481A">
        <w:softHyphen/>
        <w:t>ledes eller via e-post så att han skulle kunna göra en slutbedöm</w:t>
      </w:r>
      <w:r w:rsidRPr="0008481A">
        <w:softHyphen/>
        <w:t>ning av dem.</w:t>
      </w:r>
    </w:p>
    <w:p w:rsidR="003B3271" w:rsidRPr="0008481A" w:rsidRDefault="003B3271">
      <w:pPr>
        <w:pStyle w:val="Citatindrag"/>
      </w:pPr>
      <w:r w:rsidRPr="0008481A">
        <w:t>Den 13/7 sände han oss underlag för betygsättning på båda kurserna, i form av slutrap</w:t>
      </w:r>
      <w:r w:rsidRPr="0008481A">
        <w:softHyphen/>
        <w:t>porter. Betyg i enlighet med underlagen fastställdes i veder</w:t>
      </w:r>
      <w:r w:rsidRPr="0008481A">
        <w:softHyphen/>
        <w:t>börlig ordning av Anna Sågvall Hein, examinator för kurser på språktek</w:t>
      </w:r>
      <w:r w:rsidRPr="0008481A">
        <w:softHyphen/>
        <w:t>nologi</w:t>
      </w:r>
      <w:r w:rsidRPr="0008481A">
        <w:softHyphen/>
        <w:t>pro</w:t>
      </w:r>
      <w:r w:rsidRPr="0008481A">
        <w:softHyphen/>
        <w:t>grammet, och registrerades i UPPDOK.</w:t>
      </w:r>
    </w:p>
    <w:p w:rsidR="003B3271" w:rsidRPr="0008481A" w:rsidRDefault="003B3271">
      <w:pPr>
        <w:pStyle w:val="Citatindrag"/>
      </w:pPr>
      <w:r w:rsidRPr="0008481A">
        <w:t>Efter en dryg månad, den 18/8, skrev Mark Lee i ett e-brev till mig att han uppenbarligen hade blandat ihop studenternas namn, på så vis att han hade försett godkända inlämnings</w:t>
      </w:r>
      <w:r w:rsidRPr="0008481A">
        <w:softHyphen/>
        <w:t>uppgifter med fel namn, och således rapporterat felaktiga kursbetyg. Detta gällde den ena kursen, Datamaskinell semantik. Däremot var det inga problem med betygsättningen på den andra kursen, Datamaskinell diskurs. Han frågade hur han bäst skulle hantera situa</w:t>
      </w:r>
      <w:r w:rsidRPr="0008481A">
        <w:softHyphen/>
        <w:t>tionen, och jag uppmanade honom då att ta kontakt med de berörda studenterna för att verifiera att han hade en korrekt bild av situationen. Jag uppfattade det som hade hänt som en uppenbar lapsus och styrktes senare i denna uppfatt</w:t>
      </w:r>
      <w:r w:rsidRPr="0008481A">
        <w:softHyphen/>
        <w:t>ning, då jag efter</w:t>
      </w:r>
      <w:r w:rsidRPr="0008481A">
        <w:t xml:space="preserve"> det att tid</w:t>
      </w:r>
      <w:r w:rsidRPr="0008481A">
        <w:softHyphen/>
        <w:t>ningsartikeln publicerats frågade Mark Lee hur han hade uppmärksammat felet, och fick till svar att några av studenterna hade påpekat det orimliga i de betyg han hade tilldelat somliga av dem i sitt underlag. Det var sålunda dessa påpekanden från studenthåll som fick ho</w:t>
      </w:r>
      <w:r w:rsidRPr="0008481A">
        <w:softHyphen/>
        <w:t>nom att göra en förnyad granskning av sin betygsättning, vilken kom att leda till den betygsrevision som nu utreds.</w:t>
      </w:r>
    </w:p>
    <w:p w:rsidR="003B3271" w:rsidRPr="0008481A" w:rsidRDefault="003B3271">
      <w:pPr>
        <w:pStyle w:val="Citatindrag"/>
      </w:pPr>
      <w:r w:rsidRPr="0008481A">
        <w:t>Examinationen på kursen omfattar enligt kursplanen, liksom enligt den in</w:t>
      </w:r>
      <w:r w:rsidRPr="0008481A">
        <w:softHyphen/>
        <w:t>formation lära</w:t>
      </w:r>
      <w:r w:rsidRPr="0008481A">
        <w:softHyphen/>
        <w:t>ren gett studenterna, obligatorisk uppgiftsredovisning. Det borde sålunda ha varit uppen</w:t>
      </w:r>
      <w:r w:rsidRPr="0008481A">
        <w:softHyphen/>
        <w:t>bart för de berörda studenterna att de inte kunde vara godkända på kursen utan att ha lämnat in dessa redovisningar.</w:t>
      </w:r>
    </w:p>
    <w:p w:rsidR="003B3271" w:rsidRPr="0008481A" w:rsidRDefault="003B3271">
      <w:pPr>
        <w:pStyle w:val="Citatindrag"/>
      </w:pPr>
      <w:r w:rsidRPr="0008481A">
        <w:t>Mark Lee skickade sedan (den 2/9 1998) via e-post ett meddelande till samtliga studenter som hade deltagit i kursen, där han talade om vilka in</w:t>
      </w:r>
      <w:r w:rsidRPr="0008481A">
        <w:softHyphen/>
        <w:t>lämningsuppgifter han hade fått (eller trodde sig ha fått) från var och en av dem, och vilket betyget borde bli på basis av detta. Han bad dem också om kommentarer och rättelser. Detta meddelande gick dock inte till mig, men han skickade en kopia för kännedom till den person som sköter UPPDOK-registreringen för språkteknologiprogrammet, institutionssekreterare Annelie Borg-Bishop. Hon uppfattade hans meddelande som en ny slut</w:t>
      </w:r>
      <w:r w:rsidRPr="0008481A">
        <w:softHyphen/>
        <w:t>rap</w:t>
      </w:r>
      <w:r w:rsidRPr="0008481A">
        <w:softHyphen/>
        <w:t>port, och utarbetade ett nytt rapporteringsunderlag. Som ställföreträdande ex</w:t>
      </w:r>
      <w:r w:rsidRPr="0008481A">
        <w:t>aminator för kurser på språkteknolo</w:t>
      </w:r>
      <w:r w:rsidRPr="0008481A">
        <w:softHyphen/>
        <w:t>giprogrammet skrev jag på betygs</w:t>
      </w:r>
      <w:r w:rsidRPr="0008481A">
        <w:softHyphen/>
        <w:t>underlaget i tron att studenterna hade haft tillfälle att yttra sig om rättelsen.</w:t>
      </w:r>
    </w:p>
    <w:p w:rsidR="003B3271" w:rsidRPr="0008481A" w:rsidRDefault="003B3271">
      <w:pPr>
        <w:pStyle w:val="Citatindrag"/>
      </w:pPr>
      <w:r w:rsidRPr="0008481A">
        <w:t>När det stod klart för mig att studenterna inte hade fått möjlighet att yttra sig om rättelsen, såg jag till att de godkända betygen återinfördes i UPPDOK.</w:t>
      </w:r>
    </w:p>
    <w:p w:rsidR="003B3271" w:rsidRPr="0008481A" w:rsidRDefault="003B3271">
      <w:pPr>
        <w:pStyle w:val="Citatindrag"/>
      </w:pPr>
      <w:r w:rsidRPr="0008481A">
        <w:t>Den händelse som relateras i tidningen ägde rum precis vid terminsstart, då arbetsbelast</w:t>
      </w:r>
      <w:r w:rsidRPr="0008481A">
        <w:softHyphen/>
        <w:t>ningen även i normala fall är hög för de personer vid institutio</w:t>
      </w:r>
      <w:r w:rsidRPr="0008481A">
        <w:softHyphen/>
        <w:t>nen som är ansvariga för undervisningsadministrationen. I år hade dessutom förberedelserna för detta läsår blivit kraftigt försenade av att institutionen på sommaren flyttade in i nya lokaler, varvid flytten försenades ett antal gånger. För min del kom arbetsbelastningen att vara osedvanligt hög, i min egenskap av studierektor för språkteknologiprogrammet, också på grund av att jag under sommaren fått veta att en tiopoängskurs för c:a 20 språ</w:t>
      </w:r>
      <w:r w:rsidRPr="0008481A">
        <w:t>ktekno</w:t>
      </w:r>
      <w:r w:rsidRPr="0008481A">
        <w:softHyphen/>
        <w:t>logi</w:t>
      </w:r>
      <w:r w:rsidRPr="0008481A">
        <w:softHyphen/>
        <w:t>studenter inte skulle kunna ges under hösten p.g.a. hastigt uppkom</w:t>
      </w:r>
      <w:r w:rsidRPr="0008481A">
        <w:softHyphen/>
        <w:t>men lärarbrist vid institutio</w:t>
      </w:r>
      <w:r w:rsidRPr="0008481A">
        <w:softHyphen/>
        <w:t>nen för informationsvetenskap, och att jag all</w:t>
      </w:r>
      <w:r w:rsidRPr="0008481A">
        <w:softHyphen/>
        <w:t>deles före höstterminens början av samma institution meddelats att de av samma orsak bara skulle kunna ta emot mindre än hälften av våra stu</w:t>
      </w:r>
      <w:r w:rsidRPr="0008481A">
        <w:softHyphen/>
        <w:t>denter på en annan tiopoängskurs under hösten. Jag koncent</w:t>
      </w:r>
      <w:r w:rsidRPr="0008481A">
        <w:softHyphen/>
        <w:t>rerade då mina krafter på att försöka lösa denna allvarliga situation, och mina insatser bar frukt, men naturligt nog kunde jag samtidigt ägna mindre tid oc</w:t>
      </w:r>
      <w:r w:rsidRPr="0008481A">
        <w:t>h kraft åt annan undervis</w:t>
      </w:r>
      <w:r w:rsidRPr="0008481A">
        <w:softHyphen/>
        <w:t>nings</w:t>
      </w:r>
      <w:r w:rsidRPr="0008481A">
        <w:softHyphen/>
        <w:t>administration under den tid det här är fråga om.</w:t>
      </w:r>
    </w:p>
    <w:p w:rsidR="003B3271" w:rsidRPr="0008481A" w:rsidRDefault="003B3271">
      <w:pPr>
        <w:pStyle w:val="Citatindrag"/>
      </w:pPr>
      <w:r w:rsidRPr="0008481A">
        <w:t>Språkteknologiprogrammet har byggts upp under en följd av år, med stora insatser i tid, kraft och entusiasm från både institutionens och studenternas sida. Fram till den händelse som nu utreds har arbetet med studenterna skett i bästa samförstånd. Jag beklagar det inträffade och kommer att se till att det inte händer igen.</w:t>
      </w:r>
    </w:p>
    <w:p w:rsidR="003B3271" w:rsidRPr="0008481A" w:rsidRDefault="003B3271">
      <w:r w:rsidRPr="0008481A">
        <w:t xml:space="preserve">I beslut den 28 september 1999 anförde </w:t>
      </w:r>
      <w:r w:rsidRPr="0008481A">
        <w:rPr>
          <w:i/>
        </w:rPr>
        <w:t xml:space="preserve">JO André </w:t>
      </w:r>
      <w:r w:rsidRPr="0008481A">
        <w:t>följande.</w:t>
      </w:r>
    </w:p>
    <w:p w:rsidR="003B3271" w:rsidRPr="0008481A" w:rsidRDefault="003B3271">
      <w:pPr>
        <w:pStyle w:val="Rubrik3"/>
      </w:pPr>
      <w:r w:rsidRPr="0008481A">
        <w:t>Rättslig reglering</w:t>
      </w:r>
    </w:p>
    <w:p w:rsidR="003B3271" w:rsidRPr="0008481A" w:rsidRDefault="003B3271">
      <w:r w:rsidRPr="0008481A">
        <w:t>Enligt 7 kap. 10 § högskoleförordningen (1993:100, fr.o.m. den 1 januari 1999 6 kap. 10 §) skall vid grundläggande högskoleutbildning betyg sättas på en genom</w:t>
      </w:r>
      <w:r w:rsidRPr="0008481A">
        <w:softHyphen/>
        <w:t>gången kurs. Betyget skall, enligt samma föreskrift, bestämmas av en av hög</w:t>
      </w:r>
      <w:r w:rsidRPr="0008481A">
        <w:softHyphen/>
        <w:t>sko</w:t>
      </w:r>
      <w:r w:rsidRPr="0008481A">
        <w:softHyphen/>
        <w:t>lan särskild utsedd lärare (examinator). Enligt 11 § samma kapitel skall som betyg användas något av uttrycken underkänd, godkänd eller väl godkänd om inte hög</w:t>
      </w:r>
      <w:r w:rsidRPr="0008481A">
        <w:softHyphen/>
        <w:t xml:space="preserve">skolan föreskriver ett annat betygssystem.   </w:t>
      </w:r>
    </w:p>
    <w:p w:rsidR="003B3271" w:rsidRPr="0008481A" w:rsidRDefault="003B3271">
      <w:pPr>
        <w:pStyle w:val="Normaltindrag"/>
      </w:pPr>
      <w:r w:rsidRPr="0008481A">
        <w:t>Av 13 kap. högskoleförordningen (fr.o.m. den 1 januari 1999 12 kap.) följer att examinators beslut om betyg inte får överklagas. Däremot finns det inte någon bestämmelse i högskoleförfattningarna som anger förutsätt</w:t>
      </w:r>
      <w:r w:rsidRPr="0008481A">
        <w:softHyphen/>
        <w:t>ningarna för ändring av meddelade betygsbeslut. Det finns därför skäl att redovisa de allmänna förvalt</w:t>
      </w:r>
      <w:r w:rsidRPr="0008481A">
        <w:softHyphen/>
        <w:t>nings</w:t>
      </w:r>
      <w:r w:rsidRPr="0008481A">
        <w:softHyphen/>
        <w:t>rättsliga bestämmelserna angående rättelse och omprövning av med</w:t>
      </w:r>
      <w:r w:rsidRPr="0008481A">
        <w:softHyphen/>
        <w:t>delade beslut samt vissa förvaltningsrättsliga principer angående förvaltnings</w:t>
      </w:r>
      <w:r w:rsidRPr="0008481A">
        <w:softHyphen/>
        <w:t>besluts rätt</w:t>
      </w:r>
      <w:r w:rsidRPr="0008481A">
        <w:softHyphen/>
        <w:t>skraft.</w:t>
      </w:r>
    </w:p>
    <w:p w:rsidR="003B3271" w:rsidRPr="0008481A" w:rsidRDefault="003B3271">
      <w:pPr>
        <w:pStyle w:val="Normaltindrag"/>
      </w:pPr>
      <w:r w:rsidRPr="0008481A">
        <w:t xml:space="preserve">26 § förvaltningslagen (1986:223) reglerar </w:t>
      </w:r>
      <w:r w:rsidRPr="0008481A">
        <w:rPr>
          <w:i/>
        </w:rPr>
        <w:t>rättelse av skrivfel och liknande</w:t>
      </w:r>
      <w:r w:rsidRPr="0008481A">
        <w:t>. Lag</w:t>
      </w:r>
      <w:r w:rsidRPr="0008481A">
        <w:softHyphen/>
        <w:t xml:space="preserve">rummet har följande lydelse. </w:t>
      </w:r>
    </w:p>
    <w:p w:rsidR="003B3271" w:rsidRPr="0008481A" w:rsidRDefault="003B3271">
      <w:pPr>
        <w:pStyle w:val="Citat"/>
      </w:pPr>
      <w:r w:rsidRPr="0008481A">
        <w:t>Ett beslut som innehåller en uppenbar oriktighet till följd av myndighetens eller någon annans skrivfel, räknefel eller liknande förbiseende, får rättas av den myndighet som har meddelat beslutet. Innan rättelse sker skall myn</w:t>
      </w:r>
      <w:r w:rsidRPr="0008481A">
        <w:softHyphen/>
        <w:t>digheten ge den som är part tillfälle att yttra sig, om ärendet avser myndig</w:t>
      </w:r>
      <w:r w:rsidRPr="0008481A">
        <w:softHyphen/>
        <w:t>hetsutövning mot någon enskild och åtgärden inte är obehövlig.</w:t>
      </w:r>
    </w:p>
    <w:p w:rsidR="003B3271" w:rsidRPr="0008481A" w:rsidRDefault="003B3271">
      <w:r w:rsidRPr="0008481A">
        <w:t xml:space="preserve">I 27 § förvaltningslagen regleras </w:t>
      </w:r>
      <w:r w:rsidRPr="0008481A">
        <w:rPr>
          <w:i/>
        </w:rPr>
        <w:t>en beslutmyndighets omprövningsplikt</w:t>
      </w:r>
      <w:r w:rsidRPr="0008481A">
        <w:t>. Den be</w:t>
      </w:r>
      <w:r w:rsidRPr="0008481A">
        <w:softHyphen/>
        <w:t>stäm</w:t>
      </w:r>
      <w:r w:rsidRPr="0008481A">
        <w:softHyphen/>
        <w:t>melsen har följande lydelse.</w:t>
      </w:r>
    </w:p>
    <w:p w:rsidR="003B3271" w:rsidRPr="0008481A" w:rsidRDefault="003B3271">
      <w:pPr>
        <w:pStyle w:val="Citat"/>
      </w:pPr>
      <w:r w:rsidRPr="0008481A">
        <w:t>Finner en myndighet att ett beslut, som den har meddelat som första instans, är uppenbart oriktigt på grund av nya omständigheter eller av någon annan anledning, skall myndig</w:t>
      </w:r>
      <w:r w:rsidRPr="0008481A">
        <w:softHyphen/>
        <w:t>heten ändra beslutet, om det kan ske snabbt och en</w:t>
      </w:r>
      <w:r w:rsidRPr="0008481A">
        <w:softHyphen/>
        <w:t>kelt och utan att det blir till nackdel för någon enskild part. Skyldigheten gäller även om beslutet överklagas, såvida inte klagan</w:t>
      </w:r>
      <w:r w:rsidRPr="0008481A">
        <w:softHyphen/>
        <w:t>den begär att beslutet tills vidare inte skall gälla (inhibition).</w:t>
      </w:r>
    </w:p>
    <w:p w:rsidR="003B3271" w:rsidRPr="0008481A" w:rsidRDefault="003B3271">
      <w:pPr>
        <w:pStyle w:val="Citatindrag"/>
      </w:pPr>
      <w:r w:rsidRPr="0008481A">
        <w:t xml:space="preserve">Skyldigheten gäller inte, om myndigheten har överlämnat handlingarna i ärendet till en högre instans eller om det i annat fall finns särskilda skäl mot att myndigheten ändrar beslutet. </w:t>
      </w:r>
    </w:p>
    <w:p w:rsidR="003B3271" w:rsidRPr="0008481A" w:rsidRDefault="003B3271">
      <w:r w:rsidRPr="0008481A">
        <w:t>Omprövningsskyldigheten enligt förvaltningslagen är en minimireglering och anger inte uttömmande i vilka fall en myndighet får ändra ett redan fattat beslut. En myn</w:t>
      </w:r>
      <w:r w:rsidRPr="0008481A">
        <w:softHyphen/>
        <w:t xml:space="preserve">dighet har, utöver regleringen i förvaltningslagen, en </w:t>
      </w:r>
      <w:r w:rsidRPr="0008481A">
        <w:rPr>
          <w:i/>
        </w:rPr>
        <w:t>själv</w:t>
      </w:r>
      <w:r w:rsidRPr="0008481A">
        <w:rPr>
          <w:i/>
        </w:rPr>
        <w:softHyphen/>
        <w:t>rättelse</w:t>
      </w:r>
      <w:r w:rsidRPr="0008481A">
        <w:rPr>
          <w:i/>
        </w:rPr>
        <w:softHyphen/>
        <w:t>befogenhet</w:t>
      </w:r>
      <w:r w:rsidRPr="0008481A">
        <w:t xml:space="preserve"> som bygger på vissa principer om förvaltnings</w:t>
      </w:r>
      <w:r w:rsidRPr="0008481A">
        <w:softHyphen/>
        <w:t>beslutens rättskraft. Dessa principer har utbildats genom praxis. En av dessa är att gyn</w:t>
      </w:r>
      <w:r w:rsidRPr="0008481A">
        <w:softHyphen/>
        <w:t>nande beslut inom förvaltnings</w:t>
      </w:r>
      <w:r w:rsidRPr="0008481A">
        <w:softHyphen/>
        <w:t>för</w:t>
      </w:r>
      <w:r w:rsidRPr="0008481A">
        <w:softHyphen/>
        <w:t>farandet i allmänhet vinner rättskraft. Ett gynnande beslut kan därför i princip inte återkallas eller ändras av besluts</w:t>
      </w:r>
      <w:r w:rsidRPr="0008481A">
        <w:softHyphen/>
        <w:t>myndigheten. Det finns emel</w:t>
      </w:r>
      <w:r w:rsidRPr="0008481A">
        <w:softHyphen/>
        <w:t>lertid vissa undantag från denna princip. Ett gynnande beslut kan åter</w:t>
      </w:r>
      <w:r w:rsidRPr="0008481A">
        <w:softHyphen/>
        <w:t>kallas med stöd av för</w:t>
      </w:r>
      <w:r w:rsidRPr="0008481A">
        <w:softHyphen/>
        <w:t>behåll i själva b</w:t>
      </w:r>
      <w:r w:rsidRPr="0008481A">
        <w:t>eslutet eller i den författning som ligger till grund för beslutet. Återkallelse av ett gynnande beslut anses också möjlig av hän</w:t>
      </w:r>
      <w:r w:rsidRPr="0008481A">
        <w:softHyphen/>
        <w:t>syn till en hälsofara, brandfara, trafikfara eller av andra sådana säkerhetsskäl. Åter</w:t>
      </w:r>
      <w:r w:rsidRPr="0008481A">
        <w:softHyphen/>
        <w:t>kallelse kan även ske om den enskilde har utverkat det gynnande beslutet genom vilseledande upp</w:t>
      </w:r>
      <w:r w:rsidRPr="0008481A">
        <w:softHyphen/>
        <w:t>gifter (jfr bl.a. prop. 1985/86:80 s. 39, Hellners-Malmqvist, ”Nya för</w:t>
      </w:r>
      <w:r w:rsidRPr="0008481A">
        <w:softHyphen/>
        <w:t>valt</w:t>
      </w:r>
      <w:r w:rsidRPr="0008481A">
        <w:softHyphen/>
        <w:t>ningslagen med kommentarer”, 5:e upplagan, s. 304 f. och Strömberg, ”Allmän förvaltningsrätt”, 18:e upplagan, s. 72 f.).</w:t>
      </w:r>
    </w:p>
    <w:p w:rsidR="003B3271" w:rsidRPr="0008481A" w:rsidRDefault="003B3271">
      <w:pPr>
        <w:pStyle w:val="Rubrik3"/>
      </w:pPr>
      <w:r w:rsidRPr="0008481A">
        <w:t>Be</w:t>
      </w:r>
      <w:r w:rsidRPr="0008481A">
        <w:t>dömning</w:t>
      </w:r>
    </w:p>
    <w:p w:rsidR="003B3271" w:rsidRPr="0008481A" w:rsidRDefault="003B3271">
      <w:r w:rsidRPr="0008481A">
        <w:t>Som nämnts finns det ingen högskoleförfattning som reglerar möjligheten att ändra ett meddelat betygsbeslut. Den i ärendet aktualiserade frågan måste därför lösas mot bakgrund av de redo</w:t>
      </w:r>
      <w:r w:rsidRPr="0008481A">
        <w:softHyphen/>
        <w:t>visade förvaltningsrättsliga be</w:t>
      </w:r>
      <w:r w:rsidRPr="0008481A">
        <w:softHyphen/>
        <w:t>stämmelserna och princi</w:t>
      </w:r>
      <w:r w:rsidRPr="0008481A">
        <w:softHyphen/>
        <w:t>perna. Dessa är nämligen tillämp</w:t>
      </w:r>
      <w:r w:rsidRPr="0008481A">
        <w:softHyphen/>
        <w:t>liga även när det gäller betygsbeslut inom hög</w:t>
      </w:r>
      <w:r w:rsidRPr="0008481A">
        <w:softHyphen/>
        <w:t>skole</w:t>
      </w:r>
      <w:r w:rsidRPr="0008481A">
        <w:softHyphen/>
        <w:t>väsendet (jfr Högskoleverkets rapport 1998:39  ”Rätts</w:t>
      </w:r>
      <w:r w:rsidRPr="0008481A">
        <w:softHyphen/>
        <w:t>säker examination– En till</w:t>
      </w:r>
      <w:r w:rsidRPr="0008481A">
        <w:softHyphen/>
        <w:t>synsrapport” s. 30 f. och där angiv</w:t>
      </w:r>
      <w:r w:rsidRPr="0008481A">
        <w:softHyphen/>
        <w:t xml:space="preserve">na referenser). </w:t>
      </w:r>
    </w:p>
    <w:p w:rsidR="003B3271" w:rsidRPr="0008481A" w:rsidRDefault="003B3271">
      <w:pPr>
        <w:pStyle w:val="Normaltindrag"/>
      </w:pPr>
      <w:r w:rsidRPr="0008481A">
        <w:t>Utgångspunkten är att en förvaltningsmyndighet alltid har rätt att ändra ett beslut innan det har meddelats. Ett beslut anses meddelat antingen när det har expedierats eller på annat sätt har erhållit sin slutliga form eller tillkänna</w:t>
      </w:r>
      <w:r w:rsidRPr="0008481A">
        <w:softHyphen/>
        <w:t>getts. När ett beslut skall anses meddelat får följaktligen avgöras från fall till fall. Såvitt framgår av remissvaret hade studenterna i detta fall underrättats om de ursprungliga betygs</w:t>
      </w:r>
      <w:r w:rsidRPr="0008481A">
        <w:softHyphen/>
        <w:t>besluten när Lars Borin meddelade sina ändringsbeslut. Det råder därför inget tvivel om att Anna Sågvall Heins betygsbeslut hade ”meddelats” i förvaltnings</w:t>
      </w:r>
      <w:r w:rsidRPr="0008481A">
        <w:softHyphen/>
        <w:t>rättslig mening innan ändrings</w:t>
      </w:r>
      <w:r w:rsidRPr="0008481A">
        <w:softHyphen/>
        <w:t xml:space="preserve">besluten meddelades. </w:t>
      </w:r>
    </w:p>
    <w:p w:rsidR="003B3271" w:rsidRPr="0008481A" w:rsidRDefault="003B3271">
      <w:pPr>
        <w:pStyle w:val="Normaltindrag"/>
      </w:pPr>
      <w:r w:rsidRPr="0008481A">
        <w:t>Jag kan redan här konstatera att de aktuella ändringarna var till nackdel för de berörda studenterna. Därmed kan d</w:t>
      </w:r>
      <w:r w:rsidRPr="0008481A">
        <w:t>et inte vara fråga om en tillåten omprövning enligt 27 § förvaltningslagen. Utredningen ger inte heller stöd för att någon prin</w:t>
      </w:r>
      <w:r w:rsidRPr="0008481A">
        <w:softHyphen/>
        <w:t xml:space="preserve">cip om ändring av gynnande beslut kan vara tillämplig.    </w:t>
      </w:r>
    </w:p>
    <w:p w:rsidR="003B3271" w:rsidRPr="0008481A" w:rsidRDefault="003B3271">
      <w:pPr>
        <w:pStyle w:val="Normaltindrag"/>
      </w:pPr>
      <w:r w:rsidRPr="0008481A">
        <w:t>Den fråga som återstår är då om ändringsbesluten innebar en rättelse enligt 26 § förvaltnings</w:t>
      </w:r>
      <w:r w:rsidRPr="0008481A">
        <w:softHyphen/>
        <w:t>lagen. En sådan rättelse kan ju ske både till den enskildes fördel och nackdel om förutsättningarna i övrigt är uppfyllda. Det krävs dock att det är fråga om ett ”för</w:t>
      </w:r>
      <w:r w:rsidRPr="0008481A">
        <w:softHyphen/>
        <w:t>bi</w:t>
      </w:r>
      <w:r w:rsidRPr="0008481A">
        <w:softHyphen/>
      </w:r>
      <w:r w:rsidRPr="0008481A">
        <w:softHyphen/>
        <w:t>seendefel”. Med sådana fel avses fall då myndigheten har fattat ett riktigt beslut, men av misstag har återgett be</w:t>
      </w:r>
      <w:r w:rsidRPr="0008481A">
        <w:softHyphen/>
        <w:t>slutet på ett felaktigt sätt, t.ex. med oriktiga ord eller siffror. Beslutet har med andra ord kommit att utsäga något an</w:t>
      </w:r>
      <w:r w:rsidRPr="0008481A">
        <w:softHyphen/>
        <w:t>nat än myndig</w:t>
      </w:r>
      <w:r w:rsidRPr="0008481A">
        <w:softHyphen/>
        <w:t>heten har menat. Det är emel</w:t>
      </w:r>
      <w:r w:rsidRPr="0008481A">
        <w:softHyphen/>
        <w:t>lertid inte bara sådana fel som avses, utan även uppen</w:t>
      </w:r>
      <w:r w:rsidRPr="0008481A">
        <w:softHyphen/>
      </w:r>
      <w:r w:rsidRPr="0008481A">
        <w:softHyphen/>
      </w:r>
      <w:r w:rsidRPr="0008481A">
        <w:softHyphen/>
        <w:t>bar</w:t>
      </w:r>
      <w:r w:rsidRPr="0008481A">
        <w:t>a personför</w:t>
      </w:r>
      <w:r w:rsidRPr="0008481A">
        <w:softHyphen/>
        <w:t>växlingar och liknande faller in under lagbestäm</w:t>
      </w:r>
      <w:r w:rsidRPr="0008481A">
        <w:softHyphen/>
        <w:t>melsen (jfr t.ex. prop. 1971 s. 503 f. och Hellners-Malmqvist, a.a., s. 288 f.). Det får dock inte vara fråga om ”bedöm</w:t>
      </w:r>
      <w:r w:rsidRPr="0008481A">
        <w:softHyphen/>
        <w:t>nings</w:t>
      </w:r>
      <w:r w:rsidRPr="0008481A">
        <w:softHyphen/>
        <w:t>fel”, dvs. sådana fel som beror på t.ex. bristfällig utred</w:t>
      </w:r>
      <w:r w:rsidRPr="0008481A">
        <w:softHyphen/>
        <w:t>ning, felaktig bedöm</w:t>
      </w:r>
      <w:r w:rsidRPr="0008481A">
        <w:softHyphen/>
        <w:t>ning av fakta, oriktig rätts</w:t>
      </w:r>
      <w:r w:rsidRPr="0008481A">
        <w:softHyphen/>
        <w:t>tillämpning eller liknande. När det är fråga om en ändring till en parts nackdel, som i detta fall, måste bestämmelsen om rättelse användas med stor försiktighet och endast när det är fråga om klara fall (jfr Högskol</w:t>
      </w:r>
      <w:r w:rsidRPr="0008481A">
        <w:t xml:space="preserve">everket, a.a., s. 42).        </w:t>
      </w:r>
    </w:p>
    <w:p w:rsidR="003B3271" w:rsidRPr="0008481A" w:rsidRDefault="003B3271">
      <w:pPr>
        <w:pStyle w:val="Normaltindrag"/>
      </w:pPr>
      <w:r w:rsidRPr="0008481A">
        <w:t>Enligt utredningen hade universitetslektorn Mark Lee förväxlat studenternas in</w:t>
      </w:r>
      <w:r w:rsidRPr="0008481A">
        <w:softHyphen/>
        <w:t>läm</w:t>
      </w:r>
      <w:r w:rsidRPr="0008481A">
        <w:softHyphen/>
        <w:t>ningsuppgifter. Namnförväxlingen orsakade felaktig</w:t>
      </w:r>
      <w:r w:rsidRPr="0008481A">
        <w:softHyphen/>
        <w:t>heter i det underlag som Mark Lee presenterade för ansvarig examinator, professor Anna Sågvall Hein. Med led</w:t>
      </w:r>
      <w:r w:rsidRPr="0008481A">
        <w:softHyphen/>
        <w:t xml:space="preserve">ning av Mark Lees underlag meddelade sedan Anna Sågvall Hein betygsbesluten. Det är alltså inte fråga om någon lapsus från examinators sida, utan hon fattade sina beslut i enlighet med det till henne redovisade underlaget. </w:t>
      </w:r>
    </w:p>
    <w:p w:rsidR="003B3271" w:rsidRPr="0008481A" w:rsidRDefault="003B3271">
      <w:pPr>
        <w:pStyle w:val="Normaltindrag"/>
      </w:pPr>
      <w:r w:rsidRPr="0008481A">
        <w:t>Misstaget kunde själv</w:t>
      </w:r>
      <w:r w:rsidRPr="0008481A">
        <w:softHyphen/>
        <w:t>fallet inte upptäckas vid en granskning av besluten. Detta krävs inte heller för att det aktuella lagrummet skall kunna tillämpas, utan det är till</w:t>
      </w:r>
      <w:r w:rsidRPr="0008481A">
        <w:softHyphen/>
        <w:t>räckligt att fel</w:t>
      </w:r>
      <w:r w:rsidRPr="0008481A">
        <w:softHyphen/>
        <w:t>aktigheten framgår vid en jämförelse av handlingarna i ärendet (Warnling-Nerep, ”Om rättelse av förvaltningsbeslut, särskilt högskolebetyg”, Förvaltnings</w:t>
      </w:r>
      <w:r w:rsidRPr="0008481A">
        <w:softHyphen/>
        <w:t>rättslig tidskrift, 1993, s. 252 f.) I förevarande fall framgår det inte klart om en sådan jäm</w:t>
      </w:r>
      <w:r w:rsidRPr="0008481A">
        <w:softHyphen/>
        <w:t xml:space="preserve">förelse kunde göras på ett enkelt sätt, men jag utgår från att så var fallet. </w:t>
      </w:r>
    </w:p>
    <w:p w:rsidR="003B3271" w:rsidRPr="0008481A" w:rsidRDefault="003B3271">
      <w:pPr>
        <w:pStyle w:val="Normaltindrag"/>
      </w:pPr>
      <w:r w:rsidRPr="0008481A">
        <w:t>Om examinator Anna</w:t>
      </w:r>
      <w:r w:rsidRPr="0008481A">
        <w:t xml:space="preserve"> Sågvall Hein själv hade gjort en sådan namn</w:t>
      </w:r>
      <w:r w:rsidRPr="0008481A">
        <w:softHyphen/>
        <w:t>förväxling som synes vara i fråga här, ligger det nära till hands att misstaget skulle ha betraktats som ett sådant förbiseende</w:t>
      </w:r>
      <w:r w:rsidRPr="0008481A">
        <w:softHyphen/>
        <w:t>fel som kunde rättas med stöd av 26 § förvaltningslagen. I detta fall har emellertid namn</w:t>
      </w:r>
      <w:r w:rsidRPr="0008481A">
        <w:softHyphen/>
        <w:t>förväx</w:t>
      </w:r>
      <w:r w:rsidRPr="0008481A">
        <w:softHyphen/>
        <w:t>lingen skett under beredningen av beslutsunderlaget. Det kan därför ifråga</w:t>
      </w:r>
      <w:r w:rsidRPr="0008481A">
        <w:softHyphen/>
        <w:t>sättas om felen var av sådan beskaffenhet att rättelse kunde ske med tillämpning av den bestämmelsen. Enligt min mening skulle det dock kunna leda till orimliga konsek</w:t>
      </w:r>
      <w:r w:rsidRPr="0008481A">
        <w:t>venser om man vid rättelse av betygs</w:t>
      </w:r>
      <w:r w:rsidRPr="0008481A">
        <w:softHyphen/>
        <w:t>beslut gör åtskillnad mellan examinators namn</w:t>
      </w:r>
      <w:r w:rsidRPr="0008481A">
        <w:softHyphen/>
        <w:t>förväxling och en namn</w:t>
      </w:r>
      <w:r w:rsidRPr="0008481A">
        <w:softHyphen/>
        <w:t xml:space="preserve">förväxling som någon annan har gjort under beredningen av ärendet. </w:t>
      </w:r>
    </w:p>
    <w:p w:rsidR="003B3271" w:rsidRPr="0008481A" w:rsidRDefault="003B3271">
      <w:pPr>
        <w:pStyle w:val="Normaltindrag"/>
      </w:pPr>
      <w:r w:rsidRPr="0008481A">
        <w:t>Jag avser inte att i detta beslut ta slutlig ställning till den behand</w:t>
      </w:r>
      <w:r w:rsidRPr="0008481A">
        <w:softHyphen/>
        <w:t>lade frågan, utan nöjer mig med att konstatera att Lars Borin inte kan kritiseras för sin åtgärd att ändra betygen. Emellertid framgår det av utred</w:t>
      </w:r>
      <w:r w:rsidRPr="0008481A">
        <w:softHyphen/>
        <w:t>ningen att studenterna inte i vederbörlig ordning bereddes tillfälle att yttra sig innan Lars Borins ändrings</w:t>
      </w:r>
      <w:r w:rsidRPr="0008481A">
        <w:softHyphen/>
        <w:t>beslut med</w:t>
      </w:r>
      <w:r w:rsidRPr="0008481A">
        <w:softHyphen/>
        <w:t>delades. En sådan åtgärd kunde inte anses obehövlig, varför förfarandet i den delen stred mot 26 § förvaltningslagen. Den omständigheten att Lars Borin för sin del trodde att studenterna genom Mark Lee hade fått tillfälle att yttra sig angåen</w:t>
      </w:r>
      <w:r w:rsidRPr="0008481A">
        <w:t>de frågan om rättelse ändrar inte den bedöm</w:t>
      </w:r>
      <w:r w:rsidRPr="0008481A">
        <w:softHyphen/>
        <w:t>ningen.</w:t>
      </w:r>
    </w:p>
    <w:p w:rsidR="003B3271" w:rsidRPr="0008481A" w:rsidRDefault="003B3271">
      <w:pPr>
        <w:pStyle w:val="Normaltindrag"/>
      </w:pPr>
      <w:r w:rsidRPr="0008481A">
        <w:t xml:space="preserve">Jag kan inte undgå att rikta kritik mot Lars Borin för att studenterna inte bereddes tillfälle att yttra sig i enlighet med det anförda. </w:t>
      </w:r>
    </w:p>
    <w:p w:rsidR="003B3271" w:rsidRPr="0008481A" w:rsidRDefault="003B3271">
      <w:pPr>
        <w:pStyle w:val="Normaltindrag"/>
      </w:pPr>
      <w:r w:rsidRPr="0008481A">
        <w:t>Ärendet avslutas.</w:t>
      </w:r>
    </w:p>
    <w:p w:rsidR="003B3271" w:rsidRPr="0008481A" w:rsidRDefault="003B3271">
      <w:pPr>
        <w:pStyle w:val="Rubrik2"/>
      </w:pPr>
      <w:r w:rsidRPr="0008481A">
        <w:t>Kritik mot Högskoleverket för genomförandet av ändrade antagning</w:t>
      </w:r>
      <w:r w:rsidRPr="0008481A">
        <w:t>s</w:t>
      </w:r>
      <w:r w:rsidRPr="0008481A">
        <w:t>regler till högskolan avseende sökanden med utländska gymnasieb</w:t>
      </w:r>
      <w:r w:rsidRPr="0008481A">
        <w:t>e</w:t>
      </w:r>
      <w:r w:rsidRPr="0008481A">
        <w:t>tyg</w:t>
      </w:r>
    </w:p>
    <w:p w:rsidR="003B3271" w:rsidRPr="0008481A" w:rsidRDefault="003B3271">
      <w:r w:rsidRPr="0008481A">
        <w:t>(Dnr 3534-1998)</w:t>
      </w:r>
    </w:p>
    <w:p w:rsidR="003B3271" w:rsidRPr="0008481A" w:rsidRDefault="003B3271">
      <w:pPr>
        <w:pStyle w:val="Rubrik3"/>
      </w:pPr>
      <w:r w:rsidRPr="0008481A">
        <w:t>Anmälan</w:t>
      </w:r>
    </w:p>
    <w:p w:rsidR="003B3271" w:rsidRPr="0008481A" w:rsidRDefault="003B3271">
      <w:pPr>
        <w:rPr>
          <w:b/>
          <w:i/>
        </w:rPr>
      </w:pPr>
      <w:r w:rsidRPr="0008481A">
        <w:t>Maria Schoeffler, som är rektor för svenska sektionen vid Lycée International i Saint-Germain-en-Laye i Frankrike, bad i en anmälan  om JO:s granskning av det sätt på vil</w:t>
      </w:r>
      <w:r w:rsidRPr="0008481A">
        <w:softHyphen/>
        <w:t>ket en ny omräkningstabell för franska gymnasiebetyg hade arbetats fram och in</w:t>
      </w:r>
      <w:r w:rsidRPr="0008481A">
        <w:softHyphen/>
        <w:t>förts i Sverige. Anmälan riktades mot Högskoleverket samt mot vissa universitet och högskolor.</w:t>
      </w:r>
      <w:r w:rsidRPr="0008481A">
        <w:rPr>
          <w:rStyle w:val="Fotnotsreferens"/>
        </w:rPr>
        <w:footnoteReference w:id="1"/>
      </w:r>
      <w:r w:rsidRPr="0008481A">
        <w:t xml:space="preserve"> </w:t>
      </w:r>
    </w:p>
    <w:p w:rsidR="003B3271" w:rsidRPr="0008481A" w:rsidRDefault="003B3271">
      <w:pPr>
        <w:pStyle w:val="Normaltindrag"/>
      </w:pPr>
      <w:r w:rsidRPr="0008481A">
        <w:t>I sin anmälan anförde Maria Schoeffler i huvudsak följande.</w:t>
      </w:r>
    </w:p>
    <w:p w:rsidR="003B3271" w:rsidRPr="0008481A" w:rsidRDefault="003B3271">
      <w:pPr>
        <w:pStyle w:val="Normaltindrag"/>
      </w:pPr>
      <w:r w:rsidRPr="0008481A">
        <w:t>När en person med utländsk gymnasieutbildning söker till ett svenskt universitet eller en svensk högskola räknas dennes gymnasiebetyg om till det svenska betyg</w:t>
      </w:r>
      <w:r w:rsidRPr="0008481A">
        <w:t>s</w:t>
      </w:r>
      <w:r w:rsidRPr="0008481A">
        <w:t>systemet. Omräkningssystemet berör bl.a. elever med en fransk internationell st</w:t>
      </w:r>
      <w:r w:rsidRPr="0008481A">
        <w:t>u</w:t>
      </w:r>
      <w:r w:rsidRPr="0008481A">
        <w:t>dentexamen, Option International du Baccalauréat, vid den svenska sektionen på Lycée International i Saint-Germain-en-Laye utanför Paris. Lycée International är en skola som lyder under det franska utbildningsdepartementet. Den svenska se</w:t>
      </w:r>
      <w:r w:rsidRPr="0008481A">
        <w:t>k</w:t>
      </w:r>
      <w:r w:rsidRPr="0008481A">
        <w:t>tionen vid skolan har cirka 150 svensktalande elever i grundskola och gymnasium. Vid skolan ges undervisning i såväl franska som svenska på modersmålsnivå. Betygen anges i den 20-gradiga frans</w:t>
      </w:r>
      <w:r w:rsidRPr="0008481A">
        <w:t>ka betygsskalan.</w:t>
      </w:r>
    </w:p>
    <w:p w:rsidR="003B3271" w:rsidRPr="0008481A" w:rsidRDefault="003B3271">
      <w:pPr>
        <w:pStyle w:val="Normaltindrag"/>
      </w:pPr>
      <w:r w:rsidRPr="0008481A">
        <w:t>Omräkningen av elevernas gymnasiebetyg har sedan många år tillbaka skett efter en och samma omräkningstabell, i enlighet med Verket för högskoleservice han</w:t>
      </w:r>
      <w:r w:rsidRPr="0008481A">
        <w:t>d</w:t>
      </w:r>
      <w:r w:rsidRPr="0008481A">
        <w:t>bok, utländska bedömningshandboken. Tabellen har varit väl inarbetad och både lärare och elever har varit insatta i hur den fung</w:t>
      </w:r>
      <w:r w:rsidRPr="0008481A">
        <w:t>e</w:t>
      </w:r>
      <w:r w:rsidRPr="0008481A">
        <w:t>rar.</w:t>
      </w:r>
    </w:p>
    <w:p w:rsidR="003B3271" w:rsidRPr="0008481A" w:rsidRDefault="003B3271">
      <w:pPr>
        <w:pStyle w:val="Normaltindrag"/>
      </w:pPr>
      <w:r w:rsidRPr="0008481A">
        <w:t>Någon gång under år 1997 stod det klart att tabellen skulle omarbetas. Den nya tabellen, som innebar en betydande nedvärdering av de franska betygen, present</w:t>
      </w:r>
      <w:r w:rsidRPr="0008481A">
        <w:t>e</w:t>
      </w:r>
      <w:r w:rsidRPr="0008481A">
        <w:t>rades i ett brev som kom den svenska sektionen vid skolan tillhanda den 9 mars 1998. Försämringen jämfört med den tidigare tabellen var så genomgripande att vissa franska betyg, vilka tidigare utan vidare givit en utbildningsplats, i princip kom att sakna värde vid en ansökan till ett svenskt universitet eller en svensk hö</w:t>
      </w:r>
      <w:r w:rsidRPr="0008481A">
        <w:t>g</w:t>
      </w:r>
      <w:r w:rsidRPr="0008481A">
        <w:t>skola.</w:t>
      </w:r>
    </w:p>
    <w:p w:rsidR="003B3271" w:rsidRPr="0008481A" w:rsidRDefault="003B3271">
      <w:pPr>
        <w:pStyle w:val="Normaltindrag"/>
      </w:pPr>
      <w:r w:rsidRPr="0008481A">
        <w:t>Samtliga svenska universitet och högskolor tycks ha valt att tillämpa den nya o</w:t>
      </w:r>
      <w:r w:rsidRPr="0008481A">
        <w:t>m</w:t>
      </w:r>
      <w:r w:rsidRPr="0008481A">
        <w:t>räkningstabellen omedelbart, dvs. redan vid 1998 års antagning. De nya reglerna kom därmed att få ett slags retroaktiv verkan i och med att de omfattade även p</w:t>
      </w:r>
      <w:r w:rsidRPr="0008481A">
        <w:t>å</w:t>
      </w:r>
      <w:r w:rsidRPr="0008481A">
        <w:t>började gymnasieutbildningar.</w:t>
      </w:r>
    </w:p>
    <w:p w:rsidR="003B3271" w:rsidRPr="0008481A" w:rsidRDefault="003B3271">
      <w:pPr>
        <w:pStyle w:val="Normaltindrag"/>
      </w:pPr>
      <w:r w:rsidRPr="0008481A">
        <w:t>Att nya regler infördes utan någon övergångsperiod drabbade de elever hårdast som var i färd med att avsluta sitt tredje och sista gymnasieår. Dessa elever fick del av reglerna endast ett par månader före examensperioden. Om de känt till de nya reglerna tidigare hade de kanske tagit ett enklare gymnasieprogram i Frankr</w:t>
      </w:r>
      <w:r w:rsidRPr="0008481A">
        <w:t>i</w:t>
      </w:r>
      <w:r w:rsidRPr="0008481A">
        <w:t>ke eller valt att gå gymnasiet i Sverige i stället.</w:t>
      </w:r>
    </w:p>
    <w:p w:rsidR="003B3271" w:rsidRPr="0008481A" w:rsidRDefault="003B3271">
      <w:r w:rsidRPr="0008481A">
        <w:t>______________</w:t>
      </w:r>
    </w:p>
    <w:p w:rsidR="003B3271" w:rsidRPr="0008481A" w:rsidRDefault="003B3271">
      <w:r w:rsidRPr="0008481A">
        <w:t>Revideringen av omräkningstabellen har gjorts av Arbetsgruppen för bedömning av utländsk gymnasieutbildning. Maria Schoeffler ifrågasatte om revideringen av omräkningstabellen gjorts i behörig ordning och av behörigt organ. Vidare begä</w:t>
      </w:r>
      <w:r w:rsidRPr="0008481A">
        <w:t>r</w:t>
      </w:r>
      <w:r w:rsidRPr="0008481A">
        <w:t>de hon JO:s granskning av Högskoleverkets och eventuellt andra myndigheters agerande i detta sammanhang, liksom Högskoleverkets rätt att delegera beslutet om ikraftträdande till respektive universitet och högskola och dessa skolors rätt att införa de nya reglerna till antagningen höstterminen 1998.</w:t>
      </w:r>
    </w:p>
    <w:p w:rsidR="003B3271" w:rsidRPr="0008481A" w:rsidRDefault="003B3271">
      <w:pPr>
        <w:pStyle w:val="Normaltindrag"/>
      </w:pPr>
      <w:r w:rsidRPr="0008481A">
        <w:t>Till sin anmälan hade Maria Schoeffler bl.a. fogat utdrag ur den utländska b</w:t>
      </w:r>
      <w:r w:rsidRPr="0008481A">
        <w:t>e</w:t>
      </w:r>
      <w:r w:rsidRPr="0008481A">
        <w:t>dömningshandboken, omräkningstabell för fransk baccalauréat, ett brev från Li</w:t>
      </w:r>
      <w:r w:rsidRPr="0008481A">
        <w:t>n</w:t>
      </w:r>
      <w:r w:rsidRPr="0008481A">
        <w:t>köpings universitet samt Högskoleverkets rapport av den 25 sep</w:t>
      </w:r>
      <w:r w:rsidRPr="0008481A">
        <w:softHyphen/>
        <w:t>tem</w:t>
      </w:r>
      <w:r w:rsidRPr="0008481A">
        <w:softHyphen/>
        <w:t>ber 1998 ”Högskoleverkets föreskrifter på tillträdesområdet – en utredning om eventuella behov av förändringar”.</w:t>
      </w:r>
    </w:p>
    <w:p w:rsidR="003B3271" w:rsidRPr="0008481A" w:rsidRDefault="003B3271">
      <w:pPr>
        <w:pStyle w:val="Rubrik3"/>
      </w:pPr>
      <w:r w:rsidRPr="0008481A">
        <w:t>Utredning</w:t>
      </w:r>
    </w:p>
    <w:p w:rsidR="003B3271" w:rsidRPr="0008481A" w:rsidRDefault="003B3271">
      <w:r w:rsidRPr="0008481A">
        <w:t>Anmälan remitterades till Högskoleverket för utredning och yttrande. Högskol</w:t>
      </w:r>
      <w:r w:rsidRPr="0008481A">
        <w:t>e</w:t>
      </w:r>
      <w:r w:rsidRPr="0008481A">
        <w:t>verket remitterade i sin tur anmälan i vissa frågor till flertalet av de universitet och högskolor som anmälan riktade sig mot. I remissvaret anförde Högskoleverket följande.</w:t>
      </w:r>
    </w:p>
    <w:p w:rsidR="003B3271" w:rsidRPr="0008481A" w:rsidRDefault="003B3271">
      <w:pPr>
        <w:pStyle w:val="Rubrik3"/>
        <w:rPr>
          <w:b w:val="0"/>
          <w:i/>
          <w:u w:val="single"/>
        </w:rPr>
      </w:pPr>
      <w:r w:rsidRPr="0008481A">
        <w:rPr>
          <w:b w:val="0"/>
          <w:i/>
          <w:u w:val="single"/>
        </w:rPr>
        <w:t>Ärendet</w:t>
      </w:r>
    </w:p>
    <w:p w:rsidR="003B3271" w:rsidRPr="0008481A" w:rsidRDefault="003B3271">
      <w:pPr>
        <w:pStyle w:val="Citat"/>
      </w:pPr>
      <w:r w:rsidRPr="0008481A">
        <w:t>Maria Schoefflers anmälan avser förfarandet vid förändrad värdering av betyg från fransk internationell studentexamen, s.k. fransk baccalauréat, inför antagningen till svensk hö</w:t>
      </w:r>
      <w:r w:rsidRPr="0008481A">
        <w:t>g</w:t>
      </w:r>
      <w:r w:rsidRPr="0008481A">
        <w:t>skoleutbildning höstterminen 1998. Förändringen har införts i den s.k. utländska bedö</w:t>
      </w:r>
      <w:r w:rsidRPr="0008481A">
        <w:t>m</w:t>
      </w:r>
      <w:r w:rsidRPr="0008481A">
        <w:t>ningshandbok som de svenska antag</w:t>
      </w:r>
      <w:r w:rsidRPr="0008481A">
        <w:softHyphen/>
        <w:t>nings</w:t>
      </w:r>
      <w:r w:rsidRPr="0008481A">
        <w:softHyphen/>
        <w:t>myndigheterna, dvs. universitet och högskolor, tillämpar vid värde</w:t>
      </w:r>
      <w:r w:rsidRPr="0008481A">
        <w:softHyphen/>
        <w:t>ringen av utländska betyg vid urval till grundläggande högskoleutbil</w:t>
      </w:r>
      <w:r w:rsidRPr="0008481A">
        <w:t>d</w:t>
      </w:r>
      <w:r w:rsidRPr="0008481A">
        <w:t>ning. Den utländska bedömningshandboken är en bilaga till de avtal som Verket för hö</w:t>
      </w:r>
      <w:r w:rsidRPr="0008481A">
        <w:t>g</w:t>
      </w:r>
      <w:r w:rsidRPr="0008481A">
        <w:t>skoleservice (VHS) sluter med de universitet och högskolor som uppdrar åt VHS att g</w:t>
      </w:r>
      <w:r w:rsidRPr="0008481A">
        <w:t>e</w:t>
      </w:r>
      <w:r w:rsidRPr="0008481A">
        <w:t>nomföra a</w:t>
      </w:r>
      <w:r w:rsidRPr="0008481A">
        <w:t>n</w:t>
      </w:r>
      <w:r w:rsidRPr="0008481A">
        <w:t>tagning.</w:t>
      </w:r>
    </w:p>
    <w:p w:rsidR="003B3271" w:rsidRPr="0008481A" w:rsidRDefault="003B3271">
      <w:pPr>
        <w:pStyle w:val="Rubrik3"/>
        <w:rPr>
          <w:b w:val="0"/>
          <w:i/>
          <w:u w:val="single"/>
        </w:rPr>
      </w:pPr>
      <w:r w:rsidRPr="0008481A">
        <w:rPr>
          <w:b w:val="0"/>
          <w:i/>
          <w:u w:val="single"/>
        </w:rPr>
        <w:t>Utredning</w:t>
      </w:r>
    </w:p>
    <w:p w:rsidR="003B3271" w:rsidRPr="0008481A" w:rsidRDefault="003B3271">
      <w:pPr>
        <w:pStyle w:val="Rubrik4"/>
        <w:spacing w:before="120"/>
      </w:pPr>
      <w:r w:rsidRPr="0008481A">
        <w:t>Tillämpliga bestämmelser</w:t>
      </w:r>
    </w:p>
    <w:p w:rsidR="003B3271" w:rsidRPr="0008481A" w:rsidRDefault="003B3271">
      <w:pPr>
        <w:pStyle w:val="Citat"/>
      </w:pPr>
      <w:r w:rsidRPr="0008481A">
        <w:t xml:space="preserve">Enligt förordningen (1995:945) med instruktion för Högskoleverket är verket central myndighet för universitet och högskolor. Högskoleverket skall därvid bl.a. </w:t>
      </w:r>
    </w:p>
    <w:p w:rsidR="003B3271" w:rsidRPr="0008481A" w:rsidRDefault="003B3271">
      <w:pPr>
        <w:pStyle w:val="Citat"/>
        <w:numPr>
          <w:ilvl w:val="0"/>
          <w:numId w:val="54"/>
        </w:numPr>
        <w:spacing w:before="0"/>
        <w:ind w:left="0" w:firstLine="0"/>
      </w:pPr>
      <w:r w:rsidRPr="0008481A">
        <w:t>följa upp och utvärdera utbildningen, forskningen och det konstnärliga utvecklingsa</w:t>
      </w:r>
      <w:r w:rsidRPr="0008481A">
        <w:t>r</w:t>
      </w:r>
      <w:r w:rsidRPr="0008481A">
        <w:t xml:space="preserve">betet inom högskolan, </w:t>
      </w:r>
    </w:p>
    <w:p w:rsidR="003B3271" w:rsidRPr="0008481A" w:rsidRDefault="003B3271">
      <w:pPr>
        <w:pStyle w:val="Citat"/>
        <w:numPr>
          <w:ilvl w:val="0"/>
          <w:numId w:val="54"/>
        </w:numPr>
        <w:spacing w:before="0"/>
        <w:ind w:left="0" w:firstLine="0"/>
      </w:pPr>
      <w:r w:rsidRPr="0008481A">
        <w:t xml:space="preserve">ha tillsyn över verksamheten inom sitt ansvarsområde, och  </w:t>
      </w:r>
    </w:p>
    <w:p w:rsidR="003B3271" w:rsidRPr="0008481A" w:rsidRDefault="003B3271">
      <w:pPr>
        <w:pStyle w:val="Citat"/>
        <w:numPr>
          <w:ilvl w:val="0"/>
          <w:numId w:val="54"/>
        </w:numPr>
        <w:spacing w:before="0"/>
        <w:ind w:left="0" w:firstLine="0"/>
      </w:pPr>
      <w:r w:rsidRPr="0008481A">
        <w:t>med stöd av riksdagens och regeringens bemyndiganden meddela för</w:t>
      </w:r>
      <w:r w:rsidRPr="0008481A">
        <w:t>e</w:t>
      </w:r>
      <w:r w:rsidRPr="0008481A">
        <w:softHyphen/>
        <w:t>skrifter.</w:t>
      </w:r>
    </w:p>
    <w:p w:rsidR="003B3271" w:rsidRPr="0008481A" w:rsidRDefault="003B3271">
      <w:pPr>
        <w:pStyle w:val="Citat"/>
      </w:pPr>
      <w:r w:rsidRPr="0008481A">
        <w:t>Av 8 kap. 19 § andra stycket högskoleförordningen (1993:100, ändrad genom SFS 1996:984, fr.o.m. 1 januari 1999 omtryck i SFS 1998:1003) framgår att frågor om anta</w:t>
      </w:r>
      <w:r w:rsidRPr="0008481A">
        <w:t>g</w:t>
      </w:r>
      <w:r w:rsidRPr="0008481A">
        <w:t>ning avgörs av varje un</w:t>
      </w:r>
      <w:r w:rsidRPr="0008481A">
        <w:t>i</w:t>
      </w:r>
      <w:r w:rsidRPr="0008481A">
        <w:t>versitet och högskola.</w:t>
      </w:r>
    </w:p>
    <w:p w:rsidR="003B3271" w:rsidRPr="0008481A" w:rsidRDefault="003B3271">
      <w:pPr>
        <w:pStyle w:val="Citat"/>
      </w:pPr>
      <w:r w:rsidRPr="0008481A">
        <w:t>I 4 kap. 3 § högskolelagen (1992:1434, ändrad genom SFS 1996:555) anges följa</w:t>
      </w:r>
      <w:r w:rsidRPr="0008481A">
        <w:t>n</w:t>
      </w:r>
      <w:r w:rsidRPr="0008481A">
        <w:t xml:space="preserve">de. </w:t>
      </w:r>
    </w:p>
    <w:p w:rsidR="003B3271" w:rsidRPr="0008481A" w:rsidRDefault="003B3271">
      <w:pPr>
        <w:pStyle w:val="Citat"/>
      </w:pPr>
      <w:r w:rsidRPr="0008481A">
        <w:t>Kan inte alla behöriga sökande till en utbildning tas emot, skall urval göras bland de s</w:t>
      </w:r>
      <w:r w:rsidRPr="0008481A">
        <w:t>ö</w:t>
      </w:r>
      <w:r w:rsidRPr="0008481A">
        <w:t>kande. Regeringen eller den myndighet som regeringen bestämmer får meddela föreskri</w:t>
      </w:r>
      <w:r w:rsidRPr="0008481A">
        <w:t>f</w:t>
      </w:r>
      <w:r w:rsidRPr="0008481A">
        <w:t>ter om urval.</w:t>
      </w:r>
    </w:p>
    <w:p w:rsidR="003B3271" w:rsidRPr="0008481A" w:rsidRDefault="003B3271">
      <w:pPr>
        <w:pStyle w:val="Citatindrag"/>
      </w:pPr>
      <w:r w:rsidRPr="0008481A">
        <w:t>Enligt 8 kap. 10 § högskoleförordningen skall vid urval hänsyn tas till de sökandes mer</w:t>
      </w:r>
      <w:r w:rsidRPr="0008481A">
        <w:t>i</w:t>
      </w:r>
      <w:r w:rsidRPr="0008481A">
        <w:t>ter. Vid urvalet används sex olika urvalsgrunder, bl.a. betyg och ”särskilda skäl som den sökande har åberopat”.</w:t>
      </w:r>
    </w:p>
    <w:p w:rsidR="003B3271" w:rsidRPr="0008481A" w:rsidRDefault="003B3271">
      <w:pPr>
        <w:pStyle w:val="Citat"/>
      </w:pPr>
      <w:r w:rsidRPr="0008481A">
        <w:t>I 8 kap. 13 § högskoleförordningen anges följande.</w:t>
      </w:r>
    </w:p>
    <w:p w:rsidR="003B3271" w:rsidRPr="0008481A" w:rsidRDefault="003B3271">
      <w:pPr>
        <w:pStyle w:val="Citat"/>
      </w:pPr>
      <w:r w:rsidRPr="0008481A">
        <w:t>Vissa bestämmelser om hur betyg skall värderas finns i bilaga 4.</w:t>
      </w:r>
    </w:p>
    <w:p w:rsidR="003B3271" w:rsidRPr="0008481A" w:rsidRDefault="003B3271">
      <w:pPr>
        <w:pStyle w:val="Citatindrag"/>
      </w:pPr>
      <w:r w:rsidRPr="0008481A">
        <w:t>I övrigt meddelar Högskoleverket föreskrifter om värdering av betyg. Högskoleverket meddelar också föreskrifter om fördelning av de platser som avses i 12 § första stycket 1 mellan olika gru</w:t>
      </w:r>
      <w:r w:rsidRPr="0008481A">
        <w:t>p</w:t>
      </w:r>
      <w:r w:rsidRPr="0008481A">
        <w:t>per av sökande.</w:t>
      </w:r>
    </w:p>
    <w:p w:rsidR="003B3271" w:rsidRPr="0008481A" w:rsidRDefault="003B3271">
      <w:pPr>
        <w:pStyle w:val="Citat"/>
      </w:pPr>
      <w:r w:rsidRPr="0008481A">
        <w:t>I bilaga 4 till högskoleförordningen finns regler om värdering av vissa svenska betyg. I 8 kap. 12 § första stycket 1 högskoleförordningen anges att vid urval till en utbildning som vänder sig till nybörjare, skall av platserna fördelas minst en tredjedel på grundval av betyg.</w:t>
      </w:r>
    </w:p>
    <w:p w:rsidR="003B3271" w:rsidRPr="0008481A" w:rsidRDefault="003B3271">
      <w:pPr>
        <w:pStyle w:val="Citat"/>
      </w:pPr>
      <w:r w:rsidRPr="0008481A">
        <w:t>I 7 § Högskoleverkets föreskrifter (HSVFS 1996:22) om grundläggande behörighet samt urval anges följande.</w:t>
      </w:r>
    </w:p>
    <w:p w:rsidR="003B3271" w:rsidRPr="0008481A" w:rsidRDefault="003B3271">
      <w:pPr>
        <w:pStyle w:val="Citat"/>
      </w:pPr>
      <w:r w:rsidRPr="0008481A">
        <w:t>Betyg från en utländsk gymnasieutbildning (motsvarande) överförs till en skala som är gemensam för alla utländska gymnasieutbildningar, varvid den s.k. betygspoängen e</w:t>
      </w:r>
      <w:r w:rsidRPr="0008481A">
        <w:t>r</w:t>
      </w:r>
      <w:r w:rsidRPr="0008481A">
        <w:t>hålls.</w:t>
      </w:r>
    </w:p>
    <w:p w:rsidR="003B3271" w:rsidRPr="0008481A" w:rsidRDefault="003B3271">
      <w:pPr>
        <w:pStyle w:val="Citatindrag"/>
      </w:pPr>
      <w:r w:rsidRPr="0008481A">
        <w:t>Betyg i svenska från gymnasieskolan eller gymnasial vuxenutbildning som krävs för grundläggande behörighet medräknas endast om betyget höjer betygspoängen. Betyg i engelska från gymnasieskolan eller gymnasial vuxenutbildning som krävs för grundlä</w:t>
      </w:r>
      <w:r w:rsidRPr="0008481A">
        <w:t>g</w:t>
      </w:r>
      <w:r w:rsidRPr="0008481A">
        <w:t>gande behörighet medräknas alltid.</w:t>
      </w:r>
    </w:p>
    <w:p w:rsidR="003B3271" w:rsidRPr="0008481A" w:rsidRDefault="003B3271">
      <w:pPr>
        <w:pStyle w:val="Citatindrag"/>
      </w:pPr>
      <w:r w:rsidRPr="0008481A">
        <w:t>Betyg i svenska från gymnasieskolan eller gymnasial vuxenutbildning som krävs för sä</w:t>
      </w:r>
      <w:r w:rsidRPr="0008481A">
        <w:t>r</w:t>
      </w:r>
      <w:r w:rsidRPr="0008481A">
        <w:t>skild behörighet medräknas endast om betyget höjer betygspoängen. Betyg i övriga kurser från gymnasieskolan eller gymnasial vuxenutbildning som krävs för särskild behörighet medräknas alltid.</w:t>
      </w:r>
    </w:p>
    <w:p w:rsidR="003B3271" w:rsidRPr="0008481A" w:rsidRDefault="003B3271">
      <w:pPr>
        <w:pStyle w:val="Citatindrag"/>
      </w:pPr>
      <w:r w:rsidRPr="0008481A">
        <w:t>Betyg i kurser från gymnasieskolan eller gymnasial vuxenutbildning som inte avses i andra och tredje styckena medräknas endast om betyget höjer betygsp</w:t>
      </w:r>
      <w:r w:rsidRPr="0008481A">
        <w:t>o</w:t>
      </w:r>
      <w:r w:rsidRPr="0008481A">
        <w:t>ängen.</w:t>
      </w:r>
    </w:p>
    <w:p w:rsidR="003B3271" w:rsidRPr="0008481A" w:rsidRDefault="003B3271">
      <w:pPr>
        <w:pStyle w:val="Citat"/>
      </w:pPr>
      <w:r w:rsidRPr="0008481A">
        <w:t>I 8 § nämnda föreskrift anges att vid urval på betyg skall platserna fördelas i förhållande till antalet behöriga sökande i var och en av i paragrafen angivna grupper. Före den 1 januari 1998 gällde att sökande som avslutat en utländsk gymnasieutbildning (motsv</w:t>
      </w:r>
      <w:r w:rsidRPr="0008481A">
        <w:t>a</w:t>
      </w:r>
      <w:r w:rsidRPr="0008481A">
        <w:t>rande) var placerade i en egen grupp. Därefter är sådana sökande  placerade i en grupp tillsammans med sökande med äldre svenska gy</w:t>
      </w:r>
      <w:r w:rsidRPr="0008481A">
        <w:t>m</w:t>
      </w:r>
      <w:r w:rsidRPr="0008481A">
        <w:t>nasiebetyg (HSVFS 1997:33).</w:t>
      </w:r>
    </w:p>
    <w:p w:rsidR="003B3271" w:rsidRPr="0008481A" w:rsidRDefault="003B3271">
      <w:pPr>
        <w:pStyle w:val="Rubrik4"/>
      </w:pPr>
      <w:r w:rsidRPr="0008481A">
        <w:t>Tillkomsten av nuvarande regler för tillträde till grundläggande högskoleutbil</w:t>
      </w:r>
      <w:r w:rsidRPr="0008481A">
        <w:t>d</w:t>
      </w:r>
      <w:r w:rsidRPr="0008481A">
        <w:t>ning</w:t>
      </w:r>
    </w:p>
    <w:p w:rsidR="003B3271" w:rsidRPr="0008481A" w:rsidRDefault="003B3271">
      <w:pPr>
        <w:pStyle w:val="Citat"/>
      </w:pPr>
      <w:r w:rsidRPr="0008481A">
        <w:t>Före den 1 juli 1993 avgjordes frågor om antagning till allmänna utbildnings</w:t>
      </w:r>
      <w:r w:rsidRPr="0008481A">
        <w:softHyphen/>
        <w:t>linjer och påbyggnadslinjer av Universitets- och högskoleämbetet (UHÄ). Frågor om antagning till lokala och individuella utbildningslinjer avgjordes av varje högskolestyrelse. UHÄ ansv</w:t>
      </w:r>
      <w:r w:rsidRPr="0008481A">
        <w:t>a</w:t>
      </w:r>
      <w:r w:rsidRPr="0008481A">
        <w:t>rade således för den centrala antag</w:t>
      </w:r>
      <w:r w:rsidRPr="0008481A">
        <w:softHyphen/>
        <w:t>ningen. Omfattande föreskrifter för tillträde till grun</w:t>
      </w:r>
      <w:r w:rsidRPr="0008481A">
        <w:t>d</w:t>
      </w:r>
      <w:r w:rsidRPr="0008481A">
        <w:t>läggande hög</w:t>
      </w:r>
      <w:r w:rsidRPr="0008481A">
        <w:softHyphen/>
        <w:t>skole</w:t>
      </w:r>
      <w:r w:rsidRPr="0008481A">
        <w:softHyphen/>
        <w:t>utbildning meddelades av regeringen och, efter bemyndigande, av UHÄ.</w:t>
      </w:r>
    </w:p>
    <w:p w:rsidR="003B3271" w:rsidRPr="0008481A" w:rsidRDefault="003B3271">
      <w:pPr>
        <w:pStyle w:val="Citatindrag"/>
      </w:pPr>
      <w:r w:rsidRPr="0008481A">
        <w:t>1993 års universitets- och högskolereform innebar bl.a. att UHÄ lades ned och att ett nytt verk, Verket för högskoleservice (VHS), bildades. VHS h</w:t>
      </w:r>
      <w:r w:rsidRPr="0008481A">
        <w:t>ar bl.a. till uppgift att på up</w:t>
      </w:r>
      <w:r w:rsidRPr="0008481A">
        <w:t>p</w:t>
      </w:r>
      <w:r w:rsidRPr="0008481A">
        <w:t>drag av universitet och högskolor biträda vid antagning av studenter. VHS avgör inte frågor om antagning. I stället är varje universitet och högskola antagningsmyndighet och beslutar om antagning. Den centrala antagningen utförs av VHS på uppdrag av universitet och hö</w:t>
      </w:r>
      <w:r w:rsidRPr="0008481A">
        <w:t>g</w:t>
      </w:r>
      <w:r w:rsidRPr="0008481A">
        <w:t>skolor.</w:t>
      </w:r>
    </w:p>
    <w:p w:rsidR="003B3271" w:rsidRPr="0008481A" w:rsidRDefault="003B3271">
      <w:pPr>
        <w:pStyle w:val="Citatindrag"/>
      </w:pPr>
      <w:r w:rsidRPr="0008481A">
        <w:t>Syftet med 1993 års reform var att ge universitet och högskolor ökad frihet för att ge hö</w:t>
      </w:r>
      <w:r w:rsidRPr="0008481A">
        <w:t>g</w:t>
      </w:r>
      <w:r w:rsidRPr="0008481A">
        <w:t>re utbildning och forskning bättre arbetsförutsättningar. En naturlig följd av den nya o</w:t>
      </w:r>
      <w:r w:rsidRPr="0008481A">
        <w:t>r</w:t>
      </w:r>
      <w:r w:rsidRPr="0008481A">
        <w:t>ganisationen blev, enligt dåvarande departe</w:t>
      </w:r>
      <w:r w:rsidRPr="0008481A">
        <w:softHyphen/>
        <w:t>mentschefen, att beslut om utformning av tillträdesregler och antagning av studenter borde fattas av varje universitet och högskola (prop. 1992/93:1 s. 1 och 44). Endast ett mindre antal regler om tillträde infördes i hö</w:t>
      </w:r>
      <w:r w:rsidRPr="0008481A">
        <w:t>g</w:t>
      </w:r>
      <w:r w:rsidRPr="0008481A">
        <w:t>skole</w:t>
      </w:r>
      <w:r w:rsidRPr="0008481A">
        <w:softHyphen/>
        <w:t>förordningen (1993:100).</w:t>
      </w:r>
    </w:p>
    <w:p w:rsidR="003B3271" w:rsidRPr="0008481A" w:rsidRDefault="003B3271">
      <w:pPr>
        <w:pStyle w:val="Citatindrag"/>
      </w:pPr>
      <w:r w:rsidRPr="0008481A">
        <w:t>Redan 1993 tillsattes en utredning med uppdrag att göra en uppföljning av 1993 års un</w:t>
      </w:r>
      <w:r w:rsidRPr="0008481A">
        <w:t>i</w:t>
      </w:r>
      <w:r w:rsidRPr="0008481A">
        <w:t>versitets- och högskolereform. Utredningen antog namnet RUT-93. I oktober 1994 erhöll utredaren tilläggsdirektiv att bl.a. lägga förslag till förändringar i tillträdesreglerna. I tilläggsdirektiven anfördes att för</w:t>
      </w:r>
      <w:r w:rsidRPr="0008481A">
        <w:softHyphen/>
        <w:t>ändringarna av myndighetsstrukturen i samband med 1993 års reform och det förhållande att bl.a. regler om behörighet och urval beslutades lokalt med</w:t>
      </w:r>
      <w:r w:rsidRPr="0008481A">
        <w:softHyphen/>
        <w:t>fört en rad problem, inte minst för de studerande, men också för universitet och högskolor. Utredaren skulle därför också analysera myn</w:t>
      </w:r>
      <w:r w:rsidRPr="0008481A">
        <w:softHyphen/>
        <w:t>dighetsstru</w:t>
      </w:r>
      <w:r w:rsidRPr="0008481A">
        <w:t>kturen inom univers</w:t>
      </w:r>
      <w:r w:rsidRPr="0008481A">
        <w:t>i</w:t>
      </w:r>
      <w:r w:rsidRPr="0008481A">
        <w:t>tets- och högskoleområdet. Utrednings</w:t>
      </w:r>
      <w:r w:rsidRPr="0008481A">
        <w:softHyphen/>
        <w:t>arbetet borde inriktas på att skapa en sammanhå</w:t>
      </w:r>
      <w:r w:rsidRPr="0008481A">
        <w:t>l</w:t>
      </w:r>
      <w:r w:rsidRPr="0008481A">
        <w:t>len myndighet inom omr</w:t>
      </w:r>
      <w:r w:rsidRPr="0008481A">
        <w:t>å</w:t>
      </w:r>
      <w:r w:rsidRPr="0008481A">
        <w:t>det.</w:t>
      </w:r>
    </w:p>
    <w:p w:rsidR="003B3271" w:rsidRPr="0008481A" w:rsidRDefault="003B3271">
      <w:pPr>
        <w:pStyle w:val="Citatindrag"/>
      </w:pPr>
      <w:r w:rsidRPr="0008481A">
        <w:t>I RUT-93:s betänkande Ett nytt högskoleverk (SOU 1994:153) anfördes (s. 16–17) att det var uteslutet att återinföra föreskrifter om en central antagning. Utredaren påpekade dock att det inte skulle innebära att den nya myndig</w:t>
      </w:r>
      <w:r w:rsidRPr="0008481A">
        <w:softHyphen/>
        <w:t>heten inte måste ägna sig åt tillträdesfr</w:t>
      </w:r>
      <w:r w:rsidRPr="0008481A">
        <w:t>å</w:t>
      </w:r>
      <w:r w:rsidRPr="0008481A">
        <w:t>gorna. Den centrala myndig</w:t>
      </w:r>
      <w:r w:rsidRPr="0008481A">
        <w:softHyphen/>
        <w:t>hetens uppföljnings- och utvärderingsroll skulle omfatta b</w:t>
      </w:r>
      <w:r w:rsidRPr="0008481A">
        <w:t>e</w:t>
      </w:r>
      <w:r w:rsidRPr="0008481A">
        <w:t>hörighets- och urvals</w:t>
      </w:r>
      <w:r w:rsidRPr="0008481A">
        <w:softHyphen/>
        <w:t>reglernas tillämpning. Vidare anförde utredaren att ”beroende på vad de fortsatta övervägandena om tillträdesreglerna leder till kan det också bli aktuellt med andra uppgifter inom detta område för den nya myndi</w:t>
      </w:r>
      <w:r w:rsidRPr="0008481A">
        <w:t>g</w:t>
      </w:r>
      <w:r w:rsidRPr="0008481A">
        <w:t>heten.”</w:t>
      </w:r>
    </w:p>
    <w:p w:rsidR="003B3271" w:rsidRPr="0008481A" w:rsidRDefault="003B3271">
      <w:pPr>
        <w:pStyle w:val="Citatindrag"/>
      </w:pPr>
      <w:r w:rsidRPr="0008481A">
        <w:t xml:space="preserve">Högskoleverket bildades den 1 juli 1995. Verket är central myndighet för universitet och högskolor. Högskoleverket skall bl.a. följa upp och </w:t>
      </w:r>
      <w:r w:rsidRPr="0008481A">
        <w:t>utvärdera utbildningen, forskningen och det konstnärliga utvecklingsarbetet inom högskolan och ha tillsyn över verksamheten inom sitt ansvarsområde. Vidare skall verket med stöd av riksdagens och regeringens bemyndiganden meddela föreskrifter. Verkets instruktion (1995:945) anger inte några uppgifter i övrigt på tilltr</w:t>
      </w:r>
      <w:r w:rsidRPr="0008481A">
        <w:t>ä</w:t>
      </w:r>
      <w:r w:rsidRPr="0008481A">
        <w:t>desområdet.</w:t>
      </w:r>
    </w:p>
    <w:p w:rsidR="003B3271" w:rsidRPr="0008481A" w:rsidRDefault="003B3271">
      <w:pPr>
        <w:pStyle w:val="Citatindrag"/>
      </w:pPr>
      <w:r w:rsidRPr="0008481A">
        <w:t>I propositionen Tillträde till högre utbildning m.m. (1995/96:184 s. 7, i fortsättningen kallad tillträdespropositionen) anförde regeringen att ”det ankommer på regeringen att bes</w:t>
      </w:r>
      <w:r w:rsidRPr="0008481A">
        <w:t>luta närmare regler för tillträde – behörighet och urval – till högre utbildning. Eftersom dessa regler är så viktiga för den enskilde studenten, anser regeringen att det finns skäl att låta riksdagen ta ställning till huvuddragen i de förändringar av högskoleförordningen som planeras. Ändringarna innebär också att Högskoleverket kommer att få vissa nya uppgifter i förhållande till dem som förelades riksdagen i propositionen Ett högskol</w:t>
      </w:r>
      <w:r w:rsidRPr="0008481A">
        <w:t>e</w:t>
      </w:r>
      <w:r w:rsidRPr="0008481A">
        <w:t>verk”.</w:t>
      </w:r>
    </w:p>
    <w:p w:rsidR="003B3271" w:rsidRPr="0008481A" w:rsidRDefault="003B3271">
      <w:pPr>
        <w:pStyle w:val="Citat"/>
      </w:pPr>
      <w:r w:rsidRPr="0008481A">
        <w:t>Under rubriken Allmänna utgångspunkter i tillträdespropositionen</w:t>
      </w:r>
      <w:r w:rsidRPr="0008481A">
        <w:t xml:space="preserve"> anförde reg</w:t>
      </w:r>
      <w:r w:rsidRPr="0008481A">
        <w:t>e</w:t>
      </w:r>
      <w:r w:rsidRPr="0008481A">
        <w:t>ringen:</w:t>
      </w:r>
    </w:p>
    <w:p w:rsidR="003B3271" w:rsidRPr="0008481A" w:rsidRDefault="003B3271">
      <w:pPr>
        <w:pStyle w:val="Citat"/>
      </w:pPr>
      <w:r w:rsidRPr="0008481A">
        <w:t>Reglerna för tillträde till högskolan skall enligt regeringens mening vara en a</w:t>
      </w:r>
      <w:r w:rsidRPr="0008481A">
        <w:t>n</w:t>
      </w:r>
      <w:r w:rsidRPr="0008481A">
        <w:t>gelägenhet för riksdag och regering, eftersom högskolan ingår i ett nationellt u</w:t>
      </w:r>
      <w:r w:rsidRPr="0008481A">
        <w:t>t</w:t>
      </w:r>
      <w:r w:rsidRPr="0008481A">
        <w:t>bildningssystem. Statsmakterna skall ha ansvaret för utform</w:t>
      </w:r>
      <w:r w:rsidRPr="0008481A">
        <w:softHyphen/>
        <w:t>ningen av dessa re</w:t>
      </w:r>
      <w:r w:rsidRPr="0008481A">
        <w:t>g</w:t>
      </w:r>
      <w:r w:rsidRPr="0008481A">
        <w:t>ler. Den enskilda högskolan skall även fortsättningsvis vara antagningsmyndighet med ansvar för antagningen i enlighet med de nationella reglerna.</w:t>
      </w:r>
    </w:p>
    <w:p w:rsidR="003B3271" w:rsidRPr="0008481A" w:rsidRDefault="003B3271">
      <w:pPr>
        <w:pStyle w:val="Citat"/>
      </w:pPr>
      <w:r w:rsidRPr="0008481A">
        <w:t>En rad ändringar i högskoleförordningens tillträdesregler meddelades (SFS 1996:984). Högskoleverket gavs flera bemyndiganden att meddela för</w:t>
      </w:r>
      <w:r w:rsidRPr="0008481A">
        <w:t>e</w:t>
      </w:r>
      <w:r w:rsidRPr="0008481A">
        <w:softHyphen/>
        <w:t>skrifter.</w:t>
      </w:r>
    </w:p>
    <w:p w:rsidR="003B3271" w:rsidRPr="0008481A" w:rsidRDefault="003B3271">
      <w:pPr>
        <w:pStyle w:val="Rubrik4"/>
      </w:pPr>
      <w:r w:rsidRPr="0008481A">
        <w:t>Bakgrund till nuvarande regler för värdering av utländska gymnas</w:t>
      </w:r>
      <w:r w:rsidRPr="0008481A">
        <w:t>i</w:t>
      </w:r>
      <w:r w:rsidRPr="0008481A">
        <w:t>e</w:t>
      </w:r>
      <w:r w:rsidRPr="0008481A">
        <w:softHyphen/>
        <w:t>betyg</w:t>
      </w:r>
    </w:p>
    <w:p w:rsidR="003B3271" w:rsidRPr="0008481A" w:rsidRDefault="003B3271">
      <w:pPr>
        <w:pStyle w:val="Citat"/>
      </w:pPr>
      <w:r w:rsidRPr="0008481A">
        <w:t>De regler som gällde före den 1 juli 1993 innebar att UHÄ hade ett bemyndigande att meddela ”närmare föreskrifter för tillämpningen” av det kapitel i 1977 års högskolefö</w:t>
      </w:r>
      <w:r w:rsidRPr="0008481A">
        <w:t>r</w:t>
      </w:r>
      <w:r w:rsidRPr="0008481A">
        <w:t>ordning som gällde tillträde till grundläggande högskoleutbildning (se 5 kap. 37 §, SFS 1991:1284). I denna förordning angavs vilka tre betygsgrupper som skulle ingå i b</w:t>
      </w:r>
      <w:r w:rsidRPr="0008481A">
        <w:t>e</w:t>
      </w:r>
      <w:r w:rsidRPr="0008481A">
        <w:t>tygsurvalet. Dessa grupper gällde sökande som genomgått olika svenska utbildningar. Beträffande sökande med utländsk förutbildning angavs att en sådan sökande fick ”delta i betygsurvalet på motsvarande villkor”. Sökande i betygsurvalet skulle antas på grundval av betygspoäng eller poäng för studieomdöme. Betyg i annan betygskala än 1–5 sku</w:t>
      </w:r>
      <w:r w:rsidRPr="0008481A">
        <w:t>lle omräknas enligt föreskrifter som meddelades av UHÄ. I föreskrifter av UHÄ (UHÄ-FS 1990:1) angavs att i betygsurvalet ingick behöriga sökande som hade avgångsbetyg eller ”motsvarande som kan meritvärderas”. Indelningen gjordes i fem grupper, varav en (B 5) avsåg sökande med allmän behörighet genom utländsk utbildning. Beträffande utbildning som gav placering i denna grupp angavs att ett meritvärde skulle beräknas. I meritvärdet i</w:t>
      </w:r>
      <w:r w:rsidRPr="0008481A">
        <w:t>n</w:t>
      </w:r>
      <w:r w:rsidRPr="0008481A">
        <w:t>gick</w:t>
      </w:r>
    </w:p>
    <w:p w:rsidR="003B3271" w:rsidRPr="0008481A" w:rsidRDefault="003B3271">
      <w:pPr>
        <w:numPr>
          <w:ilvl w:val="0"/>
          <w:numId w:val="56"/>
        </w:numPr>
        <w:tabs>
          <w:tab w:val="clear" w:pos="360"/>
        </w:tabs>
        <w:spacing w:before="0" w:line="213" w:lineRule="exact"/>
        <w:ind w:left="284" w:hanging="284"/>
      </w:pPr>
      <w:r w:rsidRPr="0008481A">
        <w:t>betygen i den behörighetsgivande utbildningen</w:t>
      </w:r>
    </w:p>
    <w:p w:rsidR="003B3271" w:rsidRPr="0008481A" w:rsidRDefault="003B3271">
      <w:pPr>
        <w:numPr>
          <w:ilvl w:val="0"/>
          <w:numId w:val="56"/>
        </w:numPr>
        <w:tabs>
          <w:tab w:val="clear" w:pos="360"/>
        </w:tabs>
        <w:spacing w:before="0" w:line="213" w:lineRule="exact"/>
        <w:ind w:left="284" w:hanging="284"/>
      </w:pPr>
      <w:r w:rsidRPr="0008481A">
        <w:t>betyg i ämne som krävs för att den sökande skall uppfylla behörig</w:t>
      </w:r>
      <w:r w:rsidRPr="0008481A">
        <w:softHyphen/>
        <w:t>hetsvillkoren till utbildningen.</w:t>
      </w:r>
    </w:p>
    <w:p w:rsidR="003B3271" w:rsidRPr="0008481A" w:rsidRDefault="003B3271">
      <w:pPr>
        <w:pStyle w:val="Citat"/>
      </w:pPr>
      <w:r w:rsidRPr="0008481A">
        <w:t>Hur de utländska betygen skulle meritvärderas angavs dock inte i före</w:t>
      </w:r>
      <w:r w:rsidRPr="0008481A">
        <w:softHyphen/>
        <w:t>skrifterna. Denna värdering gjordes i stället av UHÄ i en särskild handbok, den s.k. utländska bedömning</w:t>
      </w:r>
      <w:r w:rsidRPr="0008481A">
        <w:t>s</w:t>
      </w:r>
      <w:r w:rsidRPr="0008481A">
        <w:t>handboken.</w:t>
      </w:r>
    </w:p>
    <w:p w:rsidR="003B3271" w:rsidRPr="0008481A" w:rsidRDefault="003B3271">
      <w:pPr>
        <w:pStyle w:val="Citatindrag"/>
      </w:pPr>
      <w:r w:rsidRPr="0008481A">
        <w:t>1993 års universitets- och högskolereform innebar att riksdagen beslutade om en ny hö</w:t>
      </w:r>
      <w:r w:rsidRPr="0008481A">
        <w:t>g</w:t>
      </w:r>
      <w:r w:rsidRPr="0008481A">
        <w:t>skolelag (SFS 1992:1434). Enligt 4 kap. 3 § denna lag (i dess lydelse före den 1 juli 1996) skall urval göras bland de sökande, om inte alla behöriga sökande till en utbildning kan tas emot. I högskoleförordningen angavs i 8 kap. 8 § första stycket (i dess lydelse före den 1 december 1996) att vid urvalet skall bl.a. urvalsgrunden betyg användas. Hur u</w:t>
      </w:r>
      <w:r w:rsidRPr="0008481A">
        <w:t>t</w:t>
      </w:r>
      <w:r w:rsidRPr="0008481A">
        <w:t>ländska betyg skulle värderas angavs inte. Detta ankom i stället på universitet och hö</w:t>
      </w:r>
      <w:r w:rsidRPr="0008481A">
        <w:t>g</w:t>
      </w:r>
      <w:r w:rsidRPr="0008481A">
        <w:t xml:space="preserve">skolor att besluta om. Arbetet med den utländska bedömningshandboken </w:t>
      </w:r>
      <w:r w:rsidRPr="0008481A">
        <w:t>fortsatte på uppdrag av Sveriges universitets- och högskoleförbund (SUHF), som är ett samarbetso</w:t>
      </w:r>
      <w:r w:rsidRPr="0008481A">
        <w:t>r</w:t>
      </w:r>
      <w:r w:rsidRPr="0008481A">
        <w:t>gan mellan universitet och högskolor. Varje universitet och högskola bestämde själva om de skulle tillämpa omräk</w:t>
      </w:r>
      <w:r w:rsidRPr="0008481A">
        <w:softHyphen/>
        <w:t>ningstabellerna i de</w:t>
      </w:r>
      <w:r w:rsidRPr="0008481A">
        <w:t>n</w:t>
      </w:r>
      <w:r w:rsidRPr="0008481A">
        <w:t xml:space="preserve">na handbok. </w:t>
      </w:r>
    </w:p>
    <w:p w:rsidR="003B3271" w:rsidRPr="0008481A" w:rsidRDefault="003B3271">
      <w:pPr>
        <w:pStyle w:val="Citatindrag"/>
      </w:pPr>
      <w:r w:rsidRPr="0008481A">
        <w:t xml:space="preserve">RUT-93 lämnade i sitt betänkande Behörighet och urval (SOU 1995:71) förslag till nya regler för antagning till universitet och högskolor. Något förslag till hur utländska betyg skulle hanteras i urvalet lämnades inte. </w:t>
      </w:r>
    </w:p>
    <w:p w:rsidR="003B3271" w:rsidRPr="0008481A" w:rsidRDefault="003B3271">
      <w:pPr>
        <w:pStyle w:val="Citatindrag"/>
      </w:pPr>
      <w:r w:rsidRPr="0008481A">
        <w:t>I tillträdespropositionen (s. 28–29) diskuterades under rubriken Betyg som urvalsgrund de nya och de gamla svenska gymnasiebetygen, och förslaget innebar att Högskoleverket skulle ges i uppdrag att lämna förslag till regeringen om hur dessa betyg skulle värderas. Några andra typer av betyg nämndes inte.</w:t>
      </w:r>
    </w:p>
    <w:p w:rsidR="003B3271" w:rsidRPr="0008481A" w:rsidRDefault="003B3271">
      <w:pPr>
        <w:pStyle w:val="Citatindrag"/>
      </w:pPr>
      <w:r w:rsidRPr="0008481A">
        <w:t>Riksdagen beslutade i enlighet med propositionen om en ändring i högskolelagen (1992:1434) genom att i 4 kap. 3 § lägga till en mening som anger att regeringen eller den myndighet som regeringen bestämmer får meddela föreskrifter om u</w:t>
      </w:r>
      <w:r w:rsidRPr="0008481A">
        <w:t>r</w:t>
      </w:r>
      <w:r w:rsidRPr="0008481A">
        <w:t>val.</w:t>
      </w:r>
    </w:p>
    <w:p w:rsidR="003B3271" w:rsidRPr="0008481A" w:rsidRDefault="003B3271">
      <w:pPr>
        <w:pStyle w:val="Citatindrag"/>
      </w:pPr>
      <w:r w:rsidRPr="0008481A">
        <w:t>Högskoleverket lämnade i september 1996 förslag till meritvärdering vid urval på betyg (Högskoleverkets rapportserie 1996:26 R). Beträffande utländska betyg anförde Högsk</w:t>
      </w:r>
      <w:r w:rsidRPr="0008481A">
        <w:t>o</w:t>
      </w:r>
      <w:r w:rsidRPr="0008481A">
        <w:t>leverket bl.a. följande (s. 29). Huvud</w:t>
      </w:r>
      <w:r w:rsidRPr="0008481A">
        <w:softHyphen/>
        <w:t>principerna för meritvärderingen av de utländska betygen kan fastställas i föreskrifter eftersom de beräknas ligga fast en längre tid. De mer detaljerade bestämmelserna för varje enskilt land hör däremot hemma i en bedöm</w:t>
      </w:r>
      <w:r w:rsidRPr="0008481A">
        <w:softHyphen/>
        <w:t>ning</w:t>
      </w:r>
      <w:r w:rsidRPr="0008481A">
        <w:t>s</w:t>
      </w:r>
      <w:r w:rsidRPr="0008481A">
        <w:t>handbok som ses över varje år.</w:t>
      </w:r>
    </w:p>
    <w:p w:rsidR="003B3271" w:rsidRPr="0008481A" w:rsidRDefault="003B3271">
      <w:pPr>
        <w:pStyle w:val="Citatindrag"/>
      </w:pPr>
      <w:r w:rsidRPr="0008481A">
        <w:t>Högskoleverket föreslog (s. 30) att verket skulle fastställa de övergripande principer som skulle gälla för sökande med utländsk gymnasial utbildning samt att dessa sökande skulle placeras i en egen urval</w:t>
      </w:r>
      <w:r w:rsidRPr="0008481A">
        <w:t>s</w:t>
      </w:r>
      <w:r w:rsidRPr="0008481A">
        <w:t>grupp.</w:t>
      </w:r>
    </w:p>
    <w:p w:rsidR="003B3271" w:rsidRPr="0008481A" w:rsidRDefault="003B3271">
      <w:pPr>
        <w:pStyle w:val="Rubrik4"/>
      </w:pPr>
      <w:r w:rsidRPr="0008481A">
        <w:t>Föreskrifter inför antagningen till höstterminen 1997</w:t>
      </w:r>
    </w:p>
    <w:p w:rsidR="003B3271" w:rsidRPr="0008481A" w:rsidRDefault="003B3271">
      <w:pPr>
        <w:pStyle w:val="Citat"/>
      </w:pPr>
      <w:r w:rsidRPr="0008481A">
        <w:t>Ändringarna i högskoleförordningen (SFS 1996:984) till följd av till</w:t>
      </w:r>
      <w:r w:rsidRPr="0008481A">
        <w:softHyphen/>
        <w:t>trädes</w:t>
      </w:r>
      <w:r w:rsidRPr="0008481A">
        <w:softHyphen/>
        <w:t>propositionen kom från trycket den 29 oktober 1996. De trädde i kraft den 1 december samma år. De nya reglerna skulle tillämpas första gången vid antagning till högskoleutbildning hös</w:t>
      </w:r>
      <w:r w:rsidRPr="0008481A">
        <w:t>t</w:t>
      </w:r>
      <w:r w:rsidRPr="0008481A">
        <w:t>terminen 1997.</w:t>
      </w:r>
    </w:p>
    <w:p w:rsidR="003B3271" w:rsidRPr="0008481A" w:rsidRDefault="003B3271">
      <w:pPr>
        <w:pStyle w:val="Citatindrag"/>
      </w:pPr>
      <w:r w:rsidRPr="0008481A">
        <w:t>Med stöd av bemyndigandena i högskoleförordningen beslutade Hög</w:t>
      </w:r>
      <w:r w:rsidRPr="0008481A">
        <w:softHyphen/>
        <w:t>skoleverket om för</w:t>
      </w:r>
      <w:r w:rsidRPr="0008481A">
        <w:t>e</w:t>
      </w:r>
      <w:r w:rsidRPr="0008481A">
        <w:t xml:space="preserve">skrifter den 29 oktober 1996 (HSVFS 1996:21) och den 17 december 1996 (HSVFS 1996:22). Föreskrifterna trädde i kraft den 15 december 1996 respektive den 15 januari 1997. </w:t>
      </w:r>
    </w:p>
    <w:p w:rsidR="003B3271" w:rsidRPr="0008481A" w:rsidRDefault="003B3271">
      <w:pPr>
        <w:pStyle w:val="Rubrik4"/>
      </w:pPr>
      <w:r w:rsidRPr="0008481A">
        <w:t>Åtgärder under 1997 som berörde sökande med utländska b</w:t>
      </w:r>
      <w:r w:rsidRPr="0008481A">
        <w:t>e</w:t>
      </w:r>
      <w:r w:rsidRPr="0008481A">
        <w:t>tyg</w:t>
      </w:r>
    </w:p>
    <w:p w:rsidR="003B3271" w:rsidRPr="0008481A" w:rsidRDefault="003B3271">
      <w:pPr>
        <w:pStyle w:val="Citat"/>
      </w:pPr>
      <w:r w:rsidRPr="0008481A">
        <w:t>I Högskoleverkets verksamhetsplan för 1997 angavs som verksamhetsmål att, vad gäller de nya tillträdesreglerna, bereda ansökningar, informera och följa upp införandet av de nya reglerna. Närmare angavs att ”tyngdpunkten under 1997 kommer att läggas vid up</w:t>
      </w:r>
      <w:r w:rsidRPr="0008481A">
        <w:t>p</w:t>
      </w:r>
      <w:r w:rsidRPr="0008481A">
        <w:t>följning och utvärdering, samt tillsyn och vidareutveckling av verkets föreskrifter”.</w:t>
      </w:r>
    </w:p>
    <w:p w:rsidR="003B3271" w:rsidRPr="0008481A" w:rsidRDefault="003B3271">
      <w:pPr>
        <w:pStyle w:val="Citatindrag"/>
      </w:pPr>
      <w:r w:rsidRPr="0008481A">
        <w:t>Under antagningen till höstterminen 1997, dvs. under perioden april – augusti, framfördes synpunkter från vissa sökande med utländska betyg att de missgynnades på grund av att deras betyg placerades i en egen grupp vid urvalet. Detta föranledde utbildningsministern att den 30 juli 1997 skriva ett brev till rektorerna vid universitet och högskolor (</w:t>
      </w:r>
      <w:r w:rsidRPr="0008481A">
        <w:rPr>
          <w:u w:val="single"/>
        </w:rPr>
        <w:t>bilaga 1</w:t>
      </w:r>
      <w:r w:rsidRPr="0008481A">
        <w:t>; här utelämnad, JO:s anm.). Utbildningsministern ansåg att det inte var rimligt att st</w:t>
      </w:r>
      <w:r w:rsidRPr="0008481A">
        <w:t>u</w:t>
      </w:r>
      <w:r w:rsidRPr="0008481A">
        <w:t>denter med IB-examen (International Baccalaureate, dvs. en utbildning som är att betrakta som utländsk gymnasieutbildning) trots höga betyg inte fick en plats i högskolan. Utbil</w:t>
      </w:r>
      <w:r w:rsidRPr="0008481A">
        <w:t>d</w:t>
      </w:r>
      <w:r w:rsidRPr="0008481A">
        <w:t>ningsministern anförde att ”inför kommande antagning kommer vi, utifrån vunna erfare</w:t>
      </w:r>
      <w:r w:rsidRPr="0008481A">
        <w:t>n</w:t>
      </w:r>
      <w:r w:rsidRPr="0008481A">
        <w:t>heter, se till att nödvändiga förändringar görs i systemet”. Utbildningsministern påminde om ”att högskolorna, som ansvariga antagningsmyndigheter, har m</w:t>
      </w:r>
      <w:r w:rsidRPr="0008481A">
        <w:t>öjlighet att i anta</w:t>
      </w:r>
      <w:r w:rsidRPr="0008481A">
        <w:t>g</w:t>
      </w:r>
      <w:r w:rsidRPr="0008481A">
        <w:t>ningen tillämpa ’särskilda skäl’ för att göra det möjligt för IB-studenter och utländska studenter med goda betyg att komma in i högsk</w:t>
      </w:r>
      <w:r w:rsidRPr="0008481A">
        <w:t>o</w:t>
      </w:r>
      <w:r w:rsidRPr="0008481A">
        <w:t>lan”.</w:t>
      </w:r>
    </w:p>
    <w:p w:rsidR="003B3271" w:rsidRPr="0008481A" w:rsidRDefault="003B3271">
      <w:pPr>
        <w:pStyle w:val="Citatindrag"/>
      </w:pPr>
      <w:r w:rsidRPr="0008481A">
        <w:t>Högskoleverket utarbetade i september 1997 ett förslag till ändring av verkets föreskri</w:t>
      </w:r>
      <w:r w:rsidRPr="0008481A">
        <w:t>f</w:t>
      </w:r>
      <w:r w:rsidRPr="0008481A">
        <w:t>ter, som innebar att utländska gymnasiebetyg fr.o.m. höstterminen 1998 skulle placeras i samma grupp som slutbetyg från äldre svenska utbildningar i gymnasieskolan. I enlighet med bestämmelserna i 27 § verksförordningen (1995:1322) gav verket universitet och högskolor m.fl. tillfälle att yttra sig i frågan. Förslaget tillstyrktes av de flesta tillfrågade. Beslutet om ändring av de s.k. kvotgrupperna togs därefter av verkets styrelse den 21 november 1997. Föreskrifterna trädde i kraft den 1 januari 1998 och</w:t>
      </w:r>
      <w:r w:rsidRPr="0008481A">
        <w:t xml:space="preserve"> tillämpades första gången vid a</w:t>
      </w:r>
      <w:r w:rsidRPr="0008481A">
        <w:t>n</w:t>
      </w:r>
      <w:r w:rsidRPr="0008481A">
        <w:t>tagning till höstterminen 1998.</w:t>
      </w:r>
    </w:p>
    <w:p w:rsidR="003B3271" w:rsidRPr="0008481A" w:rsidRDefault="003B3271">
      <w:pPr>
        <w:pStyle w:val="Rubrik4"/>
      </w:pPr>
      <w:r w:rsidRPr="0008481A">
        <w:t>Förändringen 1998 av omräkningstabellerna för vissa utländska gymnasi</w:t>
      </w:r>
      <w:r w:rsidRPr="0008481A">
        <w:t>e</w:t>
      </w:r>
      <w:r w:rsidRPr="0008481A">
        <w:t>betyg</w:t>
      </w:r>
    </w:p>
    <w:p w:rsidR="003B3271" w:rsidRPr="0008481A" w:rsidRDefault="003B3271">
      <w:pPr>
        <w:pStyle w:val="Citat"/>
      </w:pPr>
      <w:r w:rsidRPr="0008481A">
        <w:t>I mars 1998 fick Högskoleverket kännedom om brev skrivna av rektorn vid Luleå tekni</w:t>
      </w:r>
      <w:r w:rsidRPr="0008481A">
        <w:t>s</w:t>
      </w:r>
      <w:r w:rsidRPr="0008481A">
        <w:t>ka universitet, Ingegerd Palmér, till företrädare för fransk och internationell baccalaure</w:t>
      </w:r>
      <w:r w:rsidRPr="0008481A">
        <w:t>a</w:t>
      </w:r>
      <w:r w:rsidRPr="0008481A">
        <w:t>te. Palmér är av SUHF utsedd att vara ordförande i den arbetsgrupp som utarbetar den utländska bedömningshandboken. Av breven framgick att SUHF beslutat om försämrin</w:t>
      </w:r>
      <w:r w:rsidRPr="0008481A">
        <w:t>g</w:t>
      </w:r>
      <w:r w:rsidRPr="0008481A">
        <w:t>ar av omräknings</w:t>
      </w:r>
      <w:r w:rsidRPr="0008481A">
        <w:softHyphen/>
        <w:t>tabellerna för betyg från dessa utbildningar. Ändringarna skulle tillä</w:t>
      </w:r>
      <w:r w:rsidRPr="0008481A">
        <w:t>m</w:t>
      </w:r>
      <w:r w:rsidRPr="0008481A">
        <w:t>pas redan vid antagningen till höstterminen 1998, till vilken sista anmälningsdag var den 15 april 1998.</w:t>
      </w:r>
    </w:p>
    <w:p w:rsidR="003B3271" w:rsidRPr="0008481A" w:rsidRDefault="003B3271">
      <w:pPr>
        <w:pStyle w:val="Citatindrag"/>
      </w:pPr>
      <w:r w:rsidRPr="0008481A">
        <w:t>Med anledning av brevet kallade Högskoleverket företrädare fö</w:t>
      </w:r>
      <w:r w:rsidRPr="0008481A">
        <w:t>r SUHF och VHS till ett möte. Mötet kunde hållas först den 14 april och av minnesanteckningarna (</w:t>
      </w:r>
      <w:r w:rsidRPr="0008481A">
        <w:rPr>
          <w:u w:val="single"/>
        </w:rPr>
        <w:t>bilaga 2;</w:t>
      </w:r>
      <w:r w:rsidRPr="0008481A">
        <w:t xml:space="preserve"> här utelämnad; JO:s anm.) framgår att antagningschefen vid VHS, Pierre Bastin, uttryckte tveksamhet om det var möjligt att i den pågående antagningsprocessen identifiera söka</w:t>
      </w:r>
      <w:r w:rsidRPr="0008481A">
        <w:t>n</w:t>
      </w:r>
      <w:r w:rsidRPr="0008481A">
        <w:t>de med IB-betyg och därmed att tillämpa den gamla omräkningstabellen i stället för den nya. Verkets dåvarande generaldirektör Agneta Bladh konstaterade att det förelåg skilda ståndpunkter och att det var verkets uppfattning att de</w:t>
      </w:r>
      <w:r w:rsidRPr="0008481A">
        <w:t>n nya omräkningstabellen ur rätt</w:t>
      </w:r>
      <w:r w:rsidRPr="0008481A">
        <w:t>s</w:t>
      </w:r>
      <w:r w:rsidRPr="0008481A">
        <w:t>säkerhetssynpunkt inte borde tillämpas vid antagningen inför höstterminen 1998. För att belysa frågan om var gränslinjen skall gå mellan verkets föreskrifter och de tillämpningar som universitet och högskolor enas om i de båda bedömningshandböckerna, skulle enligt generaldirektören en utredning genomföras i samarbete mellan Högskoleverket och un</w:t>
      </w:r>
      <w:r w:rsidRPr="0008481A">
        <w:t>i</w:t>
      </w:r>
      <w:r w:rsidRPr="0008481A">
        <w:t>versitet och högskolor.</w:t>
      </w:r>
    </w:p>
    <w:p w:rsidR="003B3271" w:rsidRPr="0008481A" w:rsidRDefault="003B3271">
      <w:pPr>
        <w:pStyle w:val="Citatindrag"/>
      </w:pPr>
      <w:r w:rsidRPr="0008481A">
        <w:t>I syfte att försöka stoppa tillämpningen av de nya skalorna skrev Högskoleverket ett brev till samtliga uni</w:t>
      </w:r>
      <w:r w:rsidRPr="0008481A">
        <w:t>versitet och högskolor den 22 april 1998 (</w:t>
      </w:r>
      <w:r w:rsidRPr="0008481A">
        <w:rPr>
          <w:u w:val="single"/>
        </w:rPr>
        <w:t>bilaga 3;</w:t>
      </w:r>
      <w:r w:rsidRPr="0008481A">
        <w:t xml:space="preserve"> här utelämnad; JO:s anm</w:t>
      </w:r>
      <w:r w:rsidRPr="0008481A">
        <w:rPr>
          <w:i/>
        </w:rPr>
        <w:t>.</w:t>
      </w:r>
      <w:r w:rsidRPr="0008481A">
        <w:t>). Högskoleverket anförde bl.a. fö</w:t>
      </w:r>
      <w:r w:rsidRPr="0008481A">
        <w:t>l</w:t>
      </w:r>
      <w:r w:rsidRPr="0008481A">
        <w:t>jande.</w:t>
      </w:r>
    </w:p>
    <w:p w:rsidR="003B3271" w:rsidRPr="0008481A" w:rsidRDefault="003B3271">
      <w:pPr>
        <w:pStyle w:val="Citat"/>
      </w:pPr>
      <w:r w:rsidRPr="0008481A">
        <w:t>De ändrade värderingarna av vissa utländska betyg har meddelats endast en och en halv månad innan sista dag för anmälan till högskoleutbildning. Såsom framhållits ovan är detta otillfredsställande från rättssäkerhets</w:t>
      </w:r>
      <w:r w:rsidRPr="0008481A">
        <w:softHyphen/>
        <w:t>synpunkt. Högskoleverket kommer att utreda hur värderingen av utländska betyg skall göras i fortsättningen. Sammantaget utgör detta enligt Högskoleverkets mening skäl för att antagningsmyndigheterna inte bör tillämpa den ändrade värderingen vid antagningen till höstterminen 1998. Högskoleverket har fö</w:t>
      </w:r>
      <w:r w:rsidRPr="0008481A">
        <w:t>r</w:t>
      </w:r>
      <w:r w:rsidRPr="0008481A">
        <w:t>ståelse för de praktiska problem som detta kan medföra med tanke på att antagningspr</w:t>
      </w:r>
      <w:r w:rsidRPr="0008481A">
        <w:t>o</w:t>
      </w:r>
      <w:r w:rsidRPr="0008481A">
        <w:t>cessen pågår. Det är dock verkets förhoppning att universitet och högskolor ändå skall ha möjlighet att vidta nödvä</w:t>
      </w:r>
      <w:r w:rsidRPr="0008481A">
        <w:t>n</w:t>
      </w:r>
      <w:r w:rsidRPr="0008481A">
        <w:t>diga åt</w:t>
      </w:r>
      <w:r w:rsidRPr="0008481A">
        <w:t>gärder.</w:t>
      </w:r>
    </w:p>
    <w:p w:rsidR="003B3271" w:rsidRPr="0008481A" w:rsidRDefault="003B3271">
      <w:pPr>
        <w:pStyle w:val="Citat"/>
      </w:pPr>
      <w:r w:rsidRPr="0008481A">
        <w:t>Genom underhandskontakter stod det ganska snart klart att universitet och högskolor inte skulle följa Högskoleverkets uppmaning. Arbetet med den utredning som nämndes i br</w:t>
      </w:r>
      <w:r w:rsidRPr="0008481A">
        <w:t>e</w:t>
      </w:r>
      <w:r w:rsidRPr="0008481A">
        <w:t>vet påbörjades och utfördes i samverkan med universitet och högskolor och VHS. Resu</w:t>
      </w:r>
      <w:r w:rsidRPr="0008481A">
        <w:t>l</w:t>
      </w:r>
      <w:r w:rsidRPr="0008481A">
        <w:t>tatet av arbetet blev klart den 25 september 1998 och innebar att arbetsgruppen föreslog att en ändring av föreskrifterna borde göras när det gäller värdering av utländska gymn</w:t>
      </w:r>
      <w:r w:rsidRPr="0008481A">
        <w:t>a</w:t>
      </w:r>
      <w:r w:rsidRPr="0008481A">
        <w:t>siebetyg och att en expertgrupp skulle tillsättas med uppgift att föreslå principer för vä</w:t>
      </w:r>
      <w:r w:rsidRPr="0008481A">
        <w:t>r</w:t>
      </w:r>
      <w:r w:rsidRPr="0008481A">
        <w:t xml:space="preserve">dering av sådana betyg (se </w:t>
      </w:r>
      <w:r w:rsidRPr="0008481A">
        <w:rPr>
          <w:u w:val="single"/>
        </w:rPr>
        <w:t>bilaga 4</w:t>
      </w:r>
      <w:r w:rsidRPr="0008481A">
        <w:t>, s. 20-21; här utelämnad, JO:s anm.). En sådan e</w:t>
      </w:r>
      <w:r w:rsidRPr="0008481A">
        <w:t>x</w:t>
      </w:r>
      <w:r w:rsidRPr="0008481A">
        <w:t>pertgrupp tillsattes i oktober 1998 och har lagt fram förslag till princip</w:t>
      </w:r>
      <w:r w:rsidRPr="0008481A">
        <w:t>er för värdering av utländska betyg. Förslaget övervägs för närvarande inom Högskoleve</w:t>
      </w:r>
      <w:r w:rsidRPr="0008481A">
        <w:t>r</w:t>
      </w:r>
      <w:r w:rsidRPr="0008481A">
        <w:t>ket.</w:t>
      </w:r>
    </w:p>
    <w:p w:rsidR="003B3271" w:rsidRPr="0008481A" w:rsidRDefault="003B3271">
      <w:pPr>
        <w:pStyle w:val="Rubrik4"/>
      </w:pPr>
      <w:r w:rsidRPr="0008481A">
        <w:t>Yttranden från universitet och högskolor med anledning av Maria Schoefflers a</w:t>
      </w:r>
      <w:r w:rsidRPr="0008481A">
        <w:t>n</w:t>
      </w:r>
      <w:r w:rsidRPr="0008481A">
        <w:t>mälan</w:t>
      </w:r>
    </w:p>
    <w:p w:rsidR="003B3271" w:rsidRPr="0008481A" w:rsidRDefault="003B3271">
      <w:pPr>
        <w:pStyle w:val="Citat"/>
      </w:pPr>
      <w:r w:rsidRPr="0008481A">
        <w:t>Med anledning av Justitieombudsmannens anmodan har Högskoleverket ställt två frågor till de universitet och högskolor som avses i Maria Schoefflers anmälan. Följande hö</w:t>
      </w:r>
      <w:r w:rsidRPr="0008481A">
        <w:t>g</w:t>
      </w:r>
      <w:r w:rsidRPr="0008481A">
        <w:t>skolor som nämns i anmälan har undantagits på grund av att de är enskilda utbildningsa</w:t>
      </w:r>
      <w:r w:rsidRPr="0008481A">
        <w:t>n</w:t>
      </w:r>
      <w:r w:rsidRPr="0008481A">
        <w:t>ordnare och därmed inte skyldiga att följa högskoleförordningens regler: Chalmers te</w:t>
      </w:r>
      <w:r w:rsidRPr="0008481A">
        <w:t>k</w:t>
      </w:r>
      <w:r w:rsidRPr="0008481A">
        <w:t>niska högskola, Handelshögskolan i Stockholm och Högskolan i Jönköping. Följande högskolor har undantagits på grund av att de inrättades först den 1 juli 1998: Högskolan på Gotland och Malmö hö</w:t>
      </w:r>
      <w:r w:rsidRPr="0008481A">
        <w:t>g</w:t>
      </w:r>
      <w:r w:rsidRPr="0008481A">
        <w:t>skola.</w:t>
      </w:r>
    </w:p>
    <w:p w:rsidR="003B3271" w:rsidRPr="0008481A" w:rsidRDefault="003B3271">
      <w:pPr>
        <w:pStyle w:val="Citat"/>
      </w:pPr>
      <w:r w:rsidRPr="0008481A">
        <w:t>De frågor som ställdes var:</w:t>
      </w:r>
    </w:p>
    <w:p w:rsidR="003B3271" w:rsidRPr="0008481A" w:rsidRDefault="003B3271">
      <w:pPr>
        <w:pStyle w:val="Citat"/>
        <w:numPr>
          <w:ilvl w:val="0"/>
          <w:numId w:val="58"/>
        </w:numPr>
        <w:spacing w:before="0"/>
      </w:pPr>
      <w:r w:rsidRPr="0008481A">
        <w:t>har lärosätet vid antagningen till höstterminen 1998 tillämpat de nya omräkningst</w:t>
      </w:r>
      <w:r w:rsidRPr="0008481A">
        <w:t>a</w:t>
      </w:r>
      <w:r w:rsidRPr="0008481A">
        <w:t>beller för vissa utländska betyg som avses i Maria Schoefflers anm</w:t>
      </w:r>
      <w:r w:rsidRPr="0008481A">
        <w:t>ä</w:t>
      </w:r>
      <w:r w:rsidRPr="0008481A">
        <w:t>lan?</w:t>
      </w:r>
    </w:p>
    <w:p w:rsidR="003B3271" w:rsidRPr="0008481A" w:rsidRDefault="003B3271">
      <w:pPr>
        <w:pStyle w:val="Citat"/>
        <w:numPr>
          <w:ilvl w:val="0"/>
          <w:numId w:val="58"/>
        </w:numPr>
        <w:spacing w:before="0"/>
      </w:pPr>
      <w:r w:rsidRPr="0008481A">
        <w:t>om så är fallet, vad är lärosätets skäl för att tillämpa dessa nya tabeller trots Högsk</w:t>
      </w:r>
      <w:r w:rsidRPr="0008481A">
        <w:t>o</w:t>
      </w:r>
      <w:r w:rsidRPr="0008481A">
        <w:t>leverkets uppmaning till universitet och högskolor i april 1998 att inte tillämpa tabe</w:t>
      </w:r>
      <w:r w:rsidRPr="0008481A">
        <w:t>l</w:t>
      </w:r>
      <w:r w:rsidRPr="0008481A">
        <w:t>lerna vid antagningen till höstterminen 1998?</w:t>
      </w:r>
    </w:p>
    <w:p w:rsidR="003B3271" w:rsidRPr="0008481A" w:rsidRDefault="003B3271">
      <w:pPr>
        <w:pStyle w:val="Citat"/>
      </w:pPr>
      <w:r w:rsidRPr="0008481A">
        <w:t>Lärosätenas svar framgår av bifogad remissammanställning (</w:t>
      </w:r>
      <w:r w:rsidRPr="0008481A">
        <w:rPr>
          <w:u w:val="single"/>
        </w:rPr>
        <w:t>bilaga 5;</w:t>
      </w:r>
      <w:r w:rsidRPr="0008481A">
        <w:t xml:space="preserve"> här utelämnad; JO:s anm.). Konstfack har, trots påminnelse, inte inkommit med svar. De flesta univers</w:t>
      </w:r>
      <w:r w:rsidRPr="0008481A">
        <w:t>i</w:t>
      </w:r>
      <w:r w:rsidRPr="0008481A">
        <w:t>tet och högskolor har tillämpat de nya omräk</w:t>
      </w:r>
      <w:r w:rsidRPr="0008481A">
        <w:softHyphen/>
        <w:t>ningstabellerna vid antagningen till högsk</w:t>
      </w:r>
      <w:r w:rsidRPr="0008481A">
        <w:t>o</w:t>
      </w:r>
      <w:r w:rsidRPr="0008481A">
        <w:t xml:space="preserve">leutbildning höstterminen 1998. Sveriges lantbruksuniversitet har svarat att lärosätet inte tillämpat de nya tabellerna. Södertörns högskola har uppgivit att högskolan tillämpade de nya omräkningstabellerna vid det första urvalet inför höstterminen 1998, men att man därefter korrigerade meritvärdena i enlighet </w:t>
      </w:r>
      <w:r w:rsidRPr="0008481A">
        <w:t>med Högskoleverkets uppmaning. Vissa universitet och högskolor som tillämpat de nya tabellerna har uppgivit att man följt en rekommendation från SUHF att, då särskilda skäl förelåg, överväga antagning av berörda sökande som inte antagits i första respektive andra urvalet. Högskolan i Skövde har för tillämpningen av särskilda skäl hänvisat till vad utbildningsministern anförde i brev till rektorerna den 30 juli 1997. Några högskolor har uppgivit att alla sökande med de akt</w:t>
      </w:r>
      <w:r w:rsidRPr="0008481A">
        <w:t>u</w:t>
      </w:r>
      <w:r w:rsidRPr="0008481A">
        <w:t>ella betygen har antagits till sitt</w:t>
      </w:r>
      <w:r w:rsidRPr="0008481A">
        <w:t xml:space="preserve"> för</w:t>
      </w:r>
      <w:r w:rsidRPr="0008481A">
        <w:t>s</w:t>
      </w:r>
      <w:r w:rsidRPr="0008481A">
        <w:t>tahandsval.</w:t>
      </w:r>
    </w:p>
    <w:p w:rsidR="003B3271" w:rsidRPr="0008481A" w:rsidRDefault="003B3271">
      <w:pPr>
        <w:pStyle w:val="Citatindrag"/>
      </w:pPr>
      <w:r w:rsidRPr="0008481A">
        <w:t>Flertalet lärosäten har anfört att Högskoleverkets beslut den 21 november 1997 att slå samman två urvalsgrupper gjorde det nödvändigt att justera omräkningstabellerna för bl.a. betyg från internationell och fransk baccalaureate, eftersom sökande med gamla svenska gymnasiebetyg och sökande med utländska betyg skulle konkurrera inom samma urvalsgrupp. Betygen från de två nämnda utländska utbildningarna har varit för högt vä</w:t>
      </w:r>
      <w:r w:rsidRPr="0008481A">
        <w:t>r</w:t>
      </w:r>
      <w:r w:rsidRPr="0008481A">
        <w:t>derade. Av rättviseskäl var det nödvändigt att tillämpa de nya skalorna så snart som mö</w:t>
      </w:r>
      <w:r w:rsidRPr="0008481A">
        <w:t>j</w:t>
      </w:r>
      <w:r w:rsidRPr="0008481A">
        <w:t>ligt. Vissa lärosäten har anfört att Högskoleverkets uppmaning kom alldeles för sent för att kunna beaktas i antagningen inför höstterminen 1998. Göteborgs universitet har påp</w:t>
      </w:r>
      <w:r w:rsidRPr="0008481A">
        <w:t>e</w:t>
      </w:r>
      <w:r w:rsidRPr="0008481A">
        <w:t>kat att vad gäller fransk baccalaureate har kontakter mellan VHS och skolan</w:t>
      </w:r>
      <w:r w:rsidRPr="0008481A">
        <w:rPr>
          <w:rStyle w:val="Fotnotsreferens"/>
        </w:rPr>
        <w:footnoteReference w:id="2"/>
      </w:r>
      <w:r w:rsidRPr="0008481A">
        <w:t xml:space="preserve"> funnits under många år och skolan har väl känt till att skalan varit under omarbetning sedan tidigare, vilket också har framgått av tidigare s.k. bedömningshandböcker. Vissa lärosäten har påpekat att det i antagningsfrågor inte är ovanligt med beslut och ändringar med kort varsel även från regeringen och Högskol</w:t>
      </w:r>
      <w:r w:rsidRPr="0008481A">
        <w:t>e</w:t>
      </w:r>
      <w:r w:rsidRPr="0008481A">
        <w:t>verket.</w:t>
      </w:r>
    </w:p>
    <w:p w:rsidR="003B3271" w:rsidRPr="0008481A" w:rsidRDefault="003B3271">
      <w:pPr>
        <w:pStyle w:val="Citatindrag"/>
      </w:pPr>
      <w:r w:rsidRPr="0008481A">
        <w:t xml:space="preserve">Kungl. tekniska högskolan (KTH) har anfört följande. Det är angeläget att alla svenska universitet och högskolor i vissa frågor tillämpar samma grundprinciper. Värdering av utländska betyg </w:t>
      </w:r>
      <w:r w:rsidRPr="0008481A">
        <w:t>är en sådan fråga. KTH:s grundinställning till frågan om de nya omrä</w:t>
      </w:r>
      <w:r w:rsidRPr="0008481A">
        <w:t>k</w:t>
      </w:r>
      <w:r w:rsidRPr="0008481A">
        <w:t>ningstabellerna skulle tillämpas redan vid antagningen hösten 1998 var att så inte borde ske. Denna synpunkt framfördes till SUHF i mitten av maj 1998. Vid KTH sker anta</w:t>
      </w:r>
      <w:r w:rsidRPr="0008481A">
        <w:t>g</w:t>
      </w:r>
      <w:r w:rsidRPr="0008481A">
        <w:t>ning till den grundläggande högskoleutbildningen genom VHS och samordnad antagning förutsätter, enligt KTH:s mening, att berörda universitet och högskolor kan enas i princi</w:t>
      </w:r>
      <w:r w:rsidRPr="0008481A">
        <w:t>p</w:t>
      </w:r>
      <w:r w:rsidRPr="0008481A">
        <w:t>frågor av nu aktuellt slag. Enligt muntliga uppgifter från VHS ansåg flertalet universitet och högsk</w:t>
      </w:r>
      <w:r w:rsidRPr="0008481A">
        <w:t>olor att de nya omräkningstabellerna borde tillämpas. Mot bakgrund av detta och vad som ovan sagts accepterade KTH tillämpningen av de nya omräkningstabelle</w:t>
      </w:r>
      <w:r w:rsidRPr="0008481A">
        <w:t>r</w:t>
      </w:r>
      <w:r w:rsidRPr="0008481A">
        <w:t>na.</w:t>
      </w:r>
    </w:p>
    <w:p w:rsidR="003B3271" w:rsidRPr="0008481A" w:rsidRDefault="003B3271">
      <w:pPr>
        <w:pStyle w:val="Citatindrag"/>
      </w:pPr>
      <w:r w:rsidRPr="0008481A">
        <w:t>Luleå tekniska universitet har anfört bl.a. följande. Vikten av tidiga beslut skall unde</w:t>
      </w:r>
      <w:r w:rsidRPr="0008481A">
        <w:t>r</w:t>
      </w:r>
      <w:r w:rsidRPr="0008481A">
        <w:t>strykas. För att universitet och högskolor skall kunna informera presumtiva sökande krävs en framförhållning på minst ett år. Sökmaterial och information produceras normalt under oktober/november för ko</w:t>
      </w:r>
      <w:r w:rsidRPr="0008481A">
        <w:t>m</w:t>
      </w:r>
      <w:r w:rsidRPr="0008481A">
        <w:t>mande läsår.</w:t>
      </w:r>
    </w:p>
    <w:p w:rsidR="003B3271" w:rsidRPr="0008481A" w:rsidRDefault="003B3271">
      <w:pPr>
        <w:pStyle w:val="Rubrik3"/>
        <w:rPr>
          <w:b w:val="0"/>
          <w:i/>
          <w:u w:val="single"/>
        </w:rPr>
      </w:pPr>
      <w:r w:rsidRPr="0008481A">
        <w:rPr>
          <w:b w:val="0"/>
          <w:i/>
          <w:u w:val="single"/>
        </w:rPr>
        <w:t>Högskoleverkets yttrande</w:t>
      </w:r>
    </w:p>
    <w:p w:rsidR="003B3271" w:rsidRPr="0008481A" w:rsidRDefault="003B3271">
      <w:pPr>
        <w:pStyle w:val="Rubrik4"/>
        <w:spacing w:before="120"/>
      </w:pPr>
      <w:r w:rsidRPr="0008481A">
        <w:t>Förutsättningarna för att meddela föreskrifter om värdering av utländska betyg inför höstterminen 1997</w:t>
      </w:r>
    </w:p>
    <w:p w:rsidR="003B3271" w:rsidRPr="0008481A" w:rsidRDefault="003B3271">
      <w:pPr>
        <w:pStyle w:val="Citat"/>
      </w:pPr>
      <w:r w:rsidRPr="0008481A">
        <w:t>Högskoleverket startade sin verksamhet den 1 juli 1995. Vissa verksam</w:t>
      </w:r>
      <w:r w:rsidRPr="0008481A">
        <w:softHyphen/>
        <w:t>hetsgrenar öve</w:t>
      </w:r>
      <w:r w:rsidRPr="0008481A">
        <w:t>r</w:t>
      </w:r>
      <w:r w:rsidRPr="0008481A">
        <w:t>togs från VHS, bl.a. vissa internationella frågor. En ny uppgift var att verket skall utöva tillsyn över universitet och högskolor. När regeringen lade fram tillträdespropositionen i mars 1996 stod det klart att Högskoleverket också skulle få till uppgift att utfärda vissa föreskrifter för antagning till högskoleutbildning. Exakt vilka bemyndiganden verket skulle få blev dock inte klart förrän i slutet av oktober 1996 när ändringarna i högskol</w:t>
      </w:r>
      <w:r w:rsidRPr="0008481A">
        <w:t>e</w:t>
      </w:r>
      <w:r w:rsidRPr="0008481A">
        <w:t>förordningen kom från trycket.</w:t>
      </w:r>
    </w:p>
    <w:p w:rsidR="003B3271" w:rsidRPr="0008481A" w:rsidRDefault="003B3271">
      <w:pPr>
        <w:pStyle w:val="Citatindrag"/>
      </w:pPr>
      <w:r w:rsidRPr="0008481A">
        <w:t>Vad gäller värder</w:t>
      </w:r>
      <w:r w:rsidRPr="0008481A">
        <w:t>ing av utländska betyg nämndes inte sådana betyg särskilt i tilltr</w:t>
      </w:r>
      <w:r w:rsidRPr="0008481A">
        <w:t>ä</w:t>
      </w:r>
      <w:r w:rsidRPr="0008481A">
        <w:t>despropositionen. I september 1996 föreslog Högskoleverket i en rapport till regeringen att verket skulle utfärda de övergripande prin</w:t>
      </w:r>
      <w:r w:rsidRPr="0008481A">
        <w:softHyphen/>
        <w:t>ciperna för värdering av utländska betyg och att de mer detaljerade bestämmelserna för varje särskilt land hörde hemma i en bedö</w:t>
      </w:r>
      <w:r w:rsidRPr="0008481A">
        <w:t>m</w:t>
      </w:r>
      <w:r w:rsidRPr="0008481A">
        <w:t>nings</w:t>
      </w:r>
      <w:r w:rsidRPr="0008481A">
        <w:softHyphen/>
        <w:t>handbok som ses över varje år.</w:t>
      </w:r>
    </w:p>
    <w:p w:rsidR="003B3271" w:rsidRPr="0008481A" w:rsidRDefault="003B3271">
      <w:pPr>
        <w:pStyle w:val="Citatindrag"/>
      </w:pPr>
      <w:r w:rsidRPr="0008481A">
        <w:t>För att universitet och högskolor skall kunna hantera förändrade regler i antagningen till högskoleutbildning måste reglerna beslutas i så god t</w:t>
      </w:r>
      <w:r w:rsidRPr="0008481A">
        <w:t>id att ändringar kan göras i datorpr</w:t>
      </w:r>
      <w:r w:rsidRPr="0008481A">
        <w:t>o</w:t>
      </w:r>
      <w:r w:rsidRPr="0008481A">
        <w:t>gram och informationsmaterial tryckas. Från VHS sida har anförts att ändringarna bör meddelas minst ett år i förväg. Ändringarna i högskoleförordningens tillträdesregler 1996 meddelades den 29 oktober. Det innebar att Högskoleverket var tvunget att forcera arb</w:t>
      </w:r>
      <w:r w:rsidRPr="0008481A">
        <w:t>e</w:t>
      </w:r>
      <w:r w:rsidRPr="0008481A">
        <w:t>tet med att ta fram de föreskrifter som verket enligt bemyndiganden i förordningen skulle meddela. Det var absolut nödvändigt att föreskrifterna meddelades inför antagningen till höstterminen 1997.</w:t>
      </w:r>
    </w:p>
    <w:p w:rsidR="003B3271" w:rsidRPr="0008481A" w:rsidRDefault="003B3271">
      <w:pPr>
        <w:pStyle w:val="Citatindrag"/>
      </w:pPr>
      <w:r w:rsidRPr="0008481A">
        <w:t xml:space="preserve">Frågor om urval </w:t>
      </w:r>
      <w:r w:rsidRPr="0008481A">
        <w:t>och behörighet till högskoleutbildning är komplicerade. Verket ansåg att det inte var acceptabelt att besluta om föreskrifter efter årsskiftet 1996/97. Med den b</w:t>
      </w:r>
      <w:r w:rsidRPr="0008481A">
        <w:t>e</w:t>
      </w:r>
      <w:r w:rsidRPr="0008481A">
        <w:t>gränsade tid som därmed stod till verkets förfogande var det inte möjligt att fullständigt reglera de frågor som gällde värdering av betyg. Med vetskap om att det sedan länge fanns en s.k. utländsk bedömningshandbok som tillämpades av universitet och högskolor vid värderingen av utländska betyg, valde verket att, förutom att ange hur betyg på ämnen</w:t>
      </w:r>
      <w:r w:rsidRPr="0008481A">
        <w:t xml:space="preserve"> som lästs in i Sverige skall hanteras, ange att ”betyg från en utländsk gymnasieutbildning (motsvarande) överförs till en skala som är gemensam för alla utländska gymnasieutbil</w:t>
      </w:r>
      <w:r w:rsidRPr="0008481A">
        <w:t>d</w:t>
      </w:r>
      <w:r w:rsidRPr="0008481A">
        <w:t>ningar”. Vid antagningen till höstterminen 1997 skulle därmed samma värdering tillä</w:t>
      </w:r>
      <w:r w:rsidRPr="0008481A">
        <w:t>m</w:t>
      </w:r>
      <w:r w:rsidRPr="0008481A">
        <w:t>pas som vid antagningen tidigare år.</w:t>
      </w:r>
    </w:p>
    <w:p w:rsidR="003B3271" w:rsidRPr="0008481A" w:rsidRDefault="003B3271">
      <w:pPr>
        <w:pStyle w:val="Rubrik4"/>
      </w:pPr>
      <w:r w:rsidRPr="0008481A">
        <w:t xml:space="preserve">Högskoleverkets åtgärder under 1997 </w:t>
      </w:r>
    </w:p>
    <w:p w:rsidR="003B3271" w:rsidRPr="0008481A" w:rsidRDefault="003B3271">
      <w:pPr>
        <w:pStyle w:val="Citat"/>
      </w:pPr>
      <w:r w:rsidRPr="0008481A">
        <w:t>I Högskoleverkets verksamhetsplan för 1997 angavs att verket bl.a. skulle vidareutveckla verkets föreskrifter på tillträdesområdet. Högskoleverkets uppgifter på tillträdesområdet är, förutom att utfärda föreskrifter och utöva tillsyn, att i vissa fall medge att universitet och högskolor tillämpar andra villkor än de som finns angivna i högskoleförordningen och verkets föreskrifter. En annan uppgift som under 1997 kom att bli mycket tids</w:t>
      </w:r>
      <w:r w:rsidRPr="0008481A">
        <w:softHyphen/>
        <w:t>kr</w:t>
      </w:r>
      <w:r w:rsidRPr="0008481A">
        <w:t>ä</w:t>
      </w:r>
      <w:r w:rsidRPr="0008481A">
        <w:t>vande för den personal som handlägger tillträdesfrågor var att informera studievägledare vid universitet och högskolor och vid gymnasieskolor och komvux om de nya tillträde</w:t>
      </w:r>
      <w:r w:rsidRPr="0008481A">
        <w:t>s</w:t>
      </w:r>
      <w:r w:rsidRPr="0008481A">
        <w:t>reglerna. Denna info</w:t>
      </w:r>
      <w:r w:rsidRPr="0008481A">
        <w:t>r</w:t>
      </w:r>
      <w:r w:rsidRPr="0008481A">
        <w:t>ma</w:t>
      </w:r>
      <w:r w:rsidRPr="0008481A">
        <w:softHyphen/>
        <w:t xml:space="preserve">tionsverksamhet kom tidvis att helt dominera arbetet. </w:t>
      </w:r>
    </w:p>
    <w:p w:rsidR="003B3271" w:rsidRPr="0008481A" w:rsidRDefault="003B3271">
      <w:pPr>
        <w:pStyle w:val="Citatindrag"/>
      </w:pPr>
      <w:r w:rsidRPr="0008481A">
        <w:t>De nya tillträdesreglerna var även föremål för debatt och uppmärksamhet från allmänh</w:t>
      </w:r>
      <w:r w:rsidRPr="0008481A">
        <w:t>e</w:t>
      </w:r>
      <w:r w:rsidRPr="0008481A">
        <w:t>tens och politikernas sida. I september 1997 fick Hög</w:t>
      </w:r>
      <w:r w:rsidRPr="0008481A">
        <w:softHyphen/>
        <w:t>skoleverket regeringens uppdrag att, efter samråd med universitet och högskolor, redovisa erfarenheterna av de nya tillträde</w:t>
      </w:r>
      <w:r w:rsidRPr="0008481A">
        <w:t>s</w:t>
      </w:r>
      <w:r w:rsidRPr="0008481A">
        <w:t>reglerna. Uppdraget ledde till att två rapporter gavs in till regeringen i oktober och n</w:t>
      </w:r>
      <w:r w:rsidRPr="0008481A">
        <w:t>o</w:t>
      </w:r>
      <w:r w:rsidRPr="0008481A">
        <w:t xml:space="preserve">vember 1997. </w:t>
      </w:r>
    </w:p>
    <w:p w:rsidR="003B3271" w:rsidRPr="0008481A" w:rsidRDefault="003B3271">
      <w:pPr>
        <w:pStyle w:val="Citatindrag"/>
      </w:pPr>
      <w:r w:rsidRPr="0008481A">
        <w:t>Sammantaget innebar detta att det var praktiskt omöjligt för Hög</w:t>
      </w:r>
      <w:r w:rsidRPr="0008481A">
        <w:softHyphen/>
        <w:t>skoleverket att i enlighet med verksamhetsplanen ”vidareutveckla” verkets föreskrifter under 1997. Ytterligare  föreskrifter om värdering av betyg meddelades därför inte inför höstterminen 1998. Dä</w:t>
      </w:r>
      <w:r w:rsidRPr="0008481A">
        <w:t>r</w:t>
      </w:r>
      <w:r w:rsidRPr="0008481A">
        <w:t>emot fann verket, med tanke på den kritik som riktats mot att utländska betyg placerats i en egen grupp vid urval på betyg, att det var nödvändigt att ändra föreskrifterna i denna del.</w:t>
      </w:r>
    </w:p>
    <w:p w:rsidR="003B3271" w:rsidRPr="0008481A" w:rsidRDefault="003B3271">
      <w:pPr>
        <w:pStyle w:val="Rubrik4"/>
      </w:pPr>
      <w:r w:rsidRPr="0008481A">
        <w:t>Sveriges universitets- och högskoleförbunds arbetsgrupp för den utländska bedö</w:t>
      </w:r>
      <w:r w:rsidRPr="0008481A">
        <w:t>m</w:t>
      </w:r>
      <w:r w:rsidRPr="0008481A">
        <w:t>ningshandboken</w:t>
      </w:r>
    </w:p>
    <w:p w:rsidR="003B3271" w:rsidRPr="0008481A" w:rsidRDefault="003B3271">
      <w:pPr>
        <w:pStyle w:val="Citat"/>
      </w:pPr>
      <w:r w:rsidRPr="0008481A">
        <w:t>Högskoleverket hade kännedom om att det fanns en arbetsgrupp tillsatt av SUHF som kontinuerligt möttes för att diskutera frågor om värdering av utländska betyg. Någon i</w:t>
      </w:r>
      <w:r w:rsidRPr="0008481A">
        <w:t>n</w:t>
      </w:r>
      <w:r w:rsidRPr="0008481A">
        <w:t>formation till verkets ansvariga för tillträdesfrågor lämnades dock inte. Vissa lärosäten har påpekat att en medarbetare från Högskoleverket deltog i arbetsgruppen. Denna me</w:t>
      </w:r>
      <w:r w:rsidRPr="0008481A">
        <w:t>d</w:t>
      </w:r>
      <w:r w:rsidRPr="0008481A">
        <w:t>arbetare deltog emellertid i sin egenskap av expert på utländska utbildningar. Medarbet</w:t>
      </w:r>
      <w:r w:rsidRPr="0008481A">
        <w:t>a</w:t>
      </w:r>
      <w:r w:rsidRPr="0008481A">
        <w:t>ren, som arbetar på verkets internationella avdelning, hade deltagit i arbetet med den u</w:t>
      </w:r>
      <w:r w:rsidRPr="0008481A">
        <w:t>t</w:t>
      </w:r>
      <w:r w:rsidRPr="0008481A">
        <w:t>ländska bedömningshandboken sedan 1977, dvs. såväl på UHÄ som på VHS. Vid bilda</w:t>
      </w:r>
      <w:r w:rsidRPr="0008481A">
        <w:t>n</w:t>
      </w:r>
      <w:r w:rsidRPr="0008481A">
        <w:t>det av Högskoleverket flyttades personalen på VHS internationella avdelning över</w:t>
      </w:r>
      <w:r w:rsidRPr="0008481A">
        <w:t xml:space="preserve"> till Högskoleverket. Det var naturligt för medarbetaren att fortsätta sitt arbete i arbetsgru</w:t>
      </w:r>
      <w:r w:rsidRPr="0008481A">
        <w:t>p</w:t>
      </w:r>
      <w:r w:rsidRPr="0008481A">
        <w:t>pen. Medarbetaren har dock inte till uppgift att arbeta med tillträdesfrågor som sådana på Högskoleve</w:t>
      </w:r>
      <w:r w:rsidRPr="0008481A">
        <w:t>r</w:t>
      </w:r>
      <w:r w:rsidRPr="0008481A">
        <w:t>ket.</w:t>
      </w:r>
    </w:p>
    <w:p w:rsidR="003B3271" w:rsidRPr="0008481A" w:rsidRDefault="003B3271">
      <w:pPr>
        <w:pStyle w:val="Rubrik4"/>
      </w:pPr>
      <w:r w:rsidRPr="0008481A">
        <w:t>Högskoleverkets åtgärder sedan förändringarna i den utländska bedömningshan</w:t>
      </w:r>
      <w:r w:rsidRPr="0008481A">
        <w:t>d</w:t>
      </w:r>
      <w:r w:rsidRPr="0008481A">
        <w:t>boken blev kända för ve</w:t>
      </w:r>
      <w:r w:rsidRPr="0008481A">
        <w:t>r</w:t>
      </w:r>
      <w:r w:rsidRPr="0008481A">
        <w:t>ket</w:t>
      </w:r>
    </w:p>
    <w:p w:rsidR="003B3271" w:rsidRPr="0008481A" w:rsidRDefault="003B3271">
      <w:pPr>
        <w:pStyle w:val="Citat"/>
      </w:pPr>
      <w:r w:rsidRPr="0008481A">
        <w:t>När SUHF, genom rektorn vid Luleå tekniska universitet Ingegerd Palmér, hade meddelat att värderingen av vissa betyg ändrats på ett för enskilda oförmånligt sätt, kallade verket företrädare för universitet och högskolor samt VHS till ett möte. Högskoleverket kla</w:t>
      </w:r>
      <w:r w:rsidRPr="0008481A">
        <w:t>r</w:t>
      </w:r>
      <w:r w:rsidRPr="0008481A">
        <w:t>gjorde vid detta möte att verket ansåg att de nya omräkningstabellerna inte borde tillä</w:t>
      </w:r>
      <w:r w:rsidRPr="0008481A">
        <w:t>m</w:t>
      </w:r>
      <w:r w:rsidRPr="0008481A">
        <w:t>pas vid antagningen till höstterminen 1998. Eftersom Högskoleverket inte fick gehör för sina synpunkter, skickade verket ett brev till samtliga universitet och högskolor med b</w:t>
      </w:r>
      <w:r w:rsidRPr="0008481A">
        <w:t>e</w:t>
      </w:r>
      <w:r w:rsidRPr="0008481A">
        <w:t>sked om verkets uppfattning i denna fråga.</w:t>
      </w:r>
    </w:p>
    <w:p w:rsidR="003B3271" w:rsidRPr="0008481A" w:rsidRDefault="003B3271">
      <w:pPr>
        <w:pStyle w:val="Citatindrag"/>
      </w:pPr>
      <w:r w:rsidRPr="0008481A">
        <w:t>Med facit i hand kan ifrågasättas om inte Högskoleverket borde ha utnyttjat sin för</w:t>
      </w:r>
      <w:r w:rsidRPr="0008481A">
        <w:t>e</w:t>
      </w:r>
      <w:r w:rsidRPr="0008481A">
        <w:t>skriftsrätt på området och beslutat att de gamla omräknings</w:t>
      </w:r>
      <w:r w:rsidRPr="0008481A">
        <w:softHyphen/>
        <w:t>tabellerna skulle gälla vid antagningen till höstterminen 1998. Skälet till att detta inte gjordes är dels att verket hade förhoppningen att universitet och högskolor skulle inse det olämpliga i att ändra omrä</w:t>
      </w:r>
      <w:r w:rsidRPr="0008481A">
        <w:t>k</w:t>
      </w:r>
      <w:r w:rsidRPr="0008481A">
        <w:t>ningstabellerna med så kort varsel, dels att Högskoleverket inte kunde bedöma om det var praktiskt möjligt att göra de nödvändiga ändringarna under pågående antagningspro</w:t>
      </w:r>
      <w:r w:rsidRPr="0008481A">
        <w:softHyphen/>
        <w:t>cess. Vissa lärosäten har också i sina svar till verket anfört att ver</w:t>
      </w:r>
      <w:r w:rsidRPr="0008481A">
        <w:t>kets upp</w:t>
      </w:r>
      <w:r w:rsidRPr="0008481A">
        <w:softHyphen/>
        <w:t>maning kom för sent för att kunna beaktas vid antagnin</w:t>
      </w:r>
      <w:r w:rsidRPr="0008481A">
        <w:t>g</w:t>
      </w:r>
      <w:r w:rsidRPr="0008481A">
        <w:t>en.</w:t>
      </w:r>
    </w:p>
    <w:p w:rsidR="003B3271" w:rsidRPr="0008481A" w:rsidRDefault="003B3271">
      <w:pPr>
        <w:pStyle w:val="Rubrik4"/>
      </w:pPr>
      <w:r w:rsidRPr="0008481A">
        <w:t>Antagningsmyndigheternas agerande</w:t>
      </w:r>
    </w:p>
    <w:p w:rsidR="003B3271" w:rsidRPr="0008481A" w:rsidRDefault="003B3271">
      <w:pPr>
        <w:pStyle w:val="Citat"/>
      </w:pPr>
      <w:r w:rsidRPr="0008481A">
        <w:t>Av inkomna svar från universitet och högskolor framgår att de flesta universitet och hö</w:t>
      </w:r>
      <w:r w:rsidRPr="0008481A">
        <w:t>g</w:t>
      </w:r>
      <w:r w:rsidRPr="0008481A">
        <w:t>skolor tillämpade de nya omräkningstabellerna, trots Högskoleverkets uppmaning att inte göra det. Att en värdering av betyg kan behöva förändras är i och för sig naturligt, men det förhållandet att förändringen meddelades endast en och en halv månad före sista dag för anmälan till högskolestudier är enligt Högskoleverkets mening inte acceptabelt. Enskilda som avser att söka till universitet och högskolor måste i god tid få besked om ändringar som innebär försämringar av de meritvärden som de konkurrerar me</w:t>
      </w:r>
      <w:r w:rsidRPr="0008481A">
        <w:t>d vid u</w:t>
      </w:r>
      <w:r w:rsidRPr="0008481A">
        <w:t>r</w:t>
      </w:r>
      <w:r w:rsidRPr="0008481A">
        <w:t xml:space="preserve">valet. </w:t>
      </w:r>
    </w:p>
    <w:p w:rsidR="003B3271" w:rsidRPr="0008481A" w:rsidRDefault="003B3271">
      <w:pPr>
        <w:pStyle w:val="Citatindrag"/>
      </w:pPr>
      <w:r w:rsidRPr="0008481A">
        <w:t>Universitet och högskolor har anfört att det var nödvändigt att göra de aktuella förän</w:t>
      </w:r>
      <w:r w:rsidRPr="0008481A">
        <w:t>d</w:t>
      </w:r>
      <w:r w:rsidRPr="0008481A">
        <w:t>ringarna på grund av Högskoleverkets beslut att slå samman gruppen för utländska betyg med gruppen för äldre svenska gymnasiebetyg. Skälet för detta har angivits vara att det annars skulle vara orättvist för sökande med svenska gymnasiebetyg om vissa utländska betyg är övervärderade. Därför har förändringen behövt göras redan vid antagningen till höstterminen 1998. Högskoleverket anser inte att lärosätenas skäl varit tillräckliga för att med så kort varsel ti</w:t>
      </w:r>
      <w:r w:rsidRPr="0008481A">
        <w:t>l</w:t>
      </w:r>
      <w:r w:rsidRPr="0008481A">
        <w:t>lämpa aktuell ändring.</w:t>
      </w:r>
    </w:p>
    <w:p w:rsidR="003B3271" w:rsidRPr="0008481A" w:rsidRDefault="003B3271">
      <w:pPr>
        <w:pStyle w:val="Citatindrag"/>
        <w:rPr>
          <w:u w:val="single"/>
        </w:rPr>
      </w:pPr>
      <w:r w:rsidRPr="0008481A">
        <w:t>Högskoleverket kommer gi</w:t>
      </w:r>
      <w:r w:rsidRPr="0008481A">
        <w:t>vetvis att ta lärdom av det inträffade och vara mer vaksamt vad gäller åtgärder från lärosätenas sida som kan leda till att enskildas rättigheter åsidosätts. Verket avser också att i så stor utsträckning som möjligt utnyttja de medel som lagstift</w:t>
      </w:r>
      <w:r w:rsidRPr="0008481A">
        <w:t>a</w:t>
      </w:r>
      <w:r w:rsidRPr="0008481A">
        <w:t>ren givit Högskoleverket för att tillvarata enskildas intre</w:t>
      </w:r>
      <w:r w:rsidRPr="0008481A">
        <w:t>s</w:t>
      </w:r>
      <w:r w:rsidRPr="0008481A">
        <w:t>sen.</w:t>
      </w:r>
      <w:r w:rsidRPr="0008481A">
        <w:rPr>
          <w:u w:val="single"/>
        </w:rPr>
        <w:t xml:space="preserve"> </w:t>
      </w:r>
    </w:p>
    <w:p w:rsidR="003B3271" w:rsidRPr="0008481A" w:rsidRDefault="003B3271">
      <w:pPr>
        <w:pStyle w:val="Rubrik4"/>
      </w:pPr>
      <w:r w:rsidRPr="0008481A">
        <w:t>Högskoleverkets ansvar</w:t>
      </w:r>
    </w:p>
    <w:p w:rsidR="003B3271" w:rsidRPr="0008481A" w:rsidRDefault="003B3271">
      <w:pPr>
        <w:pStyle w:val="Citat"/>
      </w:pPr>
      <w:r w:rsidRPr="0008481A">
        <w:t>Högskoleverket undandrar sig inte det egna ansvaret för det inträffade. Genom att i för</w:t>
      </w:r>
      <w:r w:rsidRPr="0008481A">
        <w:t>e</w:t>
      </w:r>
      <w:r w:rsidRPr="0008481A">
        <w:t>skrifter endast ange att betyg från en utländsk gymna</w:t>
      </w:r>
      <w:r w:rsidRPr="0008481A">
        <w:softHyphen/>
        <w:t>sie</w:t>
      </w:r>
      <w:r w:rsidRPr="0008481A">
        <w:softHyphen/>
        <w:t>utbildning skall överföras till en skala som är gemensam för alla utländska gymnasieutbildningar, har verket i praktiken överlämnat på antagnings</w:t>
      </w:r>
      <w:r w:rsidRPr="0008481A">
        <w:softHyphen/>
        <w:t>myndigheterna, dvs. universitet och högskolor, att ta ställning till hur värderingen av sådana betyg skall gå till. Självfallet måste sådana regler finnas för att lärosätena skall kunna hantera sökande med utländska gymnasiebetyg i urvalet till högskoleutbildning. Högskoleverket måste dock konstatera att v</w:t>
      </w:r>
      <w:r w:rsidRPr="0008481A">
        <w:t>erket inte haft möjlighet att inför antagningen till höstterminen 1997 meddela de nödvändiga bestämmelserna och att verket under 1997 tvingades prioritera andra uppgifter inom tillträdesomr</w:t>
      </w:r>
      <w:r w:rsidRPr="0008481A">
        <w:t>å</w:t>
      </w:r>
      <w:r w:rsidRPr="0008481A">
        <w:t xml:space="preserve">det. </w:t>
      </w:r>
    </w:p>
    <w:p w:rsidR="003B3271" w:rsidRPr="0008481A" w:rsidRDefault="003B3271">
      <w:pPr>
        <w:pStyle w:val="Rubrik4"/>
      </w:pPr>
      <w:r w:rsidRPr="0008481A">
        <w:t>Högskoleverkets åtgärder</w:t>
      </w:r>
    </w:p>
    <w:p w:rsidR="003B3271" w:rsidRPr="0008481A" w:rsidRDefault="003B3271">
      <w:pPr>
        <w:pStyle w:val="Citat"/>
      </w:pPr>
      <w:r w:rsidRPr="0008481A">
        <w:t>Verket vill framhålla att det är en svår uppgift att meddela övergripande föreskrifter för värdering av utländska betyg. Värdering av sådana betyg har gjorts sedan länge, men principerna har aldrig återgivits i föreskrifter. Såsom framgår av bifogad PM av den 25 september 1998 (</w:t>
      </w:r>
      <w:r w:rsidRPr="0008481A">
        <w:rPr>
          <w:u w:val="single"/>
        </w:rPr>
        <w:t>bilaga 4;</w:t>
      </w:r>
      <w:r w:rsidRPr="0008481A">
        <w:t xml:space="preserve"> här utelämnad; JO:s anm.) föreslog den arbetsgrupp som tillsattes av Högskoleverket i samband med att brevet den 22 april 1998 skickades ut till universitet och högskolor att en expertgrupp tillsätts för att utarbeta principer för värd</w:t>
      </w:r>
      <w:r w:rsidRPr="0008481A">
        <w:t>e</w:t>
      </w:r>
      <w:r w:rsidRPr="0008481A">
        <w:t>ringen av utländska betyg. Denna expertgrupp har överlämnat ett förslag som för närv</w:t>
      </w:r>
      <w:r w:rsidRPr="0008481A">
        <w:t>a</w:t>
      </w:r>
      <w:r w:rsidRPr="0008481A">
        <w:t xml:space="preserve">rande övervägs inom verket. Någon ändring av verkets föreskrifter kommer inte att vara möjlig att genomföra inför antagningen till höstterminen 1999. Skälet till detta är främst de </w:t>
      </w:r>
      <w:r w:rsidRPr="0008481A">
        <w:t>tidsaspekter som a</w:t>
      </w:r>
      <w:r w:rsidRPr="0008481A">
        <w:t>n</w:t>
      </w:r>
      <w:r w:rsidRPr="0008481A">
        <w:t>förts från VHS.</w:t>
      </w:r>
    </w:p>
    <w:p w:rsidR="003B3271" w:rsidRPr="0008481A" w:rsidRDefault="003B3271">
      <w:pPr>
        <w:pStyle w:val="Citatindrag"/>
      </w:pPr>
      <w:r w:rsidRPr="0008481A">
        <w:t>Det är givetvis angeläget att Högskoleverket meddelar föreskrifter om värdering av u</w:t>
      </w:r>
      <w:r w:rsidRPr="0008481A">
        <w:t>t</w:t>
      </w:r>
      <w:r w:rsidRPr="0008481A">
        <w:t>ländska betyg så snart som möjligt. Vad gäller värderingen av de aktuella betygen finns det anledning att påpeka att Högskoleverket med största sannolikhet inte kommer att meddela föreskrifter som innebär en annan värdering än den som tillämpats vid anta</w:t>
      </w:r>
      <w:r w:rsidRPr="0008481A">
        <w:t>g</w:t>
      </w:r>
      <w:r w:rsidRPr="0008481A">
        <w:t>ningen till höstterminen 1998. För att utarbeta föreskrifterna är Högskoleverket beroende av de experter på området som finns i landet. Dessa experter är de som har anlitats av SUHF för att utarbeta de nya omräkningstabellerna. Någon tveksamhet om det rikt</w:t>
      </w:r>
      <w:r w:rsidRPr="0008481A">
        <w:t>iga i den nya värderingen har inte framkommit, varken från experternas eller från antagnin</w:t>
      </w:r>
      <w:r w:rsidRPr="0008481A">
        <w:t>g</w:t>
      </w:r>
      <w:r w:rsidRPr="0008481A">
        <w:t>smyndigheternas sida.</w:t>
      </w:r>
    </w:p>
    <w:p w:rsidR="003B3271" w:rsidRPr="0008481A" w:rsidRDefault="003B3271">
      <w:r w:rsidRPr="0008481A">
        <w:t>___________</w:t>
      </w:r>
    </w:p>
    <w:p w:rsidR="003B3271" w:rsidRPr="0008481A" w:rsidRDefault="003B3271">
      <w:r w:rsidRPr="0008481A">
        <w:t>Maria Schoeffler yttrade sig över remissvaret.</w:t>
      </w:r>
    </w:p>
    <w:p w:rsidR="003B3271" w:rsidRPr="0008481A" w:rsidRDefault="003B3271">
      <w:r w:rsidRPr="0008481A">
        <w:t xml:space="preserve">I sitt beslut den 25 april 2000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r w:rsidRPr="0008481A">
        <w:t>Högskoleverket har i sitt remissvar under rubriken Tillämpliga bestämmelser r</w:t>
      </w:r>
      <w:r w:rsidRPr="0008481A">
        <w:t>e</w:t>
      </w:r>
      <w:r w:rsidRPr="0008481A">
        <w:t>dogjort för de författningar och föreskrifter som är relevanta i ärendet. Jag finner inte skäl att för egen del göra något annat tillägg till denna redogörelse än att ko</w:t>
      </w:r>
      <w:r w:rsidRPr="0008481A">
        <w:t>n</w:t>
      </w:r>
      <w:r w:rsidRPr="0008481A">
        <w:t>statera att vissa ändringar har gjorts sedan remissvaret gavs in. Sålunda ändrades den 1 januari 1999 bl.a. beteckningen av 8 kap. och av bilaga 4 i högskoleföror</w:t>
      </w:r>
      <w:r w:rsidRPr="0008481A">
        <w:t>d</w:t>
      </w:r>
      <w:r w:rsidRPr="0008481A">
        <w:t>ningen (1993:100) till 7 kap. respektive bilaga 3 (jfr förordning (1998:1003) om ändring i högskoleförordningen (1993:100) ). Någon förändring av innehållet av betydelse för dett</w:t>
      </w:r>
      <w:r w:rsidRPr="0008481A">
        <w:t xml:space="preserve">a ärende har inte skett. </w:t>
      </w:r>
    </w:p>
    <w:p w:rsidR="003B3271" w:rsidRPr="0008481A" w:rsidRDefault="003B3271">
      <w:pPr>
        <w:pStyle w:val="Normaltindrag"/>
      </w:pPr>
      <w:r w:rsidRPr="0008481A">
        <w:t>Högskoleverket är, enligt myndighetens instruktion, inte bara central myndighet för universitet och högskolor med offentlig huvudman. Verket är också central myndighet för enskilda anordnare av utbildning på högskole</w:t>
      </w:r>
      <w:r w:rsidRPr="0008481A">
        <w:softHyphen/>
        <w:t>nivå vilka får statsb</w:t>
      </w:r>
      <w:r w:rsidRPr="0008481A">
        <w:t>i</w:t>
      </w:r>
      <w:r w:rsidRPr="0008481A">
        <w:t>drag eller har tillstånd att utfärda examina. Denna grupp av anordnare står dock inte under min tillsyn. Anmälan till den del den riktar sig mot högskolor som inte har en offentlig huvudman, närmare bestämt Chalmers tekniska högskola, Ha</w:t>
      </w:r>
      <w:r w:rsidRPr="0008481A">
        <w:t>n</w:t>
      </w:r>
      <w:r w:rsidRPr="0008481A">
        <w:t xml:space="preserve">delshögskolan i Stockholm samt Högskolan i Jönköping, föranleder därför inte någon åtgärd från min sida. </w:t>
      </w:r>
    </w:p>
    <w:p w:rsidR="003B3271" w:rsidRPr="0008481A" w:rsidRDefault="003B3271">
      <w:pPr>
        <w:pStyle w:val="Normaltindrag"/>
      </w:pPr>
      <w:r w:rsidRPr="0008481A">
        <w:t>Maria Schoeffler har ifrågasatt om revideringen av omräkningstabellerna gjordes i behörig ordning och av behörigt organ. Av Högskoleverkets remis</w:t>
      </w:r>
      <w:r w:rsidRPr="0008481A">
        <w:t>svar framgår att tabellerna ingår i den utländska bedömningshandbok som utarbetats på uppdrag av Sveriges universitets- och högskoleförbund (SUHF), som är ett samarbetsorgan mellan universitet och högskolor. SUHF står inte under JO:s tillsyn. Utredningen i denna del ger mig inte heller i övrigt anledning att göra något uttala</w:t>
      </w:r>
      <w:r w:rsidRPr="0008481A">
        <w:t>n</w:t>
      </w:r>
      <w:r w:rsidRPr="0008481A">
        <w:t>de.</w:t>
      </w:r>
    </w:p>
    <w:p w:rsidR="003B3271" w:rsidRPr="0008481A" w:rsidRDefault="003B3271">
      <w:pPr>
        <w:pStyle w:val="Normaltindrag"/>
      </w:pPr>
      <w:r w:rsidRPr="0008481A">
        <w:t>Vid antagningen till höstterminen 1998 hade varje universitet och högskola, i e</w:t>
      </w:r>
      <w:r w:rsidRPr="0008481A">
        <w:t>n</w:t>
      </w:r>
      <w:r w:rsidRPr="0008481A">
        <w:t>lighet med bestämmelsen i 8 kap. 19 § högskoleförordningen, i dess lydelse före den 1 januari 1999, att självständigt besluta om antagningen, inom ramen för de urvalskriterier som meddelats genom och med stöd av högskolelagen och hö</w:t>
      </w:r>
      <w:r w:rsidRPr="0008481A">
        <w:t>g</w:t>
      </w:r>
      <w:r w:rsidRPr="0008481A">
        <w:t>skoleförordningen. I enlighet med Högskoleverkets nya föreskrifter om de s.k. kvotgrupperna skulle studenter med utländska gymnasiebetyg, som tidigare plac</w:t>
      </w:r>
      <w:r w:rsidRPr="0008481A">
        <w:t>e</w:t>
      </w:r>
      <w:r w:rsidRPr="0008481A">
        <w:t>rats i en egen kvotgrupp, fr.o.m. antagningen till höstterminen 1998 plac</w:t>
      </w:r>
      <w:r w:rsidRPr="0008481A">
        <w:t>e</w:t>
      </w:r>
      <w:r w:rsidRPr="0008481A">
        <w:t>ras i samma grupp som studenter med slutbetyg fr</w:t>
      </w:r>
      <w:r w:rsidRPr="0008481A">
        <w:t>ån äldre svenska utbildningar i gymnasieskolan. Förutom Högskoleverkets föreskrift om att betyg från en u</w:t>
      </w:r>
      <w:r w:rsidRPr="0008481A">
        <w:t>t</w:t>
      </w:r>
      <w:r w:rsidRPr="0008481A">
        <w:t>ländsk gymnasieutbildning skulle överföras till en skala som var gemensam för alla utländska gymnasieutbildningar, fanns ingen föreskrift om hur dessa betyg skulle värderas. Det ålåg sålunda de olika läroanstalterna att själva besluta om hur denna värdering skulle göras. Utredningen visar att flertalet universitet och hö</w:t>
      </w:r>
      <w:r w:rsidRPr="0008481A">
        <w:t>g</w:t>
      </w:r>
      <w:r w:rsidRPr="0008481A">
        <w:t>skolor valde att tillämpa de nya omräkningstabellerna vid antagningen. Det finns in</w:t>
      </w:r>
      <w:r w:rsidRPr="0008481A">
        <w:t>te underlag för mig att påstå att dessa läroanstalter handlade felaktigt i formellt hänsee</w:t>
      </w:r>
      <w:r w:rsidRPr="0008481A">
        <w:t>n</w:t>
      </w:r>
      <w:r w:rsidRPr="0008481A">
        <w:t>de.</w:t>
      </w:r>
    </w:p>
    <w:p w:rsidR="003B3271" w:rsidRPr="0008481A" w:rsidRDefault="003B3271">
      <w:pPr>
        <w:pStyle w:val="Normaltindrag"/>
      </w:pPr>
      <w:r w:rsidRPr="0008481A">
        <w:t>Högskoleverkets nya föreskrifter om de s.k. kvotgrupperna synes ha varit den främsta orsaken till att de nya omräkningstabellerna tillämpades redan vid anta</w:t>
      </w:r>
      <w:r w:rsidRPr="0008481A">
        <w:t>g</w:t>
      </w:r>
      <w:r w:rsidRPr="0008481A">
        <w:t>ningen till höstterminen 1998. Flera lärosäten har enligt Högskoleverket angivit att den nya indelningen av grupperna gjorde det nödvändigt att av rättviseskäl tillämpa de nya tabellerna. Enligt min mening borde verket närmare ha undersökt vilka konsekvenser den nya indelningen av grupperna kunde komma att få innan föreskrifterna meddelades. Det måste ha legat nära till hands att anta att värd</w:t>
      </w:r>
      <w:r w:rsidRPr="0008481A">
        <w:t>e</w:t>
      </w:r>
      <w:r w:rsidRPr="0008481A">
        <w:t>ringen av de utländska gymnasiebetygen skulle kunna få en annan betydelse när dessa skulle bedömas i samma grupp s</w:t>
      </w:r>
      <w:r w:rsidRPr="0008481A">
        <w:t>om svenska betyg. Jag har förståelse för om studenter med utländska gymnasiebetyg har upplevt sig orättvist drabbade av att de nya omräkningstabellerna kom att tillämpas med så kort varsel. Som Högsk</w:t>
      </w:r>
      <w:r w:rsidRPr="0008481A">
        <w:t>o</w:t>
      </w:r>
      <w:r w:rsidRPr="0008481A">
        <w:t>leverket har anfört bör enskilda som avser att söka till universitet och högskolor i god tid få besked om ändringar som innebär försämringar av de meritvärden som de konkurrerar med vid urvalet. Jag förutsätter därför att Högskoleverket numera är mer uppmärksamt på denna typ av frågor, till undvikande av en såd</w:t>
      </w:r>
      <w:r w:rsidRPr="0008481A">
        <w:t>an bristande framförhållning beträffande antagnings</w:t>
      </w:r>
      <w:r w:rsidRPr="0008481A">
        <w:softHyphen/>
        <w:t>reglerna som har uppenbarats i detta äre</w:t>
      </w:r>
      <w:r w:rsidRPr="0008481A">
        <w:t>n</w:t>
      </w:r>
      <w:r w:rsidRPr="0008481A">
        <w:t xml:space="preserve">de. </w:t>
      </w:r>
    </w:p>
    <w:p w:rsidR="003B3271" w:rsidRPr="0008481A" w:rsidRDefault="003B3271">
      <w:pPr>
        <w:pStyle w:val="Normaltindrag"/>
      </w:pPr>
      <w:r w:rsidRPr="0008481A">
        <w:t>Högskoleverket har i sitt remissvar under rubriken Föreskrifter inför antagningen till höstterminen 1997 redovisat att verket den 29 oktober 1996 beslutade om för</w:t>
      </w:r>
      <w:r w:rsidRPr="0008481A">
        <w:t>e</w:t>
      </w:r>
      <w:r w:rsidRPr="0008481A">
        <w:t>skrifter om standardbehörigheter (HSVFS 1996:21) som trädde i kraft den 15 december 1996. Förskrifterna beslutades med stöd av bemyndiganden i 8 kap. 8 § andra stycket och 9 § första stycket högskole</w:t>
      </w:r>
      <w:r w:rsidRPr="0008481A">
        <w:softHyphen/>
        <w:t>förordningen, i dess lydelse efter den 1 december 1996, då förordningen (1996:984) om ändring i högskoleföror</w:t>
      </w:r>
      <w:r w:rsidRPr="0008481A">
        <w:t>d</w:t>
      </w:r>
      <w:r w:rsidRPr="0008481A">
        <w:t>ningen (1993:100) trädde i kraft i fråga om bl.a. de delar som avsåg nämnda b</w:t>
      </w:r>
      <w:r w:rsidRPr="0008481A">
        <w:t>e</w:t>
      </w:r>
      <w:r w:rsidRPr="0008481A">
        <w:t>myndiganden. Förordningen utkom från trycket den 29 oktober 1996, dvs. samma dag som Högskole</w:t>
      </w:r>
      <w:r w:rsidRPr="0008481A">
        <w:softHyphen/>
        <w:t>verket fattade beslut om före</w:t>
      </w:r>
      <w:r w:rsidRPr="0008481A">
        <w:t>skrifterna. Högskoleverkets för</w:t>
      </w:r>
      <w:r w:rsidRPr="0008481A">
        <w:t>e</w:t>
      </w:r>
      <w:r w:rsidRPr="0008481A">
        <w:t>skrifter utkom från trycket den 11 november 1996. Detta innebär att Högskoleve</w:t>
      </w:r>
      <w:r w:rsidRPr="0008481A">
        <w:t>r</w:t>
      </w:r>
      <w:r w:rsidRPr="0008481A">
        <w:t>ket utfärdade föreskrifter med stöd av bemyndiganden i en förordning som ännu inte hade trätt i kraft. Föreskrifterna skulle visserligen träda i kraft först efter ti</w:t>
      </w:r>
      <w:r w:rsidRPr="0008481A">
        <w:t>d</w:t>
      </w:r>
      <w:r w:rsidRPr="0008481A">
        <w:t>punkten för förordningens ikraftträdande vad avser relevanta bemyndiganden. Förfarandet väcker ändå den mer allmänt principiella frågan om lämpligheten i att en myndighet meddelar föreskrifter innan den har ett formellt bemyndigande at</w:t>
      </w:r>
      <w:r w:rsidRPr="0008481A">
        <w:t xml:space="preserve">t göra det. Jag finner dock inte skäl att i detta ärende uppehålla mig närmare vid denna fråga. </w:t>
      </w:r>
    </w:p>
    <w:p w:rsidR="003B3271" w:rsidRPr="0008481A" w:rsidRDefault="003B3271">
      <w:pPr>
        <w:pStyle w:val="Normaltindrag"/>
      </w:pPr>
      <w:r w:rsidRPr="0008481A">
        <w:t>Vad som i övrigt förekommit i ärendet föranleder inget uttalande från min sida.</w:t>
      </w:r>
    </w:p>
    <w:p w:rsidR="003B3271" w:rsidRPr="0008481A" w:rsidRDefault="003B3271">
      <w:pPr>
        <w:pStyle w:val="Normaltindrag"/>
      </w:pPr>
      <w:r w:rsidRPr="0008481A">
        <w:t>Ärendet avslutas med den kritik, såvitt avser Högskoleverket, som ligger i det ovan anförda.</w:t>
      </w:r>
    </w:p>
    <w:p w:rsidR="003B3271" w:rsidRPr="0008481A" w:rsidRDefault="003B3271">
      <w:pPr>
        <w:pStyle w:val="Rubrik2"/>
        <w:spacing w:before="0"/>
      </w:pPr>
      <w:r w:rsidRPr="0008481A">
        <w:br w:type="page"/>
        <w:t>En kursföreståndare vid institutionen för idéhistoria vid Umeå univer</w:t>
      </w:r>
      <w:r w:rsidRPr="0008481A">
        <w:softHyphen/>
        <w:t>sitet har efterforskat vem som lämnat vissa uppgifter i en kursutvärde</w:t>
      </w:r>
      <w:r w:rsidRPr="0008481A">
        <w:softHyphen/>
        <w:t>ring. Fråga om lagligheten respektive lämpligheten av den vidtagna åtgärden</w:t>
      </w:r>
    </w:p>
    <w:p w:rsidR="003B3271" w:rsidRPr="0008481A" w:rsidRDefault="003B3271">
      <w:r w:rsidRPr="0008481A">
        <w:t>(Dnr 216-1999)</w:t>
      </w:r>
    </w:p>
    <w:p w:rsidR="003B3271" w:rsidRPr="0008481A" w:rsidRDefault="003B3271">
      <w:pPr>
        <w:pStyle w:val="Rubrik3"/>
      </w:pPr>
      <w:r w:rsidRPr="0008481A">
        <w:t>Bakgrund</w:t>
      </w:r>
    </w:p>
    <w:p w:rsidR="003B3271" w:rsidRPr="0008481A" w:rsidRDefault="003B3271">
      <w:r w:rsidRPr="0008481A">
        <w:t>I november 1998 gjordes en utvärdering av en kurs på institutionen för idéhistoria vid Umeå universitet. Vid utvärderingen ombads studenterna bl.a. att gradera lä</w:t>
      </w:r>
      <w:r w:rsidRPr="0008481A">
        <w:softHyphen/>
        <w:t>rarnas insatser på en femgradig skala, där betyget 1 stod för ”inte alls tillfreds</w:t>
      </w:r>
      <w:r w:rsidRPr="0008481A">
        <w:softHyphen/>
        <w:t>ställande” och betyget 5 stod för ”mycket tillfreds</w:t>
      </w:r>
      <w:r w:rsidRPr="0008481A">
        <w:softHyphen/>
        <w:t>ställan</w:t>
      </w:r>
      <w:r w:rsidRPr="0008481A">
        <w:softHyphen/>
        <w:t>de”. Vid genomgången av de ingivna svaren kunde konstateras att en av lärarna erhållit betyget 1 med kom</w:t>
      </w:r>
      <w:r w:rsidRPr="0008481A">
        <w:softHyphen/>
        <w:t>mentaren ”verkar inte kunna något om de områden hon pratat om, onödig lärare”.  På de blanketter som tillhandahölls för utvärderingen fanns inte något utrymme för angivande av personuppgif</w:t>
      </w:r>
      <w:r w:rsidRPr="0008481A">
        <w:softHyphen/>
        <w:t>ter. Sådana uppgifter hade inte heller lämnats av den student som haft anm</w:t>
      </w:r>
      <w:r w:rsidRPr="0008481A">
        <w:t>ärkningar på läraren. Däremot fanns på blanketten en begäran om att ange ålder och kön samt tidigare vid universitetet avlagda poäng. Några dagar efter det att kursutvärderingen genomförts kontaktades två studenter av kursföreståndaren och examinatorn Åsa Bergenheim som ville få reda på vem som hade skrivit de negativa omdömena om läraren.</w:t>
      </w:r>
    </w:p>
    <w:p w:rsidR="003B3271" w:rsidRPr="0008481A" w:rsidRDefault="003B3271">
      <w:pPr>
        <w:pStyle w:val="Rubrik3"/>
      </w:pPr>
      <w:r w:rsidRPr="0008481A">
        <w:t>Anmälan</w:t>
      </w:r>
    </w:p>
    <w:p w:rsidR="003B3271" w:rsidRPr="0008481A" w:rsidRDefault="003B3271">
      <w:r w:rsidRPr="0008481A">
        <w:t>Bertil Janson begärde i en anmälan till JO att JO skulle granska om universitetets hantering av kursutvärderingen varit i överensstämmelse med gällande regler. Bertil Janson ifrågasatte därvid såväl lagligheten som lämpligheten i att universi</w:t>
      </w:r>
      <w:r w:rsidRPr="0008481A">
        <w:softHyphen/>
        <w:t>tetet efterforskat vem som lämnat uppgifter i kursutvärderingen, vilken hade ge</w:t>
      </w:r>
      <w:r w:rsidRPr="0008481A">
        <w:softHyphen/>
        <w:t>nomförts på ett sådant sätt att studenterna med fog ingetts uppfattningen att upp</w:t>
      </w:r>
      <w:r w:rsidRPr="0008481A">
        <w:softHyphen/>
        <w:t xml:space="preserve">gifterna lämnades anonymt. </w:t>
      </w:r>
    </w:p>
    <w:p w:rsidR="003B3271" w:rsidRPr="0008481A" w:rsidRDefault="003B3271">
      <w:pPr>
        <w:pStyle w:val="Rubrik3"/>
      </w:pPr>
      <w:r w:rsidRPr="0008481A">
        <w:t>Utredning</w:t>
      </w:r>
    </w:p>
    <w:p w:rsidR="003B3271" w:rsidRPr="0008481A" w:rsidRDefault="003B3271">
      <w:r w:rsidRPr="0008481A">
        <w:t>Anmälan remitterades till rektor för Umeå universitet för utredning och yttrande. Universitetet anförde i ett yttrande, beslutat av tf. rektor Jan-Olof Kellerth, föl</w:t>
      </w:r>
      <w:r w:rsidRPr="0008481A">
        <w:softHyphen/>
        <w:t>jande.</w:t>
      </w:r>
    </w:p>
    <w:p w:rsidR="003B3271" w:rsidRPr="0008481A" w:rsidRDefault="003B3271">
      <w:pPr>
        <w:pStyle w:val="Citat"/>
      </w:pPr>
      <w:r w:rsidRPr="0008481A">
        <w:t>Rektor för Umeå universitet har anmodats att inkomma med utredning och yttrande över vad som framförs i Bertil Jansons anmälan till JO. Med bifo</w:t>
      </w:r>
      <w:r w:rsidRPr="0008481A">
        <w:softHyphen/>
        <w:t xml:space="preserve">gande av redogörelse 990125 från universitetslektorn Åsa Bergenheim </w:t>
      </w:r>
      <w:r w:rsidRPr="0008481A">
        <w:rPr>
          <w:i/>
        </w:rPr>
        <w:t xml:space="preserve">(här utelämnad) </w:t>
      </w:r>
      <w:r w:rsidRPr="0008481A">
        <w:t>får universitetsledningen här</w:t>
      </w:r>
      <w:r w:rsidRPr="0008481A">
        <w:softHyphen/>
        <w:t>med anföra följande.</w:t>
      </w:r>
    </w:p>
    <w:p w:rsidR="003B3271" w:rsidRPr="0008481A" w:rsidRDefault="003B3271">
      <w:pPr>
        <w:pStyle w:val="Rubrik4"/>
      </w:pPr>
      <w:r w:rsidRPr="0008481A">
        <w:t>Allmänt om kursutvärderingar vid Umeå universitet</w:t>
      </w:r>
    </w:p>
    <w:p w:rsidR="003B3271" w:rsidRPr="0008481A" w:rsidRDefault="003B3271">
      <w:pPr>
        <w:pStyle w:val="Citat"/>
      </w:pPr>
      <w:r w:rsidRPr="0008481A">
        <w:t>Kursutvärdering för kvalitetsutveckling och verksamhetsuppföljning skall göras av alla kurser vid Umeå universitet enligt ett beslut av universitetssty</w:t>
      </w:r>
      <w:r w:rsidRPr="0008481A">
        <w:softHyphen/>
        <w:t>relsen 1991-06-03 (dnr 500-2146-90). Av beslutet framgår bl.a. att ”utvärderingar skall göras av alla fristående kur</w:t>
      </w:r>
      <w:r w:rsidRPr="0008481A">
        <w:softHyphen/>
        <w:t>ser, linjekurser och linjeut</w:t>
      </w:r>
      <w:r w:rsidRPr="0008481A">
        <w:softHyphen/>
        <w:t>bildningar inom grundut</w:t>
      </w:r>
      <w:r w:rsidRPr="0008481A">
        <w:softHyphen/>
        <w:t>bildningen vid Umeå universitet från och med läs</w:t>
      </w:r>
      <w:r w:rsidRPr="0008481A">
        <w:softHyphen/>
        <w:t>året 1991/92”. Vidare sägs att ”kursutvärderingarna skall vara ett av flera under</w:t>
      </w:r>
      <w:r w:rsidRPr="0008481A">
        <w:softHyphen/>
        <w:t>lag vid institutionernas och linjenämndernas planering och utveckling av utbild</w:t>
      </w:r>
      <w:r w:rsidRPr="0008481A">
        <w:softHyphen/>
        <w:t>ningar”. (</w:t>
      </w:r>
      <w:r w:rsidRPr="0008481A">
        <w:rPr>
          <w:i/>
        </w:rPr>
        <w:t>Anm</w:t>
      </w:r>
      <w:r w:rsidRPr="0008481A">
        <w:t>. Terminolo</w:t>
      </w:r>
      <w:r w:rsidRPr="0008481A">
        <w:softHyphen/>
        <w:t>gin är sedermera ändrad. Enligt 6 kap. 1 § högskoleförord</w:t>
      </w:r>
      <w:r w:rsidRPr="0008481A">
        <w:softHyphen/>
        <w:t>ningen (1993:100) skall all grundläggande utbil</w:t>
      </w:r>
      <w:r w:rsidRPr="0008481A">
        <w:t>dning be</w:t>
      </w:r>
      <w:r w:rsidRPr="0008481A">
        <w:softHyphen/>
        <w:t>drivas i form av kurser. Kurser får sammanföras till utbildningsprogram.)</w:t>
      </w:r>
    </w:p>
    <w:p w:rsidR="003B3271" w:rsidRPr="0008481A" w:rsidRDefault="003B3271">
      <w:pPr>
        <w:pStyle w:val="Citatindrag"/>
      </w:pPr>
      <w:r w:rsidRPr="0008481A">
        <w:t>Intentionen är att studenterna skall motiveras och uppmuntras att delta i kursutvärderings</w:t>
      </w:r>
      <w:r w:rsidRPr="0008481A">
        <w:softHyphen/>
        <w:t>arbetet. Kursgivande institution är ansvarig för att utvärde</w:t>
      </w:r>
      <w:r w:rsidRPr="0008481A">
        <w:softHyphen/>
        <w:t>ringar av kurser planeras, ge</w:t>
      </w:r>
      <w:r w:rsidRPr="0008481A">
        <w:softHyphen/>
        <w:t>nomförs och följs upp i samarbete med studen</w:t>
      </w:r>
      <w:r w:rsidRPr="0008481A">
        <w:softHyphen/>
        <w:t>terna. Resul</w:t>
      </w:r>
      <w:r w:rsidRPr="0008481A">
        <w:softHyphen/>
        <w:t>taten av kursutvärderingarna skall sparas i lämplig form och fin</w:t>
      </w:r>
      <w:r w:rsidRPr="0008481A">
        <w:softHyphen/>
        <w:t>nas tillgängliga. Fakultetsnämnderna har det övergri</w:t>
      </w:r>
      <w:r w:rsidRPr="0008481A">
        <w:softHyphen/>
        <w:t>pande ansvaret för att lämpliga kursutvärderingsprogram utarbetas och genomförs, var och en inom sitt ansvarsområde. De har också att följa upp och stimulera utveck</w:t>
      </w:r>
      <w:r w:rsidRPr="0008481A">
        <w:softHyphen/>
        <w:t>lingen av dessa kursutvärderingsprogram.</w:t>
      </w:r>
    </w:p>
    <w:p w:rsidR="003B3271" w:rsidRPr="0008481A" w:rsidRDefault="003B3271">
      <w:pPr>
        <w:pStyle w:val="Citatindrag"/>
      </w:pPr>
      <w:r w:rsidRPr="0008481A">
        <w:t>Det finns dock inga generella föreskri</w:t>
      </w:r>
      <w:r w:rsidRPr="0008481A">
        <w:t>fter om hur kursutvärderingarna skall genomföras, och praxis varierar följaktligen mycket mellan olika institutio</w:t>
      </w:r>
      <w:r w:rsidRPr="0008481A">
        <w:softHyphen/>
        <w:t>ner och ämnesområden. Den vanligaste formen torde vara enkäter riktade till stu</w:t>
      </w:r>
      <w:r w:rsidRPr="0008481A">
        <w:softHyphen/>
        <w:t>denterna efter avslutad kurs eller ge</w:t>
      </w:r>
      <w:r w:rsidRPr="0008481A">
        <w:softHyphen/>
        <w:t>nomgånget program. Det bedrivs också på försök kursutvärdering som gruppintervjuer med studenter.</w:t>
      </w:r>
    </w:p>
    <w:p w:rsidR="003B3271" w:rsidRPr="0008481A" w:rsidRDefault="003B3271">
      <w:pPr>
        <w:pStyle w:val="Citatindrag"/>
      </w:pPr>
      <w:r w:rsidRPr="0008481A">
        <w:t>Det skall framhållas att det pågår ett omfattande, kontinuerligt arbete för att förbättra kvaliteten på undervisningen vid universitetet, och i detta arbete ingår också utveckling av</w:t>
      </w:r>
      <w:r w:rsidRPr="0008481A">
        <w:t xml:space="preserve"> olika former för utvärdering av utbildningen. Så till exem</w:t>
      </w:r>
      <w:r w:rsidRPr="0008481A">
        <w:softHyphen/>
        <w:t>pel har den av universitets</w:t>
      </w:r>
      <w:r w:rsidRPr="0008481A">
        <w:softHyphen/>
        <w:t>styrelsen tillsatta kommittén för kvali</w:t>
      </w:r>
      <w:r w:rsidRPr="0008481A">
        <w:softHyphen/>
        <w:t>tetsfrågor vid Umeå universitet som en av uppgif</w:t>
      </w:r>
      <w:r w:rsidRPr="0008481A">
        <w:softHyphen/>
        <w:t>terna i sitt handlingspro</w:t>
      </w:r>
      <w:r w:rsidRPr="0008481A">
        <w:softHyphen/>
        <w:t>gram för 1999 satt upp att, i samarbete med studentkårerna och PU-enheten, utarbeta en policy</w:t>
      </w:r>
      <w:r w:rsidRPr="0008481A">
        <w:softHyphen/>
        <w:t>skrift om kurs- och programutvärdering. Skriften skall fungera som underlag för diskussioner om hur systemet med kursutvärde</w:t>
      </w:r>
      <w:r w:rsidRPr="0008481A">
        <w:softHyphen/>
        <w:t>ringar kan och bör utvecklas i framtiden.</w:t>
      </w:r>
    </w:p>
    <w:p w:rsidR="003B3271" w:rsidRPr="0008481A" w:rsidRDefault="003B3271">
      <w:pPr>
        <w:pStyle w:val="Rubrik4"/>
      </w:pPr>
      <w:r w:rsidRPr="0008481A">
        <w:t>Anonymt eller inte</w:t>
      </w:r>
    </w:p>
    <w:p w:rsidR="003B3271" w:rsidRPr="0008481A" w:rsidRDefault="003B3271">
      <w:pPr>
        <w:pStyle w:val="Citat"/>
      </w:pPr>
      <w:r w:rsidRPr="0008481A">
        <w:t>Det råder delade meningar bland såväl lärare som studenter om huruvida kurs</w:t>
      </w:r>
      <w:r w:rsidRPr="0008481A">
        <w:softHyphen/>
        <w:t>utvärde</w:t>
      </w:r>
      <w:r w:rsidRPr="0008481A">
        <w:softHyphen/>
        <w:t>ringar skall göras anonymt eller inte. De som förordar anony</w:t>
      </w:r>
      <w:r w:rsidRPr="0008481A">
        <w:softHyphen/>
        <w:t>mitet hävdar att det är nöd</w:t>
      </w:r>
      <w:r w:rsidRPr="0008481A">
        <w:softHyphen/>
        <w:t>vändigt för att studenterna skall våga uttrycka sin ärliga mening och inte hålla inne med eventuellt kritiska synpunkter av rädsla för repressalier från lärarnas sida i form av sämre betyg, etc.</w:t>
      </w:r>
    </w:p>
    <w:p w:rsidR="003B3271" w:rsidRPr="0008481A" w:rsidRDefault="003B3271">
      <w:pPr>
        <w:pStyle w:val="Citatindrag"/>
      </w:pPr>
      <w:r w:rsidRPr="0008481A">
        <w:t>Lärare som anser att värderingarna inte skall vara anonyma menar att dessa däri</w:t>
      </w:r>
      <w:r w:rsidRPr="0008481A">
        <w:softHyphen/>
        <w:t>genom förlorar i värde. Syftet med en kursutvärdering är att inhämta studen</w:t>
      </w:r>
      <w:r w:rsidRPr="0008481A">
        <w:softHyphen/>
        <w:t>ternas erfarenheter och uppfattning av uppläggning och genomfö</w:t>
      </w:r>
      <w:r w:rsidRPr="0008481A">
        <w:softHyphen/>
        <w:t>rande av en kurs för att med utgångspunkt därifrån eventuellt kunna för</w:t>
      </w:r>
      <w:r w:rsidRPr="0008481A">
        <w:softHyphen/>
        <w:t>ändra och för</w:t>
      </w:r>
      <w:r w:rsidRPr="0008481A">
        <w:softHyphen/>
        <w:t>bättra utbildningen under kommande kurser. Tonvikten skall alltså läggas på bedömning av kursen inte av lärarna som personer. Av erfa</w:t>
      </w:r>
      <w:r w:rsidRPr="0008481A">
        <w:softHyphen/>
        <w:t>renhet vet lärarna att studenter lägger sig mera vinn om att formulera och motivera sina synpunkter, om de också förväntas uppge sina namn. – Under skyd</w:t>
      </w:r>
      <w:r w:rsidRPr="0008481A">
        <w:t>d av anonymitet händer det ibland att enstaka studenter avger onyanse</w:t>
      </w:r>
      <w:r w:rsidRPr="0008481A">
        <w:softHyphen/>
        <w:t>rade, kränkande eller plumpa kom</w:t>
      </w:r>
      <w:r w:rsidRPr="0008481A">
        <w:softHyphen/>
        <w:t>mentarer mot lärare i utvärderingsformu</w:t>
      </w:r>
      <w:r w:rsidRPr="0008481A">
        <w:softHyphen/>
        <w:t>lären, vilket inte gagnar någon.</w:t>
      </w:r>
    </w:p>
    <w:p w:rsidR="003B3271" w:rsidRPr="0008481A" w:rsidRDefault="003B3271">
      <w:pPr>
        <w:pStyle w:val="Citatindrag"/>
      </w:pPr>
      <w:r w:rsidRPr="0008481A">
        <w:t>Studenter som anser att värderingarna inte skall vara anonyma framhåller bl.a. att de är vuxna personer, som måste våga att öppet stå för sin uppfatt</w:t>
      </w:r>
      <w:r w:rsidRPr="0008481A">
        <w:softHyphen/>
        <w:t>ning även när den är kritisk. – Det förtjänar att påpekas att studenter inte så sällan frivil</w:t>
      </w:r>
      <w:r w:rsidRPr="0008481A">
        <w:softHyphen/>
        <w:t>ligt undertecknar ifyllda enkät</w:t>
      </w:r>
      <w:r w:rsidRPr="0008481A">
        <w:softHyphen/>
        <w:t>formulär med sina namn.</w:t>
      </w:r>
    </w:p>
    <w:p w:rsidR="003B3271" w:rsidRPr="0008481A" w:rsidRDefault="003B3271">
      <w:pPr>
        <w:pStyle w:val="Citatindrag"/>
      </w:pPr>
      <w:r w:rsidRPr="0008481A">
        <w:t>I den praxis som utvecklats vid universitetet är det vanligast att de förtryckta frågefor</w:t>
      </w:r>
      <w:r w:rsidRPr="0008481A">
        <w:softHyphen/>
        <w:t>mulären saknar anvisning om underskrift. Detta innebär naturligen att studenterna upp</w:t>
      </w:r>
      <w:r w:rsidRPr="0008481A">
        <w:softHyphen/>
        <w:t>fattar sig som anonyma, om de lämnar in kursvärde</w:t>
      </w:r>
      <w:r w:rsidRPr="0008481A">
        <w:softHyphen/>
        <w:t>ringar</w:t>
      </w:r>
      <w:r w:rsidRPr="0008481A">
        <w:softHyphen/>
        <w:t>na utan att underteckna dem, och det respekteras som regel också från institutio</w:t>
      </w:r>
      <w:r w:rsidRPr="0008481A">
        <w:softHyphen/>
        <w:t>nernas sida. Men det är inte något i lag reglerat anonymitetsskydd jämförbart med tryckfrihetsförordningens föreskrifter om s.k. medde</w:t>
      </w:r>
      <w:r w:rsidRPr="0008481A">
        <w:softHyphen/>
        <w:t>larskydd för den som lämnar uppgifter och underrättelser för offentliggö</w:t>
      </w:r>
      <w:r w:rsidRPr="0008481A">
        <w:softHyphen/>
        <w:t>rande i tryckt skrift.</w:t>
      </w:r>
    </w:p>
    <w:p w:rsidR="003B3271" w:rsidRPr="0008481A" w:rsidRDefault="003B3271">
      <w:pPr>
        <w:pStyle w:val="Rubrik4"/>
      </w:pPr>
      <w:r w:rsidRPr="0008481A">
        <w:t>JO-anmälan</w:t>
      </w:r>
    </w:p>
    <w:p w:rsidR="003B3271" w:rsidRPr="0008481A" w:rsidRDefault="003B3271">
      <w:pPr>
        <w:pStyle w:val="Citat"/>
      </w:pPr>
      <w:r w:rsidRPr="0008481A">
        <w:t>Händelseförloppet i det anmälda ärendet framgår av den till anmälan fogade dokumentationen. Såväl de berörda studenterna som Åsa Bergenheim har in</w:t>
      </w:r>
      <w:r w:rsidRPr="0008481A">
        <w:softHyphen/>
        <w:t>gående redo</w:t>
      </w:r>
      <w:r w:rsidRPr="0008481A">
        <w:softHyphen/>
        <w:t>gjort dels för vad de själva sagt och gjort, dels för hur de upp</w:t>
      </w:r>
      <w:r w:rsidRPr="0008481A">
        <w:softHyphen/>
        <w:t>fattat varandras åtgärder och inbördes samtal.</w:t>
      </w:r>
    </w:p>
    <w:p w:rsidR="003B3271" w:rsidRPr="0008481A" w:rsidRDefault="003B3271">
      <w:pPr>
        <w:pStyle w:val="Citatindrag"/>
      </w:pPr>
      <w:r w:rsidRPr="0008481A">
        <w:t>Bertil Jansons framställning av problemet (s. 2) måste dock tillrättaläggas i ett avseende. Kursutvärdering innebär inte myndighetsutövning mot någon en</w:t>
      </w:r>
      <w:r w:rsidRPr="0008481A">
        <w:softHyphen/>
        <w:t>skild, dvs. den innefattar inte beslut eller åtgärd, där en sak som angår nå</w:t>
      </w:r>
      <w:r w:rsidRPr="0008481A">
        <w:softHyphen/>
        <w:t>gon enskild person avgörs ensidigt av universitetet som myndighet. Av den inledan</w:t>
      </w:r>
      <w:r w:rsidRPr="0008481A">
        <w:softHyphen/>
        <w:t>de redogörelsen ovan framgår att kursutvär</w:t>
      </w:r>
      <w:r w:rsidRPr="0008481A">
        <w:softHyphen/>
        <w:t>deringar uteslutande är ett led i universitetets kvalitetsarbete. Det behöver således inte utredas ”huru</w:t>
      </w:r>
      <w:r w:rsidRPr="0008481A">
        <w:softHyphen/>
        <w:t>vida myn</w:t>
      </w:r>
      <w:r w:rsidRPr="0008481A">
        <w:softHyphen/>
        <w:t>dighetsutövningen varit opartisk och saklig i detta ärende”.</w:t>
      </w:r>
    </w:p>
    <w:p w:rsidR="003B3271" w:rsidRPr="0008481A" w:rsidRDefault="003B3271">
      <w:pPr>
        <w:pStyle w:val="Citatindrag"/>
      </w:pPr>
      <w:r w:rsidRPr="0008481A">
        <w:t>Däremot är det uppenbart att en lärare vid universitetet funnit sig för</w:t>
      </w:r>
      <w:r w:rsidRPr="0008481A">
        <w:softHyphen/>
        <w:t>anlåten att, på grund av särskilda omständigheter, försöka utreda orsaken till att en viss kursutvärdering inne</w:t>
      </w:r>
      <w:r w:rsidRPr="0008481A">
        <w:softHyphen/>
        <w:t>fattat anmärkningsvärt negativa omdömen om en ung lärare. De fyra viktiga punkterna i Bertil Jansons skrivelse vill univer</w:t>
      </w:r>
      <w:r w:rsidRPr="0008481A">
        <w:softHyphen/>
        <w:t>sitetsled</w:t>
      </w:r>
      <w:r w:rsidRPr="0008481A">
        <w:softHyphen/>
        <w:t>ningen kommentera på följande sätt.</w:t>
      </w:r>
    </w:p>
    <w:p w:rsidR="003B3271" w:rsidRPr="0008481A" w:rsidRDefault="003B3271">
      <w:pPr>
        <w:pStyle w:val="Citatindrag"/>
      </w:pPr>
      <w:r w:rsidRPr="0008481A">
        <w:t>1. Det är säkert riktigt att studenterna av alla de skäl som anges i skrivelsen haft anled</w:t>
      </w:r>
      <w:r w:rsidRPr="0008481A">
        <w:softHyphen/>
        <w:t>ning att tro att deras kursutvärderingar var anonyma. Det finns därför fog för att ifråga</w:t>
      </w:r>
      <w:r w:rsidRPr="0008481A">
        <w:softHyphen/>
        <w:t>sätta om man från institutionens sida över huvud ta</w:t>
      </w:r>
      <w:r w:rsidRPr="0008481A">
        <w:softHyphen/>
        <w:t>get skall för</w:t>
      </w:r>
      <w:r w:rsidRPr="0008481A">
        <w:softHyphen/>
        <w:t>söka att i efterhand ta reda på vem som skrivit vad. – Förhopp</w:t>
      </w:r>
      <w:r w:rsidRPr="0008481A">
        <w:softHyphen/>
        <w:t>ningsvis kommer det arbete som bedrivs av kommittén för kvalitetsfrågor att utmynna i riktlinjer för utformningen av kursutvärderingar. Ett för</w:t>
      </w:r>
      <w:r w:rsidRPr="0008481A">
        <w:softHyphen/>
        <w:t>slag som redan diskuterats är att formulären skall förses med plats för namnun</w:t>
      </w:r>
      <w:r w:rsidRPr="0008481A">
        <w:softHyphen/>
        <w:t>derskrift jämte anmärkning om att det är en frivillig uppgift.</w:t>
      </w:r>
    </w:p>
    <w:p w:rsidR="003B3271" w:rsidRPr="0008481A" w:rsidRDefault="003B3271">
      <w:pPr>
        <w:pStyle w:val="Citatindrag"/>
      </w:pPr>
      <w:r w:rsidRPr="0008481A">
        <w:t>2. Åsa</w:t>
      </w:r>
      <w:r w:rsidRPr="0008481A">
        <w:t xml:space="preserve"> Bergenheim (ÅB) är en erkänt skicklig och engagerad lärare, som själv till över</w:t>
      </w:r>
      <w:r w:rsidRPr="0008481A">
        <w:softHyphen/>
        <w:t>vägande del fått mycket positiva omdömen i kursutvärderingar av studen</w:t>
      </w:r>
      <w:r w:rsidRPr="0008481A">
        <w:softHyphen/>
        <w:t>ter, som deltagit i hennes undervisning. Hon känner också stort an</w:t>
      </w:r>
      <w:r w:rsidRPr="0008481A">
        <w:softHyphen/>
        <w:t>svar för de doktorander som hon hand</w:t>
      </w:r>
      <w:r w:rsidRPr="0008481A">
        <w:softHyphen/>
        <w:t>leder. Som framgår av ÅB:s egen de</w:t>
      </w:r>
      <w:r w:rsidRPr="0008481A">
        <w:softHyphen/>
        <w:t>taljerade redo</w:t>
      </w:r>
      <w:r w:rsidRPr="0008481A">
        <w:softHyphen/>
        <w:t>görelse kände hon sig vid detta tillfälle särskilt oroad av den negativa kursutvär</w:t>
      </w:r>
      <w:r w:rsidRPr="0008481A">
        <w:softHyphen/>
        <w:t>deringen, inte bara för den kritiserade doktoran</w:t>
      </w:r>
      <w:r w:rsidRPr="0008481A">
        <w:softHyphen/>
        <w:t>dens utan även för den kritise</w:t>
      </w:r>
      <w:r w:rsidRPr="0008481A">
        <w:softHyphen/>
        <w:t>rande studentens skull. Hon övervägde olika</w:t>
      </w:r>
      <w:r w:rsidRPr="0008481A">
        <w:t xml:space="preserve"> alternativ för hantering av situa</w:t>
      </w:r>
      <w:r w:rsidRPr="0008481A">
        <w:softHyphen/>
        <w:t>tionen. Efter samråd med flera av sina kolleger och i tron att hennes egen rela</w:t>
      </w:r>
      <w:r w:rsidRPr="0008481A">
        <w:softHyphen/>
        <w:t>tion till studenterna på denna kurs var mycket god beslöt ÅB att under hand försöka utröna vad som föranlett de negativa om</w:t>
      </w:r>
      <w:r w:rsidRPr="0008481A">
        <w:softHyphen/>
        <w:t>dömena om doktoranden genom att prata med de studenter som kunde anta</w:t>
      </w:r>
      <w:r w:rsidRPr="0008481A">
        <w:softHyphen/>
        <w:t>gas ha avgivit dem.</w:t>
      </w:r>
    </w:p>
    <w:p w:rsidR="003B3271" w:rsidRPr="0008481A" w:rsidRDefault="003B3271">
      <w:pPr>
        <w:pStyle w:val="Citatindrag"/>
      </w:pPr>
      <w:r w:rsidRPr="0008481A">
        <w:t>I efterhand är det lätt att konstatera att ÅB missbedömt situationen. Hon upp</w:t>
      </w:r>
      <w:r w:rsidRPr="0008481A">
        <w:softHyphen/>
        <w:t>ger själv i sin redogörelse att hon inser att hon handlat olämpligt. Uni</w:t>
      </w:r>
      <w:r w:rsidRPr="0008481A">
        <w:softHyphen/>
        <w:t>versitetsledningen vill inte heller försvara hennes handlingssätt men anser att de motiv hon anfört för att förklara sitt age</w:t>
      </w:r>
      <w:r w:rsidRPr="0008481A">
        <w:softHyphen/>
        <w:t>rande utgör förmildrande om</w:t>
      </w:r>
      <w:r w:rsidRPr="0008481A">
        <w:softHyphen/>
        <w:t>ständigheter.</w:t>
      </w:r>
    </w:p>
    <w:p w:rsidR="003B3271" w:rsidRPr="0008481A" w:rsidRDefault="003B3271">
      <w:pPr>
        <w:pStyle w:val="Citatindrag"/>
      </w:pPr>
      <w:r w:rsidRPr="0008481A">
        <w:t>3. Det förefaller av dokumentationen som om ÅB:s försök att förklara sig inför studen</w:t>
      </w:r>
      <w:r w:rsidRPr="0008481A">
        <w:softHyphen/>
        <w:t>terna för att lugna dem snarast haft motsatt effekt, dvs. de har känt sig ännu mera oroliga. Detta tycks de dock inte på ett tillräckligt tydligt sätt ha vi</w:t>
      </w:r>
      <w:r w:rsidRPr="0008481A">
        <w:softHyphen/>
        <w:t>sat vid hennes direkta kontakter med dem, och ÅB har felaktigt fått intrycket att saken var utagerad. De tycks inte heller ha litat på ÅB:s uppre</w:t>
      </w:r>
      <w:r w:rsidRPr="0008481A">
        <w:softHyphen/>
        <w:t>pade försäkringar att det inträffade inte skulle påverka hennes be</w:t>
      </w:r>
      <w:r w:rsidRPr="0008481A">
        <w:softHyphen/>
        <w:t>tygssättning av dem. Uni</w:t>
      </w:r>
      <w:r w:rsidRPr="0008481A">
        <w:softHyphen/>
        <w:t>versitetsledningen finner detta beklagligt men knappast möjligt att påverka.</w:t>
      </w:r>
    </w:p>
    <w:p w:rsidR="003B3271" w:rsidRPr="0008481A" w:rsidRDefault="003B3271">
      <w:pPr>
        <w:pStyle w:val="Citat"/>
      </w:pPr>
      <w:r w:rsidRPr="0008481A">
        <w:t>– – –</w:t>
      </w:r>
    </w:p>
    <w:p w:rsidR="003B3271" w:rsidRPr="0008481A" w:rsidRDefault="003B3271">
      <w:pPr>
        <w:pStyle w:val="Citat"/>
      </w:pPr>
      <w:r w:rsidRPr="0008481A">
        <w:t>Sammanfattningsvis konstaterar universitetsledningen att Åsa Bergenheim själv medgivit att hon i detta ärende förfarit på ett olämpligt sätt och bekla</w:t>
      </w:r>
      <w:r w:rsidRPr="0008481A">
        <w:softHyphen/>
        <w:t>gar att berörda studenter tagit så illa vid sig. Det torde inte föreligga någon risk för att saken skall upprepas. Under hän</w:t>
      </w:r>
      <w:r w:rsidRPr="0008481A">
        <w:softHyphen/>
        <w:t>visning till det ovan anförda fö</w:t>
      </w:r>
      <w:r w:rsidRPr="0008481A">
        <w:softHyphen/>
        <w:t>reslår universitetsledningen därför att Bertil Jansons an</w:t>
      </w:r>
      <w:r w:rsidRPr="0008481A">
        <w:softHyphen/>
        <w:t>mälan inte skall för</w:t>
      </w:r>
      <w:r w:rsidRPr="0008481A">
        <w:softHyphen/>
        <w:t>anleda någon JO:s åtgärd.</w:t>
      </w:r>
    </w:p>
    <w:p w:rsidR="003B3271" w:rsidRPr="0008481A" w:rsidRDefault="003B3271">
      <w:r w:rsidRPr="0008481A">
        <w:t>Bertil Janson kommenterade remissvaret.</w:t>
      </w:r>
    </w:p>
    <w:p w:rsidR="003B3271" w:rsidRPr="0008481A" w:rsidRDefault="003B3271">
      <w:r w:rsidRPr="0008481A">
        <w:t>JO hade tillgång till den redogörelse som lämnats av lektor Åsa Bergenheim som underlag till universitetets remissvar och en kopia av den kurs</w:t>
      </w:r>
      <w:r w:rsidRPr="0008481A">
        <w:softHyphen/>
        <w:t>utvär</w:t>
      </w:r>
      <w:r w:rsidRPr="0008481A">
        <w:softHyphen/>
        <w:t>de</w:t>
      </w:r>
      <w:r w:rsidRPr="0008481A">
        <w:softHyphen/>
        <w:t>ring som innehöll anmärkningarna mot läraren i fråga.</w:t>
      </w:r>
    </w:p>
    <w:p w:rsidR="003B3271" w:rsidRPr="0008481A" w:rsidRDefault="003B3271">
      <w:r w:rsidRPr="0008481A">
        <w:t xml:space="preserve">I beslut den 30 maj 2000 anförde JO </w:t>
      </w:r>
      <w:r w:rsidRPr="0008481A">
        <w:rPr>
          <w:i/>
        </w:rPr>
        <w:t>André</w:t>
      </w:r>
      <w:r w:rsidRPr="0008481A">
        <w:t xml:space="preserve"> följande.</w:t>
      </w:r>
    </w:p>
    <w:p w:rsidR="003B3271" w:rsidRPr="0008481A" w:rsidRDefault="003B3271">
      <w:pPr>
        <w:pStyle w:val="Rubrik3"/>
      </w:pPr>
      <w:r w:rsidRPr="0008481A">
        <w:t>Bedömning</w:t>
      </w:r>
    </w:p>
    <w:p w:rsidR="003B3271" w:rsidRPr="0008481A" w:rsidRDefault="003B3271">
      <w:r w:rsidRPr="0008481A">
        <w:t>Jag vill inledningsvis klargöra att uppgifter i s.k. kursutvärderingar inte omfattas av något skydd enligt sekretesslagens (1980:100) bestämmelser. För det fall nå</w:t>
      </w:r>
      <w:r w:rsidRPr="0008481A">
        <w:softHyphen/>
        <w:t>gon undertecknat en kursutvärdering med sitt namn finns det alltså inte möjlighet att sekretessbelägga vem som har lämnat uppgifterna i fråga. Den som utan angi</w:t>
      </w:r>
      <w:r w:rsidRPr="0008481A">
        <w:softHyphen/>
        <w:t>vande av sitt namn lämnar uppgifter i en sådan utvärde</w:t>
      </w:r>
      <w:r w:rsidRPr="0008481A">
        <w:softHyphen/>
        <w:t>ring åtnjuter inte heller något lagstadgat skydd beträffande rätten att få vara anonym. Universitetets åtgärd att efterforska vem eller vilka som hade läm</w:t>
      </w:r>
      <w:r w:rsidRPr="0008481A">
        <w:softHyphen/>
        <w:t>nat de aktuella uppgifterna i kursut</w:t>
      </w:r>
      <w:r w:rsidRPr="0008481A">
        <w:softHyphen/>
        <w:t>värderingen har således inte stått i strid med bestämmelser i lag eller annan för</w:t>
      </w:r>
      <w:r w:rsidRPr="0008481A">
        <w:softHyphen/>
        <w:t>ordning.</w:t>
      </w:r>
    </w:p>
    <w:p w:rsidR="003B3271" w:rsidRPr="0008481A" w:rsidRDefault="003B3271">
      <w:pPr>
        <w:pStyle w:val="Normaltindrag"/>
      </w:pPr>
      <w:r w:rsidRPr="0008481A">
        <w:t>Som universi</w:t>
      </w:r>
      <w:r w:rsidRPr="0008481A">
        <w:t>tetet har anfört i sitt remissvar innefattar en kursutvärdering inte nå</w:t>
      </w:r>
      <w:r w:rsidRPr="0008481A">
        <w:softHyphen/>
        <w:t>gon åtgärd som är att anse som myndighetsutövning mot enskild. En kursutvär</w:t>
      </w:r>
      <w:r w:rsidRPr="0008481A">
        <w:softHyphen/>
        <w:t>dering är uteslutande att anse som ett led i universitetets kvalitets</w:t>
      </w:r>
      <w:r w:rsidRPr="0008481A">
        <w:softHyphen/>
        <w:t>arbete. Detta innebär att universitetet har frihet att bestämma formerna för hur utvärderingen skall ske. Det står alltså universitetet eller den befattnings</w:t>
      </w:r>
      <w:r w:rsidRPr="0008481A">
        <w:softHyphen/>
        <w:t>havare som ansva</w:t>
      </w:r>
      <w:r w:rsidRPr="0008481A">
        <w:softHyphen/>
        <w:t>rar för utvärderingen fritt att avgöra om den skall ske med eller utan angivande av per</w:t>
      </w:r>
      <w:r w:rsidRPr="0008481A">
        <w:softHyphen/>
        <w:t>sonuppgifter. Det förtjänar eme</w:t>
      </w:r>
      <w:r w:rsidRPr="0008481A">
        <w:t>llertid att påpekas att en student inte mot sin vilja kan tvingas att medverka i kursutvärderingar eller att på en sådan ange sina per</w:t>
      </w:r>
      <w:r w:rsidRPr="0008481A">
        <w:softHyphen/>
        <w:t xml:space="preserve">sonuppgifter. </w:t>
      </w:r>
    </w:p>
    <w:p w:rsidR="003B3271" w:rsidRPr="0008481A" w:rsidRDefault="003B3271">
      <w:pPr>
        <w:pStyle w:val="Normaltindrag"/>
      </w:pPr>
      <w:r w:rsidRPr="0008481A">
        <w:t>Som universitetet har anfört i remissvaret finns det skäl som talar såväl för som emot att kursutvärderingar sker utan angivande av vem som har lämnat uppgif</w:t>
      </w:r>
      <w:r w:rsidRPr="0008481A">
        <w:softHyphen/>
        <w:t>terna i fråga. Det finns inte anledning för mig att anlägga några synpunkter på vad som är mest lämpligt eller ändamålsenligt i det avseendet. Enligt min mening bör det emellertid från början göras klart för studenterna om uppgifterna skall lämnas anonymt eller inte. Om man väljer att låta studenterna lämna uppgifterna anonymt bör det inte komma i fråga att senare efterforska vem som har lämnat en viss upp</w:t>
      </w:r>
      <w:r w:rsidRPr="0008481A">
        <w:softHyphen/>
        <w:t>gift.</w:t>
      </w:r>
    </w:p>
    <w:p w:rsidR="003B3271" w:rsidRPr="0008481A" w:rsidRDefault="003B3271">
      <w:pPr>
        <w:pStyle w:val="Normaltindrag"/>
      </w:pPr>
      <w:r w:rsidRPr="0008481A">
        <w:t xml:space="preserve"> Jag kan av det material som jag har haft tillgång till kunnat konstatera att den kursutvärderi</w:t>
      </w:r>
      <w:r w:rsidRPr="0008481A">
        <w:t>ng som anmälan rör var utformad på ett sådant sätt att studenterna måste ha fått uppfattningen att deras svar var anonyma. Mot bakgrund av vad jag nyss anfört anser jag att Åsa Bergenheims åtgärder för att efterforska vem som hade lämnat de negativa uppgifterna var mindre lämpliga. Detta visas också av den reaktion som hennes åtgärder framkallade hos framför allt de berörda studen</w:t>
      </w:r>
      <w:r w:rsidRPr="0008481A">
        <w:softHyphen/>
        <w:t>terna. Jag noterar emellertid att hennes agerande uppenbart inte haft något repres</w:t>
      </w:r>
      <w:r w:rsidRPr="0008481A">
        <w:softHyphen/>
        <w:t>sivt syfte och jag kan i och för sig hysa vis</w:t>
      </w:r>
      <w:r w:rsidRPr="0008481A">
        <w:t>s förståelse för de skäl som legat bakom efterforskningen.</w:t>
      </w:r>
    </w:p>
    <w:p w:rsidR="003B3271" w:rsidRPr="0008481A" w:rsidRDefault="003B3271">
      <w:pPr>
        <w:pStyle w:val="Normaltindrag"/>
      </w:pPr>
      <w:r w:rsidRPr="0008481A">
        <w:t>Universitetet har anfört att en policyskrift om kurs- och programut</w:t>
      </w:r>
      <w:r w:rsidRPr="0008481A">
        <w:softHyphen/>
        <w:t>värde</w:t>
      </w:r>
      <w:r w:rsidRPr="0008481A">
        <w:softHyphen/>
        <w:t>ring, i samråd med bl.a. studentkårerna, skall utarbetas av en av universitets</w:t>
      </w:r>
      <w:r w:rsidRPr="0008481A">
        <w:softHyphen/>
        <w:t xml:space="preserve">styrelsen tillsatt kommitté för kvalitetsfrågor. Jag förutsätter att de uttalanden jag nu har gjort beaktas i detta arbete. </w:t>
      </w:r>
    </w:p>
    <w:p w:rsidR="003B3271" w:rsidRPr="0008481A" w:rsidRDefault="003B3271">
      <w:pPr>
        <w:pStyle w:val="Normaltindrag"/>
      </w:pPr>
      <w:r w:rsidRPr="0008481A">
        <w:t>Med den kritik som ligger i det anförda avslutas ärendet.</w:t>
      </w:r>
    </w:p>
    <w:p w:rsidR="003B3271" w:rsidRPr="0008481A" w:rsidRDefault="003B3271">
      <w:pPr>
        <w:pStyle w:val="Rubrik2"/>
      </w:pPr>
      <w:r w:rsidRPr="0008481A">
        <w:t>Kritik mot kommunal vuxenutbildning (komvux) bl.a. för att utan rätt</w:t>
      </w:r>
      <w:r w:rsidRPr="0008481A">
        <w:t>s</w:t>
      </w:r>
      <w:r w:rsidRPr="0008481A">
        <w:t xml:space="preserve">ligt stöd ta ut avgifter av eleverna för stenciler </w:t>
      </w:r>
    </w:p>
    <w:p w:rsidR="003B3271" w:rsidRPr="0008481A" w:rsidRDefault="003B3271">
      <w:r w:rsidRPr="0008481A">
        <w:t>(Dnr 4082-1998)</w:t>
      </w:r>
    </w:p>
    <w:p w:rsidR="003B3271" w:rsidRPr="0008481A" w:rsidRDefault="003B3271">
      <w:pPr>
        <w:pStyle w:val="Rubrik3"/>
      </w:pPr>
      <w:r w:rsidRPr="0008481A">
        <w:t>Anmälan</w:t>
      </w:r>
    </w:p>
    <w:p w:rsidR="003B3271" w:rsidRPr="0008481A" w:rsidRDefault="003B3271">
      <w:r w:rsidRPr="0008481A">
        <w:t>I en anmälan till JO anförde Sven A.S. Blomdahl klagomål mot komvux i Sund</w:t>
      </w:r>
      <w:r w:rsidRPr="0008481A">
        <w:t>s</w:t>
      </w:r>
      <w:r w:rsidRPr="0008481A">
        <w:t>valls kommun varvid han bl.a. gjorde gällande att eleverna ålagts att betala en ”stencileringsavgift” om 100 kr per termin. I en komplettering till sin anm</w:t>
      </w:r>
      <w:r w:rsidRPr="0008481A">
        <w:t>ä</w:t>
      </w:r>
      <w:r w:rsidRPr="0008481A">
        <w:t>lan bifogade han ett, som det får förstås, till honom ställt meddelande med följa</w:t>
      </w:r>
      <w:r w:rsidRPr="0008481A">
        <w:t>n</w:t>
      </w:r>
      <w:r w:rsidRPr="0008481A">
        <w:t>de lydelse.</w:t>
      </w:r>
    </w:p>
    <w:p w:rsidR="003B3271" w:rsidRPr="0008481A" w:rsidRDefault="003B3271">
      <w:r w:rsidRPr="0008481A">
        <w:t>DU HAR INTE BETALT KOPIERINGSAVGIFTEN.</w:t>
      </w:r>
    </w:p>
    <w:p w:rsidR="003B3271" w:rsidRPr="0008481A" w:rsidRDefault="003B3271">
      <w:r w:rsidRPr="0008481A">
        <w:t>OM DU INTE BETALAR KOMMER VI INTE ATT REGISTRERA DIN ANSÖKAN FÖR VÅRTERMINEN 1999.</w:t>
      </w:r>
    </w:p>
    <w:p w:rsidR="003B3271" w:rsidRPr="0008481A" w:rsidRDefault="003B3271">
      <w:pPr>
        <w:pStyle w:val="Rubrik3"/>
      </w:pPr>
      <w:r w:rsidRPr="0008481A">
        <w:t>Utredning</w:t>
      </w:r>
    </w:p>
    <w:p w:rsidR="003B3271" w:rsidRPr="0008481A" w:rsidRDefault="003B3271">
      <w:r w:rsidRPr="0008481A">
        <w:t>Anmälan remitterades till Skolnämnden, numera Barn- och utbildnings</w:t>
      </w:r>
      <w:r w:rsidRPr="0008481A">
        <w:softHyphen/>
        <w:t>nämnden, i Sundsvalls kommun. Näm</w:t>
      </w:r>
      <w:r w:rsidRPr="0008481A">
        <w:t>n</w:t>
      </w:r>
      <w:r w:rsidRPr="0008481A">
        <w:t>den anförde i sitt remissvar bl.a. följande.</w:t>
      </w:r>
    </w:p>
    <w:p w:rsidR="003B3271" w:rsidRPr="0008481A" w:rsidRDefault="003B3271">
      <w:pPr>
        <w:pStyle w:val="Citat"/>
      </w:pPr>
      <w:r w:rsidRPr="0008481A">
        <w:t>Fram t.o.m. 1992 hade elever vid komvux i Sundsvall fria läromedel. Den förmånen b</w:t>
      </w:r>
      <w:r w:rsidRPr="0008481A">
        <w:t>e</w:t>
      </w:r>
      <w:r w:rsidRPr="0008481A">
        <w:t>slutade dåvarande skolstyrelsen att ta bort när 1993 års budget fastställdes. Skolledningen på komvux beslöt då att mot en lägre avgift erbjuda eleverna läromedel i form av kopior, kompendier m.m. Tanken var att elevernas kostnader för läromedel skulle reduceras g</w:t>
      </w:r>
      <w:r w:rsidRPr="0008481A">
        <w:t>e</w:t>
      </w:r>
      <w:r w:rsidRPr="0008481A">
        <w:t>nom att skolan till självkostnadspris tillhandahåller visst material.</w:t>
      </w:r>
    </w:p>
    <w:p w:rsidR="003B3271" w:rsidRPr="0008481A" w:rsidRDefault="003B3271">
      <w:pPr>
        <w:pStyle w:val="Citat"/>
      </w:pPr>
      <w:r w:rsidRPr="0008481A">
        <w:t>Stöd för detta beslut finns i skollagen 11 kap. 5 §.</w:t>
      </w:r>
    </w:p>
    <w:p w:rsidR="003B3271" w:rsidRPr="0008481A" w:rsidRDefault="003B3271">
      <w:pPr>
        <w:pStyle w:val="Citat"/>
      </w:pPr>
      <w:r w:rsidRPr="0008481A">
        <w:t>Såvitt gäller läroböcker, skrivmaterial, verktyg, skyddskläder och andra därmed jämfö</w:t>
      </w:r>
      <w:r w:rsidRPr="0008481A">
        <w:t>r</w:t>
      </w:r>
      <w:r w:rsidRPr="0008481A">
        <w:t>liga hjälpmedel som varje elev har för eget bruk och behåller som sin egendom, får h</w:t>
      </w:r>
      <w:r w:rsidRPr="0008481A">
        <w:t>u</w:t>
      </w:r>
      <w:r w:rsidRPr="0008481A">
        <w:t>vudmannen bestämma att hjälpmedel skall anskaffas av eleverna själva på egen bekos</w:t>
      </w:r>
      <w:r w:rsidRPr="0008481A">
        <w:t>t</w:t>
      </w:r>
      <w:r w:rsidRPr="0008481A">
        <w:t>nad eller erbjudas mot avgifter som högst motsvarar huvudmannens anskaffningskostn</w:t>
      </w:r>
      <w:r w:rsidRPr="0008481A">
        <w:t>a</w:t>
      </w:r>
      <w:r w:rsidRPr="0008481A">
        <w:t>der.</w:t>
      </w:r>
    </w:p>
    <w:p w:rsidR="003B3271" w:rsidRPr="0008481A" w:rsidRDefault="003B3271">
      <w:pPr>
        <w:pStyle w:val="Citat"/>
      </w:pPr>
      <w:r w:rsidRPr="0008481A">
        <w:t>Avgiften fastställdes till:</w:t>
      </w:r>
    </w:p>
    <w:p w:rsidR="003B3271" w:rsidRPr="0008481A" w:rsidRDefault="003B3271">
      <w:pPr>
        <w:pStyle w:val="PunktlistaTankstreck"/>
        <w:tabs>
          <w:tab w:val="num" w:pos="360"/>
        </w:tabs>
      </w:pPr>
      <w:r w:rsidRPr="0008481A">
        <w:t>50 kr per termin för elever som läser endast en kurs</w:t>
      </w:r>
    </w:p>
    <w:p w:rsidR="003B3271" w:rsidRPr="0008481A" w:rsidRDefault="003B3271">
      <w:pPr>
        <w:pStyle w:val="PunktlistaTankstreck"/>
        <w:tabs>
          <w:tab w:val="num" w:pos="360"/>
        </w:tabs>
      </w:pPr>
      <w:r w:rsidRPr="0008481A">
        <w:t>100 kr per termin för övriga elever</w:t>
      </w:r>
    </w:p>
    <w:p w:rsidR="003B3271" w:rsidRPr="0008481A" w:rsidRDefault="003B3271">
      <w:pPr>
        <w:pStyle w:val="Citat"/>
      </w:pPr>
      <w:r w:rsidRPr="0008481A">
        <w:t>För detta erbjuds eleverna</w:t>
      </w:r>
    </w:p>
    <w:p w:rsidR="003B3271" w:rsidRPr="0008481A" w:rsidRDefault="003B3271">
      <w:pPr>
        <w:pStyle w:val="PunktlistaBomb"/>
        <w:numPr>
          <w:ilvl w:val="0"/>
          <w:numId w:val="1"/>
        </w:numPr>
        <w:spacing w:before="120" w:line="200" w:lineRule="exact"/>
      </w:pPr>
      <w:r w:rsidRPr="0008481A">
        <w:t>kopior ur kurslitteraturen där endast ett fåtal sidor anses oundgängliga</w:t>
      </w:r>
    </w:p>
    <w:p w:rsidR="003B3271" w:rsidRPr="0008481A" w:rsidRDefault="003B3271">
      <w:pPr>
        <w:pStyle w:val="PunktlistaBomb"/>
        <w:numPr>
          <w:ilvl w:val="0"/>
          <w:numId w:val="1"/>
        </w:numPr>
        <w:spacing w:before="0" w:line="200" w:lineRule="exact"/>
      </w:pPr>
      <w:r w:rsidRPr="0008481A">
        <w:t>kompendier som utarbetats av lärare och ersätter delar av kurslitterat</w:t>
      </w:r>
      <w:r w:rsidRPr="0008481A">
        <w:t>u</w:t>
      </w:r>
      <w:r w:rsidRPr="0008481A">
        <w:t>ren</w:t>
      </w:r>
    </w:p>
    <w:p w:rsidR="003B3271" w:rsidRPr="0008481A" w:rsidRDefault="003B3271">
      <w:pPr>
        <w:pStyle w:val="PunktlistaBomb"/>
        <w:numPr>
          <w:ilvl w:val="0"/>
          <w:numId w:val="1"/>
        </w:numPr>
        <w:spacing w:before="0" w:line="200" w:lineRule="exact"/>
      </w:pPr>
      <w:r w:rsidRPr="0008481A">
        <w:t>kopior ur bibliotekslitteratur, tidningar och tidskrifter utifrån elevens eget önskemål förutsatt att innehållet anknyter till studerad kurs</w:t>
      </w:r>
    </w:p>
    <w:p w:rsidR="003B3271" w:rsidRPr="0008481A" w:rsidRDefault="003B3271">
      <w:pPr>
        <w:pStyle w:val="PunktlistaBomb"/>
        <w:numPr>
          <w:ilvl w:val="0"/>
          <w:numId w:val="1"/>
        </w:numPr>
        <w:spacing w:before="0" w:line="200" w:lineRule="exact"/>
      </w:pPr>
      <w:r w:rsidRPr="0008481A">
        <w:t>i princip fri kopiering av övningsmaterial med obegränsad kopieringsrätt</w:t>
      </w:r>
    </w:p>
    <w:p w:rsidR="003B3271" w:rsidRPr="0008481A" w:rsidRDefault="003B3271">
      <w:pPr>
        <w:pStyle w:val="PunktlistaBomb"/>
        <w:numPr>
          <w:ilvl w:val="0"/>
          <w:numId w:val="1"/>
        </w:numPr>
        <w:spacing w:before="0" w:line="200" w:lineRule="exact"/>
      </w:pPr>
      <w:r w:rsidRPr="0008481A">
        <w:t>tillgång till datasalar med utskriftsmöjligheter på icke undervisningstid</w:t>
      </w:r>
    </w:p>
    <w:p w:rsidR="003B3271" w:rsidRPr="0008481A" w:rsidRDefault="003B3271">
      <w:pPr>
        <w:pStyle w:val="PunktlistaBomb"/>
        <w:numPr>
          <w:ilvl w:val="0"/>
          <w:numId w:val="1"/>
        </w:numPr>
        <w:spacing w:before="0" w:line="200" w:lineRule="exact"/>
      </w:pPr>
      <w:r w:rsidRPr="0008481A">
        <w:t>kopior av rapporter och liknande som andra elever i samma kurs prod</w:t>
      </w:r>
      <w:r w:rsidRPr="0008481A">
        <w:t>u</w:t>
      </w:r>
      <w:r w:rsidRPr="0008481A">
        <w:t>cerat</w:t>
      </w:r>
    </w:p>
    <w:p w:rsidR="003B3271" w:rsidRPr="0008481A" w:rsidRDefault="003B3271">
      <w:pPr>
        <w:pStyle w:val="PunktlistaBomb"/>
        <w:numPr>
          <w:ilvl w:val="0"/>
          <w:numId w:val="1"/>
        </w:numPr>
        <w:spacing w:before="0" w:line="200" w:lineRule="exact"/>
      </w:pPr>
      <w:r w:rsidRPr="0008481A">
        <w:t>projektorfilmsark</w:t>
      </w:r>
    </w:p>
    <w:p w:rsidR="003B3271" w:rsidRPr="0008481A" w:rsidRDefault="003B3271">
      <w:pPr>
        <w:pStyle w:val="Citat"/>
      </w:pPr>
      <w:r w:rsidRPr="0008481A">
        <w:t>Så gott som all kopiering utförs av skolans personal vilken också distribuerar det färdiga materialet. Systemet innebär att eleverna får tillgång till ett stort och varierat studiemat</w:t>
      </w:r>
      <w:r w:rsidRPr="0008481A">
        <w:t>e</w:t>
      </w:r>
      <w:r w:rsidRPr="0008481A">
        <w:t>rial anpassat till elevernas egna behov.</w:t>
      </w:r>
    </w:p>
    <w:p w:rsidR="003B3271" w:rsidRPr="0008481A" w:rsidRDefault="003B3271">
      <w:pPr>
        <w:pStyle w:val="Citatindrag"/>
      </w:pPr>
      <w:r w:rsidRPr="0008481A">
        <w:t xml:space="preserve">Avgiften bokförs som intäkt i komvux redovisning och uppgår till ca </w:t>
      </w:r>
      <w:r w:rsidRPr="0008481A">
        <w:br/>
        <w:t>225 tkr 1998.</w:t>
      </w:r>
    </w:p>
    <w:p w:rsidR="003B3271" w:rsidRPr="0008481A" w:rsidRDefault="003B3271">
      <w:pPr>
        <w:pStyle w:val="Citatindrag"/>
      </w:pPr>
      <w:r w:rsidRPr="0008481A">
        <w:t xml:space="preserve">Enligt skolnämndens uppfattning är den avgift som komvux tar ut för ovan redovisade tjänst rimlig i förhållande till det studiematerial som eleverna får. Intäkten budgeteras och bokförs på ett korrekt sätt i komvux redovisning. </w:t>
      </w:r>
    </w:p>
    <w:p w:rsidR="003B3271" w:rsidRPr="0008481A" w:rsidRDefault="003B3271">
      <w:pPr>
        <w:pStyle w:val="Citatindrag"/>
      </w:pPr>
      <w:r w:rsidRPr="0008481A">
        <w:t>Tyvärr har det under hösten 1998 gått ut ett brev till elever som inte betalat avgiften, där betalning av avgiften sägs vara en förutsättning för registrering av ansökan till nästa te</w:t>
      </w:r>
      <w:r w:rsidRPr="0008481A">
        <w:t>r</w:t>
      </w:r>
      <w:r w:rsidRPr="0008481A">
        <w:t>min. Så är naturligtvis inte fallet och information med det innehållet kommer inte att lä</w:t>
      </w:r>
      <w:r w:rsidRPr="0008481A">
        <w:t>m</w:t>
      </w:r>
      <w:r w:rsidRPr="0008481A">
        <w:t>nas i fortsättningen.</w:t>
      </w:r>
    </w:p>
    <w:p w:rsidR="003B3271" w:rsidRPr="0008481A" w:rsidRDefault="003B3271">
      <w:r w:rsidRPr="0008481A">
        <w:t>Sven A.S. Blomdahl bereddes tillfälle att yttra sig över remissvaret.</w:t>
      </w:r>
    </w:p>
    <w:p w:rsidR="003B3271" w:rsidRPr="0008481A" w:rsidRDefault="003B3271">
      <w:r w:rsidRPr="0008481A">
        <w:t>Vissa kompletterande upplysningar inhämtades per telefon från Barn- och utbil</w:t>
      </w:r>
      <w:r w:rsidRPr="0008481A">
        <w:t>d</w:t>
      </w:r>
      <w:r w:rsidRPr="0008481A">
        <w:t>ningskontoret i Sundsvalls kommun.</w:t>
      </w:r>
    </w:p>
    <w:p w:rsidR="003B3271" w:rsidRPr="0008481A" w:rsidRDefault="003B3271">
      <w:r w:rsidRPr="0008481A">
        <w:t xml:space="preserve">I beslut den 7 april 2000 anförde </w:t>
      </w:r>
      <w:r w:rsidRPr="0008481A">
        <w:rPr>
          <w:i/>
        </w:rPr>
        <w:t xml:space="preserve">JO André </w:t>
      </w:r>
      <w:r w:rsidRPr="0008481A">
        <w:t>följande.</w:t>
      </w:r>
    </w:p>
    <w:p w:rsidR="003B3271" w:rsidRPr="0008481A" w:rsidRDefault="003B3271">
      <w:pPr>
        <w:pStyle w:val="Rubrik3"/>
      </w:pPr>
      <w:r w:rsidRPr="0008481A">
        <w:t>Bedömning</w:t>
      </w:r>
    </w:p>
    <w:p w:rsidR="003B3271" w:rsidRPr="0008481A" w:rsidRDefault="003B3271">
      <w:r w:rsidRPr="0008481A">
        <w:t>Komvux är en del av det offentliga skolväsendet för vuxna. Enligt 1 kap. 10 § skollagen (1985:1100) är kommuner och landsting huvudmän för komvux. Enligt 2 kap. 1 § skollagen skall varje kommun och landsting som styrelse för sitt offentliga skolväsende utse en eller flera nämnder. För en sådan nämnd gäller vad som är föreskrivet om nämnder i kommunallagen (1991:900), KL. I 6 kap. 7 § KL stadgas bl.a. att nämnderna var och en inom sitt område skall se till att ver</w:t>
      </w:r>
      <w:r w:rsidRPr="0008481A">
        <w:t>k</w:t>
      </w:r>
      <w:r w:rsidRPr="0008481A">
        <w:t xml:space="preserve">samheten bedrivs i enlighet med de mål och riktlinjer som fullmäktige har bestämt samt de föreskrifter som gäller för verksamheten. </w:t>
      </w:r>
    </w:p>
    <w:p w:rsidR="003B3271" w:rsidRPr="0008481A" w:rsidRDefault="003B3271">
      <w:pPr>
        <w:pStyle w:val="Normaltindrag"/>
      </w:pPr>
      <w:r w:rsidRPr="0008481A">
        <w:t>Av utredningen framgår att beslut om fastställande av avgifter för vissa läromedel vid komvux i Sundsvalls kommun fattades av dåvarande skol</w:t>
      </w:r>
      <w:r w:rsidRPr="0008481A">
        <w:softHyphen/>
        <w:t>ledning, dvs. rektor i förening med studierektorer. Som rättsligt stöd för skol</w:t>
      </w:r>
      <w:r w:rsidRPr="0008481A">
        <w:softHyphen/>
        <w:t xml:space="preserve">ledningens beslut har nämnden åberopat bestämmelsen i 11 kap. 5 § andra stycket skollagen. </w:t>
      </w:r>
    </w:p>
    <w:p w:rsidR="003B3271" w:rsidRPr="0008481A" w:rsidRDefault="003B3271">
      <w:pPr>
        <w:pStyle w:val="Normaltindrag"/>
      </w:pPr>
      <w:r w:rsidRPr="0008481A">
        <w:t>Utbildningen i komvux skall enligt huvudregeln i 11 kap. 5 § första stycket sko</w:t>
      </w:r>
      <w:r w:rsidRPr="0008481A">
        <w:t>l</w:t>
      </w:r>
      <w:r w:rsidRPr="0008481A">
        <w:t>lagen vara avgiftsfri för eleverna. Som skolnämnden anfört får huvud</w:t>
      </w:r>
      <w:r w:rsidRPr="0008481A">
        <w:softHyphen/>
        <w:t>mannen emellertid enligt paragrafens andra stycke bestämma att vissa hjälp</w:t>
      </w:r>
      <w:r w:rsidRPr="0008481A">
        <w:softHyphen/>
        <w:t>medel som varje elev har för eget bruk och behåller som sin egendom, såsom exempelvis läroböcker och skrivmateriel, skall anskaffas av eleverna själva på egen bekostnad eller erbjudas mot avgifter som högst motsvarar huvud</w:t>
      </w:r>
      <w:r w:rsidRPr="0008481A">
        <w:softHyphen/>
        <w:t>mannens anskaffningskos</w:t>
      </w:r>
      <w:r w:rsidRPr="0008481A">
        <w:t>t</w:t>
      </w:r>
      <w:r w:rsidRPr="0008481A">
        <w:t>nader. Denna bestämmelse, som i viss mån inne</w:t>
      </w:r>
      <w:r w:rsidRPr="0008481A">
        <w:softHyphen/>
        <w:t>bar utökade möjligheter för ko</w:t>
      </w:r>
      <w:r w:rsidRPr="0008481A">
        <w:t>m</w:t>
      </w:r>
      <w:r w:rsidRPr="0008481A">
        <w:t xml:space="preserve">munerna att ta ut ersättning för kostnader </w:t>
      </w:r>
      <w:r w:rsidRPr="0008481A">
        <w:t>av eleverna, infördes i skollagen genom en lagändring år 1991 (prop. 1990/91:85).</w:t>
      </w:r>
    </w:p>
    <w:p w:rsidR="003B3271" w:rsidRPr="0008481A" w:rsidRDefault="003B3271">
      <w:pPr>
        <w:pStyle w:val="Normaltindrag"/>
      </w:pPr>
      <w:r w:rsidRPr="0008481A">
        <w:t xml:space="preserve">Enligt bestämmelsen i 11 kap. 5 § andra stycket skollagen får alltså </w:t>
      </w:r>
      <w:r w:rsidRPr="0008481A">
        <w:rPr>
          <w:i/>
        </w:rPr>
        <w:t xml:space="preserve">huvudmannen </w:t>
      </w:r>
      <w:r w:rsidRPr="0008481A">
        <w:t>fatta beslut om avgifter för vissa hjälpmedel. Som ovan anförts är det kommunen eller landstinget som är huvu</w:t>
      </w:r>
      <w:r w:rsidRPr="0008481A">
        <w:t>d</w:t>
      </w:r>
      <w:r w:rsidRPr="0008481A">
        <w:t>man för komvux.</w:t>
      </w:r>
    </w:p>
    <w:p w:rsidR="003B3271" w:rsidRPr="0008481A" w:rsidRDefault="003B3271">
      <w:pPr>
        <w:pStyle w:val="Normaltindrag"/>
      </w:pPr>
      <w:r w:rsidRPr="0008481A">
        <w:t>Enligt den grundläggande uppgiftsfördelningen inom en kommun eller ett land</w:t>
      </w:r>
      <w:r w:rsidRPr="0008481A">
        <w:t>s</w:t>
      </w:r>
      <w:r w:rsidRPr="0008481A">
        <w:t>ting har fullmäktige beslutanderätten i allmänhet. Principen kommer till uttryck i 3 kap. 9 § KL. I paragrafens första stycke föreskrivs att fullmäktige beslutar i ärenden av principiell beskaffenhet eller annars av större vikt för kommunen eller landstinget. I andra stycket anges att fullmäktige också beslutar i andra frågor som anges i kommunallagen eller i andra för</w:t>
      </w:r>
      <w:r w:rsidRPr="0008481A">
        <w:softHyphen/>
        <w:t>fattningar. I lagtexten ges också en e</w:t>
      </w:r>
      <w:r w:rsidRPr="0008481A">
        <w:t>x</w:t>
      </w:r>
      <w:r w:rsidRPr="0008481A">
        <w:t xml:space="preserve">emplifierande uppräkning av vilka slags ärenden som åsyftas i första stycket. I punkten 2 anges att </w:t>
      </w:r>
      <w:r w:rsidRPr="0008481A">
        <w:t>fullmäktige skall besluta om ”</w:t>
      </w:r>
      <w:r w:rsidRPr="0008481A">
        <w:rPr>
          <w:i/>
        </w:rPr>
        <w:t>budget, skatt och andra viktiga ekonomiska frågor”.</w:t>
      </w:r>
      <w:r w:rsidRPr="0008481A">
        <w:t xml:space="preserve"> Av lagens förarbeten framgår att beslut om avgifter generellt sett hör till sådana viktiga ekonomiska frågor (jfr prop. 1990/91:117 s. 49 och </w:t>
      </w:r>
      <w:r w:rsidRPr="0008481A">
        <w:br/>
        <w:t>s. 158 f.). Enligt 3 kap. 10 § KL får fullmäktige delegera viss beslutanderätt till en nämnd. De ärendegrupper som anges i 9 § första stycket faller dock utanför mö</w:t>
      </w:r>
      <w:r w:rsidRPr="0008481A">
        <w:t>j</w:t>
      </w:r>
      <w:r w:rsidRPr="0008481A">
        <w:t>ligheten att delegera. Av förarbetena framgår att lagstiftarens intentioner emelle</w:t>
      </w:r>
      <w:r w:rsidRPr="0008481A">
        <w:t>r</w:t>
      </w:r>
      <w:r w:rsidRPr="0008481A">
        <w:t>tid inte varit att fullmäktige måste av</w:t>
      </w:r>
      <w:r w:rsidRPr="0008481A">
        <w:t>göra avgifts</w:t>
      </w:r>
      <w:r w:rsidRPr="0008481A">
        <w:softHyphen/>
        <w:t>sättningen i varje enskilt fall. Om fullmäktige har antagit riktlinjer för avgiftsuttagen bör det vara möjligt att deleg</w:t>
      </w:r>
      <w:r w:rsidRPr="0008481A">
        <w:t>e</w:t>
      </w:r>
      <w:r w:rsidRPr="0008481A">
        <w:t>ra till en nämnd att bestämma avgiften. Utanför gruppen ”viktiga ekonomiska frågor” kan också falla avgiftsuttag som inte har någon direkt betydelse för ko</w:t>
      </w:r>
      <w:r w:rsidRPr="0008481A">
        <w:t>m</w:t>
      </w:r>
      <w:r w:rsidRPr="0008481A">
        <w:t>munalekonomin i stort (jfr prop. 1990/91:117 s. 158 f. och bet. 1990/91:KU38 s. 38 f.). Det kan tilläggas att även nämnderna enligt 6 kap. 33 § KL har viss mö</w:t>
      </w:r>
      <w:r w:rsidRPr="0008481A">
        <w:t>j</w:t>
      </w:r>
      <w:r w:rsidRPr="0008481A">
        <w:t xml:space="preserve">lighet att, med de begränsningar som följer av 6 kap. 34 § KL, </w:t>
      </w:r>
      <w:r w:rsidRPr="0008481A">
        <w:t>delegera sin besl</w:t>
      </w:r>
      <w:r w:rsidRPr="0008481A">
        <w:t>u</w:t>
      </w:r>
      <w:r w:rsidRPr="0008481A">
        <w:t>tand</w:t>
      </w:r>
      <w:r w:rsidRPr="0008481A">
        <w:t>e</w:t>
      </w:r>
      <w:r w:rsidRPr="0008481A">
        <w:t>rätt.</w:t>
      </w:r>
    </w:p>
    <w:p w:rsidR="003B3271" w:rsidRPr="0008481A" w:rsidRDefault="003B3271">
      <w:pPr>
        <w:pStyle w:val="Normaltindrag"/>
      </w:pPr>
      <w:r w:rsidRPr="0008481A">
        <w:t>Av utredningen i ärendet framgår att eleverna vid komvux i Sundsvalls kommun sedan 1993, enligt skolledningens beslut, har betalat avgifter för läromedel. Som har framgått av det ovan anförda kan ett sådant beslut inte fattas av skolledningen. Den brist som i detta fall har förevarit i formellt hänseende innebär att det har saknats lagligt stöd för komvux uttag av avgifterna. Jag förutsätter att nuvarande barn- och utbildningsnämnden om</w:t>
      </w:r>
      <w:r w:rsidRPr="0008481A">
        <w:softHyphen/>
        <w:t>gående vidtar erforderliga åtgärder avseende dessa avgi</w:t>
      </w:r>
      <w:r w:rsidRPr="0008481A">
        <w:t>f</w:t>
      </w:r>
      <w:r w:rsidRPr="0008481A">
        <w:t>ter.</w:t>
      </w:r>
    </w:p>
    <w:p w:rsidR="003B3271" w:rsidRPr="0008481A" w:rsidRDefault="003B3271">
      <w:pPr>
        <w:pStyle w:val="Normaltindrag"/>
      </w:pPr>
      <w:r w:rsidRPr="0008481A">
        <w:t>Avslutningsvis är det naturligtvis oacceptabelt att komvux meddelar en elev att dennes ansökan för kommande termin inte kommer att registreras om kopiering</w:t>
      </w:r>
      <w:r w:rsidRPr="0008481A">
        <w:t>s</w:t>
      </w:r>
      <w:r w:rsidRPr="0008481A">
        <w:t>avgiften inte betalas. Ett sådant meddelande tyder på en grav missuppfattning av skollagens bestämmelser om det offentliga skolväsendet för vuxna. I detta sa</w:t>
      </w:r>
      <w:r w:rsidRPr="0008481A">
        <w:t>m</w:t>
      </w:r>
      <w:r w:rsidRPr="0008481A">
        <w:t xml:space="preserve">manhang bör också understrykas att bestämmelsen i </w:t>
      </w:r>
      <w:r w:rsidRPr="0008481A">
        <w:br/>
        <w:t xml:space="preserve">11 kap. 5 § skollagen inte ger huvudmannen rätt att </w:t>
      </w:r>
      <w:r w:rsidRPr="0008481A">
        <w:rPr>
          <w:i/>
        </w:rPr>
        <w:t>ålägga</w:t>
      </w:r>
      <w:r w:rsidRPr="0008481A">
        <w:t xml:space="preserve"> eleverna att köpa läromedel hos huvudmannen. B</w:t>
      </w:r>
      <w:r w:rsidRPr="0008481A">
        <w:t>e</w:t>
      </w:r>
      <w:r w:rsidRPr="0008481A">
        <w:t xml:space="preserve">stämmelsen ger bara huvudmannen rätt att mot en avgift </w:t>
      </w:r>
      <w:r w:rsidRPr="0008481A">
        <w:rPr>
          <w:i/>
        </w:rPr>
        <w:t>erbjuda</w:t>
      </w:r>
      <w:r w:rsidRPr="0008481A">
        <w:t xml:space="preserve"> eleverna vissa hjälpmedel. Eleverna skall alltid ha frihet att anskaffa behövlig materiel på annat håll (jfr Tersmeden-Werner, ”Skoll</w:t>
      </w:r>
      <w:r w:rsidRPr="0008481A">
        <w:t xml:space="preserve">agstiftningens grunder”, s. 230). </w:t>
      </w:r>
    </w:p>
    <w:p w:rsidR="003B3271" w:rsidRPr="0008481A" w:rsidRDefault="003B3271">
      <w:pPr>
        <w:pStyle w:val="Normaltindrag"/>
      </w:pPr>
      <w:r w:rsidRPr="0008481A">
        <w:t>Med den allvarliga kritik som uttalats avslutas ärendet.</w:t>
      </w:r>
    </w:p>
    <w:p w:rsidR="003B3271" w:rsidRPr="0008481A" w:rsidRDefault="003B3271">
      <w:pPr>
        <w:pStyle w:val="Rubrik2"/>
        <w:spacing w:before="0"/>
      </w:pPr>
      <w:r w:rsidRPr="0008481A">
        <w:t>Kritik mot barn- och grundskolenämnd för underlåtenhet att individu</w:t>
      </w:r>
      <w:r w:rsidRPr="0008481A">
        <w:softHyphen/>
        <w:t>ellt pröva en elevs rätt till fortsatt skolskjuts m.m.</w:t>
      </w:r>
    </w:p>
    <w:p w:rsidR="003B3271" w:rsidRPr="0008481A" w:rsidRDefault="003B3271">
      <w:r w:rsidRPr="0008481A">
        <w:t>(Dnr 4295-1998)</w:t>
      </w:r>
    </w:p>
    <w:p w:rsidR="003B3271" w:rsidRPr="0008481A" w:rsidRDefault="003B3271">
      <w:pPr>
        <w:pStyle w:val="Rubrik3"/>
      </w:pPr>
      <w:r w:rsidRPr="0008481A">
        <w:t>Bakgrund</w:t>
      </w:r>
    </w:p>
    <w:p w:rsidR="003B3271" w:rsidRPr="0008481A" w:rsidRDefault="003B3271">
      <w:r w:rsidRPr="0008481A">
        <w:t>Gösta och Eva S:s son Isac började höstterminen 1995 i Byske förskola. Året därpå började han i årskurs 1 i Byske skola. Enligt de upptagningsområden som då gällde för skolorna i Skellefteå kommun skulle Isac egentligen ha placerats i en annan skola, nämligen Åbyns skola. Isac erhöll kostnadsfri skolskjuts under års</w:t>
      </w:r>
      <w:r w:rsidRPr="0008481A">
        <w:softHyphen/>
        <w:t>kurs 1 och 2. Från och med höstterminen 1998 har Isac inte erhållit kostnadsfri skolskjuts.</w:t>
      </w:r>
    </w:p>
    <w:p w:rsidR="003B3271" w:rsidRPr="0008481A" w:rsidRDefault="003B3271">
      <w:pPr>
        <w:pStyle w:val="Rubrik3"/>
      </w:pPr>
      <w:r w:rsidRPr="0008481A">
        <w:t>Anmälan</w:t>
      </w:r>
    </w:p>
    <w:p w:rsidR="003B3271" w:rsidRPr="0008481A" w:rsidRDefault="003B3271">
      <w:r w:rsidRPr="0008481A">
        <w:t>Gösta och Eva S. har i en anmälan till JO begärt att JO skall granska hur Barn- och grundskolenämnden i Skellefteå kommun handlagt ärendet rörande deras sons skolskjuts. De har därvid bl.a. gjort gällande att deras son särbehandlats genom att han inte erhållit kostnadsfri skolskjuts.</w:t>
      </w:r>
    </w:p>
    <w:p w:rsidR="003B3271" w:rsidRPr="0008481A" w:rsidRDefault="003B3271">
      <w:pPr>
        <w:pStyle w:val="Rubrik3"/>
      </w:pPr>
      <w:r w:rsidRPr="0008481A">
        <w:t>Utredning</w:t>
      </w:r>
    </w:p>
    <w:p w:rsidR="003B3271" w:rsidRPr="0008481A" w:rsidRDefault="003B3271">
      <w:r w:rsidRPr="0008481A">
        <w:t>Anmälan remitterades till Barn- och grundskolenämnden i Skellefteå kommun. Nämnden överlämnade som sitt remissvar ett av barn- och grund</w:t>
      </w:r>
      <w:r w:rsidRPr="0008481A">
        <w:softHyphen/>
        <w:t xml:space="preserve">skolechefen Stellan Berglund upprättat yttrande, vari anfördes bl.a. följande </w:t>
      </w:r>
      <w:r w:rsidRPr="0008481A">
        <w:rPr>
          <w:i/>
        </w:rPr>
        <w:t>(bilagorna ej re</w:t>
      </w:r>
      <w:r w:rsidRPr="0008481A">
        <w:rPr>
          <w:i/>
        </w:rPr>
        <w:softHyphen/>
        <w:t>dovisade, JO:s anm.</w:t>
      </w:r>
      <w:r w:rsidRPr="0008481A">
        <w:t>).</w:t>
      </w:r>
    </w:p>
    <w:p w:rsidR="003B3271" w:rsidRPr="0008481A" w:rsidRDefault="003B3271">
      <w:pPr>
        <w:pStyle w:val="Citat"/>
      </w:pPr>
      <w:r w:rsidRPr="0008481A">
        <w:t xml:space="preserve">Ärendet har sin bakgrund i det regelsystem för skolskjutsar som beslutats och tillämpas i Skellefteå kommun. I dessa regler (se bif broschyr) anges bl a att ”. . . </w:t>
      </w:r>
      <w:r w:rsidRPr="0008481A">
        <w:rPr>
          <w:i/>
        </w:rPr>
        <w:t>elev som väljer annan skola än upptagningsskolan är ej berätti</w:t>
      </w:r>
      <w:r w:rsidRPr="0008481A">
        <w:rPr>
          <w:i/>
        </w:rPr>
        <w:softHyphen/>
        <w:t>gad till kostnadsfri skolskjuts.”</w:t>
      </w:r>
    </w:p>
    <w:p w:rsidR="003B3271" w:rsidRPr="0008481A" w:rsidRDefault="003B3271">
      <w:pPr>
        <w:pStyle w:val="Citatindrag"/>
      </w:pPr>
      <w:r w:rsidRPr="0008481A">
        <w:t>När makarna S. 1995 valde att placera Isac i Byske förskola var för</w:t>
      </w:r>
      <w:r w:rsidRPr="0008481A">
        <w:softHyphen/>
        <w:t>äldrarna enligt dåva</w:t>
      </w:r>
      <w:r w:rsidRPr="0008481A">
        <w:softHyphen/>
        <w:t>rande arbetsledning i såväl Åbyn – där upptagningssko</w:t>
      </w:r>
      <w:r w:rsidRPr="0008481A">
        <w:softHyphen/>
        <w:t>lan för Vitsjön är belägen – som Byske informerade om regelsystemet för skol</w:t>
      </w:r>
      <w:r w:rsidRPr="0008481A">
        <w:softHyphen/>
        <w:t xml:space="preserve">skjutsar och att de </w:t>
      </w:r>
      <w:r w:rsidRPr="0008481A">
        <w:rPr>
          <w:i/>
        </w:rPr>
        <w:t>ej</w:t>
      </w:r>
      <w:r w:rsidRPr="0008481A">
        <w:t xml:space="preserve"> var berättigade till kostnadsfri skolskjuts till Byske skola fr o m årskurs 1. Makarna S. vidhöll trots dessa förbehåll sitt val.</w:t>
      </w:r>
    </w:p>
    <w:p w:rsidR="003B3271" w:rsidRPr="0008481A" w:rsidRDefault="003B3271">
      <w:pPr>
        <w:pStyle w:val="Citatindrag"/>
      </w:pPr>
      <w:r w:rsidRPr="0008481A">
        <w:t>Under Isacs två första skolår i Byske har rektor i Byske, skolskjutsansvarig handläggare samt distriktschef för norra distriktet beviljat undantag från ovanstående grundregel och medgett fri skolskjuts. Enl</w:t>
      </w:r>
      <w:r w:rsidRPr="0008481A">
        <w:t>igt deras bedömning var detta möjligt genom att Isacs vistelse</w:t>
      </w:r>
      <w:r w:rsidRPr="0008481A">
        <w:softHyphen/>
        <w:t>tider möjliggjorde samordning med re</w:t>
      </w:r>
      <w:r w:rsidRPr="0008481A">
        <w:softHyphen/>
        <w:t>dan befintlig skolskjuts samt att skolskjutsbehovet ej avsåg hela skol</w:t>
      </w:r>
      <w:r w:rsidRPr="0008481A">
        <w:softHyphen/>
        <w:t>veckan.</w:t>
      </w:r>
    </w:p>
    <w:p w:rsidR="003B3271" w:rsidRPr="0008481A" w:rsidRDefault="003B3271">
      <w:pPr>
        <w:pStyle w:val="Citatindrag"/>
      </w:pPr>
      <w:r w:rsidRPr="0008481A">
        <w:t>Händelsen 1998-04-06 när Isac fick motta krav på betalning från buss</w:t>
      </w:r>
      <w:r w:rsidRPr="0008481A">
        <w:softHyphen/>
        <w:t>chauf</w:t>
      </w:r>
      <w:r w:rsidRPr="0008481A">
        <w:softHyphen/>
        <w:t>för berodde på att makarna S. ej informerat skolskjutsansvarig eller skolan om att Isacs vistelsetider för</w:t>
      </w:r>
      <w:r w:rsidRPr="0008481A">
        <w:softHyphen/>
        <w:t>ändrats genom uppsägningen av fritids</w:t>
      </w:r>
      <w:r w:rsidRPr="0008481A">
        <w:softHyphen/>
        <w:t>platsen.</w:t>
      </w:r>
    </w:p>
    <w:p w:rsidR="003B3271" w:rsidRPr="0008481A" w:rsidRDefault="003B3271">
      <w:pPr>
        <w:pStyle w:val="Citatindrag"/>
      </w:pPr>
      <w:r w:rsidRPr="0008481A">
        <w:t>1998-05-19 beslutade distriktschef för norra distriktet att skolskjuts med linjetur bevilja</w:t>
      </w:r>
      <w:r w:rsidRPr="0008481A">
        <w:softHyphen/>
        <w:t xml:space="preserve">des för återstoden av läsåret 1997/98 samt att resa mellan Vitsjön och Tåme ombesörjes av föräldrar. </w:t>
      </w:r>
      <w:r w:rsidRPr="0008481A">
        <w:rPr>
          <w:i/>
        </w:rPr>
        <w:t>Därmed fastställdes även for</w:t>
      </w:r>
      <w:r w:rsidRPr="0008481A">
        <w:rPr>
          <w:i/>
        </w:rPr>
        <w:softHyphen/>
        <w:t>mellt att föräldrarna – i enlighet med gällande skolskjutsregler – ej var be</w:t>
      </w:r>
      <w:r w:rsidRPr="0008481A">
        <w:rPr>
          <w:i/>
        </w:rPr>
        <w:softHyphen/>
        <w:t>rättigade till kostnadsfri skolskjuts fr o m höstterminen 1998.</w:t>
      </w:r>
    </w:p>
    <w:p w:rsidR="003B3271" w:rsidRPr="0008481A" w:rsidRDefault="003B3271">
      <w:pPr>
        <w:pStyle w:val="Citatindrag"/>
      </w:pPr>
      <w:r w:rsidRPr="0008481A">
        <w:t>Eva S. har vid höstterminens början vid kontakter med barn- och grund</w:t>
      </w:r>
      <w:r w:rsidRPr="0008481A">
        <w:softHyphen/>
        <w:t>skolekontoret ånyo informerats om att introduktionen och inskriv</w:t>
      </w:r>
      <w:r w:rsidRPr="0008481A">
        <w:softHyphen/>
        <w:t>ningen vid Byskeskolan ( p 4, 5 och 6 i skrivelsen /</w:t>
      </w:r>
      <w:r w:rsidRPr="0008481A">
        <w:rPr>
          <w:i/>
        </w:rPr>
        <w:t>härmed avses anmälan till JO; JO:s anm/</w:t>
      </w:r>
      <w:r w:rsidRPr="0008481A">
        <w:t xml:space="preserve">) </w:t>
      </w:r>
      <w:r w:rsidRPr="0008481A">
        <w:rPr>
          <w:i/>
        </w:rPr>
        <w:t>ej</w:t>
      </w:r>
      <w:r w:rsidRPr="0008481A">
        <w:t xml:space="preserve"> innebär att rätt till skolskjuts inträder. Däremot har föräldrarna lik</w:t>
      </w:r>
      <w:r w:rsidRPr="0008481A">
        <w:softHyphen/>
        <w:t>som tidigare rätt att välja skola med tidigare angivna förbehåll kring skol</w:t>
      </w:r>
      <w:r w:rsidRPr="0008481A">
        <w:softHyphen/>
        <w:t>skjutsarna.</w:t>
      </w:r>
    </w:p>
    <w:p w:rsidR="003B3271" w:rsidRPr="0008481A" w:rsidRDefault="003B3271">
      <w:pPr>
        <w:pStyle w:val="Citatindrag"/>
      </w:pPr>
      <w:r w:rsidRPr="0008481A">
        <w:t>Undertecknad informerade Eva S. 1998-08-19 (p 7) om de regler som gäller för skol</w:t>
      </w:r>
      <w:r w:rsidRPr="0008481A">
        <w:softHyphen/>
        <w:t>skjutsar. Dessa regler innebär bl a att ca 150 elever vid tre friskolor i Skellefteå kommun ej erhåller kostnadsfri skolskjuts liksom ytterligare ett antal elever. I samband med denna information bad under</w:t>
      </w:r>
      <w:r w:rsidRPr="0008481A">
        <w:softHyphen/>
        <w:t>tecknad Eva S. kontakta ansvarig handläggare/samordnare för skol</w:t>
      </w:r>
      <w:r w:rsidRPr="0008481A">
        <w:softHyphen/>
        <w:t>skjutsar för närmare in</w:t>
      </w:r>
      <w:r w:rsidRPr="0008481A">
        <w:softHyphen/>
        <w:t>formation p g a att formellt beslutsunderlag i form av individuella beslut för varje elev inte föreligger. För de berörda friskolorna har istället motsvarande principbeslut fastställts.</w:t>
      </w:r>
    </w:p>
    <w:p w:rsidR="003B3271" w:rsidRPr="0008481A" w:rsidRDefault="003B3271">
      <w:pPr>
        <w:pStyle w:val="Citatindrag"/>
      </w:pPr>
      <w:r w:rsidRPr="0008481A">
        <w:t>Vid nytt möte med Eva S. 1998-</w:t>
      </w:r>
      <w:r w:rsidRPr="0008481A">
        <w:t>08-25 samt efterföljande telefon</w:t>
      </w:r>
      <w:r w:rsidRPr="0008481A">
        <w:softHyphen/>
        <w:t>kontakter redovisade undertecknad att en förändring av rätten till kostnadsfri skol</w:t>
      </w:r>
      <w:r w:rsidRPr="0008481A">
        <w:softHyphen/>
        <w:t>skjuts för Isac förutsatte att makarna S. ansökte om förändrat upptagnings</w:t>
      </w:r>
      <w:r w:rsidRPr="0008481A">
        <w:softHyphen/>
        <w:t>område för barnen i Vitsjön (p 10, 11) samt att denna ansökan prövades av barn- och grundskolenämnden.</w:t>
      </w:r>
    </w:p>
    <w:p w:rsidR="003B3271" w:rsidRPr="0008481A" w:rsidRDefault="003B3271">
      <w:pPr>
        <w:pStyle w:val="Citatindrag"/>
      </w:pPr>
      <w:r w:rsidRPr="0008481A">
        <w:t>1998-09-07 inkom denna ansökan och 1998-09-15 beslutade barn- och grundskolenämn</w:t>
      </w:r>
      <w:r w:rsidRPr="0008481A">
        <w:softHyphen/>
        <w:t>dens arbetsutskott att uppdra till barn- och grundskolekon</w:t>
      </w:r>
      <w:r w:rsidRPr="0008481A">
        <w:softHyphen/>
        <w:t>toret att utreda konsekvenserna av ett nytt upptagningsområde för barnen i Vitsjön.</w:t>
      </w:r>
    </w:p>
    <w:p w:rsidR="003B3271" w:rsidRPr="0008481A" w:rsidRDefault="003B3271">
      <w:pPr>
        <w:pStyle w:val="Citatindrag"/>
      </w:pPr>
      <w:r w:rsidRPr="0008481A">
        <w:t>Denna utredning inleddes med underlagsinhämtning i form av elevprogno</w:t>
      </w:r>
      <w:r w:rsidRPr="0008481A">
        <w:softHyphen/>
        <w:t>ser, skolskjutsturer, m m. samt inbjudan till träff med föräldrar i Tåme och Vitsjön 1998-10-29.</w:t>
      </w:r>
    </w:p>
    <w:p w:rsidR="003B3271" w:rsidRPr="0008481A" w:rsidRDefault="003B3271">
      <w:pPr>
        <w:pStyle w:val="Citatindrag"/>
      </w:pPr>
      <w:r w:rsidRPr="0008481A">
        <w:t>Eftersom det geografiska upptagningsområdet för Åbynskolan omfattar både Tåme och Vitsjön samt att motsvarande önskemål angående undantag från nuvarande skolskjut</w:t>
      </w:r>
      <w:r w:rsidRPr="0008481A">
        <w:softHyphen/>
        <w:t>sprinciper föreligger från föräldrar i Tåme bedömde barn- och grundskolekontoret att en gemensam föräldraträff var både lämp</w:t>
      </w:r>
      <w:r w:rsidRPr="0008481A">
        <w:softHyphen/>
        <w:t>lig och önskvärd i syfte att belysa helhetssituatio</w:t>
      </w:r>
      <w:r w:rsidRPr="0008481A">
        <w:softHyphen/>
        <w:t>nen för berörda föräldrar.</w:t>
      </w:r>
    </w:p>
    <w:p w:rsidR="003B3271" w:rsidRPr="0008481A" w:rsidRDefault="003B3271">
      <w:pPr>
        <w:pStyle w:val="Citatindrag"/>
      </w:pPr>
      <w:r w:rsidRPr="0008481A">
        <w:t>De synpunkter som framfördes från föräldrarna tillsammans med övrigt ut</w:t>
      </w:r>
      <w:r w:rsidRPr="0008481A">
        <w:softHyphen/>
        <w:t>redningsun</w:t>
      </w:r>
      <w:r w:rsidRPr="0008481A">
        <w:softHyphen/>
        <w:t>derlag håller f n på att sammanställas och beredas för ett politiskt beslut i barn- och grundskolenämnden. Eftersom frågan är principiellt viktig och på sikt av stor ekonomisk betydelse med hänvisning till att ett förändrat upptagningsområde för Vitsjön och/eller Tåme påverkar den långsiktiga överlevnaden för glesbygdsskolan i Åbyn.</w:t>
      </w:r>
    </w:p>
    <w:p w:rsidR="003B3271" w:rsidRPr="0008481A" w:rsidRDefault="003B3271">
      <w:pPr>
        <w:pStyle w:val="Citatindrag"/>
      </w:pPr>
      <w:r w:rsidRPr="0008481A">
        <w:t>Eventuella förändringar av nuvarande skolskjutsregler får på motsvarande sätt betydande principiella och ekonomiska konsekvenser.</w:t>
      </w:r>
    </w:p>
    <w:p w:rsidR="003B3271" w:rsidRPr="0008481A" w:rsidRDefault="003B3271">
      <w:pPr>
        <w:pStyle w:val="Citatindrag"/>
      </w:pPr>
      <w:r w:rsidRPr="0008481A">
        <w:t>Beslut i ärendet kommer preliminärt att ske under början av år 1999.</w:t>
      </w:r>
    </w:p>
    <w:p w:rsidR="003B3271" w:rsidRPr="0008481A" w:rsidRDefault="003B3271">
      <w:pPr>
        <w:pStyle w:val="Rubrik4"/>
      </w:pPr>
      <w:r w:rsidRPr="0008481A">
        <w:t>Sammanfattande bedömning</w:t>
      </w:r>
    </w:p>
    <w:p w:rsidR="003B3271" w:rsidRPr="0008481A" w:rsidRDefault="003B3271">
      <w:pPr>
        <w:pStyle w:val="Citat"/>
      </w:pPr>
      <w:r w:rsidRPr="0008481A">
        <w:t>Barn- och grundskolekontoret bedömer att ärendet hanterats formellt korrekt och utan onödig tidsutdräkt vad avser de olika beslut som tagits.</w:t>
      </w:r>
    </w:p>
    <w:p w:rsidR="003B3271" w:rsidRPr="0008481A" w:rsidRDefault="003B3271">
      <w:pPr>
        <w:pStyle w:val="Citatindrag"/>
      </w:pPr>
      <w:r w:rsidRPr="0008481A">
        <w:t>Barn- och grundskolekontorets berörda handläggare har vid möten och samtal med ma</w:t>
      </w:r>
      <w:r w:rsidRPr="0008481A">
        <w:softHyphen/>
        <w:t>karna S. bemödat sig om att förklara innebörden av olika beslut och motiven för dessa.</w:t>
      </w:r>
    </w:p>
    <w:p w:rsidR="003B3271" w:rsidRPr="0008481A" w:rsidRDefault="003B3271">
      <w:pPr>
        <w:pStyle w:val="Citatindrag"/>
      </w:pPr>
      <w:r w:rsidRPr="0008481A">
        <w:t>Själva handläggningen av den formella hanteringen har – enligt  barn- och grundskole</w:t>
      </w:r>
      <w:r w:rsidRPr="0008481A">
        <w:softHyphen/>
        <w:t>kontorets bedömning – inte inneburit att Isac S. utsatts för krän</w:t>
      </w:r>
      <w:r w:rsidRPr="0008481A">
        <w:softHyphen/>
        <w:t>kande särbehandling.</w:t>
      </w:r>
    </w:p>
    <w:p w:rsidR="003B3271" w:rsidRPr="0008481A" w:rsidRDefault="003B3271">
      <w:r w:rsidRPr="0008481A">
        <w:t xml:space="preserve">Gösta och Eva S. kommenterade remissvaret. De anförde därvid bl.a. att de inte erhållit någon information av kommunen om konsekvenserna av att de lät Isac börja i Byske skola.  </w:t>
      </w:r>
    </w:p>
    <w:p w:rsidR="003B3271" w:rsidRPr="0008481A" w:rsidRDefault="003B3271">
      <w:r w:rsidRPr="0008481A">
        <w:t xml:space="preserve">I beslut den 13 januari 2000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pPr>
        <w:pStyle w:val="Rubrik4"/>
        <w:spacing w:before="120"/>
      </w:pPr>
      <w:r w:rsidRPr="0008481A">
        <w:t>Rättslig reglering</w:t>
      </w:r>
    </w:p>
    <w:p w:rsidR="003B3271" w:rsidRPr="0008481A" w:rsidRDefault="003B3271">
      <w:r w:rsidRPr="0008481A">
        <w:t>I 4 kap. 7 § första stycket skollagen (1985:1100) föreskrivs att hem</w:t>
      </w:r>
      <w:r w:rsidRPr="0008481A">
        <w:softHyphen/>
        <w:t>kommunen är skyldig att sörja för att det för eleverna i grundskolan anordnas kostnadsfri skolskjuts, om sådan behövs med hänsyn till färdvägens längd, trafikförhållan</w:t>
      </w:r>
      <w:r w:rsidRPr="0008481A">
        <w:softHyphen/>
        <w:t>dena, funktionshinder hos en elev eller någon annan särskild omständighet.</w:t>
      </w:r>
    </w:p>
    <w:p w:rsidR="003B3271" w:rsidRPr="0008481A" w:rsidRDefault="003B3271">
      <w:pPr>
        <w:pStyle w:val="Normaltindrag"/>
      </w:pPr>
      <w:r w:rsidRPr="0008481A">
        <w:t>Någon ovillkorlig rätt till skolskjuts föreligger således inte utan be</w:t>
      </w:r>
      <w:r w:rsidRPr="0008481A">
        <w:softHyphen/>
        <w:t>stämmel</w:t>
      </w:r>
      <w:r w:rsidRPr="0008481A">
        <w:softHyphen/>
        <w:t xml:space="preserve">sen lämnar visst utrymme för kommunen att själv bedöma om behov av skolskjuts skall anses föreligga. </w:t>
      </w:r>
    </w:p>
    <w:p w:rsidR="003B3271" w:rsidRPr="0008481A" w:rsidRDefault="003B3271">
      <w:pPr>
        <w:pStyle w:val="Normaltindrag"/>
      </w:pPr>
      <w:r w:rsidRPr="0008481A">
        <w:t>Skyldigheten att anordna skolskjuts omfattar inte heller elever som väljer att gå i en annan grundskola än den som kommunen annars skulle ha placerat dem i, 4 kap. 7 § tredje stycket första punkten skollagen. Bakgrunden till denna begräns</w:t>
      </w:r>
      <w:r w:rsidRPr="0008481A">
        <w:softHyphen/>
        <w:t>ning är att föräldrars och elevers val av skola inte skall leda till oacceptabelt höga kostnader för kommunerna (prop. 1992/93:14 s. 6 f.). I det lagstiftningsarbete som föregick införandet av nämnda begränsning poängterades emellertid att kommu</w:t>
      </w:r>
      <w:r w:rsidRPr="0008481A">
        <w:softHyphen/>
        <w:t>nerna måste göra klart för föräldrarna var barnen kommer att placeras om några särskilda önskemål inte uttalas. Utan sådana klara besked kan ju föräldrarna inte bedöma effekten av ett visst val. Föräldrarna bör enligt min mening också tydligt informeras om att elev</w:t>
      </w:r>
      <w:r w:rsidRPr="0008481A">
        <w:t xml:space="preserve">en inte har rätt till skolskjuts om de väljer en annan skola. Det har i det här sammanhanget i och för sig inte någon betydelse om den valda skolan ligger på ungefär samma avstånd från hemmet som den skola som eleven annars skulle ha placerats i. </w:t>
      </w:r>
    </w:p>
    <w:p w:rsidR="003B3271" w:rsidRPr="0008481A" w:rsidRDefault="003B3271">
      <w:pPr>
        <w:pStyle w:val="Normaltindrag"/>
      </w:pPr>
      <w:r w:rsidRPr="0008481A">
        <w:t>Skolskjutsningen är ett ansvar för den nämnd inom kommunen som är styrelse för grundskolan. Det är denna nämnd som skall ta ställning till hur skolskjutsningen i stort skall anordnas och till framställningar om att en viss elev skall ha rätt till skolskjuts. Denna</w:t>
      </w:r>
      <w:r w:rsidRPr="0008481A">
        <w:t xml:space="preserve"> beslutanderätt kan enligt vanliga kommunalrättsliga principer delegeras till t.ex. rektor eller någon tjänsteman på skolkansliet. Hur skolskjuts</w:t>
      </w:r>
      <w:r w:rsidRPr="0008481A">
        <w:softHyphen/>
        <w:t>ningen i stort skall vara anordnad kan också vara avhandlat i kommunens skolplan, som fastställs av kommun</w:t>
      </w:r>
      <w:r w:rsidRPr="0008481A">
        <w:softHyphen/>
        <w:t>fullmäktige. Det bör i sammanhanget också påpe</w:t>
      </w:r>
      <w:r w:rsidRPr="0008481A">
        <w:softHyphen/>
        <w:t>kas att beslut om skolskjuts i vissa fall är att se som en ren verkställighet av ett över</w:t>
      </w:r>
      <w:r w:rsidRPr="0008481A">
        <w:softHyphen/>
        <w:t>gripande skolskjutsbeslut. Så är fallet när det är helt klart att vissa elever skall ha skolskjuts enligt de regler som nä</w:t>
      </w:r>
      <w:r w:rsidRPr="0008481A">
        <w:t>mnden beslutat om eller som framgår av skolplanen. Om ett skolskjuts</w:t>
      </w:r>
      <w:r w:rsidRPr="0008481A">
        <w:softHyphen/>
        <w:t>ärende däremot kräver en mer självständig bedöm</w:t>
      </w:r>
      <w:r w:rsidRPr="0008481A">
        <w:softHyphen/>
        <w:t xml:space="preserve">ning av omständigheterna i det enskilda fallet måste beslutet fattas av nämnden eller någon som beslutanderätten är delegerad till. </w:t>
      </w:r>
    </w:p>
    <w:p w:rsidR="003B3271" w:rsidRPr="0008481A" w:rsidRDefault="003B3271">
      <w:pPr>
        <w:pStyle w:val="Normaltindrag"/>
      </w:pPr>
      <w:r w:rsidRPr="0008481A">
        <w:t xml:space="preserve">Ett beslut rörande anordnande av kostnadsfri skolskjuts kan, utom när fråga är om rena verkställighetsbeslut, bli föremål för prövning av allmän förvaltningsdomstol i enlighet med kommunallagens (1991:900) regler om laglighetsprövning (RÅ 1994 ref. 84). </w:t>
      </w:r>
    </w:p>
    <w:p w:rsidR="003B3271" w:rsidRPr="0008481A" w:rsidRDefault="003B3271">
      <w:pPr>
        <w:pStyle w:val="Rubrik4"/>
        <w:rPr>
          <w:spacing w:val="-4"/>
        </w:rPr>
      </w:pPr>
      <w:r w:rsidRPr="0008481A">
        <w:rPr>
          <w:spacing w:val="-4"/>
        </w:rPr>
        <w:t>Synpunkter på hanteringen av Isacs begäran om att erhålla kostnadsfri skolskjuts</w:t>
      </w:r>
    </w:p>
    <w:p w:rsidR="003B3271" w:rsidRPr="0008481A" w:rsidRDefault="003B3271">
      <w:r w:rsidRPr="0008481A">
        <w:t>Inledningsvis vill jag framhålla att sakfrågan – bedömningen av om Isac är berät</w:t>
      </w:r>
      <w:r w:rsidRPr="0008481A">
        <w:softHyphen/>
        <w:t>tigad att erhålla kostnadsfri skolskjuts – inte är en fråga som prövas av JO.</w:t>
      </w:r>
    </w:p>
    <w:p w:rsidR="003B3271" w:rsidRPr="0008481A" w:rsidRDefault="003B3271">
      <w:pPr>
        <w:pStyle w:val="Normaltindrag"/>
      </w:pPr>
      <w:r w:rsidRPr="0008481A">
        <w:t>Det är i stället skolledningens hantering av ärendet i formellt avseende som är föremål för min granskning.</w:t>
      </w:r>
    </w:p>
    <w:p w:rsidR="003B3271" w:rsidRPr="0008481A" w:rsidRDefault="003B3271">
      <w:pPr>
        <w:pStyle w:val="Normaltindrag"/>
      </w:pPr>
      <w:r w:rsidRPr="0008481A">
        <w:t>Det kan konstateras att den skola som Isac går i, nämligen Byske skola, är en an</w:t>
      </w:r>
      <w:r w:rsidRPr="0008481A">
        <w:softHyphen/>
        <w:t>nan skola än den som han skulle ha placerats i om inte Gösta och Eva S. hade framfört särskilda önskemål om skolplaceringen. Det kan också konstateras att enligt Skellefteå kommuns egna föreskrifter är elev som väljer annan skola än upptagningsskolan inte berättigad till kostnadsfri skolskjuts.</w:t>
      </w:r>
    </w:p>
    <w:p w:rsidR="003B3271" w:rsidRPr="0008481A" w:rsidRDefault="003B3271">
      <w:pPr>
        <w:pStyle w:val="Normaltindrag"/>
      </w:pPr>
      <w:r w:rsidRPr="0008481A">
        <w:t>Som ovan uttalats är kommunen skyldig att i vissa fall göra en individuell pröv</w:t>
      </w:r>
      <w:r w:rsidRPr="0008481A">
        <w:softHyphen/>
        <w:t>ning av en elevs rätt till skolskjuts. Mot bakgrund av särskilt det för</w:t>
      </w:r>
      <w:r w:rsidRPr="0008481A">
        <w:softHyphen/>
        <w:t>hållandet att Isac erhållit kostnadsfri skolskjuts under sina två första skolår, måste bedöm</w:t>
      </w:r>
      <w:r w:rsidRPr="0008481A">
        <w:softHyphen/>
        <w:t>ningen av om skolskjuts även fortsättningsvis skulle tillhanda</w:t>
      </w:r>
      <w:r w:rsidRPr="0008481A">
        <w:softHyphen/>
        <w:t>hållas honom kost</w:t>
      </w:r>
      <w:r w:rsidRPr="0008481A">
        <w:softHyphen/>
        <w:t>nadsfritt vara av det slaget att det ankommit på nämnden eller den som nämnden delegerat ansvaret till att fatta beslut i frågan. De kontakter som Eva S. hade med skolledningen vid höstterminens början 1998 kan inte heller tolkas på annat sätt än att de måste anses</w:t>
      </w:r>
      <w:r w:rsidRPr="0008481A">
        <w:t xml:space="preserve"> ha innefattat en be</w:t>
      </w:r>
      <w:r w:rsidRPr="0008481A">
        <w:softHyphen/>
        <w:t xml:space="preserve">gäran om en individuell prövning av Isacs rätt till kostnadsfri skolskjuts.   </w:t>
      </w:r>
    </w:p>
    <w:p w:rsidR="003B3271" w:rsidRPr="0008481A" w:rsidRDefault="003B3271">
      <w:pPr>
        <w:pStyle w:val="Normaltindrag"/>
      </w:pPr>
      <w:r w:rsidRPr="0008481A">
        <w:t>Av den företagna utredningen kan inte utläsas att det har gjorts någon sådan pröv</w:t>
      </w:r>
      <w:r w:rsidRPr="0008481A">
        <w:softHyphen/>
        <w:t>ning. I stället synes skolledningen i diskussionerna med Eva S. ha hänvisat till ett principbeslut om att bl.a. 150 elever vid friskolor inom kommunen inte är berätti</w:t>
      </w:r>
      <w:r w:rsidRPr="0008481A">
        <w:softHyphen/>
        <w:t>gade till fri skolskjuts. Vidare har i remissvaret hänvisats till att skolledningen genom ett beslut den 19 maj 1998, som enligt sin ordalydelse endast behandlade Isacs rätt till skolskjuts för resterande del av vårterminen 1998, även formellt fast</w:t>
      </w:r>
      <w:r w:rsidRPr="0008481A">
        <w:softHyphen/>
        <w:t>ställde att han från och med höstterminen 1998 inte längre var berättigad till den förmånen. En</w:t>
      </w:r>
      <w:r w:rsidRPr="0008481A">
        <w:t>ligt min mening kan nämnda beslut inte tolkas på det sätt som skol</w:t>
      </w:r>
      <w:r w:rsidRPr="0008481A">
        <w:softHyphen/>
        <w:t>ledningen gjort och beslutet kan rimligen inte ha någon inverkan på annan tids</w:t>
      </w:r>
      <w:r w:rsidRPr="0008481A">
        <w:softHyphen/>
        <w:t>period än vad det till sin ordalydelse omfattar, nämligen vårterminen 1998.</w:t>
      </w:r>
    </w:p>
    <w:p w:rsidR="003B3271" w:rsidRPr="0008481A" w:rsidRDefault="003B3271">
      <w:pPr>
        <w:pStyle w:val="Normaltindrag"/>
      </w:pPr>
      <w:r w:rsidRPr="0008481A">
        <w:t>De åtgärder som har vidtagits kan således inte anses ha uppfyllt kraven på en in</w:t>
      </w:r>
      <w:r w:rsidRPr="0008481A">
        <w:softHyphen/>
        <w:t>dividuell prövning av Isacs rätt till kostnadsfri skolskjuts. Följaktligen har skol</w:t>
      </w:r>
      <w:r w:rsidRPr="0008481A">
        <w:softHyphen/>
        <w:t>ledningen brustit i sin skyldighet att meddela ett formellt beslut i frågan, vilket har inneburit att Eva och Gösta S. inte getts möjlighet att till allmän förvalt</w:t>
      </w:r>
      <w:r w:rsidRPr="0008481A">
        <w:softHyphen/>
        <w:t>ningsdom</w:t>
      </w:r>
      <w:r w:rsidRPr="0008481A">
        <w:softHyphen/>
        <w:t>stol överklaga kommunens ställningstagande för laglighetsprövning. Jag anser det befogat att kritisera nämnden för denna brist i handläggningen och jag förutsätter att nämnden omgå</w:t>
      </w:r>
      <w:r w:rsidRPr="0008481A">
        <w:softHyphen/>
        <w:t>ende ser över sina rutiner i påtalat avseende.</w:t>
      </w:r>
    </w:p>
    <w:p w:rsidR="003B3271" w:rsidRPr="0008481A" w:rsidRDefault="003B3271">
      <w:pPr>
        <w:pStyle w:val="Rubrik4"/>
      </w:pPr>
      <w:r w:rsidRPr="0008481A">
        <w:t>Övrigt</w:t>
      </w:r>
    </w:p>
    <w:p w:rsidR="003B3271" w:rsidRPr="0008481A" w:rsidRDefault="003B3271">
      <w:r w:rsidRPr="0008481A">
        <w:t>Som tidigare uttalats måste kommunen upplysa berörda föräldrar om konsekven</w:t>
      </w:r>
      <w:r w:rsidRPr="0008481A">
        <w:softHyphen/>
        <w:t>serna av att man väljer en annan skola än den skola som barnet normalt skulle ha placerats i. Denna information måste självfallet lämnas i god tid innan för</w:t>
      </w:r>
      <w:r w:rsidRPr="0008481A">
        <w:softHyphen/>
        <w:t>äldrarna gör sitt val av skola. I de fall sexårsverksamheten är integrerad i de en</w:t>
      </w:r>
      <w:r w:rsidRPr="0008481A">
        <w:softHyphen/>
        <w:t>skilda skolornas verksamhet faller det sig enligt min mening naturligt att informa</w:t>
      </w:r>
      <w:r w:rsidRPr="0008481A">
        <w:softHyphen/>
        <w:t>tion lämnas redan när dessa placeringar är aktuella.</w:t>
      </w:r>
    </w:p>
    <w:p w:rsidR="003B3271" w:rsidRPr="0008481A" w:rsidRDefault="003B3271">
      <w:pPr>
        <w:pStyle w:val="Normaltindrag"/>
      </w:pPr>
      <w:r w:rsidRPr="0008481A">
        <w:t>I ärendet föreligger det skilda uppfattningar om vilken information som Gösta och Eva S. lämnats beträffande konsekvenserna av att de l</w:t>
      </w:r>
      <w:r w:rsidRPr="0008481A">
        <w:t>ät Isac börja i sexårsverk</w:t>
      </w:r>
      <w:r w:rsidRPr="0008481A">
        <w:softHyphen/>
        <w:t>samheten i Byske skola. Jag finner inte anledning till antagande att ytterligare utredningsåtgärder kan bringa mer klarhet i frågan. Jag vill dock erinra om vikten av att information ges i fråga om såväl vilka upptagningsområden som gäller för kommunens olika skolor som konse</w:t>
      </w:r>
      <w:r w:rsidRPr="0008481A">
        <w:softHyphen/>
        <w:t xml:space="preserve">kvenserna av att föräldrar väljer en annan skola än upptagningsskolan.  </w:t>
      </w:r>
    </w:p>
    <w:p w:rsidR="003B3271" w:rsidRPr="0008481A" w:rsidRDefault="003B3271">
      <w:r w:rsidRPr="0008481A">
        <w:t>Vad Eva och Gösta S. anfört i övrigt föranleder inte något ytterligare ut</w:t>
      </w:r>
      <w:r w:rsidRPr="0008481A">
        <w:softHyphen/>
        <w:t>talande från min sida.</w:t>
      </w:r>
    </w:p>
    <w:p w:rsidR="003B3271" w:rsidRPr="0008481A" w:rsidRDefault="003B3271">
      <w:pPr>
        <w:pStyle w:val="Normaltindrag"/>
      </w:pPr>
      <w:r w:rsidRPr="0008481A">
        <w:t>Med den kritik som ligger i det anförda avslutas ärendet.</w:t>
      </w:r>
    </w:p>
    <w:p w:rsidR="003B3271" w:rsidRPr="0008481A" w:rsidRDefault="003B3271">
      <w:pPr>
        <w:pStyle w:val="Rubrik2"/>
      </w:pPr>
      <w:r w:rsidRPr="0008481A">
        <w:t xml:space="preserve">Handläggningen av ett ärende rörande utökad tid inom barnomsorgen, bl.a. fråga om sökanden begärt beslut i saken eller endast information. – Kritik mot barn- och ungdomsnämnd för bl.a. dröjsmål med att fatta beslut i ärendet </w:t>
      </w:r>
    </w:p>
    <w:p w:rsidR="003B3271" w:rsidRPr="0008481A" w:rsidRDefault="003B3271">
      <w:r w:rsidRPr="0008481A">
        <w:t>(Dnr 2062-1999)</w:t>
      </w:r>
    </w:p>
    <w:p w:rsidR="003B3271" w:rsidRPr="0008481A" w:rsidRDefault="003B3271">
      <w:r w:rsidRPr="0008481A">
        <w:t xml:space="preserve">Efter utredning uttalade </w:t>
      </w:r>
      <w:r w:rsidRPr="0008481A">
        <w:rPr>
          <w:i/>
        </w:rPr>
        <w:t xml:space="preserve">stf. JO Norell Söderblom </w:t>
      </w:r>
      <w:r w:rsidRPr="0008481A">
        <w:t>i beslut den 17 mars 2000 följande.</w:t>
      </w:r>
    </w:p>
    <w:p w:rsidR="003B3271" w:rsidRPr="0008481A" w:rsidRDefault="003B3271">
      <w:pPr>
        <w:pStyle w:val="Rubrik3"/>
      </w:pPr>
      <w:r w:rsidRPr="0008481A">
        <w:t>Rättsliga utgångspunkter</w:t>
      </w:r>
    </w:p>
    <w:p w:rsidR="003B3271" w:rsidRPr="0008481A" w:rsidRDefault="003B3271">
      <w:r w:rsidRPr="0008481A">
        <w:t>Sedan den 1 januari 1998 regleras frågor om barnomsorg (förskoleverk</w:t>
      </w:r>
      <w:r w:rsidRPr="0008481A">
        <w:softHyphen/>
        <w:t>sam</w:t>
      </w:r>
      <w:r w:rsidRPr="0008481A">
        <w:softHyphen/>
        <w:t>het och skolbarnsomsorg) i skollagen (1985:1100). I 2 a kap. 6 § skollagen anges att för</w:t>
      </w:r>
      <w:r w:rsidRPr="0008481A">
        <w:softHyphen/>
        <w:t>skoleverksamhet och skolbarnsomsorg skall tillhandahållas i den omfattning det behövs med hänsyn till föräldrarnas förvärvsarbete eller studier eller barnets eget behov. Av 2 a kap. 7 § följer som huvudregel att kommunen utan oskäligt dröjs</w:t>
      </w:r>
      <w:r w:rsidRPr="0008481A">
        <w:softHyphen/>
        <w:t>mål skall erbjuda plats inom förskoleverk</w:t>
      </w:r>
      <w:r w:rsidRPr="0008481A">
        <w:softHyphen/>
        <w:t xml:space="preserve">samheten eller skolbarnsomsorgen när vårdnadshavaren har anmält behov av sådan plats.  </w:t>
      </w:r>
    </w:p>
    <w:p w:rsidR="003B3271" w:rsidRPr="0008481A" w:rsidRDefault="003B3271">
      <w:pPr>
        <w:pStyle w:val="Normaltindrag"/>
        <w:rPr>
          <w:b/>
        </w:rPr>
      </w:pPr>
      <w:r w:rsidRPr="0008481A">
        <w:t>I 2 a kap. 11 § skollagen anges att vissa av fö</w:t>
      </w:r>
      <w:r w:rsidRPr="0008481A">
        <w:t>rvaltningslagens (1986:223) be</w:t>
      </w:r>
      <w:r w:rsidRPr="0008481A">
        <w:softHyphen/>
        <w:t>stämmelser skall tillämpas när det gäller handläggningen av ärenden som  rör för</w:t>
      </w:r>
      <w:r w:rsidRPr="0008481A">
        <w:softHyphen/>
        <w:t>skoleverksamhet eller skolbarnsomsorg och det är fråga om myndig</w:t>
      </w:r>
      <w:r w:rsidRPr="0008481A">
        <w:softHyphen/>
        <w:t>hets</w:t>
      </w:r>
      <w:r w:rsidRPr="0008481A">
        <w:softHyphen/>
        <w:t xml:space="preserve">utövning mot någon enskild. Detta gäller bl.a. förvaltningslagens regler om kommunikation (16 och 17 §§) och motivering av beslut (20 §).    </w:t>
      </w:r>
      <w:r w:rsidRPr="0008481A">
        <w:rPr>
          <w:b/>
        </w:rPr>
        <w:t xml:space="preserve"> </w:t>
      </w:r>
    </w:p>
    <w:p w:rsidR="003B3271" w:rsidRPr="0008481A" w:rsidRDefault="003B3271">
      <w:pPr>
        <w:pStyle w:val="Normaltindrag"/>
      </w:pPr>
      <w:r w:rsidRPr="0008481A">
        <w:t>I ärendet aktualiseras även kommunallagens bestämmelser om delegation och över</w:t>
      </w:r>
      <w:r w:rsidRPr="0008481A">
        <w:softHyphen/>
        <w:t>klagande hos allmän förvaltningsdomstol för laglighetsprövning. Mot bak</w:t>
      </w:r>
      <w:r w:rsidRPr="0008481A">
        <w:softHyphen/>
        <w:t>grund av vad som har kommit fram om kommunens handläggning i förevarande fall finner jag skäl att närmare gå igenom dessa bestämmelser.</w:t>
      </w:r>
    </w:p>
    <w:p w:rsidR="003B3271" w:rsidRPr="0008481A" w:rsidRDefault="003B3271">
      <w:pPr>
        <w:pStyle w:val="Normaltindrag"/>
      </w:pPr>
      <w:r w:rsidRPr="0008481A">
        <w:t xml:space="preserve">Bestämmelserna om delegation finns i 6 kap. 33–38 §§ kommunallagen (1991:900). Enligt 6 kap. 33 § första stycket får en nämnd uppdra åt ett utskott, åt en ledamot eller ersättare eller åt en anställd i kommunen att besluta på nämndens vägnar i ett visst ärende eller en grupp av ärenden, dock med vissa </w:t>
      </w:r>
      <w:r w:rsidRPr="0008481A">
        <w:t>i kapitlet närmare angivna undan</w:t>
      </w:r>
      <w:r w:rsidRPr="0008481A">
        <w:softHyphen/>
        <w:t xml:space="preserve">tag som inte är av intresse här. I </w:t>
      </w:r>
      <w:r w:rsidRPr="0008481A">
        <w:br/>
        <w:t>6 kap. 35 § kommunallagen stadgas att be</w:t>
      </w:r>
      <w:r w:rsidRPr="0008481A">
        <w:softHyphen/>
        <w:t>slut som har fattats med stöd av uppdrag enligt 33 § skall anmälas till nämnden, som själv bestämmer i vilken ordning detta skall ske.</w:t>
      </w:r>
    </w:p>
    <w:p w:rsidR="003B3271" w:rsidRPr="0008481A" w:rsidRDefault="003B3271">
      <w:pPr>
        <w:pStyle w:val="Normaltindrag"/>
      </w:pPr>
      <w:r w:rsidRPr="0008481A">
        <w:t>Enligt 10 kap. 1 och 2 §§ kommunallagen har varje medlem i en kommun rätt att få lagligheten av beslut fattade av en kommunal nämnd prövade genom att över</w:t>
      </w:r>
      <w:r w:rsidRPr="0008481A">
        <w:softHyphen/>
        <w:t>klaga dem hos läns</w:t>
      </w:r>
      <w:r w:rsidRPr="0008481A">
        <w:softHyphen/>
        <w:t>rätten för laglighetsprövning, dock med undantag för beslut av rent förberedande eller rent verkställande art. Ett sådant överklagande skall, enligt 10 kap. 6 § kommunallagen, ha inkommit till länsrätten inom tre veckor från den dag då det till</w:t>
      </w:r>
      <w:r w:rsidRPr="0008481A">
        <w:softHyphen/>
        <w:t>kännagavs på kommunens anslagstavla att protokollet över beslutet justerats. Detta innebär i de fall beslut har fattats efter delegation att tidsfristen för över</w:t>
      </w:r>
      <w:r w:rsidRPr="0008481A">
        <w:softHyphen/>
        <w:t>klagande beror på om över besluten förts särskilt protokoll som har justerats och ans</w:t>
      </w:r>
      <w:r w:rsidRPr="0008481A">
        <w:t>lagits. Något krav på att så skall ske föreligger emellertid inte. I annat fall ut</w:t>
      </w:r>
      <w:r w:rsidRPr="0008481A">
        <w:softHyphen/>
        <w:t>går tiden för överklagande från den dag då anslag skedde om justering av proto</w:t>
      </w:r>
      <w:r w:rsidRPr="0008481A">
        <w:softHyphen/>
        <w:t>kollet från det sammanträde vid vilket beslutet anmäldes hos nämnden. Av det sagda följer att delegationsbeslutet alltid måste vara formaliserat och att det av nämndens protokoll eller en bilaga till det skall framgå att delegations</w:t>
      </w:r>
      <w:r w:rsidRPr="0008481A">
        <w:softHyphen/>
        <w:t xml:space="preserve">beslutet har anmälts till nämnden.    </w:t>
      </w:r>
    </w:p>
    <w:p w:rsidR="003B3271" w:rsidRPr="0008481A" w:rsidRDefault="003B3271">
      <w:pPr>
        <w:pStyle w:val="Normaltindrag"/>
      </w:pPr>
      <w:r w:rsidRPr="0008481A">
        <w:t>Det är emellertid inte alla tjänstemännens åtgärder som kan anses utgöra beslu</w:t>
      </w:r>
      <w:r w:rsidRPr="0008481A">
        <w:t>t i kommunallagens mening. Det finns ett visst utrymme mellan sådana beslut och åtgärder av rent förberedande eller rent verkställande art. Under förut</w:t>
      </w:r>
      <w:r w:rsidRPr="0008481A">
        <w:softHyphen/>
        <w:t>sätt</w:t>
      </w:r>
      <w:r w:rsidRPr="0008481A">
        <w:softHyphen/>
      </w:r>
      <w:r w:rsidRPr="0008481A">
        <w:softHyphen/>
        <w:t>ning att det finns klara målsättningar för verksamheten är det, enligt för</w:t>
      </w:r>
      <w:r w:rsidRPr="0008481A">
        <w:softHyphen/>
        <w:t>arbetena till kom</w:t>
      </w:r>
      <w:r w:rsidRPr="0008481A">
        <w:softHyphen/>
        <w:t>munallagen, rimligt att hänföra många vardagliga åtgärder till ren verk</w:t>
      </w:r>
      <w:r w:rsidRPr="0008481A">
        <w:softHyphen/>
        <w:t>stäl</w:t>
      </w:r>
      <w:r w:rsidRPr="0008481A">
        <w:softHyphen/>
        <w:t>lighet, även om åtgärderna innefattar ett visst mått av självständigt ställnings</w:t>
      </w:r>
      <w:r w:rsidRPr="0008481A">
        <w:softHyphen/>
        <w:t>tagande (prop. 1990/91:117 s. 204). Dylika åtgärder vidtas inte med stöd av delegation och behöver följ</w:t>
      </w:r>
      <w:r w:rsidRPr="0008481A">
        <w:t>aktligen inte heller anmälas till nämnden. Det saknas också möjlighet att överklaga sådana beslut för laglighets</w:t>
      </w:r>
      <w:r w:rsidRPr="0008481A">
        <w:softHyphen/>
        <w:t xml:space="preserve">prövning (10 kap. 2 § 2 kommunallagen). </w:t>
      </w:r>
    </w:p>
    <w:p w:rsidR="003B3271" w:rsidRPr="0008481A" w:rsidRDefault="003B3271">
      <w:pPr>
        <w:pStyle w:val="Rubrik3"/>
      </w:pPr>
      <w:r w:rsidRPr="0008481A">
        <w:t>Bedömning</w:t>
      </w:r>
    </w:p>
    <w:p w:rsidR="003B3271" w:rsidRPr="0008481A" w:rsidRDefault="003B3271">
      <w:r w:rsidRPr="0008481A">
        <w:t>Inledningsvis vill jag upplysa om att JO inte kan ändra eller upphäva ett beslut som en domstol eller en annan myndi</w:t>
      </w:r>
      <w:r w:rsidRPr="0008481A">
        <w:t>g</w:t>
      </w:r>
      <w:r w:rsidRPr="0008481A">
        <w:softHyphen/>
        <w:t>het har fattat. Inte heller brukar JO ta ställ</w:t>
      </w:r>
      <w:r w:rsidRPr="0008481A">
        <w:softHyphen/>
        <w:t>ning till om ett beslut är riktigt i sak. JO tar upp en sådan fråga till utredning bara när ett beslut direkt strider mot en lag eller en förordning eller annars framstår som uppenbart fe</w:t>
      </w:r>
      <w:r w:rsidRPr="0008481A">
        <w:t>l</w:t>
      </w:r>
      <w:r w:rsidRPr="0008481A">
        <w:t>aktigt. Jag finner inte skäl att i förevarande fall göra något un</w:t>
      </w:r>
      <w:r w:rsidRPr="0008481A">
        <w:softHyphen/>
        <w:t>dantag från det sagda och kommer följaktligen inte att uttala mig om kommunens bedömning av i vilken omfattning barnomsorg skall ordnas för sökandens (P.S.) dött</w:t>
      </w:r>
      <w:r w:rsidRPr="0008481A">
        <w:softHyphen/>
        <w:t xml:space="preserve">rar.  </w:t>
      </w:r>
    </w:p>
    <w:p w:rsidR="003B3271" w:rsidRPr="0008481A" w:rsidRDefault="003B3271">
      <w:pPr>
        <w:pStyle w:val="Normaltindrag"/>
      </w:pPr>
      <w:r w:rsidRPr="0008481A">
        <w:t>När det gäller det som P.S. har tagit up</w:t>
      </w:r>
      <w:r w:rsidRPr="0008481A">
        <w:t>p angående områdes</w:t>
      </w:r>
      <w:r w:rsidRPr="0008481A">
        <w:softHyphen/>
        <w:t>chefen Gun Säfkvists agerande står ord mot ord. Det är inte sannolikt att vidare utrednings</w:t>
      </w:r>
      <w:r w:rsidRPr="0008481A">
        <w:softHyphen/>
        <w:t xml:space="preserve">åtgärder skulle bringa någon ytterligare klarhet i frågan. Jag finner det därför inte meningsfullt att driva utredningen vidare i denna del. </w:t>
      </w:r>
    </w:p>
    <w:p w:rsidR="003B3271" w:rsidRPr="0008481A" w:rsidRDefault="003B3271">
      <w:pPr>
        <w:pStyle w:val="Normaltindrag"/>
      </w:pPr>
      <w:r w:rsidRPr="0008481A">
        <w:t xml:space="preserve">Däremot finns det anledning att beröra vissa delar av handläggningen i övrigt. </w:t>
      </w:r>
    </w:p>
    <w:p w:rsidR="003B3271" w:rsidRPr="0008481A" w:rsidRDefault="003B3271">
      <w:pPr>
        <w:pStyle w:val="Normaltindrag"/>
      </w:pPr>
      <w:r w:rsidRPr="0008481A">
        <w:t>Av P.S. skrivelser i ärendet framgår att han inte kände till att kom</w:t>
      </w:r>
      <w:r w:rsidRPr="0008481A">
        <w:softHyphen/>
        <w:t>mu</w:t>
      </w:r>
      <w:r w:rsidRPr="0008481A">
        <w:softHyphen/>
        <w:t>nens för</w:t>
      </w:r>
      <w:r w:rsidRPr="0008481A">
        <w:softHyphen/>
        <w:t>skoleverksamhet bedrivs i en beställar- och utförarorgani</w:t>
      </w:r>
      <w:r w:rsidRPr="0008481A">
        <w:softHyphen/>
        <w:t>sation. Själv</w:t>
      </w:r>
      <w:r w:rsidRPr="0008481A">
        <w:softHyphen/>
        <w:t>fallet måste kommunen även i en sådan organisation ta hand om frågor från kommunmedborgarna på ett entydigt och konsekvent sätt, oavsett om den en</w:t>
      </w:r>
      <w:r w:rsidRPr="0008481A">
        <w:softHyphen/>
        <w:t>skilde har vänt sig till ”beställaren” eller ”utföraren”. I förevarande fall tog P.S. vid ett möte den 31 mars 1999 upp frågor om nattomsorg och skjuts mellan familjedaghemmet och skolan. Som fram</w:t>
      </w:r>
      <w:r w:rsidRPr="0008481A">
        <w:softHyphen/>
        <w:t>går av det som har redo</w:t>
      </w:r>
      <w:r w:rsidRPr="0008481A">
        <w:softHyphen/>
        <w:t>visats ovan har kommunen därefter lämnat besked som varit m</w:t>
      </w:r>
      <w:r w:rsidRPr="0008481A">
        <w:t>otsägelsefulla och själv</w:t>
      </w:r>
      <w:r w:rsidRPr="0008481A">
        <w:softHyphen/>
        <w:t>fallet förvirrande för P.S.</w:t>
      </w:r>
    </w:p>
    <w:p w:rsidR="003B3271" w:rsidRPr="0008481A" w:rsidRDefault="003B3271">
      <w:pPr>
        <w:pStyle w:val="Normaltindrag"/>
      </w:pPr>
      <w:r w:rsidRPr="0008481A">
        <w:t>En huvudfråga i ärendet är huruvida det som togs upp den 31 mars 1999 skulle uppfattas som en ansökan eller om det endast var information som efter</w:t>
      </w:r>
      <w:r w:rsidRPr="0008481A">
        <w:softHyphen/>
        <w:t xml:space="preserve">frågades. </w:t>
      </w:r>
    </w:p>
    <w:p w:rsidR="003B3271" w:rsidRPr="0008481A" w:rsidRDefault="003B3271">
      <w:pPr>
        <w:pStyle w:val="Normaltindrag"/>
      </w:pPr>
      <w:r w:rsidRPr="0008481A">
        <w:t>Det är viktigt för den enskildes rättssäkerhet att det står klart för en myndighet om den enskilde vid en kontakt med myndigheten endast efter</w:t>
      </w:r>
      <w:r w:rsidRPr="0008481A">
        <w:softHyphen/>
        <w:t>frågar upplysningar om gällande regler eller om han eller hon avser att göra en ansökan. En ansökan skall ju alltid föranleda ett beslut. Om det inte är helt klarlagt att den enskilde önskar endast upplysningar bör myndigheten i första hand ta kontakt med den enskilde för att efterhöra vad som avses. Vid kvarstående oklarhet bör hans be</w:t>
      </w:r>
      <w:r w:rsidRPr="0008481A">
        <w:softHyphen/>
        <w:t>gäran, enligt min mening, alltid upp</w:t>
      </w:r>
      <w:r w:rsidRPr="0008481A">
        <w:softHyphen/>
        <w:t>fattas som en ansökan och föranleda ett beslut.</w:t>
      </w:r>
    </w:p>
    <w:p w:rsidR="003B3271" w:rsidRPr="0008481A" w:rsidRDefault="003B3271">
      <w:pPr>
        <w:pStyle w:val="Normaltindrag"/>
      </w:pPr>
      <w:r w:rsidRPr="0008481A">
        <w:t>I förevarande fall hade kommunens ”beställare” (barn- och ungdomsnämn</w:t>
      </w:r>
      <w:r w:rsidRPr="0008481A">
        <w:softHyphen/>
        <w:t>den) och ”utförare” (Järfälla förskolor och grundskolor) olika uppfattningar om hur man skulle se på det som P.S. hade tagit upp. Redan av denna om</w:t>
      </w:r>
      <w:r w:rsidRPr="0008481A">
        <w:softHyphen/>
        <w:t>stän</w:t>
      </w:r>
      <w:r w:rsidRPr="0008481A">
        <w:softHyphen/>
        <w:t>dighet drar jag den slut</w:t>
      </w:r>
      <w:r w:rsidRPr="0008481A">
        <w:softHyphen/>
        <w:t>satsen att det var oklart vad P.S. avsåg med sina frågor vid mötet den 31 mars 1999. Kontakt borde därför ha tagits med P.S. för klargörande av vad han avsåg. I avsaknad av sådan kontakt, och mot bakgrund av innehållet i Elisabet Stålhanes skrivelse den 9 april 1999, t.ex. ”fr o m höstterminen beviljas ej skjuts mellan familjedaghe</w:t>
      </w:r>
      <w:r w:rsidRPr="0008481A">
        <w:t>mmet och skolan”, borde oklarheten ha lett till att P.S. frågor vid mötet den 31 mars redan från början hade uppfattats som en ansökan om barn</w:t>
      </w:r>
      <w:r w:rsidRPr="0008481A">
        <w:softHyphen/>
        <w:t>omsorg utöver gällande rikt</w:t>
      </w:r>
      <w:r w:rsidRPr="0008481A">
        <w:softHyphen/>
        <w:t>linjer. Hans ansökan borde följaktligen ha föranlett ett beslut i enlighet med gäl</w:t>
      </w:r>
      <w:r w:rsidRPr="0008481A">
        <w:softHyphen/>
        <w:t xml:space="preserve">lande delegationsordning på det sätt som slutligen också blev fallet. </w:t>
      </w:r>
    </w:p>
    <w:p w:rsidR="003B3271" w:rsidRPr="0008481A" w:rsidRDefault="003B3271">
      <w:pPr>
        <w:pStyle w:val="Normaltindrag"/>
      </w:pPr>
      <w:r w:rsidRPr="0008481A">
        <w:t>När det gäller informationen i skrivelsen den 20 april 1999 ger denna intrycket av att det skulle vara möjligt att anföra s.k. förvaltnings</w:t>
      </w:r>
      <w:r w:rsidRPr="0008481A">
        <w:softHyphen/>
        <w:t xml:space="preserve">besvär mot ett beslut som rör omfattningen av förskoleverksamhet och skolbarnsomsorg, dvs. att det föreligger en möjlighet att få en ansökan överprövad i sak. Så är emellertid inte fallet, utan den enda möjlighet som står till buds är en prövning av beslutets laglighet på det sätt som har nämnts ovan. Även beslutet den 7 juli 1999 ger intrycket av att kunna överklagas genom s.k. förvaltningsbesvär. Om en myndighet i ett beslut avser att underrätta om att ett beslut kan överklagas i den ordning som stadgas </w:t>
      </w:r>
      <w:r w:rsidRPr="0008481A">
        <w:t xml:space="preserve">i 10 kap. kommunallagen (vilket inte är ett krav) bör det tydligt anges att det är fråga om endast en möjlighet att få beslutets laglighet prövad.   </w:t>
      </w:r>
    </w:p>
    <w:p w:rsidR="003B3271" w:rsidRPr="0008481A" w:rsidRDefault="003B3271">
      <w:pPr>
        <w:pStyle w:val="Normaltindrag"/>
      </w:pPr>
      <w:r w:rsidRPr="0008481A">
        <w:t>Vidare ifrågasätter jag riktigheten av att skicka en handling rubricerad som ett överklagande till Skolverket. Det ankommer inte på kommunen att ta ställning om det är möjligt att överklaga ett beslut eller en åtgärd som kommunen har vidtagit. Om det är fråga om ett överklagande som är ställt till länsrätten eller liknande har kommunen i ärenden av förevarande</w:t>
      </w:r>
      <w:r w:rsidRPr="0008481A">
        <w:t xml:space="preserve"> slag endast att översända skrivelsen till läns</w:t>
      </w:r>
      <w:r w:rsidRPr="0008481A">
        <w:softHyphen/>
        <w:t>rätten för bedömning. Efter</w:t>
      </w:r>
      <w:r w:rsidRPr="0008481A">
        <w:softHyphen/>
        <w:t>som överklagandet inte synes ha adresserats till läns</w:t>
      </w:r>
      <w:r w:rsidRPr="0008481A">
        <w:softHyphen/>
        <w:t>rätten borde kommunen åtminstone ha tagit kontakt med P.S. för att ut</w:t>
      </w:r>
      <w:r w:rsidRPr="0008481A">
        <w:softHyphen/>
        <w:t>röna vad han avsåg med sin skrivelse. Det är ju t.ex. inte ovanligt att en begäran om omprövning felaktigt rubriceras som ”överklagande”. Slut</w:t>
      </w:r>
      <w:r w:rsidRPr="0008481A">
        <w:softHyphen/>
        <w:t>satsen blir följ</w:t>
      </w:r>
      <w:r w:rsidRPr="0008481A">
        <w:softHyphen/>
        <w:t>aktli</w:t>
      </w:r>
      <w:r w:rsidRPr="0008481A">
        <w:softHyphen/>
        <w:t>gen att det var felaktigt att översända skrivelsen till Skolverket, utan att dessförin</w:t>
      </w:r>
      <w:r w:rsidRPr="0008481A">
        <w:softHyphen/>
        <w:t>nan efter</w:t>
      </w:r>
      <w:r w:rsidRPr="0008481A">
        <w:softHyphen/>
        <w:t>höra med P.S. vad han hade avsett med sin skrivel</w:t>
      </w:r>
      <w:r w:rsidRPr="0008481A">
        <w:t>se. Vid tvek</w:t>
      </w:r>
      <w:r w:rsidRPr="0008481A">
        <w:softHyphen/>
        <w:t>samheter bör ett ”överklagande” alltid översändas till läns</w:t>
      </w:r>
      <w:r w:rsidRPr="0008481A">
        <w:softHyphen/>
        <w:t xml:space="preserve">rätten.      </w:t>
      </w:r>
    </w:p>
    <w:p w:rsidR="003B3271" w:rsidRPr="0008481A" w:rsidRDefault="003B3271">
      <w:pPr>
        <w:pStyle w:val="Normaltindrag"/>
      </w:pPr>
      <w:r w:rsidRPr="0008481A">
        <w:t>Som framgår av det anförda är jag kritisk mot kommunens handläggning. Det är högst otillfredsställande att P.S. har fått så olika besked angående handläggningen av hans begäran. Oklarheterna har också inneburit att det har tagit onödigt lång tid innan P.S. erhöll något formellt beslut i sakfrågan. Jag för</w:t>
      </w:r>
      <w:r w:rsidRPr="0008481A">
        <w:softHyphen/>
        <w:t>utsätter att den genomgång av gällande lagstiftning som har aviserats i Lars Renströms yttrande redan har skett och att barn- och ungdomsnämnden även fram</w:t>
      </w:r>
      <w:r w:rsidRPr="0008481A">
        <w:softHyphen/>
        <w:t>deles bevakar att handläggningen sker i enlighet med gällande lagstiftning.</w:t>
      </w:r>
    </w:p>
    <w:p w:rsidR="003B3271" w:rsidRPr="0008481A" w:rsidRDefault="003B3271">
      <w:pPr>
        <w:pStyle w:val="Normaltindrag"/>
      </w:pPr>
      <w:r w:rsidRPr="0008481A">
        <w:t>Vad som i övrigt har förekommit föranleder inte någon åtgärd eller något ut</w:t>
      </w:r>
      <w:r w:rsidRPr="0008481A">
        <w:softHyphen/>
        <w:t>ta</w:t>
      </w:r>
      <w:r w:rsidRPr="0008481A">
        <w:softHyphen/>
        <w:t xml:space="preserve">lande från min sida. </w:t>
      </w:r>
    </w:p>
    <w:p w:rsidR="003B3271" w:rsidRPr="0008481A" w:rsidRDefault="003B3271">
      <w:pPr>
        <w:pStyle w:val="Normaltindrag"/>
      </w:pPr>
      <w:r w:rsidRPr="0008481A">
        <w:t>Ärendet avslutas.</w:t>
      </w:r>
    </w:p>
    <w:p w:rsidR="003B3271" w:rsidRPr="0008481A" w:rsidRDefault="003B3271">
      <w:pPr>
        <w:pStyle w:val="Rubrik2"/>
      </w:pPr>
      <w:r w:rsidRPr="0008481A">
        <w:t>Kritik mot socialförvaltning och grundskola för bristande åtgärder vad gäller skolelevers fullgörande av skolplikt</w:t>
      </w:r>
    </w:p>
    <w:p w:rsidR="003B3271" w:rsidRPr="0008481A" w:rsidRDefault="003B3271">
      <w:r w:rsidRPr="0008481A">
        <w:t>(Dnr 1530-1999 och 3204-1999)</w:t>
      </w:r>
    </w:p>
    <w:p w:rsidR="003B3271" w:rsidRPr="0008481A" w:rsidRDefault="003B3271">
      <w:pPr>
        <w:pStyle w:val="Rubrik3"/>
      </w:pPr>
      <w:r w:rsidRPr="0008481A">
        <w:t xml:space="preserve">I Anmälan mot socialförvaltningen i Eskilstuna kommun </w:t>
      </w:r>
    </w:p>
    <w:p w:rsidR="003B3271" w:rsidRPr="0008481A" w:rsidRDefault="003B3271">
      <w:pPr>
        <w:pStyle w:val="Rubrik3"/>
        <w:spacing w:before="120"/>
      </w:pPr>
      <w:r w:rsidRPr="0008481A">
        <w:t xml:space="preserve">Anmälan </w:t>
      </w:r>
    </w:p>
    <w:p w:rsidR="003B3271" w:rsidRPr="0008481A" w:rsidRDefault="003B3271">
      <w:r w:rsidRPr="0008481A">
        <w:t>I en anmälan till JO framförde Leendert Janson klagomål mot social</w:t>
      </w:r>
      <w:r w:rsidRPr="0008481A">
        <w:softHyphen/>
        <w:t>förvaltningen i Eskilstuna kommun. Klagomålen avsåg bristande åtgärder för att förmå skol</w:t>
      </w:r>
      <w:r w:rsidRPr="0008481A">
        <w:softHyphen/>
        <w:t>pliktiga elever att fullgöra sin skolgång. Leendert Janson nämnde två sådana ele</w:t>
      </w:r>
      <w:r w:rsidRPr="0008481A">
        <w:softHyphen/>
        <w:t>ver som exempel, av honom benämnda ”X” och ”Y”. Beträffande den ena eleven, X, anförde Leendert Janson följande.</w:t>
      </w:r>
    </w:p>
    <w:p w:rsidR="003B3271" w:rsidRPr="0008481A" w:rsidRDefault="003B3271">
      <w:pPr>
        <w:pStyle w:val="Citat"/>
      </w:pPr>
      <w:r w:rsidRPr="0008481A">
        <w:t>Som klassföreståndare/mentor i årskurs 9 har jag enligt klasslistan en elev X, som sedan september 1996 inte visat sig på några lektioner. Ärendet anmäldes till Socialtjänsten i Skiftinge i ett tidigt stadium. Ändå tilläts flic</w:t>
      </w:r>
      <w:r w:rsidRPr="0008481A">
        <w:t>kan skolka från skolan. Hon är ständigt i eller i närheten av skolan och har lyckats dra med sig ytterligare ett antal elever från lek</w:t>
      </w:r>
      <w:r w:rsidRPr="0008481A">
        <w:softHyphen/>
        <w:t>tionerna. Flickan står nu helt utan utbildning och kommer i bästa fall att tas om hand av gym</w:t>
      </w:r>
      <w:r w:rsidRPr="0008481A">
        <w:softHyphen/>
        <w:t>nasie</w:t>
      </w:r>
      <w:r w:rsidRPr="0008481A">
        <w:softHyphen/>
        <w:t xml:space="preserve">skolans individuella program. </w:t>
      </w:r>
    </w:p>
    <w:p w:rsidR="003B3271" w:rsidRPr="0008481A" w:rsidRDefault="003B3271">
      <w:pPr>
        <w:pStyle w:val="Rubrik3"/>
      </w:pPr>
      <w:r w:rsidRPr="0008481A">
        <w:t>Utredning</w:t>
      </w:r>
    </w:p>
    <w:p w:rsidR="003B3271" w:rsidRPr="0008481A" w:rsidRDefault="003B3271">
      <w:r w:rsidRPr="0008481A">
        <w:t>Inledningsvis inhämtades per telefon upplysningar från socialförvaltningen i Eskilstuna kommun och Länsstyrelsen i Södermanlands län. Därefter tog JO del av handlingarna i Länsstyrelsens i Södermanlands län ärende med diarienummer 502-9374-1997 angående Socialnämndens i Eskilstuna kommun handläggning såvitt avsåg Y. Länsstyrelsens granskning avsåg bl.a. den huvudfråga som Leendert Janson hade tagit upp angående Y, nämligen nämndens planering och åtgärder i samband med att en familjehemsplacering upphörde.</w:t>
      </w:r>
    </w:p>
    <w:p w:rsidR="003B3271" w:rsidRPr="0008481A" w:rsidRDefault="003B3271">
      <w:pPr>
        <w:pStyle w:val="Normaltindrag"/>
      </w:pPr>
      <w:r w:rsidRPr="0008481A">
        <w:t>Socialnämnden i Eskilstuna kommun anmodades att inkomma med utredning och yttrande över vad som framfördes rörande X i Leendert Jansons anmälan till JO. Socialnämnden beslutade att anta en skrivelse från socialförvalt</w:t>
      </w:r>
      <w:r w:rsidRPr="0008481A">
        <w:softHyphen/>
        <w:t>ningen som sitt eget remissvar. I socialförvaltningens skrivelse anfördes huvud</w:t>
      </w:r>
      <w:r w:rsidRPr="0008481A">
        <w:softHyphen/>
        <w:t xml:space="preserve">sakligen följande. </w:t>
      </w:r>
    </w:p>
    <w:p w:rsidR="003B3271" w:rsidRPr="0008481A" w:rsidRDefault="003B3271">
      <w:pPr>
        <w:pStyle w:val="Citat"/>
      </w:pPr>
      <w:r w:rsidRPr="0008481A">
        <w:t>1:e socialsekreterare och den som varit handläggare i det aktuella ärendet på samverkans</w:t>
      </w:r>
      <w:r w:rsidRPr="0008481A">
        <w:softHyphen/>
        <w:t>distrikt Kafjärden-Skiftinge har lämnat ett yttrande.</w:t>
      </w:r>
    </w:p>
    <w:p w:rsidR="003B3271" w:rsidRPr="0008481A" w:rsidRDefault="003B3271">
      <w:pPr>
        <w:pStyle w:val="Citatindrag"/>
      </w:pPr>
      <w:r w:rsidRPr="0008481A">
        <w:t>I yttrandet framkommer att i det nära samarbetet mellan skola och social</w:t>
      </w:r>
      <w:r w:rsidRPr="0008481A">
        <w:softHyphen/>
        <w:t>förvaltning kan gränsen för förebyggande arbete och när en anmälan görs bli otydlig. I detta fall har detta blivit tydligt och kommer att ligga till grund för fortsatta diskussioner mellan barn- och utbildningsförvaltningen och social</w:t>
      </w:r>
      <w:r w:rsidRPr="0008481A">
        <w:softHyphen/>
        <w:t xml:space="preserve">förvaltningen. </w:t>
      </w:r>
    </w:p>
    <w:p w:rsidR="003B3271" w:rsidRPr="0008481A" w:rsidRDefault="003B3271">
      <w:r w:rsidRPr="0008481A">
        <w:t xml:space="preserve">Förste socialsekreteraren Pia Andersson anförde följande i det nämnda yttrandet.  </w:t>
      </w:r>
    </w:p>
    <w:p w:rsidR="003B3271" w:rsidRPr="0008481A" w:rsidRDefault="003B3271">
      <w:pPr>
        <w:pStyle w:val="Citat"/>
      </w:pPr>
      <w:r w:rsidRPr="0008481A">
        <w:t>Socialnämnden har utrett ärendet genom att inhämta sakuppgifter från hand</w:t>
      </w:r>
      <w:r w:rsidRPr="0008481A">
        <w:softHyphen/>
        <w:t>läggare samt kontroll av dokumentation i ärendet.</w:t>
      </w:r>
    </w:p>
    <w:p w:rsidR="003B3271" w:rsidRPr="0008481A" w:rsidRDefault="003B3271">
      <w:pPr>
        <w:pStyle w:val="Rubrik4"/>
      </w:pPr>
      <w:r w:rsidRPr="0008481A">
        <w:t>Sammanfattning av ärendet och vad som gjorts i ärendet från handläg</w:t>
      </w:r>
      <w:r w:rsidRPr="0008481A">
        <w:softHyphen/>
        <w:t>gares sida</w:t>
      </w:r>
    </w:p>
    <w:p w:rsidR="003B3271" w:rsidRPr="0008481A" w:rsidRDefault="003B3271">
      <w:pPr>
        <w:pStyle w:val="Citat"/>
      </w:pPr>
      <w:r w:rsidRPr="0008481A">
        <w:t>Socialsekreterare/handläggare Viveka Boström har haft kontakt med familjen sedan januari -96 då en äldre syster hade problem i skolan. Viveka Boström uppger att situationen varit följande.</w:t>
      </w:r>
    </w:p>
    <w:p w:rsidR="003B3271" w:rsidRPr="0008481A" w:rsidRDefault="003B3271">
      <w:pPr>
        <w:pStyle w:val="Citat"/>
      </w:pPr>
      <w:r w:rsidRPr="0008481A">
        <w:t>Då socialsekreterare Viveka Boström fick kontakt med familjen -96, gick X på mellan</w:t>
      </w:r>
      <w:r w:rsidRPr="0008481A">
        <w:softHyphen/>
        <w:t>stadiet och det gick mycket bra för henne i skolan. Hon såg fram emot att börja högstadiet. Hon fick samma klassföreståndare som systern haft. Under årskurs 7 började X skolka från lektionerna i skolan. Detta föranledde att skolan tog kontakt med socialsekreterare och påtalade oro för X. Social</w:t>
      </w:r>
      <w:r w:rsidRPr="0008481A">
        <w:softHyphen/>
        <w:t>sekreterare Viveka Boström hade en serie samtal med fa</w:t>
      </w:r>
      <w:r w:rsidRPr="0008481A">
        <w:softHyphen/>
        <w:t>miljen och skolan med start under årskurs 8. Under årskurs 8 hade Viveka Boström ca 5 samtal där både skolan och hemmet fanns med. Viveka hade även enskilda sam</w:t>
      </w:r>
      <w:r w:rsidRPr="0008481A">
        <w:t>tal med X samt samtal med X och modern till</w:t>
      </w:r>
      <w:r w:rsidRPr="0008481A">
        <w:softHyphen/>
        <w:t>sammans. Under sommar</w:t>
      </w:r>
      <w:r w:rsidRPr="0008481A">
        <w:softHyphen/>
        <w:t>lovet mellan årskurserna 8 och 9 var kontakten som tätast då oro fanns för att X um</w:t>
      </w:r>
      <w:r w:rsidRPr="0008481A">
        <w:softHyphen/>
        <w:t>gicks med personer som drack alkohol och själv drack alkohol. Social</w:t>
      </w:r>
      <w:r w:rsidRPr="0008481A">
        <w:softHyphen/>
        <w:t>sekreterare Viveka Boström arbetade då för att stötta mo</w:t>
      </w:r>
      <w:r w:rsidRPr="0008481A">
        <w:softHyphen/>
        <w:t>dern i att ha rimliga samt konsekventa regler för X. X slutade med umgänget och drick</w:t>
      </w:r>
      <w:r w:rsidRPr="0008481A">
        <w:softHyphen/>
        <w:t>andet och kontakten mellan modern och X föreföll vara bra. X uttalade att hon ville komma i gång i skolan men hon tyckte det var svårt eftersom det gå</w:t>
      </w:r>
      <w:r w:rsidRPr="0008481A">
        <w:t>tt så lång tid.</w:t>
      </w:r>
    </w:p>
    <w:p w:rsidR="003B3271" w:rsidRPr="0008481A" w:rsidRDefault="003B3271">
      <w:pPr>
        <w:pStyle w:val="Citatindrag"/>
      </w:pPr>
      <w:r w:rsidRPr="0008481A">
        <w:t xml:space="preserve">Skolan gav under årskurs 9 upp sina försök att få X till skolan och hon vistades över </w:t>
      </w:r>
      <w:r w:rsidRPr="0008481A">
        <w:softHyphen/>
        <w:t>huvud taget inte i skolan sista terminen och skolan hörde inte av sig till modern. Social</w:t>
      </w:r>
      <w:r w:rsidRPr="0008481A">
        <w:softHyphen/>
        <w:t>sekreteraren har fortfarande kontakt med modern i syfte att följa upp X samt med anled</w:t>
      </w:r>
      <w:r w:rsidRPr="0008481A">
        <w:softHyphen/>
        <w:t>ning av insatser gällande X äldre syster. I dag har X en vilja att börja individuellt program på gym</w:t>
      </w:r>
      <w:r w:rsidRPr="0008481A">
        <w:softHyphen/>
        <w:t>nasiet eftersom det blev tråkigt att vara hemma från skolan så lång tid. Social</w:t>
      </w:r>
      <w:r w:rsidRPr="0008481A">
        <w:softHyphen/>
        <w:t>sekreteraren bedömer att det inte finns några hinder för X att skaffa sig en utbildning då hon inte har inlärningssvårigheter och inte heller andra probl</w:t>
      </w:r>
      <w:r w:rsidRPr="0008481A">
        <w:t>em som begränsar hennes möjligheter.</w:t>
      </w:r>
    </w:p>
    <w:p w:rsidR="003B3271" w:rsidRPr="0008481A" w:rsidRDefault="003B3271">
      <w:pPr>
        <w:pStyle w:val="Citatindrag"/>
      </w:pPr>
      <w:r w:rsidRPr="0008481A">
        <w:t>Insatserna kring X finns inte dokumenterade. Det finns heller inte någon form av anmälan dokumenterad. Socialsekreterarens bedömning var då detta inträffade att hennes arbete skedde i förebyggande syfte och utanför ramen för handläggning/myndighetsutövning.</w:t>
      </w:r>
    </w:p>
    <w:p w:rsidR="003B3271" w:rsidRPr="0008481A" w:rsidRDefault="003B3271">
      <w:pPr>
        <w:pStyle w:val="Rubrik4"/>
      </w:pPr>
      <w:r w:rsidRPr="0008481A">
        <w:t>Bedömning</w:t>
      </w:r>
    </w:p>
    <w:p w:rsidR="003B3271" w:rsidRPr="0008481A" w:rsidRDefault="003B3271">
      <w:pPr>
        <w:pStyle w:val="Citat"/>
      </w:pPr>
      <w:r w:rsidRPr="0008481A">
        <w:t>Min bedömning är att en utredning enligt 50 § SoL borde inletts för att ut</w:t>
      </w:r>
      <w:r w:rsidRPr="0008481A">
        <w:softHyphen/>
        <w:t>reda X situation och hur hennes behov av hjälp skulle kunna tillgodo</w:t>
      </w:r>
      <w:r w:rsidRPr="0008481A">
        <w:softHyphen/>
        <w:t>ses då det stod klart för socialsekrete</w:t>
      </w:r>
      <w:r w:rsidRPr="0008481A">
        <w:softHyphen/>
        <w:t>raren att skolkandet var omfattande och att det dessutom fanns problem på fritiden. En råd- och stödinsats enligt § 6 SoL borde ha inletts för moderns del med målsättning att stödja modern i hennes för</w:t>
      </w:r>
      <w:r w:rsidRPr="0008481A">
        <w:softHyphen/>
        <w:t>äldraroll.</w:t>
      </w:r>
    </w:p>
    <w:p w:rsidR="003B3271" w:rsidRPr="0008481A" w:rsidRDefault="003B3271">
      <w:pPr>
        <w:pStyle w:val="Citatindrag"/>
      </w:pPr>
      <w:r w:rsidRPr="0008481A">
        <w:t>Socialsekreteraren har inte underlåtit att agera i ärendet och har funnits aktivt med för att stödja både modern och skolan i deras ansträngningar att få X tillbaks till skolan samt X själv</w:t>
      </w:r>
      <w:r w:rsidRPr="0008481A">
        <w:t xml:space="preserve"> genom individuella samtal. </w:t>
      </w:r>
    </w:p>
    <w:p w:rsidR="003B3271" w:rsidRPr="0008481A" w:rsidRDefault="003B3271">
      <w:pPr>
        <w:pStyle w:val="Citatindrag"/>
      </w:pPr>
      <w:r w:rsidRPr="0008481A">
        <w:t>Social</w:t>
      </w:r>
      <w:r w:rsidRPr="0008481A">
        <w:softHyphen/>
        <w:t>sekreteraren har fortfarande kontakt med familjen och gör bedöm</w:t>
      </w:r>
      <w:r w:rsidRPr="0008481A">
        <w:softHyphen/>
        <w:t>ningen att X i dag inte far illa och har möjligheter att ta igen det hon förlorat under högstadiet. Det som kan kritiseras är att insatserna inte dokumente</w:t>
      </w:r>
      <w:r w:rsidRPr="0008481A">
        <w:softHyphen/>
        <w:t>rats.</w:t>
      </w:r>
    </w:p>
    <w:p w:rsidR="003B3271" w:rsidRPr="0008481A" w:rsidRDefault="003B3271">
      <w:pPr>
        <w:pStyle w:val="Citatindrag"/>
      </w:pPr>
      <w:r w:rsidRPr="0008481A">
        <w:t>I detta ärende vill jag tillägga att i samarbetet med skolan kan det ibland vara svårt att dra gränserna för när man som socialsekreterare arbetar före</w:t>
      </w:r>
      <w:r w:rsidRPr="0008481A">
        <w:softHyphen/>
        <w:t>byggande och när man måste gå in som myndighetsperson. Det kan finnas många skäl till att välja att inte gå in som myn</w:t>
      </w:r>
      <w:r w:rsidRPr="0008481A">
        <w:softHyphen/>
        <w:t>dighetsperson i arbetet i skolan, man kan vara rädd om rollen att inte vara en hotfull per</w:t>
      </w:r>
      <w:r w:rsidRPr="0008481A">
        <w:softHyphen/>
        <w:t>son för att få större möjligheter att komma in tidigt i barns liv. Efterfrågan på vårt enga</w:t>
      </w:r>
      <w:r w:rsidRPr="0008481A">
        <w:softHyphen/>
        <w:t>gemang i skolan har ökat på senare år, vilket vi välkomnat då vi alltid önskar brett samar</w:t>
      </w:r>
      <w:r w:rsidRPr="0008481A">
        <w:softHyphen/>
        <w:t>bete med verksamheter där barn finns. Men det finns också svårig</w:t>
      </w:r>
      <w:r w:rsidRPr="0008481A">
        <w:softHyphen/>
        <w:t>heter med samarbetet, vilket jag tror kan få konsekve</w:t>
      </w:r>
      <w:r w:rsidRPr="0008481A">
        <w:t>nser som just i detta fall.</w:t>
      </w:r>
    </w:p>
    <w:p w:rsidR="003B3271" w:rsidRPr="0008481A" w:rsidRDefault="003B3271">
      <w:pPr>
        <w:pStyle w:val="Citatindrag"/>
      </w:pPr>
      <w:r w:rsidRPr="0008481A">
        <w:t>Ett ännu bättre och tydligare samarbete mellan oss skulle gynna barn och ungdom samt bådas våra verksamheter. Ett mycket stort problem är den stora andel ungdomar som går ut ur årskurs 9 utan fullgjord skolplikt i Eskilstuna.</w:t>
      </w:r>
    </w:p>
    <w:p w:rsidR="003B3271" w:rsidRPr="0008481A" w:rsidRDefault="003B3271">
      <w:pPr>
        <w:pStyle w:val="Rubrik4"/>
      </w:pPr>
      <w:r w:rsidRPr="0008481A">
        <w:t>Framtida mål med samarbete skola–socialtjänst samt vidtagna åtgärder</w:t>
      </w:r>
    </w:p>
    <w:p w:rsidR="003B3271" w:rsidRPr="0008481A" w:rsidRDefault="003B3271">
      <w:pPr>
        <w:pStyle w:val="Citat"/>
      </w:pPr>
      <w:r w:rsidRPr="0008481A">
        <w:t>Ett samarbete mellan skolorna i Kafjärden-Skiftinge och socialförvaltningen i området har funnits länge och i flera former. Under ett par år har arbetet med skolan inte kunnat prioriteras i samband med omorganisation. Under hösten -98 har dock nya initiativ till samarbete tagits och nu finns en funge</w:t>
      </w:r>
      <w:r w:rsidRPr="0008481A">
        <w:softHyphen/>
        <w:t>rande plan för hur samarbete sker i form av arbets</w:t>
      </w:r>
      <w:r w:rsidRPr="0008481A">
        <w:softHyphen/>
        <w:t>tid som förläggs på skolan 1 gång/månad för socialsekreterarna i gruppen. Samarbetet utvärderas nu kontinuerligt och en plan för hur våra rutiner skall fungera vid överläm</w:t>
      </w:r>
      <w:r w:rsidRPr="0008481A">
        <w:softHyphen/>
        <w:t>nande av anmälningar, hur samarbetet skall ske och på vilka grunder skall utarbetas av oss gemensamt till hösten. Som utgångspunkt kan vi använda detta exempel för att alla lära oss någonting av det som hänt för att kunna undvika liknande fall i framtiden. Samtal kommer att hållas även p</w:t>
      </w:r>
      <w:r w:rsidRPr="0008481A">
        <w:t>å hög chefsnivå för att diskutera barn- och utbildningsförvalt</w:t>
      </w:r>
      <w:r w:rsidRPr="0008481A">
        <w:softHyphen/>
        <w:t>ningens och socialför</w:t>
      </w:r>
      <w:r w:rsidRPr="0008481A">
        <w:softHyphen/>
        <w:t xml:space="preserve">valtningens fortsatta samarbete. Kontakter har redan tagits kring detta. </w:t>
      </w:r>
    </w:p>
    <w:p w:rsidR="003B3271" w:rsidRPr="0008481A" w:rsidRDefault="003B3271">
      <w:pPr>
        <w:pStyle w:val="Citatindrag"/>
      </w:pPr>
      <w:r w:rsidRPr="0008481A">
        <w:softHyphen/>
        <w:t>Vad gäller kommunens insatser för utbildning i dokumentation kan nämnas att stora in</w:t>
      </w:r>
      <w:r w:rsidRPr="0008481A">
        <w:softHyphen/>
        <w:t>satser gjorts under 98/99.</w:t>
      </w:r>
    </w:p>
    <w:p w:rsidR="003B3271" w:rsidRPr="0008481A" w:rsidRDefault="003B3271">
      <w:r w:rsidRPr="0008481A">
        <w:t xml:space="preserve">JO tog därefter del av Länsstyrelsens i Södermanlands län beslut den 16 september 1999 avseende Y (länsstyrelsens ärende med diarienummer 502-9374-1997). </w:t>
      </w:r>
    </w:p>
    <w:p w:rsidR="003B3271" w:rsidRPr="0008481A" w:rsidRDefault="003B3271">
      <w:pPr>
        <w:pStyle w:val="Rubrik3"/>
      </w:pPr>
      <w:r w:rsidRPr="0008481A">
        <w:t xml:space="preserve">II På JO:s initiativ upptaget ärende mot grundskolan Skiftingehus i Eskilstuna kommun </w:t>
      </w:r>
    </w:p>
    <w:p w:rsidR="003B3271" w:rsidRPr="0008481A" w:rsidRDefault="003B3271">
      <w:pPr>
        <w:pStyle w:val="Rubrik3"/>
        <w:spacing w:before="120"/>
      </w:pPr>
      <w:r w:rsidRPr="0008481A">
        <w:t>Initiativet</w:t>
      </w:r>
    </w:p>
    <w:p w:rsidR="003B3271" w:rsidRPr="0008481A" w:rsidRDefault="003B3271">
      <w:r w:rsidRPr="0008481A">
        <w:t>I en promemoria som upprättades på JO-expeditionen anfördes huvud</w:t>
      </w:r>
      <w:r w:rsidRPr="0008481A">
        <w:softHyphen/>
        <w:t xml:space="preserve">sakligen följande. </w:t>
      </w:r>
    </w:p>
    <w:p w:rsidR="003B3271" w:rsidRPr="0008481A" w:rsidRDefault="003B3271">
      <w:pPr>
        <w:pStyle w:val="Citat"/>
      </w:pPr>
      <w:r w:rsidRPr="0008481A">
        <w:t>I en anmälan till JO framfördes klagomål mot socialförvaltningens i Eskilstuna kommun åtgärder för att förmå skolpliktiga elever att fullgöra sin skolgång (JO:s dnr 1530-1999). Två skolpliktiga elever nämndes som exempel. Anmälan remit</w:t>
      </w:r>
      <w:r w:rsidRPr="0008481A">
        <w:softHyphen/>
        <w:t>terades till Socialnämnden i Eskilstuna kommun för utredning och ytt</w:t>
      </w:r>
      <w:r w:rsidRPr="0008481A">
        <w:softHyphen/>
        <w:t>rande an</w:t>
      </w:r>
      <w:r w:rsidRPr="0008481A">
        <w:softHyphen/>
        <w:t>gående vad som framfördes i anmälan om en av eleverna. Socialnämndens remiss</w:t>
      </w:r>
      <w:r w:rsidRPr="0008481A">
        <w:softHyphen/>
        <w:t xml:space="preserve">var har inkommit till JO-expeditionen. </w:t>
      </w:r>
    </w:p>
    <w:p w:rsidR="003B3271" w:rsidRPr="0008481A" w:rsidRDefault="003B3271">
      <w:pPr>
        <w:pStyle w:val="Citatindrag"/>
      </w:pPr>
      <w:r w:rsidRPr="0008481A">
        <w:t>Med anledning av det som har framkommit i ärendet angående den elev som i anmälan benämns som ”X”, bör barn- och utbildningsnämnden i Eskilstuna kommun in</w:t>
      </w:r>
      <w:r w:rsidRPr="0008481A">
        <w:softHyphen/>
        <w:t>komma med utredning och yttrande angående de åtgärder som skolan vid</w:t>
      </w:r>
      <w:r w:rsidRPr="0008481A">
        <w:softHyphen/>
        <w:t>tog för att se till att ”X” full</w:t>
      </w:r>
      <w:r w:rsidRPr="0008481A">
        <w:softHyphen/>
        <w:t xml:space="preserve">gjorde sin skolgång. </w:t>
      </w:r>
    </w:p>
    <w:p w:rsidR="003B3271" w:rsidRPr="0008481A" w:rsidRDefault="003B3271">
      <w:pPr>
        <w:pStyle w:val="Rubrik3"/>
      </w:pPr>
      <w:r w:rsidRPr="0008481A">
        <w:t>Utredning</w:t>
      </w:r>
    </w:p>
    <w:p w:rsidR="003B3271" w:rsidRPr="0008481A" w:rsidRDefault="003B3271">
      <w:r w:rsidRPr="0008481A">
        <w:t>Barn- och utbildningsnämnden i Eskilstuna kommun anmodades att in</w:t>
      </w:r>
      <w:r w:rsidRPr="0008481A">
        <w:softHyphen/>
        <w:t xml:space="preserve">komma med utredning och yttrande enligt den upprättade promemorian. </w:t>
      </w:r>
    </w:p>
    <w:p w:rsidR="003B3271" w:rsidRPr="0008481A" w:rsidRDefault="003B3271">
      <w:pPr>
        <w:pStyle w:val="Normaltindrag"/>
      </w:pPr>
      <w:r w:rsidRPr="0008481A">
        <w:t>Barn- och utbild</w:t>
      </w:r>
      <w:r w:rsidRPr="0008481A">
        <w:softHyphen/>
        <w:t>ningsnämnden beslutade att anta en tjänstemannaskrivelse, upprättad av rektor Violet Hägglund, som sitt eget remiss</w:t>
      </w:r>
      <w:r w:rsidRPr="0008481A">
        <w:softHyphen/>
        <w:t>svar. Till nämndens beslut hade fogats ett yttrande från barn- och utbildnings</w:t>
      </w:r>
      <w:r w:rsidRPr="0008481A">
        <w:softHyphen/>
        <w:t>förvaltningen. För</w:t>
      </w:r>
      <w:r w:rsidRPr="0008481A">
        <w:softHyphen/>
        <w:t>valt</w:t>
      </w:r>
      <w:r w:rsidRPr="0008481A">
        <w:softHyphen/>
        <w:t>ningen anförde därvid bl.a. följande.</w:t>
      </w:r>
    </w:p>
    <w:p w:rsidR="003B3271" w:rsidRPr="0008481A" w:rsidRDefault="003B3271">
      <w:pPr>
        <w:pStyle w:val="Citat"/>
      </w:pPr>
      <w:r w:rsidRPr="0008481A">
        <w:t>Violet Hägglund, rektor vid Skiftingehus grundskola, har redogjort för skolans åtgärder i bifogad skrivelse (se nedan, JO:s anm.). Av skrivelsen framgår att skolan under hela tiden under åk 8 och 9 hade kontakt med X, förälder och social</w:t>
      </w:r>
      <w:r w:rsidRPr="0008481A">
        <w:softHyphen/>
        <w:t>tjänsten. Olika lösningar pröva</w:t>
      </w:r>
      <w:r w:rsidRPr="0008481A">
        <w:softHyphen/>
        <w:t>des i sam</w:t>
      </w:r>
      <w:r w:rsidRPr="0008481A">
        <w:softHyphen/>
        <w:t>verkan med samt</w:t>
      </w:r>
      <w:r w:rsidRPr="0008481A">
        <w:softHyphen/>
        <w:t>liga berörda parter. Ansträngningar gjordes också hela tiden att hitta personer som X hade för</w:t>
      </w:r>
      <w:r w:rsidRPr="0008481A">
        <w:softHyphen/>
        <w:t>troende för. Trots detta fullgjorde X ej sin skolgång i grund</w:t>
      </w:r>
      <w:r w:rsidRPr="0008481A">
        <w:softHyphen/>
        <w:t>skolan.</w:t>
      </w:r>
    </w:p>
    <w:p w:rsidR="003B3271" w:rsidRPr="0008481A" w:rsidRDefault="003B3271">
      <w:pPr>
        <w:pStyle w:val="Citatindrag"/>
      </w:pPr>
      <w:r w:rsidRPr="0008481A">
        <w:t>Enligt den utredning som barn- och utbildningsnämnden gjort genom Margareta Forsberg och rektor Violet Hägglund har skolan aktivt arbetat med att få X till skolan igen. Det aktuella ärendet visar att samtal och sam</w:t>
      </w:r>
      <w:r w:rsidRPr="0008481A">
        <w:softHyphen/>
        <w:t>verkan mellan barn- och utbildningsförvalt</w:t>
      </w:r>
      <w:r w:rsidRPr="0008481A">
        <w:softHyphen/>
        <w:t>ningen och Socialför</w:t>
      </w:r>
      <w:r w:rsidRPr="0008481A">
        <w:softHyphen/>
        <w:t>valtningen måste fortsätta och att gränsdragningen mellan de olika förvalt</w:t>
      </w:r>
      <w:r w:rsidRPr="0008481A">
        <w:softHyphen/>
        <w:t>ningarna tydliggörs.</w:t>
      </w:r>
    </w:p>
    <w:p w:rsidR="003B3271" w:rsidRPr="0008481A" w:rsidRDefault="003B3271">
      <w:r w:rsidRPr="0008481A">
        <w:t xml:space="preserve">Violet Hägglund anförde följande i sin skrivelse. </w:t>
      </w:r>
    </w:p>
    <w:p w:rsidR="003B3271" w:rsidRPr="0008481A" w:rsidRDefault="003B3271">
      <w:pPr>
        <w:pStyle w:val="Citat"/>
      </w:pPr>
      <w:r w:rsidRPr="0008481A">
        <w:t>Eleven X hade, speciellt under åk 8 och 9, problem med att gå på lektioner. Eleven skol</w:t>
      </w:r>
      <w:r w:rsidRPr="0008481A">
        <w:softHyphen/>
        <w:t>kade, periodvis sporadiskt eller helt från lektioner. X fanns dock ofta i skolans korridorer, uppehållsrum, eller i skolans närhet. Under hösten i åk 8 arbetade därför kamratstödjare, klassföreståndare Leendert Janson och biträdande rektor Hans Karlsson med att försöka förmå eleven att delta i lektionerna.</w:t>
      </w:r>
    </w:p>
    <w:p w:rsidR="003B3271" w:rsidRPr="0008481A" w:rsidRDefault="003B3271">
      <w:pPr>
        <w:pStyle w:val="Citatindrag"/>
      </w:pPr>
      <w:r w:rsidRPr="0008481A">
        <w:t>Under vårterminen i åk 8 försämrades närvaron på lektionstid, fortfarande periodvis. Frånvaron rapporterades varje vecka och visade stor frånvaro. Uppföljning av frånvaron gjordes av klassföreståndaren L</w:t>
      </w:r>
      <w:r w:rsidRPr="0008481A">
        <w:t>eendert Janson och av biträdande rektor Hans Karlsson. En elevassistent, som X hade för</w:t>
      </w:r>
      <w:r w:rsidRPr="0008481A">
        <w:softHyphen/>
        <w:t>troende för, sattes in som stöd. X deltog ensam med assi</w:t>
      </w:r>
      <w:r w:rsidRPr="0008481A">
        <w:softHyphen/>
        <w:t>stent, eller i grupp hos assistent, men önskade delvis gå i sin klass.</w:t>
      </w:r>
    </w:p>
    <w:p w:rsidR="003B3271" w:rsidRPr="0008481A" w:rsidRDefault="003B3271">
      <w:pPr>
        <w:pStyle w:val="Citatindrag"/>
      </w:pPr>
      <w:r w:rsidRPr="0008481A">
        <w:t>Uppföljningar ägde rum vid flera tillfällen, genom samtal och i elevvårds</w:t>
      </w:r>
      <w:r w:rsidRPr="0008481A">
        <w:softHyphen/>
        <w:t>konferens, men X skolkade fortfarande periodvis. Kontakt med socialtjänst fanns fortlöpande i huvudsak genom biträdande rektor Hans Karlsson. Skol</w:t>
      </w:r>
      <w:r w:rsidRPr="0008481A">
        <w:softHyphen/>
        <w:t>hälsovården arbetade också kontinuerligt med X genom skolsköterskan.</w:t>
      </w:r>
    </w:p>
    <w:p w:rsidR="003B3271" w:rsidRPr="0008481A" w:rsidRDefault="003B3271">
      <w:pPr>
        <w:pStyle w:val="Citatindrag"/>
      </w:pPr>
      <w:r w:rsidRPr="0008481A">
        <w:t>Höstterminen i åk 9 diskuterades X skolgång vid termins</w:t>
      </w:r>
      <w:r w:rsidRPr="0008481A">
        <w:softHyphen/>
        <w:t>start. Enskild under</w:t>
      </w:r>
      <w:r w:rsidRPr="0008481A">
        <w:softHyphen/>
        <w:t>visning sattes in på vissa lektioner, i övrigt önskade X gå med sin klass. Detta fungerade inte generellt bra, eftersom X fortsatte att utebli från lektio</w:t>
      </w:r>
      <w:r w:rsidRPr="0008481A">
        <w:softHyphen/>
        <w:t>ner. Kontakt med förälder ägde rum per tele</w:t>
      </w:r>
      <w:r w:rsidRPr="0008481A">
        <w:softHyphen/>
        <w:t>fon eller i samtal på skolan. Bi</w:t>
      </w:r>
      <w:r w:rsidRPr="0008481A">
        <w:softHyphen/>
        <w:t>trädande rektor höll fortsatt kontakt med socialtjänst.</w:t>
      </w:r>
    </w:p>
    <w:p w:rsidR="003B3271" w:rsidRPr="0008481A" w:rsidRDefault="003B3271">
      <w:pPr>
        <w:pStyle w:val="Citatindrag"/>
      </w:pPr>
      <w:r w:rsidRPr="0008481A">
        <w:t>X anmäldes till mindre undervisningsgrupp i kommunen, men kunde ej beredas plats där. Kontakter fanns under hela åk 9 med elev</w:t>
      </w:r>
      <w:r w:rsidRPr="0008481A">
        <w:softHyphen/>
        <w:t>omsorgs</w:t>
      </w:r>
      <w:r w:rsidRPr="0008481A">
        <w:softHyphen/>
      </w:r>
      <w:r w:rsidRPr="0008481A">
        <w:softHyphen/>
        <w:t>personal och skolhälsovård. Förälder och X hade kontakt med socialtjänst. X situa</w:t>
      </w:r>
      <w:r w:rsidRPr="0008481A">
        <w:softHyphen/>
        <w:t>tion i skolan beskrevs ungefär varannan vecka i elevvårdskonferens för social</w:t>
      </w:r>
      <w:r w:rsidRPr="0008481A">
        <w:softHyphen/>
        <w:t>tjänst under hela åk 9. X hade också under en period kontakt med kyrkans diakonissa. Det är viktigt att framhålla att det alltid gällde att hitta kontakt</w:t>
      </w:r>
      <w:r w:rsidRPr="0008481A">
        <w:softHyphen/>
        <w:t>personer, som X hade förtroende för.</w:t>
      </w:r>
    </w:p>
    <w:p w:rsidR="003B3271" w:rsidRPr="0008481A" w:rsidRDefault="003B3271">
      <w:pPr>
        <w:pStyle w:val="Citatindrag"/>
      </w:pPr>
      <w:r w:rsidRPr="0008481A">
        <w:t>Trots många insatser, noggrann uppföljning av frånvaro varje vecka, många samtal med förälder och X och trots kontakter med social</w:t>
      </w:r>
      <w:r w:rsidRPr="0008481A">
        <w:softHyphen/>
        <w:t>tjänst, lyckades X aldrig upphöra med skolk. X slutade grundskolan i juni 1999, för att börja på ett individuellt program i gymnasie</w:t>
      </w:r>
      <w:r w:rsidRPr="0008481A">
        <w:softHyphen/>
        <w:t>skolan.</w:t>
      </w:r>
    </w:p>
    <w:p w:rsidR="003B3271" w:rsidRPr="0008481A" w:rsidRDefault="003B3271">
      <w:r w:rsidRPr="0008481A">
        <w:t xml:space="preserve">I sitt beslut den 22 maj 2000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pPr>
        <w:pStyle w:val="Rubrik4"/>
        <w:spacing w:before="120"/>
      </w:pPr>
      <w:r w:rsidRPr="0008481A">
        <w:t>Inledning</w:t>
      </w:r>
    </w:p>
    <w:p w:rsidR="003B3271" w:rsidRPr="0008481A" w:rsidRDefault="003B3271">
      <w:r w:rsidRPr="0008481A">
        <w:t>När det gäller den del av anmälan som avser Y kan jag konstatera att social</w:t>
      </w:r>
      <w:r w:rsidRPr="0008481A">
        <w:softHyphen/>
        <w:t>nämn</w:t>
      </w:r>
      <w:r w:rsidRPr="0008481A">
        <w:softHyphen/>
        <w:t>dens handläggning har granskats av Länsstyrelsen i Södermanlands län i läns</w:t>
      </w:r>
      <w:r w:rsidRPr="0008481A">
        <w:softHyphen/>
        <w:t xml:space="preserve">styrelsens ärende med diarienummer 502-9374-1997. Länsstyrelsen, som enligt 68 § socialtjänstlagen (1980:620) har tillsynen över socialtjänsten i länet, har den 16 september 1999 meddelat beslut i det ärendet. Jag finner inte skäl att för egen del utreda socialnämndens handläggning när det gäller Y.  </w:t>
      </w:r>
    </w:p>
    <w:p w:rsidR="003B3271" w:rsidRPr="0008481A" w:rsidRDefault="003B3271">
      <w:pPr>
        <w:pStyle w:val="Normaltindrag"/>
      </w:pPr>
      <w:r w:rsidRPr="0008481A">
        <w:t>JO skall enligt de regler som gäller för JO:s verksamhet normalt inte utreda hä</w:t>
      </w:r>
      <w:r w:rsidRPr="0008481A">
        <w:t>n</w:t>
      </w:r>
      <w:r w:rsidRPr="0008481A">
        <w:softHyphen/>
        <w:t>delser eller förhållanden som ligger mer än två år tillbaka i tiden om det inte finns särskilda skäl för det. En del av X skolplikt under högstadiet inföll för mer än två år sedan, räknat från det att ärendet aktualiserades hos JO. Med hän</w:t>
      </w:r>
      <w:r w:rsidRPr="0008481A">
        <w:softHyphen/>
        <w:t>syn till att hennes skolgång under högstadiet bör ses i ett sammanhang finner jag emel</w:t>
      </w:r>
      <w:r w:rsidRPr="0008481A">
        <w:softHyphen/>
        <w:t xml:space="preserve">lertid skäl att frångå den nämnda huvudregeln. Jag har härvid funnit anledning att göra vissa uttalanden beträffande såväl skolans som socialförvaltningens åtgärder när det gäller X. </w:t>
      </w:r>
      <w:r w:rsidRPr="0008481A">
        <w:t>Utgångspunkten i den delen är att det främst är skolan och kom</w:t>
      </w:r>
      <w:r w:rsidRPr="0008481A">
        <w:softHyphen/>
        <w:t xml:space="preserve">munen såsom skolhuvudman som har ansvaret att se till att skolpliktiga elever går i skolan. Jag finner det därför lämpligt att först ta upp skolans åtgärder. </w:t>
      </w:r>
    </w:p>
    <w:p w:rsidR="003B3271" w:rsidRPr="0008481A" w:rsidRDefault="003B3271">
      <w:pPr>
        <w:pStyle w:val="Rubrik4"/>
      </w:pPr>
      <w:r w:rsidRPr="0008481A">
        <w:t>Skolans åtgärder</w:t>
      </w:r>
    </w:p>
    <w:p w:rsidR="003B3271" w:rsidRPr="0008481A" w:rsidRDefault="003B3271">
      <w:r w:rsidRPr="0008481A">
        <w:t>Enligt 3 kap. 1 § skollagen (1985:1100) har alla barn som är bosatta i landet skol</w:t>
      </w:r>
      <w:r w:rsidRPr="0008481A">
        <w:softHyphen/>
        <w:t>plikt. Skolplikten motsvaras av en rätt till utbildning inom det offentliga skol</w:t>
      </w:r>
      <w:r w:rsidRPr="0008481A">
        <w:softHyphen/>
        <w:t>vä</w:t>
      </w:r>
      <w:r w:rsidRPr="0008481A">
        <w:softHyphen/>
        <w:t>sendet för barn och ungdom. För att inga skolpliktiga barn skall gå miste om denna rättighet innehåller skollagen bestämmelser dels i 3 kap. 13 § skollagen angående kommunens skyldighet att se till att skolpliktiga elever i dess skola får föreskriven utbildning, dels i 3 kap. 15 § skollagen rörande barnets vårdnads</w:t>
      </w:r>
      <w:r w:rsidRPr="0008481A">
        <w:softHyphen/>
        <w:t>hava</w:t>
      </w:r>
      <w:r w:rsidRPr="0008481A">
        <w:softHyphen/>
        <w:t xml:space="preserve">res skyldighet att se till att barnet fullgör sin skolplikt. Skollagen innehåller även en bestämmelse om </w:t>
      </w:r>
      <w:r w:rsidRPr="0008481A">
        <w:t>närvaroplikt för den enskilde eleven. Enligt 3 kap. 11 § skall varje barn, som fullgör sin skolplikt inom det offentliga skol</w:t>
      </w:r>
      <w:r w:rsidRPr="0008481A">
        <w:softHyphen/>
        <w:t>väsendet för barn och ungdom eller på något annat sätt, delta i den verk</w:t>
      </w:r>
      <w:r w:rsidRPr="0008481A">
        <w:softHyphen/>
        <w:t>samhet som anordnas för att ge den avsedda utbildningen, om barnet inte är sjukt eller har annat giltigt skäl att utebli. Vårdnads</w:t>
      </w:r>
      <w:r w:rsidRPr="0008481A">
        <w:softHyphen/>
        <w:t>havaren, eleven och skolhuvudmannen har med andra ord ett ge</w:t>
      </w:r>
      <w:r w:rsidRPr="0008481A">
        <w:softHyphen/>
        <w:t xml:space="preserve">mensamt ansvar för att skolplikten fullföljs. Jag vill även nämna att det i </w:t>
      </w:r>
      <w:r w:rsidRPr="0008481A">
        <w:br/>
        <w:t>4 kap. 1 § andra stycket skollagen anges att</w:t>
      </w:r>
      <w:r w:rsidRPr="0008481A">
        <w:t xml:space="preserve"> särskilt stöd skall ges till elever som har svå</w:t>
      </w:r>
      <w:r w:rsidRPr="0008481A">
        <w:softHyphen/>
        <w:t>righeter i skolarbetet. I 5 kap. grundskoleförordningen (1994:1194) finns det när</w:t>
      </w:r>
      <w:r w:rsidRPr="0008481A">
        <w:softHyphen/>
        <w:t>mare be</w:t>
      </w:r>
      <w:r w:rsidRPr="0008481A">
        <w:softHyphen/>
        <w:t>stäm</w:t>
      </w:r>
      <w:r w:rsidRPr="0008481A">
        <w:softHyphen/>
        <w:t>melser om särskilda stödinsatser för elever i grundskolan.</w:t>
      </w:r>
    </w:p>
    <w:p w:rsidR="003B3271" w:rsidRPr="0008481A" w:rsidRDefault="003B3271">
      <w:pPr>
        <w:pStyle w:val="Normaltindrag"/>
      </w:pPr>
      <w:r w:rsidRPr="0008481A">
        <w:t>Av utredningen framgår det att X närvaro under högstadiet var högst otillfreds</w:t>
      </w:r>
      <w:r w:rsidRPr="0008481A">
        <w:softHyphen/>
        <w:t>ställande. Utredningen ger emellertid vid handen att skolan var väl medveten om frånvarons omfattning och att det gjordes förhål</w:t>
      </w:r>
      <w:r w:rsidRPr="0008481A">
        <w:softHyphen/>
        <w:t>landevis stora ansträngningar för att skol</w:t>
      </w:r>
      <w:r w:rsidRPr="0008481A">
        <w:softHyphen/>
        <w:t>situationen skulle förbättras. Såvitt fram</w:t>
      </w:r>
      <w:r w:rsidRPr="0008481A">
        <w:softHyphen/>
        <w:t>kommit ledde dessa åtgärder inte till någon större förändring på längre sikt, utan det krävdes med all tydlighet mer kraftfulla insatser. Skolan gjorde också försök med att upprätt</w:t>
      </w:r>
      <w:r w:rsidRPr="0008481A">
        <w:softHyphen/>
        <w:t>hålla skolplikten på annat sätt än genom deltagande i vanlig klass</w:t>
      </w:r>
      <w:r w:rsidRPr="0008481A">
        <w:softHyphen/>
        <w:t>undervisning, bl.a. genom enskild undervisning o</w:t>
      </w:r>
      <w:r w:rsidRPr="0008481A">
        <w:t>ch anmälan till mindre undervisnings</w:t>
      </w:r>
      <w:r w:rsidRPr="0008481A">
        <w:softHyphen/>
        <w:t>grupp i kommunen. Den en</w:t>
      </w:r>
      <w:r w:rsidRPr="0008481A">
        <w:softHyphen/>
        <w:t>skilda undervisningen ledde emeller</w:t>
      </w:r>
      <w:r w:rsidRPr="0008481A">
        <w:softHyphen/>
        <w:t>tid inte till någon förändring och det visade sig att X inte kunde beredas plats i en mindre undervisningsgrupp.</w:t>
      </w:r>
    </w:p>
    <w:p w:rsidR="003B3271" w:rsidRPr="0008481A" w:rsidRDefault="003B3271">
      <w:pPr>
        <w:pStyle w:val="Normaltindrag"/>
      </w:pPr>
      <w:r w:rsidRPr="0008481A">
        <w:t>Enligt min mening vidtogs det inte tillräckliga åtgärder för att se till att X fullgjorde sin skolplikt. Hennes frånvaro hade varit hög under lång tid. Kommunen har, såvitt framkommit i utredningen, inte på ett tillräckligt aktivt sätt sökt nya vägar för att få till stånd en tillfredsställande lösnin</w:t>
      </w:r>
      <w:r w:rsidRPr="0008481A">
        <w:t>g. När ett försök med placering i mindre under</w:t>
      </w:r>
      <w:r w:rsidRPr="0008481A">
        <w:softHyphen/>
        <w:t>visningsgrupp skulle göras kunde X inte beredas plats. Jag finner det märkligt att en sådan åtgärd – som uppen</w:t>
      </w:r>
      <w:r w:rsidRPr="0008481A">
        <w:softHyphen/>
        <w:t>barligen bedömdes som lämplig från skolans sida – inte var möjlig att anordna för en elev med så klara behov av en förändring av skol</w:t>
      </w:r>
      <w:r w:rsidRPr="0008481A">
        <w:softHyphen/>
        <w:t>situationen. Något skäl till att hon inte kunde beredas plats i sådan grupp har inte framförts i barn- och utbildningsnämndens remissvar. Det finns följaktligen anled</w:t>
      </w:r>
      <w:r w:rsidRPr="0008481A">
        <w:softHyphen/>
        <w:t>ning till kritik mot skolan och kommunen, såsom skolh</w:t>
      </w:r>
      <w:r w:rsidRPr="0008481A">
        <w:t>uvudman, för att det inte vidtogs tillräckliga åtgärder för att lösa X skolsituation.</w:t>
      </w:r>
    </w:p>
    <w:p w:rsidR="003B3271" w:rsidRPr="0008481A" w:rsidRDefault="003B3271">
      <w:pPr>
        <w:pStyle w:val="Rubrik4"/>
      </w:pPr>
      <w:r w:rsidRPr="0008481A">
        <w:t xml:space="preserve"> Socialförvaltningens åtgärder</w:t>
      </w:r>
    </w:p>
    <w:p w:rsidR="003B3271" w:rsidRPr="0008481A" w:rsidRDefault="003B3271">
      <w:r w:rsidRPr="0008481A">
        <w:t>Socialnämnden har ett särskilt ansvar för barn och ungdom. Detta kommer till ut</w:t>
      </w:r>
      <w:r w:rsidRPr="0008481A">
        <w:softHyphen/>
        <w:t>tryck i 12 § socialtjänstlagen (1980:620) där det bl.a. stadgas att socialnämn</w:t>
      </w:r>
      <w:r w:rsidRPr="0008481A">
        <w:softHyphen/>
        <w:t>den skall verka för att barn och ungdom växer upp under trygga och goda förhållanden. Socialnämndens ansvar innebär emellertid inte någon inskränk</w:t>
      </w:r>
      <w:r w:rsidRPr="0008481A">
        <w:softHyphen/>
        <w:t>ning i kommunens ansvar, såsom skolhuvudman, för de skolpliktiga elevernas skolgång. Av 50 § socialtjänstlagen följer vidare att socialnämnden utan dröjsmål skall inleda utred</w:t>
      </w:r>
      <w:r w:rsidRPr="0008481A">
        <w:softHyphen/>
        <w:t>ning av vad som genom ansökan eller på annat sätt kommit till nämndens känne</w:t>
      </w:r>
      <w:r w:rsidRPr="0008481A">
        <w:softHyphen/>
        <w:t xml:space="preserve">dom och som kan föranleda någon </w:t>
      </w:r>
      <w:r w:rsidRPr="0008481A">
        <w:t xml:space="preserve">åtgärd av nämnden. </w:t>
      </w:r>
    </w:p>
    <w:p w:rsidR="003B3271" w:rsidRPr="0008481A" w:rsidRDefault="003B3271">
      <w:pPr>
        <w:pStyle w:val="Normaltindrag"/>
      </w:pPr>
      <w:r w:rsidRPr="0008481A">
        <w:t>Enligt socialnämndens remissvar har socialförvaltningen endast haft en s.k. råd- och stödkontakt. Utredningen hos JO ger emellertid vid handen att för</w:t>
      </w:r>
      <w:r w:rsidRPr="0008481A">
        <w:softHyphen/>
        <w:t>hållandena under X fritid i vart fall under vissa perioder var sådana att det, mot bakgrund av socialförvaltningens kännedom om hennes skol</w:t>
      </w:r>
      <w:r w:rsidRPr="0008481A">
        <w:softHyphen/>
        <w:t>situation, fanns anledning att in</w:t>
      </w:r>
      <w:r w:rsidRPr="0008481A">
        <w:softHyphen/>
        <w:t>leda en utredning enligt 50 § socialtjänstlagen för att utröna om X var i behov av stöd från socialnämndens sida. Denna synpunkt blir än starkare mot bakgrund av att klassföreståndaren, såvitt framgår av anmälan och socialnämndens remissvar, på ett tidigt stadium framförde sin oro till social</w:t>
      </w:r>
      <w:r w:rsidRPr="0008481A">
        <w:softHyphen/>
        <w:t>förvaltningen. Remissvaret ger dessutom int</w:t>
      </w:r>
      <w:r w:rsidRPr="0008481A">
        <w:t>ryck av att social</w:t>
      </w:r>
      <w:r w:rsidRPr="0008481A">
        <w:softHyphen/>
        <w:t xml:space="preserve">förvaltningen trots allt har ”utrett” X förhållanden genom de samtal som har förevarit. En sådan utredning skall självfallet ske enligt 50 § socialtjänstlagen med beaktande av de regler om dokumentation som finns i den lagen. </w:t>
      </w:r>
    </w:p>
    <w:p w:rsidR="003B3271" w:rsidRPr="0008481A" w:rsidRDefault="003B3271">
      <w:pPr>
        <w:pStyle w:val="Rubrik4"/>
      </w:pPr>
      <w:r w:rsidRPr="0008481A">
        <w:t>Avslutning</w:t>
      </w:r>
    </w:p>
    <w:p w:rsidR="003B3271" w:rsidRPr="0008481A" w:rsidRDefault="003B3271">
      <w:pPr>
        <w:pStyle w:val="Sidfot"/>
        <w:tabs>
          <w:tab w:val="clear" w:pos="9072"/>
        </w:tabs>
      </w:pPr>
      <w:r w:rsidRPr="0008481A">
        <w:t>Av remissvaren framgår att de olika myndigheterna arbetar med att utveckla sam</w:t>
      </w:r>
      <w:r w:rsidRPr="0008481A">
        <w:softHyphen/>
        <w:t xml:space="preserve">arbetet rörande de skolpliktiga barnen. Jag ser positivt på ett sådant samarbete men vill samtidigt erinra om vikten av att bestämmelserna i sekretesslagen (1980:100) iakttas. Därtill vill jag understryka att ett samarbete inte får innebära att det uppstår tveksamhet angående respektive myndighets ansvarsområde. </w:t>
      </w:r>
    </w:p>
    <w:p w:rsidR="003B3271" w:rsidRPr="0008481A" w:rsidRDefault="003B3271">
      <w:pPr>
        <w:pStyle w:val="Normaltindrag"/>
      </w:pPr>
      <w:r w:rsidRPr="0008481A">
        <w:t>Jag utgår från att socialnämnden och barn- och utbildningsnämnden redan har vidtagit åtgärder i anledning av vad som har framkommit. När det gäller Barn- och utbildningsnämnden vill jag även erinr</w:t>
      </w:r>
      <w:r w:rsidRPr="0008481A">
        <w:t>a om bestämmelserna i 1 kap. 12 § första stycket skol</w:t>
      </w:r>
      <w:r w:rsidRPr="0008481A">
        <w:softHyphen/>
        <w:t>lagen av vilka det följer att kommunen, såsom skolhuvud</w:t>
      </w:r>
      <w:r w:rsidRPr="0008481A">
        <w:softHyphen/>
        <w:t>man, har ett eget till</w:t>
      </w:r>
      <w:r w:rsidRPr="0008481A">
        <w:softHyphen/>
        <w:t>synsansvar. Jag förutsätter att kommunen i enlighet härmed följer upp det som har framkommit för att i möjligaste mån undvika att elever lämnar högstadiet utan att ha fullgjort sin skolgång.</w:t>
      </w:r>
    </w:p>
    <w:p w:rsidR="003B3271" w:rsidRPr="0008481A" w:rsidRDefault="003B3271">
      <w:pPr>
        <w:ind w:right="-142"/>
      </w:pPr>
      <w:r w:rsidRPr="0008481A">
        <w:t>__________</w:t>
      </w:r>
    </w:p>
    <w:p w:rsidR="003B3271" w:rsidRPr="0008481A" w:rsidRDefault="003B3271">
      <w:pPr>
        <w:pStyle w:val="Normaltindrag"/>
      </w:pPr>
      <w:r w:rsidRPr="0008481A">
        <w:t>Ärendena avslutas med den kritik som följer av det anförda.</w:t>
      </w:r>
    </w:p>
    <w:p w:rsidR="003B3271" w:rsidRPr="0008481A" w:rsidRDefault="003B3271">
      <w:pPr>
        <w:pStyle w:val="Rubrik2"/>
      </w:pPr>
      <w:r w:rsidRPr="0008481A">
        <w:t>Kritik mot psykologenhet för genomförande av s.k. begåvningstest av ett barn utan att ha inhämtat tillstånd därtill från båda vårdnadshavarna</w:t>
      </w:r>
    </w:p>
    <w:p w:rsidR="003B3271" w:rsidRPr="0008481A" w:rsidRDefault="003B3271">
      <w:r w:rsidRPr="0008481A">
        <w:t>(Dnr 1834-1999)</w:t>
      </w:r>
    </w:p>
    <w:p w:rsidR="003B3271" w:rsidRPr="0008481A" w:rsidRDefault="003B3271">
      <w:pPr>
        <w:pStyle w:val="Rubrik3"/>
      </w:pPr>
      <w:r w:rsidRPr="0008481A">
        <w:t>Anmälan</w:t>
      </w:r>
    </w:p>
    <w:p w:rsidR="003B3271" w:rsidRPr="0008481A" w:rsidRDefault="003B3271">
      <w:r w:rsidRPr="0008481A">
        <w:t>I en anmälan till JO framförde Enrico Tiozzo klagomål mot psykologenheten vid Stadsdelsnämnden Majorna i Göteborgs kommun. Klagomålen avsåg huvudsak</w:t>
      </w:r>
      <w:r w:rsidRPr="0008481A">
        <w:softHyphen/>
        <w:t>ligen att enheten hade utfört ett begåvningstest på hans femåriga son, P., utan för</w:t>
      </w:r>
      <w:r w:rsidRPr="0008481A">
        <w:softHyphen/>
        <w:t>äl</w:t>
      </w:r>
      <w:r w:rsidRPr="0008481A">
        <w:softHyphen/>
        <w:t>drarnas till</w:t>
      </w:r>
      <w:r w:rsidRPr="0008481A">
        <w:softHyphen/>
        <w:t>stånd.</w:t>
      </w:r>
    </w:p>
    <w:p w:rsidR="003B3271" w:rsidRPr="0008481A" w:rsidRDefault="003B3271">
      <w:r w:rsidRPr="0008481A">
        <w:t>Enrico Tiozzo hemställde att testet skulle förstöras.</w:t>
      </w:r>
    </w:p>
    <w:p w:rsidR="003B3271" w:rsidRPr="0008481A" w:rsidRDefault="003B3271">
      <w:pPr>
        <w:pStyle w:val="Rubrik3"/>
      </w:pPr>
      <w:r w:rsidRPr="0008481A">
        <w:t>Utredning</w:t>
      </w:r>
    </w:p>
    <w:p w:rsidR="003B3271" w:rsidRPr="0008481A" w:rsidRDefault="003B3271">
      <w:r w:rsidRPr="0008481A">
        <w:t>Inledningsvis inhämtades uppgifter från psykologenheten vid Stadsdels</w:t>
      </w:r>
      <w:r w:rsidRPr="0008481A">
        <w:softHyphen/>
        <w:t>nämnden Majorna i Göteborgs kommun. I den tjänsteanteckning som upp</w:t>
      </w:r>
      <w:r w:rsidRPr="0008481A">
        <w:softHyphen/>
        <w:t>rättades i anled</w:t>
      </w:r>
      <w:r w:rsidRPr="0008481A">
        <w:softHyphen/>
        <w:t>ning av telefonsamtalen antecknades huvudsakligen följan</w:t>
      </w:r>
      <w:r w:rsidRPr="0008481A">
        <w:softHyphen/>
        <w:t xml:space="preserve">de. </w:t>
      </w:r>
    </w:p>
    <w:p w:rsidR="003B3271" w:rsidRPr="0008481A" w:rsidRDefault="003B3271">
      <w:pPr>
        <w:pStyle w:val="Rubrik4"/>
      </w:pPr>
      <w:r w:rsidRPr="0008481A">
        <w:t>Telefonsamtal med enhetschefen Olof Kjernald, psykologenheten vid Stads</w:t>
      </w:r>
      <w:r w:rsidRPr="0008481A">
        <w:softHyphen/>
        <w:t>dels</w:t>
      </w:r>
      <w:r w:rsidRPr="0008481A">
        <w:softHyphen/>
        <w:t xml:space="preserve">nämnden Majorna i Göteborgs kommun  </w:t>
      </w:r>
    </w:p>
    <w:p w:rsidR="003B3271" w:rsidRPr="0008481A" w:rsidRDefault="003B3271">
      <w:pPr>
        <w:pStyle w:val="Citat"/>
      </w:pPr>
      <w:r w:rsidRPr="0008481A">
        <w:t xml:space="preserve">Olof Kjernald uppgav följande. </w:t>
      </w:r>
    </w:p>
    <w:p w:rsidR="003B3271" w:rsidRPr="0008481A" w:rsidRDefault="003B3271">
      <w:pPr>
        <w:pStyle w:val="Citat"/>
      </w:pPr>
      <w:r w:rsidRPr="0008481A">
        <w:t>Han är ansvarig för verksamheten men har inte varit handläggare för det aktuella ärendet. Såvitt han förstår har ansvarige psykologen Marianne Schmidt vid enheten erhållit sam</w:t>
      </w:r>
      <w:r w:rsidRPr="0008481A">
        <w:softHyphen/>
        <w:t>tycke från i vart fall modern innan det aktuella testet genomfördes. Saken initierades av förskolepersonalen för bedöm</w:t>
      </w:r>
      <w:r w:rsidRPr="0008481A">
        <w:softHyphen/>
        <w:t>ning av hur stödresurserna för det aktuella barnet skulle läggas upp. Efter genomfört test gick Marianne Schmidt igenom testresultatet med i vart fall barnets mor.</w:t>
      </w:r>
    </w:p>
    <w:p w:rsidR="003B3271" w:rsidRPr="0008481A" w:rsidRDefault="003B3271">
      <w:pPr>
        <w:pStyle w:val="Citatindrag"/>
      </w:pPr>
      <w:r w:rsidRPr="0008481A">
        <w:t>Därefter har Enrico Tiozzo begärt att få ut en kopia på testet, vilket han inte har fått på grund av sekretess. Det har förevarit skriftväxling med Enrico Tiozzo i frågan, eftersom Enrico Tiozzo inte har velat acceptera de beske</w:t>
      </w:r>
      <w:r w:rsidRPr="0008481A">
        <w:t xml:space="preserve">d han har erhållit. </w:t>
      </w:r>
    </w:p>
    <w:p w:rsidR="003B3271" w:rsidRPr="0008481A" w:rsidRDefault="003B3271">
      <w:pPr>
        <w:pStyle w:val="Citatindrag"/>
      </w:pPr>
      <w:r w:rsidRPr="0008481A">
        <w:t>Olof Kjernald åtar sig att sända en kopia på den skrivelse där Enrico Tiozzo med</w:t>
      </w:r>
      <w:r w:rsidRPr="0008481A">
        <w:softHyphen/>
        <w:t>delas att han inte kan få någon kopia på testet på grund av sekretess. – – –</w:t>
      </w:r>
    </w:p>
    <w:p w:rsidR="003B3271" w:rsidRPr="0008481A" w:rsidRDefault="003B3271">
      <w:pPr>
        <w:pStyle w:val="Rubrik4"/>
      </w:pPr>
      <w:r w:rsidRPr="0008481A">
        <w:t>Telefonsamtal med psykologen Marianne Schmidt, psykologenheten vid Stads</w:t>
      </w:r>
      <w:r w:rsidRPr="0008481A">
        <w:softHyphen/>
        <w:t>dels</w:t>
      </w:r>
      <w:r w:rsidRPr="0008481A">
        <w:softHyphen/>
        <w:t>nämn</w:t>
      </w:r>
      <w:r w:rsidRPr="0008481A">
        <w:softHyphen/>
        <w:t xml:space="preserve">den Majorna i Göteborgs kommun  </w:t>
      </w:r>
    </w:p>
    <w:p w:rsidR="003B3271" w:rsidRPr="0008481A" w:rsidRDefault="003B3271">
      <w:pPr>
        <w:pStyle w:val="Citat"/>
      </w:pPr>
      <w:r w:rsidRPr="0008481A">
        <w:t>Marianne Schmidt uppgav följande.</w:t>
      </w:r>
    </w:p>
    <w:p w:rsidR="003B3271" w:rsidRPr="0008481A" w:rsidRDefault="003B3271">
      <w:pPr>
        <w:pStyle w:val="Citat"/>
      </w:pPr>
      <w:r w:rsidRPr="0008481A">
        <w:t>Hon kom in i bilden för ett år sedan. Det hade tidigare gjorts en utredning av det aktuella barnets utveckling. Denna utredning skulle nu följas upp. Hon hade kontakt med för</w:t>
      </w:r>
      <w:r w:rsidRPr="0008481A">
        <w:softHyphen/>
        <w:t xml:space="preserve">skolepersonalen som i sin tur hade erhållit ett muntligt samtycke från barnets mor att enheten skulle få genomföra ett test av barnets mognadsnivå. Hon vet inte om barnets mor är ensam vårdnadshavare eller inte. </w:t>
      </w:r>
    </w:p>
    <w:p w:rsidR="003B3271" w:rsidRPr="0008481A" w:rsidRDefault="003B3271">
      <w:pPr>
        <w:pStyle w:val="Citatindrag"/>
      </w:pPr>
      <w:r w:rsidRPr="0008481A">
        <w:t>Testet genom</w:t>
      </w:r>
      <w:r w:rsidRPr="0008481A">
        <w:softHyphen/>
        <w:t xml:space="preserve">fördes och testresultaten genomgicks med både barnets mor och far. Samma dag ringde barnets mor och talade in på telefonsvararen att hon ville ha en kopia på testet. Marianne Schmidt ringde upp modern och talade om att de inte brukar lämna ut testet eftersom det inte är så lätt att tolka och då det föreligger sekretess. Marianne Schmidt erbjöd sig att skriva ett utlåtande i stället, vilket barnets mor accepterade. </w:t>
      </w:r>
    </w:p>
    <w:p w:rsidR="003B3271" w:rsidRPr="0008481A" w:rsidRDefault="003B3271">
      <w:pPr>
        <w:pStyle w:val="Citatindrag"/>
      </w:pPr>
      <w:r w:rsidRPr="0008481A">
        <w:t>När modern hade läst utlåtandet förstod hon att det hade genomförts ett begåv</w:t>
      </w:r>
      <w:r w:rsidRPr="0008481A">
        <w:softHyphen/>
        <w:t>nings</w:t>
      </w:r>
      <w:r w:rsidRPr="0008481A">
        <w:softHyphen/>
        <w:t>test, vilket föräldrarna inte hade förstått tidigare. Därefter har föräldrarna haft kontakt med enhetens chef Olof Kjernald angående saken.</w:t>
      </w:r>
    </w:p>
    <w:p w:rsidR="003B3271" w:rsidRPr="0008481A" w:rsidRDefault="003B3271">
      <w:pPr>
        <w:pStyle w:val="Citatindrag"/>
      </w:pPr>
      <w:r w:rsidRPr="0008481A">
        <w:t xml:space="preserve">Det aktuella uppdraget utfördes på uppdrag av Stadsdelsnämnden Centrum, Göteborgs kommun.  </w:t>
      </w:r>
    </w:p>
    <w:p w:rsidR="003B3271" w:rsidRPr="0008481A" w:rsidRDefault="003B3271">
      <w:r w:rsidRPr="0008481A">
        <w:t xml:space="preserve">Därefter genomgicks den nämnda skrivelsen från Olof Kjernald till Enrico Tiozzo, daterad den 18 maj 1999. </w:t>
      </w:r>
    </w:p>
    <w:p w:rsidR="003B3271" w:rsidRPr="0008481A" w:rsidRDefault="003B3271">
      <w:pPr>
        <w:pStyle w:val="Normaltindrag"/>
      </w:pPr>
      <w:r w:rsidRPr="0008481A">
        <w:t xml:space="preserve">Stadsdelsnämnden Centrum anmodades att inkomma med utredning och yttrande över vad som framfördes i Enrico Tiozzos anmälan. Nämnden beslutade att anta ett tjänsteutlåtande som sitt eget remissvar. I remissvaret anfördes följande.  </w:t>
      </w:r>
    </w:p>
    <w:p w:rsidR="003B3271" w:rsidRPr="0008481A" w:rsidRDefault="003B3271">
      <w:pPr>
        <w:pStyle w:val="Rubrik4"/>
      </w:pPr>
      <w:r w:rsidRPr="0008481A">
        <w:t>Redogörelse för ärendet</w:t>
      </w:r>
    </w:p>
    <w:p w:rsidR="003B3271" w:rsidRPr="0008481A" w:rsidRDefault="003B3271">
      <w:pPr>
        <w:pStyle w:val="Citat"/>
      </w:pPr>
      <w:r w:rsidRPr="0008481A">
        <w:t>Uppgifter från enhetschef Britt-Louise Hultman och förskolelärare Bodil Lindbom</w:t>
      </w:r>
    </w:p>
    <w:p w:rsidR="003B3271" w:rsidRPr="0008481A" w:rsidRDefault="003B3271">
      <w:pPr>
        <w:pStyle w:val="Citat"/>
      </w:pPr>
      <w:r w:rsidRPr="0008481A">
        <w:t>P.Å. började i augusti 1997 på Glasmästaregatans förskola, stadsdelsförvalt</w:t>
      </w:r>
      <w:r w:rsidRPr="0008481A">
        <w:softHyphen/>
        <w:t>ningen Centrum.</w:t>
      </w:r>
    </w:p>
    <w:p w:rsidR="003B3271" w:rsidRPr="0008481A" w:rsidRDefault="003B3271">
      <w:pPr>
        <w:pStyle w:val="Citatindrag"/>
      </w:pPr>
      <w:r w:rsidRPr="0008481A">
        <w:t>När P. började på förskolan meddelade modern, U.Å., att det var hon och hennes mamma, P:s mormor, som skulle hämta och lämna P. och att det inte var aktuellt att förskolan skulle ha kontakt med fa</w:t>
      </w:r>
      <w:r w:rsidRPr="0008481A">
        <w:softHyphen/>
        <w:t>dern.</w:t>
      </w:r>
    </w:p>
    <w:p w:rsidR="003B3271" w:rsidRPr="0008481A" w:rsidRDefault="003B3271">
      <w:pPr>
        <w:pStyle w:val="Citatindrag"/>
      </w:pPr>
      <w:r w:rsidRPr="0008481A">
        <w:t>Efter en tid meddelade modern att fadern skulle hämta och att hon skulle säga till vid varje aktuellt tillfälle. Från våren 1998 har fadern hämtat P. allt oftare. Vid de utvecklingssamtal som skett vid förskolan har dock alltid enbart modern deltagit.</w:t>
      </w:r>
    </w:p>
    <w:p w:rsidR="003B3271" w:rsidRPr="0008481A" w:rsidRDefault="003B3271">
      <w:pPr>
        <w:pStyle w:val="Citatindrag"/>
      </w:pPr>
      <w:r w:rsidRPr="0008481A">
        <w:t>Redan från början tyckte personalen att P. behövde extra stöd för att ut</w:t>
      </w:r>
      <w:r w:rsidRPr="0008481A">
        <w:softHyphen/>
        <w:t>vecklas på bästa sätt. För att hjälpa P. gav personalen på avdelningen honom extra mycket personlig tid och uppmärksamhet. Från hösten 1998 fick P. några veckotimmars individuellt stöd av en resurspedagog.</w:t>
      </w:r>
    </w:p>
    <w:p w:rsidR="003B3271" w:rsidRPr="0008481A" w:rsidRDefault="003B3271">
      <w:pPr>
        <w:pStyle w:val="Citatindrag"/>
      </w:pPr>
      <w:r w:rsidRPr="0008481A">
        <w:t>För att kunna bedöma fortsatt omfattning och art av insats beställdes ett ut</w:t>
      </w:r>
      <w:r w:rsidRPr="0008481A">
        <w:softHyphen/>
        <w:t>vecklingstest från psykologenheten vid stadsdelsförvaltningen Majorna. Psykologtestet genomfördes på förskolan och förutom P. och psykolo</w:t>
      </w:r>
      <w:r w:rsidRPr="0008481A">
        <w:softHyphen/>
        <w:t>gen var förskolelärare Bodil Lindbom närvarande.</w:t>
      </w:r>
    </w:p>
    <w:p w:rsidR="003B3271" w:rsidRPr="0008481A" w:rsidRDefault="003B3271">
      <w:pPr>
        <w:pStyle w:val="Citatindrag"/>
      </w:pPr>
      <w:r w:rsidRPr="0008481A">
        <w:t>P. har hela tiden varit positiv och samarbetsvillig och känt sig uppmärk</w:t>
      </w:r>
      <w:r w:rsidRPr="0008481A">
        <w:softHyphen/>
        <w:t>sam</w:t>
      </w:r>
      <w:r w:rsidRPr="0008481A">
        <w:softHyphen/>
        <w:t>mad och upp</w:t>
      </w:r>
      <w:r w:rsidRPr="0008481A">
        <w:softHyphen/>
        <w:t>skattad både vid genomförande av stödinsatser och vid testet.</w:t>
      </w:r>
    </w:p>
    <w:p w:rsidR="003B3271" w:rsidRPr="0008481A" w:rsidRDefault="003B3271">
      <w:pPr>
        <w:pStyle w:val="Citatindrag"/>
      </w:pPr>
      <w:r w:rsidRPr="0008481A">
        <w:t>Personalen bedömer att det stöd och den hjälp P. fått har haft en positiv inverkan på hans utveckling.</w:t>
      </w:r>
    </w:p>
    <w:p w:rsidR="003B3271" w:rsidRPr="0008481A" w:rsidRDefault="003B3271">
      <w:pPr>
        <w:pStyle w:val="Citatindrag"/>
      </w:pPr>
      <w:r w:rsidRPr="0008481A">
        <w:t>Personalen har fortlöpande diskuterat och samrått med modern U.Å. som varit positiv till det extra stöd som P. fått, detta gäller även då P. skulle testas språk- och begreppsmässigt av psykolog Marianne Schmidt. Med</w:t>
      </w:r>
      <w:r w:rsidRPr="0008481A">
        <w:softHyphen/>
        <w:t>givande till testet lämnades muntligt av modern.</w:t>
      </w:r>
    </w:p>
    <w:p w:rsidR="003B3271" w:rsidRPr="0008481A" w:rsidRDefault="003B3271">
      <w:pPr>
        <w:pStyle w:val="Citatindrag"/>
      </w:pPr>
      <w:r w:rsidRPr="0008481A">
        <w:t>Rutinen är att resultat från psykologtester som genomförs i förskolan aldrig förs över till skolan utan samtycke.</w:t>
      </w:r>
    </w:p>
    <w:p w:rsidR="003B3271" w:rsidRPr="0008481A" w:rsidRDefault="003B3271">
      <w:pPr>
        <w:pStyle w:val="Rubrik4"/>
      </w:pPr>
      <w:r w:rsidRPr="0008481A">
        <w:t>Förvaltningens överväganden</w:t>
      </w:r>
    </w:p>
    <w:p w:rsidR="003B3271" w:rsidRPr="0008481A" w:rsidRDefault="003B3271">
      <w:pPr>
        <w:pStyle w:val="Citat"/>
      </w:pPr>
      <w:r w:rsidRPr="0008481A">
        <w:t>I detta ärende har enhetschef och personal vid förskolan förlitat sig på att modern, som varit positiv och godkänt de insatser som gjorts och som varit den förälder som de hela tiden haft kontakt och samrått med, har förmedlat vad som sker i förskolan till fadern.</w:t>
      </w:r>
    </w:p>
    <w:p w:rsidR="003B3271" w:rsidRPr="0008481A" w:rsidRDefault="003B3271">
      <w:pPr>
        <w:pStyle w:val="Citatindrag"/>
      </w:pPr>
      <w:r w:rsidRPr="0008481A">
        <w:t>Vår uppfattning är att de inte borde ha nöjt sig med enbart kontakt med modern utan varit mer aktiva i sina kontakter med fadern. Förskolan borde ha tagit reda på om båda föräld</w:t>
      </w:r>
      <w:r w:rsidRPr="0008481A">
        <w:softHyphen/>
        <w:t>rarna är vårdnadshavare. Detta kunde ha skett genom att fråga fadern eller via folkbok</w:t>
      </w:r>
      <w:r w:rsidRPr="0008481A">
        <w:softHyphen/>
        <w:t>föringen.</w:t>
      </w:r>
    </w:p>
    <w:p w:rsidR="003B3271" w:rsidRPr="0008481A" w:rsidRDefault="003B3271">
      <w:pPr>
        <w:pStyle w:val="Citatindrag"/>
      </w:pPr>
      <w:r w:rsidRPr="0008481A">
        <w:t>Förvaltningen har med anledning av det inträffade sett över sina rutiner för att öka med</w:t>
      </w:r>
      <w:r w:rsidRPr="0008481A">
        <w:softHyphen/>
        <w:t>vetenheten så att båda vårdnadshavarnas rättigheter tillgodoses.</w:t>
      </w:r>
    </w:p>
    <w:p w:rsidR="003B3271" w:rsidRPr="0008481A" w:rsidRDefault="003B3271">
      <w:pPr>
        <w:pStyle w:val="Citat"/>
      </w:pPr>
      <w:r w:rsidRPr="0008481A">
        <w:t>– – –</w:t>
      </w:r>
    </w:p>
    <w:p w:rsidR="003B3271" w:rsidRPr="0008481A" w:rsidRDefault="003B3271">
      <w:r w:rsidRPr="0008481A">
        <w:t>Enrico Tiozzo yttrade sig över bl.a. remissvaret rörande testet och anförde därvid bl.a. följande. Det är riktigt att han först begärde att få testet översänt till sig. Av</w:t>
      </w:r>
      <w:r w:rsidRPr="0008481A">
        <w:softHyphen/>
        <w:t>sikten var att försöka förstå det som hade ägt rum. När han fick klart för sig att det var frågan om ett begåvningstest så var han inte intresserad av att få ut handlingen som sådan. Han var i stället intresserad av att få handlingen förstörd och hade hem</w:t>
      </w:r>
      <w:r w:rsidRPr="0008481A">
        <w:softHyphen/>
        <w:t>ställt hos Socialstyrelsen att den skulle för</w:t>
      </w:r>
      <w:r w:rsidRPr="0008481A">
        <w:softHyphen/>
        <w:t xml:space="preserve">störas. </w:t>
      </w:r>
    </w:p>
    <w:p w:rsidR="003B3271" w:rsidRPr="0008481A" w:rsidRDefault="003B3271">
      <w:pPr>
        <w:pStyle w:val="Normaltindrag"/>
      </w:pPr>
      <w:r w:rsidRPr="0008481A">
        <w:t>Enrico Tiozzo hade fogat ett yttrande från U.Å. till sitt eget yttrande. I detta anger U.Å. bl.a. att det inte är sant att hon lämnade medgivande till förskolans personal om att sonen skulle testas sp</w:t>
      </w:r>
      <w:r w:rsidRPr="0008481A">
        <w:t xml:space="preserve">råk- och begreppsmässigt.     </w:t>
      </w:r>
    </w:p>
    <w:p w:rsidR="003B3271" w:rsidRPr="0008481A" w:rsidRDefault="003B3271">
      <w:pPr>
        <w:pStyle w:val="Citat"/>
        <w:spacing w:before="60" w:line="245" w:lineRule="exact"/>
      </w:pPr>
      <w:r w:rsidRPr="0008481A">
        <w:t>– – –</w:t>
      </w:r>
    </w:p>
    <w:p w:rsidR="003B3271" w:rsidRPr="0008481A" w:rsidRDefault="003B3271">
      <w:r w:rsidRPr="0008481A">
        <w:t>Socialstyrelsens, regionala tillsynsenheten i Göteborg, beslut den 5 april 2000 i styrelsens ärende med diarienummer 45-11651/99 genomgicks.</w:t>
      </w:r>
    </w:p>
    <w:p w:rsidR="003B3271" w:rsidRPr="0008481A" w:rsidRDefault="003B3271">
      <w:pPr>
        <w:pStyle w:val="Citat"/>
        <w:spacing w:before="60" w:line="245" w:lineRule="exact"/>
      </w:pPr>
      <w:r w:rsidRPr="0008481A">
        <w:t>– – –</w:t>
      </w:r>
    </w:p>
    <w:p w:rsidR="003B3271" w:rsidRPr="0008481A" w:rsidRDefault="003B3271">
      <w:r w:rsidRPr="0008481A">
        <w:t xml:space="preserve">I sitt beslut den 29 maj 2000 anförde </w:t>
      </w:r>
      <w:r w:rsidRPr="0008481A">
        <w:rPr>
          <w:i/>
        </w:rPr>
        <w:t xml:space="preserve">JO André </w:t>
      </w:r>
      <w:r w:rsidRPr="0008481A">
        <w:t>följande såvitt avsåg genomföran</w:t>
      </w:r>
      <w:r w:rsidRPr="0008481A">
        <w:softHyphen/>
        <w:t>det av psykologtestet.</w:t>
      </w:r>
    </w:p>
    <w:p w:rsidR="003B3271" w:rsidRPr="0008481A" w:rsidRDefault="003B3271">
      <w:pPr>
        <w:pStyle w:val="Rubrik3"/>
        <w:spacing w:before="360"/>
      </w:pPr>
      <w:r w:rsidRPr="0008481A">
        <w:t>Bedömning</w:t>
      </w:r>
    </w:p>
    <w:p w:rsidR="003B3271" w:rsidRPr="0008481A" w:rsidRDefault="003B3271">
      <w:pPr>
        <w:pStyle w:val="Rubrik4"/>
        <w:spacing w:before="120"/>
      </w:pPr>
      <w:r w:rsidRPr="0008481A">
        <w:t>Samtycke från vårdnadshavaren</w:t>
      </w:r>
    </w:p>
    <w:p w:rsidR="003B3271" w:rsidRPr="0008481A" w:rsidRDefault="003B3271">
      <w:r w:rsidRPr="0008481A">
        <w:t xml:space="preserve">Det har inte ifrågasatts att både Enrico Tiozzo och U.Å. hade gemensam vårdnad om det aktuella barnet, P. Jag utgår därför från att det förhöll sig på detta sätt. </w:t>
      </w:r>
    </w:p>
    <w:p w:rsidR="003B3271" w:rsidRPr="0008481A" w:rsidRDefault="003B3271">
      <w:pPr>
        <w:pStyle w:val="Normaltindrag"/>
      </w:pPr>
      <w:r w:rsidRPr="0008481A">
        <w:t>Enligt 6 kap. 11 § föräldrabalken har vårdnadshavaren rätt och skyldighet att be</w:t>
      </w:r>
      <w:r w:rsidRPr="0008481A">
        <w:softHyphen/>
        <w:t>stämma i frågor som rör barnets personliga angelägenheter. Om barnet står under vårdnad av två vårdnadshavare skall detta, enligt 6 kap. 13 § första stycket föräld</w:t>
      </w:r>
      <w:r w:rsidRPr="0008481A">
        <w:softHyphen/>
        <w:t>ra</w:t>
      </w:r>
      <w:r w:rsidRPr="0008481A">
        <w:softHyphen/>
        <w:t>balken, gälla dem tillsammans. I samma lagrum, andra stycket, föreskrivs att för det fall en av vårdnadshavarna till följd av från</w:t>
      </w:r>
      <w:r w:rsidRPr="0008481A">
        <w:softHyphen/>
        <w:t xml:space="preserve">varo, sjukdom eller annan orsak är förhindrad att ta del i sådana beslut rörande vårdnaden som inte utan olägenhet kan uppskjutas, bestämmer den andra ensam. </w:t>
      </w:r>
    </w:p>
    <w:p w:rsidR="003B3271" w:rsidRPr="0008481A" w:rsidRDefault="003B3271">
      <w:pPr>
        <w:pStyle w:val="Normaltindrag"/>
      </w:pPr>
      <w:r w:rsidRPr="0008481A">
        <w:t>Att genomföra ett begåvningstest av förevarande slag k</w:t>
      </w:r>
      <w:r w:rsidRPr="0008481A">
        <w:t>räver vårdnads</w:t>
      </w:r>
      <w:r w:rsidRPr="0008481A">
        <w:softHyphen/>
        <w:t xml:space="preserve">havarens samtycke. Det var inte fråga om någon sådan undantagssituation som anges i 6 kap. 13 § andra stycket föräldrabalken. Det var följaktligen nödvändigt med samtycke från båda vårdnadshavarna. Av utredningen framgår det att Enrico Tiozzo inte har tillfrågats. Vidare förfaller inte U.Å. ha förstått vilken form av test det var frågan om. </w:t>
      </w:r>
    </w:p>
    <w:p w:rsidR="003B3271" w:rsidRPr="0008481A" w:rsidRDefault="003B3271">
      <w:pPr>
        <w:pStyle w:val="Normaltindrag"/>
      </w:pPr>
      <w:r w:rsidRPr="0008481A">
        <w:t>Jag ser allvarligt på att testet genomfördes utan erforderligt samtycke. Självfallet är det viktigt att sådant samtycke alltid inhämtas och att vårdnadsh</w:t>
      </w:r>
      <w:r w:rsidRPr="0008481A">
        <w:t>avaren sam</w:t>
      </w:r>
      <w:r w:rsidRPr="0008481A">
        <w:softHyphen/>
        <w:t>tidigt får tydlig information om vilken form av test det är fråga om. Jag för</w:t>
      </w:r>
      <w:r w:rsidRPr="0008481A">
        <w:softHyphen/>
        <w:t xml:space="preserve">utsätter att rutinerna har setts över i enlighet med vad som har angetts i remissvaret. </w:t>
      </w:r>
    </w:p>
    <w:p w:rsidR="003B3271" w:rsidRPr="0008481A" w:rsidRDefault="003B3271">
      <w:pPr>
        <w:pStyle w:val="Citat"/>
        <w:spacing w:before="60" w:line="245" w:lineRule="exact"/>
      </w:pPr>
      <w:r w:rsidRPr="0008481A">
        <w:t>– – –</w:t>
      </w:r>
    </w:p>
    <w:p w:rsidR="003B3271" w:rsidRPr="0008481A" w:rsidRDefault="003B3271">
      <w:pPr>
        <w:pStyle w:val="Rubrik4"/>
        <w:spacing w:before="360"/>
      </w:pPr>
      <w:r w:rsidRPr="0008481A">
        <w:t>Övrigt</w:t>
      </w:r>
    </w:p>
    <w:p w:rsidR="003B3271" w:rsidRPr="0008481A" w:rsidRDefault="003B3271">
      <w:r w:rsidRPr="0008481A">
        <w:t>Avslutningsvis vill jag nämna att Socialstyrelsen med stöd av 17 § patient</w:t>
      </w:r>
      <w:r w:rsidRPr="0008481A">
        <w:softHyphen/>
        <w:t>journal</w:t>
      </w:r>
      <w:r w:rsidRPr="0008481A">
        <w:softHyphen/>
      </w:r>
      <w:r w:rsidRPr="0008481A">
        <w:softHyphen/>
        <w:t>lagen (1985:562) har beslutat att P:s psykologjournal vid psykolog</w:t>
      </w:r>
      <w:r w:rsidRPr="0008481A">
        <w:softHyphen/>
        <w:t>enheten, Stads</w:t>
      </w:r>
      <w:r w:rsidRPr="0008481A">
        <w:softHyphen/>
        <w:t>delsnämnden Majorna i Göteborgs kommun, skall förstöras i sin helhet (beslut den 5 april 2000 i Socialstyrelsens ärende med diarie</w:t>
      </w:r>
      <w:r w:rsidRPr="0008481A">
        <w:softHyphen/>
        <w:t xml:space="preserve">nummer 45-11651/99).      </w:t>
      </w:r>
    </w:p>
    <w:p w:rsidR="003B3271" w:rsidRPr="0008481A" w:rsidRDefault="003B3271">
      <w:pPr>
        <w:pStyle w:val="Citat"/>
        <w:spacing w:before="0" w:line="245" w:lineRule="exact"/>
      </w:pPr>
      <w:r w:rsidRPr="0008481A">
        <w:t>_________</w:t>
      </w:r>
    </w:p>
    <w:p w:rsidR="003B3271" w:rsidRPr="0008481A" w:rsidRDefault="003B3271">
      <w:pPr>
        <w:spacing w:before="0"/>
      </w:pPr>
      <w:r w:rsidRPr="0008481A">
        <w:t>Med den kritik som framgår av det anförda avslutar jag ärendet.</w:t>
      </w:r>
    </w:p>
    <w:p w:rsidR="003B3271" w:rsidRPr="0008481A" w:rsidRDefault="003B3271">
      <w:pPr>
        <w:pStyle w:val="Rubrik1"/>
        <w:spacing w:before="0"/>
      </w:pPr>
      <w:r w:rsidRPr="0008481A">
        <w:br w:type="page"/>
        <w:t>Kommunikationsväsendet</w:t>
      </w:r>
    </w:p>
    <w:p w:rsidR="003B3271" w:rsidRPr="0008481A" w:rsidRDefault="003B3271">
      <w:pPr>
        <w:pStyle w:val="Rubrik2"/>
      </w:pPr>
      <w:r w:rsidRPr="0008481A">
        <w:t>Fråga om skyldighet för Aktiebolaget Svensk Bilprovning att vid kontroll</w:t>
      </w:r>
      <w:r w:rsidRPr="0008481A">
        <w:softHyphen/>
        <w:t>besikt</w:t>
      </w:r>
      <w:r w:rsidRPr="0008481A">
        <w:softHyphen/>
        <w:t>ningsförrättningar upp</w:t>
      </w:r>
      <w:r w:rsidRPr="0008481A">
        <w:softHyphen/>
        <w:t>lysa om ett alternativ till att efterkomma före</w:t>
      </w:r>
      <w:r w:rsidRPr="0008481A">
        <w:softHyphen/>
        <w:t>lägganden (provning vid verkstad av särskilt slag) – med hänsyn till utform</w:t>
      </w:r>
      <w:r w:rsidRPr="0008481A">
        <w:softHyphen/>
        <w:t>ning</w:t>
      </w:r>
      <w:r w:rsidRPr="0008481A">
        <w:softHyphen/>
        <w:t>en av regeringsförfattningen på området och till föreskrifter i övrigt</w:t>
      </w:r>
    </w:p>
    <w:p w:rsidR="003B3271" w:rsidRPr="0008481A" w:rsidRDefault="003B3271">
      <w:r w:rsidRPr="0008481A">
        <w:t>(Dnr 670-2000)</w:t>
      </w:r>
    </w:p>
    <w:p w:rsidR="003B3271" w:rsidRPr="0008481A" w:rsidRDefault="003B3271">
      <w:r w:rsidRPr="0008481A">
        <w:t>Med hänvisning till protokollet över en av Aktiebolaget Svensk Bilprovning ut</w:t>
      </w:r>
      <w:r w:rsidRPr="0008481A">
        <w:softHyphen/>
        <w:t>förd kontrollbesiktning av en K-G. N. tillhörig personbil begärde denne hos JO gransk</w:t>
      </w:r>
      <w:r w:rsidRPr="0008481A">
        <w:softHyphen/>
        <w:t xml:space="preserve">ning av hur det vid förrättningen meddelade beslutet hade utformats. </w:t>
      </w:r>
    </w:p>
    <w:p w:rsidR="003B3271" w:rsidRPr="0008481A" w:rsidRDefault="003B3271">
      <w:r w:rsidRPr="0008481A">
        <w:t>Under rubriken Besiktningsresultat hade i protokollet följande angivits.</w:t>
      </w:r>
    </w:p>
    <w:p w:rsidR="003B3271" w:rsidRPr="0008481A" w:rsidRDefault="003B3271">
      <w:r w:rsidRPr="0008481A">
        <w:t>Fordonet har underkänts vid kontrollbesiktning.</w:t>
      </w:r>
    </w:p>
    <w:p w:rsidR="003B3271" w:rsidRPr="0008481A" w:rsidRDefault="003B3271">
      <w:r w:rsidRPr="0008481A">
        <w:t>Ny kontrollbesiktning måste utföras.</w:t>
      </w:r>
    </w:p>
    <w:p w:rsidR="003B3271" w:rsidRPr="0008481A" w:rsidRDefault="003B3271">
      <w:r w:rsidRPr="0008481A">
        <w:t>Utförs inte besiktningen senast 2000-02-14 inträder körförbud.</w:t>
      </w:r>
    </w:p>
    <w:p w:rsidR="003B3271" w:rsidRPr="0008481A" w:rsidRDefault="003B3271">
      <w:r w:rsidRPr="0008481A">
        <w:t>Besiktningen utförs till ett lägre pris till och med 2000-03-13.</w:t>
      </w:r>
    </w:p>
    <w:p w:rsidR="003B3271" w:rsidRPr="0008481A" w:rsidRDefault="003B3271">
      <w:r w:rsidRPr="0008481A">
        <w:t>AB Svensk Bilprovning</w:t>
      </w:r>
    </w:p>
    <w:p w:rsidR="003B3271" w:rsidRPr="0008481A" w:rsidRDefault="003B3271">
      <w:pPr>
        <w:spacing w:before="0"/>
      </w:pPr>
      <w:r w:rsidRPr="0008481A">
        <w:t>2000-01-13</w:t>
      </w:r>
    </w:p>
    <w:p w:rsidR="003B3271" w:rsidRPr="0008481A" w:rsidRDefault="003B3271">
      <w:pPr>
        <w:pStyle w:val="Citat"/>
      </w:pPr>
      <w:r w:rsidRPr="0008481A">
        <w:t xml:space="preserve">– – – </w:t>
      </w:r>
    </w:p>
    <w:p w:rsidR="003B3271" w:rsidRPr="0008481A" w:rsidRDefault="003B3271">
      <w:r w:rsidRPr="0008481A">
        <w:t>K-G. N. anmärkte på att protokollet saknade upplysningar om innehållet i de bestäm</w:t>
      </w:r>
      <w:r w:rsidRPr="0008481A">
        <w:softHyphen/>
        <w:t>melser i fordonskungörelsen (1972:595) som innebär att det i den ifråga</w:t>
      </w:r>
      <w:r w:rsidRPr="0008481A">
        <w:softHyphen/>
        <w:t>varande situationen finns ett alternativ till ny kontrollbesiktning, nämligen prov</w:t>
      </w:r>
      <w:r w:rsidRPr="0008481A">
        <w:softHyphen/>
        <w:t>ning vid verkstäder av särskilt slag, ett alternativ som kostar bilägaren mindre. – Han uppgav vidare bl.a. att han mött förståelse för sin uppfattning hos Vägverket men inte hos Bil</w:t>
      </w:r>
      <w:r w:rsidRPr="0008481A">
        <w:softHyphen/>
        <w:t xml:space="preserve">provningen. </w:t>
      </w:r>
    </w:p>
    <w:p w:rsidR="003B3271" w:rsidRPr="0008481A" w:rsidRDefault="003B3271">
      <w:pPr>
        <w:pStyle w:val="Normaltindrag"/>
      </w:pPr>
      <w:r w:rsidRPr="0008481A">
        <w:t>Per telefon och telefax inhämtades en del upplysningar från Vägverket (For</w:t>
      </w:r>
      <w:r w:rsidRPr="0008481A">
        <w:softHyphen/>
        <w:t>dons</w:t>
      </w:r>
      <w:r w:rsidRPr="0008481A">
        <w:softHyphen/>
        <w:t xml:space="preserve">avdelningen). </w:t>
      </w:r>
    </w:p>
    <w:p w:rsidR="003B3271" w:rsidRPr="0008481A" w:rsidRDefault="003B3271">
      <w:r w:rsidRPr="0008481A">
        <w:t xml:space="preserve">I ett beslut den 27 mars 2000 anförde </w:t>
      </w:r>
      <w:r w:rsidRPr="0008481A">
        <w:rPr>
          <w:i/>
        </w:rPr>
        <w:t>JO Berggren</w:t>
      </w:r>
      <w:r w:rsidRPr="0008481A">
        <w:t xml:space="preserve"> följande.</w:t>
      </w:r>
    </w:p>
    <w:p w:rsidR="003B3271" w:rsidRPr="0008481A" w:rsidRDefault="003B3271">
      <w:r w:rsidRPr="0008481A">
        <w:t xml:space="preserve">De bestämmelser i fordonskungörelsen som närmast berörs av frågan är följande. </w:t>
      </w:r>
    </w:p>
    <w:p w:rsidR="003B3271" w:rsidRPr="0008481A" w:rsidRDefault="003B3271">
      <w:pPr>
        <w:pStyle w:val="Citat"/>
      </w:pPr>
      <w:r w:rsidRPr="0008481A">
        <w:t>84 §  Om ett fordon vid kontrollbesiktning har sådana brister att det inte kan godkännas och kör</w:t>
      </w:r>
      <w:r w:rsidRPr="0008481A">
        <w:softHyphen/>
        <w:t>förbud inte meddelas skall besiktningsorganet förelägga fordonets ägare att avhjälpa bristerna och inom en viss tid inställa fordonet för kontrollbesiktning. Inställs inte fordonet inom föreskriven tid inträder körförbud för fordonet. Föreläggande om kontrollbesiktning skall dock inte utfärdas om bristerna endast är enkla och inte förekommit vid den senaste kontrollbesiktningen eller flygande inspektionen. Vägverket föreskriver när bristerna skall anses vara enkla.</w:t>
      </w:r>
    </w:p>
    <w:p w:rsidR="003B3271" w:rsidRPr="0008481A" w:rsidRDefault="003B3271">
      <w:pPr>
        <w:pStyle w:val="Citatindrag"/>
      </w:pPr>
      <w:r w:rsidRPr="0008481A">
        <w:t>Körförbudet gäller till dess ny kontrollb</w:t>
      </w:r>
      <w:r w:rsidRPr="0008481A">
        <w:t xml:space="preserve">esiktning sker. – – – </w:t>
      </w:r>
    </w:p>
    <w:p w:rsidR="003B3271" w:rsidRPr="0008481A" w:rsidRDefault="003B3271">
      <w:pPr>
        <w:pStyle w:val="Citat"/>
      </w:pPr>
      <w:r w:rsidRPr="0008481A">
        <w:t>84 a §  Trots föreläggande om kontrollbesiktning enligt 84 § första stycket får fordonets ägare i stället inom föreskriven tid låta prova fordonet vid en verkstad som är ackrediterad enligt lagen (1992:1119) om teknisk kontroll. Detsamma gäller kravet på kontrollbesiktning efter körförbud enligt 84 § andra stycket, om provningen sker inom en månad från det att körförbudet inträdde och inom två månader efter fullständig kontrollbesiktning. Om fordonet uppfyller kraven vid provning</w:t>
      </w:r>
      <w:r w:rsidRPr="0008481A">
        <w:softHyphen/>
        <w:t>en får verkstaden utfärda intyg om att fordonet provats och att bristen vid kontrollbesiktningen åt</w:t>
      </w:r>
      <w:r w:rsidRPr="0008481A">
        <w:softHyphen/>
        <w:t>gärdats. Intyget skall omgående sändas till Vägverket som skall pröva om fordonet skall godkän</w:t>
      </w:r>
      <w:r w:rsidRPr="0008481A">
        <w:softHyphen/>
        <w:t>nas.</w:t>
      </w:r>
    </w:p>
    <w:p w:rsidR="003B3271" w:rsidRPr="0008481A" w:rsidRDefault="003B3271">
      <w:pPr>
        <w:pStyle w:val="Citatindrag"/>
      </w:pPr>
      <w:r w:rsidRPr="0008481A">
        <w:t>Om intyg inte utfärdas inom föreskriven tid eller om intyget inte godkänns av Vägverket, inträder körförbud för sådant fordon som avses i 84 § första stycket. I fråga om sådant förbud gäller be</w:t>
      </w:r>
      <w:r w:rsidRPr="0008481A">
        <w:softHyphen/>
        <w:t>stäm</w:t>
      </w:r>
      <w:r w:rsidRPr="0008481A">
        <w:softHyphen/>
        <w:t>mel</w:t>
      </w:r>
      <w:r w:rsidRPr="0008481A">
        <w:softHyphen/>
        <w:t xml:space="preserve">serna i 84 § andra stycket. </w:t>
      </w:r>
    </w:p>
    <w:p w:rsidR="003B3271" w:rsidRPr="0008481A" w:rsidRDefault="003B3271">
      <w:pPr>
        <w:pStyle w:val="Citat"/>
      </w:pPr>
      <w:r w:rsidRPr="0008481A">
        <w:t>86 § Vid kontrollbesiktning skall protokoll föras. Av protokollet skall framgå</w:t>
      </w:r>
    </w:p>
    <w:p w:rsidR="003B3271" w:rsidRPr="0008481A" w:rsidRDefault="003B3271">
      <w:pPr>
        <w:pStyle w:val="Citatindrag"/>
      </w:pPr>
      <w:r w:rsidRPr="0008481A">
        <w:t>1. om fordonet godkänts eller underkänts,</w:t>
      </w:r>
    </w:p>
    <w:p w:rsidR="003B3271" w:rsidRPr="0008481A" w:rsidRDefault="003B3271">
      <w:pPr>
        <w:pStyle w:val="Citatindrag"/>
      </w:pPr>
      <w:r w:rsidRPr="0008481A">
        <w:t>2. de brister som lett till att ett fordon underkänts,</w:t>
      </w:r>
    </w:p>
    <w:p w:rsidR="003B3271" w:rsidRPr="0008481A" w:rsidRDefault="003B3271">
      <w:pPr>
        <w:pStyle w:val="Citatindrag"/>
      </w:pPr>
      <w:r w:rsidRPr="0008481A">
        <w:t>3. bevis om körförbud,</w:t>
      </w:r>
    </w:p>
    <w:p w:rsidR="003B3271" w:rsidRPr="0008481A" w:rsidRDefault="003B3271">
      <w:pPr>
        <w:pStyle w:val="Citatindrag"/>
      </w:pPr>
      <w:r w:rsidRPr="0008481A">
        <w:t>4. bevis om föreläggande om kontrollbesiktning,</w:t>
      </w:r>
    </w:p>
    <w:p w:rsidR="003B3271" w:rsidRPr="0008481A" w:rsidRDefault="003B3271">
      <w:pPr>
        <w:pStyle w:val="Citatindrag"/>
      </w:pPr>
      <w:r w:rsidRPr="0008481A">
        <w:t>5. bevis om föreläggande att åtgärda brister,</w:t>
      </w:r>
    </w:p>
    <w:p w:rsidR="003B3271" w:rsidRPr="0008481A" w:rsidRDefault="003B3271">
      <w:pPr>
        <w:pStyle w:val="Citatindrag"/>
      </w:pPr>
      <w:r w:rsidRPr="0008481A">
        <w:t>6. bevis om föreläggande om registreringsbesiktning samt</w:t>
      </w:r>
    </w:p>
    <w:p w:rsidR="003B3271" w:rsidRPr="0008481A" w:rsidRDefault="003B3271">
      <w:pPr>
        <w:pStyle w:val="Citatindrag"/>
      </w:pPr>
      <w:r w:rsidRPr="0008481A">
        <w:t>7. vägmätarställning och mätvärden.</w:t>
      </w:r>
    </w:p>
    <w:p w:rsidR="003B3271" w:rsidRPr="0008481A" w:rsidRDefault="003B3271">
      <w:pPr>
        <w:pStyle w:val="Citat"/>
      </w:pPr>
      <w:r w:rsidRPr="0008481A">
        <w:t>Protokoll skall även föras när ett fordon efter föreläggande enligt 93 § andra stycket visas för ett besiktningsorgan enligt 2 § lagen (1994:2043) om vissa besiktningsorgan på fordonsområdet.</w:t>
      </w:r>
    </w:p>
    <w:p w:rsidR="003B3271" w:rsidRPr="0008481A" w:rsidRDefault="003B3271">
      <w:pPr>
        <w:pStyle w:val="Normaltindrag"/>
      </w:pPr>
      <w:r w:rsidRPr="0008481A">
        <w:rPr>
          <w:sz w:val="20"/>
        </w:rPr>
        <w:t xml:space="preserve">Protokollet skall efter avslutad förrättning överlämnas till fordonets förare. </w:t>
      </w:r>
    </w:p>
    <w:p w:rsidR="003B3271" w:rsidRPr="0008481A" w:rsidRDefault="003B3271">
      <w:r w:rsidRPr="0008481A">
        <w:t>Enligt 102 § första stycket fordonskungörelsen beslutar Vägverket de ytterligare föreskrifter som behövs om bl.a. kontroll av fordon. Med stöd av bl.a. den para</w:t>
      </w:r>
      <w:r w:rsidRPr="0008481A">
        <w:softHyphen/>
        <w:t>grafen har verket meddelat föreskrifter (VVFS 1998:11, ändrade 1998:108) om kontrollbesiktning. Där anges i ett avsnitt om bedömningsresultat bl.a. följande (7.1).</w:t>
      </w:r>
    </w:p>
    <w:p w:rsidR="003B3271" w:rsidRPr="0008481A" w:rsidRDefault="003B3271">
      <w:pPr>
        <w:pStyle w:val="Citat"/>
      </w:pPr>
      <w:r w:rsidRPr="0008481A">
        <w:t>Om anmärkning riktas mot en eller flera brister på fordonet med bedömningen två (2) enligt kontrollprogrammet, skall fordonet anses så bristfälligt att det efter att bristerna åtgärdats, åter måste genomgå kontrollbesiktning eller låta provas vid en ackrediterad verkstad.</w:t>
      </w:r>
    </w:p>
    <w:p w:rsidR="003B3271" w:rsidRPr="0008481A" w:rsidRDefault="003B3271">
      <w:r w:rsidRPr="0008481A">
        <w:t xml:space="preserve">I ett avsnitt om besiktningsprotokoll innehåller verksföreskrifterna, såvitt nu är av intresse, följande (8.4); indragen text utgör dock allmänna råd. </w:t>
      </w:r>
    </w:p>
    <w:p w:rsidR="003B3271" w:rsidRPr="0008481A" w:rsidRDefault="003B3271">
      <w:pPr>
        <w:pStyle w:val="Citat"/>
      </w:pPr>
      <w:r w:rsidRPr="0008481A">
        <w:t>Av besiktningsprotokollet skall framgå om fordonet är godkänt vid kontrollbesiktningen. För for</w:t>
      </w:r>
      <w:r w:rsidRPr="0008481A">
        <w:softHyphen/>
        <w:t>don som har brister med bedömningen två (2) skall det framgå att fordonet är underkänt samt att fordonets ägare har förelagts att åtgärda bristerna och dessutom inställa fordonet till kontrollbesikt</w:t>
      </w:r>
      <w:r w:rsidRPr="0008481A">
        <w:softHyphen/>
        <w:t>ning inom viss tid. För fordon som har brister som är enkla med bedömningen två (2) utmärkt med kryss (x) och som fordonets ägare har förelagts att avhjälpa, skall också anges att fordonet är under</w:t>
      </w:r>
      <w:r w:rsidRPr="0008481A">
        <w:softHyphen/>
        <w:t>känt. Vidare skall framgå av protokollet vilka brister som fordonet är behäftat med samt om fordonet belagts med k</w:t>
      </w:r>
      <w:r w:rsidRPr="0008481A">
        <w:t>örförbud.</w:t>
      </w:r>
    </w:p>
    <w:p w:rsidR="003B3271" w:rsidRPr="0008481A" w:rsidRDefault="003B3271">
      <w:pPr>
        <w:pStyle w:val="Citatindrag"/>
        <w:ind w:left="142" w:firstLine="28"/>
      </w:pPr>
      <w:r w:rsidRPr="0008481A">
        <w:t>Besiktningsorganet bör genom en notering i besiktningsprotokollet informera fordons</w:t>
      </w:r>
      <w:r w:rsidRPr="0008481A">
        <w:softHyphen/>
        <w:t>ägaren om begynnande brister som innebär en avvikelse med bedöms inte skall medföra anmärkning.</w:t>
      </w:r>
    </w:p>
    <w:p w:rsidR="003B3271" w:rsidRPr="0008481A" w:rsidRDefault="003B3271">
      <w:r w:rsidRPr="0008481A">
        <w:t>Enligt 5 § lagen (1994:2043) om vissa besikt</w:t>
      </w:r>
      <w:r w:rsidRPr="0008481A">
        <w:softHyphen/>
        <w:t>nings</w:t>
      </w:r>
      <w:r w:rsidRPr="0008481A">
        <w:softHyphen/>
        <w:t>organ på fordonsområ</w:t>
      </w:r>
      <w:r w:rsidRPr="0008481A">
        <w:softHyphen/>
        <w:t xml:space="preserve">det utövar ”Styrelsen för teknisk ackreditering” tillsyn över verksamhet som avses i denna lag eller i de föreskrifter som har meddelats med stöd av lagen. Den på detta sätt angivna myndigheten torde vara densamma som den vilken avses i förordningen (1996:81) med instruktion för ”Styrelsen för ackreditering och teknisk kontroll”. </w:t>
      </w:r>
    </w:p>
    <w:p w:rsidR="003B3271" w:rsidRPr="0008481A" w:rsidRDefault="003B3271">
      <w:pPr>
        <w:pStyle w:val="Normaltindrag"/>
      </w:pPr>
      <w:r w:rsidRPr="0008481A">
        <w:t xml:space="preserve">Vad Vägverket upplyst i ärendet är att Bilprovningen, vid överläggningar med verket och Styrelsen för ackreditering och teknisk kontroll, på initiativ </w:t>
      </w:r>
      <w:r w:rsidRPr="0008481A">
        <w:t>av den senare myndigheten meddelat sin avsikt att tillfoga protokollen över kontroll</w:t>
      </w:r>
      <w:r w:rsidRPr="0008481A">
        <w:softHyphen/>
        <w:t>besikt</w:t>
      </w:r>
      <w:r w:rsidRPr="0008481A">
        <w:softHyphen/>
        <w:t>ningarna upplysningar om möjligheten att enligt vad som följer av 84 a § for</w:t>
      </w:r>
      <w:r w:rsidRPr="0008481A">
        <w:softHyphen/>
        <w:t>donskungörelsen efterkomma Bilprovningens beslut genom provning vid ackre</w:t>
      </w:r>
      <w:r w:rsidRPr="0008481A">
        <w:softHyphen/>
        <w:t>diterade verk</w:t>
      </w:r>
      <w:r w:rsidRPr="0008481A">
        <w:softHyphen/>
        <w:t>städer.</w:t>
      </w:r>
    </w:p>
    <w:p w:rsidR="003B3271" w:rsidRPr="0008481A" w:rsidRDefault="003B3271">
      <w:pPr>
        <w:pStyle w:val="Normaltindrag"/>
      </w:pPr>
      <w:r w:rsidRPr="0008481A">
        <w:t>Av de ovan återgivna bestämmelserna framgår att Bilprovningen, genom att i proto</w:t>
      </w:r>
      <w:r w:rsidRPr="0008481A">
        <w:softHyphen/>
        <w:t>kollen inte lämna upplysningarna i fråga, inte åsidosatt vad som enligt någon föreskrift gällt för dess myndig</w:t>
      </w:r>
      <w:r w:rsidRPr="0008481A">
        <w:softHyphen/>
        <w:t>hets</w:t>
      </w:r>
      <w:r w:rsidRPr="0008481A">
        <w:softHyphen/>
        <w:t xml:space="preserve">utövning. För övrigt innefattar inte heller de av Vägverket på området meddelade allmänna råden något om nödvändigheten eller lämpligheten av att lämna upplysningar. </w:t>
      </w:r>
    </w:p>
    <w:p w:rsidR="003B3271" w:rsidRPr="0008481A" w:rsidRDefault="003B3271">
      <w:pPr>
        <w:pStyle w:val="Normaltindrag"/>
      </w:pPr>
      <w:r w:rsidRPr="0008481A">
        <w:t xml:space="preserve">Vid den, visserligen begränsade, undersökning som anmälan föranlett har inte framkommit anledningen till att 84 och 84 a §§ fordonskungörelsen har avfattats på sätt som skett, innebärande att besiktningsorganets </w:t>
      </w:r>
      <w:r w:rsidRPr="0008481A">
        <w:rPr>
          <w:i/>
        </w:rPr>
        <w:t>föreläggande</w:t>
      </w:r>
      <w:r w:rsidRPr="0008481A">
        <w:t xml:space="preserve"> i angiven situation inte skall innefatta alternativet provning vid en ackrediterad verkstad. (Jämför däremot en i 93 § reglerad liknande situation vid flygan</w:t>
      </w:r>
      <w:r w:rsidRPr="0008481A">
        <w:softHyphen/>
        <w:t xml:space="preserve">de besiktning.) </w:t>
      </w:r>
    </w:p>
    <w:p w:rsidR="003B3271" w:rsidRPr="0008481A" w:rsidRDefault="003B3271">
      <w:pPr>
        <w:pStyle w:val="Normaltindrag"/>
      </w:pPr>
      <w:r w:rsidRPr="0008481A">
        <w:t>Det kan knappast anses tillfredsställande att fordonsägaren alltså inte direkt genom det av regeringsföreskrifter styrda be</w:t>
      </w:r>
      <w:r w:rsidRPr="0008481A">
        <w:softHyphen/>
        <w:t>slutet får reda på alla (båda) de möjligheter att efterkomma detta som i själva verket finns. Som läget nu är, blir han hänvisad till infor</w:t>
      </w:r>
      <w:r w:rsidRPr="0008481A">
        <w:softHyphen/>
        <w:t>ma</w:t>
      </w:r>
      <w:r w:rsidRPr="0008481A">
        <w:softHyphen/>
        <w:t>tion från källor vilkas effekt är beroende av till</w:t>
      </w:r>
      <w:r w:rsidRPr="0008481A">
        <w:softHyphen/>
        <w:t>fäl</w:t>
      </w:r>
      <w:r w:rsidRPr="0008481A">
        <w:softHyphen/>
        <w:t>ligheter (t.ex. reklam från verkstäderna); att han tar del av själva författningen, fordons</w:t>
      </w:r>
      <w:r w:rsidRPr="0008481A">
        <w:softHyphen/>
        <w:t>kun</w:t>
      </w:r>
      <w:r w:rsidRPr="0008481A">
        <w:softHyphen/>
        <w:t>görel</w:t>
      </w:r>
      <w:r w:rsidRPr="0008481A">
        <w:softHyphen/>
        <w:t xml:space="preserve">sen, torde vara ovanligt, och det förutsätts normalt inte vid meddelande av beslut. </w:t>
      </w:r>
    </w:p>
    <w:p w:rsidR="003B3271" w:rsidRPr="0008481A" w:rsidRDefault="003B3271">
      <w:pPr>
        <w:pStyle w:val="Normaltindrag"/>
      </w:pPr>
      <w:r w:rsidRPr="0008481A">
        <w:t>Det anförda motiverar att jag med hänsyn till de i ärendet uppkomna frågor</w:t>
      </w:r>
      <w:r w:rsidRPr="0008481A">
        <w:softHyphen/>
        <w:t>na om utformning av författ</w:t>
      </w:r>
      <w:r w:rsidRPr="0008481A">
        <w:softHyphen/>
        <w:t>ning</w:t>
      </w:r>
      <w:r w:rsidRPr="0008481A">
        <w:softHyphen/>
        <w:t xml:space="preserve"> tillställer bland andra Regerings</w:t>
      </w:r>
      <w:r w:rsidRPr="0008481A">
        <w:softHyphen/>
        <w:t>kansliet ett exemplar av beslutet.</w:t>
      </w:r>
    </w:p>
    <w:p w:rsidR="003B3271" w:rsidRPr="0008481A" w:rsidRDefault="003B3271">
      <w:pPr>
        <w:pStyle w:val="Rubrik1"/>
        <w:spacing w:before="0"/>
      </w:pPr>
      <w:r w:rsidRPr="0008481A">
        <w:br w:type="page"/>
        <w:t>Kyrkliga ärenden</w:t>
      </w:r>
    </w:p>
    <w:p w:rsidR="003B3271" w:rsidRPr="0008481A" w:rsidRDefault="003B3271">
      <w:pPr>
        <w:pStyle w:val="Rubrik2"/>
      </w:pPr>
      <w:r w:rsidRPr="0008481A">
        <w:t>Fråga om riktigheten av att justeringen av protokoll förda vid sammanträde med kyrkorådets arbetsutskott inte tillkännages på pastoratets anslagstavla</w:t>
      </w:r>
    </w:p>
    <w:p w:rsidR="003B3271" w:rsidRPr="0008481A" w:rsidRDefault="003B3271">
      <w:r w:rsidRPr="0008481A">
        <w:t>(Dnr 2505-1998)</w:t>
      </w:r>
    </w:p>
    <w:p w:rsidR="003B3271" w:rsidRPr="0008481A" w:rsidRDefault="003B3271">
      <w:pPr>
        <w:pStyle w:val="Rubrik3"/>
      </w:pPr>
      <w:r w:rsidRPr="0008481A">
        <w:t>Anmälan</w:t>
      </w:r>
    </w:p>
    <w:p w:rsidR="003B3271" w:rsidRPr="0008481A" w:rsidRDefault="003B3271">
      <w:r w:rsidRPr="0008481A">
        <w:t>I en anmälan till JO den 29 juni 1998 uppgav Jan Ekelund att ett protokoll fört vid ett sammanträde med Samfällda kyrkorådets i Arboga pastorat arbetsutskott den 25 maj samma år inte tillkännagetts genom anslag och begärde JO:s uttalande om protokollet under sådana förhållanden var ”giltigt”. Jan Ekelund fogade protokol</w:t>
      </w:r>
      <w:r w:rsidRPr="0008481A">
        <w:softHyphen/>
        <w:t>let till anmälan.</w:t>
      </w:r>
    </w:p>
    <w:p w:rsidR="003B3271" w:rsidRPr="0008481A" w:rsidRDefault="003B3271">
      <w:pPr>
        <w:pStyle w:val="Rubrik3"/>
      </w:pPr>
      <w:r w:rsidRPr="0008481A">
        <w:t>Utredning</w:t>
      </w:r>
    </w:p>
    <w:p w:rsidR="003B3271" w:rsidRPr="0008481A" w:rsidRDefault="003B3271">
      <w:r w:rsidRPr="0008481A">
        <w:t>Föredraganden hos JO inhämtade inledningsvis muntliga upplysningar från kans</w:t>
      </w:r>
      <w:r w:rsidRPr="0008481A">
        <w:softHyphen/>
        <w:t>lichefen i Arboga pastorat, Håkan Barrefors. Upplysningarna nedteckna</w:t>
      </w:r>
      <w:r w:rsidRPr="0008481A">
        <w:softHyphen/>
        <w:t>des i en tjänsteanteckning enligt följande.</w:t>
      </w:r>
    </w:p>
    <w:p w:rsidR="003B3271" w:rsidRPr="0008481A" w:rsidRDefault="003B3271">
      <w:pPr>
        <w:pStyle w:val="Citat"/>
      </w:pPr>
      <w:r w:rsidRPr="0008481A">
        <w:t>Samfällda kyrkorådets i Arboga pastorat arbetsutskott är ett beredningsor</w:t>
      </w:r>
      <w:r w:rsidRPr="0008481A">
        <w:softHyphen/>
        <w:t>gan till nämnda kyrkoråd. Arbetsutskottet fattar även vissa beslut med stöd av delegation från samfällda kyrkorådet. Justeringen avseende protokoll förda vid sammanträde med samfällda kyrkorådets arbetsutskott tillkänna</w:t>
      </w:r>
      <w:r w:rsidRPr="0008481A">
        <w:softHyphen/>
        <w:t>ges aldrig på anslagstavlan. I de fall arbetsutskottet fattar beslut på delega</w:t>
      </w:r>
      <w:r w:rsidRPr="0008481A">
        <w:softHyphen/>
        <w:t>tion anmäls beslutet vid ett sammanträde med samfällda kyrkorådet och justeringen avseende protokoll fört vid detta sammanträde tillkännages se</w:t>
      </w:r>
      <w:r w:rsidRPr="0008481A">
        <w:softHyphen/>
        <w:t xml:space="preserve">dan på anslagstavlan. </w:t>
      </w:r>
    </w:p>
    <w:p w:rsidR="003B3271" w:rsidRPr="0008481A" w:rsidRDefault="003B3271">
      <w:r w:rsidRPr="0008481A">
        <w:t>Klagomålen remitterades därefter till samfäll</w:t>
      </w:r>
      <w:r w:rsidRPr="0008481A">
        <w:t>da kyrkorådet för yttrande.</w:t>
      </w:r>
    </w:p>
    <w:p w:rsidR="003B3271" w:rsidRPr="0008481A" w:rsidRDefault="003B3271">
      <w:pPr>
        <w:pStyle w:val="Normaltindrag"/>
      </w:pPr>
      <w:r w:rsidRPr="0008481A">
        <w:t>Samfällda kyrkorådet konstaterade i sitt yttrande att den till remissen hörande tjänsteanteckningen i sak var rätt och uppgav att inget ytterligare fanns att til</w:t>
      </w:r>
      <w:r w:rsidRPr="0008481A">
        <w:softHyphen/>
      </w:r>
      <w:r w:rsidRPr="0008481A">
        <w:t>lägga.</w:t>
      </w:r>
    </w:p>
    <w:p w:rsidR="003B3271" w:rsidRPr="0008481A" w:rsidRDefault="003B3271">
      <w:pPr>
        <w:pStyle w:val="Normaltindrag"/>
      </w:pPr>
      <w:r w:rsidRPr="0008481A">
        <w:t>Jan Ekelund kommenterade remissvaret.</w:t>
      </w:r>
    </w:p>
    <w:p w:rsidR="003B3271" w:rsidRPr="0008481A" w:rsidRDefault="003B3271">
      <w:r w:rsidRPr="0008481A">
        <w:rPr>
          <w:i/>
        </w:rPr>
        <w:t>Stf JO Ekberg</w:t>
      </w:r>
      <w:r w:rsidRPr="0008481A">
        <w:t xml:space="preserve"> anförde i beslut den 14 oktober 1999 följande.</w:t>
      </w:r>
    </w:p>
    <w:p w:rsidR="003B3271" w:rsidRPr="0008481A" w:rsidRDefault="003B3271">
      <w:pPr>
        <w:pStyle w:val="Normaltindrag"/>
      </w:pPr>
      <w:r w:rsidRPr="0008481A">
        <w:t>Som jag uppfattat Jan Ekelund har han ifrågasatt riktigheten av att juste</w:t>
      </w:r>
      <w:r w:rsidRPr="0008481A">
        <w:softHyphen/>
        <w:t>ringen av arbetsutskottets protokoll inte tillkännagetts på Arboga pasto</w:t>
      </w:r>
      <w:r w:rsidRPr="0008481A">
        <w:softHyphen/>
        <w:t>rats, dvs. samfällig</w:t>
      </w:r>
      <w:r w:rsidRPr="0008481A">
        <w:softHyphen/>
        <w:t>hetens, anslagstavla med avseende på bestämmelser</w:t>
      </w:r>
      <w:r w:rsidRPr="0008481A">
        <w:softHyphen/>
        <w:t xml:space="preserve">na om laglighetsprövning i 22 kap. kyrkolagen (1992:300). </w:t>
      </w:r>
    </w:p>
    <w:p w:rsidR="003B3271" w:rsidRPr="0008481A" w:rsidRDefault="003B3271">
      <w:pPr>
        <w:pStyle w:val="Normaltindrag"/>
      </w:pPr>
      <w:r w:rsidRPr="0008481A">
        <w:t>Mot bakgrund härav föranleder klagomålen följande uttalanden från min sida.</w:t>
      </w:r>
    </w:p>
    <w:p w:rsidR="003B3271" w:rsidRPr="0008481A" w:rsidRDefault="003B3271">
      <w:pPr>
        <w:pStyle w:val="Normaltindrag"/>
      </w:pPr>
      <w:r w:rsidRPr="0008481A">
        <w:t>Vid sammanträde med ett kyrkoråd skall protokoll föras. Protokollet skall inne</w:t>
      </w:r>
      <w:r w:rsidRPr="0008481A">
        <w:softHyphen/>
        <w:t>hålla bl.a. redovisning för vilka ärenden som handlagts (17 kap. 24 § jämfört med 13 kap. 42 § kyrkolagen). Protokollet skall vidare för varje ärende redovisa vilka beslut som fattats (17 kap. 24 § jämfört med 13 kap. 43 § 4.). Protokollet skall justeras senast fjorton dagar efter sammanträdet och senast andra dagen efter jus</w:t>
      </w:r>
      <w:r w:rsidRPr="0008481A">
        <w:softHyphen/>
        <w:t>teringen skall denna tillkännages på församlingens anslagstavla. Av tillkännagi</w:t>
      </w:r>
      <w:r w:rsidRPr="0008481A">
        <w:softHyphen/>
        <w:t>van</w:t>
      </w:r>
      <w:r w:rsidRPr="0008481A">
        <w:softHyphen/>
        <w:t>det skall framgå var proto</w:t>
      </w:r>
      <w:r w:rsidRPr="0008481A">
        <w:softHyphen/>
        <w:t>kollet finns tillgängligt samt vilken dag det har an</w:t>
      </w:r>
      <w:r w:rsidRPr="0008481A">
        <w:softHyphen/>
        <w:t>slagits (17 kap. 24</w:t>
      </w:r>
      <w:r w:rsidRPr="0008481A">
        <w:t xml:space="preserve"> § jämfört med 13 kap. 45 och 46 §§ kyrkolagen). Att proto</w:t>
      </w:r>
      <w:r w:rsidRPr="0008481A">
        <w:softHyphen/>
        <w:t>kollen till</w:t>
      </w:r>
      <w:r w:rsidRPr="0008481A">
        <w:softHyphen/>
        <w:t>kännages på detta sätt har betydelse i de fall en församlingsmedlem en</w:t>
      </w:r>
      <w:r w:rsidRPr="0008481A">
        <w:softHyphen/>
        <w:t>ligt bestäm</w:t>
      </w:r>
      <w:r w:rsidRPr="0008481A">
        <w:softHyphen/>
        <w:t>melserna i 22 kap. kyrkolagen vill få lagligheten av ett beslut prövad. Klago</w:t>
      </w:r>
      <w:r w:rsidRPr="0008481A">
        <w:softHyphen/>
        <w:t>tiden, tre veckor, räknas nämligen från den dag då det på församlingens anslagstavla tillkännagavs att protokollet över beslutet justerats (22 kap. 6 § kyr</w:t>
      </w:r>
      <w:r w:rsidRPr="0008481A">
        <w:softHyphen/>
        <w:t>ko</w:t>
      </w:r>
      <w:r w:rsidRPr="0008481A">
        <w:softHyphen/>
        <w:t xml:space="preserve">lagen).  </w:t>
      </w:r>
    </w:p>
    <w:p w:rsidR="003B3271" w:rsidRPr="0008481A" w:rsidRDefault="003B3271">
      <w:pPr>
        <w:pStyle w:val="Normaltindrag"/>
      </w:pPr>
      <w:r w:rsidRPr="0008481A">
        <w:t>I 17 kap. 29 § kyrkolagen föreskrivs att kyrkorådet får uppdra åt ett utskott, åt en ledamot eller ersättare el</w:t>
      </w:r>
      <w:r w:rsidRPr="0008481A">
        <w:t>ler åt en anställd hos församlingen att besluta på rådets vägnar i ett visst ärende eller vissa grupper av ärenden. Beslut som fattats med stöd av ett sådant uppdrag skall enligt 17 kap. 31 § anmälas till kyrkorådet. Kyr</w:t>
      </w:r>
      <w:r w:rsidRPr="0008481A">
        <w:softHyphen/>
        <w:t>korådet bestämmer på vilket sätt anmälan skall ske.</w:t>
      </w:r>
    </w:p>
    <w:p w:rsidR="003B3271" w:rsidRPr="0008481A" w:rsidRDefault="003B3271">
      <w:pPr>
        <w:pStyle w:val="Normaltindrag"/>
      </w:pPr>
      <w:r w:rsidRPr="0008481A">
        <w:t>Beslut som fattats av en delegat enligt 17 kap. 29 § är rättsligt sätt beslut fattade på kyrkorådets vägnar och får överklagas enligt bestämmelserna i 22 kap. kyrko</w:t>
      </w:r>
      <w:r w:rsidRPr="0008481A">
        <w:softHyphen/>
        <w:t>lagen. Om särskilt protokoll förts över delegatbeslutet räknas klagotiden  från den dag det på församlingens anslagstavla tillkännagavs att protokollet över beslutet justerats (jfr 22 kap. 6 §). I de fall delegatbeslut inte protokollförts särskilt räknas klagotiden från den dag då det tillkännagavs på församlingens anslagstavla att protokollet från det sammanträde, då delegat</w:t>
      </w:r>
      <w:r w:rsidRPr="0008481A">
        <w:softHyphen/>
        <w:t xml:space="preserve">beslutet anmäldes för kyrkorådet, justerats. </w:t>
      </w:r>
    </w:p>
    <w:p w:rsidR="003B3271" w:rsidRPr="0008481A" w:rsidRDefault="003B3271">
      <w:pPr>
        <w:pStyle w:val="Normaltindrag"/>
      </w:pPr>
      <w:r w:rsidRPr="0008481A">
        <w:t>Enligt 18 kap. 4 § kyrkolagen gäller här aktuella bestämmelser i 17 kap. inte bara för</w:t>
      </w:r>
      <w:r w:rsidRPr="0008481A">
        <w:t xml:space="preserve"> kyrkoråd i församling utan också för kyrkoråd i kyrklig samfällighet.   </w:t>
      </w:r>
    </w:p>
    <w:p w:rsidR="003B3271" w:rsidRPr="0008481A" w:rsidRDefault="003B3271">
      <w:pPr>
        <w:pStyle w:val="Normaltindrag"/>
      </w:pPr>
      <w:r w:rsidRPr="0008481A">
        <w:t>Som framgått av den inhämtade utredningen tillämpas den ordningen inom Ar</w:t>
      </w:r>
      <w:r w:rsidRPr="0008481A">
        <w:softHyphen/>
        <w:t>boga pastorat att justeringen av protokoll förda vid sammanträden med  samfällda kyrkorådets arbetsutskott inte tillkännages på pastoratets anslagstavla. I de fall arbetsutskottet fattat beslut med stöd av delegation från kyrkorådet anmäls beslu</w:t>
      </w:r>
      <w:r w:rsidRPr="0008481A">
        <w:softHyphen/>
        <w:t>tet vid ett sammanträde med kyrkorådet varefter justeringen av rådets protokoll tillkännages på, som jag uppfattat saken, pastoratets anslagstavla. Detta förfa</w:t>
      </w:r>
      <w:r w:rsidRPr="0008481A">
        <w:softHyphen/>
        <w:t>ringssätt för med sig att klagotiden för laglighetsprövningen av arbetsutskottets beslut kommer att räkna</w:t>
      </w:r>
      <w:r w:rsidRPr="0008481A">
        <w:t>s från den dag det på anslagstavlan tillkännagavs att pro</w:t>
      </w:r>
      <w:r w:rsidRPr="0008481A">
        <w:softHyphen/>
        <w:t>tokollet från samfällda kyrkorådets sammanträde justerats. När såsom i föreva</w:t>
      </w:r>
      <w:r w:rsidRPr="0008481A">
        <w:softHyphen/>
        <w:t>rande fall ett särskilt protokoll sätts upp beträffande arbetsutskottets beslut skall emellertid, enligt ovan redovisade regelsystem, justeringen av detta protokoll till</w:t>
      </w:r>
      <w:r w:rsidRPr="0008481A">
        <w:softHyphen/>
        <w:t>kännages på anslagstavlan. Att så inte sker inom Arboga pastorat är felaktigt och innebär att möjligheten att överklaga delegatbeslutet enligt bestämmelserna om laglighetsprövning uppkommer vid en senare ti</w:t>
      </w:r>
      <w:r w:rsidRPr="0008481A">
        <w:t>dpunkt än vad som rätteligen skulle ha varit fallet. Eftersom delegatbeslut kan vara omedelbart verk</w:t>
      </w:r>
      <w:r w:rsidRPr="0008481A">
        <w:softHyphen/>
        <w:t>ställbara är en sådan rättsverkan självfallet inte tillfredsställande.</w:t>
      </w:r>
    </w:p>
    <w:p w:rsidR="003B3271" w:rsidRPr="0008481A" w:rsidRDefault="003B3271">
      <w:pPr>
        <w:pStyle w:val="Rubrik1"/>
        <w:spacing w:before="0"/>
      </w:pPr>
      <w:r w:rsidRPr="0008481A">
        <w:br w:type="page"/>
        <w:t>Plan- och byggnadsväsendet</w:t>
      </w:r>
    </w:p>
    <w:p w:rsidR="003B3271" w:rsidRPr="0008481A" w:rsidRDefault="003B3271">
      <w:pPr>
        <w:pStyle w:val="Rubrik2"/>
      </w:pPr>
      <w:r w:rsidRPr="0008481A">
        <w:t>Byggnadsnämnd har meddelat beslut på felaktiga grunder och avvikit från vad som gällt för dess prövning</w:t>
      </w:r>
    </w:p>
    <w:p w:rsidR="003B3271" w:rsidRPr="0008481A" w:rsidRDefault="003B3271">
      <w:r w:rsidRPr="0008481A">
        <w:t>(Dnr 3267-1998 och 3855-1999)</w:t>
      </w:r>
    </w:p>
    <w:p w:rsidR="003B3271" w:rsidRPr="0008481A" w:rsidRDefault="003B3271">
      <w:pPr>
        <w:pStyle w:val="Rubrik3"/>
      </w:pPr>
      <w:r w:rsidRPr="0008481A">
        <w:t>Bakgrund</w:t>
      </w:r>
    </w:p>
    <w:p w:rsidR="003B3271" w:rsidRPr="0008481A" w:rsidRDefault="003B3271">
      <w:r w:rsidRPr="0008481A">
        <w:t>Byggnadsnämnden i Orusts kommun avslog den 25 juni 1996, § 180, en ansökan från Raymond Johansson om bygglov för en golfanläggning på fastigheten Tofta 2:1 med hänvisning till detaljplanekravet i 5 kap. 1 § plan- och bygglagen (1987:10). Sedan Stockens Teknikbane Klubb den 18 februari 1997 ansökt om bygglov för en teknikbana för golfspel på nämnda fastighet beslutade byggnads</w:t>
      </w:r>
      <w:r w:rsidRPr="0008481A">
        <w:softHyphen/>
        <w:t>nämnden den 27 mars 1997, § 72, sedan nämnden den 26 mars ajournerat ärendet för närmare diskussion med sökanden, att under vissa förutsättningar ”frångå plankravet och bevilja permanent lov för golfbanan”. Nämnden uttalade i beslutet att det förutsattes att en för alla berörda parter acceptabel samförståndslösning kunde uppnås och uppdrog åt stadsarkitektkontoret att snarast förhandla med de berörda parterna i syfte att uppnå en sådan lösning.</w:t>
      </w:r>
    </w:p>
    <w:p w:rsidR="003B3271" w:rsidRPr="0008481A" w:rsidRDefault="003B3271">
      <w:pPr>
        <w:pStyle w:val="Normaltindrag"/>
      </w:pPr>
      <w:r w:rsidRPr="0008481A">
        <w:t>Sedan Stockens Teknikbane Klubb kommit in med reviderade handl</w:t>
      </w:r>
      <w:r w:rsidRPr="0008481A">
        <w:t>ingar beslu</w:t>
      </w:r>
      <w:r w:rsidRPr="0008481A">
        <w:softHyphen/>
        <w:t>tade byggnadsnämnden den 18 juni 1997, § 190, att avslå ansökan med hänvis</w:t>
      </w:r>
      <w:r w:rsidRPr="0008481A">
        <w:softHyphen/>
        <w:t>ning till de tidigare besluten den 25 juni 1996, § 180, och den 27 mars 1997, § 72. Efter överklagande upphävde Länsstyrelsen i Göteborgs och Bohus län den 5 december 1997 byggnadsnämndens beslut på den grunden att det ansågs så brist</w:t>
      </w:r>
      <w:r w:rsidRPr="0008481A">
        <w:softHyphen/>
        <w:t>fälligt motiverat att det inte gick att utläsa varför bygglov vägrats. Länsstyrel</w:t>
      </w:r>
      <w:r w:rsidRPr="0008481A">
        <w:softHyphen/>
        <w:t>sen uttalade vidare att byggnadsnämndens beslut den 27 mars 1997, § 72, var att be</w:t>
      </w:r>
      <w:r w:rsidRPr="0008481A">
        <w:softHyphen/>
        <w:t>döma som ett positivt för</w:t>
      </w:r>
      <w:r w:rsidRPr="0008481A">
        <w:t>handsbesked rörande lokaliseringen av teknikbanan. Byggnadsnämnden överklagade inte länsstyrelsens beslut.</w:t>
      </w:r>
    </w:p>
    <w:p w:rsidR="003B3271" w:rsidRPr="0008481A" w:rsidRDefault="003B3271">
      <w:pPr>
        <w:pStyle w:val="Normaltindrag"/>
      </w:pPr>
      <w:r w:rsidRPr="0008481A">
        <w:t>I ett beslut den 25 februari 1998, § 49, avslog byggnadsnämnden på nytt ansökan om bygglov för teknikbanan. Med hänvisning till beslutet den 25 juni 1996, § 180, gjorde nämnden nu åter bedömningen att banans läge och utformning skulle prö</w:t>
      </w:r>
      <w:r w:rsidRPr="0008481A">
        <w:softHyphen/>
        <w:t>vas och regleras genom formell detaljplaneläggning. Länsstyrelsen i Västra Göta</w:t>
      </w:r>
      <w:r w:rsidRPr="0008481A">
        <w:softHyphen/>
        <w:t>land upphävde beslutet den 1 september 1998 och återförvisade ärendet till nämn</w:t>
      </w:r>
      <w:r w:rsidRPr="0008481A">
        <w:softHyphen/>
        <w:t>den för ny prövning. Länsstyrelsen anförde bl.a. att det, mot bakgrund av för</w:t>
      </w:r>
      <w:r w:rsidRPr="0008481A">
        <w:softHyphen/>
        <w:t>handsbeskedet, inte var möjligt att på sätt byggnadsnämnden gjort på nytt åberopa detaljplanekravet.</w:t>
      </w:r>
    </w:p>
    <w:p w:rsidR="003B3271" w:rsidRPr="0008481A" w:rsidRDefault="003B3271">
      <w:pPr>
        <w:pStyle w:val="Normaltindrag"/>
      </w:pPr>
      <w:r w:rsidRPr="0008481A">
        <w:t>Vid sammanträde den 30 september 1998 avslog byggnadsnämnden ännu en gång bygglovsansökan med motiveringen att den skyddszon mot vandrar</w:t>
      </w:r>
      <w:r w:rsidRPr="0008481A">
        <w:softHyphen/>
        <w:t>hemmet som enligt beslutet den 27 mars 1997, § 72, var en förutsättning för beviljandet av lov inte var säkerställd. Länsstyrelsen i Västra Götaland upphävde den 30 juni 1999 nämndens beslut den 30 september 1998 och återförvisade ärendet till nämnden för beviljande av bygglov. I sin motivering uttalade länsstyrelsen bl.a. följande.</w:t>
      </w:r>
    </w:p>
    <w:p w:rsidR="003B3271" w:rsidRPr="0008481A" w:rsidRDefault="003B3271">
      <w:pPr>
        <w:pStyle w:val="Citat"/>
      </w:pPr>
      <w:r w:rsidRPr="0008481A">
        <w:t>Vad nämnden har att pröva är om lov kan beviljas för teknikbanan med den utformning den har i ansökan. Teknikbanan i sig bedöms enligt nämnden inte medföra sådana olägenheter f</w:t>
      </w:r>
      <w:r w:rsidRPr="0008481A">
        <w:t>ör vandrarhemmet att lov av denna anled</w:t>
      </w:r>
      <w:r w:rsidRPr="0008481A">
        <w:softHyphen/>
        <w:t>ning inte kan beviljas. Att i lovet reglera användningen av marken mellan vandrarhemmet och teknikbanan är inte möjligt då denna inte ingår i ansö</w:t>
      </w:r>
      <w:r w:rsidRPr="0008481A">
        <w:softHyphen/>
        <w:t>kan. För det fall denna mark skulle komma att användas för teknikbaneän</w:t>
      </w:r>
      <w:r w:rsidRPr="0008481A">
        <w:softHyphen/>
        <w:t>damål föreligger möjligheter för nämnden att ingripa häremot med stöd av bestämmelserna i 10 kap PBL. Annan användning av marken än för teknik</w:t>
      </w:r>
      <w:r w:rsidRPr="0008481A">
        <w:softHyphen/>
        <w:t>baneändamål och som vållar olägenheter för vandrarhemmet i form av t ex buller ankommer på miljö- och hälsosky</w:t>
      </w:r>
      <w:r w:rsidRPr="0008481A">
        <w:t>ddsnämnden att komma till rätta med.</w:t>
      </w:r>
    </w:p>
    <w:p w:rsidR="003B3271" w:rsidRPr="0008481A" w:rsidRDefault="003B3271">
      <w:pPr>
        <w:pStyle w:val="Citatindrag"/>
      </w:pPr>
      <w:r w:rsidRPr="0008481A">
        <w:t>Bygglov skall således beviljas för teknikbanan.</w:t>
      </w:r>
    </w:p>
    <w:p w:rsidR="003B3271" w:rsidRPr="0008481A" w:rsidRDefault="003B3271">
      <w:pPr>
        <w:pStyle w:val="Rubrik3"/>
      </w:pPr>
      <w:r w:rsidRPr="0008481A">
        <w:t>Anmälningarna</w:t>
      </w:r>
    </w:p>
    <w:p w:rsidR="003B3271" w:rsidRPr="0008481A" w:rsidRDefault="003B3271">
      <w:r w:rsidRPr="0008481A">
        <w:t>Raymond Johansson kritiserade i anmälningar den 31 augusti 1998 och den 2 oktober 1999 byggnadsnämndens handläggning. Han anförde därvid, med hänvisning till att länsstyrelsen upprepade gånger undanröjt byggnads</w:t>
      </w:r>
      <w:r w:rsidRPr="0008481A">
        <w:softHyphen/>
        <w:t>nämndens beslut, bl.a. att nämndens ledamöter vid sin prövning inte varit objektiva samt att de medvetet fördröjt ett slutligt avgörande av ärendet. Vidare gjorde Raymond Johans</w:t>
      </w:r>
      <w:r w:rsidRPr="0008481A">
        <w:softHyphen/>
        <w:t>son gällande att stadsarkitekten Bo Widén agerat på ett klandervärt sätt under hela handläggningstiden. Raymond Johansson anmälde särskilt Bo Widén för jäv och för otillåten bisyssla genom ”ritande av planer och hus för privata upp</w:t>
      </w:r>
      <w:r w:rsidRPr="0008481A">
        <w:softHyphen/>
        <w:t>dragsgivare”.</w:t>
      </w:r>
    </w:p>
    <w:p w:rsidR="003B3271" w:rsidRPr="0008481A" w:rsidRDefault="003B3271">
      <w:pPr>
        <w:pStyle w:val="Rubrik3"/>
      </w:pPr>
      <w:r w:rsidRPr="0008481A">
        <w:t>Utredning</w:t>
      </w:r>
    </w:p>
    <w:p w:rsidR="003B3271" w:rsidRPr="0008481A" w:rsidRDefault="003B3271">
      <w:r w:rsidRPr="0008481A">
        <w:t>Sedan anmälningarna remitterats för yttrande avgav byggnadsnämnden respektive samhällsbyggnadsnämnden svar. Därutöver yttrade kommun</w:t>
      </w:r>
      <w:r w:rsidRPr="0008481A">
        <w:softHyphen/>
        <w:t>styrel</w:t>
      </w:r>
      <w:r w:rsidRPr="0008481A">
        <w:softHyphen/>
      </w:r>
      <w:r w:rsidRPr="0008481A">
        <w:softHyphen/>
        <w:t>sen sig i frågan om bisyssla för stadsarkitekten.</w:t>
      </w:r>
    </w:p>
    <w:p w:rsidR="003B3271" w:rsidRPr="0008481A" w:rsidRDefault="003B3271">
      <w:r w:rsidRPr="0008481A">
        <w:t>Byggnadsnämnden uttalade i yttrande den 28 oktober 1998 bl.a. följande.</w:t>
      </w:r>
    </w:p>
    <w:p w:rsidR="003B3271" w:rsidRPr="0008481A" w:rsidRDefault="003B3271">
      <w:pPr>
        <w:pStyle w:val="Citat"/>
      </w:pPr>
      <w:r w:rsidRPr="0008481A">
        <w:t>Byggnadsnämnden och stadsarkitekten har under våren 1997 haft flera överläggningar med Raymond Johansson och även Krister Johansson, före</w:t>
      </w:r>
      <w:r w:rsidRPr="0008481A">
        <w:softHyphen/>
        <w:t>trädare för Stockens teknikbaneklubb och berörda grannar. 1997-03-26, § 72, – – – beslutade byggnadsnämnden, för att markera sin vilja att med</w:t>
      </w:r>
      <w:r w:rsidRPr="0008481A">
        <w:softHyphen/>
        <w:t>verka till en smidig lösning i ärendet, att under förutsättning att skyddszo</w:t>
      </w:r>
      <w:r w:rsidRPr="0008481A">
        <w:softHyphen/>
        <w:t>nen blev av tillräcklig omfattning och långsiktigt säkrad genom överens</w:t>
      </w:r>
      <w:r w:rsidRPr="0008481A">
        <w:softHyphen/>
        <w:t>kommelse mellan berörda parter, skulle nämnden frångå plankravet. Stads</w:t>
      </w:r>
      <w:r w:rsidRPr="0008481A">
        <w:softHyphen/>
        <w:t>arkitektkon</w:t>
      </w:r>
      <w:r w:rsidRPr="0008481A">
        <w:softHyphen/>
        <w:t>toret fick även i uppdrag att förhandla med berörda parter för att få till stånd en lösning. När en acceptabel överenskommelse väl tagi</w:t>
      </w:r>
      <w:r w:rsidRPr="0008481A">
        <w:t>ts fram och parterna skulle träffas för en uppgörelse infann sig inte Raymond Jo</w:t>
      </w:r>
      <w:r w:rsidRPr="0008481A">
        <w:softHyphen/>
        <w:t>hansson. Byggnadsnämnden måste då dra den slutsatsen att intresse inte längre förelåg från Raymond Johanssons sida att verkligen genomföra fri</w:t>
      </w:r>
      <w:r w:rsidRPr="0008481A">
        <w:softHyphen/>
        <w:t>tidsanläggningen. Handläggningen av ärendet har skett utan dröjsmål från kommunens sida och med ett rimligt beaktande av berörda grannars intres</w:t>
      </w:r>
      <w:r w:rsidRPr="0008481A">
        <w:softHyphen/>
        <w:t>sen.</w:t>
      </w:r>
    </w:p>
    <w:p w:rsidR="003B3271" w:rsidRPr="0008481A" w:rsidRDefault="003B3271">
      <w:r w:rsidRPr="0008481A">
        <w:t>Samhällsbyggnadsnämnden uttalade i sitt svar den 15 december 1999 följan</w:t>
      </w:r>
      <w:r w:rsidRPr="0008481A">
        <w:softHyphen/>
        <w:t>de (bilagorna utelämnade här).</w:t>
      </w:r>
    </w:p>
    <w:p w:rsidR="003B3271" w:rsidRPr="0008481A" w:rsidRDefault="003B3271">
      <w:pPr>
        <w:pStyle w:val="Citat"/>
      </w:pPr>
      <w:r w:rsidRPr="0008481A">
        <w:t>I och med den nya mandatperioden 1999 har byggnadsnämnden upphört och bygglovärendena sammanförts med andra ärenden till SBN. SBN har nu nya ledamöter, varav anmälaren är en. Utifrån den nya nämndens synvinkel är det flera nytillträdda ledamöter som vill göra nya försök att ena parter, med motsatta uppfattningar, i gamla ärenden. Tofta 2:1 är ett sådant ärende.</w:t>
      </w:r>
    </w:p>
    <w:p w:rsidR="003B3271" w:rsidRPr="0008481A" w:rsidRDefault="003B3271">
      <w:pPr>
        <w:rPr>
          <w:sz w:val="20"/>
        </w:rPr>
      </w:pPr>
    </w:p>
    <w:p w:rsidR="003B3271" w:rsidRPr="0008481A" w:rsidRDefault="003B3271">
      <w:pPr>
        <w:pStyle w:val="Citatindrag"/>
      </w:pPr>
      <w:r w:rsidRPr="0008481A">
        <w:t>SBN:s inställning och handläggning föranledd av länsstyrelsens ovan</w:t>
      </w:r>
      <w:r w:rsidRPr="0008481A">
        <w:softHyphen/>
        <w:t>nämnda beslut är som följer:</w:t>
      </w:r>
    </w:p>
    <w:p w:rsidR="003B3271" w:rsidRPr="0008481A" w:rsidRDefault="003B3271">
      <w:pPr>
        <w:pStyle w:val="Citatindrag"/>
      </w:pPr>
      <w:r w:rsidRPr="0008481A">
        <w:t>Efter många beslut och försök att bilägga pågående tvist mellan sökanden, vandrarhemmet och övriga grannar ville byggnadsnämnden i beslut preci</w:t>
      </w:r>
      <w:r w:rsidRPr="0008481A">
        <w:softHyphen/>
        <w:t>sera sitt förslag till samförståndslösning genom ett uttalande nedtecknat i protokollet från 1997-03-27 § 72 (bilaga 2, sid 1,3,4). Länsstyrelsen anger som sin uppfattning att beslutet är ett bindande förhandsbesked, vilket SBN aldrig avsåg. Någon ansökan om förhandsbesked förelåg inte och som fram</w:t>
      </w:r>
      <w:r w:rsidRPr="0008481A">
        <w:softHyphen/>
        <w:t>går av protokollet har ett sådant ärende inte heller varit föremål för nämn</w:t>
      </w:r>
      <w:r w:rsidRPr="0008481A">
        <w:softHyphen/>
        <w:t>dens handläggning. SBN beslutade också först, § 279/99 (bilaga 2 sid 5), att överklaga länsstyrelsens beslut och begära kammarrättens p</w:t>
      </w:r>
      <w:r w:rsidRPr="0008481A">
        <w:t>rövning av läns</w:t>
      </w:r>
      <w:r w:rsidRPr="0008481A">
        <w:softHyphen/>
        <w:t>styrelsens uppfattning. SBN återkallade emellertid överklagandet och be</w:t>
      </w:r>
      <w:r w:rsidRPr="0008481A">
        <w:softHyphen/>
        <w:t>slutade istället i § 304/99 (bilaga 2, sid 5) att återremittera ärendet för revi</w:t>
      </w:r>
      <w:r w:rsidRPr="0008481A">
        <w:softHyphen/>
        <w:t>dering av situationsplanen m m men framförallt för att nämnden sökte en så bra lösning som möjligt för alla parter utan formell prövning.</w:t>
      </w:r>
    </w:p>
    <w:p w:rsidR="003B3271" w:rsidRPr="0008481A" w:rsidRDefault="003B3271">
      <w:pPr>
        <w:pStyle w:val="Citatindrag"/>
      </w:pPr>
      <w:r w:rsidRPr="0008481A">
        <w:t>SBN beslutade 1999-10-27, § 450 (bilaga 2, sid 5), att bevilja bygglov, vil</w:t>
      </w:r>
      <w:r w:rsidRPr="0008481A">
        <w:softHyphen/>
        <w:t>ket helt överensstämmer med länsstyrelsens beslut.</w:t>
      </w:r>
    </w:p>
    <w:p w:rsidR="003B3271" w:rsidRPr="0008481A" w:rsidRDefault="003B3271">
      <w:pPr>
        <w:pStyle w:val="Citatindrag"/>
      </w:pPr>
      <w:r w:rsidRPr="0008481A">
        <w:t>Raymond Johansson anger i sin anmälan ett allmänt missnöje med hand</w:t>
      </w:r>
      <w:r w:rsidRPr="0008481A">
        <w:softHyphen/>
        <w:t>läggningen av ärendet och den tid det tagit, samt att nämnden inte direkt följt länsstyrelsens beslut. Rätten att överklaga kommunala beslut är en självklarhet i all lagstiftning men får naturligtvis till följd att om den utnytt</w:t>
      </w:r>
      <w:r w:rsidRPr="0008481A">
        <w:softHyphen/>
        <w:t>jas tar ärendena längre tid. Raymond Johansson har här själv nyttjat möjlig</w:t>
      </w:r>
      <w:r w:rsidRPr="0008481A">
        <w:softHyphen/>
        <w:t>heten och därmed bidragit till tidsutdräkten. Ärendet har från början varit komplicerat att handlägga inte minst på grund av bristen på samförstånd mellan grannarna. Byggnadsnämnden på sin tid och SBN har s</w:t>
      </w:r>
      <w:r w:rsidRPr="0008481A">
        <w:t>å långt möj</w:t>
      </w:r>
      <w:r w:rsidRPr="0008481A">
        <w:softHyphen/>
        <w:t>ligt sökt finna acceptabla lösningar för alla parter, inte minst för att söka fö</w:t>
      </w:r>
      <w:r w:rsidRPr="0008481A">
        <w:softHyphen/>
        <w:t>rekomma överklaganden. Samtidigt skall kraven för planering av ett område som är av riksintresse både för friluftsliv och kulturmiljövård, beläget nära gammal fiskelägesmiljö i Stocken, vara uppfyllda. Det är SBN:s uppfattning att sådan handläggning måste få ta sin tid.</w:t>
      </w:r>
    </w:p>
    <w:p w:rsidR="003B3271" w:rsidRPr="0008481A" w:rsidRDefault="003B3271">
      <w:pPr>
        <w:pStyle w:val="Citatindrag"/>
      </w:pPr>
      <w:r w:rsidRPr="0008481A">
        <w:t>Som framgår av protokollet har SBN följt de gällande reglerna i ett synner</w:t>
      </w:r>
      <w:r w:rsidRPr="0008481A">
        <w:softHyphen/>
        <w:t>ligen omständigt ärende där ändringarna varit många och många viljor varit inblandade.</w:t>
      </w:r>
    </w:p>
    <w:p w:rsidR="003B3271" w:rsidRPr="0008481A" w:rsidRDefault="003B3271">
      <w:r w:rsidRPr="0008481A">
        <w:t xml:space="preserve">I beslut den 24 maj 2000 anförde </w:t>
      </w:r>
      <w:r w:rsidRPr="0008481A">
        <w:rPr>
          <w:i/>
        </w:rPr>
        <w:t>JO Berggren</w:t>
      </w:r>
      <w:r w:rsidRPr="0008481A">
        <w:t xml:space="preserve"> följande.</w:t>
      </w:r>
    </w:p>
    <w:p w:rsidR="003B3271" w:rsidRPr="0008481A" w:rsidRDefault="003B3271">
      <w:pPr>
        <w:pStyle w:val="Rubrik3"/>
      </w:pPr>
      <w:r w:rsidRPr="0008481A">
        <w:t>Bedömning</w:t>
      </w:r>
    </w:p>
    <w:p w:rsidR="003B3271" w:rsidRPr="0008481A" w:rsidRDefault="003B3271">
      <w:r w:rsidRPr="0008481A">
        <w:t>Vid tiden för de i ärendet aktuella bygglovsansökningarna saknades det detaljplan för området. I sådant fall skall enligt 8 kap. 12 § plan- och bygglagen ansökningar om bygglov bifallas om åtgärden uppfyller kraven i 2 kap., inte skall föregås av detaljplaneläggning på grund av bestämmelserna i 5 kap. 1 §, inte strider mot om</w:t>
      </w:r>
      <w:r w:rsidRPr="0008481A">
        <w:softHyphen/>
        <w:t xml:space="preserve">rådesbestämmelser och uppfyller kraven i 3 kap. 1, 2 och 10–18 §§. De angivna lagrummen anger sålunda ramen för nämndens prövning i detta hänseende. </w:t>
      </w:r>
    </w:p>
    <w:p w:rsidR="003B3271" w:rsidRPr="0008481A" w:rsidRDefault="003B3271">
      <w:pPr>
        <w:pStyle w:val="Normaltindrag"/>
      </w:pPr>
      <w:r w:rsidRPr="0008481A">
        <w:t>Nämnden har uppenbarligen haft uppfattningen att det borde tillskapas ett slags skyddsområde mot den angränsande verksamheten (vandrarhemmet) samt att detta borde ske genom en detaljplaneläggning av området. Detta har också varit innebörden i beslutet den 25 juni 1996 med anledning av Raymond Johanssons bygglovsansökan. Nämnden har emellertid därefter med anl</w:t>
      </w:r>
      <w:r w:rsidRPr="0008481A">
        <w:t>edning av Stockens Teknikbane Klubbs bygglovsansökan avseende samma fastighet den 27 mars 1997 förklarat sig beredd att frångå kravet på detaljplan. Sistnämnda beslut har sedermera av länsstyrelsen bedömts som ett bindande förhandsbesked vid pröv</w:t>
      </w:r>
      <w:r w:rsidRPr="0008481A">
        <w:softHyphen/>
        <w:t>ningen av klubbens bygglovsansökan. Sedan länsstyrelsens beslut om återförvis</w:t>
      </w:r>
      <w:r w:rsidRPr="0008481A">
        <w:softHyphen/>
        <w:t>ning bl.a. på denna grund vunnit laga kraft har det därför enligt min mening inte varit möjligt för nämnden att i ärendet vidhålla kravet på detaljplane</w:t>
      </w:r>
      <w:r w:rsidRPr="0008481A">
        <w:softHyphen/>
        <w:t>läggning.</w:t>
      </w:r>
    </w:p>
    <w:p w:rsidR="003B3271" w:rsidRPr="0008481A" w:rsidRDefault="003B3271">
      <w:pPr>
        <w:pStyle w:val="Normaltindrag"/>
      </w:pPr>
      <w:r w:rsidRPr="0008481A">
        <w:t>Nämndens beslut den 25 f</w:t>
      </w:r>
      <w:r w:rsidRPr="0008481A">
        <w:t>ebruari 1998 har således meddelats på felaktiga grunder. Härutöver har nämnden på sätt som beskrivits i länsstyrelsens beslut den 30 juni 1999 i beslutet den 30 september 1998 ställt upp villkor rörande mark som inte ingick i det sökta bygglovet. Nämn</w:t>
      </w:r>
      <w:r w:rsidRPr="0008481A">
        <w:softHyphen/>
        <w:t>den har härigenom på ett anmärkningsvärt sätt avvikit från vad som har gällt för dess prövning. Jag ser mycket allvarligt på det inträf</w:t>
      </w:r>
      <w:r w:rsidRPr="0008481A">
        <w:softHyphen/>
        <w:t>fade men har ändock beslutat att låta det stanna vid den sålunda uttalade kritiken.</w:t>
      </w:r>
    </w:p>
    <w:p w:rsidR="003B3271" w:rsidRPr="0008481A" w:rsidRDefault="003B3271">
      <w:r w:rsidRPr="0008481A">
        <w:t>Vad beträffar övriga frågor har jag inte</w:t>
      </w:r>
      <w:r w:rsidRPr="0008481A">
        <w:t xml:space="preserve"> underlag för att hävda att stads</w:t>
      </w:r>
      <w:r w:rsidRPr="0008481A">
        <w:softHyphen/>
        <w:t>arkitekten haft sådant personligt intresse i saken att han kan anses ha varit jävig. Inte heller ger utredningen stöd för påståendet om otillåten bisyssla. Någon anledning till kritik i dessa delar föreligger därför inte.</w:t>
      </w:r>
    </w:p>
    <w:p w:rsidR="003B3271" w:rsidRPr="0008481A" w:rsidRDefault="003B3271">
      <w:pPr>
        <w:pStyle w:val="Rubrik2"/>
      </w:pPr>
      <w:r w:rsidRPr="0008481A">
        <w:t>Byggnadsnämnd har vidhållit ett krav på avgift enligt plan- och bygglagen, på annan grund än vad länsstyrelsen vid överprövning underkänt och för ett tillstånd som inte utgjort förhandsbesked eller någon annan i lagen före</w:t>
      </w:r>
      <w:r w:rsidRPr="0008481A">
        <w:softHyphen/>
        <w:t>skriven form av beslut. Serviceskyldighet med avseende på ansökningar om sådant tillstånd</w:t>
      </w:r>
    </w:p>
    <w:p w:rsidR="003B3271" w:rsidRPr="0008481A" w:rsidRDefault="003B3271">
      <w:r w:rsidRPr="0008481A">
        <w:t>(Dnr 1674-1999)</w:t>
      </w:r>
    </w:p>
    <w:p w:rsidR="003B3271" w:rsidRPr="0008481A" w:rsidRDefault="003B3271">
      <w:pPr>
        <w:pStyle w:val="Rubrik3"/>
      </w:pPr>
      <w:r w:rsidRPr="0008481A">
        <w:t>Bakgrund</w:t>
      </w:r>
    </w:p>
    <w:p w:rsidR="003B3271" w:rsidRPr="0008481A" w:rsidRDefault="003B3271">
      <w:pPr>
        <w:pStyle w:val="Rubrik4"/>
        <w:spacing w:before="120"/>
      </w:pPr>
      <w:r w:rsidRPr="0008481A">
        <w:t xml:space="preserve">Rättslig reglering </w:t>
      </w:r>
    </w:p>
    <w:p w:rsidR="003B3271" w:rsidRPr="0008481A" w:rsidRDefault="003B3271">
      <w:r w:rsidRPr="0008481A">
        <w:t>Plan- och bygglagen (1987:10, PBL) innehåller följande bestämmelser om för</w:t>
      </w:r>
      <w:r w:rsidRPr="0008481A">
        <w:softHyphen/>
        <w:t>hands</w:t>
      </w:r>
      <w:r w:rsidRPr="0008481A">
        <w:softHyphen/>
        <w:t xml:space="preserve">besked (8 kap. 34 §). </w:t>
      </w:r>
    </w:p>
    <w:p w:rsidR="003B3271" w:rsidRPr="0008481A" w:rsidRDefault="003B3271">
      <w:pPr>
        <w:pStyle w:val="Citat"/>
      </w:pPr>
      <w:r w:rsidRPr="0008481A">
        <w:t>På ansökan skall byggnadsnämnden ge förhandsbesked huruvida en åtgärd som kräver bygglov kan tillåtas på den avsedda platsen.</w:t>
      </w:r>
    </w:p>
    <w:p w:rsidR="003B3271" w:rsidRPr="0008481A" w:rsidRDefault="003B3271">
      <w:pPr>
        <w:pStyle w:val="Citatindrag"/>
      </w:pPr>
      <w:r w:rsidRPr="0008481A">
        <w:t>Meddelas det sökta tillståndet får bestämmas de villkor som behövs. Till</w:t>
      </w:r>
      <w:r w:rsidRPr="0008481A">
        <w:softHyphen/>
        <w:t>stån</w:t>
      </w:r>
      <w:r w:rsidRPr="0008481A">
        <w:softHyphen/>
        <w:t>det är bindande vid prövning av ansökan om bygglov som görs inom två år från dagen för beslutet.</w:t>
      </w:r>
    </w:p>
    <w:p w:rsidR="003B3271" w:rsidRPr="0008481A" w:rsidRDefault="003B3271">
      <w:pPr>
        <w:pStyle w:val="Normaltindrag"/>
      </w:pPr>
      <w:r w:rsidRPr="0008481A">
        <w:t>Görs inte ansökan om bygglov inom den tid som anges i andra stycket, upphör tillståndet att gälla. I beslutet om förhands</w:t>
      </w:r>
      <w:r w:rsidRPr="0008481A">
        <w:softHyphen/>
        <w:t>besked skall tas in en upplysning om detta. Sökanden skall också upplysas om att tillståndet inte medför rätt att påbörja den sökta åtgärden.</w:t>
      </w:r>
    </w:p>
    <w:p w:rsidR="003B3271" w:rsidRPr="0008481A" w:rsidRDefault="003B3271">
      <w:pPr>
        <w:pStyle w:val="Citatindrag"/>
      </w:pPr>
      <w:r w:rsidRPr="0008481A">
        <w:t>Bestämmelserna i 19–23 samt 25–28 §§ skall tillämpas i fråga om förhandsbesked.</w:t>
      </w:r>
    </w:p>
    <w:p w:rsidR="003B3271" w:rsidRPr="0008481A" w:rsidRDefault="003B3271">
      <w:r w:rsidRPr="0008481A">
        <w:t xml:space="preserve">Avgifter av det slag som anmälan rör regleras i 11 kap. 5 § PBL enligt följande. </w:t>
      </w:r>
    </w:p>
    <w:p w:rsidR="003B3271" w:rsidRPr="0008481A" w:rsidRDefault="003B3271">
      <w:r w:rsidRPr="0008481A">
        <w:t>Byggnadsnämnden får ta ut avgift i ärenden angående lov och förhands</w:t>
      </w:r>
      <w:r w:rsidRPr="0008481A">
        <w:softHyphen/>
        <w:t>besked och i ärenden som föranleds av en bygganmälan eller rivnings</w:t>
      </w:r>
      <w:r w:rsidRPr="0008481A">
        <w:softHyphen/>
        <w:t>anmälan enligt 9 kap. 2 § samt i andra ärenden som föranleder upprättande av nybyggnadskarta, ritningsgranskning, besiktning, framställning av arkiv</w:t>
      </w:r>
      <w:r w:rsidRPr="0008481A">
        <w:softHyphen/>
        <w:t>beständiga handlingar eller andra tids- eller kostnadskrävande åtgärder.</w:t>
      </w:r>
    </w:p>
    <w:p w:rsidR="003B3271" w:rsidRPr="0008481A" w:rsidRDefault="003B3271">
      <w:pPr>
        <w:pStyle w:val="Citatindrag"/>
      </w:pPr>
      <w:r w:rsidRPr="0008481A">
        <w:t>Byggnadsnämnden får dessutom, efter det att bygganmälan som avser åt</w:t>
      </w:r>
      <w:r w:rsidRPr="0008481A">
        <w:softHyphen/>
        <w:t>gärder som anges i 9 kap. 2 § första stycket 1 eller 2 inkommit avseende uppförande, tillbyggnad eller annan ändring av en byggnad eller annan anläggning, ta ut en planavgift för att täcka kostnaderna för sådana åtgärder som erfordras för att enligt denna lag upprätta eller ändra detaljplaner, om</w:t>
      </w:r>
      <w:r w:rsidRPr="0008481A">
        <w:softHyphen/>
        <w:t>rådes</w:t>
      </w:r>
      <w:r w:rsidRPr="0008481A">
        <w:softHyphen/>
        <w:t>bestämmelser och fastighetsplaner. Planavgift får tas ut endast om fastighetsägaren har nytta av planen eller bestäm</w:t>
      </w:r>
      <w:r w:rsidRPr="0008481A">
        <w:softHyphen/>
        <w:t>mel</w:t>
      </w:r>
      <w:r w:rsidRPr="0008481A">
        <w:softHyphen/>
        <w:t>serna.</w:t>
      </w:r>
    </w:p>
    <w:p w:rsidR="003B3271" w:rsidRPr="0008481A" w:rsidRDefault="003B3271">
      <w:pPr>
        <w:pStyle w:val="Citatindrag"/>
      </w:pPr>
      <w:r w:rsidRPr="0008481A">
        <w:t>Avgifterna får tas ut med högst det belopp som motsvarar kommunens genom</w:t>
      </w:r>
      <w:r w:rsidRPr="0008481A">
        <w:softHyphen/>
        <w:t>snittliga kostnad för åtgärderna. Grunderna för beräkning av avgifterna skall anges i en taxa som beslutas av kommun</w:t>
      </w:r>
      <w:r w:rsidRPr="0008481A">
        <w:softHyphen/>
        <w:t>fullmäktige.</w:t>
      </w:r>
    </w:p>
    <w:p w:rsidR="003B3271" w:rsidRPr="0008481A" w:rsidRDefault="003B3271">
      <w:pPr>
        <w:pStyle w:val="Citatindrag"/>
      </w:pPr>
      <w:r w:rsidRPr="0008481A">
        <w:t>Avgifterna tas ut av sökanden och får tas ut i förskott.</w:t>
      </w:r>
    </w:p>
    <w:p w:rsidR="003B3271" w:rsidRPr="0008481A" w:rsidRDefault="003B3271">
      <w:r w:rsidRPr="0008481A">
        <w:t xml:space="preserve">Som ett exempel på ”andra tids- eller kostnadskrävande åtgärder” som avses i paragrafens första stycke anges i lagens förarbeten skriftliga upplysningar som nämnden lämnar på begäran (11 kap. 2 § PBL, prop. 1985/86:1 s. 791 och 795). </w:t>
      </w:r>
    </w:p>
    <w:p w:rsidR="003B3271" w:rsidRPr="0008481A" w:rsidRDefault="003B3271">
      <w:pPr>
        <w:pStyle w:val="Rubrik4"/>
      </w:pPr>
      <w:r w:rsidRPr="0008481A">
        <w:t>Sakförhållandena</w:t>
      </w:r>
    </w:p>
    <w:p w:rsidR="003B3271" w:rsidRPr="0008481A" w:rsidRDefault="003B3271">
      <w:r w:rsidRPr="0008481A">
        <w:t>Av Länsstyrelsens i Kalmar län beslut den 4 december 1998 med anledning av Helena Nilssons överklagande (ärendet 204-5758-98) av ett av Miljö- och bygg</w:t>
      </w:r>
      <w:r w:rsidRPr="0008481A">
        <w:softHyphen/>
        <w:t xml:space="preserve">nadsnämnden i Mörbylånga kommun den 16 april 1997 (§ 45) fattat beslut om avgift för viss handläggning framgår bl.a. följande. </w:t>
      </w:r>
    </w:p>
    <w:p w:rsidR="003B3271" w:rsidRPr="0008481A" w:rsidRDefault="003B3271">
      <w:pPr>
        <w:pStyle w:val="Normaltindrag"/>
      </w:pPr>
      <w:r w:rsidRPr="0008481A">
        <w:t>Helena Nilsson framförde i en till miljö- och byggnadsnämnden den 23 januari 1996 inkommen ansökan om ”förhandsbesked”, utformad på en för ändamålet till</w:t>
      </w:r>
      <w:r w:rsidRPr="0008481A">
        <w:softHyphen/>
        <w:t>handa</w:t>
      </w:r>
      <w:r w:rsidRPr="0008481A">
        <w:softHyphen/>
        <w:t>hållen blankett, önskemål om att få bebygga en fastighet (Eriksöre 11:1) med 40–70 fri</w:t>
      </w:r>
      <w:r w:rsidRPr="0008481A">
        <w:softHyphen/>
        <w:t>tids</w:t>
      </w:r>
      <w:r w:rsidRPr="0008481A">
        <w:softHyphen/>
        <w:t>hus genom avstyckning av tomter av viss storlek. Hon ställde i ansökningen frågan huruvida tillstånd till planläggning av området kunde lämnas. Miljö- och byggnadsnämnden beslöt den 20 mars 1996 (§ 21) att mark</w:t>
      </w:r>
      <w:r w:rsidRPr="0008481A">
        <w:softHyphen/>
        <w:t>äga</w:t>
      </w:r>
      <w:r w:rsidRPr="0008481A">
        <w:softHyphen/>
        <w:t>ren eller eventuell exploatör fick tillstånd att på egen bekostnad upprätta detaljplan för om</w:t>
      </w:r>
      <w:r w:rsidRPr="0008481A">
        <w:softHyphen/>
        <w:t>rå</w:t>
      </w:r>
      <w:r w:rsidRPr="0008481A">
        <w:softHyphen/>
        <w:t>det. För handläggningen av det sålunda avslutade ärendet på</w:t>
      </w:r>
      <w:r w:rsidRPr="0008481A">
        <w:softHyphen/>
        <w:t>fördes Helena Nils</w:t>
      </w:r>
      <w:r w:rsidRPr="0008481A">
        <w:softHyphen/>
        <w:t>son en avgift på 7 480</w:t>
      </w:r>
      <w:r w:rsidRPr="0008481A">
        <w:t xml:space="preserve"> kr, avseende ”positivt förhandsbesked till planläggning”. Sedan hon begärt nedsättning av avgiften till 2 000 kr, beslöt nämnden den 16 ap</w:t>
      </w:r>
      <w:r w:rsidRPr="0008481A">
        <w:softHyphen/>
        <w:t>ril 1997 (§ 45) att vidhålla det påförda beloppet. – Helena Nils</w:t>
      </w:r>
      <w:r w:rsidRPr="0008481A">
        <w:softHyphen/>
      </w:r>
      <w:r w:rsidRPr="0008481A">
        <w:softHyphen/>
        <w:t>son överklagade hos länsstyrelsen detta beslut med yrkande att avgiften skulle helt undanröjas. Till stöd härför anförde hon bl.a. att hennes framställning i saken hade hanterats som ett initiativ till en detaljplan och inte som ett förhandsbesked till bygg</w:t>
      </w:r>
      <w:r w:rsidRPr="0008481A">
        <w:softHyphen/>
        <w:t>lov samt att förutsättningar för att enligt komm</w:t>
      </w:r>
      <w:r w:rsidRPr="0008481A">
        <w:t>unens taxa ta betalt för plan</w:t>
      </w:r>
      <w:r w:rsidRPr="0008481A">
        <w:softHyphen/>
        <w:t>arbeten inte förelåg i detta fall. – Nämnden anförde i ett yttrande bl.a. följan</w:t>
      </w:r>
      <w:r w:rsidRPr="0008481A">
        <w:softHyphen/>
        <w:t>de. Kommunen har inte för avsikt att genomföra planarbetet utan kommer även vid en eventuell fortsätt</w:t>
      </w:r>
      <w:r w:rsidRPr="0008481A">
        <w:softHyphen/>
        <w:t>ning av ärendet att se till att kostnadstäckning för kommu</w:t>
      </w:r>
      <w:r w:rsidRPr="0008481A">
        <w:softHyphen/>
        <w:t>nens insatser erläggs, innan kommunen påbörjar ett eventuellt arbete i ärendet. Om Helena Nilssons ansökan hade varit en begäran om att påbörja planarbe</w:t>
      </w:r>
      <w:r w:rsidRPr="0008481A">
        <w:softHyphen/>
        <w:t>te för området, skulle ett speciellt avtal ha upprättats för att reglera kommunens insa</w:t>
      </w:r>
      <w:r w:rsidRPr="0008481A">
        <w:t xml:space="preserve">tser och med ett belopp som hade varit klart högre än det nu påförda. </w:t>
      </w:r>
    </w:p>
    <w:p w:rsidR="003B3271" w:rsidRPr="0008481A" w:rsidRDefault="003B3271">
      <w:pPr>
        <w:pStyle w:val="Normaltindrag"/>
      </w:pPr>
      <w:r w:rsidRPr="0008481A">
        <w:t>Genom sitt beslut den 4 december 1998 undanröjde länsstyrelsen den Helena Nils</w:t>
      </w:r>
      <w:r w:rsidRPr="0008481A">
        <w:softHyphen/>
        <w:t xml:space="preserve">son påförda avgiften. I beslutets motivering anförs, efter ovan återgivna uppgifter om hennes framställning i det bakomliggande ärendet, följande. </w:t>
      </w:r>
    </w:p>
    <w:p w:rsidR="003B3271" w:rsidRPr="0008481A" w:rsidRDefault="003B3271">
      <w:pPr>
        <w:pStyle w:val="Citat"/>
      </w:pPr>
      <w:r w:rsidRPr="0008481A">
        <w:t xml:space="preserve">Enligt länsstyrelsen kan ansökan med hänsyn till sin lydelse inte uppfattas som en ansökan om förhandsbesked eller bygglov. </w:t>
      </w:r>
    </w:p>
    <w:p w:rsidR="003B3271" w:rsidRPr="0008481A" w:rsidRDefault="003B3271">
      <w:pPr>
        <w:pStyle w:val="Citatindrag"/>
      </w:pPr>
      <w:r w:rsidRPr="0008481A">
        <w:t>Enligt 11 kap 5 § plan- och bygglagen (PBL) får byggnadsnämnden ta ut avgift bl.a. i ärenden angående lov och förhandsbesked. Med förhands</w:t>
      </w:r>
      <w:r w:rsidRPr="0008481A">
        <w:softHyphen/>
        <w:t>besked avses härmed den i 8 kap 34 § reglerade möjligheten för byggnads</w:t>
      </w:r>
      <w:r w:rsidRPr="0008481A">
        <w:softHyphen/>
        <w:t xml:space="preserve">nämnden att ge förhandsbesked huruvida en åtgärd som kräver bygglov kan tillåtas på platsen. </w:t>
      </w:r>
    </w:p>
    <w:p w:rsidR="003B3271" w:rsidRPr="0008481A" w:rsidRDefault="003B3271">
      <w:pPr>
        <w:pStyle w:val="Citatindrag"/>
      </w:pPr>
      <w:r w:rsidRPr="0008481A">
        <w:t>Eftersom det av miljö- och byggnadsnämnden fattade beslutet uppenbart inte är ett sådant besked som avses i 8 kap 34 §, kan avgift inte tas ut på det sätt nämnden redovisat.</w:t>
      </w:r>
    </w:p>
    <w:p w:rsidR="003B3271" w:rsidRPr="0008481A" w:rsidRDefault="003B3271">
      <w:pPr>
        <w:pStyle w:val="Citatindrag"/>
      </w:pPr>
      <w:r w:rsidRPr="0008481A">
        <w:t>Lämnas efter upprättande av plan bygglov för uppförande, tillbyggnad eller ombyggnad av en bygg</w:t>
      </w:r>
      <w:r w:rsidRPr="0008481A">
        <w:softHyphen/>
        <w:t>nad eller annan anläggning, får byggnads</w:t>
      </w:r>
      <w:r w:rsidRPr="0008481A">
        <w:softHyphen/>
        <w:t>nämnden dessutom ta ut en planavgift för att täcka kostnader för sådana åtgärder som erfordras för att enligt denna lag upprätta eller ändra bl.a. detalj</w:t>
      </w:r>
      <w:r w:rsidRPr="0008481A">
        <w:softHyphen/>
        <w:t>planer. Grun</w:t>
      </w:r>
      <w:r w:rsidRPr="0008481A">
        <w:softHyphen/>
      </w:r>
      <w:r w:rsidRPr="0008481A">
        <w:softHyphen/>
        <w:t>der</w:t>
      </w:r>
      <w:r w:rsidRPr="0008481A">
        <w:softHyphen/>
        <w:t>na för beräkning av avgifterna skall anges i en taxa som beslutas av kommun</w:t>
      </w:r>
      <w:r w:rsidRPr="0008481A">
        <w:softHyphen/>
        <w:t>fullmäk</w:t>
      </w:r>
      <w:r w:rsidRPr="0008481A">
        <w:softHyphen/>
        <w:t>tige. Avgifterna tas ut av sökanden och får tas ut i förskott.</w:t>
      </w:r>
    </w:p>
    <w:p w:rsidR="003B3271" w:rsidRPr="0008481A" w:rsidRDefault="003B3271">
      <w:pPr>
        <w:pStyle w:val="Citatindrag"/>
      </w:pPr>
      <w:r w:rsidRPr="0008481A">
        <w:t>Om kommunen önskar täcka sina kostnader för upprättande av detaljplan på annat sätt än det som lagen anger, återstår att träffa ett civilrättsligt avta</w:t>
      </w:r>
      <w:r w:rsidRPr="0008481A">
        <w:t>l här</w:t>
      </w:r>
      <w:r w:rsidRPr="0008481A">
        <w:softHyphen/>
        <w:t xml:space="preserve">om med exploatören. </w:t>
      </w:r>
    </w:p>
    <w:p w:rsidR="003B3271" w:rsidRPr="0008481A" w:rsidRDefault="003B3271">
      <w:pPr>
        <w:pStyle w:val="Citatindrag"/>
      </w:pPr>
      <w:r w:rsidRPr="0008481A">
        <w:t>Länsstyrelsen konstaterar att frågan om uttagande av planavgift enligt 11 kap 5 § PBL inte är aktuell. Något avtal som reglerar fördelningen av kostnaderna för en eventuell kommande plan</w:t>
      </w:r>
      <w:r w:rsidRPr="0008481A">
        <w:softHyphen/>
        <w:t>läggning mellan kommunen och markägaren/exploatören förelåg inte vid tiden för det överklagade beslutet. Länsstyrelsen finner därför att byggnadsnämnden inte heller på denna grund har stöd för sitt beslut att påföra Nilsson den aktuella avgiften. Den möjlighet som finns i 11 kap 5 § att i andra fall för vissa tids- och kost</w:t>
      </w:r>
      <w:r w:rsidRPr="0008481A">
        <w:softHyphen/>
        <w:t>nadskrävande åtgärder uttaga avgift har inte åberopats av kommunen. Över</w:t>
      </w:r>
      <w:r w:rsidRPr="0008481A">
        <w:softHyphen/>
        <w:t>klagandet skall därför bifallas.</w:t>
      </w:r>
    </w:p>
    <w:p w:rsidR="003B3271" w:rsidRPr="0008481A" w:rsidRDefault="003B3271">
      <w:r w:rsidRPr="0008481A">
        <w:t>I en som Betalningskrav rubricerad skrivelse till Helena Nilsson den 5 mars 199</w:t>
      </w:r>
      <w:r w:rsidRPr="0008481A">
        <w:t>9 hänvisade miljö- och byggnadschefen till den del av motiveringen i länsstyrelsens ovan redovisade beslut som berör möjligheten att enligt nämnt lagrum ta ut avgift för andra tids- eller kostnadskrävande åtgärder än där särskilt angetts. Han fort</w:t>
      </w:r>
      <w:r w:rsidRPr="0008481A">
        <w:softHyphen/>
        <w:t>satte:</w:t>
      </w:r>
    </w:p>
    <w:p w:rsidR="003B3271" w:rsidRPr="0008481A" w:rsidRDefault="003B3271">
      <w:pPr>
        <w:pStyle w:val="Citat"/>
      </w:pPr>
      <w:r w:rsidRPr="0008481A">
        <w:t>– – – Fastigheten har 1998-03-20 övergått till annan ägare för en köpeskil</w:t>
      </w:r>
      <w:r w:rsidRPr="0008481A">
        <w:softHyphen/>
        <w:t xml:space="preserve">ling av 325 000 kr. Man kan anta att det besked som kommunen lämnat rörande en förväntad planläggning kan ha påverkat den prissättning som skett i samband med överlåtelsen. Sålunda bedömer undertecknad att det besked som Ni erhållit i anledning av Er förfrågan varit till gagn för Er. </w:t>
      </w:r>
    </w:p>
    <w:p w:rsidR="003B3271" w:rsidRPr="0008481A" w:rsidRDefault="003B3271">
      <w:pPr>
        <w:pStyle w:val="Citatindrag"/>
      </w:pPr>
      <w:r w:rsidRPr="0008481A">
        <w:t xml:space="preserve">Med hänvisning till ovanstående och med stöd av 11 kap – – – hemställer undertecknad att Ni betalar den avgift på 7 480 kr som härmed debiteras Er. Avgiften motsvarar de kostnader som Er förfrågan föranlett kommunen. </w:t>
      </w:r>
    </w:p>
    <w:p w:rsidR="003B3271" w:rsidRPr="0008481A" w:rsidRDefault="003B3271">
      <w:r w:rsidRPr="0008481A">
        <w:t>I en skrivelse till Helena Nilsson den 9 april 1999 framställde miljö- och bygg</w:t>
      </w:r>
      <w:r w:rsidRPr="0008481A">
        <w:softHyphen/>
        <w:t>nads</w:t>
      </w:r>
      <w:r w:rsidRPr="0008481A">
        <w:softHyphen/>
        <w:t>chefen betalningskravet ånyo, med anledning av att hon hade återsänt det förra. Han upprepade därvid hänvisningen till länsstyrelsens beslut och tillade:</w:t>
      </w:r>
    </w:p>
    <w:p w:rsidR="003B3271" w:rsidRPr="0008481A" w:rsidRDefault="003B3271">
      <w:pPr>
        <w:pStyle w:val="Citat"/>
      </w:pPr>
      <w:r w:rsidRPr="0008481A">
        <w:t>Det nya betalningskrav som Du nu erhållit grundar sig på denna möjlighet. Tyvärr var det ej möjligt att föra in hänvisningen till denna § i en pågående överprövning varför vi tvingades att ta om det hela från början. Så nu har ärendet börjat rulla igen och förhoppningsvis väljer Du denna gång att beta</w:t>
      </w:r>
      <w:r w:rsidRPr="0008481A">
        <w:softHyphen/>
        <w:t>la den avgift vi fakturerat Dig så vi slipper utnyttja kronofogde</w:t>
      </w:r>
      <w:r w:rsidRPr="0008481A">
        <w:softHyphen/>
        <w:t>myndig</w:t>
      </w:r>
      <w:r w:rsidRPr="0008481A">
        <w:softHyphen/>
        <w:t>heten och tings</w:t>
      </w:r>
      <w:r w:rsidRPr="0008481A">
        <w:softHyphen/>
        <w:t xml:space="preserve">rätten m.fl. </w:t>
      </w:r>
    </w:p>
    <w:p w:rsidR="003B3271" w:rsidRPr="0008481A" w:rsidRDefault="003B3271">
      <w:pPr>
        <w:pStyle w:val="Citatindrag"/>
      </w:pPr>
      <w:r w:rsidRPr="0008481A">
        <w:t>Att kommunen hanterat Ditt ärende och att det givit ett positivt resultat torde stå utom alla tvivel.</w:t>
      </w:r>
    </w:p>
    <w:p w:rsidR="003B3271" w:rsidRPr="0008481A" w:rsidRDefault="003B3271">
      <w:pPr>
        <w:pStyle w:val="Citat"/>
      </w:pPr>
      <w:r w:rsidRPr="0008481A">
        <w:t>– – –</w:t>
      </w:r>
    </w:p>
    <w:p w:rsidR="003B3271" w:rsidRPr="0008481A" w:rsidRDefault="003B3271">
      <w:pPr>
        <w:pStyle w:val="Rubrik3"/>
      </w:pPr>
      <w:r w:rsidRPr="0008481A">
        <w:t>Anmälan</w:t>
      </w:r>
    </w:p>
    <w:p w:rsidR="003B3271" w:rsidRPr="0008481A" w:rsidRDefault="003B3271">
      <w:r w:rsidRPr="0008481A">
        <w:t>Efter att ha nämnt kommunens första krav och länsstyrelsens beslut, vari</w:t>
      </w:r>
      <w:r w:rsidRPr="0008481A">
        <w:softHyphen/>
        <w:t>genom av</w:t>
      </w:r>
      <w:r w:rsidRPr="0008481A">
        <w:softHyphen/>
        <w:t>gift undanröjts, anförde Helena Nilsson hos JO följande.</w:t>
      </w:r>
    </w:p>
    <w:p w:rsidR="003B3271" w:rsidRPr="0008481A" w:rsidRDefault="003B3271">
      <w:pPr>
        <w:pStyle w:val="Citat"/>
      </w:pPr>
      <w:r w:rsidRPr="0008481A">
        <w:t>Mats Lindahl, i egenskap av Miljö- och byggnadschef har nu för andra gång</w:t>
      </w:r>
      <w:r w:rsidRPr="0008481A">
        <w:softHyphen/>
        <w:t>en i år åter fakturerat mig för samma gamla ärendehandläggningen och nämndsbeslutet från 1996, som avgjorts av Läns</w:t>
      </w:r>
      <w:r w:rsidRPr="0008481A">
        <w:softHyphen/>
        <w:t>styrelsen till min fördel. Han saknar m a o helt fog för sin fordran. Samtidigt hotar han mig nu med ”kronofogde och tingsrätt, m fl” om jag inte efterkommer hans krav.</w:t>
      </w:r>
    </w:p>
    <w:p w:rsidR="003B3271" w:rsidRPr="0008481A" w:rsidRDefault="003B3271">
      <w:pPr>
        <w:pStyle w:val="Packad"/>
      </w:pPr>
    </w:p>
    <w:p w:rsidR="003B3271" w:rsidRPr="0008481A" w:rsidRDefault="003B3271">
      <w:pPr>
        <w:pStyle w:val="Citatindrag"/>
      </w:pPr>
      <w:r w:rsidRPr="0008481A">
        <w:t>Den första fakturan återsänder jag i mars med ett följebrev till Miljö- och byggnadsnämnden, men jag är osäker om nämnden har fått handlingen på sitt bord. I vart fall har jag inte fått mig ett nämnds</w:t>
      </w:r>
      <w:r w:rsidRPr="0008481A">
        <w:softHyphen/>
        <w:t xml:space="preserve">beslut till del som skulle styrka Lindahls vidare agerande. </w:t>
      </w:r>
    </w:p>
    <w:p w:rsidR="003B3271" w:rsidRPr="0008481A" w:rsidRDefault="003B3271">
      <w:pPr>
        <w:pStyle w:val="Citatindrag"/>
      </w:pPr>
      <w:r w:rsidRPr="0008481A">
        <w:t>Jag har nu returnerat senaste kravfaktura med ytterligare ett följebrev och även tillskrivit Kom</w:t>
      </w:r>
      <w:r w:rsidRPr="0008481A">
        <w:softHyphen/>
        <w:t>mun</w:t>
      </w:r>
      <w:r w:rsidRPr="0008481A">
        <w:softHyphen/>
        <w:t>styrelsens ordförande med en anhållan om att Kommun</w:t>
      </w:r>
      <w:r w:rsidRPr="0008481A">
        <w:softHyphen/>
        <w:t>styrelsen må vidta åtgärder mot Lin</w:t>
      </w:r>
      <w:r w:rsidRPr="0008481A">
        <w:softHyphen/>
        <w:t>dahls sätt att agera och att jag slipper blir hotat av kommunens tjänsteman.</w:t>
      </w:r>
    </w:p>
    <w:p w:rsidR="003B3271" w:rsidRPr="0008481A" w:rsidRDefault="003B3271">
      <w:pPr>
        <w:pStyle w:val="Citatindrag"/>
      </w:pPr>
      <w:r w:rsidRPr="0008481A">
        <w:t>Jag anhåller att Justitieombudsmannen i första hand granskar tjänsteman</w:t>
      </w:r>
      <w:r w:rsidRPr="0008481A">
        <w:softHyphen/>
        <w:t>nens agerande efter Läns</w:t>
      </w:r>
      <w:r w:rsidRPr="0008481A">
        <w:softHyphen/>
        <w:t>styrelsens upphävande av Miljö- och byggnads</w:t>
      </w:r>
      <w:r w:rsidRPr="0008481A">
        <w:softHyphen/>
        <w:t xml:space="preserve">nämndens beslut och vidare granskar kommunens handläggningen av ärendet i sin helhet. </w:t>
      </w:r>
    </w:p>
    <w:p w:rsidR="003B3271" w:rsidRPr="0008481A" w:rsidRDefault="003B3271">
      <w:pPr>
        <w:pStyle w:val="Rubrik3"/>
      </w:pPr>
      <w:r w:rsidRPr="0008481A">
        <w:t xml:space="preserve">Utredning </w:t>
      </w:r>
    </w:p>
    <w:p w:rsidR="003B3271" w:rsidRPr="0008481A" w:rsidRDefault="003B3271">
      <w:r w:rsidRPr="0008481A">
        <w:t>Genom remiss begärdes från miljö- och byggnadsnämnden yttrande angåen</w:t>
      </w:r>
      <w:r w:rsidRPr="0008481A">
        <w:softHyphen/>
        <w:t>de handläggningen efter det att länsstyrelsen upphävt det överklagade beslutet. I sitt svar anförde nämnden bl.a. följande.</w:t>
      </w:r>
    </w:p>
    <w:p w:rsidR="003B3271" w:rsidRPr="0008481A" w:rsidRDefault="003B3271">
      <w:pPr>
        <w:pStyle w:val="Citat"/>
      </w:pPr>
      <w:r w:rsidRPr="0008481A">
        <w:t>Helena Nilsson inkom 1996-01-23 med en ansökan om förhandsbesked om avstyckning för ett område för framtida planläggning för fritidsbebyggelse. Ärendet har handlagts via plangrupp, hörande av grannar, besiktningar av handläggare samt arbetsutskott med mera enligt de rutiner som finns röran</w:t>
      </w:r>
      <w:r w:rsidRPr="0008481A">
        <w:softHyphen/>
        <w:t>de vår handläggning.</w:t>
      </w:r>
    </w:p>
    <w:p w:rsidR="003B3271" w:rsidRPr="0008481A" w:rsidRDefault="003B3271">
      <w:pPr>
        <w:pStyle w:val="Citatindrag"/>
      </w:pPr>
      <w:r w:rsidRPr="0008481A">
        <w:t>Miljö- och byggnadsnämnden beslöt 1996-03-20 att markägaren eller even</w:t>
      </w:r>
      <w:r w:rsidRPr="0008481A">
        <w:softHyphen/>
        <w:t>tuell exploatör får till</w:t>
      </w:r>
      <w:r w:rsidRPr="0008481A">
        <w:softHyphen/>
        <w:t>stånd att på egen bekostnad upprätta detaljplan för om</w:t>
      </w:r>
      <w:r w:rsidRPr="0008481A">
        <w:softHyphen/>
        <w:t xml:space="preserve">rådet. Helena Nilsson fakturerades en avgift på kronor 7 480:- för det arbete som lagts ner i ärendet. Den taxa som antagits och tillämpas bygger på att sådan här ärendehantering skall kostnadstäckas av intressenten.  – – – </w:t>
      </w:r>
    </w:p>
    <w:p w:rsidR="003B3271" w:rsidRPr="0008481A" w:rsidRDefault="003B3271">
      <w:pPr>
        <w:pStyle w:val="Citatindrag"/>
      </w:pPr>
      <w:r w:rsidRPr="0008481A">
        <w:t>Den fakturering som skett i ärendet bygger på en taxa som antagits av kommunfullmäktige 1995-06-19 § 73 bygger på en av Kommunförbundet framtagen taxa som har som mål att eventuella sökanden eller exploatör</w:t>
      </w:r>
      <w:r w:rsidRPr="0008481A">
        <w:t>er skall täcka kommunens kostnader i samband med hanteringen av deras ärenden. Avgiften i det nu aktuella fallet är framtagen för att täcka dessa kostnader. Det betal</w:t>
      </w:r>
      <w:r w:rsidRPr="0008481A">
        <w:softHyphen/>
        <w:t>nings</w:t>
      </w:r>
      <w:r w:rsidRPr="0008481A">
        <w:softHyphen/>
        <w:t>krav som översändes till Helena Nilsson 1999-03-05 av miljö- och byggnadschefen hänvisar, med hänsyn till länsstyrel</w:t>
      </w:r>
      <w:r w:rsidRPr="0008481A">
        <w:softHyphen/>
        <w:t>sens beslut, till 11 kap 5 § första stycket i PBL helt i enlighet med läns</w:t>
      </w:r>
      <w:r w:rsidRPr="0008481A">
        <w:softHyphen/>
        <w:t xml:space="preserve">styrelsens upplysning i sitt beslut. – – – </w:t>
      </w:r>
    </w:p>
    <w:p w:rsidR="003B3271" w:rsidRPr="0008481A" w:rsidRDefault="003B3271">
      <w:pPr>
        <w:pStyle w:val="Citatindrag"/>
      </w:pPr>
      <w:r w:rsidRPr="0008481A">
        <w:t>Miljö- och byggnadschefen har handlagt och vidtagit åtgärder helt i enlighet med nämndens vilja. Ärende</w:t>
      </w:r>
      <w:r w:rsidRPr="0008481A">
        <w:t xml:space="preserve">ts fortskridande har kontinuerligt rapporterats under ärenden för kännedom vid nämndens sammanträden. </w:t>
      </w:r>
    </w:p>
    <w:p w:rsidR="003B3271" w:rsidRPr="0008481A" w:rsidRDefault="003B3271">
      <w:pPr>
        <w:pStyle w:val="Citatindrag"/>
      </w:pPr>
      <w:r w:rsidRPr="0008481A">
        <w:t>Enligt nämndens uppfattning är det självklart att en sökande eller exploatör skall svara för de kost</w:t>
      </w:r>
      <w:r w:rsidRPr="0008481A">
        <w:softHyphen/>
        <w:t>nader som denne orsakat kommunen i samband med en ärendehantering. Speciellt i Nilssons fall är detta självklart då Nilsson haft klar fördel av nämndens beslut i samband med en fastighets</w:t>
      </w:r>
      <w:r w:rsidRPr="0008481A">
        <w:softHyphen/>
        <w:t>affär. Enligt nämnden är det viktigt att den sökande eller exploatören svarar för sina kost</w:t>
      </w:r>
      <w:r w:rsidRPr="0008481A">
        <w:softHyphen/>
        <w:t>nader så att inte skattemedel används för hanteringen av sådana här ärenden. Något hot från miljö- och bygg</w:t>
      </w:r>
      <w:r w:rsidRPr="0008481A">
        <w:softHyphen/>
        <w:t>nadschefen i ärendet kan nämnden inte ut</w:t>
      </w:r>
      <w:r w:rsidRPr="0008481A">
        <w:softHyphen/>
        <w:t>läsa. Snarare är det Nilsson som hotat i samband med sin skrivelse till kom</w:t>
      </w:r>
      <w:r w:rsidRPr="0008481A">
        <w:softHyphen/>
        <w:t>mun</w:t>
      </w:r>
      <w:r w:rsidRPr="0008481A">
        <w:softHyphen/>
        <w:t>st</w:t>
      </w:r>
      <w:r w:rsidRPr="0008481A">
        <w:t xml:space="preserve">yrelsens ordförande 1999-04-21, där hon just hotar med att göra en JO anmälan. – – – </w:t>
      </w:r>
    </w:p>
    <w:p w:rsidR="003B3271" w:rsidRPr="0008481A" w:rsidRDefault="003B3271">
      <w:pPr>
        <w:pStyle w:val="Packad"/>
      </w:pPr>
    </w:p>
    <w:p w:rsidR="003B3271" w:rsidRPr="0008481A" w:rsidRDefault="003B3271">
      <w:pPr>
        <w:pStyle w:val="Citatindrag"/>
      </w:pPr>
      <w:r w:rsidRPr="0008481A">
        <w:t xml:space="preserve">Miljö- och byggnadsnämnden ställer sig med hänvisning till ovanstående helt bakom miljö- och byggnadschefens agerande. </w:t>
      </w:r>
    </w:p>
    <w:p w:rsidR="003B3271" w:rsidRPr="0008481A" w:rsidRDefault="003B3271">
      <w:r w:rsidRPr="0008481A">
        <w:t>Helena Nilsson yttrade sig över miljö- och byggnadsnämndens remissvar och an</w:t>
      </w:r>
      <w:r w:rsidRPr="0008481A">
        <w:softHyphen/>
        <w:t>förde då bl.a. följande.</w:t>
      </w:r>
    </w:p>
    <w:p w:rsidR="003B3271" w:rsidRPr="0008481A" w:rsidRDefault="003B3271">
      <w:pPr>
        <w:pStyle w:val="Citat"/>
      </w:pPr>
      <w:r w:rsidRPr="0008481A">
        <w:t>I yttrandet argumenterar nämnden i huvudsak kring det rättmätiga huruvida kommunen kan ta betalt för en viss ärendehantering eller inte. Den saken är för min del utagerad. Länsstyrelsen har med hänsyn till gällande Plan- och bygglagstiftning samt med beaktande av kommunens taxa upp</w:t>
      </w:r>
      <w:r w:rsidRPr="0008481A">
        <w:softHyphen/>
        <w:t>hävt det fel</w:t>
      </w:r>
      <w:r w:rsidRPr="0008481A">
        <w:softHyphen/>
        <w:t>akti</w:t>
      </w:r>
      <w:r w:rsidRPr="0008481A">
        <w:softHyphen/>
        <w:t>ga beslutet och samtidigt undanröjt den mig påförda avgiften. Läns</w:t>
      </w:r>
      <w:r w:rsidRPr="0008481A">
        <w:softHyphen/>
        <w:t>sty</w:t>
      </w:r>
      <w:r w:rsidRPr="0008481A">
        <w:softHyphen/>
        <w:t>rel</w:t>
      </w:r>
      <w:r w:rsidRPr="0008481A">
        <w:softHyphen/>
        <w:t>sens beslut har inte överklagats och sålunda vunnit laga kraft.</w:t>
      </w:r>
    </w:p>
    <w:p w:rsidR="003B3271" w:rsidRPr="0008481A" w:rsidRDefault="003B3271">
      <w:pPr>
        <w:pStyle w:val="Citatindrag"/>
      </w:pPr>
      <w:r w:rsidRPr="0008481A">
        <w:t>Det är främst Lindahls agerande efter länsstyrelsens beslut och på vilket sätt han gör det, som jag vänder mig emot. När han utan stöd av ett förnyat nämnds</w:t>
      </w:r>
      <w:r w:rsidRPr="0008481A">
        <w:softHyphen/>
        <w:t xml:space="preserve">beslut och utan besvärshänvisning och endast med hänvisning till det tidigare upphävda beslutet kräver mig på det undanröjda beloppet. </w:t>
      </w:r>
    </w:p>
    <w:p w:rsidR="003B3271" w:rsidRPr="0008481A" w:rsidRDefault="003B3271">
      <w:pPr>
        <w:pStyle w:val="Citat"/>
      </w:pPr>
      <w:r w:rsidRPr="0008481A">
        <w:t xml:space="preserve">– – – </w:t>
      </w:r>
    </w:p>
    <w:p w:rsidR="003B3271" w:rsidRPr="0008481A" w:rsidRDefault="003B3271">
      <w:pPr>
        <w:pStyle w:val="Citat"/>
      </w:pPr>
      <w:r w:rsidRPr="0008481A">
        <w:t>Vidare finner jag det beklämmande att nämnden i sitt yttrande återigen vid</w:t>
      </w:r>
      <w:r w:rsidRPr="0008481A">
        <w:softHyphen/>
        <w:t>håller att köpeskilling</w:t>
      </w:r>
      <w:r w:rsidRPr="0008481A">
        <w:softHyphen/>
        <w:t>ens storlek vid det senare ägarbytet av berörd fastighet skulle vara ett särskilt skäl för denna särbehandling.</w:t>
      </w:r>
    </w:p>
    <w:p w:rsidR="003B3271" w:rsidRPr="0008481A" w:rsidRDefault="003B3271">
      <w:pPr>
        <w:pStyle w:val="Citat"/>
      </w:pPr>
      <w:r w:rsidRPr="0008481A">
        <w:t xml:space="preserve">– – – </w:t>
      </w:r>
    </w:p>
    <w:p w:rsidR="003B3271" w:rsidRPr="0008481A" w:rsidRDefault="003B3271">
      <w:r w:rsidRPr="0008481A">
        <w:t>Sedan Mörbylånga kommun vid Kalmar tingsrätt hade yrkat förpliktande för Helena Nilsson att till kommunen utge avgiften i fråga, ogillades käromålet genom en dom den 1 februari 2000 (FT 1395-98). Enligt domen hade kommunen som grund för yrkandet angett ”positivt förhandsbesked plan</w:t>
      </w:r>
      <w:r w:rsidRPr="0008481A">
        <w:softHyphen/>
        <w:t>läggning med räkningsnummer – – – ”. Domskälen var följande.</w:t>
      </w:r>
    </w:p>
    <w:p w:rsidR="003B3271" w:rsidRPr="0008481A" w:rsidRDefault="003B3271">
      <w:pPr>
        <w:pStyle w:val="Citat"/>
      </w:pPr>
      <w:r w:rsidRPr="0008481A">
        <w:t xml:space="preserve">Länsstyrelsen i Kalmar län har genom beslut 1998-12-04 upphävt det beslut som kommunens yrkande hänför sig till och undanröjt den Helena Nilsson påförda avgiften. Helena Nilsson har obestritt uppgivit att beslutet vunnit laga kraft. Käromålet kan därför inte bifallas.  </w:t>
      </w:r>
    </w:p>
    <w:p w:rsidR="003B3271" w:rsidRPr="0008481A" w:rsidRDefault="003B3271">
      <w:r w:rsidRPr="0008481A">
        <w:t xml:space="preserve">I ett beslut den 2 mars 2000 anförde </w:t>
      </w:r>
      <w:r w:rsidRPr="0008481A">
        <w:rPr>
          <w:i/>
        </w:rPr>
        <w:t>JO Berggren</w:t>
      </w:r>
      <w:r w:rsidRPr="0008481A">
        <w:t xml:space="preserve"> följande.</w:t>
      </w:r>
    </w:p>
    <w:p w:rsidR="003B3271" w:rsidRPr="0008481A" w:rsidRDefault="003B3271">
      <w:pPr>
        <w:pStyle w:val="Rubrik3"/>
      </w:pPr>
      <w:r w:rsidRPr="0008481A">
        <w:t xml:space="preserve">Bedömning </w:t>
      </w:r>
    </w:p>
    <w:p w:rsidR="003B3271" w:rsidRPr="0008481A" w:rsidRDefault="003B3271">
      <w:r w:rsidRPr="0008481A">
        <w:t>En granskning genom JO är inte avsedd att ersätta den prövning som kan ske i ordinarie instanser, och JO bör inte heller föregripa sådan prövning. JO:s tillsyn utövas vidare enligt följande.</w:t>
      </w:r>
    </w:p>
    <w:p w:rsidR="003B3271" w:rsidRPr="0008481A" w:rsidRDefault="003B3271">
      <w:pPr>
        <w:pStyle w:val="Normaltindrag"/>
      </w:pPr>
      <w:r w:rsidRPr="0008481A">
        <w:t>JO:s huvuduppgift är att granska att myndigheter och andra som står under JO:s tillsyn följer lagar och andra författningar i sin verksamhet. Syftet med denna granskning är i första hand att undersöka om myndigheterna har handlat enligt gällande regler för förf</w:t>
      </w:r>
      <w:r w:rsidRPr="0008481A">
        <w:t>a</w:t>
      </w:r>
      <w:r w:rsidRPr="0008481A">
        <w:t>randet. Däremot brukar JO inte ta ställning till om ett beslut är riktigt i sak. JO tar upp sakfrågor till utredning bara när ett beslut direkt strider mot en lag eller annan författning eller annars framstår som uppenbart fe</w:t>
      </w:r>
      <w:r w:rsidRPr="0008481A">
        <w:t>l</w:t>
      </w:r>
      <w:r w:rsidRPr="0008481A">
        <w:t xml:space="preserve">aktigt. </w:t>
      </w:r>
    </w:p>
    <w:p w:rsidR="003B3271" w:rsidRPr="0008481A" w:rsidRDefault="003B3271">
      <w:pPr>
        <w:pStyle w:val="Normaltindrag"/>
      </w:pPr>
      <w:r w:rsidRPr="0008481A">
        <w:t>Mot bakgrund av nu nämnda inriktning av JO:s tillsyn och då frågan om avgifts</w:t>
      </w:r>
      <w:r w:rsidRPr="0008481A">
        <w:softHyphen/>
        <w:t>skyldighet i det förevarande fallet har prövats – och möjligen kan komma att ytterligare prövas – av högre förvaltningsmyndighet och allmän domstol, begrän</w:t>
      </w:r>
      <w:r w:rsidRPr="0008481A">
        <w:softHyphen/>
        <w:t>sar jag mina uttalanden enligt vad som framgår av det följande.</w:t>
      </w:r>
    </w:p>
    <w:p w:rsidR="003B3271" w:rsidRPr="0008481A" w:rsidRDefault="003B3271">
      <w:pPr>
        <w:pStyle w:val="Normaltindrag"/>
      </w:pPr>
      <w:r w:rsidRPr="0008481A">
        <w:t>Avgiftsfrågan i det första skedet har som framgått överprövats i ordinarie instans i det förvaltningsrättsliga förfarandet, av länsstyrelsen. Vad gäller den följande hand</w:t>
      </w:r>
      <w:r w:rsidRPr="0008481A">
        <w:softHyphen/>
        <w:t>läggningen har Helena Nilsson gjort gällande att frågan om hennes skyldig</w:t>
      </w:r>
      <w:r w:rsidRPr="0008481A">
        <w:softHyphen/>
        <w:t>het att betala avgiften har avgjorts slutligt genom länsstyrel</w:t>
      </w:r>
      <w:r w:rsidRPr="0008481A">
        <w:softHyphen/>
        <w:t>sens icke överklagade beslut, och hon har anmärkt att – såsom hon torde vara att förstå – nämnden inte i ordinarie sammansättning har fattat ett nytt beslut i frågan, innan denna drevs vidare efter länsstyrelsens beslut.</w:t>
      </w:r>
    </w:p>
    <w:p w:rsidR="003B3271" w:rsidRPr="0008481A" w:rsidRDefault="003B3271">
      <w:pPr>
        <w:pStyle w:val="Normaltindrag"/>
      </w:pPr>
      <w:r w:rsidRPr="0008481A">
        <w:t>Det kan inte anses ha förelegat några rättsliga hinder för kommunen att, såsom skett, i den föreliggande situationen och inom ramen för det pröv</w:t>
      </w:r>
      <w:r w:rsidRPr="0008481A">
        <w:softHyphen/>
        <w:t>nings</w:t>
      </w:r>
      <w:r w:rsidRPr="0008481A">
        <w:softHyphen/>
        <w:t>system som står till buds vid allmän domstol direkt fullfölja sina anspråk på avgift. En annan sak, som numera där prövats i första instans, är vilka förutsätt</w:t>
      </w:r>
      <w:r w:rsidRPr="0008481A">
        <w:softHyphen/>
        <w:t>ning</w:t>
      </w:r>
      <w:r w:rsidRPr="0008481A">
        <w:softHyphen/>
        <w:t>ar i form av ytter</w:t>
      </w:r>
      <w:r w:rsidRPr="0008481A">
        <w:softHyphen/>
        <w:t xml:space="preserve">ligare beslut från nämndens sida som varit nödvändiga för att anspråken skulle kunna prövas närmare. </w:t>
      </w:r>
    </w:p>
    <w:p w:rsidR="003B3271" w:rsidRPr="0008481A" w:rsidRDefault="003B3271">
      <w:pPr>
        <w:pStyle w:val="Normaltindrag"/>
      </w:pPr>
      <w:r w:rsidRPr="0008481A">
        <w:t>Helena Nilsson har särskilt vänt sig emot ett inslag i vad nämnden åberopat som stöd för att ta ut avgift. Vad hon i denna del avser är vad som i nämndens yttrande till JO formulerats: ” – – – då Nilsson haft klar förde</w:t>
      </w:r>
      <w:r w:rsidRPr="0008481A">
        <w:t>l av nämndens beslut i sam</w:t>
      </w:r>
      <w:r w:rsidRPr="0008481A">
        <w:softHyphen/>
        <w:t>band med en fastighetsaffär – – – ”. Detta är att bedöma mot bakgrund av bestäm</w:t>
      </w:r>
      <w:r w:rsidRPr="0008481A">
        <w:softHyphen/>
        <w:t>mel</w:t>
      </w:r>
      <w:r w:rsidRPr="0008481A">
        <w:softHyphen/>
        <w:t>serna om planavgift (11 kap. 5 § andra stycket PBL), vilka i sista meningen som en förutsättning anger att fastighetsägaren har nytta av planen och vilka läns</w:t>
      </w:r>
      <w:r w:rsidRPr="0008481A">
        <w:softHyphen/>
        <w:t>styrelsen i fallet funnit icke tillämpliga. Jag finner klagomålen i denna del befoga</w:t>
      </w:r>
      <w:r w:rsidRPr="0008481A">
        <w:softHyphen/>
        <w:t>de. Nämnden uttalar sig här, liksom i betalningskraven i mars och april 1999, som om den inte hade tagit del av länsstyrel</w:t>
      </w:r>
      <w:r w:rsidRPr="0008481A">
        <w:softHyphen/>
        <w:t>sens beslut och går helt utom rame</w:t>
      </w:r>
      <w:r w:rsidRPr="0008481A">
        <w:t>n för tillämp</w:t>
      </w:r>
      <w:r w:rsidRPr="0008481A">
        <w:softHyphen/>
        <w:t>liga före</w:t>
      </w:r>
      <w:r w:rsidRPr="0008481A">
        <w:softHyphen/>
        <w:t xml:space="preserve">skrifter. </w:t>
      </w:r>
    </w:p>
    <w:p w:rsidR="003B3271" w:rsidRPr="0008481A" w:rsidRDefault="003B3271">
      <w:pPr>
        <w:pStyle w:val="Normaltindrag"/>
      </w:pPr>
      <w:r w:rsidRPr="0008481A">
        <w:t xml:space="preserve">Med anledning av vad miljö- och byggnadsnämnden har kommit in på i sitt yttrande till JO vill jag framhålla följande rörande bl.a. arten av det beslut av den 20 mars 1996, vilket föranlett avgiften. </w:t>
      </w:r>
    </w:p>
    <w:p w:rsidR="003B3271" w:rsidRPr="0008481A" w:rsidRDefault="003B3271">
      <w:pPr>
        <w:pStyle w:val="Normaltindrag"/>
      </w:pPr>
      <w:r w:rsidRPr="0008481A">
        <w:rPr>
          <w:i/>
        </w:rPr>
        <w:t>Beslutet</w:t>
      </w:r>
      <w:r w:rsidRPr="0008481A">
        <w:t xml:space="preserve"> anges avse ett tillstånd att upprätta detaljplan. Någon sådan form av till</w:t>
      </w:r>
      <w:r w:rsidRPr="0008481A">
        <w:softHyphen/>
        <w:t>stånd förekommer inte i byggnadslagstiftningen (jfr 1 kap. 4 § PBL), och en i ett sådant tillstånd liggande befogenhet för enskild ter sig också främmande med hän</w:t>
      </w:r>
      <w:r w:rsidRPr="0008481A">
        <w:softHyphen/>
        <w:t>syn till att det är kommunens uppgift såväl att svara för upprättande av förslag till detaljplan som att anta plan (se bl.a. 5 kap. 20 och 29 §§ och, beträffande det s.k. kommunala planmonopolet, 1 kap. 2 § PBL</w:t>
      </w:r>
      <w:r w:rsidRPr="0008481A">
        <w:rPr>
          <w:sz w:val="26"/>
        </w:rPr>
        <w:t xml:space="preserve">). </w:t>
      </w:r>
    </w:p>
    <w:p w:rsidR="003B3271" w:rsidRPr="0008481A" w:rsidRDefault="003B3271">
      <w:pPr>
        <w:pStyle w:val="Normaltindrag"/>
      </w:pPr>
      <w:r w:rsidRPr="0008481A">
        <w:t>En form av tillstånd enligt PBL är förhandsbesked (1 kap. 4</w:t>
      </w:r>
      <w:r w:rsidRPr="0008481A">
        <w:t xml:space="preserve"> § och 8 kap. 34 §). Ett ärende om förhandsbesked gäller frågan huruvida en åtgärd som kräver bygglov kan tillåtas på avsedd plats. Ärendet skall utmynna i ett beslut som innebär att till</w:t>
      </w:r>
      <w:r w:rsidRPr="0008481A">
        <w:softHyphen/>
        <w:t xml:space="preserve">stånd i detta avseende meddelas eller vägras. </w:t>
      </w:r>
      <w:r w:rsidRPr="0008481A">
        <w:softHyphen/>
      </w:r>
    </w:p>
    <w:p w:rsidR="003B3271" w:rsidRPr="0008481A" w:rsidRDefault="003B3271">
      <w:pPr>
        <w:pStyle w:val="Normaltindrag"/>
      </w:pPr>
      <w:r w:rsidRPr="0008481A">
        <w:t xml:space="preserve">Enligt nämndens yttrande till JO skulle </w:t>
      </w:r>
      <w:r w:rsidRPr="0008481A">
        <w:rPr>
          <w:i/>
        </w:rPr>
        <w:t>ansökningen</w:t>
      </w:r>
      <w:r w:rsidRPr="0008481A">
        <w:t xml:space="preserve"> i ärendet ha gällt ”förhands</w:t>
      </w:r>
      <w:r w:rsidRPr="0008481A">
        <w:softHyphen/>
        <w:t>besked om av</w:t>
      </w:r>
      <w:r w:rsidRPr="0008481A">
        <w:softHyphen/>
        <w:t>styck</w:t>
      </w:r>
      <w:r w:rsidRPr="0008481A">
        <w:softHyphen/>
        <w:t>ning” etc. Inom den på byggnadsnämndernas verksamhets</w:t>
      </w:r>
      <w:r w:rsidRPr="0008481A">
        <w:softHyphen/>
        <w:t>områ</w:t>
      </w:r>
      <w:r w:rsidRPr="0008481A">
        <w:softHyphen/>
        <w:t>de aktuella lagstift</w:t>
      </w:r>
      <w:r w:rsidRPr="0008481A">
        <w:softHyphen/>
        <w:t>ning</w:t>
      </w:r>
      <w:r w:rsidRPr="0008481A">
        <w:softHyphen/>
        <w:t>en finns en ordning med förhands</w:t>
      </w:r>
      <w:r w:rsidRPr="0008481A">
        <w:softHyphen/>
        <w:t>besked föreskriven i PBL, i nyss nämnd omfattning, men inte i fastig</w:t>
      </w:r>
      <w:r w:rsidRPr="0008481A">
        <w:softHyphen/>
        <w:t>hets</w:t>
      </w:r>
      <w:r w:rsidRPr="0008481A">
        <w:softHyphen/>
        <w:t>bild</w:t>
      </w:r>
      <w:r w:rsidRPr="0008481A">
        <w:softHyphen/>
        <w:t>ning</w:t>
      </w:r>
      <w:r w:rsidRPr="0008481A">
        <w:softHyphen/>
        <w:t>slagen (1970:988, FBL) – bortsett från tillståndsbeslut meddelat enligt 4 kap. 26 § FBL. Byggnads</w:t>
      </w:r>
      <w:r w:rsidRPr="0008481A">
        <w:softHyphen/>
        <w:t>nämn</w:t>
      </w:r>
      <w:r w:rsidRPr="0008481A">
        <w:softHyphen/>
        <w:t>der</w:t>
      </w:r>
      <w:r w:rsidRPr="0008481A">
        <w:softHyphen/>
        <w:t>na avgör inte ärenden om fastighetsbildning men har ändå till uppgift att i vissa situationer ta ställ</w:t>
      </w:r>
      <w:r w:rsidRPr="0008481A">
        <w:softHyphen/>
        <w:t>ning i dem. Det kan gälla yttran</w:t>
      </w:r>
      <w:r w:rsidRPr="0008481A">
        <w:softHyphen/>
        <w:t xml:space="preserve">de vid </w:t>
      </w:r>
      <w:r w:rsidRPr="0008481A">
        <w:t>samråd enligt 4 kap. 25 § första stycket FBL eller utövande av be</w:t>
      </w:r>
      <w:r w:rsidRPr="0008481A">
        <w:softHyphen/>
        <w:t>sluts</w:t>
      </w:r>
      <w:r w:rsidRPr="0008481A">
        <w:softHyphen/>
        <w:t>befogen</w:t>
      </w:r>
      <w:r w:rsidRPr="0008481A">
        <w:softHyphen/>
        <w:t>he</w:t>
      </w:r>
      <w:r w:rsidRPr="0008481A">
        <w:softHyphen/>
        <w:t xml:space="preserve">ter enligt 3 kap. 2 § tredje stycket eller 4 kap. 25 a § FBL. </w:t>
      </w:r>
    </w:p>
    <w:p w:rsidR="003B3271" w:rsidRPr="0008481A" w:rsidRDefault="003B3271">
      <w:pPr>
        <w:pStyle w:val="Normaltindrag"/>
      </w:pPr>
      <w:r w:rsidRPr="0008481A">
        <w:t>I den mån en ansökan är oklar eller av annan anledning svår att inordna i någon kategori av framställningar som ägnar sig för meningsfull prövning eller annan handläggning, är det myndighetens skyldighet att ge vägledning. Det följer av all</w:t>
      </w:r>
      <w:r w:rsidRPr="0008481A">
        <w:softHyphen/>
        <w:t>männa bestämmelser om serviceskyldighet (4 § förvaltnings</w:t>
      </w:r>
      <w:r w:rsidRPr="0008481A">
        <w:softHyphen/>
        <w:t xml:space="preserve">lagen, 1986:223; se även 11 kap. 1 § första stycket 4 PBL). </w:t>
      </w:r>
    </w:p>
    <w:p w:rsidR="003B3271" w:rsidRPr="0008481A" w:rsidRDefault="003B3271">
      <w:pPr>
        <w:pStyle w:val="Normaltindrag"/>
      </w:pPr>
      <w:r w:rsidRPr="0008481A">
        <w:t>Oavsett vilka tids- eller kostnadskrävande åtgärder som nämnden vidtog med anledning av Helena Nilssons framställning i januari 1996, synes det mot nu angi</w:t>
      </w:r>
      <w:r w:rsidRPr="0008481A">
        <w:softHyphen/>
        <w:t>ven bakgrund och på här föreliggande underlag inte möjligt att hänföra det beslut om tillstånd, som framställningen föranledde, till någon av byggnadsnämndernas i författning förut</w:t>
      </w:r>
      <w:r w:rsidRPr="0008481A">
        <w:softHyphen/>
        <w:t xml:space="preserve">satta typer av ärenden. Över huvud taget är det svårt att se vad meningen var med beslutet, särskilt som nämnden (i yttrandet till länsstyrelsen) framhållit att det inte var säkert att något planarbete ens skulle påbörjas. </w:t>
      </w:r>
    </w:p>
    <w:p w:rsidR="003B3271" w:rsidRPr="0008481A" w:rsidRDefault="003B3271">
      <w:pPr>
        <w:pStyle w:val="Normaltindrag"/>
      </w:pPr>
      <w:r w:rsidRPr="0008481A">
        <w:t>Det är av vikt att byggnadsnämnderna håller sig till den ordning för beslut som PBL anvisar och inte i onö</w:t>
      </w:r>
      <w:r w:rsidRPr="0008481A">
        <w:t>dan laborerar med andra former, vilka kan medföra oklarhet om vad som rättsligt sett äger rum. Att ett behov av tydlighet gör sig gällande även med hänsyn till tillämpningen av reglerna om byggnadsnämndens rätt att ta ut avgift i sin verksamhet är i förevarande ären</w:t>
      </w:r>
      <w:r w:rsidRPr="0008481A">
        <w:softHyphen/>
        <w:t>de uppenbart.</w:t>
      </w:r>
    </w:p>
    <w:p w:rsidR="003B3271" w:rsidRPr="0008481A" w:rsidRDefault="003B3271">
      <w:pPr>
        <w:pStyle w:val="Normaltindrag"/>
      </w:pPr>
      <w:r w:rsidRPr="0008481A">
        <w:t>Ärendet avslutas med den kritik som ligger i det sagda.</w:t>
      </w:r>
    </w:p>
    <w:p w:rsidR="003B3271" w:rsidRPr="0008481A" w:rsidRDefault="003B3271">
      <w:pPr>
        <w:pStyle w:val="Rubrik2"/>
      </w:pPr>
      <w:r w:rsidRPr="0008481A">
        <w:t>Olämpligheten av att en myndighet i beslutsliknande former tolkar (”förtydligar”) egna beslut</w:t>
      </w:r>
    </w:p>
    <w:p w:rsidR="003B3271" w:rsidRPr="0008481A" w:rsidRDefault="003B3271">
      <w:r w:rsidRPr="0008481A">
        <w:t>(Dnr 2174-1998)</w:t>
      </w:r>
    </w:p>
    <w:p w:rsidR="003B3271" w:rsidRPr="0008481A" w:rsidRDefault="003B3271">
      <w:pPr>
        <w:pStyle w:val="Rubrik3"/>
      </w:pPr>
      <w:r w:rsidRPr="0008481A">
        <w:t>Anmälan</w:t>
      </w:r>
    </w:p>
    <w:p w:rsidR="003B3271" w:rsidRPr="0008481A" w:rsidRDefault="003B3271">
      <w:r w:rsidRPr="0008481A">
        <w:t>Albert Montonen anmälde att en förrättningslantmätare vid Lantmäteri</w:t>
      </w:r>
      <w:r w:rsidRPr="0008481A">
        <w:softHyphen/>
        <w:t>myndig</w:t>
      </w:r>
      <w:r w:rsidRPr="0008481A">
        <w:softHyphen/>
        <w:t>heten i Örebro län – efter beslut den 20 juni 1996 angående förrättning enligt an</w:t>
      </w:r>
      <w:r w:rsidRPr="0008481A">
        <w:softHyphen/>
        <w:t>lägg</w:t>
      </w:r>
      <w:r w:rsidRPr="0008481A">
        <w:softHyphen/>
        <w:t>ningslagen (1973:1149) om vad som skulle gälla för en gemensamhets</w:t>
      </w:r>
      <w:r w:rsidRPr="0008481A">
        <w:softHyphen/>
        <w:t>anlägg</w:t>
      </w:r>
      <w:r w:rsidRPr="0008481A">
        <w:softHyphen/>
        <w:t>ning för Munkabodavägen i Lindesbergs kommun – hade meddelat ett förtyd</w:t>
      </w:r>
      <w:r w:rsidRPr="0008481A">
        <w:softHyphen/>
        <w:t>ligande den 15 oktober 1997. I detta utelämnades en i beslutet angiven begräns</w:t>
      </w:r>
      <w:r w:rsidRPr="0008481A">
        <w:softHyphen/>
        <w:t>ning av väg</w:t>
      </w:r>
      <w:r w:rsidRPr="0008481A">
        <w:softHyphen/>
        <w:t>banan, vilket hade fått till följd att Albert Montonens i anläggningen in</w:t>
      </w:r>
      <w:r w:rsidRPr="0008481A">
        <w:softHyphen/>
        <w:t>gåen</w:t>
      </w:r>
      <w:r w:rsidRPr="0008481A">
        <w:softHyphen/>
        <w:t xml:space="preserve">de fastighet Frövi 2:8 utsatts för intrång m.m. </w:t>
      </w:r>
    </w:p>
    <w:p w:rsidR="003B3271" w:rsidRPr="0008481A" w:rsidRDefault="003B3271">
      <w:r w:rsidRPr="0008481A">
        <w:t>Anläggningsbeslutet innehåller följande:</w:t>
      </w:r>
    </w:p>
    <w:p w:rsidR="003B3271" w:rsidRPr="0008481A" w:rsidRDefault="003B3271">
      <w:pPr>
        <w:pStyle w:val="Citat"/>
      </w:pPr>
      <w:r w:rsidRPr="0008481A">
        <w:t>Med upphävande av gemensamhetsanläggningen Frövi ga:3 och av utlåtan</w:t>
      </w:r>
      <w:r w:rsidRPr="0008481A">
        <w:softHyphen/>
        <w:t>de 1952-01-03 akt NÄSBY 412 och 1954-08-09 akt NÄSBY 440 enligt lagen om enskilda vägar skall fortsättningsvis följande gälla:</w:t>
      </w:r>
    </w:p>
    <w:p w:rsidR="003B3271" w:rsidRPr="0008481A" w:rsidRDefault="003B3271">
      <w:pPr>
        <w:pStyle w:val="Citat"/>
      </w:pPr>
      <w:r w:rsidRPr="0008481A">
        <w:t>1. Gemensamhetsanläggning skall inrättas och omfatta:</w:t>
      </w:r>
    </w:p>
    <w:p w:rsidR="003B3271" w:rsidRPr="0008481A" w:rsidRDefault="003B3271">
      <w:pPr>
        <w:pStyle w:val="Packad"/>
      </w:pPr>
      <w:r w:rsidRPr="0008481A">
        <w:t xml:space="preserve">Enskilda vägen från allmänna vägen länsväg 249 ca 2400 meter västerut t.o.m. fastigheterna Frövi 2:79 och 2:89. Se bif kartskiss </w:t>
      </w:r>
    </w:p>
    <w:p w:rsidR="003B3271" w:rsidRPr="0008481A" w:rsidRDefault="003B3271">
      <w:pPr>
        <w:pStyle w:val="Citat"/>
      </w:pPr>
      <w:r w:rsidRPr="0008481A">
        <w:t>2. Deltagande fastigheter i gemensamhetsanläggningen är</w:t>
      </w:r>
    </w:p>
    <w:p w:rsidR="003B3271" w:rsidRPr="0008481A" w:rsidRDefault="003B3271">
      <w:pPr>
        <w:pStyle w:val="Citat"/>
      </w:pPr>
      <w:r w:rsidRPr="0008481A">
        <w:t>Fastigheter enligt fastighetsförteckningen i aktbilaga AB2.</w:t>
      </w:r>
    </w:p>
    <w:p w:rsidR="003B3271" w:rsidRPr="0008481A" w:rsidRDefault="003B3271">
      <w:pPr>
        <w:pStyle w:val="Citat"/>
      </w:pPr>
      <w:r w:rsidRPr="0008481A">
        <w:t>3. För anläggningen upplåtes</w:t>
      </w:r>
    </w:p>
    <w:p w:rsidR="003B3271" w:rsidRPr="0008481A" w:rsidRDefault="003B3271">
      <w:pPr>
        <w:pStyle w:val="Citat"/>
      </w:pPr>
      <w:r w:rsidRPr="0008481A">
        <w:t>Det utrymme av samfällda vägar och enskilda fastigheter som den befintliga vägen och vägområ</w:t>
      </w:r>
      <w:r w:rsidRPr="0008481A">
        <w:softHyphen/>
        <w:t>det upptar och som kan behövas för iståndsättnings</w:t>
      </w:r>
      <w:r w:rsidRPr="0008481A">
        <w:softHyphen/>
        <w:t>åtgär</w:t>
      </w:r>
      <w:r w:rsidRPr="0008481A">
        <w:softHyphen/>
        <w:t>der. Tomtmark upplåtes ej mer än vad befintlig väg gör idag.</w:t>
      </w:r>
    </w:p>
    <w:p w:rsidR="003B3271" w:rsidRPr="0008481A" w:rsidRDefault="003B3271">
      <w:pPr>
        <w:pStyle w:val="Citat"/>
      </w:pPr>
      <w:r w:rsidRPr="0008481A">
        <w:t>4. Anläggningen övertages så snart anläggningsbeslutet vunnit laga kraft.</w:t>
      </w:r>
    </w:p>
    <w:p w:rsidR="003B3271" w:rsidRPr="0008481A" w:rsidRDefault="003B3271">
      <w:pPr>
        <w:pStyle w:val="Citat"/>
      </w:pPr>
      <w:r w:rsidRPr="0008481A">
        <w:t>5. I övrigt skall gälla:</w:t>
      </w:r>
    </w:p>
    <w:p w:rsidR="003B3271" w:rsidRPr="0008481A" w:rsidRDefault="003B3271">
      <w:pPr>
        <w:pStyle w:val="Citat"/>
      </w:pPr>
      <w:r w:rsidRPr="0008481A">
        <w:t>Vägbanan skall vara högst 4 meter samt skall vägdiken och mötesplatser an</w:t>
      </w:r>
      <w:r w:rsidRPr="0008481A">
        <w:softHyphen/>
        <w:t>ord</w:t>
      </w:r>
      <w:r w:rsidRPr="0008481A">
        <w:softHyphen/>
        <w:t>nas efter vad som kan behövas.</w:t>
      </w:r>
    </w:p>
    <w:p w:rsidR="003B3271" w:rsidRPr="0008481A" w:rsidRDefault="003B3271">
      <w:pPr>
        <w:pStyle w:val="Citat"/>
        <w:spacing w:before="0"/>
      </w:pPr>
      <w:r w:rsidRPr="0008481A">
        <w:t>Vägen skall hållas öppen för fordonstrafik året om.</w:t>
      </w:r>
    </w:p>
    <w:p w:rsidR="003B3271" w:rsidRPr="0008481A" w:rsidRDefault="003B3271">
      <w:pPr>
        <w:pStyle w:val="Citat"/>
        <w:spacing w:before="0"/>
      </w:pPr>
      <w:r w:rsidRPr="0008481A">
        <w:t>Vägen får begränsas för tyngre trafik under tjällossning.</w:t>
      </w:r>
    </w:p>
    <w:p w:rsidR="003B3271" w:rsidRPr="0008481A" w:rsidRDefault="003B3271">
      <w:pPr>
        <w:pStyle w:val="Packad"/>
      </w:pPr>
      <w:r w:rsidRPr="0008481A">
        <w:t xml:space="preserve">Skador som då åsamkas vägen av tung trafik skall betalas av den delägare som ansvarar för transporten.  </w:t>
      </w:r>
    </w:p>
    <w:p w:rsidR="003B3271" w:rsidRPr="0008481A" w:rsidRDefault="003B3271">
      <w:pPr>
        <w:pStyle w:val="Citat"/>
        <w:spacing w:before="0"/>
      </w:pPr>
      <w:r w:rsidRPr="0008481A">
        <w:t>För åstadkommande av trafiksäkra siktförhållanden medgives rätt att röja all vegetation inom 2 meter från vägkant eller dikes ytterkant där så behövs. Denna rättighet gäller ej inom Frövi 2:8.</w:t>
      </w:r>
    </w:p>
    <w:p w:rsidR="003B3271" w:rsidRPr="0008481A" w:rsidRDefault="003B3271">
      <w:pPr>
        <w:pStyle w:val="Citat"/>
      </w:pPr>
      <w:r w:rsidRPr="0008481A">
        <w:t>6. Beslut om andelstal</w:t>
      </w:r>
    </w:p>
    <w:p w:rsidR="003B3271" w:rsidRPr="0008481A" w:rsidRDefault="003B3271">
      <w:pPr>
        <w:pStyle w:val="Packad"/>
        <w:spacing w:before="120"/>
      </w:pPr>
      <w:r w:rsidRPr="0008481A">
        <w:t xml:space="preserve">– – –  </w:t>
      </w:r>
    </w:p>
    <w:p w:rsidR="003B3271" w:rsidRPr="0008481A" w:rsidRDefault="003B3271">
      <w:pPr>
        <w:spacing w:before="0"/>
      </w:pPr>
      <w:r w:rsidRPr="0008481A">
        <w:t>I skrivelsen den 15 oktober 1997 med förtydligande av anläggningsbeslutet, rik</w:t>
      </w:r>
      <w:r w:rsidRPr="0008481A">
        <w:softHyphen/>
        <w:t>tad till Munkaboda Samfällighetsförening, anförde förrättningsmannen Mats Larsson följande.</w:t>
      </w:r>
    </w:p>
    <w:p w:rsidR="003B3271" w:rsidRPr="0008481A" w:rsidRDefault="003B3271">
      <w:pPr>
        <w:pStyle w:val="Citat"/>
      </w:pPr>
      <w:r w:rsidRPr="0008481A">
        <w:t>Med anledning av att tolkningsproblem har uppstått rörande innehållet i mitt anläggningsbeslut av den 1996-06-20 i ärende FTV096140 vill jag lämna följan</w:t>
      </w:r>
      <w:r w:rsidRPr="0008481A">
        <w:softHyphen/>
        <w:t>de förtydligande.</w:t>
      </w:r>
    </w:p>
    <w:p w:rsidR="003B3271" w:rsidRPr="0008481A" w:rsidRDefault="003B3271">
      <w:pPr>
        <w:rPr>
          <w:sz w:val="20"/>
        </w:rPr>
      </w:pPr>
      <w:r w:rsidRPr="0008481A">
        <w:rPr>
          <w:sz w:val="20"/>
        </w:rPr>
        <w:t>Beslutet är uppdelat i 5 delar.</w:t>
      </w:r>
    </w:p>
    <w:p w:rsidR="003B3271" w:rsidRPr="0008481A" w:rsidRDefault="003B3271">
      <w:pPr>
        <w:numPr>
          <w:ilvl w:val="0"/>
          <w:numId w:val="59"/>
        </w:numPr>
        <w:spacing w:before="0" w:line="214" w:lineRule="exact"/>
        <w:rPr>
          <w:sz w:val="20"/>
        </w:rPr>
      </w:pPr>
      <w:r w:rsidRPr="0008481A">
        <w:rPr>
          <w:sz w:val="20"/>
        </w:rPr>
        <w:t>del 1 avser en beskrivning om vilken väg som avses. Entydigt och torde inte kunna miss</w:t>
      </w:r>
      <w:r w:rsidRPr="0008481A">
        <w:rPr>
          <w:sz w:val="20"/>
        </w:rPr>
        <w:softHyphen/>
        <w:t>uppfattas.</w:t>
      </w:r>
    </w:p>
    <w:p w:rsidR="003B3271" w:rsidRPr="0008481A" w:rsidRDefault="003B3271">
      <w:pPr>
        <w:numPr>
          <w:ilvl w:val="0"/>
          <w:numId w:val="59"/>
        </w:numPr>
        <w:spacing w:before="0" w:line="214" w:lineRule="exact"/>
        <w:rPr>
          <w:sz w:val="20"/>
        </w:rPr>
      </w:pPr>
      <w:r w:rsidRPr="0008481A">
        <w:rPr>
          <w:sz w:val="20"/>
        </w:rPr>
        <w:t>del 2 talar om vilka fastigheter som skall deltaga i väghållningen</w:t>
      </w:r>
    </w:p>
    <w:p w:rsidR="003B3271" w:rsidRPr="0008481A" w:rsidRDefault="003B3271">
      <w:pPr>
        <w:numPr>
          <w:ilvl w:val="0"/>
          <w:numId w:val="60"/>
        </w:numPr>
        <w:spacing w:before="0" w:line="214" w:lineRule="exact"/>
        <w:rPr>
          <w:sz w:val="20"/>
        </w:rPr>
      </w:pPr>
      <w:r w:rsidRPr="0008481A">
        <w:rPr>
          <w:sz w:val="20"/>
        </w:rPr>
        <w:t>del 3 anger vilken mark som beslutet avser skall upplåtas till Munka</w:t>
      </w:r>
      <w:r w:rsidRPr="0008481A">
        <w:rPr>
          <w:sz w:val="20"/>
        </w:rPr>
        <w:softHyphen/>
        <w:t>bo</w:t>
      </w:r>
      <w:r w:rsidRPr="0008481A">
        <w:rPr>
          <w:sz w:val="20"/>
        </w:rPr>
        <w:softHyphen/>
        <w:t>da Samfällighets</w:t>
      </w:r>
      <w:r w:rsidRPr="0008481A">
        <w:rPr>
          <w:sz w:val="20"/>
        </w:rPr>
        <w:softHyphen/>
        <w:t>förening.</w:t>
      </w:r>
    </w:p>
    <w:p w:rsidR="003B3271" w:rsidRPr="0008481A" w:rsidRDefault="003B3271">
      <w:pPr>
        <w:tabs>
          <w:tab w:val="left" w:pos="1134"/>
        </w:tabs>
        <w:spacing w:before="0" w:line="214" w:lineRule="exact"/>
        <w:ind w:left="567"/>
        <w:rPr>
          <w:sz w:val="20"/>
        </w:rPr>
      </w:pPr>
      <w:r w:rsidRPr="0008481A">
        <w:rPr>
          <w:sz w:val="20"/>
        </w:rPr>
        <w:t>Således upplåtes på alla fastigheter som vägen passerar</w:t>
      </w:r>
    </w:p>
    <w:p w:rsidR="003B3271" w:rsidRPr="0008481A" w:rsidRDefault="003B3271">
      <w:pPr>
        <w:tabs>
          <w:tab w:val="left" w:pos="1134"/>
        </w:tabs>
        <w:spacing w:before="0" w:line="214" w:lineRule="exact"/>
        <w:ind w:left="567"/>
        <w:rPr>
          <w:sz w:val="20"/>
        </w:rPr>
      </w:pPr>
      <w:r w:rsidRPr="0008481A">
        <w:rPr>
          <w:sz w:val="20"/>
        </w:rPr>
        <w:t>1. den befintliga vägbanan</w:t>
      </w:r>
    </w:p>
    <w:p w:rsidR="003B3271" w:rsidRPr="0008481A" w:rsidRDefault="003B3271">
      <w:pPr>
        <w:tabs>
          <w:tab w:val="left" w:pos="1134"/>
        </w:tabs>
        <w:spacing w:before="0" w:line="214" w:lineRule="exact"/>
        <w:ind w:left="567"/>
        <w:rPr>
          <w:sz w:val="20"/>
        </w:rPr>
      </w:pPr>
      <w:r w:rsidRPr="0008481A">
        <w:rPr>
          <w:sz w:val="20"/>
        </w:rPr>
        <w:t>2. dessutom till vägen hörande vägområde i vilket ingår befintliga väg</w:t>
      </w:r>
      <w:r w:rsidRPr="0008481A">
        <w:rPr>
          <w:sz w:val="20"/>
        </w:rPr>
        <w:softHyphen/>
        <w:t>diken (till diket hör botten + båda slänterna). Kopia av skiss från väg</w:t>
      </w:r>
      <w:r w:rsidRPr="0008481A">
        <w:rPr>
          <w:sz w:val="20"/>
        </w:rPr>
        <w:softHyphen/>
        <w:t>verket bifogas. Den utgör en bra illustra</w:t>
      </w:r>
      <w:r w:rsidRPr="0008481A">
        <w:rPr>
          <w:sz w:val="20"/>
        </w:rPr>
        <w:softHyphen/>
        <w:t>tion på detta.</w:t>
      </w:r>
    </w:p>
    <w:p w:rsidR="003B3271" w:rsidRPr="0008481A" w:rsidRDefault="003B3271">
      <w:pPr>
        <w:tabs>
          <w:tab w:val="left" w:pos="1134"/>
        </w:tabs>
        <w:spacing w:before="0" w:line="214" w:lineRule="exact"/>
        <w:ind w:left="567"/>
        <w:rPr>
          <w:sz w:val="20"/>
        </w:rPr>
      </w:pPr>
      <w:r w:rsidRPr="0008481A">
        <w:rPr>
          <w:sz w:val="20"/>
        </w:rPr>
        <w:t>3. dessutom mark härutöver som kan behövas för framtida iståndsätt</w:t>
      </w:r>
      <w:r w:rsidRPr="0008481A">
        <w:rPr>
          <w:sz w:val="20"/>
        </w:rPr>
        <w:softHyphen/>
        <w:t>nings</w:t>
      </w:r>
      <w:r w:rsidRPr="0008481A">
        <w:rPr>
          <w:sz w:val="20"/>
        </w:rPr>
        <w:softHyphen/>
        <w:t>åtgärder. I Mun</w:t>
      </w:r>
      <w:r w:rsidRPr="0008481A">
        <w:rPr>
          <w:sz w:val="20"/>
        </w:rPr>
        <w:softHyphen/>
        <w:t xml:space="preserve">kabodas fall torde här inbegripas nya vägdiken och mötesplatser. Sådana får anordnas efter behov. </w:t>
      </w:r>
    </w:p>
    <w:p w:rsidR="003B3271" w:rsidRPr="0008481A" w:rsidRDefault="003B3271">
      <w:pPr>
        <w:numPr>
          <w:ilvl w:val="0"/>
          <w:numId w:val="61"/>
        </w:numPr>
        <w:spacing w:before="0" w:line="214" w:lineRule="exact"/>
        <w:rPr>
          <w:sz w:val="20"/>
        </w:rPr>
      </w:pPr>
      <w:r w:rsidRPr="0008481A">
        <w:rPr>
          <w:sz w:val="20"/>
        </w:rPr>
        <w:t>del 4 anger när ansvaret för vägens skötsel tidsmässigt börjar</w:t>
      </w:r>
    </w:p>
    <w:p w:rsidR="003B3271" w:rsidRPr="0008481A" w:rsidRDefault="003B3271">
      <w:pPr>
        <w:numPr>
          <w:ilvl w:val="0"/>
          <w:numId w:val="61"/>
        </w:numPr>
        <w:spacing w:before="0" w:line="214" w:lineRule="exact"/>
        <w:rPr>
          <w:sz w:val="20"/>
        </w:rPr>
      </w:pPr>
      <w:r w:rsidRPr="0008481A">
        <w:rPr>
          <w:sz w:val="20"/>
        </w:rPr>
        <w:t>del 5 avser dels vilka krav som gäller för vägens standard och skötsel samt också dels den ytterligare rätt som föreningen fått på alla andra fastigheter längs vägen undantaget Frövi 2:8. Rätten avser möjlighet att kunna röja skymmande vegetation i kurvor pga trafik</w:t>
      </w:r>
      <w:r w:rsidRPr="0008481A">
        <w:rPr>
          <w:sz w:val="20"/>
        </w:rPr>
        <w:softHyphen/>
        <w:t>säkerhetsskäl. Rätten gäller högst 2 meter ut från vägområdets ytterkant.</w:t>
      </w:r>
    </w:p>
    <w:p w:rsidR="003B3271" w:rsidRPr="0008481A" w:rsidRDefault="003B3271">
      <w:pPr>
        <w:pStyle w:val="Citat"/>
      </w:pPr>
      <w:r w:rsidRPr="0008481A">
        <w:t xml:space="preserve">Konkret gäller således att inom Frövi 2:8 gäller endast vad som angivits under 2 och 3 ovan. </w:t>
      </w:r>
    </w:p>
    <w:p w:rsidR="003B3271" w:rsidRPr="0008481A" w:rsidRDefault="003B3271">
      <w:pPr>
        <w:pStyle w:val="Rubrik3"/>
      </w:pPr>
      <w:r w:rsidRPr="0008481A">
        <w:t>Utredning</w:t>
      </w:r>
    </w:p>
    <w:p w:rsidR="003B3271" w:rsidRPr="0008481A" w:rsidRDefault="003B3271">
      <w:r w:rsidRPr="0008481A">
        <w:t>Efter remiss yttrade lantmäterimyndigheten följande.</w:t>
      </w:r>
    </w:p>
    <w:p w:rsidR="003B3271" w:rsidRPr="0008481A" w:rsidRDefault="003B3271">
      <w:pPr>
        <w:pStyle w:val="Citat"/>
      </w:pPr>
      <w:r w:rsidRPr="0008481A">
        <w:t>Genom anläggningsbeslut 1996-06-20 (dnr FTVO 96140) ingår den ifråga</w:t>
      </w:r>
      <w:r w:rsidRPr="0008481A">
        <w:softHyphen/>
        <w:t>varande vägen i en gemensamhetsanläggning som efter lagakraftvinnande erhållit registerbeteckningen Frövi ga:4. I anläggningsbeslutet anges bl.a. följande:</w:t>
      </w:r>
    </w:p>
    <w:p w:rsidR="003B3271" w:rsidRPr="0008481A" w:rsidRDefault="003B3271">
      <w:pPr>
        <w:pStyle w:val="Citat"/>
        <w:spacing w:before="0"/>
      </w:pPr>
      <w:r w:rsidRPr="0008481A">
        <w:t>a) Vägbanan skall ha en bredd om högst 4 meter.</w:t>
      </w:r>
    </w:p>
    <w:p w:rsidR="003B3271" w:rsidRPr="0008481A" w:rsidRDefault="003B3271">
      <w:pPr>
        <w:pStyle w:val="Citat"/>
        <w:spacing w:before="0"/>
      </w:pPr>
      <w:r w:rsidRPr="0008481A">
        <w:t>b) Vägdiken och mötesplatser skall anordnas efter vad som kan behövas</w:t>
      </w:r>
    </w:p>
    <w:p w:rsidR="003B3271" w:rsidRPr="0008481A" w:rsidRDefault="003B3271">
      <w:pPr>
        <w:pStyle w:val="Citat"/>
        <w:spacing w:before="0"/>
        <w:ind w:left="170" w:hanging="170"/>
      </w:pPr>
      <w:r w:rsidRPr="0008481A">
        <w:t>c) För åstadkommande av trafiksäkra siktförhållanden medgives rätt att röja all vege</w:t>
      </w:r>
      <w:r w:rsidRPr="0008481A">
        <w:softHyphen/>
        <w:t>tation inom 2 meter från vägkant eller dikes ytterkant där så behövs. Denna rättig</w:t>
      </w:r>
      <w:r w:rsidRPr="0008481A">
        <w:softHyphen/>
        <w:t>het gäller ej inom Frövi 2:8.</w:t>
      </w:r>
    </w:p>
    <w:p w:rsidR="003B3271" w:rsidRPr="0008481A" w:rsidRDefault="003B3271">
      <w:pPr>
        <w:pStyle w:val="Citat"/>
      </w:pPr>
      <w:r w:rsidRPr="0008481A">
        <w:t>Munkaboda samfällighetsförening, som förvaltar Frövi ga:4, har således – med stöd av anlägg</w:t>
      </w:r>
      <w:r w:rsidRPr="0008481A">
        <w:softHyphen/>
        <w:t>nings</w:t>
      </w:r>
      <w:r w:rsidRPr="0008481A">
        <w:softHyphen/>
        <w:t xml:space="preserve">beslutet – rätt att ta mark i anspråk inom Frövi 2:8 i den omfattning som anges i punkterna a och b ovan. </w:t>
      </w:r>
    </w:p>
    <w:p w:rsidR="003B3271" w:rsidRPr="0008481A" w:rsidRDefault="003B3271">
      <w:pPr>
        <w:pStyle w:val="Citatindrag"/>
      </w:pPr>
      <w:r w:rsidRPr="0008481A">
        <w:t>Lantmäterimyndigheten har i ett särskilt meddelande 1997-10-15 till Mun</w:t>
      </w:r>
      <w:r w:rsidRPr="0008481A">
        <w:softHyphen/>
        <w:t>ka</w:t>
      </w:r>
      <w:r w:rsidRPr="0008481A">
        <w:softHyphen/>
        <w:t>boda samfällighets</w:t>
      </w:r>
      <w:r w:rsidRPr="0008481A">
        <w:softHyphen/>
        <w:t>förening gjort ett förtydligande av anläggnings</w:t>
      </w:r>
      <w:r w:rsidRPr="0008481A">
        <w:softHyphen/>
        <w:t>beslutets innehåll.</w:t>
      </w:r>
    </w:p>
    <w:p w:rsidR="003B3271" w:rsidRPr="0008481A" w:rsidRDefault="003B3271">
      <w:pPr>
        <w:pStyle w:val="Citatindrag"/>
      </w:pPr>
      <w:r w:rsidRPr="0008481A">
        <w:t>Lantmäterimyndigheten finner att förtydligandet avviker från anläggnings</w:t>
      </w:r>
      <w:r w:rsidRPr="0008481A">
        <w:softHyphen/>
        <w:t>beslutet vad avser vägbanebredden. I förtydligandet anges att gemensam</w:t>
      </w:r>
      <w:r w:rsidRPr="0008481A">
        <w:softHyphen/>
        <w:t>hets</w:t>
      </w:r>
      <w:r w:rsidRPr="0008481A">
        <w:softHyphen/>
        <w:t>anläggningen omfattar vägbana med befintlig bredd i stället för högst 4 meter som angivits i anläggningsbeslutet. Förtydligandet utgör dock inget beslut från Lantmäterimyndighetens sida och har ingen rättsverkan. Om av</w:t>
      </w:r>
      <w:r w:rsidRPr="0008481A">
        <w:softHyphen/>
        <w:t>vikelser föreligger mellan förtydligandet och det lagakraftvunna anlägg</w:t>
      </w:r>
      <w:r w:rsidRPr="0008481A">
        <w:softHyphen/>
        <w:t>nings</w:t>
      </w:r>
      <w:r w:rsidRPr="0008481A">
        <w:softHyphen/>
        <w:t xml:space="preserve">beslutet gäller det senare. </w:t>
      </w:r>
    </w:p>
    <w:p w:rsidR="003B3271" w:rsidRPr="0008481A" w:rsidRDefault="003B3271">
      <w:r w:rsidRPr="0008481A">
        <w:t xml:space="preserve">I ett beslut den 20 oktober 1999 anförde </w:t>
      </w:r>
      <w:r w:rsidRPr="0008481A">
        <w:rPr>
          <w:i/>
        </w:rPr>
        <w:t>stf JO Ekberg</w:t>
      </w:r>
      <w:r w:rsidRPr="0008481A">
        <w:t xml:space="preserve"> följande.</w:t>
      </w:r>
    </w:p>
    <w:p w:rsidR="003B3271" w:rsidRPr="0008481A" w:rsidRDefault="003B3271">
      <w:pPr>
        <w:pStyle w:val="Rubrik3"/>
        <w:rPr>
          <w:b w:val="0"/>
        </w:rPr>
      </w:pPr>
      <w:r w:rsidRPr="0008481A">
        <w:t>Bedömning</w:t>
      </w:r>
    </w:p>
    <w:p w:rsidR="003B3271" w:rsidRPr="0008481A" w:rsidRDefault="003B3271">
      <w:r w:rsidRPr="0008481A">
        <w:t>Jag vill inledningsvis framhålla att jag inte uttalar mig om innehållet i sak i det för</w:t>
      </w:r>
      <w:r w:rsidRPr="0008481A">
        <w:softHyphen/>
        <w:t>tydligande som gjordes den 15 oktober 1997. Jag noterar endast – på samma sätt som anges i lantmäterimyndighetens remissvar – att förtyd</w:t>
      </w:r>
      <w:r w:rsidRPr="0008481A">
        <w:softHyphen/>
        <w:t>ligandet avviker från anläggningsbeslutet genom att det inte uttryck</w:t>
      </w:r>
      <w:r w:rsidRPr="0008481A">
        <w:softHyphen/>
        <w:t xml:space="preserve">ligen anges att vägbanan skall vara högst fyra meter bred. </w:t>
      </w:r>
    </w:p>
    <w:p w:rsidR="003B3271" w:rsidRPr="0008481A" w:rsidRDefault="003B3271">
      <w:pPr>
        <w:pStyle w:val="Normaltindrag"/>
      </w:pPr>
      <w:r w:rsidRPr="0008481A">
        <w:t>Vad jag tar upp är i stället frågan om tillåtligheten och lämpligheten av att på sätt som skett i efterhand komplettera ett lagakraftvunnet förrättnings</w:t>
      </w:r>
      <w:r w:rsidRPr="0008481A">
        <w:softHyphen/>
        <w:t>beslut med ut</w:t>
      </w:r>
      <w:r w:rsidRPr="0008481A">
        <w:softHyphen/>
        <w:t>talan</w:t>
      </w:r>
      <w:r w:rsidRPr="0008481A">
        <w:softHyphen/>
        <w:t>de till ledning för hur beslutet skall tolkas.</w:t>
      </w:r>
    </w:p>
    <w:p w:rsidR="003B3271" w:rsidRPr="0008481A" w:rsidRDefault="003B3271">
      <w:pPr>
        <w:pStyle w:val="Normaltindrag"/>
      </w:pPr>
      <w:r w:rsidRPr="0008481A">
        <w:t>Någon författningsbestämmelse som reglerar ett sådant förfarande finns inte vare sig med allmän giltighet eller med särskild inriktning på lant</w:t>
      </w:r>
      <w:r w:rsidRPr="0008481A">
        <w:softHyphen/>
        <w:t>mäteriförhållanden.</w:t>
      </w:r>
    </w:p>
    <w:p w:rsidR="003B3271" w:rsidRPr="0008481A" w:rsidRDefault="003B3271">
      <w:pPr>
        <w:pStyle w:val="Normaltindrag"/>
      </w:pPr>
      <w:r w:rsidRPr="0008481A">
        <w:t>I 26 § förvaltningslagen (1986:223) anges att ett av en förvaltnings</w:t>
      </w:r>
      <w:r w:rsidRPr="0008481A">
        <w:softHyphen/>
        <w:t>myndighet med</w:t>
      </w:r>
      <w:r w:rsidRPr="0008481A">
        <w:softHyphen/>
        <w:t>delat beslut, som innehåller en uppenbar oriktighet till följd av myndighetens eller någon annans skrivfel, räknefel eller liknande förbiseende, får rättas av den myndighet som har meddelat beslutet, varvid särskilda formföreskrifter skall iakttagas. Någon sådan situation där denna bestämmelse blir tillämplig är det emellertid inte fråga om här.</w:t>
      </w:r>
    </w:p>
    <w:p w:rsidR="003B3271" w:rsidRPr="0008481A" w:rsidRDefault="003B3271">
      <w:pPr>
        <w:pStyle w:val="Normaltindrag"/>
      </w:pPr>
      <w:r w:rsidRPr="0008481A">
        <w:t>Verkan av ändrade förhållanden kan enligt 35 § anläggningslagen under vissa omständigheter föranleda en ny förrättning. Av paragrafen framgår att det</w:t>
      </w:r>
      <w:r w:rsidRPr="0008481A">
        <w:t xml:space="preserve"> – även utan att sådana förhållanden inträtt – är möjligt att hålla en ny förrättning om ett klart behov av omprövning framkommit. Denna möjlighet infördes genom en lag</w:t>
      </w:r>
      <w:r w:rsidRPr="0008481A">
        <w:softHyphen/>
        <w:t>ändring 1990 och motiverades närmast av behovet att kunna modifiera villkoren för en anläggning med hänsyn till vunna erfaren</w:t>
      </w:r>
      <w:r w:rsidRPr="0008481A">
        <w:softHyphen/>
        <w:t>heter (se prop. 1988/89:77 s. 75). Huruvida denna bestämmelse hade kunnat vara tillämplig på förevarande fall är tveksamt och frågan går under alla förhållanden inte att bedöma på det material som är tillgängligt i JO</w:t>
      </w:r>
      <w:r w:rsidRPr="0008481A">
        <w:t>-ärendet. En lösning enligt denna ordning torde också vara förknippad med vissa förrättningskostnader.</w:t>
      </w:r>
    </w:p>
    <w:p w:rsidR="003B3271" w:rsidRPr="0008481A" w:rsidRDefault="003B3271">
      <w:pPr>
        <w:pStyle w:val="Normaltindrag"/>
      </w:pPr>
      <w:r w:rsidRPr="0008481A">
        <w:t>En annan rättelsemöjlighet anvisas som ett extraordinärt rättsmedel i 15 kap. 10 § fastighetsbildningslagen (1970:988) som enligt 30 § anläggnings</w:t>
      </w:r>
      <w:r w:rsidRPr="0008481A">
        <w:softHyphen/>
        <w:t>lagen är tillämp</w:t>
      </w:r>
      <w:r w:rsidRPr="0008481A">
        <w:softHyphen/>
        <w:t>lig också på anläggningsförrättningar. Enligt bestämmelsen kan lantmäteri</w:t>
      </w:r>
      <w:r w:rsidRPr="0008481A">
        <w:softHyphen/>
        <w:t>myndig</w:t>
      </w:r>
      <w:r w:rsidRPr="0008481A">
        <w:softHyphen/>
        <w:t>heten söka rättelse hos fastighetsdomstolen i förrätt</w:t>
      </w:r>
      <w:r w:rsidRPr="0008481A">
        <w:softHyphen/>
        <w:t>ning som är behäftad med grövre fel eller som av annan orsak inte bör registreras t.ex. att ett beslut fått en ”så dunkel utformning att det är omöjligt att utläsa innebörden av beslutet” (se Landahl och Nordström, Fastighets</w:t>
      </w:r>
      <w:r w:rsidRPr="0008481A">
        <w:softHyphen/>
        <w:t>bild</w:t>
      </w:r>
      <w:r w:rsidRPr="0008481A">
        <w:softHyphen/>
        <w:t>ningslagen. En kommentar, 2 u. 1991 s. 455 f.). Förutsättningar att tillämpa detta lagrum i förevarande fall torde dock inte för</w:t>
      </w:r>
      <w:r w:rsidRPr="0008481A">
        <w:t>e</w:t>
      </w:r>
      <w:r w:rsidRPr="0008481A">
        <w:softHyphen/>
        <w:t>ligga eftersom anlägg</w:t>
      </w:r>
      <w:r w:rsidRPr="0008481A">
        <w:softHyphen/>
        <w:t>ningsbeslutet inte kan anses behäftat med kvalificerade brister av här nämnt slag.</w:t>
      </w:r>
    </w:p>
    <w:p w:rsidR="003B3271" w:rsidRPr="0008481A" w:rsidRDefault="003B3271">
      <w:pPr>
        <w:pStyle w:val="Normaltindrag"/>
      </w:pPr>
      <w:r w:rsidRPr="0008481A">
        <w:t>Frågan är då om förrättningsmannen på någon annan grund kan eller är skyldig att tillhandagå med en närmare tolkning av sitt förrättningsbeslut. I 4 § förvaltnings</w:t>
      </w:r>
      <w:r w:rsidRPr="0008481A">
        <w:softHyphen/>
        <w:t>lagen föreskrivs att varje myndighet skall lämna upp</w:t>
      </w:r>
      <w:r w:rsidRPr="0008481A">
        <w:softHyphen/>
        <w:t>lysningar, vägledning och råd eller annan hjälp till  enskilda i frågor som rör myndighetens verksamhets</w:t>
      </w:r>
      <w:r w:rsidRPr="0008481A">
        <w:softHyphen/>
        <w:t>område. Hjälpen skall lämnas i den utsträckning som är lämplig med hänsyn till frågans art, den enskildes behov av hjälp och myndighetens verksamhet.</w:t>
      </w:r>
    </w:p>
    <w:p w:rsidR="003B3271" w:rsidRPr="0008481A" w:rsidRDefault="003B3271">
      <w:pPr>
        <w:pStyle w:val="Normaltindrag"/>
      </w:pPr>
      <w:r w:rsidRPr="0008481A">
        <w:t>Bestämmelsen tar när det gäller handläggning av ärenden som innefattar myndig</w:t>
      </w:r>
      <w:r w:rsidRPr="0008481A">
        <w:softHyphen/>
        <w:t>hets</w:t>
      </w:r>
      <w:r w:rsidRPr="0008481A">
        <w:softHyphen/>
        <w:t>utövning mot enskild i första hand sikte på myndighetens serviceskyldighet innan myndigheten har fattat beslut i ärendet. Även efter det att ett ärende har avslutats för myndighetens del kan bestämmelsen bli tillämplig. Som ett exempel nämns i kommentaren till Nya förvaltningslagen (Hellners-Malmqvist, 5 u. 1999 s. 55) att en enskild vill förhöra sig om möjligheten att få beslutet ändrat trots att klagotiden löpt ut.</w:t>
      </w:r>
    </w:p>
    <w:p w:rsidR="003B3271" w:rsidRPr="0008481A" w:rsidRDefault="003B3271">
      <w:pPr>
        <w:pStyle w:val="Normaltindrag"/>
      </w:pPr>
      <w:r w:rsidRPr="0008481A">
        <w:t>Ett annat exempel kan vara att myndigheten till massmedier, en part eller någon annan</w:t>
      </w:r>
      <w:r w:rsidRPr="0008481A">
        <w:t xml:space="preserve">  kommenterar sitt beslut. Något rättsligt hinder för detta föreligger inte låt vara att det i vissa fall – varom här inte är fråga – finns inskränkningar i detta avseende i sekretesslagen (1980:100). Ett sådant uttalande kan ta sikte på att förklara de ställningstaganden som gjorts i beslutet och vad som varit avgörande vid be</w:t>
      </w:r>
      <w:r w:rsidRPr="0008481A">
        <w:softHyphen/>
        <w:t>stäm</w:t>
      </w:r>
      <w:r w:rsidRPr="0008481A">
        <w:softHyphen/>
        <w:t>mande av utgången. Det kan också röra sig om frågor som har med verkställighet av beslutet att göra. Det är inte uteslutet att myndigheten också i situationer där fråga uppkommi</w:t>
      </w:r>
      <w:r w:rsidRPr="0008481A">
        <w:t>t om innebörden av myndighetens beslut kan bidra med någon form av förklaring av beslutet som kan förhindra en feltolkning av det</w:t>
      </w:r>
      <w:r w:rsidRPr="0008481A">
        <w:softHyphen/>
        <w:t>samma eller ett överklagande i onödan till nästa instans. Här måste dock myndig</w:t>
      </w:r>
      <w:r w:rsidRPr="0008481A">
        <w:softHyphen/>
        <w:t>heten iaktta stor försiktighet så att den inte i efterhand  gör en saklig omprövning av sitt eget beslut eller skadar tilltron till sin egen opartiskhet.</w:t>
      </w:r>
    </w:p>
    <w:p w:rsidR="003B3271" w:rsidRPr="0008481A" w:rsidRDefault="003B3271">
      <w:pPr>
        <w:pStyle w:val="Normaltindrag"/>
      </w:pPr>
      <w:r w:rsidRPr="0008481A">
        <w:t>Vad jag nu uttalat avser muntliga eller skriftliga uppgifter som myndigheten för</w:t>
      </w:r>
      <w:r w:rsidRPr="0008481A">
        <w:softHyphen/>
        <w:t>medlar till enskilda och andra. En helt annan sak är det om myndigheten i efter</w:t>
      </w:r>
      <w:r w:rsidRPr="0008481A">
        <w:softHyphen/>
        <w:t>hand gör ett auktoritativt uttalande till ledning för tolkningen av ett beslut och tar in detta uttalande i ett med beslut jämförbart dokument. Ett sådant förfarande  måste betecknas som klart olämpligt. Detta är självfallet särskilt framträdande när det kan föreligga motstridiga intressen i det ärende som omfattas av ursprungs</w:t>
      </w:r>
      <w:r w:rsidRPr="0008481A">
        <w:softHyphen/>
        <w:t>beslutet.</w:t>
      </w:r>
    </w:p>
    <w:p w:rsidR="003B3271" w:rsidRPr="0008481A" w:rsidRDefault="003B3271">
      <w:pPr>
        <w:pStyle w:val="Normaltindrag"/>
      </w:pPr>
      <w:r w:rsidRPr="0008481A">
        <w:t>I förevarande fall tillkom det av förrättningsmannen gjorda förtydligandet i ett sammanhang</w:t>
      </w:r>
      <w:r w:rsidRPr="0008481A">
        <w:t xml:space="preserve"> där – såvitt kan utläsas av de i JO-ärendet tillgängliga handlingarna – delade meningar förelåg om det ursprungliga beslutets inne</w:t>
      </w:r>
      <w:r w:rsidRPr="0008481A">
        <w:softHyphen/>
        <w:t>börd. Att i ett sådant läge gå ut med ett skriftligt tolkningsbesked – rubricerat ”Förtydligande i anlägg</w:t>
      </w:r>
      <w:r w:rsidRPr="0008481A">
        <w:softHyphen/>
        <w:t>ningsbeslut” och undertecknat i tjänsten av den berörde förrättningsmannen – är helt olämpligt. Genom detta för</w:t>
      </w:r>
      <w:r w:rsidRPr="0008481A">
        <w:softHyphen/>
        <w:t>farande har myndigheten gått långt utöver de ramar som gäller för service</w:t>
      </w:r>
      <w:r w:rsidRPr="0008481A">
        <w:softHyphen/>
        <w:t>plikten i förvaltningslagen. Särskilt betänkligt blir det naturligtvis om förtydligandet</w:t>
      </w:r>
      <w:r w:rsidRPr="0008481A">
        <w:t xml:space="preserve"> kan uppfattas som om det i en viktig sakfråga av</w:t>
      </w:r>
      <w:r w:rsidRPr="0008481A">
        <w:softHyphen/>
        <w:t>viker från vad som föreskrivs i ursprungsbeslutet.</w:t>
      </w:r>
    </w:p>
    <w:p w:rsidR="003B3271" w:rsidRPr="0008481A" w:rsidRDefault="003B3271">
      <w:pPr>
        <w:pStyle w:val="Rubrik2"/>
        <w:spacing w:before="0"/>
      </w:pPr>
      <w:r w:rsidRPr="0008481A">
        <w:br w:type="page"/>
        <w:t>Tiden för överklagande av förvaltningsbeslut</w:t>
      </w:r>
    </w:p>
    <w:p w:rsidR="003B3271" w:rsidRPr="0008481A" w:rsidRDefault="003B3271">
      <w:r w:rsidRPr="0008481A">
        <w:t>(Dnr 4150-1999, del av)</w:t>
      </w:r>
    </w:p>
    <w:p w:rsidR="003B3271" w:rsidRPr="0008481A" w:rsidRDefault="003B3271">
      <w:r w:rsidRPr="0008481A">
        <w:t>I några ärenden har iakttagits att myndigheter som meddelat ett överklagbart beslut i efterhand medgett att överklagandetiden skulle beräknas från en senare tidpunkt än den då klaganden fick del av beslutet. Så var bl.a. fallet i ett ärende som gällde ett av Miljö- och byggnadsnämnden i Smedjebackens kom</w:t>
      </w:r>
      <w:r w:rsidRPr="0008481A">
        <w:softHyphen/>
        <w:t>mun meddelat beslut angående bygglov. Nämndens beslut kom veder</w:t>
      </w:r>
      <w:r w:rsidRPr="0008481A">
        <w:softHyphen/>
        <w:t>börande (anmälaren E.H:s båda barn) till del den 9 september 1999. I en skrivelse följande dag bekräftade de mottagandet av beslutet och begärde sam</w:t>
      </w:r>
      <w:r w:rsidRPr="0008481A">
        <w:softHyphen/>
        <w:t>tidigt anstånd med ett eventuellt överklagande till tre veckor efter att de erhållit vissa begärda handlingar. Detta beviljades av stadsarkitekten i en skrivelse den 16 september.</w:t>
      </w:r>
    </w:p>
    <w:p w:rsidR="003B3271" w:rsidRPr="0008481A" w:rsidRDefault="003B3271">
      <w:r w:rsidRPr="0008481A">
        <w:t xml:space="preserve">I ett beslut den 19 maj 2000 anförde </w:t>
      </w:r>
      <w:r w:rsidRPr="0008481A">
        <w:rPr>
          <w:i/>
        </w:rPr>
        <w:t>stf JO Ekberg</w:t>
      </w:r>
      <w:r w:rsidRPr="0008481A">
        <w:t xml:space="preserve"> bl.a. följande.</w:t>
      </w:r>
    </w:p>
    <w:p w:rsidR="003B3271" w:rsidRPr="0008481A" w:rsidRDefault="003B3271">
      <w:r w:rsidRPr="0008481A">
        <w:t>Av 13 kap. 3 § första stycket PBL framgår att bestämmelser om över</w:t>
      </w:r>
      <w:r w:rsidRPr="0008481A">
        <w:softHyphen/>
        <w:t>klagande av byggnadsnämndens beslut om bl.a. bygglov, rivningslov eller marklov finns i 23–25 §§ förvaltningslagen. Av dessa paragrafer framgår bl.a. följande. En skrivelse med överklagande skall ges in till den myndighet, som har meddelat det överklagade beslutet, och skall ha kommit in dit inom tre veckor från den dag då klaganden fick del av beslutet. Beslutsmyndig</w:t>
      </w:r>
      <w:r w:rsidRPr="0008481A">
        <w:softHyphen/>
        <w:t>heten prövar om skrivelsen med överklagandet har kommit in i rätt tid (s.k. rättidsprövning) och skall, om detta är fallet, överlämna skrive</w:t>
      </w:r>
      <w:r w:rsidRPr="0008481A">
        <w:t>lsen och övriga handlingar i ärendet till den myndighet som skall pröva överklagan</w:t>
      </w:r>
      <w:r w:rsidRPr="0008481A">
        <w:softHyphen/>
        <w:t>det. Har skrivelsen kommit in för sent, skall den som regel avvisas.</w:t>
      </w:r>
    </w:p>
    <w:p w:rsidR="003B3271" w:rsidRPr="0008481A" w:rsidRDefault="003B3271">
      <w:pPr>
        <w:pStyle w:val="Normaltindrag"/>
      </w:pPr>
      <w:r w:rsidRPr="0008481A">
        <w:t>I förevarande fall hade E.H:s barn i en telefaxskrivelse till miljö- och byggnadsnämnden den 10 september 1999 bekräftat att de den 9 september hade mottagit nämndens beslut av den 31 augusti 1999. Överklagandetiden började lagenligt löpa den 9 september och rättidsprövningen, vid ett över</w:t>
      </w:r>
      <w:r w:rsidRPr="0008481A">
        <w:softHyphen/>
        <w:t>klagande, skulle alltså ske med utgångspunkt i detta datum. Någon rätt för myndigheten att efter eget skön bestämma överklagandetiden och hur den skall beräknas finns inte. Nämnden översände den 16 september 1999 en begärd handling till E.H:s barn och meddelade samtidigt att överklagande</w:t>
      </w:r>
      <w:r w:rsidRPr="0008481A">
        <w:softHyphen/>
        <w:t>tiden ”kommer att räknas 3 veckor från det datum ni erhållit dessa hand</w:t>
      </w:r>
      <w:r w:rsidRPr="0008481A">
        <w:softHyphen/>
        <w:t>lingar”. Detta meddelande är med hänsyn till gällande bestämmelser ägnat att förvåna. Än mer anmärkningsvärt finner jag det att miljö- och bygg</w:t>
      </w:r>
      <w:r w:rsidRPr="0008481A">
        <w:softHyphen/>
        <w:t>nads</w:t>
      </w:r>
      <w:r w:rsidRPr="0008481A">
        <w:softHyphen/>
        <w:t>n</w:t>
      </w:r>
      <w:r w:rsidRPr="0008481A">
        <w:t>ämnden i sitt remissvar – trots att tillämplig paragraf i förvalt</w:t>
      </w:r>
      <w:r w:rsidRPr="0008481A">
        <w:softHyphen/>
        <w:t>nings</w:t>
      </w:r>
      <w:r w:rsidRPr="0008481A">
        <w:softHyphen/>
        <w:t>lagen angetts i remissen – uttalat att det ”ansågs rimligt” att bevilja anstånd med överklagandet.</w:t>
      </w:r>
    </w:p>
    <w:p w:rsidR="003B3271" w:rsidRPr="0008481A" w:rsidRDefault="003B3271">
      <w:pPr>
        <w:pStyle w:val="Rubrik1"/>
        <w:spacing w:before="0"/>
      </w:pPr>
      <w:r w:rsidRPr="0008481A">
        <w:br w:type="page"/>
        <w:t>Överförmyndarnämnder och överförmyndare</w:t>
      </w:r>
    </w:p>
    <w:p w:rsidR="003B3271" w:rsidRPr="0008481A" w:rsidRDefault="003B3271">
      <w:pPr>
        <w:pStyle w:val="Rubrik2"/>
      </w:pPr>
      <w:r w:rsidRPr="0008481A">
        <w:t>Vissa iakttagelser och uttalanden med anknytning till förmynderskapslagstiftningen</w:t>
      </w:r>
    </w:p>
    <w:p w:rsidR="003B3271" w:rsidRPr="0008481A" w:rsidRDefault="003B3271">
      <w:r w:rsidRPr="0008481A">
        <w:t>(Dnr 3519–3521-1999 och 4517-1999)</w:t>
      </w:r>
    </w:p>
    <w:p w:rsidR="003B3271" w:rsidRPr="0008481A" w:rsidRDefault="003B3271">
      <w:r w:rsidRPr="0008481A">
        <w:t>Frågor som har anknytning till förmynderskapslagstiftningen kan få mycket ingripande verkningar för den enskilde. Det är därför ytterst angeläget att sådana ärenden handläggs korrekt och med om</w:t>
      </w:r>
      <w:r w:rsidRPr="0008481A">
        <w:softHyphen/>
        <w:t>sorg. Mot bakgrund härav har JO Pennlöv under den period som denna berättelse omfattar ägnat detta område särskild uppmärksamhet. Ett flertal klagomålsärenden har avgjorts och fyra inspektioner har företagits, nämligen av Överförmyndarna i Orsa, Leksands och Falu kommuner (dnr 3519–3521-1999) samt av Överför</w:t>
      </w:r>
      <w:r w:rsidRPr="0008481A">
        <w:softHyphen/>
        <w:t>myndar</w:t>
      </w:r>
      <w:r w:rsidRPr="0008481A">
        <w:softHyphen/>
        <w:t>nämnden i Göteborgs kommun (dnr 4517-1999). I det följande redovisas uttalanden som förekommit i några under året av JO Pennlöv meddelade beslut.</w:t>
      </w:r>
    </w:p>
    <w:p w:rsidR="003B3271" w:rsidRPr="0008481A" w:rsidRDefault="003B3271">
      <w:r w:rsidRPr="0008481A">
        <w:t>Vid de företagna inspektionerna har konstaterats</w:t>
      </w:r>
      <w:r w:rsidRPr="0008481A">
        <w:t xml:space="preserve"> ett flertal brister i handläggningen av förmyn</w:t>
      </w:r>
      <w:r w:rsidRPr="0008481A">
        <w:softHyphen/>
        <w:t>der</w:t>
      </w:r>
      <w:r w:rsidRPr="0008481A">
        <w:softHyphen/>
        <w:t>skapsärenden. Med anledning framför allt av vad som framkom i Leksand och Göteborg fann JO anledning att erinra om de regler som gäller för registrering av allmänna handlingar. I inspektions</w:t>
      </w:r>
      <w:r w:rsidRPr="0008481A">
        <w:softHyphen/>
        <w:t>protokollen återgav han därför vad han anförde i denna fråga vid sin inspektion av Överförmyndar</w:t>
      </w:r>
      <w:r w:rsidRPr="0008481A">
        <w:softHyphen/>
        <w:t>nämnden i Helsingborgs kommun (dnr 4287-1997) enligt följande.</w:t>
      </w:r>
    </w:p>
    <w:p w:rsidR="003B3271" w:rsidRPr="0008481A" w:rsidRDefault="003B3271">
      <w:pPr>
        <w:pStyle w:val="Citat"/>
        <w:spacing w:line="213" w:lineRule="exact"/>
      </w:pPr>
      <w:r w:rsidRPr="0008481A">
        <w:t>Enligt huvudregeln i 15 kap. 1 § sekretesslagen skall allmän handling, när den kommit in till eller upprättat</w:t>
      </w:r>
      <w:r w:rsidRPr="0008481A">
        <w:t>s hos myndighet, utan dröjsmål registreras. Enligt 15 kap. 2 § sekretesslagen skall det av registreringen framgå datum då handlingen kom in eller upprättades och diarienummer eller annan beteckning som har åsatts handlingen samt i förekommande fall från vem handlingen har kommit in eller till vem den har expedierats och i korthet vad hand</w:t>
      </w:r>
      <w:r w:rsidRPr="0008481A">
        <w:softHyphen/>
        <w:t>lingen rör</w:t>
      </w:r>
      <w:r w:rsidRPr="0008481A">
        <w:rPr>
          <w:i/>
        </w:rPr>
        <w:t>.</w:t>
      </w:r>
      <w:r w:rsidRPr="0008481A">
        <w:t xml:space="preserve"> I undantagsfall skall uppgifter av de två sistnämnda slagen utelämnas eller särskiljas, nämligen om det behövs för att registret i övriga delar skall kunna för</w:t>
      </w:r>
      <w:r w:rsidRPr="0008481A">
        <w:t xml:space="preserve">etes för allmänheten. </w:t>
      </w:r>
    </w:p>
    <w:p w:rsidR="003B3271" w:rsidRPr="0008481A" w:rsidRDefault="003B3271">
      <w:pPr>
        <w:pStyle w:val="Citatindrag"/>
      </w:pPr>
      <w:r w:rsidRPr="0008481A">
        <w:t>Det skall understrykas att de ifrågavarande uppgifterna skall framgå av registreringen</w:t>
      </w:r>
      <w:r w:rsidRPr="0008481A">
        <w:rPr>
          <w:i/>
        </w:rPr>
        <w:t xml:space="preserve">. </w:t>
      </w:r>
      <w:r w:rsidRPr="0008481A">
        <w:t>Det räcker således inte med att varje separat upprättad eller inkommen handling innehåller uppgift om datum och diarienummer etc. Man kan också uttrycka det så att det skall vara möjligt att – utan några ”förkunskaper” om ärendet och utan tillgång till några andra handlingar än själva registret, dvs. dagboksbladet – fastställa vilka handlingar som in</w:t>
      </w:r>
      <w:r w:rsidRPr="0008481A">
        <w:softHyphen/>
        <w:t>kommit och upprättats i ärendet. När det gäller diarienummer eller liknande beteckning i överförmyndarnas verksamhet kan personnumret vara en naturlig och lä</w:t>
      </w:r>
      <w:r w:rsidRPr="0008481A">
        <w:t xml:space="preserve">mplig beteckning. Överförmyndarnämnden i Helsingborgs kommun åsätter varje akt ett löpande registreringsnummer. Huvudsaken är att det går att hänföra varje handling till en särskild akt. Om den beteckning som används framgår av varje separat handling i akten, och handlingen dessutom aktbilageras samt aktbilagenummer också anges i registret (dagboksbladet) skapas en godtagbar säkerhet i diarieföringen såvitt avser identifikationen av handlingen. </w:t>
      </w:r>
    </w:p>
    <w:p w:rsidR="003B3271" w:rsidRPr="0008481A" w:rsidRDefault="003B3271">
      <w:pPr>
        <w:pStyle w:val="Citatindrag"/>
      </w:pPr>
      <w:r w:rsidRPr="0008481A">
        <w:t>Beträffande handlingar som är offentliga anvisas i 15 kap. 1 §</w:t>
      </w:r>
      <w:r w:rsidRPr="0008481A">
        <w:t xml:space="preserve"> sekretess</w:t>
      </w:r>
      <w:r w:rsidRPr="0008481A">
        <w:softHyphen/>
        <w:t>lagen ett alternativ till registrering, nämligen att handlingarna hålls så ordnade att det utan svårighet kan fastställas om en handling har kommit in eller upprättats. Förekomsten av offentliga handlingar i ärenden som handläggs av överförmyndare torde dock vara begränsat med hänsyn till den starka sekretess som råder i nämnda verksamhet enligt 9 kap. 14 § sekretess</w:t>
      </w:r>
      <w:r w:rsidRPr="0008481A">
        <w:softHyphen/>
        <w:t>lagen. Enligt paragrafen gäller sekretess hos överförmyndare eller över</w:t>
      </w:r>
      <w:r w:rsidRPr="0008481A">
        <w:softHyphen/>
        <w:t>för</w:t>
      </w:r>
      <w:r w:rsidRPr="0008481A">
        <w:softHyphen/>
        <w:t xml:space="preserve">myndarnämnd i ärende enligt föräldrabalken för uppgift </w:t>
      </w:r>
      <w:r w:rsidRPr="0008481A">
        <w:t>om en</w:t>
      </w:r>
      <w:r w:rsidRPr="0008481A">
        <w:softHyphen/>
        <w:t>skildas personliga eller ekonomiska förhållanden, om det inte står klart att uppgiften kan röjas utan att den enskilde lider skada eller men. Utan hinder av sekretessen får uppgift lämnas till enskild enligt vad som föreskrivs i föräldra</w:t>
      </w:r>
      <w:r w:rsidRPr="0008481A">
        <w:softHyphen/>
        <w:t xml:space="preserve">balken. </w:t>
      </w:r>
    </w:p>
    <w:p w:rsidR="003B3271" w:rsidRPr="0008481A" w:rsidRDefault="003B3271">
      <w:pPr>
        <w:pStyle w:val="Citatindrag"/>
      </w:pPr>
      <w:r w:rsidRPr="0008481A">
        <w:t>I sekretesslagen finns också andra undantag från registreringsskyldigheten. Dessa är dock antingen inte tillämpliga över huvud taget i överförmyndarnas verksamhet eller av begränsad praktisk betydelse för denna. Jag går därför inte närmare in på dessa undanta</w:t>
      </w:r>
      <w:r w:rsidRPr="0008481A">
        <w:t xml:space="preserve">g. </w:t>
      </w:r>
    </w:p>
    <w:p w:rsidR="003B3271" w:rsidRPr="0008481A" w:rsidRDefault="003B3271">
      <w:pPr>
        <w:pStyle w:val="Citatindrag"/>
      </w:pPr>
      <w:r w:rsidRPr="0008481A">
        <w:t xml:space="preserve">Det noterades att överförmyndarnämnden till länsstyrelsen hade uttryckt att nämnden egentligen inte är skyldig att föra dagbok men att sådan nu upprättats eftersom länsstyrelsen krävt detta. </w:t>
      </w:r>
    </w:p>
    <w:p w:rsidR="003B3271" w:rsidRPr="0008481A" w:rsidRDefault="003B3271">
      <w:pPr>
        <w:pStyle w:val="Citatindrag"/>
      </w:pPr>
      <w:r w:rsidRPr="0008481A">
        <w:t xml:space="preserve">JO fann av denna anledning, för undvikande av missförstånd, skäl att till protokollet låta anteckna följande. </w:t>
      </w:r>
    </w:p>
    <w:p w:rsidR="003B3271" w:rsidRPr="0008481A" w:rsidRDefault="003B3271">
      <w:pPr>
        <w:pStyle w:val="Citatindrag"/>
      </w:pPr>
      <w:r w:rsidRPr="0008481A">
        <w:t>De krav på löpande registrering som uppställts i 15 kap. 2 § sekretesslagen kan sägas innebära just att en slags dagbok skall föras. Detta register över inkommande och upprättade handlingar behöver naturligtvis inte nödvän</w:t>
      </w:r>
      <w:r w:rsidRPr="0008481A">
        <w:softHyphen/>
        <w:t xml:space="preserve">digtvis kallas dagbok. Det viktiga är att varje myndighet som inte omfattas av något av de ovan angivna undantagen från registreringsskyldigheten ser till att myndighetens diarieföring når upp till sekretesslagens krav. </w:t>
      </w:r>
    </w:p>
    <w:p w:rsidR="003B3271" w:rsidRPr="0008481A" w:rsidRDefault="003B3271">
      <w:pPr>
        <w:pStyle w:val="Citatindrag"/>
      </w:pPr>
      <w:r w:rsidRPr="0008481A">
        <w:t>Av naturliga skäl går det inte att på ett detaljerat sätt ange hur registre</w:t>
      </w:r>
      <w:r w:rsidRPr="0008481A">
        <w:softHyphen/>
        <w:t>ringen skall utformas i det enskilda fallet. För överförmyndarnämndens del framstår det dock som lämpligt att fortsätta på den inslagna vägen, d.v.s. att föra dag</w:t>
      </w:r>
      <w:r w:rsidRPr="0008481A">
        <w:softHyphen/>
        <w:t>bok på aktomslaget och därvid ange datum då handling inkom eller upprättades, ett aktbilagenummer (genom vilken varje handling i akten kan identifieras), från vem handlingen inkommit (t.ex. ”skrivelse från gode mannen”) alterna</w:t>
      </w:r>
      <w:r w:rsidRPr="0008481A">
        <w:softHyphen/>
        <w:t>tivt till vem den expedierats (”föreläggande till gode mannen”) och i korthet vad handlingen rör (”årsredovisning”). Ick</w:t>
      </w:r>
      <w:r w:rsidRPr="0008481A">
        <w:t>e expedie</w:t>
      </w:r>
      <w:r w:rsidRPr="0008481A">
        <w:softHyphen/>
        <w:t>ra</w:t>
      </w:r>
      <w:r w:rsidRPr="0008481A">
        <w:softHyphen/>
        <w:t>de tjänsteanteckningar (t.ex. uppgifter inhämtade vid telefonsamtal) benämns t.ex. ”tjänsteanteckning” eller ”Tel. med N.N.”</w:t>
      </w:r>
    </w:p>
    <w:p w:rsidR="003B3271" w:rsidRPr="0008481A" w:rsidRDefault="003B3271">
      <w:r w:rsidRPr="0008481A">
        <w:t>Vad gällde Överförmyndarnämnden i Göteborg framhöll JO det anmärk</w:t>
      </w:r>
      <w:r w:rsidRPr="0008481A">
        <w:softHyphen/>
        <w:t>nings</w:t>
      </w:r>
      <w:r w:rsidRPr="0008481A">
        <w:softHyphen/>
        <w:t>värda i att åtgärder inte hade vidtagits för att komma till rätta med rutinerna för registrering av handlingar, eftersom han vid en tidigare inspektion 1992 riktat kritik mot nämnden i just detta avseende.</w:t>
      </w:r>
    </w:p>
    <w:p w:rsidR="003B3271" w:rsidRPr="0008481A" w:rsidRDefault="003B3271">
      <w:pPr>
        <w:pStyle w:val="Normaltindrag"/>
      </w:pPr>
      <w:r w:rsidRPr="0008481A">
        <w:t>Vid inspektionerna har vidare noterats att bestämmelserna om gode mäns och förvaltares m.fl. redovisningsskyldighet inte alltid efterlevs och att det föreligger vissa brister i överförmyndarnas handläggning och kontroll av dessa frågor. I Falun hade sålunda i stort sett samtliga  årsräkningar godkä</w:t>
      </w:r>
      <w:r w:rsidRPr="0008481A">
        <w:t>nts trots att de inte avgetts på ”heder och samvete”. Med anledning härav har JO gjort föl</w:t>
      </w:r>
      <w:r w:rsidRPr="0008481A">
        <w:softHyphen/>
        <w:t>jande uttalande.</w:t>
      </w:r>
    </w:p>
    <w:p w:rsidR="003B3271" w:rsidRPr="0008481A" w:rsidRDefault="003B3271">
      <w:pPr>
        <w:pStyle w:val="Citat"/>
      </w:pPr>
      <w:r w:rsidRPr="0008481A">
        <w:t>I 14 kap. 15 § första stycket föräldrabalken föreskrivs följande. Förordnade förmyndare, gode män och förvaltare skall före den 1 mars varje år i en årsräkning till överförmyndaren redogöra för förvaltningen under föregående år av egendom som har stått under ställföreträdarens förvaltning. Års</w:t>
      </w:r>
      <w:r w:rsidRPr="0008481A">
        <w:softHyphen/>
        <w:t>räk</w:t>
      </w:r>
      <w:r w:rsidRPr="0008481A">
        <w:softHyphen/>
        <w:t>ningen skall avges på heder och samvete. Motsva</w:t>
      </w:r>
      <w:r w:rsidRPr="0008481A">
        <w:softHyphen/>
        <w:t>rande gäller för</w:t>
      </w:r>
      <w:r w:rsidRPr="0008481A">
        <w:softHyphen/>
        <w:t xml:space="preserve">teckningar enligt 14 kap. 1 § och 13 kap. 3 § föräldrabalken. </w:t>
      </w:r>
    </w:p>
    <w:p w:rsidR="003B3271" w:rsidRPr="0008481A" w:rsidRDefault="003B3271">
      <w:pPr>
        <w:pStyle w:val="Citatindrag"/>
      </w:pPr>
      <w:r w:rsidRPr="0008481A">
        <w:t xml:space="preserve"> JO underströk att det ovan angivna kravet på avgivande på heder och samvete är ovillkorligt samt att årsräkningar eller förteckningar som saknar föreskriven påskrift inte får godkännas, eftersom handlingarna i det skicket inte kan anses utgöra några förteckningar eller årsräkningar i föräldrabalkens mening. De som lämnar osanna uppgifter skall kunna träffas av straffansvar en</w:t>
      </w:r>
      <w:r w:rsidRPr="0008481A">
        <w:t>ligt 15 kap. 10 § brottsbalken. Påteckningen ”på heder och samvete” har därmed också en viktig pedagogisk funktion genom att uppmärksamma uppgiftslämnaren på vikten av att lämna korrekta uppgifter. Årsräkningar och andra handlingar vilka enligt föräldrabalken skall avges på heder och samvete skall därför återsändas till ingivaren för komplettering om föreskriven påteckning saknas.</w:t>
      </w:r>
    </w:p>
    <w:p w:rsidR="003B3271" w:rsidRPr="0008481A" w:rsidRDefault="003B3271">
      <w:r w:rsidRPr="0008481A">
        <w:t>I två ärenden vid Överförmyndarnämnden i Göteborg, vilka härrörde från kommunens s.k. för</w:t>
      </w:r>
      <w:r w:rsidRPr="0008481A">
        <w:softHyphen/>
        <w:t>val</w:t>
      </w:r>
      <w:r w:rsidRPr="0008481A">
        <w:softHyphen/>
        <w:t>tarenhet, har uppmärksammats att årsräkningarna var utformade som en årsredovisning för ett företag. I räkningen har huvudmannen benämnts som ett ”projekt” och redovisningen över årets inkomster och utgifter har återgetts under rubrikerna ”rörelseintäkter” respektive ”material</w:t>
      </w:r>
      <w:r w:rsidRPr="0008481A">
        <w:softHyphen/>
        <w:t>kost</w:t>
      </w:r>
      <w:r w:rsidRPr="0008481A">
        <w:softHyphen/>
        <w:t>nader”, innebärande att huvudmannens utgifter för t.ex. tandvård har redovisats som en material</w:t>
      </w:r>
      <w:r w:rsidRPr="0008481A">
        <w:softHyphen/>
        <w:t>kostnad. Med anledning härav har JO framhållit att det är synnerligen olämpligt att betrakta en huvudman som ett ”projekt” och a</w:t>
      </w:r>
      <w:r w:rsidRPr="0008481A">
        <w:t>tt redovisa dennes ekonomi  på det sätt som gjorts i de aktuella ärendena. Han har vidare förklarat att han utgår från att denna redovisningsform skall upphöra omedelbart.</w:t>
      </w:r>
    </w:p>
    <w:p w:rsidR="003B3271" w:rsidRPr="0008481A" w:rsidRDefault="003B3271">
      <w:pPr>
        <w:pStyle w:val="Normaltindrag"/>
      </w:pPr>
      <w:r w:rsidRPr="0008481A">
        <w:t>Vad gällde Överförmyndaren i Leksand framhöll JO att de konstaterade bristerna var så all</w:t>
      </w:r>
      <w:r w:rsidRPr="0008481A">
        <w:softHyphen/>
        <w:t>varliga att en noggrann genomgång av samtliga ärenden måste göras och att han förutsatte att överförmyndaren skulle ges resurser  för att möjliggöra en sådan översyn.</w:t>
      </w:r>
    </w:p>
    <w:p w:rsidR="003B3271" w:rsidRPr="0008481A" w:rsidRDefault="003B3271">
      <w:pPr>
        <w:pStyle w:val="Rubrik2"/>
      </w:pPr>
      <w:r w:rsidRPr="0008481A">
        <w:t>Kritik mot en överförmyndare för bl.a. underlåtenhet att kommunicera ett arvodesyrkande med dödsbo</w:t>
      </w:r>
    </w:p>
    <w:p w:rsidR="003B3271" w:rsidRPr="0008481A" w:rsidRDefault="003B3271">
      <w:r w:rsidRPr="0008481A">
        <w:t>(Dnr 3290-1998)</w:t>
      </w:r>
    </w:p>
    <w:p w:rsidR="003B3271" w:rsidRPr="0008481A" w:rsidRDefault="003B3271">
      <w:r w:rsidRPr="0008481A">
        <w:t xml:space="preserve">I ett beslut den 29 november 1999 anförde </w:t>
      </w:r>
      <w:r w:rsidRPr="0008481A">
        <w:rPr>
          <w:i/>
        </w:rPr>
        <w:t>JO Pennlöv</w:t>
      </w:r>
      <w:r w:rsidRPr="0008481A">
        <w:t xml:space="preserve"> följande.</w:t>
      </w:r>
    </w:p>
    <w:p w:rsidR="003B3271" w:rsidRPr="0008481A" w:rsidRDefault="003B3271">
      <w:pPr>
        <w:pStyle w:val="Rubrik3"/>
      </w:pPr>
      <w:r w:rsidRPr="0008481A">
        <w:t>Anmälan m.m.</w:t>
      </w:r>
    </w:p>
    <w:p w:rsidR="003B3271" w:rsidRPr="0008481A" w:rsidRDefault="003B3271">
      <w:r w:rsidRPr="0008481A">
        <w:t>B.D., för vilken L.S. varit god man enligt 11 kap. 4 § föräldra</w:t>
      </w:r>
      <w:r w:rsidRPr="0008481A">
        <w:softHyphen/>
        <w:t xml:space="preserve">balken, avled den 5 maj 1998. I beslut den 28 maj 1998 biföll Överförmyndaren i Lidingö stad den gode mannens framställning om arvode för 1998 med 5 600 kr. Dödsboet hade inte beretts tillfälle att yttra sig innan beslutet fattades.  </w:t>
      </w:r>
    </w:p>
    <w:p w:rsidR="003B3271" w:rsidRPr="0008481A" w:rsidRDefault="003B3271">
      <w:pPr>
        <w:pStyle w:val="Normaltindrag"/>
      </w:pPr>
      <w:r w:rsidRPr="0008481A">
        <w:t>I en anmälan till JO klagade P.M.D., som är son till B.D., bl.a. på att överförmyndaren inte givit dödsboet möjlighet att yttra sig över arvodes</w:t>
      </w:r>
      <w:r w:rsidRPr="0008481A">
        <w:softHyphen/>
        <w:t>yrkandena eller besvära sig över arvodesbeslutet. P.M.D. anförde bl.a. följande. Överförmyndaren har genom en rad felaktigheter gentemot döds</w:t>
      </w:r>
      <w:r w:rsidRPr="0008481A">
        <w:softHyphen/>
        <w:t>boet åsamkat detta att medel utgått obehörigen. Överförmyndaren har vidare inte givit boet möjlighet att bevaka sin rätt. Att överförmyndaren sedan även tilldelat den gode mannen ersättningar genom beslut som, som det förstås, inte har delgivits huvudmannen under hans levnad och som av dödsboet uppfattas vida överstiga senare års arbetsinsatser av den gode mannen gör</w:t>
      </w:r>
      <w:r w:rsidRPr="0008481A">
        <w:t xml:space="preserve"> inte saken bättre. Att en statlig myndighet, utan någon som helst fullmakt och utan att meddela dödsboet, kan berättiga en person att gå in på en bank och plocka ut pengar från ett spärrat konto är fullstän</w:t>
      </w:r>
      <w:r w:rsidRPr="0008481A">
        <w:softHyphen/>
        <w:t>digt horribelt och åtminstone på gränsen till lagbrott. Vidare har över</w:t>
      </w:r>
      <w:r w:rsidRPr="0008481A">
        <w:softHyphen/>
        <w:t>för</w:t>
      </w:r>
      <w:r w:rsidRPr="0008481A">
        <w:softHyphen/>
        <w:t>mynda</w:t>
      </w:r>
      <w:r w:rsidRPr="0008481A">
        <w:softHyphen/>
        <w:t>ren visat på uppseendeväckande brister vad gäller förvaltnings</w:t>
      </w:r>
      <w:r w:rsidRPr="0008481A">
        <w:softHyphen/>
        <w:t>process</w:t>
      </w:r>
      <w:r w:rsidRPr="0008481A">
        <w:softHyphen/>
      </w:r>
      <w:r w:rsidRPr="0008481A">
        <w:softHyphen/>
        <w:t>rätts</w:t>
      </w:r>
      <w:r w:rsidRPr="0008481A">
        <w:softHyphen/>
        <w:t>liga regler. De personer som är nödgade att ha en god man till hjälp måste kunna lita på att en överförmyndare besitter de kunskaper som krävs f</w:t>
      </w:r>
      <w:r w:rsidRPr="0008481A">
        <w:t>ör att den enskildes rätt skall kunna bevakas.</w:t>
      </w:r>
    </w:p>
    <w:p w:rsidR="003B3271" w:rsidRPr="0008481A" w:rsidRDefault="003B3271">
      <w:pPr>
        <w:pStyle w:val="Rubrik3"/>
      </w:pPr>
      <w:r w:rsidRPr="0008481A">
        <w:t>Utredning</w:t>
      </w:r>
    </w:p>
    <w:p w:rsidR="003B3271" w:rsidRPr="0008481A" w:rsidRDefault="003B3271">
      <w:r w:rsidRPr="0008481A">
        <w:t>Sedan överförmyndarens akt i ärendet lånats in och granskats remitterades anmä</w:t>
      </w:r>
      <w:r w:rsidRPr="0008481A">
        <w:softHyphen/>
        <w:t>lan till överförmyndaren för utredning och yttrande. I remissvaret anförde överför</w:t>
      </w:r>
      <w:r w:rsidRPr="0008481A">
        <w:softHyphen/>
        <w:t>mynda</w:t>
      </w:r>
      <w:r w:rsidRPr="0008481A">
        <w:softHyphen/>
        <w:t>ren Richard W Hjelt följande.</w:t>
      </w:r>
    </w:p>
    <w:p w:rsidR="003B3271" w:rsidRPr="0008481A" w:rsidRDefault="003B3271">
      <w:pPr>
        <w:pStyle w:val="Citat"/>
        <w:spacing w:line="213" w:lineRule="exact"/>
      </w:pPr>
      <w:r w:rsidRPr="0008481A">
        <w:t>D:s anmälan är uppdelad i två punkter varför jag här nedan yttrar mig över respektive punkt.</w:t>
      </w:r>
    </w:p>
    <w:p w:rsidR="003B3271" w:rsidRPr="0008481A" w:rsidRDefault="003B3271">
      <w:pPr>
        <w:pStyle w:val="Citatindrag"/>
      </w:pPr>
      <w:r w:rsidRPr="0008481A">
        <w:t>1. Utformningen av arvodesbeslutet har en text som har tillämpats såväl när det gäller god man/förvaltare som dödsbo. I det senare fallet har jag ej avsett att utforma beslutet som en fullmakt och det är ej heller att uppfatta som en fullmakt när det gäller dödsbon. Detta sagt med kännedom om den fasta praxis som tillämpas av bankerna och vilken i praktiken betyder, att endast rena fakturor godkännes av bankerna för betalning innan bouppteckning är inregistrerad. Alla övriga krav på boet till exempel arvod</w:t>
      </w:r>
      <w:r w:rsidRPr="0008481A">
        <w:t>esbeslut har fått anstå antingen till dess boupp</w:t>
      </w:r>
      <w:r w:rsidRPr="0008481A">
        <w:softHyphen/>
        <w:t>teckningen blivit inregistrerad eller arvodes</w:t>
      </w:r>
      <w:r w:rsidRPr="0008481A">
        <w:softHyphen/>
        <w:t>kravet godkänts av döds</w:t>
      </w:r>
      <w:r w:rsidRPr="0008481A">
        <w:softHyphen/>
        <w:t>bodelägarna alternativt en boutredningsman.</w:t>
      </w:r>
    </w:p>
    <w:p w:rsidR="003B3271" w:rsidRPr="0008481A" w:rsidRDefault="003B3271">
      <w:pPr>
        <w:pStyle w:val="Citatindrag"/>
      </w:pPr>
      <w:r w:rsidRPr="0008481A">
        <w:t>Vad som i det aktuella fallet har hänt, är att gode mannen utan dödsbo</w:t>
      </w:r>
      <w:r w:rsidRPr="0008481A">
        <w:softHyphen/>
        <w:t>del</w:t>
      </w:r>
      <w:r w:rsidRPr="0008481A">
        <w:softHyphen/>
        <w:t>ägarnas medgivande och innan bouppteckningen blivit registrerad i bank utverkat betalning. Rent spontant anser jag att banken förfarit felaktigt i detta fall – förutsatt att gode mannen upplyst om huvudmannens bortgång.</w:t>
      </w:r>
    </w:p>
    <w:p w:rsidR="003B3271" w:rsidRPr="0008481A" w:rsidRDefault="003B3271">
      <w:pPr>
        <w:pStyle w:val="Citatindrag"/>
      </w:pPr>
      <w:r w:rsidRPr="0008481A">
        <w:t>Eftersom det tydligen lyckats för en god man att få betalt från ett dödsbos konto har jag numera i min verksamhet kompletterat arvodesbeslut med en mening av följande lydelse ”Har huvud</w:t>
      </w:r>
      <w:r w:rsidRPr="0008481A">
        <w:softHyphen/>
        <w:t>mannen avlidit krävs dödsboets tillstånd för uttag av arvodet”.</w:t>
      </w:r>
    </w:p>
    <w:p w:rsidR="003B3271" w:rsidRPr="0008481A" w:rsidRDefault="003B3271">
      <w:pPr>
        <w:pStyle w:val="Citatindrag"/>
      </w:pPr>
      <w:r w:rsidRPr="0008481A">
        <w:t>Denna nya utformning av arvodesbeslutet borde nu förhindra ett upprepande av vad som har hänt i det aktuella ärendet.</w:t>
      </w:r>
    </w:p>
    <w:p w:rsidR="003B3271" w:rsidRPr="0008481A" w:rsidRDefault="003B3271">
      <w:pPr>
        <w:pStyle w:val="Citatindrag"/>
      </w:pPr>
      <w:r w:rsidRPr="0008481A">
        <w:t>Såvitt det är mig bekant förekommer icke den av mig framtagna formule</w:t>
      </w:r>
      <w:r w:rsidRPr="0008481A">
        <w:softHyphen/>
        <w:t>ringen hos landets överförmyndare.</w:t>
      </w:r>
    </w:p>
    <w:p w:rsidR="003B3271" w:rsidRPr="0008481A" w:rsidRDefault="003B3271">
      <w:pPr>
        <w:pStyle w:val="Citatindrag"/>
      </w:pPr>
      <w:r w:rsidRPr="0008481A">
        <w:t>2. P.M.D. har vidare påtalat att arvodesbeslutet inte delgivits dödsboet. Det är riktigt att dödsboet icke delgivits arvodesbeslutet. Bak</w:t>
      </w:r>
      <w:r w:rsidRPr="0008481A">
        <w:softHyphen/>
        <w:t>grun</w:t>
      </w:r>
      <w:r w:rsidRPr="0008481A">
        <w:softHyphen/>
        <w:t>den härtill är att jag har förutsatt, att gode mannen skulle förete arvo</w:t>
      </w:r>
      <w:r w:rsidRPr="0008481A">
        <w:softHyphen/>
        <w:t>desbeslutet för dödsboet för att överhuvudtaget få betalt. I det läget skulle dödsboet kunna läsa sig till en möjlighet att överklaga arvodesbeslutet. Att ett dödsbo är att jämställa med begreppet ”enskild” enligt förvaltnings</w:t>
      </w:r>
      <w:r w:rsidRPr="0008481A">
        <w:softHyphen/>
        <w:t>lagen har jag utgått ifrån. Såvitt jag vet är emellertid den frågan ej prövad i praxis.</w:t>
      </w:r>
    </w:p>
    <w:p w:rsidR="003B3271" w:rsidRPr="0008481A" w:rsidRDefault="003B3271">
      <w:pPr>
        <w:pStyle w:val="Citatindrag"/>
      </w:pPr>
      <w:r w:rsidRPr="0008481A">
        <w:t>I D:s anmälan framhålles det att dödsboet träffas av beslutet och att ”medel utgått obehörigen”. Det anföres vidare at</w:t>
      </w:r>
      <w:r w:rsidRPr="0008481A">
        <w:t>t boet inte givits möjlighet att ”bevaka sin rätt”.</w:t>
      </w:r>
    </w:p>
    <w:p w:rsidR="003B3271" w:rsidRPr="0008481A" w:rsidRDefault="003B3271">
      <w:pPr>
        <w:pStyle w:val="Citatindrag"/>
      </w:pPr>
      <w:r w:rsidRPr="0008481A">
        <w:t>Såsom det torde vara bekant, är det ingalunda lätt att rekrytera lämpliga per</w:t>
      </w:r>
      <w:r w:rsidRPr="0008481A">
        <w:softHyphen/>
        <w:t>soner till uppdrag som gode män och förvaltare. Icke sällan anser gode män/förvaltare sig inte ha rönt erkänsla och uppskattning för utfört arbete. De upp</w:t>
      </w:r>
      <w:r w:rsidRPr="0008481A">
        <w:softHyphen/>
      </w:r>
      <w:r w:rsidRPr="0008481A">
        <w:softHyphen/>
        <w:t>lever även överförmyndarens granskning av arvodena som ett ingrepp och ifrågasättande av deras arbetsinsatser.</w:t>
      </w:r>
    </w:p>
    <w:p w:rsidR="003B3271" w:rsidRPr="0008481A" w:rsidRDefault="003B3271">
      <w:pPr>
        <w:pStyle w:val="Citatindrag"/>
      </w:pPr>
      <w:r w:rsidRPr="0008481A">
        <w:t>Mot bakgrund av det sagda, ter det sig främmande att i normalfall kom</w:t>
      </w:r>
      <w:r w:rsidRPr="0008481A">
        <w:softHyphen/>
        <w:t>mu</w:t>
      </w:r>
      <w:r w:rsidRPr="0008481A">
        <w:softHyphen/>
        <w:t>nicera ett arvodesbeslut med ett dödsbo. Består dödsboet ej av bröstarvingar utan i stället av ett stort antal släktingar på den bortgångnes sida liksom på dennes avlidne makes sida blir en delgivning synnerligen komplicerad. Skall alla släktingar delgivas eller endast en på varje släktgren? Om kravet på kommunikation även i en situation av angivet slag skall genomföras, torde av praktiska skäl ett arvodesbeslut inte kunna kommuniceras förrän boupp</w:t>
      </w:r>
      <w:r w:rsidRPr="0008481A">
        <w:softHyphen/>
        <w:t>teckning är inregistrerad och ett eventuellt testamente</w:t>
      </w:r>
      <w:r w:rsidRPr="0008481A">
        <w:t xml:space="preserve"> vunnit laga  kraft/godkännande av arvingar.</w:t>
      </w:r>
    </w:p>
    <w:p w:rsidR="003B3271" w:rsidRPr="0008481A" w:rsidRDefault="003B3271">
      <w:pPr>
        <w:pStyle w:val="Citatindrag"/>
      </w:pPr>
      <w:r w:rsidRPr="0008481A">
        <w:t>Syftet med en delgivning är att bereda den som drabbas av beslutet en möj</w:t>
      </w:r>
      <w:r w:rsidRPr="0008481A">
        <w:softHyphen/>
        <w:t>lig</w:t>
      </w:r>
      <w:r w:rsidRPr="0008481A">
        <w:softHyphen/>
        <w:t>het att besvära sig. För att veta vem som drabbas torde i dessa samman</w:t>
      </w:r>
      <w:r w:rsidRPr="0008481A">
        <w:softHyphen/>
        <w:t>hang en delgivning anstå tills ett arvskifte föreligger. Det kan då visa sig, att det inte är dödsboet som drabbas utan t ex en universell testamentstagare varför det får bli den som skall delgivas arvodesbeslutet. Detta i sin tur kan betyda att gode mannen får vänta på sitt arvode tills årslånga boutredningar eller arvstvister fått sin lösning.</w:t>
      </w:r>
    </w:p>
    <w:p w:rsidR="003B3271" w:rsidRPr="0008481A" w:rsidRDefault="003B3271">
      <w:pPr>
        <w:pStyle w:val="Citatindrag"/>
      </w:pPr>
      <w:r w:rsidRPr="0008481A">
        <w:t>Med det anförda vill jag visa, att en delgivning av ett arvodesbeslut, vari ett normalar</w:t>
      </w:r>
      <w:r w:rsidRPr="0008481A">
        <w:t>vode blir tillerkänt gode mannen ej ligger i gode mannens intresse och ej heller automatiskt kan anses drabba ett dödsbo. När god man/förval</w:t>
      </w:r>
      <w:r w:rsidRPr="0008481A">
        <w:softHyphen/>
        <w:t>tare yrkar arvoden utöver normalbeloppen på 5, 10, 15 eller 20 % så kom</w:t>
      </w:r>
      <w:r w:rsidRPr="0008481A">
        <w:softHyphen/>
        <w:t>municeras arvodesyrkandet med huvudmannen om han eller hon kan anses vara i stånd att yttra sig. Om huvudmannen ej kan förväntas kunna yttra sig har jag för min del förordnat en särskild god man enligt 11 kap 2 § föräldra</w:t>
      </w:r>
      <w:r w:rsidRPr="0008481A">
        <w:softHyphen/>
        <w:t>balken. Däremot kan det ej anses vara rimligt, att förordna ytterligare en go</w:t>
      </w:r>
      <w:r w:rsidRPr="0008481A">
        <w:t>d man som i sin tur skall granska den andre gode mannens arvodesyrkande. Det sagda visar att någonstans måste en gräns sättas för processen med del</w:t>
      </w:r>
      <w:r w:rsidRPr="0008481A">
        <w:softHyphen/>
        <w:t>givning av arvodesyrkanden med huvudmannen eller dennes företrädare.</w:t>
      </w:r>
    </w:p>
    <w:p w:rsidR="003B3271" w:rsidRPr="0008481A" w:rsidRDefault="003B3271">
      <w:pPr>
        <w:pStyle w:val="Citatindrag"/>
      </w:pPr>
      <w:r w:rsidRPr="0008481A">
        <w:t>Det torde inte sakna sitt intresse att i detta sammanhang få påpeka, att Stock</w:t>
      </w:r>
      <w:r w:rsidRPr="0008481A">
        <w:softHyphen/>
        <w:t>holms överförmyndarnämnd icke i så kallade normalfall kommunice</w:t>
      </w:r>
      <w:r w:rsidRPr="0008481A">
        <w:softHyphen/>
        <w:t>rar ett fattat arvodesbeslut med huvudman eller dödsbo. Av en debatt förd i medlemstidningen Överförmyndarnytt har det också framgått, att delgivning av arvodesbeslut upptagande normalarvoden ej synes bli tillämpade av lan</w:t>
      </w:r>
      <w:r w:rsidRPr="0008481A">
        <w:softHyphen/>
        <w:t>dets överförmyndare.</w:t>
      </w:r>
    </w:p>
    <w:p w:rsidR="003B3271" w:rsidRPr="0008481A" w:rsidRDefault="003B3271">
      <w:pPr>
        <w:pStyle w:val="Citat"/>
      </w:pPr>
      <w:r w:rsidRPr="0008481A">
        <w:t>– – –</w:t>
      </w:r>
    </w:p>
    <w:p w:rsidR="003B3271" w:rsidRPr="0008481A" w:rsidRDefault="003B3271">
      <w:pPr>
        <w:pStyle w:val="Citat"/>
      </w:pPr>
      <w:r w:rsidRPr="0008481A">
        <w:t>Vid bedömning av de årligen yrkade godmansarvodena har jag på sätt fram</w:t>
      </w:r>
      <w:r w:rsidRPr="0008481A">
        <w:softHyphen/>
        <w:t>går av akten likväl anmodat gode mannen att t ex lämna utförligare förkla</w:t>
      </w:r>
      <w:r w:rsidRPr="0008481A">
        <w:softHyphen/>
        <w:t>ring till de av honom redovisade femton besöken hos sin huvudman år 1997. De av mig beslutade arvodena har jag funnit vara skäliga.</w:t>
      </w:r>
    </w:p>
    <w:p w:rsidR="003B3271" w:rsidRPr="0008481A" w:rsidRDefault="003B3271">
      <w:pPr>
        <w:pStyle w:val="Citatindrag"/>
      </w:pPr>
      <w:r w:rsidRPr="0008481A">
        <w:t>Avslutningsvis vill jag påpeka att jag den 2 juli 1998 tillställde P.M.D. kopia av det i ärendet aktuella arvodesbeslutet. Vad mig är bekant har P.M.D. eller hans syster fortfarande ej hos Södra Roslags tingsrätt överklagat arvodesbeslutet.</w:t>
      </w:r>
    </w:p>
    <w:p w:rsidR="003B3271" w:rsidRPr="0008481A" w:rsidRDefault="003B3271">
      <w:r w:rsidRPr="0008481A">
        <w:t>P.M.D. kommenterade remissvaret.</w:t>
      </w:r>
    </w:p>
    <w:p w:rsidR="003B3271" w:rsidRPr="0008481A" w:rsidRDefault="003B3271">
      <w:pPr>
        <w:pStyle w:val="Rubrik3"/>
      </w:pPr>
      <w:r w:rsidRPr="0008481A">
        <w:t>Bedömning</w:t>
      </w:r>
    </w:p>
    <w:p w:rsidR="003B3271" w:rsidRPr="0008481A" w:rsidRDefault="003B3271">
      <w:r w:rsidRPr="0008481A">
        <w:t>Inledningsvis vill jag framhålla att jag inte tar ställning till storleken på det arvo</w:t>
      </w:r>
      <w:r w:rsidRPr="0008481A">
        <w:softHyphen/>
        <w:t>de som överförmyndaren beslutat om. Detta beror på att JO inte brukar pröva myndigheters ställningstaganden i de sakfrågor som det ankommer på dem att avgöra. Vid sådana ställningstaganden kan nämligen olika bedömningar göras utan att någon av dem kan sägas vara direkt felaktig i rättsligt hänseende. JO kan inte heller ändra eller upphäva ett beslut som en myndighet har fattat. Beslut om arvode kan överklagas till domstol och JO:s granskning är inte avsedd att ersätta en prövning som kan ske i ordinarie or</w:t>
      </w:r>
      <w:r w:rsidRPr="0008481A">
        <w:t>dning.</w:t>
      </w:r>
    </w:p>
    <w:p w:rsidR="003B3271" w:rsidRPr="0008481A" w:rsidRDefault="003B3271">
      <w:pPr>
        <w:pStyle w:val="Normaltindrag"/>
      </w:pPr>
      <w:r w:rsidRPr="0008481A">
        <w:t>Vad gäller överförmyndarens handläggning av arvode till den gode mannen vill jag anföra följande.</w:t>
      </w:r>
    </w:p>
    <w:p w:rsidR="003B3271" w:rsidRPr="0008481A" w:rsidRDefault="003B3271">
      <w:pPr>
        <w:pStyle w:val="Normaltindrag"/>
      </w:pPr>
      <w:r w:rsidRPr="0008481A">
        <w:t>Vid handläggningen av frågor om arvode till gode män och förvaltare har överför</w:t>
      </w:r>
      <w:r w:rsidRPr="0008481A">
        <w:softHyphen/>
        <w:t>myndaren att tillämpa förvaltningslagen (1986:223), FL. Enligt 17 § FL får ett ärende inte avgöras utan att den som är sökande, klagande eller annan part har underrättats om en uppgift som tillförts ärendet genom någon annan än honom själv och han har fått tillfälle att yttra sig över den, om ärendet avser myndighets</w:t>
      </w:r>
      <w:r w:rsidRPr="0008481A">
        <w:softHyphen/>
        <w:t>utövning mot någon enskild. Kommunikations</w:t>
      </w:r>
      <w:r w:rsidRPr="0008481A">
        <w:softHyphen/>
        <w:t xml:space="preserve">skyldigheten består således av två led; parten skall dels underrättas om utredningsmaterialet, dels få tillfälle att yttra sig över det. Myndigheten </w:t>
      </w:r>
      <w:r w:rsidRPr="0008481A">
        <w:t>får dock avgöra ärendet utan att så har skett bl.a. om avgörandet inte går parten emot, om uppgiften saknar betydelse eller om åtgär</w:t>
      </w:r>
      <w:r w:rsidRPr="0008481A">
        <w:softHyphen/>
        <w:t>derna av någon annan anledning är uppenbart obehövliga. Av 21 § FL framgår vidare att en sökande, klagande eller annan part skall underrättas om innehållet i det beslut varigenom myndigheten avgör ärendet, om detta avser myndighets</w:t>
      </w:r>
      <w:r w:rsidRPr="0008481A">
        <w:softHyphen/>
        <w:t>ut</w:t>
      </w:r>
      <w:r w:rsidRPr="0008481A">
        <w:softHyphen/>
        <w:t>övning mot någon enskild. Parten behöver dock inte underrättas, om det är uppen</w:t>
      </w:r>
      <w:r w:rsidRPr="0008481A">
        <w:softHyphen/>
        <w:t>bart obehövligt.</w:t>
      </w:r>
    </w:p>
    <w:p w:rsidR="003B3271" w:rsidRPr="0008481A" w:rsidRDefault="003B3271">
      <w:pPr>
        <w:pStyle w:val="Normaltindrag"/>
      </w:pPr>
      <w:r w:rsidRPr="0008481A">
        <w:t>När det gäller överförmyndarens handläggning bl</w:t>
      </w:r>
      <w:r w:rsidRPr="0008481A">
        <w:t>ir det avgörande för både frågan om kommunikation och underrättelse om beslut huruvida dödsboet var att anse som part i arvodesärendet. JO Wigelius har i ett ärende angående skyldighet att höra part och motivera beslut vid bestämmande av arvode till en god man (JO:s ämbetsberättelse 1986/87 s. 61) uttalat sig om en överförmyndarnämnds skyldig</w:t>
      </w:r>
      <w:r w:rsidRPr="0008481A">
        <w:softHyphen/>
        <w:t>het att kommunicera en god mans yrkande om arvode med dödsboet efter den person som haft god man. På grund av att det för nämnden var känt att dödsbodel</w:t>
      </w:r>
      <w:r w:rsidRPr="0008481A">
        <w:softHyphen/>
        <w:t>ägarna var mis</w:t>
      </w:r>
      <w:r w:rsidRPr="0008481A">
        <w:t>snöjda med den gode mannens arbete och att dödsboet uppenbar</w:t>
      </w:r>
      <w:r w:rsidRPr="0008481A">
        <w:softHyphen/>
        <w:t>li</w:t>
      </w:r>
      <w:r w:rsidRPr="0008481A">
        <w:softHyphen/>
        <w:t xml:space="preserve">gen var i stånd att självt föra sin talan, menade JO Wigelius att nämnden, hur det än må förhålla sig med frågan om kommunikationsplikten åvilar överförmyndaren i alla situationer, borde ha följt förvaltningslagens bestämmelser i detta fall.   </w:t>
      </w:r>
    </w:p>
    <w:p w:rsidR="003B3271" w:rsidRPr="0008481A" w:rsidRDefault="003B3271">
      <w:pPr>
        <w:pStyle w:val="Normaltindrag"/>
      </w:pPr>
      <w:r w:rsidRPr="0008481A">
        <w:t>I förevarande fall innebar beslutet i ärendet att dödsboet ålades att betala ersätt</w:t>
      </w:r>
      <w:r w:rsidRPr="0008481A">
        <w:softHyphen/>
        <w:t>ningen till gode mannen. Därmed hade dödsboet ett så starkt intresse av ärendets utgång att det måste tillerkännas en sådan ställning att över</w:t>
      </w:r>
      <w:r w:rsidRPr="0008481A">
        <w:softHyphen/>
        <w:t>förmyndaren borde ha underrättat dödsboet om yrkandets innehåll och berett det tillfälle att yttra sig över yrkandet. Överför</w:t>
      </w:r>
      <w:r w:rsidRPr="0008481A">
        <w:softHyphen/>
        <w:t>myndaren borde även ha följt förvaltningslagens bestämmelse om underrättelse om be</w:t>
      </w:r>
      <w:r w:rsidRPr="0008481A">
        <w:softHyphen/>
        <w:t>slut. Överförmyn</w:t>
      </w:r>
      <w:r w:rsidRPr="0008481A">
        <w:softHyphen/>
        <w:t>da</w:t>
      </w:r>
      <w:r w:rsidRPr="0008481A">
        <w:softHyphen/>
        <w:t>ren kan sålunda inte undgå kritik för sin handläggning av arvo</w:t>
      </w:r>
      <w:r w:rsidRPr="0008481A">
        <w:softHyphen/>
        <w:t>desärendet.</w:t>
      </w:r>
    </w:p>
    <w:p w:rsidR="003B3271" w:rsidRPr="0008481A" w:rsidRDefault="003B3271">
      <w:pPr>
        <w:pStyle w:val="Rubrik2"/>
      </w:pPr>
      <w:r w:rsidRPr="0008481A">
        <w:t>Fråga om en överförmyndare varit jävig vid handläggningen av ett</w:t>
      </w:r>
      <w:r w:rsidRPr="0008481A">
        <w:t xml:space="preserve"> förvaltarskapsärende</w:t>
      </w:r>
    </w:p>
    <w:p w:rsidR="003B3271" w:rsidRPr="0008481A" w:rsidRDefault="003B3271">
      <w:r w:rsidRPr="0008481A">
        <w:t>(Dnr 4046-1999)</w:t>
      </w:r>
    </w:p>
    <w:p w:rsidR="003B3271" w:rsidRPr="0008481A" w:rsidRDefault="003B3271">
      <w:r w:rsidRPr="0008481A">
        <w:t xml:space="preserve">I ett beslut den 31 mars 2000 anförde </w:t>
      </w:r>
      <w:r w:rsidRPr="0008481A">
        <w:rPr>
          <w:i/>
        </w:rPr>
        <w:t>JO Pennlöv</w:t>
      </w:r>
      <w:r w:rsidRPr="0008481A">
        <w:t xml:space="preserve"> följande.</w:t>
      </w:r>
    </w:p>
    <w:p w:rsidR="003B3271" w:rsidRPr="0008481A" w:rsidRDefault="003B3271">
      <w:pPr>
        <w:pStyle w:val="Rubrik3"/>
      </w:pPr>
      <w:r w:rsidRPr="0008481A">
        <w:t>Anmälan m.m.</w:t>
      </w:r>
    </w:p>
    <w:p w:rsidR="003B3271" w:rsidRPr="0008481A" w:rsidRDefault="003B3271">
      <w:r w:rsidRPr="0008481A">
        <w:t>Sedan överförmyndaren i Lidingö stad, Richard W Hjelt, ansökt om anordnande av förvaltarskap för C.L. beslutade Södra Roslags tingsrätt den 15 december 1998 att interimistiskt anordna förvaltarskap för C.L. Förvaltar</w:t>
      </w:r>
      <w:r w:rsidRPr="0008481A">
        <w:softHyphen/>
        <w:t>skapet skulle avse förvaltning av C.L:s egen</w:t>
      </w:r>
      <w:r w:rsidRPr="0008481A">
        <w:softHyphen/>
        <w:t>dom. Den 14 april 1999 meddelade tingsrätten ett slutligt beslut om förvaltar</w:t>
      </w:r>
      <w:r w:rsidRPr="0008481A">
        <w:softHyphen/>
        <w:t>skap enligt 11 kap. 7 § föräldrabalken (FB). Tingsrätten förordnade Tord Rörhamn att som förvaltare bevaka C.L:s rätt, förvalta hennes egendom samt sörja för hennes person.</w:t>
      </w:r>
    </w:p>
    <w:p w:rsidR="003B3271" w:rsidRPr="0008481A" w:rsidRDefault="003B3271">
      <w:pPr>
        <w:pStyle w:val="Normaltindrag"/>
      </w:pPr>
      <w:r w:rsidRPr="0008481A">
        <w:t>B.G. har ifrågasatt överförmyndaren Richard  W Hjelts lämplighet som överför</w:t>
      </w:r>
      <w:r w:rsidRPr="0008481A">
        <w:softHyphen/>
        <w:t>myndare. Hon har därvid anfört bl.a. följande.</w:t>
      </w:r>
    </w:p>
    <w:p w:rsidR="003B3271" w:rsidRPr="0008481A" w:rsidRDefault="003B3271">
      <w:pPr>
        <w:pStyle w:val="Normaltindrag"/>
      </w:pPr>
      <w:r w:rsidRPr="0008481A">
        <w:t>Richard W Hjelt borde på grund av jäv ha avhållit sig från att handlägga förval</w:t>
      </w:r>
      <w:r w:rsidRPr="0008481A">
        <w:softHyphen/>
        <w:t>tar</w:t>
      </w:r>
      <w:r w:rsidRPr="0008481A">
        <w:softHyphen/>
        <w:t>skapsärendet rörande C.L. Anledningen till jävet är att han hade uppträtt som om</w:t>
      </w:r>
      <w:r w:rsidRPr="0008481A">
        <w:softHyphen/>
        <w:t>bud för C.L:s motpart i en fastig</w:t>
      </w:r>
      <w:r w:rsidRPr="0008481A">
        <w:softHyphen/>
        <w:t>hetstvist, där han bl.a. yrkat skadestånd av C.L. med ca 450 000 kr. Grunden för skadeståndsyrkandet var att C.L. enligt köparna, makarna K., inte hade fullföljt en fastighets</w:t>
      </w:r>
      <w:r w:rsidRPr="0008481A">
        <w:softHyphen/>
        <w:t>för</w:t>
      </w:r>
      <w:r w:rsidRPr="0008481A">
        <w:softHyphen/>
        <w:t>sälj</w:t>
      </w:r>
      <w:r w:rsidRPr="0008481A">
        <w:softHyphen/>
        <w:t>ning och inte låtit makarna K. få tillträde till fastigheten. Tingsrätten meddelade dom i målet den 30 juni 1998. Tingsrätten beslutade att C.L. enbart skulle betala makarna K. för kostnaderna för dubbelt bo</w:t>
      </w:r>
      <w:r w:rsidRPr="0008481A">
        <w:t>ende med sammanlagt 129 837 kr jämte ränta. C.L. kunde inte betala den summan. En god vän till henne övertog betalningen och betalade direkt till C.L:s advokat. Pengarna inbetalades dock inte till kronofogdemyndigheten. Där</w:t>
      </w:r>
      <w:r w:rsidRPr="0008481A">
        <w:softHyphen/>
        <w:t>efter vände sig makarna K. till kronofogdemyndigheten med en begäran om ut</w:t>
      </w:r>
      <w:r w:rsidRPr="0008481A">
        <w:softHyphen/>
        <w:t>mätning av sin fordran på C.L. Den 23 september 1998 fick C.L. en underrättelse från kronofogdemyndigheten om fastighetsutmätning. C.L. fick besked om att fastigheten skulle säljas på exekutiv auktion om inte beta</w:t>
      </w:r>
      <w:r w:rsidRPr="0008481A">
        <w:t>lning skulle ske. I de</w:t>
      </w:r>
      <w:r w:rsidRPr="0008481A">
        <w:softHyphen/>
        <w:t>cem</w:t>
      </w:r>
      <w:r w:rsidRPr="0008481A">
        <w:softHyphen/>
        <w:t>ber 1998 ansökte överförmyndaren Richard W Hjelt om fullständigt förval</w:t>
      </w:r>
      <w:r w:rsidRPr="0008481A">
        <w:softHyphen/>
        <w:t>tarskap för C.L. hos tingsrätten, varvid han föreslog för</w:t>
      </w:r>
      <w:r w:rsidRPr="0008481A">
        <w:softHyphen/>
        <w:t>valtarskap gällande för</w:t>
      </w:r>
      <w:r w:rsidRPr="0008481A">
        <w:softHyphen/>
        <w:t>valtning av hela C.L:s egendom omfattande fastigheten. Advokat Caroline Reiner som av tingsrätten förordnats som god man att bevaka C.L:s intressen bedömde att det var tillräckligt med god</w:t>
      </w:r>
      <w:r w:rsidRPr="0008481A">
        <w:softHyphen/>
        <w:t>man</w:t>
      </w:r>
      <w:r w:rsidRPr="0008481A">
        <w:softHyphen/>
        <w:t xml:space="preserve">skap åt C.L. </w:t>
      </w:r>
    </w:p>
    <w:p w:rsidR="003B3271" w:rsidRPr="0008481A" w:rsidRDefault="003B3271">
      <w:pPr>
        <w:pStyle w:val="Normaltindrag"/>
      </w:pPr>
      <w:r w:rsidRPr="0008481A">
        <w:t xml:space="preserve">B.G. har även framfört klagomål mot förvaltaren Tord Rörhamns sätt att fullgöra sitt uppdrag. </w:t>
      </w:r>
    </w:p>
    <w:p w:rsidR="003B3271" w:rsidRPr="0008481A" w:rsidRDefault="003B3271">
      <w:pPr>
        <w:pStyle w:val="Rubrik3"/>
      </w:pPr>
      <w:r w:rsidRPr="0008481A">
        <w:t>Utredning</w:t>
      </w:r>
    </w:p>
    <w:p w:rsidR="003B3271" w:rsidRPr="0008481A" w:rsidRDefault="003B3271">
      <w:r w:rsidRPr="0008481A">
        <w:t>Sedan överförmyndarens akt lånats in och granskats har anmälan remitterats till överförmyndaren för utredning och yttrande. I remissvaret har över</w:t>
      </w:r>
      <w:r w:rsidRPr="0008481A">
        <w:softHyphen/>
        <w:t xml:space="preserve">förmyndaren Richard W Hjelt anfört bl.a. följande.   </w:t>
      </w:r>
    </w:p>
    <w:p w:rsidR="003B3271" w:rsidRPr="0008481A" w:rsidRDefault="003B3271">
      <w:pPr>
        <w:pStyle w:val="Citat"/>
        <w:spacing w:line="213" w:lineRule="exact"/>
      </w:pPr>
      <w:r w:rsidRPr="0008481A">
        <w:t>På JO:s begäran översände jag den 9 november 1999 akten avseende rubr. I ett följebrev yttrade jag mig över G:s antagande om att jag samtidigt skulle ha verkat som ombud för makarna K. och som överförmyn</w:t>
      </w:r>
      <w:r w:rsidRPr="0008481A">
        <w:softHyphen/>
        <w:t>dare med tillsyn över en förvaltare för rubr.</w:t>
      </w:r>
    </w:p>
    <w:p w:rsidR="003B3271" w:rsidRPr="0008481A" w:rsidRDefault="003B3271">
      <w:pPr>
        <w:pStyle w:val="Citatindrag"/>
      </w:pPr>
      <w:r w:rsidRPr="0008481A">
        <w:t>Såsom jag redan framhållit och kunnat visa bygger G. sitt antagande på felaktiga grunder. Jag avslutade mitt uppdrag för makarna K. i och med att tingsrätten meddelade sin dom den 30 juni 1998. Jag biträdde dem på intet vis i tid därefter. Vad makarna K. således i tid efter sagda datum företagit sig gentemot rubr har jag endast erfarit på omvägar.</w:t>
      </w:r>
    </w:p>
    <w:p w:rsidR="003B3271" w:rsidRPr="0008481A" w:rsidRDefault="003B3271">
      <w:pPr>
        <w:pStyle w:val="Citatindrag"/>
      </w:pPr>
      <w:r w:rsidRPr="0008481A">
        <w:t>När det kom till min kännedom att makarna K. vänt sig till krono</w:t>
      </w:r>
      <w:r w:rsidRPr="0008481A">
        <w:softHyphen/>
        <w:t>fogden med begäran om utmät</w:t>
      </w:r>
      <w:r w:rsidRPr="0008481A">
        <w:softHyphen/>
        <w:t>ning av sin fordran och dessutom visste vad tingsrätten hade kommit fram till i sin sagda dom ansåg jag, att rubr var i behov av en förvaltare för att få sina intressen tillgodosedda.</w:t>
      </w:r>
    </w:p>
    <w:p w:rsidR="003B3271" w:rsidRPr="0008481A" w:rsidRDefault="003B3271">
      <w:pPr>
        <w:pStyle w:val="Citatindrag"/>
      </w:pPr>
      <w:r w:rsidRPr="0008481A">
        <w:t>Tingsrätten delade denna min uppfattning och meddelade först ett interi</w:t>
      </w:r>
      <w:r w:rsidRPr="0008481A">
        <w:softHyphen/>
        <w:t>mis</w:t>
      </w:r>
      <w:r w:rsidRPr="0008481A">
        <w:softHyphen/>
        <w:t>tiskt beslut och sedan ett slutligt beslut om förvaltarskap för rubr den 14 april 1999.</w:t>
      </w:r>
    </w:p>
    <w:p w:rsidR="003B3271" w:rsidRPr="0008481A" w:rsidRDefault="003B3271">
      <w:pPr>
        <w:pStyle w:val="Citatindrag"/>
      </w:pPr>
      <w:r w:rsidRPr="0008481A">
        <w:t>I och med lämnandet av dessa upplysningar och vad jag anfört tidigare anser jag mig ej kunna tillföra frågan om ”samtidighet” mycket mer.</w:t>
      </w:r>
    </w:p>
    <w:p w:rsidR="003B3271" w:rsidRPr="0008481A" w:rsidRDefault="003B3271">
      <w:r w:rsidRPr="0008481A">
        <w:t>B.G. har kommenterat remissvaret.</w:t>
      </w:r>
    </w:p>
    <w:p w:rsidR="003B3271" w:rsidRPr="0008481A" w:rsidRDefault="003B3271">
      <w:pPr>
        <w:pStyle w:val="Rubrik3"/>
      </w:pPr>
      <w:r w:rsidRPr="0008481A">
        <w:t>Bedömning</w:t>
      </w:r>
    </w:p>
    <w:p w:rsidR="003B3271" w:rsidRPr="0008481A" w:rsidRDefault="003B3271">
      <w:r w:rsidRPr="0008481A">
        <w:t>Inledningsvis vill jag klargöra att förvaltare inte står under JO:s tillsyn. Jag är där</w:t>
      </w:r>
      <w:r w:rsidRPr="0008481A">
        <w:softHyphen/>
        <w:t>för förhindrad att uttala mig i frågor som rör förvaltarens åtgärder. Min gransk</w:t>
      </w:r>
      <w:r w:rsidRPr="0008481A">
        <w:softHyphen/>
        <w:t xml:space="preserve">ning omfattar endast överförmyndarens handläggning. Vad som anförts angående Tord Rörhamns utövande av förvaltarskapet föranleder således ingen kommentar från min sida. </w:t>
      </w:r>
    </w:p>
    <w:p w:rsidR="003B3271" w:rsidRPr="0008481A" w:rsidRDefault="003B3271">
      <w:pPr>
        <w:pStyle w:val="Normaltindrag"/>
      </w:pPr>
      <w:r w:rsidRPr="0008481A">
        <w:t>Kommunallagens (1991:900) bestämmelser om jäv i 6 kap. 24</w:t>
      </w:r>
      <w:r w:rsidRPr="0008481A">
        <w:rPr>
          <w:rFonts w:ascii="Garamond" w:hAnsi="Garamond"/>
        </w:rPr>
        <w:t>–</w:t>
      </w:r>
      <w:r w:rsidRPr="0008481A">
        <w:t>27 §§ är tillämp</w:t>
      </w:r>
      <w:r w:rsidRPr="0008481A">
        <w:softHyphen/>
        <w:t>liga vid handläggningen av ärenden hos överförmyndare (FB 19:16).  I 6 kap. 25 § 1</w:t>
      </w:r>
      <w:r w:rsidRPr="0008481A">
        <w:rPr>
          <w:rFonts w:ascii="Garamond" w:hAnsi="Garamond"/>
        </w:rPr>
        <w:t>–</w:t>
      </w:r>
      <w:r w:rsidRPr="0008481A">
        <w:t>3 upptas sakägar-, intresse- och släktskapsjäv samt ställföreträdar- och om</w:t>
      </w:r>
      <w:r w:rsidRPr="0008481A">
        <w:softHyphen/>
        <w:t>buds</w:t>
      </w:r>
      <w:r w:rsidRPr="0008481A">
        <w:softHyphen/>
        <w:t>jäv. Dessutom finns en generalklausul, vilken avser vissa situationer, som inte täcks av övriga jävsgrunder, s.k. delikates</w:t>
      </w:r>
      <w:r w:rsidRPr="0008481A">
        <w:softHyphen/>
        <w:t>s</w:t>
      </w:r>
      <w:r w:rsidRPr="0008481A">
        <w:softHyphen/>
        <w:t>jäv (6 kap. 25 § 4). Enligt denna bestämmelse är en förtroendevald eller anställd hos kommunen jävig, om det i övrigt finns någon omständighet som är ägnad att rubba förtroendet till hans opar</w:t>
      </w:r>
      <w:r w:rsidRPr="0008481A">
        <w:softHyphen/>
        <w:t>tiskhet i ä</w:t>
      </w:r>
      <w:r w:rsidRPr="0008481A">
        <w:t>rendet. Enligt 6 kap. 24 § får den som är jävig inte delta eller när</w:t>
      </w:r>
      <w:r w:rsidRPr="0008481A">
        <w:softHyphen/>
        <w:t>vara vid handläggningen av ärendet. Från jäv bortses enligt 6 kap. 26 § när frågan om opar</w:t>
      </w:r>
      <w:r w:rsidRPr="0008481A">
        <w:softHyphen/>
      </w:r>
      <w:r w:rsidRPr="0008481A">
        <w:softHyphen/>
        <w:t>tiskhet uppenbarligen saknar betydelse.</w:t>
      </w:r>
    </w:p>
    <w:p w:rsidR="003B3271" w:rsidRPr="0008481A" w:rsidRDefault="003B3271">
      <w:pPr>
        <w:pStyle w:val="Normaltindrag"/>
      </w:pPr>
      <w:r w:rsidRPr="0008481A">
        <w:t xml:space="preserve"> B.G:s klagomål i denna del går ut på att Richard W Hjelt på grund av jäv bort avhålla sig från att handlägga förvaltarskapsärendet rörande C.L. An</w:t>
      </w:r>
      <w:r w:rsidRPr="0008481A">
        <w:softHyphen/>
        <w:t>led</w:t>
      </w:r>
      <w:r w:rsidRPr="0008481A">
        <w:softHyphen/>
        <w:t>ningen till jävet skulle vara Richard W Hjelts agerande kort tid innan frågan om förvaltar</w:t>
      </w:r>
      <w:r w:rsidRPr="0008481A">
        <w:softHyphen/>
        <w:t>skap aktualiserades då han som ombud för C.L:s motpart i en fastighetstvist bl.a. yrkat skadestånd av C.L. med ca 450 000 kr. Den jävsgrund som kan aktua</w:t>
      </w:r>
      <w:r w:rsidRPr="0008481A">
        <w:softHyphen/>
        <w:t>lise</w:t>
      </w:r>
      <w:r w:rsidRPr="0008481A">
        <w:softHyphen/>
        <w:t xml:space="preserve">ras är delikatessjäv. </w:t>
      </w:r>
    </w:p>
    <w:p w:rsidR="003B3271" w:rsidRPr="0008481A" w:rsidRDefault="003B3271">
      <w:pPr>
        <w:pStyle w:val="Normaltindrag"/>
      </w:pPr>
      <w:r w:rsidRPr="0008481A">
        <w:t>Det grundläggande syftet med jävsreglerna i kommunallagen är att öka förtro</w:t>
      </w:r>
      <w:r w:rsidRPr="0008481A">
        <w:softHyphen/>
        <w:t>en</w:t>
      </w:r>
      <w:r w:rsidRPr="0008481A">
        <w:softHyphen/>
        <w:t>det för den kommunala förvaltningen och skapa garantier för objekti</w:t>
      </w:r>
      <w:r w:rsidRPr="0008481A">
        <w:softHyphen/>
        <w:t>vitet och opartiskhet vid handläggningen av ärenden. Överför</w:t>
      </w:r>
      <w:r w:rsidRPr="0008481A">
        <w:softHyphen/>
        <w:t>myndaren Richard W Hjelt hade kort tid innan han väckte frågan om förvaltarskap för C.L. uppträtt som ombud för hennes motpart i en rättegång som både avsåg stora belopp och som måste ha framstått som mycket väsentlig för C.L. personligen. Genom förval</w:t>
      </w:r>
      <w:r w:rsidRPr="0008481A">
        <w:softHyphen/>
        <w:t>tar</w:t>
      </w:r>
      <w:r w:rsidRPr="0008481A">
        <w:softHyphen/>
        <w:t>skapet aktualiserades på nytt frågor om fastig</w:t>
      </w:r>
      <w:r w:rsidRPr="0008481A">
        <w:softHyphen/>
        <w:t>he</w:t>
      </w:r>
      <w:r w:rsidRPr="0008481A">
        <w:softHyphen/>
        <w:t>tens försäljning och C.L:s möj</w:t>
      </w:r>
      <w:r w:rsidRPr="0008481A">
        <w:softHyphen/>
        <w:t>lighet att själv bestämma över bl.a. fast</w:t>
      </w:r>
      <w:r w:rsidRPr="0008481A">
        <w:t>igheten. Jag tar i detta sammanhang själv</w:t>
      </w:r>
      <w:r w:rsidRPr="0008481A">
        <w:softHyphen/>
        <w:t xml:space="preserve">fallet inte ställning till det berättigade i att ansöka om förvaltarskap. Denna fråga har ju för övrigt avgjorts av domstol. Emellertid borde det </w:t>
      </w:r>
      <w:r w:rsidRPr="0008481A">
        <w:rPr>
          <w:rFonts w:ascii="Garamond" w:hAnsi="Garamond"/>
        </w:rPr>
        <w:t>–</w:t>
      </w:r>
      <w:r w:rsidRPr="0008481A">
        <w:t xml:space="preserve"> även om formellt jäv inte förelåg </w:t>
      </w:r>
      <w:r w:rsidRPr="0008481A">
        <w:rPr>
          <w:rFonts w:ascii="Garamond" w:hAnsi="Garamond"/>
        </w:rPr>
        <w:t>–</w:t>
      </w:r>
      <w:r w:rsidRPr="0008481A">
        <w:t xml:space="preserve"> ha framstått som uppenbart för Richard W Hjelt att C.L. kunde upp</w:t>
      </w:r>
      <w:r w:rsidRPr="0008481A">
        <w:softHyphen/>
        <w:t>fatta honom som fortfarande företrädande en motpart och härigenom ha intres</w:t>
      </w:r>
      <w:r w:rsidRPr="0008481A">
        <w:softHyphen/>
        <w:t>sen som stred mot hennes personliga. Som tidigare anförts är det av största vikt att tilltron till överförmyndares objektivitet inte kan ifrågas</w:t>
      </w:r>
      <w:r w:rsidRPr="0008481A">
        <w:t xml:space="preserve">ättas. Enligt FB 19:5 skall det finnas en ersättare för överförmyndaren. Ett skäl till denna regel är självfallet att möjlighet skall finnas att undvika jävssituationer. Även om </w:t>
      </w:r>
      <w:r w:rsidRPr="0008481A">
        <w:rPr>
          <w:rFonts w:ascii="Garamond" w:hAnsi="Garamond"/>
        </w:rPr>
        <w:t>–</w:t>
      </w:r>
      <w:r w:rsidRPr="0008481A">
        <w:t xml:space="preserve"> som tidigare anförts </w:t>
      </w:r>
      <w:r w:rsidRPr="0008481A">
        <w:rPr>
          <w:rFonts w:ascii="Garamond" w:hAnsi="Garamond"/>
        </w:rPr>
        <w:t>–</w:t>
      </w:r>
      <w:r w:rsidRPr="0008481A">
        <w:t xml:space="preserve"> en formell jävssituation inte skulle föreligga borde det ha varit uppenbart för Richard W Hjelt hur C.L. skulle kunna uppfatta situationen. Han borde därför ha överlåtit på sin ersättare att handlägga frågan om förvaltarskapet. För sin underlåtenhet i detta avseende förtjänar han kritik.</w:t>
      </w:r>
    </w:p>
    <w:p w:rsidR="003B3271" w:rsidRPr="0008481A" w:rsidRDefault="003B3271">
      <w:pPr>
        <w:pStyle w:val="Rubrik2"/>
        <w:spacing w:before="0"/>
      </w:pPr>
      <w:r w:rsidRPr="0008481A">
        <w:t>Kritik mot en överfö</w:t>
      </w:r>
      <w:r w:rsidRPr="0008481A">
        <w:t>rmyndare för handläggningen av en god mans begäran om försäljning av huvudmannens fastighetsandel m.m.</w:t>
      </w:r>
    </w:p>
    <w:p w:rsidR="003B3271" w:rsidRPr="0008481A" w:rsidRDefault="003B3271">
      <w:r w:rsidRPr="0008481A">
        <w:t>(Dnr 400-1999)</w:t>
      </w:r>
    </w:p>
    <w:p w:rsidR="003B3271" w:rsidRPr="0008481A" w:rsidRDefault="003B3271">
      <w:r w:rsidRPr="0008481A">
        <w:t xml:space="preserve">I ett beslut den 22 mars 2000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Advokat Karin Müchler har i en anmälan till JO riktat kritik mot Överförmyndaren i Gällivare kommun för att denna godkänt försäljning av del av fastighet utan att höra huvudmannens dotter enligt 16 kap. 9 § föräldrabalken. Karin Müchler har även klagat på att överförmyndaren inte besvarat hennes brev den 11 november 1998 och den 13 januari 1999.</w:t>
      </w:r>
    </w:p>
    <w:p w:rsidR="003B3271" w:rsidRPr="0008481A" w:rsidRDefault="003B3271">
      <w:pPr>
        <w:pStyle w:val="Rubrik3"/>
      </w:pPr>
      <w:r w:rsidRPr="0008481A">
        <w:t>Utredning</w:t>
      </w:r>
    </w:p>
    <w:p w:rsidR="003B3271" w:rsidRPr="0008481A" w:rsidRDefault="003B3271">
      <w:r w:rsidRPr="0008481A">
        <w:t>Efter remiss har överförmyndaren Kerstin Pettersson inkommit med ett yttrande enligt följande.</w:t>
      </w:r>
    </w:p>
    <w:p w:rsidR="003B3271" w:rsidRPr="0008481A" w:rsidRDefault="003B3271">
      <w:pPr>
        <w:pStyle w:val="Citat"/>
      </w:pPr>
      <w:r w:rsidRPr="0008481A">
        <w:t>Jur kand Karin Müchler, hos Advokaterna Kaiding &amp; Ljungdal &amp; Markus</w:t>
      </w:r>
      <w:r w:rsidRPr="0008481A">
        <w:softHyphen/>
        <w:t>son har 99-02-01 gjort anmälan till JO om att utreda överförmyndarens handläggning och beslut i ärende angående försäljning av fastighetsdel tillhörande L.S. avliden 1998-11-25.</w:t>
      </w:r>
    </w:p>
    <w:p w:rsidR="003B3271" w:rsidRPr="0008481A" w:rsidRDefault="003B3271">
      <w:pPr>
        <w:pStyle w:val="Citatindrag"/>
      </w:pPr>
      <w:r w:rsidRPr="0008481A">
        <w:t>Skrivelser från Karin Müchler kom till överförmyndaren 1998-11-16 och 1999-01-28.</w:t>
      </w:r>
    </w:p>
    <w:p w:rsidR="003B3271" w:rsidRPr="0008481A" w:rsidRDefault="003B3271">
      <w:pPr>
        <w:pStyle w:val="Citatindrag"/>
      </w:pPr>
      <w:r w:rsidRPr="0008481A">
        <w:t>99-02-02 begärde jag fullmakt och erhöll denna 99-02-11.</w:t>
      </w:r>
    </w:p>
    <w:p w:rsidR="003B3271" w:rsidRPr="0008481A" w:rsidRDefault="003B3271">
      <w:pPr>
        <w:pStyle w:val="Citatindrag"/>
      </w:pPr>
      <w:r w:rsidRPr="0008481A">
        <w:t>Jag har nu besvarat frågorna och svaren både till Advokaterna Kaiding &amp; Ljungdal &amp; Markusson och Länsstyrelsen i Norrbottens län översändes som yttrande.</w:t>
      </w:r>
    </w:p>
    <w:p w:rsidR="003B3271" w:rsidRPr="0008481A" w:rsidRDefault="003B3271">
      <w:r w:rsidRPr="0008481A">
        <w:t>I det bifogade svaret den 29 april 1999 till advokaten Karin Müchler anförde överförmyndaren följande.</w:t>
      </w:r>
    </w:p>
    <w:p w:rsidR="003B3271" w:rsidRPr="0008481A" w:rsidRDefault="003B3271">
      <w:pPr>
        <w:pStyle w:val="Citat"/>
      </w:pPr>
      <w:r w:rsidRPr="0008481A">
        <w:t>L.S:s närmaste anhöriga, barnen V.J., B.S., U.S. och M.L. har kontaktats av gode mannen H.B. för information och godkännande före försäljningen. Han fick godkännande från tre av dem. V.J. ansåg att han skulle ta in anbud och sälja till högstbjudande.</w:t>
      </w:r>
    </w:p>
    <w:p w:rsidR="003B3271" w:rsidRPr="0008481A" w:rsidRDefault="003B3271">
      <w:pPr>
        <w:pStyle w:val="Citatindrag"/>
      </w:pPr>
      <w:r w:rsidRPr="0008481A">
        <w:t>Jag godkände försäljningen eftersom den var till fördel för L.S. Hon bedömdes av läkare vara i behov av vård i sjukhem. Med försäljning skulle hon inte behöva ha kostnader både för sjukhemsboendet och kostna</w:t>
      </w:r>
      <w:r w:rsidRPr="0008481A">
        <w:softHyphen/>
        <w:t>der för fastigheten.</w:t>
      </w:r>
    </w:p>
    <w:p w:rsidR="003B3271" w:rsidRPr="0008481A" w:rsidRDefault="003B3271">
      <w:pPr>
        <w:pStyle w:val="Citatindrag"/>
      </w:pPr>
      <w:r w:rsidRPr="0008481A">
        <w:t>Inkomsterna från fastighetsförsäljningen medförde ingen höjd avgift för L.S:s boende på sjukhem eftersom kommunen tar ut en fast hyra plus fast avgift om 2.500 kr/mån (för mat, hemtjänst, tvätt samt sjuk- och hälsovård). Förbehållsbelopp är fastställda för boende inom särskilda bo</w:t>
      </w:r>
      <w:r w:rsidRPr="0008481A">
        <w:softHyphen/>
        <w:t>ende</w:t>
      </w:r>
      <w:r w:rsidRPr="0008481A">
        <w:softHyphen/>
        <w:t>former med 1.400 kr/mån för ensamstående och 2.150 kr/mån för makar/samman</w:t>
      </w:r>
      <w:r w:rsidRPr="0008481A">
        <w:softHyphen/>
        <w:t>boende. Ansökan om jämkning prövas utan hänsyn till kapitaltillgångarnas storlek.</w:t>
      </w:r>
    </w:p>
    <w:p w:rsidR="003B3271" w:rsidRPr="0008481A" w:rsidRDefault="003B3271">
      <w:pPr>
        <w:pStyle w:val="Citatindrag"/>
      </w:pPr>
      <w:r w:rsidRPr="0008481A">
        <w:t>Försäljningspriset på fastigheten utgick från åsatt taxeringsvärde plus 25 %. Jag ansåg liksom gode mannen att detta var ett skäligt pris eftersom L.S:s sambo sedan 40 år A.S., var villig att köpa hennes andel. De hade gemensamt byggt huset och hade gemensam lagfart med hälften var. Det fanns inte anledning att försöka höja priset. Det gemen</w:t>
      </w:r>
      <w:r w:rsidRPr="0008481A">
        <w:softHyphen/>
        <w:t>samma hemmet skulle vara kvar.</w:t>
      </w:r>
    </w:p>
    <w:p w:rsidR="003B3271" w:rsidRPr="0008481A" w:rsidRDefault="003B3271">
      <w:pPr>
        <w:pStyle w:val="Citatindrag"/>
      </w:pPr>
      <w:r w:rsidRPr="0008481A">
        <w:t>Jag anser inte att L.S:s och A.S:s samboförhållande hade upphört bara för att hon fått behov av vård i sjukhem. Han avsåg att behålla det gemensamma hemmet, även för hennes behov att komma hem.</w:t>
      </w:r>
    </w:p>
    <w:p w:rsidR="003B3271" w:rsidRPr="0008481A" w:rsidRDefault="003B3271">
      <w:r w:rsidRPr="0008481A">
        <w:t>I det bifogade svaret den 30 april 1999 till länsstyrelsen anförde över</w:t>
      </w:r>
      <w:r w:rsidRPr="0008481A">
        <w:softHyphen/>
        <w:t>förmyndaren följande.</w:t>
      </w:r>
    </w:p>
    <w:p w:rsidR="003B3271" w:rsidRPr="0008481A" w:rsidRDefault="003B3271">
      <w:pPr>
        <w:pStyle w:val="Citat"/>
      </w:pPr>
      <w:r w:rsidRPr="0008481A">
        <w:t>På min begäran erhöll jag fullmakt från jur kand Karin Müchler 99-02-11 och jag har nu svarat på deras frågor.</w:t>
      </w:r>
    </w:p>
    <w:p w:rsidR="003B3271" w:rsidRPr="0008481A" w:rsidRDefault="003B3271">
      <w:pPr>
        <w:pStyle w:val="Citatindrag"/>
      </w:pPr>
      <w:r w:rsidRPr="0008481A">
        <w:t>Frågan om godmanskap för L.S. aktualiserades av sambon A.S. vid besök på överförmyndarens expedition 97-08-15.  L:s barn V.J. och B.S. begärde också god man för modern vid besök 97-09-08 då deras tvister och osämja med A.S. framkom.</w:t>
      </w:r>
    </w:p>
    <w:p w:rsidR="003B3271" w:rsidRPr="0008481A" w:rsidRDefault="003B3271">
      <w:pPr>
        <w:pStyle w:val="Citatindrag"/>
      </w:pPr>
      <w:r w:rsidRPr="0008481A">
        <w:t>L.S. var inne på Blåhaken för demensutredning. Jag begärde och fick läkarintyg för godmanskap 97-09-18. Den 24 september gjorde jag första besök hos L.S. och ytterligare ett besök 97-09-30. Hon ansåg egentligen inte att hon behövde någon annan att sköta hennes ange</w:t>
      </w:r>
      <w:r w:rsidRPr="0008481A">
        <w:softHyphen/>
        <w:t>lägenheter, men hon samtyckte till god man och godkände att A.S. skulle förordnas, då hon inte ville att någon utanför familjen skulle blandas in (se begäran om förordnande 97-10-01).</w:t>
      </w:r>
    </w:p>
    <w:p w:rsidR="003B3271" w:rsidRPr="0008481A" w:rsidRDefault="003B3271">
      <w:pPr>
        <w:pStyle w:val="Citatindrag"/>
      </w:pPr>
      <w:r w:rsidRPr="0008481A">
        <w:t>Efter inkomna yttranden kallade tingsrätten till förhandlingar 97-12-10 där L.S. ej var närvarande. Beslut fattades efter tingsrättens kontakt med L.S. 97-12-16 att utse två gode män, A.S. och H.B.</w:t>
      </w:r>
    </w:p>
    <w:p w:rsidR="003B3271" w:rsidRPr="0008481A" w:rsidRDefault="003B3271">
      <w:pPr>
        <w:pStyle w:val="Citatindrag"/>
      </w:pPr>
      <w:r w:rsidRPr="0008481A">
        <w:t>Båda skötte godmansuppdraget t.o.m. 98-10-19 då tingsrätten efter A.S:s ansökan beslutade om hans entledigande.</w:t>
      </w:r>
    </w:p>
    <w:p w:rsidR="003B3271" w:rsidRPr="0008481A" w:rsidRDefault="003B3271">
      <w:pPr>
        <w:pStyle w:val="Citatindrag"/>
      </w:pPr>
      <w:r w:rsidRPr="0008481A">
        <w:t>L.S. var då sedan sommaren -98 på Wassarahem i väntan på sjuk</w:t>
      </w:r>
      <w:r w:rsidRPr="0008481A">
        <w:softHyphen/>
        <w:t>hemsboende. H.B. ansåg att det nu inte fanns anledning att hon skulle ha kostnader både för sjukhemsboendet och för sin del i fastigheten. Han begärde och fick läkarintyg som visade att L.S:s sjukdom framskridit så långt att hon inte förväntades kunna återvända till sitt tidigare boende och att hon inte bedömdes kunna göra ett adekvat beslut beträffande fastighets</w:t>
      </w:r>
      <w:r w:rsidRPr="0008481A">
        <w:softHyphen/>
        <w:t>försäljning.</w:t>
      </w:r>
    </w:p>
    <w:p w:rsidR="003B3271" w:rsidRPr="0008481A" w:rsidRDefault="003B3271">
      <w:pPr>
        <w:pStyle w:val="Citatindrag"/>
      </w:pPr>
      <w:r w:rsidRPr="0008481A">
        <w:t>A.S., sambo sedan 40 år, uppgav sig vara villig att köpa hennes del. De hade gemensamt byggt huset och hade gemensam lagfart med hä</w:t>
      </w:r>
      <w:r w:rsidRPr="0008481A">
        <w:t>lf</w:t>
      </w:r>
      <w:r w:rsidRPr="0008481A">
        <w:softHyphen/>
        <w:t>ten var. Han avsåg att behålla det gemensamma hemmet, då deras samboför</w:t>
      </w:r>
      <w:r w:rsidRPr="0008481A">
        <w:softHyphen/>
        <w:t>hållande inte skulle upphöra för att hon fått behov av vård i sjukhem. Hon skulle kunna komma hem.</w:t>
      </w:r>
    </w:p>
    <w:p w:rsidR="003B3271" w:rsidRPr="0008481A" w:rsidRDefault="003B3271">
      <w:pPr>
        <w:pStyle w:val="Citatindrag"/>
      </w:pPr>
      <w:r w:rsidRPr="0008481A">
        <w:t>Gode mannens bedömning av försäljningspriset: taxeringsvärdet plus 25 % ansåg även jag vara skäligt. Fastigheters taxeringsvärde skall normalt spegla 75 % av marknadsvärdet och i detta speciella fall var det inte befogat med värdering för att försöka få högre pris.</w:t>
      </w:r>
    </w:p>
    <w:p w:rsidR="003B3271" w:rsidRPr="0008481A" w:rsidRDefault="003B3271">
      <w:pPr>
        <w:pStyle w:val="Citatindrag"/>
      </w:pPr>
      <w:r w:rsidRPr="0008481A">
        <w:t>Beträffande frågan om medgivande enl 16 kap 9 § FB: Som överför</w:t>
      </w:r>
      <w:r w:rsidRPr="0008481A">
        <w:softHyphen/>
        <w:t>myndare begärde jag inte yttrande av de närmaste anhöriga eftersom gode mannen H.B. gjort detta. Han hade informerat samtliga fyra barn och fått godkännande till försäljning av B.S., U.S. och M.L. Dottern V.J. godkände inte, då hon tyckte att han skulle ta in anbud och sälja till högstbjudande.</w:t>
      </w:r>
    </w:p>
    <w:p w:rsidR="003B3271" w:rsidRPr="0008481A" w:rsidRDefault="003B3271">
      <w:pPr>
        <w:pStyle w:val="Citatindrag"/>
      </w:pPr>
      <w:r w:rsidRPr="0008481A">
        <w:t>Försäljningen genomfördes med att jag som överförmyndare godkände köpe</w:t>
      </w:r>
      <w:r w:rsidRPr="0008481A">
        <w:softHyphen/>
        <w:t>brevet, köpeskillingen betalats och sambon sökte och fick lagfart på hela fastigheten.</w:t>
      </w:r>
    </w:p>
    <w:p w:rsidR="003B3271" w:rsidRPr="0008481A" w:rsidRDefault="003B3271">
      <w:pPr>
        <w:pStyle w:val="Citatindrag"/>
      </w:pPr>
      <w:r w:rsidRPr="0008481A">
        <w:t>L.S. avled 98-11-25.</w:t>
      </w:r>
    </w:p>
    <w:p w:rsidR="003B3271" w:rsidRPr="0008481A" w:rsidRDefault="003B3271">
      <w:r w:rsidRPr="0008481A">
        <w:t xml:space="preserve">Karin Müchler har kommenterat remissvaret. </w:t>
      </w:r>
    </w:p>
    <w:p w:rsidR="003B3271" w:rsidRPr="0008481A" w:rsidRDefault="003B3271">
      <w:pPr>
        <w:pStyle w:val="Normaltindrag"/>
      </w:pPr>
      <w:r w:rsidRPr="0008481A">
        <w:t>Jag har tagit del av Länsstyrelsens i Norrbottens län beslut i det aktuella tillsynsärendet (67-968-99).</w:t>
      </w:r>
    </w:p>
    <w:p w:rsidR="003B3271" w:rsidRPr="0008481A" w:rsidRDefault="003B3271">
      <w:pPr>
        <w:pStyle w:val="Rubrik3"/>
      </w:pPr>
      <w:r w:rsidRPr="0008481A">
        <w:t>Bedömning</w:t>
      </w:r>
    </w:p>
    <w:p w:rsidR="003B3271" w:rsidRPr="0008481A" w:rsidRDefault="003B3271">
      <w:r w:rsidRPr="0008481A">
        <w:t>Inledningsvis vill jag framhålla att jag inte uttalar mig i frågan om över</w:t>
      </w:r>
      <w:r w:rsidRPr="0008481A">
        <w:softHyphen/>
        <w:t>förmyndarens beslut att lämna samtycke till försäljningen av fastig</w:t>
      </w:r>
      <w:r w:rsidRPr="0008481A">
        <w:softHyphen/>
        <w:t>hets</w:t>
      </w:r>
      <w:r w:rsidRPr="0008481A">
        <w:softHyphen/>
        <w:t>andelen är riktigt i sak. JO brukar nämligen inte uttala sig om myndig</w:t>
      </w:r>
      <w:r w:rsidRPr="0008481A">
        <w:softHyphen/>
        <w:t xml:space="preserve">heternas ställningstaganden i de sakfrågor som det ankommer på dem att avgöra. </w:t>
      </w:r>
    </w:p>
    <w:p w:rsidR="003B3271" w:rsidRPr="0008481A" w:rsidRDefault="003B3271">
      <w:pPr>
        <w:pStyle w:val="Citatindrag"/>
      </w:pPr>
      <w:r w:rsidRPr="0008481A">
        <w:t>Vad gäller överförmyndarens handläggning av ansökan om tillstånd att sälja L.S:s fastighetsandel vill jag anföra följande.</w:t>
      </w:r>
    </w:p>
    <w:p w:rsidR="003B3271" w:rsidRPr="0008481A" w:rsidRDefault="003B3271">
      <w:pPr>
        <w:pStyle w:val="Normaltindrag"/>
      </w:pPr>
      <w:r w:rsidRPr="0008481A">
        <w:t>Av 14 kap. 11 § första stycket 3 föräldrabalken (FB) framgår att en god man får överlåta huvudmannens fasta egendom endast med överför</w:t>
      </w:r>
      <w:r w:rsidRPr="0008481A">
        <w:softHyphen/>
        <w:t>myn</w:t>
      </w:r>
      <w:r w:rsidRPr="0008481A">
        <w:softHyphen/>
        <w:t>darens samtycke. I 16 kap. 9 § FB anges att innan överförmyndaren tar ställning till om samtycke skall lämnas till en förvaltningsåtgärd av större vikt, skall huvudmannen samt dennes make eller sambo och närmaste släktingar beredas tillfälle att yttra sig, om det kan ske utan avsevärd tidsförlust. Till förvaltningsåtgärd av större vikt hör bl.a. överlåtelse av fast egendom (jfr prop. 1993/94:251 s. 283).</w:t>
      </w:r>
    </w:p>
    <w:p w:rsidR="003B3271" w:rsidRPr="0008481A" w:rsidRDefault="003B3271">
      <w:pPr>
        <w:pStyle w:val="Normaltindrag"/>
      </w:pPr>
      <w:r w:rsidRPr="0008481A">
        <w:t>Utredningen ger visserligen vid handen att L.S:s barn var införstådda med att den gode mannen skull</w:t>
      </w:r>
      <w:r w:rsidRPr="0008481A">
        <w:t>e komma att sälja fastighetsandelen. Trots det har det ålegat överförmyndaren att höra vart och ett av barnen om deras inställning till den aktuella försäljningen innan överförmyndaren behandlade frågan om tillstånd. Det är således inte tillräckligt att den gode mannen varit i kontakt med de nämnda personerna. Jag är därför kritisk till att över</w:t>
      </w:r>
      <w:r w:rsidRPr="0008481A">
        <w:softHyphen/>
        <w:t>för</w:t>
      </w:r>
      <w:r w:rsidRPr="0008481A">
        <w:softHyphen/>
        <w:t>myndaren inte beredde barnen tillfälle att yttra sig innan beslut meddelades.</w:t>
      </w:r>
    </w:p>
    <w:p w:rsidR="003B3271" w:rsidRPr="0008481A" w:rsidRDefault="003B3271">
      <w:pPr>
        <w:pStyle w:val="Normaltindrag"/>
      </w:pPr>
      <w:r w:rsidRPr="0008481A">
        <w:t>Med anledning av vad Karin Müchler anfört om överförmyndarens underlåtenhet att be</w:t>
      </w:r>
      <w:r w:rsidRPr="0008481A">
        <w:t>svara brev vill jag anföra följande.</w:t>
      </w:r>
    </w:p>
    <w:p w:rsidR="003B3271" w:rsidRPr="0008481A" w:rsidRDefault="003B3271">
      <w:pPr>
        <w:pStyle w:val="Normaltindrag"/>
      </w:pPr>
      <w:r w:rsidRPr="0008481A">
        <w:t xml:space="preserve">Enligt 4 § förvaltningslagen (1986:223) skall frågor från enskilda besvaras så snart som möjligt. Bestämmelsen innebär att den myndighet som fått en förfrågan från en enskild måste lämna någon form av svar och att svaret inte får dröja längre än nödvändigt. </w:t>
      </w:r>
    </w:p>
    <w:p w:rsidR="003B3271" w:rsidRPr="0008481A" w:rsidRDefault="003B3271">
      <w:pPr>
        <w:pStyle w:val="Normaltindrag"/>
      </w:pPr>
      <w:r w:rsidRPr="0008481A">
        <w:t>I brevet den 11 november 1998 ställde Karin Müchler ett antal frågor till överförmyndaren rörande fastighetsförsäljningen. Då överförmyndaren inte besvarat brevet tillskrev Karin Müchler överförmyndaren ännu en gång den 13 januari 1999. Den 2 februari 1999 anmodade överförmyndaren Karin Müchler att inkomma med fullmakt. Fullmakten inkom till överförmyndaren den 11 februari 1999. Först den 29 april 1999 besvarade överförmyndaren breven. En så lång handläggningstid är givetvis inte acceptabel. Jag är således</w:t>
      </w:r>
      <w:r w:rsidRPr="0008481A">
        <w:t xml:space="preserve"> kritisk till att överförmyndaren dröjt för länge med att besvara de aktuella breven.</w:t>
      </w:r>
    </w:p>
    <w:p w:rsidR="003B3271" w:rsidRPr="0008481A" w:rsidRDefault="003B3271">
      <w:pPr>
        <w:pStyle w:val="Rubrik2"/>
      </w:pPr>
      <w:r w:rsidRPr="0008481A">
        <w:t>Ett på JO:s initiativ upptaget ärende angående handläggningen av ett ärende om godmanskap</w:t>
      </w:r>
    </w:p>
    <w:p w:rsidR="003B3271" w:rsidRPr="0008481A" w:rsidRDefault="003B3271">
      <w:r w:rsidRPr="0008481A">
        <w:t>(Dnr 352-2000)</w:t>
      </w:r>
    </w:p>
    <w:p w:rsidR="003B3271" w:rsidRPr="0008481A" w:rsidRDefault="003B3271">
      <w:r w:rsidRPr="0008481A">
        <w:t>I ett beslut den 16 juni 2000 anförde</w:t>
      </w:r>
      <w:r w:rsidRPr="0008481A">
        <w:rPr>
          <w:i/>
        </w:rPr>
        <w:t xml:space="preserve"> JO Pennlöv</w:t>
      </w:r>
      <w:r w:rsidRPr="0008481A">
        <w:t xml:space="preserve"> följande.</w:t>
      </w:r>
    </w:p>
    <w:p w:rsidR="003B3271" w:rsidRPr="0008481A" w:rsidRDefault="003B3271">
      <w:pPr>
        <w:pStyle w:val="Rubrik3"/>
      </w:pPr>
      <w:r w:rsidRPr="0008481A">
        <w:t>Initiativet m.m.</w:t>
      </w:r>
    </w:p>
    <w:p w:rsidR="003B3271" w:rsidRPr="0008481A" w:rsidRDefault="003B3271">
      <w:r w:rsidRPr="0008481A">
        <w:t>Med anledning av iakttagelser som jag gjorde vid inspektion av Överförmyndaren i Leksands kommun den 29 september 1999 beslutade jag att fortsätta granskning</w:t>
      </w:r>
      <w:r w:rsidRPr="0008481A">
        <w:softHyphen/>
        <w:t>en inom ramen för ett särskilt initiativärende.</w:t>
      </w:r>
    </w:p>
    <w:p w:rsidR="003B3271" w:rsidRPr="0008481A" w:rsidRDefault="003B3271">
      <w:pPr>
        <w:pStyle w:val="Normaltindrag"/>
      </w:pPr>
      <w:r w:rsidRPr="0008481A">
        <w:t>Föredraganden i ärendet upprättade en promemoria med i huvudsak följande lydelse.</w:t>
      </w:r>
    </w:p>
    <w:p w:rsidR="003B3271" w:rsidRPr="0008481A" w:rsidRDefault="003B3271">
      <w:r w:rsidRPr="0008481A">
        <w:t>– – –</w:t>
      </w:r>
    </w:p>
    <w:p w:rsidR="003B3271" w:rsidRPr="0008481A" w:rsidRDefault="003B3271">
      <w:pPr>
        <w:pStyle w:val="Citat"/>
      </w:pPr>
      <w:r w:rsidRPr="0008481A">
        <w:t>S.H. är god man enligt 11 kap. 4 § föräldrabalken för N.H. I årsräkning för 1995 har den gode mannen, som är bror till N.H., uppgivit att gåvor givits till S.H., M.H., F.H. och I.H. med samman</w:t>
      </w:r>
      <w:r w:rsidRPr="0008481A">
        <w:softHyphen/>
        <w:t>lagt 40 000 kr. Årsräkningen är granskad utan anmärkning av Överförmyndarnämnden i Leksands kommun genom Roland Reineck. I årsräkning för 1996 har den gode mannen redovisat gåvor till S., F., fadern E., S:s tre barn och F:s tre barn med sammanlagt 80 000 kr. Även denna årsräkning är granskad utan anmärkning av nämnden. I årsräkning för 1997 har den gode mannen redovisat gåvor till E., S., F. med barn med sammanlagt 80 000 kr. Redovisningen är granskad utan anmärk</w:t>
      </w:r>
      <w:r w:rsidRPr="0008481A">
        <w:softHyphen/>
        <w:t xml:space="preserve">ning av nämnden. I årsräkning för 1998 har </w:t>
      </w:r>
      <w:r w:rsidRPr="0008481A">
        <w:t>den gode mannen redovisat gåvor till syskonbarn med 10 000 kr och ett utgivet lån enligt revers med 30 000 kr. Av reversen framgår att den gode man</w:t>
      </w:r>
      <w:r w:rsidRPr="0008481A">
        <w:softHyphen/>
        <w:t xml:space="preserve">nen till N.H. betalar 30 000 kr enligt följande. ”Under 1999–2001 amorteras årligen </w:t>
      </w:r>
      <w:r w:rsidRPr="0008481A">
        <w:br/>
        <w:t>10 000 kr som N.H. ger till sina syskonbarn i form av gåva.” Årsräkningen är granskad utan anmärkning av överförmyndaren Hans Hyttsten. Av akten framgår vidare att överförmyndaren förordnat Roland Reineck som god man enligt 11 kap. 2 § 2 st föräldrabalken för N.H. med uppgift at</w:t>
      </w:r>
      <w:r w:rsidRPr="0008481A">
        <w:t>t bevaka hans rätt vid upprättande av lånehandling med S.H. som gäldenär och N.H. som borgenär.</w:t>
      </w:r>
    </w:p>
    <w:p w:rsidR="003B3271" w:rsidRPr="0008481A" w:rsidRDefault="003B3271">
      <w:pPr>
        <w:pStyle w:val="Citatindrag"/>
      </w:pPr>
      <w:r w:rsidRPr="0008481A">
        <w:t>Av denna redogörelse framgår således att överförmyndar</w:t>
      </w:r>
      <w:r w:rsidRPr="0008481A">
        <w:softHyphen/>
        <w:t>nämn</w:t>
      </w:r>
      <w:r w:rsidRPr="0008481A">
        <w:softHyphen/>
        <w:t>den/över</w:t>
      </w:r>
      <w:r w:rsidRPr="0008481A">
        <w:softHyphen/>
        <w:t>för</w:t>
      </w:r>
      <w:r w:rsidRPr="0008481A">
        <w:softHyphen/>
        <w:t xml:space="preserve">myndaren godkänt årsräkningar där gåvor givits till den gode mannen och hans familj. </w:t>
      </w:r>
    </w:p>
    <w:p w:rsidR="003B3271" w:rsidRPr="0008481A" w:rsidRDefault="003B3271">
      <w:pPr>
        <w:pStyle w:val="Rubrik3"/>
      </w:pPr>
      <w:r w:rsidRPr="0008481A">
        <w:t>Utredningen</w:t>
      </w:r>
    </w:p>
    <w:p w:rsidR="003B3271" w:rsidRPr="0008481A" w:rsidRDefault="003B3271">
      <w:r w:rsidRPr="0008481A">
        <w:t>Ärendet remitterades till Överförmyndaren i Leksands kommun för yttrande över vad som framförts i promemorian. Överförmyndaren Hans Hyttsten anförde i sitt remissvar följande.</w:t>
      </w:r>
    </w:p>
    <w:p w:rsidR="003B3271" w:rsidRPr="0008481A" w:rsidRDefault="003B3271">
      <w:pPr>
        <w:pStyle w:val="Citat"/>
      </w:pPr>
      <w:r w:rsidRPr="0008481A">
        <w:t xml:space="preserve">Sommaren 1999 kommer jag för första gången i kontakt med ärendet, då N.H:s far E. avlider. S.H., som är god man för N. och brodern F. gör en framställan via bouppteckningsmannen, om att få dela N:s arvslott mellan sig, något som jag inte godkänner. Skrivelse om detta finns i akten. Jag upptäcker då också, att gode mannen S.H. årligen tagit ut mycket pengar från huvudmannens egna medel, och fördelat till sig själv och anhöriga, och att det skett med tidigare överförmyndarens godkännande. </w:t>
      </w:r>
    </w:p>
    <w:p w:rsidR="003B3271" w:rsidRPr="0008481A" w:rsidRDefault="003B3271">
      <w:pPr>
        <w:pStyle w:val="Citatindrag"/>
      </w:pPr>
      <w:r w:rsidRPr="0008481A">
        <w:t>N.H:s del av arvet efter fadern E. sätts in på hans konto. Med det vill jag säga att jag visste att gode man och anhöriga inte får ta del av huvudmannens pengar.</w:t>
      </w:r>
    </w:p>
    <w:p w:rsidR="003B3271" w:rsidRPr="0008481A" w:rsidRDefault="003B3271">
      <w:pPr>
        <w:pStyle w:val="Citatindrag"/>
      </w:pPr>
      <w:r w:rsidRPr="0008481A">
        <w:t>Då jag en tid senare granskar årsräkningen för 1998 ser jag att gode mannen S.H. på nytt tagit ut 40 000 kronor från huvudmannen och fördelat detta till sig själv och anhöriga som gåva. Jag hade ett möte med S.H. där jag klart sa till att allt som hade tagits ut från huvudmannens pengar till gåvor var lagstridigt. Jag hittade sen på konstruktionen med en revers som skulle amorteras till år 2001 i form av gåva.</w:t>
      </w:r>
    </w:p>
    <w:p w:rsidR="003B3271" w:rsidRPr="0008481A" w:rsidRDefault="003B3271">
      <w:pPr>
        <w:pStyle w:val="Citatindrag"/>
      </w:pPr>
      <w:r w:rsidRPr="0008481A">
        <w:t>Jag måste när konstruktionen kom till ha fått ett ”hjärnsläpp”. Det fanns väl nån tanke och tro, att på detta sätt lösa situationen och få slut på gåvoutdelningen. Jag vet att jag handlat felaktigt och mot gällande bestämmelser.</w:t>
      </w:r>
    </w:p>
    <w:p w:rsidR="003B3271" w:rsidRPr="0008481A" w:rsidRDefault="003B3271">
      <w:pPr>
        <w:pStyle w:val="Citatindrag"/>
      </w:pPr>
      <w:r w:rsidRPr="0008481A">
        <w:t>Jag har träffat S.H. och gått igenom det PM Ni skickat. Även brodern F. var med på den träffen. Jag sa att jag gjort ett felaktigt beslut som jag nu ändrade och att de 40 000 kronor som tagits ut som gåva under 1998 skulle återbetalas. Båda sa att de inte kände till att man inte fick ta ut gåvor. De hade ju under åren som gått, fått den tidigare överförmyndarens god</w:t>
      </w:r>
      <w:r w:rsidRPr="0008481A">
        <w:softHyphen/>
        <w:t>kännande för detta.</w:t>
      </w:r>
    </w:p>
    <w:p w:rsidR="003B3271" w:rsidRPr="0008481A" w:rsidRDefault="003B3271">
      <w:pPr>
        <w:pStyle w:val="Citatindrag"/>
      </w:pPr>
      <w:r w:rsidRPr="0008481A">
        <w:t>Båda är nu villiga att betala tillbaka gåvan från 1998, genom en avbetal</w:t>
      </w:r>
      <w:r w:rsidRPr="0008481A">
        <w:softHyphen/>
        <w:t>ningsplan. Någon sådan har än inte upprättats, men i den årsredovisning S.H. gjort från 1999 finns upptagen en skuld till N.H. på 40 000 kronor.</w:t>
      </w:r>
    </w:p>
    <w:p w:rsidR="003B3271" w:rsidRPr="0008481A" w:rsidRDefault="003B3271">
      <w:pPr>
        <w:pStyle w:val="Citatindrag"/>
      </w:pPr>
      <w:r w:rsidRPr="0008481A">
        <w:t>Jag har också haft ett möte med tidigare överförmyndaren, Roland Reineck. Han har svårt att minnas ”ärendet”, men säger att han inte känt till bestämmelserna om att god man inte får ge gåva, och han är uppriktigt ledsen att han gjort fel i handläggningen.</w:t>
      </w:r>
    </w:p>
    <w:p w:rsidR="003B3271" w:rsidRPr="0008481A" w:rsidRDefault="003B3271">
      <w:pPr>
        <w:pStyle w:val="Citatindrag"/>
      </w:pPr>
      <w:r w:rsidRPr="0008481A">
        <w:t>Då återstår frågan, hur man skall göra med de 200 000 kronor som utgått i gåva för åren 1995–1997. Skall det bero eller skall det tas upp som fordran i årsräkningen för 1999? Och skall den då kvarstå som fordran åren framöver eller är det påkallat att kräva en avbetalningsplan även här? Jag önskar JO:s vägledning om detta.</w:t>
      </w:r>
    </w:p>
    <w:p w:rsidR="003B3271" w:rsidRPr="0008481A" w:rsidRDefault="003B3271">
      <w:pPr>
        <w:pStyle w:val="Citatindrag"/>
      </w:pPr>
      <w:r w:rsidRPr="0008481A">
        <w:t>Jag har också tänkt tanken, om S.H. kan stå kvar som god man. Han säger att han handlat i god tro och med överförmyndarens godkännande och det är ju riktigt. Vad jag inhämtat från personalen från det gruppboende där N.H. har sin bostad, så är S.H. och även hans bror F. mycket engagerade i N., besöker honom ofta, kommer på anhörigträffar och sköter så att det inte fattas honom något. Jag menar därför att S.H. får fortsätta sitt uppdrag.</w:t>
      </w:r>
    </w:p>
    <w:p w:rsidR="003B3271" w:rsidRPr="0008481A" w:rsidRDefault="003B3271">
      <w:pPr>
        <w:pStyle w:val="Rubrik4"/>
      </w:pPr>
      <w:r w:rsidRPr="0008481A">
        <w:t>Slutord</w:t>
      </w:r>
    </w:p>
    <w:p w:rsidR="003B3271" w:rsidRPr="0008481A" w:rsidRDefault="003B3271">
      <w:pPr>
        <w:pStyle w:val="Citat"/>
      </w:pPr>
      <w:r w:rsidRPr="0008481A">
        <w:t>Jag har gjort ett allvarligt misstag som jag nu rättat till genom att upphäva beslutet, och skall med gode mannen S.H. göra upp en avbetalningsplan på det belopp som togs från huvudmannen N.H. under 1998 och gavs som gåva till anhöriga.</w:t>
      </w:r>
    </w:p>
    <w:p w:rsidR="003B3271" w:rsidRPr="0008481A" w:rsidRDefault="003B3271">
      <w:pPr>
        <w:pStyle w:val="Citatindrag"/>
      </w:pPr>
      <w:r w:rsidRPr="0008481A">
        <w:t>JO:s PM gör att jag nu är mycket noggrann och observant och jag i fortsättningen inte accepterar att god man ger ut gåva från huvudman.</w:t>
      </w:r>
    </w:p>
    <w:p w:rsidR="003B3271" w:rsidRPr="0008481A" w:rsidRDefault="003B3271">
      <w:pPr>
        <w:pStyle w:val="Rubrik3"/>
      </w:pPr>
      <w:r w:rsidRPr="0008481A">
        <w:t>Bedömning</w:t>
      </w:r>
    </w:p>
    <w:p w:rsidR="003B3271" w:rsidRPr="0008481A" w:rsidRDefault="003B3271">
      <w:r w:rsidRPr="0008481A">
        <w:t>Enligt 14 kap. 12 § föräldrabalken (FB) får en förordnad god man inte ge bort den enskildes egendom, om det inte är fråga om personliga presenter vars värde inte står i missförhållande till den enskildes ekonomiska villkor. Med överförmynda</w:t>
      </w:r>
      <w:r w:rsidRPr="0008481A">
        <w:softHyphen/>
        <w:t>rens samtycke får den enskildes inkomster användas till understöd åt anhöriga eller andra som står den enskilde nära. Av 12 kap. 8 § FB framgår att en god man inte har rätt att företräda den för vilken han förordnats, om det uppstår fråga om bl.a. rättshandling mellan denne, å ena sidan, och den gode mannen, å andra sidan. Av 11 kap. 2 § FB följer att det i en sådan situation skall förordnas en särskild god man som bevakar huvudmannens rätt.</w:t>
      </w:r>
    </w:p>
    <w:p w:rsidR="003B3271" w:rsidRPr="0008481A" w:rsidRDefault="003B3271">
      <w:pPr>
        <w:pStyle w:val="Normaltindrag"/>
      </w:pPr>
      <w:r w:rsidRPr="0008481A">
        <w:t>En huvudman som har god man enligt 11 kap. 4 § FB förordnad för s</w:t>
      </w:r>
      <w:r w:rsidRPr="0008481A">
        <w:t>ig kan själv ge gåvor om han eller hon kan ge uttryck för en egen vilja. Överförmyndarens tillstånd behövs därför inte när huvudmannen själv ger bort sin egendom eller tar ut pengar från sina bankkonton. Jag vill dock påpeka att om en överförmyndare anser att huvudmannen begagnar sig av sin rättsliga handlingsförmåga till skada för sig själv måste överförmyndaren överväga om det bör vidtas några åtgärder för att motverka huvudmannens handlande. Kan huvudmannen inte avhållas från skad</w:t>
      </w:r>
      <w:r w:rsidRPr="0008481A">
        <w:softHyphen/>
        <w:t xml:space="preserve">liga dispositioner kan </w:t>
      </w:r>
      <w:r w:rsidRPr="0008481A">
        <w:t>anordnande av förvaltarskap bli aktuellt. Förekommer det att en god man enligt överförmyndarens uppfattning inte i tillräcklig utsträck</w:t>
      </w:r>
      <w:r w:rsidRPr="0008481A">
        <w:softHyphen/>
        <w:t xml:space="preserve">ning tillvaratar huvudmannens intressen bör, enligt min mening, ett byte av god man övervägas (jfr JO 1996/97 s. 418). </w:t>
      </w:r>
    </w:p>
    <w:p w:rsidR="003B3271" w:rsidRPr="0008481A" w:rsidRDefault="003B3271">
      <w:pPr>
        <w:pStyle w:val="Normaltindrag"/>
      </w:pPr>
      <w:r w:rsidRPr="0008481A">
        <w:t>En god mans förvaltning skall granskas av överförmyndaren i första hand med ledning av ingiven förteckning samt års- och sluträkningar. Av utredningen i ärendet framgår att överförmyndarnämnden/överförmyndaren godkänt årsräk</w:t>
      </w:r>
      <w:r w:rsidRPr="0008481A">
        <w:softHyphen/>
        <w:t>ningar som har innehållit uppgifter om att gåvor med stora belopp givits till den gode mannen och hans familj. Dessa uppgifter borde givetvis ha lett till att över</w:t>
      </w:r>
      <w:r w:rsidRPr="0008481A">
        <w:softHyphen/>
        <w:t>förmyndarnämnden/överförmyndaren utövat sin kontrollfunktion och aktivt vid</w:t>
      </w:r>
      <w:r w:rsidRPr="0008481A">
        <w:softHyphen/>
        <w:t>tagit erforderliga åtgärder för att dels undersöka huvudmannens förmåga att ge uttryck för sin egen vilja, dels närmare kontrollera den gode mannens sätt att sköta sitt uppdrag. Till årsräkningen för 1996 har även bifogats ett gåvobrev avseende gåvor till den gode mannen</w:t>
      </w:r>
      <w:r w:rsidRPr="0008481A">
        <w:t xml:space="preserve"> och familjen undertecknat av S.H. i egenskap av god man för N.H. Mot bakgrund av reglerna i 12 kap. 8 § FB och 14 kap. 12 § FB är det obegripligt att årsräkningen godkänts utan anmärkning. </w:t>
      </w:r>
    </w:p>
    <w:p w:rsidR="003B3271" w:rsidRPr="0008481A" w:rsidRDefault="003B3271">
      <w:pPr>
        <w:pStyle w:val="Normaltindrag"/>
      </w:pPr>
      <w:r w:rsidRPr="0008481A">
        <w:t>De brister i handläggningen som förekommit i detta ärende är av mycket allvar</w:t>
      </w:r>
      <w:r w:rsidRPr="0008481A">
        <w:softHyphen/>
        <w:t>lig beskaffenhet. Jag är därför ytterst kritisk till överförmyndarnämn</w:t>
      </w:r>
      <w:r w:rsidRPr="0008481A">
        <w:softHyphen/>
        <w:t>dens/över</w:t>
      </w:r>
      <w:r w:rsidRPr="0008481A">
        <w:softHyphen/>
        <w:t>för</w:t>
      </w:r>
      <w:r w:rsidRPr="0008481A">
        <w:softHyphen/>
        <w:t>myndarens bristfälliga tillsyn över godmanskapsärendet, särskilt mot bakgrund av den skada som N.H. kan ha förorsakats genom över</w:t>
      </w:r>
      <w:r w:rsidRPr="0008481A">
        <w:softHyphen/>
        <w:t>för</w:t>
      </w:r>
      <w:r w:rsidRPr="0008481A">
        <w:softHyphen/>
        <w:t>myndarnämndens/över</w:t>
      </w:r>
      <w:r w:rsidRPr="0008481A">
        <w:softHyphen/>
        <w:t>för</w:t>
      </w:r>
      <w:r w:rsidRPr="0008481A">
        <w:softHyphen/>
        <w:t>myndarens underlåtenhet att vidta erforderliga åt</w:t>
      </w:r>
      <w:r w:rsidRPr="0008481A">
        <w:softHyphen/>
        <w:t>gärder. Mitt intryck är att över</w:t>
      </w:r>
      <w:r w:rsidRPr="0008481A">
        <w:softHyphen/>
        <w:t>förmyndaren numera insett vikten av att till</w:t>
      </w:r>
      <w:r w:rsidRPr="0008481A">
        <w:softHyphen/>
        <w:t>synsskyldigheten utövas enligt gäl</w:t>
      </w:r>
      <w:r w:rsidRPr="0008481A">
        <w:softHyphen/>
        <w:t>lande bestämmelser och på ett sådant sätt att huvudmännens rätt inte äventyras. Med anledning härav har j</w:t>
      </w:r>
      <w:r w:rsidRPr="0008481A">
        <w:t xml:space="preserve">ag beslutat att inte gå vidare i saken. </w:t>
      </w:r>
    </w:p>
    <w:p w:rsidR="003B3271" w:rsidRPr="0008481A" w:rsidRDefault="003B3271">
      <w:pPr>
        <w:pStyle w:val="Normaltindrag"/>
      </w:pPr>
      <w:r w:rsidRPr="0008481A">
        <w:t>Den av överförmyndaren i remissvaret ställda frågan föranleder inte någon kommentar från min sida.</w:t>
      </w:r>
    </w:p>
    <w:p w:rsidR="003B3271" w:rsidRPr="0008481A" w:rsidRDefault="003B3271">
      <w:pPr>
        <w:pStyle w:val="Normaltindrag"/>
      </w:pPr>
      <w:r w:rsidRPr="0008481A">
        <w:t>Med den allvarliga kritik som ligger i det sagda avslutar jag ärendet.</w:t>
      </w:r>
    </w:p>
    <w:p w:rsidR="003B3271" w:rsidRPr="0008481A" w:rsidRDefault="003B3271">
      <w:pPr>
        <w:pStyle w:val="Rubrik1"/>
        <w:spacing w:before="0"/>
      </w:pPr>
      <w:r w:rsidRPr="0008481A">
        <w:br w:type="page"/>
        <w:t>Övriga kommunalförvaltningsärenden</w:t>
      </w:r>
    </w:p>
    <w:p w:rsidR="003B3271" w:rsidRPr="0008481A" w:rsidRDefault="003B3271">
      <w:pPr>
        <w:pStyle w:val="Rubrik2"/>
      </w:pPr>
      <w:r w:rsidRPr="0008481A">
        <w:t>Fråga rörande myndigheters skyldighet att vara tillgängliga via elektronisk post (e-post)</w:t>
      </w:r>
    </w:p>
    <w:p w:rsidR="003B3271" w:rsidRPr="0008481A" w:rsidRDefault="003B3271">
      <w:r w:rsidRPr="0008481A">
        <w:t>(Dnr 2146-1999)</w:t>
      </w:r>
    </w:p>
    <w:p w:rsidR="003B3271" w:rsidRPr="0008481A" w:rsidRDefault="003B3271">
      <w:pPr>
        <w:pStyle w:val="Rubrik3"/>
      </w:pPr>
      <w:r w:rsidRPr="0008481A">
        <w:t>Anmälan</w:t>
      </w:r>
    </w:p>
    <w:p w:rsidR="003B3271" w:rsidRPr="0008481A" w:rsidRDefault="003B3271">
      <w:r w:rsidRPr="0008481A">
        <w:t>I en anmälan till JO framförde KG Hammarlund klagomål mot Halmstads kommun och uppgav i huvudsak följande. Enligt en artikel i Hallands</w:t>
      </w:r>
      <w:r w:rsidRPr="0008481A">
        <w:softHyphen/>
        <w:t>posten den 31 maj 1999 vägrade Halmstads kommun sedan tio dagar tillbaka att befatta sig med inkommande e-post</w:t>
      </w:r>
      <w:r w:rsidRPr="0008481A">
        <w:softHyphen/>
        <w:t>meddelanden där avsändaradressen innehöll domännamnet ”hotmail.com”. Denna typ av e-post</w:t>
      </w:r>
      <w:r w:rsidRPr="0008481A">
        <w:softHyphen/>
        <w:t>adresser kan vem som helst skaffa sig gratis och de ger möjlighet att läsa och sända e-post närhelst man har tillgång till en dator som är uppkopplad till Internet. Det uppgivna skälet till kommunens åtgärd var att anställda vid två kommunala förvaltningar ”bombats” med e-postmeddelanden med kränkande eller fö</w:t>
      </w:r>
      <w:r w:rsidRPr="0008481A">
        <w:t>ro</w:t>
      </w:r>
      <w:r w:rsidRPr="0008481A">
        <w:softHyphen/>
        <w:t>lämpande innehåll. Det är naturligt</w:t>
      </w:r>
      <w:r w:rsidRPr="0008481A">
        <w:softHyphen/>
        <w:t xml:space="preserve">vis mycket beklagligt att tjänstemän hos Halmstads kommun fått mottaga meddelanden med sådant innehåll. Enligt KG Hammarlunds mening går dock kommunens åtgärd för långt. Den kan jämställas med t.ex. att kommunen vägrar att besvara telefonsamtal från ett visst riktnummerområde. </w:t>
      </w:r>
    </w:p>
    <w:p w:rsidR="003B3271" w:rsidRPr="0008481A" w:rsidRDefault="003B3271">
      <w:pPr>
        <w:pStyle w:val="Normaltindrag"/>
      </w:pPr>
      <w:r w:rsidRPr="0008481A">
        <w:t>KG Hammarlund begärde att JO skulle utreda om Halmstads kommun genom den vidtagna åtgärden på ett olämpligt eller otillåtet sätt begränsat kommunmedlemmars och andras rätt till kommunikation.</w:t>
      </w:r>
    </w:p>
    <w:p w:rsidR="003B3271" w:rsidRPr="0008481A" w:rsidRDefault="003B3271">
      <w:pPr>
        <w:pStyle w:val="Rubrik3"/>
      </w:pPr>
      <w:r w:rsidRPr="0008481A">
        <w:t>Utredning</w:t>
      </w:r>
    </w:p>
    <w:p w:rsidR="003B3271" w:rsidRPr="0008481A" w:rsidRDefault="003B3271">
      <w:r w:rsidRPr="0008481A">
        <w:t>Efter remiss anförde Kommunstyrelsen i Halmstads kommun i yttrande den 19 augusti 1999 följande.</w:t>
      </w:r>
    </w:p>
    <w:p w:rsidR="003B3271" w:rsidRPr="0008481A" w:rsidRDefault="003B3271">
      <w:pPr>
        <w:pStyle w:val="Rubrik4"/>
      </w:pPr>
      <w:r w:rsidRPr="0008481A">
        <w:t>Bakgrund</w:t>
      </w:r>
    </w:p>
    <w:p w:rsidR="003B3271" w:rsidRPr="0008481A" w:rsidRDefault="003B3271">
      <w:pPr>
        <w:pStyle w:val="Citat"/>
      </w:pPr>
      <w:r w:rsidRPr="0008481A">
        <w:t>Under en tidsperiod i maj 1999 blev två förvaltningar utsatta för ”mail-bombning”. Några e-mail var ställda till kommunen, medan andra medde</w:t>
      </w:r>
      <w:r w:rsidRPr="0008481A">
        <w:softHyphen/>
        <w:t>landen skickades direkt till enskilda tjänstemän. Meddel</w:t>
      </w:r>
      <w:r w:rsidRPr="0008481A">
        <w:softHyphen/>
        <w:t>andena var di</w:t>
      </w:r>
      <w:r w:rsidRPr="0008481A">
        <w:softHyphen/>
        <w:t>rekt an</w:t>
      </w:r>
      <w:r w:rsidRPr="0008481A">
        <w:softHyphen/>
        <w:t>stötliga med bl.a. sexuellt innehåll. Vem som skickade e-mailen gick inte att utläsa då dess avsändare använde sig av hotmailadresser.</w:t>
      </w:r>
    </w:p>
    <w:p w:rsidR="003B3271" w:rsidRPr="0008481A" w:rsidRDefault="003B3271">
      <w:pPr>
        <w:pStyle w:val="Rubrik4"/>
      </w:pPr>
      <w:r w:rsidRPr="0008481A">
        <w:t>Halmstads kommun åtgärder</w:t>
      </w:r>
    </w:p>
    <w:p w:rsidR="003B3271" w:rsidRPr="0008481A" w:rsidRDefault="003B3271">
      <w:pPr>
        <w:pStyle w:val="Citat"/>
      </w:pPr>
      <w:r w:rsidRPr="0008481A">
        <w:t>IT-chefen i Halmstads kommun beslutade den 21 maj 1999 att stoppa all e-post med domänen ”hotmail.com”. Detta genomfördes på så sätt att man via Kommunens leverantör av datadrift, Enator i Halmstad, försökte spärra do</w:t>
      </w:r>
      <w:r w:rsidRPr="0008481A">
        <w:softHyphen/>
        <w:t>mänen hotmail.com i Kommunens brandvägg. Det visade sig inte helt lätt praktiskt eftersom brandväggen bara möjlig</w:t>
      </w:r>
      <w:r w:rsidRPr="0008481A">
        <w:softHyphen/>
        <w:t>gjorde att man stoppade Ip-nummer och inte domäner. Domänen hotmail.com består av flera Ip-num</w:t>
      </w:r>
      <w:r w:rsidRPr="0008481A">
        <w:softHyphen/>
        <w:t>mer, beroende på att hotmail.com använder sig av flera Internetservrar. Det tog därför en viss tid spåra alla servrar. Detta innebar att först efter en kor</w:t>
      </w:r>
      <w:r w:rsidRPr="0008481A">
        <w:softHyphen/>
        <w:t>tare tid lyckades man stoppa samtliga e-mail med domänen hotmail.com till kommunen och dess tjänstemän. Hotmail internetservrarna skickade dock au</w:t>
      </w:r>
      <w:r w:rsidRPr="0008481A">
        <w:t>tomatiskt ut ett svar att domänen Halmstad.se inte var åtkomlig.</w:t>
      </w:r>
    </w:p>
    <w:p w:rsidR="003B3271" w:rsidRPr="0008481A" w:rsidRDefault="003B3271">
      <w:pPr>
        <w:ind w:right="567"/>
        <w:rPr>
          <w:sz w:val="20"/>
        </w:rPr>
      </w:pPr>
    </w:p>
    <w:p w:rsidR="003B3271" w:rsidRPr="0008481A" w:rsidRDefault="003B3271">
      <w:pPr>
        <w:pStyle w:val="Citatindrag"/>
      </w:pPr>
      <w:r w:rsidRPr="0008481A">
        <w:t>Den 7 juni 1999 tog man bort spärrfunktion för hotmail internet</w:t>
      </w:r>
      <w:r w:rsidRPr="0008481A">
        <w:softHyphen/>
        <w:t>servrarna vilket innebar att alla e-mailfunktioner fullt ut fungerade. Därefter har ännu så länge inga kända trakasserier förekommit.</w:t>
      </w:r>
    </w:p>
    <w:p w:rsidR="003B3271" w:rsidRPr="0008481A" w:rsidRDefault="003B3271">
      <w:pPr>
        <w:pStyle w:val="Citatindrag"/>
      </w:pPr>
      <w:r w:rsidRPr="0008481A">
        <w:t>Halmstads kommun har inte på något sätt försökt att begränsa kommun</w:t>
      </w:r>
      <w:r w:rsidRPr="0008481A">
        <w:softHyphen/>
        <w:t>medborgarnas och andras självklara rätt till kommunikation. Arbetsmiljö</w:t>
      </w:r>
      <w:r w:rsidRPr="0008481A">
        <w:softHyphen/>
        <w:t>lagen och inte minst de förändringar som på senare tid införts i jämställd</w:t>
      </w:r>
      <w:r w:rsidRPr="0008481A">
        <w:softHyphen/>
        <w:t>hetslagen gällande sexuella trakasserier ställer stora krav på arbetsgivaren att agera. Allmänhetens rätt till information med myndigheten kan då som i detta fall synas komma i konflikt med myndighetens, i egenskap av arbets</w:t>
      </w:r>
      <w:r w:rsidRPr="0008481A">
        <w:softHyphen/>
        <w:t>givare, omsorg om de anställda. Kommunen har emellertid varit tillgänglig för besök, post och telefon</w:t>
      </w:r>
      <w:r w:rsidRPr="0008481A">
        <w:softHyphen/>
        <w:t>samtal dvs i så stor utsträckning som</w:t>
      </w:r>
      <w:r w:rsidRPr="0008481A">
        <w:t xml:space="preserve"> under rå</w:t>
      </w:r>
      <w:r w:rsidRPr="0008481A">
        <w:softHyphen/>
        <w:t>dande omstän</w:t>
      </w:r>
      <w:r w:rsidRPr="0008481A">
        <w:softHyphen/>
        <w:t>dig</w:t>
      </w:r>
      <w:r w:rsidRPr="0008481A">
        <w:softHyphen/>
        <w:t>heter har varit möjligt. De personer som försökt nå Kom</w:t>
      </w:r>
      <w:r w:rsidRPr="0008481A">
        <w:softHyphen/>
        <w:t>munen via använ</w:t>
      </w:r>
      <w:r w:rsidRPr="0008481A">
        <w:softHyphen/>
        <w:t>dandet av hotmail har också fått reda på att e-mailet inte nått sin adressat och således haft möjlighet att på annat sätt ta kontakt med kommunen.</w:t>
      </w:r>
    </w:p>
    <w:p w:rsidR="003B3271" w:rsidRPr="0008481A" w:rsidRDefault="003B3271">
      <w:pPr>
        <w:pStyle w:val="Citatindrag"/>
      </w:pPr>
      <w:r w:rsidRPr="0008481A">
        <w:t>Sammanfattningsvis vill Halmstads kommun som sin ståndpunkt framhålla att något fel inte har begåtts och menar därför att anmälan inte bör föranleda någon åtgärd från JO:s sida.</w:t>
      </w:r>
    </w:p>
    <w:p w:rsidR="003B3271" w:rsidRPr="0008481A" w:rsidRDefault="003B3271">
      <w:r w:rsidRPr="0008481A">
        <w:t>KG Hammarlund lämnades tillfälle att kommentera remissvaret men hördes inte av.</w:t>
      </w:r>
    </w:p>
    <w:p w:rsidR="003B3271" w:rsidRPr="0008481A" w:rsidRDefault="003B3271">
      <w:r w:rsidRPr="0008481A">
        <w:rPr>
          <w:i/>
        </w:rPr>
        <w:t>JO Berggren</w:t>
      </w:r>
      <w:r w:rsidRPr="0008481A">
        <w:t xml:space="preserve"> anförde i beslut den 31 maj 2000 följande.</w:t>
      </w:r>
    </w:p>
    <w:p w:rsidR="003B3271" w:rsidRPr="0008481A" w:rsidRDefault="003B3271">
      <w:r w:rsidRPr="0008481A">
        <w:t>Det är numera vanligt att myndigheter har egna e-postadresser. Om en myndighet har en sådan adress innebär detta bl.a. att enskilda kan skicka meddelanden av olika slag till myndigheten med e-post och därigenom t.ex. anhängiggöra ärenden. Några författ</w:t>
      </w:r>
      <w:r w:rsidRPr="0008481A">
        <w:softHyphen/>
        <w:t>nings</w:t>
      </w:r>
      <w:r w:rsidRPr="0008481A">
        <w:softHyphen/>
        <w:t>föreskrifter som innebär skyldighet för myndigheter att ha e-postadresser finns inte. Sålunda finns inte heller några före</w:t>
      </w:r>
      <w:r w:rsidRPr="0008481A">
        <w:softHyphen/>
        <w:t xml:space="preserve">skrifter i författning rörande förpliktelser för myndigheter att vara tillgängliga via e-post (jfr 5 § förvaltningslagen [1986:223]). </w:t>
      </w:r>
    </w:p>
    <w:p w:rsidR="003B3271" w:rsidRPr="0008481A" w:rsidRDefault="003B3271">
      <w:pPr>
        <w:pStyle w:val="Normaltindrag"/>
      </w:pPr>
      <w:r w:rsidRPr="0008481A">
        <w:t>Mot bakgrund av det anförda har granskningen i detta ärende tagit sikte på om Halmstads kommun har agerat på ett olämpligt sätt genom beslutet att under en period stoppa all e-post från en viss domän. Kommunstyrelsen har i remissyttrandet redovisa</w:t>
      </w:r>
      <w:r w:rsidRPr="0008481A">
        <w:t>t skälen till beslutet och även beskrivit hur det genomfördes. Jag har inte några invändningar mot kommunens åtgärder.</w:t>
      </w:r>
    </w:p>
    <w:p w:rsidR="003B3271" w:rsidRPr="0008481A" w:rsidRDefault="003B3271">
      <w:pPr>
        <w:pStyle w:val="Rubrik1"/>
        <w:spacing w:before="0"/>
      </w:pPr>
      <w:r w:rsidRPr="0008481A">
        <w:br w:type="page"/>
        <w:t>Offentlighet och sekretess samt yttrande- och tryckfrihet</w:t>
      </w:r>
    </w:p>
    <w:p w:rsidR="003B3271" w:rsidRPr="0008481A" w:rsidRDefault="003B3271">
      <w:pPr>
        <w:pStyle w:val="Rubrik2"/>
        <w:spacing w:before="120"/>
        <w:rPr>
          <w:i/>
        </w:rPr>
      </w:pPr>
      <w:r w:rsidRPr="0008481A">
        <w:rPr>
          <w:i/>
        </w:rPr>
        <w:t>Socialtjänst samt hälso- och sjukvård</w:t>
      </w:r>
    </w:p>
    <w:p w:rsidR="003B3271" w:rsidRPr="0008481A" w:rsidRDefault="003B3271">
      <w:pPr>
        <w:pStyle w:val="Rubrik2"/>
      </w:pPr>
      <w:r w:rsidRPr="0008481A">
        <w:t>Läkare har utan medgivande lämnat ut sekretesskyddade uppgifter rörande patient och dennes make till polis och överförmyndare – Fråga om läkaren haft lagstöd för sina åtgärder</w:t>
      </w:r>
    </w:p>
    <w:p w:rsidR="003B3271" w:rsidRPr="0008481A" w:rsidRDefault="003B3271">
      <w:r w:rsidRPr="0008481A">
        <w:t>(Dnr 4228-1998)</w:t>
      </w:r>
    </w:p>
    <w:p w:rsidR="003B3271" w:rsidRPr="0008481A" w:rsidRDefault="003B3271">
      <w:pPr>
        <w:pStyle w:val="Rubrik3"/>
      </w:pPr>
      <w:r w:rsidRPr="0008481A">
        <w:t>Anmälan</w:t>
      </w:r>
    </w:p>
    <w:p w:rsidR="003B3271" w:rsidRPr="0008481A" w:rsidRDefault="003B3271">
      <w:r w:rsidRPr="0008481A">
        <w:t>I en anmälan till JO gjorde B.Å. gällande att husläkaren Anneli Karlsson vid husläkarmottagningen Johannes i Stockholm lämnat ut uppgifter rörande honom och hans hustru Z.Å. i strid med bestämmelser i sekretesslagen (1980:100), SekrL.</w:t>
      </w:r>
    </w:p>
    <w:p w:rsidR="003B3271" w:rsidRPr="0008481A" w:rsidRDefault="003B3271">
      <w:pPr>
        <w:pStyle w:val="Normaltindrag"/>
      </w:pPr>
      <w:r w:rsidRPr="0008481A">
        <w:t>Av anmälan framgick bl.a. följande. B.Å. och Z.Å. hade vid tidpunkten för hans anmälan till JO i november 1998 varit patienter hos Anneli Karlsson sedan fem till sju år. Z.Å. hade en konstaterad hjärnskada, s.k. vaskulär demens, men var inte i behov av vård på institution. Den 23 april 1998 lämnade Anneli Karlsson in en anmälan till Överförmyndarnämnden i Stockholm, i vilken hon begärde att nämn</w:t>
      </w:r>
      <w:r w:rsidRPr="0008481A">
        <w:softHyphen/>
        <w:t>den skulle utse en god man för Z.Å. Den 29 april 1998 gjorde Anneli Karlsson en polisanmälan, vari hon angav att hon misstänkte B.Å. för bedrägeri gentemot Z.Å. och att han utsatte Z.Å. för misshandel.</w:t>
      </w:r>
    </w:p>
    <w:p w:rsidR="003B3271" w:rsidRPr="0008481A" w:rsidRDefault="003B3271">
      <w:pPr>
        <w:pStyle w:val="Rubrik3"/>
      </w:pPr>
      <w:r w:rsidRPr="0008481A">
        <w:t>Utredning</w:t>
      </w:r>
    </w:p>
    <w:p w:rsidR="003B3271" w:rsidRPr="0008481A" w:rsidRDefault="003B3271">
      <w:r w:rsidRPr="0008481A">
        <w:t>Anmälan remitterades till förvaltningschefen vid Produktionsnämnden i Stock</w:t>
      </w:r>
      <w:r w:rsidRPr="0008481A">
        <w:softHyphen/>
        <w:t>holms läns landsting. Denne överlämnade som remissvar yttranden upprättade av produktionschefen Lisbeth Nord vid Centrala Stockholms produktionsområde och verksamhetschefen vid primärvården inom Centrala Stockholms produktions</w:t>
      </w:r>
      <w:r w:rsidRPr="0008481A">
        <w:softHyphen/>
        <w:t>område, Ulf Hallum.</w:t>
      </w:r>
    </w:p>
    <w:p w:rsidR="003B3271" w:rsidRPr="0008481A" w:rsidRDefault="003B3271">
      <w:r w:rsidRPr="0008481A">
        <w:t>Ulf Hallum anförde bl.a. följande.</w:t>
      </w:r>
    </w:p>
    <w:p w:rsidR="003B3271" w:rsidRPr="0008481A" w:rsidRDefault="003B3271">
      <w:pPr>
        <w:pStyle w:val="Citat"/>
      </w:pPr>
      <w:r w:rsidRPr="0008481A">
        <w:t>B.Å. har i anmälan till JO hemställt att JO skulle överväga åtal eller discip</w:t>
      </w:r>
      <w:r w:rsidRPr="0008481A">
        <w:softHyphen/>
        <w:t>linär åtgärd mot doktor Anneli Karlsson. B.Å. anser att Karlssons agerande utsatt B.Å. och dennes hustru för psykisk terror och djupt skakat dessa. B.Å. anser vidare att Karlsson handlat grovt felaktigt och omdömeslöst genom att inte tala med B.Å. och dennes hustru innan hon gjort anmälan till överför</w:t>
      </w:r>
      <w:r w:rsidRPr="0008481A">
        <w:softHyphen/>
        <w:t>myndarnämnd och gjort polisanmälan.</w:t>
      </w:r>
    </w:p>
    <w:p w:rsidR="003B3271" w:rsidRPr="0008481A" w:rsidRDefault="003B3271">
      <w:pPr>
        <w:pStyle w:val="Citatindrag"/>
      </w:pPr>
      <w:r w:rsidRPr="0008481A">
        <w:t xml:space="preserve">Kammaråklagaren har beslutat att lägga ner förundersökning då brott ej kan styrkas. Överförmyndarnämnden yrkade i ansökan hos tingsrätten att god man skulle utses för Z.Å. </w:t>
      </w:r>
      <w:r w:rsidRPr="0008481A">
        <w:t>Z.Å. har motsatt sig godmanskap. Då överför</w:t>
      </w:r>
      <w:r w:rsidRPr="0008481A">
        <w:softHyphen/>
        <w:t>myndarnämnden tillstyrkt att godmanskapet skulle upphöra beslöt tingsrätten att det interimistiska godmanskapet för Z.Å. skulle upphöra.</w:t>
      </w:r>
    </w:p>
    <w:p w:rsidR="003B3271" w:rsidRPr="0008481A" w:rsidRDefault="003B3271">
      <w:pPr>
        <w:pStyle w:val="Citatindrag"/>
      </w:pPr>
      <w:r w:rsidRPr="0008481A">
        <w:t>Anledningen till dr Anneli Karlssons läkarintyg med begäran om anord</w:t>
      </w:r>
      <w:r w:rsidRPr="0008481A">
        <w:softHyphen/>
        <w:t>nande av godmanskap grundade sig på att patienten hade en demenssjuk</w:t>
      </w:r>
      <w:r w:rsidRPr="0008481A">
        <w:softHyphen/>
        <w:t>dom och för att skydda patienten. Hon bedömde att patienten p.g.a. sin sjukdom inte kunde tillvarata sina egna intressen, dvs hjälp med att bevaka sin rätt, förvalta sin egendom eller sörja för sin person. Patienten Z.Å. hade vid besök hos dr Karlsson vid flera tillfällen uppgett att hon blivit miss</w:t>
      </w:r>
      <w:r w:rsidRPr="0008481A">
        <w:softHyphen/>
        <w:t>handlad av maken. Doktor Anneli Karlsson kunde inte utesluta misshandel.</w:t>
      </w:r>
    </w:p>
    <w:p w:rsidR="003B3271" w:rsidRPr="0008481A" w:rsidRDefault="003B3271">
      <w:pPr>
        <w:pStyle w:val="Citatindrag"/>
      </w:pPr>
      <w:r w:rsidRPr="0008481A">
        <w:t xml:space="preserve">Doktor Anneli Karlsson gör också en anmälan till polisen, då hon är </w:t>
      </w:r>
      <w:r w:rsidRPr="0008481A">
        <w:t>orolig för patienten och då hon inte kan utesluta brott.</w:t>
      </w:r>
    </w:p>
    <w:p w:rsidR="003B3271" w:rsidRPr="0008481A" w:rsidRDefault="003B3271">
      <w:pPr>
        <w:pStyle w:val="Citatindrag"/>
      </w:pPr>
      <w:r w:rsidRPr="0008481A">
        <w:t>B.Å. anser i sina bilagor att Karlsson ljuger på ett flertal punkter. På vissa punkter kan det förefalla vara vissa missförstånd, men annars uppfattar jag att de uppgifter Karlsson lämnar, både i polisanmälan och i övrigt, baserar sig på de uppgifter patienten har givit. Därmed inte sagt att uppgifterna skulle vara sanna.</w:t>
      </w:r>
    </w:p>
    <w:p w:rsidR="003B3271" w:rsidRPr="0008481A" w:rsidRDefault="003B3271">
      <w:pPr>
        <w:pStyle w:val="Citatindrag"/>
      </w:pPr>
      <w:r w:rsidRPr="0008481A">
        <w:t>Patienten kan ju t.ex. ha uppgivit att maken har rest till Sydafrika, men han tycks i stället ha rest till Sydamerika enligt sina egna uppgifter, men här baserar sig ju Karlssons uppgifter naturligtvis på de uppgifter hon fått av patienten. Viss kompletterande information kan också fås ifrån distrikts</w:t>
      </w:r>
      <w:r w:rsidRPr="0008481A">
        <w:softHyphen/>
        <w:t>sköterskans omvårdnadsjournal och t.ex. på sidan 12 omnämns att patienten till distriktssköterskan uppger att maken skulle ha hämtat ut 50.000 kr från bank.</w:t>
      </w:r>
    </w:p>
    <w:p w:rsidR="003B3271" w:rsidRPr="0008481A" w:rsidRDefault="003B3271">
      <w:pPr>
        <w:pStyle w:val="Citatindrag"/>
      </w:pPr>
      <w:r w:rsidRPr="0008481A">
        <w:t>Sammanfattningsvis anser jag att de uppgifter som Anneli Karlsson lämnar baseras på de uppgifter patienten har lämnat till henne som ansvarig läkare och att man inte på de uppgifterna har kunnat utesluta brott och jag anser att Anneli Karlsson agerat på ett sätt som inte kan anses felaktigt, då hon genom anmälan till polisen försökt utröna om brott för</w:t>
      </w:r>
      <w:r w:rsidRPr="0008481A">
        <w:t>elegat eller inte. Det är ju polismyndighetens skyldighet att utreda om brott föreligger eller ej.</w:t>
      </w:r>
    </w:p>
    <w:p w:rsidR="003B3271" w:rsidRPr="0008481A" w:rsidRDefault="003B3271">
      <w:pPr>
        <w:pStyle w:val="Citatindrag"/>
      </w:pPr>
      <w:r w:rsidRPr="0008481A">
        <w:t>Även om patienten har haft en demenssjukdom kan man ju för den sakens skull inte utesluta att patienten på olika sätt skulle kunna ha utsatts för över</w:t>
      </w:r>
      <w:r w:rsidRPr="0008481A">
        <w:softHyphen/>
        <w:t>grepp.</w:t>
      </w:r>
    </w:p>
    <w:p w:rsidR="003B3271" w:rsidRPr="0008481A" w:rsidRDefault="003B3271">
      <w:r w:rsidRPr="0008481A">
        <w:t>Lisbeth Nord förklarade sig i sitt yttrande instämma med vad Ulf Hallum anfört.</w:t>
      </w:r>
    </w:p>
    <w:p w:rsidR="003B3271" w:rsidRPr="0008481A" w:rsidRDefault="003B3271">
      <w:r w:rsidRPr="0008481A">
        <w:t xml:space="preserve">Med anledning bl.a. av vad som anfördes i remissvaret remitterades ärendet till Socialstyrelsen för yttrande. </w:t>
      </w:r>
    </w:p>
    <w:p w:rsidR="003B3271" w:rsidRPr="0008481A" w:rsidRDefault="003B3271">
      <w:r w:rsidRPr="0008481A">
        <w:t>Socialstyrelsen anförde i ett beslut av överdirektören Nina Rehnqvist bl.a. föl</w:t>
      </w:r>
      <w:r w:rsidRPr="0008481A">
        <w:softHyphen/>
        <w:t>jande.</w:t>
      </w:r>
    </w:p>
    <w:p w:rsidR="003B3271" w:rsidRPr="0008481A" w:rsidRDefault="003B3271">
      <w:pPr>
        <w:pStyle w:val="Citat"/>
      </w:pPr>
      <w:r w:rsidRPr="0008481A">
        <w:t>I anmälan görs gällande att dr Karlsson felaktigt lämnat ut sekretessbelagda uppgifter rörande patienten Z.Å., dels genom inlämnande av intyg till över</w:t>
      </w:r>
      <w:r w:rsidRPr="0008481A">
        <w:softHyphen/>
        <w:t>förmyndarnämnden angående behov av god man, dels genom en polisan</w:t>
      </w:r>
      <w:r w:rsidRPr="0008481A">
        <w:softHyphen/>
        <w:t>mälan i vilken görs gällande att patientens make utsatt patienten för miss</w:t>
      </w:r>
      <w:r w:rsidRPr="0008481A">
        <w:softHyphen/>
        <w:t>handel och bedrägeri. Dr Karlsson har i polis</w:t>
      </w:r>
      <w:r w:rsidRPr="0008481A">
        <w:softHyphen/>
        <w:t>anmälan den 29 april 1998 uppgett att hon den 24 april samma år utfärdat intyg om behov av godman</w:t>
      </w:r>
      <w:r w:rsidRPr="0008481A">
        <w:softHyphen/>
        <w:t>skap för Z.Å. och att hon samma dag sänt intyget till överförmyndarnämn</w:t>
      </w:r>
      <w:r w:rsidRPr="0008481A">
        <w:softHyphen/>
        <w:t>den i Stockholm. Såvitt framgår av handlingarna i ärendet har hon gjort detta på eget initiativ utan att en begäran från rätten förelegat. Både polis</w:t>
      </w:r>
      <w:r w:rsidRPr="0008481A">
        <w:softHyphen/>
        <w:t>anmä</w:t>
      </w:r>
      <w:r w:rsidRPr="0008481A">
        <w:t>lan och intyget till överförmyn</w:t>
      </w:r>
      <w:r w:rsidRPr="0008481A">
        <w:softHyphen/>
        <w:t>darnämnden innehåller uppgifter om patientens hälsotillstånd som omfattas av sekretess enligt 7 kap. 1 § sekre</w:t>
      </w:r>
      <w:r w:rsidRPr="0008481A">
        <w:softHyphen/>
        <w:t>tesslagen (1980:100). Polisanmälan innehåller även uppgifter rörande pati</w:t>
      </w:r>
      <w:r w:rsidRPr="0008481A">
        <w:softHyphen/>
        <w:t>entens make som omfattas av sekretess enligt samma lagrum.</w:t>
      </w:r>
    </w:p>
    <w:p w:rsidR="003B3271" w:rsidRPr="0008481A" w:rsidRDefault="003B3271">
      <w:pPr>
        <w:pStyle w:val="Citatindrag"/>
      </w:pPr>
      <w:r w:rsidRPr="0008481A">
        <w:t>Av 7 kap. 1 § sekretesslagen följer att en uppgift inte får lämnas ut, om det inte står klart att uppgiften kan röjas utan att den enskilde eller hans närstå</w:t>
      </w:r>
      <w:r w:rsidRPr="0008481A">
        <w:softHyphen/>
        <w:t>ende lider men.</w:t>
      </w:r>
    </w:p>
    <w:p w:rsidR="003B3271" w:rsidRPr="0008481A" w:rsidRDefault="003B3271">
      <w:pPr>
        <w:pStyle w:val="Citatindrag"/>
      </w:pPr>
      <w:r w:rsidRPr="0008481A">
        <w:t>Som huvudregel gäller sekretessen inte i förhållande till den enskilde själv och kan i övrigt helt eller delvis efterges av honom eller henne.</w:t>
      </w:r>
    </w:p>
    <w:p w:rsidR="003B3271" w:rsidRPr="0008481A" w:rsidRDefault="003B3271">
      <w:pPr>
        <w:pStyle w:val="Citatindrag"/>
      </w:pPr>
      <w:r w:rsidRPr="0008481A">
        <w:t>Sekretessen enligt 7 kap. 1 § sekretesslagen kan även brytas under vissa i lag angivna förutsättningar. Bland annat gäller enligt 14 kap. 2 § femte stycket samma lag att sekre</w:t>
      </w:r>
      <w:r w:rsidRPr="0008481A">
        <w:softHyphen/>
        <w:t>tess inte hindrar att uppgift som angår misstanke om brott för vilket inte är föreskrivet lindrigare straff än fängelse i två år lämnas till åklagarmyndighet, polismyndighet eller annan myndighet som har att ingripa mot brottet. Till denna typ av brott hör de allra all</w:t>
      </w:r>
      <w:r w:rsidRPr="0008481A">
        <w:softHyphen/>
        <w:t>varligaste brotten t.ex. mord, dråp, våldtäkt, grovt rån, mordbrand och grovt narkoti</w:t>
      </w:r>
      <w:r w:rsidRPr="0008481A">
        <w:softHyphen/>
        <w:t>kabrott. Paragrafen föreskriver inte någon skyldighet utan innebär en möj</w:t>
      </w:r>
      <w:r w:rsidRPr="0008481A">
        <w:softHyphen/>
        <w:t>lighet att lämna ut uppgifter om brottsmisstankar t.ex. genom en anmälan till pol</w:t>
      </w:r>
      <w:r w:rsidRPr="0008481A">
        <w:t>isen.</w:t>
      </w:r>
    </w:p>
    <w:p w:rsidR="003B3271" w:rsidRPr="0008481A" w:rsidRDefault="003B3271">
      <w:pPr>
        <w:pStyle w:val="Rubrik4"/>
      </w:pPr>
      <w:r w:rsidRPr="0008481A">
        <w:t>Översändande av intyg till överförmyndarnämnden</w:t>
      </w:r>
    </w:p>
    <w:p w:rsidR="003B3271" w:rsidRPr="0008481A" w:rsidRDefault="003B3271">
      <w:pPr>
        <w:pStyle w:val="Citat"/>
      </w:pPr>
      <w:r w:rsidRPr="0008481A">
        <w:t>Skyldighet inom hälso- och sjukvården att anmäla patients behov av god man föreligger bara för verksamhetschef i situation som anges i 2 § 3 p för</w:t>
      </w:r>
      <w:r w:rsidRPr="0008481A">
        <w:softHyphen/>
        <w:t>ordningen (1996:933) om verksamhetschef inom hälso- och sjukvården. Av bestämmelsen följer att verksamhetschefen ansvarar för att överförmynda</w:t>
      </w:r>
      <w:r w:rsidRPr="0008481A">
        <w:softHyphen/>
        <w:t xml:space="preserve">ren underrättas när en </w:t>
      </w:r>
      <w:r w:rsidRPr="0008481A">
        <w:rPr>
          <w:i/>
        </w:rPr>
        <w:t xml:space="preserve">intagen </w:t>
      </w:r>
      <w:r w:rsidRPr="0008481A">
        <w:t>person kan behöva god man eller förvaltare enligt föräldrabalken samt när ett förvaltaruppdrag bör upphöra. Däremot är läkare enligt 2 kap. 3 § förordningen (1998:1531 /</w:t>
      </w:r>
      <w:r w:rsidRPr="0008481A">
        <w:rPr>
          <w:i/>
        </w:rPr>
        <w:t>rätteligen 1513; JO:s anm./</w:t>
      </w:r>
      <w:r w:rsidRPr="0008481A">
        <w:t>) om yrkesverksamhet på hälso- och sjukvårdens område med vissa begränsningar skyldig att ut</w:t>
      </w:r>
      <w:r w:rsidRPr="0008481A">
        <w:softHyphen/>
        <w:t xml:space="preserve">föra undersökningar och ge utlåtande över dessa </w:t>
      </w:r>
      <w:r w:rsidRPr="0008481A">
        <w:t>på begäran av domstol. En sådan begäran kan avse bland annat intyg om hälsotillstånd i fråga om an</w:t>
      </w:r>
      <w:r w:rsidRPr="0008481A">
        <w:softHyphen/>
        <w:t>ordnande av godmanskap (11 kap. 17 § föräldrabalken). Det måste emeller</w:t>
      </w:r>
      <w:r w:rsidRPr="0008481A">
        <w:softHyphen/>
        <w:t>tid anses falla inom ramen för en läkares ansvar att se till patientens bästa och, i de fall behov av god man föreligger, verka för att en sådan anmälan görs. Läkaren har då att söka få patientens samtycke till en sådan anmälan. Vid ett sådant samtal med patienten skall naturligtvis en noggrann doku</w:t>
      </w:r>
      <w:r w:rsidRPr="0008481A">
        <w:softHyphen/>
        <w:t>mentation rörande patientens inställning</w:t>
      </w:r>
      <w:r w:rsidRPr="0008481A">
        <w:t xml:space="preserve"> göras. Om patienten inte lämnar sitt samtycke hindrar sekretessen att en anmälan görs. I det fall ett samtycke ej kan lämnas eller om patienten inte förstår vad saken gäller har läkaren att pröva om det står klart att uppgiften kan röjas utan att den enskilde eller nå</w:t>
      </w:r>
      <w:r w:rsidRPr="0008481A">
        <w:softHyphen/>
        <w:t xml:space="preserve">gon honom närstående lider men.  </w:t>
      </w:r>
    </w:p>
    <w:p w:rsidR="003B3271" w:rsidRPr="0008481A" w:rsidRDefault="003B3271">
      <w:pPr>
        <w:pStyle w:val="Citatindrag"/>
      </w:pPr>
      <w:r w:rsidRPr="0008481A">
        <w:t>Handlingarna i ärendet ger vid handen att patienten inte förstår riktigt vad saken gäller och att hennes ställningstagande kan variera från en stund till en annan. (Enligt journal</w:t>
      </w:r>
      <w:r w:rsidRPr="0008481A">
        <w:softHyphen/>
        <w:t xml:space="preserve">anteckningar har patientens make vid ett tillfälle /1998-01-08/ uttryckt en önskan om att dr Karlsson skulle utfärda ett intyg rörande behov av god man. Vid samma tillfälle, efter att patienten uttryckt att hon inte hade tid att träffa dr Karlsson för ett samtal angående intyget, meddelade patientens make att något intyg inte längre var aktuellt.) I denna situation kan det vara svårt eller till och med omöjligt att inhämta patientens samtycke och då återstår, i enlighet med det ovan sagda, för läkaren att </w:t>
      </w:r>
      <w:r w:rsidRPr="0008481A">
        <w:t>göra en menbedömning enligt 7 kap. 1 § sekretesslagen. Av journalanteck</w:t>
      </w:r>
      <w:r w:rsidRPr="0008481A">
        <w:softHyphen/>
        <w:t>ning</w:t>
      </w:r>
      <w:r w:rsidRPr="0008481A">
        <w:softHyphen/>
        <w:t>arna samt av yttrande från verk</w:t>
      </w:r>
      <w:r w:rsidRPr="0008481A">
        <w:softHyphen/>
        <w:t>samhetschefen Ulf Hallum framgår inte att dr Karlsson gjort en sådan bedömning.</w:t>
      </w:r>
    </w:p>
    <w:p w:rsidR="003B3271" w:rsidRPr="0008481A" w:rsidRDefault="003B3271">
      <w:pPr>
        <w:pStyle w:val="Rubrik4"/>
      </w:pPr>
      <w:r w:rsidRPr="0008481A">
        <w:t>Polisanmälan</w:t>
      </w:r>
    </w:p>
    <w:p w:rsidR="003B3271" w:rsidRPr="0008481A" w:rsidRDefault="003B3271">
      <w:pPr>
        <w:pStyle w:val="Citat"/>
      </w:pPr>
      <w:r w:rsidRPr="0008481A">
        <w:t>De brottsmisstankar som de utlämnade uppgifterna gäller rör brott med lind</w:t>
      </w:r>
      <w:r w:rsidRPr="0008481A">
        <w:softHyphen/>
        <w:t>rigare straffskala än fängelse i två år och bestämmelsen i 14 kap. 2 § sekre</w:t>
      </w:r>
      <w:r w:rsidRPr="0008481A">
        <w:softHyphen/>
        <w:t>tesslagen är därför inte tillämplig.</w:t>
      </w:r>
    </w:p>
    <w:p w:rsidR="003B3271" w:rsidRPr="0008481A" w:rsidRDefault="003B3271">
      <w:pPr>
        <w:pStyle w:val="Citatindrag"/>
      </w:pPr>
      <w:r w:rsidRPr="0008481A">
        <w:t>Även i denna situation borde dr Karlsson i första hand ha inhämtat patien</w:t>
      </w:r>
      <w:r w:rsidRPr="0008481A">
        <w:softHyphen/>
        <w:t>tens samtycke och fört noggranna anteckningar rörande patientens inställ</w:t>
      </w:r>
      <w:r w:rsidRPr="0008481A">
        <w:softHyphen/>
        <w:t>ning. Det finns inte heller i detta avseende några uppgifter i handlingarna som talar för att dr Karlsson gjort en menprövning enligt 7 kap. 1 § sekre</w:t>
      </w:r>
      <w:r w:rsidRPr="0008481A">
        <w:softHyphen/>
        <w:t>tesslagen innan uppgifterna lämnats ut.</w:t>
      </w:r>
    </w:p>
    <w:p w:rsidR="003B3271" w:rsidRPr="0008481A" w:rsidRDefault="003B3271">
      <w:pPr>
        <w:pStyle w:val="Citatindrag"/>
      </w:pPr>
      <w:r w:rsidRPr="0008481A">
        <w:t>Sammanfattningsvis anser Socialstyrelsen att uppgifterna i ärendet talar för att dr Karlsson försökt att tillvarata patientens intressen och att hon därvid gjort vad hon ansett stått i hennes makt att göra. Det går emellertid inte att bortse ifrån</w:t>
      </w:r>
      <w:r w:rsidRPr="0008481A">
        <w:t xml:space="preserve"> att hon brutit mot sekretesslagens bestämmelser när hon gjort anmälan till överförmyndarnämnden och polismyndigheten. Det framkom</w:t>
      </w:r>
      <w:r w:rsidRPr="0008481A">
        <w:softHyphen/>
        <w:t>mer inte några omständigheter som talar för att dr Karlsson gjort en men</w:t>
      </w:r>
      <w:r w:rsidRPr="0008481A">
        <w:softHyphen/>
        <w:t>be</w:t>
      </w:r>
      <w:r w:rsidRPr="0008481A">
        <w:softHyphen/>
        <w:t>dömning enligt 7 kap. 1 § sekretesslagen vid utlämnande av uppgifterna. Den bristfälliga dokumentationen vittnar dock om en beklaglig brist på kun</w:t>
      </w:r>
      <w:r w:rsidRPr="0008481A">
        <w:softHyphen/>
        <w:t>skap om de aktuella sekretess- och dokumentationsbestämmelserna hos dr Karlsson. Sekretessfrågorna inom hälso- och sjukvården är sakligt och juri</w:t>
      </w:r>
      <w:r w:rsidRPr="0008481A">
        <w:softHyphen/>
        <w:t>diskt intri</w:t>
      </w:r>
      <w:r w:rsidRPr="0008481A">
        <w:softHyphen/>
      </w:r>
      <w:r w:rsidRPr="0008481A">
        <w:t>kata. Det hade därför varit lämpligt att dr Karlsson rådgjort med sin verk</w:t>
      </w:r>
      <w:r w:rsidRPr="0008481A">
        <w:softHyphen/>
        <w:t>samhetschef som har ett övergripande ansvar för att sekretessfrå</w:t>
      </w:r>
      <w:r w:rsidRPr="0008481A">
        <w:softHyphen/>
        <w:t>gorna inom verksamheten sköts på ett korrekt sätt. Det kan emellertid dis</w:t>
      </w:r>
      <w:r w:rsidRPr="0008481A">
        <w:softHyphen/>
        <w:t>kuteras om inte en skyldighet för en läkare i öppenvården att anmäla behov av god man för en patient, i likhet med vad som gäller inom den slutna vår</w:t>
      </w:r>
      <w:r w:rsidRPr="0008481A">
        <w:softHyphen/>
        <w:t>den, borde finnas. Dessutom finns motsvarande skyldighet inom social</w:t>
      </w:r>
      <w:r w:rsidRPr="0008481A">
        <w:softHyphen/>
        <w:t>tjänstens område. Enligt 42 § andra stycket första punkten socialtjänstför</w:t>
      </w:r>
      <w:r w:rsidRPr="0008481A">
        <w:softHyphen/>
        <w:t>ordn</w:t>
      </w:r>
      <w:r w:rsidRPr="0008481A">
        <w:t>ingen (1981:750) är so</w:t>
      </w:r>
      <w:r w:rsidRPr="0008481A">
        <w:softHyphen/>
        <w:t>cialnämnden skyldig att anmäla sådant behov till överför</w:t>
      </w:r>
      <w:r w:rsidRPr="0008481A">
        <w:softHyphen/>
        <w:t>myndaren. Mot bakgrund av att personal inom den öppna hälso- och sjukvården i ökande omfattning torde komma i kontakt med patienter i situa</w:t>
      </w:r>
      <w:r w:rsidRPr="0008481A">
        <w:softHyphen/>
        <w:t>tioner som den aktu</w:t>
      </w:r>
      <w:r w:rsidRPr="0008481A">
        <w:softHyphen/>
        <w:t xml:space="preserve">ella borde frågan om behov av en lagändring närmare utredas.      </w:t>
      </w:r>
    </w:p>
    <w:p w:rsidR="003B3271" w:rsidRPr="0008481A" w:rsidRDefault="003B3271">
      <w:r w:rsidRPr="0008481A">
        <w:t>Produktionsnämnden, som bereddes tillfälle att yttra sig över Socialstyrel</w:t>
      </w:r>
      <w:r w:rsidRPr="0008481A">
        <w:softHyphen/>
        <w:t>sens remissvar, hänvisade till yttranden avgivna av Lisbeth Nord och Ulf Hallum.</w:t>
      </w:r>
    </w:p>
    <w:p w:rsidR="003B3271" w:rsidRPr="0008481A" w:rsidRDefault="003B3271">
      <w:r w:rsidRPr="0008481A">
        <w:t>Ulf Hallum anförde bl.a. följande.</w:t>
      </w:r>
    </w:p>
    <w:p w:rsidR="003B3271" w:rsidRPr="0008481A" w:rsidRDefault="003B3271">
      <w:pPr>
        <w:pStyle w:val="Citat"/>
      </w:pPr>
      <w:r w:rsidRPr="0008481A">
        <w:t>Omständigheterna i ärendet och patientens sjukdomsbild talar för att Anneli Karlsson i och med utlämnandet av uppgifter om patienten gjort bedöm</w:t>
      </w:r>
      <w:r w:rsidRPr="0008481A">
        <w:softHyphen/>
        <w:t>ningen att patienten inte skulle lida men av att uppgifterna lämnades ut. Även om denna s.k. prövning inte formulerats i text i journalen kan man således anta att en s.k. menprövning gjorts av Anneli Karlsson.</w:t>
      </w:r>
    </w:p>
    <w:p w:rsidR="003B3271" w:rsidRPr="0008481A" w:rsidRDefault="003B3271">
      <w:pPr>
        <w:pStyle w:val="Citatindrag"/>
      </w:pPr>
      <w:r w:rsidRPr="0008481A">
        <w:t>När det gäller polisanmälan torde det vara orimligt att läkare skall känna till vilka brott som kan leda till fängelse mer än två år eller ej. Som Socialsty</w:t>
      </w:r>
      <w:r w:rsidRPr="0008481A">
        <w:softHyphen/>
        <w:t>relsen skriver i sitt yttrande ville Anneli Karlsson göra det bästa för sin pa</w:t>
      </w:r>
      <w:r w:rsidRPr="0008481A">
        <w:softHyphen/>
        <w:t>tient och tillvarata hennes intressen. Det juridiska regelverket för anmälan till överförmyndarnämnd underlättar inte för läkare i öppen vård att göra det bästa för sina patienter. Som Socialstyrelsen skriver borde regelverket ses över för att bättre tydliggöra för läkare i öppen vård hur de skall hantera komplexa frågeställningar, där det många gånger rör patienter med sjuk</w:t>
      </w:r>
      <w:r w:rsidRPr="0008481A">
        <w:softHyphen/>
        <w:t>domar som t.ex. demens, som gör att patienten inte kan</w:t>
      </w:r>
      <w:r w:rsidRPr="0008481A">
        <w:t xml:space="preserve"> ta ställning och där även anhöriga kan ha en annan uppfattning än läkaren. I detta ärende var sjukdomsbilden komplex och patientens symtombild av sådan art att man inte kunde inhämta samtycke och ställningstagande.</w:t>
      </w:r>
    </w:p>
    <w:p w:rsidR="003B3271" w:rsidRPr="0008481A" w:rsidRDefault="003B3271">
      <w:pPr>
        <w:pStyle w:val="Citatindrag"/>
      </w:pPr>
      <w:r w:rsidRPr="0008481A">
        <w:t>När det gäller utlämnade uppgifter rörande patientens närstående, dvs maken, finns det väl fog för Socialstyrelsens kritik, men samtidigt måste ju ärendet bedömas i sin helhet och det är naturligtvis en juridisk tolknings</w:t>
      </w:r>
      <w:r w:rsidRPr="0008481A">
        <w:softHyphen/>
        <w:t xml:space="preserve">fråga om och i vilken omfattning närstående lidit men. </w:t>
      </w:r>
    </w:p>
    <w:p w:rsidR="003B3271" w:rsidRPr="0008481A" w:rsidRDefault="003B3271">
      <w:pPr>
        <w:pStyle w:val="Citatindrag"/>
      </w:pPr>
      <w:r w:rsidRPr="0008481A">
        <w:t>Att jag som verksamhetschef inte kontaktades skulle kunna bero på att Anneli Karlsson var övertygad om att hon handlade rätt och då fanns ju från hennes sida ingen anledning att kontakta mig.</w:t>
      </w:r>
    </w:p>
    <w:p w:rsidR="003B3271" w:rsidRPr="0008481A" w:rsidRDefault="003B3271">
      <w:pPr>
        <w:pStyle w:val="Citatindrag"/>
      </w:pPr>
      <w:r w:rsidRPr="0008481A">
        <w:t>Sammanfattningsvis är jag tveksam till om, med hänsyn till omständig</w:t>
      </w:r>
      <w:r w:rsidRPr="0008481A">
        <w:softHyphen/>
        <w:t xml:space="preserve">heterna, Anneli Karlsson verkligen brutit mot sekretesslagens bestämmelser då hon lämnat ut uppgifter gällande patienten. Visserligen har hon inte i journalen gjort en specifik anteckning om att menprövning gjorts och på vilka grunder, men omständigheterna talar för att Anneli Karlsson ändå gjort denna prövning, då hon lämnat ut uppgifterna. </w:t>
      </w:r>
    </w:p>
    <w:p w:rsidR="003B3271" w:rsidRPr="0008481A" w:rsidRDefault="003B3271">
      <w:r w:rsidRPr="0008481A">
        <w:t>Lisbeth Nord hänvisade i sitt yttrande till vad Ulf Hallum anfört samt tillade att de var medvetna om att s.k. menprövning skall dokumenteras i journalhandlingarna me</w:t>
      </w:r>
      <w:r w:rsidRPr="0008481A">
        <w:t>n ansåg att denna prövning utförts.</w:t>
      </w:r>
    </w:p>
    <w:p w:rsidR="003B3271" w:rsidRPr="0008481A" w:rsidRDefault="003B3271">
      <w:r w:rsidRPr="0008481A">
        <w:t>B.Å. kommenterade remissvaren.</w:t>
      </w:r>
    </w:p>
    <w:p w:rsidR="003B3271" w:rsidRPr="0008481A" w:rsidRDefault="003B3271">
      <w:r w:rsidRPr="0008481A">
        <w:t>Z.Å:s journal från Husläkarmottagningen Johannes i Stockholm, omvård</w:t>
      </w:r>
      <w:r w:rsidRPr="0008481A">
        <w:softHyphen/>
        <w:t>nadsjournal rörande Z.Å. som förts bl.a. av distriktssköterskor från samma mottagning samt de anmälningar som Anneli Karlsson ingav till Överför</w:t>
      </w:r>
      <w:r w:rsidRPr="0008481A">
        <w:softHyphen/>
        <w:t>myndarnämnden i Stockholm respektive Polismyndigheten i Stockholm har funnits tillgängliga på ombudsmannaexpeditionen.</w:t>
      </w:r>
    </w:p>
    <w:p w:rsidR="003B3271" w:rsidRPr="0008481A" w:rsidRDefault="003B3271">
      <w:pPr>
        <w:pStyle w:val="Normaltindrag"/>
      </w:pPr>
      <w:r w:rsidRPr="0008481A">
        <w:t>Anneli Karlsson bereddes tillfälle att avge eget yttrande i ärendet.</w:t>
      </w:r>
    </w:p>
    <w:p w:rsidR="003B3271" w:rsidRPr="0008481A" w:rsidRDefault="003B3271">
      <w:r w:rsidRPr="0008481A">
        <w:t xml:space="preserve">I beslut den 15 maj 2000 anförde </w:t>
      </w:r>
      <w:r w:rsidRPr="0008481A">
        <w:rPr>
          <w:i/>
        </w:rPr>
        <w:t xml:space="preserve">JO André </w:t>
      </w:r>
      <w:r w:rsidRPr="0008481A">
        <w:t>följande.</w:t>
      </w:r>
    </w:p>
    <w:p w:rsidR="003B3271" w:rsidRPr="0008481A" w:rsidRDefault="003B3271">
      <w:pPr>
        <w:pStyle w:val="Rubrik3"/>
      </w:pPr>
      <w:r w:rsidRPr="0008481A">
        <w:t>Bedömning</w:t>
      </w:r>
    </w:p>
    <w:p w:rsidR="003B3271" w:rsidRPr="0008481A" w:rsidRDefault="003B3271">
      <w:r w:rsidRPr="0008481A">
        <w:t>Enligt 7 kap. 1 § SekrL gäller, utom i fall som här saknar intresse, inom hälso- och sjukvården sekretess för uppgift om enskilds hälsotillstånd eller andra per</w:t>
      </w:r>
      <w:r w:rsidRPr="0008481A">
        <w:softHyphen/>
        <w:t>sonliga förhållanden, om det inte står klart att uppgiften kan röjas utan att den enskilde eller någon honom närstående lider men. Enligt 1 kap. 3 § SekrL gäller bestäm</w:t>
      </w:r>
      <w:r w:rsidRPr="0008481A">
        <w:softHyphen/>
        <w:t>melserna i lagen även i förhållandet mellan olika myndigheter och mellan olika verksamhetsgrenar inom en myndighet, när de är att betrakta som självstän</w:t>
      </w:r>
      <w:r w:rsidRPr="0008481A">
        <w:softHyphen/>
        <w:t>diga i förhållande till varandra. Undantag från denna princip kan emellertid före</w:t>
      </w:r>
      <w:r w:rsidRPr="0008481A">
        <w:softHyphen/>
        <w:t>skrivas i SekrL eller i annan lag eller förord</w:t>
      </w:r>
      <w:r w:rsidRPr="0008481A">
        <w:softHyphen/>
        <w:t>ning till vilken SekrL hänvisar. I 14 kap. 1–3 §§ SekrL ange</w:t>
      </w:r>
      <w:r w:rsidRPr="0008481A">
        <w:t>s vissa generella begränsningar i sekretessen. Såvitt är av intresse i förevarande ärende gäller sålunda enligt 14 kap. 1 § SekrL att en sekre</w:t>
      </w:r>
      <w:r w:rsidRPr="0008481A">
        <w:softHyphen/>
        <w:t>tess</w:t>
      </w:r>
      <w:r w:rsidRPr="0008481A">
        <w:softHyphen/>
        <w:t>belagd uppgift kan lämnas till en annan myndighet om uppgiftsskyldigheten följer av lag. Sekretess hindrar inte heller att uppgift som angår miss</w:t>
      </w:r>
      <w:r w:rsidRPr="0008481A">
        <w:softHyphen/>
        <w:t>tanke om brott i vissa fall lämnas till den myndighet som har att ingripa mot brot</w:t>
      </w:r>
      <w:r w:rsidRPr="0008481A">
        <w:softHyphen/>
        <w:t>tet. I 14 kap. 4 § SekrL anges att sekretess till skydd för enskild, med vissa här inte rele</w:t>
      </w:r>
      <w:r w:rsidRPr="0008481A">
        <w:softHyphen/>
        <w:t>vanta undantag, inte gäller i förhål</w:t>
      </w:r>
      <w:r w:rsidRPr="0008481A">
        <w:softHyphen/>
        <w:t>lande</w:t>
      </w:r>
      <w:r w:rsidRPr="0008481A">
        <w:t xml:space="preserve"> till den enskilde själv och att sekretessen helt eller delvis kan efterges av honom.</w:t>
      </w:r>
    </w:p>
    <w:p w:rsidR="003B3271" w:rsidRPr="0008481A" w:rsidRDefault="003B3271">
      <w:pPr>
        <w:pStyle w:val="Normaltindrag"/>
      </w:pPr>
      <w:r w:rsidRPr="0008481A">
        <w:t>Det kan inledningsvis konstateras att de uppgifter som Anneli Karlsson lämnade rörande Z.Å. i polisanmälan och i intyget till överförmyndar</w:t>
      </w:r>
      <w:r w:rsidRPr="0008481A">
        <w:softHyphen/>
        <w:t>nämnden innehöll uppgifter som omfattas av sekretess enligt 7 kap. 1 § SekrL. Detsamma gäller de uppgifter som Anneli Karlsson lämnade i polis</w:t>
      </w:r>
      <w:r w:rsidRPr="0008481A">
        <w:softHyphen/>
        <w:t>anmälan rö</w:t>
      </w:r>
      <w:r w:rsidRPr="0008481A">
        <w:softHyphen/>
        <w:t>rande B.Å. Uppgifterna har således, för det fall någon sekretess</w:t>
      </w:r>
      <w:r w:rsidRPr="0008481A">
        <w:softHyphen/>
        <w:t>brytande bestäm</w:t>
      </w:r>
      <w:r w:rsidRPr="0008481A">
        <w:softHyphen/>
        <w:t>melse inte är tillämplig, kunnat lämnas ut endast med samtycke från de enskilda som uppgifterna rör eller efter det att en gjord menprövning utfallit på så sätt att det har stått klart att uppgifterna har kunnat lämnas ut utan att den enskilde eller någon honom närstående lid</w:t>
      </w:r>
      <w:r w:rsidRPr="0008481A">
        <w:t xml:space="preserve">er men. </w:t>
      </w:r>
    </w:p>
    <w:p w:rsidR="003B3271" w:rsidRPr="0008481A" w:rsidRDefault="003B3271">
      <w:pPr>
        <w:pStyle w:val="Normaltindrag"/>
      </w:pPr>
      <w:r w:rsidRPr="0008481A">
        <w:t>När det gäller uppgifter som angår misstanke om brott kan sådana upp</w:t>
      </w:r>
      <w:r w:rsidRPr="0008481A">
        <w:softHyphen/>
        <w:t>gifter, som jag inledningsvis angett, i vissa fall lämnas till åklagar</w:t>
      </w:r>
      <w:r w:rsidRPr="0008481A">
        <w:softHyphen/>
        <w:t>myndig</w:t>
      </w:r>
      <w:r w:rsidRPr="0008481A">
        <w:softHyphen/>
        <w:t xml:space="preserve">het, polismyndighet eller annan myndighet som har att ingripa mot brottet, se </w:t>
      </w:r>
      <w:r w:rsidRPr="0008481A">
        <w:br/>
        <w:t>14 kap. 2 § SekrL. För uppgift som omfattas av sekretess enligt 7 kap. 1 § SekrL, vilket är fallet här, gäller detta emellertid endast såvitt angår miss</w:t>
      </w:r>
      <w:r w:rsidRPr="0008481A">
        <w:softHyphen/>
        <w:t>tanke om brott för vil</w:t>
      </w:r>
      <w:r w:rsidRPr="0008481A">
        <w:softHyphen/>
        <w:t xml:space="preserve">ket inte är föreskrivet lindrigare straff än fängelse i två år. Som Socialstyrelsen har angett i sitt yttrande rörde de i polisanmälan angivna uppgifterna misstanke om brott med </w:t>
      </w:r>
      <w:r w:rsidRPr="0008481A">
        <w:t>lindrigare straffskala och bestämmelsen i 14 kap. 2 § SekrL var därför inte tillämplig.</w:t>
      </w:r>
    </w:p>
    <w:p w:rsidR="003B3271" w:rsidRPr="0008481A" w:rsidRDefault="003B3271">
      <w:pPr>
        <w:pStyle w:val="Normaltindrag"/>
      </w:pPr>
      <w:r w:rsidRPr="0008481A">
        <w:t>När det gäller intyget till överförmyndaren har Socialstyrelsen redogjort för de bestämmelser som reglerar sjukvårdens möjlighet att anmäla patients behov av god man. Av redogörelsen framgår bl.a. följande. Skyldighet att till överförmyn</w:t>
      </w:r>
      <w:r w:rsidRPr="0008481A">
        <w:softHyphen/>
        <w:t xml:space="preserve">daren anmäla patients behov av god man föreligger endast för verksamhetschef och enbart när en </w:t>
      </w:r>
      <w:r w:rsidRPr="0008481A">
        <w:rPr>
          <w:i/>
        </w:rPr>
        <w:t xml:space="preserve">intagen </w:t>
      </w:r>
      <w:r w:rsidRPr="0008481A">
        <w:t>person kan behöva god man eller förvaltare, se 2 § 3 p förordningen (1996:933) om verksamhetschef inom hälso- och sjukvår</w:t>
      </w:r>
      <w:r w:rsidRPr="0008481A">
        <w:softHyphen/>
        <w:t>den. Därut</w:t>
      </w:r>
      <w:r w:rsidRPr="0008481A">
        <w:softHyphen/>
        <w:t>över är läkare endast skyldig att, med vissa begränsningar, utföra un</w:t>
      </w:r>
      <w:r w:rsidRPr="0008481A">
        <w:softHyphen/>
        <w:t>dersök</w:t>
      </w:r>
      <w:r w:rsidRPr="0008481A">
        <w:softHyphen/>
        <w:t>ningar och ge utlåtande över dessa på begäran av domstol, se 2 kap. 3 § förord</w:t>
      </w:r>
      <w:r w:rsidRPr="0008481A">
        <w:softHyphen/>
        <w:t>ningen (1998:1513) om yrkes</w:t>
      </w:r>
      <w:r w:rsidRPr="0008481A">
        <w:softHyphen/>
        <w:t>verksamhet på hälso- och sjukvårdens område. En sådan begäran kan t.ex. avse intyg om hälso</w:t>
      </w:r>
      <w:r w:rsidRPr="0008481A">
        <w:t>tillstånd i ärenden rörande anord</w:t>
      </w:r>
      <w:r w:rsidRPr="0008481A">
        <w:softHyphen/>
        <w:t>nande av förvaltarskap eller godmanskap, se 11 kap. 17 § föräldrabalken.</w:t>
      </w:r>
    </w:p>
    <w:p w:rsidR="003B3271" w:rsidRPr="0008481A" w:rsidRDefault="003B3271">
      <w:pPr>
        <w:pStyle w:val="Normaltindrag"/>
      </w:pPr>
      <w:r w:rsidRPr="0008481A">
        <w:t>Enligt vad som framkommit förelåg det inte någon begäran från domstol om att Anneli Karlsson skulle utfärda intyg av ifrågavarande slag. Sådana förhållanden som motiverade en anmälan enligt den nämnda bestämmelsen i förordningen om verksamhets</w:t>
      </w:r>
      <w:r w:rsidRPr="0008481A">
        <w:softHyphen/>
        <w:t>chef inom hälso- och sjukvården var inte heller för handen.</w:t>
      </w:r>
    </w:p>
    <w:p w:rsidR="003B3271" w:rsidRPr="0008481A" w:rsidRDefault="003B3271">
      <w:pPr>
        <w:pStyle w:val="Normaltindrag"/>
      </w:pPr>
      <w:r w:rsidRPr="0008481A">
        <w:t>Det kan alltså konstateras, såväl när det gäller uppgifterna i polisanmälan som i yttrandet till överförmyndaren, att någon sekretessbrytande bestäm</w:t>
      </w:r>
      <w:r w:rsidRPr="0008481A">
        <w:softHyphen/>
        <w:t>melse inte var tillämplig. För att uppgifterna skulle få röjas har det alltså krävts att Z.Å., respek</w:t>
      </w:r>
      <w:r w:rsidRPr="0008481A">
        <w:softHyphen/>
        <w:t>tive B.Å. i de delar han var berörd, hade lämnat sitt medgivande till att uppgif</w:t>
      </w:r>
      <w:r w:rsidRPr="0008481A">
        <w:softHyphen/>
        <w:t>terna lämnades ut. Det har i remissvaret inte ens påståtts att något sådant samtycke in</w:t>
      </w:r>
      <w:r w:rsidRPr="0008481A">
        <w:softHyphen/>
        <w:t xml:space="preserve">hämtats. Det finns inte heller något samtycke dokumenterat i Z.Å:s journal.  </w:t>
      </w:r>
    </w:p>
    <w:p w:rsidR="003B3271" w:rsidRPr="0008481A" w:rsidRDefault="003B3271">
      <w:pPr>
        <w:pStyle w:val="Normaltindrag"/>
      </w:pPr>
      <w:r w:rsidRPr="0008481A">
        <w:t>Lisbeth Nord och Ulf Hallum har, efter det att de tagit del av Social</w:t>
      </w:r>
      <w:r w:rsidRPr="0008481A">
        <w:softHyphen/>
        <w:t>styrelsens yttrande, anfört att omständigheterna talar för att Anneli Karlsson, trots avsakna</w:t>
      </w:r>
      <w:r w:rsidRPr="0008481A">
        <w:softHyphen/>
        <w:t>den av dokumentation, gjort en menprövning innan hon lämnade ut uppgifterna. Eftersom Anneli Karlsson valt att inte själv yttra sig i ärendet går det emellertid inte att bringa fullständig klarhet i vad som förevarit i det avseendet. Jag vill dock framhålla att jag inte har funnit anledning att anta annat än att Anneli Karlsson har handlat i syfte att bistå Z.Å. på bästa sätt. Det finns därför enligt min mening et</w:t>
      </w:r>
      <w:r w:rsidRPr="0008481A">
        <w:t>t visst utrymme för att anta att Anneli Karlsson i det sammanhanget gjorde bedöm</w:t>
      </w:r>
      <w:r w:rsidRPr="0008481A">
        <w:softHyphen/>
        <w:t>ningen att ett utläm</w:t>
      </w:r>
      <w:r w:rsidRPr="0008481A">
        <w:softHyphen/>
        <w:t>nande av uppgifterna inte skulle vara till men för Z.Å. eller i övrigt stå i strid med bestämmelserna i SekrL. Huruvida denna bedömning varit riktig eller inte finner jag inte anledning att anlägga synpunkter på.</w:t>
      </w:r>
    </w:p>
    <w:p w:rsidR="003B3271" w:rsidRPr="0008481A" w:rsidRDefault="003B3271">
      <w:pPr>
        <w:pStyle w:val="Normaltindrag"/>
      </w:pPr>
      <w:r w:rsidRPr="0008481A">
        <w:t>Jag har emellertid, såsom ovan framgått, kunnat konstatera att det inte finns nå</w:t>
      </w:r>
      <w:r w:rsidRPr="0008481A">
        <w:softHyphen/>
        <w:t>gon anteckning i Z.Å:s journal om att en menprövning har gjorts före utlämnandet av uppgifterna. Detta är en självfallet en allvarlig brist och Anneli Karlsson kan inte undgå kritik för denna underlåtenhet. Jag förutsätter att verksamhetschefen ser över de rutiner som gäller i fråga om dokumen</w:t>
      </w:r>
      <w:r w:rsidRPr="0008481A">
        <w:softHyphen/>
        <w:t>ta</w:t>
      </w:r>
      <w:r w:rsidRPr="0008481A">
        <w:softHyphen/>
        <w:t xml:space="preserve">tion av ställningstaganden av detta slag. </w:t>
      </w:r>
    </w:p>
    <w:p w:rsidR="003B3271" w:rsidRPr="0008481A" w:rsidRDefault="003B3271">
      <w:pPr>
        <w:pStyle w:val="Normaltindrag"/>
      </w:pPr>
      <w:r w:rsidRPr="0008481A">
        <w:t>En del av de uppgifter som Anneli Karlsson lämnade i polisanmälan respek</w:t>
      </w:r>
      <w:r w:rsidRPr="0008481A">
        <w:softHyphen/>
        <w:t>tive intyget är av karaktären andrahandsuppgifter. Det kan med fog ifrågasättas om inte Anneli Karlsson borde ha kontrollerat uppgifterna när</w:t>
      </w:r>
      <w:r w:rsidRPr="0008481A">
        <w:softHyphen/>
        <w:t>mare innan de utlämnades i sådana sammanhang som det här varit fråga om.</w:t>
      </w:r>
    </w:p>
    <w:p w:rsidR="003B3271" w:rsidRPr="0008481A" w:rsidRDefault="003B3271">
      <w:pPr>
        <w:pStyle w:val="Normaltindrag"/>
      </w:pPr>
      <w:r w:rsidRPr="0008481A">
        <w:t>De bestämmelser som reglerar utlämnande av sekretessbelagda uppgifter i de sammanhang som det här är fråga om är inte helt lätta att tillämpa i praktiken. Ulf Hallum har i sitt yttrande bl.a. pekat på de svårigheter som föreligger för en läkare att göra de juridiska bedömningar som krävs i vissa</w:t>
      </w:r>
      <w:r w:rsidRPr="0008481A">
        <w:t xml:space="preserve"> fall. Det nu prövade ärendet har natur</w:t>
      </w:r>
      <w:r w:rsidRPr="0008481A">
        <w:softHyphen/>
        <w:t>ligtvis ytterligare komplicerats av Z.Å:s tillstånd, vilket medfört att Anneli Karlssons möjligheter att inhämta ett allvarligt menat samtycke, såvitt framkommit, har varit begränsade. Ärenden av ifråga</w:t>
      </w:r>
      <w:r w:rsidRPr="0008481A">
        <w:softHyphen/>
        <w:t>varande slag ställer således stora krav på den behandlande läkaren. Det är därför av stor vikt att det inom verksamheten finns fastlagda rutiner för hur frågor som rör sekretesskyddade uppgifter skall hanteras och att läkarna ges möjlighet att kontakta och rådfråga ver</w:t>
      </w:r>
      <w:r w:rsidRPr="0008481A">
        <w:t xml:space="preserve">ksamhetschef eller annan ansvarig.   </w:t>
      </w:r>
    </w:p>
    <w:p w:rsidR="003B3271" w:rsidRPr="0008481A" w:rsidRDefault="003B3271">
      <w:pPr>
        <w:pStyle w:val="Normaltindrag"/>
      </w:pPr>
      <w:r w:rsidRPr="0008481A">
        <w:t>Socialstyrelsen har i sitt yttrande väckt frågan om det inte borde införas en skyl</w:t>
      </w:r>
      <w:r w:rsidRPr="0008481A">
        <w:softHyphen/>
        <w:t>dighet för en läkare i öppen vård att, i likhet med vad som gäller inom den slutna vården, anmäla behov av god man för en patient. Socialstyrelsen har härvid pekat på att per</w:t>
      </w:r>
      <w:r w:rsidRPr="0008481A">
        <w:softHyphen/>
        <w:t>sonal inom den öppna hälso- och sjukvården i ökande omfattning torde komma i kontakt med patienter i situationer som den aktuella. Jag delar Socialstyrelsens uppfattning i frågan och jag finner det därför befogat att översända en kopia av beslutet till Regeringskansliet för kännedom.</w:t>
      </w:r>
    </w:p>
    <w:p w:rsidR="003B3271" w:rsidRPr="0008481A" w:rsidRDefault="003B3271">
      <w:pPr>
        <w:pStyle w:val="Rubrik2"/>
        <w:spacing w:before="120"/>
      </w:pPr>
    </w:p>
    <w:p w:rsidR="003B3271" w:rsidRPr="0008481A" w:rsidRDefault="003B3271">
      <w:pPr>
        <w:pStyle w:val="Rubrik2"/>
      </w:pPr>
      <w:r w:rsidRPr="0008481A">
        <w:t>Ett på JO:s initiativ upptaget ärende mot Kriminalvårds</w:t>
      </w:r>
      <w:r w:rsidRPr="0008481A">
        <w:softHyphen/>
        <w:t>myndigheten Örebro, anstalten Hinseberg, och Kriminal</w:t>
      </w:r>
      <w:r w:rsidRPr="0008481A">
        <w:softHyphen/>
        <w:t>vårdsmyndigheten Kumla (sjukvårdsavdelningarna) angående hanteringen av vissa sekretess</w:t>
      </w:r>
      <w:r w:rsidRPr="0008481A">
        <w:softHyphen/>
        <w:t>belagda handlingar</w:t>
      </w:r>
    </w:p>
    <w:p w:rsidR="003B3271" w:rsidRPr="0008481A" w:rsidRDefault="003B3271">
      <w:r w:rsidRPr="0008481A">
        <w:t>(Dnr 1808-1999)</w:t>
      </w:r>
    </w:p>
    <w:p w:rsidR="003B3271" w:rsidRPr="0008481A" w:rsidRDefault="003B3271">
      <w:pPr>
        <w:pStyle w:val="Rubrik3"/>
      </w:pPr>
      <w:r w:rsidRPr="0008481A">
        <w:t>Initiativet</w:t>
      </w:r>
    </w:p>
    <w:p w:rsidR="003B3271" w:rsidRPr="0008481A" w:rsidRDefault="003B3271">
      <w:r w:rsidRPr="0008481A">
        <w:t>Vid en av JO företagen inspektion av sjukvårdsavdelningarna vid Kriminal</w:t>
      </w:r>
      <w:r w:rsidRPr="0008481A">
        <w:softHyphen/>
        <w:t>vårdsmyndigheten Örebro, anstalten Hinseberg, den 13 april 1999 (JO:s dnr 1395-1999) och Kriminalvårdsmyndigheten Kumla den 14 april 1999 (JO:s dnr 1396-1999) uppmärksammades följande oklarheter rörande hanteringen av vissa handlingar som omfattas av sekretess.</w:t>
      </w:r>
    </w:p>
    <w:p w:rsidR="003B3271" w:rsidRPr="0008481A" w:rsidRDefault="003B3271">
      <w:pPr>
        <w:pStyle w:val="Rubrik4"/>
        <w:spacing w:before="120"/>
      </w:pPr>
      <w:r w:rsidRPr="0008481A">
        <w:t xml:space="preserve">1. Utlåtanden avseende rättspsykiatriska undersökningar och intyg enligt 7 § lagen (1991:2041) om särskild personutredning i brottmål, m.m. </w:t>
      </w:r>
    </w:p>
    <w:p w:rsidR="003B3271" w:rsidRPr="0008481A" w:rsidRDefault="003B3271">
      <w:r w:rsidRPr="0008481A">
        <w:t>I förordningen (1990:893) om underrättelse om dom i vissa brottmål, m.m. finns bestämmelser om att domstolen, under vissa förhållanden, skall foga bl.a. utlå</w:t>
      </w:r>
      <w:r w:rsidRPr="0008481A">
        <w:softHyphen/>
        <w:t>tande över rättspsykiatrisk undersökning och intyg enligt 7 § lagen (1991:2041) om särskild personutredning i brottmål, m.m., s.k. § 7-intyg, till den kopia av do</w:t>
      </w:r>
      <w:r w:rsidRPr="0008481A">
        <w:softHyphen/>
        <w:t>men som tillställs berörd kriminalvårdsmyndighet.</w:t>
      </w:r>
    </w:p>
    <w:p w:rsidR="003B3271" w:rsidRPr="0008481A" w:rsidRDefault="003B3271">
      <w:pPr>
        <w:pStyle w:val="Normaltindrag"/>
      </w:pPr>
      <w:r w:rsidRPr="0008481A">
        <w:t>Det framkom att det inom anstalterna rådde delade meningar mellan respektive anstalt och dess sjukvårdsavdelning i frågan om handlingar av angivet slag lämp</w:t>
      </w:r>
      <w:r w:rsidRPr="0008481A">
        <w:softHyphen/>
        <w:t>ligen skall förvaras i de intagnas akter på sjukvårds</w:t>
      </w:r>
      <w:r w:rsidRPr="0008481A">
        <w:softHyphen/>
        <w:t>avdelningen och om de, med hänsyn till rådande sekretessbestämmelser, kunde utlämnas därifrån utan sam</w:t>
      </w:r>
      <w:r w:rsidRPr="0008481A">
        <w:softHyphen/>
        <w:t xml:space="preserve">tycke från den intagne för att användas vid bl.a. de bedömningar som anstalten har att göra enligt bestämmelser i lagen (1974:203) om kriminalvård i anstalt.  </w:t>
      </w:r>
    </w:p>
    <w:p w:rsidR="003B3271" w:rsidRPr="0008481A" w:rsidRDefault="003B3271">
      <w:pPr>
        <w:pStyle w:val="Rubrik4"/>
      </w:pPr>
      <w:r w:rsidRPr="0008481A">
        <w:t>2. Det s.k. läkarkuvertet</w:t>
      </w:r>
    </w:p>
    <w:p w:rsidR="003B3271" w:rsidRPr="0008481A" w:rsidRDefault="003B3271">
      <w:r w:rsidRPr="0008481A">
        <w:t>Under inspektionen av Kumlaanstalten ifrågasattes det riktiga i att den intagnes sjukvårdshandlingar, det s.k. läkarkuvertet, trots gällande sekretess</w:t>
      </w:r>
      <w:r w:rsidRPr="0008481A">
        <w:softHyphen/>
        <w:t>bestämmelser, regelmässigt medföljde kriminalvårdsakten i de fall denna översändes till fri</w:t>
      </w:r>
      <w:r w:rsidRPr="0008481A">
        <w:softHyphen/>
        <w:t>vår</w:t>
      </w:r>
      <w:r w:rsidRPr="0008481A">
        <w:softHyphen/>
        <w:t>den, särskilt mot bakgrund av att det numera saknas läkare inom fri</w:t>
      </w:r>
      <w:r w:rsidRPr="0008481A">
        <w:softHyphen/>
        <w:t xml:space="preserve">vården. </w:t>
      </w:r>
    </w:p>
    <w:p w:rsidR="003B3271" w:rsidRPr="0008481A" w:rsidRDefault="003B3271">
      <w:r w:rsidRPr="0008481A">
        <w:t>________</w:t>
      </w:r>
    </w:p>
    <w:p w:rsidR="003B3271" w:rsidRPr="0008481A" w:rsidRDefault="003B3271">
      <w:r w:rsidRPr="0008481A">
        <w:t>Mot bakgrund av vad som framkom beslöt JO att i ett särskilt ärende granska hur handlingar av ovanstående slag behandlas inom kriminalvården.</w:t>
      </w:r>
    </w:p>
    <w:p w:rsidR="003B3271" w:rsidRPr="0008481A" w:rsidRDefault="003B3271">
      <w:pPr>
        <w:pStyle w:val="Rubrik3"/>
      </w:pPr>
      <w:r w:rsidRPr="0008481A">
        <w:t>Utredning</w:t>
      </w:r>
    </w:p>
    <w:p w:rsidR="003B3271" w:rsidRPr="0008481A" w:rsidRDefault="003B3271">
      <w:r w:rsidRPr="0008481A">
        <w:t>Utredning och yttrande över nämnda frågor begärdes in från Kriminalvårds</w:t>
      </w:r>
      <w:r w:rsidRPr="0008481A">
        <w:softHyphen/>
        <w:t>styrel</w:t>
      </w:r>
      <w:r w:rsidRPr="0008481A">
        <w:softHyphen/>
        <w:t>sen. Styrelsen överlämnade som sitt remissvar ett yttrande som beslutats av överdirektören Doris Högne och vari anfördes följande.</w:t>
      </w:r>
      <w:r w:rsidRPr="0008481A">
        <w:rPr>
          <w:i/>
        </w:rPr>
        <w:t xml:space="preserve"> </w:t>
      </w:r>
    </w:p>
    <w:p w:rsidR="003B3271" w:rsidRPr="0008481A" w:rsidRDefault="003B3271">
      <w:pPr>
        <w:pStyle w:val="Rubrik4"/>
      </w:pPr>
      <w:r w:rsidRPr="0008481A">
        <w:t>1 . Utlåtande avseende rättspsykiatriska undersökningar (RPU) och intyg enligt 7 § lagen (1991:2041) om särskild personutredning i brottmål, m.m. (§ 7-</w:t>
      </w:r>
      <w:r w:rsidRPr="0008481A">
        <w:softHyphen/>
        <w:t>intyg).</w:t>
      </w:r>
    </w:p>
    <w:p w:rsidR="003B3271" w:rsidRPr="0008481A" w:rsidRDefault="003B3271">
      <w:pPr>
        <w:pStyle w:val="Citat"/>
        <w:spacing w:line="213" w:lineRule="exact"/>
      </w:pPr>
      <w:r w:rsidRPr="0008481A">
        <w:t>Enligt förordningen (1990:893) om underrättelse om dom i vissa brottmål m.m. är dom</w:t>
      </w:r>
      <w:r w:rsidRPr="0008481A">
        <w:softHyphen/>
        <w:t>stol skyldig att till en dom, som skall sändas till en kriminal</w:t>
      </w:r>
      <w:r w:rsidRPr="0008481A">
        <w:softHyphen/>
        <w:t>vårdsmyndighet, foga bl.a. utlåtande över rättspsykiatrisk undersökning och § 7-intyg.</w:t>
      </w:r>
    </w:p>
    <w:p w:rsidR="003B3271" w:rsidRPr="0008481A" w:rsidRDefault="003B3271">
      <w:pPr>
        <w:pStyle w:val="Citatindrag"/>
      </w:pPr>
      <w:r w:rsidRPr="0008481A">
        <w:t>När RPU och § 7-intyg finns inom en rättspsykiatrisk klinik eller på en sjukvårdsavdel</w:t>
      </w:r>
      <w:r w:rsidRPr="0008481A">
        <w:softHyphen/>
        <w:t>ning på en anstalt omfattas uppgifterna i dessa handlingar av sekretessbestämmelserna i 7 kap. 1–3 §§ sekretesslagen (1980:100). En sjuk</w:t>
      </w:r>
      <w:r w:rsidRPr="0008481A">
        <w:softHyphen/>
        <w:t>vårdsavdelning inom en kriminalvårds</w:t>
      </w:r>
      <w:r w:rsidRPr="0008481A">
        <w:softHyphen/>
        <w:t>anstalt är att betrakta som en själv</w:t>
      </w:r>
      <w:r w:rsidRPr="0008481A">
        <w:softHyphen/>
        <w:t>ständig verksamhetsgren enligt bestämmelsen i 1 kap. 3 § SekrL. Av detta följer att det råder sekretess mellan en sjukvårds</w:t>
      </w:r>
      <w:r w:rsidRPr="0008481A">
        <w:softHyphen/>
        <w:t>avdelning och den ”vanliga” kriminalvårdsverksamheten på en anstalt. På en sjukvårdsavdel</w:t>
      </w:r>
      <w:r w:rsidRPr="0008481A">
        <w:softHyphen/>
        <w:t>ning inom kri</w:t>
      </w:r>
      <w:r w:rsidRPr="0008481A">
        <w:softHyphen/>
        <w:t>minalvården skall föras patientjournal enligt bestämmelserna i patient</w:t>
      </w:r>
      <w:r w:rsidRPr="0008481A">
        <w:softHyphen/>
        <w:t>j</w:t>
      </w:r>
      <w:r w:rsidRPr="0008481A">
        <w:t>ournallagen (1985:562). Handlingar som upprättas på eller inkom</w:t>
      </w:r>
      <w:r w:rsidRPr="0008481A">
        <w:softHyphen/>
        <w:t>mer till en sjukvårdsavdelning till</w:t>
      </w:r>
      <w:r w:rsidRPr="0008481A">
        <w:softHyphen/>
        <w:t>hör patientjournalen och omfattas av sjuk</w:t>
      </w:r>
      <w:r w:rsidRPr="0008481A">
        <w:softHyphen/>
        <w:t>vårds</w:t>
      </w:r>
      <w:r w:rsidRPr="0008481A">
        <w:softHyphen/>
        <w:t xml:space="preserve">sekretessen. </w:t>
      </w:r>
    </w:p>
    <w:p w:rsidR="003B3271" w:rsidRPr="0008481A" w:rsidRDefault="003B3271">
      <w:pPr>
        <w:pStyle w:val="Citatindrag"/>
      </w:pPr>
      <w:r w:rsidRPr="0008481A">
        <w:t>När domstolen med stöd av ovan angivna förordning sän</w:t>
      </w:r>
      <w:r w:rsidRPr="0008481A">
        <w:softHyphen/>
        <w:t>der rättspsykia</w:t>
      </w:r>
      <w:r w:rsidRPr="0008481A">
        <w:softHyphen/>
        <w:t>t</w:t>
      </w:r>
      <w:r w:rsidRPr="0008481A">
        <w:softHyphen/>
        <w:t>riskt utlåtande eller § 7-intyg tillsammans med domen till en kriminal</w:t>
      </w:r>
      <w:r w:rsidRPr="0008481A">
        <w:softHyphen/>
        <w:t>vårdsmyn</w:t>
      </w:r>
      <w:r w:rsidRPr="0008481A">
        <w:softHyphen/>
        <w:t>dighet kommer, enligt Kriminalvårdsstyrelsens uppfatt</w:t>
      </w:r>
      <w:r w:rsidRPr="0008481A">
        <w:softHyphen/>
        <w:t>ning, dessa hand</w:t>
      </w:r>
      <w:r w:rsidRPr="0008481A">
        <w:softHyphen/>
        <w:t>lingar att omfattas av kriminalvårds</w:t>
      </w:r>
      <w:r w:rsidRPr="0008481A">
        <w:softHyphen/>
        <w:t>sek</w:t>
      </w:r>
      <w:r w:rsidRPr="0008481A">
        <w:softHyphen/>
        <w:t>retessen enligt 7 kap. 21 § SekrL. Ett rättspsykiatriskt utlåtande är inte en handling som upprättats i sam</w:t>
      </w:r>
      <w:r w:rsidRPr="0008481A">
        <w:softHyphen/>
        <w:t>band med hälso- och sjukvård av en patient, utan är en del av en dom</w:t>
      </w:r>
      <w:r w:rsidRPr="0008481A">
        <w:softHyphen/>
        <w:t>stols besluts</w:t>
      </w:r>
      <w:r w:rsidRPr="0008481A">
        <w:softHyphen/>
        <w:t>underlag i påföljdsfrågan. I regel inkommer utlåtandet, som framgår ovan, till</w:t>
      </w:r>
      <w:r w:rsidRPr="0008481A">
        <w:softHyphen/>
        <w:t>sammans med domen till kriminal</w:t>
      </w:r>
      <w:r w:rsidRPr="0008481A">
        <w:t>vårdsmyndigheten och hör då till per</w:t>
      </w:r>
      <w:r w:rsidRPr="0008481A">
        <w:softHyphen/>
        <w:t>sonakten (krimi</w:t>
      </w:r>
      <w:r w:rsidRPr="0008481A">
        <w:softHyphen/>
        <w:t>nalvårdsakten). Om ett rättspsykiatriskt utlå</w:t>
      </w:r>
      <w:r w:rsidRPr="0008481A">
        <w:softHyphen/>
        <w:t>tande däremot rekvireras av hälso- och sjuk</w:t>
      </w:r>
      <w:r w:rsidRPr="0008481A">
        <w:softHyphen/>
        <w:t>vårdspersonal som underlag för pa</w:t>
      </w:r>
      <w:r w:rsidRPr="0008481A">
        <w:softHyphen/>
        <w:t>tientens diagnostik eller behandling tillhör det pati</w:t>
      </w:r>
      <w:r w:rsidRPr="0008481A">
        <w:softHyphen/>
        <w:t>entjournalen och om</w:t>
      </w:r>
      <w:r w:rsidRPr="0008481A">
        <w:softHyphen/>
        <w:t>fattas av sjukvårdssekretessen (7 kap. 1–3 §§ SekrL). Rättspsyki</w:t>
      </w:r>
      <w:r w:rsidRPr="0008481A">
        <w:softHyphen/>
        <w:t>at</w:t>
      </w:r>
      <w:r w:rsidRPr="0008481A">
        <w:softHyphen/>
        <w:t>riska utlå</w:t>
      </w:r>
      <w:r w:rsidRPr="0008481A">
        <w:softHyphen/>
        <w:t>tanden och § 7-intyg är utomordentligt viktiga dokument i kriminal</w:t>
      </w:r>
      <w:r w:rsidRPr="0008481A">
        <w:softHyphen/>
        <w:t>vårds</w:t>
      </w:r>
      <w:r w:rsidRPr="0008481A">
        <w:softHyphen/>
        <w:t>ar</w:t>
      </w:r>
      <w:r w:rsidRPr="0008481A">
        <w:softHyphen/>
        <w:t>betet både för anstalts- och frivårdsverkställighet. Till exempel används uppgifter ur dessa handlingar vi</w:t>
      </w:r>
      <w:r w:rsidRPr="0008481A">
        <w:t>d fråga om placering i anstalt, för frigiv</w:t>
      </w:r>
      <w:r w:rsidRPr="0008481A">
        <w:softHyphen/>
        <w:t>ningsförbere</w:t>
      </w:r>
      <w:r w:rsidRPr="0008481A">
        <w:softHyphen/>
        <w:t>delser, för plane</w:t>
      </w:r>
      <w:r w:rsidRPr="0008481A">
        <w:softHyphen/>
        <w:t>ring av permissioner, för deltagande i program</w:t>
      </w:r>
      <w:r w:rsidRPr="0008481A">
        <w:softHyphen/>
        <w:t>verksamhet m.m.</w:t>
      </w:r>
    </w:p>
    <w:p w:rsidR="003B3271" w:rsidRPr="0008481A" w:rsidRDefault="003B3271">
      <w:pPr>
        <w:pStyle w:val="Citatindrag"/>
      </w:pPr>
      <w:r w:rsidRPr="0008481A">
        <w:t>Kriminalvårdsstyrelsen har i föreskrifterna om akthantering och journalfö</w:t>
      </w:r>
      <w:r w:rsidRPr="0008481A">
        <w:softHyphen/>
        <w:t>ring (KVVFS 1995:3) reglerat bl.a. hanteringen av personakter inom krimi</w:t>
      </w:r>
      <w:r w:rsidRPr="0008481A">
        <w:softHyphen/>
        <w:t>nalvården. Av föreskrifterna framgår bl.a. var och hur vissa handlingar skall förvaras i personakten. Till exempel framgår av 2 § att en personakt består av behandlingsjournal och domsakt. Det framgår också var inom akten som sådana handlingar som förekommer i varje akt t.ex. dom och daganteck</w:t>
      </w:r>
      <w:r w:rsidRPr="0008481A">
        <w:softHyphen/>
        <w:t>ningar skall placeras. Rättspsykiatriska utlåtanden och s.k. § 7-intyg är däre</w:t>
      </w:r>
      <w:r w:rsidRPr="0008481A">
        <w:softHyphen/>
        <w:t>mot inte omnämnda i föreskrifterna. Detta får, mot bakgrund av v</w:t>
      </w:r>
      <w:r w:rsidRPr="0008481A">
        <w:t>ad som nu framkommit, betecknas som en brist. Kriminalvårdsstyrelsen avser där</w:t>
      </w:r>
      <w:r w:rsidRPr="0008481A">
        <w:softHyphen/>
        <w:t>för att vid revidering av före</w:t>
      </w:r>
      <w:r w:rsidRPr="0008481A">
        <w:softHyphen/>
        <w:t>skrifterna också beskriva hur dessa handlingar skall hanteras och förvaras.</w:t>
      </w:r>
    </w:p>
    <w:p w:rsidR="003B3271" w:rsidRPr="0008481A" w:rsidRDefault="003B3271">
      <w:pPr>
        <w:pStyle w:val="Citatindrag"/>
      </w:pPr>
      <w:r w:rsidRPr="0008481A">
        <w:t>I publikationen ”Handbok i sekretessfrågor inom kriminalvården” har hante</w:t>
      </w:r>
      <w:r w:rsidRPr="0008481A">
        <w:softHyphen/>
        <w:t>ringen och sekretessbestämmelserna för RPU och § 7-intyg berörts. På sidan 50 i handboken framgår att RPU och § 7-intyg omfattas av den allmänna kriminalvårdssekretessen (7:21) när de inte förvaras på en sjuk</w:t>
      </w:r>
      <w:r w:rsidRPr="0008481A">
        <w:softHyphen/>
        <w:t>vårdsavdel</w:t>
      </w:r>
      <w:r w:rsidRPr="0008481A">
        <w:softHyphen/>
        <w:t>ning. På sidan 105 i handboken upprepas samma kon</w:t>
      </w:r>
      <w:r w:rsidRPr="0008481A">
        <w:softHyphen/>
        <w:t>staterande om gällande sekretessregler.</w:t>
      </w:r>
    </w:p>
    <w:p w:rsidR="003B3271" w:rsidRPr="0008481A" w:rsidRDefault="003B3271">
      <w:pPr>
        <w:pStyle w:val="Rubrik4"/>
      </w:pPr>
      <w:r w:rsidRPr="0008481A">
        <w:t>2. Det s.k. läkarkuvertet</w:t>
      </w:r>
    </w:p>
    <w:p w:rsidR="003B3271" w:rsidRPr="0008481A" w:rsidRDefault="003B3271">
      <w:pPr>
        <w:pStyle w:val="Citat"/>
      </w:pPr>
      <w:r w:rsidRPr="0008481A">
        <w:t>Av Kriminalvårdsstyrelsens föreskrifter, KVVFS 1995:3 om akthantering och journalfö</w:t>
      </w:r>
      <w:r w:rsidRPr="0008481A">
        <w:softHyphen/>
        <w:t>ring 7 och 8 §§ framgår hur det s.k. läkarkuvertet skall hante</w:t>
      </w:r>
      <w:r w:rsidRPr="0008481A">
        <w:softHyphen/>
        <w:t>ras. Av bestämmelserna framgår att läkarkuvertet, när en intagen friges eller förflyttas till annan anstalt, skall iordningställas och tillföras personakten. Läkarkuvertet skall tillfogas personakten oavsett till vilken kriminalvårds</w:t>
      </w:r>
      <w:r w:rsidRPr="0008481A">
        <w:softHyphen/>
        <w:t>myndighet personakten skall sändas. Det har visat sig vara av utomor</w:t>
      </w:r>
      <w:r w:rsidRPr="0008481A">
        <w:softHyphen/>
        <w:t>dentligt värde att läkarkuvertet ingår som en del i personakten. Under en verkstäl</w:t>
      </w:r>
      <w:r w:rsidRPr="0008481A">
        <w:softHyphen/>
        <w:t xml:space="preserve">lighet kan en intagen av säkerhetsskäl eller som ett led i en </w:t>
      </w:r>
      <w:r w:rsidRPr="0008481A">
        <w:t>behand</w:t>
      </w:r>
      <w:r w:rsidRPr="0008481A">
        <w:softHyphen/>
        <w:t>lingsplan förflyttas mellan olika anstalter. Förflyttning måste ibland ske mot den intagnes vilja. För personer som är berövade friheten och förflyttas mellan olika enheter är det viktigt att de kan ga</w:t>
      </w:r>
      <w:r w:rsidRPr="0008481A">
        <w:softHyphen/>
        <w:t>ranteras en kontinuerlig och god hälso- och sjukvård. När en person blir aktuell på en anstalt eller häkte kan, genom att läkarkuvertet ingår i personakten, den aktuella sjuk</w:t>
      </w:r>
      <w:r w:rsidRPr="0008481A">
        <w:softHyphen/>
        <w:t>vårdsav</w:t>
      </w:r>
      <w:r w:rsidRPr="0008481A">
        <w:softHyphen/>
        <w:t>delningen snabbt och smidigt få tillgång till patientjournaluppgifter, vilket är av stort värde både för klienten och sj</w:t>
      </w:r>
      <w:r w:rsidRPr="0008481A">
        <w:t>ukvårdspersonalen. En god hälso- och sjukvård gag</w:t>
      </w:r>
      <w:r w:rsidRPr="0008481A">
        <w:softHyphen/>
        <w:t>nas, enligt Kriminal</w:t>
      </w:r>
      <w:r w:rsidRPr="0008481A">
        <w:softHyphen/>
        <w:t>vårdsstyrelsens uppfattning, av de ruti</w:t>
      </w:r>
      <w:r w:rsidRPr="0008481A">
        <w:softHyphen/>
        <w:t>ner som under lång tid etable</w:t>
      </w:r>
      <w:r w:rsidRPr="0008481A">
        <w:softHyphen/>
        <w:t>rats för hantering av patientjournaler.</w:t>
      </w:r>
    </w:p>
    <w:p w:rsidR="003B3271" w:rsidRPr="0008481A" w:rsidRDefault="003B3271">
      <w:pPr>
        <w:pStyle w:val="Citatindrag"/>
      </w:pPr>
      <w:r w:rsidRPr="0008481A">
        <w:t>Det är riktigt att frivården numera saknar läkarmottagningar. Styrelsen har dock inte fun</w:t>
      </w:r>
      <w:r w:rsidRPr="0008481A">
        <w:softHyphen/>
        <w:t>nit skäl att skilja läkarkuvertet från personakten trots detta förhållande. Frivården får i detta sammanhang närmast ses som ett tillfälligt arkiv för läkarkuvertet i avvaktan på att det tillsammans med personakten sänds till Kriminalvårdsstyrelsen för slutlig förvaring eller återaktiveras på häkte eller anstalt.</w:t>
      </w:r>
    </w:p>
    <w:p w:rsidR="003B3271" w:rsidRPr="0008481A" w:rsidRDefault="003B3271">
      <w:pPr>
        <w:pStyle w:val="Citatindrag"/>
      </w:pPr>
      <w:r w:rsidRPr="0008481A">
        <w:t>Socialstyrelsen har i ett ärende begärt yttrande av Kriminalvårdsstyrelsen angående han</w:t>
      </w:r>
      <w:r w:rsidRPr="0008481A">
        <w:softHyphen/>
        <w:t>teringen av patientjournaler inom kriminalvården. Kriminal</w:t>
      </w:r>
      <w:r w:rsidRPr="0008481A">
        <w:softHyphen/>
        <w:t>vårdsstyrelsen har den 26 april 1999 avlämnat begärt yttrande. Ko</w:t>
      </w:r>
      <w:r w:rsidRPr="0008481A">
        <w:softHyphen/>
        <w:t xml:space="preserve">pia på yttrandet biläggs </w:t>
      </w:r>
      <w:r w:rsidRPr="0008481A">
        <w:rPr>
          <w:i/>
        </w:rPr>
        <w:t>(här utelämnat).</w:t>
      </w:r>
    </w:p>
    <w:p w:rsidR="003B3271" w:rsidRPr="0008481A" w:rsidRDefault="003B3271">
      <w:r w:rsidRPr="0008481A">
        <w:t>Socialstyrelsen bereddes tillfälle att yttra sig i ärendet.</w:t>
      </w:r>
    </w:p>
    <w:p w:rsidR="003B3271" w:rsidRPr="0008481A" w:rsidRDefault="003B3271">
      <w:r w:rsidRPr="0008481A">
        <w:t xml:space="preserve">I beslut den 31 maj 2000 anförde JO </w:t>
      </w:r>
      <w:r w:rsidRPr="0008481A">
        <w:rPr>
          <w:i/>
        </w:rPr>
        <w:t xml:space="preserve">André </w:t>
      </w:r>
      <w:r w:rsidRPr="0008481A">
        <w:t>följande.</w:t>
      </w:r>
    </w:p>
    <w:p w:rsidR="003B3271" w:rsidRPr="0008481A" w:rsidRDefault="003B3271">
      <w:pPr>
        <w:pStyle w:val="Rubrik3"/>
      </w:pPr>
      <w:r w:rsidRPr="0008481A">
        <w:t>Bedömning</w:t>
      </w:r>
    </w:p>
    <w:p w:rsidR="003B3271" w:rsidRPr="0008481A" w:rsidRDefault="003B3271">
      <w:pPr>
        <w:pStyle w:val="Rubrik4"/>
        <w:spacing w:before="120"/>
      </w:pPr>
      <w:r w:rsidRPr="0008481A">
        <w:t>1. Utlåtanden avseende rättspsykiatriska undersökningar och intyg enligt 7 § la</w:t>
      </w:r>
      <w:r w:rsidRPr="0008481A">
        <w:softHyphen/>
        <w:t xml:space="preserve">gen (1991:2041) om särskild personutredning i brottmål, m.m. </w:t>
      </w:r>
    </w:p>
    <w:p w:rsidR="003B3271" w:rsidRPr="0008481A" w:rsidRDefault="003B3271">
      <w:r w:rsidRPr="0008481A">
        <w:t>Som ovan anförts skall en domstol under vissa förhållanden till den kopia av do</w:t>
      </w:r>
      <w:r w:rsidRPr="0008481A">
        <w:softHyphen/>
        <w:t>men som tillställs berörd kriminalvårdsmyndighet foga bl.a. utlåtande över rätts</w:t>
      </w:r>
      <w:r w:rsidRPr="0008481A">
        <w:softHyphen/>
        <w:t>psykiatrisk undersökning och § 7-intyg. Som Kriminalvårds</w:t>
      </w:r>
      <w:r w:rsidRPr="0008481A">
        <w:softHyphen/>
        <w:t>styrelsen anfört i sitt yttrande behandlas sådana från domstol inkommande utlåtanden och intyg regel</w:t>
      </w:r>
      <w:r w:rsidRPr="0008481A">
        <w:softHyphen/>
        <w:t>mässigt av mottagande kriminalvårdsmyndighet som en del av den intagnes personakt och uppgifterna i intyget omfattas av den sekretess som gäller inom kriminalvården enligt 7 kap. 21 § sekretess</w:t>
      </w:r>
      <w:r w:rsidRPr="0008481A">
        <w:softHyphen/>
        <w:t>lagen. Jag har för egen del inte någon invändning mot den gällande ord</w:t>
      </w:r>
      <w:r w:rsidRPr="0008481A">
        <w:softHyphen/>
        <w:t>ningen</w:t>
      </w:r>
      <w:r w:rsidRPr="0008481A">
        <w:t>. Jag delar därvid Kriminalvårdsstyrel</w:t>
      </w:r>
      <w:r w:rsidRPr="0008481A">
        <w:softHyphen/>
        <w:t>sens uppfattning att utlåtanden och intyg av ifråga</w:t>
      </w:r>
      <w:r w:rsidRPr="0008481A">
        <w:softHyphen/>
        <w:t>varan</w:t>
      </w:r>
      <w:r w:rsidRPr="0008481A">
        <w:softHyphen/>
        <w:t>de slag inte är att anse som upprättade i samband med hälso- och sjukvård av en patient, utan i stället skall betraktas som en del av en dom</w:t>
      </w:r>
      <w:r w:rsidRPr="0008481A">
        <w:softHyphen/>
        <w:t>stols besluts</w:t>
      </w:r>
      <w:r w:rsidRPr="0008481A">
        <w:softHyphen/>
        <w:t>underlag i påföljdsfrågan. Av detta följer att handlingarna i fråga inte heller skall förvaras i de intagnas akter på sjuk</w:t>
      </w:r>
      <w:r w:rsidRPr="0008481A">
        <w:softHyphen/>
        <w:t>vårdsavdelningen. Om däremot sjukvårdsavdelningen, som ett led i behand</w:t>
      </w:r>
      <w:r w:rsidRPr="0008481A">
        <w:softHyphen/>
        <w:t>lingen av en intagen, rekvirerar ett intyg eller utlåtande av ifr</w:t>
      </w:r>
      <w:r w:rsidRPr="0008481A">
        <w:t>åga</w:t>
      </w:r>
      <w:r w:rsidRPr="0008481A">
        <w:softHyphen/>
        <w:t>varande slag skall dessa fortsättningsvis ingå i den intagnes akt på sjukvårdsavdel</w:t>
      </w:r>
      <w:r w:rsidRPr="0008481A">
        <w:softHyphen/>
        <w:t xml:space="preserve">ningen och kommer därigenom att omfattas av sekretess enligt 7 kap. 1 § sekretesslagen.  </w:t>
      </w:r>
    </w:p>
    <w:p w:rsidR="003B3271" w:rsidRPr="0008481A" w:rsidRDefault="003B3271">
      <w:pPr>
        <w:pStyle w:val="Normaltindrag"/>
      </w:pPr>
      <w:r w:rsidRPr="0008481A">
        <w:t>Jag har noterat att Kriminalvårdsstyrelsen har för avsikt att vid revidering av före</w:t>
      </w:r>
      <w:r w:rsidRPr="0008481A">
        <w:softHyphen/>
        <w:t>skrifterna om akthantering och journalfö</w:t>
      </w:r>
      <w:r w:rsidRPr="0008481A">
        <w:softHyphen/>
        <w:t>ring (KVVFS 1995:3) beskriva hur rättspsykiatriska utlåtanden och § 7-intyg skall hanteras och förvaras. Jag finner inte anledning att ytterligare uppehålla mig vid denna fråga.</w:t>
      </w:r>
    </w:p>
    <w:p w:rsidR="003B3271" w:rsidRPr="0008481A" w:rsidRDefault="003B3271">
      <w:pPr>
        <w:pStyle w:val="Rubrik4"/>
      </w:pPr>
      <w:r w:rsidRPr="0008481A">
        <w:t>2. Det s.k. läkarkuvertet</w:t>
      </w:r>
    </w:p>
    <w:p w:rsidR="003B3271" w:rsidRPr="0008481A" w:rsidRDefault="003B3271">
      <w:r w:rsidRPr="0008481A">
        <w:t>Kriminalvårdsstyrelsen har i sitt remissvar hänvisat till sina föreskrifter, KVVFS 1995:3 om akthantering och journalföring, vari det av 7 och 8 §§ framgår hur det s.k. läkarkuvertet skall hante</w:t>
      </w:r>
      <w:r w:rsidRPr="0008481A">
        <w:softHyphen/>
        <w:t>ras. Av de nämnda bestäm</w:t>
      </w:r>
      <w:r w:rsidRPr="0008481A">
        <w:softHyphen/>
        <w:t>melserna följer bl.a. att läkarkuvertet, när en intagen friges eller förflyttas till annan anstalt, skall iord</w:t>
      </w:r>
      <w:r w:rsidRPr="0008481A">
        <w:softHyphen/>
        <w:t>ningställas och tillföras personakten. Personakten medföljer sedan den intagne till den kriminalvårdsanstalt som denne flyttas till eller, i förekommande fall, till fri</w:t>
      </w:r>
      <w:r w:rsidRPr="0008481A">
        <w:softHyphen/>
        <w:t>vården när den intagne blivit föremål för villkorlig frigivning. När den intagne friges översänds läkarkuvertet till</w:t>
      </w:r>
      <w:r w:rsidRPr="0008481A">
        <w:softHyphen/>
        <w:t>sammans med person</w:t>
      </w:r>
      <w:r w:rsidRPr="0008481A">
        <w:softHyphen/>
        <w:t>akten till Kriminalvårdsstyrelsen för slutlig förvaring. När det gälle</w:t>
      </w:r>
      <w:r w:rsidRPr="0008481A">
        <w:t>r översändande av handlingarna till frivården har Kriminal</w:t>
      </w:r>
      <w:r w:rsidRPr="0008481A">
        <w:softHyphen/>
        <w:t>vårdsstyrelsen anfört att frivården i det sammanhanget närmast får ses som ett tillfälligt arkiv för läkarkuvertet i avvaktan på att det tillsammans med personakten sänds till Kriminalvårdsstyrelsen för slutlig förvaring eller återaktiveras på häkte eller anstalt.</w:t>
      </w:r>
    </w:p>
    <w:p w:rsidR="003B3271" w:rsidRPr="0008481A" w:rsidRDefault="003B3271">
      <w:pPr>
        <w:pStyle w:val="Normaltindrag"/>
      </w:pPr>
      <w:r w:rsidRPr="0008481A">
        <w:t>Det finns skäl att påpeka att den ordning som för närvarande gäller inom kriminal</w:t>
      </w:r>
      <w:r w:rsidRPr="0008481A">
        <w:softHyphen/>
        <w:t>vården in</w:t>
      </w:r>
      <w:r w:rsidRPr="0008481A">
        <w:softHyphen/>
        <w:t>nebärande att de intagnas sjukjournaler, utan att samtycke dess</w:t>
      </w:r>
      <w:r w:rsidRPr="0008481A">
        <w:softHyphen/>
        <w:t xml:space="preserve">förinnan inhämtats, medföljer deras personakter vid överflyttning till annan anstalt, är föremål för ett tillsynsärende vid Socialstyrelsen, </w:t>
      </w:r>
      <w:r w:rsidRPr="0008481A">
        <w:br/>
        <w:t>dnr 30-1816-99. Jag finner för egen del därför inte anledning att uttala mig i den frågan.</w:t>
      </w:r>
    </w:p>
    <w:p w:rsidR="003B3271" w:rsidRPr="0008481A" w:rsidRDefault="003B3271">
      <w:pPr>
        <w:pStyle w:val="Normaltindrag"/>
      </w:pPr>
      <w:r w:rsidRPr="0008481A">
        <w:t>Det har i remissvaret inte anförts något annat skäl till att läkarkuvertet medföljer den intagnes personakt när den översänds till frivården än att det inom kriminal</w:t>
      </w:r>
      <w:r w:rsidRPr="0008481A">
        <w:softHyphen/>
        <w:t>vården visat sig vara av utomor</w:t>
      </w:r>
      <w:r w:rsidRPr="0008481A">
        <w:softHyphen/>
        <w:t>dentligt värde att läkar</w:t>
      </w:r>
      <w:r w:rsidRPr="0008481A">
        <w:softHyphen/>
        <w:t>kuvertet hålles samlat med personakten. Jag har i och för sig förståelse för de skäl som styrelsen anfört i detta avseende. Jag finner ändå anledning att ifråga</w:t>
      </w:r>
      <w:r w:rsidRPr="0008481A">
        <w:softHyphen/>
        <w:t>sätta ändamålsenligheten av att lä</w:t>
      </w:r>
      <w:r w:rsidRPr="0008481A">
        <w:softHyphen/>
        <w:t>karkuvertet medföljer personakten till fri</w:t>
      </w:r>
      <w:r w:rsidRPr="0008481A">
        <w:softHyphen/>
        <w:t xml:space="preserve">vården. </w:t>
      </w:r>
    </w:p>
    <w:p w:rsidR="003B3271" w:rsidRPr="0008481A" w:rsidRDefault="003B3271">
      <w:pPr>
        <w:pStyle w:val="Normaltindrag"/>
      </w:pPr>
      <w:r w:rsidRPr="0008481A">
        <w:t>Som framkommit finns det inte längre några läkarmottagningar inom frivården. Detta innebär att det inte heller finns någon där som är behörig att ta del av hand</w:t>
      </w:r>
      <w:r w:rsidRPr="0008481A">
        <w:softHyphen/>
        <w:t>lingarna i läkarkuvertet. Förutom att det i sig inte är tillfreds</w:t>
      </w:r>
      <w:r w:rsidRPr="0008481A">
        <w:softHyphen/>
        <w:t>ställande att sekretessbelagda handlingar onödigtvis tillställs någon som inte har något behov av dem, kan det uppkomma särskilda problem om hand</w:t>
      </w:r>
      <w:r w:rsidRPr="0008481A">
        <w:softHyphen/>
        <w:t>lingarna i fråga begärs utlämnade. Eftersom det inte finns någon inom fri</w:t>
      </w:r>
      <w:r w:rsidRPr="0008481A">
        <w:softHyphen/>
        <w:t>vården som är behörig att ta del av handlingarna i läkarkuvertet kan begäran inte heller prövas där. Handlingarna måste därför översändas till den kriminalvårdsmyndighet, varunder den berörda frivården lyder, för att fram</w:t>
      </w:r>
      <w:r w:rsidRPr="0008481A">
        <w:softHyphen/>
        <w:t>stä</w:t>
      </w:r>
      <w:r w:rsidRPr="0008481A">
        <w:t>llningen skall kunna behandlas. Mot bakgrund bl.a. av det skynd</w:t>
      </w:r>
      <w:r w:rsidRPr="0008481A">
        <w:softHyphen/>
        <w:t>sam</w:t>
      </w:r>
      <w:r w:rsidRPr="0008481A">
        <w:softHyphen/>
        <w:t>hets</w:t>
      </w:r>
      <w:r w:rsidRPr="0008481A">
        <w:softHyphen/>
        <w:t>krav som föreskrivs i tryckfrihetsförordningen beträffande framställ</w:t>
      </w:r>
      <w:r w:rsidRPr="0008481A">
        <w:softHyphen/>
        <w:t>ningar av förevarande slag finns det enligt min mening anledning för styrelsen att över</w:t>
      </w:r>
      <w:r w:rsidRPr="0008481A">
        <w:softHyphen/>
        <w:t xml:space="preserve">väga om de nuvarande rutinerna skall bestå. </w:t>
      </w:r>
    </w:p>
    <w:p w:rsidR="003B3271" w:rsidRPr="0008481A" w:rsidRDefault="003B3271">
      <w:pPr>
        <w:pStyle w:val="Normaltindrag"/>
      </w:pPr>
      <w:r w:rsidRPr="0008481A">
        <w:t xml:space="preserve">En i mina ögon lämpligare ordning skulle kunna vara att läkarkuvertet, i stället för att medfölja den intagnes personakt till frivården, separat sänds direkt till Kriminalvårdsstyrelsen för förvaring. </w:t>
      </w:r>
    </w:p>
    <w:p w:rsidR="003B3271" w:rsidRPr="0008481A" w:rsidRDefault="003B3271">
      <w:r w:rsidRPr="0008481A">
        <w:t>Eftersom det inte framkommit att de nuvarande rutinerna de facto inne</w:t>
      </w:r>
      <w:r w:rsidRPr="0008481A">
        <w:softHyphen/>
        <w:t>burit att sekretesskyddade uppgifter i läkarkuvertet röjts i strid med bestäm</w:t>
      </w:r>
      <w:r w:rsidRPr="0008481A">
        <w:softHyphen/>
        <w:t>melserna i sek</w:t>
      </w:r>
      <w:r w:rsidRPr="0008481A">
        <w:softHyphen/>
        <w:t>retesslagen eller att en begäran om utlämnande av handlingar i läkarkuvertet onö</w:t>
      </w:r>
      <w:r w:rsidRPr="0008481A">
        <w:softHyphen/>
        <w:t>digtvis fördröjts finns det inte skäl för mig att uttala någon kritik i frågan.</w:t>
      </w:r>
    </w:p>
    <w:p w:rsidR="003B3271" w:rsidRPr="0008481A" w:rsidRDefault="003B3271">
      <w:pPr>
        <w:pStyle w:val="Rubrik2"/>
        <w:rPr>
          <w:i/>
        </w:rPr>
      </w:pPr>
      <w:r w:rsidRPr="0008481A">
        <w:t>Uttalanden rörande socialnämnds handläggning av inkomna handlingar, särskilt fråga om diarieföring av anmälan enligt 71 a § socialtjänstlagen (</w:t>
      </w:r>
      <w:r w:rsidRPr="0008481A">
        <w:rPr>
          <w:i/>
        </w:rPr>
        <w:t>lex Sara)</w:t>
      </w:r>
    </w:p>
    <w:p w:rsidR="003B3271" w:rsidRPr="0008481A" w:rsidRDefault="003B3271">
      <w:r w:rsidRPr="0008481A">
        <w:t>(Dnr 3967-1999)</w:t>
      </w:r>
    </w:p>
    <w:p w:rsidR="003B3271" w:rsidRPr="0008481A" w:rsidRDefault="003B3271">
      <w:pPr>
        <w:pStyle w:val="Rubrik3"/>
      </w:pPr>
      <w:r w:rsidRPr="0008481A">
        <w:t>Anmälan</w:t>
      </w:r>
    </w:p>
    <w:p w:rsidR="003B3271" w:rsidRPr="0008481A" w:rsidRDefault="003B3271">
      <w:r w:rsidRPr="0008481A">
        <w:t>I en anmälan hemställde Jan Lorentsson att JO måtte pröva om Socialförvalt</w:t>
      </w:r>
      <w:r w:rsidRPr="0008481A">
        <w:softHyphen/>
        <w:t>ningen i Bengtsfors kommun tillämpat tryckfrihetsförordningens bestämmel</w:t>
      </w:r>
      <w:r w:rsidRPr="0008481A">
        <w:softHyphen/>
        <w:t>ser korrekt varvid han anförde i huvudsak följande. Han arbetar på tidningen Dalslän</w:t>
      </w:r>
      <w:r w:rsidRPr="0008481A">
        <w:softHyphen/>
        <w:t>ningen. Den 20 oktober 1999, omkring kl. 15, begärde Jan Lorents</w:t>
      </w:r>
      <w:r w:rsidRPr="0008481A">
        <w:softHyphen/>
        <w:t>son hos re</w:t>
      </w:r>
      <w:r w:rsidRPr="0008481A">
        <w:softHyphen/>
        <w:t>gistratorn vid Socialkontoret i Bengtsfors att få ta del av två handlingar. Det gällde dels en skrivelse från personalen på vårdhemmet Björkåsen, dels en anmälan enligt ”lex Sara” från två anställda inom hemvården. Jan Lorentsson uppmanades söka socialchefen. Jan Lorentsson sö</w:t>
      </w:r>
      <w:r w:rsidRPr="0008481A">
        <w:t>kte socialchefen vid flera till</w:t>
      </w:r>
      <w:r w:rsidRPr="0008481A">
        <w:softHyphen/>
        <w:t>fällen under eftermiddagen och på förmiddagen följande dag. Under tiden hade han fått skrivelsen från personalen. Han sökte också registratorn som förklarade att social</w:t>
      </w:r>
      <w:r w:rsidRPr="0008481A">
        <w:softHyphen/>
        <w:t>chefen hade handlingarna. Den 21 oktober efter kl. 15.30 träffade han socialche</w:t>
      </w:r>
      <w:r w:rsidRPr="0008481A">
        <w:softHyphen/>
        <w:t>fen på socialkontoret. Socialchefen förklarade att den efterfrågade handlingen innehöll sekretesskyddade uppgifter. Jan Lorentsson förklarade att han inte var intresserad av namnuppgifterna varför han kunde få se handlingen med des</w:t>
      </w:r>
      <w:r w:rsidRPr="0008481A">
        <w:t>sa uppgifter över</w:t>
      </w:r>
      <w:r w:rsidRPr="0008481A">
        <w:softHyphen/>
        <w:t>täckta. Han fick därefter en avidentifierad kopia av den begärda handlingen. Det saknades emellertid diarienummer på handlingen som var in</w:t>
      </w:r>
      <w:r w:rsidRPr="0008481A">
        <w:softHyphen/>
        <w:t>komststämplad den 5 oktober 1999. Socialchefen bekräftade att handlingen ej var diarieförd då den för</w:t>
      </w:r>
      <w:r w:rsidRPr="0008481A">
        <w:softHyphen/>
        <w:t>varades i klientens akt. Jan Lorentsson pekade särskilt på följande omständigheter.</w:t>
      </w:r>
    </w:p>
    <w:p w:rsidR="003B3271" w:rsidRPr="0008481A" w:rsidRDefault="003B3271">
      <w:pPr>
        <w:numPr>
          <w:ilvl w:val="0"/>
          <w:numId w:val="71"/>
        </w:numPr>
        <w:spacing w:before="0"/>
      </w:pPr>
      <w:r w:rsidRPr="0008481A">
        <w:t>Handlingen var inte diarieförd.</w:t>
      </w:r>
    </w:p>
    <w:p w:rsidR="003B3271" w:rsidRPr="0008481A" w:rsidRDefault="003B3271">
      <w:pPr>
        <w:numPr>
          <w:ilvl w:val="0"/>
          <w:numId w:val="71"/>
        </w:numPr>
        <w:spacing w:before="0"/>
      </w:pPr>
      <w:r w:rsidRPr="0008481A">
        <w:t>Väntetiden att få ut handlingen, över ett dygn, var för lång.</w:t>
      </w:r>
    </w:p>
    <w:p w:rsidR="003B3271" w:rsidRPr="0008481A" w:rsidRDefault="003B3271">
      <w:pPr>
        <w:numPr>
          <w:ilvl w:val="0"/>
          <w:numId w:val="71"/>
        </w:numPr>
        <w:spacing w:before="0"/>
      </w:pPr>
      <w:r w:rsidRPr="0008481A">
        <w:t>Socialchefen hade medfört handlingen utan att förvara en kopia på soci</w:t>
      </w:r>
      <w:r w:rsidRPr="0008481A">
        <w:softHyphen/>
        <w:t>alkontoret.</w:t>
      </w:r>
    </w:p>
    <w:p w:rsidR="003B3271" w:rsidRPr="0008481A" w:rsidRDefault="003B3271">
      <w:pPr>
        <w:numPr>
          <w:ilvl w:val="0"/>
          <w:numId w:val="71"/>
        </w:numPr>
        <w:spacing w:before="0"/>
      </w:pPr>
      <w:r w:rsidRPr="0008481A">
        <w:t>Socialchefen hade försökt hindra honom att få se handlingen under på</w:t>
      </w:r>
      <w:r w:rsidRPr="0008481A">
        <w:softHyphen/>
        <w:t xml:space="preserve">stående om att den var sekretessbelagd. </w:t>
      </w:r>
    </w:p>
    <w:p w:rsidR="003B3271" w:rsidRPr="0008481A" w:rsidRDefault="003B3271">
      <w:pPr>
        <w:pStyle w:val="Rubrik3"/>
      </w:pPr>
      <w:r w:rsidRPr="0008481A">
        <w:t>Utredning</w:t>
      </w:r>
    </w:p>
    <w:p w:rsidR="003B3271" w:rsidRPr="0008481A" w:rsidRDefault="003B3271">
      <w:r w:rsidRPr="0008481A">
        <w:t xml:space="preserve">Anmälan remitterades till Socialnämnden i Bengtfors kommun för utredning och yttrande. </w:t>
      </w:r>
    </w:p>
    <w:p w:rsidR="003B3271" w:rsidRPr="0008481A" w:rsidRDefault="003B3271">
      <w:pPr>
        <w:pStyle w:val="Normaltindrag"/>
      </w:pPr>
      <w:r w:rsidRPr="0008481A">
        <w:t>Socialchefen Iwa Rosell avgav ett yttrande till socialnämnden med följande inne</w:t>
      </w:r>
      <w:r w:rsidRPr="0008481A">
        <w:softHyphen/>
        <w:t>håll.</w:t>
      </w:r>
    </w:p>
    <w:p w:rsidR="003B3271" w:rsidRPr="0008481A" w:rsidRDefault="003B3271">
      <w:pPr>
        <w:pStyle w:val="Citat"/>
      </w:pPr>
      <w:r w:rsidRPr="0008481A">
        <w:t>Jan Lorentsson har följande fyra punkter, som lyfts fram, i sin begäran om utredning.</w:t>
      </w:r>
    </w:p>
    <w:p w:rsidR="003B3271" w:rsidRPr="0008481A" w:rsidRDefault="003B3271">
      <w:pPr>
        <w:pStyle w:val="Rubrik4"/>
      </w:pPr>
      <w:r w:rsidRPr="0008481A">
        <w:t>Punkt 1 och 4 avser anmälan ”lex Sara”</w:t>
      </w:r>
    </w:p>
    <w:p w:rsidR="003B3271" w:rsidRPr="0008481A" w:rsidRDefault="003B3271">
      <w:pPr>
        <w:pStyle w:val="Citat"/>
      </w:pPr>
      <w:r w:rsidRPr="0008481A">
        <w:t xml:space="preserve">Anmälan inkom den 5 oktober och berörde </w:t>
      </w:r>
      <w:r w:rsidRPr="0008481A">
        <w:rPr>
          <w:b/>
          <w:i/>
        </w:rPr>
        <w:t>en</w:t>
      </w:r>
      <w:r w:rsidRPr="0008481A">
        <w:t xml:space="preserve"> enskild vårdtagare. Ärendet ankomststämplades, men diariefördes inte i allmänt diarium, utan tillfördes vårdtagarens personakt. Utredning påbörjades omgående. Ärendet anmäl</w:t>
      </w:r>
      <w:r w:rsidRPr="0008481A">
        <w:softHyphen/>
        <w:t>des på socialnämndens ordinarie sammanträde den 6 oktober.</w:t>
      </w:r>
    </w:p>
    <w:p w:rsidR="003B3271" w:rsidRPr="0008481A" w:rsidRDefault="003B3271">
      <w:pPr>
        <w:pStyle w:val="Citatindrag"/>
      </w:pPr>
      <w:r w:rsidRPr="0008481A">
        <w:t>När det gäller denna typ av ärenden upplever förvaltningen att det är oklart hur en sådan handling skall registreras. Just denna fråga diskuterades med handläggare på Länsstyrelsen, Sociala Enheten. Frågan väcktes hos Länssty</w:t>
      </w:r>
      <w:r w:rsidRPr="0008481A">
        <w:softHyphen/>
        <w:t>relsen strax före handlingen begärdes av reportern Jan Lorentsson. Efter flera telefonkontakter erhöll jag 991028 rekommendation från handläggare på Länsstyrelsen att diarieföra anmälan i allmänna diarium. Som grund hän</w:t>
      </w:r>
      <w:r w:rsidRPr="0008481A">
        <w:softHyphen/>
        <w:t>visade handläggaren till JO:s beslut 1991 06 18, samt ”Allmänna råd” som egentligen är inaktuella då de är från 1994 och lagen ”lex Sara” betydligt senare. Nya ”Allmänna råd” är under arbete.</w:t>
      </w:r>
    </w:p>
    <w:p w:rsidR="003B3271" w:rsidRPr="0008481A" w:rsidRDefault="003B3271">
      <w:pPr>
        <w:pStyle w:val="Rubrik4"/>
        <w:rPr>
          <w:b/>
        </w:rPr>
      </w:pPr>
      <w:r w:rsidRPr="0008481A">
        <w:t>Punkt 2 och 3 avser ”begäran om ursäkt från socialnämnden till arbetstagare från personal på Björkå</w:t>
      </w:r>
      <w:r w:rsidRPr="0008481A">
        <w:t>sens gruppboende”</w:t>
      </w:r>
    </w:p>
    <w:p w:rsidR="003B3271" w:rsidRPr="0008481A" w:rsidRDefault="003B3271">
      <w:pPr>
        <w:pStyle w:val="Citat"/>
      </w:pPr>
      <w:r w:rsidRPr="0008481A">
        <w:t>Denna handling registrerades på en från kommunledningskontoret över</w:t>
      </w:r>
      <w:r w:rsidRPr="0008481A">
        <w:softHyphen/>
        <w:t>faxad kopia och diskuterades på dagens socialutskott, då handlingen var ställd till socialnämndens ordförande. Jag hade handlingen med mig vid mina två besök på just Björkåsen.</w:t>
      </w:r>
    </w:p>
    <w:p w:rsidR="003B3271" w:rsidRPr="0008481A" w:rsidRDefault="003B3271">
      <w:pPr>
        <w:pStyle w:val="Citatindrag"/>
      </w:pPr>
      <w:r w:rsidRPr="0008481A">
        <w:t>Under torsdagen den 21 oktober sökte jag Jan Lorentsson vid tre tillfällen fm, lunch och em, utan att vi fick kontakt. Att hänvisa till att handlingen fanns på annat ställe (5 min bilfärd) måste fylla kravet på tillgänglighet. Nå</w:t>
      </w:r>
      <w:r w:rsidRPr="0008481A">
        <w:softHyphen/>
        <w:t>gon kopia på aktens innehåll fanns inte på kontoret, dock ett meddelande om var akten fanns.</w:t>
      </w:r>
    </w:p>
    <w:p w:rsidR="003B3271" w:rsidRPr="0008481A" w:rsidRDefault="003B3271">
      <w:pPr>
        <w:pStyle w:val="Rubrik4"/>
      </w:pPr>
      <w:r w:rsidRPr="0008481A">
        <w:t>Sammanfattning</w:t>
      </w:r>
    </w:p>
    <w:p w:rsidR="003B3271" w:rsidRPr="0008481A" w:rsidRDefault="003B3271">
      <w:pPr>
        <w:pStyle w:val="Citat"/>
      </w:pPr>
      <w:r w:rsidRPr="0008481A">
        <w:t>Förvaltningen kan vara självkritisk över det bemötande som Jan Lorentsson upplevde att han fick. Förvaltningen anser att vi försökt vara korrekta i vårt bemötande, men här finns skäl till en tydlighet och en ökad kun</w:t>
      </w:r>
      <w:r w:rsidRPr="0008481A">
        <w:softHyphen/>
        <w:t>skap/utbild</w:t>
      </w:r>
      <w:r w:rsidRPr="0008481A">
        <w:softHyphen/>
        <w:t>ning på förvaltningen. Journalisten anser att det tagit för lång tid innan handlingen lämnades ut. Enligt förvaltningens uppfattning måste man be</w:t>
      </w:r>
      <w:r w:rsidRPr="0008481A">
        <w:softHyphen/>
        <w:t>akta att begäran om att få ta del av handlingen gjordes efter klockan 15.00, samt att tjänstemannen har rätt att ta viss tid på sig för att bedöma om det är frågan om en allmän handling som skall lämnas ut. Förvaltningen an</w:t>
      </w:r>
      <w:r w:rsidRPr="0008481A">
        <w:softHyphen/>
        <w:t>ser, att då journalisten fått ut handlingen dagen efter och socialchefen dess</w:t>
      </w:r>
      <w:r w:rsidRPr="0008481A">
        <w:softHyphen/>
        <w:t>utom sökt journalisten vid flera tillfällen, kan in</w:t>
      </w:r>
      <w:r w:rsidRPr="0008481A">
        <w:t>te tiden – dvs ca ett dygn – anses orimligt lång. Vidare får det anses godtagbart att socialchefen vid be</w:t>
      </w:r>
      <w:r w:rsidRPr="0008481A">
        <w:softHyphen/>
        <w:t>hov tar med sig en akt eller handling vid utövandet av sina arbetsuppgifter. I detta fall gällde det ett besök i verksamheten.</w:t>
      </w:r>
    </w:p>
    <w:p w:rsidR="003B3271" w:rsidRPr="0008481A" w:rsidRDefault="003B3271">
      <w:pPr>
        <w:pStyle w:val="Citatindrag"/>
      </w:pPr>
      <w:r w:rsidRPr="0008481A">
        <w:t>Anmälan ”lex Sara”. Är det en allmän handling som skall diarieföras eller en handling som är undantagen från registreringsskyldighet (diarieföring) och som hör till enskilds personakt hos socialnämnden, 15 kap 1 § sekre</w:t>
      </w:r>
      <w:r w:rsidRPr="0008481A">
        <w:softHyphen/>
        <w:t>tesslagen och 5 § sekretessförordningen?</w:t>
      </w:r>
    </w:p>
    <w:p w:rsidR="003B3271" w:rsidRPr="0008481A" w:rsidRDefault="003B3271">
      <w:r w:rsidRPr="0008481A">
        <w:t>Socialnämnden anförde för egen del följande.</w:t>
      </w:r>
    </w:p>
    <w:p w:rsidR="003B3271" w:rsidRPr="0008481A" w:rsidRDefault="003B3271">
      <w:pPr>
        <w:pStyle w:val="Citat"/>
      </w:pPr>
      <w:r w:rsidRPr="0008481A">
        <w:t xml:space="preserve">Justitieombudsmannen (JO) begär utredning och yttrande över anmälan från Jan Lorentsson, reporter Dalslänningen, avseende utlämnande av allmän handling. </w:t>
      </w:r>
    </w:p>
    <w:p w:rsidR="003B3271" w:rsidRPr="0008481A" w:rsidRDefault="003B3271">
      <w:pPr>
        <w:pStyle w:val="Citat"/>
      </w:pPr>
      <w:r w:rsidRPr="0008481A">
        <w:t>Lorentsson har fyra punkter i sin begäran om utredning.</w:t>
      </w:r>
    </w:p>
    <w:p w:rsidR="003B3271" w:rsidRPr="0008481A" w:rsidRDefault="003B3271">
      <w:pPr>
        <w:pStyle w:val="Citat"/>
      </w:pPr>
      <w:r w:rsidRPr="0008481A">
        <w:t>Punkt 1 och 4 avser anmälan ”lex Sara”.</w:t>
      </w:r>
    </w:p>
    <w:p w:rsidR="003B3271" w:rsidRPr="0008481A" w:rsidRDefault="003B3271">
      <w:pPr>
        <w:pStyle w:val="Citat"/>
      </w:pPr>
      <w:r w:rsidRPr="0008481A">
        <w:t xml:space="preserve">Anmälan inkom den 5 oktober och berörde en </w:t>
      </w:r>
      <w:r w:rsidRPr="0008481A">
        <w:rPr>
          <w:i/>
        </w:rPr>
        <w:t>enskild vårdtagare</w:t>
      </w:r>
      <w:r w:rsidRPr="0008481A">
        <w:t>. Ärendet ankomststämplades, men diariefördes inte i allmänt diarium, utan tillfördes vårdtagarens personakt. Avidentifierad handling utlämnades till Lorentsson 991021. Ärendet diariefördes 991028 efter kontakt med Sociala enheten på Länsstyrelsen.</w:t>
      </w:r>
    </w:p>
    <w:p w:rsidR="003B3271" w:rsidRPr="0008481A" w:rsidRDefault="003B3271">
      <w:pPr>
        <w:pStyle w:val="Citat"/>
      </w:pPr>
      <w:r w:rsidRPr="0008481A">
        <w:t>Punkt 2 och 3 avser skrivelse från personal på gruppboendet Björkåsen av</w:t>
      </w:r>
      <w:r w:rsidRPr="0008481A">
        <w:softHyphen/>
        <w:t>seende begäran om ursäkt från socialnämnden till arbetstagare på grupp</w:t>
      </w:r>
      <w:r w:rsidRPr="0008481A">
        <w:softHyphen/>
        <w:t>bo</w:t>
      </w:r>
      <w:r w:rsidRPr="0008481A">
        <w:softHyphen/>
        <w:t>ende.</w:t>
      </w:r>
    </w:p>
    <w:p w:rsidR="003B3271" w:rsidRPr="0008481A" w:rsidRDefault="003B3271">
      <w:pPr>
        <w:pStyle w:val="Citat"/>
      </w:pPr>
      <w:r w:rsidRPr="0008481A">
        <w:t>Denna handling registrerades på en överfaxad kopia som var ställd till so</w:t>
      </w:r>
      <w:r w:rsidRPr="0008481A">
        <w:softHyphen/>
        <w:t>ci</w:t>
      </w:r>
      <w:r w:rsidRPr="0008481A">
        <w:softHyphen/>
        <w:t>alnämndens ordförande. Akten fanns ej vid Lorentssons begäran om ut</w:t>
      </w:r>
      <w:r w:rsidRPr="0008481A">
        <w:softHyphen/>
        <w:t>läm</w:t>
      </w:r>
      <w:r w:rsidRPr="0008481A">
        <w:softHyphen/>
        <w:t>nande på socialkontoret utan var under beredning på samverkansgrup</w:t>
      </w:r>
      <w:r w:rsidRPr="0008481A">
        <w:softHyphen/>
        <w:t>pens möte på Björkåsen. Lorentsson kontaktades tre gånger under dagen utan re</w:t>
      </w:r>
      <w:r w:rsidRPr="0008481A">
        <w:softHyphen/>
        <w:t>sultat. Någon kopia på aktens innehåll fanns inte på socialkontoret, dock ett meddelande om var akten fanns.</w:t>
      </w:r>
    </w:p>
    <w:p w:rsidR="003B3271" w:rsidRPr="0008481A" w:rsidRDefault="003B3271">
      <w:pPr>
        <w:pStyle w:val="Citatindrag"/>
      </w:pPr>
      <w:r w:rsidRPr="0008481A">
        <w:t>Socialchefen anser i yttrandet till JO att förvaltningen måste ta lärdom av det inträffade och bemöta allmänhet och journalister korrekt och tydligt samt öka kunskapen om sekretessla</w:t>
      </w:r>
      <w:r w:rsidRPr="0008481A">
        <w:t>gen och tryckfrihetsförordningen. Inom socialnämndens ansvarsområde görs det alltid en bedömning om skyddsin</w:t>
      </w:r>
      <w:r w:rsidRPr="0008481A">
        <w:softHyphen/>
        <w:t xml:space="preserve">tresse avseende Sekretesslagen i vad som kan lämnas ut och vad som med hänsyn till berörda personer bör hemligstämplas. </w:t>
      </w:r>
    </w:p>
    <w:p w:rsidR="003B3271" w:rsidRPr="0008481A" w:rsidRDefault="003B3271">
      <w:pPr>
        <w:pStyle w:val="Rubrik4"/>
        <w:spacing w:before="240"/>
      </w:pPr>
      <w:r w:rsidRPr="0008481A">
        <w:t>Socialnämndens beslut</w:t>
      </w:r>
    </w:p>
    <w:p w:rsidR="003B3271" w:rsidRPr="0008481A" w:rsidRDefault="003B3271">
      <w:pPr>
        <w:pStyle w:val="Citat"/>
      </w:pPr>
      <w:r w:rsidRPr="0008481A">
        <w:t>Socialchefens yttrande godkänds</w:t>
      </w:r>
      <w:r w:rsidRPr="0008481A">
        <w:rPr>
          <w:i/>
        </w:rPr>
        <w:t xml:space="preserve"> </w:t>
      </w:r>
      <w:r w:rsidRPr="0008481A">
        <w:t>och överlämnas till Justitieombudsman</w:t>
      </w:r>
      <w:r w:rsidRPr="0008481A">
        <w:softHyphen/>
        <w:t>nen.</w:t>
      </w:r>
    </w:p>
    <w:p w:rsidR="003B3271" w:rsidRPr="0008481A" w:rsidRDefault="003B3271">
      <w:r w:rsidRPr="0008481A">
        <w:t>Jan Lorentsson bemötte remissvaret.</w:t>
      </w:r>
    </w:p>
    <w:p w:rsidR="003B3271" w:rsidRPr="0008481A" w:rsidRDefault="003B3271">
      <w:r w:rsidRPr="0008481A">
        <w:t xml:space="preserve">I beslut den 22 mars 2000 anförde </w:t>
      </w:r>
      <w:r w:rsidRPr="0008481A">
        <w:rPr>
          <w:i/>
        </w:rPr>
        <w:t xml:space="preserve">stf JO Norell Söderblom </w:t>
      </w:r>
      <w:r w:rsidRPr="0008481A">
        <w:t>följande.</w:t>
      </w:r>
    </w:p>
    <w:p w:rsidR="003B3271" w:rsidRPr="0008481A" w:rsidRDefault="003B3271">
      <w:pPr>
        <w:pStyle w:val="Rubrik3"/>
      </w:pPr>
      <w:r w:rsidRPr="0008481A">
        <w:t>Rättslig reglering</w:t>
      </w:r>
    </w:p>
    <w:p w:rsidR="003B3271" w:rsidRPr="0008481A" w:rsidRDefault="003B3271">
      <w:r w:rsidRPr="0008481A">
        <w:t>Bestämmelser om diarieföring av allmänna handlingar finns i 15 kap. sekretess</w:t>
      </w:r>
      <w:r w:rsidRPr="0008481A">
        <w:softHyphen/>
        <w:t>lagen (1980:100). I 1 § första stycket föreskrivs att när allmän handling kommit in till eller har upprättats hos myndighet skall handlingen registreras utan dröjsmål, om det inte är uppenbart att den är av ringa betydelse för myndighetens verksam</w:t>
      </w:r>
      <w:r w:rsidRPr="0008481A">
        <w:softHyphen/>
        <w:t>het. I fråga om allmänna handlingar, för vilka sekretess inte gäller, får dock re</w:t>
      </w:r>
      <w:r w:rsidRPr="0008481A">
        <w:softHyphen/>
        <w:t>gistrering underlåtas om handlingarna hålls så ordnade att det utan svårighet kan fastställas om handling har kommit in eller upprättats. I andra stycket föreskrivs att om särskilda</w:t>
      </w:r>
      <w:r w:rsidRPr="0008481A">
        <w:t xml:space="preserve"> skäl föreligger får regeringen föreskriva undantag från registre</w:t>
      </w:r>
      <w:r w:rsidRPr="0008481A">
        <w:softHyphen/>
        <w:t>ringsskyldighet enligt första stycket i fråga om handlingar av visst slag som hos myndighet förekommer i betydande omfattning. Med stöd härav har regeringen i 5 § sekretessförordningen (1980:657) föreskrivit om undantag från registrerings</w:t>
      </w:r>
      <w:r w:rsidRPr="0008481A">
        <w:softHyphen/>
        <w:t>skyldighet för bl.a. socialnämnderna beträffande handlingar som hör till enskildas personakter.</w:t>
      </w:r>
    </w:p>
    <w:p w:rsidR="003B3271" w:rsidRPr="0008481A" w:rsidRDefault="003B3271">
      <w:pPr>
        <w:pStyle w:val="Normaltindrag"/>
      </w:pPr>
      <w:r w:rsidRPr="0008481A">
        <w:t>Med ”lex Sara” avses den i 71 a § socialtjänstlagen (1980:620), SoL, före</w:t>
      </w:r>
      <w:r w:rsidRPr="0008481A">
        <w:softHyphen/>
        <w:t>skrivna skyl</w:t>
      </w:r>
      <w:r w:rsidRPr="0008481A">
        <w:softHyphen/>
        <w:t>digheten att anmäla missförhållanden inom omsorger om äldre människor eller människor med funktionshinder.</w:t>
      </w:r>
    </w:p>
    <w:p w:rsidR="003B3271" w:rsidRPr="0008481A" w:rsidRDefault="003B3271">
      <w:pPr>
        <w:pStyle w:val="Rubrik3"/>
      </w:pPr>
      <w:r w:rsidRPr="0008481A">
        <w:t>Bedömning</w:t>
      </w:r>
    </w:p>
    <w:p w:rsidR="003B3271" w:rsidRPr="0008481A" w:rsidRDefault="003B3271">
      <w:r w:rsidRPr="0008481A">
        <w:t>Jan Lorentssons anmälan berör flera olika moment rörande begäran om utläm</w:t>
      </w:r>
      <w:r w:rsidRPr="0008481A">
        <w:softHyphen/>
        <w:t>nande respektive hanteringen av allmänna handlingar. Jag behandlar anmälan enligt de punkter Jan Lorentsson särskilt pekat på.</w:t>
      </w:r>
    </w:p>
    <w:p w:rsidR="003B3271" w:rsidRPr="0008481A" w:rsidRDefault="003B3271">
      <w:pPr>
        <w:pStyle w:val="Rubrik4"/>
        <w:spacing w:before="240"/>
      </w:pPr>
      <w:r w:rsidRPr="0008481A">
        <w:t>Diarieföring av allmänna handlingar</w:t>
      </w:r>
    </w:p>
    <w:p w:rsidR="003B3271" w:rsidRPr="0008481A" w:rsidRDefault="003B3271">
      <w:pPr>
        <w:pStyle w:val="Sidfot"/>
      </w:pPr>
      <w:r w:rsidRPr="0008481A">
        <w:t>En anmälan enligt ”lex Sara” vari enskild klients förhållanden redovisas omfat</w:t>
      </w:r>
      <w:r w:rsidRPr="0008481A">
        <w:softHyphen/>
        <w:t>tas uppenbarligen av sekretess i dessa delar. Av huvudregeln i 15 kap. 1 § sekre</w:t>
      </w:r>
      <w:r w:rsidRPr="0008481A">
        <w:softHyphen/>
        <w:t>tesslagen följer att en sådan anmälan skall registreras. Undan</w:t>
      </w:r>
      <w:r w:rsidRPr="0008481A">
        <w:softHyphen/>
        <w:t>tagsbestämmelsen för socialnämndernas verksamhet avser handlingar som hör till enskildas per</w:t>
      </w:r>
      <w:r w:rsidRPr="0008481A">
        <w:softHyphen/>
        <w:t>sonakter. En anmälan enligt bestämmelserna om ”lex Sara” tar primärt sikte på miss</w:t>
      </w:r>
      <w:r w:rsidRPr="0008481A">
        <w:softHyphen/>
        <w:t>förhål</w:t>
      </w:r>
      <w:r w:rsidRPr="0008481A">
        <w:softHyphen/>
        <w:t>landen inom socialtjänsten. Det rör således påståenden om att det vid en viss in</w:t>
      </w:r>
      <w:r w:rsidRPr="0008481A">
        <w:softHyphen/>
        <w:t>stitution råder bristfälligheter. Det kan gälla klagomål såväl på verksam</w:t>
      </w:r>
      <w:r w:rsidRPr="0008481A">
        <w:softHyphen/>
        <w:t>heten i stort som mot någon e</w:t>
      </w:r>
      <w:r w:rsidRPr="0008481A">
        <w:t>ller några enskilda befattningshavare, således i all</w:t>
      </w:r>
      <w:r w:rsidRPr="0008481A">
        <w:softHyphen/>
        <w:t>mänhet inte handlingar hän</w:t>
      </w:r>
      <w:r w:rsidRPr="0008481A">
        <w:softHyphen/>
        <w:t xml:space="preserve">förliga till enskildas personakter. </w:t>
      </w:r>
    </w:p>
    <w:p w:rsidR="003B3271" w:rsidRPr="0008481A" w:rsidRDefault="003B3271">
      <w:pPr>
        <w:pStyle w:val="Normaltindrag"/>
      </w:pPr>
      <w:r w:rsidRPr="0008481A">
        <w:t>I detta ärende har anmälan av allt att döma gjorts av personal anställd under socialnämnden. Fråga uppkommer därvid om anmälan skall anses inkommen till myndigheten. Som regel gäller att handling som inges till en myndighet från särskilt organ eller enskild befattningshavare under en nämnd inte anses ingiven till myndigheten om avsändaren är osjälvständig i förhållande till nämnden. Är avsänd</w:t>
      </w:r>
      <w:r w:rsidRPr="0008481A">
        <w:t>aren däremot att anse som självständig i förhållande till nämnden anses handlingen motsatsvis vara inkommen till myndigheten (jfr vidare 2 kap. 8 § TF). I detta fall har anmälarna haft att självständigt ta ställning till om de omfattats av  bestämmelsen i 71 a § SoL om anmälningsskyldighet till socialnämnden. För egen del anser jag över</w:t>
      </w:r>
      <w:r w:rsidRPr="0008481A">
        <w:softHyphen/>
        <w:t xml:space="preserve">vägande skäl tala för att anmälarna i denna situation haft en sådan självständig ställning i förhållande till socialnämnden att den inlämnade anmälan får anses vara ingiven </w:t>
      </w:r>
      <w:r w:rsidRPr="0008481A">
        <w:t xml:space="preserve">till myndigheten i enlighet med TF:s regelverk. </w:t>
      </w:r>
    </w:p>
    <w:p w:rsidR="003B3271" w:rsidRPr="0008481A" w:rsidRDefault="003B3271">
      <w:pPr>
        <w:pStyle w:val="Normaltindrag"/>
      </w:pPr>
      <w:r w:rsidRPr="0008481A">
        <w:t>Anmälan var således att anse som inkommen till myndigheten. Som ovan redovi</w:t>
      </w:r>
      <w:r w:rsidRPr="0008481A">
        <w:softHyphen/>
        <w:t>sats är undantaget från re</w:t>
      </w:r>
      <w:r w:rsidRPr="0008481A">
        <w:softHyphen/>
        <w:t>gistre</w:t>
      </w:r>
      <w:r w:rsidRPr="0008481A">
        <w:softHyphen/>
        <w:t>ringskravet enligt 5 § sekretess</w:t>
      </w:r>
      <w:r w:rsidRPr="0008481A">
        <w:softHyphen/>
        <w:t>förordningen inte tillämpligt här. Det var därför fel av social</w:t>
      </w:r>
      <w:r w:rsidRPr="0008481A">
        <w:softHyphen/>
        <w:t>förvalt</w:t>
      </w:r>
      <w:r w:rsidRPr="0008481A">
        <w:softHyphen/>
        <w:t>ningen att inte genast diarieföra anmälan när den kom in till myndigheten. Med hänsyn till att socialförvaltningen rättat till felet efter kontakt med länsstyrel</w:t>
      </w:r>
      <w:r w:rsidRPr="0008481A">
        <w:softHyphen/>
        <w:t>sen, låter jag det bero med detta påpe</w:t>
      </w:r>
      <w:r w:rsidRPr="0008481A">
        <w:softHyphen/>
        <w:t xml:space="preserve">kande. </w:t>
      </w:r>
    </w:p>
    <w:p w:rsidR="003B3271" w:rsidRPr="0008481A" w:rsidRDefault="003B3271">
      <w:pPr>
        <w:pStyle w:val="Rubrik4"/>
        <w:spacing w:before="240"/>
      </w:pPr>
      <w:r w:rsidRPr="0008481A">
        <w:t>Handläggningstiden</w:t>
      </w:r>
    </w:p>
    <w:p w:rsidR="003B3271" w:rsidRPr="0008481A" w:rsidRDefault="003B3271">
      <w:r w:rsidRPr="0008481A">
        <w:t>I 2 kap. 12 § tryckfrihetsförordningen (TF) föreskrivs att allmän handling som får lämnas ut, dvs. inte omfattas av sekretess, skall på begäran lämnas ut genast eller så fort det är möjligt. I 2 kap. 13 § TF föreskrivs att den som har rätt att få del av en allmän handling också har rätt att få en kopia därav och att en sådan begäran skall behandlas skyndsamt.</w:t>
      </w:r>
    </w:p>
    <w:p w:rsidR="003B3271" w:rsidRPr="0008481A" w:rsidRDefault="003B3271">
      <w:pPr>
        <w:pStyle w:val="Normaltindrag"/>
      </w:pPr>
      <w:r w:rsidRPr="0008481A">
        <w:t>Som framgår av ovanstående innehöll den efterfrågade handlingen sekretesskyd</w:t>
      </w:r>
      <w:r w:rsidRPr="0008481A">
        <w:softHyphen/>
        <w:t>dade uppgifter. Myndigheten har vid sådant förhållande rätt till skäligt rådrum för att pröva frågan om handlingen kunnat lämnas ut helt eller delvis. Den tid som enligt Jan Lorentssons egen uppgift åtgått här, drygt ett dygn, ger därför inte an</w:t>
      </w:r>
      <w:r w:rsidRPr="0008481A">
        <w:softHyphen/>
        <w:t>ledning till något vidare uttalande från min sida.</w:t>
      </w:r>
    </w:p>
    <w:p w:rsidR="003B3271" w:rsidRPr="0008481A" w:rsidRDefault="003B3271">
      <w:pPr>
        <w:pStyle w:val="Rubrik4"/>
        <w:spacing w:before="240"/>
      </w:pPr>
      <w:r w:rsidRPr="0008481A">
        <w:t>Förvaringen av handlingen</w:t>
      </w:r>
    </w:p>
    <w:p w:rsidR="003B3271" w:rsidRPr="0008481A" w:rsidRDefault="003B3271">
      <w:pPr>
        <w:pStyle w:val="Sidfot"/>
      </w:pPr>
      <w:r w:rsidRPr="0008481A">
        <w:t>Det föreligger inte något krav på att en myndighet alltid skall förvara allmänna handlingar eller kopia därav i anslutning till diariet eller på någon annan centralt belägen plats inom förvaltningen. Det blir i stället den tid som åtgår för förvalt</w:t>
      </w:r>
      <w:r w:rsidRPr="0008481A">
        <w:softHyphen/>
        <w:t>ningen att tillhandagå handlingen om den efterfrågas av någon med stöd av TF:s regelverk som avgör var handlingar kan förvaras utanför myndighetens tjänstelo</w:t>
      </w:r>
      <w:r w:rsidRPr="0008481A">
        <w:softHyphen/>
        <w:t>kaler. En enskild tjänsteman som arbetar med vissa handlingar kan således med</w:t>
      </w:r>
      <w:r w:rsidRPr="0008481A">
        <w:softHyphen/>
        <w:t>föra dem till bostaden under förutsättning att de kan återställas inom den tid som normalt sett gäller för myndigheten att tillhandahålla allmänna handlingar. Det får därvid förutsättas att rutiner finns för registrator eller annan ansvarig person att snabbt få tillbaka efte</w:t>
      </w:r>
      <w:r w:rsidRPr="0008481A">
        <w:t>rfrågade allmänna handlingar. Vad som här förekommit ger inte anledning till någon kritik.</w:t>
      </w:r>
    </w:p>
    <w:p w:rsidR="003B3271" w:rsidRPr="0008481A" w:rsidRDefault="003B3271">
      <w:pPr>
        <w:pStyle w:val="Rubrik4"/>
        <w:spacing w:before="240"/>
      </w:pPr>
      <w:r w:rsidRPr="0008481A">
        <w:t>Påståendet om sekretess</w:t>
      </w:r>
    </w:p>
    <w:p w:rsidR="003B3271" w:rsidRPr="0008481A" w:rsidRDefault="003B3271">
      <w:r w:rsidRPr="0008481A">
        <w:t>Det är något oklart vad Jan Lorentsson avser med denna punkt. Beträffande en handling som omfattas av sekretess i någon form gäller att den inte utan vidare kan lämnas ut. Det är först efter en sekretessprövning som det går för myndighe</w:t>
      </w:r>
      <w:r w:rsidRPr="0008481A">
        <w:softHyphen/>
        <w:t>ten att avgöra om handlingen kan lämnas ut helt eller endast till en del, eller om hinder bedöms före</w:t>
      </w:r>
      <w:r w:rsidRPr="0008481A">
        <w:softHyphen/>
        <w:t>ligga att lämna ut handlingen till någon del. Det är möjligt att Jan Lorentsson me</w:t>
      </w:r>
      <w:r w:rsidRPr="0008481A">
        <w:softHyphen/>
        <w:t>nar att han inte har fått något avslagsbeslut i anledning av sin framställan. Med hänsyn till att Jan Lorentsson efter viss diskussion erhöll en av</w:t>
      </w:r>
      <w:r w:rsidRPr="0008481A">
        <w:softHyphen/>
        <w:t>identifierad kopia i enlighet med hans eget önskemål, anser jag mig inte ha anled</w:t>
      </w:r>
      <w:r w:rsidRPr="0008481A">
        <w:softHyphen/>
        <w:t>ning att vidare uppehålla mig vid denna fråga.</w:t>
      </w:r>
    </w:p>
    <w:p w:rsidR="003B3271" w:rsidRPr="0008481A" w:rsidRDefault="003B3271">
      <w:pPr>
        <w:pStyle w:val="Sidfot"/>
      </w:pPr>
      <w:r w:rsidRPr="0008481A">
        <w:t>_____________________</w:t>
      </w:r>
    </w:p>
    <w:p w:rsidR="003B3271" w:rsidRPr="0008481A" w:rsidRDefault="003B3271">
      <w:r w:rsidRPr="0008481A">
        <w:t>I övrigt ger inte anmälan underlag för något vidare uttalande eller någon annan åtgärd från min sida, utan ärendet avslutas med gjorda uttalanden.</w:t>
      </w:r>
    </w:p>
    <w:p w:rsidR="003B3271" w:rsidRPr="0008481A" w:rsidRDefault="003B3271">
      <w:pPr>
        <w:pStyle w:val="Rubrik2"/>
        <w:rPr>
          <w:caps/>
        </w:rPr>
      </w:pPr>
      <w:r w:rsidRPr="0008481A">
        <w:t xml:space="preserve">Uttalande rörande av sjukhus utfärdade </w:t>
      </w:r>
      <w:r w:rsidRPr="0008481A">
        <w:rPr>
          <w:i/>
        </w:rPr>
        <w:t>Riktlinjer för utlämnande av löneuppgift</w:t>
      </w:r>
      <w:r w:rsidRPr="0008481A">
        <w:t>. Fråga om riktlinjerna stått i strid med det s.k. efterforsk</w:t>
      </w:r>
      <w:r w:rsidRPr="0008481A">
        <w:softHyphen/>
        <w:t>ningsförbudet i 2 kap. 14 § tryckfrihetsförordningen (TF)</w:t>
      </w:r>
    </w:p>
    <w:p w:rsidR="003B3271" w:rsidRPr="0008481A" w:rsidRDefault="003B3271">
      <w:r w:rsidRPr="0008481A">
        <w:t>(Dnr 2975-1998)</w:t>
      </w:r>
    </w:p>
    <w:p w:rsidR="003B3271" w:rsidRPr="0008481A" w:rsidRDefault="003B3271">
      <w:pPr>
        <w:pStyle w:val="Rubrik3"/>
        <w:rPr>
          <w:b w:val="0"/>
        </w:rPr>
      </w:pPr>
      <w:r w:rsidRPr="0008481A">
        <w:t>Anmälan</w:t>
      </w:r>
    </w:p>
    <w:p w:rsidR="003B3271" w:rsidRPr="0008481A" w:rsidRDefault="003B3271">
      <w:r w:rsidRPr="0008481A">
        <w:t>I en anmälan till JO ifrågasatte Bengt Karlsson och Ulla Molin-Holmberg Karo</w:t>
      </w:r>
      <w:r w:rsidRPr="0008481A">
        <w:softHyphen/>
        <w:t>linska sjukh</w:t>
      </w:r>
      <w:r w:rsidRPr="0008481A">
        <w:t>u</w:t>
      </w:r>
      <w:r w:rsidRPr="0008481A">
        <w:t xml:space="preserve">sets </w:t>
      </w:r>
      <w:r w:rsidRPr="0008481A">
        <w:rPr>
          <w:i/>
        </w:rPr>
        <w:t xml:space="preserve">Riktlinjer för utlämnande av löneuppgift </w:t>
      </w:r>
      <w:r w:rsidRPr="0008481A">
        <w:t>med föl</w:t>
      </w:r>
      <w:r w:rsidRPr="0008481A">
        <w:softHyphen/>
        <w:t xml:space="preserve">jande innehåll. </w:t>
      </w:r>
    </w:p>
    <w:p w:rsidR="003B3271" w:rsidRPr="0008481A" w:rsidRDefault="003B3271">
      <w:pPr>
        <w:pStyle w:val="Citat"/>
      </w:pPr>
      <w:r w:rsidRPr="0008481A">
        <w:t>Det händer med jämna mellanrum att anställda begär av löneassistenten att få kopia av lönelistor. De åberopar offentlighetsprincipen, som ger dem rätt att få kopia av allmän handling. Vanligtvis gäller det uppgifter om den egna enhetens löner men ibland hela kliniken eller en enskild anställd.</w:t>
      </w:r>
    </w:p>
    <w:p w:rsidR="003B3271" w:rsidRPr="0008481A" w:rsidRDefault="003B3271">
      <w:pPr>
        <w:pStyle w:val="Citatindrag"/>
      </w:pPr>
      <w:r w:rsidRPr="0008481A">
        <w:t>Karolinska sjukhuset har tidigare tagit ställning i frågan och fastställt en po</w:t>
      </w:r>
      <w:r w:rsidRPr="0008481A">
        <w:softHyphen/>
        <w:t>licy enligt följande:</w:t>
      </w:r>
    </w:p>
    <w:p w:rsidR="003B3271" w:rsidRPr="0008481A" w:rsidRDefault="003B3271">
      <w:pPr>
        <w:pStyle w:val="Citat"/>
      </w:pPr>
      <w:r w:rsidRPr="0008481A">
        <w:t>1 Allmän handling i lönesammanhang är</w:t>
      </w:r>
    </w:p>
    <w:p w:rsidR="003B3271" w:rsidRPr="0008481A" w:rsidRDefault="003B3271">
      <w:pPr>
        <w:pStyle w:val="Citat"/>
        <w:numPr>
          <w:ilvl w:val="0"/>
          <w:numId w:val="65"/>
        </w:numPr>
      </w:pPr>
      <w:r w:rsidRPr="0008481A">
        <w:t>kollektivavtalsprotokoll med bilagor, d v s resultatet av revisions</w:t>
      </w:r>
      <w:r w:rsidRPr="0008481A">
        <w:softHyphen/>
        <w:t>för</w:t>
      </w:r>
      <w:r w:rsidRPr="0008481A">
        <w:softHyphen/>
        <w:t>hand</w:t>
      </w:r>
      <w:r w:rsidRPr="0008481A">
        <w:softHyphen/>
        <w:t>lingarna,</w:t>
      </w:r>
    </w:p>
    <w:p w:rsidR="003B3271" w:rsidRPr="0008481A" w:rsidRDefault="003B3271">
      <w:pPr>
        <w:pStyle w:val="Citat"/>
        <w:numPr>
          <w:ilvl w:val="0"/>
          <w:numId w:val="65"/>
        </w:numPr>
        <w:spacing w:before="0"/>
      </w:pPr>
      <w:r w:rsidRPr="0008481A">
        <w:t>enskilt anställningsavtal med uppgift om lön.</w:t>
      </w:r>
    </w:p>
    <w:p w:rsidR="003B3271" w:rsidRPr="0008481A" w:rsidRDefault="003B3271">
      <w:pPr>
        <w:pStyle w:val="Citat"/>
      </w:pPr>
      <w:r w:rsidRPr="0008481A">
        <w:t xml:space="preserve">2 Löneassistentens uppgifter i det löneadministrativa systemet är </w:t>
      </w:r>
      <w:r w:rsidRPr="0008481A">
        <w:rPr>
          <w:i/>
        </w:rPr>
        <w:t>ar</w:t>
      </w:r>
      <w:r w:rsidRPr="0008481A">
        <w:rPr>
          <w:i/>
        </w:rPr>
        <w:softHyphen/>
        <w:t>bets</w:t>
      </w:r>
      <w:r w:rsidRPr="0008481A">
        <w:rPr>
          <w:i/>
        </w:rPr>
        <w:softHyphen/>
        <w:t>ma</w:t>
      </w:r>
      <w:r w:rsidRPr="0008481A">
        <w:rPr>
          <w:i/>
        </w:rPr>
        <w:softHyphen/>
        <w:t>terial</w:t>
      </w:r>
      <w:r w:rsidRPr="0008481A">
        <w:t xml:space="preserve"> och skall inte lämnas ut. Löneassistent skall inte heller lämna ut löne</w:t>
      </w:r>
      <w:r w:rsidRPr="0008481A">
        <w:softHyphen/>
        <w:t>uppgifter om enskild, utan i samtliga fall hänvisa till divi</w:t>
      </w:r>
      <w:r w:rsidRPr="0008481A">
        <w:softHyphen/>
        <w:t>sionens per</w:t>
      </w:r>
      <w:r w:rsidRPr="0008481A">
        <w:softHyphen/>
        <w:t>sonal</w:t>
      </w:r>
      <w:r w:rsidRPr="0008481A">
        <w:softHyphen/>
        <w:t>chef.</w:t>
      </w:r>
    </w:p>
    <w:p w:rsidR="003B3271" w:rsidRPr="0008481A" w:rsidRDefault="003B3271">
      <w:pPr>
        <w:pStyle w:val="Citat"/>
      </w:pPr>
      <w:r w:rsidRPr="0008481A">
        <w:t>3 Begäran om löneuppgifter grundar sig i allmänhet på missnöje med den egna lönen i förhållande till arbetskamrater eller uppfattningen att man bli</w:t>
      </w:r>
      <w:r w:rsidRPr="0008481A">
        <w:softHyphen/>
        <w:t>vit orättvist behandlad vid lönerevision. Sannolikheten för att problemet löses och missförstånd klaras ut är därför betydligt större om ett enskilt samtal äger rum mellan den som begär uppgiften och hans/hennes chef.</w:t>
      </w:r>
    </w:p>
    <w:p w:rsidR="003B3271" w:rsidRPr="0008481A" w:rsidRDefault="003B3271">
      <w:pPr>
        <w:pStyle w:val="Lagtext"/>
      </w:pPr>
      <w:r w:rsidRPr="0008481A">
        <w:t>I första hand skall de anställda därför hänvisas till sin chef för ett samtal.</w:t>
      </w:r>
    </w:p>
    <w:p w:rsidR="003B3271" w:rsidRPr="0008481A" w:rsidRDefault="003B3271">
      <w:pPr>
        <w:pStyle w:val="Citat"/>
      </w:pPr>
      <w:r w:rsidRPr="0008481A">
        <w:t>4 I den mån denna möjlighet redan prövats eller inte accepteras gäller föl</w:t>
      </w:r>
      <w:r w:rsidRPr="0008481A">
        <w:softHyphen/>
        <w:t>jande;</w:t>
      </w:r>
    </w:p>
    <w:p w:rsidR="003B3271" w:rsidRPr="0008481A" w:rsidRDefault="003B3271">
      <w:pPr>
        <w:pStyle w:val="Citat"/>
        <w:numPr>
          <w:ilvl w:val="0"/>
          <w:numId w:val="64"/>
        </w:numPr>
        <w:spacing w:before="120"/>
      </w:pPr>
      <w:r w:rsidRPr="0008481A">
        <w:t>Anställd skall begära kopia av allmän handling på samma sätt som medborgare i allmänhet, d v s hos registrator, som kontaktar perso</w:t>
      </w:r>
      <w:r w:rsidRPr="0008481A">
        <w:softHyphen/>
        <w:t>nal</w:t>
      </w:r>
      <w:r w:rsidRPr="0008481A">
        <w:softHyphen/>
        <w:t>politiska avdelningen där revisionsprotokollen förvaras, eller personal</w:t>
      </w:r>
      <w:r w:rsidRPr="0008481A">
        <w:softHyphen/>
        <w:t>chefen på berörd division där arbetsgivarens exemplar av de enskilda anställnings</w:t>
      </w:r>
      <w:r w:rsidRPr="0008481A">
        <w:softHyphen/>
        <w:t>avtalen finns och hänvisar den s</w:t>
      </w:r>
      <w:r w:rsidRPr="0008481A">
        <w:t>ö</w:t>
      </w:r>
      <w:r w:rsidRPr="0008481A">
        <w:t>kande till dessa.</w:t>
      </w:r>
    </w:p>
    <w:p w:rsidR="003B3271" w:rsidRPr="0008481A" w:rsidRDefault="003B3271">
      <w:pPr>
        <w:pStyle w:val="Citat"/>
        <w:numPr>
          <w:ilvl w:val="0"/>
          <w:numId w:val="64"/>
        </w:numPr>
        <w:spacing w:before="0"/>
      </w:pPr>
      <w:r w:rsidRPr="0008481A">
        <w:t>När begäran gäller enskild anställds lön, måste den som kräver upp</w:t>
      </w:r>
      <w:r w:rsidRPr="0008481A">
        <w:softHyphen/>
        <w:t>giften kunna identifiera personen med namn och födelsedatum. In</w:t>
      </w:r>
      <w:r w:rsidRPr="0008481A">
        <w:softHyphen/>
        <w:t>teg</w:t>
      </w:r>
      <w:r w:rsidRPr="0008481A">
        <w:softHyphen/>
        <w:t>ritets</w:t>
      </w:r>
      <w:r w:rsidRPr="0008481A">
        <w:softHyphen/>
        <w:t>skyddet i dessa fall anses vara helt underordnat offentlig</w:t>
      </w:r>
      <w:r w:rsidRPr="0008481A">
        <w:softHyphen/>
        <w:t>hetsprin</w:t>
      </w:r>
      <w:r w:rsidRPr="0008481A">
        <w:softHyphen/>
        <w:t>cipen och därmed skyldigheten att lämna ut allmän hand</w:t>
      </w:r>
      <w:r w:rsidRPr="0008481A">
        <w:softHyphen/>
        <w:t>ling. Den per</w:t>
      </w:r>
      <w:r w:rsidRPr="0008481A">
        <w:softHyphen/>
        <w:t>son som uppgifter lämnas om skall underrättas – och den som erhållit uppgiften skall upplysas om att så sker.</w:t>
      </w:r>
    </w:p>
    <w:p w:rsidR="003B3271" w:rsidRPr="0008481A" w:rsidRDefault="003B3271">
      <w:pPr>
        <w:pStyle w:val="Rubrik3"/>
      </w:pPr>
      <w:r w:rsidRPr="0008481A">
        <w:t>Utredning</w:t>
      </w:r>
    </w:p>
    <w:p w:rsidR="003B3271" w:rsidRPr="0008481A" w:rsidRDefault="003B3271">
      <w:r w:rsidRPr="0008481A">
        <w:t>I remissvar anförde Stockholms läns landsting genom direktören för sjukhus</w:t>
      </w:r>
      <w:r w:rsidRPr="0008481A">
        <w:softHyphen/>
        <w:t>sty</w:t>
      </w:r>
      <w:r w:rsidRPr="0008481A">
        <w:softHyphen/>
        <w:t>relsens stab Lars-Åke Flood bl.a. att riktlin</w:t>
      </w:r>
      <w:r w:rsidRPr="0008481A">
        <w:softHyphen/>
        <w:t>jerna främst vänder sig till che</w:t>
      </w:r>
      <w:r w:rsidRPr="0008481A">
        <w:softHyphen/>
        <w:t>fer/arbetsledare och att avsikten därmed inte är att försvåra för anställda att tillva</w:t>
      </w:r>
      <w:r w:rsidRPr="0008481A">
        <w:softHyphen/>
        <w:t>rata sin grundlagsfästa rätt att ta del av upp</w:t>
      </w:r>
      <w:r w:rsidRPr="0008481A">
        <w:softHyphen/>
        <w:t>gifter i de allmänna hand</w:t>
      </w:r>
      <w:r w:rsidRPr="0008481A">
        <w:softHyphen/>
        <w:t>lingar som är offentliga.</w:t>
      </w:r>
    </w:p>
    <w:p w:rsidR="003B3271" w:rsidRPr="0008481A" w:rsidRDefault="003B3271">
      <w:r w:rsidRPr="0008481A">
        <w:t>Bengt Karlsson och Ulla Molin-Holmberg bereddes tillfälle kommentera re</w:t>
      </w:r>
      <w:r w:rsidRPr="0008481A">
        <w:softHyphen/>
        <w:t>mis</w:t>
      </w:r>
      <w:r w:rsidRPr="0008481A">
        <w:softHyphen/>
      </w:r>
      <w:r w:rsidRPr="0008481A">
        <w:t>svaret, men avhördes inte.</w:t>
      </w:r>
    </w:p>
    <w:p w:rsidR="003B3271" w:rsidRPr="0008481A" w:rsidRDefault="003B3271">
      <w:r w:rsidRPr="0008481A">
        <w:t xml:space="preserve">I beslut den 4 november 1999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r w:rsidRPr="0008481A">
        <w:t>Enligt offentlighetsprincipen står det envar fritt att ta del av sådana uppgifter som finns i allmänna och offentliga handlingar. En anställd vid Karolinska sjukhuset har sålunda rätt att ta del av uppgifter om andra anställdas löner vare sig det sker genom att på plats ta del av handling med sådan uppgift eller att begära en kopia av handlingen. Den enskilde kan också begära att få uppgift om lönen ur tillgäng</w:t>
      </w:r>
      <w:r w:rsidRPr="0008481A">
        <w:softHyphen/>
        <w:t>liga hand</w:t>
      </w:r>
      <w:r w:rsidRPr="0008481A">
        <w:softHyphen/>
        <w:t xml:space="preserve">lingar. </w:t>
      </w:r>
    </w:p>
    <w:p w:rsidR="003B3271" w:rsidRPr="0008481A" w:rsidRDefault="003B3271">
      <w:pPr>
        <w:pStyle w:val="Normaltindrag"/>
      </w:pPr>
      <w:r w:rsidRPr="0008481A">
        <w:t>Enligt punkten 2 i riktlinjerna utgör löneassistentens uppgifter i det löne</w:t>
      </w:r>
      <w:r w:rsidRPr="0008481A">
        <w:softHyphen/>
      </w:r>
      <w:r w:rsidRPr="0008481A">
        <w:softHyphen/>
        <w:t>-admi</w:t>
      </w:r>
      <w:r w:rsidRPr="0008481A">
        <w:softHyphen/>
      </w:r>
      <w:r w:rsidRPr="0008481A">
        <w:softHyphen/>
        <w:t>ni</w:t>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r>
      <w:r w:rsidRPr="0008481A">
        <w:softHyphen/>
        <w:t>st</w:t>
      </w:r>
      <w:r w:rsidRPr="0008481A">
        <w:softHyphen/>
        <w:t>rativa systemet arbetsmaterial och skulle därmed inte omfattas av offen</w:t>
      </w:r>
      <w:r w:rsidRPr="0008481A">
        <w:t>t</w:t>
      </w:r>
      <w:r w:rsidRPr="0008481A">
        <w:softHyphen/>
        <w:t>lig</w:t>
      </w:r>
      <w:r w:rsidRPr="0008481A">
        <w:softHyphen/>
        <w:t>hets</w:t>
      </w:r>
      <w:r w:rsidRPr="0008481A">
        <w:softHyphen/>
        <w:t>principen. Det an</w:t>
      </w:r>
      <w:r w:rsidRPr="0008481A">
        <w:softHyphen/>
        <w:t>kommer ytterst på allmän förvaltningsdom</w:t>
      </w:r>
      <w:r w:rsidRPr="0008481A">
        <w:softHyphen/>
        <w:t>stol att efter ett överklagande pröva vilken rättslig status som löneassisten</w:t>
      </w:r>
      <w:r w:rsidRPr="0008481A">
        <w:softHyphen/>
        <w:t>tens lönehand</w:t>
      </w:r>
      <w:r w:rsidRPr="0008481A">
        <w:softHyphen/>
        <w:t xml:space="preserve">lingar har. Det är således inte en uppgift för JO att ta ställning i denna fråga. </w:t>
      </w:r>
    </w:p>
    <w:p w:rsidR="003B3271" w:rsidRPr="0008481A" w:rsidRDefault="003B3271">
      <w:pPr>
        <w:pStyle w:val="Normaltindrag"/>
      </w:pPr>
      <w:r w:rsidRPr="0008481A">
        <w:t>I 2 kap. 14 § TF stadgas att myndighet inte på grund av att någon begär att få ta del av allmän handling får efterforska vem han är eller vilket syfte han har med sin begä</w:t>
      </w:r>
      <w:r w:rsidRPr="0008481A">
        <w:t>ran i större utsträckning än som be</w:t>
      </w:r>
      <w:r w:rsidRPr="0008481A">
        <w:softHyphen/>
        <w:t>hövs för att myndigheten skall kunna pröva om hinder föreligger mot att hand</w:t>
      </w:r>
      <w:r w:rsidRPr="0008481A">
        <w:softHyphen/>
        <w:t>lingen lämnas ut. An</w:t>
      </w:r>
      <w:r w:rsidRPr="0008481A">
        <w:softHyphen/>
        <w:t>visningen i riktlin</w:t>
      </w:r>
      <w:r w:rsidRPr="0008481A">
        <w:softHyphen/>
        <w:t>jerna under punkten 3 att de an</w:t>
      </w:r>
      <w:r w:rsidRPr="0008481A">
        <w:softHyphen/>
        <w:t xml:space="preserve">ställda </w:t>
      </w:r>
      <w:r w:rsidRPr="0008481A">
        <w:rPr>
          <w:i/>
        </w:rPr>
        <w:t xml:space="preserve">i första hand skall hänvisas till sin chef för ett samtal </w:t>
      </w:r>
      <w:r w:rsidRPr="0008481A">
        <w:t>kan inte anses förenlig med denna grundlä</w:t>
      </w:r>
      <w:r w:rsidRPr="0008481A">
        <w:t>g</w:t>
      </w:r>
      <w:r w:rsidRPr="0008481A">
        <w:t>gande princip i TF. Även om det kan vara svårt för en anställd att vara anonym på sin arbetsplats kan efter</w:t>
      </w:r>
      <w:r w:rsidRPr="0008481A">
        <w:softHyphen/>
        <w:t>forsk</w:t>
      </w:r>
      <w:r w:rsidRPr="0008481A">
        <w:softHyphen/>
        <w:t>ningsförbu</w:t>
      </w:r>
      <w:r w:rsidRPr="0008481A">
        <w:softHyphen/>
        <w:t>det inte tol</w:t>
      </w:r>
      <w:r w:rsidRPr="0008481A">
        <w:softHyphen/>
        <w:t>kas på annat sätt än att söka</w:t>
      </w:r>
      <w:r w:rsidRPr="0008481A">
        <w:t>n</w:t>
      </w:r>
      <w:r w:rsidRPr="0008481A">
        <w:t>den – även för det fall han är känd – har rätt att</w:t>
      </w:r>
      <w:r w:rsidRPr="0008481A">
        <w:t xml:space="preserve"> utan några som helst ”villkor” från myn</w:t>
      </w:r>
      <w:r w:rsidRPr="0008481A">
        <w:softHyphen/>
        <w:t>dig</w:t>
      </w:r>
      <w:r w:rsidRPr="0008481A">
        <w:softHyphen/>
        <w:t>hetens sida få del av be</w:t>
      </w:r>
      <w:r w:rsidRPr="0008481A">
        <w:softHyphen/>
        <w:t>gärda allmänna handlingar som inte omfattas av sek</w:t>
      </w:r>
      <w:r w:rsidRPr="0008481A">
        <w:softHyphen/>
        <w:t>re</w:t>
      </w:r>
      <w:r w:rsidRPr="0008481A">
        <w:softHyphen/>
        <w:t>tess. Det sagda innebär gi</w:t>
      </w:r>
      <w:r w:rsidRPr="0008481A">
        <w:softHyphen/>
        <w:t xml:space="preserve">vetvis inte att arbetsgivaren skulle vara förhindrad att </w:t>
      </w:r>
      <w:r w:rsidRPr="0008481A">
        <w:rPr>
          <w:i/>
        </w:rPr>
        <w:t>erbjuda</w:t>
      </w:r>
      <w:r w:rsidRPr="0008481A">
        <w:t xml:space="preserve"> den a</w:t>
      </w:r>
      <w:r w:rsidRPr="0008481A">
        <w:t>n</w:t>
      </w:r>
      <w:r w:rsidRPr="0008481A">
        <w:t>ställde ett samtal. På denna punkt anser jag således att rikt</w:t>
      </w:r>
      <w:r w:rsidRPr="0008481A">
        <w:softHyphen/>
        <w:t>linjernas innehåll måste ifrågasä</w:t>
      </w:r>
      <w:r w:rsidRPr="0008481A">
        <w:t>t</w:t>
      </w:r>
      <w:r w:rsidRPr="0008481A">
        <w:softHyphen/>
        <w:t>tas.</w:t>
      </w:r>
    </w:p>
    <w:p w:rsidR="003B3271" w:rsidRPr="0008481A" w:rsidRDefault="003B3271">
      <w:pPr>
        <w:pStyle w:val="Normaltindrag"/>
      </w:pPr>
      <w:r w:rsidRPr="0008481A">
        <w:t xml:space="preserve"> Det kan vidare diskuteras om riktlinjerna, i den del som avser att underrät</w:t>
      </w:r>
      <w:r w:rsidRPr="0008481A">
        <w:softHyphen/>
        <w:t>telse skall ske med den som berörs av en be</w:t>
      </w:r>
      <w:r w:rsidRPr="0008481A">
        <w:softHyphen/>
        <w:t>gäran, är tillräckligt tydliga mot bakgrund av anonymi</w:t>
      </w:r>
      <w:r w:rsidRPr="0008481A">
        <w:softHyphen/>
        <w:t>tetsskyddet i TF. Om riktlinjerna i nu aktuellt hänseende tillämpas så att sö</w:t>
      </w:r>
      <w:r w:rsidRPr="0008481A">
        <w:softHyphen/>
        <w:t>kandens identitet därvid avslöjas för den berörde arbetstagaren, kan de inte an</w:t>
      </w:r>
      <w:r w:rsidRPr="0008481A">
        <w:softHyphen/>
        <w:t>ses stå i samklang med grundtankarna</w:t>
      </w:r>
      <w:r w:rsidRPr="0008481A">
        <w:rPr>
          <w:i/>
        </w:rPr>
        <w:t xml:space="preserve"> </w:t>
      </w:r>
      <w:r w:rsidRPr="0008481A">
        <w:t>i TF. Det torde nämligen ligga när</w:t>
      </w:r>
      <w:r w:rsidRPr="0008481A">
        <w:softHyphen/>
        <w:t>mast till hands att tolka 2 kap. 14 § TF så att, även för det fall sökanden är känd hos myn</w:t>
      </w:r>
      <w:r w:rsidRPr="0008481A">
        <w:softHyphen/>
        <w:t>digheten, det ändå inte är möjligt för myndig</w:t>
      </w:r>
      <w:r w:rsidRPr="0008481A">
        <w:softHyphen/>
        <w:t>heten att utan vidare lämna de</w:t>
      </w:r>
      <w:r w:rsidRPr="0008481A">
        <w:t>n</w:t>
      </w:r>
      <w:r w:rsidRPr="0008481A">
        <w:t>na uppgift vi</w:t>
      </w:r>
      <w:r w:rsidRPr="0008481A">
        <w:t xml:space="preserve">dare. </w:t>
      </w:r>
    </w:p>
    <w:p w:rsidR="003B3271" w:rsidRPr="0008481A" w:rsidRDefault="003B3271">
      <w:pPr>
        <w:pStyle w:val="Normaltindrag"/>
      </w:pPr>
      <w:r w:rsidRPr="0008481A">
        <w:t>Jag förut</w:t>
      </w:r>
      <w:r w:rsidRPr="0008481A">
        <w:softHyphen/>
        <w:t>sätter att Karolinska sjukhuset, om så inte redan skett, gör en översyn av riktlinjerna så att det inte skall behöva uppstå några tvek</w:t>
      </w:r>
      <w:r w:rsidRPr="0008481A">
        <w:softHyphen/>
        <w:t>samheter när det gäller deras rättsenlighet och praktiska tillämp</w:t>
      </w:r>
      <w:r w:rsidRPr="0008481A">
        <w:softHyphen/>
        <w:t xml:space="preserve">ning. </w:t>
      </w:r>
    </w:p>
    <w:p w:rsidR="003B3271" w:rsidRPr="0008481A" w:rsidRDefault="003B3271">
      <w:pPr>
        <w:pStyle w:val="Normaltindrag"/>
      </w:pPr>
      <w:r w:rsidRPr="0008481A">
        <w:t>Med detta uttalande är ärendet för min del avslutat.</w:t>
      </w:r>
    </w:p>
    <w:p w:rsidR="003B3271" w:rsidRPr="0008481A" w:rsidRDefault="003B3271">
      <w:pPr>
        <w:pStyle w:val="Rubrik2"/>
        <w:spacing w:before="480"/>
      </w:pPr>
    </w:p>
    <w:p w:rsidR="003B3271" w:rsidRPr="0008481A" w:rsidRDefault="003B3271">
      <w:pPr>
        <w:pStyle w:val="Rubrik2"/>
        <w:spacing w:before="480"/>
      </w:pPr>
      <w:r w:rsidRPr="0008481A">
        <w:t>Uttalanden rörande omfattningen av allmänhetens möjligheter att per telefon komma i direkt kontakt med en myndighets tjänstemän; särskilt fråga om skyldigheten att lämna ut tjänstemännens direktnummer</w:t>
      </w:r>
    </w:p>
    <w:p w:rsidR="003B3271" w:rsidRPr="0008481A" w:rsidRDefault="003B3271">
      <w:r w:rsidRPr="0008481A">
        <w:t>(Dnr 3656-1999)</w:t>
      </w:r>
    </w:p>
    <w:p w:rsidR="003B3271" w:rsidRPr="0008481A" w:rsidRDefault="003B3271">
      <w:pPr>
        <w:pStyle w:val="Rubrik3"/>
      </w:pPr>
      <w:r w:rsidRPr="0008481A">
        <w:t>Anmälan</w:t>
      </w:r>
    </w:p>
    <w:p w:rsidR="003B3271" w:rsidRPr="0008481A" w:rsidRDefault="003B3271">
      <w:r w:rsidRPr="0008481A">
        <w:t>Anders Grönvall framförde i en anmälan till JO klagomål mot Knivsta vård-central, Landstinget i Uppsala län. Han ifrågasatte därvid den rutin som gäller vid mottagandet av telefonsamtal, nämligen att telefonisten tar emot tele</w:t>
      </w:r>
      <w:r w:rsidRPr="0008481A">
        <w:softHyphen/>
        <w:t>fonsam</w:t>
      </w:r>
      <w:r w:rsidRPr="0008481A">
        <w:softHyphen/>
        <w:t>talet och att sedan personalen ringer upp den som ringt samt att telefonis</w:t>
      </w:r>
      <w:r w:rsidRPr="0008481A">
        <w:softHyphen/>
        <w:t>ten (som tar emot samtalet) sitter på en annan myndighet, dvs. Knivsta kommun</w:t>
      </w:r>
      <w:r w:rsidRPr="0008481A">
        <w:softHyphen/>
        <w:t>delskontor. Vidare har han gjort gällande att hans begäran om att få del av en tjänstemans direkttelefonnummer inte har efterkommits.</w:t>
      </w:r>
    </w:p>
    <w:p w:rsidR="003B3271" w:rsidRPr="0008481A" w:rsidRDefault="003B3271">
      <w:pPr>
        <w:pStyle w:val="Rubrik3"/>
      </w:pPr>
      <w:r w:rsidRPr="0008481A">
        <w:br w:type="page"/>
        <w:t>Utredning</w:t>
      </w:r>
    </w:p>
    <w:p w:rsidR="003B3271" w:rsidRPr="0008481A" w:rsidRDefault="003B3271">
      <w:r w:rsidRPr="0008481A">
        <w:t>Anmälan remitterades till Styrelsen för habilitering, tandvård och primär</w:t>
      </w:r>
      <w:r w:rsidRPr="0008481A">
        <w:softHyphen/>
        <w:t>vård, Landstinget i Uppsala län, för utredning och yttrande.</w:t>
      </w:r>
    </w:p>
    <w:p w:rsidR="003B3271" w:rsidRPr="0008481A" w:rsidRDefault="003B3271">
      <w:pPr>
        <w:pStyle w:val="Normaltindrag"/>
      </w:pPr>
      <w:r w:rsidRPr="0008481A">
        <w:t>Primärvården anförde genom ordföranden Cecilia Staland och biträdande primär</w:t>
      </w:r>
      <w:r w:rsidRPr="0008481A">
        <w:softHyphen/>
        <w:t>vårdsdirektören Leif Eriksson bl.a. följande i remissvar (åberopad bilaga har här utelämnats).</w:t>
      </w:r>
    </w:p>
    <w:p w:rsidR="003B3271" w:rsidRPr="0008481A" w:rsidRDefault="003B3271">
      <w:pPr>
        <w:pStyle w:val="Citat"/>
      </w:pPr>
      <w:r w:rsidRPr="0008481A">
        <w:t>På husläkarmottagningen i Knivsta infördes för nära tio år sedan ett telefon</w:t>
      </w:r>
      <w:r w:rsidRPr="0008481A">
        <w:softHyphen/>
        <w:t>kösystem – Telekö. Systemet har nu utvecklats till ett system som benämns TeleQ. Det fungerar så att den uppringande personen kommer till en taldator där man efter en inledande information uppmanas att lämna sitt telefonnum</w:t>
      </w:r>
      <w:r w:rsidRPr="0008481A">
        <w:softHyphen/>
        <w:t>mer antingen genom att knappa in det på sin telefon eller lämna det muntligt till en telefonsvarare. Där kan även andra meddelanden lämnas. Systemet lämnar därefter ett besked till personen när han/hon kan förvänta sig att bli upp</w:t>
      </w:r>
      <w:r w:rsidRPr="0008481A">
        <w:softHyphen/>
        <w:t>ringd. Mottagningssköterskorna kan sedan i tur och ordni</w:t>
      </w:r>
      <w:r w:rsidRPr="0008481A">
        <w:t>ng besvara samtalen. I allmän</w:t>
      </w:r>
      <w:r w:rsidRPr="0008481A">
        <w:softHyphen/>
        <w:t>het sker detta senast inom 60 minuter. I vissa situationer med hög belastning kan tiden bli något längre. Systemet har införts på ett tiotal mottagningar i länet och har i de flesta fall befunnits fungera mycket bra. Av bilaga framgår TeleQ-systemets funktion och effekter mer i detalj. Vår uppfattning är att det inom många myndigheter är vanligt att på motsva</w:t>
      </w:r>
      <w:r w:rsidRPr="0008481A">
        <w:softHyphen/>
        <w:t>rande sätt hantera telefonköproblematiken.</w:t>
      </w:r>
    </w:p>
    <w:p w:rsidR="003B3271" w:rsidRPr="0008481A" w:rsidRDefault="003B3271">
      <w:pPr>
        <w:pStyle w:val="Citatindrag"/>
      </w:pPr>
      <w:r w:rsidRPr="0008481A">
        <w:t>Primärvården genomför regelbundna mätningar av patienttillfredsställelsen avs</w:t>
      </w:r>
      <w:r w:rsidRPr="0008481A">
        <w:t>eende bland annat telefontillgänglighet. Dessa visar att Knivsta huslä</w:t>
      </w:r>
      <w:r w:rsidRPr="0008481A">
        <w:softHyphen/>
        <w:t>karmottagning har mycket goda värden. Genomsnittligt ligger husläkarmot</w:t>
      </w:r>
      <w:r w:rsidRPr="0008481A">
        <w:softHyphen/>
        <w:t>tagningarna i länet på 67 % nöjda patien</w:t>
      </w:r>
      <w:r w:rsidRPr="0008481A">
        <w:softHyphen/>
        <w:t>ter medan Knivsta i senaste mätningen har 92 % nöjda patienter. Det kan också tilläggas att pa</w:t>
      </w:r>
      <w:r w:rsidRPr="0008481A">
        <w:softHyphen/>
        <w:t>tienterna i Knivsta tillmäter telefontillgängligheten betydligt större betydelse än patienter i andra länsdelar.</w:t>
      </w:r>
    </w:p>
    <w:p w:rsidR="003B3271" w:rsidRPr="0008481A" w:rsidRDefault="003B3271">
      <w:pPr>
        <w:pStyle w:val="Citatindrag"/>
      </w:pPr>
      <w:r w:rsidRPr="0008481A">
        <w:t>Inget system är fullkomligt utan har i allmänhet både positiva och negativa effekter. Vi har inom Primärvården bedömt at</w:t>
      </w:r>
      <w:r w:rsidRPr="0008481A">
        <w:t>t fördelarna med TeleQ klart dominerar för både pati</w:t>
      </w:r>
      <w:r w:rsidRPr="0008481A">
        <w:softHyphen/>
        <w:t>enter och personal. Man kan ringa till mottagningen hela dagen och alla uppringande får tala med mottagningspersonalen i tur</w:t>
      </w:r>
      <w:r w:rsidRPr="0008481A">
        <w:softHyphen/>
        <w:t>ordning. Man behöver inte vänta länge i en tele</w:t>
      </w:r>
      <w:r w:rsidRPr="0008481A">
        <w:softHyphen/>
        <w:t>fonkö och samtalskostnaden blir tack vare det låg. Personalens arbetsmiljö påverkas po</w:t>
      </w:r>
      <w:r w:rsidRPr="0008481A">
        <w:softHyphen/>
        <w:t>sitivt då arbetet blir mindre stressande.</w:t>
      </w:r>
    </w:p>
    <w:p w:rsidR="003B3271" w:rsidRPr="0008481A" w:rsidRDefault="003B3271">
      <w:pPr>
        <w:pStyle w:val="Citatindrag"/>
      </w:pPr>
      <w:r w:rsidRPr="0008481A">
        <w:t>Anders Grönvall pekar dock på en av nackdelarna. Kan man som patient av någon anled</w:t>
      </w:r>
      <w:r w:rsidRPr="0008481A">
        <w:softHyphen/>
        <w:t>ning inte ta emot återringningen från mottagningen upp</w:t>
      </w:r>
      <w:r w:rsidRPr="0008481A">
        <w:softHyphen/>
        <w:t>kommer problem vilket vi har förståelse för. Det går dock att lämna ett muntligt be</w:t>
      </w:r>
      <w:r w:rsidRPr="0008481A">
        <w:softHyphen/>
        <w:t>sked på vilket sätt mottagningsperso</w:t>
      </w:r>
      <w:r w:rsidRPr="0008481A">
        <w:softHyphen/>
        <w:t>nalen kan söka personen, t ex mobiltele</w:t>
      </w:r>
      <w:r w:rsidRPr="0008481A">
        <w:softHyphen/>
        <w:t>fon, annan tidpunkt osv. Utöver sjuksköterskeråd</w:t>
      </w:r>
      <w:r w:rsidRPr="0008481A">
        <w:softHyphen/>
        <w:t>givningen och tids</w:t>
      </w:r>
      <w:r w:rsidRPr="0008481A">
        <w:softHyphen/>
        <w:t>beställ</w:t>
      </w:r>
      <w:r w:rsidRPr="0008481A">
        <w:softHyphen/>
        <w:t>ningen som kopplats via TeleQ finns dagligen möjlighet att un</w:t>
      </w:r>
      <w:r w:rsidRPr="0008481A">
        <w:softHyphen/>
        <w:t>der telefontid ringa direkt till olika husläkare. Möjlighet finns också att utnyttja fax eller e-post för att komma i kontakt med mottagningen.</w:t>
      </w:r>
    </w:p>
    <w:p w:rsidR="003B3271" w:rsidRPr="0008481A" w:rsidRDefault="003B3271">
      <w:pPr>
        <w:pStyle w:val="Citatindrag"/>
      </w:pPr>
      <w:r w:rsidRPr="0008481A">
        <w:t>Vi kommer att</w:t>
      </w:r>
      <w:r w:rsidRPr="0008481A">
        <w:t xml:space="preserve"> diskutera en ändring av svarsbeskedet i TeleQ så att den upp</w:t>
      </w:r>
      <w:r w:rsidRPr="0008481A">
        <w:softHyphen/>
        <w:t>ringande får beskedet att vid befarad allvarlig sjukdom ta direktkontakt med SOS Alarmering på 112. Just i Knivsta finns alltid möjlighet att i sådana allvarliga fall ringa till växeln och direkt bli kopplad av telefonist till huslä</w:t>
      </w:r>
      <w:r w:rsidRPr="0008481A">
        <w:softHyphen/>
        <w:t>karmottagningen.</w:t>
      </w:r>
    </w:p>
    <w:p w:rsidR="003B3271" w:rsidRPr="0008481A" w:rsidRDefault="003B3271">
      <w:pPr>
        <w:pStyle w:val="Citatindrag"/>
      </w:pPr>
      <w:r w:rsidRPr="0008481A">
        <w:t>Det är korrekt att landstinget och Knivsta kommundel samarbetar i en ge</w:t>
      </w:r>
      <w:r w:rsidRPr="0008481A">
        <w:softHyphen/>
        <w:t>mensam tele</w:t>
      </w:r>
      <w:r w:rsidRPr="0008481A">
        <w:softHyphen/>
        <w:t>växel. Vi anser dock inte att det på något negativt sätt påverkar invånarnas möjlighet att komma i kontakt med mottagningen utan snarare tvärt om. I televäxeln svarar alltid en telefonist under dagtid. Växelsamar</w:t>
      </w:r>
      <w:r w:rsidRPr="0008481A">
        <w:softHyphen/>
        <w:t>betet är ett exempel på där myndigheter samarbetar för att på ett effektivare sätt utnyttja resurserna vilket vi menar är vanligt förekommande. Telefon- och öppettider är utöver de skyltar som finns på plats på husläkarmottag</w:t>
      </w:r>
      <w:r w:rsidRPr="0008481A">
        <w:softHyphen/>
        <w:t>ningen annonserade dels i en särskild informationsbroschyr –</w:t>
      </w:r>
      <w:r w:rsidRPr="0008481A">
        <w:t xml:space="preserve"> Blå katalogen – som delas ut till samtliga hushåll i länet dels i en kortare form i den van</w:t>
      </w:r>
      <w:r w:rsidRPr="0008481A">
        <w:softHyphen/>
        <w:t>liga telefonkatalogen samt som samhällsinformation i den lokala tidningen Knivsta</w:t>
      </w:r>
      <w:r w:rsidRPr="0008481A">
        <w:softHyphen/>
        <w:t>nytt.</w:t>
      </w:r>
    </w:p>
    <w:p w:rsidR="003B3271" w:rsidRPr="0008481A" w:rsidRDefault="003B3271">
      <w:pPr>
        <w:pStyle w:val="Citatindrag"/>
      </w:pPr>
      <w:r w:rsidRPr="0008481A">
        <w:t>Anders Grönvall tar i sin skrivelse också upp frågan om tillvägagångssättet i växeln med att ej utlämna uppgift om direktnummer till en sjuksköterska. Samtliga telefoner som finns på mottagningen är möjliga att nå via direkt</w:t>
      </w:r>
      <w:r w:rsidRPr="0008481A">
        <w:softHyphen/>
        <w:t>nummer. De flesta nummer stängs av under icke telefontid för att inte störa patientarbetet medan några få är öppna. Avsikten med de öppna direkttele</w:t>
      </w:r>
      <w:r w:rsidRPr="0008481A">
        <w:softHyphen/>
        <w:t>fonerna är att tillmötesgå behovet att andra vårdgivare som t ex sjukhusav</w:t>
      </w:r>
      <w:r w:rsidRPr="0008481A">
        <w:softHyphen/>
        <w:t>delningar och kommunala distriktssköterskor i tjänsten enkelt ska kunna kom</w:t>
      </w:r>
      <w:r w:rsidRPr="0008481A">
        <w:softHyphen/>
        <w:t>municera med mottagningen om enskilda patienter. Dessa telefoner är inte avsedda för vanliga patientsamtal med invånare. Vid mycket bråds</w:t>
      </w:r>
      <w:r w:rsidRPr="0008481A">
        <w:softHyphen/>
        <w:t>kande ärenden, svår sjukdom eller olycksfall kan man alltid via växeln nå</w:t>
      </w:r>
      <w:r w:rsidRPr="0008481A">
        <w:t xml:space="preserve"> någon på läkarmottagningen. Vi är medvetna om att det inte finns någon formell möjlighet att med stöd av sekretesslagen hemlighålla dessa nummer. Av den anledningen kommer vi i fortsättningen att hantera dessa ärenden enligt sekretesslagen. Vi är övertygade om att dessa telefonnummer skulle förlora sin funktion och telefonsystemet på sikt spolieras om de blev allmänt spridda.</w:t>
      </w:r>
    </w:p>
    <w:p w:rsidR="003B3271" w:rsidRPr="0008481A" w:rsidRDefault="003B3271">
      <w:r w:rsidRPr="0008481A">
        <w:t>Anders Grönvall bereddes tillfälle att kommentera yttrandet.</w:t>
      </w:r>
    </w:p>
    <w:p w:rsidR="003B3271" w:rsidRPr="0008481A" w:rsidRDefault="003B3271">
      <w:pPr>
        <w:rPr>
          <w:i/>
        </w:rPr>
      </w:pPr>
      <w:r w:rsidRPr="0008481A">
        <w:t xml:space="preserve">I beslut den 10 mars 2000 anförde </w:t>
      </w:r>
      <w:r w:rsidRPr="0008481A">
        <w:rPr>
          <w:i/>
        </w:rPr>
        <w:t>stf JO Norell Söderblom</w:t>
      </w:r>
      <w:r w:rsidRPr="0008481A">
        <w:t xml:space="preserve"> följande.</w:t>
      </w:r>
      <w:r w:rsidRPr="0008481A">
        <w:rPr>
          <w:i/>
        </w:rPr>
        <w:t xml:space="preserve"> </w:t>
      </w:r>
    </w:p>
    <w:p w:rsidR="003B3271" w:rsidRPr="0008481A" w:rsidRDefault="003B3271">
      <w:pPr>
        <w:pStyle w:val="Rubrik3"/>
      </w:pPr>
      <w:r w:rsidRPr="0008481A">
        <w:t>Bedömning</w:t>
      </w:r>
    </w:p>
    <w:p w:rsidR="003B3271" w:rsidRPr="0008481A" w:rsidRDefault="003B3271">
      <w:r w:rsidRPr="0008481A">
        <w:t>Bestämmelser om myndigheters serviceskyldighet återfinns i förvaltnings</w:t>
      </w:r>
      <w:r w:rsidRPr="0008481A">
        <w:softHyphen/>
        <w:t>lagen (1986:223). Av 4 § framgår bl.a. att varje myndighet skall lämna upplysningar, vägledning, råd och annan sådan hjälp till enskilda i frågor som rör myndighetens verksamhetsområde samt att frågor från enskilda skall besvaras så snart som möj</w:t>
      </w:r>
      <w:r w:rsidRPr="0008481A">
        <w:softHyphen/>
        <w:t>ligt. Enligt 5 § skall myndigheterna ta emot besök och telefonsamtal från enskilda. Om särskilda tider för detta är bestämda, skall allmänheten underrättas om dem på lämpligt sätt.</w:t>
      </w:r>
    </w:p>
    <w:p w:rsidR="003B3271" w:rsidRPr="0008481A" w:rsidRDefault="003B3271">
      <w:pPr>
        <w:pStyle w:val="Normaltindrag"/>
      </w:pPr>
      <w:r w:rsidRPr="0008481A">
        <w:t>Av landstingets remissyttrande framgår bl.a. hur telefonkösystemet funge</w:t>
      </w:r>
      <w:r w:rsidRPr="0008481A">
        <w:softHyphen/>
        <w:t>rar och att 92 procent av patienterna i den ”senaste” mätningen var nöjda med telefontill</w:t>
      </w:r>
      <w:r w:rsidRPr="0008481A">
        <w:softHyphen/>
        <w:t>gängligheten vid Knivsta husläkarmottagning mot genom</w:t>
      </w:r>
      <w:r w:rsidRPr="0008481A">
        <w:softHyphen/>
        <w:t>snittliga 67 procent i länet. Med beaktande härav finner jag inte skäl att ifråga</w:t>
      </w:r>
      <w:r w:rsidRPr="0008481A">
        <w:softHyphen/>
        <w:t>sätta själva telefonkösy</w:t>
      </w:r>
      <w:r w:rsidRPr="0008481A">
        <w:softHyphen/>
        <w:t>stemet. Inte heller kan jag se att systemet med den gemensamma telefonväxeln skulle medföra att den s.k. service</w:t>
      </w:r>
      <w:r w:rsidRPr="0008481A">
        <w:softHyphen/>
        <w:t>skyl</w:t>
      </w:r>
      <w:r w:rsidRPr="0008481A">
        <w:softHyphen/>
        <w:t>dig</w:t>
      </w:r>
      <w:r w:rsidRPr="0008481A">
        <w:softHyphen/>
        <w:t xml:space="preserve">heten åsidosätts.  </w:t>
      </w:r>
    </w:p>
    <w:p w:rsidR="003B3271" w:rsidRPr="0008481A" w:rsidRDefault="003B3271">
      <w:pPr>
        <w:pStyle w:val="Normaltindrag"/>
      </w:pPr>
      <w:r w:rsidRPr="0008481A">
        <w:t>Anders Grönvall har vidare ifrågasatt att han inte fått del av ett av honom begärt direkttelefonnummer till en sjukskö</w:t>
      </w:r>
      <w:r w:rsidRPr="0008481A">
        <w:t xml:space="preserve">terska. </w:t>
      </w:r>
    </w:p>
    <w:p w:rsidR="003B3271" w:rsidRPr="0008481A" w:rsidRDefault="003B3271">
      <w:pPr>
        <w:pStyle w:val="Normaltindrag"/>
      </w:pPr>
      <w:r w:rsidRPr="0008481A">
        <w:t>Jag vill med anledning härav anföra följande. Tjänstemän vid myndigheter skall vara tillgängliga för allmänheten på så sätt att varje tjänsteman skall kunna nås personligen eller genom en annan tjänsteman, t.ex. en sekreterare. Detta får anses följa av ovan redovisade bestämmelser i förvaltningslagen beträffande myndig</w:t>
      </w:r>
      <w:r w:rsidRPr="0008481A">
        <w:softHyphen/>
        <w:t>heters serviceskyldighet. Härmed är inte sagt att varje enskild tjänstemans tele</w:t>
      </w:r>
      <w:r w:rsidRPr="0008481A">
        <w:softHyphen/>
        <w:t>fonnummer måste vara tillgängligt.</w:t>
      </w:r>
    </w:p>
    <w:p w:rsidR="003B3271" w:rsidRPr="0008481A" w:rsidRDefault="003B3271">
      <w:pPr>
        <w:pStyle w:val="Normaltindrag"/>
      </w:pPr>
      <w:r w:rsidRPr="0008481A">
        <w:t>Av utredningen framgår att mottagningens olika direktnummer till vård</w:t>
      </w:r>
      <w:r w:rsidRPr="0008481A">
        <w:softHyphen/>
        <w:t>per</w:t>
      </w:r>
      <w:r w:rsidRPr="0008481A">
        <w:softHyphen/>
        <w:t>sonalen främst är avsedda för internt bruk. Det framgår emellertid inte hur dessa direkt</w:t>
      </w:r>
      <w:r w:rsidRPr="0008481A">
        <w:softHyphen/>
        <w:t>nummer är dokumen</w:t>
      </w:r>
      <w:r w:rsidRPr="0008481A">
        <w:softHyphen/>
        <w:t>terade inom myndigheten. De skäl som anförts till stöd för tillämpade rutiner har onekligen fog för sig. I allmänhet är förfarandet lagligt där</w:t>
      </w:r>
      <w:r w:rsidRPr="0008481A">
        <w:softHyphen/>
        <w:t>för att direkt</w:t>
      </w:r>
      <w:r w:rsidRPr="0008481A">
        <w:softHyphen/>
        <w:t>nummer, som endast finns upptagna i interna telefonlistor och som inte tas om hand för arkive</w:t>
      </w:r>
      <w:r w:rsidRPr="0008481A">
        <w:softHyphen/>
        <w:t>ring, får betraktas som arbetsmaterial. Vid sådant för</w:t>
      </w:r>
      <w:r w:rsidRPr="0008481A">
        <w:softHyphen/>
        <w:t>hållande föreligger heller ingen skyldighet enligt bestämmelserna i tryckfrihets</w:t>
      </w:r>
      <w:r w:rsidRPr="0008481A">
        <w:softHyphen/>
        <w:t>förordninge</w:t>
      </w:r>
      <w:r w:rsidRPr="0008481A">
        <w:t>n (TF) och sek</w:t>
      </w:r>
      <w:r w:rsidRPr="0008481A">
        <w:softHyphen/>
        <w:t>retesslagen att lämna ut listorna eller uppgifter därur. Är direktnumren däremot intagna i en allmän handling (jfr 2 kap. TF) föreligger en skyldighet att lämna ut dem. Något sekretesskydd finns i så fall inte.</w:t>
      </w:r>
    </w:p>
    <w:p w:rsidR="003B3271" w:rsidRPr="0008481A" w:rsidRDefault="003B3271">
      <w:pPr>
        <w:pStyle w:val="Normaltindrag"/>
      </w:pPr>
      <w:r w:rsidRPr="0008481A">
        <w:t>Med dessa besked avslutas ärendet.</w:t>
      </w:r>
    </w:p>
    <w:p w:rsidR="003B3271" w:rsidRPr="0008481A" w:rsidRDefault="003B3271">
      <w:pPr>
        <w:pStyle w:val="Rubrik2"/>
        <w:spacing w:before="0"/>
        <w:rPr>
          <w:i/>
        </w:rPr>
      </w:pPr>
      <w:r w:rsidRPr="0008481A">
        <w:br w:type="page"/>
      </w:r>
      <w:r w:rsidRPr="0008481A">
        <w:rPr>
          <w:i/>
        </w:rPr>
        <w:t>Socialförsäkring</w:t>
      </w:r>
    </w:p>
    <w:p w:rsidR="003B3271" w:rsidRPr="0008481A" w:rsidRDefault="003B3271">
      <w:pPr>
        <w:pStyle w:val="Rubrik2"/>
      </w:pPr>
      <w:r w:rsidRPr="0008481A">
        <w:t>Ett ärende gällande ifrågasatt dataintrång och sekretessbrott hos allmän försäkringskassa</w:t>
      </w:r>
    </w:p>
    <w:p w:rsidR="003B3271" w:rsidRPr="0008481A" w:rsidRDefault="003B3271">
      <w:r w:rsidRPr="0008481A">
        <w:t>(Dnr 370-1999)</w:t>
      </w:r>
    </w:p>
    <w:p w:rsidR="003B3271" w:rsidRPr="0008481A" w:rsidRDefault="003B3271">
      <w:r w:rsidRPr="0008481A">
        <w:t xml:space="preserve">Med anledning av an anmälan mot Skåne läns allmänna försäkringskassa meddelade </w:t>
      </w:r>
      <w:r w:rsidRPr="0008481A">
        <w:rPr>
          <w:i/>
        </w:rPr>
        <w:t xml:space="preserve">JO Pennlöv </w:t>
      </w:r>
      <w:r w:rsidRPr="0008481A">
        <w:t>den 30 mars 2000 ett beslut med följande innehåll.</w:t>
      </w:r>
    </w:p>
    <w:p w:rsidR="003B3271" w:rsidRPr="0008481A" w:rsidRDefault="003B3271">
      <w:pPr>
        <w:pStyle w:val="Rubrik3"/>
      </w:pPr>
      <w:r w:rsidRPr="0008481A">
        <w:t>Bakgrund</w:t>
      </w:r>
    </w:p>
    <w:p w:rsidR="003B3271" w:rsidRPr="0008481A" w:rsidRDefault="003B3271">
      <w:r w:rsidRPr="0008481A">
        <w:t>B.S. arbetade som kriminalinspektör vid Ekobrottsmyndigheten i Malmö. Han var också samordnare för myndighetssamverkan mot ekonomisk brotts</w:t>
      </w:r>
      <w:r w:rsidRPr="0008481A">
        <w:softHyphen/>
        <w:t>lig</w:t>
      </w:r>
      <w:r w:rsidRPr="0008481A">
        <w:softHyphen/>
        <w:t>het i Skåne (PEK-gruppen) i vilken försäkringskassan ingick. Som rep</w:t>
      </w:r>
      <w:r w:rsidRPr="0008481A">
        <w:softHyphen/>
        <w:t>resent</w:t>
      </w:r>
      <w:r w:rsidRPr="0008481A">
        <w:softHyphen/>
        <w:t>anter för försäkringskassan ingick i PEK-gruppen tjänstemännen Gunilla Nilsson från kassans lokalkontor i Trelleborg och Hans Lindström från kassans lokalkontor i Helsingborg.</w:t>
      </w:r>
    </w:p>
    <w:p w:rsidR="003B3271" w:rsidRPr="0008481A" w:rsidRDefault="003B3271">
      <w:pPr>
        <w:pStyle w:val="Normaltindrag"/>
      </w:pPr>
      <w:r w:rsidRPr="0008481A">
        <w:t>B.S. tillhörde, dvs. var inskriven vid, försäkringskassans lokalkontor i Vellinge. Han uppbar arbetsskadelivränta och fick i samband med placeringen på Ekobrottsmyndigheten en inkomstökning. I juni 1998 blev han kontaktad av en handläggare vid försäkrings</w:t>
      </w:r>
      <w:r w:rsidRPr="0008481A">
        <w:t>kassan som uppgav att kassan hade fått in en anmälan om att han inte lämnat korrekta inkoms</w:t>
      </w:r>
      <w:r w:rsidRPr="0008481A">
        <w:softHyphen/>
        <w:t>t</w:t>
      </w:r>
      <w:r w:rsidRPr="0008481A">
        <w:softHyphen/>
        <w:t>uppgifter. Efter ytterligare kontakter med försäkringskassan misstänkte B.S. att någon tjänsteman vid kassan obehörigen berett sig tillträde till sekretess</w:t>
      </w:r>
      <w:r w:rsidRPr="0008481A">
        <w:softHyphen/>
        <w:t>belagda uppgifter rörande honom i socialförsäkringens ADB-register. Han vände sig därför till Riksförsäkringsverket och begärde utdrag ur den s.k. integritetsloggen för tiden den 1 januari 1997 till den 20 oktober 1998.</w:t>
      </w:r>
    </w:p>
    <w:p w:rsidR="003B3271" w:rsidRPr="0008481A" w:rsidRDefault="003B3271">
      <w:pPr>
        <w:pStyle w:val="Normaltindrag"/>
      </w:pPr>
      <w:r w:rsidRPr="0008481A">
        <w:t>Uppgifterna i loggen visade att Gunilla Ni</w:t>
      </w:r>
      <w:r w:rsidRPr="0008481A">
        <w:t>lsson under tiden januari–juni 1998 gjort sammanlagt tjugofyra förfrågningar rörande B.S. Gunilla Nilsson hade den 26 januari 1998 gjort tolv förfrågningar, den 12 februari fyra för</w:t>
      </w:r>
      <w:r w:rsidRPr="0008481A">
        <w:softHyphen/>
        <w:t>frågningar, den 18 februari en förfrågan, den 18 mars en förfrågan, den 30 mars två förfrågningar samt den 15 april, den 27 april, den 5 maj och den 22 juni vardera en förfrågan. Uppgifterna visade också att Hans Lindström den 19 mars 1998 gjort sex förfrågningar rörande B.S.</w:t>
      </w:r>
    </w:p>
    <w:p w:rsidR="003B3271" w:rsidRPr="0008481A" w:rsidRDefault="003B3271">
      <w:pPr>
        <w:pStyle w:val="Normaltindrag"/>
      </w:pPr>
      <w:r w:rsidRPr="0008481A">
        <w:t>Försäkringskassan utredde ärendet. Av kassans utredni</w:t>
      </w:r>
      <w:r w:rsidRPr="0008481A">
        <w:t>ng framgick bl.a. följande. Gunilla Nilsson hade i slutet av januari 1998 kontaktat lokal</w:t>
      </w:r>
      <w:r w:rsidRPr="0008481A">
        <w:softHyphen/>
        <w:t>kontoret i Vellinge, som B.S. tillhör, och försökt initiera en utredning om hans arbetsskadelivränta. Hon hade också omkring den 12 maj 1998 gjort en anmälan om B.S. till handläggaren Iréne Svensson vid kontoret i Vellinge. Enligt Iréne Svensson hade Gunilla Nilsson begärt att få vara anonym. I en journalanteckning den 14 maj 1998 i B.S:s arbetsskadeakt hade Iréne Svensson skrivit att hon mottagit en anonym anmälan per</w:t>
      </w:r>
      <w:r w:rsidRPr="0008481A">
        <w:t xml:space="preserve"> telefon rörande B.S. Iréne Svensson hade vidare vid ett samtal med B.S. den 27 juli 1998 vidhållit att anmälaren var anonym samt uppgett att det var en kvinna som talade med skånsk dialekt. Hon hade samma dag gjort en anteckning om telefonsamtalet i B.S:s akt. Hans Lindström mottog den 19 mars 1998 en anonym anmälan per telefon om B.S., vilket var bakgrunden till att han gjorde en förfrågan om B.S. i ADB-registret. Han glömde dock bort att dokumentera anmälan. Försäkringskassan misstänkte att det kunde var</w:t>
      </w:r>
      <w:r w:rsidRPr="0008481A">
        <w:t>a Gunilla Nilsson som ringt till Hans Lindström eftersom hon dagen innan gjort en förfrågan i ADB-registret om B.S.</w:t>
      </w:r>
    </w:p>
    <w:p w:rsidR="003B3271" w:rsidRPr="0008481A" w:rsidRDefault="003B3271">
      <w:pPr>
        <w:pStyle w:val="Normaltindrag"/>
      </w:pPr>
      <w:r w:rsidRPr="0008481A">
        <w:t>Enligt en kollega till B.S. – polisassistenten Per Jonsson – skulle Gunilla Nilsson också i augusti 1998, när Per Jonsson och Gunilla Nilsson träffades av en tillfällighet, ha tagit upp och kommenterat B.S:s livränta med uttalandet: ”Det låter som ett S.-upplägg.”</w:t>
      </w:r>
    </w:p>
    <w:p w:rsidR="003B3271" w:rsidRPr="0008481A" w:rsidRDefault="003B3271">
      <w:pPr>
        <w:pStyle w:val="Rubrik3"/>
      </w:pPr>
      <w:r w:rsidRPr="0008481A">
        <w:t>Anmälan</w:t>
      </w:r>
    </w:p>
    <w:p w:rsidR="003B3271" w:rsidRPr="0008481A" w:rsidRDefault="003B3271">
      <w:r w:rsidRPr="0008481A">
        <w:t>B.S. anförde i en anmälan till JO bl.a. följande. Gunilla Nilsson har genom sitt agerande allvarligt missbrukat sin ställning vilket medfört skada för honom både som privatperson och som tjänsteman. Gunilla Nilsson har även förmått andra tjänstemän vid försäkringskassan att åsidosätta vad som ålegat dem i tjänsten. B.S. yrkade skadestånd med 10 000 kr för de skador som Gunilla Nilsson vållat honom.</w:t>
      </w:r>
    </w:p>
    <w:p w:rsidR="003B3271" w:rsidRPr="0008481A" w:rsidRDefault="003B3271">
      <w:pPr>
        <w:pStyle w:val="Rubrik3"/>
      </w:pPr>
      <w:r w:rsidRPr="0008481A">
        <w:t>Utredning</w:t>
      </w:r>
    </w:p>
    <w:p w:rsidR="003B3271" w:rsidRPr="0008481A" w:rsidRDefault="003B3271">
      <w:r w:rsidRPr="0008481A">
        <w:t>Anmälan remitterades till försäkringskassan för yttrande över de för</w:t>
      </w:r>
      <w:r w:rsidRPr="0008481A">
        <w:softHyphen/>
        <w:t>hållanden som – i något utförligare form – angivits ovan. I remissen angavs även att det av försäkringskassans yttrande borde framgå vilka regler som gäller för kassans tjänstemäns behörighet att använda dataregistret och hur man från försäkringskassans sida informerar om de behörighetsregler som gäller.</w:t>
      </w:r>
    </w:p>
    <w:p w:rsidR="003B3271" w:rsidRPr="0008481A" w:rsidRDefault="003B3271">
      <w:pPr>
        <w:pStyle w:val="Rubrik4"/>
      </w:pPr>
      <w:r w:rsidRPr="0008481A">
        <w:t>Försäkringskassans utredning</w:t>
      </w:r>
    </w:p>
    <w:p w:rsidR="003B3271" w:rsidRPr="0008481A" w:rsidRDefault="003B3271">
      <w:r w:rsidRPr="0008481A">
        <w:t>Försäkringskassan – direktören Kurt Inge Persson – redogjorde i remissvaret för ärendet och för vad tjänstemännen Gunilla Nilsson, Iréne Svensson, Inger Svensson och Hans Lindström hade uppgett.</w:t>
      </w:r>
    </w:p>
    <w:p w:rsidR="003B3271" w:rsidRPr="0008481A" w:rsidRDefault="003B3271">
      <w:pPr>
        <w:pStyle w:val="Normaltindrag"/>
      </w:pPr>
      <w:r w:rsidRPr="0008481A">
        <w:t xml:space="preserve">Gunilla Nilsson uppgav sammanfattningsvis följande. Under mötena i den s.k. PEK-gruppen hade man ofta nämnt B.S. och hans livränta. Gunilla Nilsson gjorde därför den 26 januari 1998 en rad dataslagningar på B.S. Hon visade resultatet för en kollega som också ansåg att ärendet borde utredas. Kort därefter besökte Gunilla Nilsson lokalkontoret i Vellinge och nämnde då för en handläggare där att B.S. borde bli föremål för utredning. Vid sitt nästa besök på Vellingekontoret hörde hon sig för om något hänt och </w:t>
      </w:r>
      <w:r w:rsidRPr="0008481A">
        <w:t xml:space="preserve">lämnade också B.S:s personnummer. Den 12 februari 1998 gjorde hon en rad dataslagningar för att se om något hänt i ärendet, vilket det, såvitt framgick, inte hade gjort. Hon gjorde därefter upprepade dataslagningar, bl.a. den 18 mars 1998, för att se om något hänt i ärendet. Gunilla Nilsson förnekade att hon i anslutning därtill skulle ha ringt anonymt till Hans Lindström vid kontoret i Vellinge. I maj 1998, troligen omkring den 12 maj, åkte hon bil tillsammans med handläggaren Iréne Svensson från kontoret </w:t>
      </w:r>
      <w:r w:rsidRPr="0008481A">
        <w:t>i Vellinge. Hon frågade då henne vem som var handläggare av B.S:s ärende. Iréne Svensson svarade att hon var en av handläggarna av ärendet. Gunilla Nilsson undrade hur ärendet fortskred. Iréne Svensson svarade att hon nyligen fått ärendet och att det var mycket besvärligt. Gunilla Nilsson förnekade att hon skulle ha bett Iréne Svensson att få vara anonym. Hon var väl medveten om att hon inte kan få anonymitetsskydd. Möjligen kan hon ha sagt något i stil med att hon inte ville ha sitt namn ”spritt överallt”.</w:t>
      </w:r>
      <w:r w:rsidRPr="0008481A">
        <w:t xml:space="preserve"> Gunilla Nilsson framhöll att hennes motiv inte hade varit att skada B.S. eller att kränka hans integritet. Hennes handlande hade enbart styrts av hennes stora intresse av att försäkrings</w:t>
      </w:r>
      <w:r w:rsidRPr="0008481A">
        <w:softHyphen/>
        <w:t>kassans verksamhet skall vara effektiv. Hon hade inte vid något tillfälle lämnat uppgifter utanför myndigheten. Vid de tillfällen då hon slog i datorn hade det inte en enda gång föresvävat henne att hon överträtt sina befogen</w:t>
      </w:r>
      <w:r w:rsidRPr="0008481A">
        <w:softHyphen/>
        <w:t>heter. Gunilla Nilsson förnekade att hon skulle ha diskuterat B.S:s livränta med polisassistent Pe</w:t>
      </w:r>
      <w:r w:rsidRPr="0008481A">
        <w:t>r Jonsson på det sätt som denne påstår. Hon kommer ihåg mötet med Per Jonsson, vilket skett under Malmöfestivalen. De hade inte uppehållit sig vid B.S:s livränta mer än några minuter.</w:t>
      </w:r>
    </w:p>
    <w:p w:rsidR="003B3271" w:rsidRPr="0008481A" w:rsidRDefault="003B3271">
      <w:pPr>
        <w:pStyle w:val="Normaltindrag"/>
      </w:pPr>
      <w:r w:rsidRPr="0008481A">
        <w:t>Iréne Svensson uppgav sammanfattningsvis följande vad gäller de journal</w:t>
      </w:r>
      <w:r w:rsidRPr="0008481A">
        <w:softHyphen/>
        <w:t xml:space="preserve">anteckningar som hon den 14 maj 1998 respektive den 27 juli 1998 antecknade i B.S:s journal. Journalanteckningen den 14 maj 1998 hade följande lydelse: ”Anonym anm per tel som uppger att S fr o m 1998-06-01 tillträder en ny befattning med 3.000:- mer per mån. Handl överlämnas till Inger S som efter omorganisation är ny handläggare.” Journalanteckningen den 27 juli 1998 hade följande lydelse: ”Tel fr S. Vill ha mer info ang anonyma anm. Jag har ej akten framme men uppger vad som står i journalen 980514 och </w:t>
      </w:r>
      <w:r w:rsidRPr="0008481A">
        <w:t>att vad jag kan komma ihåg var anmälaren en kvinna med skånsk dialekt.” Iréne Svensson uppgav att Gunilla Nilsson uttryckligen begärt att få vara anonym under hänvisning till sitt arbete i PEK-gruppen, vars chef B.S. var. Iréne Svensson hade känt sig tveksam till att gå med på Gunilla Nilssons begäran, men gjorde det för hon kände att hon ville skydda en arbetskamrat. När det gäller journalanteckningen den 27 juli 1998 hade hon känt sig tvungen att hålla fast vid att det var en anonym anmälan. Hon kunde int</w:t>
      </w:r>
      <w:r w:rsidRPr="0008481A">
        <w:t>e ge någon förklaring till att hon dessutom lade till att det rört sig om en kvinna som talade med skånsk dialekt. Hon hade känt sig pressad av att hon gått med på Gunilla Nilssons krav på att få vara anonym. Gunilla Nilsson hade vid flera tillfällen återkommit och frågat Iréne Svensson vad som hänt i ärendet, men Iréne Svensson hade svarat undvikande.Vid ett tillfälle hade Iréne Svensson frågat Gunilla Nilsson rent ut om hon fortfarande ville vara anonym, vilket hon ville.</w:t>
      </w:r>
    </w:p>
    <w:p w:rsidR="003B3271" w:rsidRPr="0008481A" w:rsidRDefault="003B3271">
      <w:pPr>
        <w:pStyle w:val="Normaltindrag"/>
      </w:pPr>
      <w:r w:rsidRPr="0008481A">
        <w:t>Inger Svensson uppgav följande. H</w:t>
      </w:r>
      <w:r w:rsidRPr="0008481A">
        <w:t>ennes befattning med B.S:s ärende började den 14 maj 1998. Hon hade enbart betraktat det som ett vanligt efterkontrollsärende och handlagt det som ett sådant.</w:t>
      </w:r>
    </w:p>
    <w:p w:rsidR="003B3271" w:rsidRPr="0008481A" w:rsidRDefault="003B3271">
      <w:pPr>
        <w:pStyle w:val="Normaltindrag"/>
      </w:pPr>
      <w:r w:rsidRPr="0008481A">
        <w:t>Hans Lindström uppgav sammanfattningsvis följande. Han fick den 19 mars 1998 ett anonymt samtal från en kvinna gällande B.S:s livränta. Han fick intryck av att kvinnan ringde från en myndighet, men han kände inte igen rösten och han vet inte vem som ringde. Det hörde till ovanligheterna att han blev anonymt kontaktad rörande någon som bodde på annan o</w:t>
      </w:r>
      <w:r w:rsidRPr="0008481A">
        <w:t>rt än i Helsingborg. Han medgav att han gjorde fel som inte dokumenterade anmälan och vidarebefordrade den till vederbörande kontor. Det berodde enbart på slarv från hans sida. Anledningen till att han gjorde dataslagningar rörande B.S. var för att utröna om det låg någon substans i den anonyma anmälan.</w:t>
      </w:r>
    </w:p>
    <w:p w:rsidR="003B3271" w:rsidRPr="0008481A" w:rsidRDefault="003B3271">
      <w:pPr>
        <w:pStyle w:val="Rubrik4"/>
      </w:pPr>
      <w:r w:rsidRPr="0008481A">
        <w:t>Försäkringskassans bedömning</w:t>
      </w:r>
    </w:p>
    <w:p w:rsidR="003B3271" w:rsidRPr="0008481A" w:rsidRDefault="003B3271">
      <w:r w:rsidRPr="0008481A">
        <w:t>Försäkringskassan anförde sammanfattningsvis följande. Försäkringskassan konstaterar att Gunilla Nilsson överträtt sina befogenheter när hon företog dataslagningarna eftersom hon inte varit handläggare av B.S:s ärende. Hon har också förhört sig om ärendet på olika lokalkontor och försökt påverka utredningens fortskridande. Försäkringskassan anser inte att hennes på</w:t>
      </w:r>
      <w:r w:rsidRPr="0008481A">
        <w:softHyphen/>
        <w:t>stående att hon handlat enbart för försäkringskassans effektivitet bär trovärdighetens prägel. Utredningen visar, enligt kassans mening, att hon metodiskt och med ett visst inslag av förslagenhet bedrivit något som närmast liknar en kampanj mot B.S. Utredningen har också visat att Gunilla Nilssons påstående att hon inte begärt att få vara anonym är falskt. Det finns också vissa omständigheter som tyder på att den anonyma kvinnan som ringt till Hans Lindström skulle kunna vara Gunilla Nilsson. Inte heller h</w:t>
      </w:r>
      <w:r w:rsidRPr="0008481A">
        <w:t>ennes påstående att hon inte nämnt något om B.S. till någon utanför kassan vinner stöd av utredningen, vilket framgår av Per Jonssons uppgifter.</w:t>
      </w:r>
    </w:p>
    <w:p w:rsidR="003B3271" w:rsidRPr="0008481A" w:rsidRDefault="003B3271">
      <w:pPr>
        <w:pStyle w:val="Normaltindrag"/>
      </w:pPr>
      <w:r w:rsidRPr="0008481A">
        <w:t>Försäkringskassan anser att Gunilla Nilsson mot bakgrund av den mängd frågetransaktioner hon gjort och hennes begäran att få vara anonym varit väl medveten om att hon inte haft behörighet att blanda sig i handläggningen av B.S:s ärende.</w:t>
      </w:r>
    </w:p>
    <w:p w:rsidR="003B3271" w:rsidRPr="0008481A" w:rsidRDefault="003B3271">
      <w:pPr>
        <w:pStyle w:val="Normaltindrag"/>
      </w:pPr>
      <w:r w:rsidRPr="0008481A">
        <w:t>Vad gäller Iréne Svenssons agerande anser försäkringskassan att det handlar om brister i det förvaltningsrättsliga förfarandet som ter sig mycket anmärkningsvärda. Inger Svenssons befattning med ärendet har däremot inte varit behäftad med brister. Vad slutligen gäller Hans Lindström har hans handläggning av ärendet utvisat stora brister. Försäkringskassan anser att Hans Lindström, som inom Helsingsborgskontoret arbetar med PEK-ärenden, härigenom får anses ha haft behörighet att företa den första men inte d</w:t>
      </w:r>
      <w:r w:rsidRPr="0008481A">
        <w:t xml:space="preserve">e följande frågetransaktionerna. Den första transaktionen gällde nämligen en 030-bild, som utvisar den anmäldes identitet och adress. Eftersom Hans Lindström därigenom måste ha sett att det rörde sig om en person som tillhörde ett annat lokalkontor borde han då ha vidarebefordrat anmälan till det kontoret. </w:t>
      </w:r>
    </w:p>
    <w:p w:rsidR="003B3271" w:rsidRPr="0008481A" w:rsidRDefault="003B3271">
      <w:pPr>
        <w:pStyle w:val="Normaltindrag"/>
      </w:pPr>
      <w:r w:rsidRPr="0008481A">
        <w:t>Avslutningsvis har försäkringskassan redogjort för vilka regler som gäller för behörigheten att använda dataregistret och hur man från kassan infor</w:t>
      </w:r>
      <w:r w:rsidRPr="0008481A">
        <w:softHyphen/>
        <w:t>merar om detta. Därav framgår följande.</w:t>
      </w:r>
    </w:p>
    <w:p w:rsidR="003B3271" w:rsidRPr="0008481A" w:rsidRDefault="003B3271">
      <w:pPr>
        <w:pStyle w:val="Rubrik4"/>
      </w:pPr>
      <w:r w:rsidRPr="0008481A">
        <w:t>Regler gällande behörighet att använda dataregistret och kassans information om gällande behörighetsregler</w:t>
      </w:r>
    </w:p>
    <w:p w:rsidR="003B3271" w:rsidRPr="0008481A" w:rsidRDefault="003B3271">
      <w:r w:rsidRPr="0008481A">
        <w:t>I Riksförsäkringsverkets föreskrift 1993:22, som har upphört att gälla fr.o.m. juli 1998, stadgades om ADB-säkerhet vid den tekniska hanteringen av ADB-systemet rörande ADB-säkerhet, driftsansvar, systemansvariga tjänste</w:t>
      </w:r>
      <w:r w:rsidRPr="0008481A">
        <w:softHyphen/>
        <w:t>män samt regler om bestämmande av behörighet för de tjänstemän som tilldelats behörighetskort.</w:t>
      </w:r>
    </w:p>
    <w:p w:rsidR="003B3271" w:rsidRPr="0008481A" w:rsidRDefault="003B3271">
      <w:pPr>
        <w:pStyle w:val="Normaltindrag"/>
      </w:pPr>
      <w:r w:rsidRPr="0008481A">
        <w:t>En tjänsteman har endast behörighet att ta del av de uppgifter han behöver för att kunna utföra sina arbetsuppgifter. Behörigheten följer alltså av tjänste</w:t>
      </w:r>
      <w:r w:rsidRPr="0008481A">
        <w:softHyphen/>
        <w:t>åliggande, inte av innehavet av det s.k. behörighetskortet. I systemet är inbyggt möjligheten att göra begränsningar i behörighetskortets använd</w:t>
      </w:r>
      <w:r w:rsidRPr="0008481A">
        <w:softHyphen/>
        <w:t>nings</w:t>
      </w:r>
      <w:r w:rsidRPr="0008481A">
        <w:softHyphen/>
        <w:t>område. Detta innebär att behörighetskort för t.ex. en handläggare inom pensionsområdet begränsas till att omfatta endast de registeruppgifter som han behöver tillgång till för att kunna utföra sitt arbete.</w:t>
      </w:r>
    </w:p>
    <w:p w:rsidR="003B3271" w:rsidRPr="0008481A" w:rsidRDefault="003B3271">
      <w:pPr>
        <w:pStyle w:val="Normaltindrag"/>
      </w:pPr>
      <w:r w:rsidRPr="0008481A">
        <w:t>Alla tjänstemän som tilldelas behörighetskort får skriva på blanketten ”Kvittens-AT-kort ”. I denna kvittens erinras tjänstemannen bl.a. om att han i och</w:t>
      </w:r>
      <w:r w:rsidRPr="0008481A">
        <w:t xml:space="preserve"> med kvitterandet av kortet ansvarar för att kortet används endast vid handläggning av tjänsteärenden och i den utsträckning som krävs för att han skall kunna utföra sina arbetsuppgifter.</w:t>
      </w:r>
    </w:p>
    <w:p w:rsidR="003B3271" w:rsidRPr="0008481A" w:rsidRDefault="003B3271">
      <w:pPr>
        <w:pStyle w:val="Normaltindrag"/>
      </w:pPr>
      <w:r w:rsidRPr="0008481A">
        <w:t>Denna erinran torde rättsligt inte ha större värde än den s.k. tystnads</w:t>
      </w:r>
      <w:r w:rsidRPr="0008481A">
        <w:softHyphen/>
        <w:t>pliktsförbindelsen, vilken endast tjänar som upplysning om förekomsten av tystnadsplikt, som följer av SekrL och som gäller för tjänstemannen alldeles oavsett om han har skrivit på någon förbindelse eller ej.</w:t>
      </w:r>
    </w:p>
    <w:p w:rsidR="003B3271" w:rsidRPr="0008481A" w:rsidRDefault="003B3271">
      <w:pPr>
        <w:pStyle w:val="Normaltindrag"/>
      </w:pPr>
      <w:r w:rsidRPr="0008481A">
        <w:t>Försäkringskassan informerar kontinuerligt om behörighetsregler och kontroll rörande efterlevnaden av datasäkerhets- och sekretessföreskrifter och även information särskilt om bestämmelserna i SekrL.</w:t>
      </w:r>
    </w:p>
    <w:p w:rsidR="003B3271" w:rsidRPr="0008481A" w:rsidRDefault="003B3271">
      <w:pPr>
        <w:pStyle w:val="Normaltindrag"/>
      </w:pPr>
      <w:r w:rsidRPr="0008481A">
        <w:t>Med anledning av det inträffade har informationsinsatserna förstärkts och regelverket har ingående behandlats vid två temadagar under mars 1999 för försäkringsenhetens lokalt funktionsansvariga för förvaltningsrätt och sekretess. Vidare har kassans ledning nyligen vid konferens för lokal</w:t>
      </w:r>
      <w:r w:rsidRPr="0008481A">
        <w:softHyphen/>
        <w:t>kontorens chefer framhållit, att ledningen ser allvarligt på förseelser rörande sekretess och ADB-säkerhet och att arbetet med utarbetande av policy</w:t>
      </w:r>
      <w:r w:rsidRPr="0008481A">
        <w:softHyphen/>
        <w:t>dokument för den nya Skånekassan är påbörjat, vari kommer att ingå en sanktionsrutin vid konstaterade förseelser.</w:t>
      </w:r>
    </w:p>
    <w:p w:rsidR="003B3271" w:rsidRPr="0008481A" w:rsidRDefault="003B3271">
      <w:pPr>
        <w:pStyle w:val="Normaltindrag"/>
      </w:pPr>
      <w:r w:rsidRPr="0008481A">
        <w:t>B.S. har tagit del av remissvaret. Han har förklarat sig inte ha något att tillägga.</w:t>
      </w:r>
    </w:p>
    <w:p w:rsidR="003B3271" w:rsidRPr="0008481A" w:rsidRDefault="003B3271">
      <w:pPr>
        <w:pStyle w:val="Rubrik3"/>
      </w:pPr>
      <w:r w:rsidRPr="0008481A">
        <w:t>Bedömning</w:t>
      </w:r>
    </w:p>
    <w:p w:rsidR="003B3271" w:rsidRPr="0008481A" w:rsidRDefault="003B3271">
      <w:pPr>
        <w:pStyle w:val="Underskrifter"/>
      </w:pPr>
      <w:r w:rsidRPr="0008481A">
        <w:t>Gunilla Nilsson</w:t>
      </w:r>
    </w:p>
    <w:p w:rsidR="003B3271" w:rsidRPr="0008481A" w:rsidRDefault="003B3271">
      <w:r w:rsidRPr="0008481A">
        <w:t>I Riksförsäkringsverkets före den 1 juli 1998 gällande föreskrifter (RFFS 1993:22) om ADB-säkerheten hos Riksförsäkringsverket och de allmänna försäkringskassorna angavs i 14 § att de ADB-system som innehåller person</w:t>
      </w:r>
      <w:r w:rsidRPr="0008481A">
        <w:softHyphen/>
        <w:t>uppgifter eller är av väsentlig betydelse för verksamheten skall skyddas av behörighetskontrollsystem, om det inte är uppenbart obehövligt. Den anställde skulle inte ges vidare behörighet att ta del av eller påverka innehållet i sådana ADB-system än vad han behövde för att kunna sköta sina arbetsuppgifter. Behörigheten gällde endast rätt att utnyttja registren för handläggning av tjänsteärenden. Behörigheten var personlig och fick inte överlåtas.</w:t>
      </w:r>
    </w:p>
    <w:p w:rsidR="003B3271" w:rsidRPr="0008481A" w:rsidRDefault="003B3271">
      <w:pPr>
        <w:pStyle w:val="Normaltindrag"/>
      </w:pPr>
      <w:r w:rsidRPr="0008481A">
        <w:t>Enligt 21 § i den då gällande datalagen (1973:289) kunde den</w:t>
      </w:r>
      <w:r w:rsidRPr="0008481A">
        <w:t xml:space="preserve"> som olovligen beredde sig tillgång till upptagning för automatisk databehandling dömas för dataintrång till böter eller fängelse i högst två år.</w:t>
      </w:r>
    </w:p>
    <w:p w:rsidR="003B3271" w:rsidRPr="0008481A" w:rsidRDefault="003B3271">
      <w:pPr>
        <w:pStyle w:val="Normaltindrag"/>
      </w:pPr>
      <w:r w:rsidRPr="0008481A">
        <w:t>Av utredningen framgår att Gunilla Nilsson vid sammanlagt 24 tillfällen under tiden den 26 januari–den 22 juni 1998 gjort förfrågningar rörande B.S. i socialförsäkringens ADB-register, trots att hon inte handlagt något ärende rörande honom och han dessutom tillhörde ett annat lokalkontor. Gunilla Nilsson har hävdat att det enbart var hennes starka engagemang för a</w:t>
      </w:r>
      <w:r w:rsidRPr="0008481A">
        <w:t>tt försäkringskassans verksamhet skall vara effektiv som låg bakom hennes handlande. Det stora antalet förfrågningar i ADB-registret, vilka skett under flera månader, ger dock intryck av att det även skulle kunna finnas andra skäl bakom hennes agerande. Detta intryck förstärks av att Gunilla Nilsson vid flera tillfällen tog upp B.S:s ärende med tjänstemän vid lokalkontoret Vellinge. Hon har också gjort en anmälan till och diskuterat B.S:s ärende med Iréne Svensson vid lokalkontoret Vellinge. Enligt Iréne Sv</w:t>
      </w:r>
      <w:r w:rsidRPr="0008481A">
        <w:t>ensson begärde Gunilla Nilsson vid detta tillfälle att få vara anonym. Gunilla Nilsson har förnekat detta och i stället uppgett att hon kan ha uttryckt ungefär att hon ”inte ville ha sitt namn spritt överallt”. Jag anser dock att Iréne Svenssons uppgift framstår som trovärdig, särskilt som hon inte torde ha haft något eget intresse av att få Gunilla Nilsson att framstå som en anonym anmälare. Jag finner det därför klarlagt att Gunilla Nilsson begärt att få vara anonym. – Sammantaget ger Gunilla Nilssons age</w:t>
      </w:r>
      <w:r w:rsidRPr="0008481A">
        <w:t>rande bilden av att hon på egen hand bedrivit en utredning rörande B.S. trots att hon inte var behörig därtill. Gunilla Nilsson borde i stället endast ha kontaktat lokalkontoret i Vellinge och berättat om sina iakttagelser rörande B.S. och därefter inte vidare ha tagit befattning med ärendet.</w:t>
      </w:r>
    </w:p>
    <w:p w:rsidR="003B3271" w:rsidRPr="0008481A" w:rsidRDefault="003B3271">
      <w:pPr>
        <w:pStyle w:val="Normaltindrag"/>
      </w:pPr>
      <w:r w:rsidRPr="0008481A">
        <w:t>Jag anser det vidare klarlagt att Gunilla Nilsson olovligen berett sig tillgång till socialförsäkringens dataregister. De objektiva rekvisiten i 21 § datalagen är således uppfyllda. Omständigheterna är sådana att jag h</w:t>
      </w:r>
      <w:r w:rsidRPr="0008481A">
        <w:t>ar övervägt att inleda förundersökning. Vid en samlad bedömning av vad som inträffat har jag emellertid stannat för att avstå från en sådan åtgärd. Jag har därvid beaktat Gunilla Nilssons påståenden om att hon dels endast haft socialförsäkringens effektivitet i åtanke, dels inte förstått att hon överskred sin behörighet när hon gick in i dataregistret. Jag anser därför att Gunilla Nilssons handlande mer utmärkts av oförstånd och bristande kunskap om gällande regler än av en medveten önskan att skada B.S. Ja</w:t>
      </w:r>
      <w:r w:rsidRPr="0008481A">
        <w:t>g stannar därför vid att rikta synnerligen allvarlig kritik mot Gunilla Nilsson för hennes agerande.</w:t>
      </w:r>
    </w:p>
    <w:p w:rsidR="003B3271" w:rsidRPr="0008481A" w:rsidRDefault="003B3271">
      <w:pPr>
        <w:pStyle w:val="Underskrifter"/>
      </w:pPr>
      <w:r w:rsidRPr="0008481A">
        <w:t>Iréne Svensson</w:t>
      </w:r>
    </w:p>
    <w:p w:rsidR="003B3271" w:rsidRPr="0008481A" w:rsidRDefault="003B3271">
      <w:r w:rsidRPr="0008481A">
        <w:t>Av utredningen framgår att Iréne Svensson, efter sitt samtal med Gunilla Nilsson, den 14 maj 1998 antecknat i B.S:s journal att hon mottagit en anonym anmälan rörande denne. Detta gjorde hon trots att hon visste vem uppgiftslämnaren var. Hon har därefter, den 27 juli 1998, vid ett telefonsamtal med B.S. vidhållit att det var en anonym anmälan och också lagt till en mer detaljerad beskrivning av den som ringde. Jag anser att det är synnerligen anmärkningsvärt att en tjänsteman vid försäkringskassan medvetet</w:t>
      </w:r>
      <w:r w:rsidRPr="0008481A">
        <w:t xml:space="preserve"> ljuger om en uppgift. Iréne Svensson förtjänar allvarlig kritik för sitt agerande.</w:t>
      </w:r>
    </w:p>
    <w:p w:rsidR="003B3271" w:rsidRPr="0008481A" w:rsidRDefault="003B3271">
      <w:pPr>
        <w:pStyle w:val="Underskrifter"/>
      </w:pPr>
      <w:r w:rsidRPr="0008481A">
        <w:t>Hans Lindström</w:t>
      </w:r>
    </w:p>
    <w:p w:rsidR="003B3271" w:rsidRPr="0008481A" w:rsidRDefault="003B3271">
      <w:r w:rsidRPr="0008481A">
        <w:t>Som försäkringskassan angett i sitt remissvar har Hans Lindström förfarit felaktigt dels genom att företa förfrågningar som han saknade behörighet till, dels genom att underlåta att efter dokumentation av det anonyma samtalet vidarebefordra ärendet till behörigt kontor. För vad nu sagts förtjänar han kritik.</w:t>
      </w:r>
    </w:p>
    <w:p w:rsidR="003B3271" w:rsidRPr="0008481A" w:rsidRDefault="003B3271">
      <w:pPr>
        <w:pStyle w:val="Rubrik4"/>
      </w:pPr>
      <w:r w:rsidRPr="0008481A">
        <w:t>Övrigt</w:t>
      </w:r>
    </w:p>
    <w:p w:rsidR="003B3271" w:rsidRPr="0008481A" w:rsidRDefault="003B3271">
      <w:r w:rsidRPr="0008481A">
        <w:t>I övrigt har inte något framkommit som motiverar ett uttalande från min sida. JO är inte heller behörig att pröva frågor om skadestånd.</w:t>
      </w:r>
    </w:p>
    <w:p w:rsidR="003B3271" w:rsidRPr="0008481A" w:rsidRDefault="003B3271">
      <w:pPr>
        <w:pStyle w:val="Normaltindrag"/>
      </w:pPr>
      <w:r w:rsidRPr="0008481A">
        <w:t>Ärendet här avslutas.</w:t>
      </w:r>
    </w:p>
    <w:p w:rsidR="003B3271" w:rsidRPr="0008481A" w:rsidRDefault="003B3271">
      <w:pPr>
        <w:pStyle w:val="Rubrik2"/>
      </w:pPr>
      <w:r w:rsidRPr="0008481A">
        <w:t>En försäkringskassa har mot den försäkrades vilja lämnat ut handlingar till utländsk my</w:t>
      </w:r>
      <w:r w:rsidRPr="0008481A">
        <w:t>n</w:t>
      </w:r>
      <w:r w:rsidRPr="0008481A">
        <w:t>dighet</w:t>
      </w:r>
    </w:p>
    <w:p w:rsidR="003B3271" w:rsidRPr="0008481A" w:rsidRDefault="003B3271">
      <w:r w:rsidRPr="0008481A">
        <w:t>(Dnr 1960-1999)</w:t>
      </w:r>
    </w:p>
    <w:p w:rsidR="003B3271" w:rsidRPr="0008481A" w:rsidRDefault="003B3271">
      <w:r w:rsidRPr="0008481A">
        <w:t>I en anmälan till JO klagade X på att Stockholms läns allmänna försäkrings</w:t>
      </w:r>
      <w:r w:rsidRPr="0008481A">
        <w:softHyphen/>
        <w:t>kassa mot hans uttryckliga begäran hade skickat sekretessbelagda handlingar till Turkiet.</w:t>
      </w:r>
    </w:p>
    <w:p w:rsidR="003B3271" w:rsidRPr="0008481A" w:rsidRDefault="003B3271">
      <w:pPr>
        <w:pStyle w:val="Normaltindrag"/>
      </w:pPr>
      <w:r w:rsidRPr="0008481A">
        <w:t>Sedan försäkringskassans akt lånats in och granskats i relevanta delar remitterades ärendet till försäkringskassan för utredning och yttrande. I sitt remi</w:t>
      </w:r>
      <w:r w:rsidRPr="0008481A">
        <w:t>s</w:t>
      </w:r>
      <w:r w:rsidRPr="0008481A">
        <w:t>svar hänvisade kassan (direktören Henrik Meldahl) inledningsvis till en redog</w:t>
      </w:r>
      <w:r w:rsidRPr="0008481A">
        <w:t>ö</w:t>
      </w:r>
      <w:r w:rsidRPr="0008481A">
        <w:t>relse från lokalkontorsområde Västerort (försäkringsspecialisten Lars Sjöberg). Av denna redogörelse framgår bl.a. följande.</w:t>
      </w:r>
    </w:p>
    <w:p w:rsidR="003B3271" w:rsidRPr="0008481A" w:rsidRDefault="003B3271">
      <w:pPr>
        <w:pStyle w:val="Citat"/>
      </w:pPr>
      <w:r w:rsidRPr="0008481A">
        <w:t>Den 23 september 1997 var den försäkrade på besök hos sin rehabilitering</w:t>
      </w:r>
      <w:r w:rsidRPr="0008481A">
        <w:t>s</w:t>
      </w:r>
      <w:r w:rsidRPr="0008481A">
        <w:softHyphen/>
        <w:t>handläggare med anledning av förestående prövning av förtidspension. Den försäkrade uppgav då att han inte vill att ”EUpapper” angående hans pe</w:t>
      </w:r>
      <w:r w:rsidRPr="0008481A">
        <w:t>n</w:t>
      </w:r>
      <w:r w:rsidRPr="0008481A">
        <w:t>sion skickas till Turkiet då han är flykting och inte vill att de turkiska my</w:t>
      </w:r>
      <w:r w:rsidRPr="0008481A">
        <w:t>n</w:t>
      </w:r>
      <w:r w:rsidRPr="0008481A">
        <w:t>digheterna ska få reda på var han befinner sig. Vid besöket ifylldes blanke</w:t>
      </w:r>
      <w:r w:rsidRPr="0008481A">
        <w:t>t</w:t>
      </w:r>
      <w:r w:rsidRPr="0008481A">
        <w:t>ten Staf 263, Uppgifter för prövning av rätt till förtids</w:t>
      </w:r>
      <w:r w:rsidRPr="0008481A">
        <w:softHyphen/>
        <w:t>pension/</w:t>
      </w:r>
      <w:r w:rsidRPr="0008481A">
        <w:softHyphen/>
        <w:t>sjukbidrag. I denna skrev den försäkrade att han helst inte vill att pensions</w:t>
      </w:r>
      <w:r w:rsidRPr="0008481A">
        <w:softHyphen/>
        <w:t>handlingarna sänds till Tu</w:t>
      </w:r>
      <w:r w:rsidRPr="0008481A">
        <w:t>r</w:t>
      </w:r>
      <w:r w:rsidRPr="0008481A">
        <w:t>kiet.</w:t>
      </w:r>
    </w:p>
    <w:p w:rsidR="003B3271" w:rsidRPr="0008481A" w:rsidRDefault="003B3271">
      <w:pPr>
        <w:pStyle w:val="Citatindrag"/>
      </w:pPr>
      <w:r w:rsidRPr="0008481A">
        <w:t>Den 29 oktober 1997 fattades beslu</w:t>
      </w:r>
      <w:r w:rsidRPr="0008481A">
        <w:t>t om att den försäkrade hade rätt till halv förtidspe</w:t>
      </w:r>
      <w:r w:rsidRPr="0008481A">
        <w:t>n</w:t>
      </w:r>
      <w:r w:rsidRPr="0008481A">
        <w:t>sion istället för sjukpenning.</w:t>
      </w:r>
    </w:p>
    <w:p w:rsidR="003B3271" w:rsidRPr="0008481A" w:rsidRDefault="003B3271">
      <w:pPr>
        <w:pStyle w:val="Citatindrag"/>
      </w:pPr>
      <w:r w:rsidRPr="0008481A">
        <w:t>Den 19 oktober 1997 skickade en pensionshandläggare ett brev till den fö</w:t>
      </w:r>
      <w:r w:rsidRPr="0008481A">
        <w:t>r</w:t>
      </w:r>
      <w:r w:rsidRPr="0008481A">
        <w:softHyphen/>
        <w:t>säkrade med uppmaning att fylla i markerade frågor i den med brevet bif</w:t>
      </w:r>
      <w:r w:rsidRPr="0008481A">
        <w:t>o</w:t>
      </w:r>
      <w:r w:rsidRPr="0008481A">
        <w:t>gade blanketten. Det angavs att det var med anledning av att den för</w:t>
      </w:r>
      <w:r w:rsidRPr="0008481A">
        <w:softHyphen/>
        <w:t>säkrade förvärvsarbetat i Turkiet och kunde ha rätt till pension därifrån. Pension</w:t>
      </w:r>
      <w:r w:rsidRPr="0008481A">
        <w:t>s</w:t>
      </w:r>
      <w:r w:rsidRPr="0008481A">
        <w:t>handläggaren har uppenbarligen inte noterat uppgifterna om att den försä</w:t>
      </w:r>
      <w:r w:rsidRPr="0008481A">
        <w:t>k</w:t>
      </w:r>
      <w:r w:rsidRPr="0008481A">
        <w:t>rade inte önskar att handlingar skickas till Turkiet. Normalt finns ingen a</w:t>
      </w:r>
      <w:r w:rsidRPr="0008481A">
        <w:t>n</w:t>
      </w:r>
      <w:r w:rsidRPr="0008481A">
        <w:t>ledning för pensionshandläggarna att läsa journalnoteringar men noteringen på Staf 263 borde ha uppmärksammats. På denna står att den för</w:t>
      </w:r>
      <w:r w:rsidRPr="0008481A">
        <w:t>säkrade helst inte vill att pensionshandlinga</w:t>
      </w:r>
      <w:r w:rsidRPr="0008481A">
        <w:t>r</w:t>
      </w:r>
      <w:r w:rsidRPr="0008481A">
        <w:t>na sänds till Turkiet.</w:t>
      </w:r>
    </w:p>
    <w:p w:rsidR="003B3271" w:rsidRPr="0008481A" w:rsidRDefault="003B3271">
      <w:pPr>
        <w:pStyle w:val="Citatindrag"/>
      </w:pPr>
      <w:r w:rsidRPr="0008481A">
        <w:t>Det finns en konvention om pension mellan Sverige och Turkiet som inn</w:t>
      </w:r>
      <w:r w:rsidRPr="0008481A">
        <w:t>e</w:t>
      </w:r>
      <w:r w:rsidRPr="0008481A">
        <w:t>bär att den försäkrade måste ansöka om pension från Turkiet. Det var sål</w:t>
      </w:r>
      <w:r w:rsidRPr="0008481A">
        <w:t>e</w:t>
      </w:r>
      <w:r w:rsidRPr="0008481A">
        <w:t>des en ansökningshandling som skickades till den försäkrade och frågorna var även ställda på turki</w:t>
      </w:r>
      <w:r w:rsidRPr="0008481A">
        <w:t>s</w:t>
      </w:r>
      <w:r w:rsidRPr="0008481A">
        <w:t>ka.</w:t>
      </w:r>
    </w:p>
    <w:p w:rsidR="003B3271" w:rsidRPr="0008481A" w:rsidRDefault="003B3271">
      <w:pPr>
        <w:pStyle w:val="Citatindrag"/>
      </w:pPr>
      <w:r w:rsidRPr="0008481A">
        <w:t>Den 24 november 1999 [torde avse 1997; JO:s anm.] inkom den ifyllda blanketten från den försäkrade.</w:t>
      </w:r>
    </w:p>
    <w:p w:rsidR="003B3271" w:rsidRPr="0008481A" w:rsidRDefault="003B3271">
      <w:pPr>
        <w:pStyle w:val="Citatindrag"/>
      </w:pPr>
      <w:r w:rsidRPr="0008481A">
        <w:t>Den 26 november 1999 [torde avse 1997; JO:s anm.] skickade pension</w:t>
      </w:r>
      <w:r w:rsidRPr="0008481A">
        <w:t>s</w:t>
      </w:r>
      <w:r w:rsidRPr="0008481A">
        <w:softHyphen/>
        <w:t>handläggaren blanketten till pensionsmyndigheten i Turkiet och då hade blanketten kompletterats med uppgifter som ifyllts av försäkringskassan. Det var bl.a. uppgift om den försäkrades adress.</w:t>
      </w:r>
    </w:p>
    <w:p w:rsidR="003B3271" w:rsidRPr="0008481A" w:rsidRDefault="003B3271">
      <w:pPr>
        <w:pStyle w:val="Citatindrag"/>
      </w:pPr>
      <w:r w:rsidRPr="0008481A">
        <w:t>Den 21 juli 1998 inkom ett brev från pensionsmyndigheten i Turkiet med begäran om läkarintyg och beslut. Detta för att kunna handlägga ansökan om pension.</w:t>
      </w:r>
    </w:p>
    <w:p w:rsidR="003B3271" w:rsidRPr="0008481A" w:rsidRDefault="003B3271">
      <w:pPr>
        <w:pStyle w:val="Citatindrag"/>
      </w:pPr>
      <w:r w:rsidRPr="0008481A">
        <w:t>Den 19 november 1998 skickade en handläggare kopia av läkarutlåtande och b</w:t>
      </w:r>
      <w:r w:rsidRPr="0008481A">
        <w:t>e</w:t>
      </w:r>
      <w:r w:rsidRPr="0008481A">
        <w:t>slut om förtidspension till pensionsmyndigheten i Turkiet.</w:t>
      </w:r>
    </w:p>
    <w:p w:rsidR="003B3271" w:rsidRPr="0008481A" w:rsidRDefault="003B3271">
      <w:pPr>
        <w:pStyle w:val="Citatindrag"/>
      </w:pPr>
      <w:r w:rsidRPr="0008481A">
        <w:t>Den 1 april 1999 ringde den försäkrade och undrade varför försäkrings</w:t>
      </w:r>
      <w:r w:rsidRPr="0008481A">
        <w:softHyphen/>
        <w:t>ka</w:t>
      </w:r>
      <w:r w:rsidRPr="0008481A">
        <w:t>s</w:t>
      </w:r>
      <w:r w:rsidRPr="0008481A">
        <w:t>san meddelat Turkiet att han fått pension. Den 20 april 1999 återkom den försäkrade i ärendet och angav bl.a. att han fått reda på att en rättslig prö</w:t>
      </w:r>
      <w:r w:rsidRPr="0008481A">
        <w:t>v</w:t>
      </w:r>
      <w:r w:rsidRPr="0008481A">
        <w:t>ning enligt terroristlagen gjorts i Turkiet i slutet av 1997 och att han blivit dömd. Den försäkrade begärde vid samtalet en skriftlig redogörelse om va</w:t>
      </w:r>
      <w:r w:rsidRPr="0008481A">
        <w:t>r</w:t>
      </w:r>
      <w:r w:rsidRPr="0008481A">
        <w:t>för han</w:t>
      </w:r>
      <w:r w:rsidRPr="0008481A">
        <w:t>d</w:t>
      </w:r>
      <w:r w:rsidRPr="0008481A">
        <w:t>lingar skickats till Turkiet trots att han inte ville detta.</w:t>
      </w:r>
    </w:p>
    <w:p w:rsidR="003B3271" w:rsidRPr="0008481A" w:rsidRDefault="003B3271">
      <w:pPr>
        <w:pStyle w:val="Citatindrag"/>
      </w:pPr>
      <w:r w:rsidRPr="0008481A">
        <w:t>Den 29 april 1999 skickar försäkringsspecialisten inom pensionsområdet ett skriftligt svar till den försäkrade. I denna angavs att pens</w:t>
      </w:r>
      <w:r w:rsidRPr="0008481A">
        <w:t>ionsavdelningen inte observerat att den försäkrade inte ville ansöka om pension från Turkiet. I brevet ställdes frågan om varför den försäkrade fyllde i blanketten (ans</w:t>
      </w:r>
      <w:r w:rsidRPr="0008481A">
        <w:t>ö</w:t>
      </w:r>
      <w:r w:rsidRPr="0008481A">
        <w:t>kan om pension) och då inte meddelade oss att det kunde innebära en fara. Vidare anges att försäkringskassan inte hade skickat blanketten till Turkiet mot hans vilja.</w:t>
      </w:r>
    </w:p>
    <w:p w:rsidR="003B3271" w:rsidRPr="0008481A" w:rsidRDefault="003B3271">
      <w:pPr>
        <w:pStyle w:val="Citatindrag"/>
      </w:pPr>
      <w:r w:rsidRPr="0008481A">
        <w:t>Klart framkommer att den försäkrade fyllt i en blankett om ansökan av pe</w:t>
      </w:r>
      <w:r w:rsidRPr="0008481A">
        <w:t>n</w:t>
      </w:r>
      <w:r w:rsidRPr="0008481A">
        <w:t>sion i Turkiet trots att man av blanketten borde kunna utläsa att den ska skickas till Turkiet. Den försäkrade har dock klart och tydligt uppgivit att han inte vill att handlingar ska skickas till Turkiet. Av denna anledning bo</w:t>
      </w:r>
      <w:r w:rsidRPr="0008481A">
        <w:t>r</w:t>
      </w:r>
      <w:r w:rsidRPr="0008481A">
        <w:t>de en personlig kontakt tagits med den försäkrade innan ansökningsbla</w:t>
      </w:r>
      <w:r w:rsidRPr="0008481A">
        <w:t>n</w:t>
      </w:r>
      <w:r w:rsidRPr="0008481A">
        <w:t>ketten skickades till honom eller innan det att handlingar skickades till Tu</w:t>
      </w:r>
      <w:r w:rsidRPr="0008481A">
        <w:t>r</w:t>
      </w:r>
      <w:r w:rsidRPr="0008481A">
        <w:t>kiet.</w:t>
      </w:r>
    </w:p>
    <w:p w:rsidR="003B3271" w:rsidRPr="0008481A" w:rsidRDefault="003B3271">
      <w:r w:rsidRPr="0008481A">
        <w:t>Henrik Meldahl tillade bl.a. följande.</w:t>
      </w:r>
    </w:p>
    <w:p w:rsidR="003B3271" w:rsidRPr="0008481A" w:rsidRDefault="003B3271">
      <w:pPr>
        <w:pStyle w:val="Rubrik4"/>
      </w:pPr>
      <w:r w:rsidRPr="0008481A">
        <w:t>Bakgrund</w:t>
      </w:r>
    </w:p>
    <w:p w:rsidR="003B3271" w:rsidRPr="0008481A" w:rsidRDefault="003B3271">
      <w:pPr>
        <w:pStyle w:val="Citat"/>
      </w:pPr>
      <w:r w:rsidRPr="0008481A">
        <w:t>X uppgav på sin ansökan om förtidspension daterad 23 september 1997, under övriga upplysningar, att han helst inte ville att hans pe</w:t>
      </w:r>
      <w:r w:rsidRPr="0008481A">
        <w:t>n</w:t>
      </w:r>
      <w:r w:rsidRPr="0008481A">
        <w:t>sionshandlingar skulle sändas till Turkiet. Detta finns också antecknat i journalantec</w:t>
      </w:r>
      <w:r w:rsidRPr="0008481A">
        <w:t>k</w:t>
      </w:r>
      <w:r w:rsidRPr="0008481A">
        <w:t>ning daterad 23 september 1997.</w:t>
      </w:r>
    </w:p>
    <w:p w:rsidR="003B3271" w:rsidRPr="0008481A" w:rsidRDefault="003B3271">
      <w:pPr>
        <w:pStyle w:val="Citatindrag"/>
      </w:pPr>
      <w:r w:rsidRPr="0008481A">
        <w:t>Pensionshandläggaren har inte uppmärksammat dessa uppgifter i akten. Då X i ansökan uppgivit att han förvärvsarbetat i Turkiet har handläggaren sänt ansökningsblankett för erhållande av pension i Turkiet till X. Han</w:t>
      </w:r>
      <w:r w:rsidRPr="0008481A">
        <w:t>d</w:t>
      </w:r>
      <w:r w:rsidRPr="0008481A">
        <w:t>lingarna har sedan sänts till Turk</w:t>
      </w:r>
      <w:r w:rsidRPr="0008481A">
        <w:t>i</w:t>
      </w:r>
      <w:r w:rsidRPr="0008481A">
        <w:t>et för handläggning.</w:t>
      </w:r>
    </w:p>
    <w:p w:rsidR="003B3271" w:rsidRPr="0008481A" w:rsidRDefault="003B3271">
      <w:pPr>
        <w:pStyle w:val="Rubrik4"/>
      </w:pPr>
      <w:r w:rsidRPr="0008481A">
        <w:t>Yttra</w:t>
      </w:r>
      <w:r w:rsidRPr="0008481A">
        <w:t>n</w:t>
      </w:r>
      <w:r w:rsidRPr="0008481A">
        <w:t>de</w:t>
      </w:r>
    </w:p>
    <w:p w:rsidR="003B3271" w:rsidRPr="0008481A" w:rsidRDefault="003B3271">
      <w:pPr>
        <w:pStyle w:val="Citat"/>
      </w:pPr>
      <w:r w:rsidRPr="0008481A">
        <w:t>I 20 kap. 9 a § lagen om allmän försäkring framgår att till ett utländskt soc</w:t>
      </w:r>
      <w:r w:rsidRPr="0008481A">
        <w:t>i</w:t>
      </w:r>
      <w:r w:rsidRPr="0008481A">
        <w:t>al</w:t>
      </w:r>
      <w:r w:rsidRPr="0008481A">
        <w:softHyphen/>
        <w:t>försäkringsorgan får utan hinder av sekretess lämnas sådana uppgifter om enskilda som behövs vid tillämpningen av en internationell överens</w:t>
      </w:r>
      <w:r w:rsidRPr="0008481A">
        <w:softHyphen/>
        <w:t>komme</w:t>
      </w:r>
      <w:r w:rsidRPr="0008481A">
        <w:t>l</w:t>
      </w:r>
      <w:r w:rsidRPr="0008481A">
        <w:t>se som Sverige anslutit sig till.</w:t>
      </w:r>
    </w:p>
    <w:p w:rsidR="003B3271" w:rsidRPr="0008481A" w:rsidRDefault="003B3271">
      <w:pPr>
        <w:pStyle w:val="Citatindrag"/>
      </w:pPr>
      <w:r w:rsidRPr="0008481A">
        <w:t>Pensionshandläggaren sände över handlingar rörande X till Turkiet med anledning av konventionen om pension mellan Sverige och Turkiet.</w:t>
      </w:r>
    </w:p>
    <w:p w:rsidR="003B3271" w:rsidRPr="0008481A" w:rsidRDefault="003B3271">
      <w:pPr>
        <w:pStyle w:val="Citatindrag"/>
      </w:pPr>
      <w:r w:rsidRPr="0008481A">
        <w:t>Försäkringskassan anser inte att X:s pensionsärende har handlagts på ett tillfredsställande sätt. Det är mycket viktigt att den som skall handlägga ett ärende tar del av all information i ärendet, så att viktig information inte fö</w:t>
      </w:r>
      <w:r w:rsidRPr="0008481A">
        <w:t>r</w:t>
      </w:r>
      <w:r w:rsidRPr="0008481A">
        <w:t>bises.</w:t>
      </w:r>
    </w:p>
    <w:p w:rsidR="003B3271" w:rsidRPr="0008481A" w:rsidRDefault="003B3271">
      <w:pPr>
        <w:pStyle w:val="Citatindrag"/>
      </w:pPr>
      <w:r w:rsidRPr="0008481A">
        <w:t>X:s pensionshandlingar skulle inte ha sänts till Turkiet. Även om X fyllt i hemsänd ansökningshandling kan han därmed inte anses ha lämnat sitt samtycke till att han nu ville ansöka om pension från Turkiet. Lokalkontoret borde [ha] kontaktat X innan handlingarna skickades till Turkiet.</w:t>
      </w:r>
    </w:p>
    <w:p w:rsidR="003B3271" w:rsidRPr="0008481A" w:rsidRDefault="003B3271">
      <w:pPr>
        <w:pStyle w:val="Citatindrag"/>
      </w:pPr>
      <w:r w:rsidRPr="0008481A">
        <w:t>Lokalkontoret har lämnat en skriftlig redogörelse till X varför hans han</w:t>
      </w:r>
      <w:r w:rsidRPr="0008481A">
        <w:t>d</w:t>
      </w:r>
      <w:r w:rsidRPr="0008481A">
        <w:t>lingar sändes till Turkiet och bett om ursäkt för det inträffade.</w:t>
      </w:r>
    </w:p>
    <w:p w:rsidR="003B3271" w:rsidRPr="0008481A" w:rsidRDefault="003B3271">
      <w:pPr>
        <w:pStyle w:val="Citatindrag"/>
      </w:pPr>
      <w:r w:rsidRPr="0008481A">
        <w:t>Försäkringskassan ser allvarligt på det inträffade och beklagar det obehag som detta me</w:t>
      </w:r>
      <w:r w:rsidRPr="0008481A">
        <w:t>d</w:t>
      </w:r>
      <w:r w:rsidRPr="0008481A">
        <w:t>fört för X.</w:t>
      </w:r>
    </w:p>
    <w:p w:rsidR="003B3271" w:rsidRPr="0008481A" w:rsidRDefault="003B3271">
      <w:r w:rsidRPr="0008481A">
        <w:t>X kommenterade remissvaret genom ombud.</w:t>
      </w:r>
    </w:p>
    <w:p w:rsidR="003B3271" w:rsidRPr="0008481A" w:rsidRDefault="003B3271">
      <w:pPr>
        <w:pStyle w:val="Normaltindrag"/>
      </w:pPr>
      <w:r w:rsidRPr="0008481A">
        <w:t xml:space="preserve">I sitt beslut den 29 mars 2000 anförde </w:t>
      </w:r>
      <w:r w:rsidRPr="0008481A">
        <w:rPr>
          <w:i/>
        </w:rPr>
        <w:t xml:space="preserve">JO Pennlöv </w:t>
      </w:r>
      <w:r w:rsidRPr="0008481A">
        <w:t>följande i bedöm</w:t>
      </w:r>
      <w:r w:rsidRPr="0008481A">
        <w:softHyphen/>
        <w:t>ningsdelen.</w:t>
      </w:r>
    </w:p>
    <w:p w:rsidR="003B3271" w:rsidRPr="0008481A" w:rsidRDefault="003B3271">
      <w:r w:rsidRPr="0008481A">
        <w:t>Enligt 20 kap. 9 a § lagen (1962:381) om allmän försäkring (AFL) får en försä</w:t>
      </w:r>
      <w:r w:rsidRPr="0008481A">
        <w:t>k</w:t>
      </w:r>
      <w:r w:rsidRPr="0008481A">
        <w:t>ringskassa till ett utländskt socialförsäkringsorgan utan hinder av sekretess lämna sådana uppgifter om enskilda som behövs vid tillämpningen av en internationell överenskommelse som Sverige anslutit sig till. Av förordningen (1981:208) om tillämpning av en konvention den 30 juni 1978 mellan Sverige och Turkiet röra</w:t>
      </w:r>
      <w:r w:rsidRPr="0008481A">
        <w:t>n</w:t>
      </w:r>
      <w:r w:rsidRPr="0008481A">
        <w:t>de social trygghet framgår att nämnda konvention jämte tillämpningsföreskrifter skall lända till efterrättelse här i riket.</w:t>
      </w:r>
    </w:p>
    <w:p w:rsidR="003B3271" w:rsidRPr="0008481A" w:rsidRDefault="003B3271">
      <w:pPr>
        <w:pStyle w:val="Normaltindrag"/>
      </w:pPr>
      <w:r w:rsidRPr="0008481A">
        <w:t>Av utredningen i ärendet framgår att försäkringskassan har skickat ha</w:t>
      </w:r>
      <w:r w:rsidRPr="0008481A">
        <w:t>ndlingar som normalt är föremål för sekretess enligt 7 kap. 7 § sekretesslagen (1980:100) till ett turkiskt socialförsäkringsorgan med anledning av nyss nämnda konvention mellan Sverige och Turkiet rörande social trygghet. Av den ovan nämnda sekr</w:t>
      </w:r>
      <w:r w:rsidRPr="0008481A">
        <w:t>e</w:t>
      </w:r>
      <w:r w:rsidRPr="0008481A">
        <w:t>tessbrytande regeln i AFL fram</w:t>
      </w:r>
      <w:r w:rsidRPr="0008481A">
        <w:softHyphen/>
        <w:t>går att försäkringskassans handlande inte står i strid med sekretesslagens bestämmelser.</w:t>
      </w:r>
    </w:p>
    <w:p w:rsidR="003B3271" w:rsidRPr="0008481A" w:rsidRDefault="003B3271">
      <w:pPr>
        <w:pStyle w:val="Normaltindrag"/>
      </w:pPr>
      <w:r w:rsidRPr="0008481A">
        <w:t>Det sagda innebär emellertid inte att det var korrekt av försäkringskassan att öve</w:t>
      </w:r>
      <w:r w:rsidRPr="0008481A">
        <w:t>r</w:t>
      </w:r>
      <w:r w:rsidRPr="0008481A">
        <w:t>sända de aktuella handlingarna till det turkiska försäkringsorganet. Av försä</w:t>
      </w:r>
      <w:r w:rsidRPr="0008481A">
        <w:t>k</w:t>
      </w:r>
      <w:r w:rsidRPr="0008481A">
        <w:t>ringskassans journalanteckningar i X:s pensionsärende framgår tydligt att X inte önskade att hans handlingar skulle skickas till Turkiet. Kassan borde därför enligt min mening inte ha översänt handlingarna dit. Kassan har lämnat en skrif</w:t>
      </w:r>
      <w:r w:rsidRPr="0008481A">
        <w:t>t</w:t>
      </w:r>
      <w:r w:rsidRPr="0008481A">
        <w:t>lig redogörelse till X om varför hans handlingar översändes till Turkiet och bett om ursäkt för det inträffade. Försäkrings</w:t>
      </w:r>
      <w:r w:rsidRPr="0008481A">
        <w:softHyphen/>
        <w:t>kassan kan dock inte undgå kritik för sitt handlande.</w:t>
      </w:r>
    </w:p>
    <w:p w:rsidR="003B3271" w:rsidRPr="0008481A" w:rsidRDefault="003B3271">
      <w:pPr>
        <w:pStyle w:val="Rubrik2"/>
        <w:spacing w:before="0"/>
        <w:rPr>
          <w:i/>
        </w:rPr>
      </w:pPr>
      <w:r w:rsidRPr="0008481A">
        <w:rPr>
          <w:i/>
        </w:rPr>
        <w:br w:type="page"/>
        <w:t>Meddelarfrihet</w:t>
      </w:r>
    </w:p>
    <w:p w:rsidR="003B3271" w:rsidRPr="0008481A" w:rsidRDefault="003B3271">
      <w:pPr>
        <w:pStyle w:val="Rubrik2"/>
      </w:pPr>
      <w:r w:rsidRPr="0008481A">
        <w:t xml:space="preserve">Åtal mot en tjänsteman för brott mot efterforskningsförbudet i 2 kap. 4 och 5 §§ yttrandefrihetsgrundlagen </w:t>
      </w:r>
    </w:p>
    <w:p w:rsidR="003B3271" w:rsidRPr="0008481A" w:rsidRDefault="003B3271">
      <w:r w:rsidRPr="0008481A">
        <w:t>(Dnr 610-1996)</w:t>
      </w:r>
    </w:p>
    <w:p w:rsidR="003B3271" w:rsidRPr="0008481A" w:rsidRDefault="003B3271">
      <w:r w:rsidRPr="0008481A">
        <w:t>På uppdrag av JO Lavin väcktes den 2 juni 1997 åtal mot direktören vid Språk- och folkminnesinstitutet, Jan Paul Strid, enligt följande gärnings</w:t>
      </w:r>
      <w:r w:rsidRPr="0008481A">
        <w:softHyphen/>
        <w:t>beskriv</w:t>
      </w:r>
      <w:r w:rsidRPr="0008481A">
        <w:softHyphen/>
        <w:t>ning.</w:t>
      </w:r>
    </w:p>
    <w:p w:rsidR="003B3271" w:rsidRPr="0008481A" w:rsidRDefault="003B3271">
      <w:pPr>
        <w:pStyle w:val="Citat"/>
      </w:pPr>
      <w:r w:rsidRPr="0008481A">
        <w:t>Jan Paul Strid har som chef för den statliga myndigheten Språk- och folk</w:t>
      </w:r>
      <w:r w:rsidRPr="0008481A">
        <w:softHyphen/>
        <w:t>minnesinstitutet genom brev till och telefonsamtal med Maj Rein</w:t>
      </w:r>
      <w:r w:rsidRPr="0008481A">
        <w:softHyphen/>
        <w:t>hammar i december 1995 i Uppsala efterforskat vem eller vilka personer som lämnat uppgifter om institutets omorganisation till redaktionen för radioprogrammet Folkminnen. Uppgifterna hade offentliggjorts i ett radioinslag i P 1 den 3 december 1995. Efterforsk</w:t>
      </w:r>
      <w:r w:rsidRPr="0008481A">
        <w:softHyphen/>
        <w:t>ningen har skett upp</w:t>
      </w:r>
      <w:r w:rsidRPr="0008481A">
        <w:softHyphen/>
        <w:t xml:space="preserve">såtligen. </w:t>
      </w:r>
    </w:p>
    <w:p w:rsidR="003B3271" w:rsidRPr="0008481A" w:rsidRDefault="003B3271">
      <w:pPr>
        <w:pStyle w:val="Citatindrag"/>
      </w:pPr>
      <w:r w:rsidRPr="0008481A">
        <w:t>Lagrum: 2 kap. 4 och 5 §§ yttrandefrihetsgrundlagen</w:t>
      </w:r>
    </w:p>
    <w:p w:rsidR="003B3271" w:rsidRPr="0008481A" w:rsidRDefault="003B3271">
      <w:r w:rsidRPr="0008481A">
        <w:t>I en dom den 4 februari 1998 dömde Uppsala tingsrätt Jan Paul Strid för brott mot efterforskningsförbud till dagsböter. I domskälen antecknades bl.a. följande:</w:t>
      </w:r>
    </w:p>
    <w:p w:rsidR="003B3271" w:rsidRPr="0008481A" w:rsidRDefault="003B3271">
      <w:pPr>
        <w:pStyle w:val="Citat"/>
      </w:pPr>
      <w:r w:rsidRPr="0008481A">
        <w:t>Det är ostridigt att Jan Paul Strid dels i brev av den 8 december 1995, dels vid ett telefonsamtal med Maj Reinhammar den 11 december 1995, har frågat henne vem eller vilka personer som lämnat uppgifter om en före</w:t>
      </w:r>
      <w:r w:rsidRPr="0008481A">
        <w:softHyphen/>
        <w:t>stående omorganisation av Språk- och folkminnesinstitutet till redaktionen för radioprogrammet Folkminnen samt bett henne undersöka detta. Han har vidare i telefonsamtalet den 11 december 1995 frågat Maj Reinhammar om det var hon som hade lämnat uppgifterna.</w:t>
      </w:r>
    </w:p>
    <w:p w:rsidR="003B3271" w:rsidRPr="0008481A" w:rsidRDefault="003B3271">
      <w:pPr>
        <w:pStyle w:val="Citatindrag"/>
      </w:pPr>
      <w:r w:rsidRPr="0008481A">
        <w:t>Enligt 1 kap. 2 § yttrandefrihetsgrundlagen är varje svensk medborgare tillförsäkrad rätten att till författare och andra upphovsmän samt till utgivare, redaktioner, nyhetsföretag och företag för framställning av filmer eller ljudupptagningar lämna upp</w:t>
      </w:r>
      <w:r w:rsidRPr="0008481A">
        <w:t>gifter i vilket ämne som helst för offentlig</w:t>
      </w:r>
      <w:r w:rsidRPr="0008481A">
        <w:softHyphen/>
        <w:t xml:space="preserve">görande i radioprogram, filmer och ljudupptagningar. Vidare föreskrivs i </w:t>
      </w:r>
      <w:r w:rsidRPr="0008481A">
        <w:br/>
        <w:t>2 kap. 4 § samma lag att ingen myndighet eller annat allmänt organ får efter</w:t>
      </w:r>
      <w:r w:rsidRPr="0008481A">
        <w:softHyphen/>
        <w:t>forska den som har lämnat uppgifter enligt 1 kap. 2 §. Av 5 § samma kapitel framgår att för efterforskning i strid med 4 § döms, om efter</w:t>
      </w:r>
      <w:r w:rsidRPr="0008481A">
        <w:softHyphen/>
        <w:t>forskningen har skett uppsåtligen, till böter eller fängelse i högst ett år.</w:t>
      </w:r>
    </w:p>
    <w:p w:rsidR="003B3271" w:rsidRPr="0008481A" w:rsidRDefault="003B3271">
      <w:pPr>
        <w:pStyle w:val="Citatindrag"/>
      </w:pPr>
      <w:r w:rsidRPr="0008481A">
        <w:t>Fråga är i målet om Jan Paul Strid varit att anse som företrädare för det allmänna, vilket är en föru</w:t>
      </w:r>
      <w:r w:rsidRPr="0008481A">
        <w:t>tsättning för att 2 kap. 4 § yttrandefrihets</w:t>
      </w:r>
      <w:r w:rsidRPr="0008481A">
        <w:softHyphen/>
        <w:t>grund</w:t>
      </w:r>
      <w:r w:rsidRPr="0008481A">
        <w:softHyphen/>
        <w:t>lagen skall vara tillämplig, samt om de gärningar Jan Paul Strid begått är att anse som efterforskning i samma lagrums mening och därmed är straff</w:t>
      </w:r>
      <w:r w:rsidRPr="0008481A">
        <w:softHyphen/>
        <w:t>belagda.</w:t>
      </w:r>
    </w:p>
    <w:p w:rsidR="003B3271" w:rsidRPr="0008481A" w:rsidRDefault="003B3271">
      <w:pPr>
        <w:pStyle w:val="Citatindrag"/>
      </w:pPr>
      <w:r w:rsidRPr="0008481A">
        <w:t>Jan Paul Strid är anställd som direktör vid Språk- och folkminnesinstitutet (SOFI). Av förordningen (1993:654) med instruktion för Språk- och folk</w:t>
      </w:r>
      <w:r w:rsidRPr="0008481A">
        <w:softHyphen/>
        <w:t>minnesinstitutet framgår bl.a. att institutet är en myndighet för vilken verks</w:t>
      </w:r>
      <w:r w:rsidRPr="0008481A">
        <w:softHyphen/>
        <w:t>förordningen är tillämplig och att institutets direktör är chef för myn</w:t>
      </w:r>
      <w:r w:rsidRPr="0008481A">
        <w:softHyphen/>
        <w:t>dig</w:t>
      </w:r>
      <w:r w:rsidRPr="0008481A">
        <w:softHyphen/>
        <w:t>heten. Jan Paul Strid har således, såsom direktör för SOFI, varit att anse som företrädare för det allmänna på sådant sätt att vad som föreskrivs i 2 kap. 4 § yttrandefrihetsgrundlagen är tillämpligt beträffande honom (jfr betr myn</w:t>
      </w:r>
      <w:r w:rsidRPr="0008481A">
        <w:softHyphen/>
        <w:t>dighetsbegreppet m.m. prop. 1975/76:204 s. 145 och 1975/76:160 s. 128 ff).</w:t>
      </w:r>
    </w:p>
    <w:p w:rsidR="003B3271" w:rsidRPr="0008481A" w:rsidRDefault="003B3271">
      <w:pPr>
        <w:pStyle w:val="Citatindrag"/>
      </w:pPr>
      <w:r w:rsidRPr="0008481A">
        <w:t>Förbudet om efterforskning i yttrandefrihetsgrund</w:t>
      </w:r>
      <w:r w:rsidRPr="0008481A">
        <w:t>lagen har utformats med tryckfrihetsförordningen som förebild. Av motiven till tryckfrihetsförord</w:t>
      </w:r>
      <w:r w:rsidRPr="0008481A">
        <w:softHyphen/>
        <w:t>ningen framgår att vad som förbjuds är att söka utröna vem som står bakom ett publicerat meddelande såsom författare eller meddelare när denne inte framträder öppet (prop. 1975/76:204 s. 145). Det kan i och för sig ifråga</w:t>
      </w:r>
      <w:r w:rsidRPr="0008481A">
        <w:softHyphen/>
        <w:t>sättas om Jan Paul Strid, när han uppdragit åt Maj Reinhammar att undersöka vem som lämnat uppgifter till media, gjort sig skyldig till brott mot efterforskningsförbudet eller endast till anst</w:t>
      </w:r>
      <w:r w:rsidRPr="0008481A">
        <w:t>iftan av sådant brott, vilket inte är straffbart. Genom att Jan Paul Strid vidtagit åtgärder för att ta reda på vem som varit uppgiftslämnare, dvs i lagens mening efterforskat uppgifts</w:t>
      </w:r>
      <w:r w:rsidRPr="0008481A">
        <w:softHyphen/>
        <w:t>läm</w:t>
      </w:r>
      <w:r w:rsidRPr="0008481A">
        <w:softHyphen/>
        <w:t>naren, skall han enligt tingsrättens mening anses som gärnings</w:t>
      </w:r>
      <w:r w:rsidRPr="0008481A">
        <w:softHyphen/>
        <w:t>man.</w:t>
      </w:r>
    </w:p>
    <w:p w:rsidR="003B3271" w:rsidRPr="0008481A" w:rsidRDefault="003B3271">
      <w:pPr>
        <w:pStyle w:val="Citatindrag"/>
      </w:pPr>
      <w:r w:rsidRPr="0008481A">
        <w:t>Jan Paul Strid har vidgått att syftet med hans åtgärder var att klarlägga vem som lämnat uppgifterna om institutets omorganisation till media. Han har således uppsåtligen brutit mot efterforskningsförbudet.</w:t>
      </w:r>
    </w:p>
    <w:p w:rsidR="003B3271" w:rsidRPr="0008481A" w:rsidRDefault="003B3271">
      <w:pPr>
        <w:pStyle w:val="Citatindrag"/>
      </w:pPr>
      <w:r w:rsidRPr="0008481A">
        <w:t>Trots att Maj Reinhammar förklarat för Jan Paul Strid att hon inte avsåg att undersöka vem som varit uppgiftslämnare, eftersom detta skulle vara brotts</w:t>
      </w:r>
      <w:r w:rsidRPr="0008481A">
        <w:softHyphen/>
        <w:t>ligt, skrev Jan Paul Strid till Maj Reinhammar i ett brev av den 29 januari 1996 bl.a. att han bett henne ta reda på vem (vilka) som lämnat uppgifterna samt att han nu fått kännedom om att de uppgifter som lämnats till radio</w:t>
      </w:r>
      <w:r w:rsidRPr="0008481A">
        <w:softHyphen/>
        <w:t>programmet Folkminnens redaktion kommit från Maj Reinhammar. Han har i anslutning till detta skrivit: ”Jag önskar en förklaring och vill därför träffa Dig (ensam) här på mitt tjänsterum på torsdag 1 / 2 kl 10.00. Det är lämpligt att vi då också diskuterar Din plats i den nya organisati</w:t>
      </w:r>
      <w:r w:rsidRPr="0008481A">
        <w:t>onen.”</w:t>
      </w:r>
    </w:p>
    <w:p w:rsidR="003B3271" w:rsidRPr="0008481A" w:rsidRDefault="003B3271">
      <w:pPr>
        <w:pStyle w:val="Citatindrag"/>
      </w:pPr>
      <w:r w:rsidRPr="0008481A">
        <w:t>Även om Jan Paul Strids syfte endast varit att få kontakt med uppgifts</w:t>
      </w:r>
      <w:r w:rsidRPr="0008481A">
        <w:softHyphen/>
        <w:t>lämnare för att rätta felaktiga sakuppgifter är hans förfarande att bedöma som brottsligt. Det är dock, enligt tingsrättens mening, uppenbart att Jan Paul Strid inte endast sökt få kännedom om vem som lämnat uppgifterna till redaktionen utan att han också använt uppgifterna mot Maj Reinhammar, eller i vart fall uttryckt sig på sådant sätt att det för Maj Reinhammar måste ha stått klart att hennes underlåtenhet att undersöka och upplysa Jan Paul Strid om vem som lämnat uppgifter till media kunde medföra neg</w:t>
      </w:r>
      <w:r w:rsidRPr="0008481A">
        <w:t>ativa konsekvenser för henne på arbetsplatsen.</w:t>
      </w:r>
    </w:p>
    <w:p w:rsidR="003B3271" w:rsidRPr="0008481A" w:rsidRDefault="003B3271">
      <w:pPr>
        <w:pStyle w:val="Citatindrag"/>
      </w:pPr>
      <w:r w:rsidRPr="0008481A">
        <w:t>Det brott Jan Paul Strid har gjort sig skyldig till är mot denna bakgrund allvarligt. – – –</w:t>
      </w:r>
    </w:p>
    <w:p w:rsidR="003B3271" w:rsidRPr="0008481A" w:rsidRDefault="003B3271">
      <w:r w:rsidRPr="0008481A">
        <w:t>Jan Paul Strid yrkade i Svea hovrätt att åtalet skulle ogillas. JO bestred ändring. Hovrätten ändrade i en dom den 11 oktober 1999 tingsrättens dom</w:t>
      </w:r>
      <w:r w:rsidRPr="0008481A">
        <w:softHyphen/>
        <w:t>slut endast på det sättet att antalet dagsböter sänktes. I hovrättens domskäl antecknades följande.</w:t>
      </w:r>
    </w:p>
    <w:p w:rsidR="003B3271" w:rsidRPr="0008481A" w:rsidRDefault="003B3271">
      <w:pPr>
        <w:pStyle w:val="Citat"/>
      </w:pPr>
      <w:r w:rsidRPr="0008481A">
        <w:t>Jan Paul Strid har som grund för överklagandet anfört att han inte haft uppsåt att efterforska källan till de uppgifter som lämnats till Bengt af Klintberg eftersom han inte uppfattat att uppgiftslämnaren ville vara anonym och då han endast haft för avsikt att lägga vissa felaktiga uppgifter tillrätta, att hans vidtagna åtgärder inte varit efterforskning, samt att han inte haft för avsikt att använda uppgift</w:t>
      </w:r>
      <w:r w:rsidRPr="0008481A">
        <w:t>erna mot Maj Reinhammar.</w:t>
      </w:r>
    </w:p>
    <w:p w:rsidR="003B3271" w:rsidRPr="0008481A" w:rsidRDefault="003B3271">
      <w:pPr>
        <w:pStyle w:val="Citatindrag"/>
      </w:pPr>
      <w:r w:rsidRPr="0008481A">
        <w:t xml:space="preserve">Det är genom såväl Jan Paul Strids som Maj Reinhammars uppgifter utrett att Jan Paul Strid vidtagit de åtgärder som Justitieombudsmannen påstått. Det är också utrett att Jan Paul Strid vidtagit åtgärderna i egenskap av direktör för Språk- och folkminnesinstitutet (SOFI) och därmed agerat som företrädare för det allmänna. Jan Paul Strids åtgärder är att bedöma som brott mot efterforskningsförbudet. Han kan därför inte undgå ansvar. – – – </w:t>
      </w:r>
    </w:p>
    <w:p w:rsidR="003B3271" w:rsidRPr="0008481A" w:rsidRDefault="003B3271">
      <w:pPr>
        <w:pStyle w:val="Normaltindrag"/>
      </w:pPr>
      <w:r w:rsidRPr="0008481A">
        <w:t>Högsta domstolen beslutade den 8 december 1999 på talan av Jan Paul Strid att inte meddela prövningstillstånd.</w:t>
      </w:r>
    </w:p>
    <w:p w:rsidR="003B3271" w:rsidRPr="0008481A" w:rsidRDefault="003B3271">
      <w:pPr>
        <w:pStyle w:val="Rubrik2"/>
        <w:spacing w:before="0"/>
      </w:pPr>
      <w:r w:rsidRPr="0008481A">
        <w:br w:type="page"/>
        <w:t>Ifrågasatta inskränkningar i yttrandefriheten</w:t>
      </w:r>
    </w:p>
    <w:p w:rsidR="003B3271" w:rsidRPr="0008481A" w:rsidRDefault="003B3271">
      <w:r w:rsidRPr="0008481A">
        <w:t>(Dnr 96-1998)</w:t>
      </w:r>
    </w:p>
    <w:p w:rsidR="003B3271" w:rsidRPr="0008481A" w:rsidRDefault="003B3271">
      <w:pPr>
        <w:pStyle w:val="Rubrik3"/>
      </w:pPr>
      <w:r w:rsidRPr="0008481A">
        <w:t>Anmälan</w:t>
      </w:r>
    </w:p>
    <w:p w:rsidR="003B3271" w:rsidRPr="0008481A" w:rsidRDefault="003B3271">
      <w:r w:rsidRPr="0008481A">
        <w:t>I en anmälan som kom in till JO den 9 januari 1998 begärde ansvarige utgivaren för Gefle Dagblad, Robert Rosén, att JO skulle utreda om Sandvikens kommun otillbörligt påverkat de anställdas möjligheter att utnyttja sin yttrandefrihet. Han refererade till innehållet i flera bifogade tidningsartiklar rörande ett lojalitetskrav som kom till uttryck i ett hos kommunen utarbetat policydokument. Han anförde att hans farhågor inte främst gällde dokumentet som sådant utan snarare motiven, formerna och innehållet i</w:t>
      </w:r>
      <w:r w:rsidRPr="0008481A">
        <w:t xml:space="preserve"> de diskussioner som förts med de anställda. I anmälan framförde Robert Rosén också att kommundirektören i Gävle kommun, Åke Edin, i en tidningsartikel uttalat att cheferna i Gävle kommun ”inte ska delta i den värderande, politiska debatten”. Även denna tidningsartikel bifogades anmälan.  </w:t>
      </w:r>
    </w:p>
    <w:p w:rsidR="003B3271" w:rsidRPr="0008481A" w:rsidRDefault="003B3271">
      <w:pPr>
        <w:pStyle w:val="Normaltindrag"/>
      </w:pPr>
      <w:r w:rsidRPr="0008481A">
        <w:t xml:space="preserve">Robert Rosén ingav ytterligare ett antal tidningsartiklar rörande det som hade påtalats i anmälan. Av det ingivna materialet antecknas följande. </w:t>
      </w:r>
    </w:p>
    <w:p w:rsidR="003B3271" w:rsidRPr="0008481A" w:rsidRDefault="003B3271">
      <w:pPr>
        <w:pStyle w:val="Rubrik5"/>
      </w:pPr>
      <w:r w:rsidRPr="0008481A">
        <w:t>Angående Sandvikens kommun:</w:t>
      </w:r>
    </w:p>
    <w:p w:rsidR="003B3271" w:rsidRPr="0008481A" w:rsidRDefault="003B3271">
      <w:r w:rsidRPr="0008481A">
        <w:t xml:space="preserve">I Gefle Dagblad den 4 januari 1998 fanns en artikel med rubrikerna ”Kommunen kräver lojalitet” och ”Negativa ord kan leda till avsked”. I artikeln angavs bl.a. </w:t>
      </w:r>
    </w:p>
    <w:p w:rsidR="003B3271" w:rsidRPr="0008481A" w:rsidRDefault="003B3271">
      <w:pPr>
        <w:pStyle w:val="Citat"/>
      </w:pPr>
      <w:r w:rsidRPr="0008481A">
        <w:t xml:space="preserve">I december kallade kommunalråden Inga Hagström och Stefan Hedin kommunens 200 förvaltningschefer och verksamhetsansvariga till två halvdagssammanträden med information. Om den ekonomiska situationen, framtiden och personalen. En punkt i programmet gällde kommunens nya chefspolicy som personaldelegationen nyligen beslutat om. </w:t>
      </w:r>
    </w:p>
    <w:p w:rsidR="003B3271" w:rsidRPr="0008481A" w:rsidRDefault="003B3271">
      <w:pPr>
        <w:pStyle w:val="Citatindrag"/>
      </w:pPr>
      <w:r w:rsidRPr="0008481A">
        <w:t xml:space="preserve">Bland annat diskuterades den anställdes skyldighet att vara lojal mot sin arbetsgivare. </w:t>
      </w:r>
    </w:p>
    <w:p w:rsidR="003B3271" w:rsidRPr="0008481A" w:rsidRDefault="003B3271">
      <w:pPr>
        <w:pStyle w:val="Citat"/>
        <w:spacing w:before="0"/>
      </w:pPr>
      <w:r w:rsidRPr="0008481A">
        <w:t xml:space="preserve">– Jag förstod att det skulle bli diskussion om detta. Vi gick igenom frågan ordentligt: Vad vi krävde av våra chefer och vad de kan kräva av oss, säger delegationens ordförande Stefan Hedin. </w:t>
      </w:r>
    </w:p>
    <w:p w:rsidR="003B3271" w:rsidRPr="0008481A" w:rsidRDefault="003B3271">
      <w:pPr>
        <w:pStyle w:val="Rubrik4"/>
      </w:pPr>
      <w:r w:rsidRPr="0008481A">
        <w:t xml:space="preserve">”Rätt att avskeda” </w:t>
      </w:r>
    </w:p>
    <w:p w:rsidR="003B3271" w:rsidRPr="0008481A" w:rsidRDefault="003B3271">
      <w:pPr>
        <w:pStyle w:val="Citat"/>
      </w:pPr>
      <w:r w:rsidRPr="0008481A">
        <w:t xml:space="preserve">Enligt honom har Arbetsdomstolen, AD, givit arbetsgivare rätt när offentliganställda har avskedats för att de har yttrat offentlig kritik. Detta trots att tryckfrihetsgrundlagen ger myndighetspersonal långtgående frihet att lämna upplysningar till massmedia. </w:t>
      </w:r>
    </w:p>
    <w:p w:rsidR="003B3271" w:rsidRPr="0008481A" w:rsidRDefault="003B3271">
      <w:pPr>
        <w:pStyle w:val="Citat"/>
        <w:spacing w:before="0"/>
      </w:pPr>
      <w:r w:rsidRPr="0008481A">
        <w:t xml:space="preserve">– Anställda har fällts när de inte först har informerat sin chef, utan istället vänt sig direkt till tidningar, radio eller teve, säger han och tillägger:  </w:t>
      </w:r>
    </w:p>
    <w:p w:rsidR="003B3271" w:rsidRPr="0008481A" w:rsidRDefault="003B3271">
      <w:pPr>
        <w:pStyle w:val="Citat"/>
        <w:spacing w:before="0"/>
      </w:pPr>
      <w:r w:rsidRPr="0008481A">
        <w:t>– Vi kan ju inte veta allting som händer, därför vill vi att verk</w:t>
      </w:r>
      <w:r w:rsidRPr="0008481A">
        <w:softHyphen/>
        <w:t>samhets</w:t>
      </w:r>
      <w:r w:rsidRPr="0008481A">
        <w:softHyphen/>
        <w:t xml:space="preserve">ansvariga ska få informationen i ett tidigt skede, så att vi får reda på felen och ges en möjlighet att rätta till dem. Har man påtalat brister och inget händer är det naturligtvis fritt fram.  </w:t>
      </w:r>
    </w:p>
    <w:p w:rsidR="003B3271" w:rsidRPr="0008481A" w:rsidRDefault="003B3271">
      <w:pPr>
        <w:pStyle w:val="Rubrik4"/>
      </w:pPr>
      <w:r w:rsidRPr="0008481A">
        <w:t xml:space="preserve">”Inte munkavle” </w:t>
      </w:r>
    </w:p>
    <w:p w:rsidR="003B3271" w:rsidRPr="0008481A" w:rsidRDefault="003B3271">
      <w:pPr>
        <w:pStyle w:val="Citat"/>
      </w:pPr>
      <w:r w:rsidRPr="0008481A">
        <w:t xml:space="preserve">Stefan Hedin hävdar att det inte är fråga om att belägga kommunens personal med munkavle. </w:t>
      </w:r>
    </w:p>
    <w:p w:rsidR="003B3271" w:rsidRPr="0008481A" w:rsidRDefault="003B3271">
      <w:pPr>
        <w:pStyle w:val="Citatindrag"/>
      </w:pPr>
      <w:r w:rsidRPr="0008481A">
        <w:t xml:space="preserve">Uppgifterna som nådde Gefle Dagblad uttryckte dock motsatsen. Även om tjänstemännen själva anser förhållandena mindre bra, så får de inte framföra detta. De har beordrats vara positiva. Om kritik kopplas till en person är det en direkt grund, först för utfrysning, sedan för stoppad karriär och slutligen uppsägning. I fortsättningen blir personalens enda val att låta politikerna hålla kontakt med journalisterna. </w:t>
      </w:r>
    </w:p>
    <w:p w:rsidR="003B3271" w:rsidRPr="0008481A" w:rsidRDefault="003B3271">
      <w:pPr>
        <w:pStyle w:val="Citat"/>
        <w:spacing w:before="0"/>
      </w:pPr>
      <w:r w:rsidRPr="0008481A">
        <w:softHyphen/>
        <w:t>– En chef ska inte offentligt ifrågasätta de fattade beslut som styr verksam</w:t>
      </w:r>
      <w:r w:rsidRPr="0008481A">
        <w:softHyphen/>
        <w:t xml:space="preserve">heten. I det här avseendet är den anställde ingen vanlig medborgare som kan gå ut och tycka vad han eller hon vill, säger Stefan Hedin. </w:t>
      </w:r>
    </w:p>
    <w:p w:rsidR="003B3271" w:rsidRPr="0008481A" w:rsidRDefault="003B3271">
      <w:pPr>
        <w:pStyle w:val="Rubrik4"/>
      </w:pPr>
      <w:r w:rsidRPr="0008481A">
        <w:t>”Feltolkat”</w:t>
      </w:r>
    </w:p>
    <w:p w:rsidR="003B3271" w:rsidRPr="0008481A" w:rsidRDefault="003B3271">
      <w:pPr>
        <w:pStyle w:val="Citat"/>
      </w:pPr>
      <w:r w:rsidRPr="0008481A">
        <w:t xml:space="preserve">En person som ansvarar för någon verksamhet i Sandviken är i första hand en representant för kommunen, arbetsgivarens förlängda arm, har man slagit fast. Stefan Hedin är dock väl medveten om att den nya chefspolicyn är en fin balansgång som riskerar att uppfattas som ett försök att inskränka yttrandefriheten. </w:t>
      </w:r>
    </w:p>
    <w:p w:rsidR="003B3271" w:rsidRPr="0008481A" w:rsidRDefault="003B3271">
      <w:pPr>
        <w:pStyle w:val="Citat"/>
        <w:spacing w:before="0"/>
      </w:pPr>
      <w:r w:rsidRPr="0008481A">
        <w:t xml:space="preserve">– Det är fel av mig att påstå att jag tycker om negativ publicitet. Men vi har ju heller inte för avsikt att medvetet bryta mot lagar och förordningar. Vi vill att anställda ska slå larm om kommunen inte uppfyller de krav som ställs. Det ingår också i anställningsavtalet att utföra ett gott arbete, säger han. </w:t>
      </w:r>
    </w:p>
    <w:p w:rsidR="003B3271" w:rsidRPr="0008481A" w:rsidRDefault="003B3271">
      <w:pPr>
        <w:pStyle w:val="Citatindrag"/>
      </w:pPr>
      <w:r w:rsidRPr="0008481A">
        <w:t xml:space="preserve">Enligt Inga Hagström har informationen tolkats fel. </w:t>
      </w:r>
    </w:p>
    <w:p w:rsidR="003B3271" w:rsidRPr="0008481A" w:rsidRDefault="003B3271">
      <w:pPr>
        <w:pStyle w:val="Citat"/>
        <w:spacing w:before="0"/>
      </w:pPr>
      <w:r w:rsidRPr="0008481A">
        <w:t xml:space="preserve">– Jag blir besviken. Vi förbjuder inte anställda att prata med massmedia eller på sakliga grunder kritisera – det kan vi ju inte. Många gånger är det ju också tjänstemännen som sitter inne med detaljerna och fakta i frågorna. </w:t>
      </w:r>
    </w:p>
    <w:p w:rsidR="003B3271" w:rsidRPr="0008481A" w:rsidRDefault="003B3271">
      <w:pPr>
        <w:pStyle w:val="Citatindrag"/>
      </w:pPr>
      <w:r w:rsidRPr="0008481A">
        <w:t>Stefan Hedin tillägger:</w:t>
      </w:r>
    </w:p>
    <w:p w:rsidR="003B3271" w:rsidRPr="0008481A" w:rsidRDefault="003B3271">
      <w:pPr>
        <w:pStyle w:val="Citat"/>
        <w:spacing w:before="0"/>
      </w:pPr>
      <w:r w:rsidRPr="0008481A">
        <w:t>– Vi ville ha en diskussion för att göra de här mycket svåra gräns</w:t>
      </w:r>
      <w:r w:rsidRPr="0008481A">
        <w:softHyphen/>
        <w:t xml:space="preserve">dragningarna som finns i chefernas vardag tydliga. Innebörden kan omöjligtvis klargöras i en policy, och det finns även de som uppfattat informationen positivt. </w:t>
      </w:r>
    </w:p>
    <w:p w:rsidR="003B3271" w:rsidRPr="0008481A" w:rsidRDefault="003B3271">
      <w:pPr>
        <w:pStyle w:val="Rubrik5"/>
      </w:pPr>
      <w:r w:rsidRPr="0008481A">
        <w:t>Angående Gävle kommun:</w:t>
      </w:r>
    </w:p>
    <w:p w:rsidR="003B3271" w:rsidRPr="0008481A" w:rsidRDefault="003B3271">
      <w:r w:rsidRPr="0008481A">
        <w:t>I en artikel i Gefle Dagblad den 5 januari 1998 kommenterade kommun</w:t>
      </w:r>
      <w:r w:rsidRPr="0008481A">
        <w:softHyphen/>
        <w:t xml:space="preserve">direktören Åke Edin uttalanden som intendenten för Gävle symfoniorkester, Klas Mossling, tidigare gjort i samma tidning. I artikeln angavs bl.a. </w:t>
      </w:r>
    </w:p>
    <w:p w:rsidR="003B3271" w:rsidRPr="0008481A" w:rsidRDefault="003B3271">
      <w:pPr>
        <w:pStyle w:val="Citat"/>
      </w:pPr>
      <w:r w:rsidRPr="0008481A">
        <w:t xml:space="preserve">– Cheferna ska inte delta i den värderande, politiska debatten, säger Gävles kommundirektör Åke Edin på söndagskvällen. Vi ska inte röra oss på den politiska arenan genom att delta i de politiska diskussionerna om ekonomin. </w:t>
      </w:r>
    </w:p>
    <w:p w:rsidR="003B3271" w:rsidRPr="0008481A" w:rsidRDefault="003B3271">
      <w:pPr>
        <w:pStyle w:val="Citat"/>
        <w:spacing w:before="0"/>
      </w:pPr>
      <w:r w:rsidRPr="0008481A">
        <w:t>– Det är skillnad om det blivit något misstag. Då ska vi påpeka det, men då ska vi också vara sakligt korrekta.</w:t>
      </w:r>
    </w:p>
    <w:p w:rsidR="003B3271" w:rsidRPr="0008481A" w:rsidRDefault="003B3271">
      <w:pPr>
        <w:pStyle w:val="Citatindrag"/>
      </w:pPr>
      <w:r w:rsidRPr="0008481A">
        <w:t xml:space="preserve">Klas Mossling sa i en intervju i Gefle Dagblad förra måndagen att symfoniorkesterns bidrag varit frysta i flera år samtidigt som kostnaderna ökat. </w:t>
      </w:r>
    </w:p>
    <w:p w:rsidR="003B3271" w:rsidRPr="0008481A" w:rsidRDefault="003B3271">
      <w:pPr>
        <w:pStyle w:val="Citat"/>
        <w:spacing w:before="0"/>
      </w:pPr>
      <w:r w:rsidRPr="0008481A">
        <w:t xml:space="preserve">– Jag har bett Klas Mossling lägga fram sitt underlag för det påståendet, säger Åke Edin. </w:t>
      </w:r>
    </w:p>
    <w:p w:rsidR="003B3271" w:rsidRPr="0008481A" w:rsidRDefault="003B3271">
      <w:pPr>
        <w:pStyle w:val="Citat"/>
        <w:spacing w:before="0"/>
      </w:pPr>
      <w:r w:rsidRPr="0008481A">
        <w:t>– Orkestern fick 600 000 kronor i extra anslag 1996. Om några veckor flyttar den in i nya lokaler med högre hyra. Är inte det ett resurstillskott.</w:t>
      </w:r>
    </w:p>
    <w:p w:rsidR="003B3271" w:rsidRPr="0008481A" w:rsidRDefault="003B3271">
      <w:pPr>
        <w:pStyle w:val="Citatindrag"/>
      </w:pPr>
      <w:r w:rsidRPr="0008481A">
        <w:t xml:space="preserve">Klas Mossling bekräftar att orkestern fick extra pengar 1996. </w:t>
      </w:r>
    </w:p>
    <w:p w:rsidR="003B3271" w:rsidRPr="0008481A" w:rsidRDefault="003B3271">
      <w:pPr>
        <w:pStyle w:val="Citat"/>
        <w:spacing w:before="0"/>
      </w:pPr>
      <w:r w:rsidRPr="0008481A">
        <w:t xml:space="preserve">– Det kom inte fram tillräckligt tydligt i intervjun att jag menade åren 1997 och 1998 när jag talade om frysta bidrag, säger han. </w:t>
      </w:r>
    </w:p>
    <w:p w:rsidR="003B3271" w:rsidRPr="0008481A" w:rsidRDefault="003B3271">
      <w:r w:rsidRPr="0008481A">
        <w:t xml:space="preserve">I en artikel i Gefle Dagblad den 8 januari 1998 angavs bl.a. </w:t>
      </w:r>
    </w:p>
    <w:p w:rsidR="003B3271" w:rsidRPr="0008481A" w:rsidRDefault="003B3271">
      <w:pPr>
        <w:pStyle w:val="Citat"/>
      </w:pPr>
      <w:r w:rsidRPr="0008481A">
        <w:t xml:space="preserve">I måndagens Gefle Dagblad sa Åke Edin att chefstjänstemännen inte får delta i den värderande politiska debatten. </w:t>
      </w:r>
    </w:p>
    <w:p w:rsidR="003B3271" w:rsidRPr="0008481A" w:rsidRDefault="003B3271">
      <w:pPr>
        <w:pStyle w:val="Citatindrag"/>
      </w:pPr>
      <w:r w:rsidRPr="0008481A">
        <w:t xml:space="preserve">På onsdagen sa han att lagen ger alla rätt att säga vad man vill. </w:t>
      </w:r>
    </w:p>
    <w:p w:rsidR="003B3271" w:rsidRPr="0008481A" w:rsidRDefault="003B3271">
      <w:pPr>
        <w:pStyle w:val="Citat"/>
        <w:spacing w:before="0"/>
      </w:pPr>
      <w:r w:rsidRPr="0008481A">
        <w:t xml:space="preserve">– Men det finns en gråzon. Som chefer kan vi inte föra en politisk debatt. Men det kan vara svårt att avgöra var gränsen går. </w:t>
      </w:r>
    </w:p>
    <w:p w:rsidR="003B3271" w:rsidRPr="0008481A" w:rsidRDefault="003B3271">
      <w:pPr>
        <w:pStyle w:val="Citat"/>
        <w:spacing w:before="0"/>
      </w:pPr>
      <w:r w:rsidRPr="0008481A">
        <w:t>– Vi ska inte hoppa in på den politiska arenan, men politikerna ska heller inte dra ut tjänstemännen dit. Det har jag sagt till politiker, precis som jag sagt till tjänstemän att de inte ska gå dit.</w:t>
      </w:r>
    </w:p>
    <w:p w:rsidR="003B3271" w:rsidRPr="0008481A" w:rsidRDefault="003B3271">
      <w:pPr>
        <w:pStyle w:val="Citatindrag"/>
      </w:pPr>
      <w:r w:rsidRPr="0008481A">
        <w:t>Klas Mossling är glad över att allt nu är utklarat.</w:t>
      </w:r>
    </w:p>
    <w:p w:rsidR="003B3271" w:rsidRPr="0008481A" w:rsidRDefault="003B3271">
      <w:pPr>
        <w:pStyle w:val="Citat"/>
        <w:spacing w:before="0"/>
      </w:pPr>
      <w:r w:rsidRPr="0008481A">
        <w:t>– Vi är ense om att orkestern fick ett extra anslag 1996 när kommunen tog över ansvaret. Jag fick också besked om att jag inte har någon munkavle. Det finns inga hämmande regler, så jag kan säga vad jag vill även i fort</w:t>
      </w:r>
      <w:r w:rsidRPr="0008481A">
        <w:softHyphen/>
        <w:t xml:space="preserve">sättningen. </w:t>
      </w:r>
    </w:p>
    <w:p w:rsidR="003B3271" w:rsidRPr="0008481A" w:rsidRDefault="003B3271">
      <w:pPr>
        <w:pStyle w:val="Rubrik3"/>
      </w:pPr>
      <w:r w:rsidRPr="0008481A">
        <w:t>Utredning</w:t>
      </w:r>
    </w:p>
    <w:p w:rsidR="003B3271" w:rsidRPr="0008481A" w:rsidRDefault="003B3271">
      <w:r w:rsidRPr="0008481A">
        <w:t>Anmälan remitterades till Kommunstyrelsen i Sandvikens kommun och till Kommunstyrelsen i Gävle kommun. I remissen till Gävle kommun angavs att det av yttrandet skulle framgå huruvida Åke Edins uttalanden i tidningsartiklarna om att cheferna inte skall delta i den värderande, politiska debatten återspeglar kommunens ståndpunkt och – om så var fallet – hur en sådan uppfattning förhåller sig till de i grundlag skyddade yttrande- och meddelarfriheterna.</w:t>
      </w:r>
    </w:p>
    <w:p w:rsidR="003B3271" w:rsidRPr="0008481A" w:rsidRDefault="003B3271">
      <w:pPr>
        <w:pStyle w:val="Normaltindrag"/>
      </w:pPr>
      <w:r w:rsidRPr="0008481A">
        <w:t xml:space="preserve">Remissen till Kommunstyrelsen i Sandvikens kommun besvarades i ett yttrande den 26 mars 1998 av kommunalrådet Inga Hagström och personalchefen Rolf Windemo. I svaret anfördes bl.a. följande. </w:t>
      </w:r>
    </w:p>
    <w:p w:rsidR="003B3271" w:rsidRPr="0008481A" w:rsidRDefault="003B3271">
      <w:pPr>
        <w:pStyle w:val="Citat"/>
      </w:pPr>
      <w:r w:rsidRPr="0008481A">
        <w:t>Anmälan grundar sig på en artikel i ovannämnda tidning och ett antal uppfölj</w:t>
      </w:r>
      <w:r w:rsidRPr="0008481A">
        <w:softHyphen/>
        <w:t>ningsartiklar. Ursprungsartikeln innehåller direkta sakfel, som t.ex. rubriken och att anställda beordrats vara positiva.</w:t>
      </w:r>
    </w:p>
    <w:p w:rsidR="003B3271" w:rsidRPr="0008481A" w:rsidRDefault="003B3271">
      <w:pPr>
        <w:pStyle w:val="Citat"/>
      </w:pPr>
      <w:r w:rsidRPr="0008481A">
        <w:t xml:space="preserve">– – – </w:t>
      </w:r>
    </w:p>
    <w:p w:rsidR="003B3271" w:rsidRPr="0008481A" w:rsidRDefault="003B3271">
      <w:pPr>
        <w:pStyle w:val="Citat"/>
      </w:pPr>
      <w:r w:rsidRPr="0008481A">
        <w:t>Märkas skall också att till tre olika reportrar på samma tidning har redogjorts för vad som faktiskt gäller i Sandvikens kommun.</w:t>
      </w:r>
    </w:p>
    <w:p w:rsidR="003B3271" w:rsidRPr="0008481A" w:rsidRDefault="003B3271">
      <w:pPr>
        <w:pStyle w:val="Rubrik4"/>
        <w:tabs>
          <w:tab w:val="left" w:pos="0"/>
        </w:tabs>
        <w:rPr>
          <w:sz w:val="20"/>
        </w:rPr>
      </w:pPr>
      <w:r w:rsidRPr="0008481A">
        <w:rPr>
          <w:sz w:val="20"/>
        </w:rPr>
        <w:t>Resumé</w:t>
      </w:r>
    </w:p>
    <w:p w:rsidR="003B3271" w:rsidRPr="0008481A" w:rsidRDefault="003B3271">
      <w:pPr>
        <w:pStyle w:val="Citat"/>
      </w:pPr>
      <w:r w:rsidRPr="0008481A">
        <w:t>Under hösten 1997 har utarbetats en chefspolicy. Ärendet har varit på remiss och har vid ett flertal tillfällen behandlats med de fackliga organisationerna.</w:t>
      </w:r>
    </w:p>
    <w:p w:rsidR="003B3271" w:rsidRPr="0008481A" w:rsidRDefault="003B3271">
      <w:pPr>
        <w:pStyle w:val="Citatindrag"/>
      </w:pPr>
      <w:r w:rsidRPr="0008481A">
        <w:t>Ingen facklig organisation hade några invändningar mot de skrivningar som före</w:t>
      </w:r>
      <w:r w:rsidRPr="0008481A">
        <w:softHyphen/>
        <w:t>kom i texten.</w:t>
      </w:r>
    </w:p>
    <w:p w:rsidR="003B3271" w:rsidRPr="0008481A" w:rsidRDefault="003B3271">
      <w:pPr>
        <w:pStyle w:val="Citatindrag"/>
      </w:pPr>
      <w:r w:rsidRPr="0008481A">
        <w:t>Vid ett möte med samtliga chefer i december redogjordes för chefspolicyn och en diskussion uppkom med anledning av ordet lojalitet.</w:t>
      </w:r>
    </w:p>
    <w:p w:rsidR="003B3271" w:rsidRPr="0008481A" w:rsidRDefault="003B3271">
      <w:pPr>
        <w:pStyle w:val="Citatindrag"/>
      </w:pPr>
      <w:r w:rsidRPr="0008481A">
        <w:t>Efter detta möte följde tidningsdebatten i GD. Vidare förekom en utfrågning i lokalradion där kommunalrådet Stefan Hedin utvecklade vad som stod bakom begreppet lojalitet i policyn.</w:t>
      </w:r>
    </w:p>
    <w:p w:rsidR="003B3271" w:rsidRPr="0008481A" w:rsidRDefault="003B3271">
      <w:pPr>
        <w:pStyle w:val="Citatindrag"/>
      </w:pPr>
      <w:r w:rsidRPr="0008481A">
        <w:t>På grund av tidningsdebatten gjordes ett förtydligande av begreppet lojalitet i chefspolicyn.</w:t>
      </w:r>
    </w:p>
    <w:p w:rsidR="003B3271" w:rsidRPr="0008481A" w:rsidRDefault="003B3271">
      <w:pPr>
        <w:pStyle w:val="Citatindrag"/>
      </w:pPr>
      <w:r w:rsidRPr="0008481A">
        <w:t>Policyn har sedan antagits enhälligt av kommunstyrelsen.</w:t>
      </w:r>
    </w:p>
    <w:p w:rsidR="003B3271" w:rsidRPr="0008481A" w:rsidRDefault="003B3271">
      <w:pPr>
        <w:pStyle w:val="Rubrik4"/>
        <w:tabs>
          <w:tab w:val="left" w:pos="0"/>
        </w:tabs>
        <w:rPr>
          <w:sz w:val="20"/>
        </w:rPr>
      </w:pPr>
      <w:r w:rsidRPr="0008481A">
        <w:rPr>
          <w:sz w:val="20"/>
        </w:rPr>
        <w:t>Lojalitet</w:t>
      </w:r>
    </w:p>
    <w:p w:rsidR="003B3271" w:rsidRPr="0008481A" w:rsidRDefault="003B3271">
      <w:pPr>
        <w:pStyle w:val="Citat"/>
      </w:pPr>
      <w:r w:rsidRPr="0008481A">
        <w:t>Att var lojal ingår som ett åliggande i ett anställningsavtal. Sandvikens kommun vill att chefer såväl som anställda på ett konstruktivt sätt skall deltaga i utveck</w:t>
      </w:r>
      <w:r w:rsidRPr="0008481A">
        <w:softHyphen/>
        <w:t xml:space="preserve">lingen av Sandvikens kommun. Detta sker bl.a. genom att aktivt deltaga i diskussioner på arbetsplatsen. Det är ett krav som ställs i chefspolicyn. Det ställs också som ett krav att eventuella missförhållanden skall tas upp med närmaste chef. </w:t>
      </w:r>
    </w:p>
    <w:p w:rsidR="003B3271" w:rsidRPr="0008481A" w:rsidRDefault="003B3271">
      <w:pPr>
        <w:pStyle w:val="Citatindrag"/>
      </w:pPr>
      <w:r w:rsidRPr="0008481A">
        <w:t>Att vara anställd innebär att man har vissa förpliktelser mot sin arbetsgivare. Man har genom det enskilda anställningsavtalet ingått i en relation. Den som inte är anställd i Sandvikens kommun ingår naturligtvis inte i denna relation, men kan</w:t>
      </w:r>
      <w:r w:rsidRPr="0008481A">
        <w:softHyphen/>
        <w:t>ske i en relation med en annan arbetsgivare, där följaktligen samma förhållande föreligger. Lojalitetsbegreppet kan arbetsrättsligt uttryckas så att man som anställd inte får agera i syfte att skada sin arbetsgivare. Om man gör det kan det under vissa förutsättningar innebära brott mot anställningsavtalet.</w:t>
      </w:r>
    </w:p>
    <w:p w:rsidR="003B3271" w:rsidRPr="0008481A" w:rsidRDefault="003B3271">
      <w:pPr>
        <w:pStyle w:val="Citatindrag"/>
      </w:pPr>
      <w:r w:rsidRPr="0008481A">
        <w:t>Detta har inget med inskränkning av de demokratiska fri- och rättigheterna att göra. Självklart har varje anställd dessa rättigheter.</w:t>
      </w:r>
    </w:p>
    <w:p w:rsidR="003B3271" w:rsidRPr="0008481A" w:rsidRDefault="003B3271">
      <w:pPr>
        <w:pStyle w:val="Citatindrag"/>
      </w:pPr>
      <w:r w:rsidRPr="0008481A">
        <w:t>Det skall dock tillfogas att även om en anställd yttrar något som kan vara i strid mot arbetsrätten, skall det vara ytterst gravt för att arbetsgivaren överhuvud skall driva frågan arbetsrättsligt.</w:t>
      </w:r>
    </w:p>
    <w:p w:rsidR="003B3271" w:rsidRPr="0008481A" w:rsidRDefault="003B3271">
      <w:pPr>
        <w:pStyle w:val="Citatindrag"/>
      </w:pPr>
      <w:r w:rsidRPr="0008481A">
        <w:t>Sandvikens kommun bestrider att vi på något sätt har inskränkt yttrande</w:t>
      </w:r>
      <w:r w:rsidRPr="0008481A">
        <w:softHyphen/>
        <w:t>friheten i Sandvikens kommun. Genom de diskussioner som har varit i samband med anta</w:t>
      </w:r>
      <w:r w:rsidRPr="0008481A">
        <w:softHyphen/>
        <w:t>gandet av chefspolicy har tvärtom klargjorts vad som gäller i förhållandet mellan anställningsavtalet och de anställdas rättighet att utnyttja sin yttrandefrihet.</w:t>
      </w:r>
    </w:p>
    <w:p w:rsidR="003B3271" w:rsidRPr="0008481A" w:rsidRDefault="003B3271">
      <w:r w:rsidRPr="0008481A">
        <w:t>Till remissyttrandet fogades bl.a. en kopia av kommunens chefspolicy, antagen av kommunstyrelsen den 22 januari 1998, § 3. I denna anges under rubriken ”Du är alltid chef”, bl.a. följande.</w:t>
      </w:r>
    </w:p>
    <w:p w:rsidR="003B3271" w:rsidRPr="0008481A" w:rsidRDefault="003B3271">
      <w:pPr>
        <w:pStyle w:val="Citat"/>
      </w:pPr>
      <w:r w:rsidRPr="0008481A">
        <w:t>– Oavsett Ditt verksamhetsområde är Du alltid en arbetsgivar</w:t>
      </w:r>
      <w:r w:rsidRPr="0008481A">
        <w:softHyphen/>
        <w:t>representant och därmed en offentlig person.</w:t>
      </w:r>
    </w:p>
    <w:p w:rsidR="003B3271" w:rsidRPr="0008481A" w:rsidRDefault="003B3271">
      <w:pPr>
        <w:pStyle w:val="Citat"/>
        <w:spacing w:before="0"/>
      </w:pPr>
      <w:r w:rsidRPr="0008481A">
        <w:t>– Du skall gentemot medarbetare vara företrädare för Sandvikens kommun. Det innebär speciella krav på Dig vad gäller ansvar, samarbete och lojalitet.</w:t>
      </w:r>
    </w:p>
    <w:p w:rsidR="003B3271" w:rsidRPr="0008481A" w:rsidRDefault="003B3271">
      <w:pPr>
        <w:pStyle w:val="Citat"/>
        <w:spacing w:before="0"/>
      </w:pPr>
      <w:r w:rsidRPr="0008481A">
        <w:t xml:space="preserve">– Du skall respektera och arbeta efter fattade beslut. </w:t>
      </w:r>
    </w:p>
    <w:p w:rsidR="003B3271" w:rsidRPr="0008481A" w:rsidRDefault="003B3271">
      <w:r w:rsidRPr="0008481A">
        <w:t xml:space="preserve">Kommunstyrelsen i Gävle kommun beslutade den 10 mars 1998 att som sitt svar i ärendet hänvisa till ett av tjänstgörande ordföranden Mats Ågren upprättat yttrande, vari anfördes följande.  </w:t>
      </w:r>
    </w:p>
    <w:p w:rsidR="003B3271" w:rsidRPr="0008481A" w:rsidRDefault="003B3271">
      <w:pPr>
        <w:pStyle w:val="Citat"/>
      </w:pPr>
      <w:r w:rsidRPr="0008481A">
        <w:t>I enlighet med grundlagen har både chefer och övriga anställda i Gävle kommun den självklara rätten att fritt och offentligt yttra sig om alla frågor, också politiska, som rör det allmänna. Från kommunstyrelsens sida har inte sanktionerats och kommer inte att sanktioneras inskränkningar i den rätten.</w:t>
      </w:r>
    </w:p>
    <w:p w:rsidR="003B3271" w:rsidRPr="0008481A" w:rsidRDefault="003B3271">
      <w:pPr>
        <w:pStyle w:val="Citatindrag"/>
      </w:pPr>
      <w:r w:rsidRPr="0008481A">
        <w:t>Kommundirektör Åke Edin har i bilagda skrivelse lämnat sin syn på den aktuella händelsen och förhållandena i kretsen av förvaltningschefer. Vi noterar därvid att kommundirektören har för avsikt att än en gång diskutera denna fråga med för</w:t>
      </w:r>
      <w:r w:rsidRPr="0008481A">
        <w:softHyphen/>
        <w:t>valtningscheferna för att ytterligare tydliggöra grund</w:t>
      </w:r>
      <w:r w:rsidRPr="0008481A">
        <w:softHyphen/>
        <w:t>lagens innebörd.</w:t>
      </w:r>
    </w:p>
    <w:p w:rsidR="003B3271" w:rsidRPr="0008481A" w:rsidRDefault="003B3271">
      <w:r w:rsidRPr="0008481A">
        <w:t>I skrivelsen från Åke Edin, benämnd yttrande till JO, anfördes följande.</w:t>
      </w:r>
    </w:p>
    <w:p w:rsidR="003B3271" w:rsidRPr="0008481A" w:rsidRDefault="003B3271">
      <w:pPr>
        <w:pStyle w:val="Citat"/>
      </w:pPr>
      <w:r w:rsidRPr="0008481A">
        <w:t>Enligt grundlagen är varje medborgare gentemot det allmänna tillförsäkrad ytt</w:t>
      </w:r>
      <w:r w:rsidRPr="0008481A">
        <w:softHyphen/>
        <w:t>randefrihet. Det betyder i det aktuella fallet att förvaltningschef Klas Mossling med kristallklar självklarhet har rätt att öppet och i vilket forum som helst debat</w:t>
      </w:r>
      <w:r w:rsidRPr="0008481A">
        <w:softHyphen/>
        <w:t>tera och kritisera Gävle kommuns anslag till Gävle Symfoni</w:t>
      </w:r>
      <w:r w:rsidRPr="0008481A">
        <w:softHyphen/>
        <w:t>orkester.</w:t>
      </w:r>
    </w:p>
    <w:p w:rsidR="003B3271" w:rsidRPr="0008481A" w:rsidRDefault="003B3271">
      <w:pPr>
        <w:pStyle w:val="Citatindrag"/>
      </w:pPr>
      <w:r w:rsidRPr="0008481A">
        <w:t>Grundlagen ger honom således odiskutabel rätt att framföra från arbets</w:t>
      </w:r>
      <w:r w:rsidRPr="0008481A">
        <w:softHyphen/>
        <w:t>givare, Gävle kommun, avvikande uppfattningar.</w:t>
      </w:r>
    </w:p>
    <w:p w:rsidR="003B3271" w:rsidRPr="0008481A" w:rsidRDefault="003B3271">
      <w:pPr>
        <w:pStyle w:val="Citatindrag"/>
      </w:pPr>
      <w:r w:rsidRPr="0008481A">
        <w:t>Samtidigt har jag rätt att som kommundirektör bemöta de felaktigheter om eko</w:t>
      </w:r>
      <w:r w:rsidRPr="0008481A">
        <w:softHyphen/>
        <w:t>nomin som han gett uttryck för i den aktuella tidningsintervjun. Även jag har i det sammanhanget yttrandefrihet. Jag kan alltså kritisera Mossling för vad han sagt. Men han har, som alla andra, given rätt att offentligt ge uttryck för sina åsikter.</w:t>
      </w:r>
    </w:p>
    <w:p w:rsidR="003B3271" w:rsidRPr="0008481A" w:rsidRDefault="003B3271">
      <w:pPr>
        <w:pStyle w:val="Citatindrag"/>
      </w:pPr>
      <w:r w:rsidRPr="0008481A">
        <w:t>I Gävle kommun har vi som allmän policy bland förvaltningscheferna, gemensamt och frivilligt kommit överens om, att vi inte lägger oss i den värderande partipoli</w:t>
      </w:r>
      <w:r w:rsidRPr="0008481A">
        <w:softHyphen/>
        <w:t>tiska debatten. Denna policy hindrar naturligtvis inte att en förvaltningschef eller någon annan anställd i kommunen fritt får yttra sig om vilka förhållanden som helst, utan att dennes lojalitet mot arbetsgivaren sätts i fråga.</w:t>
      </w:r>
    </w:p>
    <w:p w:rsidR="003B3271" w:rsidRPr="0008481A" w:rsidRDefault="003B3271">
      <w:pPr>
        <w:pStyle w:val="Citatindrag"/>
      </w:pPr>
      <w:r w:rsidRPr="0008481A">
        <w:t>I Arbetarbladet den 13 februari har omnämnts följande etiska regel.</w:t>
      </w:r>
    </w:p>
    <w:p w:rsidR="003B3271" w:rsidRPr="0008481A" w:rsidRDefault="003B3271">
      <w:pPr>
        <w:pStyle w:val="Citatindrag"/>
        <w:spacing w:before="120"/>
        <w:ind w:left="284" w:hanging="284"/>
      </w:pPr>
      <w:r w:rsidRPr="0008481A">
        <w:tab/>
        <w:t>Förvaltningschefens uppgift är att lojalt arbeta mot de mål som styrel</w:t>
      </w:r>
      <w:r w:rsidRPr="0008481A">
        <w:softHyphen/>
        <w:t>sen/</w:t>
      </w:r>
      <w:r w:rsidRPr="0008481A">
        <w:br/>
        <w:t>nämnden slår fast.</w:t>
      </w:r>
    </w:p>
    <w:p w:rsidR="003B3271" w:rsidRPr="0008481A" w:rsidRDefault="003B3271">
      <w:pPr>
        <w:pStyle w:val="Citat"/>
      </w:pPr>
      <w:r w:rsidRPr="0008481A">
        <w:t>Denna regel innebär i det här sammanhanget att en förvaltningschef – som har en mot arbetsgivaren avvikande uppfattning och som han eventuellt offentligt gett uttryck för – ändå måste i sin tjänsteutövning följa arbets</w:t>
      </w:r>
      <w:r w:rsidRPr="0008481A">
        <w:softHyphen/>
        <w:t>givarens beslut och andra direktiv. På så sätt är han skyldig att vara lojal mot arbetsgivaren. Jfr JO:s ämbetsberättelse 1993/94 sid 498.</w:t>
      </w:r>
    </w:p>
    <w:p w:rsidR="003B3271" w:rsidRPr="0008481A" w:rsidRDefault="003B3271">
      <w:pPr>
        <w:pStyle w:val="Citatindrag"/>
      </w:pPr>
      <w:r w:rsidRPr="0008481A">
        <w:t xml:space="preserve">Det har ifrågasatts om mitt uttalande att Gävle kommuns chefer inte skall delta i den värderande partipolitiska debatten, som emanerar från den ovan beskrivna policyn bland förvaltningscheferna, kan tolkas som ett försök att påverka chefstjänstemännen att inte använda sig av sin yttrandefrihet. Det är olyckligt om det uppfattats så och det har aldrig varit avsikten. Vi </w:t>
      </w:r>
      <w:r w:rsidRPr="0008481A">
        <w:t>har också därför i förvalt</w:t>
      </w:r>
      <w:r w:rsidRPr="0008481A">
        <w:softHyphen/>
        <w:t>ningschefsgruppen haft en förnyad diskussion om våra riktlinjer och vårt förhåll</w:t>
      </w:r>
      <w:r w:rsidRPr="0008481A">
        <w:softHyphen/>
        <w:t>ningssätt.</w:t>
      </w:r>
    </w:p>
    <w:p w:rsidR="003B3271" w:rsidRPr="0008481A" w:rsidRDefault="003B3271">
      <w:pPr>
        <w:pStyle w:val="Citatindrag"/>
        <w:rPr>
          <w:sz w:val="20"/>
        </w:rPr>
      </w:pPr>
      <w:r w:rsidRPr="0008481A">
        <w:rPr>
          <w:sz w:val="20"/>
        </w:rPr>
        <w:t>Vi har med anledning av detta än en gång kommit fram till att våra roller och vårt förhållningssätt även framledes bör vara i linje med den överenskommelse som vi träffade 1996. Men jag skall, för alla miss</w:t>
      </w:r>
      <w:r w:rsidRPr="0008481A">
        <w:rPr>
          <w:sz w:val="20"/>
        </w:rPr>
        <w:softHyphen/>
        <w:t>förstånds undvikande, än en gång ta upp frågan för att klargöra att förvaltningscheferna, liksom alla andra anställda, har en grund</w:t>
      </w:r>
      <w:r w:rsidRPr="0008481A">
        <w:rPr>
          <w:sz w:val="20"/>
        </w:rPr>
        <w:softHyphen/>
        <w:t>lags</w:t>
      </w:r>
      <w:r w:rsidRPr="0008481A">
        <w:rPr>
          <w:sz w:val="20"/>
        </w:rPr>
        <w:softHyphen/>
        <w:t>skyddad yttrandefrihet som givetvis också omfattar politiska frågor.</w:t>
      </w:r>
    </w:p>
    <w:p w:rsidR="003B3271" w:rsidRPr="0008481A" w:rsidRDefault="003B3271">
      <w:r w:rsidRPr="0008481A">
        <w:t xml:space="preserve">Robert Rosén lämnades tillfälle att kommentera remissyttrandena. </w:t>
      </w:r>
    </w:p>
    <w:p w:rsidR="003B3271" w:rsidRPr="0008481A" w:rsidRDefault="003B3271">
      <w:r w:rsidRPr="0008481A">
        <w:rPr>
          <w:i/>
        </w:rPr>
        <w:t>Stf. JO Ekberg</w:t>
      </w:r>
      <w:r w:rsidRPr="0008481A">
        <w:t xml:space="preserve"> anförde i beslut den 23 september 1999 följande.</w:t>
      </w:r>
    </w:p>
    <w:p w:rsidR="003B3271" w:rsidRPr="0008481A" w:rsidRDefault="003B3271">
      <w:r w:rsidRPr="0008481A">
        <w:t>Varje medborgare är enligt 2 kap. 1 § regeringsformen (RF) gentemot det allmänna tillförsäkrad yttrandefrihet, dvs. frihet att i tal, skrift eller bild eller på annat sätt meddela upplysningar samt uttrycka tankar, åsikter och känslor. Begränsning av yttrandefriheten får enligt 12 § ske genom lag. Tryck</w:t>
      </w:r>
      <w:r w:rsidRPr="0008481A">
        <w:softHyphen/>
        <w:t>frihetsförordningens (TF) bestämmelser om meddelarfrihet ger yttrande</w:t>
      </w:r>
      <w:r w:rsidRPr="0008481A">
        <w:softHyphen/>
        <w:t xml:space="preserve">friheten till viss del ett särskilt skydd. Meddelarfriheten enligt 1 kap. 1 § tredje stycket TF innebär att det står envar fritt att, då annat ej särskilt anges i förordningen, meddela uppgifter och underrättelser i vilket ämne som helst för offentliggörande i tryckt skrift. </w:t>
      </w:r>
    </w:p>
    <w:p w:rsidR="003B3271" w:rsidRPr="0008481A" w:rsidRDefault="003B3271">
      <w:pPr>
        <w:pStyle w:val="Normaltindrag"/>
      </w:pPr>
      <w:r w:rsidRPr="0008481A">
        <w:t>Yttrandefriheten utgör en förutsättning för en fri debatt om lämpligheten och riktigheten av myndigheternas handlande och möjliggör därmed också en granskning av hu</w:t>
      </w:r>
      <w:r w:rsidRPr="0008481A">
        <w:t xml:space="preserve">r offentliga tjänstemän och deras uppdragstagare sköter sina åligganden. </w:t>
      </w:r>
    </w:p>
    <w:p w:rsidR="003B3271" w:rsidRPr="0008481A" w:rsidRDefault="003B3271">
      <w:pPr>
        <w:pStyle w:val="Normaltindrag"/>
      </w:pPr>
      <w:r w:rsidRPr="0008481A">
        <w:t xml:space="preserve">Lagregleringen om yttrandefrihet ger offentligt anställda samma skydd som andra medborgare. En offentligt anställd kan således som andra ge uttryck för sin uppfattning även rörande den egna myndighetens verksamhet. I sekretesslagen (1980:100) finns dock regler om tystnadsplikt som begränsar de offentligt anställdas rätt att yttra sig om vad han eller hon fått veta i samband med sin tjänst. </w:t>
      </w:r>
    </w:p>
    <w:p w:rsidR="003B3271" w:rsidRPr="0008481A" w:rsidRDefault="003B3271">
      <w:pPr>
        <w:pStyle w:val="Normaltindrag"/>
      </w:pPr>
      <w:r w:rsidRPr="0008481A">
        <w:t>Det skydd för yttrandefriheten som regeringsformen anger är ett skydd gentemot ”det allmänna”. Skyddet innebär att en myndighet inte får ingripa vare sig formellt eller informellt mot en tjänsteman hos myndigheten för att han eller hon har använt sig av sin grundlagsstadgade rätt att yttra sig i massmedia eller på annat sätt ge uttryck för sin uppfattning. En myndighet får inte heller försöka motarbeta att den anställde använder sig av sina rättigheter. En arbetsgivare kan således inte genom generella utta</w:t>
      </w:r>
      <w:r w:rsidRPr="0008481A">
        <w:t xml:space="preserve">landen eller genom kritik i enskilda fall söka påverka arbetstagaren i fråga om det sätt på vilket friheterna kan användas. Undantag gäller bara för det fall att ingripandet har stöd i lag. </w:t>
      </w:r>
    </w:p>
    <w:p w:rsidR="003B3271" w:rsidRPr="0008481A" w:rsidRDefault="003B3271">
      <w:pPr>
        <w:pStyle w:val="Rubrik4"/>
      </w:pPr>
      <w:r w:rsidRPr="0008481A">
        <w:t>Anmälan mot Sandvikens kommun</w:t>
      </w:r>
    </w:p>
    <w:p w:rsidR="003B3271" w:rsidRPr="0008481A" w:rsidRDefault="003B3271">
      <w:r w:rsidRPr="0008481A">
        <w:t>Min granskning med anledning av anmälan mot Sandvikens kommun har haft sin utgångspunkt i vad som anges i den ovan refererade tidningsartikeln i Gefle Dagblad den 4 januari 1998. Sandvikens kommun har i yttrandet till JO anfört att artikeln innehåller flera direkta sakfel, bl.a. i fråga om uppgiften att de anställda har beordrats att vara positiva. I remissyttrandet har bestritts att Sandvikens kommun på något sätt har inskränkt de anställdas yttrande</w:t>
      </w:r>
      <w:r w:rsidRPr="0008481A">
        <w:softHyphen/>
        <w:t xml:space="preserve">frihet. </w:t>
      </w:r>
    </w:p>
    <w:p w:rsidR="003B3271" w:rsidRPr="0008481A" w:rsidRDefault="003B3271">
      <w:pPr>
        <w:pStyle w:val="Normaltindrag"/>
      </w:pPr>
      <w:r w:rsidRPr="0008481A">
        <w:t xml:space="preserve">Utredningen ger inte underlag för en prövning av det som förevarit hos kommunen i form av diskussioner m.m. i samband med utarbetandet av den i ärendet aktuella chefspolicyn och det i denna ingående lojalitetskravet. Det framstår inte som meningsfullt att driva utredningen vidare i det avseendet. Jag finner sålunda inte grund för att göra några uttalanden rörande frågan huruvida kommunen i detta skede otillbörligt har påverkat de anställdas möjligheter att utnyttja sin yttrandefrihet. I kommunens </w:t>
      </w:r>
      <w:r w:rsidRPr="0008481A">
        <w:t>remissyttrande såväl som i den nämnda tidningsartikeln berörs dock en viktig aspekt av yttrandefrihetsfrågan. I båda dessa sammanhang framskymtar nämligen en uppfattning om att kommunen kan komma att betrakta de uttalanden som tjänstemän gör i kraft av sin yttrandefrihet som uttryck för illojalitet gentemot arbetsgivaren. Vidare framförs att sådana uttalanden skulle kunna föranleda arbetsrättsliga åtgärder. Till stöd för detta åberopas i tidnings</w:t>
      </w:r>
      <w:r w:rsidRPr="0008481A">
        <w:softHyphen/>
        <w:t>artikeln ett icke närmare angivet avgörande av Arbetsdomstole</w:t>
      </w:r>
      <w:r w:rsidRPr="0008481A">
        <w:t>n. Jag vill härvid anföra följande.</w:t>
      </w:r>
    </w:p>
    <w:p w:rsidR="003B3271" w:rsidRPr="0008481A" w:rsidRDefault="003B3271">
      <w:pPr>
        <w:pStyle w:val="Normaltindrag"/>
      </w:pPr>
      <w:r w:rsidRPr="0008481A">
        <w:t>Det är en självklarhet att en offentliganställd som har en från sin arbetsgivare avvikande uppfattning vilken han i kraft av sin yttrandefrihet ger uttryck för, ändå i sin tjänsteutövning måste följa arbetsgivarens beslut och andra direktiv. På så sätt är han skyldig att vara lojal mot arbetsgivaren. JO har dock i flera beslut (se bl.a. ämbetsberättelsen 1993/94 s. 493) uttalat att det innefattar en otillbörlig påverkan från arbetsgivarens sida, om denne skulle bedöma ytt</w:t>
      </w:r>
      <w:r w:rsidRPr="0008481A">
        <w:t xml:space="preserve">randen, som en tjänsteman gör i kraft av sin yttrandefrihet, med utgångspunkt i frågan om hans lojalitet inför arbetsuppgifterna. Jag instämmer i denna bedömning. </w:t>
      </w:r>
    </w:p>
    <w:p w:rsidR="003B3271" w:rsidRPr="0008481A" w:rsidRDefault="003B3271">
      <w:pPr>
        <w:pStyle w:val="Normaltindrag"/>
      </w:pPr>
      <w:r w:rsidRPr="0008481A">
        <w:t>Mot bakgrund av det anförda anser jag det klart olämpligt att en offentlig arbetsgivare eller dess företrädare i diskussioner eller allmänna uttalanden  rörande de anställdas yttrandefrihet framför att en anställd, om han begagnar sig av denna frihet, kan komma att betraktas som illojal mot arbetsgivaren och riskera att drabbas av arbetsrättsliga</w:t>
      </w:r>
      <w:r w:rsidRPr="0008481A">
        <w:t xml:space="preserve"> konsekvenser. Jag lämnar saken med detta uttalande. </w:t>
      </w:r>
    </w:p>
    <w:p w:rsidR="003B3271" w:rsidRPr="0008481A" w:rsidRDefault="003B3271">
      <w:pPr>
        <w:pStyle w:val="Rubrik4"/>
      </w:pPr>
      <w:r w:rsidRPr="0008481A">
        <w:t>Anmälan mot Gävle kommun</w:t>
      </w:r>
    </w:p>
    <w:p w:rsidR="003B3271" w:rsidRPr="0008481A" w:rsidRDefault="003B3271">
      <w:r w:rsidRPr="0008481A">
        <w:t>Anmälan mot Gävle kommun gäller kommundirektören Åke Edins uttalanden i Gefle Dagblad att cheferna inom kommunen inte skall delta ”i den värderande, politiska debatten”. Enligt vad som anförts i Åke Edins yttrande till JO emanerar detta uttalande från en allmän policy bland kommunens förvaltningschefer, som de gemensamt och frivilligt kommit överens om. Åke Edin har i yttrandet också förklarat att denna policy inte hindrar att en förvaltningschef eller en annan anställd i kommunen fritt får yttra sig om vi</w:t>
      </w:r>
      <w:r w:rsidRPr="0008481A">
        <w:t>lka förhållanden som helst utan att dennes lojalitet mot arbetsgivaren sätts i fråga. Vidare har Åke Edin anfört att avsikten med hans uttalanden inte varit att påverka chefstjänstemännen att inte använda sig av sin yttrandefrihet. Även vad Gävle kommun i övrigt yttrat som svar på remissen ger intrycket av att kommunen synes väl medveten om yttrande</w:t>
      </w:r>
      <w:r w:rsidRPr="0008481A">
        <w:softHyphen/>
        <w:t xml:space="preserve">frihetens starka ställning. </w:t>
      </w:r>
    </w:p>
    <w:p w:rsidR="003B3271" w:rsidRPr="0008481A" w:rsidRDefault="003B3271">
      <w:pPr>
        <w:pStyle w:val="Normaltindrag"/>
      </w:pPr>
      <w:r w:rsidRPr="0008481A">
        <w:t>Yttrandefriheten gentemot det allmänna är grundlagsskyddad och kan inte inskränkas genom avtal. Den är dock samtidigt fakultativ på</w:t>
      </w:r>
      <w:r w:rsidRPr="0008481A">
        <w:t xml:space="preserve"> så sätt att den enskilde inte behöver utnyttja denna rättighet. Det är därför i princip möjligt för en enskild tjänsteman att besluta att inte utnyttja denna rättighet i visst eller vissa avseenden och att låta detta beslut komma till uttryck genom en överenskommelse med arbetsgivaren. Sådana beslut eller överenskommelser är dock inte bindande för den enskilde tjänstemannen. Den som vill bryta däremot är således i sin fulla rätt att göra det och omfattas då av regeringsformens skydd. </w:t>
      </w:r>
    </w:p>
    <w:p w:rsidR="003B3271" w:rsidRPr="0008481A" w:rsidRDefault="003B3271">
      <w:pPr>
        <w:pStyle w:val="Normaltindrag"/>
      </w:pPr>
      <w:r w:rsidRPr="0008481A">
        <w:t>Det finns dock enligt</w:t>
      </w:r>
      <w:r w:rsidRPr="0008481A">
        <w:t xml:space="preserve"> min mening all anledning att vara försiktig med överenskommelser av detta slag. Det kan finnas en risk för att någon eller några tjänstemän känner sig mer eller mindre tvingade att ingå ett sådant avtal. Tjänstemännen kan också uppfatta avtalet som bindande och därför avstå från att utnyttja yttrandefriheten. Om detta blir följden av en överenskommelse är det givetvis allvarligt. Överenskommelsen har då i praktiken fått verkan av en ”munkavle” och inneburit en inskränkning av yttrandefriheten.</w:t>
      </w:r>
    </w:p>
    <w:p w:rsidR="003B3271" w:rsidRPr="0008481A" w:rsidRDefault="003B3271">
      <w:pPr>
        <w:pStyle w:val="Normaltindrag"/>
      </w:pPr>
      <w:r w:rsidRPr="0008481A">
        <w:t xml:space="preserve">I Åke Edins </w:t>
      </w:r>
      <w:r w:rsidRPr="0008481A">
        <w:t xml:space="preserve">yttrande till JO anges att han på nytt skall ta upp och klargöra för de berörda tjänstemännen att yttrandefriheten även omfattar partipolitiska frågor. Jag utgår från att så nu har skett och att varje av policyn berörd tjänsteman därmed upplysts om att den nämnda överenskommelsen inte innebär någon som helst inskränkning i yttrandefriheten. </w:t>
      </w:r>
    </w:p>
    <w:p w:rsidR="003B3271" w:rsidRPr="0008481A" w:rsidRDefault="003B3271">
      <w:pPr>
        <w:pStyle w:val="Normaltindrag"/>
      </w:pPr>
      <w:r w:rsidRPr="0008481A">
        <w:t>Även i sådana fall där det hos en myndighet förekommer icke förbindande överenskommelser om att personalen i visst eller vissa avseenden inte skall använda sig av grund</w:t>
      </w:r>
      <w:r w:rsidRPr="0008481A">
        <w:t>läggande fri- och rättigheter är det givetvis av utomordentlig vikt att myndigheten och dess företrädare respekterar rättigheterna. I detta fall har Åke Edin i artikeln den 5 januari 1998 i Gefle Dagblad bemött ett uttalande av chefen för Gävle symfoniorkester. Förutom att bemöta den kritik som denne tidigare anfört rörande symfoniorkesterns anslag har Åke Edin uttalat att det inte ankommer på chefer inom kommunen att delta i den värderande, politiska debatten. Han har i en senare tidningsartikel i samma ti</w:t>
      </w:r>
      <w:r w:rsidRPr="0008481A">
        <w:t>dning modifierat sitt uttalande något men får där fortfarande anses ha hävdat att de anställda inte skall föra politiska diskussioner i frågor som rör kommunen. I anslutning till detta har  Åke Edin i remissyttrandet anfört att han genom sina tidningsuttalanden gjorde bruk av sin egen yttrandefrihet. Jag vill härvid anföra följande. Yttrandefriheten innebär ett skydd för den enskilde gentemot det allmänna. Vad som framkommit i ärendet ger ett klart intryck av att Åke Edin vid sina uttalanden i tidningsartik</w:t>
      </w:r>
      <w:r w:rsidRPr="0008481A">
        <w:t>larna agerade i egenskap av kommundirektör och därmed som företrädare för det allmänna. Mot bakgrund av detta kan hans uttalanden inte försvaras med att han använde sig av sin yttrandefrihet som privatperson. Jag stannar med detta konstaterande.</w:t>
      </w:r>
    </w:p>
    <w:p w:rsidR="003B3271" w:rsidRPr="0008481A" w:rsidRDefault="003B3271">
      <w:pPr>
        <w:pStyle w:val="Rubrik2"/>
        <w:spacing w:before="0"/>
        <w:rPr>
          <w:i/>
        </w:rPr>
      </w:pPr>
      <w:r w:rsidRPr="0008481A">
        <w:br w:type="page"/>
      </w:r>
      <w:r w:rsidRPr="0008481A">
        <w:rPr>
          <w:i/>
        </w:rPr>
        <w:t>Övriga områden</w:t>
      </w:r>
    </w:p>
    <w:p w:rsidR="003B3271" w:rsidRPr="0008481A" w:rsidRDefault="003B3271">
      <w:pPr>
        <w:pStyle w:val="Rubrik2"/>
      </w:pPr>
      <w:r w:rsidRPr="0008481A">
        <w:t>Handläggningen av en begäran om utfående av allmänna handlingar som inte förvarades hos myndigheten m.m.</w:t>
      </w:r>
    </w:p>
    <w:p w:rsidR="003B3271" w:rsidRPr="0008481A" w:rsidRDefault="003B3271">
      <w:r w:rsidRPr="0008481A">
        <w:t>(Dnr 4569-1998)</w:t>
      </w:r>
    </w:p>
    <w:p w:rsidR="003B3271" w:rsidRPr="0008481A" w:rsidRDefault="003B3271">
      <w:pPr>
        <w:pStyle w:val="Rubrik3"/>
      </w:pPr>
      <w:r w:rsidRPr="0008481A">
        <w:t>Anmälan</w:t>
      </w:r>
    </w:p>
    <w:p w:rsidR="003B3271" w:rsidRPr="0008481A" w:rsidRDefault="003B3271">
      <w:r w:rsidRPr="0008481A">
        <w:t>I en anmälan till JO kritiserade P.E. befattningshavare vid Polismyndigheten i Skåne, Åklagarmyndigheten i Malmö och Länsstyrelsen i Skåne län. Hans klag</w:t>
      </w:r>
      <w:r w:rsidRPr="0008481A">
        <w:t>o</w:t>
      </w:r>
      <w:r w:rsidRPr="0008481A">
        <w:t>mål gällde bl.a. att befattningshavarna skulle ha förfarit brottsligt och skyddat kriminell verksamhet inom sina respektive organisationer. P.E. ifrågasatte bl.a. vissa befattningshavares handläggning av ärenden där han begärt att få handlingar utlämnade till sig.</w:t>
      </w:r>
    </w:p>
    <w:p w:rsidR="003B3271" w:rsidRPr="0008481A" w:rsidRDefault="003B3271">
      <w:pPr>
        <w:pStyle w:val="Rubrik3"/>
      </w:pPr>
      <w:r w:rsidRPr="0008481A">
        <w:t xml:space="preserve">Utredning </w:t>
      </w:r>
    </w:p>
    <w:p w:rsidR="003B3271" w:rsidRPr="0008481A" w:rsidRDefault="003B3271">
      <w:pPr>
        <w:pStyle w:val="Rubrik4"/>
        <w:spacing w:before="240"/>
      </w:pPr>
      <w:r w:rsidRPr="0008481A">
        <w:t>Genomgång av handlingar</w:t>
      </w:r>
    </w:p>
    <w:p w:rsidR="003B3271" w:rsidRPr="0008481A" w:rsidRDefault="003B3271">
      <w:r w:rsidRPr="0008481A">
        <w:t>De handlingar som P.E. bifogat sin anmälan granskades. Vid granskningen kunde konstateras att P.E. den 3 januari 1998 hade begärt att Polis</w:t>
      </w:r>
      <w:r w:rsidRPr="0008481A">
        <w:softHyphen/>
        <w:t>myndig</w:t>
      </w:r>
      <w:r w:rsidRPr="0008481A">
        <w:softHyphen/>
        <w:t>heten i Skåne skulle införskaffa och utlämna en viss bestämd handling. Polismyndigheten sv</w:t>
      </w:r>
      <w:r w:rsidRPr="0008481A">
        <w:t>a</w:t>
      </w:r>
      <w:r w:rsidRPr="0008481A">
        <w:t>rade P.E. den 8 januari 1998 att myndigheten inte hade för avsikt att införskaffa handlingen och att ärendet var slutbehandlat för polismyndighetens del. Den 19 januari 1998 skrev P.E. på nytt till polis</w:t>
      </w:r>
      <w:r w:rsidRPr="0008481A">
        <w:softHyphen/>
        <w:t>myndigheten och konstaterade att han saknade besvärs</w:t>
      </w:r>
      <w:r w:rsidRPr="0008481A">
        <w:softHyphen/>
        <w:t>hänvisning i beslutet av den 8 januari 1998. Han återkom den 1 februari 1998 och efterfrågade även då bl.a. en besvärshänvisning. Den 24 febru</w:t>
      </w:r>
      <w:r w:rsidRPr="0008481A">
        <w:t>a</w:t>
      </w:r>
      <w:r w:rsidRPr="0008481A">
        <w:t>ri 1998 beslu</w:t>
      </w:r>
      <w:r w:rsidRPr="0008481A">
        <w:t>tade polis</w:t>
      </w:r>
      <w:r w:rsidRPr="0008481A">
        <w:softHyphen/>
        <w:t>myndigheten att inte ta upp ärendet igen. I beslutet konst</w:t>
      </w:r>
      <w:r w:rsidRPr="0008481A">
        <w:t>a</w:t>
      </w:r>
      <w:r w:rsidRPr="0008481A">
        <w:t>terades bl.a. följande.</w:t>
      </w:r>
    </w:p>
    <w:p w:rsidR="003B3271" w:rsidRPr="0008481A" w:rsidRDefault="003B3271">
      <w:pPr>
        <w:pStyle w:val="Citat"/>
      </w:pPr>
      <w:r w:rsidRPr="0008481A">
        <w:t>Enligt 32 § förvaltningslagen (1986:223) gäller bestämmelserna i 8–30 §§ inte i polisens brottsb</w:t>
      </w:r>
      <w:r w:rsidRPr="0008481A">
        <w:t>e</w:t>
      </w:r>
      <w:r w:rsidRPr="0008481A">
        <w:t>kämpande verksamhet. Vår skrivelse av den 8 januari 1998 är således inte överklagbar enligt fö</w:t>
      </w:r>
      <w:r w:rsidRPr="0008481A">
        <w:t>r</w:t>
      </w:r>
      <w:r w:rsidRPr="0008481A">
        <w:t>valtningslagens regler.</w:t>
      </w:r>
    </w:p>
    <w:p w:rsidR="003B3271" w:rsidRPr="0008481A" w:rsidRDefault="003B3271">
      <w:pPr>
        <w:pStyle w:val="Citatindrag"/>
      </w:pPr>
      <w:r w:rsidRPr="0008481A">
        <w:t>Polismyndigheten har tidigare tagit ställning vad avser skyldighet att lämna ut kopia av den ra</w:t>
      </w:r>
      <w:r w:rsidRPr="0008481A">
        <w:t>p</w:t>
      </w:r>
      <w:r w:rsidRPr="0008481A">
        <w:t>port som utarbetats av den holländska polisen den 14 juli 1992. Detta framgår av vårt beslut den 26 mars 1997. Ärendet har efter Ert överklagande behandlats slutligt i dömande instans. Besvär</w:t>
      </w:r>
      <w:r w:rsidRPr="0008481A">
        <w:t>s</w:t>
      </w:r>
      <w:r w:rsidRPr="0008481A">
        <w:softHyphen/>
        <w:t>hän</w:t>
      </w:r>
      <w:r w:rsidRPr="0008481A">
        <w:softHyphen/>
        <w:t>visning enligt 15 kap. 7 § sekretesslagen (1989:100) i beslutet var rätt. I annat fall hade ärendet inte prövats i sak av kammarrätten utan överlämnats till rätt instans.</w:t>
      </w:r>
    </w:p>
    <w:p w:rsidR="003B3271" w:rsidRPr="0008481A" w:rsidRDefault="003B3271">
      <w:pPr>
        <w:pStyle w:val="Citatindrag"/>
      </w:pPr>
      <w:r w:rsidRPr="0008481A">
        <w:t>Det åligger inte polismyndigheten att på grund av myndighetsutövning eller på annan grund infö</w:t>
      </w:r>
      <w:r w:rsidRPr="0008481A">
        <w:t>r</w:t>
      </w:r>
      <w:r w:rsidRPr="0008481A">
        <w:t>skaffa handlingen, vilket även kammarrätten konstaterat i sitt beslut. Någon besvärshänvisning lämnades därför inte i vår skrivelse av den 8 januari 1998.</w:t>
      </w:r>
    </w:p>
    <w:p w:rsidR="003B3271" w:rsidRPr="0008481A" w:rsidRDefault="003B3271">
      <w:pPr>
        <w:pStyle w:val="Citatindrag"/>
      </w:pPr>
      <w:r w:rsidRPr="0008481A">
        <w:t>Om Ni trots att ärendet är slutligt avgjort, vill överklaga beslutet kan Ni göra detta jämlikt 8 kap. 1 § polisförordningen (1984:730). Enligt denna paragraf får polismyndighetens beslut överklagas hos länsstyrelsen om inte något annat är särskilt föreskrivet.</w:t>
      </w:r>
    </w:p>
    <w:p w:rsidR="003B3271" w:rsidRPr="0008481A" w:rsidRDefault="003B3271">
      <w:r w:rsidRPr="0008481A">
        <w:t>Den 7 juli 1998 beställde P.E. från Åklagarmyndigheten i Malmö kopior av de dokument som omnämndes under punkten 10 i en rättshjälpsfram</w:t>
      </w:r>
      <w:r w:rsidRPr="0008481A">
        <w:softHyphen/>
        <w:t>ställning från den 21 juli 1992. Den 15 juli 1998 svarade kammaråklagaren Jerry Ruijsenaars att han efter genomgång av akten i ärendet inte kunnat konstatera vilka handlingar som avsågs med de under punkten 10 uppgivna ”Övriga dokument i ärendet”. P.E. återkom den 19 juli 1998 i ärendet och anförde bl.a. att han önskade besked om det över huvud taget fanns några handlingar i den aktuella akten som kunde motsvara vad som åsyftats under den aktuella punkten 10. Om så skulle vara fallet önskade han en kopia a</w:t>
      </w:r>
      <w:r w:rsidRPr="0008481A">
        <w:t xml:space="preserve">v dessa dokument. Om så inte var fallet önskade han ett skriftligt besked om detta. Chefsåklagaren Olle Montan besvarade den 21 juli 1998 P.E:s brev genom att konstatera att Jerry Ruijsenaars redan hade besvarat de frågor som P.E. hade ställt genom att ett svar tillställdes P.E. den 15 juli 1998. P.E. återkom den 28 juli 1998 med en förnyad begäran om att få kopior av samma handlingar som begärts i tidigare framställningar eller ett skriftligt besked att handlingarna inte fanns hos myndigheten. Olle Montan </w:t>
      </w:r>
      <w:r w:rsidRPr="0008481A">
        <w:t>besvarade P.E:s skrift g</w:t>
      </w:r>
      <w:r w:rsidRPr="0008481A">
        <w:t>e</w:t>
      </w:r>
      <w:r w:rsidRPr="0008481A">
        <w:t>nom att konstatera att den inte föranledde annat än att han hänvisade till sitt svar den 21 juli 1998.</w:t>
      </w:r>
    </w:p>
    <w:p w:rsidR="003B3271" w:rsidRPr="0008481A" w:rsidRDefault="003B3271">
      <w:pPr>
        <w:pStyle w:val="Rubrik4"/>
      </w:pPr>
      <w:r w:rsidRPr="0008481A">
        <w:t>Yttrande från polismyndigheten</w:t>
      </w:r>
    </w:p>
    <w:p w:rsidR="003B3271" w:rsidRPr="0008481A" w:rsidRDefault="003B3271">
      <w:r w:rsidRPr="0008481A">
        <w:t xml:space="preserve">Från polismyndigheten begärdes upplysningar om hur bestämmelserna i </w:t>
      </w:r>
      <w:r w:rsidRPr="0008481A">
        <w:br/>
        <w:t>15 kap. sekretesslagen (1980:100) hade beaktats när befattningshavare vid Polismyndi</w:t>
      </w:r>
      <w:r w:rsidRPr="0008481A">
        <w:t>g</w:t>
      </w:r>
      <w:r w:rsidRPr="0008481A">
        <w:t>heten i Skåne den 24 februari 1998 besvarat P.E:s begäran att erhålla vissa han</w:t>
      </w:r>
      <w:r w:rsidRPr="0008481A">
        <w:t>d</w:t>
      </w:r>
      <w:r w:rsidRPr="0008481A">
        <w:t>lingar. Myndigheten skulle också yttra sig och redovisa sin bedömning av det som ko</w:t>
      </w:r>
      <w:r w:rsidRPr="0008481A">
        <w:t>m</w:t>
      </w:r>
      <w:r w:rsidRPr="0008481A">
        <w:t xml:space="preserve"> fram.</w:t>
      </w:r>
    </w:p>
    <w:p w:rsidR="003B3271" w:rsidRPr="0008481A" w:rsidRDefault="003B3271">
      <w:pPr>
        <w:pStyle w:val="Normaltindrag"/>
      </w:pPr>
      <w:r w:rsidRPr="0008481A">
        <w:t>Polismyndigheten (biträdande länspolismästaren Kjell Arne Eliasson) kom in med ett yttrande till vilket hade fogats vissa handlingar, bl.a. Kammar</w:t>
      </w:r>
      <w:r w:rsidRPr="0008481A">
        <w:softHyphen/>
        <w:t>rättens i Göt</w:t>
      </w:r>
      <w:r w:rsidRPr="0008481A">
        <w:t>e</w:t>
      </w:r>
      <w:r w:rsidRPr="0008481A">
        <w:t>borg dom den 11 april 1997 i mål nr 2021-1997. Remissvaret hade följande lyde</w:t>
      </w:r>
      <w:r w:rsidRPr="0008481A">
        <w:t>l</w:t>
      </w:r>
      <w:r w:rsidRPr="0008481A">
        <w:t xml:space="preserve">se. </w:t>
      </w:r>
    </w:p>
    <w:p w:rsidR="003B3271" w:rsidRPr="0008481A" w:rsidRDefault="003B3271">
      <w:pPr>
        <w:pStyle w:val="Rubrik5"/>
      </w:pPr>
      <w:r w:rsidRPr="0008481A">
        <w:t>Bakgrund</w:t>
      </w:r>
    </w:p>
    <w:p w:rsidR="003B3271" w:rsidRPr="0008481A" w:rsidRDefault="003B3271">
      <w:pPr>
        <w:pStyle w:val="Citat"/>
      </w:pPr>
      <w:r w:rsidRPr="0008481A">
        <w:t>P.E. begärde via telefax den 15 mars 1997, i egenskap av ombud för J.E., att polisområde Lund skulle återskapa en handling som han påstod tidigare funnits i akten hos polismyndigheten. I tel</w:t>
      </w:r>
      <w:r w:rsidRPr="0008481A">
        <w:t>e</w:t>
      </w:r>
      <w:r w:rsidRPr="0008481A">
        <w:t xml:space="preserve">fax daterat den 18 mars 1997 begärde han att polismyndigheten skulle införskaffa handlingen som fanns hos Interpol. </w:t>
      </w:r>
    </w:p>
    <w:p w:rsidR="003B3271" w:rsidRPr="0008481A" w:rsidRDefault="003B3271">
      <w:pPr>
        <w:pStyle w:val="Citatindrag"/>
      </w:pPr>
      <w:r w:rsidRPr="0008481A">
        <w:t>Beredskapsnotarien Christel Ödell fick vid förfrågan hos Interpol informa</w:t>
      </w:r>
      <w:r w:rsidRPr="0008481A">
        <w:softHyphen/>
        <w:t>tion om att rapporten inte funnits hos dem förrän P.E. under hösten 1996 begärde att få ta del av handlingen. Interpol rekvirerade rapporten från sambandskontoret i Haag den 1 november 1996 och fann därefter att den inte kunde lämnas ut p.g.a. bestäm</w:t>
      </w:r>
      <w:r w:rsidRPr="0008481A">
        <w:softHyphen/>
        <w:t>melserna i 7 kap. 17 § sekretesslagen. Polis</w:t>
      </w:r>
      <w:r w:rsidRPr="0008481A">
        <w:softHyphen/>
        <w:t>område Lund, som aldrig haft handlingen, beslöt den 26 mars 1997 att avslå P.E:s framställning. Anledningen till av</w:t>
      </w:r>
      <w:r w:rsidRPr="0008481A">
        <w:softHyphen/>
        <w:t>slaget var att handlingen aldrig funnits hos polisområdet och att polisområdet inte fann anle</w:t>
      </w:r>
      <w:r w:rsidRPr="0008481A">
        <w:t>d</w:t>
      </w:r>
      <w:r w:rsidRPr="0008481A">
        <w:t xml:space="preserve">ning </w:t>
      </w:r>
      <w:r w:rsidRPr="0008481A">
        <w:t>att inför</w:t>
      </w:r>
      <w:r w:rsidRPr="0008481A">
        <w:softHyphen/>
        <w:t>skaffa handlingen, eftersom utredningen som denna hänförde sig till för länge sedan avslutats. Beslutet överklagades till Kammarrätten i Göteborg som i dom den 11 april 1997 ko</w:t>
      </w:r>
      <w:r w:rsidRPr="0008481A">
        <w:t>n</w:t>
      </w:r>
      <w:r w:rsidRPr="0008481A">
        <w:t>staterade att reglerna om utlämnande av allmän handling inte var tillämpliga, eftersom handlingen aldrig funnits i Lund samt att det inte ålegat polismyndigheten att på grundval av myndig</w:t>
      </w:r>
      <w:r w:rsidRPr="0008481A">
        <w:softHyphen/>
        <w:t>hetsutö</w:t>
      </w:r>
      <w:r w:rsidRPr="0008481A">
        <w:t>v</w:t>
      </w:r>
      <w:r w:rsidRPr="0008481A">
        <w:t>ning eller på annan grund införskaffa handlingen. Regerings</w:t>
      </w:r>
      <w:r w:rsidRPr="0008481A">
        <w:softHyphen/>
        <w:t xml:space="preserve">rätten beslöt den 3 juli 1997 att inte meddela prövningstillstånd. </w:t>
      </w:r>
    </w:p>
    <w:p w:rsidR="003B3271" w:rsidRPr="0008481A" w:rsidRDefault="003B3271">
      <w:pPr>
        <w:pStyle w:val="Citatindrag"/>
      </w:pPr>
      <w:r w:rsidRPr="0008481A">
        <w:t>D</w:t>
      </w:r>
      <w:r w:rsidRPr="0008481A">
        <w:t>en 3 januari 1998 begärde P.E. via telefax återigen att polisområdet skulle införskaffa kopia av rapporten under påstående att den avsiktligt utelämnats från sammanställningen av förundersö</w:t>
      </w:r>
      <w:r w:rsidRPr="0008481A">
        <w:t>k</w:t>
      </w:r>
      <w:r w:rsidRPr="0008481A">
        <w:t>ningsmaterialet och med hänvisning till att felaktig besvärshänvisning angivits i beslutet. Poliso</w:t>
      </w:r>
      <w:r w:rsidRPr="0008481A">
        <w:t>m</w:t>
      </w:r>
      <w:r w:rsidRPr="0008481A">
        <w:t xml:space="preserve">rådet ansåg i sitt svar till P.E. den 8 januari 1998 att ärendet var slutbehandlat, varför det inte fanns anledning att vidta någon ytterligare åtgärd. </w:t>
      </w:r>
    </w:p>
    <w:p w:rsidR="003B3271" w:rsidRPr="0008481A" w:rsidRDefault="003B3271">
      <w:pPr>
        <w:pStyle w:val="Citatindrag"/>
      </w:pPr>
      <w:r w:rsidRPr="0008481A">
        <w:t>Den 19 januari 1998 inkom telefax från P.E. med påpekande att det sakn</w:t>
      </w:r>
      <w:r w:rsidRPr="0008481A">
        <w:t>a</w:t>
      </w:r>
      <w:r w:rsidRPr="0008481A">
        <w:softHyphen/>
        <w:t>des besvärshänvisning i polisområdets svar till honom. Den 1 februari 1998 inkom nytt telefax där P.E. ansåg att poliso</w:t>
      </w:r>
      <w:r w:rsidRPr="0008481A">
        <w:t>m</w:t>
      </w:r>
      <w:r w:rsidRPr="0008481A">
        <w:t>rådet enligt förvaltningslagen var skyldigt att lämna besvärshänvisning på varje beslut. Han ville också veta vilken be</w:t>
      </w:r>
      <w:r w:rsidRPr="0008481A">
        <w:softHyphen/>
        <w:t>stämmelse i lag som medförde att beslutet den 26 mars 1997 innehöll besvär</w:t>
      </w:r>
      <w:r w:rsidRPr="0008481A">
        <w:t>s</w:t>
      </w:r>
      <w:r w:rsidRPr="0008481A">
        <w:t>hänvis</w:t>
      </w:r>
      <w:r w:rsidRPr="0008481A">
        <w:softHyphen/>
        <w:t>ning till kammarrätten.</w:t>
      </w:r>
    </w:p>
    <w:p w:rsidR="003B3271" w:rsidRPr="0008481A" w:rsidRDefault="003B3271">
      <w:pPr>
        <w:pStyle w:val="Citatindrag"/>
      </w:pPr>
      <w:r w:rsidRPr="0008481A">
        <w:t>Polisområdets svar till P.E. den 8 januari 1998 var inte utformat som ett beslut utan avsåg att up</w:t>
      </w:r>
      <w:r w:rsidRPr="0008481A">
        <w:t>p</w:t>
      </w:r>
      <w:r w:rsidRPr="0008481A">
        <w:t>lysa om att polisområdet ansåg ärendet slut</w:t>
      </w:r>
      <w:r w:rsidRPr="0008481A">
        <w:softHyphen/>
        <w:t>behandlat. Efter</w:t>
      </w:r>
      <w:r w:rsidRPr="0008481A">
        <w:softHyphen/>
        <w:t>som polisområdet därefter kom till up</w:t>
      </w:r>
      <w:r w:rsidRPr="0008481A">
        <w:t>p</w:t>
      </w:r>
      <w:r w:rsidRPr="0008481A">
        <w:t>fattningen att det inte kunde uteslutas att be</w:t>
      </w:r>
      <w:r w:rsidRPr="0008481A">
        <w:softHyphen/>
        <w:t>svärshänvisning bort lämnas utformades svaret till P.E. den 24 februari 1998 som ett beslut med besvärshänvisning till länsstyrelsen enligt polisföror</w:t>
      </w:r>
      <w:r w:rsidRPr="0008481A">
        <w:t>d</w:t>
      </w:r>
      <w:r w:rsidRPr="0008481A">
        <w:t xml:space="preserve">ningen. </w:t>
      </w:r>
    </w:p>
    <w:p w:rsidR="003B3271" w:rsidRPr="0008481A" w:rsidRDefault="003B3271">
      <w:pPr>
        <w:pStyle w:val="Rubrik5"/>
      </w:pPr>
      <w:r w:rsidRPr="0008481A">
        <w:t>Beaktandet av 15 kap. i sekretesslagen</w:t>
      </w:r>
    </w:p>
    <w:p w:rsidR="003B3271" w:rsidRPr="0008481A" w:rsidRDefault="003B3271">
      <w:pPr>
        <w:pStyle w:val="Citat"/>
      </w:pPr>
      <w:r w:rsidRPr="0008481A">
        <w:t>Polisområdet angav i sitt beslut den 26 mars 1997 att beslutet kunde över</w:t>
      </w:r>
      <w:r w:rsidRPr="0008481A">
        <w:softHyphen/>
        <w:t>klagas till kammarrrätten. Reglerna i 15 kap. 7 § sekretesslagen beaktades då. Detta b</w:t>
      </w:r>
      <w:r w:rsidRPr="0008481A">
        <w:t>e</w:t>
      </w:r>
      <w:r w:rsidRPr="0008481A">
        <w:t>slut har prövats slutligt.</w:t>
      </w:r>
    </w:p>
    <w:p w:rsidR="003B3271" w:rsidRPr="0008481A" w:rsidRDefault="003B3271">
      <w:pPr>
        <w:pStyle w:val="Citatindrag"/>
      </w:pPr>
      <w:r w:rsidRPr="0008481A">
        <w:t>Eftersom ingenting nytt tillförts ärendet kunde polisområdet inte finna skäl att åter</w:t>
      </w:r>
      <w:r w:rsidRPr="0008481A">
        <w:softHyphen/>
        <w:t>igen ta upp det till prövning enligt 15 kap. sekretesslagen. Särskilt som handlingen aldrig funnits i Lund. På grund av ovan angivna tvekan huruvida beslutet att inte ta upp ärendet på nytt var överklagbart lämnades därför i beslutet den 24 februari 1998 besvärshänvisning till länsstyrelsen enligt 8 kap. 1 § poli</w:t>
      </w:r>
      <w:r w:rsidRPr="0008481A">
        <w:t>s</w:t>
      </w:r>
      <w:r w:rsidRPr="0008481A">
        <w:t>föror</w:t>
      </w:r>
      <w:r w:rsidRPr="0008481A">
        <w:t>d</w:t>
      </w:r>
      <w:r w:rsidRPr="0008481A">
        <w:t>ningen.</w:t>
      </w:r>
    </w:p>
    <w:p w:rsidR="003B3271" w:rsidRPr="0008481A" w:rsidRDefault="003B3271">
      <w:pPr>
        <w:pStyle w:val="Citatindrag"/>
      </w:pPr>
      <w:r w:rsidRPr="0008481A">
        <w:t xml:space="preserve">Upplysningsvis kan nämnas att P.E. överklagat också detta beslut både till länsstyrelsen, som den 2 april 1998 avslog överklagandet, och till regeringen, som den 25 juni 1998 avslog </w:t>
      </w:r>
      <w:r w:rsidRPr="0008481A">
        <w:t>öve</w:t>
      </w:r>
      <w:r w:rsidRPr="0008481A">
        <w:t>r</w:t>
      </w:r>
      <w:r w:rsidRPr="0008481A">
        <w:t xml:space="preserve">klagandet. </w:t>
      </w:r>
    </w:p>
    <w:p w:rsidR="003B3271" w:rsidRPr="0008481A" w:rsidRDefault="003B3271">
      <w:pPr>
        <w:pStyle w:val="Rubrik5"/>
      </w:pPr>
      <w:r w:rsidRPr="0008481A">
        <w:t>Sammanfattning</w:t>
      </w:r>
    </w:p>
    <w:p w:rsidR="003B3271" w:rsidRPr="0008481A" w:rsidRDefault="003B3271">
      <w:pPr>
        <w:pStyle w:val="Citat"/>
      </w:pPr>
      <w:r w:rsidRPr="0008481A">
        <w:t>Polismyndigheten kan inte finna att polisområdet handlagt ärendet felaktigt samt in</w:t>
      </w:r>
      <w:r w:rsidRPr="0008481A">
        <w:softHyphen/>
        <w:t>stämmer i b</w:t>
      </w:r>
      <w:r w:rsidRPr="0008481A">
        <w:t>e</w:t>
      </w:r>
      <w:r w:rsidRPr="0008481A">
        <w:t>dömningen att skäl inte fanns att införskaffa den begärda handlin</w:t>
      </w:r>
      <w:r w:rsidRPr="0008481A">
        <w:t>g</w:t>
      </w:r>
      <w:r w:rsidRPr="0008481A">
        <w:t>en.</w:t>
      </w:r>
    </w:p>
    <w:p w:rsidR="003B3271" w:rsidRPr="0008481A" w:rsidRDefault="003B3271">
      <w:pPr>
        <w:pStyle w:val="Rubrik4"/>
      </w:pPr>
      <w:r w:rsidRPr="0008481A">
        <w:t>Yttrande från åklagarmyndigheten</w:t>
      </w:r>
    </w:p>
    <w:p w:rsidR="003B3271" w:rsidRPr="0008481A" w:rsidRDefault="003B3271">
      <w:r w:rsidRPr="0008481A">
        <w:t>Från åklagarmyndigheten begärdes upplysningar om hur bestämmelserna i 15 kap. sekretesslagen (1980:100) hade beaktats när befattningshavare vid Åklagarmy</w:t>
      </w:r>
      <w:r w:rsidRPr="0008481A">
        <w:t>n</w:t>
      </w:r>
      <w:r w:rsidRPr="0008481A">
        <w:t>digheten i Malmö besvarat P.E:s framställningar av den 7, 19 och 28 juli 1998 att erhålla vissa handlingar. Myndigheten skulle också yttra sig och redovisa sin b</w:t>
      </w:r>
      <w:r w:rsidRPr="0008481A">
        <w:t>e</w:t>
      </w:r>
      <w:r w:rsidRPr="0008481A">
        <w:t>dömning av det som ko</w:t>
      </w:r>
      <w:r w:rsidRPr="0008481A">
        <w:t>m</w:t>
      </w:r>
      <w:r w:rsidRPr="0008481A">
        <w:t xml:space="preserve"> fram.</w:t>
      </w:r>
    </w:p>
    <w:p w:rsidR="003B3271" w:rsidRPr="0008481A" w:rsidRDefault="003B3271">
      <w:pPr>
        <w:pStyle w:val="Normaltindrag"/>
      </w:pPr>
      <w:r w:rsidRPr="0008481A">
        <w:t>Åklagarmyndigheten (överåklagaren Sven-Erik Alhem) kom in med ett yttrande till vilket hade fogats yttranden som myndigheten inhämtat från chefsåklagaren Olle Montan och kammar</w:t>
      </w:r>
      <w:r w:rsidRPr="0008481A">
        <w:t>å</w:t>
      </w:r>
      <w:r w:rsidRPr="0008481A">
        <w:t>klagaren Jerry Ruijsenaars.</w:t>
      </w:r>
    </w:p>
    <w:p w:rsidR="003B3271" w:rsidRPr="0008481A" w:rsidRDefault="003B3271">
      <w:pPr>
        <w:pStyle w:val="Rubrik5"/>
      </w:pPr>
      <w:r w:rsidRPr="0008481A">
        <w:t>Jerry Ruijsenaars</w:t>
      </w:r>
    </w:p>
    <w:p w:rsidR="003B3271" w:rsidRPr="0008481A" w:rsidRDefault="003B3271">
      <w:pPr>
        <w:pStyle w:val="Citat"/>
      </w:pPr>
      <w:r w:rsidRPr="0008481A">
        <w:t>Jag handlade bakomliggande brottmål i hovrätten och hade då och även sedan hov</w:t>
      </w:r>
      <w:r w:rsidRPr="0008481A">
        <w:softHyphen/>
        <w:t>rättens dom vunnit laga kraft åtskilliga kontakter med P.E. Jag fick därför i upp</w:t>
      </w:r>
      <w:r w:rsidRPr="0008481A">
        <w:softHyphen/>
        <w:t>drag av Dig att besvara hans skrivelse den 7 juli 1998. Jag kunde efter genomgång av brottmålsakten konstatera, att det inte gick att fastställa vilka handlingar som omfat</w:t>
      </w:r>
      <w:r w:rsidRPr="0008481A">
        <w:softHyphen/>
        <w:t>tades av punkten 10 i den av P.E. åberopade skrive</w:t>
      </w:r>
      <w:r w:rsidRPr="0008481A">
        <w:t>l</w:t>
      </w:r>
      <w:r w:rsidRPr="0008481A">
        <w:t>sen. Jag meddelade honom detta skriftligen. Jag antar att Justitie</w:t>
      </w:r>
      <w:r w:rsidRPr="0008481A">
        <w:softHyphen/>
        <w:t>ombudsmannen undrar varför jag inte underrät</w:t>
      </w:r>
      <w:r w:rsidRPr="0008481A">
        <w:softHyphen/>
        <w:t>tade P.E. om att han kunde begära, att frågan om utlämnande hänsköts till myn</w:t>
      </w:r>
      <w:r w:rsidRPr="0008481A">
        <w:softHyphen/>
        <w:t>digheten (15 kap</w:t>
      </w:r>
      <w:r w:rsidRPr="0008481A">
        <w:t xml:space="preserve"> 6 § 2 st sekretesslagen). Detta beror på att det inte var fråga om att vägra lämna ut handlingar utan närmast en upplysning om att det inte kunde faststäl</w:t>
      </w:r>
      <w:r w:rsidRPr="0008481A">
        <w:softHyphen/>
        <w:t>las vilka handlingar fra</w:t>
      </w:r>
      <w:r w:rsidRPr="0008481A">
        <w:t>m</w:t>
      </w:r>
      <w:r w:rsidRPr="0008481A">
        <w:t>ställningen avsåg; om så kunnat ske, hade jag lämnat ut dem till P.E.</w:t>
      </w:r>
    </w:p>
    <w:p w:rsidR="003B3271" w:rsidRPr="0008481A" w:rsidRDefault="003B3271">
      <w:pPr>
        <w:pStyle w:val="Citatindrag"/>
      </w:pPr>
      <w:r w:rsidRPr="0008481A">
        <w:t>Jag vill tillägga att P.E. vid ett flertal tillfällen fått ta del av samtligt material i akten.</w:t>
      </w:r>
    </w:p>
    <w:p w:rsidR="003B3271" w:rsidRPr="0008481A" w:rsidRDefault="003B3271">
      <w:pPr>
        <w:pStyle w:val="Rubrik5"/>
      </w:pPr>
      <w:r w:rsidRPr="0008481A">
        <w:t>Olle Montan</w:t>
      </w:r>
    </w:p>
    <w:p w:rsidR="003B3271" w:rsidRPr="0008481A" w:rsidRDefault="003B3271">
      <w:pPr>
        <w:pStyle w:val="Citat"/>
      </w:pPr>
      <w:r w:rsidRPr="0008481A">
        <w:t>Kå Jerry Ruijsenaars handlade det aktuella brottmålet i hovrätten och var härigenom och genom att han med anledning av åtskilliga kontakter tagna av P.E. efter handläggningen i hovrätten haft att aktualisera målet på nytt flera gånger mycket väl förtrogen med detta. Därför bad jag Jerry Ruijs</w:t>
      </w:r>
      <w:r w:rsidRPr="0008481A">
        <w:t>e</w:t>
      </w:r>
      <w:r w:rsidRPr="0008481A">
        <w:t>naars söka ta fram aktuella handlingar och expediera dessa till P.E. Det visade sig, att det inte gick att klara ut vilka handlingar som P.E. avsåg med sin framställning, vilket denne skrift</w:t>
      </w:r>
      <w:r w:rsidRPr="0008481A">
        <w:softHyphen/>
        <w:t>ligen up</w:t>
      </w:r>
      <w:r w:rsidRPr="0008481A">
        <w:t>p</w:t>
      </w:r>
      <w:r w:rsidRPr="0008481A">
        <w:t>lystes om av Jerry Ruijsenaars. Då P.E. till 1:a åklagarkammaren i Malmö inkom med sina den 19 och den 28 juli 1998 dagtecknade skrifter bedömde jag saken så, att eftersom det inte gick att fö</w:t>
      </w:r>
      <w:r w:rsidRPr="0008481A">
        <w:t>r</w:t>
      </w:r>
      <w:r w:rsidRPr="0008481A">
        <w:t>stå vad P.E. ville ha för hand</w:t>
      </w:r>
      <w:r w:rsidRPr="0008481A">
        <w:softHyphen/>
        <w:t>lingar det heller inte fanns något att fatta ett formellt beslut om. Därav utformningen</w:t>
      </w:r>
      <w:r w:rsidRPr="0008481A">
        <w:t xml:space="preserve"> av mina den 21 och den 28 juli 1998 dagtecknade svar till P.E. – I övrigt får jag hänvisa till ett yttrande till mig av Jerry Ruijsenaars den 22 mars 1999 i det nu aktuella ärendet.</w:t>
      </w:r>
    </w:p>
    <w:p w:rsidR="003B3271" w:rsidRPr="0008481A" w:rsidRDefault="003B3271">
      <w:pPr>
        <w:pStyle w:val="Rubrik5"/>
      </w:pPr>
      <w:r w:rsidRPr="0008481A">
        <w:t>Sven-Erik Alhem</w:t>
      </w:r>
    </w:p>
    <w:p w:rsidR="003B3271" w:rsidRPr="0008481A" w:rsidRDefault="003B3271">
      <w:pPr>
        <w:pStyle w:val="Citat"/>
      </w:pPr>
      <w:r w:rsidRPr="0008481A">
        <w:t>Som framgår av yttrandena har varken Jerry Ruijsenaars eller Olle Montan kunnat klara ut vilka handlingar, som omfattades av p. 10 i den av P.E. åbero</w:t>
      </w:r>
      <w:r w:rsidRPr="0008481A">
        <w:softHyphen/>
        <w:t>pade skrivelsen daterad den 21 juli 1992. Det bör i sammanhanget noteras att deras under</w:t>
      </w:r>
      <w:r w:rsidRPr="0008481A">
        <w:softHyphen/>
        <w:t>sökning av saken har skett under juli 1998, således lång tid efter den aktuella skrivel</w:t>
      </w:r>
      <w:r w:rsidRPr="0008481A">
        <w:softHyphen/>
        <w:t>sen. P.E. har underrättats om förhållandet av såväl Jerry Ruijs</w:t>
      </w:r>
      <w:r w:rsidRPr="0008481A">
        <w:t>e</w:t>
      </w:r>
      <w:r w:rsidRPr="0008481A">
        <w:t>naars som Olle Montan. Enligt min mening kan det mot denna bakgrund inte anses att åklagarna i strid mot gällande bestämmelser vägrat att lämna ut begärda handlingar. Någon sek</w:t>
      </w:r>
      <w:r w:rsidRPr="0008481A">
        <w:softHyphen/>
        <w:t>retessprövning har inte skett från deras sida.</w:t>
      </w:r>
    </w:p>
    <w:p w:rsidR="003B3271" w:rsidRPr="0008481A" w:rsidRDefault="003B3271">
      <w:r w:rsidRPr="0008481A">
        <w:t>P.E. yttrade sig över remissvaren.</w:t>
      </w:r>
    </w:p>
    <w:p w:rsidR="003B3271" w:rsidRPr="0008481A" w:rsidRDefault="003B3271">
      <w:r w:rsidRPr="0008481A">
        <w:t xml:space="preserve">I ett beslut den 21 mars 2000 anförde </w:t>
      </w:r>
      <w:r w:rsidRPr="0008481A">
        <w:rPr>
          <w:i/>
        </w:rPr>
        <w:t>chefsJO Eklundh</w:t>
      </w:r>
      <w:r w:rsidRPr="0008481A">
        <w:t xml:space="preserve"> bl.a. följande.</w:t>
      </w:r>
    </w:p>
    <w:p w:rsidR="003B3271" w:rsidRPr="0008481A" w:rsidRDefault="003B3271">
      <w:pPr>
        <w:pStyle w:val="Rubrik3"/>
      </w:pPr>
      <w:r w:rsidRPr="0008481A">
        <w:t>Rättslig reglering</w:t>
      </w:r>
    </w:p>
    <w:p w:rsidR="003B3271" w:rsidRPr="0008481A" w:rsidRDefault="003B3271">
      <w:r w:rsidRPr="0008481A">
        <w:t xml:space="preserve">Grundläggande bestämmelser om allmänna handlingars offentlighet finns i </w:t>
      </w:r>
      <w:r w:rsidRPr="0008481A">
        <w:br/>
        <w:t xml:space="preserve">2 kap. tryckfrihetsförordningen (TF). </w:t>
      </w:r>
    </w:p>
    <w:p w:rsidR="003B3271" w:rsidRPr="0008481A" w:rsidRDefault="003B3271">
      <w:pPr>
        <w:pStyle w:val="Normaltindrag"/>
      </w:pPr>
      <w:r w:rsidRPr="0008481A">
        <w:t>Enligt 2 kap. 12 § TF skall en allmän handling som får lämnas ut – och som alltså inte omfattas av någon sekretessbestämmelse – på begäran genast eller så snart som möjligt på stället utan avgift tillhandahållas den som önskar ta del av den. Kan handlingen inte tillhandahållas utan att sådan del därav som inte får lämnas ut röjs, skall den i övriga delar göras tillgänglig för sökanden i avskrift eller kopia.</w:t>
      </w:r>
    </w:p>
    <w:p w:rsidR="003B3271" w:rsidRPr="0008481A" w:rsidRDefault="003B3271">
      <w:pPr>
        <w:pStyle w:val="Normaltindrag"/>
      </w:pPr>
      <w:r w:rsidRPr="0008481A">
        <w:t>Av 2 kap. 13 § TF framgår att den som önskar ta del av en allmän handling även har rätt att mot fastställd avgift få avskrift eller kopia av handlingen till den del den får lämnas ut.</w:t>
      </w:r>
    </w:p>
    <w:p w:rsidR="003B3271" w:rsidRPr="0008481A" w:rsidRDefault="003B3271">
      <w:pPr>
        <w:pStyle w:val="Normaltindrag"/>
      </w:pPr>
      <w:r w:rsidRPr="0008481A">
        <w:t>En begäran om att få ta del av en allmän handling skall enligt 2 kap. 14 § TF g</w:t>
      </w:r>
      <w:r w:rsidRPr="0008481A">
        <w:t>ö</w:t>
      </w:r>
      <w:r w:rsidRPr="0008481A">
        <w:t>ras hos den myndighet som förvarar handlingen. Svarar en viss befattningshavare vid myndigheten enligt arbetsordningen eller särskilt beslut för vården av han</w:t>
      </w:r>
      <w:r w:rsidRPr="0008481A">
        <w:t>d</w:t>
      </w:r>
      <w:r w:rsidRPr="0008481A">
        <w:t>lingen, ankommer det enligt 15 kap. 6 § andra stycket sekretesslagen (1980:100) på honom att i första hand pröva frågan om handlingens utlämnande till enskild. Om en framställning om att få ta del av en handling inte kan tillmötesgås fullt ut skall den som begär handlingen underrättas om detta. Han skall också underrättas om att han kan begära att fr</w:t>
      </w:r>
      <w:r w:rsidRPr="0008481A">
        <w:t>ågan hänskjuts till myndigheten och att ett formligt beslut av myndigheten krävs för att ett avgörande skall kunna överklagas. Mot myndighetens avslagsbeslut får sökanden enligt 15 kap. 7 § sekretesslagen föra talan, i flertalet fall hos kammarrätt. Att ett överklagbart beslut skall förses med en anvisning om hur det kan överklagas följer av 21 § andra stycket förvalt</w:t>
      </w:r>
      <w:r w:rsidRPr="0008481A">
        <w:softHyphen/>
        <w:t>nin</w:t>
      </w:r>
      <w:r w:rsidRPr="0008481A">
        <w:t>g</w:t>
      </w:r>
      <w:r w:rsidRPr="0008481A">
        <w:t>slagen (1986:223).</w:t>
      </w:r>
    </w:p>
    <w:p w:rsidR="003B3271" w:rsidRPr="0008481A" w:rsidRDefault="003B3271">
      <w:pPr>
        <w:pStyle w:val="Rubrik3"/>
      </w:pPr>
      <w:r w:rsidRPr="0008481A">
        <w:t>Bedömning</w:t>
      </w:r>
    </w:p>
    <w:p w:rsidR="003B3271" w:rsidRPr="0008481A" w:rsidRDefault="003B3271">
      <w:r w:rsidRPr="0008481A">
        <w:t>Den fråga som är föremål för bedömning i detta ärende gäller hand</w:t>
      </w:r>
      <w:r w:rsidRPr="0008481A">
        <w:softHyphen/>
        <w:t>lägg</w:t>
      </w:r>
      <w:r w:rsidRPr="0008481A">
        <w:softHyphen/>
        <w:t>ningen av P.E:s framställningar till Polismyndigheten i Skåne och Åklagar</w:t>
      </w:r>
      <w:r w:rsidRPr="0008481A">
        <w:softHyphen/>
        <w:t>myndigheten i Malmö om utf</w:t>
      </w:r>
      <w:r w:rsidRPr="0008481A">
        <w:t>å</w:t>
      </w:r>
      <w:r w:rsidRPr="0008481A">
        <w:t>ende av handlingar.</w:t>
      </w:r>
    </w:p>
    <w:p w:rsidR="003B3271" w:rsidRPr="0008481A" w:rsidRDefault="003B3271">
      <w:pPr>
        <w:pStyle w:val="Normaltindrag"/>
      </w:pPr>
      <w:r w:rsidRPr="0008481A">
        <w:t>Som har sagts i det föregående skall en begäran att få ta del av en allmän handling göras hos den myndighet som förvarar handlingen. Av utredningen framgår att P.E:s framställning till Polismyndigheten i Skåne avsåg en handling som aldrig hade funnits hos myndigheten. P.E. hade redan vid ett tidigare tillfälle begärt att myndigheten skulle lämna ut den aktuella handlingen till honom</w:t>
      </w:r>
      <w:r w:rsidRPr="0008481A">
        <w:t>, och myndigh</w:t>
      </w:r>
      <w:r w:rsidRPr="0008481A">
        <w:t>e</w:t>
      </w:r>
      <w:r w:rsidRPr="0008481A">
        <w:t>ten hade med anledning härav fattat ett formligt avslagsbeslut med fullföljdshä</w:t>
      </w:r>
      <w:r w:rsidRPr="0008481A">
        <w:t>n</w:t>
      </w:r>
      <w:r w:rsidRPr="0008481A">
        <w:t>visning till Kammarrätten i Göteborg. Sedan P.E. hade överklagat avslagsbeslutet, konstaterade kammar</w:t>
      </w:r>
      <w:r w:rsidRPr="0008481A">
        <w:softHyphen/>
        <w:t>rätten att handlingen inte var tillgänglig för polismyndigh</w:t>
      </w:r>
      <w:r w:rsidRPr="0008481A">
        <w:t>e</w:t>
      </w:r>
      <w:r w:rsidRPr="0008481A">
        <w:t>ten och att reglerna om allmänna handlingar därför inte var tillämpliga. Kamma</w:t>
      </w:r>
      <w:r w:rsidRPr="0008481A">
        <w:t>r</w:t>
      </w:r>
      <w:r w:rsidRPr="0008481A">
        <w:t>rätten fann vidare att det inte heller hade ålegat polismyndigheten att på grundval av myndighetsutövning eller på annan grund införskaffa handlingen. Regering</w:t>
      </w:r>
      <w:r w:rsidRPr="0008481A">
        <w:t>s</w:t>
      </w:r>
      <w:r w:rsidRPr="0008481A">
        <w:t xml:space="preserve">rätten beslutade </w:t>
      </w:r>
      <w:r w:rsidRPr="0008481A">
        <w:t>sedan att inte meddela prövningstillstånd med anledning av P.E:s överklagande av kammarrättens dom.</w:t>
      </w:r>
    </w:p>
    <w:p w:rsidR="003B3271" w:rsidRPr="0008481A" w:rsidRDefault="003B3271">
      <w:pPr>
        <w:pStyle w:val="Normaltindrag"/>
      </w:pPr>
      <w:r w:rsidRPr="0008481A">
        <w:t xml:space="preserve">Jag finner mot den angivna bakgrunden inte anledning att göra något uttalande med anledning av polismyndighetens handläggning av P.E:s nya framställning om utfående av handlingen. </w:t>
      </w:r>
    </w:p>
    <w:p w:rsidR="003B3271" w:rsidRPr="0008481A" w:rsidRDefault="003B3271">
      <w:r w:rsidRPr="0008481A">
        <w:t>P.E:s framställning hos Åklagarmyndigheten i Malmö avsåg utfående av de han</w:t>
      </w:r>
      <w:r w:rsidRPr="0008481A">
        <w:t>d</w:t>
      </w:r>
      <w:r w:rsidRPr="0008481A">
        <w:t>lingar som i en rättshjälpsframställning åsyftades med beteckningen ”Övriga d</w:t>
      </w:r>
      <w:r w:rsidRPr="0008481A">
        <w:t>o</w:t>
      </w:r>
      <w:r w:rsidRPr="0008481A">
        <w:t>kument i ärendet”. Enligt min mening hade han därigenom tillräckligt tydligt angett vilka handlingar han önskade. Åklagarmyndigheten har emellertid anfört att de åklagare som handlade P.E:s framställning inte hade lyckats klara ut vilka handlingar som åsyftades med denna. Det kan därför inte med säkerhet sägas om handlingarna fanns hos åklagar</w:t>
      </w:r>
      <w:r w:rsidRPr="0008481A">
        <w:softHyphen/>
        <w:t>myndigheten eller ej. I ett sådant fall skall fra</w:t>
      </w:r>
      <w:r w:rsidRPr="0008481A">
        <w:t>m</w:t>
      </w:r>
      <w:r w:rsidRPr="0008481A">
        <w:t xml:space="preserve">ställningen enligt min mening prövas </w:t>
      </w:r>
      <w:r w:rsidRPr="0008481A">
        <w:t>enligt föreskrifterna i 15 kap. 6 § andra stycket sekretesslagen. Den som har gjort framställningen bereds härigenom mö</w:t>
      </w:r>
      <w:r w:rsidRPr="0008481A">
        <w:t>j</w:t>
      </w:r>
      <w:r w:rsidRPr="0008481A">
        <w:t>lighet att, genom ett överklagande av ett avslagsbeslut, inhämta en domstols b</w:t>
      </w:r>
      <w:r w:rsidRPr="0008481A">
        <w:t>e</w:t>
      </w:r>
      <w:r w:rsidRPr="0008481A">
        <w:t>sked i frågan om myndigheten har vidtagit de åtgärder i syfte att identifiera han</w:t>
      </w:r>
      <w:r w:rsidRPr="0008481A">
        <w:t>d</w:t>
      </w:r>
      <w:r w:rsidRPr="0008481A">
        <w:t>lingarna som kan krävas (jfr Bohlin, Allmänna handlingar s. 244 f.). P.E. borde således ha underrättats om att han, när han inte fick del av de begärda handlinga</w:t>
      </w:r>
      <w:r w:rsidRPr="0008481A">
        <w:t>r</w:t>
      </w:r>
      <w:r w:rsidRPr="0008481A">
        <w:t>na, hade rätt till ett formligt myndighetsbeslut i saken jämte en ful</w:t>
      </w:r>
      <w:r w:rsidRPr="0008481A">
        <w:t>lföljds</w:t>
      </w:r>
      <w:r w:rsidRPr="0008481A">
        <w:softHyphen/>
        <w:t>hänvi</w:t>
      </w:r>
      <w:r w:rsidRPr="0008481A">
        <w:t>s</w:t>
      </w:r>
      <w:r w:rsidRPr="0008481A">
        <w:t>ning.</w:t>
      </w:r>
    </w:p>
    <w:p w:rsidR="003B3271" w:rsidRPr="0008481A" w:rsidRDefault="003B3271">
      <w:pPr>
        <w:pStyle w:val="Rubrik2"/>
      </w:pPr>
      <w:r w:rsidRPr="0008481A">
        <w:t>Fråga bl.a. om uppgifter i upptagningar för ADB varit tillgängliga på sådant sätt att de utgjort allmän handling</w:t>
      </w:r>
    </w:p>
    <w:p w:rsidR="003B3271" w:rsidRPr="0008481A" w:rsidRDefault="003B3271">
      <w:r w:rsidRPr="0008481A">
        <w:t>(Dnr 826-1998)</w:t>
      </w:r>
    </w:p>
    <w:p w:rsidR="003B3271" w:rsidRPr="0008481A" w:rsidRDefault="003B3271">
      <w:pPr>
        <w:pStyle w:val="Rubrik3"/>
      </w:pPr>
      <w:r w:rsidRPr="0008481A">
        <w:t xml:space="preserve">Anmälan </w:t>
      </w:r>
    </w:p>
    <w:p w:rsidR="003B3271" w:rsidRPr="0008481A" w:rsidRDefault="003B3271">
      <w:r w:rsidRPr="0008481A">
        <w:t>I en anmälan den 25 februari 1998 begärde Bertil Frennesson att JO skulle granska Statens jordbruksverks underlåtenhet att agera och anförde bl.a. följande. Genom en skrivelse den 13 januari 1998 till verket begärde han med stöd av tryckfrihetsförordningens bestämmelser om offentliga hand</w:t>
      </w:r>
      <w:r w:rsidRPr="0008481A">
        <w:softHyphen/>
        <w:t>lingar att få uppgifter beträffande olika bidragstagare. Han fick inget svar på skrivelsen, varför han i en skrivelse den 3 februari 1998 upprepade sin begäran. Han hade fortfarande inte fått något svar.</w:t>
      </w:r>
    </w:p>
    <w:p w:rsidR="003B3271" w:rsidRPr="0008481A" w:rsidRDefault="003B3271">
      <w:pPr>
        <w:pStyle w:val="Rubrik3"/>
      </w:pPr>
      <w:r w:rsidRPr="0008481A">
        <w:t>Utredning</w:t>
      </w:r>
    </w:p>
    <w:p w:rsidR="003B3271" w:rsidRPr="0008481A" w:rsidRDefault="003B3271">
      <w:r w:rsidRPr="0008481A">
        <w:t xml:space="preserve">Anmälan remitterades till Statens jordbruksverk som i yttrande anförde följande. </w:t>
      </w:r>
    </w:p>
    <w:p w:rsidR="003B3271" w:rsidRPr="0008481A" w:rsidRDefault="003B3271">
      <w:pPr>
        <w:pStyle w:val="Citat"/>
      </w:pPr>
      <w:r w:rsidRPr="0008481A">
        <w:t>Bertil Frennesson har i en skrivelse, som kom in till Statens jordbruksverk den 19 januari 1998, begärt namn, adress och erhållna bidrag i kronor för bidragstagare/lantbrukare i Östra Grevie församling i Vellinge kommun, Stora Slågarp i Almstad församling och Villie i Alstad församling båda i Trelleborgs kommun. Uppgifterna skulle omfatta alla typer av erhållna bidrag.</w:t>
      </w:r>
    </w:p>
    <w:p w:rsidR="003B3271" w:rsidRPr="0008481A" w:rsidRDefault="003B3271">
      <w:pPr>
        <w:pStyle w:val="Citatindrag"/>
      </w:pPr>
      <w:r w:rsidRPr="0008481A">
        <w:rPr>
          <w:sz w:val="20"/>
        </w:rPr>
        <w:t>Bertil Frennesson har i en andra skrivelse, som kom in till Statens jordbruksverk den 6 februari 1998, upprepat sin begäran.</w:t>
      </w:r>
    </w:p>
    <w:p w:rsidR="003B3271" w:rsidRPr="0008481A" w:rsidRDefault="003B3271">
      <w:pPr>
        <w:pStyle w:val="Citatindrag"/>
      </w:pPr>
      <w:r w:rsidRPr="0008481A">
        <w:t>Den myndighet som handlägger och fattar beslut om stödfrågor för respektive stödform som efterfrågas av Bertil Frennesson är Länsstyrelsen i Skåne län. Länsstyrelsen registrerar uppgifterna, som ligger som underlag till beslut om utbetalning, i ett gemensamt datasystem som administreras av Jordbruksverket. Jordbruksverkets enda möjlighet att ta del av de uppgifter som finns i besluten är genom det gemensamma datasystemet. Systemet medger inte en utsortering av uppgifterna med sortering på kommun eller förs</w:t>
      </w:r>
      <w:r w:rsidRPr="0008481A">
        <w:t>amling.</w:t>
      </w:r>
    </w:p>
    <w:p w:rsidR="003B3271" w:rsidRPr="0008481A" w:rsidRDefault="003B3271">
      <w:pPr>
        <w:pStyle w:val="Citatindrag"/>
      </w:pPr>
      <w:r w:rsidRPr="0008481A">
        <w:t>Ett programmeringsarbete samt komplettering av uppgifter (postnummer) krävdes därför för att möjliggöra framtagandet av de efterfrågade upp</w:t>
      </w:r>
      <w:r w:rsidRPr="0008481A">
        <w:softHyphen/>
        <w:t xml:space="preserve">gifterna. Den 26 mars 1998 tog Jordbruksverket per telefon kontakt med Bertil Frennesson och begärde kompletteringen. Den 30 mars 1998 inkom Bertil Frennesson med denna och den 3 april 1998 skickade Jordbruksverket svar på Bertil Frennessons fråga. </w:t>
      </w:r>
    </w:p>
    <w:p w:rsidR="003B3271" w:rsidRPr="0008481A" w:rsidRDefault="003B3271">
      <w:pPr>
        <w:pStyle w:val="Citatindrag"/>
      </w:pPr>
      <w:r w:rsidRPr="0008481A">
        <w:t>På grund av hög arbetsbelastning fanns det ej några resurser åtkomliga för att göra den nödvändiga programmeringen förrän i slutet på mars 1998. Jordbruksverket är införstådd med att det tog för lång tid innan Bertil Frennesson kontaktades och beklagar detta. U</w:t>
      </w:r>
      <w:r w:rsidRPr="0008481A">
        <w:t>nder den tiden övervägde Jordbruksverket möjligheten att kontakta Länsstyrelsen i Skåne län men bedömde att verket ändå hade större möjligheter att ta fram uppgifterna. Länsstyrelsen har förvisso alla beslutshandlingar men har ej heller möjligheten att göra en utsortering av efterfrågade uppgifter, med sortering på kommun eller församling, vare sig i datasystemet eller på papper.</w:t>
      </w:r>
    </w:p>
    <w:p w:rsidR="003B3271" w:rsidRPr="0008481A" w:rsidRDefault="003B3271">
      <w:pPr>
        <w:pStyle w:val="Citatindrag"/>
      </w:pPr>
      <w:r w:rsidRPr="0008481A">
        <w:t>Under den aktuella perioden pågick ett arbete med att förbereda utbetalningar av EU-finansierade jordbrukarstöd som berörde ca fe</w:t>
      </w:r>
      <w:r w:rsidRPr="0008481A">
        <w:t>mtiotusen stödmottagare. Alla resurserna för programmering prioriterades för detta arbete eftersom EU krävde utbetalning inom viss tid för att finansiera stöden.</w:t>
      </w:r>
    </w:p>
    <w:p w:rsidR="003B3271" w:rsidRPr="0008481A" w:rsidRDefault="003B3271">
      <w:r w:rsidRPr="0008481A">
        <w:t>Bertil Frennesson kommenterade remissvaret och anförde bl.a. att Statens jordbruksverk inte handlagt hans begäran att få del av allmänna handlingar på ett korrekt sätt eftersom verket inte behandlat den skyndsamt och inte heller fattat något beslut i saken.</w:t>
      </w:r>
    </w:p>
    <w:p w:rsidR="003B3271" w:rsidRPr="0008481A" w:rsidRDefault="003B3271">
      <w:r w:rsidRPr="0008481A">
        <w:rPr>
          <w:i/>
        </w:rPr>
        <w:t>Stf. JO Ekberg</w:t>
      </w:r>
      <w:r w:rsidRPr="0008481A">
        <w:t xml:space="preserve"> anförde i beslut den 31 augusti 1999 följande.</w:t>
      </w:r>
    </w:p>
    <w:p w:rsidR="003B3271" w:rsidRPr="0008481A" w:rsidRDefault="003B3271">
      <w:r w:rsidRPr="0008481A">
        <w:t>Grundläggande bestämmelser om allmänna handlingars offentlighet finns i 2 kap. tryckfrihetsförordningen (TF). Kapitlet reglerar även primärt frågan om sådana handlingars utlämnande. Med allmän handling förstås enligt 2 kap. 3 § TF framställning i skrift eller bild samt upptagning som kan läsas, avlyssnas eller på annat sätt uppfattas endast med tekniskt hjälpmedel. En handling är allmän om den förvaras hos myndighet och enligt 6 eller 7 § är att anse som inkom</w:t>
      </w:r>
      <w:r w:rsidRPr="0008481A">
        <w:t>men till eller upprättad hos myndigheten. Enligt 2 kap. 12 § TF skall en allmän handling som får lämnas ut – och som alltså inte omfattas av någon sekre</w:t>
      </w:r>
      <w:r w:rsidRPr="0008481A">
        <w:softHyphen/>
        <w:t>tessbe</w:t>
      </w:r>
      <w:r w:rsidRPr="0008481A">
        <w:softHyphen/>
        <w:t>stämmelse – på begä</w:t>
      </w:r>
      <w:r w:rsidRPr="0008481A">
        <w:softHyphen/>
        <w:t>ran genast eller så snart det är möjligt på stället utan avgift tillhandahållas den som önskar ta del av den. Av 2 kap. 13 § TF framgår vidare att den som önskar ta del av en allmän handling även har rätt att mot fastställd avgift få avskrift eller kopia av handlingen. En sådan begäran skall behandlas skyndsamt. JO har i ett flert</w:t>
      </w:r>
      <w:r w:rsidRPr="0008481A">
        <w:t>al beslut uttalat att besked i en utlämnandefråga normalt bör lämnas redan samma dag som begä</w:t>
      </w:r>
      <w:r w:rsidRPr="0008481A">
        <w:softHyphen/>
        <w:t>ran har gjorts. Någon eller några dagars fördröjning kan dock godtas om en sådan fördröjning är nödvändig för att myndighe</w:t>
      </w:r>
      <w:r w:rsidRPr="0008481A">
        <w:softHyphen/>
        <w:t>ten skall kunna ta ställning till om den efterfrågade handlingen är allmän och of</w:t>
      </w:r>
      <w:r w:rsidRPr="0008481A">
        <w:softHyphen/>
        <w:t>fentlig. Härtill kommer att ett visst dröjsmål är ofrånkomligt om fram</w:t>
      </w:r>
      <w:r w:rsidRPr="0008481A">
        <w:softHyphen/>
        <w:t>ställningen avser eller fordrar genom</w:t>
      </w:r>
      <w:r w:rsidRPr="0008481A">
        <w:softHyphen/>
        <w:t xml:space="preserve">gång av ett omfattande material. </w:t>
      </w:r>
    </w:p>
    <w:p w:rsidR="003B3271" w:rsidRPr="0008481A" w:rsidRDefault="003B3271">
      <w:pPr>
        <w:pStyle w:val="Normaltindrag"/>
      </w:pPr>
      <w:r w:rsidRPr="0008481A">
        <w:t xml:space="preserve">En begäran om att få ta del av en allmän handling skall enligt 2 kap. </w:t>
      </w:r>
      <w:r w:rsidRPr="0008481A">
        <w:t>14 § TF göras hos den myndighet som förvarar handlingen. Svarar en viss befatt</w:t>
      </w:r>
      <w:r w:rsidRPr="0008481A">
        <w:softHyphen/>
        <w:t>ningshavare vid myndigheten enligt arbetsordningen eller särskilt beslut för vården av handlingen, ankommer det enligt 15 kap. 6 § andra stycket sekre</w:t>
      </w:r>
      <w:r w:rsidRPr="0008481A">
        <w:softHyphen/>
        <w:t>tesslagen (1980:100) på denna befattningshavare att i första hand pröva frå</w:t>
      </w:r>
      <w:r w:rsidRPr="0008481A">
        <w:softHyphen/>
        <w:t>gan om handlingens utlämnande till enskild.</w:t>
      </w:r>
    </w:p>
    <w:p w:rsidR="003B3271" w:rsidRPr="0008481A" w:rsidRDefault="003B3271">
      <w:pPr>
        <w:pStyle w:val="Normaltindrag"/>
      </w:pPr>
      <w:r w:rsidRPr="0008481A">
        <w:t xml:space="preserve"> Om en framställning om att få ta del av en handling inte kan tillmötesgås fullt ut, skall den som begär hand</w:t>
      </w:r>
      <w:r w:rsidRPr="0008481A">
        <w:softHyphen/>
        <w:t>lingen underrättas härom. Han skall också enligt 15 kap. 6 § sekretesslagen un</w:t>
      </w:r>
      <w:r w:rsidRPr="0008481A">
        <w:softHyphen/>
        <w:t>derrättas om att han kan begära att frågan hänskjuts till myndigheten och att ett formligt beslut av myndighe</w:t>
      </w:r>
      <w:r w:rsidRPr="0008481A">
        <w:softHyphen/>
        <w:t>ten krävs för att ett avgörande skall kunna överklagas. Systemet med hänskjutande till myndigheten skall enligt fast praxis också tillämpas då den begärda handlingen inte finns hos myndigheten liksom då handlingen inte lämnas ut med hänvisning till att den inte är allmän. Mot myndighetens avslagsbeslut får sökanden enlig</w:t>
      </w:r>
      <w:r w:rsidRPr="0008481A">
        <w:t>t 15 kap. 7 § sekretess</w:t>
      </w:r>
      <w:r w:rsidRPr="0008481A">
        <w:softHyphen/>
        <w:t xml:space="preserve">lagen föra talan, i förevarande fall hos kammarrätten. </w:t>
      </w:r>
    </w:p>
    <w:p w:rsidR="003B3271" w:rsidRPr="0008481A" w:rsidRDefault="003B3271">
      <w:pPr>
        <w:pStyle w:val="Normaltindrag"/>
      </w:pPr>
      <w:r w:rsidRPr="0008481A">
        <w:t>Bertil Frennesson har med åberopande av föreskrifterna i TF begärt att få olika slags uppgifter rörande stödbidrag till lantbrukare boende i vissa angivna församlingar. Enligt vad Statens jordbruksverk upplyst fanns dessa uppgifter inte i några skriftliga handlingar hos verket. Däremot fanns upp</w:t>
      </w:r>
      <w:r w:rsidRPr="0008481A">
        <w:softHyphen/>
        <w:t xml:space="preserve">gifterna i ett gemensamt datasystem som verket administrerar. </w:t>
      </w:r>
    </w:p>
    <w:p w:rsidR="003B3271" w:rsidRPr="0008481A" w:rsidRDefault="003B3271">
      <w:pPr>
        <w:pStyle w:val="Normaltindrag"/>
      </w:pPr>
      <w:r w:rsidRPr="0008481A">
        <w:t>Med ”upptagning som kan läsas, avlyssnas eller på annat sätt uppfattas endast med tekniskt hjälpmedel” i 2 kap. 3 § TF avses bl.a. upptagningar för ADB. De av Bertil Frennesson efterfrågade uppgifterna har således funnits i allmänna handlingar som förvarats hos Statens jordbruksverk. Av verkets remissyttrande framgår dock att en utsortering av uppgifterna erfordrades. För att kunna tillmötesgå Bertil Frennessons begäran krävdes sålunda en bearb</w:t>
      </w:r>
      <w:r w:rsidRPr="0008481A">
        <w:t xml:space="preserve">etning av uppgifter, för vilket det i sin tur var nödvändigt att bl.a. utföra programmeringsarbete. </w:t>
      </w:r>
    </w:p>
    <w:p w:rsidR="003B3271" w:rsidRPr="0008481A" w:rsidRDefault="003B3271">
      <w:pPr>
        <w:pStyle w:val="Normaltindrag"/>
      </w:pPr>
      <w:r w:rsidRPr="0008481A">
        <w:t>I förarbetena till 2 kap. 3 § TF uttalas att ett visst urval eller en viss sammanställning av data får anses utgöra en för myndigheten tillgänglig upp</w:t>
      </w:r>
      <w:r w:rsidRPr="0008481A">
        <w:softHyphen/>
        <w:t>tagning – och därmed en allmän handling – om urvalet eller samman</w:t>
      </w:r>
      <w:r w:rsidRPr="0008481A">
        <w:softHyphen/>
        <w:t xml:space="preserve">ställningen kan tas fram genom rutinbetonade åtgärder från myndighetens sida. Krävs däremot en mera kvalificerad, konstruktiv insats i form av t.ex. nyskrivning av datorprogram, kan den upptagning som skulle bli resultatet av bearbetningen inte anses tillgänglig för myndigheten. Vidare anfördes att en myndighet torde bli skyldig att tillhandagå med nytt datorprogram endast om sådant kan upprättas inom myndigheten genom en enkel arbetsinsats </w:t>
      </w:r>
      <w:r w:rsidRPr="0008481A">
        <w:t xml:space="preserve">och utan nämnvärda kostnader eller andra komplikationer (prop. 1975/76:160 s. 89–91). </w:t>
      </w:r>
    </w:p>
    <w:p w:rsidR="003B3271" w:rsidRPr="0008481A" w:rsidRDefault="003B3271">
      <w:pPr>
        <w:pStyle w:val="Normaltindrag"/>
      </w:pPr>
      <w:r w:rsidRPr="0008481A">
        <w:t>Vad Statens jordbruksverk upplyst om de åtgärder som krävdes för att tillmötesgå Bertil Frennessons begäran ger inte stöd för annat än att åtgärderna gått utöver sådana rutinbetonade åtgärder för visst urval eller viss sammanställning av data som en myndighet är skyldig att vidta för att tillgodose kraven på offentlighet. De begärda uppgifterna kan därför inte anses ha varit tillgängliga för verket på sådant sätt att de u</w:t>
      </w:r>
      <w:r w:rsidRPr="0008481A">
        <w:t xml:space="preserve">tgjort allmän handling (se RÅ 1988 ref. 84). </w:t>
      </w:r>
    </w:p>
    <w:p w:rsidR="003B3271" w:rsidRPr="0008481A" w:rsidRDefault="003B3271">
      <w:pPr>
        <w:pStyle w:val="Normaltindrag"/>
      </w:pPr>
      <w:r w:rsidRPr="0008481A">
        <w:t xml:space="preserve"> Eftersom Bertil Frennesson i sin begäran uttryckligen åberopade före</w:t>
      </w:r>
      <w:r w:rsidRPr="0008481A">
        <w:softHyphen/>
        <w:t xml:space="preserve">skrifterna i TF, skulle verket dock formellt ha behandlat framställningen i enlighet med de regler som redogjorts för ovan. Bertil Frennesson skulle således ha underrättats om att de begärda uppgifterna inte utgjorde allmän handling och om möjligheten att erhålla ett formellt beslut i saken. Han skulle också ha upplysts om att ett sådant beslut krävdes för att avgörandet skulle kunna överklagas. </w:t>
      </w:r>
    </w:p>
    <w:p w:rsidR="003B3271" w:rsidRPr="0008481A" w:rsidRDefault="003B3271">
      <w:pPr>
        <w:pStyle w:val="Normaltindrag"/>
      </w:pPr>
      <w:r w:rsidRPr="0008481A">
        <w:t>Av intresse i sammanhanget är samtidigt bestämmelserna i 15 kap. 4 § sekretesslagen om att en myndighet på begä</w:t>
      </w:r>
      <w:r w:rsidRPr="0008481A">
        <w:t>ran av en enskild skall lämna uppgift ur allmän handling som förvaras hos myndigheten, i den mån hinder inte möter på grund av bestämmelse om sekretess eller av hänsyn till arbetets behöriga gång. Statens jordbruksverk synes ha behandlat Bertil Frennessons begäran som en framställning enligt detta lagrum. Av verkets remissyttrande framgår att verket inte förrän i slutet av mars 1998 hade tillgängliga resurser för att utföra det programmeringsarbete som krävdes för att ta fram de begärda uppgifterna. Dessa h</w:t>
      </w:r>
      <w:r w:rsidRPr="0008481A">
        <w:t>ar sedan, efter viss komplettering från Bertil Frennesson, översänts till honom den 3 april 1998. Verket har sålunda, i stort sett så snart det varit möjligt, lämnat ut uppgifterna till Bertil Frennesson. Någon grund för kritik på denna punkt finns det därför inte.</w:t>
      </w:r>
    </w:p>
    <w:p w:rsidR="003B3271" w:rsidRPr="0008481A" w:rsidRDefault="003B3271">
      <w:pPr>
        <w:pStyle w:val="Rubrik2"/>
      </w:pPr>
      <w:r w:rsidRPr="0008481A">
        <w:t>Kommunala nämnder har inte registrerat (diariefört) allmänna handlingar i ärenden om färdtjänst. Fråga om registrerings</w:t>
      </w:r>
      <w:r w:rsidRPr="0008481A">
        <w:softHyphen/>
        <w:t>skyldighet föreligger</w:t>
      </w:r>
    </w:p>
    <w:p w:rsidR="003B3271" w:rsidRPr="0008481A" w:rsidRDefault="003B3271">
      <w:r w:rsidRPr="0008481A">
        <w:t>(Dnr 4051-1999 och 4052-1999)</w:t>
      </w:r>
    </w:p>
    <w:p w:rsidR="003B3271" w:rsidRPr="0008481A" w:rsidRDefault="003B3271">
      <w:r w:rsidRPr="0008481A">
        <w:rPr>
          <w:i/>
        </w:rPr>
        <w:t>Stf JO Ekberg</w:t>
      </w:r>
      <w:r w:rsidRPr="0008481A">
        <w:t xml:space="preserve"> anförde i beslut den 6 april 2000 följande.</w:t>
      </w:r>
    </w:p>
    <w:p w:rsidR="003B3271" w:rsidRPr="0008481A" w:rsidRDefault="003B3271">
      <w:r w:rsidRPr="0008481A">
        <w:t>Vid min inspektion den 28–29 september 1999 av handläggningen av ärenden om färdtjänst hos Teknik- och idrottsnämnden i Västerås kommun konstaterade jag att det inte skedde någon registrering (diarieföring) av inkomna eller upprät</w:t>
      </w:r>
      <w:r w:rsidRPr="0008481A">
        <w:softHyphen/>
        <w:t>tade allmänna handlingar i dessa ärenden hos nämnden. Vid inspektionen upplys</w:t>
      </w:r>
      <w:r w:rsidRPr="0008481A">
        <w:softHyphen/>
        <w:t>tes att ansvaret för de uppgifter som åvilar kommunen enligt lagen (1997:736) om färdtjänst överfördes från äldre- och handikappnämnden till teknik- och idrotts</w:t>
      </w:r>
      <w:r w:rsidRPr="0008481A">
        <w:softHyphen/>
        <w:t>nämnden den 17 juni 1999. Det framkom att inte heller under den tid då äldre- och handikappnämnden fullgjorde kommunens uppgifter enligt lagen om färdtjänst skedde någon diarieföring i nu aktuellt hänseende. Jag gjorde under rubriken 3.6 Registre</w:t>
      </w:r>
      <w:r w:rsidRPr="0008481A">
        <w:softHyphen/>
        <w:t>ring av allmänna handling</w:t>
      </w:r>
      <w:r w:rsidRPr="0008481A">
        <w:t>ar följande uttalanden i inspektionsprotokollet (dnr 3305-1999).</w:t>
      </w:r>
    </w:p>
    <w:p w:rsidR="003B3271" w:rsidRPr="0008481A" w:rsidRDefault="003B3271">
      <w:pPr>
        <w:pStyle w:val="Citat"/>
      </w:pPr>
      <w:r w:rsidRPr="0008481A">
        <w:t>I 15 kap. 1 och 2 §§ sekretesslagen (1980:100) finns grundläggande be</w:t>
      </w:r>
      <w:r w:rsidRPr="0008481A">
        <w:softHyphen/>
        <w:t>stämmelser om myndighets skyldighet att registrera allmänna hand</w:t>
      </w:r>
      <w:r w:rsidRPr="0008481A">
        <w:softHyphen/>
        <w:t>lingar samt om vad register skall innehålla. Bestämmelsernas syfte är främst att ga</w:t>
      </w:r>
      <w:r w:rsidRPr="0008481A">
        <w:softHyphen/>
        <w:t>rantera allmänhetens rätt att få tillgång till allmänna handlingar. För att of</w:t>
      </w:r>
      <w:r w:rsidRPr="0008481A">
        <w:softHyphen/>
        <w:t>fentlighetsprincipen i praktiken skall fungera på det sätt som är avsett i tryckfrihetsförordningen (TF) har det ansetts nödvändigt att myndigheterna håller sina allmänna handlingar regist</w:t>
      </w:r>
      <w:r w:rsidRPr="0008481A">
        <w:softHyphen/>
        <w:t>rerade eller i vart fall ordnade så att det går att konstatera vilka all</w:t>
      </w:r>
      <w:r w:rsidRPr="0008481A">
        <w:softHyphen/>
        <w:t xml:space="preserve">männa handlingar som </w:t>
      </w:r>
      <w:r w:rsidRPr="0008481A">
        <w:t>finns.</w:t>
      </w:r>
    </w:p>
    <w:p w:rsidR="003B3271" w:rsidRPr="0008481A" w:rsidRDefault="003B3271">
      <w:pPr>
        <w:pStyle w:val="Citatindrag"/>
      </w:pPr>
      <w:r w:rsidRPr="0008481A">
        <w:t>Enligt huvudregeln i 15 kap. 1 § sekretesslagen skall allmänna hand</w:t>
      </w:r>
      <w:r w:rsidRPr="0008481A">
        <w:softHyphen/>
        <w:t>lingar som inkommit till eller upprättats hos en myndighet registreras utan dröjs</w:t>
      </w:r>
      <w:r w:rsidRPr="0008481A">
        <w:softHyphen/>
        <w:t>mål. Emellertid får, i fråga om allmänna handlingar, för vilka sekretess inte gäller, registrering underlåtas om handlingarna i stället hålls så ordnade att det utan svårighet kan fastställas om en handling kommit in eller upprättats. En ovillkorlig registreringsskyl</w:t>
      </w:r>
      <w:r w:rsidRPr="0008481A">
        <w:softHyphen/>
        <w:t xml:space="preserve">dighet omfattar därmed bara handlingar för vilka sekretess gäller. </w:t>
      </w:r>
    </w:p>
    <w:p w:rsidR="003B3271" w:rsidRPr="0008481A" w:rsidRDefault="003B3271">
      <w:pPr>
        <w:pStyle w:val="Citatindrag"/>
      </w:pPr>
      <w:r w:rsidRPr="0008481A">
        <w:t>I ärenden om färdtjänst förekommer i de allra flesta fall uppgifter för vilka sekretess råder</w:t>
      </w:r>
      <w:r w:rsidRPr="0008481A">
        <w:t>. Vid inspektionen har också konstaterats att handlingar inne</w:t>
      </w:r>
      <w:r w:rsidRPr="0008481A">
        <w:softHyphen/>
        <w:t xml:space="preserve">hållande sådana uppgifter inkommit till respektive upprättats hos teknik- och idrottsnämnden. </w:t>
      </w:r>
    </w:p>
    <w:p w:rsidR="003B3271" w:rsidRPr="0008481A" w:rsidRDefault="003B3271">
      <w:r w:rsidRPr="0008481A">
        <w:t xml:space="preserve">Jag beslutade att i två särskilda ärenden – ett ärende för var och en av nämnderna – behandla frågan om den uteblivna diarieföringen. För detta ändamål inhämtades teknik- och idrottsnämndens samt äldre- och handikappnämndens yttranden.  </w:t>
      </w:r>
    </w:p>
    <w:p w:rsidR="003B3271" w:rsidRPr="0008481A" w:rsidRDefault="003B3271">
      <w:pPr>
        <w:pStyle w:val="Rubrik3"/>
      </w:pPr>
      <w:r w:rsidRPr="0008481A">
        <w:t>Utredning</w:t>
      </w:r>
    </w:p>
    <w:p w:rsidR="003B3271" w:rsidRPr="0008481A" w:rsidRDefault="003B3271">
      <w:r w:rsidRPr="0008481A">
        <w:t>Teknik- och idrottsnämnden åberopade som yttrande en skrivelse från teknik- och idrottsförvaltningen den 29 november 1999. I skrivelsen uttalades följande.</w:t>
      </w:r>
    </w:p>
    <w:p w:rsidR="003B3271" w:rsidRPr="0008481A" w:rsidRDefault="003B3271">
      <w:pPr>
        <w:pStyle w:val="Sidfot"/>
        <w:tabs>
          <w:tab w:val="clear" w:pos="9072"/>
        </w:tabs>
      </w:pPr>
    </w:p>
    <w:p w:rsidR="003B3271" w:rsidRPr="0008481A" w:rsidRDefault="003B3271">
      <w:pPr>
        <w:pStyle w:val="Citat"/>
      </w:pPr>
      <w:r w:rsidRPr="0008481A">
        <w:t>Ansvaret för de uppgifter som åvilar kommunen enligt lagen om färdtjänst (1997:736) överfördes per 1999-06-17 från Äldre- och handikappnämnden, en av de sociala nämnderna inom Västerås kommun, till Teknik- och idrotts</w:t>
      </w:r>
      <w:r w:rsidRPr="0008481A">
        <w:softHyphen/>
        <w:t>nämnden.</w:t>
      </w:r>
    </w:p>
    <w:p w:rsidR="003B3271" w:rsidRPr="0008481A" w:rsidRDefault="003B3271">
      <w:pPr>
        <w:pStyle w:val="Citatindrag"/>
      </w:pPr>
      <w:r w:rsidRPr="0008481A">
        <w:t>Äldre- och handikappnämnden har, i enlighet med Sekretessförordningen, 5 §, ”Undantag från registreringsskyldighet”, vad gäller ärenden om färd</w:t>
      </w:r>
      <w:r w:rsidRPr="0008481A">
        <w:softHyphen/>
        <w:t>tjänst, valt att inte registrera sekretessbelagda handlingar som hör till enskil</w:t>
      </w:r>
      <w:r w:rsidRPr="0008481A">
        <w:softHyphen/>
        <w:t>das personakter.</w:t>
      </w:r>
    </w:p>
    <w:p w:rsidR="003B3271" w:rsidRPr="0008481A" w:rsidRDefault="003B3271">
      <w:pPr>
        <w:pStyle w:val="Citatindrag"/>
      </w:pPr>
      <w:r w:rsidRPr="0008481A">
        <w:t>I och med överförandet av ansvaret för färdtjänst från Äldre- och handi</w:t>
      </w:r>
      <w:r w:rsidRPr="0008481A">
        <w:softHyphen/>
        <w:t>kappnämnden till Teknik- och idrottsnämnden gavs, enligt hittillsvarande bedömning, ej möjlighet till nämnda undantag. Oaktat JO:s inspektion hade Teknik- och idrottsförvaltningen redan noterat detta. Efter samråd med kommunens jurister och övriga sakkunniga i frågan tog förvaltningen beslut om registrering av nämnda handlingar, att genomföras så snart som möjligt efter överförandet. Rutiner upprättades och registrering sker på erforderligt sätt sedan september i år.</w:t>
      </w:r>
    </w:p>
    <w:p w:rsidR="003B3271" w:rsidRPr="0008481A" w:rsidRDefault="003B3271">
      <w:r w:rsidRPr="0008481A">
        <w:t>Äldre- och handikappnämnden åberopade s</w:t>
      </w:r>
      <w:r w:rsidRPr="0008481A">
        <w:t xml:space="preserve">om yttrande en skrivelse från sociala nämndernas stab den 2 december 1999 i vilken hänvisades till en skrivelse från pro Aros Viksäng-Kungsåra den 30 november samma år. I sistnämnda skrivelse uttalades följande. </w:t>
      </w:r>
    </w:p>
    <w:p w:rsidR="003B3271" w:rsidRPr="0008481A" w:rsidRDefault="003B3271">
      <w:pPr>
        <w:pStyle w:val="Rubrik5"/>
      </w:pPr>
      <w:r w:rsidRPr="0008481A">
        <w:t>BAKGRUND</w:t>
      </w:r>
    </w:p>
    <w:p w:rsidR="003B3271" w:rsidRPr="0008481A" w:rsidRDefault="003B3271">
      <w:pPr>
        <w:pStyle w:val="Citat"/>
      </w:pPr>
      <w:r w:rsidRPr="0008481A">
        <w:t xml:space="preserve">Fr o m 1997-01-01 t o m 1998-12-31 tillhörde färdtjänsten organisatoriskt pro Aros, Viksäng-Kungsåra och löd under Äldre och handikappnämnden. Färdtjänsten, liksom övrig äldre och handikappomsorg i pro Aros, använde sig av ett datasystem, SOCIA, som är ett </w:t>
      </w:r>
      <w:r w:rsidRPr="0008481A">
        <w:rPr>
          <w:i/>
        </w:rPr>
        <w:t>akt och ärendesystem.</w:t>
      </w:r>
      <w:r w:rsidRPr="0008481A">
        <w:t xml:space="preserve"> I SOCIA registreras personärenden, förs journalanteckningar, skrivs utredning samt beslut. I samband med att färdtjänsten lyftes ut ur socialtjänstlagen och den nya Färdtjänstlagen trädde i kraft fördes en diskussion med Äldre och handi</w:t>
      </w:r>
      <w:r w:rsidRPr="0008481A">
        <w:softHyphen/>
        <w:t>kappnämnden om ärendehantering och beslut togs att fortsätta handlägg</w:t>
      </w:r>
      <w:r w:rsidRPr="0008481A">
        <w:softHyphen/>
        <w:t>ningen i SOCIA-systemet. Detta innebar att vi även efter lagändringen re</w:t>
      </w:r>
      <w:r w:rsidRPr="0008481A">
        <w:softHyphen/>
        <w:t>gistrerade och förde personakter i SOCIA-systemet. Inkomna handlingar så</w:t>
      </w:r>
      <w:r w:rsidRPr="0008481A">
        <w:softHyphen/>
        <w:t>som ansökan, läkarintyg mm förvarades</w:t>
      </w:r>
      <w:r w:rsidRPr="0008481A">
        <w:t xml:space="preserve"> i pärmar enligt beskrivning i JO:s protokoll, Dnr 3305-1999, under punkt 3, iakttagelser och bedömningar. Dessa handlingar tillhörde personakt men då möjlighet att scanna saknades förvarades de för sig.</w:t>
      </w:r>
    </w:p>
    <w:p w:rsidR="003B3271" w:rsidRPr="0008481A" w:rsidRDefault="003B3271">
      <w:pPr>
        <w:pStyle w:val="Rubrik5"/>
      </w:pPr>
      <w:r w:rsidRPr="0008481A">
        <w:t>HÄNVISNING TILL LAGSTIFTNING</w:t>
      </w:r>
    </w:p>
    <w:p w:rsidR="003B3271" w:rsidRPr="0008481A" w:rsidRDefault="003B3271">
      <w:pPr>
        <w:pStyle w:val="Citat"/>
      </w:pPr>
      <w:r w:rsidRPr="0008481A">
        <w:t>I 15 kap 1 § SekrL finns tre undantag från regeln om registrering av all</w:t>
      </w:r>
      <w:r w:rsidRPr="0008481A">
        <w:softHyphen/>
        <w:t>männa handlingar. Regeringen kan föreskriva undantag från registrerings</w:t>
      </w:r>
      <w:r w:rsidRPr="0008481A">
        <w:softHyphen/>
        <w:t>skyldighet för handlingar som förekommer i stor mängd hos en myndighet. Med stöd av detta har regeringen i 5 § sekretessförordningen föreskrivit att vissa myndigheter i vissa fall skall vara undantagna från registreringsskyl</w:t>
      </w:r>
      <w:r w:rsidRPr="0008481A">
        <w:softHyphen/>
        <w:t>digheten. Socialnämnderna behöver inte registrera handlingar som hör till enskildas personakter.</w:t>
      </w:r>
    </w:p>
    <w:p w:rsidR="003B3271" w:rsidRPr="0008481A" w:rsidRDefault="003B3271">
      <w:pPr>
        <w:pStyle w:val="Rubrik5"/>
      </w:pPr>
      <w:r w:rsidRPr="0008481A">
        <w:t>FÖRSLAG TILL BESLUT</w:t>
      </w:r>
    </w:p>
    <w:p w:rsidR="003B3271" w:rsidRPr="0008481A" w:rsidRDefault="003B3271">
      <w:pPr>
        <w:pStyle w:val="Citat"/>
      </w:pPr>
      <w:r w:rsidRPr="0008481A">
        <w:t>Pro Aros, Viksäng-Kungsåra har inte diariefört inkomna handlingar rörande färdtjänst som avser enskilds persons förhållande. Detta med hänvisning till att registrering skett i akt- och ärendesystemet SOCIA och handlingarna har betraktats som tillhörande personakt.</w:t>
      </w:r>
    </w:p>
    <w:p w:rsidR="003B3271" w:rsidRPr="0008481A" w:rsidRDefault="003B3271">
      <w:pPr>
        <w:pStyle w:val="Rubrik3"/>
      </w:pPr>
      <w:r w:rsidRPr="0008481A">
        <w:t>Bedömning</w:t>
      </w:r>
    </w:p>
    <w:p w:rsidR="003B3271" w:rsidRPr="0008481A" w:rsidRDefault="003B3271">
      <w:r w:rsidRPr="0008481A">
        <w:t>Vad gäller avsaknaden av registrering av handlingar i ärenden om färdtjänst hos äldre- och handikappnämnden har nämnderna hänvisat till bestämmelser i sekre</w:t>
      </w:r>
      <w:r w:rsidRPr="0008481A">
        <w:softHyphen/>
        <w:t>tesslagen och sekretessförordningen (1980:657). Enligt nämndernas uppfattning finns författningsenligt stöd för äldre- och handikappnämndens underlåtna regist</w:t>
      </w:r>
      <w:r w:rsidRPr="0008481A">
        <w:softHyphen/>
        <w:t xml:space="preserve">rering. Jag vill för egen del anföra följande. </w:t>
      </w:r>
    </w:p>
    <w:p w:rsidR="003B3271" w:rsidRPr="0008481A" w:rsidRDefault="003B3271">
      <w:pPr>
        <w:pStyle w:val="Normaltindrag"/>
      </w:pPr>
      <w:r w:rsidRPr="0008481A">
        <w:t>Som jag uttalade i inspektionsprotokollet omfattar den ovillkorliga registrerings</w:t>
      </w:r>
      <w:r w:rsidRPr="0008481A">
        <w:softHyphen/>
        <w:t>skyldigheten enligt 15 kap. 1 § första stycket sekretesslagen bara handlingar för vilka sekretess gäller. I andra stycket samma lagrum föreskrivs att regeringen, om särskilda skäl föreligger, får föreskriva undantag från registreringsskyldighet en</w:t>
      </w:r>
      <w:r w:rsidRPr="0008481A">
        <w:softHyphen/>
        <w:t>ligt första stycket i fråga om handlingar av visst slag som hos myndighet före</w:t>
      </w:r>
      <w:r w:rsidRPr="0008481A">
        <w:softHyphen/>
        <w:t>kommer i betydande omfattning. Regeringen har med stöd av detta stadgande i 5 § sekretessförordningen föreskrivit att socialnämnderna undantas från registrerings</w:t>
      </w:r>
      <w:r w:rsidRPr="0008481A">
        <w:softHyphen/>
        <w:t>skyldigheten enligt 15</w:t>
      </w:r>
      <w:r w:rsidRPr="0008481A">
        <w:t xml:space="preserve"> kap. 1 § första stycket sekretesslagen såvitt avser hand</w:t>
      </w:r>
      <w:r w:rsidRPr="0008481A">
        <w:softHyphen/>
        <w:t>lingar som hör till enskildas personakter.</w:t>
      </w:r>
    </w:p>
    <w:p w:rsidR="003B3271" w:rsidRPr="0008481A" w:rsidRDefault="003B3271">
      <w:pPr>
        <w:pStyle w:val="Normaltindrag"/>
      </w:pPr>
      <w:r w:rsidRPr="0008481A">
        <w:t>Vad som avses med socialnämnd anges inte i sekretessförordningen. Eftersom förordningen är utfärdad med stöd av  bestämmelserna i sekretesslagen ligger det i sakens natur att begreppet används i förordningen på samma sätt som  i sekre</w:t>
      </w:r>
      <w:r w:rsidRPr="0008481A">
        <w:softHyphen/>
        <w:t>tesslagen. I sekretesslagen regleras verksamhet hos socialnämnderna  i 7 kap. 4 § som handlar om socialtjänstsekretessen. Det anges också där vad som förstås med eller jämställs med socialtjänst. Vad som förstås med socialnämnd anges däremot inte uttryckligen i sekretesslagen.</w:t>
      </w:r>
    </w:p>
    <w:p w:rsidR="003B3271" w:rsidRPr="0008481A" w:rsidRDefault="003B3271">
      <w:pPr>
        <w:pStyle w:val="Normaltindrag"/>
      </w:pPr>
      <w:r w:rsidRPr="0008481A">
        <w:t>För att få ledning i den saken får man gå till socialtjänstlagen (1980:620). Tidigare gällde att det inom varje kommun skulle finnas en socialnämnd för att fullgöra kommunens uppgifter inom socialtjänsten. Numera har kommunerna tilla</w:t>
      </w:r>
      <w:r w:rsidRPr="0008481A">
        <w:t>gts frihet att själva utforma en lämplig nämndorganisation på det sociala området. I 4 § so</w:t>
      </w:r>
      <w:r w:rsidRPr="0008481A">
        <w:softHyphen/>
        <w:t>cialtjänstlagen föreskrivs det därför att kommunens uppgifter inom socialtjänsten skall fullgöras av den eller de nämnder som kommunfullmäktige bestämmer. Av samma paragraf följer att vad som sägs om socialnämnd i lag eller annan författ</w:t>
      </w:r>
      <w:r w:rsidRPr="0008481A">
        <w:softHyphen/>
        <w:t>ning skall gälla den eller de nämnder som kommunen inrättar för att fullgöra kommunens uppgifter inom socialtjänsten.</w:t>
      </w:r>
    </w:p>
    <w:p w:rsidR="003B3271" w:rsidRPr="0008481A" w:rsidRDefault="003B3271">
      <w:pPr>
        <w:pStyle w:val="Normaltindrag"/>
      </w:pPr>
      <w:r w:rsidRPr="0008481A">
        <w:t>Av det nu redovisade drar jag slutsatsen att med socialnämnd i 5</w:t>
      </w:r>
      <w:r w:rsidRPr="0008481A">
        <w:t xml:space="preserve"> § sekretessför</w:t>
      </w:r>
      <w:r w:rsidRPr="0008481A">
        <w:softHyphen/>
        <w:t>ordningen förstås en sådan kommunal nämnd som – oavsett dess beteckning – ansvarar för  verksamhet som redovisas i 7 kap. 4 § sekretesslagen. Dit hör fram</w:t>
      </w:r>
      <w:r w:rsidRPr="0008481A">
        <w:softHyphen/>
        <w:t>för allt verksamhet enligt lagstiftningen om socialtjänst  och sådan verksamhet som enligt paragrafen särskilt jämställs med socialtjänst.</w:t>
      </w:r>
    </w:p>
    <w:p w:rsidR="003B3271" w:rsidRPr="0008481A" w:rsidRDefault="003B3271">
      <w:pPr>
        <w:pStyle w:val="Normaltindrag"/>
      </w:pPr>
      <w:r w:rsidRPr="0008481A">
        <w:t>Under tid då den kommunala färdtjänsten var en del av socialtjänsten omfattades den av de materiella bestämmelserna om sekretess  i 7 kap. 4 §. Genom lagen om färdtjänst som trädde i kraft den 1 januari</w:t>
      </w:r>
      <w:r w:rsidRPr="0008481A">
        <w:t xml:space="preserve"> 1998 bröts färdtjänsten ut ur social</w:t>
      </w:r>
      <w:r w:rsidRPr="0008481A">
        <w:softHyphen/>
        <w:t>tjänsten. Färdtjänst skulle inte längre primärt behandlas som en form av bistånd för att uppnå skälig levnadsnivå utan som en trafikpolitisk fråga (jfr prop. 1996/97:115). Detta fick till konsekvens att ärenden om färdtjänst inte längre kom att omfattas av socialtjänstsekretessen i 7 kap. 4 § sekretesslagen. Eftersom ett sekretessbehov alltjämt förelåg i ärenden av detta slag infördes en särskild sekre</w:t>
      </w:r>
      <w:r w:rsidRPr="0008481A">
        <w:softHyphen/>
        <w:t>tessbestämmelse på färdtjänstområdet i 7 kap. 37 § sekretesslagen.</w:t>
      </w:r>
    </w:p>
    <w:p w:rsidR="003B3271" w:rsidRPr="0008481A" w:rsidRDefault="003B3271">
      <w:pPr>
        <w:pStyle w:val="Normaltindrag"/>
      </w:pPr>
      <w:r w:rsidRPr="0008481A">
        <w:t>L</w:t>
      </w:r>
      <w:r w:rsidRPr="0008481A">
        <w:t>agändringen fick också till följd att det i sekretessförordningen för socialnämnd föreskrivna undantaget från registreringsskyldighet inte längre blev tillämpligt. Som jag ovan anfört gäller det undantaget endast för verksamheter som anges i 7 kap. 4 § sekretesslagen. Om lagstiftaren hade avsett att undantaget alltjämt skulle bestå, borde ett tillägg ha gjorts  i 4 §  av innebörd att med socialtjänst skulle jäm</w:t>
      </w:r>
      <w:r w:rsidRPr="0008481A">
        <w:softHyphen/>
        <w:t>ställas även ärenden angående färdtjänst. Något sådant tillägg har emellertid inte kommit till st</w:t>
      </w:r>
      <w:r w:rsidRPr="0008481A">
        <w:t>ånd.</w:t>
      </w:r>
    </w:p>
    <w:p w:rsidR="003B3271" w:rsidRPr="0008481A" w:rsidRDefault="003B3271">
      <w:pPr>
        <w:pStyle w:val="Normaltindrag"/>
      </w:pPr>
      <w:r w:rsidRPr="0008481A">
        <w:t>Av det nu anförda följer att äldre- och handikappnämnden i och med att lagen om färdtjänst trädde i kraft den 1 januari 1998 varit skyldig att enligt de bestämmelser som finns i 15 kap. 1 och 2 §§ sekretesslagen registrera de allmänna handlingar som innehöll sekretessbelagda uppgifter. Eftersom det i flertalet ärenden om färd</w:t>
      </w:r>
      <w:r w:rsidRPr="0008481A">
        <w:softHyphen/>
        <w:t>tjänst torde förekomma uppgifter för vilka sekretess föreligger ser jag självfallet allvarligt på den underlåtna registreringen som sträcker sig över nästan ett och ett halvt år. Äldre- och handikappnämnden svarar inte längre för kommunala uppgif</w:t>
      </w:r>
      <w:r w:rsidRPr="0008481A">
        <w:softHyphen/>
        <w:t>ter på färdtjänstområdet. Jag stannar därför vid detta uttalande.</w:t>
      </w:r>
    </w:p>
    <w:p w:rsidR="003B3271" w:rsidRPr="0008481A" w:rsidRDefault="003B3271">
      <w:pPr>
        <w:pStyle w:val="Normaltindrag"/>
      </w:pPr>
      <w:r w:rsidRPr="0008481A">
        <w:t>Av vad som sagts ovan följer att även för teknik- och idrottsnämnden föreligger en skyldighet att registrera sådana handlingar i ärenden om färdtjänst som inne</w:t>
      </w:r>
      <w:r w:rsidRPr="0008481A">
        <w:softHyphen/>
        <w:t>håller sekretessbelagda uppgifter. Nämnden är numera medveten om denna skyl</w:t>
      </w:r>
      <w:r w:rsidRPr="0008481A">
        <w:softHyphen/>
        <w:t>dighet. Att någon registrering inte skedde från det att nämnden fick ansvaret för handläggningen av ärendena, den 17 juni 1999, fram till min inspektion i slutet av september samma år är givetvis inte bra. Registrering sker nu, som jag uppfattat saken, enligt bestämmelserna i 15 kap. 1 och 2 §§ sekretesslagen. Jag saknar där</w:t>
      </w:r>
      <w:r w:rsidRPr="0008481A">
        <w:softHyphen/>
        <w:t>för anledning att gå vidare i saken.</w:t>
      </w:r>
    </w:p>
    <w:p w:rsidR="003B3271" w:rsidRPr="0008481A" w:rsidRDefault="003B3271">
      <w:pPr>
        <w:pStyle w:val="Rubrik2"/>
      </w:pPr>
      <w:r w:rsidRPr="0008481A">
        <w:t>Lämpligheten av att en länsarbetsnämnd i förväg ger företag möjlighet a</w:t>
      </w:r>
      <w:r w:rsidRPr="0008481A">
        <w:t>tt efterge sekretess i ärenden om varsel enligt lagen (1974:13) om vissa anställningsfrämjande åtgärder</w:t>
      </w:r>
    </w:p>
    <w:p w:rsidR="003B3271" w:rsidRPr="0008481A" w:rsidRDefault="003B3271">
      <w:r w:rsidRPr="0008481A">
        <w:t>(Dnr 1759-1999)</w:t>
      </w:r>
    </w:p>
    <w:p w:rsidR="003B3271" w:rsidRPr="0008481A" w:rsidRDefault="003B3271">
      <w:pPr>
        <w:pStyle w:val="Rubrik3"/>
      </w:pPr>
      <w:r w:rsidRPr="0008481A">
        <w:t>Anmälan</w:t>
      </w:r>
    </w:p>
    <w:p w:rsidR="003B3271" w:rsidRPr="0008481A" w:rsidRDefault="003B3271">
      <w:r w:rsidRPr="0008481A">
        <w:t>Cjell Fransson anmälde Länsarbetsnämnden i Jönköpings län till JO för dess handläggning av ärenden rörande varsel om uppsägning. Han anförde i huvudsak följande. Företag som avser att varsla om uppsägning får av länsarbetsnämnden en blankett, på vilken de kan ange om de önskar att varselbeskedet skall vara sekretessbelagt eller inte. Länsarbetsnämnden har för Cjell Fransson förklarat att företagets inställning utgör endast en del av nämndens bedömning i det fall att handlingar begärs utlämnade i ärendet. E</w:t>
      </w:r>
      <w:r w:rsidRPr="0008481A">
        <w:t>nligt uppgift har dock länsarbetsnämnden haft en från företaget avvikande åsikt i endast ett fall. I det fallet hade uppgifterna redan publicerats i lokaltidningen och företagsledningen tillfrågades dessutom om det var i sin ordning att lämna ut uppgifterna. Cjell Fransson ifrågasatte om inte länsarbetsnämndens förfarande står i strid med sekretesslagens mening. Han ansåg vidare att bedömningen av sekretess bör vara mycket strikt och att länsarbetsnämnden bör få klara regler för när sekretess skall användas</w:t>
      </w:r>
      <w:r w:rsidRPr="0008481A">
        <w:t xml:space="preserve">. </w:t>
      </w:r>
    </w:p>
    <w:p w:rsidR="003B3271" w:rsidRPr="0008481A" w:rsidRDefault="003B3271">
      <w:pPr>
        <w:pStyle w:val="Rubrik3"/>
      </w:pPr>
      <w:r w:rsidRPr="0008481A">
        <w:t>Utredning</w:t>
      </w:r>
    </w:p>
    <w:p w:rsidR="003B3271" w:rsidRPr="0008481A" w:rsidRDefault="003B3271">
      <w:r w:rsidRPr="0008481A">
        <w:t xml:space="preserve">Från Länsarbetsnämnden i Jönköpings län inhämtades en kopia av den aktuella blanketten. Blanketten hade följande lydelse. </w:t>
      </w:r>
    </w:p>
    <w:p w:rsidR="003B3271" w:rsidRPr="0008481A" w:rsidRDefault="003B3271">
      <w:pPr>
        <w:pStyle w:val="Citat"/>
      </w:pPr>
      <w:r w:rsidRPr="0008481A">
        <w:t>FRÅGA OM SEKRETESS</w:t>
      </w:r>
    </w:p>
    <w:p w:rsidR="003B3271" w:rsidRPr="0008481A" w:rsidRDefault="003B3271">
      <w:pPr>
        <w:pStyle w:val="Citat"/>
      </w:pPr>
      <w:r w:rsidRPr="0008481A">
        <w:t>Vi medger att länsarbetsnämnden får lämna ut uppgift om detta varsel</w:t>
      </w:r>
    </w:p>
    <w:p w:rsidR="003B3271" w:rsidRPr="0008481A" w:rsidRDefault="0008481A">
      <w:pPr>
        <w:pStyle w:val="Kommentarer"/>
      </w:pPr>
      <w:r w:rsidRPr="0008481A">
        <w:rPr>
          <w:noProof/>
        </w:rPr>
        <mc:AlternateContent>
          <mc:Choice Requires="wps">
            <w:drawing>
              <wp:anchor distT="0" distB="0" distL="114300" distR="114300" simplePos="0" relativeHeight="251656704" behindDoc="0" locked="0" layoutInCell="0" allowOverlap="1">
                <wp:simplePos x="0" y="0"/>
                <wp:positionH relativeFrom="column">
                  <wp:posOffset>394335</wp:posOffset>
                </wp:positionH>
                <wp:positionV relativeFrom="paragraph">
                  <wp:posOffset>109220</wp:posOffset>
                </wp:positionV>
                <wp:extent cx="182880" cy="274320"/>
                <wp:effectExtent l="0" t="0" r="0" b="0"/>
                <wp:wrapNone/>
                <wp:docPr id="77155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74320"/>
                        </a:xfrm>
                        <a:prstGeom prst="rect">
                          <a:avLst/>
                        </a:prstGeom>
                        <a:solidFill>
                          <a:srgbClr val="FFFFFF"/>
                        </a:solidFill>
                        <a:ln w="9525">
                          <a:solidFill>
                            <a:srgbClr val="000000"/>
                          </a:solidFill>
                          <a:miter lim="800000"/>
                          <a:headEnd/>
                          <a:tailEnd/>
                        </a:ln>
                      </wps:spPr>
                      <wps:txbx>
                        <w:txbxContent>
                          <w:p w:rsidR="003B3271" w:rsidRPr="0008481A" w:rsidRDefault="003B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5pt;margin-top:8.6pt;width:14.4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" o:allowincell="f">
                <v:textbox>
                  <w:txbxContent>
                    <w:p w:rsidR="003B3271" w:rsidRPr="0008481A" w:rsidRDefault="003B3271"/>
                  </w:txbxContent>
                </v:textbox>
              </v:shape>
            </w:pict>
          </mc:Fallback>
        </mc:AlternateContent>
      </w:r>
      <w:r w:rsidRPr="0008481A">
        <w:rPr>
          <w:noProof/>
        </w:rPr>
        <mc:AlternateContent>
          <mc:Choice Requires="wps">
            <w:drawing>
              <wp:anchor distT="0" distB="0" distL="114300" distR="114300" simplePos="0" relativeHeight="251657728" behindDoc="0" locked="0" layoutInCell="0" allowOverlap="1">
                <wp:simplePos x="0" y="0"/>
                <wp:positionH relativeFrom="column">
                  <wp:posOffset>1674495</wp:posOffset>
                </wp:positionH>
                <wp:positionV relativeFrom="paragraph">
                  <wp:posOffset>109220</wp:posOffset>
                </wp:positionV>
                <wp:extent cx="182880" cy="274320"/>
                <wp:effectExtent l="0" t="0" r="0" b="0"/>
                <wp:wrapSquare wrapText="bothSides"/>
                <wp:docPr id="1040880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74320"/>
                        </a:xfrm>
                        <a:prstGeom prst="rect">
                          <a:avLst/>
                        </a:prstGeom>
                        <a:solidFill>
                          <a:srgbClr val="FFFFFF"/>
                        </a:solidFill>
                        <a:ln w="9525">
                          <a:solidFill>
                            <a:srgbClr val="000000"/>
                          </a:solidFill>
                          <a:miter lim="800000"/>
                          <a:headEnd/>
                          <a:tailEnd/>
                        </a:ln>
                      </wps:spPr>
                      <wps:txbx>
                        <w:txbxContent>
                          <w:p w:rsidR="003B3271" w:rsidRPr="0008481A" w:rsidRDefault="003B3271">
                            <w:pPr>
                              <w:pStyle w:val="Normaltindrag"/>
                            </w:pPr>
                            <w:r w:rsidRPr="0008481A">
                              <w:t>FRÅGA OM SEKRETESS</w:t>
                            </w:r>
                          </w:p>
                          <w:p w:rsidR="003B3271" w:rsidRPr="0008481A" w:rsidRDefault="003B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1.85pt;margin-top:8.6pt;width:14.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" o:allowincell="f">
                <v:textbox>
                  <w:txbxContent>
                    <w:p w:rsidR="003B3271" w:rsidRPr="0008481A" w:rsidRDefault="003B3271">
                      <w:pPr>
                        <w:pStyle w:val="Normaltindrag"/>
                      </w:pPr>
                      <w:r w:rsidRPr="0008481A">
                        <w:t>FRÅGA OM SEKRETESS</w:t>
                      </w:r>
                    </w:p>
                    <w:p w:rsidR="003B3271" w:rsidRPr="0008481A" w:rsidRDefault="003B3271"/>
                  </w:txbxContent>
                </v:textbox>
                <w10:wrap type="square"/>
              </v:shape>
            </w:pict>
          </mc:Fallback>
        </mc:AlternateContent>
      </w:r>
    </w:p>
    <w:p w:rsidR="003B3271" w:rsidRPr="0008481A" w:rsidRDefault="003B3271">
      <w:pPr>
        <w:pStyle w:val="Normaltindrag"/>
      </w:pPr>
      <w:r w:rsidRPr="0008481A">
        <w:rPr>
          <w:sz w:val="24"/>
        </w:rPr>
        <w:t xml:space="preserve">                  Ja                                                     Nej</w:t>
      </w:r>
      <w:r w:rsidRPr="0008481A">
        <w:rPr>
          <w:sz w:val="24"/>
        </w:rPr>
        <w:tab/>
      </w:r>
    </w:p>
    <w:p w:rsidR="003B3271" w:rsidRPr="0008481A" w:rsidRDefault="003B3271">
      <w:pPr>
        <w:pStyle w:val="Normaltindrag"/>
      </w:pPr>
    </w:p>
    <w:p w:rsidR="003B3271" w:rsidRPr="0008481A" w:rsidRDefault="003B3271">
      <w:pPr>
        <w:pStyle w:val="Citat"/>
      </w:pPr>
      <w:r w:rsidRPr="0008481A">
        <w:t>Underskrift:........................................Namnförtydligande:................................</w:t>
      </w:r>
    </w:p>
    <w:p w:rsidR="003B3271" w:rsidRPr="0008481A" w:rsidRDefault="003B3271">
      <w:pPr>
        <w:pStyle w:val="Citat"/>
      </w:pPr>
      <w:r w:rsidRPr="0008481A">
        <w:t>Företrädare för massmedia ringer så gott som varje dag till länsarbets</w:t>
      </w:r>
      <w:r w:rsidRPr="0008481A">
        <w:softHyphen/>
        <w:t>nämnden för att få reda på om något varsel kommit in. Länsarbetsnämnden prövar varje sådan framställning utifrån gällande sekretessbestämmelser (se nedan). Undantag från sekretess kan medges av den som skyddas (t ex ett företag som lämnat varsel). Ett sådant medgivande kan göras ovan.</w:t>
      </w:r>
    </w:p>
    <w:p w:rsidR="003B3271" w:rsidRPr="0008481A" w:rsidRDefault="003B3271">
      <w:pPr>
        <w:pStyle w:val="Citatindrag"/>
      </w:pPr>
      <w:r w:rsidRPr="0008481A">
        <w:t>Lagen (1974:13) om vissa anställningsfrämjande åtgärder innehåller regler om bl.a. varsel. Av dessa följer att underrättelser och varsel om drift</w:t>
      </w:r>
      <w:r w:rsidRPr="0008481A">
        <w:softHyphen/>
        <w:t>inskränk</w:t>
      </w:r>
      <w:r w:rsidRPr="0008481A">
        <w:softHyphen/>
        <w:t>ningar faller under Sekretesslagen. Om varslet orsakats av konkurs, så omfattas uppgifter om konkursen inte av sekretesslagen.</w:t>
      </w:r>
    </w:p>
    <w:p w:rsidR="003B3271" w:rsidRPr="0008481A" w:rsidRDefault="003B3271">
      <w:pPr>
        <w:pStyle w:val="Citatindrag"/>
      </w:pPr>
      <w:r w:rsidRPr="0008481A">
        <w:t>Enligt 7 kap § 10 Sekretesslagen gäller sekretess i ärende om arbets</w:t>
      </w:r>
      <w:r w:rsidRPr="0008481A">
        <w:softHyphen/>
        <w:t>förmedling m.m. för uppgift om enskilds personliga förhållanden, och enligt 8 kap § 1 gäller sekretess i ärende om arbetsförmedling och ärende enligt lagstiftningen om anställningsfrämjande åtgärder för uppgift om enskilds affärs- eller driftförhållande, om det inte står klart att uppgiften kan röjas utan att den enskilde lider skada.</w:t>
      </w:r>
    </w:p>
    <w:p w:rsidR="003B3271" w:rsidRPr="0008481A" w:rsidRDefault="003B3271">
      <w:pPr>
        <w:pStyle w:val="Citatindrag"/>
      </w:pPr>
      <w:r w:rsidRPr="0008481A">
        <w:t>Länsarbetsnämnden kommer att lämna ut uppgift om varsel, namn och kontaktperson till Arbetsmarknadens Försäkringsaktiebolag (AFA) samt till Trygghetsrådet i Jönköping (SAF/Pt</w:t>
      </w:r>
      <w:r w:rsidRPr="0008481A">
        <w:t>k), med förbehåll att uppgifterna endast får användas i försäkrings- respektive medlemsärende, och att uppgifterna inte får röjas för utomstående. Förbehållet gäller också att innan någon åtgärd vidtas (t.ex. spridande av trycksaker eller annan information till enskild arbetstagare inom företaget) skall företagsledningens samtycke och synpunkter inhämtas.</w:t>
      </w:r>
    </w:p>
    <w:p w:rsidR="003B3271" w:rsidRPr="0008481A" w:rsidRDefault="003B3271">
      <w:pPr>
        <w:pStyle w:val="Citat"/>
        <w:pBdr>
          <w:top w:val="single" w:sz="4" w:space="1" w:color="auto"/>
          <w:left w:val="single" w:sz="4" w:space="0" w:color="auto"/>
          <w:bottom w:val="single" w:sz="4" w:space="1" w:color="auto"/>
          <w:right w:val="single" w:sz="4" w:space="0" w:color="auto"/>
        </w:pBdr>
      </w:pPr>
      <w:r w:rsidRPr="0008481A">
        <w:t xml:space="preserve">OBS! Blanketten skall </w:t>
      </w:r>
      <w:r w:rsidRPr="0008481A">
        <w:rPr>
          <w:u w:val="single"/>
        </w:rPr>
        <w:t>alltid</w:t>
      </w:r>
      <w:r w:rsidRPr="0008481A">
        <w:t xml:space="preserve"> fyllas i och skrivas under samt bifogas varse</w:t>
      </w:r>
      <w:r w:rsidRPr="0008481A">
        <w:softHyphen/>
        <w:t>l</w:t>
      </w:r>
      <w:r w:rsidRPr="0008481A">
        <w:softHyphen/>
        <w:t>anmälan</w:t>
      </w:r>
    </w:p>
    <w:p w:rsidR="003B3271" w:rsidRPr="0008481A" w:rsidRDefault="003B3271">
      <w:r w:rsidRPr="0008481A">
        <w:t>Ärendet remitterades till Arbetsmarknadsstyrelsen (AMS) för yttrande. I remissvaret anfördes följande.</w:t>
      </w:r>
    </w:p>
    <w:p w:rsidR="003B3271" w:rsidRPr="0008481A" w:rsidRDefault="003B3271">
      <w:pPr>
        <w:pStyle w:val="Rubrik4"/>
      </w:pPr>
      <w:r w:rsidRPr="0008481A">
        <w:t>Sekretessregler i s.k. varselärenden</w:t>
      </w:r>
    </w:p>
    <w:p w:rsidR="003B3271" w:rsidRPr="0008481A" w:rsidRDefault="003B3271">
      <w:pPr>
        <w:pStyle w:val="Citat"/>
      </w:pPr>
      <w:r w:rsidRPr="0008481A">
        <w:t>8 kap. sekretesslagen innehåller regler om sekretess med hänsyn främst till skyddet för enskilds ekonomiska förhållanden. Av 8 kap 1 § framgår att sekretess gäller i ärende om arbetsförmedling och ärende enligt lagstift</w:t>
      </w:r>
      <w:r w:rsidRPr="0008481A">
        <w:softHyphen/>
        <w:t xml:space="preserve">ningen om anställningsfrämjande åtgärder för uppgift om enskilds affärs- eller driftförhållanden, om det inte står klart att uppgiften kan röjas utan att den enskilde lider skada. </w:t>
      </w:r>
    </w:p>
    <w:p w:rsidR="003B3271" w:rsidRPr="0008481A" w:rsidRDefault="003B3271">
      <w:pPr>
        <w:pStyle w:val="Normaltindrag"/>
      </w:pPr>
      <w:r w:rsidRPr="0008481A">
        <w:rPr>
          <w:sz w:val="20"/>
        </w:rPr>
        <w:t xml:space="preserve">I fråga om uppgift i allmän handling gäller sekretessen i högst tjugo år. </w:t>
      </w:r>
    </w:p>
    <w:p w:rsidR="003B3271" w:rsidRPr="0008481A" w:rsidRDefault="003B3271">
      <w:pPr>
        <w:pStyle w:val="Citatindrag"/>
      </w:pPr>
      <w:r w:rsidRPr="0008481A">
        <w:t xml:space="preserve">Bland lagstiftningen om anställningsfrämjande åtgärder återfinns lagen (1974:13) om vissa anställningsfrämjande åtgärder. </w:t>
      </w:r>
    </w:p>
    <w:p w:rsidR="003B3271" w:rsidRPr="0008481A" w:rsidRDefault="003B3271">
      <w:pPr>
        <w:pStyle w:val="Citatindrag"/>
      </w:pPr>
      <w:r w:rsidRPr="0008481A">
        <w:t>Uppgifter i de ärenden som initieras enligt denna lag, s.k. varselärenden, lämnas av företag som av olika skäl måste inskränka sin verksamhet. Företagen är skyldiga att på sätt som lagen bestämmer informera länsarbets</w:t>
      </w:r>
      <w:r w:rsidRPr="0008481A">
        <w:softHyphen/>
        <w:t xml:space="preserve">nämnden om driftinskränkningen, bl.a. genom att lämna uppgifter om namn på de anställda som berörs. </w:t>
      </w:r>
    </w:p>
    <w:p w:rsidR="003B3271" w:rsidRPr="0008481A" w:rsidRDefault="003B3271">
      <w:pPr>
        <w:pStyle w:val="Citatindrag"/>
      </w:pPr>
      <w:r w:rsidRPr="0008481A">
        <w:t xml:space="preserve">Sekretess är huvudregel (omvänt skaderekvisit) vad gäller uppgifter i varselärenden. Den som tillämpar bestämmelsen måste därför förvissa sig om att det står helt klart att uppgiften kan utlämnas utan att företaget i de aktuella ärendena lider skada. </w:t>
      </w:r>
    </w:p>
    <w:p w:rsidR="003B3271" w:rsidRPr="0008481A" w:rsidRDefault="003B3271">
      <w:pPr>
        <w:pStyle w:val="Citatindrag"/>
      </w:pPr>
      <w:r w:rsidRPr="0008481A">
        <w:t xml:space="preserve">Den höga sekretesströskeln har t.ex. fått till följd att länsarbetsnämnderna i diarieföringen av handlingar i varselärenden med stöd av 15 kap. 2 § 2 st sekretesslagen vanligen utelämnar namnet på det företag som varslat, för att diariet i övriga delar skall kunna företes för allmänheten. </w:t>
      </w:r>
    </w:p>
    <w:p w:rsidR="003B3271" w:rsidRPr="0008481A" w:rsidRDefault="003B3271">
      <w:pPr>
        <w:pStyle w:val="Citatindrag"/>
      </w:pPr>
      <w:r w:rsidRPr="0008481A">
        <w:t>Cjell Fransson synes ha en uppfattning att en mindre sträng sekretess bör gälla för uppgifter i dessa ärenden. Han framhåller att sekretess skall gälla först när ett företag lider ”mycket svår och påvisbar skada”.</w:t>
      </w:r>
    </w:p>
    <w:p w:rsidR="003B3271" w:rsidRPr="0008481A" w:rsidRDefault="003B3271">
      <w:pPr>
        <w:pStyle w:val="Normaltindrag"/>
      </w:pPr>
      <w:r w:rsidRPr="0008481A">
        <w:rPr>
          <w:sz w:val="20"/>
        </w:rPr>
        <w:t xml:space="preserve">Med hänvisning till vad nyss sagts delar AMS inte denna uppfattning. </w:t>
      </w:r>
    </w:p>
    <w:p w:rsidR="003B3271" w:rsidRPr="0008481A" w:rsidRDefault="003B3271">
      <w:pPr>
        <w:pStyle w:val="Citatindrag"/>
      </w:pPr>
      <w:r w:rsidRPr="0008481A">
        <w:t xml:space="preserve">Även om sekretesslagens regler inte så sällan är svåra att tillämpa är de emellertid enligt AMS mening så ”klara” som Cjell Fransson efterlyser. </w:t>
      </w:r>
    </w:p>
    <w:p w:rsidR="003B3271" w:rsidRPr="0008481A" w:rsidRDefault="003B3271">
      <w:pPr>
        <w:pStyle w:val="Rubrik4"/>
      </w:pPr>
      <w:r w:rsidRPr="0008481A">
        <w:t>Länsarbetsnämndens handläggning av kontakter med företag som avser lämna eller har lämnat varsel om driftinskränkning</w:t>
      </w:r>
    </w:p>
    <w:p w:rsidR="003B3271" w:rsidRPr="0008481A" w:rsidRDefault="003B3271">
      <w:pPr>
        <w:pStyle w:val="Citat"/>
      </w:pPr>
      <w:r w:rsidRPr="0008481A">
        <w:t>– – –</w:t>
      </w:r>
    </w:p>
    <w:p w:rsidR="003B3271" w:rsidRPr="0008481A" w:rsidRDefault="003B3271">
      <w:pPr>
        <w:pStyle w:val="Citat"/>
      </w:pPr>
      <w:r w:rsidRPr="0008481A">
        <w:t xml:space="preserve">Av – – – blanketten framgår – – – att den alltid skall fyllas i och skrivas under samt bifogas varselanmälan. </w:t>
      </w:r>
    </w:p>
    <w:p w:rsidR="003B3271" w:rsidRPr="0008481A" w:rsidRDefault="003B3271">
      <w:pPr>
        <w:pStyle w:val="Citatindrag"/>
      </w:pPr>
      <w:r w:rsidRPr="0008481A">
        <w:t xml:space="preserve">Länsarbetsnämnden har enligt AMS mening inget författningsstöd för detta krav. Intresset från massmedia om att få uppgifter om företag som varslat är emellertid stort, varför det kan anses praktiskt att lämna företagen i fråga tillfälle att ge sitt medgivande till att lämna ut uppgifter. </w:t>
      </w:r>
    </w:p>
    <w:p w:rsidR="003B3271" w:rsidRPr="0008481A" w:rsidRDefault="003B3271">
      <w:pPr>
        <w:pStyle w:val="Citatindrag"/>
      </w:pPr>
      <w:r w:rsidRPr="0008481A">
        <w:t>Ett nej från företagets sida att lämna ut uppgifter är dock utan verkan vilket även länsarbetsnämnden synes mena när man berör frågan i sitt brev av 1999-04-28 till Cjell Fransson.</w:t>
      </w:r>
    </w:p>
    <w:p w:rsidR="003B3271" w:rsidRPr="0008481A" w:rsidRDefault="003B3271">
      <w:pPr>
        <w:pStyle w:val="Citatindrag"/>
      </w:pPr>
      <w:r w:rsidRPr="0008481A">
        <w:t xml:space="preserve">Användningen av blanketten står därför enligt AMS mening inte i alla delar i överensstämmelse med en författningsenlig handläggning av utlämnandeärenden. </w:t>
      </w:r>
    </w:p>
    <w:p w:rsidR="003B3271" w:rsidRPr="0008481A" w:rsidRDefault="003B3271">
      <w:pPr>
        <w:pStyle w:val="Citatindrag"/>
      </w:pPr>
      <w:r w:rsidRPr="0008481A">
        <w:rPr>
          <w:sz w:val="20"/>
        </w:rPr>
        <w:t xml:space="preserve">I blanketten finns även texten ”om varslet orsakats av konkurs så omfattas uppgifter om konkursen inte av sekretesslagen”. Vad som avses med denna mening är otydligt. Oavsett om det varslande företaget är i konkurs eller ej måste 8 kap 1 § sekretesslagen anses vara tillämplig på uppgifter om företagets affärs- och driftförhållanden. </w:t>
      </w:r>
    </w:p>
    <w:p w:rsidR="003B3271" w:rsidRPr="0008481A" w:rsidRDefault="003B3271">
      <w:pPr>
        <w:pStyle w:val="Citatindrag"/>
      </w:pPr>
      <w:r w:rsidRPr="0008481A">
        <w:rPr>
          <w:sz w:val="20"/>
        </w:rPr>
        <w:t xml:space="preserve">AMS avser därför att ta upp en diskussion med länsarbetsnämnden om ändringar i blanketten utifrån vad här sagts samt med beaktande av Justitieombudsmannens beslut i ärendet. </w:t>
      </w:r>
    </w:p>
    <w:p w:rsidR="003B3271" w:rsidRPr="0008481A" w:rsidRDefault="003B3271">
      <w:r w:rsidRPr="0008481A">
        <w:t>Av upplysningar som inhämtades från länsarbetsnämnden framgick följande. Ett varselärende hos länsarbetsnämnden initieras av att en företrädare för ett företag informerar om att företaget avser att varsla om uppsägning. Företaget tillställes då ett ”standardpaket”, bestående av s.k. varselblankett, den i detta ärende aktuella sekretessblanketten samt ett par informationsbroschyrer. Om företaget på blanketten efterger sekretessen lämnas handlingarna ut vid begäran härom. Om företaget däremot markerar i nej-</w:t>
      </w:r>
      <w:r w:rsidRPr="0008481A">
        <w:t xml:space="preserve">rutan och inte bifogar en skrivelse med sina skäl för detta – och skälen inte på annat sätt är kända – tar länsarbetsnämnden kontakt med företaget och efterhör dess skäl för att anse att sekretess skall föreligga. De flesta varselbeskeden beläggs inte med sekretess av länsarbetsnämnden. </w:t>
      </w:r>
    </w:p>
    <w:p w:rsidR="003B3271" w:rsidRPr="0008481A" w:rsidRDefault="003B3271">
      <w:r w:rsidRPr="0008481A">
        <w:rPr>
          <w:i/>
        </w:rPr>
        <w:t>Stf. JO Ekberg</w:t>
      </w:r>
      <w:r w:rsidRPr="0008481A">
        <w:t xml:space="preserve"> anförde i beslut den 12 april 2000 följande.</w:t>
      </w:r>
    </w:p>
    <w:p w:rsidR="003B3271" w:rsidRPr="0008481A" w:rsidRDefault="003B3271">
      <w:r w:rsidRPr="0008481A">
        <w:t>Som framgår av remissvaret gäller presumtion för sekretess enligt 8 kap. 1 § sekretesslagen i ärenden om varsel enligt lagen (1974:13) om vissa anställ</w:t>
      </w:r>
      <w:r w:rsidRPr="0008481A">
        <w:softHyphen/>
        <w:t>nings</w:t>
      </w:r>
      <w:r w:rsidRPr="0008481A">
        <w:softHyphen/>
        <w:t xml:space="preserve">främjande åtgärder. Paragrafen avser att skydda företag såvitt gäller deras affärs- och driftförhållanden. </w:t>
      </w:r>
    </w:p>
    <w:p w:rsidR="003B3271" w:rsidRPr="0008481A" w:rsidRDefault="003B3271">
      <w:pPr>
        <w:pStyle w:val="Normaltindrag"/>
      </w:pPr>
      <w:r w:rsidRPr="0008481A">
        <w:t>Den för vilken sekretessen är tillkommen kan enligt 14 kap. 4 § sekretess</w:t>
      </w:r>
      <w:r w:rsidRPr="0008481A">
        <w:softHyphen/>
        <w:t>lagen själv förfoga över sekretessen. Enligt det lagrummet kan nämligen sekretess till skydd för enskild helt eller delvis efterges av den enskilde. Med en enskild avses såväl en enskild fysisk person som en enskild juridisk person. Att samtycke kan ges i förväg med tanke på en kommande situation framgår av förarbetena till sekretesslagen (prop. 1979/80:2, del A, s. 331).</w:t>
      </w:r>
    </w:p>
    <w:p w:rsidR="003B3271" w:rsidRPr="0008481A" w:rsidRDefault="003B3271">
      <w:pPr>
        <w:pStyle w:val="Normaltindrag"/>
      </w:pPr>
      <w:r w:rsidRPr="0008481A">
        <w:t>I ett läge där det ofta förekommer att handlingar som kan vara sekretess</w:t>
      </w:r>
      <w:r w:rsidRPr="0008481A">
        <w:softHyphen/>
        <w:t>belagda begärs utlämnade från en myndighet kan det ligga i linje med myndighetens allmänna serviceansvar att i förväg inhämta synpunkter på ett utlämnande från den för vilken sekretessen är tillkommen. En sådan åtgärd kan vara ägnad att förkorta handläggningen av en begäran om utlämnande i vissa fall. Jag har mot bakgrund härav inte anledning till någon invändning mot att länsarbetsnämnden ger företag som anmält att de avser att varsla enligt lagen om vissa anställningsfrämjande åtgärder möjlighet att i fö</w:t>
      </w:r>
      <w:r w:rsidRPr="0008481A">
        <w:t>rväg efterge sekretessen på det sätt som sker.</w:t>
      </w:r>
    </w:p>
    <w:p w:rsidR="003B3271" w:rsidRPr="0008481A" w:rsidRDefault="003B3271">
      <w:pPr>
        <w:pStyle w:val="Normaltindrag"/>
      </w:pPr>
      <w:r w:rsidRPr="0008481A">
        <w:t>När det gäller den av länsarbetsnämnden använda blanketten för förfrågan om sekretess är jag däremot mera tveksam om den är alldeles lämpligt ut</w:t>
      </w:r>
      <w:r w:rsidRPr="0008481A">
        <w:softHyphen/>
        <w:t>formad. Den kan genom de inledande kryssalternativen ge det intrycket att det är företaget som självständigt förfogar över frågan huruvida utlämnande av uppgift om varsel får äga rum. Så är ju inte fallet. Om företaget inte lämnar medgivande till utlämnande, ankommer det på länsarbetsnämnden att med utgångspunkt från bestämmelserna i sekretesslagen pröva huruvida utlämnande kan ske. Det är som framgått av utredningen inte ovanligt att nämnden vid en sådan prövning finner att skäl för sekretess inte förelig</w:t>
      </w:r>
      <w:r w:rsidRPr="0008481A">
        <w:t>ger.</w:t>
      </w:r>
    </w:p>
    <w:p w:rsidR="003B3271" w:rsidRPr="0008481A" w:rsidRDefault="003B3271">
      <w:pPr>
        <w:pStyle w:val="Normaltindrag"/>
      </w:pPr>
      <w:r w:rsidRPr="0008481A">
        <w:t>Det har vidare upplysts att nämnden i vissa fall där samtycke till utlämnande inte ges tar kontakt med företaget och efterhör företagets närmare grunder för att sekretess skall anses föreligga. Med hänsyn till det skaderekvisit som finns i sekretessbestämmelsen – sekretess råder om det inte står klart att uppgiften kan röjas utan att företaget lider skada – är självfallet företagets inställning en viktig del i den bedömning som länsarbetsnämnden skall göra. Nämnden måste emellertid väga in även andra f</w:t>
      </w:r>
      <w:r w:rsidRPr="0008481A">
        <w:t>aktorer när ställning skall tas till om utlämnande kan ske. Det sägs visserligen i blanketten att nämnden prövar utlämnandefrågor enligt gällande sekretessbestämmelser men utan uttrycklig erinran om detta förhållande vid kontakten med företaget kan företaget ånyo bibringas uppfattningen att det är företagets åsikt som är avgörande för om utlämnande skall ske eller ej.</w:t>
      </w:r>
    </w:p>
    <w:p w:rsidR="003B3271" w:rsidRPr="0008481A" w:rsidRDefault="003B3271">
      <w:pPr>
        <w:pStyle w:val="Normaltindrag"/>
      </w:pPr>
      <w:r w:rsidRPr="0008481A">
        <w:t>Enligt min mening bör tydligare än som nu sker anges på blanketten att företagets uppfattning i sekretessfrågan – i fall då eftergift inte me</w:t>
      </w:r>
      <w:r w:rsidRPr="0008481A">
        <w:t>dges –  endast utgör en del av underlaget för länsarbetsnämndens bedömning vid en begäran om handlingsutlämnande. AMS har i sitt yttrande pekat på andra delar av blanketten där en översyn kan vara motiverad. Eftersom AMS avser att ta upp en diskussion med länsarbetsnämnden om ändringar i blanketten och jag förutsätter att så sker går jag inte vidare i ärendet.</w:t>
      </w:r>
    </w:p>
    <w:p w:rsidR="003B3271" w:rsidRPr="0008481A" w:rsidRDefault="003B3271">
      <w:pPr>
        <w:pStyle w:val="Rubrik2"/>
      </w:pPr>
      <w:r w:rsidRPr="0008481A">
        <w:t>Kritik mot en skattemyndighet för handläggningen av en begäran om utlämnande av allmän handling och uppgifter ur sådan handling</w:t>
      </w:r>
    </w:p>
    <w:p w:rsidR="003B3271" w:rsidRPr="0008481A" w:rsidRDefault="003B3271">
      <w:r w:rsidRPr="0008481A">
        <w:t>(Dnr 3731-1998)</w:t>
      </w:r>
    </w:p>
    <w:p w:rsidR="003B3271" w:rsidRPr="0008481A" w:rsidRDefault="003B3271">
      <w:r w:rsidRPr="0008481A">
        <w:t xml:space="preserve">I ett beslut den 14 oktober 1999 anförde </w:t>
      </w:r>
      <w:r w:rsidRPr="0008481A">
        <w:rPr>
          <w:i/>
        </w:rPr>
        <w:t>JO Pennlöv</w:t>
      </w:r>
      <w:r w:rsidRPr="0008481A">
        <w:t xml:space="preserve"> bl.a. följande.</w:t>
      </w:r>
    </w:p>
    <w:p w:rsidR="003B3271" w:rsidRPr="0008481A" w:rsidRDefault="003B3271">
      <w:pPr>
        <w:pStyle w:val="Rubrik3"/>
      </w:pPr>
      <w:r w:rsidRPr="0008481A">
        <w:t>Anmälan</w:t>
      </w:r>
    </w:p>
    <w:p w:rsidR="003B3271" w:rsidRPr="0008481A" w:rsidRDefault="003B3271">
      <w:r w:rsidRPr="0008481A">
        <w:t>H.S. klagade på skattemyndighetens i Stockholms län (numera Skatte</w:t>
      </w:r>
      <w:r w:rsidRPr="0008481A">
        <w:softHyphen/>
        <w:t>myndigheten i Stockholm), skattekontor riks, handläggning av en begäran om utlämnande av uppgift ur allmän handling och utlämnande av sådan handling. Till stöd för anmälan anfördes bl.a. följande. Den 16 september 1998 begärde han vid telefon</w:t>
      </w:r>
      <w:r w:rsidRPr="0008481A">
        <w:softHyphen/>
        <w:t>samtal med en av skattemyndig</w:t>
      </w:r>
      <w:r w:rsidRPr="0008481A">
        <w:softHyphen/>
        <w:t>hetens tjänstemän att få uppgift om antalet momsregistrerade bok</w:t>
      </w:r>
      <w:r w:rsidRPr="0008481A">
        <w:softHyphen/>
        <w:t>hand</w:t>
      </w:r>
      <w:r w:rsidRPr="0008481A">
        <w:softHyphen/>
        <w:t>lare. Han utlovades besked om detta var möjligt. Nästa dag fick han besked om att datorn var nere, men att det kanske skulle gå på mån</w:t>
      </w:r>
      <w:r w:rsidRPr="0008481A">
        <w:softHyphen/>
        <w:t>dagen, dvs. den 21 september 1998</w:t>
      </w:r>
      <w:r w:rsidRPr="0008481A">
        <w:t>.  Han fick dock uppgift om att det fanns åt</w:t>
      </w:r>
      <w:r w:rsidRPr="0008481A">
        <w:softHyphen/>
        <w:t>min</w:t>
      </w:r>
      <w:r w:rsidRPr="0008481A">
        <w:softHyphen/>
        <w:t>stone en utländsk bokhandel registre</w:t>
      </w:r>
      <w:r w:rsidRPr="0008481A">
        <w:softHyphen/>
        <w:t>rad och han begärde då att få veta namnet på denna. Tjänstemannen upplyste att begäran måste sekretessprövas och  lovade att åter</w:t>
      </w:r>
      <w:r w:rsidRPr="0008481A">
        <w:softHyphen/>
        <w:t>komma på eftermiddagen. Så skedde dock inte men nästa dag, den 18 sep</w:t>
      </w:r>
      <w:r w:rsidRPr="0008481A">
        <w:softHyphen/>
        <w:t>tember 1998, fick han beskedet att inga av hans önskemål kunde uppfyllas. Tjän</w:t>
      </w:r>
      <w:r w:rsidRPr="0008481A">
        <w:softHyphen/>
      </w:r>
      <w:r w:rsidRPr="0008481A">
        <w:softHyphen/>
        <w:t>ste</w:t>
      </w:r>
      <w:r w:rsidRPr="0008481A">
        <w:softHyphen/>
        <w:t>man</w:t>
      </w:r>
      <w:r w:rsidRPr="0008481A">
        <w:softHyphen/>
        <w:t>nen hänvisade till arbetets behöriga gång. Samma dag skickade han ett fax till skattemyndigheten och be</w:t>
      </w:r>
      <w:r w:rsidRPr="0008481A">
        <w:softHyphen/>
        <w:t>gärde att få en förteckning över s</w:t>
      </w:r>
      <w:r w:rsidRPr="0008481A">
        <w:t>amtliga ca 1 500 momsregistrerade utländska företag samt de kod</w:t>
      </w:r>
      <w:r w:rsidRPr="0008481A">
        <w:softHyphen/>
        <w:t>nycklar som behövs för att iden</w:t>
      </w:r>
      <w:r w:rsidRPr="0008481A">
        <w:softHyphen/>
        <w:t>tifiera dem som var bokhand</w:t>
      </w:r>
      <w:r w:rsidRPr="0008481A">
        <w:softHyphen/>
        <w:t>lare. Samma dag fick han ett svar av vilket framgick att myndigheten inte kunde ta ställning till hans begäran förrän under kommande veckas första arbetsdag, dvs. den 21 september 1998. Först den 22 september 1998 fick han per fax ett beslut från skattemyndigheten. Originalbes</w:t>
      </w:r>
      <w:r w:rsidRPr="0008481A">
        <w:softHyphen/>
        <w:t>lutet, som kom med post dagen därpå, var felaktigt daterat den 18 september 1998. Innebör</w:t>
      </w:r>
      <w:r w:rsidRPr="0008481A">
        <w:softHyphen/>
        <w:t>den i beslutet var a</w:t>
      </w:r>
      <w:r w:rsidRPr="0008481A">
        <w:t>tt myndigheten inte ansåg sig kunna svara på hans be</w:t>
      </w:r>
      <w:r w:rsidRPr="0008481A">
        <w:softHyphen/>
        <w:t>gäran genom att ta fram uppgifterna direkt ur en allmän handling utan att det krävdes sökningar, be</w:t>
      </w:r>
      <w:r w:rsidRPr="0008481A">
        <w:softHyphen/>
        <w:t>arbet</w:t>
      </w:r>
      <w:r w:rsidRPr="0008481A">
        <w:softHyphen/>
        <w:t>ni</w:t>
      </w:r>
      <w:r w:rsidRPr="0008481A">
        <w:softHyphen/>
        <w:t>ngar och en efter</w:t>
      </w:r>
      <w:r w:rsidRPr="0008481A">
        <w:softHyphen/>
        <w:t>följande sammanställning. Hans begäran avslogs därför. I ett faxmeddelande den 25 september 1998 uppgav skatte</w:t>
      </w:r>
      <w:r w:rsidRPr="0008481A">
        <w:softHyphen/>
        <w:t>direk</w:t>
      </w:r>
      <w:r w:rsidRPr="0008481A">
        <w:softHyphen/>
        <w:t>tören att hon inte utrett om det var möjligt att få en bearbetning av registren gjord. Skattemyndig</w:t>
      </w:r>
      <w:r w:rsidRPr="0008481A">
        <w:softHyphen/>
        <w:t>heten har felaktigt tolkat såväl tryckfrihetsförordningen som sekre</w:t>
      </w:r>
      <w:r w:rsidRPr="0008481A">
        <w:softHyphen/>
        <w:t>tess</w:t>
      </w:r>
      <w:r w:rsidRPr="0008481A">
        <w:softHyphen/>
        <w:t>lagen, och hanteringen av begäran har tagi</w:t>
      </w:r>
      <w:r w:rsidRPr="0008481A">
        <w:t>t alltför lång tid. Till anmälan foga</w:t>
      </w:r>
      <w:r w:rsidRPr="0008481A">
        <w:softHyphen/>
        <w:t>des bl.a. kopior av H.S:s faxmeddelanden till skatte</w:t>
      </w:r>
      <w:r w:rsidRPr="0008481A">
        <w:softHyphen/>
        <w:t>myn</w:t>
      </w:r>
      <w:r w:rsidRPr="0008481A">
        <w:softHyphen/>
        <w:t>digheten den 18 septem</w:t>
      </w:r>
      <w:r w:rsidRPr="0008481A">
        <w:softHyphen/>
        <w:t>ber 1998.</w:t>
      </w:r>
    </w:p>
    <w:p w:rsidR="003B3271" w:rsidRPr="0008481A" w:rsidRDefault="003B3271">
      <w:pPr>
        <w:pStyle w:val="Rubrik3"/>
      </w:pPr>
      <w:r w:rsidRPr="0008481A">
        <w:t>Utredning</w:t>
      </w:r>
    </w:p>
    <w:p w:rsidR="003B3271" w:rsidRPr="0008481A" w:rsidRDefault="003B3271">
      <w:r w:rsidRPr="0008481A">
        <w:t>Ärendet remitterades till Skattemyndigheten i Stockholm som anmodades att yttra sig över hur H.S:s begäran den 18 september 1998 om ”utfående av allmän hand</w:t>
      </w:r>
      <w:r w:rsidRPr="0008481A">
        <w:softHyphen/>
        <w:t>ling” behandlats. I remissvaret anförde skatte</w:t>
      </w:r>
      <w:r w:rsidRPr="0008481A">
        <w:softHyphen/>
        <w:t>myn</w:t>
      </w:r>
      <w:r w:rsidRPr="0008481A">
        <w:softHyphen/>
        <w:t>dig</w:t>
      </w:r>
      <w:r w:rsidRPr="0008481A">
        <w:softHyphen/>
        <w:t>heten, länsskatte</w:t>
      </w:r>
      <w:r w:rsidRPr="0008481A">
        <w:softHyphen/>
        <w:t>chefen Mats Sjöstrand, i huvudsak följande (bilagorna har här utelämnats).</w:t>
      </w:r>
    </w:p>
    <w:p w:rsidR="003B3271" w:rsidRPr="0008481A" w:rsidRDefault="003B3271">
      <w:pPr>
        <w:pStyle w:val="Rubrik4"/>
      </w:pPr>
      <w:r w:rsidRPr="0008481A">
        <w:t>Bakgrund</w:t>
      </w:r>
    </w:p>
    <w:p w:rsidR="003B3271" w:rsidRPr="0008481A" w:rsidRDefault="003B3271">
      <w:pPr>
        <w:pStyle w:val="Citat"/>
      </w:pPr>
      <w:r w:rsidRPr="0008481A">
        <w:t>H.S., som är reporter hos Svensk Bokhandel, begärde vid ett telefonsamtal den 16 september 1998 vissa upplysningar av skattemyndig</w:t>
      </w:r>
      <w:r w:rsidRPr="0008481A">
        <w:softHyphen/>
        <w:t>heten. Enligt en tjänsteanteckning rörde sig samtalet huvud</w:t>
      </w:r>
      <w:r w:rsidRPr="0008481A">
        <w:softHyphen/>
        <w:t>sakligen om bokförsäljning från utländska säljare samt om hur beskattning av dem går till och hur skattemyndigheten kan kontrollera dem. H.S. be</w:t>
      </w:r>
      <w:r w:rsidRPr="0008481A">
        <w:softHyphen/>
        <w:t xml:space="preserve">gärde även att få reda på antalet momsregistrerade bokhandlare. </w:t>
      </w:r>
    </w:p>
    <w:p w:rsidR="003B3271" w:rsidRPr="0008481A" w:rsidRDefault="003B3271">
      <w:pPr>
        <w:pStyle w:val="Citatindrag"/>
      </w:pPr>
      <w:r w:rsidRPr="0008481A">
        <w:t xml:space="preserve">Den 17 september 1998, en torsdag, fick H.S. besked per telefon att ”datorn är nere, kanske går det på måndag”. </w:t>
      </w:r>
    </w:p>
    <w:p w:rsidR="003B3271" w:rsidRPr="0008481A" w:rsidRDefault="003B3271">
      <w:pPr>
        <w:pStyle w:val="Citatindrag"/>
      </w:pPr>
      <w:r w:rsidRPr="0008481A">
        <w:t>Den 18 september 1998 meddelades H.S. per telefon att han inte kunde få ut de begärda uppgif</w:t>
      </w:r>
      <w:r w:rsidRPr="0008481A">
        <w:softHyphen/>
        <w:t xml:space="preserve">terna på grund av ”arbetets behöriga gång”. </w:t>
      </w:r>
    </w:p>
    <w:p w:rsidR="003B3271" w:rsidRPr="0008481A" w:rsidRDefault="003B3271">
      <w:pPr>
        <w:pStyle w:val="Citatindrag"/>
      </w:pPr>
      <w:r w:rsidRPr="0008481A">
        <w:t>Samma dag, den 18 september 1998, sände H.S. ett fax till myndigheten. Nu begärde H.S. att få ut en lista upptagande sam</w:t>
      </w:r>
      <w:r w:rsidRPr="0008481A">
        <w:softHyphen/>
        <w:t>tliga utländska företag som är momsregistrerade i Sverige, samt de even</w:t>
      </w:r>
      <w:r w:rsidRPr="0008481A">
        <w:softHyphen/>
        <w:t>tuella koder som behövdes för att identifiera bokhandlare bland dessa. Myn</w:t>
      </w:r>
      <w:r w:rsidRPr="0008481A">
        <w:softHyphen/>
        <w:t>dig</w:t>
      </w:r>
      <w:r w:rsidRPr="0008481A">
        <w:softHyphen/>
        <w:t>heten bekräftade samma dag per fax att man mottagit H.S:s fax. Av skattemyndighetens fax framgår att det innebar vissa slagni</w:t>
      </w:r>
      <w:r w:rsidRPr="0008481A">
        <w:softHyphen/>
        <w:t>ngar och bearbetningar att ta fram uppgifterna. Därtill måste myndigheten ta ställ</w:t>
      </w:r>
      <w:r w:rsidRPr="0008481A">
        <w:softHyphen/>
        <w:t>ning till om sekretess utgjorde hinder för att lämna ut de begärda upp</w:t>
      </w:r>
      <w:r w:rsidRPr="0008481A">
        <w:softHyphen/>
        <w:t>gifterna. Skatte</w:t>
      </w:r>
      <w:r w:rsidRPr="0008481A">
        <w:softHyphen/>
      </w:r>
      <w:r w:rsidRPr="0008481A">
        <w:softHyphen/>
        <w:t>register</w:t>
      </w:r>
      <w:r w:rsidRPr="0008481A">
        <w:softHyphen/>
        <w:t xml:space="preserve">lagens regler måste också beaktas. </w:t>
      </w:r>
    </w:p>
    <w:p w:rsidR="003B3271" w:rsidRPr="0008481A" w:rsidRDefault="003B3271">
      <w:pPr>
        <w:pStyle w:val="Citatindrag"/>
      </w:pPr>
      <w:r w:rsidRPr="0008481A">
        <w:t>Skattemyndigheten</w:t>
      </w:r>
      <w:r w:rsidRPr="0008481A">
        <w:t xml:space="preserve"> beslutade den 18 september 1998 att inte lämna ut uppgifterna på det sätt H.S. slutligen begärt. Myndigheten hänvisade till att uppgifterna kunde göras tillgängliga först efter sökningar, bearbetningar och en efterföljande sammanställning. Detta innebar således att upp</w:t>
      </w:r>
      <w:r w:rsidRPr="0008481A">
        <w:softHyphen/>
        <w:t xml:space="preserve">gifterna inte kunde tas fram direkt ur skatteregistret. </w:t>
      </w:r>
    </w:p>
    <w:p w:rsidR="003B3271" w:rsidRPr="0008481A" w:rsidRDefault="003B3271">
      <w:pPr>
        <w:pStyle w:val="Citatindrag"/>
      </w:pPr>
      <w:r w:rsidRPr="0008481A">
        <w:t>H.S. har vidare upplysts om att han om han lämnar preciserade uppgifter om ett visst företag kan få reda på om detta är momsregistrerat eller inte. Den 25 september 1998 återkom H.S. m</w:t>
      </w:r>
      <w:r w:rsidRPr="0008481A">
        <w:t>ed namn</w:t>
      </w:r>
      <w:r w:rsidRPr="0008481A">
        <w:softHyphen/>
        <w:t>uppgifter på</w:t>
      </w:r>
      <w:r w:rsidRPr="0008481A">
        <w:rPr>
          <w:b/>
        </w:rPr>
        <w:t xml:space="preserve"> </w:t>
      </w:r>
      <w:r w:rsidRPr="0008481A">
        <w:t>fyra företag. Inget av företagen åter</w:t>
      </w:r>
      <w:r w:rsidRPr="0008481A">
        <w:softHyphen/>
        <w:t xml:space="preserve">fanns dock i skatteregistret. </w:t>
      </w:r>
      <w:r w:rsidRPr="0008481A">
        <w:softHyphen/>
        <w:t xml:space="preserve"> </w:t>
      </w:r>
    </w:p>
    <w:p w:rsidR="003B3271" w:rsidRPr="0008481A" w:rsidRDefault="003B3271">
      <w:pPr>
        <w:pStyle w:val="Citat"/>
      </w:pPr>
      <w:r w:rsidRPr="0008481A">
        <w:t>– – –</w:t>
      </w:r>
    </w:p>
    <w:p w:rsidR="003B3271" w:rsidRPr="0008481A" w:rsidRDefault="003B3271">
      <w:pPr>
        <w:pStyle w:val="Rubrik4"/>
      </w:pPr>
      <w:r w:rsidRPr="0008481A">
        <w:t xml:space="preserve">Bedömning </w:t>
      </w:r>
    </w:p>
    <w:p w:rsidR="003B3271" w:rsidRPr="0008481A" w:rsidRDefault="003B3271">
      <w:pPr>
        <w:pStyle w:val="Citat"/>
      </w:pPr>
      <w:r w:rsidRPr="0008481A">
        <w:t>Myndigheten vill till att börja med framhålla att H.S. den 16 september 1998 enbart begärde upp</w:t>
      </w:r>
      <w:r w:rsidRPr="0008481A">
        <w:softHyphen/>
        <w:t>gift om antalet momsregistrerade bok</w:t>
      </w:r>
      <w:r w:rsidRPr="0008481A">
        <w:softHyphen/>
        <w:t>handlare. Först den 18 september 1998 begärde H.S. att få en sammanställning i form av en förteckning över samt</w:t>
      </w:r>
      <w:r w:rsidRPr="0008481A">
        <w:softHyphen/>
        <w:t xml:space="preserve">liga momsregistrerade utländska företag. </w:t>
      </w:r>
    </w:p>
    <w:p w:rsidR="003B3271" w:rsidRPr="0008481A" w:rsidRDefault="003B3271">
      <w:pPr>
        <w:pStyle w:val="Citatindrag"/>
      </w:pPr>
      <w:r w:rsidRPr="0008481A">
        <w:t xml:space="preserve">Skattekontor Riks/Avdelning Riks har uppfattat H.S:s begäran som en begäran att få ut uppgift ur allmän handling enligt bestämmelsen 15 kap. 4 § sekretesslagen. </w:t>
      </w:r>
    </w:p>
    <w:p w:rsidR="003B3271" w:rsidRPr="0008481A" w:rsidRDefault="003B3271">
      <w:pPr>
        <w:pStyle w:val="Citatindrag"/>
      </w:pPr>
      <w:r w:rsidRPr="0008481A">
        <w:rPr>
          <w:sz w:val="22"/>
        </w:rPr>
        <w:t>S</w:t>
      </w:r>
      <w:r w:rsidRPr="0008481A">
        <w:t>kattekontor Riks/Avdelning Riks har i det fattade beslutet uppenbarligen funnit att det efter</w:t>
      </w:r>
      <w:r w:rsidRPr="0008481A">
        <w:softHyphen/>
        <w:t>frå</w:t>
      </w:r>
      <w:r w:rsidRPr="0008481A">
        <w:softHyphen/>
        <w:t>gade materialet inte kunde tas fram direkt ur skatte</w:t>
      </w:r>
      <w:r w:rsidRPr="0008481A">
        <w:softHyphen/>
      </w:r>
      <w:r w:rsidRPr="0008481A">
        <w:softHyphen/>
        <w:t>regist</w:t>
      </w:r>
      <w:r w:rsidRPr="0008481A">
        <w:softHyphen/>
        <w:t>ret utan först efter sökni</w:t>
      </w:r>
      <w:r w:rsidRPr="0008481A">
        <w:softHyphen/>
        <w:t>ngar, bear</w:t>
      </w:r>
      <w:r w:rsidRPr="0008481A">
        <w:softHyphen/>
        <w:t>bet</w:t>
      </w:r>
      <w:r w:rsidRPr="0008481A">
        <w:softHyphen/>
        <w:t>ningar och efterföljande samman</w:t>
      </w:r>
      <w:r w:rsidRPr="0008481A">
        <w:softHyphen/>
        <w:t xml:space="preserve">ställning. Arbetet skulle med andra ord omfatta ett kvalificerat urvalsarbete i flera led. Beslutet att avslå H.S:s framställan motiverades därför med att de av H.S. efterfrågade uppgifterna inte kunde tas fram av hänsyn till arbetets behöriga gång. </w:t>
      </w:r>
    </w:p>
    <w:p w:rsidR="003B3271" w:rsidRPr="0008481A" w:rsidRDefault="003B3271">
      <w:pPr>
        <w:pStyle w:val="Citatindrag"/>
      </w:pPr>
      <w:r w:rsidRPr="0008481A">
        <w:t>Man skulle kunna fråga sig o</w:t>
      </w:r>
      <w:r w:rsidRPr="0008481A">
        <w:t>m inte de av H.S. initialt efter</w:t>
      </w:r>
      <w:r w:rsidRPr="0008481A">
        <w:softHyphen/>
        <w:t>frågade upp</w:t>
      </w:r>
      <w:r w:rsidRPr="0008481A">
        <w:softHyphen/>
        <w:t>gif</w:t>
      </w:r>
      <w:r w:rsidRPr="0008481A">
        <w:softHyphen/>
        <w:t>terna kunnat göras till</w:t>
      </w:r>
      <w:r w:rsidRPr="0008481A">
        <w:softHyphen/>
        <w:t>gängliga genom s.k. potentiell handling. Denna frågeställning har dock inte prövats av myndig</w:t>
      </w:r>
      <w:r w:rsidRPr="0008481A">
        <w:softHyphen/>
        <w:t>heten vid tidpunkten för beslutets fattande. Vid den efter</w:t>
      </w:r>
      <w:r w:rsidRPr="0008481A">
        <w:softHyphen/>
        <w:t>följande hanteringen  – telefonsamtal m.m. – har dock denna fråga berörts. Skattemyndig</w:t>
      </w:r>
      <w:r w:rsidRPr="0008481A">
        <w:softHyphen/>
        <w:t>heten vill också fram</w:t>
      </w:r>
      <w:r w:rsidRPr="0008481A">
        <w:softHyphen/>
        <w:t>hålla att det saknas möjlighet att via rutinbetonade åtgärder företa en urvalskörning som resulterar i uppgifter om enbart momsregistrerade utländska bokhandlare. Det saknas så</w:t>
      </w:r>
      <w:r w:rsidRPr="0008481A">
        <w:t>ledes faktiska möjligheter att efterkomma H.S:s begäran i denna del. Det kan noteras att skattemyndigheten på visst sätt underrättat H.S. om detta</w:t>
      </w:r>
      <w:r w:rsidRPr="0008481A">
        <w:rPr>
          <w:sz w:val="22"/>
        </w:rPr>
        <w:t xml:space="preserve">. </w:t>
      </w:r>
    </w:p>
    <w:p w:rsidR="003B3271" w:rsidRPr="0008481A" w:rsidRDefault="003B3271">
      <w:pPr>
        <w:pStyle w:val="Citatindrag"/>
      </w:pPr>
      <w:r w:rsidRPr="0008481A">
        <w:t>I sammanhanget vill myndigheten också hänvisa till vad som uttalades om begreppet ”tillgänglig” i prop. 1975/76:160. ”Ett visst urval eller en viss sammanställning av data får anses utgöra en för myndigheten tillgänglig upptagning, om urvalet eller samman</w:t>
      </w:r>
      <w:r w:rsidRPr="0008481A">
        <w:softHyphen/>
        <w:t>ställningen kan tas fram genom rutin</w:t>
      </w:r>
      <w:r w:rsidRPr="0008481A">
        <w:softHyphen/>
        <w:t>betonade åtgärder från myndighetens sida, men endast då. Krävs däremot en mera kvalifice</w:t>
      </w:r>
      <w:r w:rsidRPr="0008481A">
        <w:softHyphen/>
        <w:t>rad, konstruktiv insats i form av t.ex. nyskrivning av dator</w:t>
      </w:r>
      <w:r w:rsidRPr="0008481A">
        <w:softHyphen/>
        <w:t xml:space="preserve">program, kan den upptagning som skulle bli resultatet av bearbetningen inte anses tillgänglig för myndigheten i grundlagens mening. </w:t>
      </w:r>
      <w:r w:rsidRPr="0008481A">
        <w:rPr>
          <w:rFonts w:ascii="Garamond" w:hAnsi="Garamond"/>
        </w:rPr>
        <w:t>–</w:t>
      </w:r>
      <w:r w:rsidRPr="0008481A">
        <w:t xml:space="preserve"> </w:t>
      </w:r>
      <w:r w:rsidRPr="0008481A">
        <w:rPr>
          <w:rFonts w:ascii="Garamond" w:hAnsi="Garamond"/>
        </w:rPr>
        <w:t>–</w:t>
      </w:r>
      <w:r w:rsidRPr="0008481A">
        <w:t xml:space="preserve"> </w:t>
      </w:r>
      <w:r w:rsidRPr="0008481A">
        <w:rPr>
          <w:rFonts w:ascii="Garamond" w:hAnsi="Garamond"/>
        </w:rPr>
        <w:t>–</w:t>
      </w:r>
      <w:r w:rsidRPr="0008481A">
        <w:t xml:space="preserve"> Det angivna syn</w:t>
      </w:r>
      <w:r w:rsidRPr="0008481A">
        <w:softHyphen/>
        <w:t>sättet torde leda till att en myndighet blir skyldig att tillhandagå med ett nytt dator</w:t>
      </w:r>
      <w:r w:rsidRPr="0008481A">
        <w:softHyphen/>
        <w:t>program endast om sådant kan upprättas inom myndigheten genom en enkel arbetsinsat</w:t>
      </w:r>
      <w:r w:rsidRPr="0008481A">
        <w:t>s och utan nämnvärda kostnader eller andra komplika</w:t>
      </w:r>
      <w:r w:rsidRPr="0008481A">
        <w:softHyphen/>
        <w:t xml:space="preserve">tioner.” </w:t>
      </w:r>
    </w:p>
    <w:p w:rsidR="003B3271" w:rsidRPr="0008481A" w:rsidRDefault="003B3271">
      <w:pPr>
        <w:pStyle w:val="Citatindrag"/>
      </w:pPr>
      <w:r w:rsidRPr="0008481A">
        <w:t>Frågan om utlämnande av uppgifter väcktes första gången den 18 sep</w:t>
      </w:r>
      <w:r w:rsidRPr="0008481A">
        <w:softHyphen/>
        <w:t>tem</w:t>
      </w:r>
      <w:r w:rsidRPr="0008481A">
        <w:softHyphen/>
        <w:t>ber 1998. Skattemyndig</w:t>
      </w:r>
      <w:r w:rsidRPr="0008481A">
        <w:softHyphen/>
        <w:t>heten har härefter i beslut, daterat den 18 september 1998, avslagit H.S:s begäran att få ut uppgifter om samtliga utländska företag som är moms</w:t>
      </w:r>
      <w:r w:rsidRPr="0008481A">
        <w:softHyphen/>
        <w:t>registrerade i Sverige. Såvitt i efterhand kan bedömas har skattemyndigheten av misstag daterat beslutet den 18 septem</w:t>
      </w:r>
      <w:r w:rsidRPr="0008481A">
        <w:softHyphen/>
        <w:t>ber 1998 i stället för den 21 sep</w:t>
      </w:r>
      <w:r w:rsidRPr="0008481A">
        <w:softHyphen/>
        <w:t>tember 1998. Detta kan förklaras av att ut</w:t>
      </w:r>
      <w:r w:rsidRPr="0008481A">
        <w:softHyphen/>
        <w:t>form</w:t>
      </w:r>
      <w:r w:rsidRPr="0008481A">
        <w:softHyphen/>
        <w:t>ningen av beslutet påbörjats den 18 september 1998. Datum anges där</w:t>
      </w:r>
      <w:r w:rsidRPr="0008481A">
        <w:softHyphen/>
        <w:t>vid med automa</w:t>
      </w:r>
      <w:r w:rsidRPr="0008481A">
        <w:softHyphen/>
        <w:t>tik i myndighetens datasystem. Om beslutshandlingen exp</w:t>
      </w:r>
      <w:r w:rsidRPr="0008481A">
        <w:t>e</w:t>
      </w:r>
      <w:r w:rsidRPr="0008481A">
        <w:softHyphen/>
        <w:t>dieras vid ett senare tillfälle måste handläggaren gå in och korrigera åsatt datum. Så har uppen</w:t>
      </w:r>
      <w:r w:rsidRPr="0008481A">
        <w:softHyphen/>
        <w:t xml:space="preserve">barligen inte skett i detta fall. </w:t>
      </w:r>
    </w:p>
    <w:p w:rsidR="003B3271" w:rsidRPr="0008481A" w:rsidRDefault="003B3271">
      <w:pPr>
        <w:pStyle w:val="Citatindrag"/>
      </w:pPr>
      <w:r w:rsidRPr="0008481A">
        <w:t>Sammanfattningsvis finner myndigheten ändå att prövningen av utläm</w:t>
      </w:r>
      <w:r w:rsidRPr="0008481A">
        <w:softHyphen/>
        <w:t>nande av uppgifter skett med den skyndsamhet som varit möjlig med hänsyn till omständigheterna.</w:t>
      </w:r>
    </w:p>
    <w:p w:rsidR="003B3271" w:rsidRPr="0008481A" w:rsidRDefault="003B3271">
      <w:r w:rsidRPr="0008481A">
        <w:t>H.S. kommenterade skattemyndighetens yttrande.</w:t>
      </w:r>
    </w:p>
    <w:p w:rsidR="003B3271" w:rsidRPr="0008481A" w:rsidRDefault="003B3271">
      <w:pPr>
        <w:pStyle w:val="Rubrik3"/>
      </w:pPr>
      <w:r w:rsidRPr="0008481A">
        <w:t>Bedömning</w:t>
      </w:r>
    </w:p>
    <w:p w:rsidR="003B3271" w:rsidRPr="0008481A" w:rsidRDefault="003B3271">
      <w:r w:rsidRPr="0008481A">
        <w:t>Grundläggande bestämmelser om allmänna handlingars offentlighet finns i 2 kap. tryckfrihetsförordningen, vilket även primärt reglerar frågan om utlämnande av allmänna handlingar. Med handling förstås enligt 3 § framställning i skrift eller bild – konventionella handlingar – men även upptagning som kan läsas, avlyssnas eller på annat sätt uppfattas endast med tekniskt hjälpmedel. En handling är all</w:t>
      </w:r>
      <w:r w:rsidRPr="0008481A">
        <w:softHyphen/>
        <w:t>män, om den förvaras hos myndighet och enligt 6 och 7 §§ är att anse som in</w:t>
      </w:r>
      <w:r w:rsidRPr="0008481A">
        <w:softHyphen/>
        <w:t>kommen till eller upprättad hos myndighet. En sådan upptagning, som nu nämnts, varmed avses bl.a. ADB-upptagningar, anses förvarad hos myndighet om upptag</w:t>
      </w:r>
      <w:r w:rsidRPr="0008481A">
        <w:softHyphen/>
        <w:t>ningen är tillgänglig för myndigheten med tekniskt hjälpmedel som myn</w:t>
      </w:r>
      <w:r w:rsidRPr="0008481A">
        <w:softHyphen/>
        <w:t>digheten själv utnyttjar för överföring i sådan form att den kan läsas, avlyssnas eller på annat sätt uppfattas. Upptagning som ingår i personregister  anses dock inte för</w:t>
      </w:r>
      <w:r w:rsidRPr="0008481A">
        <w:softHyphen/>
        <w:t>varad hos myndighet om myndigheten enl</w:t>
      </w:r>
      <w:r w:rsidRPr="0008481A">
        <w:t>igt lag eller förordning eller särskilt beslut, som grundar sig på lag, saknar befogenhet att göra överföringen.</w:t>
      </w:r>
    </w:p>
    <w:p w:rsidR="003B3271" w:rsidRPr="0008481A" w:rsidRDefault="003B3271">
      <w:pPr>
        <w:pStyle w:val="Normaltindrag"/>
      </w:pPr>
      <w:r w:rsidRPr="0008481A">
        <w:t>Av proposition 1990/91:60 om offentlighet, integritet och ADB (s. 21 f.) framgår bl.a. följande. Vid utformningen av gällande bestämmelser om offentlighets</w:t>
      </w:r>
      <w:r w:rsidRPr="0008481A">
        <w:softHyphen/>
        <w:t>principen och ADB i 2 kap. tryckfrihetsförordningen har man valt att behålla begreppet handling som centralt begrepp även i fråga om information i ADB-register. Hand</w:t>
      </w:r>
      <w:r w:rsidRPr="0008481A">
        <w:softHyphen/>
        <w:t>lingsbegreppet har emellertid här en helt annan innebörd än när det gäller konven</w:t>
      </w:r>
      <w:r w:rsidRPr="0008481A">
        <w:softHyphen/>
        <w:t>tionella handlingar. En handling är bl.a. en upptagning som kan läsas, avlyssnas eller på annat sätt uppfattas endast med tekniskt hjälpmedel. Genom uttalanden i förarbetena (prop. 1975/76:160 s. 89 ff.) och genom avgöranden i praxis får anses fastslaget att varj</w:t>
      </w:r>
      <w:r w:rsidRPr="0008481A">
        <w:t>e sammanställning av sakligt sammanhängande uppgifter som en myndighet kan göra med hjälp av tillgängliga program är att anse som en handling som förvaras hos myndig</w:t>
      </w:r>
      <w:r w:rsidRPr="0008481A">
        <w:softHyphen/>
        <w:t>heten. Förutsättningen är endast att sammanställningen skall kunna göras med rutinbetonade åtgärder. Därmed avses att det skall vara fråga om en begränsad arbetsinsats och utan nämnvärda kost</w:t>
      </w:r>
      <w:r w:rsidRPr="0008481A">
        <w:softHyphen/>
        <w:t>nader. De konstella</w:t>
      </w:r>
      <w:r w:rsidRPr="0008481A">
        <w:softHyphen/>
        <w:t>tioner av sammanhängande uppgifter som kan göras tillgäng</w:t>
      </w:r>
      <w:r w:rsidRPr="0008481A">
        <w:softHyphen/>
        <w:t>liga på detta sätt brukar benämnas potentiella handlingar. En sådan handling</w:t>
      </w:r>
      <w:r w:rsidRPr="0008481A">
        <w:t xml:space="preserve"> är också att betrakta som allmän, under förutsättning att den förvaras hos myndig</w:t>
      </w:r>
      <w:r w:rsidRPr="0008481A">
        <w:softHyphen/>
        <w:t>heten och är inkom</w:t>
      </w:r>
      <w:r w:rsidRPr="0008481A">
        <w:softHyphen/>
        <w:t>men till eller upprättad hos myndigheten. Insynen i potentiella handlingar är obe</w:t>
      </w:r>
      <w:r w:rsidRPr="0008481A">
        <w:softHyphen/>
        <w:t>roende av om myndigheten själv har haft eller anser sig ha behov av att söka efter eller sammanställa informationen i fråga. Att en uppgiftssamman</w:t>
      </w:r>
      <w:r w:rsidRPr="0008481A">
        <w:softHyphen/>
        <w:t>ställning tidigare inte har existerat i sammanställd form hindrar alltså inte att den i tryckfrihets</w:t>
      </w:r>
      <w:r w:rsidRPr="0008481A">
        <w:softHyphen/>
        <w:t>för</w:t>
      </w:r>
      <w:r w:rsidRPr="0008481A">
        <w:softHyphen/>
        <w:t>ord</w:t>
      </w:r>
      <w:r w:rsidRPr="0008481A">
        <w:softHyphen/>
        <w:t>ningens mening kan vara att betrakta som allmän handling.  Myn</w:t>
      </w:r>
      <w:r w:rsidRPr="0008481A">
        <w:softHyphen/>
      </w:r>
      <w:r w:rsidRPr="0008481A">
        <w:softHyphen/>
      </w:r>
      <w:r w:rsidRPr="0008481A">
        <w:softHyphen/>
      </w:r>
      <w:r w:rsidRPr="0008481A">
        <w:softHyphen/>
        <w:t>dig</w:t>
      </w:r>
      <w:r w:rsidRPr="0008481A">
        <w:softHyphen/>
        <w:t>he</w:t>
      </w:r>
      <w:r w:rsidRPr="0008481A">
        <w:t>tens sök- och sammanställnings</w:t>
      </w:r>
      <w:r w:rsidRPr="0008481A">
        <w:softHyphen/>
        <w:t>möjligheter grundar sig i sin tur – förutom på tekniska begränsningar – på de rättsliga befogenheter som myndig</w:t>
      </w:r>
      <w:r w:rsidRPr="0008481A">
        <w:softHyphen/>
        <w:t>heten har att göra upp</w:t>
      </w:r>
      <w:r w:rsidRPr="0008481A">
        <w:softHyphen/>
        <w:t>tagningar tillgäng</w:t>
      </w:r>
      <w:r w:rsidRPr="0008481A">
        <w:softHyphen/>
        <w:t>liga för egen räkning. Begränsningar av den rättsliga befogen</w:t>
      </w:r>
      <w:r w:rsidRPr="0008481A">
        <w:softHyphen/>
        <w:t>heten att göra uppgifter tillgängliga kan utgöras av författnings</w:t>
      </w:r>
      <w:r w:rsidRPr="0008481A">
        <w:softHyphen/>
        <w:t>bestämmelser eller av Datainspektionens före</w:t>
      </w:r>
      <w:r w:rsidRPr="0008481A">
        <w:softHyphen/>
        <w:t xml:space="preserve">skrifter. </w:t>
      </w:r>
    </w:p>
    <w:p w:rsidR="003B3271" w:rsidRPr="0008481A" w:rsidRDefault="003B3271">
      <w:pPr>
        <w:pStyle w:val="Normaltindrag"/>
      </w:pPr>
      <w:r w:rsidRPr="0008481A">
        <w:t>Enligt 2 kap. 12 § tryckfrihetsförordningen skall en allmän handling som får lämnas ut – som alltså inte innehåller uppgift som omfattas av någ</w:t>
      </w:r>
      <w:r w:rsidRPr="0008481A">
        <w:t>on sekretessbestämmelse – på begäran genast eller så snart det är möjligt på stället och utan avgift tillhandahållas den som önskar ta del av handlingen. Endast om betydande hinder möter saknar myndighet skyldighet att tillhandahålla handling på stället. Den som önskar ta del av allmän handling har enligt 13 § även rätt att mot fast</w:t>
      </w:r>
      <w:r w:rsidRPr="0008481A">
        <w:softHyphen/>
        <w:t>ställd avgift få avskrift eller kopia av handlingen. En ADB-upptagning är myndig</w:t>
      </w:r>
      <w:r w:rsidRPr="0008481A">
        <w:softHyphen/>
        <w:t>heten dock inte skyldig att lämna ut i annan form än utskrift. En begäran om att få avskrift ell</w:t>
      </w:r>
      <w:r w:rsidRPr="0008481A">
        <w:t xml:space="preserve">er kopia av allmän handling skall behandlas skyndsamt. </w:t>
      </w:r>
    </w:p>
    <w:p w:rsidR="003B3271" w:rsidRPr="0008481A" w:rsidRDefault="003B3271">
      <w:pPr>
        <w:pStyle w:val="Normaltindrag"/>
      </w:pPr>
      <w:r w:rsidRPr="0008481A">
        <w:t>Fråga om utlämnande av allmän handling prövas enligt 2 kap. 14 § tryckfrihets</w:t>
      </w:r>
      <w:r w:rsidRPr="0008481A">
        <w:softHyphen/>
        <w:t>förordningen av den myndighet som förvarar handlingen. Svarar viss befattnings</w:t>
      </w:r>
      <w:r w:rsidRPr="0008481A">
        <w:softHyphen/>
        <w:t>havare vid myndig</w:t>
      </w:r>
      <w:r w:rsidRPr="0008481A">
        <w:softHyphen/>
        <w:t>heten enligt arbetsordning eller särskilt beslut för vården av handlingen ankommer det enligt 15 kap. 6 § andra stycket sekretesslagen på honom att i första hand pröva frågan om hand</w:t>
      </w:r>
      <w:r w:rsidRPr="0008481A">
        <w:softHyphen/>
        <w:t>lingens utlämnande till enskild. I tveksamma fall skall den som har handlingen i sin vård hänskjuta frågan till myn</w:t>
      </w:r>
      <w:r w:rsidRPr="0008481A">
        <w:softHyphen/>
        <w:t>digheten, om det kan ske utan omgång. Vägrar han att lämna ut handlingen eller lämnar han ut den med förbehåll, ska</w:t>
      </w:r>
      <w:r w:rsidRPr="0008481A">
        <w:t>ll han på sökandens begäran hänskjuta frågan till myndigheten. Sökanden skall underrättas om att han kan begära frågans hän</w:t>
      </w:r>
      <w:r w:rsidRPr="0008481A">
        <w:softHyphen/>
        <w:t>skjutande till myndigheten och att ett beslut av myndigheten krävs för att ett avgörande skall kunna överklagas. Rätten att få ett sådant formellt avslagsbeslut tillkommer sökanden oavsett grunden för avslagsbeslutet. Myndighetens beslut att avslå en begäran om att få del av eller kopia av allmän handling kan enligt 15 kap. 7 § sekretesslagen överklagas av sökanden.</w:t>
      </w:r>
    </w:p>
    <w:p w:rsidR="003B3271" w:rsidRPr="0008481A" w:rsidRDefault="003B3271">
      <w:pPr>
        <w:pStyle w:val="Normaltindrag"/>
      </w:pPr>
      <w:r w:rsidRPr="0008481A">
        <w:t>Utöver reglerna i t</w:t>
      </w:r>
      <w:r w:rsidRPr="0008481A">
        <w:t>ryckfrihetsförordningen om utlämnande av allmänna handling</w:t>
      </w:r>
      <w:r w:rsidRPr="0008481A">
        <w:softHyphen/>
        <w:t>ar finns det i sekretesslagen regler om myndigheternas upplysnings</w:t>
      </w:r>
      <w:r w:rsidRPr="0008481A">
        <w:softHyphen/>
        <w:t>skyldighet gent</w:t>
      </w:r>
      <w:r w:rsidRPr="0008481A">
        <w:softHyphen/>
        <w:t>emot allmänheten. I 15 kap. 4 § första stycket sekretesslagen stadgas att myndig</w:t>
      </w:r>
      <w:r w:rsidRPr="0008481A">
        <w:softHyphen/>
        <w:t>heten på begäran av enskild skall lämna uppgift ur allmän handling som förvaras hos myndigheten i den mån hinder inte möter på grund av bestämmelser om sek</w:t>
      </w:r>
      <w:r w:rsidRPr="0008481A">
        <w:softHyphen/>
        <w:t>re</w:t>
      </w:r>
      <w:r w:rsidRPr="0008481A">
        <w:softHyphen/>
        <w:t>tess eller av hänsyn till arbetets behöriga gång. Vid begäran om utläm</w:t>
      </w:r>
      <w:r w:rsidRPr="0008481A">
        <w:softHyphen/>
        <w:t>nande av uppgift ur allmän handling gäller ett mindre långt</w:t>
      </w:r>
      <w:r w:rsidRPr="0008481A">
        <w:t>gående krav på skynd</w:t>
      </w:r>
      <w:r w:rsidRPr="0008481A">
        <w:softHyphen/>
        <w:t>samhet i förhållande till bestämmelserna i tryckfrihetsförordningen. I dessa fall saknas också möjlighet att överklaga ett avslagsbeslut enligt den särskilda ordning som regleras i 15 kap. 7 § sekre</w:t>
      </w:r>
      <w:r w:rsidRPr="0008481A">
        <w:softHyphen/>
        <w:t>tess</w:t>
      </w:r>
      <w:r w:rsidRPr="0008481A">
        <w:softHyphen/>
        <w:t>lagen.</w:t>
      </w:r>
    </w:p>
    <w:p w:rsidR="003B3271" w:rsidRPr="0008481A" w:rsidRDefault="003B3271">
      <w:pPr>
        <w:pStyle w:val="Normaltindrag"/>
      </w:pPr>
      <w:r w:rsidRPr="0008481A">
        <w:t xml:space="preserve">Det kan naturligtvis vara svårt för en myndighet att avgöra om en begäran avser utlämnande av allmän handling eller endast uppgifter ur en handling. Eftersom saken har betydelse bl.a. för rätten att överklaga ett avslagsbeslut, åligger det myndigheten att iaktta försiktighet när </w:t>
      </w:r>
      <w:r w:rsidRPr="0008481A">
        <w:t>det gäller tolkningen av framställan. Vid tvivelsmål om vad som avses bör handläggaren kontakta den som begärt upp</w:t>
      </w:r>
      <w:r w:rsidRPr="0008481A">
        <w:softHyphen/>
        <w:t>gif</w:t>
      </w:r>
      <w:r w:rsidRPr="0008481A">
        <w:softHyphen/>
        <w:t xml:space="preserve">terna. </w:t>
      </w:r>
    </w:p>
    <w:p w:rsidR="003B3271" w:rsidRPr="0008481A" w:rsidRDefault="003B3271">
      <w:pPr>
        <w:pStyle w:val="Normaltindrag"/>
      </w:pPr>
      <w:r w:rsidRPr="0008481A">
        <w:t>Av handlingarna i ärendet framgår att skattemyndigheten uppfattat H.S:s såväl muntliga som skriftliga framställningar som en begäran om uppgifter ur allmänna handlingar. H.S. har dock i skrivelse den 18 september 1998, med hänvisning till 2 kap. 12 § och 2 kap. 13 § tryckfri</w:t>
      </w:r>
      <w:r w:rsidRPr="0008481A">
        <w:softHyphen/>
        <w:t>hets</w:t>
      </w:r>
      <w:r w:rsidRPr="0008481A">
        <w:softHyphen/>
        <w:t>förordningen gjorde en framställan om ”utfående av allmän handling”. Enligt min bedömning borde det härvid har stått klart för skatte</w:t>
      </w:r>
      <w:r w:rsidRPr="0008481A">
        <w:softHyphen/>
        <w:t>myndigheten att myndig</w:t>
      </w:r>
      <w:r w:rsidRPr="0008481A">
        <w:softHyphen/>
        <w:t>heten hade att ta ställning till frågan om de efterfrågade uppgifterna kunnat göras tillgängliga genom en s.k. potentiell hand</w:t>
      </w:r>
      <w:r w:rsidRPr="0008481A">
        <w:softHyphen/>
        <w:t>ling. Eftersom detta inte gjordes, anser jag att skattemyndighetens handläggning av begäran inne</w:t>
      </w:r>
      <w:r w:rsidRPr="0008481A">
        <w:softHyphen/>
        <w:t>fattat en allvarlig brist. Det förhållandet att frågan berörts i sam</w:t>
      </w:r>
      <w:r w:rsidRPr="0008481A">
        <w:softHyphen/>
        <w:t>band med bl.a. telefonsamtal som före</w:t>
      </w:r>
      <w:r w:rsidRPr="0008481A">
        <w:softHyphen/>
        <w:t xml:space="preserve">varit mellan H.S. </w:t>
      </w:r>
      <w:r w:rsidRPr="0008481A">
        <w:t>och skattemyndigheten efter myndighetens beslut den 21 september 1998 påverkar inte denna bedömning. Skatte</w:t>
      </w:r>
      <w:r w:rsidRPr="0008481A">
        <w:softHyphen/>
        <w:t>myndigheten kan inte undgå allvarlig kritik för sin hantering av begäran i detta avseende.</w:t>
      </w:r>
    </w:p>
    <w:p w:rsidR="003B3271" w:rsidRPr="0008481A" w:rsidRDefault="003B3271">
      <w:pPr>
        <w:pStyle w:val="Rubrik2"/>
      </w:pPr>
      <w:r w:rsidRPr="0008481A">
        <w:t>Handläggningen av en begäran om utlämnande av allmänna handlingar</w:t>
      </w:r>
    </w:p>
    <w:p w:rsidR="003B3271" w:rsidRPr="0008481A" w:rsidRDefault="003B3271">
      <w:r w:rsidRPr="0008481A">
        <w:t>(Dnr 1389-1999)</w:t>
      </w:r>
    </w:p>
    <w:p w:rsidR="003B3271" w:rsidRPr="0008481A" w:rsidRDefault="003B3271">
      <w:r w:rsidRPr="0008481A">
        <w:t xml:space="preserve">I ett beslut den 24 mars 2000 anförde </w:t>
      </w:r>
      <w:r w:rsidRPr="0008481A">
        <w:rPr>
          <w:i/>
        </w:rPr>
        <w:t>JO Pennlöv</w:t>
      </w:r>
      <w:r w:rsidRPr="0008481A">
        <w:t xml:space="preserve"> följande.</w:t>
      </w:r>
    </w:p>
    <w:p w:rsidR="003B3271" w:rsidRPr="0008481A" w:rsidRDefault="003B3271">
      <w:pPr>
        <w:pStyle w:val="Rubrik3"/>
      </w:pPr>
      <w:r w:rsidRPr="0008481A">
        <w:t>Anmälan</w:t>
      </w:r>
    </w:p>
    <w:p w:rsidR="003B3271" w:rsidRPr="0008481A" w:rsidRDefault="003B3271">
      <w:r w:rsidRPr="0008481A">
        <w:t>I en anmälan till JO har F.L. framfört klagomål mot Försvarsmaktens hand</w:t>
      </w:r>
      <w:r w:rsidRPr="0008481A">
        <w:softHyphen/>
        <w:t>läggning av en av honom framställd begäran om att få kopior på allmänna handlingar. Till stöd för anmälan har han anfört bl.a. följande. Hans framställan var så nöjaktigt preciserad som lagen föreskriver för att Försvarsmakten skulle kunna återfinna och pröva ett utlämnande. Detta har bekräftats i samtal med bl.a. professor Anna Christensen. Anna Christensen gör också bedömningen att hans precisering är tillräcklig för att kunna identifiera handlingarna som enligt Christensen är väl kända hos Försvarsmakte</w:t>
      </w:r>
      <w:r w:rsidRPr="0008481A">
        <w:t xml:space="preserve">n. Försvarsmakten har trots den information han bistått med tagit 27 dagar på sig för att dra slutsatsen att framställan inte är tillräckligt preciserad. </w:t>
      </w:r>
    </w:p>
    <w:p w:rsidR="003B3271" w:rsidRPr="0008481A" w:rsidRDefault="003B3271">
      <w:pPr>
        <w:pStyle w:val="Rubrik3"/>
      </w:pPr>
      <w:r w:rsidRPr="0008481A">
        <w:t>Utredning</w:t>
      </w:r>
    </w:p>
    <w:p w:rsidR="003B3271" w:rsidRPr="0008481A" w:rsidRDefault="003B3271">
      <w:r w:rsidRPr="0008481A">
        <w:t>Efter remiss har Försvarsmakten genom generalen Owe Wiktorin anfört bl.a. följande.</w:t>
      </w:r>
    </w:p>
    <w:p w:rsidR="003B3271" w:rsidRPr="0008481A" w:rsidRDefault="003B3271">
      <w:pPr>
        <w:pStyle w:val="Rubrik4"/>
      </w:pPr>
      <w:r w:rsidRPr="0008481A">
        <w:t>Upplysningar om ärendets handläggning</w:t>
      </w:r>
    </w:p>
    <w:p w:rsidR="003B3271" w:rsidRPr="0008481A" w:rsidRDefault="003B3271">
      <w:pPr>
        <w:pStyle w:val="Citat"/>
      </w:pPr>
      <w:r w:rsidRPr="0008481A">
        <w:t>F.L:s begäran om att få ta del av allmänna handlingar inkom till Försvarsmaktens högkvarter (Högkvarteret) den 3 mars 1999. Begäran lotta</w:t>
      </w:r>
      <w:r w:rsidRPr="0008481A">
        <w:softHyphen/>
        <w:t>des – i enlighet med föreskrifter i Högkvarterets arbetsordning – på den administrativa avdelningen. Eftersom L:s begäran rörde handlingar med uppgifter om främmande undervattensverksamhet överlämnades hans begä</w:t>
      </w:r>
      <w:r w:rsidRPr="0008481A">
        <w:softHyphen/>
        <w:t>ran vidare till underrättelseavdelningens marinsektion vid militära under</w:t>
      </w:r>
      <w:r w:rsidRPr="0008481A">
        <w:softHyphen/>
        <w:t>rättelse- och säkerhetstjänsten i Högkvarteret. Den 8 mars 1999 hade bered</w:t>
      </w:r>
      <w:r w:rsidRPr="0008481A">
        <w:softHyphen/>
        <w:t>ningen av ärendet nått så långt att även juridiska avdelningen i Högkvarteret kopplades in.</w:t>
      </w:r>
    </w:p>
    <w:p w:rsidR="003B3271" w:rsidRPr="0008481A" w:rsidRDefault="003B3271">
      <w:pPr>
        <w:pStyle w:val="Citatindrag"/>
      </w:pPr>
      <w:r w:rsidRPr="0008481A">
        <w:t xml:space="preserve">I sin framställan till myndigheten begär L. att få kopior </w:t>
      </w:r>
      <w:r w:rsidRPr="0008481A">
        <w:t>av de allmänna handlingar som i Ubåtskommissionens rapport (SOU 1995:135) Ubåts</w:t>
      </w:r>
      <w:r w:rsidRPr="0008481A">
        <w:softHyphen/>
        <w:t>frå</w:t>
      </w:r>
      <w:r w:rsidRPr="0008481A">
        <w:softHyphen/>
        <w:t>gan 1981–1994 beskrivs som utlåtanden (rapporter) rörande så kallade typ</w:t>
      </w:r>
      <w:r w:rsidRPr="0008481A">
        <w:softHyphen/>
        <w:t>ljud från några inte närmare angivna ”utomstående institutioner”. L. hänvisar i sin framställan till handlingar som beskrivs i en reservation av professor Anna Christensen till rapporten (sid. 319 och 320). Med hänsyn till att det i reservationen inte tillräckligt tydligt framgår vilka handlingar hon avser, konstaterades tämligen omgående att det var fö</w:t>
      </w:r>
      <w:r w:rsidRPr="0008481A">
        <w:t>renat med svårig</w:t>
      </w:r>
      <w:r w:rsidRPr="0008481A">
        <w:softHyphen/>
        <w:t>heter att identifiera handlingarna.</w:t>
      </w:r>
    </w:p>
    <w:p w:rsidR="003B3271" w:rsidRPr="0008481A" w:rsidRDefault="003B3271">
      <w:pPr>
        <w:pStyle w:val="Citatindrag"/>
      </w:pPr>
      <w:r w:rsidRPr="0008481A">
        <w:t>Det konstaterades vidare under handläggningen att det inom Försvars</w:t>
      </w:r>
      <w:r w:rsidRPr="0008481A">
        <w:softHyphen/>
        <w:t>mak</w:t>
      </w:r>
      <w:r w:rsidRPr="0008481A">
        <w:softHyphen/>
        <w:t xml:space="preserve">ten </w:t>
      </w:r>
      <w:r w:rsidRPr="0008481A">
        <w:softHyphen/>
        <w:t>och Högkvarteret sannolikt finns en mängd handlingar som skulle kunna omfattas av L:s framställan. Bland det material som kan anses härröra från utomstående institutioner finns rapporter m.m. som på grund av sekretess enligt främst 2 kap. 2 § sekretesslagen (1980:100) inte närmare kan kommenteras. Det har därför inte varit möjligt att för L. redovisa alla de utlåtanden, rapporter m.m. som möjligen skulle kunna ha utgjort de hand</w:t>
      </w:r>
      <w:r w:rsidRPr="0008481A">
        <w:softHyphen/>
        <w:t>lingar som han avsett.</w:t>
      </w:r>
    </w:p>
    <w:p w:rsidR="003B3271" w:rsidRPr="0008481A" w:rsidRDefault="003B3271">
      <w:pPr>
        <w:pStyle w:val="Citatindrag"/>
      </w:pPr>
      <w:r w:rsidRPr="0008481A">
        <w:t>Det har inte varit möjligt att endast med ledn</w:t>
      </w:r>
      <w:r w:rsidRPr="0008481A">
        <w:t>ing av de uppgifter L. lämnat i sin begäran söka efter de aktuella handlingarna i myndighetens diarier. Högkvarteret har därför försökt att identi</w:t>
      </w:r>
      <w:r w:rsidRPr="0008481A">
        <w:softHyphen/>
        <w:t>fiera de handlingar L. begärt att få ta del av genom att tillfråga tjänstemän vid myndigheten med särskilda insikter i den verksamhet som Ubåtskommissionen bedrev.</w:t>
      </w:r>
    </w:p>
    <w:p w:rsidR="003B3271" w:rsidRPr="0008481A" w:rsidRDefault="003B3271">
      <w:pPr>
        <w:pStyle w:val="Citatindrag"/>
      </w:pPr>
      <w:r w:rsidRPr="0008481A">
        <w:t>L. har av myndigheten per telefon under hela handläggningen hållits underrättad om arbets</w:t>
      </w:r>
      <w:r w:rsidRPr="0008481A">
        <w:softHyphen/>
        <w:t>läget såvitt avser hans begäran. En gång under tiden 3–11 mars 1999 kontaktades L. av Högkvarterets informations</w:t>
      </w:r>
      <w:r w:rsidRPr="0008481A">
        <w:softHyphen/>
        <w:t>avdel</w:t>
      </w:r>
      <w:r w:rsidRPr="0008481A">
        <w:softHyphen/>
        <w:t>ning. Vid detta samtal uppgav han att han försökt att få närmare upplys</w:t>
      </w:r>
      <w:r w:rsidRPr="0008481A">
        <w:softHyphen/>
        <w:t>ningar av professor Anna Christensen om vilka utomstående institutioner hon avsett i sin reservation. Christensen hade dock vägrat att för L. närmare utveckla vad hon anfört i reserva</w:t>
      </w:r>
      <w:r w:rsidRPr="0008481A">
        <w:softHyphen/>
        <w:t>tionen. Juridiska avdelningen in</w:t>
      </w:r>
      <w:r w:rsidRPr="0008481A">
        <w:softHyphen/>
        <w:t>formerade därefter L. om den fortsatta handläggningen och om svårig</w:t>
      </w:r>
      <w:r w:rsidRPr="0008481A">
        <w:softHyphen/>
        <w:t>heterna med att identifiera de begä</w:t>
      </w:r>
      <w:r w:rsidRPr="0008481A">
        <w:t>rda handlingarna vid tre tillfällen, nämli</w:t>
      </w:r>
      <w:r w:rsidRPr="0008481A">
        <w:softHyphen/>
        <w:t>gen den 12, 18 och 26 mars 1999. Genom samtalen klargjordes att L. inte hade möjlighet att närmare precisera sin begäran.</w:t>
      </w:r>
    </w:p>
    <w:p w:rsidR="003B3271" w:rsidRPr="0008481A" w:rsidRDefault="003B3271">
      <w:pPr>
        <w:pStyle w:val="Citatindrag"/>
      </w:pPr>
      <w:r w:rsidRPr="0008481A">
        <w:t>Upplysningsvis kan nämnas att L. har överklagat Försvarsmaktens beslut i det aktuella ärendet.</w:t>
      </w:r>
    </w:p>
    <w:p w:rsidR="003B3271" w:rsidRPr="0008481A" w:rsidRDefault="003B3271">
      <w:pPr>
        <w:pStyle w:val="Rubrik4"/>
      </w:pPr>
      <w:r w:rsidRPr="0008481A">
        <w:t>Yttrande</w:t>
      </w:r>
    </w:p>
    <w:p w:rsidR="003B3271" w:rsidRPr="0008481A" w:rsidRDefault="003B3271">
      <w:pPr>
        <w:pStyle w:val="Citat"/>
      </w:pPr>
      <w:r w:rsidRPr="0008481A">
        <w:t>F.L:s framställan är att betrakta som en begäran om att få ta del  av allmänna handlingar enligt 2 kap. tryckfrihetsförordningen. I 2 kap. 12 § tryck</w:t>
      </w:r>
      <w:r w:rsidRPr="0008481A">
        <w:softHyphen/>
      </w:r>
      <w:r w:rsidRPr="0008481A">
        <w:softHyphen/>
        <w:t>frihetsförordningen föreskrivs att en allmän handling som får lämnas ut skall på begäran genast eller så snart det är möjligt på stället utan avgift till</w:t>
      </w:r>
      <w:r w:rsidRPr="0008481A">
        <w:softHyphen/>
        <w:t>handahållas den som vill ta del av den. I 7 § förvaltningslagen (1986:223) anges att varje ärende där någon enskild är part skall handläggas så enkelt, snabbt och billigt som möjligt utan att säkerheten eftersätts.</w:t>
      </w:r>
    </w:p>
    <w:p w:rsidR="003B3271" w:rsidRPr="0008481A" w:rsidRDefault="003B3271">
      <w:pPr>
        <w:pStyle w:val="Citatindrag"/>
      </w:pPr>
      <w:r w:rsidRPr="0008481A">
        <w:t>I 25 § förordningen (1994:642) med instruktion för Försvarsmakten finns be</w:t>
      </w:r>
      <w:r w:rsidRPr="0008481A">
        <w:softHyphen/>
        <w:t>stämmelser om handläggningen av frågor som rör utlämnande av all</w:t>
      </w:r>
      <w:r w:rsidRPr="0008481A">
        <w:softHyphen/>
        <w:t>män</w:t>
      </w:r>
      <w:r w:rsidRPr="0008481A">
        <w:softHyphen/>
        <w:t>na handlingar. Av paragrafen, jämförd med bilaga 1 till samma förordning, följer att det ankommit på Högkvarteret att pröva frågan om handlingarnas utlämnande.</w:t>
      </w:r>
    </w:p>
    <w:p w:rsidR="003B3271" w:rsidRPr="0008481A" w:rsidRDefault="003B3271">
      <w:pPr>
        <w:pStyle w:val="Citatindrag"/>
      </w:pPr>
      <w:r w:rsidRPr="0008481A">
        <w:t>Det har inte varit möjligt att med hjälp av inom myndigheten tillgängliga resurser utröna vilka handlingar L. avser. Försvarsmakten har inte ansett sig ha skyldighet att hos en person som inte är verksam vid myndig</w:t>
      </w:r>
      <w:r w:rsidRPr="0008481A">
        <w:softHyphen/>
        <w:t>heten försöka få upplysningar om vad denne, i sin tidigare egenskap som ledamot i en statlig kommission, har avsett med skriftliga yttranden i sitt arbete. Myndigheten har därför inte varit i kontakt med professor Anna Christensen.</w:t>
      </w:r>
    </w:p>
    <w:p w:rsidR="003B3271" w:rsidRPr="0008481A" w:rsidRDefault="003B3271">
      <w:pPr>
        <w:pStyle w:val="Citatindrag"/>
      </w:pPr>
      <w:r w:rsidRPr="0008481A">
        <w:t>Ärendet har varit föremål för aktiv handläggning från det att L:s begä</w:t>
      </w:r>
      <w:r w:rsidRPr="0008481A">
        <w:softHyphen/>
        <w:t>ran inkom till dess beslut fattades. Försöken att identifiera de efterfrågade handlingarna och göra de rättsliga bedömningar som varit nödvändiga i ären</w:t>
      </w:r>
      <w:r w:rsidRPr="0008481A">
        <w:softHyphen/>
      </w:r>
      <w:r w:rsidRPr="0008481A">
        <w:softHyphen/>
        <w:t>det har varit tidskrävande.</w:t>
      </w:r>
    </w:p>
    <w:p w:rsidR="003B3271" w:rsidRPr="0008481A" w:rsidRDefault="003B3271">
      <w:pPr>
        <w:pStyle w:val="Citatindrag"/>
      </w:pPr>
      <w:r w:rsidRPr="0008481A">
        <w:t>Mot bakgrund av vad som ovan anförts anser myndigheten att den inte kan anses ha brustit i fråga om sin skyldighet att fatta beslut i ärendet inom den tid som krävs av myndigheten. Myndigheten anser sig inte heller på annat sätt ha brustit i handläggningen av det aktuella ärendet.</w:t>
      </w:r>
    </w:p>
    <w:p w:rsidR="003B3271" w:rsidRPr="0008481A" w:rsidRDefault="003B3271">
      <w:r w:rsidRPr="0008481A">
        <w:t>F.L. har kommenterat remissvaret.</w:t>
      </w:r>
    </w:p>
    <w:p w:rsidR="003B3271" w:rsidRPr="0008481A" w:rsidRDefault="003B3271">
      <w:pPr>
        <w:pStyle w:val="Rubrik3"/>
      </w:pPr>
      <w:r w:rsidRPr="0008481A">
        <w:t>Bedömning</w:t>
      </w:r>
    </w:p>
    <w:p w:rsidR="003B3271" w:rsidRPr="0008481A" w:rsidRDefault="003B3271">
      <w:r w:rsidRPr="0008481A">
        <w:t>Inledningsvis vill jag framhålla att min granskning av ärendet endast omfattar Försvarsmaktens formella handläggning av framställningen om att få ta del av de aktuella handlingarna. Beslutet att inte lämna ut handlingarna har varit föremål för prövning i kammarrätten och JO brukar inte uttala sig i sakfrågor som det ankom</w:t>
      </w:r>
      <w:r w:rsidRPr="0008481A">
        <w:softHyphen/>
        <w:t>mer på domstol att pröva.</w:t>
      </w:r>
    </w:p>
    <w:p w:rsidR="003B3271" w:rsidRPr="0008481A" w:rsidRDefault="003B3271">
      <w:pPr>
        <w:pStyle w:val="Normaltindrag"/>
      </w:pPr>
      <w:r w:rsidRPr="0008481A">
        <w:t>Frågor om utlämnande av allmänna handlingar regleras i 2 kap. tryckfrihetsför</w:t>
      </w:r>
      <w:r w:rsidRPr="0008481A">
        <w:softHyphen/>
        <w:t>ord</w:t>
      </w:r>
      <w:r w:rsidRPr="0008481A">
        <w:softHyphen/>
        <w:t>ningen (TF). Enligt 2 kap. 12 § skall en allmän handling som får lämnas ut på be</w:t>
      </w:r>
      <w:r w:rsidRPr="0008481A">
        <w:softHyphen/>
        <w:t>gäran genast eller så snart det är möjligt på stället utan avgift tillhandahållas den som vill ta del av den. Den som önskar ta del av allmän handling har även rätt att mot fastställd avgift få avskrift eller kopia av handlingen till den del den får läm</w:t>
      </w:r>
      <w:r w:rsidRPr="0008481A">
        <w:softHyphen/>
        <w:t>nas ut. Även en sådan begäran skall behandlas skyndsamt (2 kap. 13 §).</w:t>
      </w:r>
    </w:p>
    <w:p w:rsidR="003B3271" w:rsidRPr="0008481A" w:rsidRDefault="003B3271">
      <w:pPr>
        <w:pStyle w:val="Normaltindrag"/>
      </w:pPr>
      <w:r w:rsidRPr="0008481A">
        <w:t>Som en allmän förutsättning för att en myndighet skall vara skyldig att tillhandagå allmänheten enlig</w:t>
      </w:r>
      <w:r w:rsidRPr="0008481A">
        <w:t>t dessa regler gäller, att den som önskar få del av en handling kan precisera vilken handling som avses eller i vart fall lämnar så detaljerade upp</w:t>
      </w:r>
      <w:r w:rsidRPr="0008481A">
        <w:softHyphen/>
        <w:t xml:space="preserve">lysningar om handlingen och dess innehåll, att myndigheten utan större svårighet kan identifiera den. Myndigheten måste dock få klart för sig vilka handlingar som efterfrågas. </w:t>
      </w:r>
    </w:p>
    <w:p w:rsidR="003B3271" w:rsidRPr="0008481A" w:rsidRDefault="003B3271">
      <w:pPr>
        <w:pStyle w:val="Normaltindrag"/>
      </w:pPr>
      <w:r w:rsidRPr="0008481A">
        <w:t>Skulle en framställning om utfående av allmän handling vara alltför obestämd för att kunna besvaras, kan myndigheten emellertid inte nöja sig med att konstatera detta. I 4 § förvaltningsl</w:t>
      </w:r>
      <w:r w:rsidRPr="0008481A">
        <w:t>agen (1986:223) åläggs myndig</w:t>
      </w:r>
      <w:r w:rsidRPr="0008481A">
        <w:softHyphen/>
        <w:t>heterna en allmän ser</w:t>
      </w:r>
      <w:r w:rsidRPr="0008481A">
        <w:softHyphen/>
        <w:t>vice</w:t>
      </w:r>
      <w:r w:rsidRPr="0008481A">
        <w:softHyphen/>
        <w:t>plikt, som i förevarande typ av ärenden får anses innefatta krav på att myndig</w:t>
      </w:r>
      <w:r w:rsidRPr="0008481A">
        <w:softHyphen/>
        <w:t>heten inte bara upplyser sökanden om att han skall lämna sådana uppgifter att handlingen kan identifieras, utan också med anlitande av sina diarier och register etc. aktivt bistår honom. Däremot är myndigheten inte skyldig att i angivet syfte bedriva arkivforskning eller eljest föranstalta om mera omfattande utrednings</w:t>
      </w:r>
      <w:r w:rsidRPr="0008481A">
        <w:softHyphen/>
        <w:t>åtgär</w:t>
      </w:r>
      <w:r w:rsidRPr="0008481A">
        <w:softHyphen/>
        <w:t>der. Myndighetens agerande skall vara inriktat på</w:t>
      </w:r>
      <w:r w:rsidRPr="0008481A">
        <w:t xml:space="preserve"> att snabbt få ett avgörande till stånd; antingen skall </w:t>
      </w:r>
      <w:r w:rsidRPr="0008481A">
        <w:rPr>
          <w:rFonts w:ascii="Garamond" w:hAnsi="Garamond"/>
        </w:rPr>
        <w:t>–</w:t>
      </w:r>
      <w:r w:rsidRPr="0008481A">
        <w:t xml:space="preserve"> om reglerna om allmänna handlingar är tillämpliga </w:t>
      </w:r>
      <w:r w:rsidRPr="0008481A">
        <w:rPr>
          <w:rFonts w:ascii="Garamond" w:hAnsi="Garamond"/>
        </w:rPr>
        <w:t>–</w:t>
      </w:r>
      <w:r w:rsidRPr="0008481A">
        <w:t xml:space="preserve"> begärda hand</w:t>
      </w:r>
      <w:r w:rsidRPr="0008481A">
        <w:softHyphen/>
        <w:t xml:space="preserve">lingar lämnas ut eller också skall ett </w:t>
      </w:r>
      <w:r w:rsidRPr="0008481A">
        <w:rPr>
          <w:rFonts w:ascii="Garamond" w:hAnsi="Garamond"/>
        </w:rPr>
        <w:t>–</w:t>
      </w:r>
      <w:r w:rsidRPr="0008481A">
        <w:t xml:space="preserve"> överklagbart </w:t>
      </w:r>
      <w:r w:rsidRPr="0008481A">
        <w:rPr>
          <w:rFonts w:ascii="Garamond" w:hAnsi="Garamond"/>
        </w:rPr>
        <w:t>–</w:t>
      </w:r>
      <w:r w:rsidRPr="0008481A">
        <w:t xml:space="preserve"> avslagsbeslut med</w:t>
      </w:r>
      <w:r w:rsidRPr="0008481A">
        <w:softHyphen/>
        <w:t>delas (jfr JO 1994/95 s. 571 f.)</w:t>
      </w:r>
    </w:p>
    <w:p w:rsidR="003B3271" w:rsidRPr="0008481A" w:rsidRDefault="003B3271">
      <w:pPr>
        <w:pStyle w:val="Normaltindrag"/>
      </w:pPr>
      <w:r w:rsidRPr="0008481A">
        <w:t>I remissvaret har Försvarsmakten anfört att det inte har varit möjligt att endast med ledning av de uppgifter F.L. lämnat i sin begäran söka efter de aktuella handlingarna i myndighetens diarier. Det har inte framkommit något som har gett mig anledning att ifrågasätta vad Försvarsm</w:t>
      </w:r>
      <w:r w:rsidRPr="0008481A">
        <w:t>akten anfört härom. Försvarsmakten har framhållit att Högkvarteret har försökt att identifiera de handlingar F.L. begärt att få ta del av genom att tillfråga tjänstemän vid myndigheten med särskilda insikter i den verksamhet som Ubåtskommis</w:t>
      </w:r>
      <w:r w:rsidRPr="0008481A">
        <w:softHyphen/>
        <w:t>sionen bedrev. F.L. har vidare av myndigheten per telefon hållits underrättad om arbetsläget och om svå</w:t>
      </w:r>
      <w:r w:rsidRPr="0008481A">
        <w:softHyphen/>
        <w:t>righeterna med att identifiera de begärda handlingarna vid tre tillfällen: den 12 mars 1999, den 18 mars 1999 och den 26 mars 1999. Genom samtalen klargjordes att F.L.</w:t>
      </w:r>
      <w:r w:rsidRPr="0008481A">
        <w:t xml:space="preserve"> inte hade möjlighet att närmare precisera sin begäran. Beslutet i ärendet medde</w:t>
      </w:r>
      <w:r w:rsidRPr="0008481A">
        <w:softHyphen/>
        <w:t>lades den 30 mars 1999. Som ovan framgått skall en begäran om att få ta del av en allmän handling handläggas skyndsamt. Med hänsyn till att myndigheten enligt min mening aktivt agerat för att så snabbt som möjligt få ett avgörande till stånd finner jag, trots den relativt långa handläggningstiden, inte anledning att kritisera Försvarsmaktens handläggning av ärendet i detta avseende. I remissvaret har vidare anförts att Försvars</w:t>
      </w:r>
      <w:r w:rsidRPr="0008481A">
        <w:t>makten inte har ansett sig ha skyldighet att hos en person som inte är verksam vid myndigheten försöka få upplysningar om vad denne, i sin tidigare egenskap som ledamot i statlig kommission, har avsett med skriftliga yttranden i sitt arbete. Jag delar myn</w:t>
      </w:r>
      <w:r w:rsidRPr="0008481A">
        <w:softHyphen/>
        <w:t>dighetens bedömning i denna del. Även i övrigt får myndigheten anses ha fullgjort sin serviceskyldighet enligt 4 § förvaltningslagen. Vad som kommit fram genom utredningen i detta ärende ger mig således inte anledning att rikta någon kritik mot Försvars</w:t>
      </w:r>
      <w:r w:rsidRPr="0008481A">
        <w:softHyphen/>
        <w:t>ma</w:t>
      </w:r>
      <w:r w:rsidRPr="0008481A">
        <w:t>ktens hand</w:t>
      </w:r>
      <w:r w:rsidRPr="0008481A">
        <w:softHyphen/>
        <w:t>läggning.</w:t>
      </w:r>
    </w:p>
    <w:p w:rsidR="003B3271" w:rsidRPr="0008481A" w:rsidRDefault="003B3271">
      <w:pPr>
        <w:pStyle w:val="Rubrik2"/>
      </w:pPr>
      <w:r w:rsidRPr="0008481A">
        <w:t xml:space="preserve">Ifrågasatt inskränkning av yttrandefriheten för chef i Försvarsmakten </w:t>
      </w:r>
    </w:p>
    <w:p w:rsidR="003B3271" w:rsidRPr="0008481A" w:rsidRDefault="003B3271">
      <w:r w:rsidRPr="0008481A">
        <w:t>(Dnr 4433–4435-1999)</w:t>
      </w:r>
    </w:p>
    <w:p w:rsidR="003B3271" w:rsidRPr="0008481A" w:rsidRDefault="003B3271">
      <w:r w:rsidRPr="0008481A">
        <w:t xml:space="preserve">I ett beslut den 22 juni 2000 anförde </w:t>
      </w:r>
      <w:r w:rsidRPr="0008481A">
        <w:rPr>
          <w:i/>
        </w:rPr>
        <w:t xml:space="preserve">JO Pennlöv </w:t>
      </w:r>
      <w:r w:rsidRPr="0008481A">
        <w:t>följande.</w:t>
      </w:r>
    </w:p>
    <w:p w:rsidR="003B3271" w:rsidRPr="0008481A" w:rsidRDefault="003B3271">
      <w:pPr>
        <w:pStyle w:val="Rubrik3"/>
      </w:pPr>
      <w:r w:rsidRPr="0008481A">
        <w:t>Bakgrund</w:t>
      </w:r>
    </w:p>
    <w:p w:rsidR="003B3271" w:rsidRPr="0008481A" w:rsidRDefault="003B3271">
      <w:r w:rsidRPr="0008481A">
        <w:t>Av en artikel i Dagens Nyheter den 25 november 1999 framgick bl.a. följande.</w:t>
      </w:r>
    </w:p>
    <w:p w:rsidR="003B3271" w:rsidRPr="0008481A" w:rsidRDefault="003B3271">
      <w:pPr>
        <w:pStyle w:val="Normaltindrag"/>
      </w:pPr>
      <w:r w:rsidRPr="0008481A">
        <w:t>Överbefälhavaren Owe Wiktorin kallade den 19 november 1999 till sig chefen för Sydkustens marinkommando, översten av första graden Bo Wranker, eftersom denne hade varit kritisk mot förslaget om försvarets nya grundorganisation. Öve</w:t>
      </w:r>
      <w:r w:rsidRPr="0008481A">
        <w:t>r</w:t>
      </w:r>
      <w:r w:rsidRPr="0008481A">
        <w:t>befälhavaren lät Bo Wranker förstå att hans lojalitet mot förslaget var en föru</w:t>
      </w:r>
      <w:r w:rsidRPr="0008481A">
        <w:t>t</w:t>
      </w:r>
      <w:r w:rsidRPr="0008481A">
        <w:t>sättning för hans fortsatta chefskap i Karlskrona. I ett internmeddelande  den 22 november 1999 från Högkvarteret anfördes bl.a.: ”Överbefälhavaren har tydli</w:t>
      </w:r>
      <w:r w:rsidRPr="0008481A">
        <w:t>g</w:t>
      </w:r>
      <w:r w:rsidRPr="0008481A">
        <w:t>gjort att det inte är möjligt att som chef i myndigheten aktivt föra ut en uppfat</w:t>
      </w:r>
      <w:r w:rsidRPr="0008481A">
        <w:t>t</w:t>
      </w:r>
      <w:r w:rsidRPr="0008481A">
        <w:t>ning som går emot myndigh</w:t>
      </w:r>
      <w:r w:rsidRPr="0008481A">
        <w:t>e</w:t>
      </w:r>
      <w:r w:rsidRPr="0008481A">
        <w:t>tens ställningstagande.”</w:t>
      </w:r>
    </w:p>
    <w:p w:rsidR="003B3271" w:rsidRPr="0008481A" w:rsidRDefault="003B3271">
      <w:pPr>
        <w:pStyle w:val="Rubrik3"/>
      </w:pPr>
      <w:r w:rsidRPr="0008481A">
        <w:t>Anmälningarna</w:t>
      </w:r>
    </w:p>
    <w:p w:rsidR="003B3271" w:rsidRPr="0008481A" w:rsidRDefault="003B3271">
      <w:r w:rsidRPr="0008481A">
        <w:t>Sven Ekelin, Sten Danielsson och Arne Löyskä har, med åberopande av uppgi</w:t>
      </w:r>
      <w:r w:rsidRPr="0008481A">
        <w:t>f</w:t>
      </w:r>
      <w:r w:rsidRPr="0008481A">
        <w:t>terna i den ovan nämnda artikeln, i anmälningar till JO gjort gällande att överb</w:t>
      </w:r>
      <w:r w:rsidRPr="0008481A">
        <w:t>e</w:t>
      </w:r>
      <w:r w:rsidRPr="0008481A">
        <w:t>fälhavaren Owe Wiktorin på ett grundlagsstridigt sätt begränsat Bo Wrankers yt</w:t>
      </w:r>
      <w:r w:rsidRPr="0008481A">
        <w:t>t</w:t>
      </w:r>
      <w:r w:rsidRPr="0008481A">
        <w:t>randefr</w:t>
      </w:r>
      <w:r w:rsidRPr="0008481A">
        <w:t>i</w:t>
      </w:r>
      <w:r w:rsidRPr="0008481A">
        <w:t>het.</w:t>
      </w:r>
    </w:p>
    <w:p w:rsidR="003B3271" w:rsidRPr="0008481A" w:rsidRDefault="003B3271">
      <w:pPr>
        <w:pStyle w:val="Rubrik3"/>
      </w:pPr>
      <w:r w:rsidRPr="0008481A">
        <w:t>Utredningen</w:t>
      </w:r>
    </w:p>
    <w:p w:rsidR="003B3271" w:rsidRPr="0008481A" w:rsidRDefault="003B3271">
      <w:r w:rsidRPr="0008481A">
        <w:t>Efter remiss har Försvarsmakten, överbefälhavaren Owe Wiktorin, anfört följa</w:t>
      </w:r>
      <w:r w:rsidRPr="0008481A">
        <w:t>n</w:t>
      </w:r>
      <w:r w:rsidRPr="0008481A">
        <w:t>de.</w:t>
      </w:r>
    </w:p>
    <w:p w:rsidR="003B3271" w:rsidRPr="0008481A" w:rsidRDefault="003B3271">
      <w:pPr>
        <w:pStyle w:val="Citat"/>
      </w:pPr>
      <w:r w:rsidRPr="0008481A">
        <w:t>Anmälningarna hänför sig till bl.a. det samtal som jag hade med chefen för Sydkustens Mari</w:t>
      </w:r>
      <w:r w:rsidRPr="0008481A">
        <w:t>n</w:t>
      </w:r>
      <w:r w:rsidRPr="0008481A">
        <w:t>kommando översten av första graden Bo Wranker den 19 november 1999.</w:t>
      </w:r>
    </w:p>
    <w:p w:rsidR="003B3271" w:rsidRPr="0008481A" w:rsidRDefault="003B3271">
      <w:pPr>
        <w:pStyle w:val="Citatindrag"/>
      </w:pPr>
      <w:r w:rsidRPr="0008481A">
        <w:t>Bakgrunden till samtalet den 19 november är kortfattat att Försvarsmakten efter ett omfattande internt arbete deltagit i en process som har syftat till att i en gemensam arbetsgrupp mellan fö</w:t>
      </w:r>
      <w:r w:rsidRPr="0008481A">
        <w:t>r</w:t>
      </w:r>
      <w:r w:rsidRPr="0008481A">
        <w:t>svarsdepartementet och Försvarsmakten utarbeta en ny Försvarsmaktsorganisation. I sitt arbete har gruppen noga tagit del av detaljerade underlag och förslag från Försvarsmaktens olika enheter samt genomfört omfattande förbandsbesök. Arbetsgruppen, under ledning av försvarsdeparteme</w:t>
      </w:r>
      <w:r w:rsidRPr="0008481A">
        <w:t>n</w:t>
      </w:r>
      <w:r w:rsidRPr="0008481A">
        <w:t>tet, redovisade den 20 oktober 1999 för försvarsministern ett förslag till ny grundorganisation.</w:t>
      </w:r>
    </w:p>
    <w:p w:rsidR="003B3271" w:rsidRPr="0008481A" w:rsidRDefault="003B3271">
      <w:pPr>
        <w:pStyle w:val="Citatindrag"/>
      </w:pPr>
      <w:r w:rsidRPr="0008481A">
        <w:t xml:space="preserve">Jag har, liksom militärledningen, hållits kontinuerligt underrättad om arbetets framskridande och har också på myndighetens vägnar </w:t>
      </w:r>
      <w:r w:rsidRPr="0008481A">
        <w:t>ställt mig bakom förslaget. Tanken med att vid denna omorg</w:t>
      </w:r>
      <w:r w:rsidRPr="0008481A">
        <w:t>a</w:t>
      </w:r>
      <w:r w:rsidRPr="0008481A">
        <w:t>nisation ha en gemensam berednings</w:t>
      </w:r>
      <w:r w:rsidRPr="0008481A">
        <w:softHyphen/>
        <w:t>grupp har varit omsorgen om personalen. Erfarenheter från tidigare omorganisationer har varit att personalen fått flera och olika besked – från myndigheten, regeringen och riksdagen – om deras framtid i en ny förändrad organisation. Denna gång fick man ett samlat förslag som var avvägt efter ekonomiska, militära och politiska synpunkter och som dessutom har föru</w:t>
      </w:r>
      <w:r w:rsidRPr="0008481A">
        <w:t>t</w:t>
      </w:r>
      <w:r w:rsidRPr="0008481A">
        <w:t>sättningar att kunna beslutas av riksdagen under våre</w:t>
      </w:r>
      <w:r w:rsidRPr="0008481A">
        <w:t>n 2000.</w:t>
      </w:r>
    </w:p>
    <w:p w:rsidR="003B3271" w:rsidRPr="0008481A" w:rsidRDefault="003B3271">
      <w:pPr>
        <w:pStyle w:val="Citatindrag"/>
      </w:pPr>
      <w:r w:rsidRPr="0008481A">
        <w:t>Min uppfattning som myndighetschef är således att Försvarsmaktens olika enheter och chefer haft rimliga möjligheter att få sina synpunkter hörda och förslag framförda till den gemensamma a</w:t>
      </w:r>
      <w:r w:rsidRPr="0008481A">
        <w:t>r</w:t>
      </w:r>
      <w:r w:rsidRPr="0008481A">
        <w:t>betsgruppen. När arbetsgruppen den 20 oktober lade fram sitt förslag till chefen för försvarsd</w:t>
      </w:r>
      <w:r w:rsidRPr="0008481A">
        <w:t>e</w:t>
      </w:r>
      <w:r w:rsidRPr="0008481A">
        <w:t>partementet hade Försvarsmakten således tagit slutlig stäl</w:t>
      </w:r>
      <w:r w:rsidRPr="0008481A">
        <w:t>l</w:t>
      </w:r>
      <w:r w:rsidRPr="0008481A">
        <w:t>ning.</w:t>
      </w:r>
    </w:p>
    <w:p w:rsidR="003B3271" w:rsidRPr="0008481A" w:rsidRDefault="003B3271">
      <w:pPr>
        <w:pStyle w:val="Citatindrag"/>
      </w:pPr>
      <w:r w:rsidRPr="0008481A">
        <w:t xml:space="preserve"> Den 5 november, några veckor efter att arbetsgruppen lämnade sitt för</w:t>
      </w:r>
      <w:r w:rsidRPr="0008481A">
        <w:softHyphen/>
        <w:t>slag, skrev Wranker ett handbrev till mig där han utvecklade sin upp</w:t>
      </w:r>
      <w:r w:rsidRPr="0008481A">
        <w:softHyphen/>
        <w:t>fattning om kort- och långsiktiga konsekvenser av arbetsgruppens förslag. Han av</w:t>
      </w:r>
      <w:r w:rsidRPr="0008481A">
        <w:softHyphen/>
        <w:t>sluta</w:t>
      </w:r>
      <w:r w:rsidRPr="0008481A">
        <w:softHyphen/>
        <w:t>de sitt brev med att han ansåg att det vara hans skyldighet och rättig</w:t>
      </w:r>
      <w:r w:rsidRPr="0008481A">
        <w:softHyphen/>
        <w:t>het att fortsätta argumentera intill dess att riksdagsbeslut i frågan är fattat. Den 16 n</w:t>
      </w:r>
      <w:r w:rsidRPr="0008481A">
        <w:t>o</w:t>
      </w:r>
      <w:r w:rsidRPr="0008481A">
        <w:t>vember fick jag ett nytt handbrev från Wranker där han framförde att han inte hade uppfattat att arbets</w:t>
      </w:r>
      <w:r w:rsidRPr="0008481A">
        <w:softHyphen/>
        <w:t>gruppens förslag var Försvars</w:t>
      </w:r>
      <w:r w:rsidRPr="0008481A">
        <w:softHyphen/>
        <w:t>maktens, och därmed mitt, ställningstagande till en ny grund</w:t>
      </w:r>
      <w:r w:rsidRPr="0008481A">
        <w:t>organi</w:t>
      </w:r>
      <w:r w:rsidRPr="0008481A">
        <w:softHyphen/>
        <w:t>sation. Wranker begär</w:t>
      </w:r>
      <w:r w:rsidRPr="0008481A">
        <w:softHyphen/>
        <w:t>de att få ett personligt samtal med mig för att klara ut eventuella missuppfatt</w:t>
      </w:r>
      <w:r w:rsidRPr="0008481A">
        <w:softHyphen/>
        <w:t>ningar. Det var detta samtal han fick tre dagar senare i närvaro av ställ</w:t>
      </w:r>
      <w:r w:rsidRPr="0008481A">
        <w:softHyphen/>
        <w:t>företrädande överbefä</w:t>
      </w:r>
      <w:r w:rsidRPr="0008481A">
        <w:t>l</w:t>
      </w:r>
      <w:r w:rsidRPr="0008481A">
        <w:t>havaren Frank Rosenius.</w:t>
      </w:r>
    </w:p>
    <w:p w:rsidR="003B3271" w:rsidRPr="0008481A" w:rsidRDefault="003B3271">
      <w:pPr>
        <w:pStyle w:val="Citatindrag"/>
      </w:pPr>
      <w:r w:rsidRPr="0008481A">
        <w:t>Vid mötet den 19 november 1999 redogjorde jag för Wranker att chefskap på en sådan nivå som chef för ett Marinkommando ställer krav på det personliga agerandet. Det går inte att först döma ut myndighetens ställnings</w:t>
      </w:r>
      <w:r w:rsidRPr="0008481A">
        <w:softHyphen/>
        <w:t>tagande som felaktigt och därefter aktivt föra ut en annan uppfattning när man som chef senare med kraft och lojalitet förutsätts genomföra detsamma. Den egna trovär</w:t>
      </w:r>
      <w:r w:rsidRPr="0008481A">
        <w:softHyphen/>
        <w:t>dig</w:t>
      </w:r>
      <w:r w:rsidRPr="0008481A">
        <w:softHyphen/>
        <w:t>heten som chef blir låg eller obefintlig både nedåt och uppåt i organisationen. En chef förväntas kunna genomföra fattade beslut och har ett stort ansvar, inte minst mot underställd personal. Fö</w:t>
      </w:r>
      <w:r w:rsidRPr="0008481A">
        <w:t>r</w:t>
      </w:r>
      <w:r w:rsidRPr="0008481A">
        <w:t>svarsmakten kan inte avvakta ett riksdags</w:t>
      </w:r>
      <w:r w:rsidRPr="0008481A">
        <w:softHyphen/>
        <w:t>beslut i mars 2000 utan måste successivt förbereda och planera med det underlag som regeringen i sin pro</w:t>
      </w:r>
      <w:r w:rsidRPr="0008481A">
        <w:t>position lägger fast. För mig är det således en etisk och moralisk fråga att en chef i Försvars</w:t>
      </w:r>
      <w:r w:rsidRPr="0008481A">
        <w:softHyphen/>
        <w:t>makten kan leda ett effektivt och trovärdigt geno</w:t>
      </w:r>
      <w:r w:rsidRPr="0008481A">
        <w:t>m</w:t>
      </w:r>
      <w:r w:rsidRPr="0008481A">
        <w:t>förande av en kommande omorganisation. Det nu sagda innebär natur</w:t>
      </w:r>
      <w:r w:rsidRPr="0008481A">
        <w:softHyphen/>
        <w:t>ligtvis inte någon åtgärd från min eller högkvarterets sida att försöka begränsa den grundlagsfästa yttrande</w:t>
      </w:r>
      <w:r w:rsidRPr="0008481A">
        <w:softHyphen/>
        <w:t>friheten. Vid mötet förklarade Wranker för mig och Rosenius att han endast avsåg att beskriva konsekvenserna runt den nya Försvarsmakts</w:t>
      </w:r>
      <w:r w:rsidRPr="0008481A">
        <w:softHyphen/>
        <w:t>organisationen och att han förstod att hans agerande ha</w:t>
      </w:r>
      <w:r w:rsidRPr="0008481A">
        <w:t>r kunnat uppfattas på ett annat sätt. Wranker angav vid vårt samtal att han har samma uppfattning som mig att det är ohållbart att chefer i sin befattning verkar för en annan uppfattning än den som är myndighetens. Det var innehållet i det senare som skickades ut internt i Försvarsmakten som ett klarläggande av Wrankers och min inställ</w:t>
      </w:r>
      <w:r w:rsidRPr="0008481A">
        <w:softHyphen/>
        <w:t>ning och att saken därmed var utag</w:t>
      </w:r>
      <w:r w:rsidRPr="0008481A">
        <w:t>e</w:t>
      </w:r>
      <w:r w:rsidRPr="0008481A">
        <w:t>rad för min del.</w:t>
      </w:r>
    </w:p>
    <w:p w:rsidR="003B3271" w:rsidRPr="0008481A" w:rsidRDefault="003B3271">
      <w:r w:rsidRPr="0008481A">
        <w:t>Sven Ekelin och Sten Danielsson har kommenterat remissvaret.</w:t>
      </w:r>
    </w:p>
    <w:p w:rsidR="003B3271" w:rsidRPr="0008481A" w:rsidRDefault="003B3271">
      <w:pPr>
        <w:pStyle w:val="Normaltindrag"/>
      </w:pPr>
      <w:r w:rsidRPr="0008481A">
        <w:t>Bo Wranker har beretts tillfälle att yttra sig över remissvaret. Något yttrande har dock inte inkommit.</w:t>
      </w:r>
    </w:p>
    <w:p w:rsidR="003B3271" w:rsidRPr="0008481A" w:rsidRDefault="003B3271">
      <w:pPr>
        <w:pStyle w:val="Rubrik3"/>
      </w:pPr>
      <w:r w:rsidRPr="0008481A">
        <w:t>Bedömning</w:t>
      </w:r>
    </w:p>
    <w:p w:rsidR="003B3271" w:rsidRPr="0008481A" w:rsidRDefault="003B3271">
      <w:r w:rsidRPr="0008481A">
        <w:t>I  2 kap. 1 § första punkten regeringsformen (RF) föreskrivs att varje med</w:t>
      </w:r>
      <w:r w:rsidRPr="0008481A">
        <w:softHyphen/>
        <w:t>borgare gentemot det allmänna är tillförsäkrad yttrandefrihet, varmed avses frihet att i tal, skrift eller bild eller på annat sätt meddela upplysningar samt uttrycka tankar, åsik</w:t>
      </w:r>
      <w:r w:rsidRPr="0008481A">
        <w:softHyphen/>
        <w:t>ter och känslor. Den enskilde tillförsäkras även bl.a. mötesfrihet och demo</w:t>
      </w:r>
      <w:r w:rsidRPr="0008481A">
        <w:t>n</w:t>
      </w:r>
      <w:r w:rsidRPr="0008481A">
        <w:t>strationsfrihet (tredje och fjärde punkterna samma stadgande). Begränsning av rättigheterna får ske genom lag (2 kap. 12 § RF). I tryckfrihetsförordningen (TF) anges att var och en har rätt att, då ej annat särskilt anges i förordningen, i vad ämne som he</w:t>
      </w:r>
      <w:r w:rsidRPr="0008481A">
        <w:t>lst meddela uppgifter och underrättelser för offentliggörande i tryckt skrift (1 kap. 1 § tredje stycket TF). Myndighet eller annat allmänt organ får inte efterforska den som lämnat sådant meddelande. Undantag från detta förbud finns dock när det gäller vissa angivna brott (3 kap. 4 § TF). En reglering motsvarande den i tryck</w:t>
      </w:r>
      <w:r w:rsidRPr="0008481A">
        <w:softHyphen/>
        <w:t>frihetsförordningen finns för lämnande av uppgifter till radio och tel</w:t>
      </w:r>
      <w:r w:rsidRPr="0008481A">
        <w:t>e</w:t>
      </w:r>
      <w:r w:rsidRPr="0008481A">
        <w:t>vision i yttrandefrihetsgrundlagen (YGL).</w:t>
      </w:r>
    </w:p>
    <w:p w:rsidR="003B3271" w:rsidRPr="0008481A" w:rsidRDefault="003B3271">
      <w:pPr>
        <w:pStyle w:val="Normaltindrag"/>
      </w:pPr>
      <w:r w:rsidRPr="0008481A">
        <w:t>Lagregleringen ger offentligt anställda samma skydd som andra med</w:t>
      </w:r>
      <w:r w:rsidRPr="0008481A">
        <w:softHyphen/>
        <w:t>borgare. En offentligt anställd kan således, liksom arbetstagare i allmänhet, ge uttryck för sin uppfattning rörande den egna arbetsgivarens verksamhet. I sekretesslagen finns dock regler som begränsar de offentligt anställdas rätt att yttra sig om vad de fått veta i samband med sin tjänst. I t.ex. 2 kap. sekretesslagen finns regler om sekr</w:t>
      </w:r>
      <w:r w:rsidRPr="0008481A">
        <w:t>e</w:t>
      </w:r>
      <w:r w:rsidRPr="0008481A">
        <w:t>tess med hänsyn främst till rikets säkerhet eller dess förhållande till annan stat eller mellanfolklig organisation. I 16 kap. sekretesslagen föreskrivs vissa i</w:t>
      </w:r>
      <w:r w:rsidRPr="0008481A">
        <w:t>n</w:t>
      </w:r>
      <w:r w:rsidRPr="0008481A">
        <w:t>skränk</w:t>
      </w:r>
      <w:r w:rsidRPr="0008481A">
        <w:softHyphen/>
      </w:r>
      <w:r w:rsidRPr="0008481A">
        <w:softHyphen/>
      </w:r>
      <w:r w:rsidRPr="0008481A">
        <w:softHyphen/>
      </w:r>
      <w:r w:rsidRPr="0008481A">
        <w:softHyphen/>
        <w:t>ningar i den s.k. med</w:t>
      </w:r>
      <w:r w:rsidRPr="0008481A">
        <w:softHyphen/>
        <w:t>d</w:t>
      </w:r>
      <w:r w:rsidRPr="0008481A">
        <w:t>e</w:t>
      </w:r>
      <w:r w:rsidRPr="0008481A">
        <w:t>lar</w:t>
      </w:r>
      <w:r w:rsidRPr="0008481A">
        <w:softHyphen/>
        <w:t xml:space="preserve">friheten. </w:t>
      </w:r>
    </w:p>
    <w:p w:rsidR="003B3271" w:rsidRPr="0008481A" w:rsidRDefault="003B3271">
      <w:pPr>
        <w:pStyle w:val="Normaltindrag"/>
      </w:pPr>
      <w:r w:rsidRPr="0008481A">
        <w:t>Om inte reglerna i sekretesslagen utgör något hinder häremot, har, som framgår av redogörelsen ovan, en anställd inom Försvarsmakten, liksom andra offentligt anställda, frihet att framföra sina synpunkter i olika frågor även om synpunkterna avviker från arbetsgivarens uppfattning. Ett sådant agerande kan emellertid i prak</w:t>
      </w:r>
      <w:r w:rsidRPr="0008481A">
        <w:softHyphen/>
        <w:t>tiken leda till att det blir omöjligt för den anställde att utföra sitt arbete på ett sätt som arbetsgivaren kan acceptera. Högkvarterets internmeddelande den 22 nove</w:t>
      </w:r>
      <w:r w:rsidRPr="0008481A">
        <w:t>m</w:t>
      </w:r>
      <w:r w:rsidRPr="0008481A">
        <w:t>ber 1999 ger klart uttryck för detta fö</w:t>
      </w:r>
      <w:r w:rsidRPr="0008481A">
        <w:t>r</w:t>
      </w:r>
      <w:r w:rsidRPr="0008481A">
        <w:t>hållande.</w:t>
      </w:r>
    </w:p>
    <w:p w:rsidR="003B3271" w:rsidRPr="0008481A" w:rsidRDefault="003B3271">
      <w:pPr>
        <w:pStyle w:val="Normaltindrag"/>
      </w:pPr>
      <w:r w:rsidRPr="0008481A">
        <w:t>Vad som framkommit genom utredningen ger inte stöd för kritik eller någon a</w:t>
      </w:r>
      <w:r w:rsidRPr="0008481A">
        <w:t>n</w:t>
      </w:r>
      <w:r w:rsidRPr="0008481A">
        <w:t>nan åtgärd från min sida.</w:t>
      </w:r>
    </w:p>
    <w:p w:rsidR="003B3271" w:rsidRPr="0008481A" w:rsidRDefault="003B3271">
      <w:pPr>
        <w:pStyle w:val="Rubrik2"/>
      </w:pPr>
      <w:r w:rsidRPr="0008481A">
        <w:t>Handläggningen av en begäran om utlämnande av allmän handling. Kritik mot Husie stadsdelsfullmäktige för att sökanden avkrävts iden</w:t>
      </w:r>
      <w:r w:rsidRPr="0008481A">
        <w:softHyphen/>
        <w:t>titetsuppgift. – Fråga om efter</w:t>
      </w:r>
      <w:r w:rsidRPr="0008481A">
        <w:softHyphen/>
        <w:t>forsk</w:t>
      </w:r>
      <w:r w:rsidRPr="0008481A">
        <w:softHyphen/>
        <w:t>ningsförbudet i 2 kap. 14 § tredje stycket tryckfrihetsförord</w:t>
      </w:r>
      <w:r w:rsidRPr="0008481A">
        <w:softHyphen/>
        <w:t>ningen (TF) överträtts</w:t>
      </w:r>
    </w:p>
    <w:p w:rsidR="003B3271" w:rsidRPr="0008481A" w:rsidRDefault="003B3271">
      <w:r w:rsidRPr="0008481A">
        <w:t>(Dnr 1084-1998)</w:t>
      </w:r>
    </w:p>
    <w:p w:rsidR="003B3271" w:rsidRPr="0008481A" w:rsidRDefault="003B3271">
      <w:pPr>
        <w:pStyle w:val="Rubrik3"/>
      </w:pPr>
      <w:r w:rsidRPr="0008481A">
        <w:t>Anmälan</w:t>
      </w:r>
    </w:p>
    <w:p w:rsidR="003B3271" w:rsidRPr="0008481A" w:rsidRDefault="003B3271">
      <w:r w:rsidRPr="0008481A">
        <w:t>Gunnar Grafström har i en anmälan till JO ifrågasatt Husie stads</w:t>
      </w:r>
      <w:r w:rsidRPr="0008481A">
        <w:softHyphen/>
        <w:t>dels</w:t>
      </w:r>
      <w:r w:rsidRPr="0008481A">
        <w:softHyphen/>
        <w:t>full</w:t>
      </w:r>
      <w:r w:rsidRPr="0008481A">
        <w:softHyphen/>
        <w:t>mäktiges  handläggning av hans begäran att få ta del av allmänna handlingar.</w:t>
      </w:r>
    </w:p>
    <w:p w:rsidR="003B3271" w:rsidRPr="0008481A" w:rsidRDefault="003B3271">
      <w:pPr>
        <w:pStyle w:val="Normaltindrag"/>
      </w:pPr>
      <w:r w:rsidRPr="0008481A">
        <w:t>Av anmälan framgick bl.a. följande. Fredagen den 13 mars 1998 besökte Gunnar Grafström receptionen på Husie stadsdelsförvaltning i Malmö kommun och be</w:t>
      </w:r>
      <w:r w:rsidRPr="0008481A">
        <w:softHyphen/>
        <w:t>gärde att få ta del av beslutsunderlaget i ett ärende rörande bl.a. hemtjänsten i Husie. Ärendet hade varit uppe på stadsdelsnämndens sammanträde den 3 mars, varvid beslut hade fattats i frågan. Tjänstgörande receptionist upplyste Gunnar Grafström om att han måste uppge sin identitet för att få ta del av de begärda handlingarna. Gunnar Grafström vägrade att efterkomma denna begäran under hänvisning till offentlighetsprincipen. Receptionisten hämtade en kollega som råkade känna honom och som lovade att se t</w:t>
      </w:r>
      <w:r w:rsidRPr="0008481A">
        <w:t>ill att han fick ta del av handling</w:t>
      </w:r>
      <w:r w:rsidRPr="0008481A">
        <w:softHyphen/>
        <w:t>arna. Efter en stund återkom dock receptionisten med beskedet att handlingarna inte kunde tas fram eftersom de var inlåsta i ekonomichefens kassaskåp. Anledningen till detta var att handlingarna inte fick lämnas ut utan tagande av personuppgifter. Ekonomi</w:t>
      </w:r>
      <w:r w:rsidRPr="0008481A">
        <w:softHyphen/>
        <w:t>chefen var på tjänsteresa och kunde därför inte öppna kassaskåpet. Gun</w:t>
      </w:r>
      <w:r w:rsidRPr="0008481A">
        <w:softHyphen/>
        <w:t>nar Grafström lämnade sitt visitkort och lovade att återkomma. Han blev senare under eftermiddagen uppringd av ekonomichefen som försäkrade att han s</w:t>
      </w:r>
      <w:r w:rsidRPr="0008481A">
        <w:t>kulle få det efterfrågade beslutsunderlaget inom några timmar.</w:t>
      </w:r>
    </w:p>
    <w:p w:rsidR="003B3271" w:rsidRPr="0008481A" w:rsidRDefault="003B3271">
      <w:pPr>
        <w:pStyle w:val="Normaltindrag"/>
      </w:pPr>
      <w:r w:rsidRPr="0008481A">
        <w:t>Anmälan remitterades till Husie stadsdelsfullmäktige i Malmö kommun för utred</w:t>
      </w:r>
      <w:r w:rsidRPr="0008481A">
        <w:softHyphen/>
        <w:t>ning och yttrande. Ordföranden Lars-Olof Larsson och ekonomi</w:t>
      </w:r>
      <w:r w:rsidRPr="0008481A">
        <w:softHyphen/>
        <w:t>chefen Björn Bennvid anförde i ett yttrande bl.a. följande.</w:t>
      </w:r>
    </w:p>
    <w:p w:rsidR="003B3271" w:rsidRPr="0008481A" w:rsidRDefault="003B3271">
      <w:pPr>
        <w:pStyle w:val="Rubrik5"/>
      </w:pPr>
      <w:r w:rsidRPr="0008481A">
        <w:t>Bakgrund</w:t>
      </w:r>
    </w:p>
    <w:p w:rsidR="003B3271" w:rsidRPr="0008481A" w:rsidRDefault="003B3271">
      <w:pPr>
        <w:pStyle w:val="Citat"/>
      </w:pPr>
      <w:r w:rsidRPr="0008481A">
        <w:t>Husie stadsdelsfullmäktige beslöt 1997-06-10 att anta förfrågningsunderlag för upphand</w:t>
      </w:r>
      <w:r w:rsidRPr="0008481A">
        <w:softHyphen/>
        <w:t>ling av 14 platser i äldreboendet Bellisgården och social hem</w:t>
      </w:r>
      <w:r w:rsidRPr="0008481A">
        <w:softHyphen/>
        <w:t>tjänst. Driften av denna verksamhet utfördes på entreprenad av Curatos Se</w:t>
      </w:r>
      <w:r w:rsidRPr="0008481A">
        <w:softHyphen/>
        <w:t>nior Sverige AB. Avtalet löpte ut 1998-03-31 men förlängdes till 1998-04-30, till följd av senarelagd upphandlingstid. Det inkom 7 anbud varav Cu</w:t>
      </w:r>
      <w:r w:rsidRPr="0008481A">
        <w:softHyphen/>
        <w:t>ratos Senior Sverige AB var undertecknat av deras verkställande direk</w:t>
      </w:r>
      <w:r w:rsidRPr="0008481A">
        <w:softHyphen/>
        <w:t xml:space="preserve">tör Gunnar Grafström. </w:t>
      </w:r>
    </w:p>
    <w:p w:rsidR="003B3271" w:rsidRPr="0008481A" w:rsidRDefault="003B3271">
      <w:pPr>
        <w:pStyle w:val="Citat"/>
      </w:pPr>
      <w:r w:rsidRPr="0008481A">
        <w:t>– – –</w:t>
      </w:r>
    </w:p>
    <w:p w:rsidR="003B3271" w:rsidRPr="0008481A" w:rsidRDefault="003B3271">
      <w:pPr>
        <w:pStyle w:val="Citat"/>
      </w:pPr>
      <w:r w:rsidRPr="0008481A">
        <w:t>Vid sammanträdet den 7 februari 1998 beslöt Husie stadsdelsfullmäktige att anta egenregianbudet från Husie stadsdelsförvaltning, Vård och omsorg, och avbryta upphand</w:t>
      </w:r>
      <w:r w:rsidRPr="0008481A">
        <w:softHyphen/>
        <w:t xml:space="preserve">lingen. </w:t>
      </w:r>
    </w:p>
    <w:p w:rsidR="003B3271" w:rsidRPr="0008481A" w:rsidRDefault="003B3271">
      <w:pPr>
        <w:pStyle w:val="Citat"/>
      </w:pPr>
      <w:r w:rsidRPr="0008481A">
        <w:t>– – –</w:t>
      </w:r>
    </w:p>
    <w:p w:rsidR="003B3271" w:rsidRPr="0008481A" w:rsidRDefault="003B3271">
      <w:pPr>
        <w:pStyle w:val="Citat"/>
      </w:pPr>
      <w:r w:rsidRPr="0008481A">
        <w:t>Tills överenskommelse träffats gällde fortlöpande att materialet var sekre</w:t>
      </w:r>
      <w:r w:rsidRPr="0008481A">
        <w:softHyphen/>
        <w:t>tessbelagt. Den 10 mars meddelas samtliga anbudsgivare per fax och brev</w:t>
      </w:r>
      <w:r w:rsidRPr="0008481A">
        <w:softHyphen/>
        <w:t>ledes den 11 mars Husie stads</w:t>
      </w:r>
      <w:r w:rsidRPr="0008481A">
        <w:softHyphen/>
        <w:t>delsfullmäktiges beslut. I avvaktan på en eventuell begäran från någon anbudsgivare om förlängd sekretess på deras anbud kvarstod sekretessen. Anbudsgivare har möjlighet att begära förlängd sekretess.</w:t>
      </w:r>
    </w:p>
    <w:p w:rsidR="003B3271" w:rsidRPr="0008481A" w:rsidRDefault="003B3271">
      <w:pPr>
        <w:pStyle w:val="Citatindrag"/>
      </w:pPr>
      <w:r w:rsidRPr="0008481A">
        <w:t>Under perioden, mellan stadsdelsfullmäktiges beslut den 17 februari och tillkännagivan</w:t>
      </w:r>
      <w:r w:rsidRPr="0008481A">
        <w:softHyphen/>
        <w:t>det den 10 mars, inkom ett flertal begäran om utlämning av beslutsunderlaget. Dessa in</w:t>
      </w:r>
      <w:r w:rsidRPr="0008481A">
        <w:softHyphen/>
        <w:t>formerades att beslutsunderlaget kommer att översändas så snart sekretessen hävs och detta sker först när avtal/överens-kommelse tecknats med den part som erhållit uppdraget. I syfte att öka service, till de som begärde beslutsunderlaget m.m., informerades stads-delskansliets reception att fråga efter adress så att materialet kunde skickas så snart sek</w:t>
      </w:r>
      <w:r w:rsidRPr="0008481A">
        <w:softHyphen/>
        <w:t>retessen var hävd. Naturligtvis är detta frivilligt. Uppen</w:t>
      </w:r>
      <w:r w:rsidRPr="0008481A">
        <w:softHyphen/>
        <w:t>barligen h</w:t>
      </w:r>
      <w:r w:rsidRPr="0008481A">
        <w:t>ar detta vid Gunnar Grafströms besök den 13 mars, vid 14-tiden, inte tydliggjorts av receptionisten, vilket är beklagligt.</w:t>
      </w:r>
    </w:p>
    <w:p w:rsidR="003B3271" w:rsidRPr="0008481A" w:rsidRDefault="003B3271">
      <w:pPr>
        <w:pStyle w:val="Citatindrag"/>
      </w:pPr>
      <w:r w:rsidRPr="0008481A">
        <w:t>Enligt anmälan kunde inte handling nås ”eftersom den var inlåst i ekonomi</w:t>
      </w:r>
      <w:r w:rsidRPr="0008481A">
        <w:softHyphen/>
      </w:r>
      <w:r w:rsidRPr="0008481A">
        <w:softHyphen/>
        <w:t>chefens kassa</w:t>
      </w:r>
      <w:r w:rsidRPr="0008481A">
        <w:softHyphen/>
        <w:t>skåp eftersom den inte utan tagande av person</w:t>
      </w:r>
      <w:r w:rsidRPr="0008481A">
        <w:softHyphen/>
        <w:t>uppgifter fick utlämnas”. Någon koppling mellan ”inlåst i ekonomichefens kassaskåp” och ”den (d.v.s. handlingen) inte utan ta</w:t>
      </w:r>
      <w:r w:rsidRPr="0008481A">
        <w:softHyphen/>
        <w:t>gande av personuppgifter fick utlämnas” existerar inte. Att originalhandlingarna låg kvar i ekonomichefens kassaskåp berodde på att ekonomichefen i avvaktan på eventuell begä</w:t>
      </w:r>
      <w:r w:rsidRPr="0008481A">
        <w:softHyphen/>
        <w:t>ran om förlängd sekretess från någon anbudsgivare. Detta var planerat till måndagen den 16 mars.</w:t>
      </w:r>
    </w:p>
    <w:p w:rsidR="003B3271" w:rsidRPr="0008481A" w:rsidRDefault="003B3271">
      <w:pPr>
        <w:pStyle w:val="Citatindrag"/>
      </w:pPr>
      <w:r w:rsidRPr="0008481A">
        <w:t>Receptionen fick kontakt med ekonomichefen i Stockho</w:t>
      </w:r>
      <w:r w:rsidRPr="0008481A">
        <w:t>lm som omedelbart ringde upp VD Gunnar Grafström på hans arbetsplats på Curatos Senior Sverige AB. Ekonomichefen erbjöd sig att efter ankomsten till Malmö om</w:t>
      </w:r>
      <w:r w:rsidRPr="0008481A">
        <w:softHyphen/>
        <w:t>besörja att begärda handlingar kom Curatos Senior Sverige AB tillhanda under fredagskvällen. VD Gunnar Grafström avböjde erbju</w:t>
      </w:r>
      <w:r w:rsidRPr="0008481A">
        <w:softHyphen/>
        <w:t>dandet och sa att han kunde vänta till måndag den 16 mars.</w:t>
      </w:r>
    </w:p>
    <w:p w:rsidR="003B3271" w:rsidRPr="0008481A" w:rsidRDefault="003B3271">
      <w:pPr>
        <w:pStyle w:val="Citatindrag"/>
      </w:pPr>
      <w:r w:rsidRPr="0008481A">
        <w:t>Under fredagskvällen skickades begärda handlingar till samtliga som begärt detta och var tillhanda måndagen den 13 mars (rätteligen måndagen den 16 mars 1998, JO:s anm.</w:t>
      </w:r>
      <w:r w:rsidRPr="0008481A">
        <w:t>). Under måndagen begärde någon personal från Cu</w:t>
      </w:r>
      <w:r w:rsidRPr="0008481A">
        <w:softHyphen/>
        <w:t>ratos Senior Sverige AB ytterligare material, vilket omgående faxades över och sedan dess har ingen kontakt tagits från Curatos Senior Sverige AB i detta ärende. Det bör poängteras att Gunnar Grafström ej har begärt att få handlingar hem till sig personligen utan till Curatos Senior Sverige AB.</w:t>
      </w:r>
    </w:p>
    <w:p w:rsidR="003B3271" w:rsidRPr="0008481A" w:rsidRDefault="003B3271">
      <w:pPr>
        <w:pStyle w:val="Rubrik5"/>
      </w:pPr>
      <w:r w:rsidRPr="0008481A">
        <w:t>Åtgärder</w:t>
      </w:r>
    </w:p>
    <w:p w:rsidR="003B3271" w:rsidRPr="0008481A" w:rsidRDefault="003B3271">
      <w:pPr>
        <w:pStyle w:val="Citat"/>
      </w:pPr>
      <w:r w:rsidRPr="0008481A">
        <w:t>Stadsdelsförvaltningen har infört nya rutiner för att säkerställa att begärda handlingar utlämnas inom skälig tid. Receptionen har informerats om de regler som gäller enligt offentlighetsprincipen. Vid hävande av sekretessen för anbudshandlingar m.m. kommer dessa att finnas kopierade i receptionen för att öka servicen till allmänheten.</w:t>
      </w:r>
    </w:p>
    <w:p w:rsidR="003B3271" w:rsidRPr="0008481A" w:rsidRDefault="003B3271">
      <w:pPr>
        <w:pStyle w:val="Citatindrag"/>
      </w:pPr>
      <w:r w:rsidRPr="0008481A">
        <w:t>Med ovanstående åtgärder anser vi att nödvändiga åtgärder vidtagits.</w:t>
      </w:r>
    </w:p>
    <w:p w:rsidR="003B3271" w:rsidRPr="0008481A" w:rsidRDefault="003B3271">
      <w:r w:rsidRPr="0008481A">
        <w:t>Gunnar Grafström bereddes tillfälle att kommentera remissvaret.</w:t>
      </w:r>
    </w:p>
    <w:p w:rsidR="003B3271" w:rsidRPr="0008481A" w:rsidRDefault="003B3271">
      <w:r w:rsidRPr="0008481A">
        <w:t xml:space="preserve">I beslut den 6 juli 1999 anförde </w:t>
      </w:r>
      <w:r w:rsidRPr="0008481A">
        <w:rPr>
          <w:i/>
        </w:rPr>
        <w:t>JO André</w:t>
      </w:r>
      <w:r w:rsidRPr="0008481A">
        <w:t xml:space="preserve"> följande.</w:t>
      </w:r>
    </w:p>
    <w:p w:rsidR="003B3271" w:rsidRPr="0008481A" w:rsidRDefault="003B3271">
      <w:pPr>
        <w:pStyle w:val="Rubrik3"/>
      </w:pPr>
      <w:r w:rsidRPr="0008481A">
        <w:t>Bedömning</w:t>
      </w:r>
    </w:p>
    <w:p w:rsidR="003B3271" w:rsidRPr="0008481A" w:rsidRDefault="003B3271">
      <w:r w:rsidRPr="0008481A">
        <w:t>Grundläggande regler om allmänna handlingars offentlighet finns i 2 kap. tryck</w:t>
      </w:r>
      <w:r w:rsidRPr="0008481A">
        <w:softHyphen/>
      </w:r>
      <w:r w:rsidRPr="0008481A">
        <w:softHyphen/>
        <w:t>frihetsför</w:t>
      </w:r>
      <w:r w:rsidRPr="0008481A">
        <w:softHyphen/>
        <w:t>ordningen (TF). Där regleras även primärt frågan om utläm</w:t>
      </w:r>
      <w:r w:rsidRPr="0008481A">
        <w:softHyphen/>
        <w:t>nan</w:t>
      </w:r>
      <w:r w:rsidRPr="0008481A">
        <w:softHyphen/>
        <w:t>de av all</w:t>
      </w:r>
      <w:r w:rsidRPr="0008481A">
        <w:softHyphen/>
        <w:t xml:space="preserve">männa handlingar. Enligt 2 kap. 3 § första stycket är en handling allmän om den förvaras hos en myndighet och enligt 6 eller 7 § är att anse som inkommen till eller upprättad hos myndigheten. I fråga om anbud eller annan sådan handling som enligt tillkännagivande skall avlämnas i förseglat omslag gäller dock enligt 2 kap. 6 § andra stycket att handlingen inte anses inkommen före den tidpunkt som har bestämts för öppnandet. </w:t>
      </w:r>
    </w:p>
    <w:p w:rsidR="003B3271" w:rsidRPr="0008481A" w:rsidRDefault="003B3271">
      <w:pPr>
        <w:pStyle w:val="Normaltindrag"/>
      </w:pPr>
      <w:r w:rsidRPr="0008481A">
        <w:t>Enligt 2 kap. 12 § TF skall en allmän handling som får lämnas ut – dvs. inte om</w:t>
      </w:r>
      <w:r w:rsidRPr="0008481A">
        <w:softHyphen/>
        <w:t xml:space="preserve">fattas av någon sekretessbestämmelse – på begäran </w:t>
      </w:r>
      <w:r w:rsidRPr="0008481A">
        <w:rPr>
          <w:i/>
        </w:rPr>
        <w:t xml:space="preserve">genast eller så snart det är möjligt </w:t>
      </w:r>
      <w:r w:rsidRPr="0008481A">
        <w:t>på stället utan avgift tillhandahållas den som önskar ta del därav. Av 2 kap. 13 § TF framgår att den som önskar ta del av en allmän handling har rätt att mot fastställd avgift få en kopia av handlingen till den del den får lämnas ut. I samma bestämmelse stadgas att en begäran att få kopia av allmän handling skall behandlas skyndsamt. Med detta förstås att myndigheten omgående måste pröva om hinder föreligger mot utlämna</w:t>
      </w:r>
      <w:r w:rsidRPr="0008481A">
        <w:t>nde till följd av sekretess. Om så inte är fallet skall begäran genast villfaras. Detta innebär i normalfallet att kopiorna skall läm</w:t>
      </w:r>
      <w:r w:rsidRPr="0008481A">
        <w:softHyphen/>
        <w:t>nas ut genast eller inom högst en vecka.</w:t>
      </w:r>
    </w:p>
    <w:p w:rsidR="003B3271" w:rsidRPr="0008481A" w:rsidRDefault="003B3271">
      <w:pPr>
        <w:pStyle w:val="Normaltindrag"/>
      </w:pPr>
      <w:r w:rsidRPr="0008481A">
        <w:t xml:space="preserve">I 2 kap. 14 § tredje stycket TF föreskrivs att en myndighet inte på grund av att någon begär att få ta del av allmän handling får efterforska vem han är eller vilket syfte han har med sin begäran i större utsträckning än som behövs för att myndigheten skall kunna pröva om hinder föreligger mot att handlingen lämnas ut. </w:t>
      </w:r>
    </w:p>
    <w:p w:rsidR="003B3271" w:rsidRPr="0008481A" w:rsidRDefault="003B3271">
      <w:pPr>
        <w:pStyle w:val="Normaltindrag"/>
      </w:pPr>
      <w:r w:rsidRPr="0008481A">
        <w:t>I 6 kap. 2 § sekretesslagen (1980:100), SekrL, finns regler om den s.k. upp</w:t>
      </w:r>
      <w:r w:rsidRPr="0008481A">
        <w:softHyphen/>
        <w:t>hand</w:t>
      </w:r>
      <w:r w:rsidRPr="0008481A">
        <w:softHyphen/>
        <w:t>lingssekretessen. I paragrafens första stycke tredje meningen anges att om ärendet rör upphandling får uppgift som rör anbud eller motsvarande erbjudande inom en kommun eller ett landsting inte i något fall lämnas till annan än den som har av</w:t>
      </w:r>
      <w:r w:rsidRPr="0008481A">
        <w:softHyphen/>
        <w:t xml:space="preserve">gett anbudet eller erbjudandet förrän alla anbud eller erbjudanden offentliggörs eller avtal har slutits eller ärendet annars har slutförts. Sekretessen för sådana uppgifter är alltså utan skaderekvisit. Det är att märka att förevarande paragraf endast skyddar </w:t>
      </w:r>
      <w:r w:rsidRPr="0008481A">
        <w:rPr>
          <w:i/>
        </w:rPr>
        <w:t>de</w:t>
      </w:r>
      <w:r w:rsidRPr="0008481A">
        <w:rPr>
          <w:i/>
        </w:rPr>
        <w:t>t all</w:t>
      </w:r>
      <w:r w:rsidRPr="0008481A">
        <w:rPr>
          <w:i/>
        </w:rPr>
        <w:softHyphen/>
        <w:t>männas</w:t>
      </w:r>
      <w:r w:rsidRPr="0008481A">
        <w:t xml:space="preserve"> ekonomiska intresse. Det finns emellertid andra bestämmelser som i en myndighets upphandlingsärende gäller till skydd för en enskild motpart, se sär</w:t>
      </w:r>
      <w:r w:rsidRPr="0008481A">
        <w:softHyphen/>
        <w:t>skilt 8 kap. 10 § SekrL. Härigenom kan sekretess för upp</w:t>
      </w:r>
      <w:r w:rsidRPr="0008481A">
        <w:softHyphen/>
        <w:t>gifter i ett upphand</w:t>
      </w:r>
      <w:r w:rsidRPr="0008481A">
        <w:softHyphen/>
        <w:t xml:space="preserve">lingsärende i vissa fall komma att gälla även efter det att avtal slutits eller ärendet avslutats på annat sätt. </w:t>
      </w:r>
    </w:p>
    <w:p w:rsidR="003B3271" w:rsidRPr="0008481A" w:rsidRDefault="003B3271">
      <w:pPr>
        <w:pStyle w:val="Normaltindrag"/>
      </w:pPr>
      <w:r w:rsidRPr="0008481A">
        <w:t>Det kan konstateras att sekretessen enligt 6 kap. 2 § SekrL var hävd vid tidpunk</w:t>
      </w:r>
      <w:r w:rsidRPr="0008481A">
        <w:softHyphen/>
        <w:t>ten för Gunnar Grafströms begäran om att få ta del av besluts</w:t>
      </w:r>
      <w:r w:rsidRPr="0008481A">
        <w:softHyphen/>
        <w:t>underlaget. Det kunde därför inte ha förelegat något skäl att efterfråga hans identitet för att kunna göra en prövning av om det förelåg hinder mot att lämna ut handlingarna på grund av sekretess enligt den bestämmelsen. Den sekretess som skulle ha kunnat före</w:t>
      </w:r>
      <w:r w:rsidRPr="0008481A">
        <w:softHyphen/>
        <w:t xml:space="preserve">ligga vid angiven tidpunkt var endast sekretess till skydd för en enskild som trätt i affärsförbindelse med en myndighet, se 8 kap. 10 § SekrL. Det har emellertid inte ens gjorts gällande </w:t>
      </w:r>
      <w:r w:rsidRPr="0008481A">
        <w:t>att Gunnar Grafströms identitet efterfrågades i syfte att kunna göra en sekretessprövning av om uppgifterna kunde lämnas ut. I remissvaret har i stället angetts att man hade gett receptionen instruktioner att som en ren service</w:t>
      </w:r>
      <w:r w:rsidRPr="0008481A">
        <w:softHyphen/>
        <w:t>åtgärd efterfråga namnen på de personer som önskade ta del av underlaget i upp</w:t>
      </w:r>
      <w:r w:rsidRPr="0008481A">
        <w:softHyphen/>
        <w:t>handlingsärendet för att kunna tillställa dem begärda handlingar efter det att dessa offentliggjorts. Jag har självfallet inte något att invända mot att en myndig</w:t>
      </w:r>
      <w:r w:rsidRPr="0008481A">
        <w:softHyphen/>
        <w:t>het er</w:t>
      </w:r>
      <w:r w:rsidRPr="0008481A">
        <w:softHyphen/>
        <w:t>bjuder en sådan service. Det är doc</w:t>
      </w:r>
      <w:r w:rsidRPr="0008481A">
        <w:t>k av stor vikt att man tillser att berörd personal är informerad om i vilket syfte frågan om personuppgifter ställs. I föreva</w:t>
      </w:r>
      <w:r w:rsidRPr="0008481A">
        <w:softHyphen/>
        <w:t>rande fall har denna information uppenbarligen inte varit tillräcklig. Gunnar Grafström har, enligt min mening på goda grunder, uppfattat situationen så att det förelåg ett krav på att uppge sin identitet för att få ta del av handlingarna i fråga. Det är givetvis inte acceptabelt att ett sådant missförstånd har behövt uppstå.</w:t>
      </w:r>
    </w:p>
    <w:p w:rsidR="003B3271" w:rsidRPr="0008481A" w:rsidRDefault="003B3271">
      <w:pPr>
        <w:pStyle w:val="Normaltindrag"/>
      </w:pPr>
      <w:r w:rsidRPr="0008481A">
        <w:t>I remissvaret har vidare angetts att de begärda handlingar</w:t>
      </w:r>
      <w:r w:rsidRPr="0008481A">
        <w:t>na förvarades i ekono</w:t>
      </w:r>
      <w:r w:rsidRPr="0008481A">
        <w:softHyphen/>
        <w:t>mi</w:t>
      </w:r>
      <w:r w:rsidRPr="0008481A">
        <w:softHyphen/>
        <w:t>chefens kassaskåp ”i avvaktan på eventuell begäran från någon av anbudsgi</w:t>
      </w:r>
      <w:r w:rsidRPr="0008481A">
        <w:softHyphen/>
        <w:t>varna om förlängd sekretess” och att ekonomichefen på måndagen den 16 mars 1998 skulle ta ställning i denna fråga. Det framgår inte närmare av remissvaret vad som avses härmed. Som framgår av ovanstående redogörelse upphör sekretes</w:t>
      </w:r>
      <w:r w:rsidRPr="0008481A">
        <w:softHyphen/>
        <w:t>sen enligt 6 kap. 2 § SekrL när upphandlingen offentliggörs. Härefter kan det fort</w:t>
      </w:r>
      <w:r w:rsidRPr="0008481A">
        <w:softHyphen/>
        <w:t>farande  gälla sekretess enligt någon annan bestämmelse i sekretesslagen. Jag fin</w:t>
      </w:r>
      <w:r w:rsidRPr="0008481A">
        <w:softHyphen/>
        <w:t>ner  anledning a</w:t>
      </w:r>
      <w:r w:rsidRPr="0008481A">
        <w:t>tt på</w:t>
      </w:r>
      <w:r w:rsidRPr="0008481A">
        <w:softHyphen/>
        <w:t>peka att en prövning av om sekretess för uppgifterna kan fö</w:t>
      </w:r>
      <w:r w:rsidRPr="0008481A">
        <w:softHyphen/>
        <w:t>religga på annan grund än enligt bestämmelsen i 6 kap. 2 § SekrL skall göras oav</w:t>
      </w:r>
      <w:r w:rsidRPr="0008481A">
        <w:softHyphen/>
        <w:t>sett om någon av anbudsgivarna särskilt begärt sekretess för uppgifterna i ett an</w:t>
      </w:r>
      <w:r w:rsidRPr="0008481A">
        <w:softHyphen/>
        <w:t>bud. Någon särskild tidsfrist inom vil</w:t>
      </w:r>
      <w:r w:rsidRPr="0008481A">
        <w:softHyphen/>
        <w:t>ken man väntar med att offentliggöra an</w:t>
      </w:r>
      <w:r w:rsidRPr="0008481A">
        <w:softHyphen/>
        <w:t xml:space="preserve">buds-handlingarna i avvaktan på att någon sådan begäran inkommer kan därför inte uppställas. Tvärtom skall en prövning av om sekretess föreligger göras vid varje tillfälle då någon begär att få ta del av </w:t>
      </w:r>
      <w:r w:rsidRPr="0008481A">
        <w:t>materialet i ett upphand</w:t>
      </w:r>
      <w:r w:rsidRPr="0008481A">
        <w:softHyphen/>
        <w:t>lingsärende och denna prövning skall omfatta om sekretess föreligger såväl med hänsyn till det allmännas ekonomiska intresse, så länge sekretessen enligt 6 kap. 2 § SekrL gäller, som till skydd för en enskild som har trätt i affärsförbindelse med en myn</w:t>
      </w:r>
      <w:r w:rsidRPr="0008481A">
        <w:softHyphen/>
        <w:t xml:space="preserve">dighet. </w:t>
      </w:r>
    </w:p>
    <w:p w:rsidR="003B3271" w:rsidRPr="0008481A" w:rsidRDefault="003B3271">
      <w:pPr>
        <w:pStyle w:val="Normaltindrag"/>
      </w:pPr>
      <w:r w:rsidRPr="0008481A">
        <w:t xml:space="preserve">Jag har noterat att Gunnar Grafström erbjudits att erhålla de begärda handlingarna redan på kvällen fredagen den 13 mars, att han avböjt detta samt att kopia av handlingarna kommit honom till handa måndagen den 16 mars. Jag </w:t>
      </w:r>
      <w:r w:rsidRPr="0008481A">
        <w:t>har också note</w:t>
      </w:r>
      <w:r w:rsidRPr="0008481A">
        <w:softHyphen/>
        <w:t>rat att förvaltningen uppgett att den har sett över rutinerna beträffande den prak</w:t>
      </w:r>
      <w:r w:rsidRPr="0008481A">
        <w:softHyphen/>
        <w:t>tiska tillämpningen kring förfarandet vid utlämnande av handlingar och  efter</w:t>
      </w:r>
      <w:r w:rsidRPr="0008481A">
        <w:softHyphen/>
        <w:t>forsk</w:t>
      </w:r>
      <w:r w:rsidRPr="0008481A">
        <w:softHyphen/>
        <w:t>ningsförbudet. Med detta låter jag mig nöja.</w:t>
      </w:r>
    </w:p>
    <w:p w:rsidR="003B3271" w:rsidRPr="0008481A" w:rsidRDefault="003B3271">
      <w:pPr>
        <w:pStyle w:val="Normaltindrag"/>
      </w:pPr>
      <w:r w:rsidRPr="0008481A">
        <w:t>Med den kritik som ligger i det anförda avslutas ärendet.</w:t>
      </w:r>
    </w:p>
    <w:p w:rsidR="003B3271" w:rsidRPr="0008481A" w:rsidRDefault="003B3271">
      <w:pPr>
        <w:pStyle w:val="Rubrik2"/>
      </w:pPr>
      <w:r w:rsidRPr="0008481A">
        <w:t>Förvaltningschef har utfärdat riktlinjer rörande lärares och elevers kontakter med massmedia. – Fråga om förvaltnings</w:t>
      </w:r>
      <w:r w:rsidRPr="0008481A">
        <w:softHyphen/>
        <w:t>chefen härigenom kränkt den enskildes meddelar- och yttrandefrihet</w:t>
      </w:r>
    </w:p>
    <w:p w:rsidR="003B3271" w:rsidRPr="0008481A" w:rsidRDefault="003B3271">
      <w:r w:rsidRPr="0008481A">
        <w:t>(Dnr 2031-1999)</w:t>
      </w:r>
    </w:p>
    <w:p w:rsidR="003B3271" w:rsidRPr="0008481A" w:rsidRDefault="003B3271">
      <w:pPr>
        <w:pStyle w:val="Rubrik3"/>
      </w:pPr>
      <w:r w:rsidRPr="0008481A">
        <w:t>Anmälan</w:t>
      </w:r>
    </w:p>
    <w:p w:rsidR="003B3271" w:rsidRPr="0008481A" w:rsidRDefault="003B3271">
      <w:r w:rsidRPr="0008481A">
        <w:t>Anders Davidsson klagade i en anmälan till JO på förvaltningschefen Henrik Hult vid barn- och utbildningsförvaltningen i Ängelholms kommun. Han ifrågasatte om de riktlinjer som Henrik Hult lämnat till lärare och elever på Villaskolan avseende kontakter med massmedia stått i strid med bestäm</w:t>
      </w:r>
      <w:r w:rsidRPr="0008481A">
        <w:softHyphen/>
        <w:t>melserna om yttrandefrihet och meddelarfrihet.</w:t>
      </w:r>
    </w:p>
    <w:p w:rsidR="003B3271" w:rsidRPr="0008481A" w:rsidRDefault="003B3271">
      <w:pPr>
        <w:pStyle w:val="Normaltindrag"/>
      </w:pPr>
      <w:r w:rsidRPr="0008481A">
        <w:t>Av anmälan framgick bl.a. följande. I början av maj 1999 pågick ett intensivt sö</w:t>
      </w:r>
      <w:r w:rsidRPr="0008481A">
        <w:softHyphen/>
        <w:t>kande efter en försvunnen pojke, elev på Villaskolan. Pojkens far anhölls och häktades misstänkt för brott i samband med försvinnandet. På skolan hölls den 10 maj ett informationsmöte där Henrik Hult gav direktiv bl.a. om hur kontakter med massmedia skulle skötas. Henrik Hult skulle ensam ansvara för allt informations</w:t>
      </w:r>
      <w:r w:rsidRPr="0008481A">
        <w:softHyphen/>
        <w:t>lämnande till massmedia och eleverna skulle instrueras att vända ryggen till och gå ifrån platsen om det kom journalister till skolan. Ingen elev skulle prata med någon journalist. Eftersom A</w:t>
      </w:r>
      <w:r w:rsidRPr="0008481A">
        <w:t>nders Davidsson själv är journalist innebar direktiven att hans egen son inte vågade prata med honom om vad som förevarit i skolan.</w:t>
      </w:r>
    </w:p>
    <w:p w:rsidR="003B3271" w:rsidRPr="0008481A" w:rsidRDefault="003B3271">
      <w:pPr>
        <w:pStyle w:val="Rubrik3"/>
      </w:pPr>
      <w:r w:rsidRPr="0008481A">
        <w:t>Utredning</w:t>
      </w:r>
    </w:p>
    <w:p w:rsidR="003B3271" w:rsidRPr="0008481A" w:rsidRDefault="003B3271">
      <w:r w:rsidRPr="0008481A">
        <w:t>Anmälan remitterades till Barn- och utbildningsnämnden i Ängelholms kommun för utredning och yttrande. Nämnden anförde i sitt remissvar bl.a. följande.</w:t>
      </w:r>
    </w:p>
    <w:p w:rsidR="003B3271" w:rsidRPr="0008481A" w:rsidRDefault="003B3271">
      <w:pPr>
        <w:rPr>
          <w:sz w:val="22"/>
        </w:rPr>
      </w:pPr>
      <w:r w:rsidRPr="0008481A">
        <w:rPr>
          <w:sz w:val="22"/>
        </w:rPr>
        <w:t xml:space="preserve">– – – </w:t>
      </w:r>
    </w:p>
    <w:p w:rsidR="003B3271" w:rsidRPr="0008481A" w:rsidRDefault="003B3271">
      <w:pPr>
        <w:pStyle w:val="Citat"/>
      </w:pPr>
      <w:r w:rsidRPr="0008481A">
        <w:t>Den aktuella händelsen måste betraktas som mycket tragisk för alla in</w:t>
      </w:r>
      <w:r w:rsidRPr="0008481A">
        <w:softHyphen/>
        <w:t>blandade och dess</w:t>
      </w:r>
      <w:r w:rsidRPr="0008481A">
        <w:softHyphen/>
        <w:t xml:space="preserve">utom svår att hantera för berörda befattningshavare i kommunen. </w:t>
      </w:r>
    </w:p>
    <w:p w:rsidR="003B3271" w:rsidRPr="0008481A" w:rsidRDefault="003B3271">
      <w:pPr>
        <w:pStyle w:val="Citatindrag"/>
      </w:pPr>
      <w:r w:rsidRPr="0008481A">
        <w:t>En beredskap finns för situationer som denna, men ingen krissituation är den andra lik, vilket gör att ofta speciella åtgärder måste vidtas.</w:t>
      </w:r>
    </w:p>
    <w:p w:rsidR="003B3271" w:rsidRPr="0008481A" w:rsidRDefault="003B3271">
      <w:pPr>
        <w:pStyle w:val="Citatindrag"/>
      </w:pPr>
      <w:r w:rsidRPr="0008481A">
        <w:t>Söndagen den 9 maj på kvällen träffades kommunens krisgrupp, bestående av (namnen utelämnade här; JO:s anm</w:t>
      </w:r>
      <w:r w:rsidRPr="0008481A">
        <w:rPr>
          <w:i/>
        </w:rPr>
        <w:t xml:space="preserve">.) </w:t>
      </w:r>
      <w:r w:rsidRPr="0008481A">
        <w:t>för att diskutera den uppkomna situationen.</w:t>
      </w:r>
    </w:p>
    <w:p w:rsidR="003B3271" w:rsidRPr="0008481A" w:rsidRDefault="003B3271">
      <w:pPr>
        <w:pStyle w:val="Citatindrag"/>
      </w:pPr>
      <w:r w:rsidRPr="0008481A">
        <w:t>Ordinarie rektor på Villaskolan var utomlands på semester.</w:t>
      </w:r>
    </w:p>
    <w:p w:rsidR="003B3271" w:rsidRPr="0008481A" w:rsidRDefault="003B3271">
      <w:pPr>
        <w:pStyle w:val="Citatindrag"/>
      </w:pPr>
      <w:r w:rsidRPr="0008481A">
        <w:t>Krisgruppen gjorde upp om arbetsfördelning sinsemellan för att kunna trösta skolans elever, föräldrar och skolans personal på ett för alla så bra sätt som möjligt. Gruppen var helt överens om att någon borde sköta massmedia</w:t>
      </w:r>
      <w:r w:rsidRPr="0008481A">
        <w:softHyphen/>
        <w:t>kontakterna och man vädjade till Henrik Hult att åta sig detta. Anledningen till detta var naturligtvis hänsynen till barnen. Mass</w:t>
      </w:r>
      <w:r w:rsidRPr="0008481A">
        <w:softHyphen/>
        <w:t>mediabevakningen var redan intensiv och man väntade sig att den ytterligare skulle inten</w:t>
      </w:r>
      <w:r w:rsidRPr="0008481A">
        <w:softHyphen/>
        <w:t>sifieras på måndagen. Det ansågs från krisgruppens sida att det inte var rimligt – med hänsyn till den oro och osäkerhet som barnen kände – att journalister fritt skulle få gå runt på skolgården och i skollokalerna för att få kontakt med enskilda elever.</w:t>
      </w:r>
    </w:p>
    <w:p w:rsidR="003B3271" w:rsidRPr="0008481A" w:rsidRDefault="003B3271">
      <w:pPr>
        <w:pStyle w:val="Citatindrag"/>
      </w:pPr>
      <w:r w:rsidRPr="0008481A">
        <w:t>Journalister från TV, radio och tidn</w:t>
      </w:r>
      <w:r w:rsidRPr="0008481A">
        <w:t>ingar uppskattade denna ordning och i efterhand har flera massmediarepresentanter framfört positiva synpunkter på det sätt informationen genomfördes.</w:t>
      </w:r>
    </w:p>
    <w:p w:rsidR="003B3271" w:rsidRPr="0008481A" w:rsidRDefault="003B3271">
      <w:pPr>
        <w:pStyle w:val="Citatindrag"/>
      </w:pPr>
      <w:r w:rsidRPr="0008481A">
        <w:t>I en akut och speciell situation som denna ställs meddelarfriheten mot hänsynen till bar</w:t>
      </w:r>
      <w:r w:rsidRPr="0008481A">
        <w:softHyphen/>
        <w:t>nens bästa på ett avgörande sätt. Att Henrik Hult och kris</w:t>
      </w:r>
      <w:r w:rsidRPr="0008481A">
        <w:softHyphen/>
        <w:t>gruppen lät barnens bästa ha företräde är enligt nämndens bedömning både försvarbart och rimligt.</w:t>
      </w:r>
    </w:p>
    <w:p w:rsidR="003B3271" w:rsidRPr="0008481A" w:rsidRDefault="003B3271">
      <w:pPr>
        <w:pStyle w:val="Citat"/>
      </w:pPr>
      <w:r w:rsidRPr="0008481A">
        <w:t>– – –</w:t>
      </w:r>
    </w:p>
    <w:p w:rsidR="003B3271" w:rsidRPr="0008481A" w:rsidRDefault="003B3271">
      <w:r w:rsidRPr="0008481A">
        <w:t>Anders Davidsson har kommenterat remissvaret.</w:t>
      </w:r>
    </w:p>
    <w:p w:rsidR="003B3271" w:rsidRPr="0008481A" w:rsidRDefault="003B3271">
      <w:r w:rsidRPr="0008481A">
        <w:t xml:space="preserve">I beslut den 9 mars 2000 anförde </w:t>
      </w:r>
      <w:r w:rsidRPr="0008481A">
        <w:rPr>
          <w:i/>
        </w:rPr>
        <w:t xml:space="preserve">stf. JO Norell Söderblom </w:t>
      </w:r>
      <w:r w:rsidRPr="0008481A">
        <w:t>följande.</w:t>
      </w:r>
    </w:p>
    <w:p w:rsidR="003B3271" w:rsidRPr="0008481A" w:rsidRDefault="003B3271">
      <w:pPr>
        <w:pStyle w:val="Rubrik3"/>
      </w:pPr>
      <w:r w:rsidRPr="0008481A">
        <w:t>Bedömning</w:t>
      </w:r>
    </w:p>
    <w:p w:rsidR="003B3271" w:rsidRPr="0008481A" w:rsidRDefault="003B3271">
      <w:r w:rsidRPr="0008481A">
        <w:t>I 2 kap. 1 § regeringsformen (RF) stadgas att varje medborgare gentemot det all</w:t>
      </w:r>
      <w:r w:rsidRPr="0008481A">
        <w:softHyphen/>
        <w:t>männa är tillförsäkrad yttrandefrihet, dvs. frihet att i tal, skrift eller bild eller på annat sätt meddela upplysningar samt uttrycka tankar, åsikter och känslor. Be</w:t>
      </w:r>
      <w:r w:rsidRPr="0008481A">
        <w:softHyphen/>
        <w:t>gränsning av yttrandefriheten får enligt 2 kap. 12 § RF ske genom lag. Någon så</w:t>
      </w:r>
      <w:r w:rsidRPr="0008481A">
        <w:softHyphen/>
        <w:t>dan begränsning är dock inte aktuell i förevarande fall.</w:t>
      </w:r>
    </w:p>
    <w:p w:rsidR="003B3271" w:rsidRPr="0008481A" w:rsidRDefault="003B3271">
      <w:pPr>
        <w:pStyle w:val="Normaltindrag"/>
      </w:pPr>
      <w:r w:rsidRPr="0008481A">
        <w:t>I 1 kap. 1 § tredje stycket tryckfrihetsförordningen (TF) behandlas den s.k. med</w:t>
      </w:r>
      <w:r w:rsidRPr="0008481A">
        <w:softHyphen/>
        <w:t>delarfriheten. Denna innebär att det står var och fritt att, med vissa här inte rele</w:t>
      </w:r>
      <w:r w:rsidRPr="0008481A">
        <w:softHyphen/>
        <w:t>vanta undantag, meddela uppgifter och underrättelser i vad ämne som helst för offentliggörande i tryckt skrift till författare eller annan som är att anse som upp</w:t>
      </w:r>
      <w:r w:rsidRPr="0008481A">
        <w:softHyphen/>
        <w:t>hovsman till framställning i skriften, till skriftens utgivare eller, om för skriften finns särskild redaktion, till denna eller till företag för yrkesmässig förmedling av nyheter eller andra meddelanden till periodiska skrifter. En reglering motsvarande den i tr</w:t>
      </w:r>
      <w:r w:rsidRPr="0008481A">
        <w:t>yckfrihetsförordningen finns för lämnande av uppgifter till radio och tele</w:t>
      </w:r>
      <w:r w:rsidRPr="0008481A">
        <w:softHyphen/>
        <w:t>vision i yttrandefrihetsgrundlagen (YGL). Genom lagen (1994:1219) om den eu</w:t>
      </w:r>
      <w:r w:rsidRPr="0008481A">
        <w:softHyphen/>
        <w:t>ropeiska konventionen angående skydd för den mänskliga rättigheterna och grundläggande fri</w:t>
      </w:r>
      <w:r w:rsidRPr="0008481A">
        <w:softHyphen/>
        <w:t>heterna har Europakonventionen blivit gällande som svensk lag. I konven</w:t>
      </w:r>
      <w:r w:rsidRPr="0008481A">
        <w:softHyphen/>
        <w:t>tionens artikel 10 punkt 1 anges att var och en har rätt till yttrandefrihet och att denna rätt innefattar åsiktsfrihet samt frihet att ta emot och sprida uppgifter och tankar utan offentliga myndig</w:t>
      </w:r>
      <w:r w:rsidRPr="0008481A">
        <w:t>heters inblandning och territori</w:t>
      </w:r>
      <w:r w:rsidRPr="0008481A">
        <w:softHyphen/>
        <w:t>ella gränser.</w:t>
      </w:r>
    </w:p>
    <w:p w:rsidR="003B3271" w:rsidRPr="0008481A" w:rsidRDefault="003B3271">
      <w:pPr>
        <w:pStyle w:val="Normaltindrag"/>
      </w:pPr>
      <w:r w:rsidRPr="0008481A">
        <w:t>Det skydd för yttrande- och meddelarfriheten som regeringsformen och tryckfri</w:t>
      </w:r>
      <w:r w:rsidRPr="0008481A">
        <w:softHyphen/>
        <w:t>hetsförordningen respektive yttrandefrihetsgrundlagen ger är ett skydd gentemot ”det allmänna”. Detta innefattar t.ex. kommunernas valda församlingar och för</w:t>
      </w:r>
      <w:r w:rsidRPr="0008481A">
        <w:softHyphen/>
        <w:t>valtningsorgan. Skyddet innebär att en myndighet inte får ingripa vare sig formellt eller informellt mot en tjänsteman hos myndig</w:t>
      </w:r>
      <w:r w:rsidRPr="0008481A">
        <w:softHyphen/>
        <w:t xml:space="preserve">heten för att han eller hon använt sig av sin grundlagsskyddade rätt att yttra sig i massmedia eller på annat sätt gett uttryck för sin uppfattning. </w:t>
      </w:r>
    </w:p>
    <w:p w:rsidR="003B3271" w:rsidRPr="0008481A" w:rsidRDefault="003B3271">
      <w:pPr>
        <w:pStyle w:val="Normaltindrag"/>
      </w:pPr>
      <w:r w:rsidRPr="0008481A">
        <w:t>Anders Davidsson har i sin anmälan gett uttryck för uppfattningen att Hen</w:t>
      </w:r>
      <w:r w:rsidRPr="0008481A">
        <w:t>rik Hults direktiv i fråga om kontakter med massmedia inneburit en kränkning av ovanstående rättigheter. Nämnden har å sin sida framhållit att den vidtagna åtgär</w:t>
      </w:r>
      <w:r w:rsidRPr="0008481A">
        <w:softHyphen/>
        <w:t>den skett i syfte att underlätta för skolans personal och dess elever att hantera eventuella frågor från massmedia genom att de getts möjlighet att hänvisa till en talesman.</w:t>
      </w:r>
    </w:p>
    <w:p w:rsidR="003B3271" w:rsidRPr="0008481A" w:rsidRDefault="003B3271">
      <w:pPr>
        <w:pStyle w:val="Normaltindrag"/>
      </w:pPr>
      <w:r w:rsidRPr="0008481A">
        <w:t>Det är självfallet inget som hindrar att man från en myndighets sida anger vissa kontaktpersoner som allmänhet och massmedia kan vända sig till vid behov. I ett fall som det fö</w:t>
      </w:r>
      <w:r w:rsidRPr="0008481A">
        <w:t>revarande är ett sådant förfarande också ofta att föredra då det bl.a. innebär att skolans anställda och elever lätt kan hänvisa till den angivna kontakt</w:t>
      </w:r>
      <w:r w:rsidRPr="0008481A">
        <w:softHyphen/>
        <w:t>personen om de inte själva vill besvara frågor från media eller allmänheten. Sko</w:t>
      </w:r>
      <w:r w:rsidRPr="0008481A">
        <w:softHyphen/>
        <w:t>lans uppgift kan här i viss mån anses innefatta att skydda sina elever så att de i en svår situationen inte utsätts för mer påfrestningar än nödvändigt. Det kan i detta sammanhang också påpekas att en skollokal inte är en allmän plats där allmän</w:t>
      </w:r>
      <w:r w:rsidRPr="0008481A">
        <w:softHyphen/>
        <w:t xml:space="preserve">heten fritt kan uppehålla sig. </w:t>
      </w:r>
      <w:r w:rsidRPr="0008481A">
        <w:t>Representanter för massmedia har således inte rätt att mot skolledningens vilja vistas där. Mot bakgrund av det anförda har jag inte några invändningar mot skolledningens åtgärd att Henrik Hult angavs som kon</w:t>
      </w:r>
      <w:r w:rsidRPr="0008481A">
        <w:softHyphen/>
        <w:t>taktperson gentemot massmedia.</w:t>
      </w:r>
    </w:p>
    <w:p w:rsidR="003B3271" w:rsidRPr="0008481A" w:rsidRDefault="003B3271">
      <w:pPr>
        <w:pStyle w:val="Normaltindrag"/>
      </w:pPr>
      <w:r w:rsidRPr="0008481A">
        <w:t xml:space="preserve">Det är emellertid av stor vikt att företrädare för myndigheten inte uttrycker sig på ett sådant sätt som kan uppfattas som ett försök att hindra sina anställda, eller som i detta fall sina elever, att utnyttja sina grundläggande fri- och rättigheter, t.ex. genom att tala </w:t>
      </w:r>
      <w:r w:rsidRPr="0008481A">
        <w:t>med journalister. Angivande av en sär</w:t>
      </w:r>
      <w:r w:rsidRPr="0008481A">
        <w:softHyphen/>
        <w:t>skild kontaktperson fråntar inte heller journalister eller allmänheten i övrigt rätten att ta kontakt med andra befattningshavare hos myndigheten. Med hänsyn till det missförstånd som uppen</w:t>
      </w:r>
      <w:r w:rsidRPr="0008481A">
        <w:softHyphen/>
        <w:t>barligen uppkommit finns det skäl att ifrågasätta om Henrik Hult vid informa</w:t>
      </w:r>
      <w:r w:rsidRPr="0008481A">
        <w:softHyphen/>
        <w:t>tionslämnandet i skolan varit till</w:t>
      </w:r>
      <w:r w:rsidRPr="0008481A">
        <w:softHyphen/>
        <w:t xml:space="preserve">räckligt tydlig i nämnda avseenden. Henrik Hult borde enligt min mening ha gjort klart för de berörda att angivandet av honom som särskild talesman inte hindrade andra att </w:t>
      </w:r>
      <w:r w:rsidRPr="0008481A">
        <w:t xml:space="preserve">lämna uppgifter till massmedia om de så önskade. </w:t>
      </w:r>
    </w:p>
    <w:p w:rsidR="003B3271" w:rsidRPr="0008481A" w:rsidRDefault="003B3271">
      <w:pPr>
        <w:pStyle w:val="Normaltindrag"/>
      </w:pPr>
      <w:r w:rsidRPr="0008481A">
        <w:t>Med det påpekande som jag gjort avslutas ärendet.</w:t>
      </w:r>
    </w:p>
    <w:p w:rsidR="003B3271" w:rsidRPr="0008481A" w:rsidRDefault="003B3271">
      <w:pPr>
        <w:pStyle w:val="Rubrik1"/>
        <w:spacing w:before="0"/>
      </w:pPr>
      <w:r w:rsidRPr="0008481A">
        <w:br w:type="page"/>
        <w:t>JO:s tillsynskompetens</w:t>
      </w:r>
    </w:p>
    <w:p w:rsidR="003B3271" w:rsidRPr="0008481A" w:rsidRDefault="003B3271">
      <w:pPr>
        <w:pStyle w:val="Rubrik2"/>
      </w:pPr>
      <w:r w:rsidRPr="0008481A">
        <w:t xml:space="preserve">Anmälan mot biskopen i Stockholms stift. – Fråga om räckvidden av JO:s tillsynskompetens </w:t>
      </w:r>
    </w:p>
    <w:p w:rsidR="003B3271" w:rsidRPr="0008481A" w:rsidRDefault="003B3271">
      <w:r w:rsidRPr="0008481A">
        <w:t>(Dnr 4641-1999)</w:t>
      </w:r>
    </w:p>
    <w:p w:rsidR="003B3271" w:rsidRPr="0008481A" w:rsidRDefault="003B3271">
      <w:pPr>
        <w:pStyle w:val="Rubrik3"/>
      </w:pPr>
      <w:r w:rsidRPr="0008481A">
        <w:t>Anmälan</w:t>
      </w:r>
    </w:p>
    <w:p w:rsidR="003B3271" w:rsidRPr="0008481A" w:rsidRDefault="003B3271">
      <w:r w:rsidRPr="0008481A">
        <w:t>I en skrivelse som kom in till JO den 9 december 1999 anmälde Chris Magnusson Stockholms stift/Domkapitlet i Stockholm för handläggningen av ett över</w:t>
      </w:r>
      <w:r w:rsidRPr="0008481A">
        <w:softHyphen/>
        <w:t xml:space="preserve">klagande avseende ett beslut om utlämnande av handlingar. </w:t>
      </w:r>
    </w:p>
    <w:p w:rsidR="003B3271" w:rsidRPr="0008481A" w:rsidRDefault="003B3271">
      <w:pPr>
        <w:pStyle w:val="Rubrik3"/>
      </w:pPr>
      <w:r w:rsidRPr="0008481A">
        <w:t>Utredning</w:t>
      </w:r>
    </w:p>
    <w:p w:rsidR="003B3271" w:rsidRPr="0008481A" w:rsidRDefault="003B3271">
      <w:r w:rsidRPr="0008481A">
        <w:t>Biskopen i Stockholms stift, Caroline Krook, kom den 27 december 1999 in med infordrat remissvar. – – –</w:t>
      </w:r>
    </w:p>
    <w:p w:rsidR="003B3271" w:rsidRPr="0008481A" w:rsidRDefault="003B3271">
      <w:r w:rsidRPr="0008481A">
        <w:rPr>
          <w:i/>
        </w:rPr>
        <w:t>JO Berggren</w:t>
      </w:r>
      <w:r w:rsidRPr="0008481A">
        <w:t xml:space="preserve"> anförde i beslut den 27 januari 2000 följande. </w:t>
      </w:r>
    </w:p>
    <w:p w:rsidR="003B3271" w:rsidRPr="0008481A" w:rsidRDefault="003B3271">
      <w:pPr>
        <w:pStyle w:val="Rubrik3"/>
      </w:pPr>
      <w:r w:rsidRPr="0008481A">
        <w:t>Bedömning</w:t>
      </w:r>
    </w:p>
    <w:p w:rsidR="003B3271" w:rsidRPr="0008481A" w:rsidRDefault="003B3271">
      <w:r w:rsidRPr="0008481A">
        <w:t>Svenska kyrkan är sedan årsskiftet 1999/2000 inte längre en del av det allmänna, dvs. de kyrkliga myndigheterna har upphört och har ersatts av nya organisations</w:t>
      </w:r>
      <w:r w:rsidRPr="0008481A">
        <w:softHyphen/>
        <w:t>for</w:t>
      </w:r>
      <w:r w:rsidRPr="0008481A">
        <w:softHyphen/>
        <w:t xml:space="preserve">mer. Detta innebär att Svenska kyrkans verksamhet före årsskiftet numera inte står under JO:s tillsyn. Jag kan därför inte vidare granska de anmälda i detta ärende berörda händelserna. Mot bakgrund härav avslutas ärendet. </w:t>
      </w:r>
    </w:p>
    <w:p w:rsidR="003B3271" w:rsidRPr="0008481A" w:rsidRDefault="003B3271">
      <w:pPr>
        <w:pStyle w:val="Normaltindrag"/>
      </w:pPr>
      <w:r w:rsidRPr="0008481A">
        <w:t>Upplys</w:t>
      </w:r>
      <w:r w:rsidRPr="0008481A">
        <w:softHyphen/>
        <w:t>ningsvis vill jag tillägga att Svenska kyrkan nu står under JO:s tillsyn  till den del dess verksamhet avser myndighetsutövning, se 2 § första stycket 3. lagen (1986:765) med instruktion för Riksdagens ombudsmän.</w:t>
      </w:r>
    </w:p>
    <w:p w:rsidR="003B3271" w:rsidRPr="0008481A" w:rsidRDefault="003B3271">
      <w:pPr>
        <w:pStyle w:val="Rubrik1"/>
        <w:spacing w:before="0"/>
        <w:sectPr w:rsidR="00000000" w:rsidRPr="0008481A">
          <w:headerReference w:type="default" r:id="rId24"/>
          <w:pgSz w:w="11906" w:h="16838" w:code="9"/>
          <w:pgMar w:top="3969" w:right="5103" w:bottom="1106" w:left="907" w:header="57" w:footer="57" w:gutter="0"/>
          <w:cols w:space="720"/>
        </w:sectPr>
      </w:pPr>
    </w:p>
    <w:p w:rsidR="003B3271" w:rsidRPr="0008481A" w:rsidRDefault="003B3271">
      <w:pPr>
        <w:pStyle w:val="Rubrik1"/>
        <w:spacing w:before="0"/>
      </w:pPr>
      <w:r w:rsidRPr="0008481A">
        <w:t>Lag (1986:765) med instruktion för Riksdagens ombudsmän;</w:t>
      </w:r>
    </w:p>
    <w:p w:rsidR="003B3271" w:rsidRPr="0008481A" w:rsidRDefault="003B3271">
      <w:r w:rsidRPr="0008481A">
        <w:t>utfärdad den 13 november 1986, ändrad senast den 31 maj 2000 genom SFS 2000:424.</w:t>
      </w:r>
    </w:p>
    <w:p w:rsidR="003B3271" w:rsidRPr="0008481A" w:rsidRDefault="003B3271">
      <w:r w:rsidRPr="0008481A">
        <w:t>Enligt riksdagens beslut föreskrivs följande.</w:t>
      </w:r>
    </w:p>
    <w:p w:rsidR="003B3271" w:rsidRPr="0008481A" w:rsidRDefault="003B3271">
      <w:pPr>
        <w:pStyle w:val="Rubrik3"/>
      </w:pPr>
      <w:r w:rsidRPr="0008481A">
        <w:t>Uppgifter</w:t>
      </w:r>
    </w:p>
    <w:p w:rsidR="003B3271" w:rsidRPr="0008481A" w:rsidRDefault="003B3271">
      <w:r w:rsidRPr="0008481A">
        <w:t>1 § Riksdagens ombudsmän är enligt 8 kap. 10 § riksdagsordningen fyra, en chefsjustitieombudsman och tre justitieombudsmän. Härutöver kan finnas en eller flera ställföreträdande ombudsmän.</w:t>
      </w:r>
    </w:p>
    <w:p w:rsidR="003B3271" w:rsidRPr="0008481A" w:rsidRDefault="003B3271">
      <w:pPr>
        <w:pStyle w:val="Normaltindrag"/>
      </w:pPr>
      <w:r w:rsidRPr="0008481A">
        <w:t>Chefsjustitieombudsmannen och justitieombudsmännen har i den om</w:t>
      </w:r>
      <w:r w:rsidRPr="0008481A">
        <w:softHyphen/>
        <w:t xml:space="preserve">fattning som anges i 2 § tillsyn över att de som utövar offentlig verksamhet efterlever lagar och andra författningar samt i övrigt fullgör sina åligganden. </w:t>
      </w:r>
    </w:p>
    <w:p w:rsidR="003B3271" w:rsidRPr="0008481A" w:rsidRDefault="003B3271">
      <w:r w:rsidRPr="0008481A">
        <w:t>2 §  Under ombudsmännens tillsyn står</w:t>
      </w:r>
    </w:p>
    <w:p w:rsidR="003B3271" w:rsidRPr="0008481A" w:rsidRDefault="003B3271">
      <w:r w:rsidRPr="0008481A">
        <w:t>1. statliga och kommunala myndigheter,</w:t>
      </w:r>
    </w:p>
    <w:p w:rsidR="003B3271" w:rsidRPr="0008481A" w:rsidRDefault="003B3271">
      <w:r w:rsidRPr="0008481A">
        <w:t>2. tjänstemän och andra befattningshavare vid dessa myndigheter,</w:t>
      </w:r>
    </w:p>
    <w:p w:rsidR="003B3271" w:rsidRPr="0008481A" w:rsidRDefault="003B3271">
      <w:r w:rsidRPr="0008481A">
        <w:t>3. annan som innehar tjänst eller uppdrag, varmed följer myndighets</w:t>
      </w:r>
      <w:r w:rsidRPr="0008481A">
        <w:softHyphen/>
        <w:t>ut</w:t>
      </w:r>
      <w:r w:rsidRPr="0008481A">
        <w:softHyphen/>
        <w:t>övning, såvitt avser denna hans verksamhet,</w:t>
      </w:r>
    </w:p>
    <w:p w:rsidR="003B3271" w:rsidRPr="0008481A" w:rsidRDefault="003B3271">
      <w:r w:rsidRPr="0008481A">
        <w:t>4. tjänstemän och uppdragstagare i statliga affärsverk, när de för verkens räkning fullgör uppdrag i sådana aktiebolag där staten genom verken utövar ett bestämmande inflytande.</w:t>
      </w:r>
    </w:p>
    <w:p w:rsidR="003B3271" w:rsidRPr="0008481A" w:rsidRDefault="003B3271">
      <w:pPr>
        <w:pStyle w:val="Normaltindrag"/>
      </w:pPr>
      <w:r w:rsidRPr="0008481A">
        <w:t>I fråga om befattningshavare vid försvarsmakten omfattar tillsynen dock endast befäl av lägst fänriks grad och dem som innehar motsvarande tjänste</w:t>
      </w:r>
      <w:r w:rsidRPr="0008481A">
        <w:softHyphen/>
        <w:t>ställning.</w:t>
      </w:r>
    </w:p>
    <w:p w:rsidR="003B3271" w:rsidRPr="0008481A" w:rsidRDefault="003B3271">
      <w:pPr>
        <w:pStyle w:val="Normaltindrag"/>
      </w:pPr>
      <w:r w:rsidRPr="0008481A">
        <w:t>Ombudsmännens tillsyn omfattar ej</w:t>
      </w:r>
    </w:p>
    <w:p w:rsidR="003B3271" w:rsidRPr="0008481A" w:rsidRDefault="003B3271">
      <w:r w:rsidRPr="0008481A">
        <w:t>1. riksdagens ledamöter,</w:t>
      </w:r>
    </w:p>
    <w:p w:rsidR="003B3271" w:rsidRPr="0008481A" w:rsidRDefault="003B3271">
      <w:r w:rsidRPr="0008481A">
        <w:t>2. riksdagsstyrelsen, riksdagens valprövningsnämnd, riksdagens besvärs</w:t>
      </w:r>
      <w:r w:rsidRPr="0008481A">
        <w:softHyphen/>
        <w:t>nämnd eller kammarsekreteraren,</w:t>
      </w:r>
    </w:p>
    <w:p w:rsidR="003B3271" w:rsidRPr="0008481A" w:rsidRDefault="003B3271">
      <w:r w:rsidRPr="0008481A">
        <w:t>3. riksbanksfullmäktige samt ledamöter av direktionen i Riksbanken, utom såvitt avser deltagande i utövning av Riksbankens beslutanderätt enligt lagen (1992:1602) om valuta- och kreditreglering,</w:t>
      </w:r>
    </w:p>
    <w:p w:rsidR="003B3271" w:rsidRPr="0008481A" w:rsidRDefault="003B3271">
      <w:r w:rsidRPr="0008481A">
        <w:t>4. regeringen eller statsråd,</w:t>
      </w:r>
    </w:p>
    <w:p w:rsidR="003B3271" w:rsidRPr="0008481A" w:rsidRDefault="003B3271">
      <w:r w:rsidRPr="0008481A">
        <w:t>5. justitiekanslern samt</w:t>
      </w:r>
    </w:p>
    <w:p w:rsidR="003B3271" w:rsidRPr="0008481A" w:rsidRDefault="003B3271">
      <w:r w:rsidRPr="0008481A">
        <w:t>6. ledamöter av beslutande kommunala församlingar.</w:t>
      </w:r>
    </w:p>
    <w:p w:rsidR="003B3271" w:rsidRPr="0008481A" w:rsidRDefault="003B3271">
      <w:pPr>
        <w:pStyle w:val="Normaltindrag"/>
      </w:pPr>
      <w:r w:rsidRPr="0008481A">
        <w:t>Ombudsmännen står ej under tillsyn av varandra. Med befattningshavare förstås i denna lag, om inte annat framgår av sammanhanget, person som står under ombudsmännens tillsyn.</w:t>
      </w:r>
    </w:p>
    <w:p w:rsidR="003B3271" w:rsidRPr="0008481A" w:rsidRDefault="003B3271">
      <w:r w:rsidRPr="0008481A">
        <w:t>3 § Ombudsmännen skall särskilt tillse att domstolar och förvaltnings</w:t>
      </w:r>
      <w:r w:rsidRPr="0008481A">
        <w:softHyphen/>
        <w:t>myndigheter i sin verksamhet iakttager regeringsformens bud om saklighet och opartiskhet och att medborgarnas grundläggande fri- och rättigheter ej träds för när i den offentliga verksamheten.</w:t>
      </w:r>
    </w:p>
    <w:p w:rsidR="003B3271" w:rsidRPr="0008481A" w:rsidRDefault="003B3271">
      <w:pPr>
        <w:pStyle w:val="Normaltindrag"/>
      </w:pPr>
      <w:r w:rsidRPr="0008481A">
        <w:t>Vid tillsyn över kommunala myndigheter skall ombudsman beakta de former i vilka den kommunala självstyrelsen utövas.</w:t>
      </w:r>
    </w:p>
    <w:p w:rsidR="003B3271" w:rsidRPr="0008481A" w:rsidRDefault="003B3271">
      <w:r w:rsidRPr="0008481A">
        <w:t>4 § Ombudsmännen skall verka för att brister i lagstiftningen avhjälps. Upp</w:t>
      </w:r>
      <w:r w:rsidRPr="0008481A">
        <w:softHyphen/>
        <w:t>kommer under tillsynsverksamheten anledning att väcka fråga om författ</w:t>
      </w:r>
      <w:r w:rsidRPr="0008481A">
        <w:softHyphen/>
        <w:t>ningsändring eller annan åtgärd från statens sida, får ombudsman göra framställning i ämnet till riksdagen eller regeringen.</w:t>
      </w:r>
    </w:p>
    <w:p w:rsidR="003B3271" w:rsidRPr="0008481A" w:rsidRDefault="003B3271">
      <w:pPr>
        <w:pStyle w:val="Normaltindrag"/>
      </w:pPr>
      <w:r w:rsidRPr="0008481A">
        <w:t>Justitieombudsman skall samråda med chefsjustitieombudsmannen innan han gör framställning enligt första stycket.</w:t>
      </w:r>
    </w:p>
    <w:p w:rsidR="003B3271" w:rsidRPr="0008481A" w:rsidRDefault="003B3271">
      <w:r w:rsidRPr="0008481A">
        <w:t>5 § Ombudsmännens tillsyn bedrivs genom prövning av klagomål från all</w:t>
      </w:r>
      <w:r w:rsidRPr="0008481A">
        <w:softHyphen/>
        <w:t>mänheten samt genom inspektioner och andra undersökningar, som ombuds</w:t>
      </w:r>
      <w:r w:rsidRPr="0008481A">
        <w:softHyphen/>
        <w:t>männen finner påkallade.</w:t>
      </w:r>
    </w:p>
    <w:p w:rsidR="003B3271" w:rsidRPr="0008481A" w:rsidRDefault="003B3271">
      <w:pPr>
        <w:pStyle w:val="Normaltindrag"/>
      </w:pPr>
      <w:r w:rsidRPr="0008481A">
        <w:t>Justitieombudsman skall samråda med chefsjustitieombudsmannen om inspektioner och andra undersökningar, som han avser att genomföra.</w:t>
      </w:r>
    </w:p>
    <w:p w:rsidR="003B3271" w:rsidRPr="0008481A" w:rsidRDefault="003B3271">
      <w:r w:rsidRPr="0008481A">
        <w:t>6 § Ombudsman avgör ärende genom beslut, vari han får uttala sig om huruvida åtgärd av myndighet eller befattningshavare strider mot lag eller annan författning eller annars är felaktig eller olämplig. Ombudsman får även göra sådana uttalanden som avser att främja enhetlig och ändamålsenlig rättstillämpning.</w:t>
      </w:r>
    </w:p>
    <w:p w:rsidR="003B3271" w:rsidRPr="0008481A" w:rsidRDefault="003B3271">
      <w:pPr>
        <w:pStyle w:val="Normaltindrag"/>
      </w:pPr>
      <w:r w:rsidRPr="0008481A">
        <w:t>Ombudsman får som särskild åklagare väcka åtal mot befattningshavare som genom att åsidosätta vad som åligger honom i tjänsten eller uppdraget har begått annan brottslig gärning än tryckfrihetsbrott eller yttrandefrihets</w:t>
      </w:r>
      <w:r w:rsidRPr="0008481A">
        <w:softHyphen/>
        <w:t>brott. Ger utredningen i ärende ombudsman anledning anta att sådan brottslig gärning begåtts, tillämpas vad som föreskrivs i lag om förundersökning, åtal och åtalsunderlåtelse samt om allmän åklagares befogenheter i övrigt i fråga om brott under allmänt åtal. I mål som har väckts vid tingsrätt bör talan fullföljas till Högsta domstolen endast om synnerliga skäl föranleder det.</w:t>
      </w:r>
    </w:p>
    <w:p w:rsidR="003B3271" w:rsidRPr="0008481A" w:rsidRDefault="003B3271">
      <w:pPr>
        <w:pStyle w:val="Normaltindrag"/>
      </w:pPr>
      <w:r w:rsidRPr="0008481A">
        <w:t>Om befattningshavare genom att åsidosätta vad som åligger honom i tjänsten eller uppdraget gjort sig skyldig till fel, som kan beiv</w:t>
      </w:r>
      <w:r w:rsidRPr="0008481A">
        <w:t>ras genom disciplinärt förfarande, får ombudsman göra anmälan till den som har befogenhet att besluta om disciplinpåföljd. Om den som är legitimerad eller annars behörig att utöva yrke inom hälso- och sjukvården, tandvården eller detaljhandeln med läkemedel eller yrke som veterinär har varit grovt oskicklig vid utövningen av sitt yrke eller på annat sätt visat sig uppenbart olämplig att utöva detta, får ombudsman göra anmälan till den som har befogenhet att besluta om återkallelse av legitimationen eller be</w:t>
      </w:r>
      <w:r w:rsidRPr="0008481A">
        <w:t>hörigheten. Motsvarande anmälan får göras i fråga om begränsning av sådan legitimerad yrkesutövares behörighet, om denne har missbrukat sin behörighet på något annat sätt. Om den som är legitimerad yrkesutövare inom hälso- och sjukvården, tandvården eller detaljhandeln med läkemedel varit oskicklig vid utövning av sitt yrke eller på annat sätt visat sig olämplig att utöva yrket, får ombudsman göra anmälan i fråga om prövotid till den som har befogenhet att besluta därom.</w:t>
      </w:r>
      <w:r w:rsidRPr="0008481A">
        <w:tab/>
      </w:r>
    </w:p>
    <w:p w:rsidR="003B3271" w:rsidRPr="0008481A" w:rsidRDefault="003B3271">
      <w:pPr>
        <w:pStyle w:val="Normaltindrag"/>
      </w:pPr>
      <w:r w:rsidRPr="0008481A">
        <w:t>Anser ombudsman det vara påkallat a</w:t>
      </w:r>
      <w:r w:rsidRPr="0008481A">
        <w:t>tt befattningshavare avskedas eller avstängs från sin tjänst på grund av brottslig gärning eller grov eller upprepad tjänsteförseelse, får han göra anmälan härom till den som har befogenhet att besluta om sådan åtgärd.</w:t>
      </w:r>
    </w:p>
    <w:p w:rsidR="003B3271" w:rsidRPr="0008481A" w:rsidRDefault="003B3271">
      <w:pPr>
        <w:pStyle w:val="Normaltindrag"/>
      </w:pPr>
      <w:r w:rsidRPr="0008481A">
        <w:t>När ombudsman har gjort anmälan i ett sådant ärende som avses i tredje eller fjärde stycket skall han i ärendet få tillfälle att komplettera egen utredning och att yttra sig över utredning som har tillförts ärendet av någon annan samt att närvara, om muntligt förhör hålls. Vad som nu sagts gä</w:t>
      </w:r>
      <w:r w:rsidRPr="0008481A">
        <w:t>ller dock inte ärenden om avstängning.</w:t>
      </w:r>
    </w:p>
    <w:p w:rsidR="003B3271" w:rsidRPr="0008481A" w:rsidRDefault="003B3271">
      <w:r w:rsidRPr="0008481A">
        <w:t>7 § Har myndighet meddelat beslut mot befattningshavare i ärende om tillämpningen av särskilda bestämmelser för tjänstemän i lag eller annan författning om disciplinansvar eller om avskedande eller avstängning från tjänsten på grund av brottslig gärning eller tjänsteförseelse, får ombudsman föra talan vid domstol om ändring i beslutet. Detsamma gäller i fråga om myndighets beslut i ärende om disciplinansvar mot den som tillhör hälso- och sjukvårdspersonalen eller är ve</w:t>
      </w:r>
      <w:r w:rsidRPr="0008481A">
        <w:t>terinär, krigsman eller disciplinansvarig enligt lagen (1994:1811) om disciplinansvar inom totalförsvaret, m.m. samt i fråga om myndighets beslut i ärende om prövotid eller  sådan behörighets</w:t>
      </w:r>
      <w:r w:rsidRPr="0008481A">
        <w:softHyphen/>
        <w:t>fråga som avses i 6 § tredje stycket. Närmare bestämmelser om sådan talan meddelas i lag eller annan författning.</w:t>
      </w:r>
      <w:r w:rsidRPr="0008481A">
        <w:tab/>
      </w:r>
    </w:p>
    <w:p w:rsidR="003B3271" w:rsidRPr="0008481A" w:rsidRDefault="003B3271">
      <w:pPr>
        <w:pStyle w:val="Normaltindrag"/>
      </w:pPr>
      <w:r w:rsidRPr="0008481A">
        <w:t>Har befattningshavare enligt vad därom är föreskrivet sökt ändring vid domstol i beslut som avses i första stycket och har beslutet tillkommit efter anmälan av ombudsman, företräder ombudsmannen det allmän</w:t>
      </w:r>
      <w:r w:rsidRPr="0008481A">
        <w:t>na som befatt</w:t>
      </w:r>
      <w:r w:rsidRPr="0008481A">
        <w:softHyphen/>
        <w:t>ningshavarens motpart i tvisten. Detsamma gäller, om ombudsmannen har sökt ändring i beslutet.</w:t>
      </w:r>
    </w:p>
    <w:p w:rsidR="003B3271" w:rsidRPr="0008481A" w:rsidRDefault="003B3271">
      <w:pPr>
        <w:pStyle w:val="Normaltindrag"/>
      </w:pPr>
      <w:r w:rsidRPr="0008481A">
        <w:t>Vad i lag eller annan författning är föreskrivet om arbetsgivare skall i fråga om tvister som avses i denna paragraf äga motsvarande tillämpning på ombudsman. Bestämmelserna i 4 kap. 7 § och 5 kap. 1 § första stycket lagen (1974:371) om rättegången i arbetstvister skall dock ej tillämpas i fråga om tvist i vilken ombudsman för talan.</w:t>
      </w:r>
    </w:p>
    <w:p w:rsidR="003B3271" w:rsidRPr="0008481A" w:rsidRDefault="003B3271">
      <w:r w:rsidRPr="0008481A">
        <w:t>8 § Ombudsman bör ej ingripa mot lägre befattningshavare utan själv</w:t>
      </w:r>
      <w:r w:rsidRPr="0008481A">
        <w:softHyphen/>
        <w:t>ständiga befogenheter, om det inte finns särskilda skäl för ett ingripande.</w:t>
      </w:r>
    </w:p>
    <w:p w:rsidR="003B3271" w:rsidRPr="0008481A" w:rsidRDefault="003B3271">
      <w:r w:rsidRPr="0008481A">
        <w:t>9 § Om ombudsmans befogenhet att väcka åtal mot ledamot av Högsta domstolen eller Regeringsrätten samt talan om skiljande eller avstängning av sådan ledamot från tjänsten eller skyldighet för ledamot att undergå läkarundersökning föreskrivs i regeringsformen.</w:t>
      </w:r>
    </w:p>
    <w:p w:rsidR="003B3271" w:rsidRPr="0008481A" w:rsidRDefault="003B3271">
      <w:r w:rsidRPr="0008481A">
        <w:t>10 § Ombudsman är skyldig att väcka och utföra åtal som konstitutions</w:t>
      </w:r>
      <w:r w:rsidRPr="0008481A">
        <w:softHyphen/>
        <w:t>utskottet enligt 12 kap. 3 § regeringsformen har beslutat mot statsråd samt åtal som riksdagsutskott enligt vad som är föreskrivet har beslutat mot befattningshavare hos riksdagen eller dess organ, dock ej åtal mot om</w:t>
      </w:r>
      <w:r w:rsidRPr="0008481A">
        <w:softHyphen/>
        <w:t>budsman.</w:t>
      </w:r>
    </w:p>
    <w:p w:rsidR="003B3271" w:rsidRPr="0008481A" w:rsidRDefault="003B3271">
      <w:pPr>
        <w:pStyle w:val="Normaltindrag"/>
      </w:pPr>
      <w:r w:rsidRPr="0008481A">
        <w:t>Ombudsman är även skyldig att biträda utskott med förundersökningen mot befattningshavare som nämns i första stycket.</w:t>
      </w:r>
    </w:p>
    <w:p w:rsidR="003B3271" w:rsidRPr="0008481A" w:rsidRDefault="003B3271">
      <w:r w:rsidRPr="0008481A">
        <w:t>11 § Ombudsmännen skall årligen senast den 15 november tillställa riks</w:t>
      </w:r>
      <w:r w:rsidRPr="0008481A">
        <w:softHyphen/>
        <w:t>dagen en tryckt ämbetsberättelse avseende tiden den 1 juli närmast före</w:t>
      </w:r>
      <w:r w:rsidRPr="0008481A">
        <w:softHyphen/>
        <w:t>gående år – den 30 juni innevarande år. Berättelsen skall innehålla redogörelse för de åtgärder som vidtagits med stöd av 4 § första stycket och 6 § andra–fjärde styckena och 7 § samt för andra viktigare beslut som ombudsmännen har meddelat. Berättelsen skall även uppta en översikt över verksamheten i övrigt.</w:t>
      </w:r>
    </w:p>
    <w:p w:rsidR="003B3271" w:rsidRPr="0008481A" w:rsidRDefault="003B3271">
      <w:pPr>
        <w:pStyle w:val="Rubrik3"/>
      </w:pPr>
      <w:r w:rsidRPr="0008481A">
        <w:t>Organisation</w:t>
      </w:r>
    </w:p>
    <w:p w:rsidR="003B3271" w:rsidRPr="0008481A" w:rsidRDefault="003B3271">
      <w:r w:rsidRPr="0008481A">
        <w:t>12 § Enligt 8 kap. 10 § riksdagsordningen är chefsjustitieombudsmannen administrativ chef och bestämmer inriktningen  i stort av verksamheten. Han skall i arbetsordning meddela bestämmelser om organisationen av verk</w:t>
      </w:r>
      <w:r w:rsidRPr="0008481A">
        <w:softHyphen/>
        <w:t>sam</w:t>
      </w:r>
      <w:r w:rsidRPr="0008481A">
        <w:softHyphen/>
        <w:t>heten och fördelningen av ärendena mellan ombudsmännen.</w:t>
      </w:r>
    </w:p>
    <w:p w:rsidR="003B3271" w:rsidRPr="0008481A" w:rsidRDefault="003B3271">
      <w:pPr>
        <w:pStyle w:val="Normaltindrag"/>
      </w:pPr>
      <w:r w:rsidRPr="0008481A">
        <w:t>Chefsjustitieombudsmannen svarar för att intern revision av myndigheten sker.</w:t>
      </w:r>
    </w:p>
    <w:p w:rsidR="003B3271" w:rsidRPr="0008481A" w:rsidRDefault="003B3271">
      <w:r w:rsidRPr="0008481A">
        <w:t>13 § För verksamheten skall finnas en expedition (ombudsmanna</w:t>
      </w:r>
      <w:r w:rsidRPr="0008481A">
        <w:softHyphen/>
        <w:t>expeditionen). Vid denna är anställda en kanslichef samt byråchefer och övriga tjänstemän enligt personalförteckning. I mån av behov och tillgång på medel får chefsjustitieombudsmannen anlita annan personal samt experter och sakkunniga. Chefsjustitieombudsmannen bestämmer om personalens tjänstgöring.</w:t>
      </w:r>
    </w:p>
    <w:p w:rsidR="003B3271" w:rsidRPr="0008481A" w:rsidRDefault="003B3271">
      <w:pPr>
        <w:pStyle w:val="Normaltindrag"/>
      </w:pPr>
      <w:r w:rsidRPr="0008481A">
        <w:t>Kanslichefen skall under chefsjustitieombudsmannen leda arbetet inom ombudsmannaexpeditionen och i övrigt lämna ombudsmännen erforderligt biträde.</w:t>
      </w:r>
    </w:p>
    <w:p w:rsidR="003B3271" w:rsidRPr="0008481A" w:rsidRDefault="003B3271">
      <w:r w:rsidRPr="0008481A">
        <w:t>14 § För arbetet inom ombudsmannaexpeditionen meddelar chefsjustitie</w:t>
      </w:r>
      <w:r w:rsidRPr="0008481A">
        <w:softHyphen/>
        <w:t>ombudsmannen de råd och anvisningar som behövs utöver denna instruktion och vad som föreskrivs i arbetsordningen.</w:t>
      </w:r>
    </w:p>
    <w:p w:rsidR="003B3271" w:rsidRPr="0008481A" w:rsidRDefault="003B3271">
      <w:pPr>
        <w:pStyle w:val="Normaltindrag"/>
      </w:pPr>
      <w:r w:rsidRPr="0008481A">
        <w:t>Chefsjustitieombudsmannen skall samråda med konstitutionsutskottet i organisationsfrågor av större vikt.</w:t>
      </w:r>
    </w:p>
    <w:p w:rsidR="003B3271" w:rsidRPr="0008481A" w:rsidRDefault="003B3271">
      <w:pPr>
        <w:pStyle w:val="Normaltindrag"/>
      </w:pPr>
      <w:r w:rsidRPr="0008481A">
        <w:t>Innan justitieombudsman påkallar samråd med konstitutionsutskottet skall han ha samrått med chefsjustitieombudsmannen.</w:t>
      </w:r>
    </w:p>
    <w:p w:rsidR="003B3271" w:rsidRPr="0008481A" w:rsidRDefault="003B3271">
      <w:r w:rsidRPr="0008481A">
        <w:t>15 § Chefsjustitieombudsmannen får oberoende av vad som följer av arbets</w:t>
      </w:r>
      <w:r w:rsidRPr="0008481A">
        <w:softHyphen/>
        <w:t>ordning genom särskilt beslut föreskriva att visst ärende eller grupp av ärenden skall hänskjutas till honom eller någon av de andra ombudsmännen.</w:t>
      </w:r>
    </w:p>
    <w:p w:rsidR="003B3271" w:rsidRPr="0008481A" w:rsidRDefault="003B3271">
      <w:pPr>
        <w:pStyle w:val="Normaltindrag"/>
      </w:pPr>
      <w:r w:rsidRPr="0008481A">
        <w:t>Chefsjustitieombudsmannen får vidare i arbetsordning eller genom särskilt beslut bemyndiga tjänsteman vid ombudsmannaexpeditionen att vidtaga åtgärd för ärendes beredande, tjänsteman att verkställa inspektion, dock utan rätt att därvid framställa anmärkning eller göra annat uttalande på ombuds</w:t>
      </w:r>
      <w:r w:rsidRPr="0008481A">
        <w:softHyphen/>
        <w:t>mans vägnar, samt kanslichef att besluta i administrativa frågor, dock ej om anställande av byråchef.</w:t>
      </w:r>
    </w:p>
    <w:p w:rsidR="003B3271" w:rsidRPr="0008481A" w:rsidRDefault="003B3271">
      <w:pPr>
        <w:pStyle w:val="Normaltindrag"/>
      </w:pPr>
      <w:r w:rsidRPr="0008481A">
        <w:t>Chefsjustitieombudsmannen beslutar om ställföreträdande ombudsmans tjänstgöring som ombudsman. Ställföreträdande ombudsman får tas i anspråk för tjänstgöring om någon ombudsman på grund av en längre tids sjukdom blir förhindrad att utöva sin tjänst eller det av annat särskilt skäl föreligger behov av ställföreträdande ombudsmans tjänstgöring.</w:t>
      </w:r>
    </w:p>
    <w:p w:rsidR="003B3271" w:rsidRPr="0008481A" w:rsidRDefault="003B3271">
      <w:r w:rsidRPr="0008481A">
        <w:t>16 § När chefsjustitieombudsmannen har semester eller är hindrad att utöva sin tjänst skall den av de andra ombudsmännen som varit ombudsman längst tid tjänstgöra i hans ställe. Om två eller flera varit ombudsmän lika länge, har den äldste av dem företräde.</w:t>
      </w:r>
    </w:p>
    <w:p w:rsidR="003B3271" w:rsidRPr="0008481A" w:rsidRDefault="003B3271">
      <w:pPr>
        <w:pStyle w:val="Rubrik3"/>
      </w:pPr>
      <w:r w:rsidRPr="0008481A">
        <w:t>Om klagomål</w:t>
      </w:r>
    </w:p>
    <w:p w:rsidR="003B3271" w:rsidRPr="0008481A" w:rsidRDefault="003B3271">
      <w:r w:rsidRPr="0008481A">
        <w:t>17 § Klagomål bör anföras skriftligen. I klagoskriften bör anges den myndig</w:t>
      </w:r>
      <w:r w:rsidRPr="0008481A">
        <w:softHyphen/>
        <w:t>het som klagomålet vänder sig mot, den åtgärd som klagomålet avser, tid</w:t>
      </w:r>
      <w:r w:rsidRPr="0008481A">
        <w:softHyphen/>
        <w:t>punkten för åtgärden samt klagandens namn och adress. Innehar klaganden handling, som är av betydelse för ärendets utredande och bedömande, bör den bifogas.</w:t>
      </w:r>
    </w:p>
    <w:p w:rsidR="003B3271" w:rsidRPr="0008481A" w:rsidRDefault="003B3271">
      <w:pPr>
        <w:pStyle w:val="Normaltindrag"/>
      </w:pPr>
      <w:r w:rsidRPr="0008481A">
        <w:t>Den som är berövad sin frihet får sända skrift till ombudsmännen utan hinder av de inskränkningar i rätten att sända brev och andra handlingar som gäller för honom.</w:t>
      </w:r>
    </w:p>
    <w:p w:rsidR="003B3271" w:rsidRPr="0008481A" w:rsidRDefault="003B3271">
      <w:pPr>
        <w:pStyle w:val="Normaltindrag"/>
      </w:pPr>
      <w:r w:rsidRPr="0008481A">
        <w:t>På klagandens begäran skall på expeditionen utfärdas bevis att hans klagoskrift inkommit dit.</w:t>
      </w:r>
    </w:p>
    <w:p w:rsidR="003B3271" w:rsidRPr="0008481A" w:rsidRDefault="003B3271">
      <w:pPr>
        <w:pStyle w:val="Rubrik3"/>
      </w:pPr>
      <w:r w:rsidRPr="0008481A">
        <w:t>Allmänna bestämmelser om handläggningen</w:t>
      </w:r>
    </w:p>
    <w:p w:rsidR="003B3271" w:rsidRPr="0008481A" w:rsidRDefault="003B3271">
      <w:r w:rsidRPr="0008481A">
        <w:t>18 § Om ett ärende är av sådan beskaffenhet att det lämpligen kan utredas och prövas av någon annan myndighet än ombudsmännen och om myndig</w:t>
      </w:r>
      <w:r w:rsidRPr="0008481A">
        <w:softHyphen/>
        <w:t>heten inte tidigare har prövat saken, får ombudsman överlämna ärendet till denna myndighet för handläggning. Endast ärende som väckts genom klagomål får överlämnas till Justitiekanslern och endast efter överens</w:t>
      </w:r>
      <w:r w:rsidRPr="0008481A">
        <w:softHyphen/>
        <w:t>kommelse med denne.</w:t>
      </w:r>
    </w:p>
    <w:p w:rsidR="003B3271" w:rsidRPr="0008481A" w:rsidRDefault="003B3271">
      <w:pPr>
        <w:pStyle w:val="Normaltindrag"/>
      </w:pPr>
      <w:r w:rsidRPr="0008481A">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handläggning</w:t>
      </w:r>
      <w:r w:rsidRPr="0008481A">
        <w:t>.</w:t>
      </w:r>
    </w:p>
    <w:p w:rsidR="003B3271" w:rsidRPr="0008481A" w:rsidRDefault="003B3271">
      <w:r w:rsidRPr="0008481A">
        <w:t>19 § Ombudsman bör skyndsamt lämna klaganden besked om huruvida klagomålet avvisas, avskrivs från handläggning, överlämnas till annan enligt 18 § eller upptas till utredning.</w:t>
      </w:r>
    </w:p>
    <w:p w:rsidR="003B3271" w:rsidRPr="0008481A" w:rsidRDefault="003B3271">
      <w:r w:rsidRPr="0008481A">
        <w:t>20 § Ombudsman bör ej till utredning uppta förhållanden, som ligger mer än två år tillbaka i tiden, om ej särskilda skäl föreligger.</w:t>
      </w:r>
    </w:p>
    <w:p w:rsidR="003B3271" w:rsidRPr="0008481A" w:rsidRDefault="003B3271">
      <w:r w:rsidRPr="0008481A">
        <w:t>21 § Ombudsman skall verkställa de utredningsåtgärder som fordras för prövning av klagomål och andra ärenden.</w:t>
      </w:r>
    </w:p>
    <w:p w:rsidR="003B3271" w:rsidRPr="0008481A" w:rsidRDefault="003B3271">
      <w:pPr>
        <w:pStyle w:val="Normaltindrag"/>
      </w:pPr>
      <w:r w:rsidRPr="0008481A">
        <w:t>När ombudsman enligt regeringsformens föreskrifter begär upplysningar och yttranden i andra ärenden än dem där han har beslutat att inleda för</w:t>
      </w:r>
      <w:r w:rsidRPr="0008481A">
        <w:softHyphen/>
        <w:t>undersökning, får han förelägga vite om högst 10 000 kronor. Ombudsman får utdöma försuttet vite.</w:t>
      </w:r>
    </w:p>
    <w:p w:rsidR="003B3271" w:rsidRPr="0008481A" w:rsidRDefault="003B3271">
      <w:pPr>
        <w:pStyle w:val="Normaltindrag"/>
      </w:pPr>
      <w:r w:rsidRPr="0008481A">
        <w:t>Kan det misstänkas att befattningshavare som omfattas av bestämmelserna om disciplinansvar i lagen (1994:260) om offentlig anställning har gjort sig skyldig till tjänsteförseelse, för vilken disciplinpåföljd bör åläggas, och kan det befaras att en skriftlig underrättelse enligt 17 § nämnda lag inte kan tillställas honom inom två år efter förseelsen, får ombudsman utfärda motsvarande underrättelse. Vad som nu h</w:t>
      </w:r>
      <w:r w:rsidRPr="0008481A">
        <w:t>ar sagts gäller även för den som omfattas av bestämmelser om disciplinansvar och om motsvarande under</w:t>
      </w:r>
      <w:r w:rsidRPr="0008481A">
        <w:softHyphen/>
        <w:t>rättelse i någon annan författning.</w:t>
      </w:r>
    </w:p>
    <w:p w:rsidR="003B3271" w:rsidRPr="0008481A" w:rsidRDefault="003B3271">
      <w:pPr>
        <w:pStyle w:val="Normaltindrag"/>
      </w:pPr>
      <w:r w:rsidRPr="0008481A">
        <w:t>När ombudsman är närvarande vid domstols eller myndighets över</w:t>
      </w:r>
      <w:r w:rsidRPr="0008481A">
        <w:softHyphen/>
        <w:t>läggningar har han ej rätt att yttra sin mening.</w:t>
      </w:r>
    </w:p>
    <w:p w:rsidR="003B3271" w:rsidRPr="0008481A" w:rsidRDefault="003B3271">
      <w:r w:rsidRPr="0008481A">
        <w:t>22 § Ombudsman får uppdra åt annan att leda förundersökning som han har beslutat och att väcka och utföra åtal som han har beslutat, om inte åtgärden avser ledamot av Högsta domstolen eller Regeringsrätten.</w:t>
      </w:r>
    </w:p>
    <w:p w:rsidR="003B3271" w:rsidRPr="0008481A" w:rsidRDefault="003B3271">
      <w:pPr>
        <w:pStyle w:val="Normaltindrag"/>
      </w:pPr>
      <w:r w:rsidRPr="0008481A">
        <w:t>Beslut att överklaga dom eller beslut till högre rätt får inte fattas av annan än ombudsman.</w:t>
      </w:r>
    </w:p>
    <w:p w:rsidR="003B3271" w:rsidRPr="0008481A" w:rsidRDefault="003B3271">
      <w:pPr>
        <w:pStyle w:val="Normaltindrag"/>
      </w:pPr>
      <w:r w:rsidRPr="0008481A">
        <w:t>I fall som avses i 7 § får ombudsman förordna tjänsteman vid ombuds</w:t>
      </w:r>
      <w:r w:rsidRPr="0008481A">
        <w:softHyphen/>
        <w:t>mannaexpeditionen att föra talan på ombudsmannens vägnar.</w:t>
      </w:r>
    </w:p>
    <w:p w:rsidR="003B3271" w:rsidRPr="0008481A" w:rsidRDefault="003B3271">
      <w:pPr>
        <w:pStyle w:val="Normaltindrag"/>
      </w:pPr>
      <w:r w:rsidRPr="0008481A">
        <w:t>I ärende som avses i 6 § tredje eller fjärde stycket får ombudsman bemyndiga tjänsteman vid ombudsmannaexpeditionen att vidta behövliga handläggningsåtgärder.</w:t>
      </w:r>
    </w:p>
    <w:p w:rsidR="003B3271" w:rsidRPr="0008481A" w:rsidRDefault="003B3271">
      <w:r w:rsidRPr="0008481A">
        <w:t>23 § Ärende avgörs efter föredragning, som ankommer på tjänsteman vid ombudsmannaexpeditionen eller särskilt utsedd föredragande. Beslut att avvisa ärende eller avskriva ärende från handläggning kan dock fattas utan föredragning. Ombudsman kan också avgöra annat ärende utan föredragning, om särskilda skäl föranleder det.</w:t>
      </w:r>
    </w:p>
    <w:p w:rsidR="003B3271" w:rsidRPr="0008481A" w:rsidRDefault="003B3271">
      <w:pPr>
        <w:pStyle w:val="Normaltindrag"/>
      </w:pPr>
      <w:r w:rsidRPr="0008481A">
        <w:t>En handling som har getts in till Riksdagens ombudsmän i ett ärende, får inte återlämnas förrän ärendet avgjorts. Om originalhandlingen i ett sådant fall inte finns hos någon myndighet, får återlämnandet förenas med villkor om att bestyrkt kopia av handlingen ges in.</w:t>
      </w:r>
    </w:p>
    <w:p w:rsidR="003B3271" w:rsidRPr="0008481A" w:rsidRDefault="003B3271">
      <w:r w:rsidRPr="0008481A">
        <w:t>24 § Diarier skall föras över samtliga ärenden och däri vidtagna åtgärder.</w:t>
      </w:r>
    </w:p>
    <w:p w:rsidR="003B3271" w:rsidRPr="0008481A" w:rsidRDefault="003B3271">
      <w:pPr>
        <w:pStyle w:val="Normaltindrag"/>
      </w:pPr>
      <w:r w:rsidRPr="0008481A">
        <w:t>I fråga om varje beslut skall vid ombudsmannaexpeditionen finnas hand</w:t>
      </w:r>
      <w:r w:rsidRPr="0008481A">
        <w:softHyphen/>
        <w:t>ling, som utvisar vem som har fattat beslutet och vem som har varit före</w:t>
      </w:r>
      <w:r w:rsidRPr="0008481A">
        <w:softHyphen/>
        <w:t>dragande samt beslutets dag och innehåll. Registratur skall hållas över särskilt uppsatta beslut.</w:t>
      </w:r>
    </w:p>
    <w:p w:rsidR="003B3271" w:rsidRPr="0008481A" w:rsidRDefault="003B3271">
      <w:pPr>
        <w:pStyle w:val="Normaltindrag"/>
      </w:pPr>
      <w:r w:rsidRPr="0008481A">
        <w:t>Protokoll förs vid inspektioner och när protokoll fordras av annan orsak.</w:t>
      </w:r>
    </w:p>
    <w:p w:rsidR="003B3271" w:rsidRPr="0008481A" w:rsidRDefault="003B3271">
      <w:pPr>
        <w:pStyle w:val="Rubrik3"/>
      </w:pPr>
      <w:r w:rsidRPr="0008481A">
        <w:t>Övriga bestämmelser</w:t>
      </w:r>
    </w:p>
    <w:p w:rsidR="003B3271" w:rsidRPr="0008481A" w:rsidRDefault="003B3271">
      <w:r w:rsidRPr="0008481A">
        <w:t>25 § Samtidigt som ämbetsberättelsen lämnas till riksdagen skall diarier, protokoll och registratur för den tid berättelsen avser lämnas till konstitu</w:t>
      </w:r>
      <w:r w:rsidRPr="0008481A">
        <w:softHyphen/>
        <w:t>tionsutskottet.</w:t>
      </w:r>
    </w:p>
    <w:p w:rsidR="003B3271" w:rsidRPr="0008481A" w:rsidRDefault="003B3271">
      <w:r w:rsidRPr="0008481A">
        <w:t>26 § Ombudsmannaexpeditionen skall hållas öppen för allmänheten under tid som chefsjustitieombudsmannen bestämmer.</w:t>
      </w:r>
    </w:p>
    <w:p w:rsidR="003B3271" w:rsidRPr="0008481A" w:rsidRDefault="003B3271">
      <w:r w:rsidRPr="0008481A">
        <w:t>27 § Expedition skall utfärdas utan avgift om ej särskild anledning föranleder till annat. Skall avgift utgå skall den bestämmas med ledning av de regler som gäller för statliga myndigheter i allmänhet.</w:t>
      </w:r>
    </w:p>
    <w:p w:rsidR="003B3271" w:rsidRPr="0008481A" w:rsidRDefault="003B3271">
      <w:pPr>
        <w:pStyle w:val="Normaltindrag"/>
      </w:pPr>
      <w:r w:rsidRPr="0008481A">
        <w:t>Avgiftsbeslut får ej överklagas.</w:t>
      </w:r>
    </w:p>
    <w:p w:rsidR="003B3271" w:rsidRPr="0008481A" w:rsidRDefault="003B3271">
      <w:r w:rsidRPr="0008481A">
        <w:t>28 § Chefsjustitieombudsmannen tillsätter tjänster vid ombuds</w:t>
      </w:r>
      <w:r w:rsidRPr="0008481A">
        <w:softHyphen/>
        <w:t>manna</w:t>
      </w:r>
      <w:r w:rsidRPr="0008481A">
        <w:softHyphen/>
        <w:t>expeditionen och antar personal i övrigt, i den mån han inte enligt 15 § överlåter dessa uppgifter på kanslichefen.</w:t>
      </w:r>
    </w:p>
    <w:p w:rsidR="003B3271" w:rsidRPr="0008481A" w:rsidRDefault="003B3271">
      <w:pPr>
        <w:pStyle w:val="Normaltindrag"/>
      </w:pPr>
      <w:r w:rsidRPr="0008481A">
        <w:t>29 § Om överklagande av beslut som gäller tjänstetillsättning eller eljest rör tjänsteman vid expeditionen, föreskrivs i lagen (1989:186) om överklagande av administrativa beslut av riksdagsförvaltningen och riksdagens myndig</w:t>
      </w:r>
      <w:r w:rsidRPr="0008481A">
        <w:softHyphen/>
        <w:t>heter.</w:t>
      </w:r>
    </w:p>
    <w:p w:rsidR="003B3271" w:rsidRPr="0008481A" w:rsidRDefault="003B3271">
      <w:pPr>
        <w:pStyle w:val="Rubrik1"/>
        <w:spacing w:before="0"/>
        <w:sectPr w:rsidR="00000000" w:rsidRPr="0008481A">
          <w:headerReference w:type="default" r:id="rId25"/>
          <w:pgSz w:w="11906" w:h="16838" w:code="9"/>
          <w:pgMar w:top="3969" w:right="5103" w:bottom="1106" w:left="907" w:header="57" w:footer="57" w:gutter="0"/>
          <w:cols w:space="720"/>
        </w:sectPr>
      </w:pPr>
    </w:p>
    <w:p w:rsidR="003B3271" w:rsidRPr="0008481A" w:rsidRDefault="003B3271">
      <w:pPr>
        <w:pStyle w:val="Rubrik1"/>
        <w:spacing w:before="0"/>
      </w:pPr>
      <w:r w:rsidRPr="0008481A">
        <w:t>Arbetsordning för riksdagens ombudsmanna</w:t>
      </w:r>
      <w:r w:rsidRPr="0008481A">
        <w:softHyphen/>
        <w:t xml:space="preserve">expedition </w:t>
      </w:r>
    </w:p>
    <w:p w:rsidR="003B3271" w:rsidRPr="0008481A" w:rsidRDefault="003B3271">
      <w:r w:rsidRPr="0008481A">
        <w:t>Fastställd den 19 mars 1993 att gälla tills vidare; med ändringar t.o.m. den 30 juni 2000.</w:t>
      </w:r>
      <w:r w:rsidRPr="0008481A">
        <w:tab/>
      </w:r>
      <w:r w:rsidRPr="0008481A">
        <w:tab/>
      </w:r>
      <w:r w:rsidRPr="0008481A">
        <w:tab/>
      </w:r>
    </w:p>
    <w:p w:rsidR="003B3271" w:rsidRPr="0008481A" w:rsidRDefault="003B3271">
      <w:pPr>
        <w:jc w:val="center"/>
      </w:pPr>
      <w:r w:rsidRPr="0008481A">
        <w:t>§ 1</w:t>
      </w:r>
    </w:p>
    <w:p w:rsidR="003B3271" w:rsidRPr="0008481A" w:rsidRDefault="003B3271">
      <w:r w:rsidRPr="0008481A">
        <w:t>Justitieombudsmännens tillsyn är uppdelad i fyra ansvarsområden. Vad varje ansvars</w:t>
      </w:r>
      <w:r w:rsidRPr="0008481A">
        <w:softHyphen/>
        <w:t xml:space="preserve">område omfattar framgår av </w:t>
      </w:r>
      <w:r w:rsidRPr="0008481A">
        <w:rPr>
          <w:i/>
        </w:rPr>
        <w:t>bilaga</w:t>
      </w:r>
      <w:r w:rsidRPr="0008481A">
        <w:t xml:space="preserve"> till denna arbetsordning.</w:t>
      </w:r>
    </w:p>
    <w:p w:rsidR="003B3271" w:rsidRPr="0008481A" w:rsidRDefault="003B3271">
      <w:r w:rsidRPr="0008481A">
        <w:t>Ombudsmännen har följande ansvarsområden:</w:t>
      </w:r>
    </w:p>
    <w:p w:rsidR="003B3271" w:rsidRPr="0008481A" w:rsidRDefault="003B3271">
      <w:r w:rsidRPr="0008481A">
        <w:t>ChefsJO Claes Eklundh</w:t>
      </w:r>
      <w:r w:rsidRPr="0008481A">
        <w:tab/>
      </w:r>
      <w:r w:rsidRPr="0008481A">
        <w:tab/>
        <w:t>Ansvarsområde 1</w:t>
      </w:r>
    </w:p>
    <w:p w:rsidR="003B3271" w:rsidRPr="0008481A" w:rsidRDefault="003B3271">
      <w:r w:rsidRPr="0008481A">
        <w:t>JO Jan Pennlöv</w:t>
      </w:r>
      <w:r w:rsidRPr="0008481A">
        <w:tab/>
      </w:r>
      <w:r w:rsidRPr="0008481A">
        <w:tab/>
      </w:r>
      <w:r w:rsidRPr="0008481A">
        <w:tab/>
        <w:t>Ansvarsområde 2</w:t>
      </w:r>
    </w:p>
    <w:p w:rsidR="003B3271" w:rsidRPr="0008481A" w:rsidRDefault="003B3271">
      <w:r w:rsidRPr="0008481A">
        <w:t>JO Kerstin André</w:t>
      </w:r>
      <w:r w:rsidRPr="0008481A">
        <w:tab/>
      </w:r>
      <w:r w:rsidRPr="0008481A">
        <w:tab/>
        <w:t xml:space="preserve">Ansvarsområde 3 </w:t>
      </w:r>
    </w:p>
    <w:p w:rsidR="003B3271" w:rsidRPr="0008481A" w:rsidRDefault="003B3271">
      <w:r w:rsidRPr="0008481A">
        <w:t>JO Nils-Olof Berggren</w:t>
      </w:r>
      <w:r w:rsidRPr="0008481A">
        <w:tab/>
      </w:r>
      <w:r w:rsidRPr="0008481A">
        <w:tab/>
        <w:t>Ansvarsområde 4</w:t>
      </w:r>
    </w:p>
    <w:p w:rsidR="003B3271" w:rsidRPr="0008481A" w:rsidRDefault="003B3271">
      <w:r w:rsidRPr="0008481A">
        <w:t>Ombudsmännen tar inom sina respektive ansvarsområden de initiativ som de finner på</w:t>
      </w:r>
      <w:r w:rsidRPr="0008481A">
        <w:softHyphen/>
        <w:t>kallade. Justitieombudsmännen skall samråda med chefsjustitie</w:t>
      </w:r>
      <w:r w:rsidRPr="0008481A">
        <w:softHyphen/>
        <w:t>om</w:t>
      </w:r>
      <w:r w:rsidRPr="0008481A">
        <w:softHyphen/>
        <w:t>budsmannen i fråga om inspektioner och andra undersökningar som de avser att genomföra. Ombudsmännen samråder även i övrigt i den utsträckning som befinns erforderlig.</w:t>
      </w:r>
    </w:p>
    <w:p w:rsidR="003B3271" w:rsidRPr="0008481A" w:rsidRDefault="003B3271">
      <w:pPr>
        <w:jc w:val="center"/>
      </w:pPr>
      <w:r w:rsidRPr="0008481A">
        <w:t>§ 2</w:t>
      </w:r>
    </w:p>
    <w:p w:rsidR="003B3271" w:rsidRPr="0008481A" w:rsidRDefault="003B3271">
      <w:r w:rsidRPr="0008481A">
        <w:t>Ett ärende som berör mer än ett ansvarsområde handläggs av den ombuds</w:t>
      </w:r>
      <w:r w:rsidRPr="0008481A">
        <w:softHyphen/>
        <w:t>man till vars ansvarsområde ärendet huvudsakligen hör. I tveksamma fall bestämmer chefsjustitie</w:t>
      </w:r>
      <w:r w:rsidRPr="0008481A">
        <w:softHyphen/>
        <w:t>ombudsmannen vem som skall handlägga ärendet. Har ärenden som tillhör olika ansvars</w:t>
      </w:r>
      <w:r w:rsidRPr="0008481A">
        <w:softHyphen/>
        <w:t>områden nära samband med varandra, bestämmer chefsjustitieombudsmannen vem som skall handlägga ärendena. Om en justitieombudsman på grund av jäv eller av annan anledning inte kan handlägga ett ärende som hör till hans eller hennes ansvarsom</w:t>
      </w:r>
      <w:r w:rsidRPr="0008481A">
        <w:softHyphen/>
        <w:t>råde, bestämmer chefsjustitieombudsmannen vem som skall överta ärendet.</w:t>
      </w:r>
    </w:p>
    <w:p w:rsidR="003B3271" w:rsidRPr="0008481A" w:rsidRDefault="003B3271">
      <w:pPr>
        <w:pStyle w:val="Normaltindrag"/>
      </w:pPr>
      <w:r w:rsidRPr="0008481A">
        <w:t xml:space="preserve">Om befogenhet för </w:t>
      </w:r>
      <w:r w:rsidRPr="0008481A">
        <w:t>chefsjustitieombudsmannen att bestämma att ett visst ärende eller en viss grupp av ärenden skall hänskjutas till honom eller någon annan justitieombuds</w:t>
      </w:r>
      <w:r w:rsidRPr="0008481A">
        <w:softHyphen/>
        <w:t>man oberoende av fastställda ansvarsområden före</w:t>
      </w:r>
      <w:r w:rsidRPr="0008481A">
        <w:softHyphen/>
        <w:t>skrivs i 15 § första stycket lagen (1986:765) med instruktion för Riksdagens ombudsmän (instruktionen).</w:t>
      </w:r>
    </w:p>
    <w:p w:rsidR="003B3271" w:rsidRPr="0008481A" w:rsidRDefault="003B3271">
      <w:pPr>
        <w:jc w:val="center"/>
      </w:pPr>
      <w:r w:rsidRPr="0008481A">
        <w:t>§ 3</w:t>
      </w:r>
    </w:p>
    <w:p w:rsidR="003B3271" w:rsidRPr="0008481A" w:rsidRDefault="003B3271">
      <w:r w:rsidRPr="0008481A">
        <w:t>När chefsjustitieombudsmannen är förhindrad att utöva sin tjänst på grund av sjukdom, semester eller någon annan omständighet inträder i hans ställe den justitieombudsman som anges i 16 § första stycket instruktionen. Vid ledighet för en ombudsman förestås dennes ansvarsområde av chefs</w:t>
      </w:r>
      <w:r w:rsidRPr="0008481A">
        <w:softHyphen/>
        <w:t>justitie</w:t>
      </w:r>
      <w:r w:rsidRPr="0008481A">
        <w:softHyphen/>
        <w:t>ombudsmannen eller den ombudsman som chefsjustitieombuds</w:t>
      </w:r>
      <w:r w:rsidRPr="0008481A">
        <w:softHyphen/>
        <w:t>mannen utser.</w:t>
      </w:r>
    </w:p>
    <w:p w:rsidR="003B3271" w:rsidRPr="0008481A" w:rsidRDefault="003B3271">
      <w:pPr>
        <w:jc w:val="center"/>
      </w:pPr>
      <w:r w:rsidRPr="0008481A">
        <w:t>§ 4</w:t>
      </w:r>
    </w:p>
    <w:p w:rsidR="003B3271" w:rsidRPr="0008481A" w:rsidRDefault="003B3271">
      <w:r w:rsidRPr="0008481A">
        <w:t>För beredning av klago- och initiativärenden samt lagstiftningsremisser biträds ombudsmännen av en kanslichef, byråchefer, avdelningsdirektörer, områdesansvariga föredragande samt föredragande med tidsbegränsad an</w:t>
      </w:r>
      <w:r w:rsidRPr="0008481A">
        <w:softHyphen/>
        <w:t>ställning. För byråcheferna fastställer chefsjustitieombudsmannen sak</w:t>
      </w:r>
      <w:r w:rsidRPr="0008481A">
        <w:softHyphen/>
        <w:t>om</w:t>
      </w:r>
      <w:r w:rsidRPr="0008481A">
        <w:softHyphen/>
        <w:t>råden.</w:t>
      </w:r>
    </w:p>
    <w:p w:rsidR="003B3271" w:rsidRPr="0008481A" w:rsidRDefault="003B3271">
      <w:pPr>
        <w:pStyle w:val="Normaltindrag"/>
      </w:pPr>
      <w:r w:rsidRPr="0008481A">
        <w:t>Hos varje ombudsman finns inrättat ett ärendekansli.</w:t>
      </w:r>
    </w:p>
    <w:p w:rsidR="003B3271" w:rsidRPr="0008481A" w:rsidRDefault="003B3271">
      <w:pPr>
        <w:pStyle w:val="Normaltindrag"/>
      </w:pPr>
      <w:r w:rsidRPr="0008481A">
        <w:t>Chefsjustitieombudsmannen biträds också av en administrativ enhet samt annan per</w:t>
      </w:r>
      <w:r w:rsidRPr="0008481A">
        <w:softHyphen/>
        <w:t>sonal för särskilda uppgifter i den omfattning han bestämmer. I den administrativa enhe</w:t>
      </w:r>
      <w:r w:rsidRPr="0008481A">
        <w:softHyphen/>
        <w:t>ten ingår personal för biträde med ekonomi- och personaladministrativa ärenden, intendenturfrågor och registrering samt expeditionsassistenter och lokalvårdare.</w:t>
      </w:r>
    </w:p>
    <w:p w:rsidR="003B3271" w:rsidRPr="0008481A" w:rsidRDefault="003B3271">
      <w:pPr>
        <w:pStyle w:val="Normaltindrag"/>
      </w:pPr>
      <w:r w:rsidRPr="0008481A">
        <w:t>Inom ombudsmannaexpeditionen finns även ett bibliotek.</w:t>
      </w:r>
    </w:p>
    <w:p w:rsidR="003B3271" w:rsidRPr="0008481A" w:rsidRDefault="003B3271">
      <w:pPr>
        <w:pStyle w:val="Normaltindrag"/>
      </w:pPr>
      <w:r w:rsidRPr="0008481A">
        <w:t>Arbetsuppgifterna för personalen inom ärendekanslierna och admini</w:t>
      </w:r>
      <w:r w:rsidRPr="0008481A">
        <w:softHyphen/>
        <w:t>strativa enheten samt för biblioteksansvarig tjänsteman framgår av särskilda beskrivningar.</w:t>
      </w:r>
    </w:p>
    <w:p w:rsidR="003B3271" w:rsidRPr="0008481A" w:rsidRDefault="003B3271">
      <w:pPr>
        <w:jc w:val="center"/>
      </w:pPr>
      <w:r w:rsidRPr="0008481A">
        <w:t>§ 5</w:t>
      </w:r>
    </w:p>
    <w:p w:rsidR="003B3271" w:rsidRPr="0008481A" w:rsidRDefault="003B3271">
      <w:r w:rsidRPr="0008481A">
        <w:t>Kanslichefen utför särskilda utredningar efter beslut av chefsjustitie</w:t>
      </w:r>
      <w:r w:rsidRPr="0008481A">
        <w:softHyphen/>
        <w:t>ombudsmannen, bereder ärenden som tilldelas honom och biträder ombuds</w:t>
      </w:r>
      <w:r w:rsidRPr="0008481A">
        <w:softHyphen/>
        <w:t>männen i övrigt enligt chefsjustitieombudsmannens bestämmande.</w:t>
      </w:r>
    </w:p>
    <w:p w:rsidR="003B3271" w:rsidRPr="0008481A" w:rsidRDefault="003B3271">
      <w:pPr>
        <w:pStyle w:val="Normaltindrag"/>
      </w:pPr>
      <w:r w:rsidRPr="0008481A">
        <w:t>Den administrativa enheten är underställd kanslichefen. Denne är vidare data-, arkiv- och utbildningsansvarig samt ansvarig för expeditionens lokaler och inventarier.</w:t>
      </w:r>
    </w:p>
    <w:p w:rsidR="003B3271" w:rsidRPr="0008481A" w:rsidRDefault="003B3271">
      <w:pPr>
        <w:pStyle w:val="Normaltindrag"/>
      </w:pPr>
      <w:r w:rsidRPr="0008481A">
        <w:t>Kanslichefen får i de ärenden som handläggs av honom besluta om remisser och an</w:t>
      </w:r>
      <w:r w:rsidRPr="0008481A">
        <w:softHyphen/>
        <w:t>nat utredningsförfarande. Han får också på uppdrag av en ombudsman verkställa in</w:t>
      </w:r>
      <w:r w:rsidRPr="0008481A">
        <w:softHyphen/>
        <w:t>spektion, dock utan rätt att vid denna framställa anmärkningar eller göra sådana uttalan</w:t>
      </w:r>
      <w:r w:rsidRPr="0008481A">
        <w:softHyphen/>
        <w:t>den som åsyftas i 6 § första stycket instruktionen.</w:t>
      </w:r>
    </w:p>
    <w:p w:rsidR="003B3271" w:rsidRPr="0008481A" w:rsidRDefault="003B3271">
      <w:pPr>
        <w:pStyle w:val="Normaltindrag"/>
      </w:pPr>
      <w:r w:rsidRPr="0008481A">
        <w:t>Kanslichefen får vidare besluta i samtliga personalfrågor (anställningar, entlediganden etc.) beträffande om</w:t>
      </w:r>
      <w:r w:rsidRPr="0008481A">
        <w:softHyphen/>
        <w:t>budsmannaexpeditionens personal, dock inte om</w:t>
      </w:r>
    </w:p>
    <w:p w:rsidR="003B3271" w:rsidRPr="0008481A" w:rsidRDefault="003B3271">
      <w:pPr>
        <w:pStyle w:val="Normaltindrag"/>
      </w:pPr>
      <w:r w:rsidRPr="0008481A">
        <w:t>1. skiljande från anställning på grund av personliga förhållanden om det inte är fråga om provanställning</w:t>
      </w:r>
    </w:p>
    <w:p w:rsidR="003B3271" w:rsidRPr="0008481A" w:rsidRDefault="003B3271">
      <w:pPr>
        <w:pStyle w:val="Normaltindrag"/>
      </w:pPr>
      <w:r w:rsidRPr="0008481A">
        <w:t>2. disciplinansvar</w:t>
      </w:r>
    </w:p>
    <w:p w:rsidR="003B3271" w:rsidRPr="0008481A" w:rsidRDefault="003B3271">
      <w:pPr>
        <w:pStyle w:val="Normaltindrag"/>
      </w:pPr>
      <w:r w:rsidRPr="0008481A">
        <w:t>3. åtalsanmälan</w:t>
      </w:r>
    </w:p>
    <w:p w:rsidR="003B3271" w:rsidRPr="0008481A" w:rsidRDefault="003B3271">
      <w:pPr>
        <w:pStyle w:val="Normaltindrag"/>
      </w:pPr>
      <w:r w:rsidRPr="0008481A">
        <w:t>4. avstängning eller läkarundersökning</w:t>
      </w:r>
    </w:p>
    <w:p w:rsidR="003B3271" w:rsidRPr="0008481A" w:rsidRDefault="003B3271">
      <w:pPr>
        <w:pStyle w:val="Normaltindrag"/>
      </w:pPr>
      <w:r w:rsidRPr="0008481A">
        <w:t>5. anställning och entledigande av byråchefer samt områdesansvariga före</w:t>
      </w:r>
      <w:r w:rsidRPr="0008481A">
        <w:softHyphen/>
        <w:t>dragande företräda Riksdagens ombudsmän i förhandlingar med personal</w:t>
      </w:r>
      <w:r w:rsidRPr="0008481A">
        <w:softHyphen/>
        <w:t>organisationerna med tillämpning av samtliga gällande avtal och andra bestämmelser för riksdagen och dess verk</w:t>
      </w:r>
    </w:p>
    <w:p w:rsidR="003B3271" w:rsidRPr="0008481A" w:rsidRDefault="003B3271">
      <w:pPr>
        <w:pStyle w:val="Normaltindrag"/>
      </w:pPr>
      <w:r w:rsidRPr="0008481A">
        <w:t>besluta om semester och tjänstledighet för personalen vid ombuds</w:t>
      </w:r>
      <w:r w:rsidRPr="0008481A">
        <w:softHyphen/>
        <w:t>mannaexpeditionen, dock ej för sig själv; ansökningar om tjänstledighet för längre tid än en månad skall dock överlämnas till chefsjustitieom</w:t>
      </w:r>
      <w:r w:rsidRPr="0008481A">
        <w:softHyphen/>
        <w:t>buds</w:t>
      </w:r>
      <w:r w:rsidRPr="0008481A">
        <w:softHyphen/>
        <w:t>mannen för beslut</w:t>
      </w:r>
    </w:p>
    <w:p w:rsidR="003B3271" w:rsidRPr="0008481A" w:rsidRDefault="003B3271">
      <w:pPr>
        <w:pStyle w:val="Normaltindrag"/>
      </w:pPr>
      <w:r w:rsidRPr="0008481A">
        <w:t>förordna vikarie för personal som beviljats semester eller tjänstledighet</w:t>
      </w:r>
    </w:p>
    <w:p w:rsidR="003B3271" w:rsidRPr="0008481A" w:rsidRDefault="003B3271">
      <w:pPr>
        <w:pStyle w:val="Normaltindrag"/>
      </w:pPr>
      <w:r w:rsidRPr="0008481A">
        <w:t>attestera fakturor och utbetalningsorder, bokföringsorder m.m. i det statliga redovis</w:t>
      </w:r>
      <w:r w:rsidRPr="0008481A">
        <w:softHyphen/>
        <w:t>ningssystemet</w:t>
      </w:r>
    </w:p>
    <w:p w:rsidR="003B3271" w:rsidRPr="0008481A" w:rsidRDefault="003B3271">
      <w:pPr>
        <w:pStyle w:val="Normaltindrag"/>
      </w:pPr>
      <w:r w:rsidRPr="0008481A">
        <w:t>inventera kontantkassa</w:t>
      </w:r>
    </w:p>
    <w:p w:rsidR="003B3271" w:rsidRPr="0008481A" w:rsidRDefault="003B3271">
      <w:pPr>
        <w:pStyle w:val="Normaltindrag"/>
      </w:pPr>
      <w:r w:rsidRPr="0008481A">
        <w:t>underteckna tjänstgöringsuppgifter, anställningsbevis och tjänstekort</w:t>
      </w:r>
    </w:p>
    <w:p w:rsidR="003B3271" w:rsidRPr="0008481A" w:rsidRDefault="003B3271">
      <w:pPr>
        <w:pStyle w:val="Normaltindrag"/>
      </w:pPr>
      <w:r w:rsidRPr="0008481A">
        <w:t>besluta om utanordningar till extra föredragande och andra uppdragstagare</w:t>
      </w:r>
    </w:p>
    <w:p w:rsidR="003B3271" w:rsidRPr="0008481A" w:rsidRDefault="003B3271">
      <w:pPr>
        <w:pStyle w:val="Normaltindrag"/>
      </w:pPr>
      <w:r w:rsidRPr="0008481A">
        <w:t>kvittera ut rekommenderad post till ombudsmannaexpeditionen</w:t>
      </w:r>
    </w:p>
    <w:p w:rsidR="003B3271" w:rsidRPr="0008481A" w:rsidRDefault="003B3271">
      <w:pPr>
        <w:pStyle w:val="Normaltindrag"/>
      </w:pPr>
      <w:r w:rsidRPr="0008481A">
        <w:t>ombesörja månads- och årsstatistik.</w:t>
      </w:r>
    </w:p>
    <w:p w:rsidR="003B3271" w:rsidRPr="0008481A" w:rsidRDefault="003B3271">
      <w:pPr>
        <w:jc w:val="center"/>
      </w:pPr>
      <w:r w:rsidRPr="0008481A">
        <w:t>§ 6</w:t>
      </w:r>
    </w:p>
    <w:p w:rsidR="003B3271" w:rsidRPr="0008481A" w:rsidRDefault="003B3271">
      <w:r w:rsidRPr="0008481A">
        <w:t>Byråcheferna skall var och en inom sitt sakområde i samråd med berörda ombudsmän fördela ärendena på föredragande. De får vidare besluta om remisser och annat utred</w:t>
      </w:r>
      <w:r w:rsidRPr="0008481A">
        <w:softHyphen/>
        <w:t>ningsförfarande, handlägga frågor rörande efter</w:t>
      </w:r>
      <w:r w:rsidRPr="0008481A">
        <w:softHyphen/>
        <w:t>skrifter i avgjorda ärenden samt på upp</w:t>
      </w:r>
      <w:r w:rsidRPr="0008481A">
        <w:softHyphen/>
        <w:t>drag av vederbörande ombudsman verkställa inspektion, dock utan rätt att vid denna framställa anmärkningar eller göra sådana uttalanden som åsyftas i 6 § första stycket instruktionen.</w:t>
      </w:r>
    </w:p>
    <w:p w:rsidR="003B3271" w:rsidRPr="0008481A" w:rsidRDefault="003B3271">
      <w:pPr>
        <w:pStyle w:val="Normaltindrag"/>
      </w:pPr>
      <w:r w:rsidRPr="0008481A">
        <w:t>Byråcheferna skall – förutom att bereda egna ärenden – se till att ärendena blir hand</w:t>
      </w:r>
      <w:r w:rsidRPr="0008481A">
        <w:softHyphen/>
        <w:t>lagda på ett tillfredsställande sätt och med den skyndsamhet som krävs. De har också ansvar för redigeringen av referat och notiser som skall publiceras i JO:s ämbetsberät</w:t>
      </w:r>
      <w:r w:rsidRPr="0008481A">
        <w:softHyphen/>
        <w:t>telse.</w:t>
      </w:r>
    </w:p>
    <w:p w:rsidR="003B3271" w:rsidRPr="0008481A" w:rsidRDefault="003B3271">
      <w:pPr>
        <w:pStyle w:val="Normaltindrag"/>
      </w:pPr>
      <w:r w:rsidRPr="0008481A">
        <w:t>Om ett ärende är av större vikt bör det handläggas av en byråchef.</w:t>
      </w:r>
    </w:p>
    <w:p w:rsidR="003B3271" w:rsidRPr="0008481A" w:rsidRDefault="003B3271">
      <w:pPr>
        <w:jc w:val="center"/>
      </w:pPr>
      <w:r w:rsidRPr="0008481A">
        <w:t>§ 7</w:t>
      </w:r>
    </w:p>
    <w:p w:rsidR="003B3271" w:rsidRPr="0008481A" w:rsidRDefault="003B3271">
      <w:r w:rsidRPr="0008481A">
        <w:t>Föredragandena får i de ärenden de tilldelats inhämta underhands</w:t>
      </w:r>
      <w:r w:rsidRPr="0008481A">
        <w:softHyphen/>
        <w:t>upp</w:t>
      </w:r>
      <w:r w:rsidRPr="0008481A">
        <w:softHyphen/>
        <w:t>lys</w:t>
      </w:r>
      <w:r w:rsidRPr="0008481A">
        <w:softHyphen/>
        <w:t>ningar, infordra de handlingar som kan finnas rörande saken samt överlämna handlingar till klaganden för yttrande. De får även, efter särskilt be</w:t>
      </w:r>
      <w:r w:rsidRPr="0008481A">
        <w:softHyphen/>
        <w:t>myndigande av vederbörande ombudsman, handlägga frågor rörande efter</w:t>
      </w:r>
      <w:r w:rsidRPr="0008481A">
        <w:softHyphen/>
        <w:t>skrifter i avgjorda ärenden. Områdesansvariga föredragande får där</w:t>
      </w:r>
      <w:r w:rsidRPr="0008481A">
        <w:softHyphen/>
        <w:t>utöver efter särskilt bemyndigande av vederbörande justitieombudsman besluta om remisser och annat utredningsförfarande samt på uppdrag av vederbörande justitieombudsman verkställa inspektion, dock utan rätt att vid denna</w:t>
      </w:r>
      <w:r w:rsidRPr="0008481A">
        <w:t xml:space="preserve"> fram</w:t>
      </w:r>
      <w:r w:rsidRPr="0008481A">
        <w:softHyphen/>
        <w:t xml:space="preserve">ställa anmärkningar eller göra sådana uttalanden som åsyftas i 6 § första stycket instruktionen. </w:t>
      </w:r>
    </w:p>
    <w:p w:rsidR="003B3271" w:rsidRPr="0008481A" w:rsidRDefault="003B3271">
      <w:pPr>
        <w:pStyle w:val="Normaltindrag"/>
      </w:pPr>
      <w:r w:rsidRPr="0008481A">
        <w:t>Vid tilldelningen av ärenden skall hänsyn tas till de olika föredragandenas särskilda kunskaper och erfarenheter. En jämn arbetsfördelning mellan före</w:t>
      </w:r>
      <w:r w:rsidRPr="0008481A">
        <w:softHyphen/>
        <w:t>dragandena skall ef</w:t>
      </w:r>
      <w:r w:rsidRPr="0008481A">
        <w:softHyphen/>
        <w:t>tersträvas. I den mån områdesansvarig föredragande finns inom ett sakområde bör denne handlägga ärenden av större vikt inom området.</w:t>
      </w:r>
    </w:p>
    <w:p w:rsidR="003B3271" w:rsidRPr="0008481A" w:rsidRDefault="003B3271">
      <w:pPr>
        <w:pStyle w:val="Normaltindrag"/>
      </w:pPr>
      <w:r w:rsidRPr="0008481A">
        <w:t>Varje föredragande skall om möjligt ges tillfälle att handlägga för honom eller henne nya ärendetyper.</w:t>
      </w:r>
    </w:p>
    <w:p w:rsidR="003B3271" w:rsidRPr="0008481A" w:rsidRDefault="003B3271">
      <w:pPr>
        <w:jc w:val="center"/>
      </w:pPr>
      <w:r w:rsidRPr="0008481A">
        <w:t>§ 8</w:t>
      </w:r>
    </w:p>
    <w:p w:rsidR="003B3271" w:rsidRPr="0008481A" w:rsidRDefault="003B3271">
      <w:r w:rsidRPr="0008481A">
        <w:t>En ombudsmans slutliga beslut skrivs ut i ett exemplar, som skall under</w:t>
      </w:r>
      <w:r w:rsidRPr="0008481A">
        <w:softHyphen/>
        <w:t>tecknas av om</w:t>
      </w:r>
      <w:r w:rsidRPr="0008481A">
        <w:softHyphen/>
        <w:t>budsmannen och ingå i registraturet.</w:t>
      </w:r>
    </w:p>
    <w:p w:rsidR="003B3271" w:rsidRPr="0008481A" w:rsidRDefault="003B3271">
      <w:pPr>
        <w:pStyle w:val="Normaltindrag"/>
      </w:pPr>
      <w:r w:rsidRPr="0008481A">
        <w:t>Utgående expeditioner framställs genom fotokopiering. En expedition skall alltid sändas till klaganden och, i förekommande fall, till myndigheter och tjänstemän som yttrat sig i ärendet eller som beslutet särskilt rör. En fotokopia av beslutet fogas till ak</w:t>
      </w:r>
      <w:r w:rsidRPr="0008481A">
        <w:softHyphen/>
        <w:t>ten i ärendet.</w:t>
      </w:r>
    </w:p>
    <w:p w:rsidR="003B3271" w:rsidRPr="0008481A" w:rsidRDefault="003B3271">
      <w:pPr>
        <w:pStyle w:val="Normaltindrag"/>
      </w:pPr>
      <w:r w:rsidRPr="0008481A">
        <w:t>Utgående expeditioner av beslut som inte avser ärendets avslutande undertecknas av den som fattat beslutet eller av annan på uppdrag av den beslutande.</w:t>
      </w:r>
    </w:p>
    <w:p w:rsidR="003B3271" w:rsidRPr="0008481A" w:rsidRDefault="003B3271">
      <w:pPr>
        <w:spacing w:before="0"/>
        <w:jc w:val="center"/>
      </w:pPr>
      <w:r w:rsidRPr="0008481A">
        <w:br w:type="page"/>
        <w:t>§ 9</w:t>
      </w:r>
    </w:p>
    <w:p w:rsidR="003B3271" w:rsidRPr="0008481A" w:rsidRDefault="003B3271">
      <w:r w:rsidRPr="0008481A">
        <w:t>För bibliotekets ledning finns en biblioteksnämnd, i vilken ingår en ombuds</w:t>
      </w:r>
      <w:r w:rsidRPr="0008481A">
        <w:softHyphen/>
        <w:t>man, kansli</w:t>
      </w:r>
      <w:r w:rsidRPr="0008481A">
        <w:softHyphen/>
        <w:t>chefen och biblioteksansvarig tjänsteman. Den ombudsman som skall ingå i nämnden utses av chefsjustitieombudsmannen.</w:t>
      </w:r>
    </w:p>
    <w:p w:rsidR="003B3271" w:rsidRPr="0008481A" w:rsidRDefault="003B3271">
      <w:pPr>
        <w:pStyle w:val="Normaltindrag"/>
      </w:pPr>
      <w:r w:rsidRPr="0008481A">
        <w:t>Biblioteksnämnden beslutar i frågor om förvärv till biblioteket inom ramen för i JO:s internbudget anvisade medel samt har i övrigt överinseende över bibliotekets verksam</w:t>
      </w:r>
      <w:r w:rsidRPr="0008481A">
        <w:softHyphen/>
        <w:t>het.</w:t>
      </w:r>
    </w:p>
    <w:p w:rsidR="003B3271" w:rsidRPr="0008481A" w:rsidRDefault="003B3271">
      <w:pPr>
        <w:jc w:val="center"/>
      </w:pPr>
      <w:r w:rsidRPr="0008481A">
        <w:t>§ 10</w:t>
      </w:r>
    </w:p>
    <w:p w:rsidR="003B3271" w:rsidRPr="0008481A" w:rsidRDefault="003B3271">
      <w:r w:rsidRPr="0008481A">
        <w:t>Personalen på registratorsexpeditionen biträder – utöver arbetsuppgifter enligt den sär</w:t>
      </w:r>
      <w:r w:rsidRPr="0008481A">
        <w:softHyphen/>
        <w:t>skilda arbetsbeskrivningen – med utlämnande av handlingar till myndigheter, massme</w:t>
      </w:r>
      <w:r w:rsidRPr="0008481A">
        <w:softHyphen/>
        <w:t>dier och allmänhet och lämnar erforderliga upplys</w:t>
      </w:r>
      <w:r w:rsidRPr="0008481A">
        <w:softHyphen/>
        <w:t>ningar med ledning av uppgifter ur datoriserade register och databaser, registratur, protokoll samt övriga inom expeditionen tillgängliga handlingar.</w:t>
      </w:r>
    </w:p>
    <w:p w:rsidR="003B3271" w:rsidRPr="0008481A" w:rsidRDefault="003B3271">
      <w:pPr>
        <w:jc w:val="center"/>
      </w:pPr>
      <w:r w:rsidRPr="0008481A">
        <w:t>§ 11</w:t>
      </w:r>
    </w:p>
    <w:p w:rsidR="003B3271" w:rsidRPr="0008481A" w:rsidRDefault="003B3271">
      <w:r w:rsidRPr="0008481A">
        <w:t>Fråga om utlämnande av allmän handling avgörs på myndighetens vägnar av den justi</w:t>
      </w:r>
      <w:r w:rsidRPr="0008481A">
        <w:softHyphen/>
        <w:t>tieombudsman, till vars ansvarsområde ärendet hör, eller av chefs</w:t>
      </w:r>
      <w:r w:rsidRPr="0008481A">
        <w:softHyphen/>
        <w:t>justitieombudsman</w:t>
      </w:r>
      <w:r w:rsidRPr="0008481A">
        <w:softHyphen/>
        <w:t>nen.</w:t>
      </w:r>
    </w:p>
    <w:p w:rsidR="003B3271" w:rsidRPr="0008481A" w:rsidRDefault="003B3271">
      <w:pPr>
        <w:jc w:val="center"/>
      </w:pPr>
      <w:r w:rsidRPr="0008481A">
        <w:t>§ 12</w:t>
      </w:r>
    </w:p>
    <w:p w:rsidR="003B3271" w:rsidRPr="0008481A" w:rsidRDefault="003B3271">
      <w:r w:rsidRPr="0008481A">
        <w:t>Säkerhets- och beredskapsfrågor handläggs under chefsjustitie</w:t>
      </w:r>
      <w:r w:rsidRPr="0008481A">
        <w:softHyphen/>
        <w:t>ombuds</w:t>
      </w:r>
      <w:r w:rsidRPr="0008481A">
        <w:softHyphen/>
        <w:t>mannen av en befattningshavare inom ombudsmannaexpeditionen med särskilt uppdrag att vara säker</w:t>
      </w:r>
      <w:r w:rsidRPr="0008481A">
        <w:softHyphen/>
        <w:t>hetsansvarig.</w:t>
      </w:r>
    </w:p>
    <w:p w:rsidR="003B3271" w:rsidRPr="0008481A" w:rsidRDefault="003B3271">
      <w:pPr>
        <w:jc w:val="center"/>
      </w:pPr>
      <w:r w:rsidRPr="0008481A">
        <w:t>§ 13</w:t>
      </w:r>
    </w:p>
    <w:p w:rsidR="003B3271" w:rsidRPr="0008481A" w:rsidRDefault="003B3271">
      <w:r w:rsidRPr="0008481A">
        <w:t>Ombudsmännen tar emot besök av allmänheten efter överenskommelse i varje särskilt fall.</w:t>
      </w:r>
    </w:p>
    <w:p w:rsidR="003B3271" w:rsidRPr="0008481A" w:rsidRDefault="003B3271">
      <w:pPr>
        <w:jc w:val="center"/>
      </w:pPr>
      <w:r w:rsidRPr="0008481A">
        <w:t>§ 14</w:t>
      </w:r>
    </w:p>
    <w:p w:rsidR="003B3271" w:rsidRPr="0008481A" w:rsidRDefault="003B3271">
      <w:r w:rsidRPr="0008481A">
        <w:t>Registratorsexpeditionen hålls öppen för allmänheten måndag–fredag klockan 09.00–12.00 och klockan 13.0–15.00, om inte annat bestämts i särskilt fall.</w:t>
      </w:r>
    </w:p>
    <w:p w:rsidR="003B3271" w:rsidRPr="0008481A" w:rsidRDefault="003B3271">
      <w:pPr>
        <w:rPr>
          <w:b/>
        </w:rPr>
      </w:pPr>
      <w:r w:rsidRPr="0008481A">
        <w:rPr>
          <w:b/>
        </w:rPr>
        <w:t xml:space="preserve"> </w:t>
      </w:r>
    </w:p>
    <w:p w:rsidR="003B3271" w:rsidRPr="0008481A" w:rsidRDefault="003B3271">
      <w:pPr>
        <w:pStyle w:val="Rubrik3"/>
        <w:spacing w:before="0"/>
      </w:pPr>
      <w:r w:rsidRPr="0008481A">
        <w:br w:type="page"/>
        <w:t>Ansvarsområde 1</w:t>
      </w:r>
    </w:p>
    <w:p w:rsidR="003B3271" w:rsidRPr="0008481A" w:rsidRDefault="003B3271">
      <w:pPr>
        <w:tabs>
          <w:tab w:val="left" w:pos="284"/>
        </w:tabs>
      </w:pPr>
      <w:r w:rsidRPr="0008481A">
        <w:t>Allmänna domstolar, Arbetsdomstolen, arrendenämnder och hyresnämnder; Domstolsverket.</w:t>
      </w:r>
    </w:p>
    <w:p w:rsidR="003B3271" w:rsidRPr="0008481A" w:rsidRDefault="003B3271">
      <w:pPr>
        <w:pStyle w:val="Normaltindrag"/>
      </w:pPr>
      <w:r w:rsidRPr="0008481A">
        <w:t>Allmänna åklagare.</w:t>
      </w:r>
    </w:p>
    <w:p w:rsidR="003B3271" w:rsidRPr="0008481A" w:rsidRDefault="003B3271">
      <w:pPr>
        <w:pStyle w:val="Normaltindrag"/>
      </w:pPr>
      <w:r w:rsidRPr="0008481A">
        <w:t>Polisväsendet (dock ej utlänningsärenden).</w:t>
      </w:r>
    </w:p>
    <w:p w:rsidR="003B3271" w:rsidRPr="0008481A" w:rsidRDefault="003B3271">
      <w:pPr>
        <w:pStyle w:val="Normaltindrag"/>
      </w:pPr>
      <w:r w:rsidRPr="0008481A">
        <w:t>Ärenden rörande JO:s kompetensområde, skrifter med oklara yrkanden.</w:t>
      </w:r>
    </w:p>
    <w:p w:rsidR="003B3271" w:rsidRPr="0008481A" w:rsidRDefault="003B3271">
      <w:pPr>
        <w:pStyle w:val="Rubrik3"/>
      </w:pPr>
      <w:r w:rsidRPr="0008481A">
        <w:t>Ansvarsområde 2</w:t>
      </w:r>
    </w:p>
    <w:p w:rsidR="003B3271" w:rsidRPr="0008481A" w:rsidRDefault="003B3271">
      <w:r w:rsidRPr="0008481A">
        <w:t>Försvarsväsendet, vapenfri tjänst och övriga till Försvarsdepartementet hörande ären</w:t>
      </w:r>
      <w:r w:rsidRPr="0008481A">
        <w:softHyphen/>
        <w:t>den.</w:t>
      </w:r>
    </w:p>
    <w:p w:rsidR="003B3271" w:rsidRPr="0008481A" w:rsidRDefault="003B3271">
      <w:pPr>
        <w:pStyle w:val="Normaltindrag"/>
      </w:pPr>
      <w:r w:rsidRPr="0008481A">
        <w:t>Exekutionsväsendet.</w:t>
      </w:r>
    </w:p>
    <w:p w:rsidR="003B3271" w:rsidRPr="0008481A" w:rsidRDefault="003B3271">
      <w:pPr>
        <w:pStyle w:val="Normaltindrag"/>
      </w:pPr>
      <w:r w:rsidRPr="0008481A">
        <w:t>Kriminalvården.</w:t>
      </w:r>
    </w:p>
    <w:p w:rsidR="003B3271" w:rsidRPr="0008481A" w:rsidRDefault="003B3271">
      <w:pPr>
        <w:pStyle w:val="Normaltindrag"/>
      </w:pPr>
      <w:r w:rsidRPr="0008481A">
        <w:t>Inkomst- och förmögenhetsskatt, mervärdesskatt, skattekontroll, uppbörd.</w:t>
      </w:r>
    </w:p>
    <w:p w:rsidR="003B3271" w:rsidRPr="0008481A" w:rsidRDefault="003B3271">
      <w:pPr>
        <w:pStyle w:val="Normaltindrag"/>
      </w:pPr>
      <w:r w:rsidRPr="0008481A">
        <w:t>Punktskatter och prisregleringsavgifter, vägtrafikskatt, hundskatt, arvs- och gåvoskatt, expeditionsavgifter, tullväsendet, Finansinspektionen, folkbok</w:t>
      </w:r>
      <w:r w:rsidRPr="0008481A">
        <w:softHyphen/>
        <w:t>föring (inkl. namnären</w:t>
      </w:r>
      <w:r w:rsidRPr="0008481A">
        <w:softHyphen/>
        <w:t>den); övriga till Finansdepartementet hörande ärenden som ej tillhör annat ansvarsom</w:t>
      </w:r>
      <w:r w:rsidRPr="0008481A">
        <w:softHyphen/>
        <w:t>råde.</w:t>
      </w:r>
    </w:p>
    <w:p w:rsidR="003B3271" w:rsidRPr="0008481A" w:rsidRDefault="003B3271">
      <w:pPr>
        <w:pStyle w:val="Normaltindrag"/>
      </w:pPr>
      <w:r w:rsidRPr="0008481A">
        <w:t>Allmän försäkring (sjuk-, pensions-, föräldra- och arbetsskadeförsäkring, inkomst</w:t>
      </w:r>
      <w:r w:rsidRPr="0008481A">
        <w:softHyphen/>
        <w:t>prövade förmåner, barnbidrag, bidragsförskott samt familjebidrag och andra värnplikts</w:t>
      </w:r>
      <w:r w:rsidRPr="0008481A">
        <w:softHyphen/>
        <w:t>förmåner).</w:t>
      </w:r>
    </w:p>
    <w:p w:rsidR="003B3271" w:rsidRPr="0008481A" w:rsidRDefault="003B3271">
      <w:pPr>
        <w:pStyle w:val="Normaltindrag"/>
      </w:pPr>
      <w:r w:rsidRPr="0008481A">
        <w:t>Förmynderskapsärenden, överförmyndare och överförmyndarnämnder.</w:t>
      </w:r>
    </w:p>
    <w:p w:rsidR="003B3271" w:rsidRPr="0008481A" w:rsidRDefault="003B3271">
      <w:pPr>
        <w:pStyle w:val="Rubrik3"/>
      </w:pPr>
      <w:r w:rsidRPr="0008481A">
        <w:t>Ansvarsområde 3</w:t>
      </w:r>
    </w:p>
    <w:p w:rsidR="003B3271" w:rsidRPr="0008481A" w:rsidRDefault="003B3271">
      <w:r w:rsidRPr="0008481A">
        <w:t>Tillämpningen av socialtjänstlagen, lagen med särskilda bestämmelser om vård av unga (LVU) och lagen om vård av miss</w:t>
      </w:r>
      <w:r w:rsidRPr="0008481A">
        <w:softHyphen/>
        <w:t>brukare i vissa fall (LVM).</w:t>
      </w:r>
    </w:p>
    <w:p w:rsidR="003B3271" w:rsidRPr="0008481A" w:rsidRDefault="003B3271">
      <w:pPr>
        <w:pStyle w:val="Normaltindrag"/>
      </w:pPr>
      <w:r w:rsidRPr="0008481A">
        <w:t>Hälso- och sjukvård, tillämpningen av lagen om stöd och service åt vissa funktionshindrade, övrig omsorgsverksamhet; rättsmedi</w:t>
      </w:r>
      <w:r w:rsidRPr="0008481A">
        <w:softHyphen/>
        <w:t>cinska under</w:t>
      </w:r>
      <w:r w:rsidRPr="0008481A">
        <w:softHyphen/>
        <w:t>sök</w:t>
      </w:r>
      <w:r w:rsidRPr="0008481A">
        <w:softHyphen/>
        <w:t>ningsväsendet, rättspsykiatriska undersökningsväsendet; tandvården, läke</w:t>
      </w:r>
      <w:r w:rsidRPr="0008481A">
        <w:softHyphen/>
        <w:t>medel.</w:t>
      </w:r>
    </w:p>
    <w:p w:rsidR="003B3271" w:rsidRPr="0008481A" w:rsidRDefault="003B3271">
      <w:pPr>
        <w:pStyle w:val="Normaltindrag"/>
      </w:pPr>
      <w:r w:rsidRPr="0008481A">
        <w:t>Övriga till Socialdepartementet hörande ärenden utom ärenden rörande allmän för</w:t>
      </w:r>
      <w:r w:rsidRPr="0008481A">
        <w:softHyphen/>
        <w:t>säkring och övriga socialförsäkringar, hälsoskydd samt serverings</w:t>
      </w:r>
      <w:r w:rsidRPr="0008481A">
        <w:softHyphen/>
        <w:t>tillstånd.</w:t>
      </w:r>
    </w:p>
    <w:p w:rsidR="003B3271" w:rsidRPr="0008481A" w:rsidRDefault="003B3271">
      <w:pPr>
        <w:pStyle w:val="Normaltindrag"/>
      </w:pPr>
      <w:r w:rsidRPr="0008481A">
        <w:t xml:space="preserve">Utbildningsväsendet och övriga till Utbildningsdepartementet hörande ärenden.      </w:t>
      </w:r>
    </w:p>
    <w:p w:rsidR="003B3271" w:rsidRPr="0008481A" w:rsidRDefault="003B3271">
      <w:pPr>
        <w:pStyle w:val="Rubrik3"/>
      </w:pPr>
      <w:r w:rsidRPr="0008481A">
        <w:t>Ansvarsområde 4</w:t>
      </w:r>
    </w:p>
    <w:p w:rsidR="003B3271" w:rsidRPr="0008481A" w:rsidRDefault="003B3271">
      <w:r w:rsidRPr="0008481A">
        <w:t>Förvaltningsdomstolar.</w:t>
      </w:r>
    </w:p>
    <w:p w:rsidR="003B3271" w:rsidRPr="0008481A" w:rsidRDefault="003B3271">
      <w:pPr>
        <w:pStyle w:val="Normaltindrag"/>
      </w:pPr>
      <w:r w:rsidRPr="0008481A">
        <w:t>Rättshjälp, Brottsoffermyndigheten, allmänna advokatbyråer, nådeärenden; övriga till Justitiedepartementet hörande ärenden som ej tillhör annat ansvarsom</w:t>
      </w:r>
      <w:r w:rsidRPr="0008481A">
        <w:softHyphen/>
        <w:t>råde.</w:t>
      </w:r>
    </w:p>
    <w:p w:rsidR="003B3271" w:rsidRPr="0008481A" w:rsidRDefault="003B3271">
      <w:pPr>
        <w:pStyle w:val="Normaltindrag"/>
      </w:pPr>
      <w:r w:rsidRPr="0008481A">
        <w:t>Arbetsmarknaden; arbetslöshetsförsäkring, etnisk diskriminering, Kam</w:t>
      </w:r>
      <w:r w:rsidRPr="0008481A">
        <w:softHyphen/>
        <w:t>mar</w:t>
      </w:r>
      <w:r w:rsidRPr="0008481A">
        <w:softHyphen/>
        <w:t xml:space="preserve">kollegiet, Ungdomsstyrelsen. </w:t>
      </w:r>
    </w:p>
    <w:p w:rsidR="003B3271" w:rsidRPr="0008481A" w:rsidRDefault="003B3271">
      <w:pPr>
        <w:pStyle w:val="Normaltindrag"/>
      </w:pPr>
      <w:r w:rsidRPr="0008481A">
        <w:t>Plan- och byggnadsväsendet, lantmäteri- och kartväsendet.</w:t>
      </w:r>
    </w:p>
    <w:p w:rsidR="003B3271" w:rsidRPr="0008481A" w:rsidRDefault="003B3271">
      <w:pPr>
        <w:pStyle w:val="Normaltindrag"/>
      </w:pPr>
      <w:r w:rsidRPr="0008481A">
        <w:t>Icke specialreglerad kommunalförvaltning.</w:t>
      </w:r>
    </w:p>
    <w:p w:rsidR="003B3271" w:rsidRPr="0008481A" w:rsidRDefault="003B3271">
      <w:pPr>
        <w:pStyle w:val="Normaltindrag"/>
      </w:pPr>
      <w:r w:rsidRPr="0008481A">
        <w:t>Kommunikationsväsendet (affärsverken, vägar, trafik, körkort, fordons</w:t>
      </w:r>
      <w:r w:rsidRPr="0008481A">
        <w:softHyphen/>
        <w:t xml:space="preserve">registrering, bilprovning). </w:t>
      </w:r>
    </w:p>
    <w:p w:rsidR="003B3271" w:rsidRPr="0008481A" w:rsidRDefault="003B3271">
      <w:pPr>
        <w:pStyle w:val="Normaltindrag"/>
      </w:pPr>
      <w:r w:rsidRPr="0008481A">
        <w:t>Jord- och skogsbruk, jordförvärv, naturvård, miljö- och hälsoskydd, djurskydd, jakt, fiske, rennäring, veterinärväsendet, livsmedelskontroll samt övriga till Jordbruksdepar</w:t>
      </w:r>
      <w:r w:rsidRPr="0008481A">
        <w:softHyphen/>
        <w:t>tementet resp. Miljödepartementet hörande ärenden.</w:t>
      </w:r>
    </w:p>
    <w:p w:rsidR="003B3271" w:rsidRPr="0008481A" w:rsidRDefault="003B3271">
      <w:pPr>
        <w:pStyle w:val="Normaltindrag"/>
      </w:pPr>
      <w:r w:rsidRPr="0008481A">
        <w:t>Konsumentskydd, marknadsföring, pris- och konkurrensförhållanden inom närings</w:t>
      </w:r>
      <w:r w:rsidRPr="0008481A">
        <w:softHyphen/>
        <w:t>livet, prisreglering, aktiebolag, handelsbolag, firmaskydd, handels</w:t>
      </w:r>
      <w:r w:rsidRPr="0008481A">
        <w:softHyphen/>
        <w:t>register, patent, varu</w:t>
      </w:r>
      <w:r w:rsidRPr="0008481A">
        <w:softHyphen/>
        <w:t>märken, mönster och övriga till Näringsdepartementet hörande ärenden.</w:t>
      </w:r>
    </w:p>
    <w:p w:rsidR="003B3271" w:rsidRPr="0008481A" w:rsidRDefault="003B3271">
      <w:pPr>
        <w:pStyle w:val="Normaltindrag"/>
      </w:pPr>
      <w:r w:rsidRPr="0008481A">
        <w:t>Utlänningsärenden inkl. medborgarskapsfrågor och ärenden rörande invandrares in</w:t>
      </w:r>
      <w:r w:rsidRPr="0008481A">
        <w:softHyphen/>
        <w:t>tegration.</w:t>
      </w:r>
    </w:p>
    <w:p w:rsidR="003B3271" w:rsidRPr="0008481A" w:rsidRDefault="003B3271">
      <w:pPr>
        <w:pStyle w:val="Normaltindrag"/>
      </w:pPr>
      <w:r w:rsidRPr="0008481A">
        <w:t>Räddningstjänst, ordningslagens tillämpning, lotterier och spel, serve</w:t>
      </w:r>
      <w:r w:rsidRPr="0008481A">
        <w:softHyphen/>
        <w:t>ringstillstånd, bilskrotning.</w:t>
      </w:r>
    </w:p>
    <w:p w:rsidR="003B3271" w:rsidRPr="0008481A" w:rsidRDefault="003B3271">
      <w:pPr>
        <w:pStyle w:val="Normaltindrag"/>
      </w:pPr>
      <w:r w:rsidRPr="0008481A">
        <w:t xml:space="preserve">Övriga vid länsstyrelser handlagda ärenden som ej tillhör ansvarsområde 2 eller 3. </w:t>
      </w:r>
    </w:p>
    <w:p w:rsidR="003B3271" w:rsidRPr="0008481A" w:rsidRDefault="003B3271">
      <w:pPr>
        <w:pStyle w:val="Normaltindrag"/>
      </w:pPr>
      <w:r w:rsidRPr="0008481A">
        <w:t>Bostadsväsendet (bostadsförsörjning, bostadsbidrag utanför socialför</w:t>
      </w:r>
      <w:r w:rsidRPr="0008481A">
        <w:softHyphen/>
        <w:t>säkringssystemets ram).</w:t>
      </w:r>
    </w:p>
    <w:p w:rsidR="003B3271" w:rsidRPr="0008481A" w:rsidRDefault="003B3271">
      <w:pPr>
        <w:pStyle w:val="Normaltindrag"/>
      </w:pPr>
      <w:r w:rsidRPr="0008481A">
        <w:t xml:space="preserve">Begravningsväsendet, statsbidrag till trossamfund </w:t>
      </w:r>
    </w:p>
    <w:p w:rsidR="003B3271" w:rsidRPr="0008481A" w:rsidRDefault="003B3271">
      <w:pPr>
        <w:pStyle w:val="Normaltindrag"/>
      </w:pPr>
      <w:r w:rsidRPr="0008481A">
        <w:t>Till myndigheter under Kulturdepartementet hö</w:t>
      </w:r>
      <w:r w:rsidRPr="0008481A">
        <w:softHyphen/>
        <w:t>rande områden.</w:t>
      </w:r>
    </w:p>
    <w:p w:rsidR="003B3271" w:rsidRPr="0008481A" w:rsidRDefault="003B3271">
      <w:pPr>
        <w:pStyle w:val="Normaltindrag"/>
      </w:pPr>
      <w:r w:rsidRPr="0008481A">
        <w:t>Utrikesförvaltningen och övriga till Utrikesdepartementet hörande ärenden.</w:t>
      </w:r>
    </w:p>
    <w:p w:rsidR="003B3271" w:rsidRPr="0008481A" w:rsidRDefault="003B3271">
      <w:pPr>
        <w:pStyle w:val="Normaltindrag"/>
      </w:pPr>
      <w:r w:rsidRPr="0008481A">
        <w:t>Riksdagsförvaltningen, riksdagens verk, allmänna val.</w:t>
      </w:r>
    </w:p>
    <w:p w:rsidR="003B3271" w:rsidRPr="0008481A" w:rsidRDefault="003B3271">
      <w:pPr>
        <w:pStyle w:val="Normaltindrag"/>
      </w:pPr>
      <w:r w:rsidRPr="0008481A">
        <w:t>Övriga ärenden som inte är hänförliga till något av ansvarsområdena 1–3.</w:t>
      </w:r>
    </w:p>
    <w:p w:rsidR="003B3271" w:rsidRPr="0008481A" w:rsidRDefault="003B3271">
      <w:pPr>
        <w:jc w:val="center"/>
      </w:pPr>
      <w:r w:rsidRPr="0008481A">
        <w:t>-----------------------------------</w:t>
      </w:r>
    </w:p>
    <w:p w:rsidR="003B3271" w:rsidRPr="0008481A" w:rsidRDefault="003B3271">
      <w:pPr>
        <w:pStyle w:val="Normaltindrag"/>
      </w:pPr>
      <w:r w:rsidRPr="0008481A">
        <w:t>Personalärenden, ärenden angående tryckfrihet, yttrandefrihet, offentlighet och sekretess samt remisser från riksdagen och från Regeringskansliet fördelas på de ansvarsområden där de från saklig synpunkt hör hemma.</w:t>
      </w:r>
    </w:p>
    <w:p w:rsidR="003B3271" w:rsidRPr="0008481A" w:rsidRDefault="003B3271">
      <w:pPr>
        <w:pStyle w:val="Rubrik1"/>
        <w:spacing w:before="0"/>
        <w:sectPr w:rsidR="00000000" w:rsidRPr="0008481A">
          <w:headerReference w:type="default" r:id="rId26"/>
          <w:pgSz w:w="11906" w:h="16838" w:code="9"/>
          <w:pgMar w:top="3969" w:right="5103" w:bottom="1106" w:left="907" w:header="57" w:footer="57" w:gutter="0"/>
          <w:cols w:space="720"/>
        </w:sectPr>
      </w:pPr>
    </w:p>
    <w:p w:rsidR="003B3271" w:rsidRPr="0008481A" w:rsidRDefault="003B3271">
      <w:pPr>
        <w:pStyle w:val="Rubrik1"/>
        <w:spacing w:before="0"/>
      </w:pPr>
      <w:r w:rsidRPr="0008481A">
        <w:t xml:space="preserve">Personalorganisationen </w:t>
      </w:r>
    </w:p>
    <w:p w:rsidR="003B3271" w:rsidRPr="0008481A" w:rsidRDefault="003B3271">
      <w:pPr>
        <w:pStyle w:val="Rubrik3"/>
        <w:spacing w:before="240"/>
      </w:pPr>
      <w:r w:rsidRPr="0008481A">
        <w:t>Riksdagens ombudsmäns kansli</w:t>
      </w:r>
    </w:p>
    <w:p w:rsidR="003B3271" w:rsidRPr="0008481A" w:rsidRDefault="003B3271">
      <w:pPr>
        <w:spacing w:before="240"/>
      </w:pPr>
      <w:r w:rsidRPr="0008481A">
        <w:t>Kanslichefen Kjell Swanström</w:t>
      </w:r>
    </w:p>
    <w:p w:rsidR="003B3271" w:rsidRPr="0008481A" w:rsidRDefault="003B3271">
      <w:pPr>
        <w:spacing w:before="100"/>
      </w:pPr>
      <w:r w:rsidRPr="0008481A">
        <w:t>Byråchefen Sven Börjeson</w:t>
      </w:r>
    </w:p>
    <w:p w:rsidR="003B3271" w:rsidRPr="0008481A" w:rsidRDefault="003B3271">
      <w:pPr>
        <w:spacing w:before="100"/>
      </w:pPr>
      <w:r w:rsidRPr="0008481A">
        <w:t>Byråchefen Jörgen Buhre</w:t>
      </w:r>
    </w:p>
    <w:p w:rsidR="003B3271" w:rsidRPr="0008481A" w:rsidRDefault="003B3271">
      <w:pPr>
        <w:spacing w:before="100"/>
      </w:pPr>
      <w:r w:rsidRPr="0008481A">
        <w:t>Byråchefen Christer Sjöstedt</w:t>
      </w:r>
    </w:p>
    <w:p w:rsidR="003B3271" w:rsidRPr="0008481A" w:rsidRDefault="003B3271">
      <w:pPr>
        <w:spacing w:before="100"/>
      </w:pPr>
      <w:r w:rsidRPr="0008481A">
        <w:t>Byråchefen Albert Johnson</w:t>
      </w:r>
    </w:p>
    <w:p w:rsidR="003B3271" w:rsidRPr="0008481A" w:rsidRDefault="003B3271">
      <w:pPr>
        <w:spacing w:before="100"/>
      </w:pPr>
      <w:r w:rsidRPr="0008481A">
        <w:t>Byråchefen Carina Hedbom Blomkvist</w:t>
      </w:r>
    </w:p>
    <w:p w:rsidR="003B3271" w:rsidRPr="0008481A" w:rsidRDefault="003B3271">
      <w:pPr>
        <w:spacing w:before="100"/>
      </w:pPr>
      <w:r w:rsidRPr="0008481A">
        <w:t>Byråchefen Owe Hultin</w:t>
      </w:r>
    </w:p>
    <w:p w:rsidR="003B3271" w:rsidRPr="0008481A" w:rsidRDefault="003B3271">
      <w:pPr>
        <w:spacing w:before="100"/>
      </w:pPr>
      <w:r w:rsidRPr="0008481A">
        <w:t>Byråchefen Carl-Gustaf Tryblom</w:t>
      </w:r>
    </w:p>
    <w:p w:rsidR="003B3271" w:rsidRPr="0008481A" w:rsidRDefault="003B3271">
      <w:pPr>
        <w:spacing w:before="100"/>
      </w:pPr>
      <w:r w:rsidRPr="0008481A">
        <w:t>Byråchefen Timo Manninen (tjl. fr.o.m. 1 februari 2000)</w:t>
      </w:r>
    </w:p>
    <w:p w:rsidR="003B3271" w:rsidRPr="0008481A" w:rsidRDefault="003B3271">
      <w:pPr>
        <w:spacing w:before="100"/>
      </w:pPr>
      <w:r w:rsidRPr="0008481A">
        <w:t xml:space="preserve">Byråchefen Agneta Lundgren </w:t>
      </w:r>
    </w:p>
    <w:p w:rsidR="003B3271" w:rsidRPr="0008481A" w:rsidRDefault="003B3271">
      <w:pPr>
        <w:spacing w:before="100"/>
      </w:pPr>
      <w:r w:rsidRPr="0008481A">
        <w:t>Tf. byråchefen Erik Lindberg (fr.o.m. 1 februari 2000, vikariat; föredragande t.o.m. 31 januari 2000)</w:t>
      </w:r>
    </w:p>
    <w:p w:rsidR="003B3271" w:rsidRPr="0008481A" w:rsidRDefault="003B3271">
      <w:pPr>
        <w:spacing w:before="100"/>
      </w:pPr>
      <w:r w:rsidRPr="0008481A">
        <w:t xml:space="preserve">Enhetschefen, internationella frågor, Marianne von der Esch (fr.o.m. </w:t>
      </w:r>
      <w:r w:rsidRPr="0008481A">
        <w:br/>
        <w:t>1 oktober 1999; föredragande t.o.m. 30 september 1999)</w:t>
      </w:r>
    </w:p>
    <w:p w:rsidR="003B3271" w:rsidRPr="0008481A" w:rsidRDefault="003B3271">
      <w:pPr>
        <w:spacing w:before="100"/>
      </w:pPr>
      <w:r w:rsidRPr="0008481A">
        <w:t xml:space="preserve">Områdesansvariga föredraganden Lia von Sivers </w:t>
      </w:r>
    </w:p>
    <w:p w:rsidR="003B3271" w:rsidRPr="0008481A" w:rsidRDefault="003B3271">
      <w:pPr>
        <w:spacing w:before="100"/>
      </w:pPr>
      <w:r w:rsidRPr="0008481A">
        <w:t>Avdelningsdirektören Lars Kinnander</w:t>
      </w:r>
    </w:p>
    <w:p w:rsidR="003B3271" w:rsidRPr="0008481A" w:rsidRDefault="003B3271">
      <w:pPr>
        <w:spacing w:before="100"/>
      </w:pPr>
      <w:r w:rsidRPr="0008481A">
        <w:t>Avdelningsdirektören Rolf Andersson</w:t>
      </w:r>
    </w:p>
    <w:p w:rsidR="003B3271" w:rsidRPr="0008481A" w:rsidRDefault="003B3271">
      <w:pPr>
        <w:spacing w:before="100"/>
      </w:pPr>
      <w:r w:rsidRPr="0008481A">
        <w:t xml:space="preserve">Avdelningsdirektören Ylva Fryklund </w:t>
      </w:r>
    </w:p>
    <w:p w:rsidR="003B3271" w:rsidRPr="0008481A" w:rsidRDefault="003B3271">
      <w:pPr>
        <w:pStyle w:val="Normaltindrag"/>
      </w:pPr>
      <w:r w:rsidRPr="0008481A">
        <w:t>Som föredragande med heltidstjänstgöring har vidare under 1999/2000 tjänstgjort: kammaråklagaren Gunnar Jonasson, hovrättsassessorn Helén Törnqvist, hovrättsassessorn Eva Melander, hovrättsassessorn Malou Lindblom (fr.o.m. 30 augusti 1999, vikariat; tjl. 10 %),  hovrättsassessorn Hans Göran Åhgren, kammarrättsassessorn Karin Nilsson Edin, kammar</w:t>
      </w:r>
      <w:r w:rsidRPr="0008481A">
        <w:softHyphen/>
        <w:t>rättsassessorn Dan Johansson, hovrättsassessorn Irja Hed (tjl.), kammar</w:t>
      </w:r>
      <w:r w:rsidRPr="0008481A">
        <w:softHyphen/>
        <w:t>rättsassessorn Caroline Dyrefors Grufman (tjl. fr.o.m. 11 februari 2000), kammarrättsassessorn Minnaliisa Lundblad (vikariat), kammarrätts</w:t>
      </w:r>
      <w:r w:rsidRPr="0008481A">
        <w:softHyphen/>
        <w:t>assessorn Stefan Axelsson (fr.o.m. 10 januari 2000, vikariat), hovrättsassessorn Anders Bergene (t.o.m. 14 september 1999), hovrättsassessorn Lars Vestergren (t.o.m. 31 augusti 1999), hovrättsassessorn Mari Heidenborg, hovrätts</w:t>
      </w:r>
      <w:r w:rsidRPr="0008481A">
        <w:softHyphen/>
        <w:t xml:space="preserve">assessorn Nils-Erik Elfstadius, hovrättsassessorn Bertil Sundin (t.o.m. </w:t>
      </w:r>
      <w:r w:rsidRPr="0008481A">
        <w:t>31 augusti 1999), hovrättsassessorn Ulrika Åkerdahl, hovrättsassessorn Åsa Widmark (fr.o.m. 16 augusti 1999), hovrättsassessorn Rakel Granditsky Hökeberg (fr.o.m. 4 oktober 1999), hovrättsassessorn Christina Fleur (fr.o.m. 1 april 2000), hovrättsassessorn Marianne Trägårdh, kammarrättsassessorn Magnus Schultzberg, hovrättsassessorn Thomas Lindstam (tjl. 16 augusti–</w:t>
      </w:r>
      <w:r w:rsidRPr="0008481A">
        <w:br/>
        <w:t>30 december 1999), hovrättsassessorn Anna-Lisa Stoican och kammarrätts</w:t>
      </w:r>
      <w:r w:rsidRPr="0008481A">
        <w:softHyphen/>
        <w:t>assessorn Pär Hemmingsson.</w:t>
      </w:r>
    </w:p>
    <w:p w:rsidR="003B3271" w:rsidRPr="0008481A" w:rsidRDefault="003B3271">
      <w:pPr>
        <w:pStyle w:val="Rubrik1"/>
        <w:spacing w:before="0"/>
        <w:jc w:val="center"/>
        <w:sectPr w:rsidR="00000000" w:rsidRPr="0008481A">
          <w:headerReference w:type="default" r:id="rId27"/>
          <w:pgSz w:w="11906" w:h="16838" w:code="9"/>
          <w:pgMar w:top="3969" w:right="5103" w:bottom="1106" w:left="907" w:header="57" w:footer="57" w:gutter="0"/>
          <w:cols w:space="720"/>
        </w:sectPr>
      </w:pPr>
    </w:p>
    <w:p w:rsidR="003B3271" w:rsidRPr="0008481A" w:rsidRDefault="003B3271">
      <w:pPr>
        <w:pStyle w:val="Rubrik1"/>
        <w:spacing w:before="0"/>
        <w:jc w:val="center"/>
      </w:pPr>
      <w:r w:rsidRPr="0008481A">
        <w:t>SAKREGISTER</w:t>
      </w:r>
    </w:p>
    <w:p w:rsidR="003B3271" w:rsidRPr="0008481A" w:rsidRDefault="003B3271">
      <w:pPr>
        <w:pStyle w:val="Rubrik1"/>
        <w:spacing w:before="0"/>
        <w:jc w:val="center"/>
      </w:pPr>
      <w:r w:rsidRPr="0008481A">
        <w:t>till</w:t>
      </w:r>
    </w:p>
    <w:p w:rsidR="003B3271" w:rsidRPr="0008481A" w:rsidRDefault="003B3271">
      <w:pPr>
        <w:pStyle w:val="Rubrik1"/>
        <w:spacing w:before="0"/>
        <w:jc w:val="center"/>
      </w:pPr>
      <w:r w:rsidRPr="0008481A">
        <w:t>justitieombudsmännens ämbetsberättelser 1999/2000–2000/2001</w:t>
      </w:r>
    </w:p>
    <w:p w:rsidR="003B3271" w:rsidRPr="0008481A" w:rsidRDefault="003B3271">
      <w:r w:rsidRPr="0008481A">
        <w:t xml:space="preserve">Ett alfabetiskt sakregister till JO:s ämbetsberättelser 1967–1975/76 finns fogat som bilaga 3 (s. 557) till ämbetsberättelsen 1975/76 och har även tryckts separat. I ingressen till detta register har lämnats upplysningar om register till tidigare ämbetsberättelser. </w:t>
      </w:r>
    </w:p>
    <w:p w:rsidR="003B3271" w:rsidRPr="0008481A" w:rsidRDefault="003B3271">
      <w:pPr>
        <w:pStyle w:val="Normaltindrag"/>
      </w:pPr>
      <w:r w:rsidRPr="0008481A">
        <w:t>Ett alfabetiskt sakregister till JO:s ämbetsberättelser 1976/77–1988/89 finns fogat som bilaga 4 (s. 437) till ä</w:t>
      </w:r>
      <w:r w:rsidRPr="0008481A">
        <w:t>m</w:t>
      </w:r>
      <w:r w:rsidRPr="0008481A">
        <w:t xml:space="preserve">betsberättelsen 1988/89. </w:t>
      </w:r>
    </w:p>
    <w:p w:rsidR="003B3271" w:rsidRPr="0008481A" w:rsidRDefault="003B3271">
      <w:pPr>
        <w:pStyle w:val="Normaltindrag"/>
      </w:pPr>
      <w:r w:rsidRPr="0008481A">
        <w:t>Ett alfabetiskt sakregister till JO:s ämbetsberättelser 1989/90–1993/94 finns fogat som bilaga 4 (s. 534) till ä</w:t>
      </w:r>
      <w:r w:rsidRPr="0008481A">
        <w:t>m</w:t>
      </w:r>
      <w:r w:rsidRPr="0008481A">
        <w:t>betsberättelsen 1993/94.</w:t>
      </w:r>
    </w:p>
    <w:p w:rsidR="003B3271" w:rsidRPr="0008481A" w:rsidRDefault="003B3271">
      <w:pPr>
        <w:pStyle w:val="Normaltindrag"/>
      </w:pPr>
      <w:r w:rsidRPr="0008481A">
        <w:t>Ett alfabetiskt sakregister till JO:s ämbetsberättelser 1994/95–1998/99 finns fogat som bilaga 4 (s. 564) till ä</w:t>
      </w:r>
      <w:r w:rsidRPr="0008481A">
        <w:t>m</w:t>
      </w:r>
      <w:r w:rsidRPr="0008481A">
        <w:t>betsberättelsen 1998/99.</w:t>
      </w:r>
    </w:p>
    <w:p w:rsidR="003B3271" w:rsidRPr="0008481A" w:rsidRDefault="003B3271">
      <w:r w:rsidRPr="0008481A">
        <w:t>______________________</w:t>
      </w:r>
    </w:p>
    <w:p w:rsidR="003B3271" w:rsidRPr="0008481A" w:rsidRDefault="003B3271">
      <w:pPr>
        <w:pStyle w:val="Rubrik3"/>
      </w:pPr>
      <w:r w:rsidRPr="0008481A">
        <w:t>Allmänna handlingar</w:t>
      </w:r>
    </w:p>
    <w:p w:rsidR="003B3271" w:rsidRPr="0008481A" w:rsidRDefault="003B3271">
      <w:pPr>
        <w:pStyle w:val="Rubrik4"/>
        <w:spacing w:before="240"/>
        <w:rPr>
          <w:b/>
        </w:rPr>
      </w:pPr>
      <w:r w:rsidRPr="0008481A">
        <w:t>Fråga om handling är allmän eller ej</w:t>
      </w:r>
    </w:p>
    <w:p w:rsidR="003B3271" w:rsidRPr="0008481A" w:rsidRDefault="003B3271">
      <w:pPr>
        <w:pStyle w:val="PunktlistaTankstreck"/>
      </w:pPr>
      <w:r w:rsidRPr="0008481A">
        <w:t xml:space="preserve">fråga om lämpligheten av att vid tillsättning av kommunal chefstjänst genom konsultmedverkan utfärda löfte om konfidentiell handläggning 99/00:403 </w:t>
      </w:r>
    </w:p>
    <w:p w:rsidR="003B3271" w:rsidRPr="0008481A" w:rsidRDefault="003B3271">
      <w:pPr>
        <w:pStyle w:val="PunktlistaTankstreck"/>
      </w:pPr>
      <w:r w:rsidRPr="0008481A">
        <w:t>kritik mot Statens institut för regionalforskning för handläggningen av en framställan om att få ta del av en handling; bl.a. fråga om när en handling skall anses allmän 99/00:413</w:t>
      </w:r>
    </w:p>
    <w:p w:rsidR="003B3271" w:rsidRPr="0008481A" w:rsidRDefault="003B3271">
      <w:pPr>
        <w:pStyle w:val="PunktlistaTankstreck"/>
      </w:pPr>
      <w:r w:rsidRPr="0008481A">
        <w:t>fråga om uppgifter i upptagningar för ADB varit tillgängliga på sådant sätt att de utgjort allmän handling 00/01:557</w:t>
      </w:r>
    </w:p>
    <w:p w:rsidR="003B3271" w:rsidRPr="0008481A" w:rsidRDefault="003B3271">
      <w:pPr>
        <w:pStyle w:val="Rubrik4"/>
      </w:pPr>
      <w:r w:rsidRPr="0008481A">
        <w:t>Fråga om utlämnande av allmän handling eller uppgifter därur</w:t>
      </w:r>
    </w:p>
    <w:p w:rsidR="003B3271" w:rsidRPr="0008481A" w:rsidRDefault="003B3271">
      <w:pPr>
        <w:pStyle w:val="PunktlistaTankstreck"/>
        <w:rPr>
          <w:b/>
        </w:rPr>
      </w:pPr>
      <w:r w:rsidRPr="0008481A">
        <w:t>fråga om utlämnande av handling kan ej prövas enligt 23 kap. 18 § första stycket rättegångsbalken när den som begärt att få ut handlingen avförts som misstänkt 99/00:392</w:t>
      </w:r>
    </w:p>
    <w:p w:rsidR="003B3271" w:rsidRPr="0008481A" w:rsidRDefault="003B3271">
      <w:pPr>
        <w:pStyle w:val="PunktlistaTankstreck"/>
      </w:pPr>
      <w:r w:rsidRPr="0008481A">
        <w:t xml:space="preserve">långsam handläggning inom försvarsmakten av begäran om att få ta del av allmänna handlingar 99/00:396 </w:t>
      </w:r>
    </w:p>
    <w:p w:rsidR="003B3271" w:rsidRPr="0008481A" w:rsidRDefault="003B3271">
      <w:pPr>
        <w:pStyle w:val="PunktlistaTankstreck"/>
      </w:pPr>
      <w:r w:rsidRPr="0008481A">
        <w:t>kritik mot en skattemyndighet för långsam handläggning av en begäran om att få kopior av handlingar, bl.a. fråga om begäran grundats på tryck</w:t>
      </w:r>
      <w:r w:rsidRPr="0008481A">
        <w:softHyphen/>
        <w:t>fri</w:t>
      </w:r>
      <w:r w:rsidRPr="0008481A">
        <w:softHyphen/>
        <w:t>hetsförordningens eller förvaltningslagens bestämmelser 99/00:400</w:t>
      </w:r>
    </w:p>
    <w:p w:rsidR="003B3271" w:rsidRPr="0008481A" w:rsidRDefault="003B3271">
      <w:pPr>
        <w:pStyle w:val="PunktlistaTankstreck"/>
      </w:pPr>
      <w:r w:rsidRPr="0008481A">
        <w:t>skyndsamhetskrav beträffande uppgift som inte finns 99/00:381</w:t>
      </w:r>
    </w:p>
    <w:p w:rsidR="003B3271" w:rsidRPr="0008481A" w:rsidRDefault="003B3271">
      <w:pPr>
        <w:pStyle w:val="PunktlistaTankstreck"/>
      </w:pPr>
      <w:r w:rsidRPr="0008481A">
        <w:t>bristande kontroll 99/00:384</w:t>
      </w:r>
    </w:p>
    <w:p w:rsidR="003B3271" w:rsidRPr="0008481A" w:rsidRDefault="003B3271">
      <w:pPr>
        <w:pStyle w:val="PunktlistaTankstreck"/>
      </w:pPr>
      <w:r w:rsidRPr="0008481A">
        <w:t>allvarlig kritik mot Luleå tekniska universitet för handläggningen av en begäran om att få ta del av en allmän handling och för det sätt på vilket universitet handlagt JO:s remiss 99/00:356</w:t>
      </w:r>
    </w:p>
    <w:p w:rsidR="003B3271" w:rsidRPr="0008481A" w:rsidRDefault="003B3271">
      <w:pPr>
        <w:pStyle w:val="PunktlistaTankstreck"/>
      </w:pPr>
      <w:r w:rsidRPr="0008481A">
        <w:t>fråga om utlämnande av allmänna handlingar hos byggnadsnämnd 99/00:362</w:t>
      </w:r>
    </w:p>
    <w:p w:rsidR="003B3271" w:rsidRPr="0008481A" w:rsidRDefault="003B3271">
      <w:pPr>
        <w:pStyle w:val="PunktlistaTankstreck"/>
      </w:pPr>
      <w:r w:rsidRPr="0008481A">
        <w:t>kommunalt bolags skyldighet att expediera allmänna handlingar 99/00:405</w:t>
      </w:r>
    </w:p>
    <w:p w:rsidR="003B3271" w:rsidRPr="0008481A" w:rsidRDefault="003B3271">
      <w:pPr>
        <w:pStyle w:val="PunktlistaTankstreck"/>
      </w:pPr>
      <w:r w:rsidRPr="0008481A">
        <w:t>kritik mot kommunalt fastighetsbolag för handläggningen av en begäran att få ta del av allmänna handlingar 99/00:409</w:t>
      </w:r>
    </w:p>
    <w:p w:rsidR="003B3271" w:rsidRPr="0008481A" w:rsidRDefault="003B3271">
      <w:pPr>
        <w:pStyle w:val="PunktlistaTankstreck"/>
      </w:pPr>
      <w:r w:rsidRPr="0008481A">
        <w:t xml:space="preserve">Försvarsmaktens handläggning av en otillräckligt preciserad begäran om kopior på allmänna handlingar 00/01:572 </w:t>
      </w:r>
    </w:p>
    <w:p w:rsidR="003B3271" w:rsidRPr="0008481A" w:rsidRDefault="003B3271">
      <w:pPr>
        <w:pStyle w:val="PunktlistaTankstreck"/>
      </w:pPr>
      <w:r w:rsidRPr="0008481A">
        <w:t>skattemyndighets handläggning av en begäran om utlämnande av allmän handling och uppgifter ur sådan handling; bl.a. fråga om uppgifter kunnat göras tillgängliga genom en s.k. potentiell handling 00/01:567</w:t>
      </w:r>
    </w:p>
    <w:p w:rsidR="003B3271" w:rsidRPr="0008481A" w:rsidRDefault="003B3271">
      <w:pPr>
        <w:pStyle w:val="PunktlistaTankstreck"/>
      </w:pPr>
      <w:r w:rsidRPr="0008481A">
        <w:t>handläggningen av en begäran om utlämnande av allmän handling. Kritik mot Husie stadsdelsfullmäktige för att sökanden avkrävts identitets</w:t>
      </w:r>
      <w:r w:rsidRPr="0008481A">
        <w:softHyphen/>
        <w:t>uppgift. – Fråga om efterforskningsförbudet i 2 kap. 14 § tredje stycket tryckfr</w:t>
      </w:r>
      <w:r w:rsidRPr="0008481A">
        <w:t>i</w:t>
      </w:r>
      <w:r w:rsidRPr="0008481A">
        <w:softHyphen/>
        <w:t>hetsförordningen (TF) överträtts 00/01:578</w:t>
      </w:r>
    </w:p>
    <w:p w:rsidR="003B3271" w:rsidRPr="0008481A" w:rsidRDefault="003B3271">
      <w:pPr>
        <w:pStyle w:val="PunktlistaTankstreck"/>
        <w:rPr>
          <w:caps/>
        </w:rPr>
      </w:pPr>
      <w:r w:rsidRPr="0008481A">
        <w:t xml:space="preserve">uttalande rörande av sjukhus utfärdade </w:t>
      </w:r>
      <w:r w:rsidRPr="0008481A">
        <w:rPr>
          <w:i/>
        </w:rPr>
        <w:t>Riktlinjer för utlämnande av löne</w:t>
      </w:r>
      <w:r w:rsidRPr="0008481A">
        <w:rPr>
          <w:i/>
        </w:rPr>
        <w:softHyphen/>
        <w:t>uppgift</w:t>
      </w:r>
      <w:r w:rsidRPr="0008481A">
        <w:t>. Fråga om riktlinjerna stått i strid med det s.k. efterforsknings</w:t>
      </w:r>
      <w:r w:rsidRPr="0008481A">
        <w:softHyphen/>
        <w:t>förbudet i 2 kap. 14 § tryckfrihetsförordningen (TF) 00/01:527</w:t>
      </w:r>
    </w:p>
    <w:p w:rsidR="003B3271" w:rsidRPr="0008481A" w:rsidRDefault="003B3271">
      <w:pPr>
        <w:pStyle w:val="PunktlistaTankstreck"/>
      </w:pPr>
      <w:r w:rsidRPr="0008481A">
        <w:t>ett på JO:s initiativ upptaget ärende mot Kriminalvårdsmyndigheten Örebro, anstalten Hinseberg och Kriminalvårdsmyndigheten Kumla (sjuk</w:t>
      </w:r>
      <w:r w:rsidRPr="0008481A">
        <w:softHyphen/>
        <w:t>vårdsavdelningarna) angående hanteringen av vissa sekretess</w:t>
      </w:r>
      <w:r w:rsidRPr="0008481A">
        <w:softHyphen/>
        <w:t xml:space="preserve">belagda handlingar 00/01:518 </w:t>
      </w:r>
    </w:p>
    <w:p w:rsidR="003B3271" w:rsidRPr="0008481A" w:rsidRDefault="003B3271">
      <w:pPr>
        <w:pStyle w:val="PunktlistaTankstreck"/>
      </w:pPr>
      <w:r w:rsidRPr="0008481A">
        <w:t>fråga om den formella hanteringen av en begäran med stöd av tryckfri</w:t>
      </w:r>
      <w:r w:rsidRPr="0008481A">
        <w:softHyphen/>
        <w:t>hets</w:t>
      </w:r>
      <w:r w:rsidRPr="0008481A">
        <w:softHyphen/>
        <w:t>förordningen att få ta del av uppgifter som funnits i upptagningar för ADB 00/01:557</w:t>
      </w:r>
    </w:p>
    <w:p w:rsidR="003B3271" w:rsidRPr="0008481A" w:rsidRDefault="003B3271">
      <w:pPr>
        <w:pStyle w:val="Rubrik4"/>
      </w:pPr>
      <w:r w:rsidRPr="0008481A">
        <w:t>Övriga frågor</w:t>
      </w:r>
    </w:p>
    <w:p w:rsidR="003B3271" w:rsidRPr="0008481A" w:rsidRDefault="003B3271">
      <w:pPr>
        <w:pStyle w:val="PunktlistaTankstreck"/>
      </w:pPr>
      <w:r w:rsidRPr="0008481A">
        <w:t>uttalanden rörande omfattningen av allmänhetens möjligheter att per telefon komma i direkt kontakt med en myndighets tjänstemän; särskilt fråga om skyldigheten att lämna ut tjänstemännens direktnummer 00/01:529</w:t>
      </w:r>
    </w:p>
    <w:p w:rsidR="003B3271" w:rsidRPr="0008481A" w:rsidRDefault="003B3271">
      <w:pPr>
        <w:pStyle w:val="PunktlistaTankstreck"/>
        <w:rPr>
          <w:b/>
        </w:rPr>
      </w:pPr>
      <w:r w:rsidRPr="0008481A">
        <w:t>uttalanden rörande socialnämnds handläggning av inkomna handlingar, särskilt fråga om diarieföring av anmälan enligt 71 a § socialtjänstlagen (</w:t>
      </w:r>
      <w:r w:rsidRPr="0008481A">
        <w:rPr>
          <w:i/>
        </w:rPr>
        <w:t>lex Sara</w:t>
      </w:r>
      <w:r w:rsidRPr="0008481A">
        <w:t>) 00/01:522</w:t>
      </w:r>
    </w:p>
    <w:p w:rsidR="003B3271" w:rsidRPr="0008481A" w:rsidRDefault="003B3271">
      <w:pPr>
        <w:pStyle w:val="PunktlistaTankstreck"/>
      </w:pPr>
      <w:r w:rsidRPr="0008481A">
        <w:t>kommunala nämnder har inte registrerat (diariefört) allmänna handlingar i ärenden om färdtjänst. Fråga om registreringsskyldighet föreligger 00/01:560</w:t>
      </w:r>
    </w:p>
    <w:p w:rsidR="003B3271" w:rsidRPr="0008481A" w:rsidRDefault="003B3271">
      <w:pPr>
        <w:pStyle w:val="Rubrik3"/>
      </w:pPr>
      <w:r w:rsidRPr="0008481A">
        <w:t>Anmälan</w:t>
      </w:r>
    </w:p>
    <w:p w:rsidR="003B3271" w:rsidRPr="0008481A" w:rsidRDefault="003B3271">
      <w:pPr>
        <w:pStyle w:val="PunktlistaTankstreck"/>
      </w:pPr>
      <w:r w:rsidRPr="0008481A">
        <w:t>kritik mot en länsstyrelse för att styrelsen vidtagit åtgärder med anledning av en anonym anmälan i ett körkortsärende 99/00:218</w:t>
      </w:r>
    </w:p>
    <w:p w:rsidR="003B3271" w:rsidRPr="0008481A" w:rsidRDefault="003B3271">
      <w:pPr>
        <w:pStyle w:val="Rubrik3"/>
      </w:pPr>
      <w:r w:rsidRPr="0008481A">
        <w:t>Arbetslöshetsförsäkring</w:t>
      </w:r>
    </w:p>
    <w:p w:rsidR="003B3271" w:rsidRPr="0008481A" w:rsidRDefault="003B3271">
      <w:pPr>
        <w:pStyle w:val="PunktlistaTankstreck"/>
      </w:pPr>
      <w:r w:rsidRPr="0008481A">
        <w:t>kritik mot en arbetslöshetskassa för utebliven verkställighet av en läns</w:t>
      </w:r>
      <w:r w:rsidRPr="0008481A">
        <w:softHyphen/>
        <w:t>rättsdom 00/01:252</w:t>
      </w:r>
    </w:p>
    <w:p w:rsidR="003B3271" w:rsidRPr="0008481A" w:rsidRDefault="003B3271">
      <w:pPr>
        <w:pStyle w:val="PunktlistaTankstreck"/>
      </w:pPr>
      <w:r w:rsidRPr="0008481A">
        <w:t>överenskommelse har träffats om återbetalning av felaktigt utgiven arbets</w:t>
      </w:r>
      <w:r w:rsidRPr="0008481A">
        <w:softHyphen/>
        <w:t>löshetsersättning genom avräkning vid senare utbetalning av arbetslös</w:t>
      </w:r>
      <w:r w:rsidRPr="0008481A">
        <w:softHyphen/>
        <w:t>hetsersättning. – Fråga om kvittningsöverenskommelsen kunde betecknas som frivillig. Även fråga om arbetslöshetskassans ansvar att beakta den återbetalningsskyldiges sociala situation 00/01:247</w:t>
      </w:r>
    </w:p>
    <w:p w:rsidR="003B3271" w:rsidRPr="0008481A" w:rsidRDefault="003B3271">
      <w:pPr>
        <w:pStyle w:val="Rubrik3"/>
      </w:pPr>
      <w:r w:rsidRPr="0008481A">
        <w:t>Arbetsmarknad</w:t>
      </w:r>
    </w:p>
    <w:p w:rsidR="003B3271" w:rsidRPr="0008481A" w:rsidRDefault="003B3271">
      <w:pPr>
        <w:pStyle w:val="PunktlistaTankstreck"/>
      </w:pPr>
      <w:r w:rsidRPr="0008481A">
        <w:t>kritik mot arbetsförmedlings tillämpning av urvalskriterier vid inskrivning av arbetssökande 99/00:206</w:t>
      </w:r>
    </w:p>
    <w:p w:rsidR="003B3271" w:rsidRPr="0008481A" w:rsidRDefault="003B3271">
      <w:pPr>
        <w:pStyle w:val="PunktlistaTankstreck"/>
      </w:pPr>
      <w:r w:rsidRPr="0008481A">
        <w:t>en arbetsförmedling bör regelbundet förvissa sig om att de grundläggande uppgifterna i arbetsförmedlingsregistret är korrekta 00/01:242</w:t>
      </w:r>
    </w:p>
    <w:p w:rsidR="003B3271" w:rsidRPr="0008481A" w:rsidRDefault="003B3271">
      <w:pPr>
        <w:pStyle w:val="PunktlistaTankstreck"/>
      </w:pPr>
      <w:r w:rsidRPr="0008481A">
        <w:t>fråga om myndighetsutövning och därmed kommuniceringsskyldighet förelegat hos Arbetsmarknadsstyrelsen i ett ärende rörande åtalsanmälan 00/01:237</w:t>
      </w:r>
    </w:p>
    <w:p w:rsidR="003B3271" w:rsidRPr="0008481A" w:rsidRDefault="003B3271">
      <w:pPr>
        <w:pStyle w:val="PunktlistaTankstreck"/>
      </w:pPr>
      <w:r w:rsidRPr="0008481A">
        <w:t>kan en arbetsförmedling kräva att en sökande skall skriva på svenska? Även fråga om formuleringen av ett sådant krav 00/01:245</w:t>
      </w:r>
    </w:p>
    <w:p w:rsidR="003B3271" w:rsidRPr="0008481A" w:rsidRDefault="003B3271">
      <w:pPr>
        <w:pStyle w:val="PunktlistaTankstreck"/>
      </w:pPr>
      <w:r w:rsidRPr="0008481A">
        <w:t>lämpligheten av att en länsarbetsnämnd i förväg ger företag möjlighet att efterge sekretess i ärenden om varsel enligt lagen (1974:13) om vissa anställningsfrämjande åtgärder 00/01:564</w:t>
      </w:r>
    </w:p>
    <w:p w:rsidR="003B3271" w:rsidRPr="0008481A" w:rsidRDefault="003B3271">
      <w:pPr>
        <w:pStyle w:val="PunktlistaTankstreck"/>
      </w:pPr>
      <w:r w:rsidRPr="0008481A">
        <w:t>på JO:s initiativ upptagen fråga om bemyndigande förelegat för Arbets</w:t>
      </w:r>
      <w:r w:rsidRPr="0008481A">
        <w:softHyphen/>
        <w:t>marknadsstyrelsen att utfärda vissa föreskrifter till förordningen (1987:405) om den arbetsmarknadspolitiska verksamheten 00/01:234</w:t>
      </w:r>
    </w:p>
    <w:p w:rsidR="003B3271" w:rsidRPr="0008481A" w:rsidRDefault="003B3271">
      <w:pPr>
        <w:pStyle w:val="Rubrik3"/>
      </w:pPr>
      <w:r w:rsidRPr="0008481A">
        <w:t>Asylärenden</w:t>
      </w:r>
    </w:p>
    <w:p w:rsidR="003B3271" w:rsidRPr="0008481A" w:rsidRDefault="003B3271">
      <w:pPr>
        <w:pStyle w:val="PunktlistaTankstreck"/>
      </w:pPr>
      <w:r w:rsidRPr="0008481A">
        <w:t>fråga om skyldighet för en svensk ambassad att ta emot asylansökningar och sända dem vidare till behörig beslutsfattare 00/01:256</w:t>
      </w:r>
    </w:p>
    <w:p w:rsidR="003B3271" w:rsidRPr="0008481A" w:rsidRDefault="003B3271">
      <w:pPr>
        <w:pStyle w:val="Rubrik3"/>
      </w:pPr>
      <w:r w:rsidRPr="0008481A">
        <w:t>Avgift</w:t>
      </w:r>
    </w:p>
    <w:p w:rsidR="003B3271" w:rsidRPr="0008481A" w:rsidRDefault="003B3271">
      <w:pPr>
        <w:pStyle w:val="PunktlistaTankstreck"/>
      </w:pPr>
      <w:r w:rsidRPr="0008481A">
        <w:t>barnomsorgsavgift; verkan av att den som är gift med men inte samman</w:t>
      </w:r>
      <w:r w:rsidRPr="0008481A">
        <w:softHyphen/>
        <w:t>bor med ett barns förälder inte har lämnat uppgift om sin inkomst 99/00:286</w:t>
      </w:r>
    </w:p>
    <w:p w:rsidR="003B3271" w:rsidRPr="0008481A" w:rsidRDefault="003B3271">
      <w:pPr>
        <w:pStyle w:val="PunktlistaTankstreck"/>
      </w:pPr>
      <w:r w:rsidRPr="0008481A">
        <w:t>kommunalt bolags skyldighet att expediera allmänna handlingar 99/00:405</w:t>
      </w:r>
    </w:p>
    <w:p w:rsidR="003B3271" w:rsidRPr="0008481A" w:rsidRDefault="003B3271">
      <w:pPr>
        <w:pStyle w:val="PunktlistaTankstreck"/>
      </w:pPr>
      <w:r w:rsidRPr="0008481A">
        <w:t>kritik mot en byggnadsnämnd som betraktat ett privat företags be</w:t>
      </w:r>
      <w:r w:rsidRPr="0008481A">
        <w:softHyphen/>
        <w:t>stridande av kostnaderna för ett extra nämndsammanträde såsom uttagande av avgift enligt 11 kap. 5 § första stycket plan- och bygglagen (1987:10) 99/00:366</w:t>
      </w:r>
    </w:p>
    <w:p w:rsidR="003B3271" w:rsidRPr="0008481A" w:rsidRDefault="003B3271">
      <w:pPr>
        <w:pStyle w:val="PunktlistaTankstreck"/>
      </w:pPr>
      <w:r w:rsidRPr="0008481A">
        <w:t>kritik mot kommunal vuxenutbildning (komvux) bl.a. för att utan rättsligt stöd ta ut avgifter av eleverna för stenciler 00/01:456</w:t>
      </w:r>
    </w:p>
    <w:p w:rsidR="003B3271" w:rsidRPr="0008481A" w:rsidRDefault="003B3271">
      <w:pPr>
        <w:pStyle w:val="Rubrik3"/>
      </w:pPr>
      <w:r w:rsidRPr="0008481A">
        <w:t>Bemyndigande</w:t>
      </w:r>
    </w:p>
    <w:p w:rsidR="003B3271" w:rsidRPr="0008481A" w:rsidRDefault="003B3271">
      <w:pPr>
        <w:pStyle w:val="PunktlistaTankstreck"/>
      </w:pPr>
      <w:r w:rsidRPr="0008481A">
        <w:t>på JO:s initiativ upptagen fråga om bemyndigande förelegat för Arbets</w:t>
      </w:r>
      <w:r w:rsidRPr="0008481A">
        <w:softHyphen/>
        <w:t>marknadsstyrelsen att utfärda vissa föreskrifter till förordningen (1987:405) om den arbetsmarknadspolitiska verksamheten 00/01:234</w:t>
      </w:r>
    </w:p>
    <w:p w:rsidR="003B3271" w:rsidRPr="0008481A" w:rsidRDefault="003B3271">
      <w:pPr>
        <w:pStyle w:val="Rubrik3"/>
      </w:pPr>
      <w:r w:rsidRPr="0008481A">
        <w:t>Beslag</w:t>
      </w:r>
    </w:p>
    <w:p w:rsidR="003B3271" w:rsidRPr="0008481A" w:rsidRDefault="003B3271">
      <w:pPr>
        <w:pStyle w:val="PunktlistaTankstreck"/>
      </w:pPr>
      <w:r w:rsidRPr="0008481A">
        <w:t>fråga om utformningen av polismyndighets uppdrag till Statens kriminal</w:t>
      </w:r>
      <w:r w:rsidRPr="0008481A">
        <w:softHyphen/>
        <w:t>tekniska laboratorium avseende analys och förstöring av misstänkt narkotika 99/00:141</w:t>
      </w:r>
    </w:p>
    <w:p w:rsidR="003B3271" w:rsidRPr="0008481A" w:rsidRDefault="003B3271">
      <w:pPr>
        <w:pStyle w:val="Rubrik3"/>
      </w:pPr>
      <w:r w:rsidRPr="0008481A">
        <w:t>Beslut</w:t>
      </w:r>
    </w:p>
    <w:p w:rsidR="003B3271" w:rsidRPr="0008481A" w:rsidRDefault="003B3271">
      <w:pPr>
        <w:pStyle w:val="PunktlistaTankstreck"/>
        <w:rPr>
          <w:b/>
        </w:rPr>
      </w:pPr>
      <w:r w:rsidRPr="0008481A">
        <w:t>fråga om förvaltningsdomstols skyldighet att fatta ett formellt beslut med anledning av en begäran att få utskrifter av vittnesförhör 99/00:201</w:t>
      </w:r>
    </w:p>
    <w:p w:rsidR="003B3271" w:rsidRPr="0008481A" w:rsidRDefault="003B3271">
      <w:pPr>
        <w:pStyle w:val="PunktlistaTankstreck"/>
      </w:pPr>
      <w:r w:rsidRPr="0008481A">
        <w:t>fråga om omprövning av ett länsstyrelsebeslut angående tillstånd till jakt på mink då beslutet enligt föreskrift i jaktförordningen inte fick över</w:t>
      </w:r>
      <w:r w:rsidRPr="0008481A">
        <w:softHyphen/>
        <w:t>klagas, m.m. 99/00:339</w:t>
      </w:r>
    </w:p>
    <w:p w:rsidR="003B3271" w:rsidRPr="0008481A" w:rsidRDefault="003B3271">
      <w:pPr>
        <w:pStyle w:val="PunktlistaTankstreck"/>
      </w:pPr>
      <w:r w:rsidRPr="0008481A">
        <w:t>kritik mot arbetsförmedlings tillämpning av urvalskriterier vid inskrivning av arbetssökande 99/00:206</w:t>
      </w:r>
    </w:p>
    <w:p w:rsidR="003B3271" w:rsidRPr="0008481A" w:rsidRDefault="003B3271">
      <w:pPr>
        <w:pStyle w:val="PunktlistaTankstreck"/>
      </w:pPr>
      <w:r w:rsidRPr="0008481A">
        <w:t>byggnadsnämnd har vidhållit ett krav på avgift enligt plan- och bygg</w:t>
      </w:r>
      <w:r w:rsidRPr="0008481A">
        <w:softHyphen/>
        <w:t>lagen, på annan grund än vad länsstyrelsen vid överprövning underkänt och för ett tillstånd som inte utgjort förhandsbesked eller någon annan i lagen föreskriven form av beslut. Serviceskyldighet med avseende på ansö</w:t>
      </w:r>
      <w:r w:rsidRPr="0008481A">
        <w:t>k</w:t>
      </w:r>
      <w:r w:rsidRPr="0008481A">
        <w:t>ningar om sådant tillstånd 00/01:484</w:t>
      </w:r>
    </w:p>
    <w:p w:rsidR="003B3271" w:rsidRPr="0008481A" w:rsidRDefault="003B3271">
      <w:pPr>
        <w:pStyle w:val="PunktlistaTankstreck"/>
      </w:pPr>
      <w:r w:rsidRPr="0008481A">
        <w:t>fråga huruvida ett vid kontrollbesiktning av fordon meddelat beslut be</w:t>
      </w:r>
      <w:r w:rsidRPr="0008481A">
        <w:softHyphen/>
        <w:t>höver innehålla upplysning om ett alternativ till vad som genom beslutet förelagts fordonsägaren – med hänsyn till utformningen av regerings</w:t>
      </w:r>
      <w:r w:rsidRPr="0008481A">
        <w:softHyphen/>
        <w:t>författnin</w:t>
      </w:r>
      <w:r w:rsidRPr="0008481A">
        <w:t>g</w:t>
      </w:r>
      <w:r w:rsidRPr="0008481A">
        <w:t>en på området och till föreskrifter i övrigt 00/01:476</w:t>
      </w:r>
    </w:p>
    <w:p w:rsidR="003B3271" w:rsidRPr="0008481A" w:rsidRDefault="003B3271">
      <w:pPr>
        <w:pStyle w:val="PunktlistaTankstreck"/>
      </w:pPr>
      <w:r w:rsidRPr="0008481A">
        <w:t>fråga om en länsrätts beslut att inte pröva eventuella framtida yrkanden m.m. 00/01:232</w:t>
      </w:r>
    </w:p>
    <w:p w:rsidR="003B3271" w:rsidRPr="0008481A" w:rsidRDefault="003B3271">
      <w:pPr>
        <w:pStyle w:val="PunktlistaTankstreck"/>
      </w:pPr>
      <w:r w:rsidRPr="0008481A">
        <w:t>kritik mot Veterinära ansvarsnämnden för att i ett beslut ha kritiserat an</w:t>
      </w:r>
      <w:r w:rsidRPr="0008481A">
        <w:softHyphen/>
        <w:t>mälarna 00/01:425</w:t>
      </w:r>
    </w:p>
    <w:p w:rsidR="003B3271" w:rsidRPr="0008481A" w:rsidRDefault="003B3271">
      <w:pPr>
        <w:pStyle w:val="PunktlistaTankstreck"/>
      </w:pPr>
      <w:r w:rsidRPr="0008481A">
        <w:t>olämpligheten av att en myndighet i beslutsliknande former tolkar (”förtydligar”) egna beslut 00/01:490</w:t>
      </w:r>
    </w:p>
    <w:p w:rsidR="003B3271" w:rsidRPr="0008481A" w:rsidRDefault="003B3271">
      <w:pPr>
        <w:pStyle w:val="Rubrik3"/>
      </w:pPr>
      <w:r w:rsidRPr="0008481A">
        <w:t>Beslutsunderrättelse</w:t>
      </w:r>
    </w:p>
    <w:p w:rsidR="003B3271" w:rsidRPr="0008481A" w:rsidRDefault="003B3271">
      <w:pPr>
        <w:pStyle w:val="PunktlistaTankstreck"/>
      </w:pPr>
      <w:r w:rsidRPr="0008481A">
        <w:t xml:space="preserve">kritik mot en överförmyndarnämnd för underlåtenhet att underrätta den underårige om beslut om arvode till förmyndare 99/00:368 </w:t>
      </w:r>
    </w:p>
    <w:p w:rsidR="003B3271" w:rsidRPr="0008481A" w:rsidRDefault="003B3271">
      <w:pPr>
        <w:pStyle w:val="PunktlistaTankstreck"/>
      </w:pPr>
      <w:r w:rsidRPr="0008481A">
        <w:t>fråga om delgivning av beslut då en kommunal nämnd har godtagit en advokat som ombud i ett ärende enligt miljöskyddslagen men inte krävt att han företedde fullmakt, m.m. 99/00:336</w:t>
      </w:r>
    </w:p>
    <w:p w:rsidR="003B3271" w:rsidRPr="0008481A" w:rsidRDefault="003B3271">
      <w:pPr>
        <w:pStyle w:val="PunktlistaTankstreck"/>
      </w:pPr>
      <w:r w:rsidRPr="0008481A">
        <w:t>fråga om länsrätt bort sakpröva ett överklagande av ett beslutsmeddelande 99/00:184</w:t>
      </w:r>
    </w:p>
    <w:p w:rsidR="003B3271" w:rsidRPr="0008481A" w:rsidRDefault="003B3271">
      <w:pPr>
        <w:pStyle w:val="Rubrik3"/>
      </w:pPr>
      <w:r w:rsidRPr="0008481A">
        <w:t>Brevkontroll</w:t>
      </w:r>
    </w:p>
    <w:p w:rsidR="003B3271" w:rsidRPr="0008481A" w:rsidRDefault="003B3271">
      <w:pPr>
        <w:pStyle w:val="PunktlistaTankstreck"/>
      </w:pPr>
      <w:r w:rsidRPr="0008481A">
        <w:t>kritik mot rättspsykiatrisk enhet för genomförandet av ytliga kropps</w:t>
      </w:r>
      <w:r w:rsidRPr="0008481A">
        <w:softHyphen/>
        <w:t>besiktningar och kontroll av brevförsändelser. Även kritik för under</w:t>
      </w:r>
      <w:r w:rsidRPr="0008481A">
        <w:softHyphen/>
        <w:t>låtenhet att dokumentera dessa tvångsåtgärder i patientjournalen 00/01:346</w:t>
      </w:r>
    </w:p>
    <w:p w:rsidR="003B3271" w:rsidRPr="0008481A" w:rsidRDefault="003B3271">
      <w:pPr>
        <w:pStyle w:val="Rubrik3"/>
      </w:pPr>
      <w:r w:rsidRPr="0008481A">
        <w:t>Brottmål</w:t>
      </w:r>
    </w:p>
    <w:p w:rsidR="003B3271" w:rsidRPr="0008481A" w:rsidRDefault="003B3271">
      <w:pPr>
        <w:pStyle w:val="PunktlistaTankstreck"/>
      </w:pPr>
      <w:r w:rsidRPr="0008481A">
        <w:t>bristfällig redovisning av bevisvärderingen i dom där den tilltalade dömts mot sitt nekande 99/00:55</w:t>
      </w:r>
    </w:p>
    <w:p w:rsidR="003B3271" w:rsidRPr="0008481A" w:rsidRDefault="003B3271">
      <w:pPr>
        <w:pStyle w:val="Rubrik3"/>
      </w:pPr>
      <w:r w:rsidRPr="0008481A">
        <w:t>Bygglov</w:t>
      </w:r>
    </w:p>
    <w:p w:rsidR="003B3271" w:rsidRPr="0008481A" w:rsidRDefault="003B3271">
      <w:pPr>
        <w:pStyle w:val="PunktlistaTankstreck"/>
      </w:pPr>
      <w:r w:rsidRPr="0008481A">
        <w:t>kritik mot byggnadsnämnd i fråga om kommunicering 99/00:362</w:t>
      </w:r>
    </w:p>
    <w:p w:rsidR="003B3271" w:rsidRPr="0008481A" w:rsidRDefault="003B3271">
      <w:pPr>
        <w:pStyle w:val="PunktlistaTankstreck"/>
      </w:pPr>
      <w:r w:rsidRPr="0008481A">
        <w:t>kritik mot byggnadsnämnd som låtit ett privat företag bestrida kost</w:t>
      </w:r>
      <w:r w:rsidRPr="0008481A">
        <w:softHyphen/>
        <w:t>naderna för ett extra nämndsammanträde 99/00:366</w:t>
      </w:r>
    </w:p>
    <w:p w:rsidR="003B3271" w:rsidRPr="0008481A" w:rsidRDefault="003B3271">
      <w:pPr>
        <w:pStyle w:val="PunktlistaTankstreck"/>
      </w:pPr>
      <w:r w:rsidRPr="0008481A">
        <w:t>byggnadsnämnd har meddelat beslut på felaktiga grunder och avvikit från vad som gällt för dess prövning 00/01:481</w:t>
      </w:r>
    </w:p>
    <w:p w:rsidR="003B3271" w:rsidRPr="0008481A" w:rsidRDefault="003B3271">
      <w:pPr>
        <w:pStyle w:val="PunktlistaTankstreck"/>
      </w:pPr>
      <w:r w:rsidRPr="0008481A">
        <w:t>tiden för överklagande av förvaltningsbeslut 00/01:495</w:t>
      </w:r>
    </w:p>
    <w:p w:rsidR="003B3271" w:rsidRPr="0008481A" w:rsidRDefault="003B3271">
      <w:pPr>
        <w:pStyle w:val="Rubrik3"/>
      </w:pPr>
      <w:r w:rsidRPr="0008481A">
        <w:t>Byggnadsnämnd</w:t>
      </w:r>
    </w:p>
    <w:p w:rsidR="003B3271" w:rsidRPr="0008481A" w:rsidRDefault="003B3271">
      <w:pPr>
        <w:pStyle w:val="PunktlistaTankstreck"/>
      </w:pPr>
      <w:r w:rsidRPr="0008481A">
        <w:t>kritik mot byggnadsnämnd i fråga om kommunicering 99/00:362</w:t>
      </w:r>
    </w:p>
    <w:p w:rsidR="003B3271" w:rsidRPr="0008481A" w:rsidRDefault="003B3271">
      <w:pPr>
        <w:pStyle w:val="PunktlistaTankstreck"/>
      </w:pPr>
      <w:r w:rsidRPr="0008481A">
        <w:t>kritik mot byggnadsnämnd som låtit ett privat företag bestrida kost</w:t>
      </w:r>
      <w:r w:rsidRPr="0008481A">
        <w:softHyphen/>
        <w:t>naderna för ett extra nämndsammanträde 99/00:366</w:t>
      </w:r>
    </w:p>
    <w:p w:rsidR="003B3271" w:rsidRPr="0008481A" w:rsidRDefault="003B3271">
      <w:pPr>
        <w:pStyle w:val="PunktlistaTankstreck"/>
      </w:pPr>
      <w:r w:rsidRPr="0008481A">
        <w:t>byggnadsnämnd har meddelat beslut på felaktiga grunder och avvikit från vad som gällt för dess prövning 00/01:481</w:t>
      </w:r>
    </w:p>
    <w:p w:rsidR="003B3271" w:rsidRPr="0008481A" w:rsidRDefault="003B3271">
      <w:pPr>
        <w:pStyle w:val="PunktlistaTankstreck"/>
      </w:pPr>
      <w:r w:rsidRPr="0008481A">
        <w:t>tiden för överklagande av förvaltningsbeslut 00/01:495</w:t>
      </w:r>
    </w:p>
    <w:p w:rsidR="003B3271" w:rsidRPr="0008481A" w:rsidRDefault="003B3271">
      <w:pPr>
        <w:pStyle w:val="PunktlistaTankstreck"/>
      </w:pPr>
      <w:r w:rsidRPr="0008481A">
        <w:t>vidhållande av ett krav på avgift enligt plan- och bygglagen, på annan grund än vad länsstyrelsen vid överprövning underkänt och för ett till</w:t>
      </w:r>
      <w:r w:rsidRPr="0008481A">
        <w:softHyphen/>
        <w:t>stånd som inte utgjort förhandsbesked eller någon annan i lagen före</w:t>
      </w:r>
      <w:r w:rsidRPr="0008481A">
        <w:softHyphen/>
        <w:t>skriven form av beslut. Serviceskyldighet med avseende på ansökningar om sådant tillstånd 00/01:484</w:t>
      </w:r>
    </w:p>
    <w:p w:rsidR="003B3271" w:rsidRPr="0008481A" w:rsidRDefault="003B3271">
      <w:pPr>
        <w:pStyle w:val="Rubrik3"/>
      </w:pPr>
      <w:r w:rsidRPr="0008481A">
        <w:t>Delgivning</w:t>
      </w:r>
    </w:p>
    <w:p w:rsidR="003B3271" w:rsidRPr="0008481A" w:rsidRDefault="003B3271">
      <w:pPr>
        <w:pStyle w:val="PunktlistaTankstreck"/>
      </w:pPr>
      <w:r w:rsidRPr="0008481A">
        <w:t>med fåmansbolag under semestertid 99/00164:</w:t>
      </w:r>
    </w:p>
    <w:p w:rsidR="003B3271" w:rsidRPr="0008481A" w:rsidRDefault="003B3271">
      <w:pPr>
        <w:pStyle w:val="PunktlistaTankstreck"/>
      </w:pPr>
      <w:r w:rsidRPr="0008481A">
        <w:t>fråga om delgivning av beslut då en kommunal nämnd har godtagit en advokat som ombud i ett ärende enligt miljöskyddslagen men inte krävt att han företedde fullmakt, m.m. 99/00:336</w:t>
      </w:r>
    </w:p>
    <w:p w:rsidR="003B3271" w:rsidRPr="0008481A" w:rsidRDefault="003B3271">
      <w:pPr>
        <w:pStyle w:val="PunktlistaTankstreck"/>
      </w:pPr>
      <w:r w:rsidRPr="0008481A">
        <w:t>offentliggörande av namnuppgifter i kungörelsedelgivning rörande mål om bistånd enligt 6 g § socialtjänstlagen (1980:620) 99/00:191</w:t>
      </w:r>
    </w:p>
    <w:p w:rsidR="003B3271" w:rsidRPr="0008481A" w:rsidRDefault="003B3271">
      <w:pPr>
        <w:pStyle w:val="PunktlistaTankstreck"/>
      </w:pPr>
      <w:r w:rsidRPr="0008481A">
        <w:t>fråga om förutsättningar förelåg att förordna god man i ett faderskapsmål 00/01:40</w:t>
      </w:r>
    </w:p>
    <w:p w:rsidR="003B3271" w:rsidRPr="0008481A" w:rsidRDefault="003B3271">
      <w:pPr>
        <w:pStyle w:val="Rubrik3"/>
      </w:pPr>
      <w:r w:rsidRPr="0008481A">
        <w:t>Demonstration</w:t>
      </w:r>
    </w:p>
    <w:p w:rsidR="003B3271" w:rsidRPr="0008481A" w:rsidRDefault="003B3271">
      <w:pPr>
        <w:pStyle w:val="PunktlistaTankstreck"/>
      </w:pPr>
      <w:r w:rsidRPr="0008481A">
        <w:t>kritik mot en polismyndighet för vissa ingripanden i samband med en allmän sammankomst 00/01:75</w:t>
      </w:r>
    </w:p>
    <w:p w:rsidR="003B3271" w:rsidRPr="0008481A" w:rsidRDefault="003B3271">
      <w:pPr>
        <w:pStyle w:val="Rubrik3"/>
      </w:pPr>
      <w:r w:rsidRPr="0008481A">
        <w:t>Diarieföring</w:t>
      </w:r>
    </w:p>
    <w:p w:rsidR="003B3271" w:rsidRPr="0008481A" w:rsidRDefault="003B3271">
      <w:pPr>
        <w:pStyle w:val="PunktlistaTankstreck"/>
      </w:pPr>
      <w:r w:rsidRPr="0008481A">
        <w:t>kommunala nämnder har inte registrerat (diariefört) allmänna handlingar i ärenden om färdtjänst. Fråga om registreringsskyldighet föreligger 00/01:560</w:t>
      </w:r>
    </w:p>
    <w:p w:rsidR="003B3271" w:rsidRPr="0008481A" w:rsidRDefault="003B3271">
      <w:pPr>
        <w:pStyle w:val="Rubrik3"/>
      </w:pPr>
      <w:r w:rsidRPr="0008481A">
        <w:t>Disciplinansvar</w:t>
      </w:r>
    </w:p>
    <w:p w:rsidR="003B3271" w:rsidRPr="0008481A" w:rsidRDefault="003B3271">
      <w:pPr>
        <w:pStyle w:val="PunktlistaTankstreck"/>
      </w:pPr>
      <w:r w:rsidRPr="0008481A">
        <w:t>disciplinansvar för en närpolischef som hade fattat ett beslut om husrann</w:t>
      </w:r>
      <w:r w:rsidRPr="0008481A">
        <w:softHyphen/>
        <w:t>sakan utan att ha behörighet till det 99/00:57</w:t>
      </w:r>
    </w:p>
    <w:p w:rsidR="003B3271" w:rsidRPr="0008481A" w:rsidRDefault="003B3271">
      <w:pPr>
        <w:pStyle w:val="PunktlistaTankstreck"/>
      </w:pPr>
      <w:r w:rsidRPr="0008481A">
        <w:t>för en rådman som utan laga stöd beslutat om fortsatt tvångsvård i ett mål enligt lagen (1991:1128) om psykiatrisk tvångsvård 99/00:193</w:t>
      </w:r>
    </w:p>
    <w:p w:rsidR="003B3271" w:rsidRPr="0008481A" w:rsidRDefault="003B3271">
      <w:pPr>
        <w:pStyle w:val="PunktlistaTankstreck"/>
      </w:pPr>
      <w:r w:rsidRPr="0008481A">
        <w:t>disciplinansvar för en överläkare vars felaktiga journalanteckningar lett till beslut om återintagning av patient till sjukvårdsinrättning oaktat stöd härför saknats i bestämmelserna i lagen (1991:1128) om psykiatrisk tvång</w:t>
      </w:r>
      <w:r w:rsidRPr="0008481A">
        <w:t>s</w:t>
      </w:r>
      <w:r w:rsidRPr="0008481A">
        <w:t>vård 00/01:353</w:t>
      </w:r>
    </w:p>
    <w:p w:rsidR="003B3271" w:rsidRPr="0008481A" w:rsidRDefault="003B3271">
      <w:pPr>
        <w:pStyle w:val="Rubrik3"/>
      </w:pPr>
      <w:r w:rsidRPr="0008481A">
        <w:t>Dispens</w:t>
      </w:r>
    </w:p>
    <w:p w:rsidR="003B3271" w:rsidRPr="0008481A" w:rsidRDefault="003B3271">
      <w:pPr>
        <w:pStyle w:val="PunktlistaTankstreck"/>
      </w:pPr>
      <w:r w:rsidRPr="0008481A">
        <w:t>kan en länsstyrelse med stöd av 23 § jaktförordningen (1987:905) bevilja generella undantag från förbudet att medföra skjutvapen vid färd med motordrivet fordon i terräng 99/00:220</w:t>
      </w:r>
    </w:p>
    <w:p w:rsidR="003B3271" w:rsidRPr="0008481A" w:rsidRDefault="003B3271">
      <w:pPr>
        <w:pStyle w:val="Rubrik3"/>
      </w:pPr>
      <w:r w:rsidRPr="0008481A">
        <w:t>Dokumentation</w:t>
      </w:r>
    </w:p>
    <w:p w:rsidR="003B3271" w:rsidRPr="0008481A" w:rsidRDefault="003B3271">
      <w:pPr>
        <w:pStyle w:val="PunktlistaTankstreck"/>
      </w:pPr>
      <w:r w:rsidRPr="0008481A">
        <w:t>fråga om polisens handlande i samband med anvisning av färdväg för chartrad buss med hemvändande fotbollssupportrar samt dokumenta</w:t>
      </w:r>
      <w:r w:rsidRPr="0008481A">
        <w:softHyphen/>
        <w:t>tionen av ingripandet 00/01:110</w:t>
      </w:r>
    </w:p>
    <w:p w:rsidR="003B3271" w:rsidRPr="0008481A" w:rsidRDefault="003B3271">
      <w:pPr>
        <w:pStyle w:val="Rubrik3"/>
      </w:pPr>
      <w:r w:rsidRPr="0008481A">
        <w:t>Dokumentationsskyldighet</w:t>
      </w:r>
    </w:p>
    <w:p w:rsidR="003B3271" w:rsidRPr="0008481A" w:rsidRDefault="003B3271">
      <w:pPr>
        <w:pStyle w:val="PunktlistaTankstreck"/>
      </w:pPr>
      <w:r w:rsidRPr="0008481A">
        <w:t>kritik mot rättspsykiatrisk enhet för genomförandet av ytliga kropps-besiktningar och kontroll av brevförsändelser. Även kritik för under</w:t>
      </w:r>
      <w:r w:rsidRPr="0008481A">
        <w:softHyphen/>
        <w:t>låtenhet att dokumentera dessa tvångsåtgärder i patientjournalen 00/01:346</w:t>
      </w:r>
    </w:p>
    <w:p w:rsidR="003B3271" w:rsidRPr="0008481A" w:rsidRDefault="003B3271">
      <w:pPr>
        <w:pStyle w:val="Rubrik3"/>
      </w:pPr>
      <w:r w:rsidRPr="0008481A">
        <w:t>Domare</w:t>
      </w:r>
    </w:p>
    <w:p w:rsidR="003B3271" w:rsidRPr="0008481A" w:rsidRDefault="003B3271">
      <w:pPr>
        <w:pStyle w:val="PunktlistaTankstreck"/>
      </w:pPr>
      <w:r w:rsidRPr="0008481A">
        <w:t>disciplinansvar för en rådman vid länsrätt som utan laga stöd beslutat om fortsatt tvångsvård i ett mål enligt lagen (1991:1128) om psykiatrisk tvångsvård 99/00:193</w:t>
      </w:r>
    </w:p>
    <w:p w:rsidR="003B3271" w:rsidRPr="0008481A" w:rsidRDefault="003B3271">
      <w:pPr>
        <w:pStyle w:val="PunktlistaTankstreck"/>
      </w:pPr>
      <w:r w:rsidRPr="0008481A">
        <w:t>åtal mot en domare med anledning av hans handläggning av ett antal tvistemål 00/01:34 + bilaga</w:t>
      </w:r>
    </w:p>
    <w:p w:rsidR="003B3271" w:rsidRPr="0008481A" w:rsidRDefault="003B3271">
      <w:pPr>
        <w:pStyle w:val="PunktlistaTankstreck"/>
      </w:pPr>
      <w:r w:rsidRPr="0008481A">
        <w:t>en rådman vägrade att hålla häktningsförhandling med hänvisning till att åklagaren inte hade tillhandahållit rätten något skriftligt utrednings</w:t>
      </w:r>
      <w:r w:rsidRPr="0008481A">
        <w:softHyphen/>
        <w:t>material 00/01:55</w:t>
      </w:r>
    </w:p>
    <w:p w:rsidR="003B3271" w:rsidRPr="0008481A" w:rsidRDefault="003B3271">
      <w:pPr>
        <w:pStyle w:val="Rubrik3"/>
      </w:pPr>
      <w:r w:rsidRPr="0008481A">
        <w:t>Domslut</w:t>
      </w:r>
    </w:p>
    <w:p w:rsidR="003B3271" w:rsidRPr="0008481A" w:rsidRDefault="003B3271">
      <w:pPr>
        <w:pStyle w:val="PunktlistaTankstreck"/>
      </w:pPr>
      <w:r w:rsidRPr="0008481A">
        <w:t>en tingsrätts handläggning av ett mål om umgängesrätt m.m. där svaran</w:t>
      </w:r>
      <w:r w:rsidRPr="0008481A">
        <w:softHyphen/>
        <w:t>den hade s.k. fingerade personuppgifter 00/01:36</w:t>
      </w:r>
    </w:p>
    <w:p w:rsidR="003B3271" w:rsidRPr="0008481A" w:rsidRDefault="003B3271">
      <w:pPr>
        <w:pStyle w:val="PunktlistaTankstreck"/>
      </w:pPr>
      <w:r w:rsidRPr="0008481A">
        <w:t>en tingsrätts hantering av s.k. skyddade personuppgifter vilka erhållits från en part i ett förenklat tvistemål (FT-mål) 00/01:44</w:t>
      </w:r>
    </w:p>
    <w:p w:rsidR="003B3271" w:rsidRPr="0008481A" w:rsidRDefault="003B3271">
      <w:pPr>
        <w:pStyle w:val="PunktlistaTankstreck"/>
      </w:pPr>
      <w:r w:rsidRPr="0008481A">
        <w:t>en tingsrätts hantering av s.k. skyddade personuppgifter vilka erhållits från en part i ett familjemål 00/01:50</w:t>
      </w:r>
    </w:p>
    <w:p w:rsidR="003B3271" w:rsidRPr="0008481A" w:rsidRDefault="003B3271">
      <w:pPr>
        <w:pStyle w:val="Rubrik3"/>
      </w:pPr>
      <w:r w:rsidRPr="0008481A">
        <w:t>Domstol</w:t>
      </w:r>
    </w:p>
    <w:p w:rsidR="003B3271" w:rsidRPr="0008481A" w:rsidRDefault="003B3271">
      <w:pPr>
        <w:pStyle w:val="PunktlistaTankstreck"/>
      </w:pPr>
      <w:r w:rsidRPr="0008481A">
        <w:t>frågan om ett häktningsbeslut borde ha hävts när åtalet kom att avse andra brott än de som låg till grund för häktningen 99/00:32</w:t>
      </w:r>
    </w:p>
    <w:p w:rsidR="003B3271" w:rsidRPr="0008481A" w:rsidRDefault="003B3271">
      <w:pPr>
        <w:pStyle w:val="PunktlistaTankstreck"/>
      </w:pPr>
      <w:r w:rsidRPr="0008481A">
        <w:t>långsam handläggning av en fråga om rättegångshinder 99/00:44</w:t>
      </w:r>
    </w:p>
    <w:p w:rsidR="003B3271" w:rsidRPr="0008481A" w:rsidRDefault="003B3271">
      <w:pPr>
        <w:pStyle w:val="PunktlistaTankstreck"/>
      </w:pPr>
      <w:r w:rsidRPr="0008481A">
        <w:t>Domstolsverket har till samtliga kammar- och länsrätter distribuerat en vid Riksskatteverket upprättad promemoria med begäran om förtur av vissa mål 99/00:48</w:t>
      </w:r>
    </w:p>
    <w:p w:rsidR="003B3271" w:rsidRPr="0008481A" w:rsidRDefault="003B3271">
      <w:pPr>
        <w:pStyle w:val="PunktlistaTankstreck"/>
      </w:pPr>
      <w:r w:rsidRPr="0008481A">
        <w:t>en tingsrätts handläggning av ett tvistemål efter det att parterna hade förlikts 99/00:51</w:t>
      </w:r>
    </w:p>
    <w:p w:rsidR="003B3271" w:rsidRPr="0008481A" w:rsidRDefault="003B3271">
      <w:pPr>
        <w:pStyle w:val="PunktlistaTankstreck"/>
      </w:pPr>
      <w:r w:rsidRPr="0008481A">
        <w:t>bristfällig redovisning av bevisvärderingen i dom där den tilltalade dömts mot sitt nekande 99/00:55</w:t>
      </w:r>
    </w:p>
    <w:p w:rsidR="003B3271" w:rsidRPr="0008481A" w:rsidRDefault="003B3271">
      <w:pPr>
        <w:pStyle w:val="PunktlistaTankstreck"/>
        <w:rPr>
          <w:b/>
        </w:rPr>
      </w:pPr>
      <w:r w:rsidRPr="0008481A">
        <w:t>ett på JO:s initiativ upptaget ärende mot en länsrätt angående fråga om upprepade anstånd i ett mål rörande bistånd enligt socialtjänstlagen 99/00:199</w:t>
      </w:r>
    </w:p>
    <w:p w:rsidR="003B3271" w:rsidRPr="0008481A" w:rsidRDefault="003B3271">
      <w:pPr>
        <w:pStyle w:val="PunktlistaTankstreck"/>
      </w:pPr>
      <w:r w:rsidRPr="0008481A">
        <w:t>fråga angående offentliggörande av integritetskänsliga uppgifter i en dom, då muntlig förhandling hållits inom stängda dörrar 99/00:175</w:t>
      </w:r>
    </w:p>
    <w:p w:rsidR="003B3271" w:rsidRPr="0008481A" w:rsidRDefault="003B3271">
      <w:pPr>
        <w:pStyle w:val="PunktlistaTankstreck"/>
      </w:pPr>
      <w:r w:rsidRPr="0008481A">
        <w:t>fråga om handläggning i kammarrätt och Regeringsrätten av en begäran att få utskrifter av vittnesförhör 99/00:201</w:t>
      </w:r>
    </w:p>
    <w:p w:rsidR="003B3271" w:rsidRPr="0008481A" w:rsidRDefault="003B3271">
      <w:pPr>
        <w:pStyle w:val="PunktlistaTankstreck"/>
      </w:pPr>
      <w:r w:rsidRPr="0008481A">
        <w:t>fråga om länsrätt bort sakpröva ett överklagande av ett beslutsmedd</w:t>
      </w:r>
      <w:r w:rsidRPr="0008481A">
        <w:t>e</w:t>
      </w:r>
      <w:r w:rsidRPr="0008481A">
        <w:t>lande 99/00:184</w:t>
      </w:r>
    </w:p>
    <w:p w:rsidR="003B3271" w:rsidRPr="0008481A" w:rsidRDefault="003B3271">
      <w:pPr>
        <w:pStyle w:val="PunktlistaTankstreck"/>
      </w:pPr>
      <w:r w:rsidRPr="0008481A">
        <w:t>fråga om en länsrätt bort ta upp en viss skrivelse som ett överklagande; även fråga om innehållet i en skrivelse från domstolen 99/00:188</w:t>
      </w:r>
    </w:p>
    <w:p w:rsidR="003B3271" w:rsidRPr="0008481A" w:rsidRDefault="003B3271">
      <w:pPr>
        <w:pStyle w:val="PunktlistaTankstreck"/>
      </w:pPr>
      <w:r w:rsidRPr="0008481A">
        <w:t>kritik mot en länsrätt för att muntlig förhandling hållits i ett mål enligt lagen (1991:1128) om psykiatrisk tvångsvård (LPT) i parts utevaro och utan att något offentligt biträde förordnats 99/00:180</w:t>
      </w:r>
    </w:p>
    <w:p w:rsidR="003B3271" w:rsidRPr="0008481A" w:rsidRDefault="003B3271">
      <w:pPr>
        <w:pStyle w:val="PunktlistaTankstreck"/>
      </w:pPr>
      <w:r w:rsidRPr="0008481A">
        <w:t>kritik mot kammarrätt för dröjsmål med handläggningen av ett inhibi</w:t>
      </w:r>
      <w:r w:rsidRPr="0008481A">
        <w:softHyphen/>
        <w:t>tionsyrkande 99/00:173</w:t>
      </w:r>
    </w:p>
    <w:p w:rsidR="003B3271" w:rsidRPr="0008481A" w:rsidRDefault="003B3271">
      <w:pPr>
        <w:pStyle w:val="PunktlistaTankstreck"/>
      </w:pPr>
      <w:r w:rsidRPr="0008481A">
        <w:t>på JO:s initiativ upptagen fråga om förutsättning förelegat att vidta själv</w:t>
      </w:r>
      <w:r w:rsidRPr="0008481A">
        <w:softHyphen/>
        <w:t>rättelse med stöd av 32 § förvaltningsprocesslagen (1971:291) 99/00:204</w:t>
      </w:r>
    </w:p>
    <w:p w:rsidR="003B3271" w:rsidRPr="0008481A" w:rsidRDefault="003B3271">
      <w:pPr>
        <w:pStyle w:val="PunktlistaTankstreck"/>
      </w:pPr>
      <w:r w:rsidRPr="0008481A">
        <w:t>en tingsrätts handläggning av ett mål om umgängesrätt m.m. där sv</w:t>
      </w:r>
      <w:r w:rsidRPr="0008481A">
        <w:t>a</w:t>
      </w:r>
      <w:r w:rsidRPr="0008481A">
        <w:t>randen hade s.k. fingerade personuppgifter 00/01:36</w:t>
      </w:r>
    </w:p>
    <w:p w:rsidR="003B3271" w:rsidRPr="0008481A" w:rsidRDefault="003B3271">
      <w:pPr>
        <w:pStyle w:val="PunktlistaTankstreck"/>
      </w:pPr>
      <w:r w:rsidRPr="0008481A">
        <w:t>fråga om förutsättningar förelåg att förordna god man i ett faderskap</w:t>
      </w:r>
      <w:r w:rsidRPr="0008481A">
        <w:t>s</w:t>
      </w:r>
      <w:r w:rsidRPr="0008481A">
        <w:t>mål 00/01:40</w:t>
      </w:r>
    </w:p>
    <w:p w:rsidR="003B3271" w:rsidRPr="0008481A" w:rsidRDefault="003B3271">
      <w:pPr>
        <w:pStyle w:val="PunktlistaTankstreck"/>
      </w:pPr>
      <w:r w:rsidRPr="0008481A">
        <w:t>en tingsrätts hantering av s.k. skyddade personuppgifter vilka erhållits från en part i ett förenklat tvistemål (FT-mål) 00/01:44</w:t>
      </w:r>
    </w:p>
    <w:p w:rsidR="003B3271" w:rsidRPr="0008481A" w:rsidRDefault="003B3271">
      <w:pPr>
        <w:pStyle w:val="PunktlistaTankstreck"/>
      </w:pPr>
      <w:r w:rsidRPr="0008481A">
        <w:t>en tingsrätts hantering av s.k. skyddade personuppgifter vilka erhållits från en part i ett familjemål 00/01:50</w:t>
      </w:r>
    </w:p>
    <w:p w:rsidR="003B3271" w:rsidRPr="0008481A" w:rsidRDefault="003B3271">
      <w:pPr>
        <w:pStyle w:val="PunktlistaTankstreck"/>
      </w:pPr>
      <w:r w:rsidRPr="0008481A">
        <w:t>en rådman vägrade att hålla häktningsförhandling med hänvisning till att åklagaren inte hade tillhandahållit rätten något skriftligt utredningsm</w:t>
      </w:r>
      <w:r w:rsidRPr="0008481A">
        <w:t>a</w:t>
      </w:r>
      <w:r w:rsidRPr="0008481A">
        <w:t>terial 00/01:55</w:t>
      </w:r>
    </w:p>
    <w:p w:rsidR="003B3271" w:rsidRPr="0008481A" w:rsidRDefault="003B3271">
      <w:pPr>
        <w:pStyle w:val="PunktlistaTankstreck"/>
      </w:pPr>
      <w:r w:rsidRPr="0008481A">
        <w:t>fråga om en länsrätts beslut att inte pröva eventuella framtida yrkanden m.m. 00/01:232</w:t>
      </w:r>
    </w:p>
    <w:p w:rsidR="003B3271" w:rsidRPr="0008481A" w:rsidRDefault="003B3271">
      <w:pPr>
        <w:pStyle w:val="Rubrik3"/>
      </w:pPr>
      <w:r w:rsidRPr="0008481A">
        <w:t>Domstolsverket</w:t>
      </w:r>
    </w:p>
    <w:p w:rsidR="003B3271" w:rsidRPr="0008481A" w:rsidRDefault="003B3271">
      <w:pPr>
        <w:pStyle w:val="PunktlistaTankstreck"/>
      </w:pPr>
      <w:r w:rsidRPr="0008481A">
        <w:t>Domstolsverket har till samtliga kammar- och länsrätter distribuerat en vid Riksskatteverket upprättad promemoria med begäran om förtur av vissa mål 99/00:48</w:t>
      </w:r>
    </w:p>
    <w:p w:rsidR="003B3271" w:rsidRPr="0008481A" w:rsidRDefault="003B3271">
      <w:pPr>
        <w:pStyle w:val="Rubrik3"/>
      </w:pPr>
      <w:r w:rsidRPr="0008481A">
        <w:t>Dröjsmål</w:t>
      </w:r>
    </w:p>
    <w:p w:rsidR="003B3271" w:rsidRPr="0008481A" w:rsidRDefault="003B3271">
      <w:pPr>
        <w:pStyle w:val="PunktlistaTankstreck"/>
        <w:rPr>
          <w:b/>
        </w:rPr>
      </w:pPr>
      <w:r w:rsidRPr="0008481A">
        <w:t>ett på JO:s initiativ upptaget ärende mot en länsrätt angående fråga om upprepade anstånd i ett mål rörande bistånd enligt socialtjänstlagen 99/00:199</w:t>
      </w:r>
    </w:p>
    <w:p w:rsidR="003B3271" w:rsidRPr="0008481A" w:rsidRDefault="003B3271">
      <w:pPr>
        <w:pStyle w:val="PunktlistaTankstreck"/>
      </w:pPr>
      <w:r w:rsidRPr="0008481A">
        <w:t>kritik mot kammarrätt för dröjsmål med handläggningen av ett inhibitions</w:t>
      </w:r>
      <w:r w:rsidRPr="0008481A">
        <w:softHyphen/>
        <w:t>yrkande 99/00:173</w:t>
      </w:r>
    </w:p>
    <w:p w:rsidR="003B3271" w:rsidRPr="0008481A" w:rsidRDefault="003B3271">
      <w:pPr>
        <w:pStyle w:val="PunktlistaTankstreck"/>
      </w:pPr>
      <w:r w:rsidRPr="0008481A">
        <w:t>Statens invandrarverks handläggning av ärenden om dagersättning e</w:t>
      </w:r>
      <w:r w:rsidRPr="0008481A">
        <w:t>n</w:t>
      </w:r>
      <w:r w:rsidRPr="0008481A">
        <w:t>ligt lagen (1994:137) om mottagande av asylsökande m.fl. – Fråga om tid</w:t>
      </w:r>
      <w:r w:rsidRPr="0008481A">
        <w:softHyphen/>
        <w:t>punkt för utbetalning av ersättningen 99/00:211</w:t>
      </w:r>
    </w:p>
    <w:p w:rsidR="003B3271" w:rsidRPr="0008481A" w:rsidRDefault="003B3271">
      <w:pPr>
        <w:pStyle w:val="PunktlistaTankstreck"/>
      </w:pPr>
      <w:r w:rsidRPr="0008481A">
        <w:t>dröjsmål med att fatta beslut i ärende om handikappersättning 00/01:396</w:t>
      </w:r>
    </w:p>
    <w:p w:rsidR="003B3271" w:rsidRPr="0008481A" w:rsidRDefault="003B3271">
      <w:pPr>
        <w:pStyle w:val="PunktlistaTankstreck"/>
      </w:pPr>
      <w:r w:rsidRPr="0008481A">
        <w:t>försäkringskassas dröjsmål med expediering av beslut 00/01:403</w:t>
      </w:r>
    </w:p>
    <w:p w:rsidR="003B3271" w:rsidRPr="0008481A" w:rsidRDefault="003B3271">
      <w:pPr>
        <w:pStyle w:val="PunktlistaTankstreck"/>
      </w:pPr>
      <w:r w:rsidRPr="0008481A">
        <w:t>försäkringskassas långsamma handläggning av omprövningsärende 00/01:409</w:t>
      </w:r>
    </w:p>
    <w:p w:rsidR="003B3271" w:rsidRPr="0008481A" w:rsidRDefault="003B3271">
      <w:pPr>
        <w:pStyle w:val="PunktlistaTankstreck"/>
      </w:pPr>
      <w:r w:rsidRPr="0008481A">
        <w:t>försäkringskassas dröjsmål med verkställighet av län</w:t>
      </w:r>
      <w:r w:rsidRPr="0008481A">
        <w:t>s</w:t>
      </w:r>
      <w:r w:rsidRPr="0008481A">
        <w:t>rätts dom 00/01:399</w:t>
      </w:r>
    </w:p>
    <w:p w:rsidR="003B3271" w:rsidRPr="0008481A" w:rsidRDefault="003B3271">
      <w:pPr>
        <w:pStyle w:val="PunktlistaTankstreck"/>
      </w:pPr>
      <w:r w:rsidRPr="0008481A">
        <w:t>Riksförsäkringsverkets dröjsmål att ändra Allmänna råd 00/01:419</w:t>
      </w:r>
    </w:p>
    <w:p w:rsidR="003B3271" w:rsidRPr="0008481A" w:rsidRDefault="003B3271">
      <w:pPr>
        <w:pStyle w:val="Rubrik3"/>
      </w:pPr>
      <w:r w:rsidRPr="0008481A">
        <w:t xml:space="preserve">Etableringstillstånd </w:t>
      </w:r>
    </w:p>
    <w:p w:rsidR="003B3271" w:rsidRPr="0008481A" w:rsidRDefault="003B3271">
      <w:pPr>
        <w:pStyle w:val="PunktlistaTankstreck"/>
      </w:pPr>
      <w:r w:rsidRPr="0008481A">
        <w:t>handläggningen av en ansökan om förlängning av etableringstillstånd för sjukgymnast 99/00:289</w:t>
      </w:r>
    </w:p>
    <w:p w:rsidR="003B3271" w:rsidRPr="0008481A" w:rsidRDefault="003B3271">
      <w:pPr>
        <w:pStyle w:val="Rubrik3"/>
      </w:pPr>
      <w:r w:rsidRPr="0008481A">
        <w:t>Folkbokföring</w:t>
      </w:r>
    </w:p>
    <w:p w:rsidR="003B3271" w:rsidRPr="0008481A" w:rsidRDefault="003B3271">
      <w:pPr>
        <w:pStyle w:val="PunktlistaTankstreck"/>
      </w:pPr>
      <w:r w:rsidRPr="0008481A">
        <w:t>underlåtenhet att kommunicera inhämtade uppgifter 00/01:283</w:t>
      </w:r>
    </w:p>
    <w:p w:rsidR="003B3271" w:rsidRPr="0008481A" w:rsidRDefault="003B3271">
      <w:pPr>
        <w:pStyle w:val="Rubrik3"/>
      </w:pPr>
      <w:r w:rsidRPr="0008481A">
        <w:t>Fordonskontroll</w:t>
      </w:r>
    </w:p>
    <w:p w:rsidR="003B3271" w:rsidRPr="0008481A" w:rsidRDefault="003B3271">
      <w:pPr>
        <w:pStyle w:val="PunktlistaTankstreck"/>
      </w:pPr>
      <w:r w:rsidRPr="0008481A">
        <w:t>fråga om skyldighet för Aktiebolaget Svensk Bilprovning att vid kontroll</w:t>
      </w:r>
      <w:r w:rsidRPr="0008481A">
        <w:softHyphen/>
        <w:t>besiktningsförrättningar upplysa om ett alternativ till att efte</w:t>
      </w:r>
      <w:r w:rsidRPr="0008481A">
        <w:t>r</w:t>
      </w:r>
      <w:r w:rsidRPr="0008481A">
        <w:t>komma före</w:t>
      </w:r>
      <w:r w:rsidRPr="0008481A">
        <w:softHyphen/>
        <w:t>lägganden (provning vid verkstad av särskilt slag) – med hänsyn till ut</w:t>
      </w:r>
      <w:r w:rsidRPr="0008481A">
        <w:softHyphen/>
        <w:t>formningen av regeringsförfattningen på området och till föreskrifter i övrigt 00/01:476</w:t>
      </w:r>
    </w:p>
    <w:p w:rsidR="003B3271" w:rsidRPr="0008481A" w:rsidRDefault="003B3271">
      <w:pPr>
        <w:pStyle w:val="Rubrik3"/>
      </w:pPr>
      <w:r w:rsidRPr="0008481A">
        <w:t>Fullföljdshänvisning</w:t>
      </w:r>
    </w:p>
    <w:p w:rsidR="003B3271" w:rsidRPr="0008481A" w:rsidRDefault="003B3271">
      <w:pPr>
        <w:pStyle w:val="PunktlistaTankstreck"/>
      </w:pPr>
      <w:r w:rsidRPr="0008481A">
        <w:t>det är fel att ange att ett beslut om avslag på en ansökan om bistånd e</w:t>
      </w:r>
      <w:r w:rsidRPr="0008481A">
        <w:t>n</w:t>
      </w:r>
      <w:r w:rsidRPr="0008481A">
        <w:t>ligt 6 g § SoL inte kan överklagas eftersom beslutet kan bli föremål för prövning enligt reglerna om laglighetsprövning i 10 kap. komm</w:t>
      </w:r>
      <w:r w:rsidRPr="0008481A">
        <w:t>u</w:t>
      </w:r>
      <w:r w:rsidRPr="0008481A">
        <w:t>nallagen 99/00:235</w:t>
      </w:r>
    </w:p>
    <w:p w:rsidR="003B3271" w:rsidRPr="0008481A" w:rsidRDefault="003B3271">
      <w:pPr>
        <w:pStyle w:val="PunktlistaTankstreck"/>
      </w:pPr>
      <w:r w:rsidRPr="0008481A">
        <w:t>fråga om delgivning av beslut då en kommunal nämnd har godtagit en advokat som ombud i ett ärende enligt miljöskyddslagen men inte krävt att han företedde fullmakt, m.m. 99/00:336</w:t>
      </w:r>
    </w:p>
    <w:p w:rsidR="003B3271" w:rsidRPr="0008481A" w:rsidRDefault="003B3271">
      <w:pPr>
        <w:pStyle w:val="Rubrik3"/>
      </w:pPr>
      <w:r w:rsidRPr="0008481A">
        <w:t>Fullmakt</w:t>
      </w:r>
    </w:p>
    <w:p w:rsidR="003B3271" w:rsidRPr="0008481A" w:rsidRDefault="003B3271">
      <w:pPr>
        <w:pStyle w:val="PunktlistaTankstreck"/>
      </w:pPr>
      <w:r w:rsidRPr="0008481A">
        <w:t>fråga om delgivning av beslut då en kommunal nämnd har godtagit en advokat som ombud i ett ärende enligt miljöskyddslagen men inte krävt att han företedde fullmakt, m.m. 99/00:336</w:t>
      </w:r>
    </w:p>
    <w:p w:rsidR="003B3271" w:rsidRPr="0008481A" w:rsidRDefault="003B3271">
      <w:pPr>
        <w:pStyle w:val="Rubrik3"/>
      </w:pPr>
      <w:r w:rsidRPr="0008481A">
        <w:t>Färdtjänst</w:t>
      </w:r>
    </w:p>
    <w:p w:rsidR="003B3271" w:rsidRPr="0008481A" w:rsidRDefault="003B3271">
      <w:pPr>
        <w:pStyle w:val="PunktlistaTankstreck"/>
      </w:pPr>
      <w:r w:rsidRPr="0008481A">
        <w:t>kommunala nämnder har inte registrerat (diariefört) allmänna han</w:t>
      </w:r>
      <w:r w:rsidRPr="0008481A">
        <w:t>d</w:t>
      </w:r>
      <w:r w:rsidRPr="0008481A">
        <w:t>lingar i ärenden om färdtjänst. Fråga om registreringsskyldighet föreligger 00/01:560</w:t>
      </w:r>
    </w:p>
    <w:p w:rsidR="003B3271" w:rsidRPr="0008481A" w:rsidRDefault="003B3271">
      <w:pPr>
        <w:pStyle w:val="Rubrik3"/>
      </w:pPr>
      <w:r w:rsidRPr="0008481A">
        <w:t>Förhandsbesked</w:t>
      </w:r>
    </w:p>
    <w:p w:rsidR="003B3271" w:rsidRPr="0008481A" w:rsidRDefault="003B3271">
      <w:pPr>
        <w:pStyle w:val="PunktlistaTankstreck"/>
      </w:pPr>
      <w:r w:rsidRPr="0008481A">
        <w:t>byggnadsnämnd har vidhållit ett krav på avgift enligt plan- och byggl</w:t>
      </w:r>
      <w:r w:rsidRPr="0008481A">
        <w:t>a</w:t>
      </w:r>
      <w:r w:rsidRPr="0008481A">
        <w:t>gen, på annan grund än vad länsstyrelsen vid överprövning underkänt och för ett tillstånd som inte utgjort förhandsbesked eller någon annan i lagen före</w:t>
      </w:r>
      <w:r w:rsidRPr="0008481A">
        <w:softHyphen/>
        <w:t>skriven form av beslut. Serviceskyldighet med avseende på ansö</w:t>
      </w:r>
      <w:r w:rsidRPr="0008481A">
        <w:t>k</w:t>
      </w:r>
      <w:r w:rsidRPr="0008481A">
        <w:t>ningar om sådant tillstånd 00/01:484</w:t>
      </w:r>
    </w:p>
    <w:p w:rsidR="003B3271" w:rsidRPr="0008481A" w:rsidRDefault="003B3271">
      <w:pPr>
        <w:pStyle w:val="Rubrik3"/>
      </w:pPr>
      <w:r w:rsidRPr="0008481A">
        <w:t>Förhör</w:t>
      </w:r>
    </w:p>
    <w:p w:rsidR="003B3271" w:rsidRPr="0008481A" w:rsidRDefault="003B3271">
      <w:pPr>
        <w:pStyle w:val="PunktlistaTankstreck"/>
      </w:pPr>
      <w:r w:rsidRPr="0008481A">
        <w:t>kritik mot en polismyndighet för att förhörsledare i samband med för</w:t>
      </w:r>
      <w:r w:rsidRPr="0008481A">
        <w:softHyphen/>
        <w:t>undersökning mot två 15-åringar åsidosatt regler av grundläggande betydelse för underårigas rättssäke</w:t>
      </w:r>
      <w:r w:rsidRPr="0008481A">
        <w:t>r</w:t>
      </w:r>
      <w:r w:rsidRPr="0008481A">
        <w:t>het 99/00:78</w:t>
      </w:r>
    </w:p>
    <w:p w:rsidR="003B3271" w:rsidRPr="0008481A" w:rsidRDefault="003B3271">
      <w:pPr>
        <w:pStyle w:val="PunktlistaTankstreck"/>
      </w:pPr>
      <w:r w:rsidRPr="0008481A">
        <w:t xml:space="preserve">fråga om fullgörande av skyldighet att underrätta vårdnadshavare enligt </w:t>
      </w:r>
      <w:r w:rsidRPr="0008481A">
        <w:br/>
        <w:t xml:space="preserve">5 § </w:t>
      </w:r>
    </w:p>
    <w:p w:rsidR="003B3271" w:rsidRPr="0008481A" w:rsidRDefault="003B3271">
      <w:pPr>
        <w:pStyle w:val="PunktlistaTankstreck"/>
      </w:pPr>
      <w:r w:rsidRPr="0008481A">
        <w:t>fråga om tillämpningen av 23 kap. 21 § andra stycket rättegångsbalken angående skyldigheten att, innan förhöret avslutas, låta den som hörs bl.a. granska upptec</w:t>
      </w:r>
      <w:r w:rsidRPr="0008481A">
        <w:t>k</w:t>
      </w:r>
      <w:r w:rsidRPr="0008481A">
        <w:t>ning av utsagan 99/00:143</w:t>
      </w:r>
    </w:p>
    <w:p w:rsidR="003B3271" w:rsidRPr="0008481A" w:rsidRDefault="003B3271">
      <w:pPr>
        <w:pStyle w:val="PunktlistaTankstreck"/>
      </w:pPr>
      <w:r w:rsidRPr="0008481A">
        <w:t>kritik mot en polismyndighet för att ha inlett utredning enligt 31 § l</w:t>
      </w:r>
      <w:r w:rsidRPr="0008481A">
        <w:t>a</w:t>
      </w:r>
      <w:r w:rsidRPr="0008481A">
        <w:t>gen (1964:167) med särskilda bestämmelser för unga lagöverträdare (LUL) mot barn under 15 år samt fråga om underrättelseskyldighet enligt nämnda lag och förhör med barn 00/01:90</w:t>
      </w:r>
    </w:p>
    <w:p w:rsidR="003B3271" w:rsidRPr="0008481A" w:rsidRDefault="003B3271">
      <w:pPr>
        <w:pStyle w:val="PunktlistaTankstreck"/>
      </w:pPr>
      <w:r w:rsidRPr="0008481A">
        <w:t>åklagares handläggning av en förundersökning om misshandel där måls</w:t>
      </w:r>
      <w:r w:rsidRPr="0008481A">
        <w:softHyphen/>
        <w:t>äganden pekat ut en polisman som gärningsman 00/01:100</w:t>
      </w:r>
    </w:p>
    <w:p w:rsidR="003B3271" w:rsidRPr="0008481A" w:rsidRDefault="003B3271">
      <w:pPr>
        <w:pStyle w:val="PunktlistaTankstreck"/>
      </w:pPr>
      <w:r w:rsidRPr="0008481A">
        <w:t>i ärenden om påstådda brott av polismän har åklagare föranstaltat om förhör med bl.a. utpekad gärningsman innan beslut i frågan om inledande av förundersökning fattats 00/01:178</w:t>
      </w:r>
    </w:p>
    <w:p w:rsidR="003B3271" w:rsidRPr="0008481A" w:rsidRDefault="003B3271">
      <w:pPr>
        <w:pStyle w:val="PunktlistaTankstreck"/>
      </w:pPr>
      <w:r w:rsidRPr="0008481A">
        <w:t>möjligheten att inhämta skriftliga berättelser från målsägande och vit</w:t>
      </w:r>
      <w:r w:rsidRPr="0008481A">
        <w:t>t</w:t>
      </w:r>
      <w:r w:rsidRPr="0008481A">
        <w:t>nen 00/01:201</w:t>
      </w:r>
    </w:p>
    <w:p w:rsidR="003B3271" w:rsidRPr="0008481A" w:rsidRDefault="003B3271">
      <w:pPr>
        <w:pStyle w:val="Rubrik3"/>
      </w:pPr>
      <w:r w:rsidRPr="0008481A">
        <w:t>Förolämpning</w:t>
      </w:r>
    </w:p>
    <w:p w:rsidR="003B3271" w:rsidRPr="0008481A" w:rsidRDefault="003B3271">
      <w:pPr>
        <w:pStyle w:val="PunktlistaTankstreck"/>
      </w:pPr>
      <w:r w:rsidRPr="0008481A">
        <w:t>fråga om tillämpningen av bestämmelserna i 20 kap. 5 § brottsbalken vid prövning av om förundersökning skulle inledas med anledning av en polis</w:t>
      </w:r>
      <w:r w:rsidRPr="0008481A">
        <w:softHyphen/>
        <w:t>anmälan om förolämpning i vilken det påstods att gärningen inträ</w:t>
      </w:r>
      <w:r w:rsidRPr="0008481A">
        <w:t>f</w:t>
      </w:r>
      <w:r w:rsidRPr="0008481A">
        <w:t>fat i samband med utövningen av anställningen vid en polismyndighet 00/01:184</w:t>
      </w:r>
    </w:p>
    <w:p w:rsidR="003B3271" w:rsidRPr="0008481A" w:rsidRDefault="003B3271">
      <w:pPr>
        <w:pStyle w:val="Rubrik3"/>
      </w:pPr>
      <w:r w:rsidRPr="0008481A">
        <w:t>Förskola</w:t>
      </w:r>
    </w:p>
    <w:p w:rsidR="003B3271" w:rsidRPr="0008481A" w:rsidRDefault="003B3271">
      <w:pPr>
        <w:pStyle w:val="PunktlistaTankstreck"/>
      </w:pPr>
      <w:r w:rsidRPr="0008481A">
        <w:t>hur skall en begäran om omplacering av barn i förskolan hanteras om endast en av vårdnadshavarna står bakom framställningen om byte av för</w:t>
      </w:r>
      <w:r w:rsidRPr="0008481A">
        <w:softHyphen/>
        <w:t>skola 99/00:283</w:t>
      </w:r>
    </w:p>
    <w:p w:rsidR="003B3271" w:rsidRPr="0008481A" w:rsidRDefault="003B3271">
      <w:pPr>
        <w:pStyle w:val="PunktlistaTankstreck"/>
      </w:pPr>
      <w:r w:rsidRPr="0008481A">
        <w:t>barnomsorgsavgift; verkan av att den som är gift med men inte sa</w:t>
      </w:r>
      <w:r w:rsidRPr="0008481A">
        <w:t>m</w:t>
      </w:r>
      <w:r w:rsidRPr="0008481A">
        <w:t>manbor med ett barns förälder inte har lämnat uppgift om sin i</w:t>
      </w:r>
      <w:r w:rsidRPr="0008481A">
        <w:t>n</w:t>
      </w:r>
      <w:r w:rsidRPr="0008481A">
        <w:t>komst 99/00:286</w:t>
      </w:r>
    </w:p>
    <w:p w:rsidR="003B3271" w:rsidRPr="0008481A" w:rsidRDefault="003B3271">
      <w:pPr>
        <w:pStyle w:val="Rubrik3"/>
      </w:pPr>
      <w:r w:rsidRPr="0008481A">
        <w:t>Förundersökning</w:t>
      </w:r>
    </w:p>
    <w:p w:rsidR="003B3271" w:rsidRPr="0008481A" w:rsidRDefault="003B3271">
      <w:pPr>
        <w:pStyle w:val="PunktlistaTankstreck"/>
      </w:pPr>
      <w:r w:rsidRPr="0008481A">
        <w:t>kritik mot en polismyndighet för att förhörsledare i samband med för</w:t>
      </w:r>
      <w:r w:rsidRPr="0008481A">
        <w:softHyphen/>
        <w:t>undersökning mot två 15-åringar åsidosatt regler av grundläggande betydelse för underårigas rättssäke</w:t>
      </w:r>
      <w:r w:rsidRPr="0008481A">
        <w:t>r</w:t>
      </w:r>
      <w:r w:rsidRPr="0008481A">
        <w:t>het 99/00:78</w:t>
      </w:r>
    </w:p>
    <w:p w:rsidR="003B3271" w:rsidRPr="0008481A" w:rsidRDefault="003B3271">
      <w:pPr>
        <w:pStyle w:val="PunktlistaTankstreck"/>
      </w:pPr>
      <w:r w:rsidRPr="0008481A">
        <w:t>beslut om rättsmedicinsk obduktion kan fattas utan att förundersökning har inletts; uttalanden om möjligheten att inhämta yttranden från en myndighet under en s.k. förutredning dvs. utan att förundersökning har inletts 99/00:85</w:t>
      </w:r>
    </w:p>
    <w:p w:rsidR="003B3271" w:rsidRPr="0008481A" w:rsidRDefault="003B3271">
      <w:pPr>
        <w:pStyle w:val="PunktlistaTankstreck"/>
      </w:pPr>
      <w:r w:rsidRPr="0008481A">
        <w:t>uttalanden om lagligheten av att under en förundersökning i hemlighet videofilma en person som var intagen i häkte 99/00:91</w:t>
      </w:r>
    </w:p>
    <w:p w:rsidR="003B3271" w:rsidRPr="0008481A" w:rsidRDefault="003B3271">
      <w:pPr>
        <w:pStyle w:val="PunktlistaTankstreck"/>
      </w:pPr>
      <w:r w:rsidRPr="0008481A">
        <w:t>fråga om när polismyndighet skall ta kontakt med åklagare för att ber</w:t>
      </w:r>
      <w:r w:rsidRPr="0008481A">
        <w:t>e</w:t>
      </w:r>
      <w:r w:rsidRPr="0008481A">
        <w:t>da denne tillfälle att överta förundersökningsledarskap och därmed samman</w:t>
      </w:r>
      <w:r w:rsidRPr="0008481A">
        <w:softHyphen/>
        <w:t>hängande frågor om användande av tvångsmedel (i fallet s.k. personell husranns</w:t>
      </w:r>
      <w:r w:rsidRPr="0008481A">
        <w:t>a</w:t>
      </w:r>
      <w:r w:rsidRPr="0008481A">
        <w:t>kan i samband med en gisslansituation) 99/00:114</w:t>
      </w:r>
    </w:p>
    <w:p w:rsidR="003B3271" w:rsidRPr="0008481A" w:rsidRDefault="003B3271">
      <w:pPr>
        <w:pStyle w:val="PunktlistaTankstreck"/>
      </w:pPr>
      <w:r w:rsidRPr="0008481A">
        <w:t xml:space="preserve">fråga om fullgörande av skyldighet att underrätta vårdnadshavare enligt </w:t>
      </w:r>
      <w:r w:rsidRPr="0008481A">
        <w:br/>
        <w:t>5 § lagen (1964:167) med särskilda bestämmelser om unga lagöve</w:t>
      </w:r>
      <w:r w:rsidRPr="0008481A">
        <w:t>r</w:t>
      </w:r>
      <w:r w:rsidRPr="0008481A">
        <w:t>trädare 99/00:118</w:t>
      </w:r>
    </w:p>
    <w:p w:rsidR="003B3271" w:rsidRPr="0008481A" w:rsidRDefault="003B3271">
      <w:pPr>
        <w:pStyle w:val="PunktlistaTankstreck"/>
      </w:pPr>
      <w:r w:rsidRPr="0008481A">
        <w:t>under utredningen i ett klagoärende hos JO konstaterade en överåklag</w:t>
      </w:r>
      <w:r w:rsidRPr="0008481A">
        <w:t>a</w:t>
      </w:r>
      <w:r w:rsidRPr="0008481A">
        <w:t>re i ett remissvar att det fanns anledning anta att en kammaråklagare h</w:t>
      </w:r>
      <w:r w:rsidRPr="0008481A">
        <w:t>a</w:t>
      </w:r>
      <w:r w:rsidRPr="0008481A">
        <w:t>de gjort sig skyldig till tjänstefel. Med anledning av detta konstat</w:t>
      </w:r>
      <w:r w:rsidRPr="0008481A">
        <w:t>e</w:t>
      </w:r>
      <w:r w:rsidRPr="0008481A">
        <w:t>rande över</w:t>
      </w:r>
      <w:r w:rsidRPr="0008481A">
        <w:softHyphen/>
        <w:t>lämnades ärendet till Riksåklagaren 99/00:120</w:t>
      </w:r>
    </w:p>
    <w:p w:rsidR="003B3271" w:rsidRPr="0008481A" w:rsidRDefault="003B3271">
      <w:pPr>
        <w:pStyle w:val="PunktlistaTankstreck"/>
      </w:pPr>
      <w:r w:rsidRPr="0008481A">
        <w:t>kritik mot en åklagare för att denne inte omgående tog ställning till om för</w:t>
      </w:r>
      <w:r w:rsidRPr="0008481A">
        <w:softHyphen/>
        <w:t>undersökning skulle inledas i ett ärende om påstådd misshandel och tjänstefel 99/00:122</w:t>
      </w:r>
    </w:p>
    <w:p w:rsidR="003B3271" w:rsidRPr="0008481A" w:rsidRDefault="003B3271">
      <w:pPr>
        <w:pStyle w:val="PunktlistaTankstreck"/>
      </w:pPr>
      <w:r w:rsidRPr="0008481A">
        <w:t>fråga om tillämpningen av 23 kap. 21 § andra stycket rättegångsbalken angående skyldigheten att, innan förhöret avslutas, låta den som hörs bl.a. granska upptec</w:t>
      </w:r>
      <w:r w:rsidRPr="0008481A">
        <w:t>k</w:t>
      </w:r>
      <w:r w:rsidRPr="0008481A">
        <w:t>ning av utsagan 99/00:143</w:t>
      </w:r>
    </w:p>
    <w:p w:rsidR="003B3271" w:rsidRPr="0008481A" w:rsidRDefault="003B3271">
      <w:pPr>
        <w:pStyle w:val="PunktlistaTankstreck"/>
      </w:pPr>
      <w:r w:rsidRPr="0008481A">
        <w:t>möjligheten för en polismyndighet att lägga ned en förundersökning med motiveringen ”brott kan ej styrkas” 00/01:62</w:t>
      </w:r>
    </w:p>
    <w:p w:rsidR="003B3271" w:rsidRPr="0008481A" w:rsidRDefault="003B3271">
      <w:pPr>
        <w:pStyle w:val="PunktlistaTankstreck"/>
      </w:pPr>
      <w:r w:rsidRPr="0008481A">
        <w:t>handläggningen av framställningar om utredningsåtgärder efter det att en brottmålsdom vunnit laga kraft 00/01:69</w:t>
      </w:r>
    </w:p>
    <w:p w:rsidR="003B3271" w:rsidRPr="0008481A" w:rsidRDefault="003B3271">
      <w:pPr>
        <w:pStyle w:val="PunktlistaTankstreck"/>
      </w:pPr>
      <w:r w:rsidRPr="0008481A">
        <w:t>åklagares handläggning av en förundersökning om misshandel där måls</w:t>
      </w:r>
      <w:r w:rsidRPr="0008481A">
        <w:softHyphen/>
        <w:t>äganden pekat ut en polisman som gärningsman 00/01:100</w:t>
      </w:r>
    </w:p>
    <w:p w:rsidR="003B3271" w:rsidRPr="0008481A" w:rsidRDefault="003B3271">
      <w:pPr>
        <w:pStyle w:val="PunktlistaTankstreck"/>
      </w:pPr>
      <w:r w:rsidRPr="0008481A">
        <w:t>en rådman vägrade att hålla häktningsförhandling med hänvisning till att åklagaren inte hade tillhandahållit rätten något skriftligt utredningsm</w:t>
      </w:r>
      <w:r w:rsidRPr="0008481A">
        <w:t>a</w:t>
      </w:r>
      <w:r w:rsidRPr="0008481A">
        <w:t>terial 00/01:55</w:t>
      </w:r>
    </w:p>
    <w:p w:rsidR="003B3271" w:rsidRPr="0008481A" w:rsidRDefault="003B3271">
      <w:pPr>
        <w:pStyle w:val="PunktlistaTankstreck"/>
      </w:pPr>
      <w:r w:rsidRPr="0008481A">
        <w:t>uttalanden om principerna för fördelningen inom en åklagarmyndighet av anmälningar mot polismän 00/01:106</w:t>
      </w:r>
    </w:p>
    <w:p w:rsidR="003B3271" w:rsidRPr="0008481A" w:rsidRDefault="003B3271">
      <w:pPr>
        <w:pStyle w:val="PunktlistaTankstreck"/>
      </w:pPr>
      <w:r w:rsidRPr="0008481A">
        <w:t>fråga om rättsenligheten av polisens spaningsmetod att använda en i</w:t>
      </w:r>
      <w:r w:rsidRPr="0008481A">
        <w:t>n</w:t>
      </w:r>
      <w:r w:rsidRPr="0008481A">
        <w:t>köpt motorcykel av märket Harley-Davidson som ”lockbete” i brottsutre</w:t>
      </w:r>
      <w:r w:rsidRPr="0008481A">
        <w:t>d</w:t>
      </w:r>
      <w:r w:rsidRPr="0008481A">
        <w:t>ningar samt vissa uttalanden om de problem som kan uppkomma till följd av skador på eller vållade av ett polisen tillhörigt motorfordon som är försäkrat 00/01:118</w:t>
      </w:r>
    </w:p>
    <w:p w:rsidR="003B3271" w:rsidRPr="0008481A" w:rsidRDefault="003B3271">
      <w:pPr>
        <w:pStyle w:val="PunktlistaTankstreck"/>
      </w:pPr>
      <w:r w:rsidRPr="0008481A">
        <w:t>”snattefonen” – polisens användning av förenklad utredning vid butiks</w:t>
      </w:r>
      <w:r w:rsidRPr="0008481A">
        <w:softHyphen/>
        <w:t>snatterier 00/01:137</w:t>
      </w:r>
    </w:p>
    <w:p w:rsidR="003B3271" w:rsidRPr="0008481A" w:rsidRDefault="003B3271">
      <w:pPr>
        <w:pStyle w:val="PunktlistaTankstreck"/>
      </w:pPr>
      <w:r w:rsidRPr="0008481A">
        <w:t>i ärenden om påstådda brott av polismän har åklagare föranstaltat om förhör med bl.a. utpekad gärningsman innan beslut i frågan om inledande av förundersökning fattats 00/01:178</w:t>
      </w:r>
    </w:p>
    <w:p w:rsidR="003B3271" w:rsidRPr="0008481A" w:rsidRDefault="003B3271">
      <w:pPr>
        <w:pStyle w:val="PunktlistaTankstreck"/>
      </w:pPr>
      <w:r w:rsidRPr="0008481A">
        <w:t>fråga om tillämpningen av bestämmelserna i 20 kap. 5 § brottsbalken vid prövning av om förundersökning skulle inledas med anledning av en polis</w:t>
      </w:r>
      <w:r w:rsidRPr="0008481A">
        <w:softHyphen/>
        <w:t>anmälan om förolämpning i vilken det påstods att gärningen i</w:t>
      </w:r>
      <w:r w:rsidRPr="0008481A">
        <w:t>n</w:t>
      </w:r>
      <w:r w:rsidRPr="0008481A">
        <w:t>träffat i samband med utövningen av anställningen vid en poli</w:t>
      </w:r>
      <w:r w:rsidRPr="0008481A">
        <w:t>s</w:t>
      </w:r>
      <w:r w:rsidRPr="0008481A">
        <w:t>myndighet 00/01:184</w:t>
      </w:r>
    </w:p>
    <w:p w:rsidR="003B3271" w:rsidRPr="0008481A" w:rsidRDefault="003B3271">
      <w:pPr>
        <w:pStyle w:val="PunktlistaTankstreck"/>
      </w:pPr>
      <w:r w:rsidRPr="0008481A">
        <w:t>handläggningen av en förundersökning med anledning av en polisra</w:t>
      </w:r>
      <w:r w:rsidRPr="0008481A">
        <w:t>p</w:t>
      </w:r>
      <w:r w:rsidRPr="0008481A">
        <w:t>port i vilken uppgavs att ett statsråd hade gjort sig skyldig till olovlig körning 00/01:190</w:t>
      </w:r>
    </w:p>
    <w:p w:rsidR="003B3271" w:rsidRPr="0008481A" w:rsidRDefault="003B3271">
      <w:pPr>
        <w:pStyle w:val="PunktlistaTankstreck"/>
      </w:pPr>
      <w:r w:rsidRPr="0008481A">
        <w:t>handläggningen hos överåklagare av en anmälan mot en kammaråkl</w:t>
      </w:r>
      <w:r w:rsidRPr="0008481A">
        <w:t>a</w:t>
      </w:r>
      <w:r w:rsidRPr="0008481A">
        <w:t>gare för försummelser i tjänsten 00/01:197</w:t>
      </w:r>
    </w:p>
    <w:p w:rsidR="003B3271" w:rsidRPr="0008481A" w:rsidRDefault="003B3271">
      <w:pPr>
        <w:pStyle w:val="PunktlistaTankstreck"/>
      </w:pPr>
      <w:r w:rsidRPr="0008481A">
        <w:t>möjligheten att inhämta skriftliga berättelser från målsägande och vit</w:t>
      </w:r>
      <w:r w:rsidRPr="0008481A">
        <w:t>t</w:t>
      </w:r>
      <w:r w:rsidRPr="0008481A">
        <w:t>nen 00/01:201</w:t>
      </w:r>
    </w:p>
    <w:p w:rsidR="003B3271" w:rsidRPr="0008481A" w:rsidRDefault="003B3271">
      <w:pPr>
        <w:pStyle w:val="Rubrik3"/>
      </w:pPr>
      <w:r w:rsidRPr="0008481A">
        <w:t>Förutredning</w:t>
      </w:r>
    </w:p>
    <w:p w:rsidR="003B3271" w:rsidRPr="0008481A" w:rsidRDefault="003B3271">
      <w:pPr>
        <w:pStyle w:val="PunktlistaTankstreck"/>
      </w:pPr>
      <w:r w:rsidRPr="0008481A">
        <w:t>i ärenden om påstådda brott av polismän har åklagare föranstaltat om förhör med bl.a. utpekad gärningsman innan beslut i frågan om inledande av förundersökning fattats 00/01:178</w:t>
      </w:r>
    </w:p>
    <w:p w:rsidR="003B3271" w:rsidRPr="0008481A" w:rsidRDefault="003B3271">
      <w:pPr>
        <w:pStyle w:val="Rubrik3"/>
      </w:pPr>
      <w:r w:rsidRPr="0008481A">
        <w:t>Förvaltningslagen (FL)</w:t>
      </w:r>
    </w:p>
    <w:p w:rsidR="003B3271" w:rsidRPr="0008481A" w:rsidRDefault="003B3271">
      <w:pPr>
        <w:pStyle w:val="PunktlistaTankstreck"/>
      </w:pPr>
      <w:r w:rsidRPr="0008481A">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w:t>
      </w:r>
      <w:r w:rsidRPr="0008481A">
        <w:t>e</w:t>
      </w:r>
      <w:r w:rsidRPr="0008481A">
        <w:t>slut 99/00:60</w:t>
      </w:r>
    </w:p>
    <w:p w:rsidR="003B3271" w:rsidRPr="0008481A" w:rsidRDefault="003B3271">
      <w:pPr>
        <w:pStyle w:val="PunktlistaTankstreck"/>
      </w:pPr>
      <w:r w:rsidRPr="0008481A">
        <w:t>fråga om polismyndighets skyldighet att låta översätta innehållet i en underrättelse (angående hävt beslag) som sänts till en polsk medborgare i Polen 99/00:127</w:t>
      </w:r>
    </w:p>
    <w:p w:rsidR="003B3271" w:rsidRPr="0008481A" w:rsidRDefault="003B3271">
      <w:pPr>
        <w:pStyle w:val="PunktlistaTankstreck"/>
      </w:pPr>
      <w:r w:rsidRPr="0008481A">
        <w:t>fråga om polismyndighet ägt rätt att vilandeförklara en ansökan om vi</w:t>
      </w:r>
      <w:r w:rsidRPr="0008481A">
        <w:t>s</w:t>
      </w:r>
      <w:r w:rsidRPr="0008481A">
        <w:t>sa ändringar i ett tillstånd att handla med vapen i avvaktan på domstols</w:t>
      </w:r>
      <w:r w:rsidRPr="0008481A">
        <w:softHyphen/>
        <w:t>avgörande avseende polismyndighetens dessförinnan fattade beslut att återkalla handelstil</w:t>
      </w:r>
      <w:r w:rsidRPr="0008481A">
        <w:t>l</w:t>
      </w:r>
      <w:r w:rsidRPr="0008481A">
        <w:t>ståndet 99/00:133</w:t>
      </w:r>
    </w:p>
    <w:p w:rsidR="003B3271" w:rsidRPr="0008481A" w:rsidRDefault="003B3271">
      <w:pPr>
        <w:pStyle w:val="PunktlistaTankstreck"/>
      </w:pPr>
      <w:r w:rsidRPr="0008481A">
        <w:t>dröjsmål med att skriftligen underrätta en intagen i krimina</w:t>
      </w:r>
      <w:r w:rsidRPr="0008481A">
        <w:t>l</w:t>
      </w:r>
      <w:r w:rsidRPr="0008481A">
        <w:t xml:space="preserve">vårdsanstalt om ett beslut 99/00:155 </w:t>
      </w:r>
    </w:p>
    <w:p w:rsidR="003B3271" w:rsidRPr="0008481A" w:rsidRDefault="003B3271">
      <w:pPr>
        <w:pStyle w:val="PunktlistaTankstreck"/>
      </w:pPr>
      <w:r w:rsidRPr="0008481A">
        <w:t>fråga om myndighets skyldighet att låta översätta en på utländskt språk författad överklagandeskrift till svenska 99/00:216</w:t>
      </w:r>
    </w:p>
    <w:p w:rsidR="003B3271" w:rsidRPr="0008481A" w:rsidRDefault="003B3271">
      <w:pPr>
        <w:pStyle w:val="PunktlistaTankstreck"/>
      </w:pPr>
      <w:r w:rsidRPr="0008481A">
        <w:t>fråga om omprövning av ett länsstyrelsebeslut angående tillstånd till jakt på mink då beslutet enligt föreskrift i jaktförordningen inte fick över</w:t>
      </w:r>
      <w:r w:rsidRPr="0008481A">
        <w:softHyphen/>
        <w:t>klagas, m.m. 99/00:339</w:t>
      </w:r>
    </w:p>
    <w:p w:rsidR="003B3271" w:rsidRPr="0008481A" w:rsidRDefault="003B3271">
      <w:pPr>
        <w:pStyle w:val="PunktlistaTankstreck"/>
      </w:pPr>
      <w:r w:rsidRPr="0008481A">
        <w:t>kriminalvårdsanstalts rutiner för delgivning av beslut 00/01:222</w:t>
      </w:r>
    </w:p>
    <w:p w:rsidR="003B3271" w:rsidRPr="0008481A" w:rsidRDefault="003B3271">
      <w:pPr>
        <w:pStyle w:val="PunktlistaTankstreck"/>
      </w:pPr>
      <w:r w:rsidRPr="0008481A">
        <w:t>kritik mot en överförmyndare för underlåtenhet att kommunicera ett arvodesyrkande med dödsbo m.m. 00/01:498</w:t>
      </w:r>
    </w:p>
    <w:p w:rsidR="003B3271" w:rsidRPr="0008481A" w:rsidRDefault="003B3271">
      <w:pPr>
        <w:pStyle w:val="PunktlistaTankstreck"/>
      </w:pPr>
      <w:r w:rsidRPr="0008481A">
        <w:t>handläggningen av ett ärende avseende journalförstöring – fråga om Socialstyrelsen haft att pröva en ny framställan i samma sak oaktat det först avgjorda ärendet var föremål för överprövning i domstol 00/01:349</w:t>
      </w:r>
    </w:p>
    <w:p w:rsidR="003B3271" w:rsidRPr="0008481A" w:rsidRDefault="003B3271">
      <w:pPr>
        <w:pStyle w:val="PunktlistaTankstreck"/>
      </w:pPr>
      <w:r w:rsidRPr="0008481A">
        <w:t>ett på JO:s initiativ upptaget ärende mot institutionen för lingvistik vid Uppsala universitet angående strykning av tidigare meddelade kursp</w:t>
      </w:r>
      <w:r w:rsidRPr="0008481A">
        <w:t>o</w:t>
      </w:r>
      <w:r w:rsidRPr="0008481A">
        <w:t>äng utan att höra studenterna 00/01:434</w:t>
      </w:r>
    </w:p>
    <w:p w:rsidR="003B3271" w:rsidRPr="0008481A" w:rsidRDefault="003B3271">
      <w:pPr>
        <w:pStyle w:val="PunktlistaTankstreck"/>
      </w:pPr>
      <w:r w:rsidRPr="0008481A">
        <w:t>kritik mot barn- och grundskolenämnd för underlåtenhet att individuellt pröva en elevs rätt till fortsatt skolskjuts m.m. 00/01:459</w:t>
      </w:r>
    </w:p>
    <w:p w:rsidR="003B3271" w:rsidRPr="0008481A" w:rsidRDefault="003B3271">
      <w:pPr>
        <w:pStyle w:val="PunktlistaTankstreck"/>
      </w:pPr>
      <w:r w:rsidRPr="0008481A">
        <w:t>uttalanden rörande omfattningen av allmänhetens möjligheter att per telefon komma i direkt kontakt med en myndighets tjänstemän; särskilt fråga om skyldigheten att lämna ut tjänstemännens direktnummer 00/01:529</w:t>
      </w:r>
    </w:p>
    <w:p w:rsidR="003B3271" w:rsidRPr="0008481A" w:rsidRDefault="003B3271">
      <w:pPr>
        <w:pStyle w:val="PunktlistaTankstreck"/>
      </w:pPr>
      <w:r w:rsidRPr="0008481A">
        <w:t>fråga om myndighetsutövning och därmed kommuniceringsskyldighet förelegat hos Arbetsmarknadsstyrelsen i ett ärende rörande åtalsanm</w:t>
      </w:r>
      <w:r w:rsidRPr="0008481A">
        <w:t>ä</w:t>
      </w:r>
      <w:r w:rsidRPr="0008481A">
        <w:t>lan 00/01:237</w:t>
      </w:r>
    </w:p>
    <w:p w:rsidR="003B3271" w:rsidRPr="0008481A" w:rsidRDefault="003B3271">
      <w:pPr>
        <w:pStyle w:val="PunktlistaTankstreck"/>
      </w:pPr>
      <w:r w:rsidRPr="0008481A">
        <w:t>fråga rörande myndigheters skyldighet att vara tillgängliga via elektr</w:t>
      </w:r>
      <w:r w:rsidRPr="0008481A">
        <w:t>o</w:t>
      </w:r>
      <w:r w:rsidRPr="0008481A">
        <w:t>nisk post (e-post) 00/01:510</w:t>
      </w:r>
    </w:p>
    <w:p w:rsidR="003B3271" w:rsidRPr="0008481A" w:rsidRDefault="003B3271">
      <w:pPr>
        <w:pStyle w:val="PunktlistaTankstreck"/>
      </w:pPr>
      <w:r w:rsidRPr="0008481A">
        <w:t>kan en arbetsförmedling kräva att en sökande skall skriva på svenska? Även fråga om formuleringen av ett sådant krav 00/01:245</w:t>
      </w:r>
    </w:p>
    <w:p w:rsidR="003B3271" w:rsidRPr="0008481A" w:rsidRDefault="003B3271">
      <w:pPr>
        <w:pStyle w:val="PunktlistaTankstreck"/>
      </w:pPr>
      <w:r w:rsidRPr="0008481A">
        <w:t>tiden för överklagande av förvaltningsbeslut 00/01:495</w:t>
      </w:r>
    </w:p>
    <w:p w:rsidR="003B3271" w:rsidRPr="0008481A" w:rsidRDefault="003B3271">
      <w:pPr>
        <w:pStyle w:val="Rubrik3"/>
      </w:pPr>
      <w:r w:rsidRPr="0008481A">
        <w:t>Förvaltningsprocess</w:t>
      </w:r>
    </w:p>
    <w:p w:rsidR="003B3271" w:rsidRPr="0008481A" w:rsidRDefault="003B3271">
      <w:pPr>
        <w:pStyle w:val="PunktlistaTankstreck"/>
        <w:rPr>
          <w:b/>
        </w:rPr>
      </w:pPr>
      <w:r w:rsidRPr="0008481A">
        <w:t>ett på JO:s initiativ upptaget ärende mot en länsrätt angående fråga om upprepade anstånd i ett mål rörande bistånd enligt socialtjänstlagen 99/00:199</w:t>
      </w:r>
    </w:p>
    <w:p w:rsidR="003B3271" w:rsidRPr="0008481A" w:rsidRDefault="003B3271">
      <w:pPr>
        <w:pStyle w:val="PunktlistaTankstreck"/>
      </w:pPr>
      <w:r w:rsidRPr="0008481A">
        <w:t>fråga angående offentliggörande av integritetskänsliga uppgifter i en dom, då muntlig förhandling hållits inom stängda dörrar 99/00:175</w:t>
      </w:r>
    </w:p>
    <w:p w:rsidR="003B3271" w:rsidRPr="0008481A" w:rsidRDefault="003B3271">
      <w:pPr>
        <w:pStyle w:val="PunktlistaTankstreck"/>
      </w:pPr>
      <w:r w:rsidRPr="0008481A">
        <w:t>kritik mot kammarrätt för dröjsmål med handläggningen av ett inhibitions</w:t>
      </w:r>
      <w:r w:rsidRPr="0008481A">
        <w:softHyphen/>
        <w:t>yrkande 99/00:173</w:t>
      </w:r>
    </w:p>
    <w:p w:rsidR="003B3271" w:rsidRPr="0008481A" w:rsidRDefault="003B3271">
      <w:pPr>
        <w:pStyle w:val="PunktlistaTankstreck"/>
      </w:pPr>
      <w:r w:rsidRPr="0008481A">
        <w:t>kritik mot en länsrätt för att muntlig förhandling hållits i ett mål enligt lagen (1991:1128) om psykiatrisk tvångsvård (LPT) i parts utevaro och utan att något offentligt biträde förordnats 99/00:180</w:t>
      </w:r>
    </w:p>
    <w:p w:rsidR="003B3271" w:rsidRPr="0008481A" w:rsidRDefault="003B3271">
      <w:pPr>
        <w:pStyle w:val="PunktlistaTankstreck"/>
      </w:pPr>
      <w:r w:rsidRPr="0008481A">
        <w:t>på JO:s initiativ upptagen fråga om förutsättning förelegat att vidta själv</w:t>
      </w:r>
      <w:r w:rsidRPr="0008481A">
        <w:softHyphen/>
        <w:t>rättelse med stöd av 32 § förvaltningsprocesslagen (1971:291) 99/00:204</w:t>
      </w:r>
    </w:p>
    <w:p w:rsidR="003B3271" w:rsidRPr="0008481A" w:rsidRDefault="003B3271">
      <w:pPr>
        <w:pStyle w:val="PunktlistaTankstreck"/>
      </w:pPr>
      <w:r w:rsidRPr="0008481A">
        <w:t>fråga om en länsrätts beslut att inte pröva eventuella framtida yrkanden m.m. 00/01:232</w:t>
      </w:r>
    </w:p>
    <w:p w:rsidR="003B3271" w:rsidRPr="0008481A" w:rsidRDefault="003B3271">
      <w:pPr>
        <w:pStyle w:val="Rubrik3"/>
      </w:pPr>
      <w:r w:rsidRPr="0008481A">
        <w:t>Föräldrabalken</w:t>
      </w:r>
    </w:p>
    <w:p w:rsidR="003B3271" w:rsidRPr="0008481A" w:rsidRDefault="003B3271">
      <w:pPr>
        <w:pStyle w:val="PunktlistaTankstreck"/>
        <w:rPr>
          <w:b/>
        </w:rPr>
      </w:pPr>
      <w:r w:rsidRPr="0008481A">
        <w:t>polisbefäls instruktioner till underlydande polismän i samband med ett ingripande föranlett av en vårdnadstvist; även fråga om polismännens upp</w:t>
      </w:r>
      <w:r w:rsidRPr="0008481A">
        <w:softHyphen/>
        <w:t>trädande på platsen för ingripandet 99/00:135</w:t>
      </w:r>
    </w:p>
    <w:p w:rsidR="003B3271" w:rsidRPr="0008481A" w:rsidRDefault="003B3271">
      <w:pPr>
        <w:pStyle w:val="Rubrik3"/>
      </w:pPr>
      <w:r w:rsidRPr="0008481A">
        <w:t>God man</w:t>
      </w:r>
    </w:p>
    <w:p w:rsidR="003B3271" w:rsidRPr="0008481A" w:rsidRDefault="003B3271">
      <w:pPr>
        <w:pStyle w:val="PunktlistaTankstreck"/>
      </w:pPr>
      <w:r w:rsidRPr="0008481A">
        <w:t>fråga om förutsättningar förelåg att förordna god man i ett faderskap</w:t>
      </w:r>
      <w:r w:rsidRPr="0008481A">
        <w:t>s</w:t>
      </w:r>
      <w:r w:rsidRPr="0008481A">
        <w:t>mål 00/01:40</w:t>
      </w:r>
    </w:p>
    <w:p w:rsidR="003B3271" w:rsidRPr="0008481A" w:rsidRDefault="003B3271">
      <w:pPr>
        <w:pStyle w:val="Rubrik3"/>
      </w:pPr>
      <w:r w:rsidRPr="0008481A">
        <w:t>Grundlagsfrågor</w:t>
      </w:r>
    </w:p>
    <w:p w:rsidR="003B3271" w:rsidRPr="0008481A" w:rsidRDefault="003B3271">
      <w:pPr>
        <w:pStyle w:val="PunktlistaTankstreck"/>
      </w:pPr>
      <w:r w:rsidRPr="0008481A">
        <w:t>kritik mot ordförande i gymnasienämnd för åtgärder som denne vidtagit mot nämndsekreterare för uttalanden i lokalpressen 99/00:424</w:t>
      </w:r>
    </w:p>
    <w:p w:rsidR="003B3271" w:rsidRPr="0008481A" w:rsidRDefault="003B3271">
      <w:pPr>
        <w:pStyle w:val="PunktlistaTankstreck"/>
      </w:pPr>
      <w:r w:rsidRPr="0008481A">
        <w:t>tjänstemän vid en förvaltning har i ett diskussionsunderlag, skrivet på för</w:t>
      </w:r>
      <w:r w:rsidRPr="0008481A">
        <w:softHyphen/>
        <w:t>valtningens papper, framfört vissa åsikter. Diskussionsunderlaget har, utan förvaltningens kännedom, överlämnats av tjänstemännen till ett statsråd och även delats ut till</w:t>
      </w:r>
      <w:r w:rsidRPr="0008481A">
        <w:rPr>
          <w:rFonts w:ascii="Garamond" w:hAnsi="Garamond"/>
        </w:rPr>
        <w:t xml:space="preserve"> </w:t>
      </w:r>
      <w:r w:rsidRPr="0008481A">
        <w:t>deltagare vid en konferens. Kritik har riktats mot chefen för förvaltningen avseende de åtgärder som vidtagits mot tjänste</w:t>
      </w:r>
      <w:r w:rsidRPr="0008481A">
        <w:softHyphen/>
        <w:t>männen i anledning av det inträffade 99/00:429</w:t>
      </w:r>
    </w:p>
    <w:p w:rsidR="003B3271" w:rsidRPr="0008481A" w:rsidRDefault="003B3271">
      <w:pPr>
        <w:pStyle w:val="PunktlistaTankstreck"/>
      </w:pPr>
      <w:r w:rsidRPr="0008481A">
        <w:t>fråga om rektor genom att neka politiskt ungdomsförbund att bedriva verk</w:t>
      </w:r>
      <w:r w:rsidRPr="0008481A">
        <w:softHyphen/>
        <w:t>samhet i skola handlat grundlagsstridigt 99/00:418</w:t>
      </w:r>
    </w:p>
    <w:p w:rsidR="003B3271" w:rsidRPr="0008481A" w:rsidRDefault="003B3271">
      <w:pPr>
        <w:pStyle w:val="PunktlistaTankstreck"/>
      </w:pPr>
      <w:r w:rsidRPr="0008481A">
        <w:t>rektor har förbjudit personalen att använda skolans interna postdistri</w:t>
      </w:r>
      <w:r w:rsidRPr="0008481A">
        <w:softHyphen/>
        <w:t>bueringssystem (postfack) för utdelning av privata meddelanden. – Fråga om skolan har rätt att ingripa mot spridning av politisk pr</w:t>
      </w:r>
      <w:r w:rsidRPr="0008481A">
        <w:t>o</w:t>
      </w:r>
      <w:r w:rsidRPr="0008481A">
        <w:t>paganda som läggs i postfacken 99/00:422</w:t>
      </w:r>
    </w:p>
    <w:p w:rsidR="003B3271" w:rsidRPr="0008481A" w:rsidRDefault="003B3271">
      <w:pPr>
        <w:pStyle w:val="PunktlistaTankstreck"/>
      </w:pPr>
      <w:r w:rsidRPr="0008481A">
        <w:t>att en byggnadsnämnd låtit ett privat företag bestrida kostnaderna för ett extra nämndsammanträde har ansetts strida mot 1 kap. 9 § regeringsformen 99/00:366</w:t>
      </w:r>
    </w:p>
    <w:p w:rsidR="003B3271" w:rsidRPr="0008481A" w:rsidRDefault="003B3271">
      <w:pPr>
        <w:pStyle w:val="PunktlistaTankstreck"/>
      </w:pPr>
      <w:r w:rsidRPr="0008481A">
        <w:t>kritik mot rättspsykiatrisk enhet för genomförandet av ytliga kropps</w:t>
      </w:r>
      <w:r w:rsidRPr="0008481A">
        <w:softHyphen/>
        <w:t>besiktningar och kontroll av brevförsändelser. Även kritik för under</w:t>
      </w:r>
      <w:r w:rsidRPr="0008481A">
        <w:softHyphen/>
        <w:t>låtenhet att dokumentera dessa tvångsåtgärder i patientjournalen 00/01:346</w:t>
      </w:r>
    </w:p>
    <w:p w:rsidR="003B3271" w:rsidRPr="0008481A" w:rsidRDefault="003B3271">
      <w:pPr>
        <w:pStyle w:val="PunktlistaTankstreck"/>
        <w:rPr>
          <w:caps/>
        </w:rPr>
      </w:pPr>
      <w:r w:rsidRPr="0008481A">
        <w:t xml:space="preserve">uttalande rörande av sjukhus utfärdade </w:t>
      </w:r>
      <w:r w:rsidRPr="0008481A">
        <w:rPr>
          <w:i/>
        </w:rPr>
        <w:t>Riktlinjer för utlämnande av löne</w:t>
      </w:r>
      <w:r w:rsidRPr="0008481A">
        <w:rPr>
          <w:i/>
        </w:rPr>
        <w:softHyphen/>
        <w:t>uppgift</w:t>
      </w:r>
      <w:r w:rsidRPr="0008481A">
        <w:t>. Fråga om riktlinjerna stått i strid med det s.k. efterforsknings</w:t>
      </w:r>
      <w:r w:rsidRPr="0008481A">
        <w:softHyphen/>
        <w:t>förbudet i 2 kap. 14 § tryckfrihetsförordningen (TF) 00/01: 527</w:t>
      </w:r>
    </w:p>
    <w:p w:rsidR="003B3271" w:rsidRPr="0008481A" w:rsidRDefault="003B3271">
      <w:pPr>
        <w:pStyle w:val="PunktlistaTankstreck"/>
        <w:rPr>
          <w:caps/>
        </w:rPr>
      </w:pPr>
      <w:r w:rsidRPr="0008481A">
        <w:t>förvaltningschef har utfärdat riktlinjer rörande lärares och elevers kontakter med massmedia. – Fråga om förvaltningschefen härig</w:t>
      </w:r>
      <w:r w:rsidRPr="0008481A">
        <w:t>e</w:t>
      </w:r>
      <w:r w:rsidRPr="0008481A">
        <w:t>nom kränkt den enskildes meddelar- och yttrandefrihet 00/01:581</w:t>
      </w:r>
    </w:p>
    <w:p w:rsidR="003B3271" w:rsidRPr="0008481A" w:rsidRDefault="003B3271">
      <w:pPr>
        <w:pStyle w:val="PunktlistaTankstreck"/>
      </w:pPr>
      <w:r w:rsidRPr="0008481A">
        <w:t>handläggningen av en begäran om utlämnande av allmän handling. Kritik mot Husie stadsdelsfullmäktige för att sökanden avkrävts identitetsuppgift. – Fråga om efterforskningsförbudet i 2 kap. 14 § tredje stycket tryckfri</w:t>
      </w:r>
      <w:r w:rsidRPr="0008481A">
        <w:softHyphen/>
        <w:t xml:space="preserve">hetsförordningen (TF) överträtts 00/01:578 </w:t>
      </w:r>
    </w:p>
    <w:p w:rsidR="003B3271" w:rsidRPr="0008481A" w:rsidRDefault="003B3271">
      <w:pPr>
        <w:pStyle w:val="PunktlistaTankstreck"/>
      </w:pPr>
      <w:r w:rsidRPr="0008481A">
        <w:t>åtal mot en tjänsteman för brott mot efterforskningsförbudet i 2 kap. 4 och 5 §§ yttrandefrihetsgrundlagen 00/01:542</w:t>
      </w:r>
    </w:p>
    <w:p w:rsidR="003B3271" w:rsidRPr="0008481A" w:rsidRDefault="003B3271">
      <w:pPr>
        <w:pStyle w:val="Rubrik3"/>
      </w:pPr>
      <w:r w:rsidRPr="0008481A">
        <w:t>Handläggningstid</w:t>
      </w:r>
    </w:p>
    <w:p w:rsidR="003B3271" w:rsidRPr="0008481A" w:rsidRDefault="003B3271">
      <w:pPr>
        <w:pStyle w:val="PunktlistaTankstreck"/>
      </w:pPr>
      <w:r w:rsidRPr="0008481A">
        <w:t>handläggningen av en ansökan om förlängning av etableringstillstånd för sjukgymnast 99/00:289</w:t>
      </w:r>
    </w:p>
    <w:p w:rsidR="003B3271" w:rsidRPr="0008481A" w:rsidRDefault="003B3271">
      <w:pPr>
        <w:pStyle w:val="PunktlistaTankstreck"/>
      </w:pPr>
      <w:r w:rsidRPr="0008481A">
        <w:t>kritik mot kammarrätt för dröjsmål med handläggningen av ett inhibitions</w:t>
      </w:r>
      <w:r w:rsidRPr="0008481A">
        <w:softHyphen/>
        <w:t>yrkande 99/00:173</w:t>
      </w:r>
    </w:p>
    <w:p w:rsidR="003B3271" w:rsidRPr="0008481A" w:rsidRDefault="003B3271">
      <w:pPr>
        <w:pStyle w:val="Rubrik3"/>
      </w:pPr>
      <w:r w:rsidRPr="0008481A">
        <w:t>Handräckning</w:t>
      </w:r>
    </w:p>
    <w:p w:rsidR="003B3271" w:rsidRPr="0008481A" w:rsidRDefault="003B3271">
      <w:pPr>
        <w:pStyle w:val="PunktlistaTankstreck"/>
      </w:pPr>
      <w:r w:rsidRPr="0008481A">
        <w:t>företrädare för socialnämnd bör som regel närvara vid polishandräc</w:t>
      </w:r>
      <w:r w:rsidRPr="0008481A">
        <w:t>k</w:t>
      </w:r>
      <w:r w:rsidRPr="0008481A">
        <w:t>ning enligt 43 § 2 lagen (1990:52) med särskilda bestämmelser om vård av unga 99/00:270</w:t>
      </w:r>
    </w:p>
    <w:p w:rsidR="003B3271" w:rsidRPr="0008481A" w:rsidRDefault="003B3271">
      <w:pPr>
        <w:pStyle w:val="PunktlistaTankstreck"/>
      </w:pPr>
      <w:r w:rsidRPr="0008481A">
        <w:t>polisens handläggning av en begäran om handräckning enligt lagen (1991:1128) om psykiatrisk tvångsvård samt uttalanden om polisens möjligheter att överlämna uppdrag till Kriminalvårdens Tran</w:t>
      </w:r>
      <w:r w:rsidRPr="0008481A">
        <w:t>s</w:t>
      </w:r>
      <w:r w:rsidRPr="0008481A">
        <w:t>porttjänst 00/01:95</w:t>
      </w:r>
    </w:p>
    <w:p w:rsidR="003B3271" w:rsidRPr="0008481A" w:rsidRDefault="003B3271">
      <w:pPr>
        <w:pStyle w:val="Rubrik3"/>
      </w:pPr>
      <w:r w:rsidRPr="0008481A">
        <w:t>Husrannsakan</w:t>
      </w:r>
    </w:p>
    <w:p w:rsidR="003B3271" w:rsidRPr="0008481A" w:rsidRDefault="003B3271">
      <w:pPr>
        <w:pStyle w:val="PunktlistaTankstreck"/>
      </w:pPr>
      <w:r w:rsidRPr="0008481A">
        <w:t>disciplinansvar för en närpolischef som hade fattat ett beslut om husrann</w:t>
      </w:r>
      <w:r w:rsidRPr="0008481A">
        <w:softHyphen/>
        <w:t>sakan utan att ha behörighet till det 99/00:57</w:t>
      </w:r>
    </w:p>
    <w:p w:rsidR="003B3271" w:rsidRPr="0008481A" w:rsidRDefault="003B3271">
      <w:pPr>
        <w:pStyle w:val="PunktlistaTankstreck"/>
      </w:pPr>
      <w:r w:rsidRPr="0008481A">
        <w:t xml:space="preserve">personal vid ett häkte har låtit en polisman undersöka en häktads egendom, som förvarades i ett låst värdeskåp 99/00:148 </w:t>
      </w:r>
    </w:p>
    <w:p w:rsidR="003B3271" w:rsidRPr="0008481A" w:rsidRDefault="003B3271">
      <w:pPr>
        <w:pStyle w:val="Rubrik3"/>
      </w:pPr>
      <w:r w:rsidRPr="0008481A">
        <w:t>Häktning</w:t>
      </w:r>
    </w:p>
    <w:p w:rsidR="003B3271" w:rsidRPr="0008481A" w:rsidRDefault="003B3271">
      <w:pPr>
        <w:pStyle w:val="PunktlistaTankstreck"/>
      </w:pPr>
      <w:r w:rsidRPr="0008481A">
        <w:t>frågan om ett häktningsbeslut borde ha hävts när åtalet kom att avse andra brott än de som låg till grund för häktningen 99/00:32</w:t>
      </w:r>
    </w:p>
    <w:p w:rsidR="003B3271" w:rsidRPr="0008481A" w:rsidRDefault="003B3271">
      <w:pPr>
        <w:pStyle w:val="PunktlistaTankstreck"/>
      </w:pPr>
      <w:r w:rsidRPr="0008481A">
        <w:t>en rådman vägrade att hålla häktningsförhandling med hänvisning till att åklagaren inte hade tillhandahållit rätten något skriftligt utredningsm</w:t>
      </w:r>
      <w:r w:rsidRPr="0008481A">
        <w:t>a</w:t>
      </w:r>
      <w:r w:rsidRPr="0008481A">
        <w:t>terial 00/01:55</w:t>
      </w:r>
    </w:p>
    <w:p w:rsidR="003B3271" w:rsidRPr="0008481A" w:rsidRDefault="003B3271">
      <w:pPr>
        <w:pStyle w:val="Rubrik3"/>
      </w:pPr>
      <w:r w:rsidRPr="0008481A">
        <w:t>Hälso- och sjukvård</w:t>
      </w:r>
    </w:p>
    <w:p w:rsidR="003B3271" w:rsidRPr="0008481A" w:rsidRDefault="003B3271">
      <w:pPr>
        <w:pStyle w:val="PunktlistaTankstreck"/>
      </w:pPr>
      <w:r w:rsidRPr="0008481A">
        <w:t>kritik mot en överläkare för det sätt på vilket en psykiskt utvecklingsstörd pojke återförts till sjukhus enligt bestämmelserna i lagen (1991:1128) om psykiatrisk tvångsvård (LPT). Även fråga om omfatt</w:t>
      </w:r>
      <w:r w:rsidRPr="0008481A">
        <w:softHyphen/>
        <w:t>ningen av polisens skyldighet att lämna handräckningsbiträde enligt 47 § LPT 00/01:339</w:t>
      </w:r>
    </w:p>
    <w:p w:rsidR="003B3271" w:rsidRPr="0008481A" w:rsidRDefault="003B3271">
      <w:pPr>
        <w:pStyle w:val="PunktlistaTankstreck"/>
      </w:pPr>
      <w:r w:rsidRPr="0008481A">
        <w:t>handläggningen av ett ärende avseende journalförstöring – fråga om Socialstyrelsen haft att pröva en ny framställan i samma sak oaktat det först avgjorda ärendet var föremål för överprövning i domstol 00/01:349</w:t>
      </w:r>
    </w:p>
    <w:p w:rsidR="003B3271" w:rsidRPr="0008481A" w:rsidRDefault="003B3271">
      <w:pPr>
        <w:pStyle w:val="PunktlistaTankstreck"/>
      </w:pPr>
      <w:r w:rsidRPr="0008481A">
        <w:t>ett på JO:s initiativ upptaget ärende mot Kriminalvårdsmyndigheten Örebro, anstalten Hinseberg, och Kriminalvårdsmyndigheten Kumla (sjuk</w:t>
      </w:r>
      <w:r w:rsidRPr="0008481A">
        <w:softHyphen/>
        <w:t>vårdsavdelningarna) angående hanteringen av vissa sekretessbelagda handlingar 00/01:518</w:t>
      </w:r>
    </w:p>
    <w:p w:rsidR="003B3271" w:rsidRPr="0008481A" w:rsidRDefault="003B3271">
      <w:pPr>
        <w:pStyle w:val="Rubrik3"/>
      </w:pPr>
      <w:r w:rsidRPr="0008481A">
        <w:t>Jakt</w:t>
      </w:r>
    </w:p>
    <w:p w:rsidR="003B3271" w:rsidRPr="0008481A" w:rsidRDefault="003B3271">
      <w:pPr>
        <w:pStyle w:val="PunktlistaTankstreck"/>
      </w:pPr>
      <w:r w:rsidRPr="0008481A">
        <w:t>kan en länsstyrelse med stöd av 23 § jaktförordningen (1987:905) b</w:t>
      </w:r>
      <w:r w:rsidRPr="0008481A">
        <w:t>e</w:t>
      </w:r>
      <w:r w:rsidRPr="0008481A">
        <w:t>vilja generella undantag från förbudet att medföra skjutvapen vid färd med motordrivet fordon i terräng 99/00:220</w:t>
      </w:r>
    </w:p>
    <w:p w:rsidR="003B3271" w:rsidRPr="0008481A" w:rsidRDefault="003B3271">
      <w:pPr>
        <w:pStyle w:val="PunktlistaTankstreck"/>
      </w:pPr>
      <w:r w:rsidRPr="0008481A">
        <w:t>fråga huruvida en länsstyrelse överlämnat förvaltningsuppgifter som inne</w:t>
      </w:r>
      <w:r w:rsidRPr="0008481A">
        <w:softHyphen/>
        <w:t>fattar myndighetsutövning till en jägarorganisation 00/01:269</w:t>
      </w:r>
    </w:p>
    <w:p w:rsidR="003B3271" w:rsidRPr="0008481A" w:rsidRDefault="003B3271">
      <w:pPr>
        <w:pStyle w:val="Rubrik3"/>
      </w:pPr>
      <w:r w:rsidRPr="0008481A">
        <w:t>JO</w:t>
      </w:r>
    </w:p>
    <w:p w:rsidR="003B3271" w:rsidRPr="0008481A" w:rsidRDefault="003B3271">
      <w:pPr>
        <w:pStyle w:val="PunktlistaTankstreck"/>
      </w:pPr>
      <w:r w:rsidRPr="0008481A">
        <w:t>under utredningen i ett klagoärende hos JO konstaterade en överåklag</w:t>
      </w:r>
      <w:r w:rsidRPr="0008481A">
        <w:t>a</w:t>
      </w:r>
      <w:r w:rsidRPr="0008481A">
        <w:t>re i ett remissvar att det fanns anledning anta att en kammaråklagare h</w:t>
      </w:r>
      <w:r w:rsidRPr="0008481A">
        <w:t>a</w:t>
      </w:r>
      <w:r w:rsidRPr="0008481A">
        <w:t>de gjort sig skyldig till tjänstefel. Med anledning av detta konstat</w:t>
      </w:r>
      <w:r w:rsidRPr="0008481A">
        <w:t>e</w:t>
      </w:r>
      <w:r w:rsidRPr="0008481A">
        <w:t>rande över</w:t>
      </w:r>
      <w:r w:rsidRPr="0008481A">
        <w:softHyphen/>
        <w:t>lämnades ärendet till Riksåklagaren 99/00:120</w:t>
      </w:r>
    </w:p>
    <w:p w:rsidR="003B3271" w:rsidRPr="0008481A" w:rsidRDefault="003B3271">
      <w:pPr>
        <w:pStyle w:val="PunktlistaTankstreck"/>
      </w:pPr>
      <w:r w:rsidRPr="0008481A">
        <w:t>allvarlig kritik mot Luleå tekniska universitet för handläggningen av en begäran om att få ta del av en allmän handling och för det sätt på vilket universitet handlagt JO:s remiss 99/00:356</w:t>
      </w:r>
    </w:p>
    <w:p w:rsidR="003B3271" w:rsidRPr="0008481A" w:rsidRDefault="003B3271">
      <w:pPr>
        <w:pStyle w:val="PunktlistaTankstreck"/>
      </w:pPr>
      <w:r w:rsidRPr="0008481A">
        <w:t>på JO:s initiativ upptagen fråga om förutsättning förelegat att vidta själv</w:t>
      </w:r>
      <w:r w:rsidRPr="0008481A">
        <w:softHyphen/>
        <w:t>rättelse med stöd av 32 § förvaltningsprocesslagen (1971:291) 99/00:204</w:t>
      </w:r>
    </w:p>
    <w:p w:rsidR="003B3271" w:rsidRPr="0008481A" w:rsidRDefault="003B3271">
      <w:pPr>
        <w:pStyle w:val="PunktlistaTankstreck"/>
      </w:pPr>
      <w:r w:rsidRPr="0008481A">
        <w:t>JO:s tillsyn över Aktiebolaget Svensk Bilprovning beträffande frånv</w:t>
      </w:r>
      <w:r w:rsidRPr="0008481A">
        <w:t>a</w:t>
      </w:r>
      <w:r w:rsidRPr="0008481A">
        <w:t>ron av viss service – upplysningar om alternativ fullgörelse – vilken inte enligt föreskrifter om innehållet i beslut (föreläggande vid förrättning) beh</w:t>
      </w:r>
      <w:r w:rsidRPr="0008481A">
        <w:t>ö</w:t>
      </w:r>
      <w:r w:rsidRPr="0008481A">
        <w:t>ver lämnas 00/01:476</w:t>
      </w:r>
    </w:p>
    <w:p w:rsidR="003B3271" w:rsidRPr="0008481A" w:rsidRDefault="003B3271">
      <w:pPr>
        <w:pStyle w:val="Rubrik3"/>
      </w:pPr>
      <w:r w:rsidRPr="0008481A">
        <w:t>JO:s tillsynskompetens</w:t>
      </w:r>
    </w:p>
    <w:p w:rsidR="003B3271" w:rsidRPr="0008481A" w:rsidRDefault="003B3271">
      <w:pPr>
        <w:pStyle w:val="PunktlistaTankstreck"/>
      </w:pPr>
      <w:r w:rsidRPr="0008481A">
        <w:t>anmälan mot biskopen i Stockholms stift. – Fråga om räckvidden av JO:s tillsynskompetens 00/01:585</w:t>
      </w:r>
    </w:p>
    <w:p w:rsidR="003B3271" w:rsidRPr="0008481A" w:rsidRDefault="003B3271">
      <w:pPr>
        <w:pStyle w:val="Rubrik3"/>
      </w:pPr>
      <w:r w:rsidRPr="0008481A">
        <w:t>Kommunallagen</w:t>
      </w:r>
    </w:p>
    <w:p w:rsidR="003B3271" w:rsidRPr="0008481A" w:rsidRDefault="003B3271">
      <w:pPr>
        <w:pStyle w:val="PunktlistaTankstreck"/>
      </w:pPr>
      <w:r w:rsidRPr="0008481A">
        <w:t>i ett sammanträdesprotokoll från en kommunal nämnd bör tiden och platsen för justeringen av protokollet anges 99/00:373</w:t>
      </w:r>
    </w:p>
    <w:p w:rsidR="003B3271" w:rsidRPr="0008481A" w:rsidRDefault="003B3271">
      <w:pPr>
        <w:pStyle w:val="PunktlistaTankstreck"/>
      </w:pPr>
      <w:r w:rsidRPr="0008481A">
        <w:t>fråga om jäv för överförmyndare 00/01:501</w:t>
      </w:r>
    </w:p>
    <w:p w:rsidR="003B3271" w:rsidRPr="0008481A" w:rsidRDefault="003B3271">
      <w:pPr>
        <w:pStyle w:val="Rubrik3"/>
      </w:pPr>
      <w:r w:rsidRPr="0008481A">
        <w:t>Kommunicering</w:t>
      </w:r>
    </w:p>
    <w:p w:rsidR="003B3271" w:rsidRPr="0008481A" w:rsidRDefault="003B3271">
      <w:pPr>
        <w:pStyle w:val="PunktlistaTankstreck"/>
      </w:pPr>
      <w:r w:rsidRPr="0008481A">
        <w:t>handläggningen av en ansökan om förlängning av etableringstillstånd för sjukgymnast 99/00:289</w:t>
      </w:r>
    </w:p>
    <w:p w:rsidR="003B3271" w:rsidRPr="0008481A" w:rsidRDefault="003B3271">
      <w:pPr>
        <w:pStyle w:val="PunktlistaTankstreck"/>
      </w:pPr>
      <w:r w:rsidRPr="0008481A">
        <w:t xml:space="preserve">kritik mot byggnadsnämnd i fråga om kommunicering 99/00:362 </w:t>
      </w:r>
    </w:p>
    <w:p w:rsidR="003B3271" w:rsidRPr="0008481A" w:rsidRDefault="003B3271">
      <w:pPr>
        <w:pStyle w:val="PunktlistaTankstreck"/>
      </w:pPr>
      <w:r w:rsidRPr="0008481A">
        <w:t>under</w:t>
      </w:r>
      <w:r w:rsidRPr="0008481A">
        <w:softHyphen/>
        <w:t>låtenhet att kommunicera inhämtade uppgifter i ett folkbokförings</w:t>
      </w:r>
      <w:r w:rsidRPr="0008481A">
        <w:softHyphen/>
        <w:t>ärende 00/01:283</w:t>
      </w:r>
    </w:p>
    <w:p w:rsidR="003B3271" w:rsidRPr="0008481A" w:rsidRDefault="003B3271">
      <w:pPr>
        <w:pStyle w:val="PunktlistaTankstreck"/>
      </w:pPr>
      <w:r w:rsidRPr="0008481A">
        <w:t>i ärende om förtidspension/sjukbidrag 00/01:380</w:t>
      </w:r>
    </w:p>
    <w:p w:rsidR="003B3271" w:rsidRPr="0008481A" w:rsidRDefault="003B3271">
      <w:pPr>
        <w:pStyle w:val="PunktlistaTankstreck"/>
      </w:pPr>
      <w:r w:rsidRPr="0008481A">
        <w:t>i ärende om bostadsbidrag 00/01:391</w:t>
      </w:r>
    </w:p>
    <w:p w:rsidR="003B3271" w:rsidRPr="0008481A" w:rsidRDefault="003B3271">
      <w:pPr>
        <w:pStyle w:val="PunktlistaTankstreck"/>
      </w:pPr>
      <w:r w:rsidRPr="0008481A">
        <w:t xml:space="preserve">försäkringskassas utformning av en kommuniceringsskrivelse 00/01:392 </w:t>
      </w:r>
    </w:p>
    <w:p w:rsidR="003B3271" w:rsidRPr="0008481A" w:rsidRDefault="003B3271">
      <w:pPr>
        <w:pStyle w:val="PunktlistaTankstreck"/>
      </w:pPr>
      <w:r w:rsidRPr="0008481A">
        <w:t>fråga om myndighetsutövning och därmed kommuniceringsskyldighet förelegat hos Arbetsmarknadsstyrelsen i ett ärende rörande åtalsanm</w:t>
      </w:r>
      <w:r w:rsidRPr="0008481A">
        <w:t>ä</w:t>
      </w:r>
      <w:r w:rsidRPr="0008481A">
        <w:t>lan 00/01:237</w:t>
      </w:r>
    </w:p>
    <w:p w:rsidR="003B3271" w:rsidRPr="0008481A" w:rsidRDefault="003B3271">
      <w:pPr>
        <w:pStyle w:val="Rubrik3"/>
      </w:pPr>
      <w:r w:rsidRPr="0008481A">
        <w:t>Kriminalvård</w:t>
      </w:r>
    </w:p>
    <w:p w:rsidR="003B3271" w:rsidRPr="0008481A" w:rsidRDefault="003B3271">
      <w:pPr>
        <w:pStyle w:val="Rubrik4"/>
        <w:spacing w:before="240"/>
      </w:pPr>
      <w:r w:rsidRPr="0008481A">
        <w:t xml:space="preserve">Beräkning av strafftid </w:t>
      </w:r>
    </w:p>
    <w:p w:rsidR="003B3271" w:rsidRPr="0008481A" w:rsidRDefault="003B3271">
      <w:pPr>
        <w:pStyle w:val="PunktlistaTankstreck"/>
      </w:pPr>
      <w:r w:rsidRPr="0008481A">
        <w:t xml:space="preserve">handläggningen av ett ärende om beräkning av strafftid 99/00:152 </w:t>
      </w:r>
    </w:p>
    <w:p w:rsidR="003B3271" w:rsidRPr="0008481A" w:rsidRDefault="003B3271">
      <w:pPr>
        <w:pStyle w:val="Rubrik4"/>
      </w:pPr>
      <w:r w:rsidRPr="0008481A">
        <w:t>Frigång</w:t>
      </w:r>
    </w:p>
    <w:p w:rsidR="003B3271" w:rsidRPr="0008481A" w:rsidRDefault="003B3271">
      <w:pPr>
        <w:pStyle w:val="PunktlistaTankstreck"/>
      </w:pPr>
      <w:r w:rsidRPr="0008481A">
        <w:t>kritik mot en kriminalvårdsmyndighet för ett beslut om frigång 99/00:160</w:t>
      </w:r>
    </w:p>
    <w:p w:rsidR="003B3271" w:rsidRPr="0008481A" w:rsidRDefault="003B3271">
      <w:pPr>
        <w:pStyle w:val="Rubrik4"/>
        <w:rPr>
          <w:b/>
        </w:rPr>
      </w:pPr>
      <w:r w:rsidRPr="0008481A">
        <w:t>Husrannsakan</w:t>
      </w:r>
    </w:p>
    <w:p w:rsidR="003B3271" w:rsidRPr="0008481A" w:rsidRDefault="003B3271">
      <w:pPr>
        <w:pStyle w:val="PunktlistaTankstreck"/>
        <w:rPr>
          <w:b/>
        </w:rPr>
      </w:pPr>
      <w:r w:rsidRPr="0008481A">
        <w:t xml:space="preserve">personal vid ett häkte har låtit en polisman undersöka en häktads egendom, som förvarades i ett låst värdeskåp 99/00:148 </w:t>
      </w:r>
    </w:p>
    <w:p w:rsidR="003B3271" w:rsidRPr="0008481A" w:rsidRDefault="003B3271">
      <w:pPr>
        <w:pStyle w:val="Rubrik4"/>
      </w:pPr>
      <w:r w:rsidRPr="0008481A">
        <w:t>Urinprovstagning</w:t>
      </w:r>
    </w:p>
    <w:p w:rsidR="003B3271" w:rsidRPr="0008481A" w:rsidRDefault="003B3271">
      <w:pPr>
        <w:pStyle w:val="PunktlistaTankstreck"/>
      </w:pPr>
      <w:r w:rsidRPr="0008481A">
        <w:t>uttalanden om tillvägagångssättet vid visitation och urinprovstagning på en kvinnlig intagen 00/01:218</w:t>
      </w:r>
    </w:p>
    <w:p w:rsidR="003B3271" w:rsidRPr="0008481A" w:rsidRDefault="003B3271">
      <w:pPr>
        <w:pStyle w:val="Rubrik4"/>
      </w:pPr>
      <w:r w:rsidRPr="0008481A">
        <w:t>Övriga frågor</w:t>
      </w:r>
    </w:p>
    <w:p w:rsidR="003B3271" w:rsidRPr="0008481A" w:rsidRDefault="003B3271">
      <w:pPr>
        <w:pStyle w:val="PunktlistaTankstreck"/>
      </w:pPr>
      <w:r w:rsidRPr="0008481A">
        <w:t>dröjsmål med att skriftligen underrätta en intagen om ett beslut 99/00:155</w:t>
      </w:r>
    </w:p>
    <w:p w:rsidR="003B3271" w:rsidRPr="0008481A" w:rsidRDefault="003B3271">
      <w:pPr>
        <w:pStyle w:val="PunktlistaTankstreck"/>
      </w:pPr>
      <w:r w:rsidRPr="0008481A">
        <w:t>uttalanden om möjligheterna för en intagen, som är medlem i en motor</w:t>
      </w:r>
      <w:r w:rsidRPr="0008481A">
        <w:softHyphen/>
        <w:t>cykelklubb, att bära viss klädsel under en bevakad permi</w:t>
      </w:r>
      <w:r w:rsidRPr="0008481A">
        <w:t>s</w:t>
      </w:r>
      <w:r w:rsidRPr="0008481A">
        <w:t xml:space="preserve">sion 99/00:157 </w:t>
      </w:r>
    </w:p>
    <w:p w:rsidR="003B3271" w:rsidRPr="0008481A" w:rsidRDefault="003B3271">
      <w:pPr>
        <w:pStyle w:val="PunktlistaTankstreck"/>
      </w:pPr>
      <w:r w:rsidRPr="0008481A">
        <w:t>rutiner för delgivning av beslut 00/01:222</w:t>
      </w:r>
    </w:p>
    <w:p w:rsidR="003B3271" w:rsidRPr="0008481A" w:rsidRDefault="003B3271">
      <w:pPr>
        <w:pStyle w:val="PunktlistaTankstreck"/>
      </w:pPr>
      <w:r w:rsidRPr="0008481A">
        <w:t>en intagens rätt att samtala enskilt med sin offentlige försvarare 00/01:223</w:t>
      </w:r>
    </w:p>
    <w:p w:rsidR="003B3271" w:rsidRPr="0008481A" w:rsidRDefault="003B3271">
      <w:pPr>
        <w:pStyle w:val="PunktlistaTankstreck"/>
      </w:pPr>
      <w:r w:rsidRPr="0008481A">
        <w:t>fråga om lämpligheten av ett påverkansprogram för intagna dömda för ekonomiska brott 00/01:225</w:t>
      </w:r>
    </w:p>
    <w:p w:rsidR="003B3271" w:rsidRPr="0008481A" w:rsidRDefault="003B3271">
      <w:pPr>
        <w:pStyle w:val="Rubrik3"/>
      </w:pPr>
      <w:r w:rsidRPr="0008481A">
        <w:t>Kroppsbesiktning</w:t>
      </w:r>
    </w:p>
    <w:p w:rsidR="003B3271" w:rsidRPr="0008481A" w:rsidRDefault="003B3271">
      <w:pPr>
        <w:pStyle w:val="PunktlistaTankstreck"/>
      </w:pPr>
      <w:r w:rsidRPr="0008481A">
        <w:t>kritik mot rättspsykiatrisk enhet för genomförandet av ytliga kropps</w:t>
      </w:r>
      <w:r w:rsidRPr="0008481A">
        <w:softHyphen/>
        <w:t>besiktningar och kontroll av brevförsändelser. Även kritik för under</w:t>
      </w:r>
      <w:r w:rsidRPr="0008481A">
        <w:softHyphen/>
        <w:t>låtenhet att dokumentera dessa tvångsåtgärder i patientjournalen 00/01:346</w:t>
      </w:r>
    </w:p>
    <w:p w:rsidR="003B3271" w:rsidRPr="0008481A" w:rsidRDefault="003B3271">
      <w:pPr>
        <w:pStyle w:val="Rubrik3"/>
      </w:pPr>
      <w:r w:rsidRPr="0008481A">
        <w:t>Kyrkliga frågor</w:t>
      </w:r>
    </w:p>
    <w:p w:rsidR="003B3271" w:rsidRPr="0008481A" w:rsidRDefault="003B3271">
      <w:pPr>
        <w:pStyle w:val="PunktlistaTankstreck"/>
      </w:pPr>
      <w:r w:rsidRPr="0008481A">
        <w:t>fråga om riktigheten av att justeringen av protokoll förda vid samma</w:t>
      </w:r>
      <w:r w:rsidRPr="0008481A">
        <w:t>n</w:t>
      </w:r>
      <w:r w:rsidRPr="0008481A">
        <w:t>träde med kyrkorådets arbetsutskott inte tillkännages på pastoratets a</w:t>
      </w:r>
      <w:r w:rsidRPr="0008481A">
        <w:t>n</w:t>
      </w:r>
      <w:r w:rsidRPr="0008481A">
        <w:t>slagstavla 00/01:479</w:t>
      </w:r>
    </w:p>
    <w:p w:rsidR="003B3271" w:rsidRPr="0008481A" w:rsidRDefault="003B3271">
      <w:pPr>
        <w:pStyle w:val="Rubrik3"/>
      </w:pPr>
      <w:r w:rsidRPr="0008481A">
        <w:t>Körkort</w:t>
      </w:r>
    </w:p>
    <w:p w:rsidR="003B3271" w:rsidRPr="0008481A" w:rsidRDefault="003B3271">
      <w:pPr>
        <w:pStyle w:val="PunktlistaTankstreck"/>
      </w:pPr>
      <w:r w:rsidRPr="0008481A">
        <w:t>kritik mot en länsstyrelse för att styrelsen vidtagit åtgärder med anle</w:t>
      </w:r>
      <w:r w:rsidRPr="0008481A">
        <w:t>d</w:t>
      </w:r>
      <w:r w:rsidRPr="0008481A">
        <w:t>ning av en anonym anmälan i ett körkortsärende 99/00:218</w:t>
      </w:r>
    </w:p>
    <w:p w:rsidR="003B3271" w:rsidRPr="0008481A" w:rsidRDefault="003B3271">
      <w:pPr>
        <w:pStyle w:val="Rubrik3"/>
      </w:pPr>
      <w:r w:rsidRPr="0008481A">
        <w:t>Lantmäteriet</w:t>
      </w:r>
    </w:p>
    <w:p w:rsidR="003B3271" w:rsidRPr="0008481A" w:rsidRDefault="003B3271">
      <w:pPr>
        <w:pStyle w:val="PunktlistaTankstreck"/>
      </w:pPr>
      <w:r w:rsidRPr="0008481A">
        <w:t>olämpligheten av att en myndighet i beslutsliknande former tolkar (”förtydligar”) egna beslut 00/01:490</w:t>
      </w:r>
    </w:p>
    <w:p w:rsidR="003B3271" w:rsidRPr="0008481A" w:rsidRDefault="003B3271">
      <w:pPr>
        <w:pStyle w:val="Rubrik3"/>
      </w:pPr>
      <w:r w:rsidRPr="0008481A">
        <w:t>Legalitetsprincipen</w:t>
      </w:r>
    </w:p>
    <w:p w:rsidR="003B3271" w:rsidRPr="0008481A" w:rsidRDefault="003B3271">
      <w:pPr>
        <w:pStyle w:val="PunktlistaTankstreck"/>
      </w:pPr>
      <w:r w:rsidRPr="0008481A">
        <w:t>polisens handläggning av en begäran om handräckning enligt lagen (1991:1128) om psykiatrisk tvångsvård samt uttalanden om polisens möjligheter att överlämna uppdrag till Kriminalvårdens Tran</w:t>
      </w:r>
      <w:r w:rsidRPr="0008481A">
        <w:t>s</w:t>
      </w:r>
      <w:r w:rsidRPr="0008481A">
        <w:t>porttjänst 00/01:95</w:t>
      </w:r>
    </w:p>
    <w:p w:rsidR="003B3271" w:rsidRPr="0008481A" w:rsidRDefault="003B3271">
      <w:pPr>
        <w:pStyle w:val="Rubrik3"/>
      </w:pPr>
      <w:r w:rsidRPr="0008481A">
        <w:t>Långsam handläggning</w:t>
      </w:r>
    </w:p>
    <w:p w:rsidR="003B3271" w:rsidRPr="0008481A" w:rsidRDefault="003B3271">
      <w:pPr>
        <w:pStyle w:val="PunktlistaTankstreck"/>
      </w:pPr>
      <w:r w:rsidRPr="0008481A">
        <w:t>fråga om polismyndighet ägt rätt att vilandeförklara en ansökan om vi</w:t>
      </w:r>
      <w:r w:rsidRPr="0008481A">
        <w:t>s</w:t>
      </w:r>
      <w:r w:rsidRPr="0008481A">
        <w:t>sa ändringar i ett tillstånd att handla med vapen i avvaktan på domstols</w:t>
      </w:r>
      <w:r w:rsidRPr="0008481A">
        <w:softHyphen/>
        <w:t>avgörande avseende polismyndighetens dessförinnan fattade beslut att återkalla handelstil</w:t>
      </w:r>
      <w:r w:rsidRPr="0008481A">
        <w:t>l</w:t>
      </w:r>
      <w:r w:rsidRPr="0008481A">
        <w:t>ståndet 99/00:133</w:t>
      </w:r>
    </w:p>
    <w:p w:rsidR="003B3271" w:rsidRPr="0008481A" w:rsidRDefault="003B3271">
      <w:pPr>
        <w:pStyle w:val="PunktlistaTankstreck"/>
      </w:pPr>
      <w:r w:rsidRPr="0008481A">
        <w:t>kritik mot kammarrätt för dröjsmål med handläggningen av ett inhibitionsyrkande 99/00:173</w:t>
      </w:r>
    </w:p>
    <w:p w:rsidR="003B3271" w:rsidRPr="0008481A" w:rsidRDefault="003B3271">
      <w:pPr>
        <w:pStyle w:val="PunktlistaTankstreck"/>
      </w:pPr>
      <w:r w:rsidRPr="0008481A">
        <w:t>handläggningen hos överåklagare av en anmälan mot en kammaråkl</w:t>
      </w:r>
      <w:r w:rsidRPr="0008481A">
        <w:t>a</w:t>
      </w:r>
      <w:r w:rsidRPr="0008481A">
        <w:t>gare för försummelser i tjänsten 00/01:197</w:t>
      </w:r>
    </w:p>
    <w:p w:rsidR="003B3271" w:rsidRPr="0008481A" w:rsidRDefault="003B3271">
      <w:pPr>
        <w:pStyle w:val="PunktlistaTankstreck"/>
      </w:pPr>
      <w:r w:rsidRPr="0008481A">
        <w:t>kritik mot en polismyndighet för långsam handläggning av ärenden vid dess internutredningsenhet 00/01:173</w:t>
      </w:r>
    </w:p>
    <w:p w:rsidR="003B3271" w:rsidRPr="0008481A" w:rsidRDefault="003B3271">
      <w:pPr>
        <w:pStyle w:val="Rubrik3"/>
      </w:pPr>
      <w:r w:rsidRPr="0008481A">
        <w:t>Länsstyrelse</w:t>
      </w:r>
    </w:p>
    <w:p w:rsidR="003B3271" w:rsidRPr="0008481A" w:rsidRDefault="003B3271">
      <w:pPr>
        <w:pStyle w:val="PunktlistaTankstreck"/>
      </w:pPr>
      <w:r w:rsidRPr="0008481A">
        <w:t>kan en länsstyrelse med stöd av 23 § jaktförordningen (1987:905) b</w:t>
      </w:r>
      <w:r w:rsidRPr="0008481A">
        <w:t>e</w:t>
      </w:r>
      <w:r w:rsidRPr="0008481A">
        <w:t>vilja generella undantag från förbudet att medföra skjutvapen vid färd med motordrivet fordon i terräng 99/00:220</w:t>
      </w:r>
    </w:p>
    <w:p w:rsidR="003B3271" w:rsidRPr="0008481A" w:rsidRDefault="003B3271">
      <w:pPr>
        <w:pStyle w:val="Rubrik3"/>
      </w:pPr>
      <w:r w:rsidRPr="0008481A">
        <w:t>Meddelarfrihet</w:t>
      </w:r>
    </w:p>
    <w:p w:rsidR="003B3271" w:rsidRPr="0008481A" w:rsidRDefault="003B3271">
      <w:pPr>
        <w:pStyle w:val="PunktlistaTankstreck"/>
      </w:pPr>
      <w:r w:rsidRPr="0008481A">
        <w:t>ifrågasatt brott mot 99/00:387</w:t>
      </w:r>
    </w:p>
    <w:p w:rsidR="003B3271" w:rsidRPr="0008481A" w:rsidRDefault="003B3271">
      <w:pPr>
        <w:pStyle w:val="PunktlistaTankstreck"/>
        <w:rPr>
          <w:caps/>
        </w:rPr>
      </w:pPr>
      <w:r w:rsidRPr="0008481A">
        <w:t>förvaltningschef har utfärdat riktlinjer rörande lärares och elevers kontakter med massmedia. – Fråga om förvaltningschefen härig</w:t>
      </w:r>
      <w:r w:rsidRPr="0008481A">
        <w:t>e</w:t>
      </w:r>
      <w:r w:rsidRPr="0008481A">
        <w:t>nom kränkt den enskildes meddelar- och yttrandefrihet 00/01:581</w:t>
      </w:r>
    </w:p>
    <w:p w:rsidR="003B3271" w:rsidRPr="0008481A" w:rsidRDefault="003B3271">
      <w:pPr>
        <w:pStyle w:val="PunktlistaTankstreck"/>
      </w:pPr>
      <w:r w:rsidRPr="0008481A">
        <w:t>åtal mot en tjänsteman för brott mot efterforskningsförbudet i 2 kap. 4 och 5 §§ yttrandefrihetsgrundlagen 00/01:542</w:t>
      </w:r>
    </w:p>
    <w:p w:rsidR="003B3271" w:rsidRPr="0008481A" w:rsidRDefault="003B3271">
      <w:pPr>
        <w:pStyle w:val="Rubrik3"/>
      </w:pPr>
      <w:r w:rsidRPr="0008481A">
        <w:t>Militära ärenden</w:t>
      </w:r>
    </w:p>
    <w:p w:rsidR="003B3271" w:rsidRPr="0008481A" w:rsidRDefault="003B3271">
      <w:pPr>
        <w:pStyle w:val="PunktlistaTankstreck"/>
      </w:pPr>
      <w:r w:rsidRPr="0008481A">
        <w:t>kränkande särbehandling av en värnpliktig 00/01:259</w:t>
      </w:r>
    </w:p>
    <w:p w:rsidR="003B3271" w:rsidRPr="0008481A" w:rsidRDefault="003B3271">
      <w:pPr>
        <w:pStyle w:val="PunktlistaTankstreck"/>
      </w:pPr>
      <w:r w:rsidRPr="0008481A">
        <w:t>handläggningen av ett ärende rörande ändring av vitsord 00/01:260</w:t>
      </w:r>
    </w:p>
    <w:p w:rsidR="003B3271" w:rsidRPr="0008481A" w:rsidRDefault="003B3271">
      <w:pPr>
        <w:pStyle w:val="PunktlistaTankstreck"/>
      </w:pPr>
      <w:r w:rsidRPr="0008481A">
        <w:t>Försvarsmakten har med en militär helikopter deltagit i polisens sp</w:t>
      </w:r>
      <w:r w:rsidRPr="0008481A">
        <w:t>a</w:t>
      </w:r>
      <w:r w:rsidRPr="0008481A">
        <w:t>ning efter misstänkta vapentjuvar; fråga om rättsenligheten härav 00/01:262</w:t>
      </w:r>
    </w:p>
    <w:p w:rsidR="003B3271" w:rsidRPr="0008481A" w:rsidRDefault="003B3271">
      <w:pPr>
        <w:pStyle w:val="PunktlistaTankstreck"/>
      </w:pPr>
      <w:r w:rsidRPr="0008481A">
        <w:t>ifrågasatt inskränkning av yttrandefriheten för chef i Försvarsmakten 00/01:575</w:t>
      </w:r>
    </w:p>
    <w:p w:rsidR="003B3271" w:rsidRPr="0008481A" w:rsidRDefault="003B3271">
      <w:pPr>
        <w:pStyle w:val="Rubrik3"/>
      </w:pPr>
      <w:r w:rsidRPr="0008481A">
        <w:t>Miljöskydd</w:t>
      </w:r>
    </w:p>
    <w:p w:rsidR="003B3271" w:rsidRPr="0008481A" w:rsidRDefault="003B3271">
      <w:pPr>
        <w:pStyle w:val="PunktlistaTankstreck"/>
      </w:pPr>
      <w:r w:rsidRPr="0008481A">
        <w:t>kritik mot en miljönämnd för passivitet och otydlighet i ett ärende r</w:t>
      </w:r>
      <w:r w:rsidRPr="0008481A">
        <w:t>ö</w:t>
      </w:r>
      <w:r w:rsidRPr="0008481A">
        <w:t>rande tillsyn av ett sågverk 99/00:341</w:t>
      </w:r>
    </w:p>
    <w:p w:rsidR="003B3271" w:rsidRPr="0008481A" w:rsidRDefault="003B3271">
      <w:pPr>
        <w:pStyle w:val="PunktlistaTankstreck"/>
      </w:pPr>
      <w:r w:rsidRPr="0008481A">
        <w:t>miljö- och hälsoskyddsnämnds skyldigheter som tillsynsmyndighet när kommunen ansetts ansvarig för nedskräpning i naturen 99/00:345</w:t>
      </w:r>
    </w:p>
    <w:p w:rsidR="003B3271" w:rsidRPr="0008481A" w:rsidRDefault="003B3271">
      <w:pPr>
        <w:pStyle w:val="PunktlistaTankstreck"/>
      </w:pPr>
      <w:r w:rsidRPr="0008481A">
        <w:t>tillsynsmyndighets skyldighet att utreda och fatta beslut vid klagomål om överträdelser av villkor i täkttillstånd 00/01:422</w:t>
      </w:r>
    </w:p>
    <w:p w:rsidR="003B3271" w:rsidRPr="0008481A" w:rsidRDefault="003B3271">
      <w:pPr>
        <w:pStyle w:val="Rubrik3"/>
      </w:pPr>
      <w:r w:rsidRPr="0008481A">
        <w:t>Motivering av beslut</w:t>
      </w:r>
    </w:p>
    <w:p w:rsidR="003B3271" w:rsidRPr="0008481A" w:rsidRDefault="003B3271">
      <w:pPr>
        <w:pStyle w:val="PunktlistaTankstreck"/>
      </w:pPr>
      <w:r w:rsidRPr="0008481A">
        <w:t>möjligheten för en polismyndighet att lägga ned en förundersökning med motiveringen ”brott kan ej styrkas” 00/01:62</w:t>
      </w:r>
    </w:p>
    <w:p w:rsidR="003B3271" w:rsidRPr="0008481A" w:rsidRDefault="003B3271">
      <w:pPr>
        <w:pStyle w:val="Rubrik3"/>
      </w:pPr>
      <w:r w:rsidRPr="0008481A">
        <w:t>Myndighetsutövning</w:t>
      </w:r>
    </w:p>
    <w:p w:rsidR="003B3271" w:rsidRPr="0008481A" w:rsidRDefault="003B3271">
      <w:pPr>
        <w:pStyle w:val="PunktlistaTankstreck"/>
      </w:pPr>
      <w:r w:rsidRPr="0008481A">
        <w:t>fråga huruvida en länsstyrelse överlämnat förvaltningsuppgifter som inne</w:t>
      </w:r>
      <w:r w:rsidRPr="0008481A">
        <w:softHyphen/>
        <w:t>fattar myndighetsutövning till en jägarorganisation 00/01:269</w:t>
      </w:r>
    </w:p>
    <w:p w:rsidR="003B3271" w:rsidRPr="0008481A" w:rsidRDefault="003B3271">
      <w:pPr>
        <w:pStyle w:val="PunktlistaTankstreck"/>
      </w:pPr>
      <w:r w:rsidRPr="0008481A">
        <w:t>fråga om myndighetsutövning och därmed kommuniceringsskyldighet förelegat hos Arbetsmarknadsstyrelsen i ett ärende rörande åtalsanm</w:t>
      </w:r>
      <w:r w:rsidRPr="0008481A">
        <w:t>ä</w:t>
      </w:r>
      <w:r w:rsidRPr="0008481A">
        <w:t>lan 00/01:237</w:t>
      </w:r>
    </w:p>
    <w:p w:rsidR="003B3271" w:rsidRPr="0008481A" w:rsidRDefault="003B3271">
      <w:pPr>
        <w:pStyle w:val="PunktlistaTankstreck"/>
      </w:pPr>
      <w:r w:rsidRPr="0008481A">
        <w:t>vid Aktiebolaget Svensk Bilprovnings förrättningar för kontrollbesik</w:t>
      </w:r>
      <w:r w:rsidRPr="0008481A">
        <w:t>t</w:t>
      </w:r>
      <w:r w:rsidRPr="0008481A">
        <w:t>ning saknas viss service – upplysningar om alternativ fullgörelse – vilken inte enligt föreskrifter om innehållet i beslut (föreläggande) behöver lämnas 00/01:476</w:t>
      </w:r>
    </w:p>
    <w:p w:rsidR="003B3271" w:rsidRPr="0008481A" w:rsidRDefault="003B3271">
      <w:pPr>
        <w:pStyle w:val="Rubrik3"/>
      </w:pPr>
      <w:r w:rsidRPr="0008481A">
        <w:t>Namnuppgift</w:t>
      </w:r>
    </w:p>
    <w:p w:rsidR="003B3271" w:rsidRPr="0008481A" w:rsidRDefault="003B3271">
      <w:pPr>
        <w:pStyle w:val="PunktlistaTankstreck"/>
      </w:pPr>
      <w:r w:rsidRPr="0008481A">
        <w:t>offentliggörande av namnuppgifter i kungörelsedelgi</w:t>
      </w:r>
      <w:r w:rsidRPr="0008481A">
        <w:t>v</w:t>
      </w:r>
      <w:r w:rsidRPr="0008481A">
        <w:t>ning rörande mål om bistånd enligt 6 g § socia</w:t>
      </w:r>
      <w:r w:rsidRPr="0008481A">
        <w:t>l</w:t>
      </w:r>
      <w:r w:rsidRPr="0008481A">
        <w:t>tjänstlagen 99/00:191</w:t>
      </w:r>
    </w:p>
    <w:p w:rsidR="003B3271" w:rsidRPr="0008481A" w:rsidRDefault="003B3271">
      <w:pPr>
        <w:pStyle w:val="Rubrik3"/>
      </w:pPr>
      <w:r w:rsidRPr="0008481A">
        <w:t>Naturvårdslagen</w:t>
      </w:r>
    </w:p>
    <w:p w:rsidR="003B3271" w:rsidRPr="0008481A" w:rsidRDefault="003B3271">
      <w:pPr>
        <w:pStyle w:val="PunktlistaTankstreck"/>
      </w:pPr>
      <w:r w:rsidRPr="0008481A">
        <w:t>miljö- och hälsoskyddsnämnds skyldigheter som tillsynsmyndighet när kommunen ansetts ansvarig för nedskräpning i naturen 99/00:345</w:t>
      </w:r>
    </w:p>
    <w:p w:rsidR="003B3271" w:rsidRPr="0008481A" w:rsidRDefault="003B3271">
      <w:pPr>
        <w:pStyle w:val="Rubrik3"/>
      </w:pPr>
      <w:r w:rsidRPr="0008481A">
        <w:t>Objektivitetsprincipen</w:t>
      </w:r>
    </w:p>
    <w:p w:rsidR="003B3271" w:rsidRPr="0008481A" w:rsidRDefault="003B3271">
      <w:pPr>
        <w:pStyle w:val="PunktlistaTankstreck"/>
      </w:pPr>
      <w:r w:rsidRPr="0008481A">
        <w:t>kritik mot polischef för dennes agerande i samband med en brottsutre</w:t>
      </w:r>
      <w:r w:rsidRPr="0008481A">
        <w:t>d</w:t>
      </w:r>
      <w:r w:rsidRPr="0008481A">
        <w:t>ning där han själv var målsägande 99/00:111</w:t>
      </w:r>
    </w:p>
    <w:p w:rsidR="003B3271" w:rsidRPr="0008481A" w:rsidRDefault="003B3271">
      <w:pPr>
        <w:pStyle w:val="PunktlistaTankstreck"/>
      </w:pPr>
      <w:r w:rsidRPr="0008481A">
        <w:t>handläggningen av framställningar om utredningsåtgärder efter det att en brottmålsdom vunnit laga kraft 00/01:69</w:t>
      </w:r>
    </w:p>
    <w:p w:rsidR="003B3271" w:rsidRPr="0008481A" w:rsidRDefault="003B3271">
      <w:pPr>
        <w:pStyle w:val="PunktlistaTankstreck"/>
      </w:pPr>
      <w:r w:rsidRPr="0008481A">
        <w:t>åklagares handläggning av en förundersökning om misshandel där måls</w:t>
      </w:r>
      <w:r w:rsidRPr="0008481A">
        <w:softHyphen/>
        <w:t>äganden pekat ut en polisman som gärningsman 00/01:100</w:t>
      </w:r>
    </w:p>
    <w:p w:rsidR="003B3271" w:rsidRPr="0008481A" w:rsidRDefault="003B3271">
      <w:pPr>
        <w:pStyle w:val="PunktlistaTankstreck"/>
      </w:pPr>
      <w:r w:rsidRPr="0008481A">
        <w:t>handläggningen av en förundersökning med anledning av en polisra</w:t>
      </w:r>
      <w:r w:rsidRPr="0008481A">
        <w:t>p</w:t>
      </w:r>
      <w:r w:rsidRPr="0008481A">
        <w:t>port i vilken uppgavs att ett statsråd hade gjort sig skyldig till olovlig körning 00/01:190</w:t>
      </w:r>
    </w:p>
    <w:p w:rsidR="003B3271" w:rsidRPr="0008481A" w:rsidRDefault="003B3271">
      <w:pPr>
        <w:pStyle w:val="Rubrik3"/>
      </w:pPr>
      <w:r w:rsidRPr="0008481A">
        <w:t>Offentligt biträde</w:t>
      </w:r>
    </w:p>
    <w:p w:rsidR="003B3271" w:rsidRPr="0008481A" w:rsidRDefault="003B3271">
      <w:pPr>
        <w:pStyle w:val="PunktlistaTankstreck"/>
        <w:rPr>
          <w:b/>
        </w:rPr>
      </w:pPr>
      <w:r w:rsidRPr="0008481A">
        <w:t>socialnämnds skyldighet att verka för att ett offentligt biträde utses när ett ingripande enligt LVU blir aktuellt 99/00:264</w:t>
      </w:r>
    </w:p>
    <w:p w:rsidR="003B3271" w:rsidRPr="0008481A" w:rsidRDefault="003B3271">
      <w:pPr>
        <w:pStyle w:val="PunktlistaTankstreck"/>
      </w:pPr>
      <w:r w:rsidRPr="0008481A">
        <w:t>kritik mot en länsrätt för att muntlig förhandling hållits i ett mål enligt lagen (1991:1128) om psykiatrisk tvångsvård (LPT) i parts utevaro och utan att något offentligt biträde förordnats 99/00:180</w:t>
      </w:r>
    </w:p>
    <w:p w:rsidR="003B3271" w:rsidRPr="0008481A" w:rsidRDefault="003B3271">
      <w:pPr>
        <w:pStyle w:val="Rubrik3"/>
      </w:pPr>
      <w:r w:rsidRPr="0008481A">
        <w:t>Omprövning av beslut</w:t>
      </w:r>
    </w:p>
    <w:p w:rsidR="003B3271" w:rsidRPr="0008481A" w:rsidRDefault="003B3271">
      <w:pPr>
        <w:pStyle w:val="PunktlistaTankstreck"/>
      </w:pPr>
      <w:r w:rsidRPr="0008481A">
        <w:t>fråga om omprövning av ett länsstyrelsebeslut angående tillstånd till jakt på mink då beslutet enligt föreskrift i jaktförordningen inte fick över</w:t>
      </w:r>
      <w:r w:rsidRPr="0008481A">
        <w:softHyphen/>
        <w:t>klagas, m.m. 99/00:339</w:t>
      </w:r>
    </w:p>
    <w:p w:rsidR="003B3271" w:rsidRPr="0008481A" w:rsidRDefault="003B3271">
      <w:pPr>
        <w:pStyle w:val="Rubrik3"/>
      </w:pPr>
      <w:r w:rsidRPr="0008481A">
        <w:t>Ordningslagen</w:t>
      </w:r>
    </w:p>
    <w:p w:rsidR="003B3271" w:rsidRPr="0008481A" w:rsidRDefault="003B3271">
      <w:pPr>
        <w:pStyle w:val="PunktlistaTankstreck"/>
      </w:pPr>
      <w:r w:rsidRPr="0008481A">
        <w:t>kritik mot en polismyndighet för vissa ingripanden i samband med en allmän sammankomst 00/01:75</w:t>
      </w:r>
    </w:p>
    <w:p w:rsidR="003B3271" w:rsidRPr="0008481A" w:rsidRDefault="003B3271">
      <w:pPr>
        <w:pStyle w:val="Rubrik3"/>
      </w:pPr>
      <w:r w:rsidRPr="0008481A">
        <w:t>Partsinsyn</w:t>
      </w:r>
    </w:p>
    <w:p w:rsidR="003B3271" w:rsidRPr="0008481A" w:rsidRDefault="003B3271">
      <w:pPr>
        <w:pStyle w:val="PunktlistaTankstreck"/>
        <w:rPr>
          <w:b/>
        </w:rPr>
      </w:pPr>
      <w:r w:rsidRPr="0008481A">
        <w:t>begäran att få del av betalningsanmaningar, vilka inte fanns i kronofog</w:t>
      </w:r>
      <w:r w:rsidRPr="0008481A">
        <w:softHyphen/>
        <w:t>demyndighets akt 99/00:166</w:t>
      </w:r>
    </w:p>
    <w:p w:rsidR="003B3271" w:rsidRPr="0008481A" w:rsidRDefault="003B3271">
      <w:pPr>
        <w:pStyle w:val="PunktlistaTankstreck"/>
      </w:pPr>
      <w:r w:rsidRPr="0008481A">
        <w:t>hos försäkringskassa 99/00:300</w:t>
      </w:r>
    </w:p>
    <w:p w:rsidR="003B3271" w:rsidRPr="0008481A" w:rsidRDefault="003B3271">
      <w:pPr>
        <w:pStyle w:val="PunktlistaTankstreck"/>
      </w:pPr>
      <w:r w:rsidRPr="0008481A">
        <w:t>skyndsamhetskrav hos försäkringskassa 99/00:332</w:t>
      </w:r>
    </w:p>
    <w:p w:rsidR="003B3271" w:rsidRPr="0008481A" w:rsidRDefault="003B3271">
      <w:pPr>
        <w:pStyle w:val="PunktlistaTankstreck"/>
      </w:pPr>
      <w:r w:rsidRPr="0008481A">
        <w:t>fråga om rätt till partsinsyn under handläggningen av en vårdnadsutredning 00/01:317</w:t>
      </w:r>
    </w:p>
    <w:p w:rsidR="003B3271" w:rsidRPr="0008481A" w:rsidRDefault="003B3271">
      <w:pPr>
        <w:pStyle w:val="Rubrik3"/>
      </w:pPr>
      <w:r w:rsidRPr="0008481A">
        <w:t>Personlig integritet</w:t>
      </w:r>
    </w:p>
    <w:p w:rsidR="003B3271" w:rsidRPr="0008481A" w:rsidRDefault="003B3271">
      <w:pPr>
        <w:pStyle w:val="PunktlistaTankstreck"/>
      </w:pPr>
      <w:r w:rsidRPr="0008481A">
        <w:t>en arbetsförmedling bör regelbundet förvissa sig om att de grundlä</w:t>
      </w:r>
      <w:r w:rsidRPr="0008481A">
        <w:t>g</w:t>
      </w:r>
      <w:r w:rsidRPr="0008481A">
        <w:t>gande uppgifterna i arbetsförmedlingsregistret är korrekta 00/01:242</w:t>
      </w:r>
    </w:p>
    <w:p w:rsidR="003B3271" w:rsidRPr="0008481A" w:rsidRDefault="003B3271">
      <w:pPr>
        <w:pStyle w:val="Rubrik3"/>
      </w:pPr>
      <w:r w:rsidRPr="0008481A">
        <w:t>Personuppgifter</w:t>
      </w:r>
    </w:p>
    <w:p w:rsidR="003B3271" w:rsidRPr="0008481A" w:rsidRDefault="003B3271">
      <w:pPr>
        <w:pStyle w:val="PunktlistaTankstreck"/>
      </w:pPr>
      <w:r w:rsidRPr="0008481A">
        <w:t>en tingsrätts handläggning av ett mål om umgängesrätt m.m. där sv</w:t>
      </w:r>
      <w:r w:rsidRPr="0008481A">
        <w:t>a</w:t>
      </w:r>
      <w:r w:rsidRPr="0008481A">
        <w:t>randen hade s.k. fingerade personuppgifter 00/01:36</w:t>
      </w:r>
    </w:p>
    <w:p w:rsidR="003B3271" w:rsidRPr="0008481A" w:rsidRDefault="003B3271">
      <w:pPr>
        <w:pStyle w:val="PunktlistaTankstreck"/>
      </w:pPr>
      <w:r w:rsidRPr="0008481A">
        <w:t>en tingsrätts hantering av s.k. skyddade personuppgifter vilka erhållits från en part i ett förenklat tvistemål (FT-mål) 00/01:44</w:t>
      </w:r>
    </w:p>
    <w:p w:rsidR="003B3271" w:rsidRPr="0008481A" w:rsidRDefault="003B3271">
      <w:pPr>
        <w:pStyle w:val="PunktlistaTankstreck"/>
      </w:pPr>
      <w:r w:rsidRPr="0008481A">
        <w:t>en tingsrätts hantering av s.k. skyddade personuppgifter vilka erhållits från en part i ett familjemål 00/01:50</w:t>
      </w:r>
    </w:p>
    <w:p w:rsidR="003B3271" w:rsidRPr="0008481A" w:rsidRDefault="003B3271">
      <w:pPr>
        <w:pStyle w:val="Rubrik3"/>
      </w:pPr>
      <w:r w:rsidRPr="0008481A">
        <w:t>Plan- och bygglagen</w:t>
      </w:r>
    </w:p>
    <w:p w:rsidR="003B3271" w:rsidRPr="0008481A" w:rsidRDefault="003B3271">
      <w:pPr>
        <w:pStyle w:val="PunktlistaTankstreck"/>
      </w:pPr>
      <w:r w:rsidRPr="0008481A">
        <w:t>byggnadsnämnd har vidhållit ett krav på avgift enligt plan- och byggl</w:t>
      </w:r>
      <w:r w:rsidRPr="0008481A">
        <w:t>a</w:t>
      </w:r>
      <w:r w:rsidRPr="0008481A">
        <w:t>gen, på annan grund än vad länsstyrelsen vid överprövning underkänt och för ett tillstånd som inte utgjort förhandsbesked eller någon annan i lagen före</w:t>
      </w:r>
      <w:r w:rsidRPr="0008481A">
        <w:softHyphen/>
        <w:t>skriven form av beslut. Serviceskyldighet med avseende på ansö</w:t>
      </w:r>
      <w:r w:rsidRPr="0008481A">
        <w:t>k</w:t>
      </w:r>
      <w:r w:rsidRPr="0008481A">
        <w:t>ningar om sådant tillstånd 00/01:484</w:t>
      </w:r>
    </w:p>
    <w:p w:rsidR="003B3271" w:rsidRPr="0008481A" w:rsidRDefault="003B3271">
      <w:pPr>
        <w:pStyle w:val="Rubrik3"/>
      </w:pPr>
      <w:r w:rsidRPr="0008481A">
        <w:t>Polisförordningen</w:t>
      </w:r>
    </w:p>
    <w:p w:rsidR="003B3271" w:rsidRPr="0008481A" w:rsidRDefault="003B3271">
      <w:pPr>
        <w:pStyle w:val="PunktlistaTankstreck"/>
      </w:pPr>
      <w:r w:rsidRPr="0008481A">
        <w:t>kritik mot en polismyndighet för långsam handläggning av ärenden vid dess internutredningsenhet 00/01:173</w:t>
      </w:r>
    </w:p>
    <w:p w:rsidR="003B3271" w:rsidRPr="0008481A" w:rsidRDefault="003B3271">
      <w:pPr>
        <w:pStyle w:val="Rubrik3"/>
      </w:pPr>
      <w:r w:rsidRPr="0008481A">
        <w:t>Polislagen</w:t>
      </w:r>
    </w:p>
    <w:p w:rsidR="003B3271" w:rsidRPr="0008481A" w:rsidRDefault="003B3271">
      <w:pPr>
        <w:pStyle w:val="PunktlistaTankstreck"/>
        <w:rPr>
          <w:b/>
        </w:rPr>
      </w:pPr>
      <w:r w:rsidRPr="0008481A">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3B3271" w:rsidRPr="0008481A" w:rsidRDefault="003B3271">
      <w:pPr>
        <w:pStyle w:val="PunktlistaTankstreck"/>
      </w:pPr>
      <w:r w:rsidRPr="0008481A">
        <w:t>kritik mot en polismyndighet för vissa ingripanden i samband med en allmän sammankomst 00/01:75</w:t>
      </w:r>
    </w:p>
    <w:p w:rsidR="003B3271" w:rsidRPr="0008481A" w:rsidRDefault="003B3271">
      <w:pPr>
        <w:pStyle w:val="PunktlistaTankstreck"/>
      </w:pPr>
      <w:r w:rsidRPr="0008481A">
        <w:t>fråga om rättsenligheten av polisens spaningsmetod att använda en i</w:t>
      </w:r>
      <w:r w:rsidRPr="0008481A">
        <w:t>n</w:t>
      </w:r>
      <w:r w:rsidRPr="0008481A">
        <w:t>köpt motorcykel av märket Harley-Davidson som ”lockbete” i brottsutre</w:t>
      </w:r>
      <w:r w:rsidRPr="0008481A">
        <w:t>d</w:t>
      </w:r>
      <w:r w:rsidRPr="0008481A">
        <w:t>ningar samt vissa uttalanden om de problem som kan uppkomma till följd av skador på eller vållade av ett polisen tillhörigt motorfordon som är försäkrat 00/01:118</w:t>
      </w:r>
    </w:p>
    <w:p w:rsidR="003B3271" w:rsidRPr="0008481A" w:rsidRDefault="003B3271">
      <w:pPr>
        <w:pStyle w:val="PunktlistaTankstreck"/>
      </w:pPr>
      <w:r w:rsidRPr="0008481A">
        <w:t>fråga om polisens handlande i samband med anvisning av färdväg för chartrad buss med hemvändande fotbollssupportrar samt dokument</w:t>
      </w:r>
      <w:r w:rsidRPr="0008481A">
        <w:t>a</w:t>
      </w:r>
      <w:r w:rsidRPr="0008481A">
        <w:t xml:space="preserve">tionen av ingripandet 00/01:110 </w:t>
      </w:r>
    </w:p>
    <w:p w:rsidR="003B3271" w:rsidRPr="0008481A" w:rsidRDefault="003B3271">
      <w:pPr>
        <w:pStyle w:val="Rubrik3"/>
      </w:pPr>
      <w:r w:rsidRPr="0008481A">
        <w:t>Polismyndighet</w:t>
      </w:r>
    </w:p>
    <w:p w:rsidR="003B3271" w:rsidRPr="0008481A" w:rsidRDefault="003B3271">
      <w:pPr>
        <w:pStyle w:val="PunktlistaTankstreck"/>
      </w:pPr>
      <w:r w:rsidRPr="0008481A">
        <w:t>disciplinansvar för en närpolischef som hade fattat ett beslut om hus</w:t>
      </w:r>
      <w:r w:rsidRPr="0008481A">
        <w:softHyphen/>
        <w:t>rannsakan utan att ha behörighet till det 99/00:57</w:t>
      </w:r>
    </w:p>
    <w:p w:rsidR="003B3271" w:rsidRPr="0008481A" w:rsidRDefault="003B3271">
      <w:pPr>
        <w:pStyle w:val="PunktlistaTankstreck"/>
      </w:pPr>
      <w:r w:rsidRPr="0008481A">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3B3271" w:rsidRPr="0008481A" w:rsidRDefault="003B3271">
      <w:pPr>
        <w:pStyle w:val="PunktlistaTankstreck"/>
      </w:pPr>
      <w:r w:rsidRPr="0008481A">
        <w:t>kritik mot en polismyndighet för att förhörsledare i samband med för</w:t>
      </w:r>
      <w:r w:rsidRPr="0008481A">
        <w:softHyphen/>
        <w:t>undersökning mot två 15-åringar åsidosatt regler av grundläggande betydelse för underårigas rättssäke</w:t>
      </w:r>
      <w:r w:rsidRPr="0008481A">
        <w:t>r</w:t>
      </w:r>
      <w:r w:rsidRPr="0008481A">
        <w:t>het 99/00:78</w:t>
      </w:r>
    </w:p>
    <w:p w:rsidR="003B3271" w:rsidRPr="0008481A" w:rsidRDefault="003B3271">
      <w:pPr>
        <w:pStyle w:val="PunktlistaTankstreck"/>
      </w:pPr>
      <w:r w:rsidRPr="0008481A">
        <w:t>uttalanden om lagligheten av att under en förundersökning i hemlighet videofilma en person som var intagen i häkte 99/00:91</w:t>
      </w:r>
    </w:p>
    <w:p w:rsidR="003B3271" w:rsidRPr="0008481A" w:rsidRDefault="003B3271">
      <w:pPr>
        <w:pStyle w:val="PunktlistaTankstreck"/>
      </w:pPr>
      <w:r w:rsidRPr="0008481A">
        <w:t>fråga om när polismyndighet skall ta kontakt med åklagare för att ber</w:t>
      </w:r>
      <w:r w:rsidRPr="0008481A">
        <w:t>e</w:t>
      </w:r>
      <w:r w:rsidRPr="0008481A">
        <w:t>da denne tillfälle att överta förundersökningsledarskap och därmed samman</w:t>
      </w:r>
      <w:r w:rsidRPr="0008481A">
        <w:softHyphen/>
        <w:t>hängande frågor om användande av tvångsmedel (i fallet s.k. personell husranns</w:t>
      </w:r>
      <w:r w:rsidRPr="0008481A">
        <w:t>a</w:t>
      </w:r>
      <w:r w:rsidRPr="0008481A">
        <w:t>kan i samband med en gisslansituation) 99/00:114</w:t>
      </w:r>
    </w:p>
    <w:p w:rsidR="003B3271" w:rsidRPr="0008481A" w:rsidRDefault="003B3271">
      <w:pPr>
        <w:pStyle w:val="PunktlistaTankstreck"/>
      </w:pPr>
      <w:r w:rsidRPr="0008481A">
        <w:t xml:space="preserve">fråga om fullgörande av skyldighet att underrätta vårdnadshavare enligt </w:t>
      </w:r>
      <w:r w:rsidRPr="0008481A">
        <w:br/>
        <w:t>5 § lagen (1964:167) med särskilda bestämmelser om unga lagöve</w:t>
      </w:r>
      <w:r w:rsidRPr="0008481A">
        <w:t>r</w:t>
      </w:r>
      <w:r w:rsidRPr="0008481A">
        <w:t>trädare 99/00:118</w:t>
      </w:r>
    </w:p>
    <w:p w:rsidR="003B3271" w:rsidRPr="0008481A" w:rsidRDefault="003B3271">
      <w:pPr>
        <w:pStyle w:val="PunktlistaTankstreck"/>
      </w:pPr>
      <w:r w:rsidRPr="0008481A">
        <w:t>fråga om polismyndighets skyldighet att låta översätta innehållet i en underrättelse (angående hävt beslag) som sänts till en polsk medborgare i Polen 99/00:127</w:t>
      </w:r>
    </w:p>
    <w:p w:rsidR="003B3271" w:rsidRPr="0008481A" w:rsidRDefault="003B3271">
      <w:pPr>
        <w:pStyle w:val="PunktlistaTankstreck"/>
      </w:pPr>
      <w:r w:rsidRPr="0008481A">
        <w:t>fråga om polismyndighet ägt rätt att vilandeförklara en ansökan om vi</w:t>
      </w:r>
      <w:r w:rsidRPr="0008481A">
        <w:t>s</w:t>
      </w:r>
      <w:r w:rsidRPr="0008481A">
        <w:t>sa ändringar i ett tillstånd att handla med vapen i avvaktan på domstolsav</w:t>
      </w:r>
      <w:r w:rsidRPr="0008481A">
        <w:softHyphen/>
        <w:t>görande avseende polismyndighetens dessförinnan fattade beslut att åter</w:t>
      </w:r>
      <w:r w:rsidRPr="0008481A">
        <w:softHyphen/>
        <w:t>kalla handelstil</w:t>
      </w:r>
      <w:r w:rsidRPr="0008481A">
        <w:t>l</w:t>
      </w:r>
      <w:r w:rsidRPr="0008481A">
        <w:t>ståndet 99/00:133</w:t>
      </w:r>
    </w:p>
    <w:p w:rsidR="003B3271" w:rsidRPr="0008481A" w:rsidRDefault="003B3271">
      <w:pPr>
        <w:pStyle w:val="PunktlistaTankstreck"/>
        <w:rPr>
          <w:b/>
        </w:rPr>
      </w:pPr>
      <w:r w:rsidRPr="0008481A">
        <w:t>polisbefäls instruktioner till underlydande polismän i samband med ett ingripande föranlett av en vårdnadstvist; även fråga om polismännens upp</w:t>
      </w:r>
      <w:r w:rsidRPr="0008481A">
        <w:softHyphen/>
        <w:t>trädande på platsen för ingripandet 99/00:135</w:t>
      </w:r>
    </w:p>
    <w:p w:rsidR="003B3271" w:rsidRPr="0008481A" w:rsidRDefault="003B3271">
      <w:pPr>
        <w:pStyle w:val="PunktlistaTankstreck"/>
      </w:pPr>
      <w:r w:rsidRPr="0008481A">
        <w:t>fråga om utformningen av polismyndighets uppdrag till Statens kriminal</w:t>
      </w:r>
      <w:r w:rsidRPr="0008481A">
        <w:softHyphen/>
        <w:t>tekniska laboratorium avseende analys och förstöring av mis</w:t>
      </w:r>
      <w:r w:rsidRPr="0008481A">
        <w:t>s</w:t>
      </w:r>
      <w:r w:rsidRPr="0008481A">
        <w:t>tänkt narkotika 99/00:141</w:t>
      </w:r>
    </w:p>
    <w:p w:rsidR="003B3271" w:rsidRPr="0008481A" w:rsidRDefault="003B3271">
      <w:pPr>
        <w:pStyle w:val="PunktlistaTankstreck"/>
      </w:pPr>
      <w:r w:rsidRPr="0008481A">
        <w:t>fråga om tillämpningen av 23 kap. 21 § andra stycket rättegångsbalken angående skyldigheten att, innan förhöret avslutas, låta den som hörs bl.a. granska upptec</w:t>
      </w:r>
      <w:r w:rsidRPr="0008481A">
        <w:t>k</w:t>
      </w:r>
      <w:r w:rsidRPr="0008481A">
        <w:t>ning av utsagan 99/00:143</w:t>
      </w:r>
    </w:p>
    <w:p w:rsidR="003B3271" w:rsidRPr="0008481A" w:rsidRDefault="003B3271">
      <w:pPr>
        <w:pStyle w:val="PunktlistaTankstreck"/>
        <w:rPr>
          <w:b/>
        </w:rPr>
      </w:pPr>
      <w:r w:rsidRPr="0008481A">
        <w:t>fråga om utlämnande av handling kan ej prövas enligt 23 kap. 18 § första stycket rättegångsbalken när den som begärt att få ut handlingen avförts som misstänkt 99/00:392</w:t>
      </w:r>
    </w:p>
    <w:p w:rsidR="003B3271" w:rsidRPr="0008481A" w:rsidRDefault="003B3271">
      <w:pPr>
        <w:pStyle w:val="PunktlistaTankstreck"/>
      </w:pPr>
      <w:r w:rsidRPr="0008481A">
        <w:t>uttalande angående vissa oreglerade rutiner vid polismyndighet gälla</w:t>
      </w:r>
      <w:r w:rsidRPr="0008481A">
        <w:t>n</w:t>
      </w:r>
      <w:r w:rsidRPr="0008481A">
        <w:t>de tillstånd för besökande att följa med i polisens tjänstefordon 99/00:145</w:t>
      </w:r>
    </w:p>
    <w:p w:rsidR="003B3271" w:rsidRPr="0008481A" w:rsidRDefault="003B3271">
      <w:pPr>
        <w:pStyle w:val="PunktlistaTankstreck"/>
      </w:pPr>
      <w:r w:rsidRPr="0008481A">
        <w:t>möjligheten för en polismyndighet att lägga ned en förundersökning med motiveringen ”brott kan ej styrkas” 00/01:62</w:t>
      </w:r>
    </w:p>
    <w:p w:rsidR="003B3271" w:rsidRPr="0008481A" w:rsidRDefault="003B3271">
      <w:pPr>
        <w:pStyle w:val="PunktlistaTankstreck"/>
      </w:pPr>
      <w:r w:rsidRPr="0008481A">
        <w:t>kritik mot en polismyndighet för vissa ingripanden i samband med en allmän sammankomst 00/01:75</w:t>
      </w:r>
    </w:p>
    <w:p w:rsidR="003B3271" w:rsidRPr="0008481A" w:rsidRDefault="003B3271">
      <w:pPr>
        <w:pStyle w:val="PunktlistaTankstreck"/>
      </w:pPr>
      <w:r w:rsidRPr="0008481A">
        <w:t>kritik mot en polismyndighet för att ha inlett utredning enligt 31 § l</w:t>
      </w:r>
      <w:r w:rsidRPr="0008481A">
        <w:t>a</w:t>
      </w:r>
      <w:r w:rsidRPr="0008481A">
        <w:t>gen (1964:167) med särskilda bestämmelser för unga lagöverträdare (LUL) mot barn under 15 år samt fråga om underrättelseskyldighet enligt nämnda lag och förhör med barn 00/01:90</w:t>
      </w:r>
    </w:p>
    <w:p w:rsidR="003B3271" w:rsidRPr="0008481A" w:rsidRDefault="003B3271">
      <w:pPr>
        <w:pStyle w:val="PunktlistaTankstreck"/>
      </w:pPr>
      <w:r w:rsidRPr="0008481A">
        <w:t>polisens handläggning av en begäran om handräckning enligt lagen (1991:1128) om psykiatrisk tvångsvård samt uttalanden om polisens möjligheter att överlämna uppdrag till Kriminalvårdens Tran</w:t>
      </w:r>
      <w:r w:rsidRPr="0008481A">
        <w:t>s</w:t>
      </w:r>
      <w:r w:rsidRPr="0008481A">
        <w:t>porttjänst 00/01:95</w:t>
      </w:r>
    </w:p>
    <w:p w:rsidR="003B3271" w:rsidRPr="0008481A" w:rsidRDefault="003B3271">
      <w:pPr>
        <w:pStyle w:val="PunktlistaTankstreck"/>
      </w:pPr>
      <w:r w:rsidRPr="0008481A">
        <w:t>fråga om rättsenligheten av polisens spaningsmetod att använda en i</w:t>
      </w:r>
      <w:r w:rsidRPr="0008481A">
        <w:t>n</w:t>
      </w:r>
      <w:r w:rsidRPr="0008481A">
        <w:t>köpt motorcykel av märket Harley-Davidson som ”lockbete” i brottsutre</w:t>
      </w:r>
      <w:r w:rsidRPr="0008481A">
        <w:t>d</w:t>
      </w:r>
      <w:r w:rsidRPr="0008481A">
        <w:t>ningar samt vissa uttalanden om de problem som kan uppkomma till följd av skador på eller vållade av ett polisen tillhörigt motorfordon som är försäkrat 00/01:118</w:t>
      </w:r>
    </w:p>
    <w:p w:rsidR="003B3271" w:rsidRPr="0008481A" w:rsidRDefault="003B3271">
      <w:pPr>
        <w:pStyle w:val="PunktlistaTankstreck"/>
      </w:pPr>
      <w:r w:rsidRPr="0008481A">
        <w:t>fråga om polisens handlande i samband med anvisning av färdväg för chartrad buss med hemvändande fotbollssupportrar samt dokument</w:t>
      </w:r>
      <w:r w:rsidRPr="0008481A">
        <w:t>a</w:t>
      </w:r>
      <w:r w:rsidRPr="0008481A">
        <w:t xml:space="preserve">tionen av ingripandet 00/01:110 </w:t>
      </w:r>
    </w:p>
    <w:p w:rsidR="003B3271" w:rsidRPr="0008481A" w:rsidRDefault="003B3271">
      <w:pPr>
        <w:pStyle w:val="PunktlistaTankstreck"/>
      </w:pPr>
      <w:r w:rsidRPr="0008481A">
        <w:t>kritik mot en polismyndighet för långsam handläggning av ärenden vid dess internutredningsenhet 00/01:173</w:t>
      </w:r>
    </w:p>
    <w:p w:rsidR="003B3271" w:rsidRPr="0008481A" w:rsidRDefault="003B3271">
      <w:pPr>
        <w:pStyle w:val="PunktlistaTankstreck"/>
      </w:pPr>
      <w:r w:rsidRPr="0008481A">
        <w:t>möjligheten att inhämta skriftliga berättelser från målsägande och vit</w:t>
      </w:r>
      <w:r w:rsidRPr="0008481A">
        <w:t>t</w:t>
      </w:r>
      <w:r w:rsidRPr="0008481A">
        <w:t>nen 00/01:201</w:t>
      </w:r>
    </w:p>
    <w:p w:rsidR="003B3271" w:rsidRPr="0008481A" w:rsidRDefault="003B3271">
      <w:pPr>
        <w:pStyle w:val="PunktlistaTankstreck"/>
      </w:pPr>
      <w:r w:rsidRPr="0008481A">
        <w:t>”snattefonen” – polisens användning av förenklad utredning vid butiks</w:t>
      </w:r>
      <w:r w:rsidRPr="0008481A">
        <w:softHyphen/>
        <w:t>snatterier 00/01:137</w:t>
      </w:r>
    </w:p>
    <w:p w:rsidR="003B3271" w:rsidRPr="0008481A" w:rsidRDefault="003B3271">
      <w:pPr>
        <w:pStyle w:val="Rubrik3"/>
      </w:pPr>
      <w:r w:rsidRPr="0008481A">
        <w:t>Protokoll</w:t>
      </w:r>
    </w:p>
    <w:p w:rsidR="003B3271" w:rsidRPr="0008481A" w:rsidRDefault="003B3271">
      <w:pPr>
        <w:pStyle w:val="PunktlistaTankstreck"/>
      </w:pPr>
      <w:r w:rsidRPr="0008481A">
        <w:t>i ett sammanträdesprotokoll från en kommunal nämnd bör tiden och platsen för justeringen av protokollet anges 99/00:373</w:t>
      </w:r>
    </w:p>
    <w:p w:rsidR="003B3271" w:rsidRPr="0008481A" w:rsidRDefault="003B3271">
      <w:pPr>
        <w:pStyle w:val="PunktlistaTankstreck"/>
      </w:pPr>
      <w:r w:rsidRPr="0008481A">
        <w:t>fråga om riktigheten av att justeringen av protokoll förda vid samma</w:t>
      </w:r>
      <w:r w:rsidRPr="0008481A">
        <w:t>n</w:t>
      </w:r>
      <w:r w:rsidRPr="0008481A">
        <w:t>träde med kyrkorådets arbetsutskott inte tillkännages på pastoratets a</w:t>
      </w:r>
      <w:r w:rsidRPr="0008481A">
        <w:t>n</w:t>
      </w:r>
      <w:r w:rsidRPr="0008481A">
        <w:t>slagstavla 00/01:479</w:t>
      </w:r>
    </w:p>
    <w:p w:rsidR="003B3271" w:rsidRPr="0008481A" w:rsidRDefault="003B3271">
      <w:pPr>
        <w:pStyle w:val="Rubrik3"/>
      </w:pPr>
      <w:r w:rsidRPr="0008481A">
        <w:t>Provokation</w:t>
      </w:r>
    </w:p>
    <w:p w:rsidR="003B3271" w:rsidRPr="0008481A" w:rsidRDefault="003B3271">
      <w:pPr>
        <w:pStyle w:val="PunktlistaTankstreck"/>
      </w:pPr>
      <w:r w:rsidRPr="0008481A">
        <w:t>fråga om rättsenligheten av polisens spaningsmetod att använda en i</w:t>
      </w:r>
      <w:r w:rsidRPr="0008481A">
        <w:t>n</w:t>
      </w:r>
      <w:r w:rsidRPr="0008481A">
        <w:t>köpt motorcykel av märket Harley-Davidson som ”lockbete” i brottsutre</w:t>
      </w:r>
      <w:r w:rsidRPr="0008481A">
        <w:t>d</w:t>
      </w:r>
      <w:r w:rsidRPr="0008481A">
        <w:t>ningar samt vissa uttalanden om de problem som kan uppkomma till följd av skador på eller vållade av ett polisen tillhörigt motorfordon som är försäkrat 00/01:118</w:t>
      </w:r>
    </w:p>
    <w:p w:rsidR="003B3271" w:rsidRPr="0008481A" w:rsidRDefault="003B3271">
      <w:pPr>
        <w:pStyle w:val="Rubrik3"/>
      </w:pPr>
      <w:r w:rsidRPr="0008481A">
        <w:t>Psykiatrisk tvångsvård</w:t>
      </w:r>
    </w:p>
    <w:p w:rsidR="003B3271" w:rsidRPr="0008481A" w:rsidRDefault="003B3271">
      <w:pPr>
        <w:pStyle w:val="PunktlistaTankstreck"/>
      </w:pPr>
      <w:r w:rsidRPr="0008481A">
        <w:t>kritik mot en länsrätt för att muntlig förhandling hållits i ett mål enligt lagen (1991:1128) om psykiatrisk tvångsvård (LPT) i parts utevaro och utan att något offentligt biträde förordnats 99/00:180</w:t>
      </w:r>
    </w:p>
    <w:p w:rsidR="003B3271" w:rsidRPr="0008481A" w:rsidRDefault="003B3271">
      <w:pPr>
        <w:pStyle w:val="PunktlistaTankstreck"/>
      </w:pPr>
      <w:r w:rsidRPr="0008481A">
        <w:t>kritik mot rättspsykiatrisk enhet för genomförandet av ytliga kropps</w:t>
      </w:r>
      <w:r w:rsidRPr="0008481A">
        <w:softHyphen/>
        <w:t>besiktningar och kontroll av brevförsändelser. Även kritik för under</w:t>
      </w:r>
      <w:r w:rsidRPr="0008481A">
        <w:softHyphen/>
        <w:t>låtenhet att dokumentera dessa tvångsåtgärder i patientjournalen 00/01:346</w:t>
      </w:r>
    </w:p>
    <w:p w:rsidR="003B3271" w:rsidRPr="0008481A" w:rsidRDefault="003B3271">
      <w:pPr>
        <w:pStyle w:val="PunktlistaTankstreck"/>
        <w:rPr>
          <w:b/>
        </w:rPr>
      </w:pPr>
      <w:r w:rsidRPr="0008481A">
        <w:t>kritik mot en överläkare för det sätt på vilket en psykiskt utvecklingsstörd pojke återförts till sjukhus enligt bestämmelserna i lagen (1991:1128) om psykiatrisk tvångsvård (LPT). Även fråga om omfatt</w:t>
      </w:r>
      <w:r w:rsidRPr="0008481A">
        <w:softHyphen/>
        <w:t>ningen av polisens skyldighet att lämna handräckningsbiträde enligt 47 § LPT 00/01:339</w:t>
      </w:r>
    </w:p>
    <w:p w:rsidR="003B3271" w:rsidRPr="0008481A" w:rsidRDefault="003B3271">
      <w:pPr>
        <w:pStyle w:val="PunktlistaTankstreck"/>
      </w:pPr>
      <w:r w:rsidRPr="0008481A">
        <w:t>uttalanden rörande förutsättningarna att inom ramen för vård enligt bestämmelserna i lagen (1991:1129) om rättspsykiatrisk vård omhänderta patients bankkort (minutenkort). Kritik för underlåtenhet att dokumentera åtgärden i patientens journal 00/01:343</w:t>
      </w:r>
    </w:p>
    <w:p w:rsidR="003B3271" w:rsidRPr="0008481A" w:rsidRDefault="003B3271">
      <w:pPr>
        <w:pStyle w:val="PunktlistaTankstreck"/>
      </w:pPr>
      <w:r w:rsidRPr="0008481A">
        <w:t>disciplinansvar för en överläkare vars felaktiga journalanteckningar lett till beslut om återintagning av patient till sjukvårdsinrättning oaktat stöd här</w:t>
      </w:r>
      <w:r w:rsidRPr="0008481A">
        <w:softHyphen/>
        <w:t>för saknats i bestämmelserna i lagen (1991:1128) om psykiatrisk tvång</w:t>
      </w:r>
      <w:r w:rsidRPr="0008481A">
        <w:t>s</w:t>
      </w:r>
      <w:r w:rsidRPr="0008481A">
        <w:softHyphen/>
        <w:t>vård 00/01:353</w:t>
      </w:r>
    </w:p>
    <w:p w:rsidR="003B3271" w:rsidRPr="0008481A" w:rsidRDefault="003B3271">
      <w:pPr>
        <w:pStyle w:val="Rubrik3"/>
      </w:pPr>
      <w:r w:rsidRPr="0008481A">
        <w:t>Regeringsformen</w:t>
      </w:r>
    </w:p>
    <w:p w:rsidR="003B3271" w:rsidRPr="0008481A" w:rsidRDefault="003B3271">
      <w:pPr>
        <w:pStyle w:val="PunktlistaTankstreck"/>
      </w:pPr>
      <w:r w:rsidRPr="0008481A">
        <w:t>att en byggnadsnämnd låtit ett privat företag bestrida kostnaderna för ett extra nämndsammanträde har ansetts strida mot 1 kap. 9 § r</w:t>
      </w:r>
      <w:r w:rsidRPr="0008481A">
        <w:t>e</w:t>
      </w:r>
      <w:r w:rsidRPr="0008481A">
        <w:t>geringsformen 99/00:366</w:t>
      </w:r>
    </w:p>
    <w:p w:rsidR="003B3271" w:rsidRPr="0008481A" w:rsidRDefault="003B3271">
      <w:pPr>
        <w:pStyle w:val="PunktlistaTankstreck"/>
      </w:pPr>
      <w:r w:rsidRPr="0008481A">
        <w:t>fråga huruvida en länsstyrelse överlämnat förvaltningsuppgifter som inne</w:t>
      </w:r>
      <w:r w:rsidRPr="0008481A">
        <w:softHyphen/>
        <w:t>fattar myndighetsutövning till en jägarorganisation 00/01:269</w:t>
      </w:r>
    </w:p>
    <w:p w:rsidR="003B3271" w:rsidRPr="0008481A" w:rsidRDefault="003B3271">
      <w:pPr>
        <w:pStyle w:val="Rubrik3"/>
      </w:pPr>
      <w:r w:rsidRPr="0008481A">
        <w:t>Regeringsrätten</w:t>
      </w:r>
    </w:p>
    <w:p w:rsidR="003B3271" w:rsidRPr="0008481A" w:rsidRDefault="003B3271">
      <w:pPr>
        <w:pStyle w:val="PunktlistaTankstreck"/>
      </w:pPr>
      <w:r w:rsidRPr="0008481A">
        <w:t>fråga om handläggning i kammarrätt och Regeringsrätten av en begäran att få utskrifter av vittnesförhör 99/00:201</w:t>
      </w:r>
    </w:p>
    <w:p w:rsidR="003B3271" w:rsidRPr="0008481A" w:rsidRDefault="003B3271">
      <w:pPr>
        <w:pStyle w:val="Rubrik3"/>
      </w:pPr>
      <w:r w:rsidRPr="0008481A">
        <w:t>Registrering av handlingar</w:t>
      </w:r>
    </w:p>
    <w:p w:rsidR="003B3271" w:rsidRPr="0008481A" w:rsidRDefault="003B3271">
      <w:pPr>
        <w:pStyle w:val="PunktlistaTankstreck"/>
      </w:pPr>
      <w:r w:rsidRPr="0008481A">
        <w:t>kommunala nämnder har inte registrerat (diariefört) allmänna han</w:t>
      </w:r>
      <w:r w:rsidRPr="0008481A">
        <w:t>d</w:t>
      </w:r>
      <w:r w:rsidRPr="0008481A">
        <w:t>lingar i ärenden om färdtjänst. Fråga om registreringsskyldighet föreligger 00/01:560</w:t>
      </w:r>
    </w:p>
    <w:p w:rsidR="003B3271" w:rsidRPr="0008481A" w:rsidRDefault="003B3271">
      <w:pPr>
        <w:pStyle w:val="Rubrik3"/>
      </w:pPr>
      <w:r w:rsidRPr="0008481A">
        <w:t>Remissyttrande</w:t>
      </w:r>
    </w:p>
    <w:p w:rsidR="003B3271" w:rsidRPr="0008481A" w:rsidRDefault="003B3271">
      <w:pPr>
        <w:pStyle w:val="PunktlistaTankstreck"/>
      </w:pPr>
      <w:r w:rsidRPr="0008481A">
        <w:t>allvarlig kritik mot Luleå tekniska universitet för handläggningen av en begäran om att få ta del av en allmän handling och för det sätt på vilket universitet handlagt JO:s remiss 99/00:356</w:t>
      </w:r>
    </w:p>
    <w:p w:rsidR="003B3271" w:rsidRPr="0008481A" w:rsidRDefault="003B3271">
      <w:pPr>
        <w:pStyle w:val="Rubrik3"/>
      </w:pPr>
      <w:r w:rsidRPr="0008481A">
        <w:t>Resning</w:t>
      </w:r>
    </w:p>
    <w:p w:rsidR="003B3271" w:rsidRPr="0008481A" w:rsidRDefault="003B3271">
      <w:pPr>
        <w:pStyle w:val="PunktlistaTankstreck"/>
      </w:pPr>
      <w:r w:rsidRPr="0008481A">
        <w:t>handläggningen av framställningar om utredningsåtgärder efter det att en brottmålsdom vunnit laga kraft 00/01:69</w:t>
      </w:r>
    </w:p>
    <w:p w:rsidR="003B3271" w:rsidRPr="0008481A" w:rsidRDefault="003B3271">
      <w:pPr>
        <w:pStyle w:val="Rubrik3"/>
      </w:pPr>
      <w:r w:rsidRPr="0008481A">
        <w:t>Rättegångsbalken</w:t>
      </w:r>
    </w:p>
    <w:p w:rsidR="003B3271" w:rsidRPr="0008481A" w:rsidRDefault="003B3271">
      <w:pPr>
        <w:pStyle w:val="PunktlistaTankstreck"/>
      </w:pPr>
      <w:r w:rsidRPr="0008481A">
        <w:t>långsam handläggning av en fråga om rättegångshinder 99/00:44</w:t>
      </w:r>
    </w:p>
    <w:p w:rsidR="003B3271" w:rsidRPr="0008481A" w:rsidRDefault="003B3271">
      <w:pPr>
        <w:pStyle w:val="PunktlistaTankstreck"/>
      </w:pPr>
      <w:r w:rsidRPr="0008481A">
        <w:t>en tingsrätts handläggning av ett tvistemål efter det att parterna hade förlikts 99/00:51</w:t>
      </w:r>
    </w:p>
    <w:p w:rsidR="003B3271" w:rsidRPr="0008481A" w:rsidRDefault="003B3271">
      <w:pPr>
        <w:pStyle w:val="PunktlistaTankstreck"/>
      </w:pPr>
      <w:r w:rsidRPr="0008481A">
        <w:t>bristfällig redovisning av bevisvärderingen i dom där den tilltalade dömts mot sitt nekande 99/00:55</w:t>
      </w:r>
    </w:p>
    <w:p w:rsidR="003B3271" w:rsidRPr="0008481A" w:rsidRDefault="003B3271">
      <w:pPr>
        <w:pStyle w:val="PunktlistaTankstreck"/>
      </w:pPr>
      <w:r w:rsidRPr="0008481A">
        <w:t>möjligheten för en polismyndighet att lägga ned en förundersökning med motiveringen ”brott kan ej styrkas” 00/01:62</w:t>
      </w:r>
    </w:p>
    <w:p w:rsidR="003B3271" w:rsidRPr="0008481A" w:rsidRDefault="003B3271">
      <w:pPr>
        <w:pStyle w:val="PunktlistaTankstreck"/>
      </w:pPr>
      <w:r w:rsidRPr="0008481A">
        <w:t>”snattefonen” – polisens användning av förenklad utredning vid butiks</w:t>
      </w:r>
      <w:r w:rsidRPr="0008481A">
        <w:softHyphen/>
        <w:t>snatterier 00/01:137</w:t>
      </w:r>
    </w:p>
    <w:p w:rsidR="003B3271" w:rsidRPr="0008481A" w:rsidRDefault="003B3271">
      <w:pPr>
        <w:pStyle w:val="Rubrik3"/>
      </w:pPr>
      <w:r w:rsidRPr="0008481A">
        <w:t>Rättshjälp</w:t>
      </w:r>
    </w:p>
    <w:p w:rsidR="003B3271" w:rsidRPr="0008481A" w:rsidRDefault="003B3271">
      <w:pPr>
        <w:pStyle w:val="PunktlistaTankstreck"/>
      </w:pPr>
      <w:r w:rsidRPr="0008481A">
        <w:t>kritik mot en länsrätt för att muntlig förhandling hållits i ett mål enligt lagen (1991:1128) om psykiatrisk tvångsvård (LPT) i parts utevaro och utan att något offentligt biträde förordnats 99/00:180</w:t>
      </w:r>
    </w:p>
    <w:p w:rsidR="003B3271" w:rsidRPr="0008481A" w:rsidRDefault="003B3271">
      <w:pPr>
        <w:pStyle w:val="Rubrik3"/>
      </w:pPr>
      <w:r w:rsidRPr="0008481A">
        <w:t>Rättskraft</w:t>
      </w:r>
    </w:p>
    <w:p w:rsidR="003B3271" w:rsidRPr="0008481A" w:rsidRDefault="003B3271">
      <w:pPr>
        <w:pStyle w:val="PunktlistaTankstreck"/>
      </w:pPr>
      <w:r w:rsidRPr="0008481A">
        <w:t>byggnadsnämnd har vidhållit ett krav på avgift enligt plan- och byggl</w:t>
      </w:r>
      <w:r w:rsidRPr="0008481A">
        <w:t>a</w:t>
      </w:r>
      <w:r w:rsidRPr="0008481A">
        <w:t>gen, på annan grund än vad länsstyrelsen vid överprövning underkänt och för ett tillstånd som inte utgjort förhandsbesked eller någon annan i lagen före</w:t>
      </w:r>
      <w:r w:rsidRPr="0008481A">
        <w:softHyphen/>
        <w:t>skriven form av beslut. Serviceskyldighet med avseende på ansö</w:t>
      </w:r>
      <w:r w:rsidRPr="0008481A">
        <w:t>k</w:t>
      </w:r>
      <w:r w:rsidRPr="0008481A">
        <w:t>ningar om sådant tillstånd 00/01:484</w:t>
      </w:r>
    </w:p>
    <w:p w:rsidR="003B3271" w:rsidRPr="0008481A" w:rsidRDefault="003B3271">
      <w:pPr>
        <w:pStyle w:val="Rubrik3"/>
      </w:pPr>
      <w:r w:rsidRPr="0008481A">
        <w:t>Rättspsykiatrisk vård</w:t>
      </w:r>
    </w:p>
    <w:p w:rsidR="003B3271" w:rsidRPr="0008481A" w:rsidRDefault="003B3271">
      <w:pPr>
        <w:pStyle w:val="PunktlistaTankstreck"/>
      </w:pPr>
      <w:r w:rsidRPr="0008481A">
        <w:t>uttalanden om vilka rutiner som bör tillämpas när det gäller hand</w:t>
      </w:r>
      <w:r w:rsidRPr="0008481A">
        <w:softHyphen/>
        <w:t>läg</w:t>
      </w:r>
      <w:r w:rsidRPr="0008481A">
        <w:t>g</w:t>
      </w:r>
      <w:r w:rsidRPr="0008481A">
        <w:t>ningen av yttranden enligt 22 § lagen (1991:1129) om rättspsykiatrisk vård 99/00:74</w:t>
      </w:r>
    </w:p>
    <w:p w:rsidR="003B3271" w:rsidRPr="0008481A" w:rsidRDefault="003B3271">
      <w:pPr>
        <w:pStyle w:val="Rubrik3"/>
      </w:pPr>
      <w:r w:rsidRPr="0008481A">
        <w:t>Sekretess</w:t>
      </w:r>
    </w:p>
    <w:p w:rsidR="003B3271" w:rsidRPr="0008481A" w:rsidRDefault="003B3271">
      <w:pPr>
        <w:pStyle w:val="PunktlistaTankstreck"/>
      </w:pPr>
      <w:r w:rsidRPr="0008481A">
        <w:t xml:space="preserve">fråga om utlämnande av handling kan ej prövas enligt 23 kap. 18 § första stycket rättegångsbalken när den som begärt att få ut handlingen avförts som misstänkt </w:t>
      </w:r>
      <w:r w:rsidRPr="0008481A">
        <w:t>99/00:392</w:t>
      </w:r>
    </w:p>
    <w:p w:rsidR="003B3271" w:rsidRPr="0008481A" w:rsidRDefault="003B3271">
      <w:pPr>
        <w:pStyle w:val="PunktlistaTankstreck"/>
        <w:rPr>
          <w:rFonts w:ascii="Garamond" w:hAnsi="Garamond"/>
        </w:rPr>
      </w:pPr>
      <w:r w:rsidRPr="0008481A">
        <w:t>utlämnande av uppgift att en person var häktad 99/00:378</w:t>
      </w:r>
    </w:p>
    <w:p w:rsidR="003B3271" w:rsidRPr="0008481A" w:rsidRDefault="003B3271">
      <w:pPr>
        <w:pStyle w:val="PunktlistaTankstreck"/>
      </w:pPr>
      <w:r w:rsidRPr="0008481A">
        <w:t>utlämnande av uppgifter vid rehabiliteringsmöte 99/00:380</w:t>
      </w:r>
    </w:p>
    <w:p w:rsidR="003B3271" w:rsidRPr="0008481A" w:rsidRDefault="003B3271">
      <w:pPr>
        <w:pStyle w:val="PunktlistaTankstreck"/>
      </w:pPr>
      <w:r w:rsidRPr="0008481A">
        <w:t>fråga om lämpligheten, särskilt från sekretessynpunkt, av att familjeråd</w:t>
      </w:r>
      <w:r w:rsidRPr="0008481A">
        <w:softHyphen/>
        <w:t xml:space="preserve">givning enligt bestämmelserna i 12 a § socialtjänstlagen (1980:620) bedrivs med anlitande av socialsekreterare som tjänstgör inom kommunens individinriktade socialtjänst i övrigt 99/00:272 </w:t>
      </w:r>
    </w:p>
    <w:p w:rsidR="003B3271" w:rsidRPr="0008481A" w:rsidRDefault="003B3271">
      <w:pPr>
        <w:pStyle w:val="PunktlistaTankstreck"/>
      </w:pPr>
      <w:r w:rsidRPr="0008481A">
        <w:t>kritik mot socialsekreterare som på eget initiativ lämnat ut sekr</w:t>
      </w:r>
      <w:r w:rsidRPr="0008481A">
        <w:t>e</w:t>
      </w:r>
      <w:r w:rsidRPr="0008481A">
        <w:t>tess</w:t>
      </w:r>
      <w:r w:rsidRPr="0008481A">
        <w:softHyphen/>
        <w:t>skyddad uppgift till försäkringskassan 99/00:374</w:t>
      </w:r>
    </w:p>
    <w:p w:rsidR="003B3271" w:rsidRPr="0008481A" w:rsidRDefault="003B3271">
      <w:pPr>
        <w:pStyle w:val="PunktlistaTankstreck"/>
      </w:pPr>
      <w:r w:rsidRPr="0008481A">
        <w:t>fråga angående offentliggörande av integritetskänsliga uppgifter i en dom, då muntlig förhandling hållits inom stängda dörrar 99/00:175</w:t>
      </w:r>
    </w:p>
    <w:p w:rsidR="003B3271" w:rsidRPr="0008481A" w:rsidRDefault="003B3271">
      <w:pPr>
        <w:pStyle w:val="PunktlistaTankstreck"/>
      </w:pPr>
      <w:r w:rsidRPr="0008481A">
        <w:t>offentliggörande av namnuppgifter i kungörelsedelgivning rörande mål om bistånd enligt 6 g § socialtjänstlagen 99/00:191</w:t>
      </w:r>
    </w:p>
    <w:p w:rsidR="003B3271" w:rsidRPr="0008481A" w:rsidRDefault="003B3271">
      <w:pPr>
        <w:pStyle w:val="PunktlistaTankstreck"/>
      </w:pPr>
      <w:r w:rsidRPr="0008481A">
        <w:t>fråga om två lokala skattekontor tillhörande samma skattemy</w:t>
      </w:r>
      <w:r w:rsidRPr="0008481A">
        <w:t>n</w:t>
      </w:r>
      <w:r w:rsidRPr="0008481A">
        <w:t xml:space="preserve">dighet är att betrakta som självständiga verksamhetsgrenar i förhållande till varandra 99/00:393 </w:t>
      </w:r>
    </w:p>
    <w:p w:rsidR="003B3271" w:rsidRPr="0008481A" w:rsidRDefault="003B3271">
      <w:pPr>
        <w:pStyle w:val="PunktlistaTankstreck"/>
      </w:pPr>
      <w:r w:rsidRPr="0008481A">
        <w:t>ifrågasatt dataintrång och sekretessbrott hos allmän fö</w:t>
      </w:r>
      <w:r w:rsidRPr="0008481A">
        <w:t>r</w:t>
      </w:r>
      <w:r w:rsidRPr="0008481A">
        <w:t>säkringskassa 00/01:533</w:t>
      </w:r>
    </w:p>
    <w:p w:rsidR="003B3271" w:rsidRPr="0008481A" w:rsidRDefault="003B3271">
      <w:pPr>
        <w:pStyle w:val="PunktlistaTankstreck"/>
      </w:pPr>
      <w:r w:rsidRPr="0008481A">
        <w:t>försäkringskassas utlämnande av handlingar till u</w:t>
      </w:r>
      <w:r w:rsidRPr="0008481A">
        <w:t>t</w:t>
      </w:r>
      <w:r w:rsidRPr="0008481A">
        <w:t>ländsk myndighet 00/01:539</w:t>
      </w:r>
    </w:p>
    <w:p w:rsidR="003B3271" w:rsidRPr="0008481A" w:rsidRDefault="003B3271">
      <w:pPr>
        <w:pStyle w:val="PunktlistaTankstreck"/>
      </w:pPr>
      <w:r w:rsidRPr="0008481A">
        <w:t>läkare har utan medgivande lämnat ut sekretesskyddade uppgifter r</w:t>
      </w:r>
      <w:r w:rsidRPr="0008481A">
        <w:t>ö</w:t>
      </w:r>
      <w:r w:rsidRPr="0008481A">
        <w:t>rande patient och dennes make till polis och överförmyndare. – Fråga om l</w:t>
      </w:r>
      <w:r w:rsidRPr="0008481A">
        <w:t>ä</w:t>
      </w:r>
      <w:r w:rsidRPr="0008481A">
        <w:t>karen haft lagstöd för sina åtgärder 00/01:512</w:t>
      </w:r>
    </w:p>
    <w:p w:rsidR="003B3271" w:rsidRPr="0008481A" w:rsidRDefault="003B3271">
      <w:pPr>
        <w:pStyle w:val="PunktlistaTankstreck"/>
      </w:pPr>
      <w:r w:rsidRPr="0008481A">
        <w:t>ett på JO:s initiativ upptaget ärende mot Kriminalvårdsmyndigheten Örebro, anstalten Hinseberg, och Kriminalvårdsmyndigheten Kumla (sjuk</w:t>
      </w:r>
      <w:r w:rsidRPr="0008481A">
        <w:softHyphen/>
        <w:t>vårdsavdelningarna) angående hanteringen av vissa sekretessbelagda hand</w:t>
      </w:r>
      <w:r w:rsidRPr="0008481A">
        <w:softHyphen/>
        <w:t>lingar 00/01:518</w:t>
      </w:r>
    </w:p>
    <w:p w:rsidR="003B3271" w:rsidRPr="0008481A" w:rsidRDefault="003B3271">
      <w:pPr>
        <w:pStyle w:val="PunktlistaTankstreck"/>
      </w:pPr>
      <w:r w:rsidRPr="0008481A">
        <w:t>lämpligheten av att en länsarbetsnämnd i förväg ger företag möjlighet att efterge sekretess i ärenden om varsel enligt lagen (1974:13) om vissa anställningsfrämjande åtgärder 00/01:564</w:t>
      </w:r>
    </w:p>
    <w:p w:rsidR="003B3271" w:rsidRPr="0008481A" w:rsidRDefault="003B3271">
      <w:pPr>
        <w:pStyle w:val="Rubrik3"/>
      </w:pPr>
      <w:r w:rsidRPr="0008481A">
        <w:t>Service</w:t>
      </w:r>
    </w:p>
    <w:p w:rsidR="003B3271" w:rsidRPr="0008481A" w:rsidRDefault="003B3271">
      <w:pPr>
        <w:pStyle w:val="PunktlistaTankstreck"/>
      </w:pPr>
      <w:r w:rsidRPr="0008481A">
        <w:t xml:space="preserve">uttalanden rörande omfattningen av allmänhetens möjligheter att per telefon komma i direkt kontakt med en myndighets tjänstemän; särskilt fråga om skyldigheten att lämna ut tjänstemännens direktnummer 00/01:529 </w:t>
      </w:r>
    </w:p>
    <w:p w:rsidR="003B3271" w:rsidRPr="0008481A" w:rsidRDefault="003B3271">
      <w:pPr>
        <w:pStyle w:val="PunktlistaTankstreck"/>
      </w:pPr>
      <w:r w:rsidRPr="0008481A">
        <w:t>byggnadsnämnd har vidhållit ett krav på avgift enligt plan- och byggl</w:t>
      </w:r>
      <w:r w:rsidRPr="0008481A">
        <w:t>a</w:t>
      </w:r>
      <w:r w:rsidRPr="0008481A">
        <w:t>gen, på annan grund än vad länsstyrelsen vid överprövning underkänt och för ett tillstånd som inte utgjort förhandsbesked eller någon annan i lagen föreskriven form av beslut. Serviceskyldighet med avseende på an</w:t>
      </w:r>
      <w:r w:rsidRPr="0008481A">
        <w:softHyphen/>
        <w:t>sö</w:t>
      </w:r>
      <w:r w:rsidRPr="0008481A">
        <w:t>k</w:t>
      </w:r>
      <w:r w:rsidRPr="0008481A">
        <w:t>ningar om sådant tillstånd 00/01:484</w:t>
      </w:r>
    </w:p>
    <w:p w:rsidR="003B3271" w:rsidRPr="0008481A" w:rsidRDefault="003B3271">
      <w:pPr>
        <w:pStyle w:val="PunktlistaTankstreck"/>
      </w:pPr>
      <w:r w:rsidRPr="0008481A">
        <w:t>fråga om skyldighet för Aktiebolaget Svensk Bilprovning att vid kontroll</w:t>
      </w:r>
      <w:r w:rsidRPr="0008481A">
        <w:softHyphen/>
        <w:t>besiktningsförrättningar upplysa om ett alternativ till att efte</w:t>
      </w:r>
      <w:r w:rsidRPr="0008481A">
        <w:t>r</w:t>
      </w:r>
      <w:r w:rsidRPr="0008481A">
        <w:t>komma före</w:t>
      </w:r>
      <w:r w:rsidRPr="0008481A">
        <w:softHyphen/>
        <w:t>lägganden (provning vid verkstad av särskilt slag) – med hänsyn till ut</w:t>
      </w:r>
      <w:r w:rsidRPr="0008481A">
        <w:softHyphen/>
        <w:t>formningen av regeringsförfattningen på området och till föreskrifter i övrigt 00/01:476</w:t>
      </w:r>
    </w:p>
    <w:p w:rsidR="003B3271" w:rsidRPr="0008481A" w:rsidRDefault="003B3271">
      <w:pPr>
        <w:pStyle w:val="PunktlistaTankstreck"/>
      </w:pPr>
      <w:r w:rsidRPr="0008481A">
        <w:t>fråga rörande myndigheters skyldighet att vara tillgängliga via elektr</w:t>
      </w:r>
      <w:r w:rsidRPr="0008481A">
        <w:t>o</w:t>
      </w:r>
      <w:r w:rsidRPr="0008481A">
        <w:t>nisk post (e-post) 00/01:510</w:t>
      </w:r>
    </w:p>
    <w:p w:rsidR="003B3271" w:rsidRPr="0008481A" w:rsidRDefault="003B3271">
      <w:pPr>
        <w:pStyle w:val="PunktlistaTankstreck"/>
      </w:pPr>
      <w:r w:rsidRPr="0008481A">
        <w:t>olämpligheten av att en myndighet i beslutsliknande former tolkar (”förtydligar”) egna beslut 00/01:490</w:t>
      </w:r>
    </w:p>
    <w:p w:rsidR="003B3271" w:rsidRPr="0008481A" w:rsidRDefault="003B3271">
      <w:pPr>
        <w:pStyle w:val="Rubrik3"/>
      </w:pPr>
      <w:r w:rsidRPr="0008481A">
        <w:t>Skattemyndighet</w:t>
      </w:r>
    </w:p>
    <w:p w:rsidR="003B3271" w:rsidRPr="0008481A" w:rsidRDefault="003B3271">
      <w:pPr>
        <w:pStyle w:val="PunktlistaTankstreck"/>
      </w:pPr>
      <w:r w:rsidRPr="0008481A">
        <w:t>beslut om förlängt sekretesskydd skickat till fel person 99/00:229</w:t>
      </w:r>
    </w:p>
    <w:p w:rsidR="003B3271" w:rsidRPr="0008481A" w:rsidRDefault="003B3271">
      <w:pPr>
        <w:pStyle w:val="PunktlistaTankstreck"/>
        <w:rPr>
          <w:b/>
        </w:rPr>
      </w:pPr>
      <w:r w:rsidRPr="0008481A">
        <w:t>förfalskande av annan tjänstemans signatur 99/00:229</w:t>
      </w:r>
    </w:p>
    <w:p w:rsidR="003B3271" w:rsidRPr="0008481A" w:rsidRDefault="003B3271">
      <w:pPr>
        <w:pStyle w:val="Rubrik3"/>
      </w:pPr>
      <w:r w:rsidRPr="0008481A">
        <w:t>Skolledning</w:t>
      </w:r>
    </w:p>
    <w:p w:rsidR="003B3271" w:rsidRPr="0008481A" w:rsidRDefault="003B3271">
      <w:pPr>
        <w:pStyle w:val="PunktlistaTankstreck"/>
      </w:pPr>
      <w:r w:rsidRPr="0008481A">
        <w:t>fråga om rektor genom att neka politiskt ungdomsförbund att bedriva verksamhet i skola handlat grundlagsstridigt 99/00:418</w:t>
      </w:r>
    </w:p>
    <w:p w:rsidR="003B3271" w:rsidRPr="0008481A" w:rsidRDefault="003B3271">
      <w:pPr>
        <w:pStyle w:val="PunktlistaTankstreck"/>
      </w:pPr>
      <w:r w:rsidRPr="0008481A">
        <w:t>lärare har genom en elev förmedlat ett brev till dennes målsman inne</w:t>
      </w:r>
      <w:r w:rsidRPr="0008481A">
        <w:softHyphen/>
        <w:t>hållande känsliga uppgifter om eleven. Förfarandet har ansetts olämpligt 99/00:360</w:t>
      </w:r>
    </w:p>
    <w:p w:rsidR="003B3271" w:rsidRPr="0008481A" w:rsidRDefault="003B3271">
      <w:pPr>
        <w:pStyle w:val="PunktlistaTankstreck"/>
      </w:pPr>
      <w:r w:rsidRPr="0008481A">
        <w:t>rektor har förbjudit personalen att använda skolans interna postdistri-bueringssystem (postfack) för utdelning av privata meddelanden. – Fråga om skolan har rätt att ingripa mot spridning av politisk pr</w:t>
      </w:r>
      <w:r w:rsidRPr="0008481A">
        <w:t>o</w:t>
      </w:r>
      <w:r w:rsidRPr="0008481A">
        <w:t>paganda som läggs i postfacken 99/00:422</w:t>
      </w:r>
    </w:p>
    <w:p w:rsidR="003B3271" w:rsidRPr="0008481A" w:rsidRDefault="003B3271">
      <w:pPr>
        <w:pStyle w:val="PunktlistaTankstreck"/>
      </w:pPr>
      <w:r w:rsidRPr="0008481A">
        <w:t>kritik mot skola för användning av s.k. kontrakt i mobbningsfall. Även kritik mot personal som utpekat en elev som ”mobbare” utan att ha til</w:t>
      </w:r>
      <w:r w:rsidRPr="0008481A">
        <w:t>l</w:t>
      </w:r>
      <w:r w:rsidRPr="0008481A">
        <w:t>räckligt underlag härför 99/00:350</w:t>
      </w:r>
    </w:p>
    <w:p w:rsidR="003B3271" w:rsidRPr="0008481A" w:rsidRDefault="003B3271">
      <w:pPr>
        <w:pStyle w:val="PunktlistaTankstreck"/>
      </w:pPr>
      <w:r w:rsidRPr="0008481A">
        <w:t>förvaltningschef har utfärdat riktlinjer rörande lärares och elevers kontak</w:t>
      </w:r>
      <w:r w:rsidRPr="0008481A">
        <w:softHyphen/>
        <w:t>ter med massmedia. – Fråga om förvaltningschefen härig</w:t>
      </w:r>
      <w:r w:rsidRPr="0008481A">
        <w:t>e</w:t>
      </w:r>
      <w:r w:rsidRPr="0008481A">
        <w:t>nom kränkt den enskildes meddelar- och yttrandefrihet 00/01:581</w:t>
      </w:r>
    </w:p>
    <w:p w:rsidR="003B3271" w:rsidRPr="0008481A" w:rsidRDefault="003B3271">
      <w:pPr>
        <w:pStyle w:val="PunktlistaTankstreck"/>
      </w:pPr>
      <w:r w:rsidRPr="0008481A">
        <w:t>kritik mot barn- och grundskolenämnd för underlåtenhet att individuellt pröva en elevs rätt till fortsatt skolskjuts m.m. 00/01:459</w:t>
      </w:r>
    </w:p>
    <w:p w:rsidR="003B3271" w:rsidRPr="0008481A" w:rsidRDefault="003B3271">
      <w:pPr>
        <w:pStyle w:val="PunktlistaTankstreck"/>
      </w:pPr>
      <w:r w:rsidRPr="0008481A">
        <w:t>kritik mot kommunal vuxenutbildning (komvux) bl.a. för att utan rätt</w:t>
      </w:r>
      <w:r w:rsidRPr="0008481A">
        <w:t>s</w:t>
      </w:r>
      <w:r w:rsidRPr="0008481A">
        <w:t>ligt stöd ta ut avgifter av eleverna för stenciler 00/01:456</w:t>
      </w:r>
    </w:p>
    <w:p w:rsidR="003B3271" w:rsidRPr="0008481A" w:rsidRDefault="003B3271">
      <w:pPr>
        <w:pStyle w:val="PunktlistaTankstreck"/>
      </w:pPr>
      <w:r w:rsidRPr="0008481A">
        <w:t>kritik mot bl.a. grundskola för bristande åtgärder vad gäller skolelevers fullgörande av skolplikt 00/01:466</w:t>
      </w:r>
    </w:p>
    <w:p w:rsidR="003B3271" w:rsidRPr="0008481A" w:rsidRDefault="003B3271">
      <w:pPr>
        <w:pStyle w:val="PunktlistaTankstreck"/>
      </w:pPr>
      <w:r w:rsidRPr="0008481A">
        <w:t>kritik mot en skola som mottagit ett barn som elev under falskt namn och utan att känna till eller försöka få kännedom om hennes riktiga person</w:t>
      </w:r>
      <w:r w:rsidRPr="0008481A">
        <w:softHyphen/>
        <w:t>uppgifter. Kritik även för att skolan inte kontrollerade uppgiften om vem som var vårdnadshavare för barnet 00/01:429</w:t>
      </w:r>
    </w:p>
    <w:p w:rsidR="003B3271" w:rsidRPr="0008481A" w:rsidRDefault="003B3271">
      <w:pPr>
        <w:pStyle w:val="PunktlistaTankstreck"/>
      </w:pPr>
      <w:r w:rsidRPr="0008481A">
        <w:t>handläggningen av ett ärende rörande utökad tid inom barnomsorgen, bl.a. fråga om sökanden begärt beslut i saken eller endast information. – Kritik mot barn- och ungdomsnämnden för bl.a. dröjsmål med att fatta beslut i ärendet 00/01:463</w:t>
      </w:r>
    </w:p>
    <w:p w:rsidR="003B3271" w:rsidRPr="0008481A" w:rsidRDefault="003B3271">
      <w:pPr>
        <w:pStyle w:val="Rubrik3"/>
      </w:pPr>
      <w:r w:rsidRPr="0008481A">
        <w:t>Socialförsäkring</w:t>
      </w:r>
    </w:p>
    <w:p w:rsidR="003B3271" w:rsidRPr="0008481A" w:rsidRDefault="003B3271">
      <w:pPr>
        <w:pStyle w:val="PunktlistaTankstreck"/>
      </w:pPr>
      <w:r w:rsidRPr="0008481A">
        <w:t>underlåtenhet att fatta beslut 99/00:294</w:t>
      </w:r>
    </w:p>
    <w:p w:rsidR="003B3271" w:rsidRPr="0008481A" w:rsidRDefault="003B3271">
      <w:pPr>
        <w:pStyle w:val="PunktlistaTankstreck"/>
        <w:rPr>
          <w:b/>
        </w:rPr>
      </w:pPr>
      <w:r w:rsidRPr="0008481A">
        <w:t>underlåtenhet att fatta beslut 99/00:295</w:t>
      </w:r>
    </w:p>
    <w:p w:rsidR="003B3271" w:rsidRPr="0008481A" w:rsidRDefault="003B3271">
      <w:pPr>
        <w:pStyle w:val="PunktlistaTankstreck"/>
      </w:pPr>
      <w:r w:rsidRPr="0008481A">
        <w:t>avslag på begäran om hörande av annan än part 99/00:297</w:t>
      </w:r>
    </w:p>
    <w:p w:rsidR="003B3271" w:rsidRPr="0008481A" w:rsidRDefault="003B3271">
      <w:pPr>
        <w:pStyle w:val="PunktlistaTankstreck"/>
      </w:pPr>
      <w:r w:rsidRPr="0008481A">
        <w:t>underlåtenhet att fatta beslut i ärende om tandvårdsersättning 99/00:299</w:t>
      </w:r>
    </w:p>
    <w:p w:rsidR="003B3271" w:rsidRPr="0008481A" w:rsidRDefault="003B3271">
      <w:pPr>
        <w:pStyle w:val="PunktlistaTankstreck"/>
      </w:pPr>
      <w:r w:rsidRPr="0008481A">
        <w:t>försäkringskassa har inte besvarat begäran om anstånd 99/00:300</w:t>
      </w:r>
    </w:p>
    <w:p w:rsidR="003B3271" w:rsidRPr="0008481A" w:rsidRDefault="003B3271">
      <w:pPr>
        <w:pStyle w:val="PunktlistaTankstreck"/>
      </w:pPr>
      <w:r w:rsidRPr="0008481A">
        <w:t>dröjsmål med underrättelse om beslut 99/00:300</w:t>
      </w:r>
    </w:p>
    <w:p w:rsidR="003B3271" w:rsidRPr="0008481A" w:rsidRDefault="003B3271">
      <w:pPr>
        <w:pStyle w:val="PunktlistaTankstreck"/>
      </w:pPr>
      <w:r w:rsidRPr="0008481A">
        <w:t>partsinsyn 99/00:300</w:t>
      </w:r>
    </w:p>
    <w:p w:rsidR="003B3271" w:rsidRPr="0008481A" w:rsidRDefault="003B3271">
      <w:pPr>
        <w:pStyle w:val="PunktlistaTankstreck"/>
      </w:pPr>
      <w:r w:rsidRPr="0008481A">
        <w:t>försäkringskassas beslut och underrättelser därom 99/00:304</w:t>
      </w:r>
    </w:p>
    <w:p w:rsidR="003B3271" w:rsidRPr="0008481A" w:rsidRDefault="003B3271">
      <w:pPr>
        <w:pStyle w:val="PunktlistaTankstreck"/>
      </w:pPr>
      <w:r w:rsidRPr="0008481A">
        <w:t>ändring av gynnande beslut 99/00:312</w:t>
      </w:r>
    </w:p>
    <w:p w:rsidR="003B3271" w:rsidRPr="0008481A" w:rsidRDefault="003B3271">
      <w:pPr>
        <w:pStyle w:val="PunktlistaTankstreck"/>
      </w:pPr>
      <w:r w:rsidRPr="0008481A">
        <w:t>dröjsmål med omprövning i avvaktan på överklagande 99/00:315</w:t>
      </w:r>
    </w:p>
    <w:p w:rsidR="003B3271" w:rsidRPr="0008481A" w:rsidRDefault="003B3271">
      <w:pPr>
        <w:pStyle w:val="PunktlistaTankstreck"/>
      </w:pPr>
      <w:r w:rsidRPr="0008481A">
        <w:t>underlåtenhet att vidarebefordra överklagande 99/00:316</w:t>
      </w:r>
    </w:p>
    <w:p w:rsidR="003B3271" w:rsidRPr="0008481A" w:rsidRDefault="003B3271">
      <w:pPr>
        <w:pStyle w:val="PunktlistaTankstreck"/>
      </w:pPr>
      <w:r w:rsidRPr="0008481A">
        <w:t>socialförsäkringsnämnds behörighet att fatta beslut i tjänstemannaäre</w:t>
      </w:r>
      <w:r w:rsidRPr="0008481A">
        <w:t>n</w:t>
      </w:r>
      <w:r w:rsidRPr="0008481A">
        <w:t>de 99/00:316</w:t>
      </w:r>
    </w:p>
    <w:p w:rsidR="003B3271" w:rsidRPr="0008481A" w:rsidRDefault="003B3271">
      <w:pPr>
        <w:pStyle w:val="PunktlistaTankstreck"/>
      </w:pPr>
      <w:r w:rsidRPr="0008481A">
        <w:t>delgivning av omprövningsbeslut enligt 30 § lagen om underhållsstöd 99/00:322</w:t>
      </w:r>
    </w:p>
    <w:p w:rsidR="003B3271" w:rsidRPr="0008481A" w:rsidRDefault="003B3271">
      <w:pPr>
        <w:pStyle w:val="PunktlistaTankstreck"/>
      </w:pPr>
      <w:r w:rsidRPr="0008481A">
        <w:t>skyndsamhetskravet vid partsinsyn 99/00:332</w:t>
      </w:r>
    </w:p>
    <w:p w:rsidR="003B3271" w:rsidRPr="0008481A" w:rsidRDefault="003B3271">
      <w:pPr>
        <w:pStyle w:val="PunktlistaTankstreck"/>
      </w:pPr>
      <w:r w:rsidRPr="0008481A">
        <w:t>underlåtenhet att fatta beslut i fråga om anstånd eftersom ans</w:t>
      </w:r>
      <w:r w:rsidRPr="0008481A">
        <w:t>ö</w:t>
      </w:r>
      <w:r w:rsidRPr="0008481A">
        <w:t>kan inte gjorts på fastställd blankett 99/00:330</w:t>
      </w:r>
    </w:p>
    <w:p w:rsidR="003B3271" w:rsidRPr="0008481A" w:rsidRDefault="003B3271">
      <w:pPr>
        <w:pStyle w:val="PunktlistaTankstreck"/>
      </w:pPr>
      <w:r w:rsidRPr="0008481A">
        <w:t>tjänstemans överskridande av behörighet 00/01:363</w:t>
      </w:r>
    </w:p>
    <w:p w:rsidR="003B3271" w:rsidRPr="0008481A" w:rsidRDefault="003B3271">
      <w:pPr>
        <w:pStyle w:val="PunktlistaTankstreck"/>
      </w:pPr>
      <w:r w:rsidRPr="0008481A">
        <w:t>obesvarade förfrågningar m.m. med anledning av att en akt förkommit 00/01:366</w:t>
      </w:r>
    </w:p>
    <w:p w:rsidR="003B3271" w:rsidRPr="0008481A" w:rsidRDefault="003B3271">
      <w:pPr>
        <w:pStyle w:val="PunktlistaTankstreck"/>
      </w:pPr>
      <w:r w:rsidRPr="0008481A">
        <w:t>flera fel i samma ärende 00/01:367</w:t>
      </w:r>
    </w:p>
    <w:p w:rsidR="003B3271" w:rsidRPr="0008481A" w:rsidRDefault="003B3271">
      <w:pPr>
        <w:pStyle w:val="PunktlistaTankstreck"/>
      </w:pPr>
      <w:r w:rsidRPr="0008481A">
        <w:t>underlåtenhet att pröva en anmälan rörande statligt pe</w:t>
      </w:r>
      <w:r w:rsidRPr="0008481A">
        <w:t>r</w:t>
      </w:r>
      <w:r w:rsidRPr="0008481A">
        <w:t>sonskadeskydd 00/01:372</w:t>
      </w:r>
    </w:p>
    <w:p w:rsidR="003B3271" w:rsidRPr="0008481A" w:rsidRDefault="003B3271">
      <w:pPr>
        <w:pStyle w:val="PunktlistaTankstreck"/>
      </w:pPr>
      <w:r w:rsidRPr="0008481A">
        <w:t>handläggning av ärenden enligt 17 kap. 1 § andra styc</w:t>
      </w:r>
      <w:r w:rsidRPr="0008481A">
        <w:t>k</w:t>
      </w:r>
      <w:r w:rsidRPr="0008481A">
        <w:t>et lagen AFL 00/01:375</w:t>
      </w:r>
    </w:p>
    <w:p w:rsidR="003B3271" w:rsidRPr="0008481A" w:rsidRDefault="003B3271">
      <w:pPr>
        <w:pStyle w:val="PunktlistaTankstreck"/>
      </w:pPr>
      <w:r w:rsidRPr="0008481A">
        <w:t>kommunicering i ärende om förtidspension/sjukbidrag 00/01:380</w:t>
      </w:r>
    </w:p>
    <w:p w:rsidR="003B3271" w:rsidRPr="0008481A" w:rsidRDefault="003B3271">
      <w:pPr>
        <w:pStyle w:val="PunktlistaTankstreck"/>
      </w:pPr>
      <w:r w:rsidRPr="0008481A">
        <w:t>ansökan av underårig om förlängt underhållsstöd 00/01:384</w:t>
      </w:r>
    </w:p>
    <w:p w:rsidR="003B3271" w:rsidRPr="0008481A" w:rsidRDefault="003B3271">
      <w:pPr>
        <w:pStyle w:val="PunktlistaTankstreck"/>
      </w:pPr>
      <w:r w:rsidRPr="0008481A">
        <w:t>utredningsskyldighet i ärende om underhållsstöd 00/01:388</w:t>
      </w:r>
    </w:p>
    <w:p w:rsidR="003B3271" w:rsidRPr="0008481A" w:rsidRDefault="003B3271">
      <w:pPr>
        <w:pStyle w:val="PunktlistaTankstreck"/>
      </w:pPr>
      <w:r w:rsidRPr="0008481A">
        <w:t xml:space="preserve">kommunicering i ett ärende om bostadsbidrag 00/01:391 </w:t>
      </w:r>
    </w:p>
    <w:p w:rsidR="003B3271" w:rsidRPr="0008481A" w:rsidRDefault="003B3271">
      <w:pPr>
        <w:pStyle w:val="PunktlistaTankstreck"/>
      </w:pPr>
      <w:r w:rsidRPr="0008481A">
        <w:t>utformningen av en kommuniceringsskrivelse 00/01:392</w:t>
      </w:r>
    </w:p>
    <w:p w:rsidR="003B3271" w:rsidRPr="0008481A" w:rsidRDefault="003B3271">
      <w:pPr>
        <w:pStyle w:val="PunktlistaTankstreck"/>
      </w:pPr>
      <w:r w:rsidRPr="0008481A">
        <w:t>utformningen av provisoriskt beslut om sjukbidrag 00/01:394</w:t>
      </w:r>
    </w:p>
    <w:p w:rsidR="003B3271" w:rsidRPr="0008481A" w:rsidRDefault="003B3271">
      <w:pPr>
        <w:pStyle w:val="PunktlistaTankstreck"/>
      </w:pPr>
      <w:r w:rsidRPr="0008481A">
        <w:t>dröjsmål med att fatta beslut i ärende om handikappe</w:t>
      </w:r>
      <w:r w:rsidRPr="0008481A">
        <w:t>r</w:t>
      </w:r>
      <w:r w:rsidRPr="0008481A">
        <w:t>sättning 00/01:396</w:t>
      </w:r>
    </w:p>
    <w:p w:rsidR="003B3271" w:rsidRPr="0008481A" w:rsidRDefault="003B3271">
      <w:pPr>
        <w:pStyle w:val="PunktlistaTankstreck"/>
      </w:pPr>
      <w:r w:rsidRPr="0008481A">
        <w:t>återbetalning av bidragsbelopp i ärende om underhållsstöd 00/01:399</w:t>
      </w:r>
    </w:p>
    <w:p w:rsidR="003B3271" w:rsidRPr="0008481A" w:rsidRDefault="003B3271">
      <w:pPr>
        <w:pStyle w:val="PunktlistaTankstreck"/>
      </w:pPr>
      <w:r w:rsidRPr="0008481A">
        <w:t>utformningen av en underrättelse om ett av socialförsä</w:t>
      </w:r>
      <w:r w:rsidRPr="0008481A">
        <w:t>k</w:t>
      </w:r>
      <w:r w:rsidRPr="0008481A">
        <w:t>ringsnämnden fattat beslut 00/01:402</w:t>
      </w:r>
    </w:p>
    <w:p w:rsidR="003B3271" w:rsidRPr="0008481A" w:rsidRDefault="003B3271">
      <w:pPr>
        <w:pStyle w:val="PunktlistaTankstreck"/>
      </w:pPr>
      <w:r w:rsidRPr="0008481A">
        <w:t>dröjsmål med expediering av beslut 00/01:403</w:t>
      </w:r>
    </w:p>
    <w:p w:rsidR="003B3271" w:rsidRPr="0008481A" w:rsidRDefault="003B3271">
      <w:pPr>
        <w:pStyle w:val="PunktlistaTankstreck"/>
      </w:pPr>
      <w:r w:rsidRPr="0008481A">
        <w:t>rutiner för utsändande av beslut 00/01:406</w:t>
      </w:r>
    </w:p>
    <w:p w:rsidR="003B3271" w:rsidRPr="0008481A" w:rsidRDefault="003B3271">
      <w:pPr>
        <w:pStyle w:val="PunktlistaTankstreck"/>
      </w:pPr>
      <w:r w:rsidRPr="0008481A">
        <w:t>långsam handläggning av omprövningsärende 00/01:409</w:t>
      </w:r>
    </w:p>
    <w:p w:rsidR="003B3271" w:rsidRPr="0008481A" w:rsidRDefault="003B3271">
      <w:pPr>
        <w:pStyle w:val="PunktlistaTankstreck"/>
      </w:pPr>
      <w:r w:rsidRPr="0008481A">
        <w:t>underlåtenhet att vidarebefordra överklagande 00/01:411</w:t>
      </w:r>
    </w:p>
    <w:p w:rsidR="003B3271" w:rsidRPr="0008481A" w:rsidRDefault="003B3271">
      <w:pPr>
        <w:pStyle w:val="PunktlistaTankstreck"/>
      </w:pPr>
      <w:r w:rsidRPr="0008481A">
        <w:t>dröjsmål med verkställighet av länsrätts dom 00/01:417</w:t>
      </w:r>
    </w:p>
    <w:p w:rsidR="003B3271" w:rsidRPr="0008481A" w:rsidRDefault="003B3271">
      <w:pPr>
        <w:pStyle w:val="PunktlistaTankstreck"/>
      </w:pPr>
      <w:r w:rsidRPr="0008481A">
        <w:t>Riksförsäkringsverkets dröjsmål att ändra Allmänna råd 00/01:419</w:t>
      </w:r>
    </w:p>
    <w:p w:rsidR="003B3271" w:rsidRPr="0008481A" w:rsidRDefault="003B3271">
      <w:pPr>
        <w:pStyle w:val="PunktlistaTankstreck"/>
      </w:pPr>
      <w:r w:rsidRPr="0008481A">
        <w:t>ifrågasatt dataintrång och sekretessbrott hos allmän fö</w:t>
      </w:r>
      <w:r w:rsidRPr="0008481A">
        <w:t>r</w:t>
      </w:r>
      <w:r w:rsidRPr="0008481A">
        <w:t>säkringskassa 00/01:533</w:t>
      </w:r>
    </w:p>
    <w:p w:rsidR="003B3271" w:rsidRPr="0008481A" w:rsidRDefault="003B3271">
      <w:pPr>
        <w:pStyle w:val="PunktlistaTankstreck"/>
      </w:pPr>
      <w:r w:rsidRPr="0008481A">
        <w:t>försäkringskassas utlämnande av handlingar till u</w:t>
      </w:r>
      <w:r w:rsidRPr="0008481A">
        <w:t>t</w:t>
      </w:r>
      <w:r w:rsidRPr="0008481A">
        <w:t>ländsk myndighet 00/01:539</w:t>
      </w:r>
    </w:p>
    <w:p w:rsidR="003B3271" w:rsidRPr="0008481A" w:rsidRDefault="003B3271">
      <w:pPr>
        <w:pStyle w:val="Rubrik3"/>
      </w:pPr>
      <w:r w:rsidRPr="0008481A">
        <w:t>Socialtjänsten</w:t>
      </w:r>
    </w:p>
    <w:p w:rsidR="003B3271" w:rsidRPr="0008481A" w:rsidRDefault="003B3271">
      <w:pPr>
        <w:pStyle w:val="Rubrik3"/>
        <w:spacing w:before="240"/>
      </w:pPr>
      <w:r w:rsidRPr="0008481A">
        <w:t>I Socialtjänstlagen (SoL)</w:t>
      </w:r>
    </w:p>
    <w:p w:rsidR="003B3271" w:rsidRPr="0008481A" w:rsidRDefault="003B3271">
      <w:pPr>
        <w:pStyle w:val="Rubrik4"/>
        <w:spacing w:before="240"/>
      </w:pPr>
      <w:r w:rsidRPr="0008481A">
        <w:t>Allmänna riktlinjer för socialnämndens verksamhet</w:t>
      </w:r>
    </w:p>
    <w:p w:rsidR="003B3271" w:rsidRPr="0008481A" w:rsidRDefault="003B3271">
      <w:pPr>
        <w:pStyle w:val="PunktlistaTankstreck"/>
      </w:pPr>
      <w:r w:rsidRPr="0008481A">
        <w:t>en socialnämnd har möjlighet att efter en anmälan enligt 71 § SoL ta kontakt och diskutera anmälan med barnets vårdnadshavare utan att inleda en utredning enligt 50 § SoL 99/00:238</w:t>
      </w:r>
    </w:p>
    <w:p w:rsidR="003B3271" w:rsidRPr="0008481A" w:rsidRDefault="003B3271">
      <w:pPr>
        <w:pStyle w:val="PunktlistaTankstreck"/>
      </w:pPr>
      <w:r w:rsidRPr="0008481A">
        <w:t>fråga om lämpligheten, särskilt från sekretessynpunkt, av att familjeråd</w:t>
      </w:r>
      <w:r w:rsidRPr="0008481A">
        <w:softHyphen/>
        <w:t xml:space="preserve">givning enligt bestämmelserna i 12 a § socialtjänstlagen (1980:620) bedrivs med anlitande av socialsekreterare som tjänstgör inom kommunens individinriktade socialtjänst i övrigt 99/00:272 </w:t>
      </w:r>
    </w:p>
    <w:p w:rsidR="003B3271" w:rsidRPr="0008481A" w:rsidRDefault="003B3271">
      <w:pPr>
        <w:pStyle w:val="PunktlistaTankstreck"/>
      </w:pPr>
      <w:r w:rsidRPr="0008481A">
        <w:t>fråga om en socialnämnds ansvar för personer med psykiska funktion</w:t>
      </w:r>
      <w:r w:rsidRPr="0008481A">
        <w:t>s</w:t>
      </w:r>
      <w:r w:rsidRPr="0008481A">
        <w:softHyphen/>
        <w:t>hinder 00/01:297</w:t>
      </w:r>
    </w:p>
    <w:p w:rsidR="003B3271" w:rsidRPr="0008481A" w:rsidRDefault="003B3271">
      <w:pPr>
        <w:pStyle w:val="PunktlistaTankstreck"/>
      </w:pPr>
      <w:r w:rsidRPr="0008481A">
        <w:t>om en ansökan om bistånd är oklar skall socialnämnden försöka kla</w:t>
      </w:r>
      <w:r w:rsidRPr="0008481A">
        <w:t>r</w:t>
      </w:r>
      <w:r w:rsidRPr="0008481A">
        <w:t>lägga vad sökanden begär bistånd till 00/01:292</w:t>
      </w:r>
    </w:p>
    <w:p w:rsidR="003B3271" w:rsidRPr="0008481A" w:rsidRDefault="003B3271">
      <w:pPr>
        <w:pStyle w:val="PunktlistaTankstreck"/>
      </w:pPr>
      <w:r w:rsidRPr="0008481A">
        <w:t>en socialförvaltning kan inte neka den som har ett s.k. egnamede</w:t>
      </w:r>
      <w:r w:rsidRPr="0008481A">
        <w:t>l</w:t>
      </w:r>
      <w:r w:rsidRPr="0008481A">
        <w:t>skonto att göra ett uttag av pengar som finns på kontot 00/01:290</w:t>
      </w:r>
    </w:p>
    <w:p w:rsidR="003B3271" w:rsidRPr="0008481A" w:rsidRDefault="003B3271">
      <w:pPr>
        <w:pStyle w:val="PunktlistaTankstreck"/>
      </w:pPr>
      <w:r w:rsidRPr="0008481A">
        <w:t>principen om helhetssyn skall gälla vid handläggningen av ett ärende inom socialtjänsten 00/01:301</w:t>
      </w:r>
    </w:p>
    <w:p w:rsidR="003B3271" w:rsidRPr="0008481A" w:rsidRDefault="003B3271">
      <w:pPr>
        <w:pStyle w:val="PunktlistaTankstreck"/>
      </w:pPr>
      <w:r w:rsidRPr="0008481A">
        <w:t>fråga om en socialnämnd har iakttagit bl.a. föreskrifterna i 33 § SoL när nämnden har beviljat bistånd mot återbetalning 00/01:293</w:t>
      </w:r>
    </w:p>
    <w:p w:rsidR="003B3271" w:rsidRPr="0008481A" w:rsidRDefault="003B3271">
      <w:pPr>
        <w:pStyle w:val="PunktlistaTankstreck"/>
      </w:pPr>
      <w:r w:rsidRPr="0008481A">
        <w:t>fråga om socialtjänstens möjlighet att, vid tvist mellan två föräldrar, medverka när den ene föräldern avser att hämta ett gemensamt barn från den andre föräldern 00/01:285</w:t>
      </w:r>
    </w:p>
    <w:p w:rsidR="003B3271" w:rsidRPr="0008481A" w:rsidRDefault="003B3271">
      <w:pPr>
        <w:pStyle w:val="Rubrik4"/>
      </w:pPr>
      <w:r w:rsidRPr="0008481A">
        <w:t>Omsorger om barn och ungdom</w:t>
      </w:r>
    </w:p>
    <w:p w:rsidR="003B3271" w:rsidRPr="0008481A" w:rsidRDefault="003B3271">
      <w:pPr>
        <w:pStyle w:val="PunktlistaTankstreck"/>
      </w:pPr>
      <w:r w:rsidRPr="0008481A">
        <w:t xml:space="preserve">fråga om när en socialnämnd skall underrätta vårdnadshavare om att en </w:t>
      </w:r>
      <w:r w:rsidRPr="0008481A">
        <w:br/>
        <w:t>s.k. barnavårdsutredning har inletts 99/00:243</w:t>
      </w:r>
    </w:p>
    <w:p w:rsidR="003B3271" w:rsidRPr="0008481A" w:rsidRDefault="003B3271">
      <w:pPr>
        <w:pStyle w:val="PunktlistaTankstreck"/>
      </w:pPr>
      <w:r w:rsidRPr="0008481A">
        <w:t>socialnämnds skyldighet att verka för att en förälder upprätthåller ko</w:t>
      </w:r>
      <w:r w:rsidRPr="0008481A">
        <w:t>n</w:t>
      </w:r>
      <w:r w:rsidRPr="0008481A">
        <w:t>takt med sitt barn som har beretts vård enligt LVU 99/00:268</w:t>
      </w:r>
    </w:p>
    <w:p w:rsidR="003B3271" w:rsidRPr="0008481A" w:rsidRDefault="003B3271">
      <w:pPr>
        <w:pStyle w:val="PunktlistaTankstreck"/>
      </w:pPr>
      <w:r w:rsidRPr="0008481A">
        <w:t>kritik mot bl.a. socialförvaltning för bristande åtgärder vad gäller skol</w:t>
      </w:r>
      <w:r w:rsidRPr="0008481A">
        <w:softHyphen/>
        <w:t>elevers fullgörande av skolplikt 00/01:466</w:t>
      </w:r>
    </w:p>
    <w:p w:rsidR="003B3271" w:rsidRPr="0008481A" w:rsidRDefault="003B3271">
      <w:pPr>
        <w:pStyle w:val="Rubrik4"/>
      </w:pPr>
      <w:r w:rsidRPr="0008481A">
        <w:t>Vård i familjehem och i hem för vård eller boende</w:t>
      </w:r>
    </w:p>
    <w:p w:rsidR="003B3271" w:rsidRPr="0008481A" w:rsidRDefault="003B3271">
      <w:pPr>
        <w:pStyle w:val="PunktlistaTankstreck"/>
      </w:pPr>
      <w:r w:rsidRPr="0008481A">
        <w:t>socialnämnds skyldighet att verka för att en förälder upprätthåller ko</w:t>
      </w:r>
      <w:r w:rsidRPr="0008481A">
        <w:t>n</w:t>
      </w:r>
      <w:r w:rsidRPr="0008481A">
        <w:t>takt med sitt barn som har beretts vård enligt LVU 99/00:268</w:t>
      </w:r>
    </w:p>
    <w:p w:rsidR="003B3271" w:rsidRPr="0008481A" w:rsidRDefault="003B3271">
      <w:pPr>
        <w:pStyle w:val="Rubrik4"/>
      </w:pPr>
      <w:r w:rsidRPr="0008481A">
        <w:t>Handläggning av ärende m.m.</w:t>
      </w:r>
    </w:p>
    <w:p w:rsidR="003B3271" w:rsidRPr="0008481A" w:rsidRDefault="003B3271">
      <w:pPr>
        <w:pStyle w:val="PunktlistaTankstreck"/>
      </w:pPr>
      <w:r w:rsidRPr="0008481A">
        <w:t>fråga om socialnämnds möjlighet att ändra ett beslut enligt 37 § SoL om att efterge den enskildes ersättningsskyldighet för vistelse på b</w:t>
      </w:r>
      <w:r w:rsidRPr="0008481A">
        <w:t>e</w:t>
      </w:r>
      <w:r w:rsidRPr="0008481A">
        <w:t>handlings</w:t>
      </w:r>
      <w:r w:rsidRPr="0008481A">
        <w:softHyphen/>
        <w:t>hem 99/00:231</w:t>
      </w:r>
    </w:p>
    <w:p w:rsidR="003B3271" w:rsidRPr="0008481A" w:rsidRDefault="003B3271">
      <w:pPr>
        <w:pStyle w:val="PunktlistaTankstreck"/>
      </w:pPr>
      <w:r w:rsidRPr="0008481A">
        <w:t>det är fel att ange att ett beslut om avslag på en ansökan om bistånd e</w:t>
      </w:r>
      <w:r w:rsidRPr="0008481A">
        <w:t>n</w:t>
      </w:r>
      <w:r w:rsidRPr="0008481A">
        <w:t>ligt 6 g § SoL inte kan överklagas eftersom beslutet kan bli föremål för prövning enligt reglerna om laglighetsprövning i 10 kap. komm</w:t>
      </w:r>
      <w:r w:rsidRPr="0008481A">
        <w:t>u</w:t>
      </w:r>
      <w:r w:rsidRPr="0008481A">
        <w:t xml:space="preserve">nallagen. Av ett beslut </w:t>
      </w:r>
      <w:r w:rsidRPr="0008481A">
        <w:tab/>
        <w:t>att avslå en ansökan om ekonomiskt bistånd måste det tydligt framgå om prövningen har skett enligt 6 b § eller 6 g § SoL 99/00:235</w:t>
      </w:r>
    </w:p>
    <w:p w:rsidR="003B3271" w:rsidRPr="0008481A" w:rsidRDefault="003B3271">
      <w:pPr>
        <w:pStyle w:val="PunktlistaTankstreck"/>
      </w:pPr>
      <w:r w:rsidRPr="0008481A">
        <w:t>en socialnämnd har möjlighet att efter en anmälan enligt 71 § SoL ta kontakt och diskutera anmälan med barnets vårdnadshavare utan att inleda en utredning enligt 50 § SoL 99/00:238</w:t>
      </w:r>
    </w:p>
    <w:p w:rsidR="003B3271" w:rsidRPr="0008481A" w:rsidRDefault="003B3271">
      <w:pPr>
        <w:pStyle w:val="PunktlistaTankstreck"/>
      </w:pPr>
      <w:r w:rsidRPr="0008481A">
        <w:t>en länsstyrelse uttalade i ett tillsynsbeslut att ett allvarligt fel inträffat vid en socialnämnds handläggning av ett biståndsärende. På grund av brister i socialförvaltningens rutiner föranledde länsstyrelsens beslut inte någon åtgärd från förvaltningens sida 99/00:241</w:t>
      </w:r>
    </w:p>
    <w:p w:rsidR="003B3271" w:rsidRPr="0008481A" w:rsidRDefault="003B3271">
      <w:pPr>
        <w:pStyle w:val="PunktlistaTankstreck"/>
      </w:pPr>
      <w:r w:rsidRPr="0008481A">
        <w:t xml:space="preserve">fråga om när en socialnämnd skall underrätta vårdnadshavare om att en </w:t>
      </w:r>
      <w:r w:rsidRPr="0008481A">
        <w:br/>
        <w:t>s.k. barnavårdsutredning har inletts 99/00:243</w:t>
      </w:r>
    </w:p>
    <w:p w:rsidR="003B3271" w:rsidRPr="0008481A" w:rsidRDefault="003B3271">
      <w:pPr>
        <w:pStyle w:val="PunktlistaTankstreck"/>
      </w:pPr>
      <w:r w:rsidRPr="0008481A">
        <w:t>handläggning av ett ärende rörande återbetalning av bistånd 99/00:248</w:t>
      </w:r>
    </w:p>
    <w:p w:rsidR="003B3271" w:rsidRPr="0008481A" w:rsidRDefault="003B3271">
      <w:pPr>
        <w:pStyle w:val="PunktlistaTankstreck"/>
      </w:pPr>
      <w:r w:rsidRPr="0008481A">
        <w:t>om en vårdnadsutredning blir fördröjd måste utredaren självmant u</w:t>
      </w:r>
      <w:r w:rsidRPr="0008481A">
        <w:t>n</w:t>
      </w:r>
      <w:r w:rsidRPr="0008481A">
        <w:t>der</w:t>
      </w:r>
      <w:r w:rsidRPr="0008481A">
        <w:softHyphen/>
        <w:t>rätta tingsrätten om detta 99/00:280</w:t>
      </w:r>
    </w:p>
    <w:p w:rsidR="003B3271" w:rsidRPr="0008481A" w:rsidRDefault="003B3271">
      <w:pPr>
        <w:pStyle w:val="PunktlistaTankstreck"/>
      </w:pPr>
      <w:r w:rsidRPr="0008481A">
        <w:t>kritik mot socialsekreterare som på eget initiativ lämnat ut sekr</w:t>
      </w:r>
      <w:r w:rsidRPr="0008481A">
        <w:t>e</w:t>
      </w:r>
      <w:r w:rsidRPr="0008481A">
        <w:softHyphen/>
        <w:t>tesskyddad uppgift till försäkringskassan 99/00:374</w:t>
      </w:r>
    </w:p>
    <w:p w:rsidR="003B3271" w:rsidRPr="0008481A" w:rsidRDefault="003B3271">
      <w:pPr>
        <w:pStyle w:val="PunktlistaTankstreck"/>
      </w:pPr>
      <w:r w:rsidRPr="0008481A">
        <w:t>offentliggörande av namnuppgifter i kungörelsedelgivning rörande mål om bistånd enligt 6 g § socialtjänstlagen 99/00:191</w:t>
      </w:r>
    </w:p>
    <w:p w:rsidR="003B3271" w:rsidRPr="0008481A" w:rsidRDefault="003B3271">
      <w:pPr>
        <w:pStyle w:val="PunktlistaTankstreck"/>
      </w:pPr>
      <w:r w:rsidRPr="0008481A">
        <w:t>kritik mot psykologenhet för genomförande av ett s.k. begåvningstest av ett barn utan att ha inhämtat tillstånd därtill från båda vårdnadshavarna 00/01:472</w:t>
      </w:r>
    </w:p>
    <w:p w:rsidR="003B3271" w:rsidRPr="0008481A" w:rsidRDefault="003B3271">
      <w:pPr>
        <w:pStyle w:val="PunktlistaTankstreck"/>
        <w:rPr>
          <w:caps/>
        </w:rPr>
      </w:pPr>
      <w:r w:rsidRPr="0008481A">
        <w:t>en länsrätt handlade ett mål angående verkställighet av en dom rörande umgängesrätt. Fråga om en tjänsteman vid en socialfö</w:t>
      </w:r>
      <w:r w:rsidRPr="0008481A">
        <w:t>r</w:t>
      </w:r>
      <w:r w:rsidRPr="0008481A">
        <w:t>valtning självmant ägt rätt att tillskriva länsrätten och ge uttryck för sin up</w:t>
      </w:r>
      <w:r w:rsidRPr="0008481A">
        <w:t>p</w:t>
      </w:r>
      <w:r w:rsidRPr="0008481A">
        <w:t>fattning i um</w:t>
      </w:r>
      <w:r w:rsidRPr="0008481A">
        <w:softHyphen/>
        <w:t>gängesfrågan 00/01:325</w:t>
      </w:r>
    </w:p>
    <w:p w:rsidR="003B3271" w:rsidRPr="0008481A" w:rsidRDefault="003B3271">
      <w:pPr>
        <w:pStyle w:val="PunktlistaTankstreck"/>
        <w:rPr>
          <w:caps/>
        </w:rPr>
      </w:pPr>
      <w:r w:rsidRPr="0008481A">
        <w:t>en tingsrätt handlade ett mål angående umgänge med barn. – Fråga om lämpligheten av att två tjänstemän vid en socialförval</w:t>
      </w:r>
      <w:r w:rsidRPr="0008481A">
        <w:t>t</w:t>
      </w:r>
      <w:r w:rsidRPr="0008481A">
        <w:t>ning, som svarat för s.k. samarbetssamtal mellan föräldrarna, i en skrivelse till en av för</w:t>
      </w:r>
      <w:r w:rsidRPr="0008481A">
        <w:softHyphen/>
        <w:t>äldrarnas ombud i målet uttalade sin uppfattning i umgängesfr</w:t>
      </w:r>
      <w:r w:rsidRPr="0008481A">
        <w:t>å</w:t>
      </w:r>
      <w:r w:rsidRPr="0008481A">
        <w:t>gan 00/01:329</w:t>
      </w:r>
    </w:p>
    <w:p w:rsidR="003B3271" w:rsidRPr="0008481A" w:rsidRDefault="003B3271">
      <w:pPr>
        <w:pStyle w:val="PunktlistaTankstreck"/>
      </w:pPr>
      <w:r w:rsidRPr="0008481A">
        <w:t>fråga om rätt till partsinsyn under handläggningen av en vårdnadsutredning 00/01:317</w:t>
      </w:r>
    </w:p>
    <w:p w:rsidR="003B3271" w:rsidRPr="0008481A" w:rsidRDefault="003B3271">
      <w:pPr>
        <w:pStyle w:val="PunktlistaTankstreck"/>
        <w:rPr>
          <w:caps/>
        </w:rPr>
      </w:pPr>
      <w:r w:rsidRPr="0008481A">
        <w:t>fråga bl.a. om utformningen av ett beslut enligt 6 kap. 19 § föräldrabalken att utse en vårdnadsutredare 00/01:332</w:t>
      </w:r>
    </w:p>
    <w:p w:rsidR="003B3271" w:rsidRPr="0008481A" w:rsidRDefault="003B3271">
      <w:pPr>
        <w:pStyle w:val="PunktlistaTankstreck"/>
        <w:rPr>
          <w:caps/>
        </w:rPr>
      </w:pPr>
      <w:r w:rsidRPr="0008481A">
        <w:t>en person erhöll av en socialnämnd bistånd mot återb</w:t>
      </w:r>
      <w:r w:rsidRPr="0008481A">
        <w:t>e</w:t>
      </w:r>
      <w:r w:rsidRPr="0008481A">
        <w:t>talningsskyldighet och utfärdade i samband med beslutet fullmakt för socia</w:t>
      </w:r>
      <w:r w:rsidRPr="0008481A">
        <w:t>l</w:t>
      </w:r>
      <w:r w:rsidRPr="0008481A">
        <w:t>nämnden att från hennes arbetsgivare uppbära kommande lön. – Fråga om en tjänsteman vid socialförvaltningen i efterhand i fullmakten kunnat fylla i det belopp som arbetsgivaren skulle betala till socialnämnden 00/01:314</w:t>
      </w:r>
    </w:p>
    <w:p w:rsidR="003B3271" w:rsidRPr="0008481A" w:rsidRDefault="003B3271">
      <w:pPr>
        <w:pStyle w:val="PunktlistaTankstreck"/>
        <w:rPr>
          <w:caps/>
        </w:rPr>
      </w:pPr>
      <w:r w:rsidRPr="0008481A">
        <w:t>en tjänsteman vid en socialförvaltning har förtydligat ett läkarintyg efter kontakt med den läkare som utfärdat intyget. Tjänst</w:t>
      </w:r>
      <w:r w:rsidRPr="0008481A">
        <w:t>e</w:t>
      </w:r>
      <w:r w:rsidRPr="0008481A">
        <w:t xml:space="preserve">mannen borde därvid ha gjort en notering om bl.a. vem som hade gjort tillägget 00/01:337 </w:t>
      </w:r>
    </w:p>
    <w:p w:rsidR="003B3271" w:rsidRPr="0008481A" w:rsidRDefault="003B3271">
      <w:pPr>
        <w:pStyle w:val="Rubrik3"/>
      </w:pPr>
      <w:r w:rsidRPr="0008481A">
        <w:t>II Lagen med särskilda bestämmelser om vård av unga (LVU)</w:t>
      </w:r>
    </w:p>
    <w:p w:rsidR="003B3271" w:rsidRPr="0008481A" w:rsidRDefault="003B3271">
      <w:pPr>
        <w:pStyle w:val="PunktlistaTankstreck"/>
      </w:pPr>
      <w:r w:rsidRPr="0008481A">
        <w:t>en mor hade rest med sitt barn till Frankrike. – Fråga om socialnämnden kunde omhänderta barnet enligt 6 § LVU för att återföra barnet till Sv</w:t>
      </w:r>
      <w:r w:rsidRPr="0008481A">
        <w:t>e</w:t>
      </w:r>
      <w:r w:rsidRPr="0008481A">
        <w:t>rige. Även frågor om formen för återkallande av ett beslut om o</w:t>
      </w:r>
      <w:r w:rsidRPr="0008481A">
        <w:t>m</w:t>
      </w:r>
      <w:r w:rsidRPr="0008481A">
        <w:t>händertagande enligt 6 § LVU, dokumentation, m.m. 99/00:251</w:t>
      </w:r>
    </w:p>
    <w:p w:rsidR="003B3271" w:rsidRPr="0008481A" w:rsidRDefault="003B3271">
      <w:pPr>
        <w:pStyle w:val="PunktlistaTankstreck"/>
      </w:pPr>
      <w:r w:rsidRPr="0008481A">
        <w:t>fråga om det förelåg förutsättningar för ett omedelbart omhändertaga</w:t>
      </w:r>
      <w:r w:rsidRPr="0008481A">
        <w:t>n</w:t>
      </w:r>
      <w:r w:rsidRPr="0008481A">
        <w:t>de av en tonåring med stöd av 3 § och 6 § LVU. Även fråga om socia</w:t>
      </w:r>
      <w:r w:rsidRPr="0008481A">
        <w:t>l</w:t>
      </w:r>
      <w:r w:rsidRPr="0008481A">
        <w:softHyphen/>
        <w:t>nämnden ägde anlita polis för att flytta den unge från ett behan</w:t>
      </w:r>
      <w:r w:rsidRPr="0008481A">
        <w:t>d</w:t>
      </w:r>
      <w:r w:rsidRPr="0008481A">
        <w:t>lingshem till ett annat hem 99/00:261</w:t>
      </w:r>
    </w:p>
    <w:p w:rsidR="003B3271" w:rsidRPr="0008481A" w:rsidRDefault="003B3271">
      <w:pPr>
        <w:pStyle w:val="PunktlistaTankstreck"/>
        <w:rPr>
          <w:b/>
        </w:rPr>
      </w:pPr>
      <w:r w:rsidRPr="0008481A">
        <w:t>socialnämnds skyldighet att verka för att ett offentligt biträde utses när ett ingripande enligt LVU blir aktuellt 99/00:264</w:t>
      </w:r>
    </w:p>
    <w:p w:rsidR="003B3271" w:rsidRPr="0008481A" w:rsidRDefault="003B3271">
      <w:pPr>
        <w:pStyle w:val="PunktlistaTankstreck"/>
      </w:pPr>
      <w:r w:rsidRPr="0008481A">
        <w:t>socialnämnds skyldighet att verka för att en förälder upprätthåller ko</w:t>
      </w:r>
      <w:r w:rsidRPr="0008481A">
        <w:t>n</w:t>
      </w:r>
      <w:r w:rsidRPr="0008481A">
        <w:t>takt med sitt barn som har beretts vård enligt LVU 99/00:268</w:t>
      </w:r>
    </w:p>
    <w:p w:rsidR="003B3271" w:rsidRPr="0008481A" w:rsidRDefault="003B3271">
      <w:pPr>
        <w:pStyle w:val="PunktlistaTankstreck"/>
      </w:pPr>
      <w:r w:rsidRPr="0008481A">
        <w:t>företrädare för socialnämnd bör som regel närvara vid polishandräc</w:t>
      </w:r>
      <w:r w:rsidRPr="0008481A">
        <w:t>k</w:t>
      </w:r>
      <w:r w:rsidRPr="0008481A">
        <w:t>ning enligt 43 § 2 lagen (1990:52) med särskilda bestämmelser om vård av unga 99/00:270</w:t>
      </w:r>
    </w:p>
    <w:p w:rsidR="003B3271" w:rsidRPr="0008481A" w:rsidRDefault="003B3271">
      <w:pPr>
        <w:pStyle w:val="PunktlistaTankstreck"/>
      </w:pPr>
      <w:r w:rsidRPr="0008481A">
        <w:t xml:space="preserve">fråga om en socialnämnd ägt placera en flicka i nedre tonåren, som vårdades med stöd av 2 § LVU, i ett ”eget boende” 00/01:307 </w:t>
      </w:r>
    </w:p>
    <w:p w:rsidR="003B3271" w:rsidRPr="0008481A" w:rsidRDefault="003B3271">
      <w:pPr>
        <w:pStyle w:val="PunktlistaTankstreck"/>
      </w:pPr>
      <w:r w:rsidRPr="0008481A">
        <w:t>efter att polisen till socialnämnden anmält att en yngling var misstänkt för tillgrepp av en moped beslutades att den unge skulle omhändertas med stöd av 6 § LVU. Vid samtal med socialnämndens handläggare förnekade dock den unge att han tillgripit mopeden och hans uppgift visade sig senare vara riktig. Genom att inte omgående efter samtalet med den unge närmare undersöka vad som låg till grund för polisens misstankar har nämnden brustit i sitt ansvar för utredningen 00/01:305</w:t>
      </w:r>
    </w:p>
    <w:p w:rsidR="003B3271" w:rsidRPr="0008481A" w:rsidRDefault="003B3271">
      <w:pPr>
        <w:pStyle w:val="Rubrik3"/>
      </w:pPr>
      <w:r w:rsidRPr="0008481A">
        <w:t>III Lagen om vård av missbrukare i vissa fall, LVM</w:t>
      </w:r>
    </w:p>
    <w:p w:rsidR="003B3271" w:rsidRPr="0008481A" w:rsidRDefault="003B3271">
      <w:pPr>
        <w:pStyle w:val="PunktlistaTankstreck"/>
      </w:pPr>
      <w:r w:rsidRPr="0008481A">
        <w:t>fråga om föreståndaren för ett LVM-hem haft rätt att omhänderta ett bankomatkort och en legitimationshandling från en person som vård</w:t>
      </w:r>
      <w:r w:rsidRPr="0008481A">
        <w:t>a</w:t>
      </w:r>
      <w:r w:rsidRPr="0008481A">
        <w:t>des vid hemmet 00/01:310</w:t>
      </w:r>
    </w:p>
    <w:p w:rsidR="003B3271" w:rsidRPr="0008481A" w:rsidRDefault="003B3271">
      <w:pPr>
        <w:pStyle w:val="Rubrik3"/>
      </w:pPr>
      <w:r w:rsidRPr="0008481A">
        <w:t>Stöd och service till vissa funktionshindrade</w:t>
      </w:r>
    </w:p>
    <w:p w:rsidR="003B3271" w:rsidRPr="0008481A" w:rsidRDefault="003B3271">
      <w:pPr>
        <w:pStyle w:val="PunktlistaTankstreck"/>
      </w:pPr>
      <w:r w:rsidRPr="0008481A">
        <w:t>kritik mot kommun för bristande rutiner och åtgärder vid en anställds övergrepp mot boende i ett kommunalt gruppboende 00/01:359</w:t>
      </w:r>
    </w:p>
    <w:p w:rsidR="003B3271" w:rsidRPr="0008481A" w:rsidRDefault="003B3271">
      <w:pPr>
        <w:pStyle w:val="Rubrik3"/>
      </w:pPr>
      <w:r w:rsidRPr="0008481A">
        <w:t>Telefon</w:t>
      </w:r>
    </w:p>
    <w:p w:rsidR="003B3271" w:rsidRPr="0008481A" w:rsidRDefault="003B3271">
      <w:pPr>
        <w:pStyle w:val="PunktlistaTankstreck"/>
      </w:pPr>
      <w:r w:rsidRPr="0008481A">
        <w:t>inspelning av telefonsamtal till kronofogdemyndighets växel 99/00:168</w:t>
      </w:r>
    </w:p>
    <w:p w:rsidR="003B3271" w:rsidRPr="0008481A" w:rsidRDefault="003B3271">
      <w:pPr>
        <w:pStyle w:val="Rubrik3"/>
      </w:pPr>
      <w:r w:rsidRPr="0008481A">
        <w:t>Tillsyn</w:t>
      </w:r>
    </w:p>
    <w:p w:rsidR="003B3271" w:rsidRPr="0008481A" w:rsidRDefault="003B3271">
      <w:pPr>
        <w:pStyle w:val="PunktlistaTankstreck"/>
      </w:pPr>
      <w:r w:rsidRPr="0008481A">
        <w:t>kritik mot en miljönämnd för passivitet och otydlighet i ett ärende r</w:t>
      </w:r>
      <w:r w:rsidRPr="0008481A">
        <w:t>ö</w:t>
      </w:r>
      <w:r w:rsidRPr="0008481A">
        <w:t>rande tillsyn av ett sågverk 99/00:341</w:t>
      </w:r>
    </w:p>
    <w:p w:rsidR="003B3271" w:rsidRPr="0008481A" w:rsidRDefault="003B3271">
      <w:pPr>
        <w:pStyle w:val="PunktlistaTankstreck"/>
      </w:pPr>
      <w:r w:rsidRPr="0008481A">
        <w:t>tillsynsmyndighets skyldighet att utreda och fatta beslut vid klagomål om överträdelser av villkor i täkttillstånd 00/01:422</w:t>
      </w:r>
    </w:p>
    <w:p w:rsidR="003B3271" w:rsidRPr="0008481A" w:rsidRDefault="003B3271">
      <w:pPr>
        <w:pStyle w:val="Rubrik3"/>
      </w:pPr>
      <w:r w:rsidRPr="0008481A">
        <w:t>Tolk</w:t>
      </w:r>
    </w:p>
    <w:p w:rsidR="003B3271" w:rsidRPr="0008481A" w:rsidRDefault="003B3271">
      <w:pPr>
        <w:pStyle w:val="PunktlistaTankstreck"/>
      </w:pPr>
      <w:r w:rsidRPr="0008481A">
        <w:t>fråga om myndighets skyldighet att låta översätta en på utländskt språk författad överklagandeskrift till svenska 99/00:216</w:t>
      </w:r>
    </w:p>
    <w:p w:rsidR="003B3271" w:rsidRPr="0008481A" w:rsidRDefault="003B3271">
      <w:pPr>
        <w:pStyle w:val="PunktlistaTankstreck"/>
      </w:pPr>
      <w:r w:rsidRPr="0008481A">
        <w:t>kan en arbetsförmedling kräva att en sökande skall skriva på svenska? Även fråga om formuleringen av ett sådant krav 00/01:245</w:t>
      </w:r>
    </w:p>
    <w:p w:rsidR="003B3271" w:rsidRPr="0008481A" w:rsidRDefault="003B3271">
      <w:pPr>
        <w:pStyle w:val="Rubrik3"/>
      </w:pPr>
      <w:r w:rsidRPr="0008481A">
        <w:t>Tryckfrihetsförordningen</w:t>
      </w:r>
    </w:p>
    <w:p w:rsidR="003B3271" w:rsidRPr="0008481A" w:rsidRDefault="003B3271">
      <w:pPr>
        <w:pStyle w:val="PunktlistaTankstreck"/>
      </w:pPr>
      <w:r w:rsidRPr="0008481A">
        <w:t>handläggningen av en begäran om utlämnande av allmän handling. Kritik mot Husie stadsdelsfullmäktige för att sökanden avkrävts identitetsuppgift. – Fråga om efterforskningsförbudet i 2 kap. 14 § tredje stycket tryck</w:t>
      </w:r>
      <w:r w:rsidRPr="0008481A">
        <w:softHyphen/>
        <w:t xml:space="preserve">frihetsförordningen (TF) överträtts 00/01:578 </w:t>
      </w:r>
    </w:p>
    <w:p w:rsidR="003B3271" w:rsidRPr="0008481A" w:rsidRDefault="003B3271">
      <w:pPr>
        <w:pStyle w:val="Rubrik3"/>
      </w:pPr>
      <w:r w:rsidRPr="0008481A">
        <w:t>Tvistemål</w:t>
      </w:r>
    </w:p>
    <w:p w:rsidR="003B3271" w:rsidRPr="0008481A" w:rsidRDefault="003B3271">
      <w:pPr>
        <w:pStyle w:val="PunktlistaTankstreck"/>
      </w:pPr>
      <w:r w:rsidRPr="0008481A">
        <w:t>långsam handläggning av en fråga om rättegångshinder 99/00:44</w:t>
      </w:r>
    </w:p>
    <w:p w:rsidR="003B3271" w:rsidRPr="0008481A" w:rsidRDefault="003B3271">
      <w:pPr>
        <w:pStyle w:val="PunktlistaTankstreck"/>
      </w:pPr>
      <w:r w:rsidRPr="0008481A">
        <w:t>en tingsrätts handläggning av ett tvistemål efter det att parterna hade förlikts 99/00:51</w:t>
      </w:r>
    </w:p>
    <w:p w:rsidR="003B3271" w:rsidRPr="0008481A" w:rsidRDefault="003B3271">
      <w:pPr>
        <w:pStyle w:val="PunktlistaTankstreck"/>
      </w:pPr>
      <w:r w:rsidRPr="0008481A">
        <w:t>åtal mot en domare med anledning av hans handläggning av ett antal tvistemål 00/01:34 + bilaga</w:t>
      </w:r>
    </w:p>
    <w:p w:rsidR="003B3271" w:rsidRPr="0008481A" w:rsidRDefault="003B3271">
      <w:pPr>
        <w:pStyle w:val="PunktlistaTankstreck"/>
      </w:pPr>
      <w:r w:rsidRPr="0008481A">
        <w:t>en tingsrätts handläggning av ett mål om umgängesrätt m.m. där sv</w:t>
      </w:r>
      <w:r w:rsidRPr="0008481A">
        <w:t>a</w:t>
      </w:r>
      <w:r w:rsidRPr="0008481A">
        <w:t>randen hade s.k. fingerade personuppgifter 00/01:36</w:t>
      </w:r>
    </w:p>
    <w:p w:rsidR="003B3271" w:rsidRPr="0008481A" w:rsidRDefault="003B3271">
      <w:pPr>
        <w:pStyle w:val="PunktlistaTankstreck"/>
      </w:pPr>
      <w:r w:rsidRPr="0008481A">
        <w:t>en tingsrätts hantering av s.k. skyddade personuppgifter vilka erhållits från en part i ett förenklat tvistemål (FT-mål) 00/01:44</w:t>
      </w:r>
    </w:p>
    <w:p w:rsidR="003B3271" w:rsidRPr="0008481A" w:rsidRDefault="003B3271">
      <w:pPr>
        <w:pStyle w:val="PunktlistaTankstreck"/>
        <w:rPr>
          <w:b/>
        </w:rPr>
      </w:pPr>
      <w:r w:rsidRPr="0008481A">
        <w:t>en tingsrätts hantering av s.k. skyddade personuppgifter vilka erhållits från en part i ett familjemål 00/01:50</w:t>
      </w:r>
    </w:p>
    <w:p w:rsidR="003B3271" w:rsidRPr="0008481A" w:rsidRDefault="003B3271">
      <w:pPr>
        <w:pStyle w:val="Rubrik3"/>
      </w:pPr>
      <w:r w:rsidRPr="0008481A">
        <w:t>Underrättelse</w:t>
      </w:r>
    </w:p>
    <w:p w:rsidR="003B3271" w:rsidRPr="0008481A" w:rsidRDefault="003B3271">
      <w:pPr>
        <w:pStyle w:val="PunktlistaTankstreck"/>
      </w:pPr>
      <w:r w:rsidRPr="0008481A">
        <w:t>kritik mot en polismyndighet för att ha inlett utredning enligt 31 § l</w:t>
      </w:r>
      <w:r w:rsidRPr="0008481A">
        <w:t>a</w:t>
      </w:r>
      <w:r w:rsidRPr="0008481A">
        <w:t>gen (1964:167) med särskilda bestämmelser för unga lagöverträdare (LUL) mot barn under 15 år samt fråga om underrättelseskyldighet enligt nämnda lag och förhör med barn 00/01:90</w:t>
      </w:r>
    </w:p>
    <w:p w:rsidR="003B3271" w:rsidRPr="0008481A" w:rsidRDefault="003B3271">
      <w:pPr>
        <w:pStyle w:val="Rubrik3"/>
      </w:pPr>
      <w:r w:rsidRPr="0008481A">
        <w:t>Unga lagöverträdare</w:t>
      </w:r>
    </w:p>
    <w:p w:rsidR="003B3271" w:rsidRPr="0008481A" w:rsidRDefault="003B3271">
      <w:pPr>
        <w:pStyle w:val="PunktlistaTankstreck"/>
      </w:pPr>
      <w:r w:rsidRPr="0008481A">
        <w:t>kritik mot en polismyndighet för att förhörsledare i samband med för</w:t>
      </w:r>
      <w:r w:rsidRPr="0008481A">
        <w:softHyphen/>
        <w:t>undersökning mot två 15-åringar åsidosatt regler av grundläggande betydelse för underårigas rättssäke</w:t>
      </w:r>
      <w:r w:rsidRPr="0008481A">
        <w:t>r</w:t>
      </w:r>
      <w:r w:rsidRPr="0008481A">
        <w:t>het 99/00:78</w:t>
      </w:r>
    </w:p>
    <w:p w:rsidR="003B3271" w:rsidRPr="0008481A" w:rsidRDefault="003B3271">
      <w:pPr>
        <w:pStyle w:val="PunktlistaTankstreck"/>
      </w:pPr>
      <w:r w:rsidRPr="0008481A">
        <w:t xml:space="preserve">fråga om fullgörande av skyldighet att underrätta vårdnadshavare enligt </w:t>
      </w:r>
      <w:r w:rsidRPr="0008481A">
        <w:br/>
        <w:t>5 § lagen (1964:167) med särskilda bestämmelser om unga lagöve</w:t>
      </w:r>
      <w:r w:rsidRPr="0008481A">
        <w:t>r</w:t>
      </w:r>
      <w:r w:rsidRPr="0008481A">
        <w:t>trädare 99/00:118</w:t>
      </w:r>
    </w:p>
    <w:p w:rsidR="003B3271" w:rsidRPr="0008481A" w:rsidRDefault="003B3271">
      <w:pPr>
        <w:pStyle w:val="PunktlistaTankstreck"/>
      </w:pPr>
      <w:r w:rsidRPr="0008481A">
        <w:t>kritik mot en polismyndighet för att ha inlett utredning enligt 31 § l</w:t>
      </w:r>
      <w:r w:rsidRPr="0008481A">
        <w:t>a</w:t>
      </w:r>
      <w:r w:rsidRPr="0008481A">
        <w:t>gen (1964:167) med särskilda bestämmelser för unga lagöverträdare (LUL) mot barn under 15 år samt fråga om underrättelseskyldighet enligt nämnda lag och förhör med barn 00/01:90</w:t>
      </w:r>
    </w:p>
    <w:p w:rsidR="003B3271" w:rsidRPr="0008481A" w:rsidRDefault="003B3271">
      <w:pPr>
        <w:pStyle w:val="Rubrik3"/>
      </w:pPr>
      <w:r w:rsidRPr="0008481A">
        <w:t>Universitets- och högskoleområdet</w:t>
      </w:r>
    </w:p>
    <w:p w:rsidR="003B3271" w:rsidRPr="0008481A" w:rsidRDefault="003B3271">
      <w:pPr>
        <w:pStyle w:val="PunktlistaTankstreck"/>
      </w:pPr>
      <w:r w:rsidRPr="0008481A">
        <w:t>kritik mot Högskoleverket för genomförandet av ändrade antagning</w:t>
      </w:r>
      <w:r w:rsidRPr="0008481A">
        <w:t>s</w:t>
      </w:r>
      <w:r w:rsidRPr="0008481A">
        <w:t>regler till högskolan avseende sökanden med utländska gymnasieb</w:t>
      </w:r>
      <w:r w:rsidRPr="0008481A">
        <w:t>e</w:t>
      </w:r>
      <w:r w:rsidRPr="0008481A">
        <w:t xml:space="preserve">tyg 00/01:438 </w:t>
      </w:r>
    </w:p>
    <w:p w:rsidR="003B3271" w:rsidRPr="0008481A" w:rsidRDefault="003B3271">
      <w:pPr>
        <w:pStyle w:val="PunktlistaTankstreck"/>
      </w:pPr>
      <w:r w:rsidRPr="0008481A">
        <w:t>en kursföreståndare vid institutionen för idéhistoria vid Umeå universitet har efterforskat vem som lämnat vissa uppgifter i en kursutvärdering. Fråga om lagligheten respektive lämpligheten av den vidtagna åtgärden</w:t>
      </w:r>
      <w:r w:rsidRPr="0008481A">
        <w:rPr>
          <w:b/>
        </w:rPr>
        <w:t xml:space="preserve"> </w:t>
      </w:r>
      <w:r w:rsidRPr="0008481A">
        <w:t>00/01:452</w:t>
      </w:r>
    </w:p>
    <w:p w:rsidR="003B3271" w:rsidRPr="0008481A" w:rsidRDefault="003B3271">
      <w:pPr>
        <w:pStyle w:val="PunktlistaTankstreck"/>
      </w:pPr>
      <w:r w:rsidRPr="0008481A">
        <w:t>ett på JO:s initiativ upptaget ärende mot institutionen för lingvistik vid Uppsala universitet angående strykning av tidigare meddelade kursp</w:t>
      </w:r>
      <w:r w:rsidRPr="0008481A">
        <w:t>o</w:t>
      </w:r>
      <w:r w:rsidRPr="0008481A">
        <w:t>äng utan att höra studenterna 00/01:434</w:t>
      </w:r>
    </w:p>
    <w:p w:rsidR="003B3271" w:rsidRPr="0008481A" w:rsidRDefault="003B3271">
      <w:pPr>
        <w:pStyle w:val="Rubrik3"/>
      </w:pPr>
      <w:r w:rsidRPr="0008481A">
        <w:t>Utlänning</w:t>
      </w:r>
    </w:p>
    <w:p w:rsidR="003B3271" w:rsidRPr="0008481A" w:rsidRDefault="003B3271">
      <w:pPr>
        <w:pStyle w:val="PunktlistaTankstreck"/>
      </w:pPr>
      <w:r w:rsidRPr="0008481A">
        <w:t>fråga om myndighets skyldighet att låta översätta en på utländskt språk författad överklagandeskrift till svenska 99/00:216</w:t>
      </w:r>
    </w:p>
    <w:p w:rsidR="003B3271" w:rsidRPr="0008481A" w:rsidRDefault="003B3271">
      <w:pPr>
        <w:pStyle w:val="PunktlistaTankstreck"/>
      </w:pPr>
      <w:r w:rsidRPr="0008481A">
        <w:t>Statens invandrarverks handläggning av ärenden om dagersättning e</w:t>
      </w:r>
      <w:r w:rsidRPr="0008481A">
        <w:t>n</w:t>
      </w:r>
      <w:r w:rsidRPr="0008481A">
        <w:t>ligt lagen (1994:137) om mottagande av asylsökande m.fl. – Fråga om tid</w:t>
      </w:r>
      <w:r w:rsidRPr="0008481A">
        <w:softHyphen/>
        <w:t>punkt för utbetalning av ersättningen 99/00:211</w:t>
      </w:r>
    </w:p>
    <w:p w:rsidR="003B3271" w:rsidRPr="0008481A" w:rsidRDefault="003B3271">
      <w:pPr>
        <w:pStyle w:val="PunktlistaTankstreck"/>
      </w:pPr>
      <w:r w:rsidRPr="0008481A">
        <w:t>fråga om skyldighet för en svensk ambassad att ta emot asylansöknin</w:t>
      </w:r>
      <w:r w:rsidRPr="0008481A">
        <w:t>g</w:t>
      </w:r>
      <w:r w:rsidRPr="0008481A">
        <w:t>ar och sända dem vidare till behörig beslutsfattare 00/01:256</w:t>
      </w:r>
    </w:p>
    <w:p w:rsidR="003B3271" w:rsidRPr="0008481A" w:rsidRDefault="003B3271">
      <w:pPr>
        <w:pStyle w:val="Rubrik3"/>
      </w:pPr>
      <w:r w:rsidRPr="0008481A">
        <w:t>Verkställighet</w:t>
      </w:r>
    </w:p>
    <w:p w:rsidR="003B3271" w:rsidRPr="0008481A" w:rsidRDefault="003B3271">
      <w:pPr>
        <w:pStyle w:val="PunktlistaTankstreck"/>
      </w:pPr>
      <w:r w:rsidRPr="0008481A">
        <w:t>kritik mot en arbetslöshetskassa för utebliven verkställighet av en läns</w:t>
      </w:r>
      <w:r w:rsidRPr="0008481A">
        <w:softHyphen/>
        <w:t>rättsdom 00/01:252</w:t>
      </w:r>
    </w:p>
    <w:p w:rsidR="003B3271" w:rsidRPr="0008481A" w:rsidRDefault="003B3271">
      <w:pPr>
        <w:pStyle w:val="Rubrik3"/>
      </w:pPr>
      <w:r w:rsidRPr="0008481A">
        <w:t>Videofilmning</w:t>
      </w:r>
    </w:p>
    <w:p w:rsidR="003B3271" w:rsidRPr="0008481A" w:rsidRDefault="003B3271">
      <w:pPr>
        <w:pStyle w:val="PunktlistaTankstreck"/>
      </w:pPr>
      <w:r w:rsidRPr="0008481A">
        <w:t>uttalanden om lagligheten av att under en förundersökning i hemlighet videofilma en person som var intagen i häkte 99/00:91</w:t>
      </w:r>
    </w:p>
    <w:p w:rsidR="003B3271" w:rsidRPr="0008481A" w:rsidRDefault="003B3271">
      <w:pPr>
        <w:pStyle w:val="Rubrik3"/>
      </w:pPr>
      <w:r w:rsidRPr="0008481A">
        <w:t>Vittnesförhör</w:t>
      </w:r>
    </w:p>
    <w:p w:rsidR="003B3271" w:rsidRPr="0008481A" w:rsidRDefault="003B3271">
      <w:pPr>
        <w:pStyle w:val="PunktlistaTankstreck"/>
      </w:pPr>
      <w:r w:rsidRPr="0008481A">
        <w:t>detaljerat återgivande i dom av vittnesförhör när muntlig förhandling hållits inom stängda dörrar 99/00:175</w:t>
      </w:r>
    </w:p>
    <w:p w:rsidR="003B3271" w:rsidRPr="0008481A" w:rsidRDefault="003B3271">
      <w:pPr>
        <w:pStyle w:val="Rubrik3"/>
      </w:pPr>
      <w:r w:rsidRPr="0008481A">
        <w:t>Vårdnadshavare</w:t>
      </w:r>
    </w:p>
    <w:p w:rsidR="003B3271" w:rsidRPr="0008481A" w:rsidRDefault="003B3271">
      <w:pPr>
        <w:pStyle w:val="PunktlistaTankstreck"/>
      </w:pPr>
      <w:r w:rsidRPr="0008481A">
        <w:t>hur skall en begäran om omplacering av barn i förskolan hanteras om endast en av vårdnadshavarna står bakom framställningen om byte av för</w:t>
      </w:r>
      <w:r w:rsidRPr="0008481A">
        <w:softHyphen/>
        <w:t>skola 99/00:283</w:t>
      </w:r>
    </w:p>
    <w:p w:rsidR="003B3271" w:rsidRPr="0008481A" w:rsidRDefault="003B3271">
      <w:pPr>
        <w:pStyle w:val="PunktlistaTankstreck"/>
      </w:pPr>
      <w:r w:rsidRPr="0008481A">
        <w:t xml:space="preserve">kritik mot psykologenhet för genomförande av ett s.k. begåvningstest av ett barn utan att ha inhämtat tillstånd därtill från båda vårdnadshavarna 00/01:472 </w:t>
      </w:r>
    </w:p>
    <w:p w:rsidR="003B3271" w:rsidRPr="0008481A" w:rsidRDefault="003B3271">
      <w:pPr>
        <w:pStyle w:val="Rubrik3"/>
      </w:pPr>
      <w:r w:rsidRPr="0008481A">
        <w:t>Vårdnadsmål</w:t>
      </w:r>
    </w:p>
    <w:p w:rsidR="003B3271" w:rsidRPr="0008481A" w:rsidRDefault="003B3271">
      <w:pPr>
        <w:pStyle w:val="PunktlistaTankstreck"/>
        <w:rPr>
          <w:b/>
        </w:rPr>
      </w:pPr>
      <w:r w:rsidRPr="0008481A">
        <w:t>polisbefäls instruktioner till underlydande polismän i samband med ett ingripande föranlett av en vårdnadstvist; även fråga om polismännens upp</w:t>
      </w:r>
      <w:r w:rsidRPr="0008481A">
        <w:softHyphen/>
        <w:t>trädande på platsen för ingripandet 99/00:135</w:t>
      </w:r>
    </w:p>
    <w:p w:rsidR="003B3271" w:rsidRPr="0008481A" w:rsidRDefault="003B3271">
      <w:pPr>
        <w:pStyle w:val="PunktlistaTankstreck"/>
      </w:pPr>
      <w:r w:rsidRPr="0008481A">
        <w:t>om en vårdnadsutredning blir fördröjd måste utredaren självmant u</w:t>
      </w:r>
      <w:r w:rsidRPr="0008481A">
        <w:t>n</w:t>
      </w:r>
      <w:r w:rsidRPr="0008481A">
        <w:t>der</w:t>
      </w:r>
      <w:r w:rsidRPr="0008481A">
        <w:softHyphen/>
        <w:t>rätta tingsrätten om detta 99/00:280</w:t>
      </w:r>
    </w:p>
    <w:p w:rsidR="003B3271" w:rsidRPr="0008481A" w:rsidRDefault="003B3271">
      <w:pPr>
        <w:pStyle w:val="PunktlistaTankstreck"/>
      </w:pPr>
      <w:r w:rsidRPr="0008481A">
        <w:t>fråga om socialnämnds möjlighet att ändra ett beslut enligt 37 § SoL om att efterge den enskildes ersättningsskyldighet för vistelse på b</w:t>
      </w:r>
      <w:r w:rsidRPr="0008481A">
        <w:t>e</w:t>
      </w:r>
      <w:r w:rsidRPr="0008481A">
        <w:t>handlings</w:t>
      </w:r>
      <w:r w:rsidRPr="0008481A">
        <w:softHyphen/>
        <w:t>hem 99/00:231</w:t>
      </w:r>
    </w:p>
    <w:p w:rsidR="003B3271" w:rsidRPr="0008481A" w:rsidRDefault="003B3271">
      <w:pPr>
        <w:pStyle w:val="PunktlistaTankstreck"/>
        <w:rPr>
          <w:caps/>
        </w:rPr>
      </w:pPr>
      <w:r w:rsidRPr="0008481A">
        <w:t>en länsrätt handlade ett mål angående verkställighet av en dom rörande umgängesrätt. Fråga om en tjänsteman vid en socialfö</w:t>
      </w:r>
      <w:r w:rsidRPr="0008481A">
        <w:t>r</w:t>
      </w:r>
      <w:r w:rsidRPr="0008481A">
        <w:t>valtning självmant ägt rätt att tillskriva länsrätten och ge uttryck för sin up</w:t>
      </w:r>
      <w:r w:rsidRPr="0008481A">
        <w:t>p</w:t>
      </w:r>
      <w:r w:rsidRPr="0008481A">
        <w:t>fattning i um</w:t>
      </w:r>
      <w:r w:rsidRPr="0008481A">
        <w:softHyphen/>
        <w:t>gängesfrågan 00/01:325</w:t>
      </w:r>
    </w:p>
    <w:p w:rsidR="003B3271" w:rsidRPr="0008481A" w:rsidRDefault="003B3271">
      <w:pPr>
        <w:pStyle w:val="PunktlistaTankstreck"/>
        <w:rPr>
          <w:caps/>
        </w:rPr>
      </w:pPr>
      <w:r w:rsidRPr="0008481A">
        <w:t>en tingsrätt handlade ett mål angående umgänge med barn. – Fråga om lämpligheten av att två tjänstemän vid en socialförval</w:t>
      </w:r>
      <w:r w:rsidRPr="0008481A">
        <w:t>t</w:t>
      </w:r>
      <w:r w:rsidRPr="0008481A">
        <w:t>ning, som svarat för s.k. samarbetssamtal mellan föräldrarna, i en skrivelse till en av för</w:t>
      </w:r>
      <w:r w:rsidRPr="0008481A">
        <w:softHyphen/>
        <w:t>äldrarnas ombud i målet uttalade sin uppfattning i umgängesfr</w:t>
      </w:r>
      <w:r w:rsidRPr="0008481A">
        <w:t>å</w:t>
      </w:r>
      <w:r w:rsidRPr="0008481A">
        <w:t xml:space="preserve">gan 00/01:329 </w:t>
      </w:r>
    </w:p>
    <w:p w:rsidR="003B3271" w:rsidRPr="0008481A" w:rsidRDefault="003B3271">
      <w:pPr>
        <w:pStyle w:val="PunktlistaTankstreck"/>
        <w:rPr>
          <w:caps/>
          <w:sz w:val="24"/>
        </w:rPr>
      </w:pPr>
      <w:r w:rsidRPr="0008481A">
        <w:t>fråga om rätt till partsinsyn under handläggningen av en vårdnadsutredning 00/01:317</w:t>
      </w:r>
    </w:p>
    <w:p w:rsidR="003B3271" w:rsidRPr="0008481A" w:rsidRDefault="003B3271">
      <w:pPr>
        <w:pStyle w:val="Rubrik3"/>
      </w:pPr>
      <w:r w:rsidRPr="0008481A">
        <w:t>Yttrandefrihet</w:t>
      </w:r>
    </w:p>
    <w:p w:rsidR="003B3271" w:rsidRPr="0008481A" w:rsidRDefault="003B3271">
      <w:pPr>
        <w:pStyle w:val="PunktlistaTankstreck"/>
      </w:pPr>
      <w:r w:rsidRPr="0008481A">
        <w:t>fråga huruvida polischef kränkt en underställd tjänstemans grundlags</w:t>
      </w:r>
      <w:r w:rsidRPr="0008481A">
        <w:softHyphen/>
        <w:t xml:space="preserve">skyddade yttrandefrihet 99/00:130 </w:t>
      </w:r>
    </w:p>
    <w:p w:rsidR="003B3271" w:rsidRPr="0008481A" w:rsidRDefault="003B3271">
      <w:pPr>
        <w:pStyle w:val="PunktlistaTankstreck"/>
      </w:pPr>
      <w:r w:rsidRPr="0008481A">
        <w:t>kritik mot ordförande i gymnasienämnd för åtgärder som denne vidtagit mot nämndsekreterare för uttalanden i lokalpressen 99/00:424</w:t>
      </w:r>
    </w:p>
    <w:p w:rsidR="003B3271" w:rsidRPr="0008481A" w:rsidRDefault="003B3271">
      <w:pPr>
        <w:pStyle w:val="PunktlistaTankstreck"/>
      </w:pPr>
      <w:r w:rsidRPr="0008481A">
        <w:t>tjänstemän vid en förvaltning har i ett diskussionsunderlag, skrivet på förvaltningens papper, framfört vissa åsikter. Diskussionsunderlaget har, utan förvaltningens kännedom, överlämnats av tjänstemännen till ett statsråd och även delats ut till</w:t>
      </w:r>
      <w:r w:rsidRPr="0008481A">
        <w:rPr>
          <w:rFonts w:ascii="Garamond" w:hAnsi="Garamond"/>
        </w:rPr>
        <w:t xml:space="preserve"> </w:t>
      </w:r>
      <w:r w:rsidRPr="0008481A">
        <w:t>deltagare vid en konferens. Kritik har riktats mot chefen för förvaltningen avseende de åtgärder som vidtagits mot tjänstemännen i anledning av det inträffade 99/00:429</w:t>
      </w:r>
    </w:p>
    <w:p w:rsidR="003B3271" w:rsidRPr="0008481A" w:rsidRDefault="003B3271">
      <w:pPr>
        <w:pStyle w:val="PunktlistaTankstreck"/>
      </w:pPr>
      <w:r w:rsidRPr="0008481A">
        <w:t>ifrågasatt inskränkning av yttrandefriheten för chef i Försvarsmakten 00/01:575</w:t>
      </w:r>
    </w:p>
    <w:p w:rsidR="003B3271" w:rsidRPr="0008481A" w:rsidRDefault="003B3271">
      <w:pPr>
        <w:pStyle w:val="PunktlistaTankstreck"/>
      </w:pPr>
      <w:r w:rsidRPr="0008481A">
        <w:t>förvaltningschef har utfärdat riktlinjer rörande lärares och elevers kontakter med massmedia. – Fråga om förvaltningschefen härig</w:t>
      </w:r>
      <w:r w:rsidRPr="0008481A">
        <w:t>e</w:t>
      </w:r>
      <w:r w:rsidRPr="0008481A">
        <w:t xml:space="preserve">nom kränkt den enskildes meddelar- och yttrandefrihet 00/01:581 </w:t>
      </w:r>
    </w:p>
    <w:p w:rsidR="003B3271" w:rsidRPr="0008481A" w:rsidRDefault="003B3271">
      <w:pPr>
        <w:pStyle w:val="PunktlistaTankstreck"/>
      </w:pPr>
      <w:r w:rsidRPr="0008481A">
        <w:t>fråga huruvida kommunanställdas yttrandefrihet kränkts genom bl.a. ut</w:t>
      </w:r>
      <w:r w:rsidRPr="0008481A">
        <w:softHyphen/>
        <w:t>talanden av företrädare för en kommun om krav på lojalitet mot arbets</w:t>
      </w:r>
      <w:r w:rsidRPr="0008481A">
        <w:softHyphen/>
        <w:t xml:space="preserve">givaren 00/01:544 </w:t>
      </w:r>
    </w:p>
    <w:p w:rsidR="003B3271" w:rsidRPr="0008481A" w:rsidRDefault="003B3271">
      <w:pPr>
        <w:pStyle w:val="PunktlistaTankstreck"/>
      </w:pPr>
      <w:r w:rsidRPr="0008481A">
        <w:t>åtal mot en tjänsteman för brott mot efterforskningsförbudet i 2 kap. 4 och 5 §§ yttrandefrihetsgrundlagen 00/01:542</w:t>
      </w:r>
    </w:p>
    <w:p w:rsidR="003B3271" w:rsidRPr="0008481A" w:rsidRDefault="003B3271">
      <w:pPr>
        <w:pStyle w:val="Rubrik3"/>
      </w:pPr>
      <w:r w:rsidRPr="0008481A">
        <w:t>Åklagare</w:t>
      </w:r>
    </w:p>
    <w:p w:rsidR="003B3271" w:rsidRPr="0008481A" w:rsidRDefault="003B3271">
      <w:pPr>
        <w:pStyle w:val="PunktlistaTankstreck"/>
      </w:pPr>
      <w:r w:rsidRPr="0008481A">
        <w:t>frågan om ett häktningsbeslut borde ha hävts när åtalet kom att avse andra brott än de som låg till grund för häktningen 99/00:32</w:t>
      </w:r>
    </w:p>
    <w:p w:rsidR="003B3271" w:rsidRPr="0008481A" w:rsidRDefault="003B3271">
      <w:pPr>
        <w:pStyle w:val="PunktlistaTankstreck"/>
      </w:pPr>
      <w:r w:rsidRPr="0008481A">
        <w:t>uttalanden om vilka rutiner som bör tillämpas när det gäller hand</w:t>
      </w:r>
      <w:r w:rsidRPr="0008481A">
        <w:softHyphen/>
        <w:t>läg</w:t>
      </w:r>
      <w:r w:rsidRPr="0008481A">
        <w:t>g</w:t>
      </w:r>
      <w:r w:rsidRPr="0008481A">
        <w:t>ningen av yttranden enligt 22 § lagen (1991:1129) om rättspsykiatrisk vård 99/00:74</w:t>
      </w:r>
    </w:p>
    <w:p w:rsidR="003B3271" w:rsidRPr="0008481A" w:rsidRDefault="003B3271">
      <w:pPr>
        <w:pStyle w:val="PunktlistaTankstreck"/>
      </w:pPr>
      <w:r w:rsidRPr="0008481A">
        <w:t>beslut om rättsmedicinsk obduktion kan fattas utan att förundersökning har inletts; uttalanden om möjligheten att inhämta yttranden från en myndighet under en s.k. förutredning dvs. utan att förundersökning har inletts 99/00:85</w:t>
      </w:r>
    </w:p>
    <w:p w:rsidR="003B3271" w:rsidRPr="0008481A" w:rsidRDefault="003B3271">
      <w:pPr>
        <w:pStyle w:val="PunktlistaTankstreck"/>
      </w:pPr>
      <w:r w:rsidRPr="0008481A">
        <w:t>uttalanden om lagligheten av att under en förundersökning i hemlighet videofilma en person som var intagen i häkte 99/00:91</w:t>
      </w:r>
    </w:p>
    <w:p w:rsidR="003B3271" w:rsidRPr="0008481A" w:rsidRDefault="003B3271">
      <w:pPr>
        <w:pStyle w:val="PunktlistaTankstreck"/>
      </w:pPr>
      <w:r w:rsidRPr="0008481A">
        <w:t>kritik mot en åklagare för att denne inte omgående tog ställning till om förundersökning skulle inledas i ett ärende om påstådd misshandel och tjänstefel 99/00:122</w:t>
      </w:r>
    </w:p>
    <w:p w:rsidR="003B3271" w:rsidRPr="0008481A" w:rsidRDefault="003B3271">
      <w:pPr>
        <w:pStyle w:val="PunktlistaTankstreck"/>
      </w:pPr>
      <w:r w:rsidRPr="0008481A">
        <w:t>handläggningen av framställningar om utredningsåtgärder efter det att en brottmålsdom vunnit laga kraft 00/01:69</w:t>
      </w:r>
    </w:p>
    <w:p w:rsidR="003B3271" w:rsidRPr="0008481A" w:rsidRDefault="003B3271">
      <w:pPr>
        <w:pStyle w:val="PunktlistaTankstreck"/>
      </w:pPr>
      <w:r w:rsidRPr="0008481A">
        <w:t>åklagares handläggning av en förundersökning om misshandel där måls</w:t>
      </w:r>
      <w:r w:rsidRPr="0008481A">
        <w:softHyphen/>
        <w:t>äganden pekat ut en polisman som gärningsman 00/01:100</w:t>
      </w:r>
    </w:p>
    <w:p w:rsidR="003B3271" w:rsidRPr="0008481A" w:rsidRDefault="003B3271">
      <w:pPr>
        <w:pStyle w:val="PunktlistaTankstreck"/>
      </w:pPr>
      <w:r w:rsidRPr="0008481A">
        <w:t>uttalanden om principerna för fördelningen inom en åklagarmyndighet av anmälningar mot polismän 00/01:106</w:t>
      </w:r>
    </w:p>
    <w:p w:rsidR="003B3271" w:rsidRPr="0008481A" w:rsidRDefault="003B3271">
      <w:pPr>
        <w:pStyle w:val="PunktlistaTankstreck"/>
      </w:pPr>
      <w:r w:rsidRPr="0008481A">
        <w:t>fråga om tillämpningen av bestämmelserna i 20 kap. 5 § brottsbalken vid prövning av om förundersökning skulle inledas med anledning av en polis</w:t>
      </w:r>
      <w:r w:rsidRPr="0008481A">
        <w:softHyphen/>
        <w:t>anmälan om förolämpning i vilken det påstods att gärningen i</w:t>
      </w:r>
      <w:r w:rsidRPr="0008481A">
        <w:t>n</w:t>
      </w:r>
      <w:r w:rsidRPr="0008481A">
        <w:t>träffat i samband med utövningen av anställningen vid en polismyndighet 00/01:184</w:t>
      </w:r>
    </w:p>
    <w:p w:rsidR="003B3271" w:rsidRPr="0008481A" w:rsidRDefault="003B3271">
      <w:pPr>
        <w:pStyle w:val="PunktlistaTankstreck"/>
      </w:pPr>
      <w:r w:rsidRPr="0008481A">
        <w:t>handläggningen hos överåklagare av en anmälan mot en kammaråkl</w:t>
      </w:r>
      <w:r w:rsidRPr="0008481A">
        <w:t>a</w:t>
      </w:r>
      <w:r w:rsidRPr="0008481A">
        <w:t>gare för försummelser i tjänsten 00/01:197</w:t>
      </w:r>
    </w:p>
    <w:p w:rsidR="003B3271" w:rsidRPr="0008481A" w:rsidRDefault="003B3271">
      <w:pPr>
        <w:pStyle w:val="Rubrik3"/>
      </w:pPr>
      <w:r w:rsidRPr="0008481A">
        <w:t>Åtal</w:t>
      </w:r>
    </w:p>
    <w:p w:rsidR="003B3271" w:rsidRPr="0008481A" w:rsidRDefault="003B3271">
      <w:pPr>
        <w:pStyle w:val="PunktlistaTankstreck"/>
      </w:pPr>
      <w:r w:rsidRPr="0008481A">
        <w:t>frågan om ett häktningsbeslut borde ha hävts när åtalet kom att avse andra brott än de som låg till grund för häktningen 99/00:32</w:t>
      </w:r>
    </w:p>
    <w:p w:rsidR="003B3271" w:rsidRPr="0008481A" w:rsidRDefault="003B3271">
      <w:pPr>
        <w:pStyle w:val="PunktlistaTankstreck"/>
      </w:pPr>
      <w:r w:rsidRPr="0008481A">
        <w:t>åtal mot en domare med anledning av hans handläggning av ett antal tvistemål 00/01:34 + bilaga</w:t>
      </w:r>
    </w:p>
    <w:p w:rsidR="003B3271" w:rsidRPr="0008481A" w:rsidRDefault="003B3271">
      <w:pPr>
        <w:pStyle w:val="PunktlistaTankstreck"/>
      </w:pPr>
      <w:r w:rsidRPr="0008481A">
        <w:t>åtal mot en tjänsteman för brott mot efterforskningsförbudet i 2 kap. 4 och 5 §§ yttrandefrihetsgrundlagen 00/01:542</w:t>
      </w:r>
    </w:p>
    <w:p w:rsidR="003B3271" w:rsidRPr="0008481A" w:rsidRDefault="003B3271">
      <w:pPr>
        <w:pStyle w:val="Rubrik3"/>
      </w:pPr>
      <w:r w:rsidRPr="0008481A">
        <w:t>Överförmyndare, överförmyndarnämnder</w:t>
      </w:r>
    </w:p>
    <w:p w:rsidR="003B3271" w:rsidRPr="0008481A" w:rsidRDefault="003B3271">
      <w:pPr>
        <w:pStyle w:val="PunktlistaTankstreck"/>
      </w:pPr>
      <w:r w:rsidRPr="0008481A">
        <w:t>kritik mot en överförmyndarnämnd för underlåtenhet att unde</w:t>
      </w:r>
      <w:r w:rsidRPr="0008481A">
        <w:t>r</w:t>
      </w:r>
      <w:r w:rsidRPr="0008481A">
        <w:t xml:space="preserve">rätta den underårige om beslut om arvode till förmyndare 99/00:368 </w:t>
      </w:r>
    </w:p>
    <w:p w:rsidR="003B3271" w:rsidRPr="0008481A" w:rsidRDefault="003B3271">
      <w:pPr>
        <w:pStyle w:val="PunktlistaTankstreck"/>
      </w:pPr>
      <w:r w:rsidRPr="0008481A">
        <w:t>kritik mot länsstyrelse för brister i tillsynen över överförmyndare och över</w:t>
      </w:r>
      <w:r w:rsidRPr="0008481A">
        <w:softHyphen/>
        <w:t xml:space="preserve">förmyndarnämnder 99/00:371 </w:t>
      </w:r>
    </w:p>
    <w:p w:rsidR="003B3271" w:rsidRPr="0008481A" w:rsidRDefault="003B3271">
      <w:pPr>
        <w:pStyle w:val="PunktlistaTankstreck"/>
      </w:pPr>
      <w:r w:rsidRPr="0008481A">
        <w:t>vissa iakttagelser och uttalanden med anknytning till förmynderskapslag</w:t>
      </w:r>
      <w:r w:rsidRPr="0008481A">
        <w:softHyphen/>
        <w:t>stiftningen 00/01:496</w:t>
      </w:r>
    </w:p>
    <w:p w:rsidR="003B3271" w:rsidRPr="0008481A" w:rsidRDefault="003B3271">
      <w:pPr>
        <w:pStyle w:val="PunktlistaTankstreck"/>
      </w:pPr>
      <w:r w:rsidRPr="0008481A">
        <w:t>kritik mot en överförmyndare för underlåtenhet att kommunicera ett arvodesyrkande med dödsbo m.m. 00/01:498</w:t>
      </w:r>
    </w:p>
    <w:p w:rsidR="003B3271" w:rsidRPr="0008481A" w:rsidRDefault="003B3271">
      <w:pPr>
        <w:pStyle w:val="PunktlistaTankstreck"/>
      </w:pPr>
      <w:r w:rsidRPr="0008481A">
        <w:t>fråga om en överförmyndare varit jävig vid handläg</w:t>
      </w:r>
      <w:r w:rsidRPr="0008481A">
        <w:t>g</w:t>
      </w:r>
      <w:r w:rsidRPr="0008481A">
        <w:t>ningen av ett för</w:t>
      </w:r>
      <w:r w:rsidRPr="0008481A">
        <w:softHyphen/>
        <w:t>valtarskapsärende 00/01:501</w:t>
      </w:r>
    </w:p>
    <w:p w:rsidR="003B3271" w:rsidRPr="0008481A" w:rsidRDefault="003B3271">
      <w:pPr>
        <w:pStyle w:val="PunktlistaTankstreck"/>
      </w:pPr>
      <w:r w:rsidRPr="0008481A">
        <w:t>kritik mot överförmyndare för handläggningen av en god mans begäran om försäljning av huvudmannens fastighetsandel m.m. 00/01:504</w:t>
      </w:r>
    </w:p>
    <w:p w:rsidR="003B3271" w:rsidRPr="0008481A" w:rsidRDefault="003B3271">
      <w:pPr>
        <w:pStyle w:val="PunktlistaTankstreck"/>
      </w:pPr>
      <w:r w:rsidRPr="0008481A">
        <w:t>ett på JO:s initiativ upptaget ärende angående handläg</w:t>
      </w:r>
      <w:r w:rsidRPr="0008481A">
        <w:t>g</w:t>
      </w:r>
      <w:r w:rsidRPr="0008481A">
        <w:t>ningen av ett ärende om godmanskap 00/01:506</w:t>
      </w:r>
    </w:p>
    <w:p w:rsidR="003B3271" w:rsidRPr="0008481A" w:rsidRDefault="003B3271">
      <w:pPr>
        <w:pStyle w:val="Rubrik3"/>
      </w:pPr>
      <w:r w:rsidRPr="0008481A">
        <w:t>Överklagande</w:t>
      </w:r>
    </w:p>
    <w:p w:rsidR="003B3271" w:rsidRPr="0008481A" w:rsidRDefault="003B3271">
      <w:pPr>
        <w:pStyle w:val="PunktlistaTankstreck"/>
      </w:pPr>
      <w:r w:rsidRPr="0008481A">
        <w:t>fråga om en länsrätt bort ta upp en viss skrivelse som ett över</w:t>
      </w:r>
      <w:r w:rsidRPr="0008481A">
        <w:softHyphen/>
        <w:t>klagande 99/00:188</w:t>
      </w:r>
    </w:p>
    <w:p w:rsidR="003B3271" w:rsidRPr="0008481A" w:rsidRDefault="003B3271">
      <w:pPr>
        <w:pStyle w:val="PunktlistaTankstreck"/>
      </w:pPr>
      <w:r w:rsidRPr="0008481A">
        <w:t xml:space="preserve">fråga om myndighets skyldighet att låta översätta en på utländskt språk författad överklagandeskrift till svenska 99/00:216 </w:t>
      </w:r>
    </w:p>
    <w:p w:rsidR="003B3271" w:rsidRPr="0008481A" w:rsidRDefault="003B3271">
      <w:pPr>
        <w:pStyle w:val="PunktlistaTankstreck"/>
      </w:pPr>
      <w:r w:rsidRPr="0008481A">
        <w:t>kronofogdemyndighets hantering av ett överklagande 00/01:228</w:t>
      </w:r>
    </w:p>
    <w:p w:rsidR="003B3271" w:rsidRPr="0008481A" w:rsidRDefault="003B3271">
      <w:pPr>
        <w:pStyle w:val="PunktlistaTankstreck"/>
      </w:pPr>
      <w:r w:rsidRPr="0008481A">
        <w:t>kronofogdemyndighets dröjsmål med att översända ett överklagande till domstol 00/01:229</w:t>
      </w:r>
    </w:p>
    <w:p w:rsidR="003B3271" w:rsidRPr="0008481A" w:rsidRDefault="003B3271">
      <w:pPr>
        <w:pStyle w:val="PunktlistaTankstreck"/>
        <w:rPr>
          <w:b/>
        </w:rPr>
      </w:pPr>
      <w:r w:rsidRPr="0008481A">
        <w:t>försäkringskassas underlåtenhet att vidarebefordra överklagande 00/01:411</w:t>
      </w:r>
    </w:p>
    <w:p w:rsidR="003B3271" w:rsidRPr="0008481A" w:rsidRDefault="003B3271">
      <w:pPr>
        <w:pStyle w:val="PunktlistaTankstreck"/>
      </w:pPr>
      <w:r w:rsidRPr="0008481A">
        <w:t>tiden för överklagande av förvaltningsbeslut 00/01:495</w:t>
      </w:r>
    </w:p>
    <w:p w:rsidR="003B3271" w:rsidRPr="0008481A" w:rsidRDefault="003B3271">
      <w:pPr>
        <w:pStyle w:val="Rubrik3"/>
      </w:pPr>
      <w:r w:rsidRPr="0008481A">
        <w:t>Överlämnande av myndighetsutövning</w:t>
      </w:r>
    </w:p>
    <w:p w:rsidR="003B3271" w:rsidRPr="0008481A" w:rsidRDefault="003B3271">
      <w:pPr>
        <w:pStyle w:val="PunktlistaTankstreck"/>
      </w:pPr>
      <w:r w:rsidRPr="0008481A">
        <w:t>fråga huruvida en länsstyrelse överlämnat förvaltningsuppgifter som inne</w:t>
      </w:r>
      <w:r w:rsidRPr="0008481A">
        <w:softHyphen/>
        <w:t>fattar myndighetsutövning till en jägarorganisation 00/01:269</w:t>
      </w:r>
    </w:p>
    <w:p w:rsidR="003B3271" w:rsidRPr="0008481A" w:rsidRDefault="003B3271">
      <w:pPr>
        <w:pStyle w:val="Rubrik1"/>
        <w:spacing w:before="0"/>
        <w:sectPr w:rsidR="00000000" w:rsidRPr="0008481A">
          <w:headerReference w:type="default" r:id="rId28"/>
          <w:pgSz w:w="11906" w:h="16838" w:code="9"/>
          <w:pgMar w:top="3969" w:right="5103" w:bottom="1106" w:left="907" w:header="57" w:footer="57" w:gutter="0"/>
          <w:cols w:space="720"/>
        </w:sectPr>
      </w:pPr>
    </w:p>
    <w:p w:rsidR="003B3271" w:rsidRPr="0008481A" w:rsidRDefault="003B3271">
      <w:pPr>
        <w:pStyle w:val="Rubrik1"/>
        <w:spacing w:before="0"/>
      </w:pPr>
      <w:r w:rsidRPr="0008481A">
        <w:t xml:space="preserve">The Swedish Parliamentary Ombudsmen </w:t>
      </w:r>
    </w:p>
    <w:p w:rsidR="003B3271" w:rsidRPr="0008481A" w:rsidRDefault="003B3271">
      <w:pPr>
        <w:pStyle w:val="Rubrik2"/>
        <w:spacing w:before="240"/>
      </w:pPr>
      <w:r w:rsidRPr="0008481A">
        <w:t>Report for the period 1 July 1999 to 30 June 2000</w:t>
      </w:r>
    </w:p>
    <w:p w:rsidR="003B3271" w:rsidRPr="0008481A" w:rsidRDefault="003B3271">
      <w:r w:rsidRPr="0008481A">
        <w:t>During the period covered by the report, the following have held office as Parliamentary Ombudsmen: Mr. Claes Eklundh, who is Chief Parliamentary Ombudsman, Mr. Jan Pennlöv, Mrs. Kerstin André and Mr Nils-Olof Berggren (as from December 1, 1999). During a vacancy, Deputy Ombuds</w:t>
      </w:r>
      <w:r w:rsidRPr="0008481A">
        <w:softHyphen/>
        <w:t xml:space="preserve">man Leif Ekberg has worked as acting ombudsman between August 23 and November 30, 1999. Moreover, Mr. Ekberg and Deputy Ombudsman Gunnel Norell Söderblom have handled and decided cases of supervision during a number of shorter periods. </w:t>
      </w:r>
    </w:p>
    <w:p w:rsidR="003B3271" w:rsidRPr="0008481A" w:rsidRDefault="003B3271">
      <w:pPr>
        <w:pStyle w:val="Normaltindrag"/>
      </w:pPr>
      <w:r w:rsidRPr="0008481A">
        <w:t>Mr. Eklundh has supervised the courts of law, the public prosecution service and the police, while Mr. Pennlöv has dealt with matters concerning the prisons, the armed forces, taxation, customs, the execution of judge</w:t>
      </w:r>
      <w:r w:rsidRPr="0008481A">
        <w:softHyphen/>
        <w:t>ments, social insurance and chief guardians. Mrs. André has supervised the fields of social welfare, public health and medical care and education. A number of cases in this area have been handled and decided by Mrs. Norell Söderblom. Mr. Berggren and Mr. Ekberg, finally, have been responsible for the supervision of the administrative courts, building and construction, immigration, administration of foreign affairs, environmental protection, farming and protection of animals, labour market, and all addition</w:t>
      </w:r>
      <w:r w:rsidRPr="0008481A">
        <w:t>al aspects of civil administration not supervised by any other Parliamentary Ombuds</w:t>
      </w:r>
      <w:r w:rsidRPr="0008481A">
        <w:softHyphen/>
        <w:t>man.</w:t>
      </w:r>
    </w:p>
    <w:p w:rsidR="003B3271" w:rsidRPr="0008481A" w:rsidRDefault="003B3271">
      <w:pPr>
        <w:pStyle w:val="Normaltindrag"/>
      </w:pPr>
      <w:r w:rsidRPr="0008481A">
        <w:t xml:space="preserve">During the year, 4 739 new cases were registered with the Ombudsmen; </w:t>
      </w:r>
      <w:r w:rsidRPr="0008481A">
        <w:br/>
        <w:t>4 626 of them were complaints and other cases received (a decrease by 165 compared to the number of cases received during the previous year) and 113 were cases initiated by the Ombudsmen themselves on the basis of observations made during inspections, of newspaper reports or on other grounds.</w:t>
      </w:r>
    </w:p>
    <w:p w:rsidR="003B3271" w:rsidRPr="0008481A" w:rsidRDefault="003B3271">
      <w:pPr>
        <w:pStyle w:val="Normaltindrag"/>
      </w:pPr>
      <w:r w:rsidRPr="0008481A">
        <w:t>It should be noted that the schedules overleaf show cases concluded during the period, not all cases lodged.</w:t>
      </w:r>
    </w:p>
    <w:p w:rsidR="003B3271" w:rsidRPr="0008481A" w:rsidRDefault="003B3271">
      <w:pPr>
        <w:pStyle w:val="Normaltindrag"/>
      </w:pPr>
      <w:r w:rsidRPr="0008481A">
        <w:t>This summary also comprises full reports of some of the cases dealt with by the Ombudsmen during the period.</w:t>
      </w:r>
    </w:p>
    <w:p w:rsidR="003B3271" w:rsidRPr="0008481A" w:rsidRDefault="003B3271">
      <w:pPr>
        <w:pStyle w:val="Rubrik4"/>
        <w:spacing w:before="0" w:after="120"/>
      </w:pPr>
      <w:r w:rsidRPr="0008481A">
        <w:br w:type="page"/>
        <w:t>Schedule of cases initiated by the Ombudsmen and concluded during the period 1 July 1999–30 June 2000</w:t>
      </w:r>
    </w:p>
    <w:tbl>
      <w:tblPr>
        <w:tblW w:w="0" w:type="auto"/>
        <w:tblInd w:w="-284" w:type="dxa"/>
        <w:tblLayout w:type="fixed"/>
        <w:tblCellMar>
          <w:left w:w="70" w:type="dxa"/>
          <w:right w:w="70" w:type="dxa"/>
        </w:tblCellMar>
        <w:tblLook w:val="0000" w:firstRow="0" w:lastRow="0" w:firstColumn="0" w:lastColumn="0" w:noHBand="0" w:noVBand="0"/>
      </w:tblPr>
      <w:tblGrid>
        <w:gridCol w:w="2127"/>
        <w:gridCol w:w="851"/>
        <w:gridCol w:w="850"/>
        <w:gridCol w:w="851"/>
        <w:gridCol w:w="992"/>
        <w:gridCol w:w="992"/>
        <w:gridCol w:w="851"/>
      </w:tblGrid>
      <w:tr w:rsidR="00000000" w:rsidRPr="0008481A">
        <w:tblPrEx>
          <w:tblCellMar>
            <w:top w:w="0" w:type="dxa"/>
            <w:bottom w:w="0" w:type="dxa"/>
          </w:tblCellMar>
        </w:tblPrEx>
        <w:tc>
          <w:tcPr>
            <w:tcW w:w="2127" w:type="dxa"/>
            <w:tcBorders>
              <w:top w:val="single" w:sz="4" w:space="0" w:color="auto"/>
              <w:bottom w:val="single" w:sz="6" w:space="0" w:color="auto"/>
            </w:tcBorders>
          </w:tcPr>
          <w:p w:rsidR="003B3271" w:rsidRPr="0008481A" w:rsidRDefault="003B3271">
            <w:pPr>
              <w:ind w:right="-1"/>
              <w:jc w:val="left"/>
            </w:pPr>
            <w:r w:rsidRPr="0008481A">
              <w:t xml:space="preserve">Activity concerned </w:t>
            </w:r>
          </w:p>
        </w:tc>
        <w:tc>
          <w:tcPr>
            <w:tcW w:w="851" w:type="dxa"/>
            <w:tcBorders>
              <w:top w:val="single" w:sz="4" w:space="0" w:color="auto"/>
              <w:bottom w:val="single" w:sz="6" w:space="0" w:color="auto"/>
            </w:tcBorders>
          </w:tcPr>
          <w:p w:rsidR="003B3271" w:rsidRPr="0008481A" w:rsidRDefault="003B3271">
            <w:pPr>
              <w:ind w:right="-1"/>
              <w:jc w:val="left"/>
            </w:pPr>
            <w:r w:rsidRPr="0008481A">
              <w:t>Closed without final critisism</w:t>
            </w:r>
          </w:p>
          <w:p w:rsidR="003B3271" w:rsidRPr="0008481A" w:rsidRDefault="003B3271">
            <w:pPr>
              <w:ind w:right="-1"/>
              <w:jc w:val="left"/>
            </w:pPr>
          </w:p>
        </w:tc>
        <w:tc>
          <w:tcPr>
            <w:tcW w:w="850" w:type="dxa"/>
            <w:tcBorders>
              <w:top w:val="single" w:sz="4" w:space="0" w:color="auto"/>
              <w:bottom w:val="single" w:sz="6" w:space="0" w:color="auto"/>
            </w:tcBorders>
          </w:tcPr>
          <w:p w:rsidR="003B3271" w:rsidRPr="0008481A" w:rsidRDefault="003B3271">
            <w:pPr>
              <w:ind w:right="-1"/>
              <w:jc w:val="left"/>
            </w:pPr>
            <w:r w:rsidRPr="0008481A">
              <w:t>Admoni</w:t>
            </w:r>
            <w:r w:rsidRPr="0008481A">
              <w:softHyphen/>
              <w:t>tions or other critisism</w:t>
            </w:r>
          </w:p>
          <w:p w:rsidR="003B3271" w:rsidRPr="0008481A" w:rsidRDefault="003B3271">
            <w:pPr>
              <w:ind w:right="-1"/>
              <w:jc w:val="left"/>
            </w:pPr>
          </w:p>
        </w:tc>
        <w:tc>
          <w:tcPr>
            <w:tcW w:w="851" w:type="dxa"/>
            <w:tcBorders>
              <w:top w:val="single" w:sz="4" w:space="0" w:color="auto"/>
              <w:bottom w:val="single" w:sz="6" w:space="0" w:color="auto"/>
            </w:tcBorders>
          </w:tcPr>
          <w:p w:rsidR="003B3271" w:rsidRPr="0008481A" w:rsidRDefault="003B3271">
            <w:pPr>
              <w:ind w:right="-1"/>
              <w:jc w:val="left"/>
            </w:pPr>
            <w:r w:rsidRPr="0008481A">
              <w:t>Prosecu</w:t>
            </w:r>
            <w:r w:rsidRPr="0008481A">
              <w:softHyphen/>
              <w:t>tions or discipli</w:t>
            </w:r>
            <w:r w:rsidRPr="0008481A">
              <w:softHyphen/>
              <w:t>nary pro</w:t>
            </w:r>
            <w:r w:rsidRPr="0008481A">
              <w:softHyphen/>
              <w:t>ceedings</w:t>
            </w:r>
          </w:p>
        </w:tc>
        <w:tc>
          <w:tcPr>
            <w:tcW w:w="992" w:type="dxa"/>
            <w:tcBorders>
              <w:top w:val="single" w:sz="4" w:space="0" w:color="auto"/>
              <w:bottom w:val="single" w:sz="6" w:space="0" w:color="auto"/>
            </w:tcBorders>
          </w:tcPr>
          <w:p w:rsidR="003B3271" w:rsidRPr="0008481A" w:rsidRDefault="003B3271">
            <w:pPr>
              <w:ind w:right="-1"/>
              <w:jc w:val="left"/>
            </w:pPr>
            <w:r w:rsidRPr="0008481A">
              <w:t>Referred to other agencies or state organs</w:t>
            </w:r>
          </w:p>
        </w:tc>
        <w:tc>
          <w:tcPr>
            <w:tcW w:w="992" w:type="dxa"/>
            <w:tcBorders>
              <w:top w:val="single" w:sz="4" w:space="0" w:color="auto"/>
              <w:bottom w:val="single" w:sz="6" w:space="0" w:color="auto"/>
            </w:tcBorders>
          </w:tcPr>
          <w:p w:rsidR="003B3271" w:rsidRPr="0008481A" w:rsidRDefault="003B3271">
            <w:pPr>
              <w:ind w:right="-1"/>
              <w:jc w:val="left"/>
            </w:pPr>
            <w:r w:rsidRPr="0008481A">
              <w:t>Proposal to Parlia</w:t>
            </w:r>
            <w:r w:rsidRPr="0008481A">
              <w:softHyphen/>
              <w:t xml:space="preserve">ment or </w:t>
            </w:r>
            <w:r w:rsidRPr="0008481A">
              <w:br/>
              <w:t>to the Govern</w:t>
            </w:r>
            <w:r w:rsidRPr="0008481A">
              <w:softHyphen/>
              <w:t>ment</w:t>
            </w:r>
          </w:p>
        </w:tc>
        <w:tc>
          <w:tcPr>
            <w:tcW w:w="851" w:type="dxa"/>
            <w:tcBorders>
              <w:top w:val="single" w:sz="4" w:space="0" w:color="auto"/>
              <w:bottom w:val="single" w:sz="6" w:space="0" w:color="auto"/>
            </w:tcBorders>
          </w:tcPr>
          <w:p w:rsidR="003B3271" w:rsidRPr="0008481A" w:rsidRDefault="003B3271">
            <w:pPr>
              <w:ind w:right="-1"/>
              <w:jc w:val="left"/>
            </w:pPr>
            <w:r w:rsidRPr="0008481A">
              <w:t>Total</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Courts</w:t>
            </w:r>
          </w:p>
        </w:tc>
        <w:tc>
          <w:tcPr>
            <w:tcW w:w="851" w:type="dxa"/>
          </w:tcPr>
          <w:p w:rsidR="003B3271" w:rsidRPr="0008481A" w:rsidRDefault="003B3271">
            <w:pPr>
              <w:ind w:right="284"/>
              <w:jc w:val="right"/>
            </w:pPr>
            <w:r w:rsidRPr="0008481A">
              <w:t>3</w:t>
            </w:r>
          </w:p>
        </w:tc>
        <w:tc>
          <w:tcPr>
            <w:tcW w:w="850" w:type="dxa"/>
          </w:tcPr>
          <w:p w:rsidR="003B3271" w:rsidRPr="0008481A" w:rsidRDefault="003B3271">
            <w:pPr>
              <w:ind w:right="284"/>
              <w:jc w:val="right"/>
            </w:pPr>
            <w:r w:rsidRPr="0008481A">
              <w:t>7</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10</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Public prosecutors</w:t>
            </w:r>
          </w:p>
        </w:tc>
        <w:tc>
          <w:tcPr>
            <w:tcW w:w="851" w:type="dxa"/>
          </w:tcPr>
          <w:p w:rsidR="003B3271" w:rsidRPr="0008481A" w:rsidRDefault="003B3271">
            <w:pPr>
              <w:ind w:right="284"/>
              <w:jc w:val="right"/>
            </w:pPr>
            <w:r w:rsidRPr="0008481A">
              <w:t>2</w:t>
            </w:r>
          </w:p>
        </w:tc>
        <w:tc>
          <w:tcPr>
            <w:tcW w:w="850" w:type="dxa"/>
          </w:tcPr>
          <w:p w:rsidR="003B3271" w:rsidRPr="0008481A" w:rsidRDefault="003B3271">
            <w:pPr>
              <w:ind w:right="284"/>
              <w:jc w:val="right"/>
            </w:pPr>
            <w:r w:rsidRPr="0008481A">
              <w:t>12</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14</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Police authorities</w:t>
            </w:r>
          </w:p>
        </w:tc>
        <w:tc>
          <w:tcPr>
            <w:tcW w:w="851" w:type="dxa"/>
          </w:tcPr>
          <w:p w:rsidR="003B3271" w:rsidRPr="0008481A" w:rsidRDefault="003B3271">
            <w:pPr>
              <w:ind w:right="284"/>
              <w:jc w:val="right"/>
            </w:pPr>
            <w:r w:rsidRPr="0008481A">
              <w:t>4</w:t>
            </w:r>
          </w:p>
        </w:tc>
        <w:tc>
          <w:tcPr>
            <w:tcW w:w="850" w:type="dxa"/>
          </w:tcPr>
          <w:p w:rsidR="003B3271" w:rsidRPr="0008481A" w:rsidRDefault="003B3271">
            <w:pPr>
              <w:ind w:right="284"/>
              <w:jc w:val="right"/>
            </w:pPr>
            <w:r w:rsidRPr="0008481A">
              <w:t>25</w:t>
            </w:r>
          </w:p>
        </w:tc>
        <w:tc>
          <w:tcPr>
            <w:tcW w:w="851" w:type="dxa"/>
          </w:tcPr>
          <w:p w:rsidR="003B3271" w:rsidRPr="0008481A" w:rsidRDefault="003B3271">
            <w:pPr>
              <w:ind w:right="284"/>
              <w:jc w:val="right"/>
            </w:pPr>
            <w:r w:rsidRPr="0008481A">
              <w:t>1</w:t>
            </w:r>
          </w:p>
        </w:tc>
        <w:tc>
          <w:tcPr>
            <w:tcW w:w="992" w:type="dxa"/>
          </w:tcPr>
          <w:p w:rsidR="003B3271" w:rsidRPr="0008481A" w:rsidRDefault="003B3271">
            <w:pPr>
              <w:ind w:right="284"/>
              <w:jc w:val="right"/>
            </w:pPr>
            <w:r w:rsidRPr="0008481A">
              <w:t>4</w:t>
            </w:r>
          </w:p>
        </w:tc>
        <w:tc>
          <w:tcPr>
            <w:tcW w:w="992"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35</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Armed forces</w:t>
            </w:r>
          </w:p>
        </w:tc>
        <w:tc>
          <w:tcPr>
            <w:tcW w:w="851" w:type="dxa"/>
          </w:tcPr>
          <w:p w:rsidR="003B3271" w:rsidRPr="0008481A" w:rsidRDefault="003B3271">
            <w:pPr>
              <w:ind w:right="284"/>
              <w:jc w:val="right"/>
            </w:pPr>
            <w:r w:rsidRPr="0008481A">
              <w:t>1</w:t>
            </w:r>
          </w:p>
        </w:tc>
        <w:tc>
          <w:tcPr>
            <w:tcW w:w="850"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1</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Prison administration</w:t>
            </w:r>
          </w:p>
        </w:tc>
        <w:tc>
          <w:tcPr>
            <w:tcW w:w="851" w:type="dxa"/>
          </w:tcPr>
          <w:p w:rsidR="003B3271" w:rsidRPr="0008481A" w:rsidRDefault="003B3271">
            <w:pPr>
              <w:ind w:right="284"/>
              <w:jc w:val="right"/>
            </w:pPr>
            <w:r w:rsidRPr="0008481A">
              <w:t>2</w:t>
            </w:r>
          </w:p>
        </w:tc>
        <w:tc>
          <w:tcPr>
            <w:tcW w:w="850" w:type="dxa"/>
          </w:tcPr>
          <w:p w:rsidR="003B3271" w:rsidRPr="0008481A" w:rsidRDefault="003B3271">
            <w:pPr>
              <w:ind w:right="284"/>
              <w:jc w:val="right"/>
            </w:pPr>
            <w:r w:rsidRPr="0008481A">
              <w:t>8</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10</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Social welfare</w:t>
            </w:r>
          </w:p>
        </w:tc>
        <w:tc>
          <w:tcPr>
            <w:tcW w:w="851" w:type="dxa"/>
          </w:tcPr>
          <w:p w:rsidR="003B3271" w:rsidRPr="0008481A" w:rsidRDefault="003B3271">
            <w:pPr>
              <w:ind w:right="284"/>
              <w:jc w:val="right"/>
            </w:pPr>
            <w:r w:rsidRPr="0008481A">
              <w:t>3</w:t>
            </w:r>
          </w:p>
        </w:tc>
        <w:tc>
          <w:tcPr>
            <w:tcW w:w="850" w:type="dxa"/>
          </w:tcPr>
          <w:p w:rsidR="003B3271" w:rsidRPr="0008481A" w:rsidRDefault="003B3271">
            <w:pPr>
              <w:ind w:right="284"/>
              <w:jc w:val="right"/>
            </w:pPr>
            <w:r w:rsidRPr="0008481A">
              <w:t>4</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7</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Medical care</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1</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2</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Social insurance</w:t>
            </w:r>
          </w:p>
        </w:tc>
        <w:tc>
          <w:tcPr>
            <w:tcW w:w="851" w:type="dxa"/>
          </w:tcPr>
          <w:p w:rsidR="003B3271" w:rsidRPr="0008481A" w:rsidRDefault="003B3271">
            <w:pPr>
              <w:ind w:right="284"/>
              <w:jc w:val="right"/>
            </w:pPr>
            <w:r w:rsidRPr="0008481A">
              <w:t>2</w:t>
            </w:r>
          </w:p>
        </w:tc>
        <w:tc>
          <w:tcPr>
            <w:tcW w:w="850" w:type="dxa"/>
          </w:tcPr>
          <w:p w:rsidR="003B3271" w:rsidRPr="0008481A" w:rsidRDefault="003B3271">
            <w:pPr>
              <w:ind w:right="284"/>
              <w:jc w:val="right"/>
            </w:pPr>
            <w:r w:rsidRPr="0008481A">
              <w:t>9</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12</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Labour market</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1</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Execution of judgements</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1</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Education, culture</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6</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6</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Taxation, customs</w:t>
            </w:r>
          </w:p>
        </w:tc>
        <w:tc>
          <w:tcPr>
            <w:tcW w:w="851" w:type="dxa"/>
          </w:tcPr>
          <w:p w:rsidR="003B3271" w:rsidRPr="0008481A" w:rsidRDefault="003B3271">
            <w:pPr>
              <w:ind w:right="284"/>
              <w:jc w:val="right"/>
            </w:pPr>
            <w:r w:rsidRPr="0008481A">
              <w:t>1</w:t>
            </w:r>
          </w:p>
        </w:tc>
        <w:tc>
          <w:tcPr>
            <w:tcW w:w="850" w:type="dxa"/>
          </w:tcPr>
          <w:p w:rsidR="003B3271" w:rsidRPr="0008481A" w:rsidRDefault="003B3271">
            <w:pPr>
              <w:ind w:right="284"/>
              <w:jc w:val="right"/>
            </w:pPr>
            <w:r w:rsidRPr="0008481A">
              <w:t>1</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2 </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 xml:space="preserve">Environmental management, public health, protection of animals </w:t>
            </w:r>
          </w:p>
        </w:tc>
        <w:tc>
          <w:tcPr>
            <w:tcW w:w="851" w:type="dxa"/>
          </w:tcPr>
          <w:p w:rsidR="003B3271" w:rsidRPr="0008481A" w:rsidRDefault="003B3271">
            <w:pPr>
              <w:ind w:right="284"/>
              <w:jc w:val="right"/>
            </w:pPr>
            <w:r w:rsidRPr="0008481A">
              <w:t>1</w:t>
            </w:r>
          </w:p>
        </w:tc>
        <w:tc>
          <w:tcPr>
            <w:tcW w:w="850" w:type="dxa"/>
          </w:tcPr>
          <w:p w:rsidR="003B3271" w:rsidRPr="0008481A" w:rsidRDefault="003B3271">
            <w:pPr>
              <w:ind w:right="284"/>
              <w:jc w:val="right"/>
            </w:pPr>
            <w:r w:rsidRPr="0008481A">
              <w:t>7</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8 </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Planning</w:t>
            </w:r>
          </w:p>
        </w:tc>
        <w:tc>
          <w:tcPr>
            <w:tcW w:w="851" w:type="dxa"/>
          </w:tcPr>
          <w:p w:rsidR="003B3271" w:rsidRPr="0008481A" w:rsidRDefault="003B3271">
            <w:pPr>
              <w:ind w:right="284"/>
              <w:jc w:val="right"/>
            </w:pPr>
            <w:r w:rsidRPr="0008481A">
              <w:t>1</w:t>
            </w:r>
          </w:p>
        </w:tc>
        <w:tc>
          <w:tcPr>
            <w:tcW w:w="850" w:type="dxa"/>
          </w:tcPr>
          <w:p w:rsidR="003B3271" w:rsidRPr="0008481A" w:rsidRDefault="003B3271">
            <w:pPr>
              <w:ind w:right="284"/>
              <w:jc w:val="right"/>
            </w:pPr>
            <w:r w:rsidRPr="0008481A">
              <w:t>4</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5</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Communications</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5</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5</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Chief guardians</w:t>
            </w:r>
          </w:p>
        </w:tc>
        <w:tc>
          <w:tcPr>
            <w:tcW w:w="851" w:type="dxa"/>
          </w:tcPr>
          <w:p w:rsidR="003B3271" w:rsidRPr="0008481A" w:rsidRDefault="003B3271">
            <w:pPr>
              <w:ind w:right="284"/>
              <w:jc w:val="right"/>
            </w:pPr>
            <w:r w:rsidRPr="0008481A">
              <w:t>–</w:t>
            </w:r>
          </w:p>
        </w:tc>
        <w:tc>
          <w:tcPr>
            <w:tcW w:w="850" w:type="dxa"/>
          </w:tcPr>
          <w:p w:rsidR="003B3271" w:rsidRPr="0008481A" w:rsidRDefault="003B3271">
            <w:pPr>
              <w:ind w:right="284"/>
              <w:jc w:val="right"/>
            </w:pPr>
            <w:r w:rsidRPr="0008481A">
              <w:t>5</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5</w:t>
            </w:r>
          </w:p>
        </w:tc>
      </w:tr>
      <w:tr w:rsidR="00000000" w:rsidRPr="0008481A">
        <w:tblPrEx>
          <w:tblCellMar>
            <w:top w:w="0" w:type="dxa"/>
            <w:bottom w:w="0" w:type="dxa"/>
          </w:tblCellMar>
        </w:tblPrEx>
        <w:tc>
          <w:tcPr>
            <w:tcW w:w="2127" w:type="dxa"/>
          </w:tcPr>
          <w:p w:rsidR="003B3271" w:rsidRPr="0008481A" w:rsidRDefault="003B3271">
            <w:pPr>
              <w:ind w:right="-1"/>
              <w:jc w:val="left"/>
            </w:pPr>
            <w:r w:rsidRPr="0008481A">
              <w:t>Access to official documents, Freedom of the press</w:t>
            </w:r>
          </w:p>
        </w:tc>
        <w:tc>
          <w:tcPr>
            <w:tcW w:w="851" w:type="dxa"/>
          </w:tcPr>
          <w:p w:rsidR="003B3271" w:rsidRPr="0008481A" w:rsidRDefault="003B3271">
            <w:pPr>
              <w:ind w:right="284"/>
              <w:jc w:val="right"/>
            </w:pPr>
            <w:r w:rsidRPr="0008481A">
              <w:t>2</w:t>
            </w:r>
          </w:p>
        </w:tc>
        <w:tc>
          <w:tcPr>
            <w:tcW w:w="850" w:type="dxa"/>
          </w:tcPr>
          <w:p w:rsidR="003B3271" w:rsidRPr="0008481A" w:rsidRDefault="003B3271">
            <w:pPr>
              <w:ind w:right="284"/>
              <w:jc w:val="right"/>
            </w:pPr>
            <w:r w:rsidRPr="0008481A">
              <w:t>7</w:t>
            </w:r>
          </w:p>
        </w:tc>
        <w:tc>
          <w:tcPr>
            <w:tcW w:w="851"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992" w:type="dxa"/>
          </w:tcPr>
          <w:p w:rsidR="003B3271" w:rsidRPr="0008481A" w:rsidRDefault="003B3271">
            <w:pPr>
              <w:ind w:right="284"/>
              <w:jc w:val="right"/>
            </w:pPr>
            <w:r w:rsidRPr="0008481A">
              <w:t>–</w:t>
            </w:r>
          </w:p>
        </w:tc>
        <w:tc>
          <w:tcPr>
            <w:tcW w:w="851" w:type="dxa"/>
          </w:tcPr>
          <w:p w:rsidR="003B3271" w:rsidRPr="0008481A" w:rsidRDefault="003B3271">
            <w:pPr>
              <w:ind w:right="284"/>
              <w:jc w:val="right"/>
            </w:pPr>
            <w:r w:rsidRPr="0008481A">
              <w:t xml:space="preserve"> 9</w:t>
            </w:r>
          </w:p>
        </w:tc>
      </w:tr>
      <w:tr w:rsidR="00000000" w:rsidRPr="0008481A">
        <w:tblPrEx>
          <w:tblCellMar>
            <w:top w:w="0" w:type="dxa"/>
            <w:bottom w:w="0" w:type="dxa"/>
          </w:tblCellMar>
        </w:tblPrEx>
        <w:tc>
          <w:tcPr>
            <w:tcW w:w="2127" w:type="dxa"/>
            <w:tcBorders>
              <w:top w:val="single" w:sz="6" w:space="0" w:color="auto"/>
              <w:bottom w:val="single" w:sz="6" w:space="0" w:color="auto"/>
            </w:tcBorders>
          </w:tcPr>
          <w:p w:rsidR="003B3271" w:rsidRPr="0008481A" w:rsidRDefault="003B3271">
            <w:pPr>
              <w:ind w:right="-1"/>
              <w:jc w:val="left"/>
            </w:pPr>
            <w:r w:rsidRPr="0008481A">
              <w:t>Total</w:t>
            </w:r>
          </w:p>
        </w:tc>
        <w:tc>
          <w:tcPr>
            <w:tcW w:w="851" w:type="dxa"/>
            <w:tcBorders>
              <w:top w:val="single" w:sz="6" w:space="0" w:color="auto"/>
              <w:bottom w:val="single" w:sz="6" w:space="0" w:color="auto"/>
            </w:tcBorders>
          </w:tcPr>
          <w:p w:rsidR="003B3271" w:rsidRPr="0008481A" w:rsidRDefault="003B3271">
            <w:pPr>
              <w:ind w:right="284"/>
              <w:jc w:val="right"/>
              <w:rPr>
                <w:b/>
              </w:rPr>
            </w:pPr>
            <w:r w:rsidRPr="0008481A">
              <w:rPr>
                <w:b/>
              </w:rPr>
              <w:t>22</w:t>
            </w:r>
          </w:p>
        </w:tc>
        <w:tc>
          <w:tcPr>
            <w:tcW w:w="850" w:type="dxa"/>
            <w:tcBorders>
              <w:top w:val="single" w:sz="6" w:space="0" w:color="auto"/>
              <w:bottom w:val="single" w:sz="6" w:space="0" w:color="auto"/>
            </w:tcBorders>
          </w:tcPr>
          <w:p w:rsidR="003B3271" w:rsidRPr="0008481A" w:rsidRDefault="003B3271">
            <w:pPr>
              <w:ind w:right="284"/>
              <w:jc w:val="right"/>
              <w:rPr>
                <w:b/>
              </w:rPr>
            </w:pPr>
            <w:r w:rsidRPr="0008481A">
              <w:rPr>
                <w:b/>
              </w:rPr>
              <w:t>103</w:t>
            </w:r>
          </w:p>
        </w:tc>
        <w:tc>
          <w:tcPr>
            <w:tcW w:w="851" w:type="dxa"/>
            <w:tcBorders>
              <w:top w:val="single" w:sz="6" w:space="0" w:color="auto"/>
              <w:bottom w:val="single" w:sz="6" w:space="0" w:color="auto"/>
            </w:tcBorders>
          </w:tcPr>
          <w:p w:rsidR="003B3271" w:rsidRPr="0008481A" w:rsidRDefault="003B3271">
            <w:pPr>
              <w:ind w:right="284"/>
              <w:jc w:val="right"/>
              <w:rPr>
                <w:b/>
              </w:rPr>
            </w:pPr>
            <w:r w:rsidRPr="0008481A">
              <w:rPr>
                <w:b/>
              </w:rPr>
              <w:t>2</w:t>
            </w:r>
          </w:p>
        </w:tc>
        <w:tc>
          <w:tcPr>
            <w:tcW w:w="992" w:type="dxa"/>
            <w:tcBorders>
              <w:top w:val="single" w:sz="6" w:space="0" w:color="auto"/>
              <w:bottom w:val="single" w:sz="6" w:space="0" w:color="auto"/>
            </w:tcBorders>
          </w:tcPr>
          <w:p w:rsidR="003B3271" w:rsidRPr="0008481A" w:rsidRDefault="003B3271">
            <w:pPr>
              <w:ind w:right="284"/>
              <w:jc w:val="right"/>
              <w:rPr>
                <w:b/>
              </w:rPr>
            </w:pPr>
            <w:r w:rsidRPr="0008481A">
              <w:rPr>
                <w:b/>
              </w:rPr>
              <w:t>4</w:t>
            </w:r>
          </w:p>
        </w:tc>
        <w:tc>
          <w:tcPr>
            <w:tcW w:w="992" w:type="dxa"/>
            <w:tcBorders>
              <w:top w:val="single" w:sz="6" w:space="0" w:color="auto"/>
              <w:bottom w:val="single" w:sz="6" w:space="0" w:color="auto"/>
            </w:tcBorders>
          </w:tcPr>
          <w:p w:rsidR="003B3271" w:rsidRPr="0008481A" w:rsidRDefault="003B3271">
            <w:pPr>
              <w:ind w:right="284"/>
              <w:jc w:val="right"/>
              <w:rPr>
                <w:b/>
              </w:rPr>
            </w:pPr>
            <w:r w:rsidRPr="0008481A">
              <w:rPr>
                <w:b/>
              </w:rPr>
              <w:t>2</w:t>
            </w:r>
          </w:p>
        </w:tc>
        <w:tc>
          <w:tcPr>
            <w:tcW w:w="851" w:type="dxa"/>
            <w:tcBorders>
              <w:top w:val="single" w:sz="6" w:space="0" w:color="auto"/>
              <w:bottom w:val="single" w:sz="6" w:space="0" w:color="auto"/>
            </w:tcBorders>
          </w:tcPr>
          <w:p w:rsidR="003B3271" w:rsidRPr="0008481A" w:rsidRDefault="003B3271">
            <w:pPr>
              <w:ind w:right="284"/>
              <w:jc w:val="right"/>
              <w:rPr>
                <w:b/>
              </w:rPr>
            </w:pPr>
            <w:r w:rsidRPr="0008481A">
              <w:rPr>
                <w:b/>
              </w:rPr>
              <w:t>133</w:t>
            </w:r>
          </w:p>
        </w:tc>
      </w:tr>
    </w:tbl>
    <w:p w:rsidR="003B3271" w:rsidRPr="0008481A" w:rsidRDefault="003B3271">
      <w:pPr>
        <w:rPr>
          <w:i/>
          <w:sz w:val="22"/>
        </w:rPr>
      </w:pPr>
    </w:p>
    <w:p w:rsidR="003B3271" w:rsidRPr="0008481A" w:rsidRDefault="003B3271">
      <w:pPr>
        <w:pStyle w:val="Rubrik4"/>
        <w:spacing w:before="0" w:after="120"/>
      </w:pPr>
      <w:r w:rsidRPr="0008481A">
        <w:br w:type="page"/>
        <w:t>Shedule of complaint cases concluded during the period 1 July 1999–30 June 2000</w:t>
      </w:r>
    </w:p>
    <w:tbl>
      <w:tblPr>
        <w:tblW w:w="0" w:type="auto"/>
        <w:tblInd w:w="-284" w:type="dxa"/>
        <w:tblLayout w:type="fixed"/>
        <w:tblCellMar>
          <w:left w:w="70" w:type="dxa"/>
          <w:right w:w="70" w:type="dxa"/>
        </w:tblCellMar>
        <w:tblLook w:val="00A7" w:firstRow="1" w:lastRow="0" w:firstColumn="1" w:lastColumn="0" w:noHBand="0" w:noVBand="0"/>
      </w:tblPr>
      <w:tblGrid>
        <w:gridCol w:w="2041"/>
        <w:gridCol w:w="964"/>
        <w:gridCol w:w="822"/>
        <w:gridCol w:w="822"/>
        <w:gridCol w:w="822"/>
        <w:gridCol w:w="850"/>
        <w:gridCol w:w="936"/>
        <w:gridCol w:w="680"/>
      </w:tblGrid>
      <w:tr w:rsidR="00000000" w:rsidRPr="0008481A">
        <w:tblPrEx>
          <w:tblCellMar>
            <w:top w:w="0" w:type="dxa"/>
            <w:bottom w:w="0" w:type="dxa"/>
          </w:tblCellMar>
        </w:tblPrEx>
        <w:tc>
          <w:tcPr>
            <w:tcW w:w="2041" w:type="dxa"/>
            <w:tcBorders>
              <w:top w:val="single" w:sz="4" w:space="0" w:color="auto"/>
              <w:bottom w:val="single" w:sz="4" w:space="0" w:color="auto"/>
            </w:tcBorders>
          </w:tcPr>
          <w:p w:rsidR="003B3271" w:rsidRPr="0008481A" w:rsidRDefault="003B3271">
            <w:pPr>
              <w:spacing w:before="0" w:line="220" w:lineRule="exact"/>
              <w:jc w:val="left"/>
            </w:pPr>
            <w:r w:rsidRPr="0008481A">
              <w:t>Activity concerned</w:t>
            </w:r>
          </w:p>
        </w:tc>
        <w:tc>
          <w:tcPr>
            <w:tcW w:w="964" w:type="dxa"/>
            <w:tcBorders>
              <w:top w:val="single" w:sz="4" w:space="0" w:color="auto"/>
              <w:bottom w:val="single" w:sz="4" w:space="0" w:color="auto"/>
            </w:tcBorders>
          </w:tcPr>
          <w:p w:rsidR="003B3271" w:rsidRPr="0008481A" w:rsidRDefault="003B3271">
            <w:pPr>
              <w:spacing w:before="0" w:line="220" w:lineRule="exact"/>
              <w:jc w:val="left"/>
            </w:pPr>
            <w:r w:rsidRPr="0008481A">
              <w:t>Dismissed without investi</w:t>
            </w:r>
            <w:r w:rsidRPr="0008481A">
              <w:softHyphen/>
              <w:t>gation</w:t>
            </w:r>
          </w:p>
        </w:tc>
        <w:tc>
          <w:tcPr>
            <w:tcW w:w="822" w:type="dxa"/>
            <w:tcBorders>
              <w:top w:val="single" w:sz="4" w:space="0" w:color="auto"/>
              <w:bottom w:val="single" w:sz="4" w:space="0" w:color="auto"/>
            </w:tcBorders>
          </w:tcPr>
          <w:p w:rsidR="003B3271" w:rsidRPr="0008481A" w:rsidRDefault="003B3271">
            <w:pPr>
              <w:spacing w:before="0" w:line="220" w:lineRule="exact"/>
              <w:jc w:val="left"/>
            </w:pPr>
            <w:r w:rsidRPr="0008481A">
              <w:t>Referred to other agencies or state organs</w:t>
            </w:r>
          </w:p>
        </w:tc>
        <w:tc>
          <w:tcPr>
            <w:tcW w:w="822" w:type="dxa"/>
            <w:tcBorders>
              <w:top w:val="single" w:sz="4" w:space="0" w:color="auto"/>
              <w:bottom w:val="single" w:sz="4" w:space="0" w:color="auto"/>
            </w:tcBorders>
          </w:tcPr>
          <w:p w:rsidR="003B3271" w:rsidRPr="0008481A" w:rsidRDefault="003B3271">
            <w:pPr>
              <w:spacing w:before="0" w:line="220" w:lineRule="exact"/>
              <w:jc w:val="left"/>
            </w:pPr>
            <w:r w:rsidRPr="0008481A">
              <w:t>No critisism after investi</w:t>
            </w:r>
            <w:r w:rsidRPr="0008481A">
              <w:softHyphen/>
              <w:t>gation</w:t>
            </w:r>
          </w:p>
        </w:tc>
        <w:tc>
          <w:tcPr>
            <w:tcW w:w="822" w:type="dxa"/>
            <w:tcBorders>
              <w:top w:val="single" w:sz="4" w:space="0" w:color="auto"/>
              <w:bottom w:val="single" w:sz="4" w:space="0" w:color="auto"/>
            </w:tcBorders>
          </w:tcPr>
          <w:p w:rsidR="003B3271" w:rsidRPr="0008481A" w:rsidRDefault="003B3271">
            <w:pPr>
              <w:spacing w:before="0" w:line="220" w:lineRule="exact"/>
              <w:jc w:val="left"/>
            </w:pPr>
            <w:r w:rsidRPr="0008481A">
              <w:t>Admoni</w:t>
            </w:r>
            <w:r w:rsidRPr="0008481A">
              <w:softHyphen/>
              <w:t xml:space="preserve">tions or other critisism </w:t>
            </w:r>
          </w:p>
        </w:tc>
        <w:tc>
          <w:tcPr>
            <w:tcW w:w="850" w:type="dxa"/>
            <w:tcBorders>
              <w:top w:val="single" w:sz="4" w:space="0" w:color="auto"/>
              <w:bottom w:val="single" w:sz="4" w:space="0" w:color="auto"/>
            </w:tcBorders>
          </w:tcPr>
          <w:p w:rsidR="003B3271" w:rsidRPr="0008481A" w:rsidRDefault="003B3271">
            <w:pPr>
              <w:spacing w:before="0" w:line="220" w:lineRule="exact"/>
              <w:jc w:val="left"/>
            </w:pPr>
            <w:r w:rsidRPr="0008481A">
              <w:t>Prosecu</w:t>
            </w:r>
            <w:r w:rsidRPr="0008481A">
              <w:softHyphen/>
              <w:t>tions or discipli</w:t>
            </w:r>
            <w:r w:rsidRPr="0008481A">
              <w:softHyphen/>
              <w:t>nary pro</w:t>
            </w:r>
            <w:r w:rsidRPr="0008481A">
              <w:softHyphen/>
              <w:t xml:space="preserve">ceedings </w:t>
            </w:r>
          </w:p>
        </w:tc>
        <w:tc>
          <w:tcPr>
            <w:tcW w:w="936" w:type="dxa"/>
            <w:tcBorders>
              <w:top w:val="single" w:sz="4" w:space="0" w:color="auto"/>
              <w:bottom w:val="single" w:sz="4" w:space="0" w:color="auto"/>
            </w:tcBorders>
          </w:tcPr>
          <w:p w:rsidR="003B3271" w:rsidRPr="0008481A" w:rsidRDefault="003B3271">
            <w:pPr>
              <w:spacing w:before="0" w:line="220" w:lineRule="exact"/>
              <w:jc w:val="left"/>
            </w:pPr>
            <w:r w:rsidRPr="0008481A">
              <w:t>Prelimina</w:t>
            </w:r>
            <w:r w:rsidRPr="0008481A">
              <w:softHyphen/>
              <w:t>ry investi</w:t>
            </w:r>
            <w:r w:rsidRPr="0008481A">
              <w:softHyphen/>
              <w:t>gation; no prosecu</w:t>
            </w:r>
            <w:r w:rsidRPr="0008481A">
              <w:softHyphen/>
              <w:t>tion</w:t>
            </w:r>
          </w:p>
        </w:tc>
        <w:tc>
          <w:tcPr>
            <w:tcW w:w="680" w:type="dxa"/>
            <w:tcBorders>
              <w:top w:val="single" w:sz="4" w:space="0" w:color="auto"/>
              <w:bottom w:val="single" w:sz="4" w:space="0" w:color="auto"/>
            </w:tcBorders>
          </w:tcPr>
          <w:p w:rsidR="003B3271" w:rsidRPr="0008481A" w:rsidRDefault="003B3271">
            <w:pPr>
              <w:spacing w:before="0" w:line="220" w:lineRule="exact"/>
              <w:jc w:val="left"/>
            </w:pPr>
            <w:r w:rsidRPr="0008481A">
              <w:t>Total</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Courts of law</w:t>
            </w:r>
          </w:p>
        </w:tc>
        <w:tc>
          <w:tcPr>
            <w:tcW w:w="964" w:type="dxa"/>
          </w:tcPr>
          <w:p w:rsidR="003B3271" w:rsidRPr="0008481A" w:rsidRDefault="003B3271">
            <w:pPr>
              <w:spacing w:before="0"/>
              <w:ind w:right="227"/>
              <w:jc w:val="right"/>
            </w:pPr>
            <w:r w:rsidRPr="0008481A">
              <w:t>145</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181</w:t>
            </w:r>
          </w:p>
        </w:tc>
        <w:tc>
          <w:tcPr>
            <w:tcW w:w="822" w:type="dxa"/>
          </w:tcPr>
          <w:p w:rsidR="003B3271" w:rsidRPr="0008481A" w:rsidRDefault="003B3271">
            <w:pPr>
              <w:spacing w:before="0"/>
              <w:ind w:right="227"/>
              <w:jc w:val="right"/>
            </w:pPr>
            <w:r w:rsidRPr="0008481A">
              <w:t>15</w:t>
            </w:r>
          </w:p>
        </w:tc>
        <w:tc>
          <w:tcPr>
            <w:tcW w:w="850" w:type="dxa"/>
          </w:tcPr>
          <w:p w:rsidR="003B3271" w:rsidRPr="0008481A" w:rsidRDefault="003B3271">
            <w:pPr>
              <w:spacing w:before="0"/>
              <w:ind w:right="227"/>
              <w:jc w:val="right"/>
            </w:pPr>
            <w:r w:rsidRPr="0008481A">
              <w:t>1</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342</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Administrative courts</w:t>
            </w:r>
          </w:p>
        </w:tc>
        <w:tc>
          <w:tcPr>
            <w:tcW w:w="964" w:type="dxa"/>
          </w:tcPr>
          <w:p w:rsidR="003B3271" w:rsidRPr="0008481A" w:rsidRDefault="003B3271">
            <w:pPr>
              <w:spacing w:before="0"/>
              <w:ind w:right="227"/>
              <w:jc w:val="right"/>
            </w:pPr>
            <w:r w:rsidRPr="0008481A">
              <w:t xml:space="preserve"> 40</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54</w:t>
            </w:r>
          </w:p>
        </w:tc>
        <w:tc>
          <w:tcPr>
            <w:tcW w:w="822" w:type="dxa"/>
          </w:tcPr>
          <w:p w:rsidR="003B3271" w:rsidRPr="0008481A" w:rsidRDefault="003B3271">
            <w:pPr>
              <w:spacing w:before="0"/>
              <w:ind w:right="227"/>
              <w:jc w:val="right"/>
            </w:pPr>
            <w:r w:rsidRPr="0008481A">
              <w:t xml:space="preserve"> 2</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96</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Public prosecutors</w:t>
            </w:r>
          </w:p>
        </w:tc>
        <w:tc>
          <w:tcPr>
            <w:tcW w:w="964" w:type="dxa"/>
          </w:tcPr>
          <w:p w:rsidR="003B3271" w:rsidRPr="0008481A" w:rsidRDefault="003B3271">
            <w:pPr>
              <w:spacing w:before="0"/>
              <w:ind w:right="227"/>
              <w:jc w:val="right"/>
            </w:pPr>
            <w:r w:rsidRPr="0008481A">
              <w:t xml:space="preserve"> 72</w:t>
            </w:r>
          </w:p>
        </w:tc>
        <w:tc>
          <w:tcPr>
            <w:tcW w:w="822" w:type="dxa"/>
          </w:tcPr>
          <w:p w:rsidR="003B3271" w:rsidRPr="0008481A" w:rsidRDefault="003B3271">
            <w:pPr>
              <w:spacing w:before="0"/>
              <w:ind w:right="227"/>
              <w:jc w:val="right"/>
            </w:pPr>
            <w:r w:rsidRPr="0008481A">
              <w:t>10</w:t>
            </w:r>
          </w:p>
        </w:tc>
        <w:tc>
          <w:tcPr>
            <w:tcW w:w="822" w:type="dxa"/>
          </w:tcPr>
          <w:p w:rsidR="003B3271" w:rsidRPr="0008481A" w:rsidRDefault="003B3271">
            <w:pPr>
              <w:spacing w:before="0"/>
              <w:ind w:right="227"/>
              <w:jc w:val="right"/>
            </w:pPr>
            <w:r w:rsidRPr="0008481A">
              <w:t>125</w:t>
            </w:r>
          </w:p>
        </w:tc>
        <w:tc>
          <w:tcPr>
            <w:tcW w:w="822" w:type="dxa"/>
          </w:tcPr>
          <w:p w:rsidR="003B3271" w:rsidRPr="0008481A" w:rsidRDefault="003B3271">
            <w:pPr>
              <w:spacing w:before="0"/>
              <w:ind w:right="227"/>
              <w:jc w:val="right"/>
            </w:pPr>
            <w:r w:rsidRPr="0008481A">
              <w:t>14</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221</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Police authorities</w:t>
            </w:r>
          </w:p>
        </w:tc>
        <w:tc>
          <w:tcPr>
            <w:tcW w:w="964" w:type="dxa"/>
          </w:tcPr>
          <w:p w:rsidR="003B3271" w:rsidRPr="0008481A" w:rsidRDefault="003B3271">
            <w:pPr>
              <w:spacing w:before="0"/>
              <w:ind w:right="227"/>
              <w:jc w:val="right"/>
            </w:pPr>
            <w:r w:rsidRPr="0008481A">
              <w:t>164</w:t>
            </w:r>
          </w:p>
        </w:tc>
        <w:tc>
          <w:tcPr>
            <w:tcW w:w="822" w:type="dxa"/>
          </w:tcPr>
          <w:p w:rsidR="003B3271" w:rsidRPr="0008481A" w:rsidRDefault="003B3271">
            <w:pPr>
              <w:spacing w:before="0"/>
              <w:ind w:right="227"/>
              <w:jc w:val="right"/>
            </w:pPr>
            <w:r w:rsidRPr="0008481A">
              <w:t>21</w:t>
            </w:r>
          </w:p>
        </w:tc>
        <w:tc>
          <w:tcPr>
            <w:tcW w:w="822" w:type="dxa"/>
          </w:tcPr>
          <w:p w:rsidR="003B3271" w:rsidRPr="0008481A" w:rsidRDefault="003B3271">
            <w:pPr>
              <w:spacing w:before="0"/>
              <w:ind w:right="227"/>
              <w:jc w:val="right"/>
            </w:pPr>
            <w:r w:rsidRPr="0008481A">
              <w:t>229</w:t>
            </w:r>
          </w:p>
        </w:tc>
        <w:tc>
          <w:tcPr>
            <w:tcW w:w="822" w:type="dxa"/>
          </w:tcPr>
          <w:p w:rsidR="003B3271" w:rsidRPr="0008481A" w:rsidRDefault="003B3271">
            <w:pPr>
              <w:spacing w:before="0"/>
              <w:ind w:right="227"/>
              <w:jc w:val="right"/>
            </w:pPr>
            <w:r w:rsidRPr="0008481A">
              <w:t>51</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2</w:t>
            </w:r>
          </w:p>
        </w:tc>
        <w:tc>
          <w:tcPr>
            <w:tcW w:w="680" w:type="dxa"/>
          </w:tcPr>
          <w:p w:rsidR="003B3271" w:rsidRPr="0008481A" w:rsidRDefault="003B3271">
            <w:pPr>
              <w:spacing w:before="0"/>
              <w:ind w:right="227"/>
              <w:jc w:val="right"/>
            </w:pPr>
            <w:r w:rsidRPr="0008481A">
              <w:t>467</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Armed forces</w:t>
            </w:r>
          </w:p>
        </w:tc>
        <w:tc>
          <w:tcPr>
            <w:tcW w:w="964" w:type="dxa"/>
          </w:tcPr>
          <w:p w:rsidR="003B3271" w:rsidRPr="0008481A" w:rsidRDefault="003B3271">
            <w:pPr>
              <w:spacing w:before="0"/>
              <w:ind w:right="227"/>
              <w:jc w:val="right"/>
            </w:pPr>
            <w:r w:rsidRPr="0008481A">
              <w:t xml:space="preserve"> 18</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4</w:t>
            </w:r>
          </w:p>
        </w:tc>
        <w:tc>
          <w:tcPr>
            <w:tcW w:w="822" w:type="dxa"/>
          </w:tcPr>
          <w:p w:rsidR="003B3271" w:rsidRPr="0008481A" w:rsidRDefault="003B3271">
            <w:pPr>
              <w:spacing w:before="0"/>
              <w:ind w:right="227"/>
              <w:jc w:val="right"/>
            </w:pPr>
            <w:r w:rsidRPr="0008481A">
              <w:t xml:space="preserve"> 2</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24</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Prison administration</w:t>
            </w:r>
          </w:p>
        </w:tc>
        <w:tc>
          <w:tcPr>
            <w:tcW w:w="964" w:type="dxa"/>
          </w:tcPr>
          <w:p w:rsidR="003B3271" w:rsidRPr="0008481A" w:rsidRDefault="003B3271">
            <w:pPr>
              <w:spacing w:before="0"/>
              <w:ind w:right="227"/>
              <w:jc w:val="right"/>
            </w:pPr>
            <w:r w:rsidRPr="0008481A">
              <w:t>323</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185</w:t>
            </w:r>
          </w:p>
        </w:tc>
        <w:tc>
          <w:tcPr>
            <w:tcW w:w="822" w:type="dxa"/>
          </w:tcPr>
          <w:p w:rsidR="003B3271" w:rsidRPr="0008481A" w:rsidRDefault="003B3271">
            <w:pPr>
              <w:spacing w:before="0"/>
              <w:ind w:right="227"/>
              <w:jc w:val="right"/>
            </w:pPr>
            <w:r w:rsidRPr="0008481A">
              <w:t>42</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550</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Social welfare</w:t>
            </w:r>
          </w:p>
        </w:tc>
        <w:tc>
          <w:tcPr>
            <w:tcW w:w="964" w:type="dxa"/>
          </w:tcPr>
          <w:p w:rsidR="003B3271" w:rsidRPr="0008481A" w:rsidRDefault="003B3271">
            <w:pPr>
              <w:spacing w:before="0"/>
              <w:ind w:right="227"/>
              <w:jc w:val="right"/>
            </w:pPr>
            <w:r w:rsidRPr="0008481A">
              <w:t>204</w:t>
            </w:r>
          </w:p>
        </w:tc>
        <w:tc>
          <w:tcPr>
            <w:tcW w:w="822" w:type="dxa"/>
          </w:tcPr>
          <w:p w:rsidR="003B3271" w:rsidRPr="0008481A" w:rsidRDefault="003B3271">
            <w:pPr>
              <w:spacing w:before="0"/>
              <w:ind w:right="227"/>
              <w:jc w:val="right"/>
            </w:pPr>
            <w:r w:rsidRPr="0008481A">
              <w:t>20</w:t>
            </w:r>
          </w:p>
        </w:tc>
        <w:tc>
          <w:tcPr>
            <w:tcW w:w="822" w:type="dxa"/>
          </w:tcPr>
          <w:p w:rsidR="003B3271" w:rsidRPr="0008481A" w:rsidRDefault="003B3271">
            <w:pPr>
              <w:spacing w:before="0"/>
              <w:ind w:right="227"/>
              <w:jc w:val="right"/>
            </w:pPr>
            <w:r w:rsidRPr="0008481A">
              <w:t>368</w:t>
            </w:r>
          </w:p>
        </w:tc>
        <w:tc>
          <w:tcPr>
            <w:tcW w:w="822" w:type="dxa"/>
          </w:tcPr>
          <w:p w:rsidR="003B3271" w:rsidRPr="0008481A" w:rsidRDefault="003B3271">
            <w:pPr>
              <w:spacing w:before="0"/>
              <w:ind w:right="227"/>
              <w:jc w:val="right"/>
            </w:pPr>
            <w:r w:rsidRPr="0008481A">
              <w:t>84</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676</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Medical care</w:t>
            </w:r>
          </w:p>
        </w:tc>
        <w:tc>
          <w:tcPr>
            <w:tcW w:w="964" w:type="dxa"/>
          </w:tcPr>
          <w:p w:rsidR="003B3271" w:rsidRPr="0008481A" w:rsidRDefault="003B3271">
            <w:pPr>
              <w:spacing w:before="0"/>
              <w:ind w:right="227"/>
              <w:jc w:val="right"/>
            </w:pPr>
            <w:r w:rsidRPr="0008481A">
              <w:t xml:space="preserve"> 94</w:t>
            </w:r>
          </w:p>
        </w:tc>
        <w:tc>
          <w:tcPr>
            <w:tcW w:w="822" w:type="dxa"/>
          </w:tcPr>
          <w:p w:rsidR="003B3271" w:rsidRPr="0008481A" w:rsidRDefault="003B3271">
            <w:pPr>
              <w:spacing w:before="0"/>
              <w:ind w:right="227"/>
              <w:jc w:val="right"/>
            </w:pPr>
            <w:r w:rsidRPr="0008481A">
              <w:t xml:space="preserve"> 9</w:t>
            </w:r>
          </w:p>
        </w:tc>
        <w:tc>
          <w:tcPr>
            <w:tcW w:w="822" w:type="dxa"/>
          </w:tcPr>
          <w:p w:rsidR="003B3271" w:rsidRPr="0008481A" w:rsidRDefault="003B3271">
            <w:pPr>
              <w:spacing w:before="0"/>
              <w:ind w:right="227"/>
              <w:jc w:val="right"/>
            </w:pPr>
            <w:r w:rsidRPr="0008481A">
              <w:t>108</w:t>
            </w:r>
          </w:p>
        </w:tc>
        <w:tc>
          <w:tcPr>
            <w:tcW w:w="822" w:type="dxa"/>
          </w:tcPr>
          <w:p w:rsidR="003B3271" w:rsidRPr="0008481A" w:rsidRDefault="003B3271">
            <w:pPr>
              <w:spacing w:before="0"/>
              <w:ind w:right="227"/>
              <w:jc w:val="right"/>
            </w:pPr>
            <w:r w:rsidRPr="0008481A">
              <w:t>25</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236</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Social insurance</w:t>
            </w:r>
          </w:p>
        </w:tc>
        <w:tc>
          <w:tcPr>
            <w:tcW w:w="964" w:type="dxa"/>
          </w:tcPr>
          <w:p w:rsidR="003B3271" w:rsidRPr="0008481A" w:rsidRDefault="003B3271">
            <w:pPr>
              <w:spacing w:before="0"/>
              <w:ind w:right="227"/>
              <w:jc w:val="right"/>
            </w:pPr>
            <w:r w:rsidRPr="0008481A">
              <w:t>141</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83</w:t>
            </w:r>
          </w:p>
        </w:tc>
        <w:tc>
          <w:tcPr>
            <w:tcW w:w="822" w:type="dxa"/>
          </w:tcPr>
          <w:p w:rsidR="003B3271" w:rsidRPr="0008481A" w:rsidRDefault="003B3271">
            <w:pPr>
              <w:spacing w:before="0"/>
              <w:ind w:right="227"/>
              <w:jc w:val="right"/>
            </w:pPr>
            <w:r w:rsidRPr="0008481A">
              <w:t>76</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300</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Labour market etc.</w:t>
            </w:r>
          </w:p>
        </w:tc>
        <w:tc>
          <w:tcPr>
            <w:tcW w:w="964" w:type="dxa"/>
          </w:tcPr>
          <w:p w:rsidR="003B3271" w:rsidRPr="0008481A" w:rsidRDefault="003B3271">
            <w:pPr>
              <w:spacing w:before="0"/>
              <w:ind w:right="227"/>
              <w:jc w:val="right"/>
            </w:pPr>
            <w:r w:rsidRPr="0008481A">
              <w:t xml:space="preserve"> 46</w:t>
            </w:r>
          </w:p>
        </w:tc>
        <w:tc>
          <w:tcPr>
            <w:tcW w:w="822" w:type="dxa"/>
          </w:tcPr>
          <w:p w:rsidR="003B3271" w:rsidRPr="0008481A" w:rsidRDefault="003B3271">
            <w:pPr>
              <w:spacing w:before="0"/>
              <w:ind w:right="227"/>
              <w:jc w:val="right"/>
            </w:pPr>
            <w:r w:rsidRPr="0008481A">
              <w:t>22</w:t>
            </w:r>
          </w:p>
        </w:tc>
        <w:tc>
          <w:tcPr>
            <w:tcW w:w="822" w:type="dxa"/>
          </w:tcPr>
          <w:p w:rsidR="003B3271" w:rsidRPr="0008481A" w:rsidRDefault="003B3271">
            <w:pPr>
              <w:spacing w:before="0"/>
              <w:ind w:right="227"/>
              <w:jc w:val="right"/>
            </w:pPr>
            <w:r w:rsidRPr="0008481A">
              <w:t xml:space="preserve"> 56</w:t>
            </w:r>
          </w:p>
        </w:tc>
        <w:tc>
          <w:tcPr>
            <w:tcW w:w="822" w:type="dxa"/>
          </w:tcPr>
          <w:p w:rsidR="003B3271" w:rsidRPr="0008481A" w:rsidRDefault="003B3271">
            <w:pPr>
              <w:spacing w:before="0"/>
              <w:ind w:right="227"/>
              <w:jc w:val="right"/>
            </w:pPr>
            <w:r w:rsidRPr="0008481A">
              <w:t>25</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149</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Planning</w:t>
            </w:r>
          </w:p>
        </w:tc>
        <w:tc>
          <w:tcPr>
            <w:tcW w:w="964" w:type="dxa"/>
          </w:tcPr>
          <w:p w:rsidR="003B3271" w:rsidRPr="0008481A" w:rsidRDefault="003B3271">
            <w:pPr>
              <w:spacing w:before="0"/>
              <w:ind w:right="227"/>
              <w:jc w:val="right"/>
            </w:pPr>
            <w:r w:rsidRPr="0008481A">
              <w:t xml:space="preserve"> 41</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37</w:t>
            </w:r>
          </w:p>
        </w:tc>
        <w:tc>
          <w:tcPr>
            <w:tcW w:w="822" w:type="dxa"/>
          </w:tcPr>
          <w:p w:rsidR="003B3271" w:rsidRPr="0008481A" w:rsidRDefault="003B3271">
            <w:pPr>
              <w:spacing w:before="0"/>
              <w:ind w:right="227"/>
              <w:jc w:val="right"/>
            </w:pPr>
            <w:r w:rsidRPr="0008481A">
              <w:t>24</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102</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Execution of judgements</w:t>
            </w:r>
          </w:p>
        </w:tc>
        <w:tc>
          <w:tcPr>
            <w:tcW w:w="964" w:type="dxa"/>
          </w:tcPr>
          <w:p w:rsidR="003B3271" w:rsidRPr="0008481A" w:rsidRDefault="003B3271">
            <w:pPr>
              <w:spacing w:before="0"/>
              <w:ind w:right="227"/>
              <w:jc w:val="right"/>
            </w:pPr>
            <w:r w:rsidRPr="0008481A">
              <w:t xml:space="preserve"> 99</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50</w:t>
            </w:r>
          </w:p>
        </w:tc>
        <w:tc>
          <w:tcPr>
            <w:tcW w:w="822" w:type="dxa"/>
          </w:tcPr>
          <w:p w:rsidR="003B3271" w:rsidRPr="0008481A" w:rsidRDefault="003B3271">
            <w:pPr>
              <w:spacing w:before="0"/>
              <w:ind w:right="227"/>
              <w:jc w:val="right"/>
            </w:pPr>
            <w:r w:rsidRPr="0008481A">
              <w:t>13</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162</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Local government</w:t>
            </w:r>
          </w:p>
        </w:tc>
        <w:tc>
          <w:tcPr>
            <w:tcW w:w="964" w:type="dxa"/>
          </w:tcPr>
          <w:p w:rsidR="003B3271" w:rsidRPr="0008481A" w:rsidRDefault="003B3271">
            <w:pPr>
              <w:spacing w:before="0"/>
              <w:ind w:right="227"/>
              <w:jc w:val="right"/>
            </w:pPr>
            <w:r w:rsidRPr="0008481A">
              <w:t xml:space="preserve"> 53</w:t>
            </w:r>
          </w:p>
        </w:tc>
        <w:tc>
          <w:tcPr>
            <w:tcW w:w="822" w:type="dxa"/>
          </w:tcPr>
          <w:p w:rsidR="003B3271" w:rsidRPr="0008481A" w:rsidRDefault="003B3271">
            <w:pPr>
              <w:spacing w:before="0"/>
              <w:ind w:right="227"/>
              <w:jc w:val="right"/>
            </w:pPr>
            <w:r w:rsidRPr="0008481A">
              <w:t xml:space="preserve"> 1</w:t>
            </w:r>
          </w:p>
        </w:tc>
        <w:tc>
          <w:tcPr>
            <w:tcW w:w="822" w:type="dxa"/>
          </w:tcPr>
          <w:p w:rsidR="003B3271" w:rsidRPr="0008481A" w:rsidRDefault="003B3271">
            <w:pPr>
              <w:spacing w:before="0"/>
              <w:ind w:right="227"/>
              <w:jc w:val="right"/>
            </w:pPr>
            <w:r w:rsidRPr="0008481A">
              <w:t xml:space="preserve"> 28</w:t>
            </w:r>
          </w:p>
        </w:tc>
        <w:tc>
          <w:tcPr>
            <w:tcW w:w="822" w:type="dxa"/>
          </w:tcPr>
          <w:p w:rsidR="003B3271" w:rsidRPr="0008481A" w:rsidRDefault="003B3271">
            <w:pPr>
              <w:spacing w:before="0"/>
              <w:ind w:right="227"/>
              <w:jc w:val="right"/>
            </w:pPr>
            <w:r w:rsidRPr="0008481A">
              <w:t xml:space="preserve"> 8</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90</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Communications</w:t>
            </w:r>
          </w:p>
        </w:tc>
        <w:tc>
          <w:tcPr>
            <w:tcW w:w="964" w:type="dxa"/>
          </w:tcPr>
          <w:p w:rsidR="003B3271" w:rsidRPr="0008481A" w:rsidRDefault="003B3271">
            <w:pPr>
              <w:spacing w:before="0"/>
              <w:ind w:right="227"/>
              <w:jc w:val="right"/>
            </w:pPr>
            <w:r w:rsidRPr="0008481A">
              <w:t xml:space="preserve"> 96</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41</w:t>
            </w:r>
          </w:p>
        </w:tc>
        <w:tc>
          <w:tcPr>
            <w:tcW w:w="822" w:type="dxa"/>
          </w:tcPr>
          <w:p w:rsidR="003B3271" w:rsidRPr="0008481A" w:rsidRDefault="003B3271">
            <w:pPr>
              <w:spacing w:before="0"/>
              <w:ind w:right="227"/>
              <w:jc w:val="right"/>
            </w:pPr>
            <w:r w:rsidRPr="0008481A">
              <w:t>13</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150</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Taxation, customs</w:t>
            </w:r>
          </w:p>
        </w:tc>
        <w:tc>
          <w:tcPr>
            <w:tcW w:w="964" w:type="dxa"/>
          </w:tcPr>
          <w:p w:rsidR="003B3271" w:rsidRPr="0008481A" w:rsidRDefault="003B3271">
            <w:pPr>
              <w:spacing w:before="0"/>
              <w:ind w:right="227"/>
              <w:jc w:val="right"/>
            </w:pPr>
            <w:r w:rsidRPr="0008481A">
              <w:t>101</w:t>
            </w:r>
          </w:p>
        </w:tc>
        <w:tc>
          <w:tcPr>
            <w:tcW w:w="822" w:type="dxa"/>
          </w:tcPr>
          <w:p w:rsidR="003B3271" w:rsidRPr="0008481A" w:rsidRDefault="003B3271">
            <w:pPr>
              <w:spacing w:before="0"/>
              <w:ind w:right="227"/>
              <w:jc w:val="right"/>
            </w:pPr>
            <w:r w:rsidRPr="0008481A">
              <w:t xml:space="preserve"> 1</w:t>
            </w:r>
          </w:p>
        </w:tc>
        <w:tc>
          <w:tcPr>
            <w:tcW w:w="822" w:type="dxa"/>
          </w:tcPr>
          <w:p w:rsidR="003B3271" w:rsidRPr="0008481A" w:rsidRDefault="003B3271">
            <w:pPr>
              <w:spacing w:before="0"/>
              <w:ind w:right="227"/>
              <w:jc w:val="right"/>
            </w:pPr>
            <w:r w:rsidRPr="0008481A">
              <w:t xml:space="preserve"> 51</w:t>
            </w:r>
          </w:p>
        </w:tc>
        <w:tc>
          <w:tcPr>
            <w:tcW w:w="822" w:type="dxa"/>
          </w:tcPr>
          <w:p w:rsidR="003B3271" w:rsidRPr="0008481A" w:rsidRDefault="003B3271">
            <w:pPr>
              <w:spacing w:before="0"/>
              <w:ind w:right="227"/>
              <w:jc w:val="right"/>
            </w:pPr>
            <w:r w:rsidRPr="0008481A">
              <w:t>45</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198</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Education, culture</w:t>
            </w:r>
          </w:p>
        </w:tc>
        <w:tc>
          <w:tcPr>
            <w:tcW w:w="964" w:type="dxa"/>
          </w:tcPr>
          <w:p w:rsidR="003B3271" w:rsidRPr="0008481A" w:rsidRDefault="003B3271">
            <w:pPr>
              <w:spacing w:before="0"/>
              <w:ind w:right="227"/>
              <w:jc w:val="right"/>
            </w:pPr>
            <w:r w:rsidRPr="0008481A">
              <w:t xml:space="preserve"> 76</w:t>
            </w:r>
          </w:p>
        </w:tc>
        <w:tc>
          <w:tcPr>
            <w:tcW w:w="822" w:type="dxa"/>
          </w:tcPr>
          <w:p w:rsidR="003B3271" w:rsidRPr="0008481A" w:rsidRDefault="003B3271">
            <w:pPr>
              <w:spacing w:before="0"/>
              <w:ind w:right="227"/>
              <w:jc w:val="right"/>
            </w:pPr>
            <w:r w:rsidRPr="0008481A">
              <w:t xml:space="preserve"> 8</w:t>
            </w:r>
          </w:p>
        </w:tc>
        <w:tc>
          <w:tcPr>
            <w:tcW w:w="822" w:type="dxa"/>
          </w:tcPr>
          <w:p w:rsidR="003B3271" w:rsidRPr="0008481A" w:rsidRDefault="003B3271">
            <w:pPr>
              <w:spacing w:before="0"/>
              <w:ind w:right="227"/>
              <w:jc w:val="right"/>
            </w:pPr>
            <w:r w:rsidRPr="0008481A">
              <w:t xml:space="preserve"> 86</w:t>
            </w:r>
          </w:p>
        </w:tc>
        <w:tc>
          <w:tcPr>
            <w:tcW w:w="822" w:type="dxa"/>
          </w:tcPr>
          <w:p w:rsidR="003B3271" w:rsidRPr="0008481A" w:rsidRDefault="003B3271">
            <w:pPr>
              <w:spacing w:before="0"/>
              <w:ind w:right="227"/>
              <w:jc w:val="right"/>
            </w:pPr>
            <w:r w:rsidRPr="0008481A">
              <w:t>25</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195</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State Church</w:t>
            </w:r>
          </w:p>
        </w:tc>
        <w:tc>
          <w:tcPr>
            <w:tcW w:w="964" w:type="dxa"/>
          </w:tcPr>
          <w:p w:rsidR="003B3271" w:rsidRPr="0008481A" w:rsidRDefault="003B3271">
            <w:pPr>
              <w:spacing w:before="0"/>
              <w:ind w:right="227"/>
              <w:jc w:val="right"/>
            </w:pPr>
            <w:r w:rsidRPr="0008481A">
              <w:rPr>
                <w:i/>
              </w:rPr>
              <w:t xml:space="preserve"> </w:t>
            </w:r>
            <w:r w:rsidRPr="0008481A">
              <w:t>9</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rPr>
                <w:i/>
              </w:rPr>
              <w:t xml:space="preserve"> </w:t>
            </w:r>
            <w:r w:rsidRPr="0008481A">
              <w:t>1</w:t>
            </w:r>
          </w:p>
        </w:tc>
        <w:tc>
          <w:tcPr>
            <w:tcW w:w="822" w:type="dxa"/>
          </w:tcPr>
          <w:p w:rsidR="003B3271" w:rsidRPr="0008481A" w:rsidRDefault="003B3271">
            <w:pPr>
              <w:spacing w:before="0"/>
              <w:ind w:right="227"/>
              <w:jc w:val="right"/>
            </w:pPr>
            <w:r w:rsidRPr="0008481A">
              <w:t xml:space="preserve"> 3</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13</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Chief guardians</w:t>
            </w:r>
          </w:p>
        </w:tc>
        <w:tc>
          <w:tcPr>
            <w:tcW w:w="964" w:type="dxa"/>
          </w:tcPr>
          <w:p w:rsidR="003B3271" w:rsidRPr="0008481A" w:rsidRDefault="003B3271">
            <w:pPr>
              <w:spacing w:before="0"/>
              <w:ind w:right="227"/>
              <w:jc w:val="right"/>
            </w:pPr>
            <w:r w:rsidRPr="0008481A">
              <w:t xml:space="preserve"> 22</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11</w:t>
            </w:r>
          </w:p>
        </w:tc>
        <w:tc>
          <w:tcPr>
            <w:tcW w:w="822" w:type="dxa"/>
          </w:tcPr>
          <w:p w:rsidR="003B3271" w:rsidRPr="0008481A" w:rsidRDefault="003B3271">
            <w:pPr>
              <w:spacing w:before="0"/>
              <w:ind w:right="227"/>
              <w:jc w:val="right"/>
            </w:pPr>
            <w:r w:rsidRPr="0008481A">
              <w:t xml:space="preserve"> 7</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40</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Agriculture, environ- mental management,</w:t>
            </w:r>
          </w:p>
          <w:p w:rsidR="003B3271" w:rsidRPr="0008481A" w:rsidRDefault="003B3271">
            <w:pPr>
              <w:spacing w:before="0"/>
              <w:ind w:right="-1"/>
              <w:jc w:val="left"/>
            </w:pPr>
            <w:r w:rsidRPr="0008481A">
              <w:t>Public health, pro-</w:t>
            </w:r>
          </w:p>
          <w:p w:rsidR="003B3271" w:rsidRPr="0008481A" w:rsidRDefault="003B3271">
            <w:pPr>
              <w:spacing w:before="0"/>
              <w:ind w:right="-1"/>
              <w:jc w:val="left"/>
            </w:pPr>
            <w:r w:rsidRPr="0008481A">
              <w:t>tection of animals</w:t>
            </w:r>
          </w:p>
        </w:tc>
        <w:tc>
          <w:tcPr>
            <w:tcW w:w="964" w:type="dxa"/>
          </w:tcPr>
          <w:p w:rsidR="003B3271" w:rsidRPr="0008481A" w:rsidRDefault="003B3271">
            <w:pPr>
              <w:spacing w:before="0"/>
              <w:ind w:right="227"/>
              <w:jc w:val="right"/>
            </w:pPr>
            <w:r w:rsidRPr="0008481A">
              <w:t xml:space="preserve"> 44</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43</w:t>
            </w:r>
          </w:p>
        </w:tc>
        <w:tc>
          <w:tcPr>
            <w:tcW w:w="822" w:type="dxa"/>
          </w:tcPr>
          <w:p w:rsidR="003B3271" w:rsidRPr="0008481A" w:rsidRDefault="003B3271">
            <w:pPr>
              <w:spacing w:before="0"/>
              <w:ind w:right="227"/>
              <w:jc w:val="right"/>
            </w:pPr>
            <w:r w:rsidRPr="0008481A">
              <w:t>19</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106</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Immigration</w:t>
            </w:r>
          </w:p>
        </w:tc>
        <w:tc>
          <w:tcPr>
            <w:tcW w:w="964" w:type="dxa"/>
          </w:tcPr>
          <w:p w:rsidR="003B3271" w:rsidRPr="0008481A" w:rsidRDefault="003B3271">
            <w:pPr>
              <w:spacing w:before="0"/>
              <w:ind w:right="227"/>
              <w:jc w:val="right"/>
            </w:pPr>
            <w:r w:rsidRPr="0008481A">
              <w:t xml:space="preserve"> 40</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23</w:t>
            </w:r>
          </w:p>
        </w:tc>
        <w:tc>
          <w:tcPr>
            <w:tcW w:w="822" w:type="dxa"/>
          </w:tcPr>
          <w:p w:rsidR="003B3271" w:rsidRPr="0008481A" w:rsidRDefault="003B3271">
            <w:pPr>
              <w:spacing w:before="0"/>
              <w:ind w:right="227"/>
              <w:jc w:val="right"/>
            </w:pPr>
            <w:r w:rsidRPr="0008481A">
              <w:t xml:space="preserve"> 6</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69</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Other cases at County administrative boards, control of lotteries e.a.</w:t>
            </w:r>
          </w:p>
        </w:tc>
        <w:tc>
          <w:tcPr>
            <w:tcW w:w="964" w:type="dxa"/>
          </w:tcPr>
          <w:p w:rsidR="003B3271" w:rsidRPr="0008481A" w:rsidRDefault="003B3271">
            <w:pPr>
              <w:spacing w:before="0"/>
              <w:ind w:right="227"/>
              <w:jc w:val="right"/>
            </w:pPr>
            <w:r w:rsidRPr="0008481A">
              <w:t xml:space="preserve"> 12</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9</w:t>
            </w:r>
          </w:p>
        </w:tc>
        <w:tc>
          <w:tcPr>
            <w:tcW w:w="822" w:type="dxa"/>
          </w:tcPr>
          <w:p w:rsidR="003B3271" w:rsidRPr="0008481A" w:rsidRDefault="003B3271">
            <w:pPr>
              <w:spacing w:before="0"/>
              <w:ind w:right="227"/>
              <w:jc w:val="right"/>
            </w:pPr>
            <w:r w:rsidRPr="0008481A">
              <w:t>–</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21</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 xml:space="preserve">Employment of civil </w:t>
            </w:r>
          </w:p>
          <w:p w:rsidR="003B3271" w:rsidRPr="0008481A" w:rsidRDefault="003B3271">
            <w:pPr>
              <w:spacing w:before="0"/>
              <w:ind w:right="-1"/>
              <w:jc w:val="left"/>
            </w:pPr>
            <w:r w:rsidRPr="0008481A">
              <w:t>servants etc.</w:t>
            </w:r>
          </w:p>
        </w:tc>
        <w:tc>
          <w:tcPr>
            <w:tcW w:w="964" w:type="dxa"/>
          </w:tcPr>
          <w:p w:rsidR="003B3271" w:rsidRPr="0008481A" w:rsidRDefault="003B3271">
            <w:pPr>
              <w:spacing w:before="0"/>
              <w:ind w:right="227"/>
              <w:jc w:val="right"/>
            </w:pPr>
            <w:r w:rsidRPr="0008481A">
              <w:t xml:space="preserve"> 53</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25</w:t>
            </w:r>
          </w:p>
        </w:tc>
        <w:tc>
          <w:tcPr>
            <w:tcW w:w="822" w:type="dxa"/>
          </w:tcPr>
          <w:p w:rsidR="003B3271" w:rsidRPr="0008481A" w:rsidRDefault="003B3271">
            <w:pPr>
              <w:spacing w:before="0"/>
              <w:ind w:right="227"/>
              <w:jc w:val="right"/>
            </w:pPr>
            <w:r w:rsidRPr="0008481A">
              <w:t xml:space="preserve"> 5</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83</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 xml:space="preserve">Access to official </w:t>
            </w:r>
          </w:p>
          <w:p w:rsidR="003B3271" w:rsidRPr="0008481A" w:rsidRDefault="003B3271">
            <w:pPr>
              <w:spacing w:before="0"/>
              <w:ind w:right="-1"/>
              <w:jc w:val="left"/>
            </w:pPr>
            <w:r w:rsidRPr="0008481A">
              <w:t>documents, Freedom of the press</w:t>
            </w:r>
          </w:p>
        </w:tc>
        <w:tc>
          <w:tcPr>
            <w:tcW w:w="964" w:type="dxa"/>
          </w:tcPr>
          <w:p w:rsidR="003B3271" w:rsidRPr="0008481A" w:rsidRDefault="003B3271">
            <w:pPr>
              <w:spacing w:before="0"/>
              <w:ind w:right="227"/>
              <w:jc w:val="right"/>
            </w:pPr>
            <w:r w:rsidRPr="0008481A">
              <w:t xml:space="preserve"> 91</w:t>
            </w:r>
          </w:p>
        </w:tc>
        <w:tc>
          <w:tcPr>
            <w:tcW w:w="822" w:type="dxa"/>
          </w:tcPr>
          <w:p w:rsidR="003B3271" w:rsidRPr="0008481A" w:rsidRDefault="003B3271">
            <w:pPr>
              <w:spacing w:before="0"/>
              <w:ind w:right="227"/>
              <w:jc w:val="right"/>
            </w:pPr>
            <w:r w:rsidRPr="0008481A">
              <w:t xml:space="preserve"> 1</w:t>
            </w:r>
          </w:p>
        </w:tc>
        <w:tc>
          <w:tcPr>
            <w:tcW w:w="822" w:type="dxa"/>
          </w:tcPr>
          <w:p w:rsidR="003B3271" w:rsidRPr="0008481A" w:rsidRDefault="003B3271">
            <w:pPr>
              <w:spacing w:before="0"/>
              <w:ind w:right="227"/>
              <w:jc w:val="right"/>
            </w:pPr>
            <w:r w:rsidRPr="0008481A">
              <w:t>119</w:t>
            </w:r>
          </w:p>
        </w:tc>
        <w:tc>
          <w:tcPr>
            <w:tcW w:w="822" w:type="dxa"/>
          </w:tcPr>
          <w:p w:rsidR="003B3271" w:rsidRPr="0008481A" w:rsidRDefault="003B3271">
            <w:pPr>
              <w:spacing w:before="0"/>
              <w:ind w:right="227"/>
              <w:jc w:val="right"/>
            </w:pPr>
            <w:r w:rsidRPr="0008481A">
              <w:t>96</w:t>
            </w:r>
          </w:p>
        </w:tc>
        <w:tc>
          <w:tcPr>
            <w:tcW w:w="850" w:type="dxa"/>
          </w:tcPr>
          <w:p w:rsidR="003B3271" w:rsidRPr="0008481A" w:rsidRDefault="003B3271">
            <w:pPr>
              <w:spacing w:before="0"/>
              <w:ind w:right="227"/>
              <w:jc w:val="right"/>
            </w:pPr>
            <w:r w:rsidRPr="0008481A">
              <w:t>1</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308</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 xml:space="preserve">Administration of </w:t>
            </w:r>
          </w:p>
          <w:p w:rsidR="003B3271" w:rsidRPr="0008481A" w:rsidRDefault="003B3271">
            <w:pPr>
              <w:spacing w:before="0"/>
              <w:ind w:right="-1"/>
              <w:jc w:val="left"/>
            </w:pPr>
            <w:r w:rsidRPr="0008481A">
              <w:t>parliamentary and foreign affairs; General elections</w:t>
            </w:r>
          </w:p>
        </w:tc>
        <w:tc>
          <w:tcPr>
            <w:tcW w:w="964" w:type="dxa"/>
          </w:tcPr>
          <w:p w:rsidR="003B3271" w:rsidRPr="0008481A" w:rsidRDefault="003B3271">
            <w:pPr>
              <w:spacing w:before="0"/>
              <w:ind w:right="227"/>
              <w:jc w:val="right"/>
            </w:pPr>
            <w:r w:rsidRPr="0008481A">
              <w:t xml:space="preserve"> 23</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8</w:t>
            </w:r>
          </w:p>
        </w:tc>
        <w:tc>
          <w:tcPr>
            <w:tcW w:w="822" w:type="dxa"/>
          </w:tcPr>
          <w:p w:rsidR="003B3271" w:rsidRPr="0008481A" w:rsidRDefault="003B3271">
            <w:pPr>
              <w:spacing w:before="0"/>
              <w:ind w:right="227"/>
              <w:jc w:val="right"/>
            </w:pPr>
            <w:r w:rsidRPr="0008481A">
              <w:t>–</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31</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Miscellaneous</w:t>
            </w:r>
          </w:p>
        </w:tc>
        <w:tc>
          <w:tcPr>
            <w:tcW w:w="964" w:type="dxa"/>
          </w:tcPr>
          <w:p w:rsidR="003B3271" w:rsidRPr="0008481A" w:rsidRDefault="003B3271">
            <w:pPr>
              <w:spacing w:before="0"/>
              <w:ind w:right="227"/>
              <w:jc w:val="right"/>
            </w:pPr>
            <w:r w:rsidRPr="0008481A">
              <w:t xml:space="preserve"> 35</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 xml:space="preserve"> 28</w:t>
            </w:r>
          </w:p>
        </w:tc>
        <w:tc>
          <w:tcPr>
            <w:tcW w:w="822" w:type="dxa"/>
          </w:tcPr>
          <w:p w:rsidR="003B3271" w:rsidRPr="0008481A" w:rsidRDefault="003B3271">
            <w:pPr>
              <w:spacing w:before="0"/>
              <w:ind w:right="227"/>
              <w:jc w:val="right"/>
            </w:pPr>
            <w:r w:rsidRPr="0008481A">
              <w:t xml:space="preserve"> 6</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 xml:space="preserve"> 69</w:t>
            </w:r>
          </w:p>
        </w:tc>
      </w:tr>
      <w:tr w:rsidR="00000000" w:rsidRPr="0008481A">
        <w:tblPrEx>
          <w:tblCellMar>
            <w:top w:w="0" w:type="dxa"/>
            <w:bottom w:w="0" w:type="dxa"/>
          </w:tblCellMar>
        </w:tblPrEx>
        <w:tc>
          <w:tcPr>
            <w:tcW w:w="2041" w:type="dxa"/>
          </w:tcPr>
          <w:p w:rsidR="003B3271" w:rsidRPr="0008481A" w:rsidRDefault="003B3271">
            <w:pPr>
              <w:spacing w:before="0"/>
              <w:ind w:right="-1"/>
              <w:jc w:val="left"/>
            </w:pPr>
            <w:r w:rsidRPr="0008481A">
              <w:t>Complaints outside</w:t>
            </w:r>
          </w:p>
          <w:p w:rsidR="003B3271" w:rsidRPr="0008481A" w:rsidRDefault="003B3271">
            <w:pPr>
              <w:spacing w:before="0"/>
              <w:ind w:right="-1"/>
              <w:jc w:val="left"/>
            </w:pPr>
            <w:r w:rsidRPr="0008481A">
              <w:t>jurisdiction, complaints of obscure meaning</w:t>
            </w:r>
          </w:p>
        </w:tc>
        <w:tc>
          <w:tcPr>
            <w:tcW w:w="964" w:type="dxa"/>
          </w:tcPr>
          <w:p w:rsidR="003B3271" w:rsidRPr="0008481A" w:rsidRDefault="003B3271">
            <w:pPr>
              <w:spacing w:before="0"/>
              <w:ind w:right="227"/>
              <w:jc w:val="right"/>
            </w:pPr>
            <w:r w:rsidRPr="0008481A">
              <w:t>100</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w:t>
            </w:r>
          </w:p>
        </w:tc>
        <w:tc>
          <w:tcPr>
            <w:tcW w:w="822" w:type="dxa"/>
          </w:tcPr>
          <w:p w:rsidR="003B3271" w:rsidRPr="0008481A" w:rsidRDefault="003B3271">
            <w:pPr>
              <w:spacing w:before="0"/>
              <w:ind w:right="227"/>
              <w:jc w:val="right"/>
            </w:pPr>
            <w:r w:rsidRPr="0008481A">
              <w:t>–</w:t>
            </w:r>
          </w:p>
        </w:tc>
        <w:tc>
          <w:tcPr>
            <w:tcW w:w="850" w:type="dxa"/>
          </w:tcPr>
          <w:p w:rsidR="003B3271" w:rsidRPr="0008481A" w:rsidRDefault="003B3271">
            <w:pPr>
              <w:spacing w:before="0"/>
              <w:ind w:right="227"/>
              <w:jc w:val="right"/>
            </w:pPr>
            <w:r w:rsidRPr="0008481A">
              <w:t>–</w:t>
            </w:r>
          </w:p>
        </w:tc>
        <w:tc>
          <w:tcPr>
            <w:tcW w:w="936" w:type="dxa"/>
          </w:tcPr>
          <w:p w:rsidR="003B3271" w:rsidRPr="0008481A" w:rsidRDefault="003B3271">
            <w:pPr>
              <w:spacing w:before="0"/>
              <w:ind w:right="227"/>
              <w:jc w:val="right"/>
            </w:pPr>
            <w:r w:rsidRPr="0008481A">
              <w:t>–</w:t>
            </w:r>
          </w:p>
        </w:tc>
        <w:tc>
          <w:tcPr>
            <w:tcW w:w="680" w:type="dxa"/>
          </w:tcPr>
          <w:p w:rsidR="003B3271" w:rsidRPr="0008481A" w:rsidRDefault="003B3271">
            <w:pPr>
              <w:spacing w:before="0"/>
              <w:ind w:right="227"/>
              <w:jc w:val="right"/>
            </w:pPr>
            <w:r w:rsidRPr="0008481A">
              <w:t>100</w:t>
            </w:r>
          </w:p>
        </w:tc>
      </w:tr>
      <w:tr w:rsidR="00000000" w:rsidRPr="0008481A">
        <w:tblPrEx>
          <w:tblCellMar>
            <w:top w:w="0" w:type="dxa"/>
            <w:bottom w:w="0" w:type="dxa"/>
          </w:tblCellMar>
        </w:tblPrEx>
        <w:tc>
          <w:tcPr>
            <w:tcW w:w="2041" w:type="dxa"/>
            <w:tcBorders>
              <w:top w:val="single" w:sz="6" w:space="0" w:color="auto"/>
              <w:bottom w:val="single" w:sz="6" w:space="0" w:color="auto"/>
            </w:tcBorders>
          </w:tcPr>
          <w:p w:rsidR="003B3271" w:rsidRPr="0008481A" w:rsidRDefault="003B3271">
            <w:pPr>
              <w:spacing w:before="0"/>
              <w:ind w:right="-1"/>
              <w:jc w:val="left"/>
            </w:pPr>
            <w:r w:rsidRPr="0008481A">
              <w:t>Total</w:t>
            </w:r>
          </w:p>
        </w:tc>
        <w:tc>
          <w:tcPr>
            <w:tcW w:w="964"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2 142</w:t>
            </w:r>
          </w:p>
        </w:tc>
        <w:tc>
          <w:tcPr>
            <w:tcW w:w="822"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93</w:t>
            </w:r>
          </w:p>
        </w:tc>
        <w:tc>
          <w:tcPr>
            <w:tcW w:w="822"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1 953</w:t>
            </w:r>
          </w:p>
        </w:tc>
        <w:tc>
          <w:tcPr>
            <w:tcW w:w="822"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606</w:t>
            </w:r>
          </w:p>
        </w:tc>
        <w:tc>
          <w:tcPr>
            <w:tcW w:w="850"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2</w:t>
            </w:r>
          </w:p>
        </w:tc>
        <w:tc>
          <w:tcPr>
            <w:tcW w:w="936" w:type="dxa"/>
            <w:tcBorders>
              <w:top w:val="single" w:sz="6" w:space="0" w:color="auto"/>
              <w:bottom w:val="single" w:sz="6" w:space="0" w:color="auto"/>
            </w:tcBorders>
          </w:tcPr>
          <w:p w:rsidR="003B3271" w:rsidRPr="0008481A" w:rsidRDefault="003B3271">
            <w:pPr>
              <w:spacing w:before="0"/>
              <w:ind w:right="227"/>
              <w:jc w:val="right"/>
              <w:rPr>
                <w:b/>
              </w:rPr>
            </w:pPr>
            <w:r w:rsidRPr="0008481A">
              <w:rPr>
                <w:b/>
              </w:rPr>
              <w:t>2</w:t>
            </w:r>
          </w:p>
        </w:tc>
        <w:tc>
          <w:tcPr>
            <w:tcW w:w="680" w:type="dxa"/>
            <w:tcBorders>
              <w:top w:val="single" w:sz="6" w:space="0" w:color="auto"/>
              <w:bottom w:val="single" w:sz="6" w:space="0" w:color="auto"/>
            </w:tcBorders>
          </w:tcPr>
          <w:p w:rsidR="003B3271" w:rsidRPr="0008481A" w:rsidRDefault="003B3271">
            <w:pPr>
              <w:pStyle w:val="TabellRubrik"/>
              <w:spacing w:before="0"/>
            </w:pPr>
            <w:r w:rsidRPr="0008481A">
              <w:t>4 798</w:t>
            </w:r>
          </w:p>
        </w:tc>
      </w:tr>
    </w:tbl>
    <w:p w:rsidR="003B3271" w:rsidRPr="0008481A" w:rsidRDefault="003B3271">
      <w:pPr>
        <w:pStyle w:val="Rubrik2"/>
        <w:spacing w:before="0"/>
      </w:pPr>
      <w:r w:rsidRPr="0008481A">
        <w:t>Criticism of a police force for delays in dealing with cases referred to its internal investigations unit</w:t>
      </w:r>
    </w:p>
    <w:p w:rsidR="003B3271" w:rsidRPr="0008481A" w:rsidRDefault="003B3271">
      <w:r w:rsidRPr="0008481A">
        <w:t>(Reg. no. 296-1999)</w:t>
      </w:r>
    </w:p>
    <w:p w:rsidR="003B3271" w:rsidRPr="0008481A" w:rsidRDefault="003B3271">
      <w:pPr>
        <w:pStyle w:val="Rubrik3"/>
      </w:pPr>
      <w:r w:rsidRPr="0008481A">
        <w:t>Background</w:t>
      </w:r>
    </w:p>
    <w:p w:rsidR="003B3271" w:rsidRPr="0008481A" w:rsidRDefault="003B3271">
      <w:r w:rsidRPr="0008481A">
        <w:t>During the inspection of the Internal Investigations Unit (IIU) of the Police Authority in Skåne in southern Sweden on December 1 and 2 1998, scrutiny was made of the 30 oldest unresolved cases and of all the cases submitted during 1998. At the time of the inspection the IIU had a staff of five detective superintendents, two of them temporary appointments. Prior to September 1 1998, the group consisted of two superintendents. The head of the unit was Superintendent Boris Brundin.</w:t>
      </w:r>
    </w:p>
    <w:p w:rsidR="003B3271" w:rsidRPr="0008481A" w:rsidRDefault="003B3271">
      <w:pPr>
        <w:pStyle w:val="Normaltindrag"/>
      </w:pPr>
      <w:r w:rsidRPr="0008481A">
        <w:t>During the inspection it transpired that a large number of cases had been pending for some considerable time without any measures being taken. For example, several of the 30 oldest cases had been open for almost or, at times, just over two years without any apparent action having been taken. When, in the course of the inspection, some of the outstanding cases were examined, it was discovered that no little time had elapsed since the prosecutor involved had already decided that they should be closed. In add</w:t>
      </w:r>
      <w:r w:rsidRPr="0008481A">
        <w:t>ition it was found that a large number of the cases from 1998 had been left since January or February of that year without any investigation having been made.</w:t>
      </w:r>
    </w:p>
    <w:p w:rsidR="003B3271" w:rsidRPr="0008481A" w:rsidRDefault="003B3271">
      <w:pPr>
        <w:pStyle w:val="Normaltindrag"/>
      </w:pPr>
      <w:r w:rsidRPr="0008481A">
        <w:rPr>
          <w:i/>
        </w:rPr>
        <w:t>The Chief Parliamentary Ombudsman, Mr. Eklundh</w:t>
      </w:r>
      <w:r w:rsidRPr="0008481A">
        <w:t>, decided that the way in which these cases had been dealt with should be the subject of a separate investigation.</w:t>
      </w:r>
    </w:p>
    <w:p w:rsidR="003B3271" w:rsidRPr="0008481A" w:rsidRDefault="003B3271">
      <w:pPr>
        <w:pStyle w:val="Rubrik3"/>
      </w:pPr>
      <w:r w:rsidRPr="0008481A">
        <w:t>The enquiry</w:t>
      </w:r>
    </w:p>
    <w:p w:rsidR="003B3271" w:rsidRPr="0008481A" w:rsidRDefault="003B3271">
      <w:r w:rsidRPr="0008481A">
        <w:t>The Police Authority was requested to supply information and a statement about</w:t>
      </w:r>
    </w:p>
    <w:p w:rsidR="003B3271" w:rsidRPr="0008481A" w:rsidRDefault="003B3271">
      <w:pPr>
        <w:pStyle w:val="PunktlistaTankstreck"/>
        <w:tabs>
          <w:tab w:val="num" w:pos="360"/>
        </w:tabs>
      </w:pPr>
      <w:r w:rsidRPr="0008481A">
        <w:t>the reason why a large number of cases had been left for a long time without any action being taken,</w:t>
      </w:r>
    </w:p>
    <w:p w:rsidR="003B3271" w:rsidRPr="0008481A" w:rsidRDefault="003B3271">
      <w:pPr>
        <w:pStyle w:val="PunktlistaTankstreck"/>
        <w:tabs>
          <w:tab w:val="num" w:pos="360"/>
        </w:tabs>
      </w:pPr>
      <w:r w:rsidRPr="0008481A">
        <w:t>what routines the Police Authority (IIU) had for keeping track of and monitoring cases that had not yet been resolved,</w:t>
      </w:r>
    </w:p>
    <w:p w:rsidR="003B3271" w:rsidRPr="0008481A" w:rsidRDefault="003B3271">
      <w:pPr>
        <w:pStyle w:val="PunktlistaTankstreck"/>
        <w:tabs>
          <w:tab w:val="num" w:pos="360"/>
        </w:tabs>
      </w:pPr>
      <w:r w:rsidRPr="0008481A">
        <w:t>what measures the Police Authority had taken or was going to take to get to grips with the long delays.</w:t>
      </w:r>
    </w:p>
    <w:p w:rsidR="003B3271" w:rsidRPr="0008481A" w:rsidRDefault="003B3271">
      <w:r w:rsidRPr="0008481A">
        <w:t>The following written response was received from the Police Authority (Chief Commissioner Hans Wranghult).</w:t>
      </w:r>
    </w:p>
    <w:p w:rsidR="003B3271" w:rsidRPr="0008481A" w:rsidRDefault="003B3271">
      <w:pPr>
        <w:pStyle w:val="Rubrik4"/>
      </w:pPr>
      <w:r w:rsidRPr="0008481A">
        <w:t>The causes of delays in dealing with cases</w:t>
      </w:r>
    </w:p>
    <w:p w:rsidR="003B3271" w:rsidRPr="0008481A" w:rsidRDefault="003B3271">
      <w:pPr>
        <w:pStyle w:val="Citat"/>
      </w:pPr>
      <w:r w:rsidRPr="0008481A">
        <w:t>The number of complaints made against police personnel concerning criminal acts committed in the execution of their duties amounted during the period 1994–1996 to 350 cases a year on average. During 1997 a marked increase occurred and a total of 504 complaints were submitted. The backlog of cases carried forward on January 1 1997 totalled 200. Because of the increase in the number of complaints, this backlog increased by 98 during the same year so that by the end of the year it had risen to 298. For this r</w:t>
      </w:r>
      <w:r w:rsidRPr="0008481A">
        <w:t>eason, and in view of the fact that one of the superintendents had been on sick leave for a considerable length of time, the Chief Commissioner decided to declare two posts as superintendent vacant and these were advertised on February 19 1998. Recruitment to these posts coincided with reorganisation of the Police Authority. This involved the recruitment of a very large number of senior officers and the process is only now coming to an end. Not until September 1998 were the newly appointed superintendents a</w:t>
      </w:r>
      <w:r w:rsidRPr="0008481A">
        <w:t>ble to take up their duties in the Internal Investigations Unit. More investigators were recruited than specified when the vacancies were advertised. This means that three superintendents were appointed. At that time the backlog of cases was 400.</w:t>
      </w:r>
    </w:p>
    <w:p w:rsidR="003B3271" w:rsidRPr="0008481A" w:rsidRDefault="003B3271">
      <w:pPr>
        <w:pStyle w:val="Rubrik4"/>
      </w:pPr>
      <w:r w:rsidRPr="0008481A">
        <w:t>Assessment</w:t>
      </w:r>
    </w:p>
    <w:p w:rsidR="003B3271" w:rsidRPr="0008481A" w:rsidRDefault="003B3271">
      <w:pPr>
        <w:pStyle w:val="Citat"/>
      </w:pPr>
      <w:r w:rsidRPr="0008481A">
        <w:t>One reason for the lack of action in a very large number of cases seems to have been that the results of the monitoring system had not been followed up adequately and that priorities were not always established. This was true in particular for cases from 1995 and 1996. In several of these cases, all that was needed was a brief consultation with the Prosecution Agency. It can also be established that, because of the increase in quantity, long-term illness, and the Police Authority’s dilatory recruitment sys</w:t>
      </w:r>
      <w:r w:rsidRPr="0008481A">
        <w:t xml:space="preserve">tem, the balance of cases became too large and this prolonged the time taken to process them. During the spring of 1998 in particular the staffing situation was precarious. </w:t>
      </w:r>
    </w:p>
    <w:p w:rsidR="003B3271" w:rsidRPr="0008481A" w:rsidRDefault="003B3271">
      <w:pPr>
        <w:pStyle w:val="Rubrik4"/>
      </w:pPr>
      <w:r w:rsidRPr="0008481A">
        <w:t>The measures taken by the Police Authority to come to grips with the delays</w:t>
      </w:r>
    </w:p>
    <w:p w:rsidR="003B3271" w:rsidRPr="0008481A" w:rsidRDefault="003B3271">
      <w:r w:rsidRPr="0008481A">
        <w:t>Routines for keeping track of cases and monitoring them</w:t>
      </w:r>
    </w:p>
    <w:p w:rsidR="003B3271" w:rsidRPr="0008481A" w:rsidRDefault="003B3271">
      <w:pPr>
        <w:pStyle w:val="Citat"/>
      </w:pPr>
      <w:r w:rsidRPr="0008481A">
        <w:t xml:space="preserve">The monitoring function in the computerised filing system (Rational Complaints Routine) has now been modified to identify cases that are more than six months old instead of eighteen months as previously. The results are followed up every month by the head of the Internal Investigations Unit. The investigating officer or the prosecutor is contacted in order to verify the status of each individual case. </w:t>
      </w:r>
    </w:p>
    <w:p w:rsidR="003B3271" w:rsidRPr="0008481A" w:rsidRDefault="003B3271">
      <w:pPr>
        <w:pStyle w:val="Citatindrag"/>
      </w:pPr>
      <w:r w:rsidRPr="0008481A">
        <w:t>A result analysis which specifies the number of cases received, accounted for, the backlog remaining, throughput time, prosecutions and judgments is submitted to the Chief Commissioner every month.</w:t>
      </w:r>
    </w:p>
    <w:p w:rsidR="003B3271" w:rsidRPr="0008481A" w:rsidRDefault="003B3271">
      <w:pPr>
        <w:pStyle w:val="Citatindrag"/>
      </w:pPr>
      <w:r w:rsidRPr="0008481A">
        <w:t>New regulations have been established to clarify the division of responsi</w:t>
      </w:r>
      <w:r w:rsidRPr="0008481A">
        <w:softHyphen/>
        <w:t>bility and to enforce certain monitoring routines.</w:t>
      </w:r>
    </w:p>
    <w:p w:rsidR="003B3271" w:rsidRPr="0008481A" w:rsidRDefault="003B3271">
      <w:pPr>
        <w:pStyle w:val="Rubrik5"/>
      </w:pPr>
      <w:r w:rsidRPr="0008481A">
        <w:t>Organisation and management</w:t>
      </w:r>
    </w:p>
    <w:p w:rsidR="003B3271" w:rsidRPr="0008481A" w:rsidRDefault="003B3271">
      <w:pPr>
        <w:pStyle w:val="Citat"/>
      </w:pPr>
      <w:r w:rsidRPr="0008481A">
        <w:t xml:space="preserve">The management of the unit has been improved by the assignment in November 1998 of this responsibility to a Chief Superintendent. A new section head was also appointed with effect from February 1 1999. The unit consists of an additional four superintendents and a sergeant. An additional sergeant has been posted to the unit until the summer of 1999. </w:t>
      </w:r>
    </w:p>
    <w:p w:rsidR="003B3271" w:rsidRPr="0008481A" w:rsidRDefault="003B3271">
      <w:pPr>
        <w:pStyle w:val="Citatindrag"/>
      </w:pPr>
      <w:r w:rsidRPr="0008481A">
        <w:t>Today every complaint received is evaluated immediately and assigned directly to one of the officers. Old cases have been allocated to a special clearance group.</w:t>
      </w:r>
    </w:p>
    <w:p w:rsidR="003B3271" w:rsidRPr="0008481A" w:rsidRDefault="003B3271">
      <w:pPr>
        <w:pStyle w:val="Rubrik5"/>
      </w:pPr>
      <w:r w:rsidRPr="0008481A">
        <w:t>Plans to dispose of the backlog</w:t>
      </w:r>
    </w:p>
    <w:p w:rsidR="003B3271" w:rsidRPr="0008481A" w:rsidRDefault="003B3271">
      <w:pPr>
        <w:pStyle w:val="Citat"/>
      </w:pPr>
      <w:r w:rsidRPr="0008481A">
        <w:t xml:space="preserve">A plan of action has been worked out in the unit. The backlog of cases is to be reduced considerably. This is scheduled to take place before May 31 1999. Action will be taken immediately on new cases to which the prosecutors have decided to give priority, and within two months otherwise. Another objective is to reduce the number of complaints received by circulating information about the prevention of this kind of crimes and continued training in ethics. </w:t>
      </w:r>
    </w:p>
    <w:p w:rsidR="003B3271" w:rsidRPr="0008481A" w:rsidRDefault="003B3271">
      <w:pPr>
        <w:pStyle w:val="Citatindrag"/>
      </w:pPr>
      <w:r w:rsidRPr="0008481A">
        <w:t>Three superintendents have been assigned to work primarily to clear the backlog of cases. Two superintendents are dealing with new cases. Civilian employees have been given new duties. These involve, for instance, procuring additional documents relating to the complaints. While the backlog of cases is being disposed of, therefore, the civilian staff will be augmented with one new post.</w:t>
      </w:r>
    </w:p>
    <w:p w:rsidR="003B3271" w:rsidRPr="0008481A" w:rsidRDefault="003B3271">
      <w:pPr>
        <w:pStyle w:val="Rubrik5"/>
      </w:pPr>
      <w:r w:rsidRPr="0008481A">
        <w:t>Contact with the prosecution agency</w:t>
      </w:r>
    </w:p>
    <w:p w:rsidR="003B3271" w:rsidRPr="0008481A" w:rsidRDefault="003B3271">
      <w:pPr>
        <w:pStyle w:val="Citat"/>
      </w:pPr>
      <w:r w:rsidRPr="0008481A">
        <w:t>Meetings have been taking place between the Chief Commissioner and the Chief District Prosecutor for many years. The work of the Internal Investigations Unit is constantly being discussed. The Chief District Prosecutor, the Assistant Chief District Prosecutor and the Internal Investigations Unit also meet at regular intervals. Direct contact with the Prosecution Agency concerning individual cases takes place to an increasing extent.</w:t>
      </w:r>
    </w:p>
    <w:p w:rsidR="003B3271" w:rsidRPr="0008481A" w:rsidRDefault="003B3271">
      <w:pPr>
        <w:pStyle w:val="Rubrik5"/>
      </w:pPr>
      <w:r w:rsidRPr="0008481A">
        <w:t>Assessment of the measures taken by the Police Authority</w:t>
      </w:r>
    </w:p>
    <w:p w:rsidR="003B3271" w:rsidRPr="0008481A" w:rsidRDefault="003B3271">
      <w:pPr>
        <w:pStyle w:val="Citat"/>
      </w:pPr>
      <w:r w:rsidRPr="0008481A">
        <w:t>The Police Authority is now able to keep track of all cases and monitor them effectively. Personnel resources are adequate in terms of numbers and training. Working methods have been modified and improvements made to the quality with which individual cases are dealt with. On March 22 1999 the backlog of cases was 293, of which 55 had been submitted to the Prosecution Agency for a decision. It is estimated that the backlog will have been reduced to an acceptable level before the summer of 1999.</w:t>
      </w:r>
    </w:p>
    <w:p w:rsidR="003B3271" w:rsidRPr="0008481A" w:rsidRDefault="003B3271">
      <w:r w:rsidRPr="0008481A">
        <w:t>– – –</w:t>
      </w:r>
    </w:p>
    <w:p w:rsidR="003B3271" w:rsidRPr="0008481A" w:rsidRDefault="003B3271">
      <w:r w:rsidRPr="0008481A">
        <w:t>In October 1999 new statistical information was requested from the IIU. This showed that on October 28 1999 there were 299 cases being dealt with, of which five dated from 1997, 69 from 1998 and the remaining 255 from 1999. At the same time, Chief Superintendent Lars-Folke Piledahl supplied the following information.</w:t>
      </w:r>
    </w:p>
    <w:p w:rsidR="003B3271" w:rsidRPr="0008481A" w:rsidRDefault="003B3271">
      <w:pPr>
        <w:pStyle w:val="Rubrik3"/>
      </w:pPr>
      <w:r w:rsidRPr="0008481A">
        <w:t>Monitoring the balance of cases in the Internal Investigations Unit</w:t>
      </w:r>
    </w:p>
    <w:p w:rsidR="003B3271" w:rsidRPr="0008481A" w:rsidRDefault="003B3271">
      <w:pPr>
        <w:pStyle w:val="Citat"/>
      </w:pPr>
      <w:r w:rsidRPr="0008481A">
        <w:t>At the end of 1998 the backlog of cases was 350. In April this backlog had been reduced to 300 despite the large numbers of new cases submitted. Subsequently the number of new cases increased to a level which indicated that the figure would reach 600 by the end of the year. When informed of these circumstances, the Chief Commissioner decided to reinforce the Internal Investigations Unit as soon as possible. On September 1, two new superintendents were assigned to the unit, and yet another on November 1. Th</w:t>
      </w:r>
      <w:r w:rsidRPr="0008481A">
        <w:t>is means that the unit now consists of seven superintendents and two sergeants.</w:t>
      </w:r>
    </w:p>
    <w:p w:rsidR="003B3271" w:rsidRPr="0008481A" w:rsidRDefault="003B3271">
      <w:pPr>
        <w:pStyle w:val="Citatindrag"/>
      </w:pPr>
      <w:r w:rsidRPr="0008481A">
        <w:t>The number of cases submitted up until October 28 1999 amounted to 482. During the year the unit has accounted for 524 cases. The total backlog has been reduced during the year from 350 to 300 cases.</w:t>
      </w:r>
    </w:p>
    <w:p w:rsidR="003B3271" w:rsidRPr="0008481A" w:rsidRDefault="003B3271">
      <w:pPr>
        <w:pStyle w:val="Citatindrag"/>
      </w:pPr>
      <w:r w:rsidRPr="0008481A">
        <w:t>It is forecast that by December 31 1999 600 cases will have been sub</w:t>
      </w:r>
      <w:r w:rsidRPr="0008481A">
        <w:softHyphen/>
        <w:t>mitted, 700 cases accounted for and the total backlog will then be 250 cases.</w:t>
      </w:r>
    </w:p>
    <w:p w:rsidR="003B3271" w:rsidRPr="0008481A" w:rsidRDefault="003B3271">
      <w:pPr>
        <w:pStyle w:val="Citatindrag"/>
      </w:pPr>
      <w:r w:rsidRPr="0008481A">
        <w:t>As a result of the efforts devoted to disposing of the backlog of cases, during the first six months of 1999 charges were brought in 8 instances and summary conviction was issued in one. Two of the charges led to a verdict of not guilty, and two cases have not yet been heard. Two officers have resigned after the process leading to their dismissal had been set in motion. One other officer risks facing dismissal.</w:t>
      </w:r>
    </w:p>
    <w:p w:rsidR="003B3271" w:rsidRPr="0008481A" w:rsidRDefault="003B3271">
      <w:r w:rsidRPr="0008481A">
        <w:t xml:space="preserve">In his adjudication of February 5 1999, </w:t>
      </w:r>
      <w:r w:rsidRPr="0008481A">
        <w:rPr>
          <w:i/>
        </w:rPr>
        <w:t>the Chief Parliamentary Ombuds</w:t>
      </w:r>
      <w:r w:rsidRPr="0008481A">
        <w:rPr>
          <w:i/>
        </w:rPr>
        <w:softHyphen/>
        <w:t xml:space="preserve">man, Mr Eklundh, </w:t>
      </w:r>
      <w:r w:rsidRPr="0008481A">
        <w:t>included the following observations.</w:t>
      </w:r>
    </w:p>
    <w:p w:rsidR="003B3271" w:rsidRPr="0008481A" w:rsidRDefault="003B3271">
      <w:pPr>
        <w:pStyle w:val="Rubrik3"/>
      </w:pPr>
      <w:r w:rsidRPr="0008481A">
        <w:t>Adjudication</w:t>
      </w:r>
    </w:p>
    <w:p w:rsidR="003B3271" w:rsidRPr="0008481A" w:rsidRDefault="003B3271">
      <w:r w:rsidRPr="0008481A">
        <w:t>The duties of the police include, among other things, supervising the public order and security, preventing disturbances of public order and security and intervening when these have taken place, and also carrying out surveillance and investigations concerning crimes subject to public prosecution (Art. 2, The Police Act [1984:387]). To enable police officers to discharge their duties, they have been granted extensive powers that include, for instance, the right in certain defined respects to limit an indivi</w:t>
      </w:r>
      <w:r w:rsidRPr="0008481A">
        <w:t xml:space="preserve">dual’s constitutional freedoms and rights. These powers also include authorisation, in certain circumstances, to use force in the execution of their duties (cf. Art. 10 of the Police Act). Police officers can be described in principle as having a monopoly of the right to exercise the coercive powers against individuals invested in the state. </w:t>
      </w:r>
    </w:p>
    <w:p w:rsidR="003B3271" w:rsidRPr="0008481A" w:rsidRDefault="003B3271">
      <w:pPr>
        <w:pStyle w:val="Normaltindrag"/>
      </w:pPr>
      <w:r w:rsidRPr="0008481A">
        <w:t>Seen from this point of view, it is obviously of extreme importance that an effective and reliable system exists to monitor and ensure that police officers use their p</w:t>
      </w:r>
      <w:r w:rsidRPr="0008481A">
        <w:t>owers in ways that meet the requirements of legality, justice and impartiality. A system of supervision and sanctions is essential if the general public is to be able to feel any confidence in the workings of the police authorities.</w:t>
      </w:r>
    </w:p>
    <w:p w:rsidR="003B3271" w:rsidRPr="0008481A" w:rsidRDefault="003B3271">
      <w:pPr>
        <w:pStyle w:val="Normaltindrag"/>
      </w:pPr>
      <w:r w:rsidRPr="0008481A">
        <w:t>In a system of the kind described here, an important role is played by the regulations determining how complaints against police officers are to be dealt with. Since January 1 1999 the provisions concerning the treatment of complaints against police officers can be found in Chap</w:t>
      </w:r>
      <w:r w:rsidRPr="0008481A">
        <w:t>ter 5 of the Police Ordinance (1998:1558). Previously the corresponding regulations formed part of Chapter 6 of the Police Ordinance (1984:730).</w:t>
      </w:r>
    </w:p>
    <w:p w:rsidR="003B3271" w:rsidRPr="0008481A" w:rsidRDefault="003B3271">
      <w:pPr>
        <w:pStyle w:val="Normaltindrag"/>
      </w:pPr>
      <w:r w:rsidRPr="0008481A">
        <w:t xml:space="preserve">If a complaint is made to the police alleging that a police officer has committed some crime related to the execution of her or his duties or has in some other way acted incorrectly in exercising her or his powers, this complaint is to be submitted without delay to a prosecutor for a decision on whether a preliminary investigation is to be initiated or not (5.1.1) </w:t>
      </w:r>
      <w:r w:rsidRPr="0008481A">
        <w:t>This also applies if an individual has sustained injury either through the action of a police officer in the execution of her or his duties or while being detained by the police and the injury is a serious one (5.1.3). Certain exceptions to the requirement that complaints be submitted to a prosecutor can be found in 5.1.2. Chapter 6 contains regulations on how complaints about crimes committed by police officers that are not related to the execution of their duties are to be dealt with. In addition, the Nat</w:t>
      </w:r>
      <w:r w:rsidRPr="0008481A">
        <w:t>ional Police Board has issued directives and general advice on dealing with complaints against police officers and others (FAP 403-2).</w:t>
      </w:r>
    </w:p>
    <w:p w:rsidR="003B3271" w:rsidRPr="0008481A" w:rsidRDefault="003B3271">
      <w:pPr>
        <w:pStyle w:val="Normaltindrag"/>
      </w:pPr>
      <w:r w:rsidRPr="0008481A">
        <w:t>The general provisions of the Procedural Code concerning preliminary investigations naturally also apply when a police officer is involved. In this context, I would like to draw particular attention to the stipulation that a preliminary investigation is to be conducted as expeditiously as the circum</w:t>
      </w:r>
      <w:r w:rsidRPr="0008481A">
        <w:softHyphen/>
        <w:t>stances permit (Procedural Code 23.4.2). It is vital, if public confidence in the community’s supervision of police activities is to be sustained, that this stipulation is complied with faithfully by the investigating agency.</w:t>
      </w:r>
    </w:p>
    <w:p w:rsidR="003B3271" w:rsidRPr="0008481A" w:rsidRDefault="003B3271">
      <w:pPr>
        <w:pStyle w:val="Normaltindrag"/>
      </w:pPr>
      <w:r w:rsidRPr="0008481A">
        <w:t>A fundamental principle in the process of investigating a crime alleged to have been committed by a police officer is that a prosecutor should assume responsibility from the outset. It can be added that according to Art. 17 of the Ordinance on Prosecutors (1996:205) only certain prose</w:t>
      </w:r>
      <w:r w:rsidRPr="0008481A">
        <w:t>cutors with special qualifications are allowed to deal with cases concerning crimes that employees within the police force are suspected of committing in the course of their duties. The prosecutor is assisted by police officers who carry out the day-to-day work of investigation. Often, these police officers serve in a special internal investigations unit which is autonomous in its relationship to the other activities of the police authority. There are special provisions in the Police Ordinance (5.3) concern</w:t>
      </w:r>
      <w:r w:rsidRPr="0008481A">
        <w:t xml:space="preserve">ing those empowered to question police officers. </w:t>
      </w:r>
    </w:p>
    <w:p w:rsidR="003B3271" w:rsidRPr="0008481A" w:rsidRDefault="003B3271">
      <w:pPr>
        <w:pStyle w:val="Normaltindrag"/>
      </w:pPr>
      <w:r w:rsidRPr="0008481A">
        <w:t>If the regulations referred to here are to fulfil their purpose, it is obviously necessary for the prosecution agencies and the police authorities concerned to be organised so that investigations can function effectively and appro</w:t>
      </w:r>
      <w:r w:rsidRPr="0008481A">
        <w:softHyphen/>
        <w:t>priately in every respect. Particular weight should be attached here to the fundamental principle applying to the investigation of any crime, which is that this must never be conducted in ways that give grounds for questioning the impartiality of the investigating agency.</w:t>
      </w:r>
    </w:p>
    <w:p w:rsidR="003B3271" w:rsidRPr="0008481A" w:rsidRDefault="003B3271">
      <w:pPr>
        <w:pStyle w:val="Normaltindrag"/>
      </w:pPr>
      <w:r w:rsidRPr="0008481A">
        <w:t>In my inspection of the IIU, I was able to establish that its performance did not meet the demands that must be made of it. As has been pointed out already, at the date of the inspection a large number of cases had been left for considera</w:t>
      </w:r>
      <w:r w:rsidRPr="0008481A">
        <w:t xml:space="preserve">ble periods of time, sometimes for more than two years, without any apparent action having been taken. In addition, obvious flaws in the unit’s monitoring routines could be observed. In my opinion there are good grounds for taking a very serious view of the shortcomings that came to light. </w:t>
      </w:r>
    </w:p>
    <w:p w:rsidR="003B3271" w:rsidRPr="0008481A" w:rsidRDefault="003B3271">
      <w:pPr>
        <w:pStyle w:val="Normaltindrag"/>
      </w:pPr>
      <w:r w:rsidRPr="0008481A">
        <w:t>In the response submitted by the Police Authority, the length of time taken to deal with cases is explained by reference to an increase in the number of complaints submitted in recent years, inadequate follow-up of case-</w:t>
      </w:r>
      <w:r w:rsidRPr="0008481A">
        <w:t>moni</w:t>
      </w:r>
      <w:r w:rsidRPr="0008481A">
        <w:softHyphen/>
        <w:t>toring routines and failure to classify all the cases in terms of priority. In addition, the authority has cited the long period of illness of one of the superintendents responsible for investigations and a dilatory recruitment process.</w:t>
      </w:r>
    </w:p>
    <w:p w:rsidR="003B3271" w:rsidRPr="0008481A" w:rsidRDefault="003B3271">
      <w:pPr>
        <w:pStyle w:val="Normaltindrag"/>
      </w:pPr>
      <w:r w:rsidRPr="0008481A">
        <w:t xml:space="preserve">I am aware that the IIU was working under a great deal of pressure. This notwithstanding, delays in dealing with cases as long as those found here are totally unacceptable. Some of the circumstances referred to by the Police Authority to explain the shortcomings cannot </w:t>
      </w:r>
      <w:r w:rsidRPr="0008481A">
        <w:t>in themselves give grounds for criticism of any individual officer. However, Boris Brundin, as head of the IIU, had overall responsibility for its performance and it was therefore his responsibility to ensure that cases were dealt with considerably more efficiently than was the case. His duties included, for instance, making sure that effectual monitoring routines were in place in the unit and that cases were effectively classified according to priority. His management of the unit cannot therefore escape cr</w:t>
      </w:r>
      <w:r w:rsidRPr="0008481A">
        <w:t>iticism.</w:t>
      </w:r>
    </w:p>
    <w:p w:rsidR="003B3271" w:rsidRPr="0008481A" w:rsidRDefault="003B3271">
      <w:pPr>
        <w:pStyle w:val="Normaltindrag"/>
      </w:pPr>
      <w:r w:rsidRPr="0008481A">
        <w:t>The ultimate responsibility for the activities of a police authority lies with its Chief Commissioner, in this case with Hans Wranghult. According to Art. 6 of the Ordinance on Government Agencies and Institutions (1995:1322), the heads of these agencies are responsible for their activities, and 7.1 stipulates that the head of an agency is to ensure that these activities are conducted effectively and according to statute. Chapter 1.7 of the current Police Ordinance makes it clear that these regulat</w:t>
      </w:r>
      <w:r w:rsidRPr="0008481A">
        <w:t>ions also apply to police authorities. A regulation with the same import was also to be found in the previous Police Ordinance (1984:730). Nor, therefore, can Hans Wranghult escape criticism arising from the shortcomings in the way in which the IIU dealt with its cases.</w:t>
      </w:r>
    </w:p>
    <w:p w:rsidR="003B3271" w:rsidRPr="0008481A" w:rsidRDefault="003B3271">
      <w:pPr>
        <w:pStyle w:val="Normaltindrag"/>
      </w:pPr>
      <w:r w:rsidRPr="0008481A">
        <w:t>As the response of the Police Authority reveals, during recent years it has adopted a number of concrete measures to cope with delays in dealing with cases. These measures have taken the form of modifications in the tracking and monitoring r</w:t>
      </w:r>
      <w:r w:rsidRPr="0008481A">
        <w:t>outines and organisational changes in some respects. For instance, there has been a major increase in the number of posts within the IIU. The unit now consists of seven superintendents and two sergeants.</w:t>
      </w:r>
    </w:p>
    <w:p w:rsidR="003B3271" w:rsidRPr="0008481A" w:rsidRDefault="003B3271">
      <w:pPr>
        <w:pStyle w:val="Normaltindrag"/>
      </w:pPr>
      <w:r w:rsidRPr="0008481A">
        <w:t>It is with some satisfaction that I observe that the Police Authority has taken cogent action to guarantee that in the future the IIU will function effec</w:t>
      </w:r>
      <w:r w:rsidRPr="0008481A">
        <w:softHyphen/>
        <w:t>tively and lawfully. In order to follow up this case, I am requesting the sub</w:t>
      </w:r>
      <w:r w:rsidRPr="0008481A">
        <w:softHyphen/>
        <w:t>mission of statistical information about the unit’s performance during 1999.</w:t>
      </w:r>
    </w:p>
    <w:p w:rsidR="003B3271" w:rsidRPr="0008481A" w:rsidRDefault="003B3271">
      <w:pPr>
        <w:pStyle w:val="Normaltindrag"/>
      </w:pPr>
      <w:r w:rsidRPr="0008481A">
        <w:t xml:space="preserve">My observations in this case are such that I find it necessary to draw the attention of the Ministry of Justice and the Riksdag’s Committee on Justice to the circumstances by submitting a copy of this adjudication to each of them. </w:t>
      </w:r>
    </w:p>
    <w:p w:rsidR="003B3271" w:rsidRPr="0008481A" w:rsidRDefault="003B3271">
      <w:pPr>
        <w:pStyle w:val="Rubrik2"/>
        <w:spacing w:before="0"/>
      </w:pPr>
      <w:r w:rsidRPr="0008481A">
        <w:br w:type="page"/>
        <w:t>The question of the legality of participation by the Defence Authorities in police operations</w:t>
      </w:r>
    </w:p>
    <w:p w:rsidR="003B3271" w:rsidRPr="0008481A" w:rsidRDefault="003B3271">
      <w:r w:rsidRPr="0008481A">
        <w:t>(Reg. no. 4110-1998)</w:t>
      </w:r>
    </w:p>
    <w:p w:rsidR="003B3271" w:rsidRPr="0008481A" w:rsidRDefault="003B3271">
      <w:r w:rsidRPr="0008481A">
        <w:t>On Sunday September 27 1998, two individuals staged a robbery at a military unit in Strängnäs. In the course of the robbery a number of AK5 automatic rifles were stolen. The search for the suspected perpetrators soon came to focus on the Nature Reserve at Nacka, just outside Stockholm. The area concerned had been searched in vain by police officers on the ground. In addition a police helicopter equipped with infra-red cameras had been used without success. After a request from the Police Authority in the C</w:t>
      </w:r>
      <w:r w:rsidRPr="0008481A">
        <w:t xml:space="preserve">ounty of Stockholm, the Defence Authorities </w:t>
      </w:r>
      <w:r w:rsidRPr="0008481A">
        <w:sym w:font="Symbol" w:char="F02D"/>
      </w:r>
      <w:r w:rsidRPr="0008481A">
        <w:t xml:space="preserve"> the Supreme Commander </w:t>
      </w:r>
      <w:r w:rsidRPr="0008481A">
        <w:sym w:font="Symbol" w:char="F02D"/>
      </w:r>
      <w:r w:rsidRPr="0008481A">
        <w:t xml:space="preserve"> decided that a military helicopter could be used to assist the police in their investigations. During the evening and night of October 2–3 1998, a military helicopter and its crew participated in the search for the thieves who had stolen the firearms.</w:t>
      </w:r>
    </w:p>
    <w:p w:rsidR="003B3271" w:rsidRPr="0008481A" w:rsidRDefault="003B3271">
      <w:pPr>
        <w:pStyle w:val="Normaltindrag"/>
      </w:pPr>
      <w:r w:rsidRPr="0008481A">
        <w:t>An anonymous complaint that was received by the Parliamentary Ombuds</w:t>
      </w:r>
      <w:r w:rsidRPr="0008481A">
        <w:softHyphen/>
        <w:t>man on October 19 1998 raised the question of the legality of military personnel and equipment being used in the search for the suspected thieves. The complainants, who claimed to be employees of the Defence Authorities and the Police Authority in the County of Stockholm, maintained that in participating the Defence Authorities had become improperly involved in a police operation concerning civilians that only police authorities are entitled to undertake. The complainants also drew attention to certain haz</w:t>
      </w:r>
      <w:r w:rsidRPr="0008481A">
        <w:t>ards that they considered this operation had given rise to.</w:t>
      </w:r>
    </w:p>
    <w:p w:rsidR="003B3271" w:rsidRPr="0008481A" w:rsidRDefault="003B3271">
      <w:pPr>
        <w:pStyle w:val="Normaltindrag"/>
      </w:pPr>
      <w:r w:rsidRPr="0008481A">
        <w:t xml:space="preserve">On October 26 1998 </w:t>
      </w:r>
      <w:r w:rsidRPr="0008481A">
        <w:rPr>
          <w:i/>
        </w:rPr>
        <w:t>the Parliamentary Ombudsman, Mr Pennlöv</w:t>
      </w:r>
      <w:r w:rsidRPr="0008481A">
        <w:t>, decided to initiate an enquiry into the matter.</w:t>
      </w:r>
    </w:p>
    <w:p w:rsidR="003B3271" w:rsidRPr="0008481A" w:rsidRDefault="003B3271">
      <w:pPr>
        <w:pStyle w:val="Normaltindrag"/>
      </w:pPr>
      <w:r w:rsidRPr="0008481A">
        <w:t>The Defence Authorities and the National Police Board submitted responses to the complaint.</w:t>
      </w:r>
    </w:p>
    <w:p w:rsidR="003B3271" w:rsidRPr="0008481A" w:rsidRDefault="003B3271">
      <w:pPr>
        <w:pStyle w:val="Normaltindrag"/>
      </w:pPr>
      <w:r w:rsidRPr="0008481A">
        <w:t xml:space="preserve">In his adjudication dated September 8 1999, </w:t>
      </w:r>
      <w:r w:rsidRPr="0008481A">
        <w:rPr>
          <w:i/>
        </w:rPr>
        <w:t>the Parliamentary Ombuds</w:t>
      </w:r>
      <w:r w:rsidRPr="0008481A">
        <w:rPr>
          <w:i/>
        </w:rPr>
        <w:softHyphen/>
        <w:t xml:space="preserve">man, Mr Pennlöv, </w:t>
      </w:r>
      <w:r w:rsidRPr="0008481A">
        <w:t>included the following comments.</w:t>
      </w:r>
    </w:p>
    <w:p w:rsidR="003B3271" w:rsidRPr="0008481A" w:rsidRDefault="003B3271">
      <w:pPr>
        <w:pStyle w:val="Normaltindrag"/>
      </w:pPr>
      <w:r w:rsidRPr="0008481A">
        <w:t xml:space="preserve">The use of military personnel and equipment in police activities constitutes an exception and must be limited strictly to situations where the regulations in force permit such assistance and it is on principle extremely important that a distinct line of demarcation is maintained between military actions and the normal police activities (cf. </w:t>
      </w:r>
      <w:r w:rsidRPr="0008481A">
        <w:rPr>
          <w:i/>
        </w:rPr>
        <w:t xml:space="preserve">The Parliamentary Ombudsman’s Report 1991/92 </w:t>
      </w:r>
      <w:r w:rsidRPr="0008481A">
        <w:t>p. 197 f.).</w:t>
      </w:r>
    </w:p>
    <w:p w:rsidR="003B3271" w:rsidRPr="0008481A" w:rsidRDefault="003B3271">
      <w:pPr>
        <w:pStyle w:val="Normaltindrag"/>
      </w:pPr>
      <w:r w:rsidRPr="0008481A">
        <w:t>During recent years the Riksdag and the Government have made statements advocating increased support from the Defence authorities to civilian society. In this context, however, it has been pointed out that military resources are not to be used in ways which could be considered to conflict with the fundamental principle that the Defence authorities must not become involved in measures that comprise the use of force or coercion against individual civili</w:t>
      </w:r>
      <w:r w:rsidRPr="0008481A">
        <w:t xml:space="preserve">ans (cf. Government Bill 1995/96:12 p. 48–51 and FöU 1995/96:1 p. 21). The response submitted by the National Police Board contains a detailed account of the statements made by the Riksdag and the Government on this issue. </w:t>
      </w:r>
    </w:p>
    <w:p w:rsidR="003B3271" w:rsidRPr="0008481A" w:rsidRDefault="003B3271">
      <w:pPr>
        <w:pStyle w:val="Normaltindrag"/>
      </w:pPr>
      <w:r w:rsidRPr="0008481A">
        <w:t>The Defence Authorities have described the regulations that govern and limit their participation in tasks other than those traditionally belonging to the field of military action. The provisions that are of primary importance in this case are Articles 2 and 5 of the Ordinance on Military</w:t>
      </w:r>
      <w:r w:rsidRPr="0008481A">
        <w:t xml:space="preserve"> Involvement in Civilian Activities (1986:1111). Art. 2 states that the Defence authorities may place personnel and transport facilities at the disposal of the police force, for instance, if there is a pressing need of transport. According to Art. 5, the Defence authorities are also permitted to undertake and provide transport services and other work and services if such activities can be arranged as part of the training programmes organised for defence personnel or are of benefit to the state or other publ</w:t>
      </w:r>
      <w:r w:rsidRPr="0008481A">
        <w:t>ic interests.</w:t>
      </w:r>
    </w:p>
    <w:p w:rsidR="003B3271" w:rsidRPr="0008481A" w:rsidRDefault="003B3271">
      <w:pPr>
        <w:pStyle w:val="Normaltindrag"/>
      </w:pPr>
      <w:r w:rsidRPr="0008481A">
        <w:t xml:space="preserve">The enquiry has shown that the task entrusted to the Defence authorities and which it carried out in the case in question was to conduct a detailed search of the area with the help of light intensification equipment and heat sensitive cameras. If and when any observation indicated the possible presence of the thieves, the crew of the military helicopter were to inform the police of their position and then terminate their participation. The involvement consisted therefore not only of assisting </w:t>
      </w:r>
      <w:r w:rsidRPr="0008481A">
        <w:t xml:space="preserve">the police with the transport of personnel and equipment but the military helicopter did in fact, albeit to a limited extent, play an active role in the course of a police operation. </w:t>
      </w:r>
    </w:p>
    <w:p w:rsidR="003B3271" w:rsidRPr="0008481A" w:rsidRDefault="003B3271">
      <w:pPr>
        <w:pStyle w:val="Normaltindrag"/>
      </w:pPr>
      <w:r w:rsidRPr="0008481A">
        <w:t>In view of the fact that this was not merely a question of simple transport, to what extent it was based in law has to be assessed in the light of the regulations in Art. 5 of the Ordinance on Military Involvement in Civilian Activities. The Defence Authorities have stated that the support requested by the police could, in vie</w:t>
      </w:r>
      <w:r w:rsidRPr="0008481A">
        <w:t xml:space="preserve">w of the circumstances, be considered to benefit the public interest and that the reconnaissance activities were not considered to involve the use of force or coercion against civilians. As the Defence Authorities have pointed out, determining what is of benefit to the public interest or what constitutes the use of force or coercion against civilians is no simple matter. What has come to light in this case does not in my opinion provide sufficient grounds for criticism of the Defence Authorities. In making </w:t>
      </w:r>
      <w:r w:rsidRPr="0008481A">
        <w:t>this assessment I have taken into account, for instance, the lack of clarity to be found in the regulations concerned. The statements made by the Riksdag and the Government on repeated occasions have not, in fact, led to any clarification of the regulations in the Ordinance on Military Involvement in Civilian Activities. I have also borne in mind the necessity, in view of the circumstances, of a rapid response to the police request for assistance.</w:t>
      </w:r>
    </w:p>
    <w:p w:rsidR="003B3271" w:rsidRPr="0008481A" w:rsidRDefault="003B3271">
      <w:pPr>
        <w:pStyle w:val="Normaltindrag"/>
      </w:pPr>
      <w:r w:rsidRPr="0008481A">
        <w:t>When one authority requests the assistance of another in the</w:t>
      </w:r>
      <w:r w:rsidRPr="0008481A">
        <w:t xml:space="preserve"> exercise of its duties, obviously the main responsibility for ensuring that the request is dealt with in the appropriate manner lies with the latter. The agency making the request, however, also has responsibilities in this respect, and these include refraining from making such a request if the participation of the other authority is in direct breach of the statutes or inappropriate. </w:t>
      </w:r>
    </w:p>
    <w:p w:rsidR="003B3271" w:rsidRPr="0008481A" w:rsidRDefault="003B3271">
      <w:pPr>
        <w:pStyle w:val="Normaltindrag"/>
      </w:pPr>
      <w:r w:rsidRPr="0008481A">
        <w:t xml:space="preserve">On May 10 1999, the National Police Board wrote to the Government requesting that the Ordinance on Military Involvement in </w:t>
      </w:r>
      <w:r w:rsidRPr="0008481A">
        <w:t>Civilian Activities be modified in order to give the police greater scope in the use of Defence Authority helicopters. In this request it is stated, among other things, that Defence Authority resources will not be used for aspects of police actions in which there is a risk that the police or the means of transport used by the police could be exposed to the use of any form of violence. I share this point of view. In view of the report that the suspected thieves allegedly had access to a considerable number o</w:t>
      </w:r>
      <w:r w:rsidRPr="0008481A">
        <w:t>f military firearms with ammunition, I consider that questions can be raised as to whether it was appropriate in this case for the police to request assistance from the Defence Authorities. If the military helicopter had come under fire, there could well have been fatal conse</w:t>
      </w:r>
      <w:r w:rsidRPr="0008481A">
        <w:softHyphen/>
        <w:t>quences in a number of respects. I am presuming that the required appraisal of the risks took place. From this point of view as well, I can find no grounds for expressing criticism.</w:t>
      </w:r>
    </w:p>
    <w:p w:rsidR="003B3271" w:rsidRPr="0008481A" w:rsidRDefault="003B3271">
      <w:pPr>
        <w:pStyle w:val="Rubrik2"/>
        <w:spacing w:before="0"/>
      </w:pPr>
      <w:r w:rsidRPr="0008481A">
        <w:br w:type="page"/>
        <w:t>The question of whether the superintendent of a resi</w:t>
      </w:r>
      <w:r w:rsidRPr="0008481A">
        <w:t>dential treatment centre for substance abusers had the right to confiscate a cashpoint card and an ID card from one of the residents</w:t>
      </w:r>
    </w:p>
    <w:p w:rsidR="003B3271" w:rsidRPr="0008481A" w:rsidRDefault="003B3271">
      <w:r w:rsidRPr="0008481A">
        <w:t>(Reg. no. 1138-1999)</w:t>
      </w:r>
    </w:p>
    <w:p w:rsidR="003B3271" w:rsidRPr="0008481A" w:rsidRDefault="003B3271">
      <w:r w:rsidRPr="0008481A">
        <w:t>A.G., who had been committed for treatment according to the stipulations of the Care of Abusers (Special Provisions) Act (1988:870), submitted a complaint to the Parliamentary Ombudsman about the confiscation of his cashpoint card and ID card by Owe Lundmark, the superintendent of the treatment centre at Hornö.</w:t>
      </w:r>
    </w:p>
    <w:p w:rsidR="003B3271" w:rsidRPr="0008481A" w:rsidRDefault="003B3271">
      <w:pPr>
        <w:pStyle w:val="Normaltindrag"/>
      </w:pPr>
      <w:r w:rsidRPr="0008481A">
        <w:t>The complaint was forwarded to the National Board of Institutional Care for enquiry and a statement. In its response, signed by the Director General, Sture Korpi, and drawn up by its Senior Legal Officer, Sören Öman, the National Board made the following points. (The response also contains a reply concerning case 1323-1999, which dealt with a complaint submitted by T.J. to the Parliamentary Ombudsman on a similar issue).</w:t>
      </w:r>
    </w:p>
    <w:p w:rsidR="003B3271" w:rsidRPr="0008481A" w:rsidRDefault="003B3271">
      <w:pPr>
        <w:pStyle w:val="Rubrik3"/>
      </w:pPr>
      <w:r w:rsidRPr="0008481A">
        <w:t>The enquiry</w:t>
      </w:r>
    </w:p>
    <w:p w:rsidR="003B3271" w:rsidRPr="0008481A" w:rsidRDefault="003B3271">
      <w:pPr>
        <w:pStyle w:val="Citat"/>
      </w:pPr>
      <w:r w:rsidRPr="0008481A">
        <w:t>A.G. has been committed in accordance with the Care of Abusers (Special Provisions) Act to the residential treatment centre at Hornö on a number of occasions during the last three years.</w:t>
      </w:r>
    </w:p>
    <w:p w:rsidR="003B3271" w:rsidRPr="0008481A" w:rsidRDefault="003B3271">
      <w:pPr>
        <w:pStyle w:val="Citatindrag"/>
      </w:pPr>
      <w:r w:rsidRPr="0008481A">
        <w:t>On May 20 1997 he was admitted to the centre for the first time. After a short period, however, he was transferred to the treatment centre at Frosö, as he was considered far too unruly to be able to stay at the centre in Hornö.</w:t>
      </w:r>
    </w:p>
    <w:p w:rsidR="003B3271" w:rsidRPr="0008481A" w:rsidRDefault="003B3271">
      <w:pPr>
        <w:pStyle w:val="Citatindrag"/>
      </w:pPr>
      <w:r w:rsidRPr="0008481A">
        <w:t>On August 5 1998 he was admitted to the centre at Hornö for the second time. On October 12 of the same year, a transfer was arranged, as laid down in Art. 27 of the Care of Abusers (Special Provisions) Act, to the centre at Jälla, and on November 12 1998 he was discharged from the centre at Hornö.</w:t>
      </w:r>
    </w:p>
    <w:p w:rsidR="003B3271" w:rsidRPr="0008481A" w:rsidRDefault="003B3271">
      <w:pPr>
        <w:pStyle w:val="Citatindrag"/>
      </w:pPr>
      <w:r w:rsidRPr="0008481A">
        <w:t>On December 14 1998 he was again admitted to the centre at Hornö according to the provisions of Art. 13 of the Care of Abusers (Special Provisions) Act. The emergency committal was discontinued, however, on December 17.</w:t>
      </w:r>
    </w:p>
    <w:p w:rsidR="003B3271" w:rsidRPr="0008481A" w:rsidRDefault="003B3271">
      <w:pPr>
        <w:pStyle w:val="Citatindrag"/>
      </w:pPr>
      <w:r w:rsidRPr="0008481A">
        <w:t>A mere two weeks later, on December 31 1998, he was admitted for the fourth time to the treatment centre at Hornö. On February 3 he was transferred to the centre at Jälla in accordance with Art. 27 of the Care of Abusers (Special Provisions) Act, but returned the following day to the Hornö centre. On March 1 1999 he absconded, but he came back to the centre on the same day and gave a urine sample which, when analysed, turned out to show traces of amphetamine. He is still currently (April 22 1999) undergoin</w:t>
      </w:r>
      <w:r w:rsidRPr="0008481A">
        <w:t>g residential treatment at the Hornö centre.</w:t>
      </w:r>
    </w:p>
    <w:p w:rsidR="003B3271" w:rsidRPr="0008481A" w:rsidRDefault="003B3271">
      <w:pPr>
        <w:pStyle w:val="Citatindrag"/>
      </w:pPr>
      <w:r w:rsidRPr="0008481A">
        <w:t xml:space="preserve">From December 31 1998 and subsequently, A.G’s cashpoint card and ID-card have been confiscated in accordance with Art. 31 of the Care of Abusers (Special Provisions) Act each time he has been admitted to the treatment centre at Hornö. The cashpoint card and the ID card were returned to him on the two occasions when he left Hornö to be placed in the treatment centre at Jälla as laid down in Art. 27 of the Care of Abusers (Special Provisions) Act. </w:t>
      </w:r>
    </w:p>
    <w:p w:rsidR="003B3271" w:rsidRPr="0008481A" w:rsidRDefault="003B3271">
      <w:pPr>
        <w:pStyle w:val="Rubrik4"/>
      </w:pPr>
      <w:r w:rsidRPr="0008481A">
        <w:t>The superintendent’s assessment</w:t>
      </w:r>
    </w:p>
    <w:p w:rsidR="003B3271" w:rsidRPr="0008481A" w:rsidRDefault="003B3271">
      <w:pPr>
        <w:pStyle w:val="Citat"/>
      </w:pPr>
      <w:r w:rsidRPr="0008481A">
        <w:t xml:space="preserve">On every occasion when A.G’s cashpoint card and ID card have been confiscated it has been the judgement of the superintendent that his possession of these documents would be detrimental to the treatment programme and the maintenance of good order within the centre as laid down in Art. 31 of the Care of Abusers (Special Provisions) Act. There is documentary evidence of A.G’s destructive and impulsive behaviour. During one of the periods of placement at the treatment centre at Jälla, when the cashpoint card </w:t>
      </w:r>
      <w:r w:rsidRPr="0008481A">
        <w:t>and ID card had been returned to him, he absconded almost immediately and reverted to his addiction. If those committed to the treatment centre at Hornö were allowed to retain possession of items that can easily be used to acquire cash, which can in its turn be used to abscond or to buy classified substances, this would, to begin with, encourage impulsive actions such as absconding and lapsing into addiction, which is injurious to the treatment programme and the maintenance of good order within the treatmen</w:t>
      </w:r>
      <w:r w:rsidRPr="0008481A">
        <w:t xml:space="preserve">t centre. Secondly, it could also result in trade and bartering that would be detrimental to good order. </w:t>
      </w:r>
    </w:p>
    <w:p w:rsidR="003B3271" w:rsidRPr="0008481A" w:rsidRDefault="003B3271">
      <w:r w:rsidRPr="0008481A">
        <w:t>– – –</w:t>
      </w:r>
    </w:p>
    <w:p w:rsidR="003B3271" w:rsidRPr="0008481A" w:rsidRDefault="003B3271">
      <w:pPr>
        <w:pStyle w:val="Rubrik4"/>
      </w:pPr>
      <w:r w:rsidRPr="0008481A">
        <w:t>Opinion</w:t>
      </w:r>
    </w:p>
    <w:p w:rsidR="003B3271" w:rsidRPr="0008481A" w:rsidRDefault="003B3271">
      <w:pPr>
        <w:pStyle w:val="Citat"/>
      </w:pPr>
      <w:r w:rsidRPr="0008481A">
        <w:t>The superintendent’s confiscation of the cashpoint card and the ID card was based on Art. 31 of the Care of Abusers (Special Provisions) Act and his assessment that A.G’s, and later T.J’s, possession of these items could be detrimental to the treatment programme and the maintenance of good order within the centre. In the opinion of the National Board of Institutional Care, Art. 31 of the Care of Abusers (Special Provisions) Act provides a basis for confiscating cash, except for small amounts, and items tha</w:t>
      </w:r>
      <w:r w:rsidRPr="0008481A">
        <w:t>t make it easy to acquire cash or objects that are particularly useful in connection with absconding. It is therefore the view of that National Board that there is no reason for considering the superintendent to have lacked justification for his confiscation of the objects.</w:t>
      </w:r>
    </w:p>
    <w:p w:rsidR="003B3271" w:rsidRPr="0008481A" w:rsidRDefault="003B3271">
      <w:r w:rsidRPr="0008481A">
        <w:t>A.G. was given the opportunity to comment on this response.</w:t>
      </w:r>
    </w:p>
    <w:p w:rsidR="003B3271" w:rsidRPr="0008481A" w:rsidRDefault="003B3271">
      <w:r w:rsidRPr="0008481A">
        <w:t xml:space="preserve">In an adjudication issued on April 7 2000 </w:t>
      </w:r>
      <w:r w:rsidRPr="0008481A">
        <w:rPr>
          <w:i/>
        </w:rPr>
        <w:t xml:space="preserve">the Parliamentary Ombudsman, Ms. André, </w:t>
      </w:r>
      <w:r w:rsidRPr="0008481A">
        <w:t>included the following observations.</w:t>
      </w:r>
    </w:p>
    <w:p w:rsidR="003B3271" w:rsidRPr="0008481A" w:rsidRDefault="003B3271">
      <w:pPr>
        <w:pStyle w:val="Normaltindrag"/>
      </w:pPr>
      <w:r w:rsidRPr="0008481A">
        <w:t>Those who are committed for treatment by virtue of the stipulations contained in the Care of Abusers (Special Provisions) Act are not for this reason deprived of the right to dispose of their own property. This right may, however, be restricted for reasons of the order in the treatment centre and so that the treatment can be completed. According to Art. 31 of the Care of Abusers (Special Provisions) Act, inmates of a treatment cent</w:t>
      </w:r>
      <w:r w:rsidRPr="0008481A">
        <w:t>re may not possess alcoholic beverages, narcotic substances, liquid solvents, substance of the kind referred to in the Act Prohibiting Certain Doping Substances (1991:1969) or objects of the kind covered by the Act Prohibiting Certain Substances Injurious to Health (1999:42), hypodermic needles, syringes or other objects particularly intended for the abuse or contact with narcotics in some other way. The same regulations stipulate that an inmate may not possess anything else that can be detrimental to the t</w:t>
      </w:r>
      <w:r w:rsidRPr="0008481A">
        <w:t>reatment programme or the good order of the centre. If such property is discovered it may be confiscated. Art. 32 of the Care of Abusers (Special Provisions) Act provides for physical examination or body searches in order to establish that inmates are not in possession of items forbidden to them while residing at the treatment centre.</w:t>
      </w:r>
    </w:p>
    <w:p w:rsidR="003B3271" w:rsidRPr="0008481A" w:rsidRDefault="003B3271">
      <w:pPr>
        <w:pStyle w:val="Normaltindrag"/>
      </w:pPr>
      <w:r w:rsidRPr="0008481A">
        <w:t>The regulations in Articles 31 and 32 of the Care of Abusers (Special Provisions) Act referred to above apply, according to Art. 33, to everyone undergoing treatment at a trea</w:t>
      </w:r>
      <w:r w:rsidRPr="0008481A">
        <w:t>tment centre, if this is required to complete the treatment and maintain good order at the centre, and if permitted by the government, or if so empowered by the government, the National Board of Institutional Care. This means that these regulations also apply to those who have not been committed to a centre in accordance with the provisions of the Act.</w:t>
      </w:r>
    </w:p>
    <w:p w:rsidR="003B3271" w:rsidRPr="0008481A" w:rsidRDefault="003B3271">
      <w:pPr>
        <w:pStyle w:val="Normaltindrag"/>
      </w:pPr>
      <w:r w:rsidRPr="0008481A">
        <w:t>In Articles 34 and 35 of the Care of Abusers (Special Provisions) Act there are additional regulations concerning the coercive powers that can be employed ag</w:t>
      </w:r>
      <w:r w:rsidRPr="0008481A">
        <w:t>ainst those committed to treatment in residential centre because they need particularly rigorous supervision. Art. 34 states that these inmates may be prevented from leaving the centre and other restrictions placed on their liberty to move freely, if this is required to enable the treatment to be given. It follows from this provision that an inmate’s freedom of movement may be restricted when this is required for the sake of the safety of other inmates or the staff. Art. 35 of the Care of Abusers (Special P</w:t>
      </w:r>
      <w:r w:rsidRPr="0008481A">
        <w:t>rovisions) Act empowers the examination of mail sent to inmates and the confiscation of property prohibited according to Art. 31 if this is found in items received.</w:t>
      </w:r>
    </w:p>
    <w:p w:rsidR="003B3271" w:rsidRPr="0008481A" w:rsidRDefault="003B3271">
      <w:pPr>
        <w:pStyle w:val="Normaltindrag"/>
      </w:pPr>
      <w:r w:rsidRPr="0008481A">
        <w:t xml:space="preserve">In the </w:t>
      </w:r>
      <w:r w:rsidRPr="0008481A">
        <w:rPr>
          <w:i/>
        </w:rPr>
        <w:t xml:space="preserve">travaux preliminaires </w:t>
      </w:r>
      <w:r w:rsidRPr="0008481A">
        <w:t>it is suggested that the kinds of object likely to be detrimental to the treatment programme or the good order of the centre referred to in Art. 31 of the Care of Abusers (Special Provisions) Act are primarily weapons or other implements that could injure the staff or other inmates (Government Bills 1981/82:8 p. 93 f. and 1987/88:147 p. 107). In a previous adjudication the Parliamentary Ombudsman has also declared that large sums of money in an inmate’s possession may be confiscated on</w:t>
      </w:r>
      <w:r w:rsidRPr="0008481A">
        <w:t xml:space="preserve"> the basis of Art. 31 of the Act, when confiscation is intended, for instance, to prevent situations in which blackmail could arise and also to avoid drugs being brought into the institution (</w:t>
      </w:r>
      <w:r w:rsidRPr="0008481A">
        <w:rPr>
          <w:i/>
        </w:rPr>
        <w:t xml:space="preserve">The Parliamentary Ombudsman’s Annual Report 1995/96 </w:t>
      </w:r>
      <w:r w:rsidRPr="0008481A">
        <w:t>p. 294 f.).</w:t>
      </w:r>
    </w:p>
    <w:p w:rsidR="003B3271" w:rsidRPr="0008481A" w:rsidRDefault="003B3271">
      <w:pPr>
        <w:pStyle w:val="Normaltindrag"/>
      </w:pPr>
      <w:r w:rsidRPr="0008481A">
        <w:t>The regulations concerning the property that may be confiscated from a patient undergoing treatment as laid down in the Forensic Mental Care Act (1991:1129) are basically the same as those for treatment according to the Care of Abusers (Special Provisions)</w:t>
      </w:r>
      <w:r w:rsidRPr="0008481A">
        <w:t xml:space="preserve"> Act. A comparison of Art. 28 in the Act on Compulsory Mental Care Act (1991:1128) with Art. 8 of the Care of Abusers (Special Provisions) Act reveals that, in addition to drugs and the like, patients admitted to an institution for forensic mental care are not allowed to have in their possession any other objects that can cause harm to themselves or anyone else or that are detrimental to the treatment or the good order of the ward. According to a previous adjudication of the Parliamentary Ombudsman, a patie</w:t>
      </w:r>
      <w:r w:rsidRPr="0008481A">
        <w:t xml:space="preserve">nt’s possession of a considerable sum of money </w:t>
      </w:r>
      <w:r w:rsidRPr="0008481A">
        <w:sym w:font="Symbol" w:char="F02D"/>
      </w:r>
      <w:r w:rsidRPr="0008481A">
        <w:t xml:space="preserve"> 27,000 SEK (just over € 3,000) </w:t>
      </w:r>
      <w:r w:rsidRPr="0008481A">
        <w:sym w:font="Symbol" w:char="F02D"/>
      </w:r>
      <w:r w:rsidRPr="0008481A">
        <w:t xml:space="preserve"> could have a harmful impact on both the treatment programme and the good order of the institution, and the Parliamentary Ombudsman therefore considered it reasonable to interpret the concept of any other property to includ</w:t>
      </w:r>
      <w:r w:rsidRPr="0008481A">
        <w:t xml:space="preserve">e money as well (cf. </w:t>
      </w:r>
      <w:r w:rsidRPr="0008481A">
        <w:rPr>
          <w:i/>
        </w:rPr>
        <w:t>The Parlia</w:t>
      </w:r>
      <w:r w:rsidRPr="0008481A">
        <w:rPr>
          <w:i/>
        </w:rPr>
        <w:softHyphen/>
        <w:t xml:space="preserve">mentary Ombudsman’s Annual Report 1996/97 </w:t>
      </w:r>
      <w:r w:rsidRPr="0008481A">
        <w:t>p. 301). In an adjudication issued on March 7 of this year, registration number 2563-1999, I found no reason to adopt another standpoint in the case of the confiscation of another cashpoint card. The circumstances in this case were that the owner of the card was a drug addict and that drugs had been found in the ward in which he was undergoing treatment. There were also grounds for fearing that the patient’s cashpoint card could be gi</w:t>
      </w:r>
      <w:r w:rsidRPr="0008481A">
        <w:t>ven to a fellow-patient so that cash could be withdrawn. The balance of the account concerned totalled 48,000 SEK. Overall, there was an appreciable risk that the cashpoint card could be just as harmful for the treatment programme and good order as possession of an appreciable sum of money.</w:t>
      </w:r>
    </w:p>
    <w:p w:rsidR="003B3271" w:rsidRPr="0008481A" w:rsidRDefault="003B3271">
      <w:pPr>
        <w:pStyle w:val="Normaltindrag"/>
      </w:pPr>
      <w:r w:rsidRPr="0008481A">
        <w:t>In my opinion the same approach can be adopted when dealing with a cashpoint card or the like in the possession of someone committed to a centre for treatment in accordance with the Care of Abusers (Special Provisions) A</w:t>
      </w:r>
      <w:r w:rsidRPr="0008481A">
        <w:t xml:space="preserve">ct. It is not, </w:t>
      </w:r>
      <w:r w:rsidRPr="0008481A">
        <w:rPr>
          <w:i/>
        </w:rPr>
        <w:t>per se</w:t>
      </w:r>
      <w:r w:rsidRPr="0008481A">
        <w:t>, quite as obvious that possession of an ID card could be detrimental to the treatment programme or the good order of the centre. It cannot, however, be ignored that this kind of document, in enabling for instance cash withdrawals from a bank, represents a value that in this context can be compared to that of a cashpoint card or cash itself. I therefore consider that there is nothing to prevent the confiscation of cashpoint cards and ID cards on the basis of the provisions in Art. 31 of</w:t>
      </w:r>
      <w:r w:rsidRPr="0008481A">
        <w:t xml:space="preserve"> the Care of Abusers (Special Provisions) Act when the other conditions required for such confiscation are fulfilled.</w:t>
      </w:r>
    </w:p>
    <w:p w:rsidR="003B3271" w:rsidRPr="0008481A" w:rsidRDefault="003B3271">
      <w:pPr>
        <w:pStyle w:val="Normaltindrag"/>
      </w:pPr>
      <w:r w:rsidRPr="0008481A">
        <w:t xml:space="preserve">In the National Board’s response it is asserted that the confiscation of the cashpoint card and ID card belonging to A.G. were based on the assessment that possession of these objects could be detrimental to the treatment programme and the good order of the centre. It has not, however, been claimed that the cashpoint card and/or the ID card in this case </w:t>
      </w:r>
      <w:r w:rsidRPr="0008481A">
        <w:sym w:font="Symbol" w:char="F02D"/>
      </w:r>
      <w:r w:rsidRPr="0008481A">
        <w:t xml:space="preserve"> inside the centre </w:t>
      </w:r>
      <w:r w:rsidRPr="0008481A">
        <w:sym w:font="Symbol" w:char="F02D"/>
      </w:r>
      <w:r w:rsidRPr="0008481A">
        <w:t xml:space="preserve"> were detrimental to the treatment programme or jeopardised its good order. Ultimately, the reason for confiscating the objects appears to have been to prevent A.G. from absconding from the centre.</w:t>
      </w:r>
    </w:p>
    <w:p w:rsidR="003B3271" w:rsidRPr="0008481A" w:rsidRDefault="003B3271">
      <w:pPr>
        <w:pStyle w:val="Normaltindrag"/>
      </w:pPr>
      <w:r w:rsidRPr="0008481A">
        <w:t>One can, of course, pose the question of whether the confiscation of property, for the purpose of preventing an inmate from absconding, is covered by the provisions of Art. 31 of the Care of Abusers (Special Provisions) Act. Certain reservations must be entertained, on principle, about applyi</w:t>
      </w:r>
      <w:r w:rsidRPr="0008481A">
        <w:t xml:space="preserve">ng regulations involving coercive powers too widely. However, I consider that the link between the risk of the inmate absconding and the detrimental impact that such an action or planned action would have on the treatment programme and the good order of the centre is tangible enough to justify the application of Art. 31 in such a situation. </w:t>
      </w:r>
    </w:p>
    <w:p w:rsidR="003B3271" w:rsidRPr="0008481A" w:rsidRDefault="003B3271">
      <w:pPr>
        <w:pStyle w:val="Normaltindrag"/>
      </w:pPr>
      <w:r w:rsidRPr="0008481A">
        <w:t>In the case in question, the superintendent is to be regarded as having had justifiable reasons for assuming that A.G’s possession of both the cashpoint card and the ID</w:t>
      </w:r>
      <w:r w:rsidRPr="0008481A">
        <w:t xml:space="preserve"> card could be detrimental to the treatment programme and the good order of the centre. The confiscation of the documents cannot therefore provide me with occasion to express any criticism.</w:t>
      </w:r>
    </w:p>
    <w:sectPr w:rsidR="003B3271" w:rsidRPr="0008481A">
      <w:headerReference w:type="default" r:id="rId29"/>
      <w:pgSz w:w="11906" w:h="16838" w:code="9"/>
      <w:pgMar w:top="3969" w:right="5103" w:bottom="1106" w:left="907" w:header="5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271" w:rsidRPr="0008481A" w:rsidRDefault="003B3271">
      <w:pPr>
        <w:spacing w:before="0" w:line="240" w:lineRule="auto"/>
      </w:pPr>
      <w:r w:rsidRPr="0008481A">
        <w:separator/>
      </w:r>
    </w:p>
  </w:endnote>
  <w:endnote w:type="continuationSeparator" w:id="0">
    <w:p w:rsidR="003B3271" w:rsidRPr="0008481A" w:rsidRDefault="003B3271">
      <w:pPr>
        <w:spacing w:before="0" w:line="240" w:lineRule="auto"/>
      </w:pPr>
      <w:r w:rsidRPr="000848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Sidfot"/>
    </w:pPr>
    <w:r w:rsidRPr="0008481A">
      <w:rPr>
        <w:noProof/>
      </w:rPr>
      <mc:AlternateContent>
        <mc:Choice Requires="wps">
          <w:drawing>
            <wp:anchor distT="0" distB="0" distL="114300" distR="114300" simplePos="0" relativeHeight="251655680" behindDoc="0" locked="1" layoutInCell="0" allowOverlap="1">
              <wp:simplePos x="0" y="0"/>
              <wp:positionH relativeFrom="page">
                <wp:posOffset>4392295</wp:posOffset>
              </wp:positionH>
              <wp:positionV relativeFrom="paragraph">
                <wp:posOffset>-521970</wp:posOffset>
              </wp:positionV>
              <wp:extent cx="1043940" cy="198120"/>
              <wp:effectExtent l="0" t="0" r="0" b="0"/>
              <wp:wrapNone/>
              <wp:docPr id="1771730721"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439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sidnrH"/>
                          </w:pPr>
                          <w:r>
                            <w:fldChar w:fldCharType="begin"/>
                          </w:r>
                          <w:r>
                            <w:instrText xml:space="preserve"> PAGE *\charformat</w:instrText>
                          </w:r>
                          <w:r>
                            <w:fldChar w:fldCharType="separate"/>
                          </w:r>
                          <w:r>
                            <w:rPr>
                              <w:noProof/>
                            </w:rPr>
                            <w: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5.85pt;margin-top:-41.1pt;width:82.2pt;height:15.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" o:allowincell="f" filled="f" stroked="f">
              <o:lock v:ext="edit" aspectratio="t"/>
              <v:textbox inset="0,0,0,0">
                <w:txbxContent>
                  <w:p w:rsidR="003B3271" w:rsidRDefault="003B3271">
                    <w:pPr>
                      <w:pStyle w:val="NormalS5sidnrH"/>
                    </w:pPr>
                    <w:r>
                      <w:fldChar w:fldCharType="begin"/>
                    </w:r>
                    <w:r>
                      <w:instrText xml:space="preserve"> PAGE *\charformat</w:instrText>
                    </w:r>
                    <w:r>
                      <w:fldChar w:fldCharType="separate"/>
                    </w:r>
                    <w:r>
                      <w:rPr>
                        <w:noProof/>
                      </w:rPr>
                      <w:t>537</w:t>
                    </w:r>
                    <w:r>
                      <w:fldChar w:fldCharType="end"/>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Sidfot"/>
    </w:pPr>
    <w:r w:rsidRPr="0008481A">
      <w:rPr>
        <w:noProof/>
      </w:rPr>
      <mc:AlternateContent>
        <mc:Choice Requires="wps">
          <w:drawing>
            <wp:anchor distT="0" distB="0" distL="114300" distR="114300" simplePos="0" relativeHeight="251654656" behindDoc="0" locked="1" layoutInCell="0" allowOverlap="1">
              <wp:simplePos x="0" y="0"/>
              <wp:positionH relativeFrom="page">
                <wp:posOffset>4392295</wp:posOffset>
              </wp:positionH>
              <wp:positionV relativeFrom="paragraph">
                <wp:posOffset>-521970</wp:posOffset>
              </wp:positionV>
              <wp:extent cx="1043940" cy="198120"/>
              <wp:effectExtent l="0" t="0" r="0" b="0"/>
              <wp:wrapNone/>
              <wp:docPr id="1801267454"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439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5.85pt;margin-top:-41.1pt;width:82.2pt;height:15.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" o:allowincell="f" filled="f" stroked="f">
              <o:lock v:ext="edit" aspectratio="t"/>
              <v:textbox inset="0,0,0,0">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v:textbox>
              <w10:wrap anchorx="page"/>
              <w10:anchorlock/>
            </v:shape>
          </w:pict>
        </mc:Fallback>
      </mc:AlternateContent>
    </w:r>
    <w:r w:rsidRPr="0008481A">
      <w:rPr>
        <w:noProof/>
      </w:rPr>
      <mc:AlternateContent>
        <mc:Choice Requires="wps">
          <w:drawing>
            <wp:anchor distT="0" distB="0" distL="114300" distR="114300" simplePos="0" relativeHeight="251652608" behindDoc="0" locked="1" layoutInCell="0" allowOverlap="1">
              <wp:simplePos x="0" y="0"/>
              <wp:positionH relativeFrom="page">
                <wp:posOffset>4392295</wp:posOffset>
              </wp:positionH>
              <wp:positionV relativeFrom="paragraph">
                <wp:posOffset>-521970</wp:posOffset>
              </wp:positionV>
              <wp:extent cx="1043940" cy="198120"/>
              <wp:effectExtent l="0" t="0" r="0" b="0"/>
              <wp:wrapNone/>
              <wp:docPr id="169247015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439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45.85pt;margin-top:-41.1pt;width:82.2pt;height:15.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" o:allowincell="f" filled="f" stroked="f">
              <o:lock v:ext="edit" aspectratio="t"/>
              <v:textbox inset="0,0,0,0">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v:textbox>
              <w10:wrap anchorx="page"/>
              <w10:anchorlock/>
            </v:shape>
          </w:pict>
        </mc:Fallback>
      </mc:AlternateContent>
    </w:r>
    <w:r w:rsidRPr="0008481A">
      <w:rPr>
        <w:noProof/>
      </w:rPr>
      <mc:AlternateContent>
        <mc:Choice Requires="wps">
          <w:drawing>
            <wp:anchor distT="0" distB="0" distL="114300" distR="114300" simplePos="0" relativeHeight="251651584" behindDoc="0" locked="1" layoutInCell="0" allowOverlap="1">
              <wp:simplePos x="0" y="0"/>
              <wp:positionH relativeFrom="page">
                <wp:posOffset>4392295</wp:posOffset>
              </wp:positionH>
              <wp:positionV relativeFrom="paragraph">
                <wp:posOffset>-521970</wp:posOffset>
              </wp:positionV>
              <wp:extent cx="1043940" cy="198120"/>
              <wp:effectExtent l="0" t="0" r="0" b="0"/>
              <wp:wrapNone/>
              <wp:docPr id="4798993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439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45.85pt;margin-top:-41.1pt;width:82.2pt;height:15.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" o:allowincell="f" filled="f" stroked="f">
              <o:lock v:ext="edit" aspectratio="t"/>
              <v:textbox inset="0,0,0,0">
                <w:txbxContent>
                  <w:p w:rsidR="003B3271" w:rsidRDefault="003B3271">
                    <w:pPr>
                      <w:pStyle w:val="NormalS5sidnrH"/>
                    </w:pPr>
                    <w:r>
                      <w:fldChar w:fldCharType="begin"/>
                    </w:r>
                    <w:r>
                      <w:instrText xml:space="preserve"> PAGE *\charformat</w:instrText>
                    </w:r>
                    <w:r>
                      <w:fldChar w:fldCharType="separate"/>
                    </w:r>
                    <w:r>
                      <w:rPr>
                        <w:noProof/>
                      </w:rPr>
                      <w:t>1</w:t>
                    </w:r>
                    <w: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271" w:rsidRPr="0008481A" w:rsidRDefault="003B3271">
      <w:pPr>
        <w:spacing w:before="0" w:line="240" w:lineRule="auto"/>
      </w:pPr>
      <w:r w:rsidRPr="0008481A">
        <w:separator/>
      </w:r>
    </w:p>
  </w:footnote>
  <w:footnote w:type="continuationSeparator" w:id="0">
    <w:p w:rsidR="003B3271" w:rsidRPr="0008481A" w:rsidRDefault="003B3271">
      <w:pPr>
        <w:spacing w:before="0" w:line="240" w:lineRule="auto"/>
      </w:pPr>
      <w:r w:rsidRPr="0008481A">
        <w:continuationSeparator/>
      </w:r>
    </w:p>
  </w:footnote>
  <w:footnote w:id="1">
    <w:p w:rsidR="003B3271" w:rsidRPr="0008481A" w:rsidRDefault="003B3271">
      <w:pPr>
        <w:pStyle w:val="Fotnotstext"/>
        <w:spacing w:before="0" w:after="0" w:line="160" w:lineRule="exact"/>
        <w:rPr>
          <w:rFonts w:ascii="Times New Roman" w:hAnsi="Times New Roman"/>
          <w:sz w:val="16"/>
        </w:rPr>
      </w:pPr>
      <w:r w:rsidRPr="0008481A">
        <w:rPr>
          <w:rStyle w:val="Fotnotsreferens"/>
          <w:rFonts w:ascii="Times New Roman" w:hAnsi="Times New Roman"/>
          <w:sz w:val="16"/>
        </w:rPr>
        <w:footnoteRef/>
      </w:r>
      <w:r w:rsidRPr="0008481A">
        <w:rPr>
          <w:rFonts w:ascii="Times New Roman" w:hAnsi="Times New Roman"/>
          <w:sz w:val="16"/>
        </w:rPr>
        <w:t xml:space="preserve"> Göteborgs uni</w:t>
      </w:r>
      <w:r w:rsidRPr="0008481A">
        <w:rPr>
          <w:rFonts w:ascii="Times New Roman" w:hAnsi="Times New Roman"/>
          <w:sz w:val="16"/>
        </w:rPr>
        <w:softHyphen/>
        <w:t>versitet, Karlstad universitet, Karolinska Institutet, Kungliga Tekniska högsko</w:t>
      </w:r>
      <w:r w:rsidRPr="0008481A">
        <w:rPr>
          <w:rFonts w:ascii="Times New Roman" w:hAnsi="Times New Roman"/>
          <w:sz w:val="16"/>
        </w:rPr>
        <w:softHyphen/>
        <w:t>lan, Linköpings universitet med Hälsouniversitet, Luleå tekniska universitet, Lunds universitet med Lunds tekniska högskola, Stockholms universitet, Sveriges lantbruksuniversitet, Umeå universitet, Uppsala universitet, Växjö universitet, Örebro universitet, Högskolan i Borås, Chalmers tekniska högskola, Högskolan Dalarna, Högskolan på Gotland, Högskolan i Gävle, Högskolan i Halm</w:t>
      </w:r>
      <w:r w:rsidRPr="0008481A">
        <w:rPr>
          <w:rFonts w:ascii="Times New Roman" w:hAnsi="Times New Roman"/>
          <w:sz w:val="16"/>
        </w:rPr>
        <w:softHyphen/>
        <w:t>stad, Handelshögskolan i Stockholm,</w:t>
      </w:r>
      <w:r w:rsidRPr="0008481A">
        <w:rPr>
          <w:rFonts w:ascii="Times New Roman" w:hAnsi="Times New Roman"/>
          <w:sz w:val="16"/>
        </w:rPr>
        <w:t xml:space="preserve"> Idrottshögskolan i Stockholm, Högskolan i Jönköping, Högskolan i Kalmar, Högskolan i Karlskrona / Ronneby, Konstfack, Högskolan Kristianstad, Lärarhögskolan i Stockholm, Malmö högskola, Mitthögskolan, Mälardalens högskola, Högskolan i Skövde, S</w:t>
      </w:r>
      <w:r w:rsidRPr="0008481A">
        <w:rPr>
          <w:rFonts w:ascii="Times New Roman" w:hAnsi="Times New Roman"/>
          <w:sz w:val="16"/>
        </w:rPr>
        <w:t>ö</w:t>
      </w:r>
      <w:r w:rsidRPr="0008481A">
        <w:rPr>
          <w:rFonts w:ascii="Times New Roman" w:hAnsi="Times New Roman"/>
          <w:sz w:val="16"/>
        </w:rPr>
        <w:t>dertörns högskola och Högskolan i Trollhättan / Udd</w:t>
      </w:r>
      <w:r w:rsidRPr="0008481A">
        <w:rPr>
          <w:rFonts w:ascii="Times New Roman" w:hAnsi="Times New Roman"/>
          <w:sz w:val="16"/>
        </w:rPr>
        <w:t>e</w:t>
      </w:r>
      <w:r w:rsidRPr="0008481A">
        <w:rPr>
          <w:rFonts w:ascii="Times New Roman" w:hAnsi="Times New Roman"/>
          <w:sz w:val="16"/>
        </w:rPr>
        <w:t>valla</w:t>
      </w:r>
    </w:p>
  </w:footnote>
  <w:footnote w:id="2">
    <w:p w:rsidR="003B3271" w:rsidRPr="0008481A" w:rsidRDefault="003B3271">
      <w:pPr>
        <w:pStyle w:val="Fotnotstext"/>
        <w:rPr>
          <w:sz w:val="16"/>
        </w:rPr>
      </w:pPr>
      <w:r w:rsidRPr="0008481A">
        <w:rPr>
          <w:rStyle w:val="Fotnotsreferens"/>
          <w:sz w:val="16"/>
        </w:rPr>
        <w:footnoteRef/>
      </w:r>
      <w:r w:rsidRPr="0008481A">
        <w:rPr>
          <w:sz w:val="16"/>
        </w:rPr>
        <w:t xml:space="preserve"> Lycée International i Saint Germain-en-Laye, Frankrike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53632"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526459385"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345.85pt;margin-top:195.6pt;width:79.35pt;height: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3B3271">
    <w:pPr>
      <w:pStyle w:val="FSHNormal"/>
      <w:tabs>
        <w:tab w:val="right" w:pos="5840"/>
      </w:tabs>
    </w:pPr>
    <w:r w:rsidRPr="0008481A">
      <w:br/>
    </w:r>
    <w:r w:rsidRPr="0008481A">
      <w:fldChar w:fldCharType="begin" w:fldLock="1"/>
    </w:r>
    <w:r w:rsidRPr="0008481A">
      <w:instrText xml:space="preserve"> DO</w:instrText>
    </w:r>
    <w:r w:rsidRPr="0008481A">
      <w:rPr>
        <w:sz w:val="18"/>
      </w:rPr>
      <w:instrText xml:space="preserve">CPROPERTY "YearUser" *\charformat </w:instrText>
    </w:r>
    <w:r w:rsidRPr="0008481A">
      <w:fldChar w:fldCharType="separate"/>
    </w:r>
    <w:r w:rsidRPr="0008481A">
      <w:t>2000/01:JO1</w:t>
    </w:r>
    <w:r w:rsidRPr="0008481A">
      <w:fldChar w:fldCharType="end"/>
    </w:r>
    <w:r w:rsidRPr="0008481A">
      <w:t xml:space="preserve"> </w:t>
    </w:r>
    <w:r w:rsidRPr="0008481A">
      <w:tab/>
    </w:r>
    <w:r w:rsidRPr="0008481A">
      <w:tab/>
      <w:t xml:space="preserve">mnr: </w:t>
    </w:r>
    <w:r w:rsidRPr="0008481A">
      <w:fldChar w:fldCharType="begin" w:fldLock="1"/>
    </w:r>
    <w:r w:rsidRPr="0008481A">
      <w:instrText xml:space="preserve"> DO</w:instrText>
    </w:r>
    <w:r w:rsidRPr="0008481A">
      <w:rPr>
        <w:sz w:val="18"/>
      </w:rPr>
      <w:instrText xml:space="preserve">CPROPERTY "Motionsnummer" *\charformat </w:instrText>
    </w:r>
    <w:r w:rsidRPr="0008481A">
      <w:fldChar w:fldCharType="end"/>
    </w:r>
    <w:r w:rsidRPr="0008481A">
      <w:br/>
    </w:r>
    <w:r w:rsidRPr="0008481A">
      <w:fldChar w:fldCharType="begin" w:fldLock="1"/>
    </w:r>
    <w:r w:rsidRPr="0008481A">
      <w:instrText xml:space="preserve"> DO</w:instrText>
    </w:r>
    <w:r w:rsidRPr="0008481A">
      <w:rPr>
        <w:sz w:val="18"/>
      </w:rPr>
      <w:instrText xml:space="preserve">CPROPERTY "Samling" *\charformat </w:instrText>
    </w:r>
    <w:r w:rsidRPr="0008481A">
      <w:fldChar w:fldCharType="end"/>
    </w:r>
    <w:r w:rsidRPr="0008481A">
      <w:tab/>
    </w:r>
    <w:r w:rsidRPr="0008481A">
      <w:tab/>
      <w:t xml:space="preserve">pnr: </w:t>
    </w:r>
    <w:r w:rsidRPr="0008481A">
      <w:fldChar w:fldCharType="begin" w:fldLock="1"/>
    </w:r>
    <w:r w:rsidRPr="0008481A">
      <w:instrText xml:space="preserve"> DO</w:instrText>
    </w:r>
    <w:r w:rsidRPr="0008481A">
      <w:rPr>
        <w:sz w:val="18"/>
      </w:rPr>
      <w:instrText xml:space="preserve">CPROPERTY "Partinummer" *\charformat </w:instrText>
    </w:r>
    <w:r w:rsidRPr="0008481A">
      <w:fldChar w:fldCharType="end"/>
    </w:r>
  </w:p>
  <w:bookmarkStart w:id="0" w:name="_MON_967986624"/>
  <w:bookmarkStart w:id="1" w:name="_MON_1031396081"/>
  <w:bookmarkStart w:id="2" w:name="_MON_1031396671"/>
  <w:bookmarkStart w:id="3" w:name="_MON_1031396702"/>
  <w:bookmarkStart w:id="4" w:name="_MON_1031646593"/>
  <w:bookmarkStart w:id="5" w:name="_MON_1031666921"/>
  <w:bookmarkStart w:id="6" w:name="_MON_1031667123"/>
  <w:bookmarkStart w:id="7" w:name="_MON_1031724742"/>
  <w:bookmarkStart w:id="8" w:name="_MON_1031730078"/>
  <w:bookmarkStart w:id="9" w:name="_MON_1032074361"/>
  <w:bookmarkEnd w:id="0"/>
  <w:bookmarkEnd w:id="1"/>
  <w:bookmarkEnd w:id="2"/>
  <w:bookmarkEnd w:id="3"/>
  <w:bookmarkEnd w:id="4"/>
  <w:bookmarkEnd w:id="5"/>
  <w:bookmarkEnd w:id="6"/>
  <w:bookmarkEnd w:id="7"/>
  <w:bookmarkEnd w:id="8"/>
  <w:bookmarkEnd w:id="9"/>
  <w:p w:rsidR="003B3271" w:rsidRPr="0008481A" w:rsidRDefault="003B3271">
    <w:pPr>
      <w:pStyle w:val="Ingetformat"/>
      <w:framePr w:wrap="notBeside" w:x="6913" w:y="3460"/>
      <w:rPr>
        <w:noProof w:val="0"/>
        <w:lang w:val="sv-SE"/>
      </w:rPr>
    </w:pPr>
    <w:r w:rsidRPr="0008481A">
      <w:rPr>
        <w:noProof w:val="0"/>
        <w:lang w:val="sv-SE"/>
      </w:rPr>
      <w:object w:dxaOrig="2403"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79.3pt" o:ole="" fillcolor="window">
          <v:imagedata r:id="rId1" o:title="" croptop="-476f" cropbottom="40753f" cropright="42609f"/>
        </v:shape>
        <o:OLEObject Type="Embed" ProgID="Word.Picture.8" ShapeID="_x0000_i1030" DrawAspect="Content" ObjectID="_1827352847" r:id="rId2"/>
      </w:object>
    </w:r>
  </w:p>
  <w:p w:rsidR="003B3271" w:rsidRPr="0008481A" w:rsidRDefault="003B3271">
    <w:pPr>
      <w:pStyle w:val="SidhuvudFVapen"/>
      <w:framePr w:wrap="notBeside" w:x="6913" w:y="3460"/>
      <w:spacing w:line="245" w:lineRule="exact"/>
      <w:ind w:left="113"/>
    </w:pPr>
    <w:bookmarkStart w:id="10" w:name="prop_VapenText"/>
    <w:r w:rsidRPr="0008481A">
      <w:t>2000/01</w:t>
    </w:r>
  </w:p>
  <w:p w:rsidR="003B3271" w:rsidRPr="0008481A" w:rsidRDefault="003B3271">
    <w:pPr>
      <w:pStyle w:val="SidhuvudFVapen"/>
      <w:framePr w:wrap="notBeside" w:x="6913" w:y="3460"/>
      <w:spacing w:line="245" w:lineRule="exact"/>
      <w:ind w:left="113"/>
    </w:pPr>
    <w:bookmarkStart w:id="11" w:name="prop_Samling"/>
    <w:bookmarkEnd w:id="10"/>
    <w:r w:rsidRPr="0008481A">
      <w:t>JO1</w:t>
    </w:r>
  </w:p>
  <w:p w:rsidR="003B3271" w:rsidRPr="0008481A" w:rsidRDefault="003B3271">
    <w:pPr>
      <w:pStyle w:val="SidhuvudFText"/>
      <w:framePr w:w="5727" w:h="2977" w:hRule="exact" w:wrap="notBeside" w:y="3800"/>
      <w:spacing w:line="480" w:lineRule="exact"/>
      <w:ind w:right="54"/>
      <w:rPr>
        <w:noProof w:val="0"/>
        <w:sz w:val="36"/>
        <w:lang w:val="sv-SE"/>
      </w:rPr>
    </w:pPr>
    <w:bookmarkStart w:id="12" w:name="prop_DokumentTyp"/>
    <w:bookmarkEnd w:id="11"/>
    <w:r w:rsidRPr="0008481A">
      <w:rPr>
        <w:noProof w:val="0"/>
        <w:sz w:val="36"/>
        <w:lang w:val="sv-SE"/>
      </w:rPr>
      <w:t xml:space="preserve">Redogörelse </w:t>
    </w:r>
    <w:bookmarkEnd w:id="12"/>
    <w:r w:rsidRPr="0008481A">
      <w:rPr>
        <w:noProof w:val="0"/>
        <w:sz w:val="36"/>
        <w:lang w:val="sv-SE"/>
      </w:rPr>
      <w:t xml:space="preserve"> </w:t>
    </w:r>
  </w:p>
  <w:p w:rsidR="003B3271" w:rsidRPr="0008481A" w:rsidRDefault="003B3271">
    <w:pPr>
      <w:pStyle w:val="SidhuvudFText"/>
      <w:framePr w:w="5727" w:h="2977" w:hRule="exact" w:wrap="notBeside" w:y="3800"/>
      <w:spacing w:line="520" w:lineRule="exact"/>
      <w:ind w:right="54"/>
      <w:rPr>
        <w:noProof w:val="0"/>
        <w:sz w:val="36"/>
        <w:lang w:val="sv-SE"/>
      </w:rPr>
    </w:pPr>
    <w:bookmarkStart w:id="13" w:name="prop_Nummer"/>
    <w:r w:rsidRPr="0008481A">
      <w:rPr>
        <w:noProof w:val="0"/>
        <w:sz w:val="36"/>
        <w:lang w:val="sv-SE"/>
      </w:rPr>
      <w:t xml:space="preserve">2000/01:JO1 </w:t>
    </w:r>
    <w:bookmarkEnd w:id="13"/>
    <w:r w:rsidRPr="0008481A">
      <w:rPr>
        <w:noProof w:val="0"/>
        <w:sz w:val="36"/>
        <w:lang w:val="sv-SE"/>
      </w:rPr>
      <w:t xml:space="preserve"> </w:t>
    </w:r>
  </w:p>
  <w:p w:rsidR="003B3271" w:rsidRPr="0008481A" w:rsidRDefault="003B3271">
    <w:pPr>
      <w:pStyle w:val="SidhuvudFText"/>
      <w:framePr w:w="5727" w:h="2977" w:hRule="exact" w:wrap="notBeside" w:y="3800"/>
      <w:spacing w:line="460" w:lineRule="exact"/>
      <w:ind w:right="54"/>
      <w:rPr>
        <w:noProof w:val="0"/>
        <w:sz w:val="24"/>
        <w:lang w:val="sv-SE"/>
      </w:rPr>
    </w:pPr>
    <w:bookmarkStart w:id="14" w:name="prop_Motionärer"/>
    <w:r w:rsidRPr="0008481A">
      <w:rPr>
        <w:noProof w:val="0"/>
        <w:sz w:val="24"/>
        <w:lang w:val="sv-SE"/>
      </w:rPr>
      <w:t xml:space="preserve">Justitieombudsmännens ämbetsberättelse </w:t>
    </w:r>
    <w:bookmarkEnd w:id="14"/>
    <w:r w:rsidRPr="0008481A">
      <w:rPr>
        <w:noProof w:val="0"/>
        <w:sz w:val="24"/>
        <w:lang w:val="sv-SE"/>
      </w:rPr>
      <w:t xml:space="preserve"> </w:t>
    </w:r>
  </w:p>
  <w:p w:rsidR="003B3271" w:rsidRPr="0008481A" w:rsidRDefault="0008481A">
    <w:pPr>
      <w:pStyle w:val="SidhuvudFText"/>
      <w:framePr w:w="5727" w:h="2977" w:hRule="exact" w:wrap="notBeside" w:y="3800"/>
      <w:spacing w:before="40" w:after="900" w:line="300" w:lineRule="exact"/>
      <w:ind w:right="54"/>
      <w:rPr>
        <w:noProof w:val="0"/>
        <w:sz w:val="26"/>
        <w:lang w:val="sv-SE"/>
      </w:rPr>
    </w:pPr>
    <w:bookmarkStart w:id="15" w:name="prop_Rubrik"/>
    <w:r w:rsidRPr="0008481A">
      <w:rPr>
        <w:sz w:val="26"/>
        <w:lang w:val="sv-SE"/>
      </w:rPr>
      <mc:AlternateContent>
        <mc:Choice Requires="wps">
          <w:drawing>
            <wp:anchor distT="0" distB="0" distL="114300" distR="114300" simplePos="0" relativeHeight="251663872" behindDoc="0" locked="0" layoutInCell="0" allowOverlap="1">
              <wp:simplePos x="0" y="0"/>
              <wp:positionH relativeFrom="page">
                <wp:posOffset>575945</wp:posOffset>
              </wp:positionH>
              <wp:positionV relativeFrom="page">
                <wp:posOffset>4176395</wp:posOffset>
              </wp:positionV>
              <wp:extent cx="4860925" cy="635"/>
              <wp:effectExtent l="0" t="0" r="0" b="0"/>
              <wp:wrapNone/>
              <wp:docPr id="10485947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3883E" id="Line 20"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28.85pt" to="428.1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" o:allowincell="f" strokeweight=".5pt">
              <v:stroke startarrowwidth="narrow" startarrowlength="short" endarrowwidth="narrow" endarrowlength="short"/>
              <w10:wrap anchorx="page" anchory="page"/>
            </v:line>
          </w:pict>
        </mc:Fallback>
      </mc:AlternateContent>
    </w:r>
    <w:r w:rsidR="003B3271" w:rsidRPr="0008481A">
      <w:rPr>
        <w:noProof w:val="0"/>
        <w:sz w:val="26"/>
        <w:lang w:val="sv-SE"/>
      </w:rPr>
      <w:t xml:space="preserve"> </w:t>
    </w:r>
  </w:p>
  <w:bookmarkEnd w:id="15"/>
  <w:p w:rsidR="003B3271" w:rsidRPr="0008481A" w:rsidRDefault="003B3271">
    <w:pPr>
      <w:pStyle w:val="FSHRub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61824"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734688647"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3" type="#_x0000_t202" style="position:absolute;left:0;text-align:left;margin-left:345.85pt;margin-top:195.6pt;width:79.35pt;height:3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" o:allowincell="f" filled="f" stroked="f">
              <o:lock v:ext="edit" aspectratio="t"/>
              <v:textbox inset="0,0,0,0">
                <w:txbxContent>
                  <w:p w:rsidR="003B3271" w:rsidRDefault="003B3271">
                    <w:pPr>
                      <w:pStyle w:val="NormalS5vpn"/>
                    </w:pP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2</w:t>
    </w:r>
    <w:r w:rsidR="003B3271" w:rsidRPr="0008481A">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62848"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1331356805"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t>2000/01:JO1</w:t>
                          </w: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4" type="#_x0000_t202" style="position:absolute;left:0;text-align:left;margin-left:345.85pt;margin-top:195.6pt;width:79.35pt;height:3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" o:allowincell="f" filled="f" stroked="f">
              <o:lock v:ext="edit" aspectratio="t"/>
              <v:textbox inset="0,0,0,0">
                <w:txbxContent>
                  <w:p w:rsidR="003B3271" w:rsidRDefault="003B3271">
                    <w:pPr>
                      <w:pStyle w:val="NormalS5vpn"/>
                    </w:pPr>
                    <w:r>
                      <w:t>2000/01:JO1</w:t>
                    </w:r>
                  </w:p>
                  <w:p w:rsidR="003B3271" w:rsidRDefault="003B3271">
                    <w:pPr>
                      <w:pStyle w:val="NormalS5vpn"/>
                    </w:pP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56704"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952413100"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1</w:t>
                          </w: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left:0;text-align:left;margin-left:345.85pt;margin-top:195.6pt;width:79.35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1</w:t>
                    </w: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57728"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613327777"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2</w:t>
                          </w: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left:0;text-align:left;margin-left:345.85pt;margin-top:195.6pt;width:79.35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2</w:t>
                    </w: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58752"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1990995982"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3</w:t>
                          </w: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left:0;text-align:left;margin-left:345.85pt;margin-top:195.6pt;width:79.35pt;height: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3</w:t>
                    </w: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59776"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950714672"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4</w:t>
                          </w: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left:0;text-align:left;margin-left:345.85pt;margin-top:195.6pt;width:79.35pt;height: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4</w:t>
                    </w: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71" w:rsidRPr="0008481A" w:rsidRDefault="0008481A">
    <w:pPr>
      <w:pStyle w:val="NormalA4sidnr"/>
    </w:pPr>
    <w:r w:rsidRPr="0008481A">
      <w:rPr>
        <w:noProof/>
        <w:sz w:val="26"/>
      </w:rPr>
      <mc:AlternateContent>
        <mc:Choice Requires="wps">
          <w:drawing>
            <wp:anchor distT="0" distB="0" distL="114300" distR="114300" simplePos="0" relativeHeight="251660800" behindDoc="0" locked="1" layoutInCell="0" allowOverlap="1">
              <wp:simplePos x="0" y="0"/>
              <wp:positionH relativeFrom="page">
                <wp:posOffset>4392295</wp:posOffset>
              </wp:positionH>
              <wp:positionV relativeFrom="paragraph">
                <wp:posOffset>2484120</wp:posOffset>
              </wp:positionV>
              <wp:extent cx="1007745" cy="431800"/>
              <wp:effectExtent l="0" t="0" r="0" b="0"/>
              <wp:wrapNone/>
              <wp:docPr id="459242245"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07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5</w:t>
                          </w:r>
                          <w:r>
                            <w:fldChar w:fldCharType="begin"/>
                          </w:r>
                          <w:r>
                            <w:instrText xml:space="preserve"> DO</w:instrText>
                          </w:r>
                          <w:r>
                            <w:rPr>
                              <w:sz w:val="18"/>
                            </w:rPr>
                            <w:instrText xml:space="preserve">CPROPERTY "Motionsnummer" *\charformat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left:0;text-align:left;margin-left:345.85pt;margin-top:195.6pt;width:79.35pt;height:3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" o:allowincell="f" filled="f" stroked="f">
              <o:lock v:ext="edit" aspectratio="t"/>
              <v:textbox inset="0,0,0,0">
                <w:txbxContent>
                  <w:p w:rsidR="003B3271" w:rsidRDefault="003B3271">
                    <w:pPr>
                      <w:pStyle w:val="NormalS5vpn"/>
                    </w:pPr>
                    <w:r>
                      <w:fldChar w:fldCharType="begin"/>
                    </w:r>
                    <w:r>
                      <w:instrText xml:space="preserve"> DO</w:instrText>
                    </w:r>
                    <w:r>
                      <w:rPr>
                        <w:sz w:val="18"/>
                      </w:rPr>
                      <w:instrText xml:space="preserve">CPROPERTY "YearUser" *\charformat </w:instrText>
                    </w:r>
                    <w:r>
                      <w:fldChar w:fldCharType="separate"/>
                    </w:r>
                    <w:r>
                      <w:t>2000/01:JO1</w:t>
                    </w:r>
                    <w:r>
                      <w:fldChar w:fldCharType="end"/>
                    </w:r>
                  </w:p>
                  <w:p w:rsidR="003B3271" w:rsidRDefault="003B3271">
                    <w:pPr>
                      <w:pStyle w:val="NormalS5vpn"/>
                    </w:pPr>
                    <w:r>
                      <w:t>Bilaga 5</w:t>
                    </w:r>
                    <w:r>
                      <w:fldChar w:fldCharType="begin"/>
                    </w:r>
                    <w:r>
                      <w:instrText xml:space="preserve"> DO</w:instrText>
                    </w:r>
                    <w:r>
                      <w:rPr>
                        <w:sz w:val="18"/>
                      </w:rPr>
                      <w:instrText xml:space="preserve">CPROPERTY "Motionsnummer" *\charformat </w:instrText>
                    </w:r>
                    <w:r>
                      <w:fldChar w:fldCharType="end"/>
                    </w:r>
                  </w:p>
                </w:txbxContent>
              </v:textbox>
              <w10:wrap anchorx="page"/>
              <w10:anchorlock/>
            </v:shape>
          </w:pict>
        </mc:Fallback>
      </mc:AlternateContent>
    </w:r>
    <w:r w:rsidR="003B3271" w:rsidRPr="0008481A">
      <w:fldChar w:fldCharType="begin" w:fldLock="1"/>
    </w:r>
    <w:r w:rsidR="003B3271" w:rsidRPr="0008481A">
      <w:instrText xml:space="preserve"> PA</w:instrText>
    </w:r>
    <w:r w:rsidR="003B3271" w:rsidRPr="0008481A">
      <w:rPr>
        <w:sz w:val="18"/>
      </w:rPr>
      <w:instrText>GE *\charformat</w:instrText>
    </w:r>
    <w:r w:rsidR="003B3271" w:rsidRPr="0008481A">
      <w:fldChar w:fldCharType="separate"/>
    </w:r>
    <w:r w:rsidR="003B3271" w:rsidRPr="0008481A">
      <w:t>537</w:t>
    </w:r>
    <w:r w:rsidR="003B3271" w:rsidRPr="0008481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AC17B2"/>
    <w:lvl w:ilvl="0">
      <w:start w:val="1"/>
      <w:numFmt w:val="decimal"/>
      <w:suff w:val="space"/>
      <w:lvlText w:val="%1"/>
      <w:lvlJc w:val="left"/>
      <w:pPr>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EC723F"/>
    <w:multiLevelType w:val="singleLevel"/>
    <w:tmpl w:val="707CE6C2"/>
    <w:lvl w:ilvl="0">
      <w:start w:val="1"/>
      <w:numFmt w:val="decimal"/>
      <w:lvlText w:val="%1)"/>
      <w:lvlJc w:val="left"/>
      <w:pPr>
        <w:tabs>
          <w:tab w:val="num" w:pos="645"/>
        </w:tabs>
        <w:ind w:left="645" w:hanging="360"/>
      </w:pPr>
      <w:rPr>
        <w:rFonts w:hint="default"/>
      </w:rPr>
    </w:lvl>
  </w:abstractNum>
  <w:abstractNum w:abstractNumId="13" w15:restartNumberingAfterBreak="0">
    <w:nsid w:val="026C0B80"/>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2ED7F8D"/>
    <w:multiLevelType w:val="singleLevel"/>
    <w:tmpl w:val="4D90F42C"/>
    <w:lvl w:ilvl="0">
      <w:start w:val="1"/>
      <w:numFmt w:val="decimal"/>
      <w:lvlText w:val="%1)"/>
      <w:lvlJc w:val="left"/>
      <w:pPr>
        <w:tabs>
          <w:tab w:val="num" w:pos="645"/>
        </w:tabs>
        <w:ind w:left="645" w:hanging="360"/>
      </w:pPr>
      <w:rPr>
        <w:rFonts w:hint="default"/>
      </w:rPr>
    </w:lvl>
  </w:abstractNum>
  <w:abstractNum w:abstractNumId="15" w15:restartNumberingAfterBreak="0">
    <w:nsid w:val="05250035"/>
    <w:multiLevelType w:val="singleLevel"/>
    <w:tmpl w:val="30EE9350"/>
    <w:lvl w:ilvl="0">
      <w:start w:val="3642"/>
      <w:numFmt w:val="bullet"/>
      <w:lvlText w:val="–"/>
      <w:lvlJc w:val="left"/>
      <w:pPr>
        <w:tabs>
          <w:tab w:val="num" w:pos="360"/>
        </w:tabs>
        <w:ind w:left="360" w:hanging="360"/>
      </w:pPr>
      <w:rPr>
        <w:rFonts w:hint="default"/>
      </w:rPr>
    </w:lvl>
  </w:abstractNum>
  <w:abstractNum w:abstractNumId="16" w15:restartNumberingAfterBreak="0">
    <w:nsid w:val="067028C4"/>
    <w:multiLevelType w:val="singleLevel"/>
    <w:tmpl w:val="BA90BCCC"/>
    <w:lvl w:ilvl="0">
      <w:start w:val="1"/>
      <w:numFmt w:val="bullet"/>
      <w:pStyle w:val="PunktlistaBomb"/>
      <w:lvlText w:val=""/>
      <w:lvlJc w:val="left"/>
      <w:pPr>
        <w:tabs>
          <w:tab w:val="num" w:pos="360"/>
        </w:tabs>
        <w:ind w:left="170" w:hanging="170"/>
      </w:pPr>
      <w:rPr>
        <w:rFonts w:ascii="Symbol" w:hAnsi="Symbol" w:hint="default"/>
      </w:rPr>
    </w:lvl>
  </w:abstractNum>
  <w:abstractNum w:abstractNumId="17" w15:restartNumberingAfterBreak="0">
    <w:nsid w:val="069F3D5C"/>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077008A1"/>
    <w:multiLevelType w:val="multilevel"/>
    <w:tmpl w:val="9000D89A"/>
    <w:lvl w:ilvl="0">
      <w:start w:val="4676"/>
      <w:numFmt w:val="decimal"/>
      <w:lvlText w:val="%1"/>
      <w:lvlJc w:val="left"/>
      <w:pPr>
        <w:tabs>
          <w:tab w:val="num" w:pos="360"/>
        </w:tabs>
        <w:ind w:left="360" w:hanging="360"/>
      </w:pPr>
      <w:rPr>
        <w:rFonts w:hint="default"/>
      </w:rPr>
    </w:lvl>
    <w:lvl w:ilvl="1">
      <w:start w:val="1998"/>
      <w:numFmt w:val="decimal"/>
      <w:lvlText w:val="%1-%2"/>
      <w:lvlJc w:val="left"/>
      <w:pPr>
        <w:tabs>
          <w:tab w:val="num" w:pos="6595"/>
        </w:tabs>
        <w:ind w:left="6595" w:hanging="360"/>
      </w:pPr>
      <w:rPr>
        <w:rFonts w:hint="default"/>
      </w:rPr>
    </w:lvl>
    <w:lvl w:ilvl="2">
      <w:start w:val="1"/>
      <w:numFmt w:val="decimal"/>
      <w:lvlText w:val="%1-%2.%3"/>
      <w:lvlJc w:val="left"/>
      <w:pPr>
        <w:tabs>
          <w:tab w:val="num" w:pos="13190"/>
        </w:tabs>
        <w:ind w:left="13190" w:hanging="720"/>
      </w:pPr>
      <w:rPr>
        <w:rFonts w:hint="default"/>
      </w:rPr>
    </w:lvl>
    <w:lvl w:ilvl="3">
      <w:start w:val="1"/>
      <w:numFmt w:val="decimal"/>
      <w:lvlText w:val="%1-%2.%3.%4"/>
      <w:lvlJc w:val="left"/>
      <w:pPr>
        <w:tabs>
          <w:tab w:val="num" w:pos="19425"/>
        </w:tabs>
        <w:ind w:left="19425" w:hanging="720"/>
      </w:pPr>
      <w:rPr>
        <w:rFonts w:hint="default"/>
      </w:rPr>
    </w:lvl>
    <w:lvl w:ilvl="4">
      <w:start w:val="1"/>
      <w:numFmt w:val="decimal"/>
      <w:lvlText w:val="%1-%2.%3.%4.%5"/>
      <w:lvlJc w:val="left"/>
      <w:pPr>
        <w:tabs>
          <w:tab w:val="num" w:pos="26020"/>
        </w:tabs>
        <w:ind w:left="26020" w:hanging="1080"/>
      </w:pPr>
      <w:rPr>
        <w:rFonts w:hint="default"/>
      </w:rPr>
    </w:lvl>
    <w:lvl w:ilvl="5">
      <w:start w:val="1"/>
      <w:numFmt w:val="decimal"/>
      <w:lvlText w:val="%1-%2.%3.%4.%5.%6"/>
      <w:lvlJc w:val="left"/>
      <w:pPr>
        <w:tabs>
          <w:tab w:val="num" w:pos="32255"/>
        </w:tabs>
        <w:ind w:left="32255" w:hanging="1080"/>
      </w:pPr>
      <w:rPr>
        <w:rFonts w:hint="default"/>
      </w:rPr>
    </w:lvl>
    <w:lvl w:ilvl="6">
      <w:start w:val="1"/>
      <w:numFmt w:val="decimal"/>
      <w:lvlText w:val="%1-%2.%3.%4.%5.%6.%7"/>
      <w:lvlJc w:val="left"/>
      <w:pPr>
        <w:tabs>
          <w:tab w:val="num" w:pos="-26686"/>
        </w:tabs>
        <w:ind w:left="-26686" w:hanging="1440"/>
      </w:pPr>
      <w:rPr>
        <w:rFonts w:hint="default"/>
      </w:rPr>
    </w:lvl>
    <w:lvl w:ilvl="7">
      <w:start w:val="1"/>
      <w:numFmt w:val="decimal"/>
      <w:lvlText w:val="%1-%2.%3.%4.%5.%6.%7.%8"/>
      <w:lvlJc w:val="left"/>
      <w:pPr>
        <w:tabs>
          <w:tab w:val="num" w:pos="-20451"/>
        </w:tabs>
        <w:ind w:left="-20451" w:hanging="1440"/>
      </w:pPr>
      <w:rPr>
        <w:rFonts w:hint="default"/>
      </w:rPr>
    </w:lvl>
    <w:lvl w:ilvl="8">
      <w:start w:val="1"/>
      <w:numFmt w:val="decimal"/>
      <w:lvlText w:val="%1-%2.%3.%4.%5.%6.%7.%8.%9"/>
      <w:lvlJc w:val="left"/>
      <w:pPr>
        <w:tabs>
          <w:tab w:val="num" w:pos="-13856"/>
        </w:tabs>
        <w:ind w:left="-13856" w:hanging="1800"/>
      </w:pPr>
      <w:rPr>
        <w:rFonts w:hint="default"/>
      </w:rPr>
    </w:lvl>
  </w:abstractNum>
  <w:abstractNum w:abstractNumId="19" w15:restartNumberingAfterBreak="0">
    <w:nsid w:val="0A9535FC"/>
    <w:multiLevelType w:val="singleLevel"/>
    <w:tmpl w:val="63648712"/>
    <w:lvl w:ilvl="0">
      <w:start w:val="4439"/>
      <w:numFmt w:val="bullet"/>
      <w:lvlText w:val="-"/>
      <w:lvlJc w:val="left"/>
      <w:pPr>
        <w:tabs>
          <w:tab w:val="num" w:pos="360"/>
        </w:tabs>
        <w:ind w:left="360" w:hanging="360"/>
      </w:pPr>
      <w:rPr>
        <w:rFonts w:hint="default"/>
      </w:rPr>
    </w:lvl>
  </w:abstractNum>
  <w:abstractNum w:abstractNumId="20" w15:restartNumberingAfterBreak="0">
    <w:nsid w:val="0AB14F95"/>
    <w:multiLevelType w:val="singleLevel"/>
    <w:tmpl w:val="A5F2DA58"/>
    <w:lvl w:ilvl="0">
      <w:numFmt w:val="bullet"/>
      <w:lvlText w:val="–"/>
      <w:lvlJc w:val="left"/>
      <w:pPr>
        <w:tabs>
          <w:tab w:val="num" w:pos="360"/>
        </w:tabs>
        <w:ind w:left="360" w:hanging="360"/>
      </w:pPr>
      <w:rPr>
        <w:rFonts w:hint="default"/>
      </w:rPr>
    </w:lvl>
  </w:abstractNum>
  <w:abstractNum w:abstractNumId="21" w15:restartNumberingAfterBreak="0">
    <w:nsid w:val="0C612516"/>
    <w:multiLevelType w:val="singleLevel"/>
    <w:tmpl w:val="041D000F"/>
    <w:lvl w:ilvl="0">
      <w:start w:val="1"/>
      <w:numFmt w:val="decimal"/>
      <w:lvlText w:val="%1."/>
      <w:legacy w:legacy="1" w:legacySpace="0" w:legacyIndent="360"/>
      <w:lvlJc w:val="left"/>
      <w:pPr>
        <w:ind w:left="360" w:hanging="360"/>
      </w:pPr>
    </w:lvl>
  </w:abstractNum>
  <w:abstractNum w:abstractNumId="22" w15:restartNumberingAfterBreak="0">
    <w:nsid w:val="11E40772"/>
    <w:multiLevelType w:val="singleLevel"/>
    <w:tmpl w:val="30E88A6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29B7F40"/>
    <w:multiLevelType w:val="singleLevel"/>
    <w:tmpl w:val="79A67B4A"/>
    <w:lvl w:ilvl="0">
      <w:start w:val="1"/>
      <w:numFmt w:val="decimal"/>
      <w:lvlText w:val="%1."/>
      <w:lvlJc w:val="left"/>
      <w:pPr>
        <w:tabs>
          <w:tab w:val="num" w:pos="360"/>
        </w:tabs>
        <w:ind w:left="360" w:hanging="360"/>
      </w:pPr>
    </w:lvl>
  </w:abstractNum>
  <w:abstractNum w:abstractNumId="24" w15:restartNumberingAfterBreak="0">
    <w:nsid w:val="1C2E5485"/>
    <w:multiLevelType w:val="singleLevel"/>
    <w:tmpl w:val="6D7E17C0"/>
    <w:lvl w:ilvl="0">
      <w:start w:val="1"/>
      <w:numFmt w:val="decimal"/>
      <w:lvlText w:val="%1. "/>
      <w:legacy w:legacy="1" w:legacySpace="0" w:legacyIndent="283"/>
      <w:lvlJc w:val="left"/>
      <w:pPr>
        <w:ind w:left="283" w:hanging="283"/>
      </w:pPr>
      <w:rPr>
        <w:rFonts w:ascii="AGaramond" w:hAnsi="AGaramond" w:hint="default"/>
        <w:b w:val="0"/>
        <w:i w:val="0"/>
        <w:sz w:val="24"/>
        <w:u w:val="none"/>
      </w:rPr>
    </w:lvl>
  </w:abstractNum>
  <w:abstractNum w:abstractNumId="25" w15:restartNumberingAfterBreak="0">
    <w:nsid w:val="1D197106"/>
    <w:multiLevelType w:val="singleLevel"/>
    <w:tmpl w:val="AB86AD4E"/>
    <w:lvl w:ilvl="0">
      <w:start w:val="1"/>
      <w:numFmt w:val="decimal"/>
      <w:lvlText w:val="%1)"/>
      <w:lvlJc w:val="left"/>
      <w:pPr>
        <w:tabs>
          <w:tab w:val="num" w:pos="645"/>
        </w:tabs>
        <w:ind w:left="645" w:hanging="360"/>
      </w:pPr>
      <w:rPr>
        <w:rFonts w:hint="default"/>
      </w:rPr>
    </w:lvl>
  </w:abstractNum>
  <w:abstractNum w:abstractNumId="26" w15:restartNumberingAfterBreak="0">
    <w:nsid w:val="1DA505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0CB3D04"/>
    <w:multiLevelType w:val="singleLevel"/>
    <w:tmpl w:val="FF60AE2A"/>
    <w:lvl w:ilvl="0">
      <w:start w:val="1"/>
      <w:numFmt w:val="decimal"/>
      <w:lvlText w:val="%1)"/>
      <w:lvlJc w:val="left"/>
      <w:pPr>
        <w:tabs>
          <w:tab w:val="num" w:pos="645"/>
        </w:tabs>
        <w:ind w:left="645" w:hanging="360"/>
      </w:pPr>
      <w:rPr>
        <w:rFonts w:hint="default"/>
      </w:rPr>
    </w:lvl>
  </w:abstractNum>
  <w:abstractNum w:abstractNumId="28" w15:restartNumberingAfterBreak="0">
    <w:nsid w:val="256C67E0"/>
    <w:multiLevelType w:val="singleLevel"/>
    <w:tmpl w:val="9BA4698A"/>
    <w:lvl w:ilvl="0">
      <w:start w:val="1"/>
      <w:numFmt w:val="decimal"/>
      <w:lvlText w:val="%1."/>
      <w:lvlJc w:val="left"/>
      <w:pPr>
        <w:tabs>
          <w:tab w:val="num" w:pos="567"/>
        </w:tabs>
        <w:ind w:left="567" w:hanging="360"/>
      </w:pPr>
      <w:rPr>
        <w:rFonts w:hint="default"/>
      </w:rPr>
    </w:lvl>
  </w:abstractNum>
  <w:abstractNum w:abstractNumId="29" w15:restartNumberingAfterBreak="0">
    <w:nsid w:val="29DB73B9"/>
    <w:multiLevelType w:val="singleLevel"/>
    <w:tmpl w:val="D5B88AFC"/>
    <w:lvl w:ilvl="0">
      <w:numFmt w:val="bullet"/>
      <w:lvlText w:val=""/>
      <w:lvlJc w:val="left"/>
      <w:pPr>
        <w:tabs>
          <w:tab w:val="num" w:pos="360"/>
        </w:tabs>
        <w:ind w:left="170" w:hanging="170"/>
      </w:pPr>
      <w:rPr>
        <w:rFonts w:ascii="Symbol" w:hAnsi="Symbol" w:hint="default"/>
      </w:rPr>
    </w:lvl>
  </w:abstractNum>
  <w:abstractNum w:abstractNumId="30" w15:restartNumberingAfterBreak="0">
    <w:nsid w:val="2A0B34D4"/>
    <w:multiLevelType w:val="singleLevel"/>
    <w:tmpl w:val="DBFE4D7E"/>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2DEF583E"/>
    <w:multiLevelType w:val="singleLevel"/>
    <w:tmpl w:val="00FE4ABC"/>
    <w:lvl w:ilvl="0">
      <w:start w:val="1"/>
      <w:numFmt w:val="decimal"/>
      <w:lvlText w:val="%1)"/>
      <w:lvlJc w:val="left"/>
      <w:pPr>
        <w:tabs>
          <w:tab w:val="num" w:pos="645"/>
        </w:tabs>
        <w:ind w:left="645" w:hanging="360"/>
      </w:pPr>
      <w:rPr>
        <w:rFonts w:hint="default"/>
      </w:rPr>
    </w:lvl>
  </w:abstractNum>
  <w:abstractNum w:abstractNumId="32" w15:restartNumberingAfterBreak="0">
    <w:nsid w:val="2FFE5D47"/>
    <w:multiLevelType w:val="singleLevel"/>
    <w:tmpl w:val="7DBAEFDC"/>
    <w:lvl w:ilvl="0">
      <w:start w:val="6"/>
      <w:numFmt w:val="bullet"/>
      <w:lvlText w:val="–"/>
      <w:lvlJc w:val="left"/>
      <w:pPr>
        <w:tabs>
          <w:tab w:val="num" w:pos="360"/>
        </w:tabs>
        <w:ind w:left="360" w:hanging="360"/>
      </w:pPr>
      <w:rPr>
        <w:rFonts w:hint="default"/>
      </w:rPr>
    </w:lvl>
  </w:abstractNum>
  <w:abstractNum w:abstractNumId="33" w15:restartNumberingAfterBreak="0">
    <w:nsid w:val="339528B7"/>
    <w:multiLevelType w:val="singleLevel"/>
    <w:tmpl w:val="53B81E1E"/>
    <w:lvl w:ilvl="0">
      <w:start w:val="1"/>
      <w:numFmt w:val="decimal"/>
      <w:lvlText w:val="%1)"/>
      <w:lvlJc w:val="left"/>
      <w:pPr>
        <w:tabs>
          <w:tab w:val="num" w:pos="645"/>
        </w:tabs>
        <w:ind w:left="645" w:hanging="360"/>
      </w:pPr>
      <w:rPr>
        <w:rFonts w:hint="default"/>
      </w:rPr>
    </w:lvl>
  </w:abstractNum>
  <w:abstractNum w:abstractNumId="34" w15:restartNumberingAfterBreak="0">
    <w:nsid w:val="345C7233"/>
    <w:multiLevelType w:val="singleLevel"/>
    <w:tmpl w:val="041D000F"/>
    <w:lvl w:ilvl="0">
      <w:start w:val="1"/>
      <w:numFmt w:val="decimal"/>
      <w:lvlText w:val="%1."/>
      <w:lvlJc w:val="left"/>
      <w:pPr>
        <w:tabs>
          <w:tab w:val="num" w:pos="360"/>
        </w:tabs>
        <w:ind w:left="360" w:hanging="360"/>
      </w:pPr>
    </w:lvl>
  </w:abstractNum>
  <w:abstractNum w:abstractNumId="35" w15:restartNumberingAfterBreak="0">
    <w:nsid w:val="35F235D1"/>
    <w:multiLevelType w:val="singleLevel"/>
    <w:tmpl w:val="54745F6E"/>
    <w:lvl w:ilvl="0">
      <w:numFmt w:val="bullet"/>
      <w:lvlText w:val=""/>
      <w:lvlJc w:val="left"/>
      <w:pPr>
        <w:tabs>
          <w:tab w:val="num" w:pos="927"/>
        </w:tabs>
        <w:ind w:left="927" w:hanging="927"/>
      </w:pPr>
      <w:rPr>
        <w:rFonts w:ascii="Symbol" w:hAnsi="Symbol" w:hint="default"/>
      </w:rPr>
    </w:lvl>
  </w:abstractNum>
  <w:abstractNum w:abstractNumId="36" w15:restartNumberingAfterBreak="0">
    <w:nsid w:val="3CF720E2"/>
    <w:multiLevelType w:val="multilevel"/>
    <w:tmpl w:val="5B9E24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160DEE"/>
    <w:multiLevelType w:val="singleLevel"/>
    <w:tmpl w:val="041D000F"/>
    <w:lvl w:ilvl="0">
      <w:start w:val="1"/>
      <w:numFmt w:val="decimal"/>
      <w:lvlText w:val="%1."/>
      <w:legacy w:legacy="1" w:legacySpace="0" w:legacyIndent="360"/>
      <w:lvlJc w:val="left"/>
      <w:pPr>
        <w:ind w:left="360" w:hanging="360"/>
      </w:pPr>
    </w:lvl>
  </w:abstractNum>
  <w:abstractNum w:abstractNumId="38"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39" w15:restartNumberingAfterBreak="0">
    <w:nsid w:val="42881D5C"/>
    <w:multiLevelType w:val="singleLevel"/>
    <w:tmpl w:val="27CE7EF4"/>
    <w:lvl w:ilvl="0">
      <w:start w:val="1"/>
      <w:numFmt w:val="decimal"/>
      <w:lvlText w:val="%1)"/>
      <w:lvlJc w:val="left"/>
      <w:pPr>
        <w:tabs>
          <w:tab w:val="num" w:pos="645"/>
        </w:tabs>
        <w:ind w:left="645" w:hanging="360"/>
      </w:pPr>
      <w:rPr>
        <w:rFonts w:hint="default"/>
      </w:rPr>
    </w:lvl>
  </w:abstractNum>
  <w:abstractNum w:abstractNumId="40" w15:restartNumberingAfterBreak="0">
    <w:nsid w:val="46AD2C16"/>
    <w:multiLevelType w:val="singleLevel"/>
    <w:tmpl w:val="B06EEB88"/>
    <w:lvl w:ilvl="0">
      <w:start w:val="1"/>
      <w:numFmt w:val="bullet"/>
      <w:pStyle w:val="PunktlistaTankstreck"/>
      <w:lvlText w:val=""/>
      <w:lvlJc w:val="left"/>
      <w:pPr>
        <w:tabs>
          <w:tab w:val="num" w:pos="360"/>
        </w:tabs>
        <w:ind w:left="170" w:hanging="170"/>
      </w:pPr>
      <w:rPr>
        <w:rFonts w:ascii="Symbol" w:hAnsi="Symbol" w:hint="default"/>
      </w:rPr>
    </w:lvl>
  </w:abstractNum>
  <w:abstractNum w:abstractNumId="41"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42" w15:restartNumberingAfterBreak="0">
    <w:nsid w:val="4DD53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274768"/>
    <w:multiLevelType w:val="singleLevel"/>
    <w:tmpl w:val="36EC6C08"/>
    <w:lvl w:ilvl="0">
      <w:start w:val="1"/>
      <w:numFmt w:val="decimal"/>
      <w:lvlText w:val="%1)"/>
      <w:lvlJc w:val="left"/>
      <w:pPr>
        <w:tabs>
          <w:tab w:val="num" w:pos="645"/>
        </w:tabs>
        <w:ind w:left="645" w:hanging="360"/>
      </w:pPr>
      <w:rPr>
        <w:rFonts w:hint="default"/>
      </w:rPr>
    </w:lvl>
  </w:abstractNum>
  <w:abstractNum w:abstractNumId="44" w15:restartNumberingAfterBreak="0">
    <w:nsid w:val="502856EB"/>
    <w:multiLevelType w:val="singleLevel"/>
    <w:tmpl w:val="9DBE06E0"/>
    <w:lvl w:ilvl="0">
      <w:start w:val="1"/>
      <w:numFmt w:val="decimal"/>
      <w:lvlText w:val="%1)"/>
      <w:lvlJc w:val="left"/>
      <w:pPr>
        <w:tabs>
          <w:tab w:val="num" w:pos="645"/>
        </w:tabs>
        <w:ind w:left="645" w:hanging="360"/>
      </w:pPr>
      <w:rPr>
        <w:rFonts w:hint="default"/>
      </w:rPr>
    </w:lvl>
  </w:abstractNum>
  <w:abstractNum w:abstractNumId="45" w15:restartNumberingAfterBreak="0">
    <w:nsid w:val="521B0DCB"/>
    <w:multiLevelType w:val="singleLevel"/>
    <w:tmpl w:val="AE00CBBA"/>
    <w:lvl w:ilvl="0">
      <w:start w:val="1"/>
      <w:numFmt w:val="decimal"/>
      <w:lvlText w:val="%1. "/>
      <w:legacy w:legacy="1" w:legacySpace="0" w:legacyIndent="283"/>
      <w:lvlJc w:val="left"/>
      <w:pPr>
        <w:ind w:left="283" w:hanging="283"/>
      </w:pPr>
      <w:rPr>
        <w:rFonts w:ascii="Times" w:hAnsi="Times" w:hint="default"/>
        <w:b w:val="0"/>
        <w:i w:val="0"/>
        <w:sz w:val="24"/>
        <w:u w:val="none"/>
      </w:rPr>
    </w:lvl>
  </w:abstractNum>
  <w:abstractNum w:abstractNumId="46" w15:restartNumberingAfterBreak="0">
    <w:nsid w:val="53441BD5"/>
    <w:multiLevelType w:val="singleLevel"/>
    <w:tmpl w:val="E0581456"/>
    <w:lvl w:ilvl="0">
      <w:start w:val="1"/>
      <w:numFmt w:val="bullet"/>
      <w:lvlText w:val=""/>
      <w:lvlJc w:val="left"/>
      <w:pPr>
        <w:tabs>
          <w:tab w:val="num" w:pos="360"/>
        </w:tabs>
        <w:ind w:left="170" w:hanging="170"/>
      </w:pPr>
      <w:rPr>
        <w:rFonts w:ascii="Symbol" w:hAnsi="Symbol" w:hint="default"/>
      </w:rPr>
    </w:lvl>
  </w:abstractNum>
  <w:abstractNum w:abstractNumId="47"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48"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49" w15:restartNumberingAfterBreak="0">
    <w:nsid w:val="56F537AF"/>
    <w:multiLevelType w:val="singleLevel"/>
    <w:tmpl w:val="D562D09A"/>
    <w:lvl w:ilvl="0">
      <w:start w:val="1"/>
      <w:numFmt w:val="decimal"/>
      <w:lvlText w:val="%1."/>
      <w:lvlJc w:val="left"/>
      <w:pPr>
        <w:tabs>
          <w:tab w:val="num" w:pos="1776"/>
        </w:tabs>
        <w:ind w:left="1776" w:hanging="360"/>
      </w:pPr>
      <w:rPr>
        <w:rFonts w:hint="default"/>
      </w:rPr>
    </w:lvl>
  </w:abstractNum>
  <w:abstractNum w:abstractNumId="50" w15:restartNumberingAfterBreak="0">
    <w:nsid w:val="5FC429E8"/>
    <w:multiLevelType w:val="multilevel"/>
    <w:tmpl w:val="5C9A0C82"/>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62A23D24"/>
    <w:multiLevelType w:val="singleLevel"/>
    <w:tmpl w:val="97785632"/>
    <w:lvl w:ilvl="0">
      <w:start w:val="4617"/>
      <w:numFmt w:val="bullet"/>
      <w:lvlText w:val="-"/>
      <w:lvlJc w:val="left"/>
      <w:pPr>
        <w:tabs>
          <w:tab w:val="num" w:pos="360"/>
        </w:tabs>
        <w:ind w:left="360" w:hanging="360"/>
      </w:pPr>
      <w:rPr>
        <w:rFonts w:hint="default"/>
      </w:rPr>
    </w:lvl>
  </w:abstractNum>
  <w:abstractNum w:abstractNumId="52" w15:restartNumberingAfterBreak="0">
    <w:nsid w:val="652C170E"/>
    <w:multiLevelType w:val="singleLevel"/>
    <w:tmpl w:val="75F47136"/>
    <w:lvl w:ilvl="0">
      <w:start w:val="1"/>
      <w:numFmt w:val="decimal"/>
      <w:lvlText w:val="%1."/>
      <w:lvlJc w:val="left"/>
      <w:pPr>
        <w:tabs>
          <w:tab w:val="num" w:pos="1776"/>
        </w:tabs>
        <w:ind w:left="1776" w:hanging="360"/>
      </w:pPr>
      <w:rPr>
        <w:rFonts w:hint="default"/>
      </w:rPr>
    </w:lvl>
  </w:abstractNum>
  <w:abstractNum w:abstractNumId="53" w15:restartNumberingAfterBreak="0">
    <w:nsid w:val="6705010C"/>
    <w:multiLevelType w:val="singleLevel"/>
    <w:tmpl w:val="B28C2562"/>
    <w:lvl w:ilvl="0">
      <w:numFmt w:val="bullet"/>
      <w:lvlText w:val="–"/>
      <w:lvlJc w:val="left"/>
      <w:pPr>
        <w:tabs>
          <w:tab w:val="num" w:pos="360"/>
        </w:tabs>
        <w:ind w:left="360" w:hanging="360"/>
      </w:pPr>
      <w:rPr>
        <w:rFonts w:hint="default"/>
      </w:rPr>
    </w:lvl>
  </w:abstractNum>
  <w:abstractNum w:abstractNumId="54" w15:restartNumberingAfterBreak="0">
    <w:nsid w:val="6B474237"/>
    <w:multiLevelType w:val="singleLevel"/>
    <w:tmpl w:val="18F82E20"/>
    <w:lvl w:ilvl="0">
      <w:start w:val="7"/>
      <w:numFmt w:val="bullet"/>
      <w:lvlText w:val="–"/>
      <w:lvlJc w:val="left"/>
      <w:pPr>
        <w:tabs>
          <w:tab w:val="num" w:pos="360"/>
        </w:tabs>
        <w:ind w:left="360" w:hanging="360"/>
      </w:pPr>
      <w:rPr>
        <w:rFonts w:hint="default"/>
      </w:rPr>
    </w:lvl>
  </w:abstractNum>
  <w:abstractNum w:abstractNumId="55" w15:restartNumberingAfterBreak="0">
    <w:nsid w:val="6E3B1E12"/>
    <w:multiLevelType w:val="singleLevel"/>
    <w:tmpl w:val="C5947440"/>
    <w:lvl w:ilvl="0">
      <w:start w:val="1"/>
      <w:numFmt w:val="decimal"/>
      <w:lvlText w:val="%1)"/>
      <w:lvlJc w:val="left"/>
      <w:pPr>
        <w:tabs>
          <w:tab w:val="num" w:pos="645"/>
        </w:tabs>
        <w:ind w:left="645" w:hanging="360"/>
      </w:pPr>
      <w:rPr>
        <w:rFonts w:hint="default"/>
      </w:rPr>
    </w:lvl>
  </w:abstractNum>
  <w:abstractNum w:abstractNumId="56" w15:restartNumberingAfterBreak="0">
    <w:nsid w:val="6EB44842"/>
    <w:multiLevelType w:val="singleLevel"/>
    <w:tmpl w:val="041D0011"/>
    <w:lvl w:ilvl="0">
      <w:start w:val="1"/>
      <w:numFmt w:val="decimal"/>
      <w:lvlText w:val="%1)"/>
      <w:lvlJc w:val="left"/>
      <w:pPr>
        <w:tabs>
          <w:tab w:val="num" w:pos="360"/>
        </w:tabs>
        <w:ind w:left="360" w:hanging="360"/>
      </w:pPr>
      <w:rPr>
        <w:rFonts w:hint="default"/>
      </w:rPr>
    </w:lvl>
  </w:abstractNum>
  <w:abstractNum w:abstractNumId="57" w15:restartNumberingAfterBreak="0">
    <w:nsid w:val="6EE764F5"/>
    <w:multiLevelType w:val="singleLevel"/>
    <w:tmpl w:val="9DDA30BE"/>
    <w:lvl w:ilvl="0">
      <w:start w:val="1"/>
      <w:numFmt w:val="decimal"/>
      <w:lvlText w:val="%1)"/>
      <w:lvlJc w:val="left"/>
      <w:pPr>
        <w:tabs>
          <w:tab w:val="num" w:pos="645"/>
        </w:tabs>
        <w:ind w:left="645" w:hanging="360"/>
      </w:pPr>
      <w:rPr>
        <w:rFonts w:hint="default"/>
      </w:rPr>
    </w:lvl>
  </w:abstractNum>
  <w:abstractNum w:abstractNumId="58" w15:restartNumberingAfterBreak="0">
    <w:nsid w:val="6EFE62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60" w15:restartNumberingAfterBreak="0">
    <w:nsid w:val="705D0191"/>
    <w:multiLevelType w:val="singleLevel"/>
    <w:tmpl w:val="38BE35B2"/>
    <w:lvl w:ilvl="0">
      <w:start w:val="1"/>
      <w:numFmt w:val="bullet"/>
      <w:lvlText w:val=""/>
      <w:lvlJc w:val="left"/>
      <w:pPr>
        <w:tabs>
          <w:tab w:val="num" w:pos="360"/>
        </w:tabs>
        <w:ind w:left="170" w:hanging="170"/>
      </w:pPr>
      <w:rPr>
        <w:rFonts w:ascii="Symbol" w:hAnsi="Symbol" w:hint="default"/>
      </w:rPr>
    </w:lvl>
  </w:abstractNum>
  <w:abstractNum w:abstractNumId="61" w15:restartNumberingAfterBreak="0">
    <w:nsid w:val="70B06C6A"/>
    <w:multiLevelType w:val="singleLevel"/>
    <w:tmpl w:val="BCEAD6D2"/>
    <w:lvl w:ilvl="0">
      <w:start w:val="1"/>
      <w:numFmt w:val="decimal"/>
      <w:lvlText w:val="%1)"/>
      <w:lvlJc w:val="left"/>
      <w:pPr>
        <w:tabs>
          <w:tab w:val="num" w:pos="645"/>
        </w:tabs>
        <w:ind w:left="645" w:hanging="360"/>
      </w:pPr>
      <w:rPr>
        <w:rFonts w:hint="default"/>
      </w:rPr>
    </w:lvl>
  </w:abstractNum>
  <w:abstractNum w:abstractNumId="62" w15:restartNumberingAfterBreak="0">
    <w:nsid w:val="71C55ED3"/>
    <w:multiLevelType w:val="singleLevel"/>
    <w:tmpl w:val="041D000F"/>
    <w:lvl w:ilvl="0">
      <w:start w:val="1"/>
      <w:numFmt w:val="decimal"/>
      <w:lvlText w:val="%1."/>
      <w:lvlJc w:val="left"/>
      <w:pPr>
        <w:tabs>
          <w:tab w:val="num" w:pos="360"/>
        </w:tabs>
        <w:ind w:left="360" w:hanging="360"/>
      </w:pPr>
    </w:lvl>
  </w:abstractNum>
  <w:abstractNum w:abstractNumId="63" w15:restartNumberingAfterBreak="0">
    <w:nsid w:val="747A2AAC"/>
    <w:multiLevelType w:val="singleLevel"/>
    <w:tmpl w:val="912E017A"/>
    <w:lvl w:ilvl="0">
      <w:start w:val="22"/>
      <w:numFmt w:val="bullet"/>
      <w:lvlText w:val="–"/>
      <w:lvlJc w:val="left"/>
      <w:pPr>
        <w:tabs>
          <w:tab w:val="num" w:pos="1211"/>
        </w:tabs>
        <w:ind w:left="1211" w:hanging="360"/>
      </w:pPr>
      <w:rPr>
        <w:rFonts w:hint="default"/>
      </w:rPr>
    </w:lvl>
  </w:abstractNum>
  <w:abstractNum w:abstractNumId="64" w15:restartNumberingAfterBreak="0">
    <w:nsid w:val="78BF0E46"/>
    <w:multiLevelType w:val="singleLevel"/>
    <w:tmpl w:val="97948B72"/>
    <w:lvl w:ilvl="0">
      <w:start w:val="1"/>
      <w:numFmt w:val="decimal"/>
      <w:lvlText w:val="%1)"/>
      <w:lvlJc w:val="left"/>
      <w:pPr>
        <w:tabs>
          <w:tab w:val="num" w:pos="645"/>
        </w:tabs>
        <w:ind w:left="645" w:hanging="360"/>
      </w:pPr>
      <w:rPr>
        <w:rFonts w:hint="default"/>
      </w:rPr>
    </w:lvl>
  </w:abstractNum>
  <w:abstractNum w:abstractNumId="65" w15:restartNumberingAfterBreak="0">
    <w:nsid w:val="7CA1053C"/>
    <w:multiLevelType w:val="singleLevel"/>
    <w:tmpl w:val="FF284252"/>
    <w:lvl w:ilvl="0">
      <w:start w:val="1"/>
      <w:numFmt w:val="decimal"/>
      <w:lvlText w:val="%1)"/>
      <w:lvlJc w:val="left"/>
      <w:pPr>
        <w:tabs>
          <w:tab w:val="num" w:pos="652"/>
        </w:tabs>
        <w:ind w:left="652" w:hanging="360"/>
      </w:pPr>
      <w:rPr>
        <w:rFonts w:hint="default"/>
      </w:rPr>
    </w:lvl>
  </w:abstractNum>
  <w:abstractNum w:abstractNumId="66" w15:restartNumberingAfterBreak="0">
    <w:nsid w:val="7CB3299E"/>
    <w:multiLevelType w:val="singleLevel"/>
    <w:tmpl w:val="89B429FA"/>
    <w:lvl w:ilvl="0">
      <w:start w:val="1"/>
      <w:numFmt w:val="decimal"/>
      <w:lvlText w:val="%1)"/>
      <w:lvlJc w:val="left"/>
      <w:pPr>
        <w:tabs>
          <w:tab w:val="num" w:pos="645"/>
        </w:tabs>
        <w:ind w:left="645" w:hanging="360"/>
      </w:pPr>
      <w:rPr>
        <w:rFonts w:hint="default"/>
      </w:rPr>
    </w:lvl>
  </w:abstractNum>
  <w:num w:numId="1" w16cid:durableId="1562595493">
    <w:abstractNumId w:val="16"/>
  </w:num>
  <w:num w:numId="2" w16cid:durableId="454952255">
    <w:abstractNumId w:val="40"/>
  </w:num>
  <w:num w:numId="3" w16cid:durableId="1847868731">
    <w:abstractNumId w:val="8"/>
  </w:num>
  <w:num w:numId="4" w16cid:durableId="1349453927">
    <w:abstractNumId w:val="3"/>
  </w:num>
  <w:num w:numId="5" w16cid:durableId="1978758574">
    <w:abstractNumId w:val="2"/>
  </w:num>
  <w:num w:numId="6" w16cid:durableId="1597322889">
    <w:abstractNumId w:val="1"/>
  </w:num>
  <w:num w:numId="7" w16cid:durableId="1397364409">
    <w:abstractNumId w:val="0"/>
  </w:num>
  <w:num w:numId="8" w16cid:durableId="1992640640">
    <w:abstractNumId w:val="9"/>
  </w:num>
  <w:num w:numId="9" w16cid:durableId="263148145">
    <w:abstractNumId w:val="7"/>
  </w:num>
  <w:num w:numId="10" w16cid:durableId="1924682872">
    <w:abstractNumId w:val="6"/>
  </w:num>
  <w:num w:numId="11" w16cid:durableId="1274745943">
    <w:abstractNumId w:val="5"/>
  </w:num>
  <w:num w:numId="12" w16cid:durableId="2066295046">
    <w:abstractNumId w:val="4"/>
  </w:num>
  <w:num w:numId="13" w16cid:durableId="346367116">
    <w:abstractNumId w:val="16"/>
  </w:num>
  <w:num w:numId="14" w16cid:durableId="1228614316">
    <w:abstractNumId w:val="40"/>
  </w:num>
  <w:num w:numId="15" w16cid:durableId="1258633050">
    <w:abstractNumId w:val="51"/>
  </w:num>
  <w:num w:numId="16" w16cid:durableId="1231891928">
    <w:abstractNumId w:val="10"/>
  </w:num>
  <w:num w:numId="17" w16cid:durableId="1932742015">
    <w:abstractNumId w:val="59"/>
  </w:num>
  <w:num w:numId="18" w16cid:durableId="952588491">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9" w16cid:durableId="1059671443">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0" w16cid:durableId="923992200">
    <w:abstractNumId w:val="41"/>
  </w:num>
  <w:num w:numId="21" w16cid:durableId="139467761">
    <w:abstractNumId w:val="38"/>
  </w:num>
  <w:num w:numId="22" w16cid:durableId="587693463">
    <w:abstractNumId w:val="47"/>
  </w:num>
  <w:num w:numId="23" w16cid:durableId="1788885336">
    <w:abstractNumId w:val="48"/>
  </w:num>
  <w:num w:numId="24" w16cid:durableId="369771145">
    <w:abstractNumId w:val="63"/>
  </w:num>
  <w:num w:numId="25" w16cid:durableId="914240390">
    <w:abstractNumId w:val="43"/>
  </w:num>
  <w:num w:numId="26" w16cid:durableId="1809737011">
    <w:abstractNumId w:val="57"/>
  </w:num>
  <w:num w:numId="27" w16cid:durableId="411465550">
    <w:abstractNumId w:val="33"/>
  </w:num>
  <w:num w:numId="28" w16cid:durableId="997804781">
    <w:abstractNumId w:val="56"/>
  </w:num>
  <w:num w:numId="29" w16cid:durableId="788744519">
    <w:abstractNumId w:val="39"/>
  </w:num>
  <w:num w:numId="30" w16cid:durableId="1956133071">
    <w:abstractNumId w:val="61"/>
  </w:num>
  <w:num w:numId="31" w16cid:durableId="540828787">
    <w:abstractNumId w:val="66"/>
  </w:num>
  <w:num w:numId="32" w16cid:durableId="1434788911">
    <w:abstractNumId w:val="55"/>
  </w:num>
  <w:num w:numId="33" w16cid:durableId="1688676911">
    <w:abstractNumId w:val="27"/>
  </w:num>
  <w:num w:numId="34" w16cid:durableId="2127461936">
    <w:abstractNumId w:val="65"/>
  </w:num>
  <w:num w:numId="35" w16cid:durableId="1391927283">
    <w:abstractNumId w:val="44"/>
  </w:num>
  <w:num w:numId="36" w16cid:durableId="1440249898">
    <w:abstractNumId w:val="25"/>
  </w:num>
  <w:num w:numId="37" w16cid:durableId="589587037">
    <w:abstractNumId w:val="14"/>
  </w:num>
  <w:num w:numId="38" w16cid:durableId="1668746453">
    <w:abstractNumId w:val="64"/>
  </w:num>
  <w:num w:numId="39" w16cid:durableId="1757825985">
    <w:abstractNumId w:val="12"/>
  </w:num>
  <w:num w:numId="40" w16cid:durableId="1651519441">
    <w:abstractNumId w:val="31"/>
  </w:num>
  <w:num w:numId="41" w16cid:durableId="791558225">
    <w:abstractNumId w:val="19"/>
  </w:num>
  <w:num w:numId="42" w16cid:durableId="1259215508">
    <w:abstractNumId w:val="32"/>
  </w:num>
  <w:num w:numId="43" w16cid:durableId="1672953278">
    <w:abstractNumId w:val="50"/>
  </w:num>
  <w:num w:numId="44" w16cid:durableId="1972511748">
    <w:abstractNumId w:val="20"/>
  </w:num>
  <w:num w:numId="45" w16cid:durableId="1484273893">
    <w:abstractNumId w:val="18"/>
  </w:num>
  <w:num w:numId="46" w16cid:durableId="1671954596">
    <w:abstractNumId w:val="15"/>
  </w:num>
  <w:num w:numId="47" w16cid:durableId="916784662">
    <w:abstractNumId w:val="17"/>
  </w:num>
  <w:num w:numId="48" w16cid:durableId="843013721">
    <w:abstractNumId w:val="28"/>
  </w:num>
  <w:num w:numId="49" w16cid:durableId="1440444258">
    <w:abstractNumId w:val="53"/>
  </w:num>
  <w:num w:numId="50" w16cid:durableId="1382443251">
    <w:abstractNumId w:val="45"/>
  </w:num>
  <w:num w:numId="51" w16cid:durableId="260375968">
    <w:abstractNumId w:val="24"/>
  </w:num>
  <w:num w:numId="52" w16cid:durableId="101340408">
    <w:abstractNumId w:val="52"/>
  </w:num>
  <w:num w:numId="53" w16cid:durableId="39401030">
    <w:abstractNumId w:val="49"/>
  </w:num>
  <w:num w:numId="54" w16cid:durableId="1411080875">
    <w:abstractNumId w:val="60"/>
  </w:num>
  <w:num w:numId="55" w16cid:durableId="1199635">
    <w:abstractNumId w:val="34"/>
  </w:num>
  <w:num w:numId="56" w16cid:durableId="33118602">
    <w:abstractNumId w:val="62"/>
  </w:num>
  <w:num w:numId="57" w16cid:durableId="1086225923">
    <w:abstractNumId w:val="13"/>
  </w:num>
  <w:num w:numId="58" w16cid:durableId="187838268">
    <w:abstractNumId w:val="23"/>
  </w:num>
  <w:num w:numId="59" w16cid:durableId="1233782580">
    <w:abstractNumId w:val="58"/>
  </w:num>
  <w:num w:numId="60" w16cid:durableId="314996439">
    <w:abstractNumId w:val="42"/>
  </w:num>
  <w:num w:numId="61" w16cid:durableId="1428968234">
    <w:abstractNumId w:val="26"/>
  </w:num>
  <w:num w:numId="62" w16cid:durableId="687489649">
    <w:abstractNumId w:val="54"/>
  </w:num>
  <w:num w:numId="63" w16cid:durableId="511378042">
    <w:abstractNumId w:val="35"/>
  </w:num>
  <w:num w:numId="64" w16cid:durableId="1135172378">
    <w:abstractNumId w:val="46"/>
  </w:num>
  <w:num w:numId="65" w16cid:durableId="940451678">
    <w:abstractNumId w:val="30"/>
  </w:num>
  <w:num w:numId="66" w16cid:durableId="1790278893">
    <w:abstractNumId w:val="37"/>
  </w:num>
  <w:num w:numId="67" w16cid:durableId="1451969815">
    <w:abstractNumId w:val="11"/>
    <w:lvlOverride w:ilvl="0">
      <w:lvl w:ilvl="0">
        <w:numFmt w:val="bullet"/>
        <w:lvlText w:val="-"/>
        <w:legacy w:legacy="1" w:legacySpace="0" w:legacyIndent="360"/>
        <w:lvlJc w:val="left"/>
        <w:pPr>
          <w:ind w:left="360" w:hanging="360"/>
        </w:pPr>
      </w:lvl>
    </w:lvlOverride>
  </w:num>
  <w:num w:numId="68" w16cid:durableId="501286833">
    <w:abstractNumId w:val="21"/>
  </w:num>
  <w:num w:numId="69" w16cid:durableId="1231110177">
    <w:abstractNumId w:val="22"/>
  </w:num>
  <w:num w:numId="70" w16cid:durableId="1993290139">
    <w:abstractNumId w:val="36"/>
  </w:num>
  <w:num w:numId="71" w16cid:durableId="14512395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11_2000-10-04"/>
  </w:docVars>
  <w:rsids>
    <w:rsidRoot w:val="00601D49"/>
    <w:rsid w:val="0008481A"/>
    <w:rsid w:val="003B3271"/>
    <w:rsid w:val="00601D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5:chartTrackingRefBased/>
  <w15:docId w15:val="{60016D12-BF3B-448B-925D-855344BE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spacing w:before="312" w:line="300" w:lineRule="exact"/>
      <w:jc w:val="left"/>
      <w:outlineLvl w:val="0"/>
    </w:pPr>
    <w:rPr>
      <w:sz w:val="28"/>
    </w:rPr>
  </w:style>
  <w:style w:type="paragraph" w:styleId="Rubrik2">
    <w:name w:val="heading 2"/>
    <w:basedOn w:val="Rubrik1"/>
    <w:next w:val="Normal"/>
    <w:qFormat/>
    <w:pPr>
      <w:spacing w:before="356" w:line="256" w:lineRule="exact"/>
      <w:outlineLvl w:val="1"/>
    </w:pPr>
    <w:rPr>
      <w:sz w:val="23"/>
    </w:rPr>
  </w:style>
  <w:style w:type="paragraph" w:styleId="Rubrik3">
    <w:name w:val="heading 3"/>
    <w:basedOn w:val="Rubrik2"/>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4"/>
    <w:next w:val="Normal"/>
    <w:qFormat/>
    <w:pPr>
      <w:outlineLvl w:val="4"/>
    </w:pPr>
    <w:rPr>
      <w:i w:val="0"/>
    </w:rPr>
  </w:style>
  <w:style w:type="paragraph" w:styleId="Rubrik6">
    <w:name w:val="heading 6"/>
    <w:basedOn w:val="Rubrik5"/>
    <w:next w:val="Normal"/>
    <w:qFormat/>
    <w:pPr>
      <w:spacing w:before="340"/>
      <w:outlineLvl w:val="5"/>
    </w:pPr>
  </w:style>
  <w:style w:type="paragraph" w:styleId="Rubrik7">
    <w:name w:val="heading 7"/>
    <w:basedOn w:val="Rubrik6"/>
    <w:next w:val="Normal"/>
    <w:qFormat/>
    <w:pPr>
      <w:spacing w:before="260"/>
      <w:outlineLvl w:val="6"/>
    </w:pPr>
  </w:style>
  <w:style w:type="paragraph" w:styleId="Rubrik8">
    <w:name w:val="heading 8"/>
    <w:basedOn w:val="Rubrik7"/>
    <w:next w:val="Normal"/>
    <w:qFormat/>
    <w:pPr>
      <w:spacing w:before="180"/>
      <w:outlineLvl w:val="7"/>
    </w:pPr>
  </w:style>
  <w:style w:type="paragraph" w:styleId="Rubrik9">
    <w:name w:val="heading 9"/>
    <w:basedOn w:val="Rubrik8"/>
    <w:next w:val="Normal"/>
    <w:qFormat/>
    <w:pPr>
      <w:spacing w:before="100"/>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styleId="Citat">
    <w:name w:val="Quote"/>
    <w:basedOn w:val="Normal"/>
    <w:next w:val="Citatindrag"/>
    <w:qFormat/>
    <w:pPr>
      <w:spacing w:line="200" w:lineRule="exact"/>
    </w:pPr>
  </w:style>
  <w:style w:type="paragraph" w:customStyle="1" w:styleId="Citatindrag">
    <w:name w:val="Citat_indrag"/>
    <w:basedOn w:val="Citat"/>
    <w:pPr>
      <w:spacing w:before="0"/>
      <w:ind w:firstLine="170"/>
    </w:pPr>
  </w:style>
  <w:style w:type="paragraph" w:customStyle="1" w:styleId="FSHNormal">
    <w:name w:val="FSH_Normal"/>
    <w:pPr>
      <w:widowControl w:val="0"/>
      <w:spacing w:before="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LU">
    <w:name w:val="FSH_NormLU"/>
    <w:basedOn w:val="FSHNormal"/>
    <w:pPr>
      <w:keepNext/>
      <w:keepLines/>
      <w:widowControl/>
      <w:pBdr>
        <w:bottom w:val="single" w:sz="4" w:space="1" w:color="auto"/>
      </w:pBdr>
      <w:spacing w:before="600" w:after="60"/>
      <w:ind w:right="-1758"/>
    </w:pPr>
  </w:style>
  <w:style w:type="paragraph" w:customStyle="1" w:styleId="FSHNormLU2">
    <w:name w:val="FSH_NormLU2"/>
    <w:basedOn w:val="FSHNormLU"/>
    <w:pPr>
      <w:ind w:right="0"/>
    </w:pPr>
  </w:style>
  <w:style w:type="paragraph" w:customStyle="1" w:styleId="FSHNormL">
    <w:name w:val="FSH_NormLÖ"/>
    <w:basedOn w:val="FSHNormal"/>
    <w:next w:val="FSHNormal"/>
    <w:pPr>
      <w:pBdr>
        <w:top w:val="single" w:sz="12" w:space="1" w:color="auto"/>
      </w:pBdr>
    </w:pPr>
  </w:style>
  <w:style w:type="paragraph" w:customStyle="1" w:styleId="FSHRub1">
    <w:name w:val="FSH_Rub1"/>
    <w:basedOn w:val="FSHNormal"/>
    <w:next w:val="Normal"/>
    <w:pPr>
      <w:tabs>
        <w:tab w:val="left" w:pos="4678"/>
        <w:tab w:val="right" w:pos="8505"/>
      </w:tabs>
      <w:spacing w:before="2700" w:line="420" w:lineRule="exact"/>
    </w:pPr>
    <w:rPr>
      <w:sz w:val="36"/>
    </w:rPr>
  </w:style>
  <w:style w:type="paragraph" w:customStyle="1" w:styleId="FSHRub2">
    <w:name w:val="FSH_Rub2"/>
    <w:basedOn w:val="FSHRub1"/>
    <w:pPr>
      <w:spacing w:before="120"/>
    </w:p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
    <w:basedOn w:val="Hemstlbyline"/>
    <w:next w:val="Normal"/>
    <w:pPr>
      <w:keepNext w:val="0"/>
      <w:spacing w:before="0"/>
      <w:ind w:left="510" w:firstLine="170"/>
    </w:pPr>
  </w:style>
  <w:style w:type="paragraph" w:customStyle="1" w:styleId="Hemstlrubrik">
    <w:name w:val="Hemstl_rubrik"/>
    <w:basedOn w:val="Rubrik1"/>
    <w:next w:val="Hemstlbyline"/>
  </w:style>
  <w:style w:type="paragraph" w:styleId="Innehll1">
    <w:name w:val="toc 1"/>
    <w:basedOn w:val="Normal"/>
    <w:next w:val="Innehll2"/>
    <w:semiHidden/>
    <w:pPr>
      <w:tabs>
        <w:tab w:val="right" w:leader="dot" w:pos="5896"/>
      </w:tabs>
      <w:suppressAutoHyphens/>
      <w:spacing w:before="0"/>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
    <w:name w:val="Lagtext"/>
    <w:basedOn w:val="Normal"/>
    <w:next w:val="Normal"/>
    <w:rPr>
      <w:i/>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NormalS5vpn">
    <w:name w:val="Normal_S5vpn"/>
    <w:basedOn w:val="Normal"/>
    <w:pPr>
      <w:widowControl w:val="0"/>
      <w:spacing w:before="0"/>
      <w:jc w:val="left"/>
    </w:pPr>
    <w:rPr>
      <w:sz w:val="23"/>
    </w:rPr>
  </w:style>
  <w:style w:type="paragraph" w:customStyle="1" w:styleId="NormalS5vpnbild">
    <w:name w:val="Normal_S5vpn_bild"/>
    <w:rPr>
      <w:sz w:val="22"/>
      <w:lang w:val="sv-SE" w:eastAsia="sv-SE"/>
    </w:r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ind w:left="170" w:hanging="170"/>
    </w:pPr>
  </w:style>
  <w:style w:type="paragraph" w:customStyle="1" w:styleId="PunktlistaTankstreck">
    <w:name w:val="Punktlista_Tankstreck"/>
    <w:aliases w:val="Tankstreck"/>
    <w:basedOn w:val="Normal"/>
    <w:pPr>
      <w:numPr>
        <w:numId w:val="2"/>
      </w:numPr>
      <w:tabs>
        <w:tab w:val="clear" w:pos="360"/>
      </w:tabs>
      <w:spacing w:before="0"/>
    </w:pPr>
  </w:style>
  <w:style w:type="paragraph" w:customStyle="1" w:styleId="TabellRubrik">
    <w:name w:val="TabellRubrik"/>
    <w:basedOn w:val="Normal"/>
    <w:next w:val="Normal"/>
    <w:pPr>
      <w:jc w:val="left"/>
    </w:pPr>
    <w:rPr>
      <w:b/>
    </w:rPr>
  </w:style>
  <w:style w:type="paragraph" w:customStyle="1" w:styleId="Underskrifter">
    <w:name w:val="Underskrifter"/>
    <w:basedOn w:val="Normal"/>
    <w:pPr>
      <w:keepNext/>
      <w:keepLines/>
      <w:suppressAutoHyphens/>
      <w:spacing w:before="240" w:line="240" w:lineRule="auto"/>
    </w:pPr>
    <w:rPr>
      <w:i/>
      <w:sz w:val="21"/>
    </w:rPr>
  </w:style>
  <w:style w:type="paragraph" w:customStyle="1" w:styleId="UnderskriftDatum">
    <w:name w:val="UnderskriftDatum"/>
    <w:basedOn w:val="Underskrifter"/>
    <w:next w:val="Underskrifter"/>
    <w:rPr>
      <w:i w:val="0"/>
      <w:sz w:val="19"/>
    </w:rPr>
  </w:style>
  <w:style w:type="character" w:styleId="Kommentarsreferens">
    <w:name w:val="annotation reference"/>
    <w:basedOn w:val="Standardstycketeckensnitt"/>
    <w:semiHidden/>
    <w:rPr>
      <w:sz w:val="16"/>
    </w:rPr>
  </w:style>
  <w:style w:type="paragraph" w:styleId="Innehll5">
    <w:name w:val="toc 5"/>
    <w:basedOn w:val="Innehll4"/>
    <w:next w:val="Normal"/>
    <w:semiHidden/>
  </w:style>
  <w:style w:type="paragraph" w:styleId="Kommentarer">
    <w:name w:val="annotation text"/>
    <w:basedOn w:val="Normal"/>
    <w:semiHidden/>
    <w:pPr>
      <w:tabs>
        <w:tab w:val="left" w:pos="567"/>
        <w:tab w:val="left" w:pos="3402"/>
      </w:tabs>
      <w:spacing w:before="0" w:line="240" w:lineRule="auto"/>
      <w:jc w:val="left"/>
    </w:pPr>
    <w:rPr>
      <w:sz w:val="20"/>
    </w:rPr>
  </w:style>
  <w:style w:type="paragraph" w:customStyle="1" w:styleId="Mellanrubrik">
    <w:name w:val="Mellanrubrik"/>
    <w:basedOn w:val="Normal"/>
    <w:next w:val="Normal"/>
    <w:pPr>
      <w:tabs>
        <w:tab w:val="left" w:pos="567"/>
        <w:tab w:val="left" w:pos="3402"/>
      </w:tabs>
      <w:spacing w:before="240" w:after="120" w:line="240" w:lineRule="auto"/>
      <w:jc w:val="left"/>
    </w:pPr>
    <w:rPr>
      <w:b/>
      <w:sz w:val="24"/>
    </w:rPr>
  </w:style>
  <w:style w:type="paragraph" w:customStyle="1" w:styleId="KursivRubrik">
    <w:name w:val="KursivRubrik"/>
    <w:basedOn w:val="Normal"/>
    <w:next w:val="Normal"/>
    <w:pPr>
      <w:tabs>
        <w:tab w:val="left" w:pos="567"/>
        <w:tab w:val="left" w:pos="3402"/>
      </w:tabs>
      <w:spacing w:before="240" w:after="60" w:line="240" w:lineRule="auto"/>
      <w:jc w:val="left"/>
    </w:pPr>
    <w:rPr>
      <w:i/>
      <w:sz w:val="24"/>
    </w:rPr>
  </w:style>
  <w:style w:type="paragraph" w:customStyle="1" w:styleId="Huvudrubrik">
    <w:name w:val="Huvudrubrik"/>
    <w:basedOn w:val="Normal"/>
    <w:next w:val="Normal"/>
    <w:pPr>
      <w:tabs>
        <w:tab w:val="left" w:pos="567"/>
        <w:tab w:val="left" w:pos="3402"/>
      </w:tabs>
      <w:spacing w:before="240" w:after="240" w:line="240" w:lineRule="auto"/>
      <w:jc w:val="left"/>
    </w:pPr>
    <w:rPr>
      <w:b/>
      <w:sz w:val="24"/>
      <w:u w:val="single"/>
    </w:rPr>
  </w:style>
  <w:style w:type="paragraph" w:customStyle="1" w:styleId="Packad">
    <w:name w:val="Packad"/>
    <w:basedOn w:val="Normal"/>
    <w:pPr>
      <w:tabs>
        <w:tab w:val="left" w:pos="567"/>
        <w:tab w:val="left" w:pos="3402"/>
      </w:tabs>
      <w:spacing w:before="0" w:line="240" w:lineRule="auto"/>
      <w:jc w:val="left"/>
    </w:pPr>
    <w:rPr>
      <w:sz w:val="20"/>
    </w:rPr>
  </w:style>
  <w:style w:type="paragraph" w:customStyle="1" w:styleId="PackadFetRubrik">
    <w:name w:val="PackadFetRubrik"/>
    <w:basedOn w:val="Packad"/>
    <w:next w:val="Packad"/>
    <w:pPr>
      <w:spacing w:before="240" w:after="120"/>
    </w:pPr>
    <w:rPr>
      <w:b/>
    </w:rPr>
  </w:style>
  <w:style w:type="paragraph" w:customStyle="1" w:styleId="PackadKursivRubrik">
    <w:name w:val="PackadKursivRubrik"/>
    <w:basedOn w:val="Packad"/>
    <w:next w:val="Packad"/>
    <w:pPr>
      <w:spacing w:before="240" w:after="60"/>
    </w:pPr>
    <w:rPr>
      <w:i/>
    </w:rPr>
  </w:style>
  <w:style w:type="paragraph" w:customStyle="1" w:styleId="Beslutrubrik">
    <w:name w:val="Beslutrubrik"/>
    <w:basedOn w:val="Normal"/>
    <w:pPr>
      <w:tabs>
        <w:tab w:val="left" w:pos="567"/>
        <w:tab w:val="left" w:pos="3402"/>
      </w:tabs>
      <w:spacing w:before="240" w:after="80" w:line="240" w:lineRule="auto"/>
      <w:jc w:val="left"/>
    </w:pPr>
    <w:rPr>
      <w:caps/>
      <w:sz w:val="28"/>
    </w:rPr>
  </w:style>
  <w:style w:type="paragraph" w:customStyle="1" w:styleId="BeslutDnr">
    <w:name w:val="BeslutDnr"/>
    <w:basedOn w:val="Normal"/>
    <w:pPr>
      <w:tabs>
        <w:tab w:val="left" w:pos="567"/>
        <w:tab w:val="left" w:pos="3402"/>
      </w:tabs>
      <w:spacing w:before="0" w:line="240" w:lineRule="auto"/>
      <w:jc w:val="left"/>
    </w:pPr>
    <w:rPr>
      <w:sz w:val="20"/>
    </w:rPr>
  </w:style>
  <w:style w:type="paragraph" w:customStyle="1" w:styleId="Beslutdatum">
    <w:name w:val="Beslutdatum"/>
    <w:basedOn w:val="Normal"/>
    <w:pPr>
      <w:tabs>
        <w:tab w:val="left" w:pos="567"/>
        <w:tab w:val="left" w:pos="3402"/>
      </w:tabs>
      <w:spacing w:before="0" w:line="240" w:lineRule="auto"/>
      <w:jc w:val="left"/>
    </w:pPr>
    <w:rPr>
      <w:sz w:val="20"/>
    </w:rPr>
  </w:style>
  <w:style w:type="character" w:styleId="Sidnummer">
    <w:name w:val="page number"/>
    <w:basedOn w:val="Standardstycketeckensnitt"/>
    <w:semiHidden/>
  </w:style>
  <w:style w:type="paragraph" w:customStyle="1" w:styleId="innehJO">
    <w:name w:val="inneh_JO"/>
    <w:basedOn w:val="Normal"/>
    <w:pPr>
      <w:tabs>
        <w:tab w:val="right" w:leader="dot" w:pos="5046"/>
        <w:tab w:val="right" w:pos="5812"/>
      </w:tabs>
      <w:ind w:left="170" w:right="851"/>
    </w:pPr>
  </w:style>
  <w:style w:type="paragraph" w:customStyle="1" w:styleId="Ingetformat">
    <w:name w:val="Inget format"/>
    <w:pPr>
      <w:framePr w:w="1701" w:hSpace="284" w:wrap="notBeside" w:vAnchor="page" w:hAnchor="page" w:x="6914" w:y="3601" w:anchorLock="1"/>
    </w:pPr>
    <w:rPr>
      <w:noProof/>
      <w:sz w:val="24"/>
    </w:rPr>
  </w:style>
  <w:style w:type="paragraph" w:customStyle="1" w:styleId="SidhuvudFVapen">
    <w:name w:val="SidhuvudFVapen"/>
    <w:basedOn w:val="Normal"/>
    <w:pPr>
      <w:framePr w:w="1701" w:hSpace="284" w:wrap="notBeside" w:vAnchor="page" w:hAnchor="page" w:xAlign="outside" w:y="3573" w:anchorLock="1"/>
      <w:tabs>
        <w:tab w:val="center" w:pos="4252"/>
        <w:tab w:val="right" w:pos="8504"/>
      </w:tabs>
      <w:spacing w:before="0" w:line="230" w:lineRule="exact"/>
      <w:ind w:right="113"/>
      <w:jc w:val="left"/>
    </w:pPr>
    <w:rPr>
      <w:sz w:val="23"/>
    </w:rPr>
  </w:style>
  <w:style w:type="paragraph" w:styleId="Brdtext">
    <w:name w:val="Body Text"/>
    <w:basedOn w:val="Normal"/>
    <w:semiHidden/>
    <w:pPr>
      <w:tabs>
        <w:tab w:val="left" w:pos="567"/>
        <w:tab w:val="left" w:pos="3402"/>
      </w:tabs>
      <w:spacing w:line="240" w:lineRule="auto"/>
    </w:pPr>
    <w:rPr>
      <w:sz w:val="22"/>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after="140" w:line="280" w:lineRule="atLeast"/>
    </w:pPr>
    <w:rPr>
      <w:rFonts w:ascii="AGaramond" w:hAnsi="AGaramond"/>
      <w:sz w:val="20"/>
    </w:rPr>
  </w:style>
  <w:style w:type="paragraph" w:customStyle="1" w:styleId="SidhuvudFText">
    <w:name w:val="SidhuvudFText"/>
    <w:pPr>
      <w:framePr w:hSpace="284" w:wrap="notBeside" w:vAnchor="page" w:hAnchor="text" w:y="3970" w:anchorLock="1"/>
      <w:tabs>
        <w:tab w:val="center" w:pos="4252"/>
        <w:tab w:val="right" w:pos="8504"/>
      </w:tabs>
      <w:spacing w:line="240" w:lineRule="exact"/>
      <w:ind w:right="113"/>
    </w:pPr>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7.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276568</Words>
  <Characters>1612393</Characters>
  <Application>Microsoft Office Word</Application>
  <DocSecurity>4</DocSecurity>
  <Lines>29859</Lines>
  <Paragraphs>8038</Paragraphs>
  <ScaleCrop>false</ScaleCrop>
  <HeadingPairs>
    <vt:vector size="2" baseType="variant">
      <vt:variant>
        <vt:lpstr>Title</vt:lpstr>
      </vt:variant>
      <vt:variant>
        <vt:i4>1</vt:i4>
      </vt:variant>
    </vt:vector>
  </HeadingPairs>
  <TitlesOfParts>
    <vt:vector size="1" baseType="lpstr">
      <vt:lpstr> Åtal mot en domare med anledning av hans handläggning av ett antal tvistemål</vt:lpstr>
    </vt:vector>
  </TitlesOfParts>
  <Company>RD/RFK/DTSL</Company>
  <LinksUpToDate>false</LinksUpToDate>
  <CharactersWithSpaces>1880923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Åtal mot en domare med anledning av hans handläggning av ett antal tvistemål</dc:title>
  <dc:subject> Åtal mot en domare med anledning av hans handläggning av ett antal tvistemål</dc:subject>
  <dc:creator>Riksdagen</dc:creator>
  <cp:keywords>Riksdagen</cp:keywords>
  <dc:description/>
  <cp:lastModifiedBy>Lars Brink</cp:lastModifiedBy>
  <cp:revision>2</cp:revision>
  <cp:lastPrinted>2000-10-04T11:41:00Z</cp:lastPrinted>
  <dcterms:created xsi:type="dcterms:W3CDTF">2025-12-15T23:49:00Z</dcterms:created>
  <dcterms:modified xsi:type="dcterms:W3CDTF">2025-12-15T23:49:00Z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mot2000_311_2000-10-04</vt:lpwstr>
  </property>
  <property fmtid="{D5CDD505-2E9C-101B-9397-08002B2CF9AE}" pid="3" name="Sekr">
    <vt:lpwstr>Tryck</vt:lpwstr>
  </property>
  <property fmtid="{D5CDD505-2E9C-101B-9397-08002B2CF9AE}" pid="4" name="Yearstd">
    <vt:lpwstr>2000/01</vt:lpwstr>
  </property>
  <property fmtid="{D5CDD505-2E9C-101B-9397-08002B2CF9AE}" pid="5" name="YearUser">
    <vt:lpwstr>2000/01:JO1</vt:lpwstr>
  </property>
  <property fmtid="{D5CDD505-2E9C-101B-9397-08002B2CF9AE}" pid="6" name="Status">
    <vt:lpwstr>Pågår</vt:lpwstr>
  </property>
  <property fmtid="{D5CDD505-2E9C-101B-9397-08002B2CF9AE}" pid="7" name="SvarFras">
    <vt:lpwstr/>
  </property>
  <property fmtid="{D5CDD505-2E9C-101B-9397-08002B2CF9AE}" pid="8" name="Svar">
    <vt:lpwstr/>
  </property>
  <property fmtid="{D5CDD505-2E9C-101B-9397-08002B2CF9AE}" pid="9" name="SvarNr">
    <vt:lpwstr/>
  </property>
  <property fmtid="{D5CDD505-2E9C-101B-9397-08002B2CF9AE}" pid="10" name="RubrikSvar">
    <vt:lpwstr/>
  </property>
  <property fmtid="{D5CDD505-2E9C-101B-9397-08002B2CF9AE}" pid="11" name="MotTyp">
    <vt:lpwstr>Enskild motion</vt:lpwstr>
  </property>
  <property fmtid="{D5CDD505-2E9C-101B-9397-08002B2CF9AE}" pid="12" name="Partinummer">
    <vt:lpwstr/>
  </property>
  <property fmtid="{D5CDD505-2E9C-101B-9397-08002B2CF9AE}" pid="13" name="ArbRubr">
    <vt:lpwstr/>
  </property>
  <property fmtid="{D5CDD505-2E9C-101B-9397-08002B2CF9AE}" pid="14" name="Partilogo">
    <vt:lpwstr>-</vt:lpwstr>
  </property>
  <property fmtid="{D5CDD505-2E9C-101B-9397-08002B2CF9AE}" pid="15" name="AntalParti">
    <vt:lpwstr>0</vt:lpwstr>
  </property>
  <property fmtid="{D5CDD505-2E9C-101B-9397-08002B2CF9AE}" pid="16" name="AntalMot">
    <vt:lpwstr>0</vt:lpwstr>
  </property>
  <property fmtid="{D5CDD505-2E9C-101B-9397-08002B2CF9AE}" pid="17" name="MotionarText">
    <vt:lpwstr/>
  </property>
  <property fmtid="{D5CDD505-2E9C-101B-9397-08002B2CF9AE}" pid="18" name="MotionarLista">
    <vt:lpwstr/>
  </property>
  <property fmtid="{D5CDD505-2E9C-101B-9397-08002B2CF9AE}" pid="19" name="MotionarLista1">
    <vt:lpwstr/>
  </property>
  <property fmtid="{D5CDD505-2E9C-101B-9397-08002B2CF9AE}" pid="20" name="MotionarLista2">
    <vt:lpwstr/>
  </property>
  <property fmtid="{D5CDD505-2E9C-101B-9397-08002B2CF9AE}" pid="21" name="MotionarLista3">
    <vt:lpwstr/>
  </property>
  <property fmtid="{D5CDD505-2E9C-101B-9397-08002B2CF9AE}" pid="22" name="MotionarLotus">
    <vt:lpwstr/>
  </property>
  <property fmtid="{D5CDD505-2E9C-101B-9397-08002B2CF9AE}" pid="23" name="MotionarLotus1">
    <vt:lpwstr/>
  </property>
  <property fmtid="{D5CDD505-2E9C-101B-9397-08002B2CF9AE}" pid="24" name="MotionarLotus2">
    <vt:lpwstr/>
  </property>
  <property fmtid="{D5CDD505-2E9C-101B-9397-08002B2CF9AE}" pid="25" name="MotionarLotus3">
    <vt:lpwstr/>
  </property>
  <property fmtid="{D5CDD505-2E9C-101B-9397-08002B2CF9AE}" pid="26" name="PartiVal">
    <vt:lpwstr>-</vt:lpwstr>
  </property>
  <property fmtid="{D5CDD505-2E9C-101B-9397-08002B2CF9AE}" pid="27" name="AntalLed">
    <vt:lpwstr>0</vt:lpwstr>
  </property>
  <property fmtid="{D5CDD505-2E9C-101B-9397-08002B2CF9AE}" pid="28" name="Samling">
    <vt:lpwstr/>
  </property>
  <property fmtid="{D5CDD505-2E9C-101B-9397-08002B2CF9AE}" pid="29" name="SamlingPrint">
    <vt:lpwstr/>
  </property>
  <property fmtid="{D5CDD505-2E9C-101B-9397-08002B2CF9AE}" pid="30" name="Motionsnummer">
    <vt:lpwstr/>
  </property>
  <property fmtid="{D5CDD505-2E9C-101B-9397-08002B2CF9AE}" pid="31" name="SidStart">
    <vt:lpwstr>1</vt:lpwstr>
  </property>
  <property fmtid="{D5CDD505-2E9C-101B-9397-08002B2CF9AE}" pid="32" name="SidSlut">
    <vt:lpwstr/>
  </property>
  <property fmtid="{D5CDD505-2E9C-101B-9397-08002B2CF9AE}" pid="33" name="FlerPartier">
    <vt:lpwstr/>
  </property>
  <property fmtid="{D5CDD505-2E9C-101B-9397-08002B2CF9AE}" pid="34" name="DokFormat">
    <vt:lpwstr>S5</vt:lpwstr>
  </property>
  <property fmtid="{D5CDD505-2E9C-101B-9397-08002B2CF9AE}" pid="35" name="SignDat">
    <vt:lpwstr/>
  </property>
  <property fmtid="{D5CDD505-2E9C-101B-9397-08002B2CF9AE}" pid="36" name="MotTypXML">
    <vt:lpwstr>enskild</vt:lpwstr>
  </property>
  <property fmtid="{D5CDD505-2E9C-101B-9397-08002B2CF9AE}" pid="37" name="SvarFrasKort">
    <vt:lpwstr/>
  </property>
</Properties>
</file>