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031127" w:rsidRPr="00462BA4" w:rsidRDefault="00031127" w:rsidP="0096348C">
      <w:pPr>
        <w:rPr>
          <w:szCs w:val="24"/>
        </w:rPr>
      </w:pPr>
    </w:p>
    <w:p w:rsidR="00CE5AE3" w:rsidRPr="00462BA4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6F5B63">
              <w:rPr>
                <w:b/>
                <w:szCs w:val="24"/>
              </w:rPr>
              <w:t>2</w:t>
            </w:r>
            <w:r w:rsidR="00D955EF">
              <w:rPr>
                <w:b/>
                <w:szCs w:val="24"/>
              </w:rPr>
              <w:t>6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314E08">
              <w:rPr>
                <w:szCs w:val="24"/>
              </w:rPr>
              <w:t>3</w:t>
            </w:r>
            <w:r w:rsidR="00222310" w:rsidRPr="00462BA4">
              <w:rPr>
                <w:szCs w:val="24"/>
              </w:rPr>
              <w:t>-</w:t>
            </w:r>
            <w:r w:rsidR="00314E08">
              <w:rPr>
                <w:szCs w:val="24"/>
              </w:rPr>
              <w:t>1</w:t>
            </w:r>
            <w:r w:rsidR="00D955EF">
              <w:rPr>
                <w:szCs w:val="24"/>
              </w:rPr>
              <w:t>9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9F74ED" w:rsidP="00EE1733">
            <w:pPr>
              <w:rPr>
                <w:szCs w:val="24"/>
              </w:rPr>
            </w:pPr>
            <w:r w:rsidRPr="00B8211C">
              <w:rPr>
                <w:szCs w:val="24"/>
              </w:rPr>
              <w:t>1</w:t>
            </w:r>
            <w:r w:rsidR="00D955EF">
              <w:rPr>
                <w:szCs w:val="24"/>
              </w:rPr>
              <w:t>0</w:t>
            </w:r>
            <w:r w:rsidR="0024734C" w:rsidRPr="00B8211C">
              <w:rPr>
                <w:szCs w:val="24"/>
              </w:rPr>
              <w:t>.</w:t>
            </w:r>
            <w:r w:rsidR="00D955EF">
              <w:rPr>
                <w:szCs w:val="24"/>
              </w:rPr>
              <w:t>15</w:t>
            </w:r>
            <w:r w:rsidR="00953995" w:rsidRPr="00B8211C">
              <w:rPr>
                <w:szCs w:val="24"/>
              </w:rPr>
              <w:t>–</w:t>
            </w:r>
            <w:r w:rsidR="00B8211C" w:rsidRPr="00B8211C">
              <w:rPr>
                <w:szCs w:val="24"/>
              </w:rPr>
              <w:t>1</w:t>
            </w:r>
            <w:r w:rsidR="00D955EF">
              <w:rPr>
                <w:szCs w:val="24"/>
              </w:rPr>
              <w:t>1</w:t>
            </w:r>
            <w:r w:rsidR="00A14E4B" w:rsidRPr="00B8211C">
              <w:rPr>
                <w:szCs w:val="24"/>
              </w:rPr>
              <w:t>.</w:t>
            </w:r>
            <w:r w:rsidR="00D955EF">
              <w:rPr>
                <w:szCs w:val="24"/>
              </w:rPr>
              <w:t>3</w:t>
            </w:r>
            <w:r w:rsidR="009C39BC" w:rsidRPr="00B8211C">
              <w:rPr>
                <w:szCs w:val="24"/>
              </w:rPr>
              <w:t>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5224CB" w:rsidRDefault="005224CB" w:rsidP="00D15874">
      <w:pPr>
        <w:tabs>
          <w:tab w:val="left" w:pos="1418"/>
        </w:tabs>
        <w:rPr>
          <w:snapToGrid w:val="0"/>
          <w:szCs w:val="24"/>
        </w:rPr>
      </w:pPr>
    </w:p>
    <w:p w:rsidR="00BC0A2E" w:rsidRPr="00462BA4" w:rsidRDefault="00BC0A2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462BA4" w:rsidTr="00B10A33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956E1B" w:rsidRPr="00F72D48" w:rsidRDefault="00956E1B" w:rsidP="00956E1B">
            <w:pPr>
              <w:rPr>
                <w:b/>
                <w:bCs/>
                <w:szCs w:val="24"/>
              </w:rPr>
            </w:pPr>
            <w:r w:rsidRPr="00F72D48">
              <w:rPr>
                <w:b/>
                <w:bCs/>
                <w:szCs w:val="24"/>
              </w:rPr>
              <w:t xml:space="preserve">Medgivande att vara </w:t>
            </w:r>
            <w:r w:rsidR="00886DD1" w:rsidRPr="00F72D48">
              <w:rPr>
                <w:b/>
                <w:bCs/>
                <w:szCs w:val="24"/>
              </w:rPr>
              <w:t>uppkopplad</w:t>
            </w:r>
            <w:r w:rsidR="00091C4D" w:rsidRPr="00F72D48">
              <w:rPr>
                <w:b/>
                <w:bCs/>
                <w:szCs w:val="24"/>
              </w:rPr>
              <w:t>e</w:t>
            </w:r>
            <w:r w:rsidR="00886DD1" w:rsidRPr="00F72D48">
              <w:rPr>
                <w:b/>
                <w:bCs/>
                <w:szCs w:val="24"/>
              </w:rPr>
              <w:t xml:space="preserve"> per</w:t>
            </w:r>
            <w:r w:rsidRPr="00F72D48">
              <w:rPr>
                <w:b/>
                <w:bCs/>
                <w:szCs w:val="24"/>
              </w:rPr>
              <w:t xml:space="preserve"> telefon</w:t>
            </w:r>
          </w:p>
          <w:p w:rsidR="00956E1B" w:rsidRPr="00F72D48" w:rsidRDefault="00956E1B" w:rsidP="00956E1B">
            <w:pPr>
              <w:rPr>
                <w:bCs/>
                <w:szCs w:val="24"/>
              </w:rPr>
            </w:pPr>
          </w:p>
          <w:p w:rsidR="00956E1B" w:rsidRPr="00F72D48" w:rsidRDefault="00D73805" w:rsidP="00956E1B">
            <w:pPr>
              <w:rPr>
                <w:bCs/>
                <w:szCs w:val="24"/>
              </w:rPr>
            </w:pP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beslutade att tillåta följande ordinarie ledamöter och suppleanter att vara uppkopplade per telefon: </w:t>
            </w:r>
            <w:r w:rsidR="00886DD1" w:rsidRPr="00F72D48">
              <w:rPr>
                <w:bCs/>
                <w:szCs w:val="24"/>
              </w:rPr>
              <w:t xml:space="preserve">Ann-Christin Ahlberg (S), </w:t>
            </w:r>
            <w:r w:rsidR="00F72D48" w:rsidRPr="00F72D48">
              <w:rPr>
                <w:bCs/>
                <w:szCs w:val="24"/>
              </w:rPr>
              <w:t xml:space="preserve">Johan Hultberg (M), Per Ramhorn (SD), </w:t>
            </w:r>
            <w:r w:rsidR="00886DD1" w:rsidRPr="00F72D48">
              <w:rPr>
                <w:bCs/>
                <w:szCs w:val="24"/>
              </w:rPr>
              <w:t xml:space="preserve">Mikael Dahlqvist (S), Ulrika Heindorff (M), Yasmine Bladelius (S), </w:t>
            </w:r>
            <w:r w:rsidR="00F72D48" w:rsidRPr="00F72D48">
              <w:rPr>
                <w:bCs/>
                <w:szCs w:val="24"/>
              </w:rPr>
              <w:t xml:space="preserve">Lina Nordquist (L), Christina Östberg (SD), </w:t>
            </w:r>
            <w:r w:rsidR="00886DD1" w:rsidRPr="00F72D48">
              <w:rPr>
                <w:bCs/>
                <w:szCs w:val="24"/>
              </w:rPr>
              <w:t xml:space="preserve">Pernilla Stålhammar (MP), Mats Wiking (S), </w:t>
            </w:r>
            <w:r w:rsidR="00F72D48" w:rsidRPr="00F72D48">
              <w:rPr>
                <w:bCs/>
                <w:szCs w:val="24"/>
              </w:rPr>
              <w:t>Ulrika Jörgensen (M), Clara Aranda (SD)</w:t>
            </w:r>
            <w:r w:rsidR="00886DD1" w:rsidRPr="00F72D48">
              <w:rPr>
                <w:bCs/>
                <w:szCs w:val="24"/>
              </w:rPr>
              <w:t xml:space="preserve">, Barbro Westerholm (L), </w:t>
            </w:r>
            <w:r w:rsidR="00F72D48" w:rsidRPr="00F72D48">
              <w:rPr>
                <w:bCs/>
                <w:szCs w:val="24"/>
              </w:rPr>
              <w:t>Marie-Louise Hänel Sandström</w:t>
            </w:r>
            <w:r w:rsidR="00886DD1" w:rsidRPr="00F72D48">
              <w:rPr>
                <w:bCs/>
                <w:szCs w:val="24"/>
              </w:rPr>
              <w:t xml:space="preserve"> (</w:t>
            </w:r>
            <w:r w:rsidR="00F72D48" w:rsidRPr="00F72D48">
              <w:rPr>
                <w:bCs/>
                <w:szCs w:val="24"/>
              </w:rPr>
              <w:t>M</w:t>
            </w:r>
            <w:r w:rsidR="00886DD1" w:rsidRPr="00F72D48">
              <w:rPr>
                <w:bCs/>
                <w:szCs w:val="24"/>
              </w:rPr>
              <w:t>), Johanna Jönsson (C), Cecilia Engström (KD)</w:t>
            </w:r>
            <w:r w:rsidR="00956E1B" w:rsidRPr="00F72D48">
              <w:rPr>
                <w:bCs/>
                <w:szCs w:val="24"/>
              </w:rPr>
              <w:t>.</w:t>
            </w:r>
          </w:p>
          <w:p w:rsidR="00956E1B" w:rsidRPr="00F72D4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9395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6F5B63" w:rsidRDefault="006F5B63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6F5B63" w:rsidRDefault="006F5B63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F5B63" w:rsidRDefault="006F5B63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6408F">
              <w:rPr>
                <w:bCs/>
                <w:color w:val="000000"/>
                <w:szCs w:val="24"/>
              </w:rPr>
              <w:t>U</w:t>
            </w:r>
            <w:r>
              <w:rPr>
                <w:bCs/>
                <w:color w:val="000000"/>
                <w:szCs w:val="24"/>
              </w:rPr>
              <w:t>tskottet justerade protokoll</w:t>
            </w:r>
            <w:r w:rsidR="0059527C">
              <w:rPr>
                <w:bCs/>
                <w:color w:val="000000"/>
                <w:szCs w:val="24"/>
              </w:rPr>
              <w:t>en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59527C">
              <w:rPr>
                <w:bCs/>
                <w:color w:val="000000"/>
                <w:szCs w:val="24"/>
              </w:rPr>
              <w:t>2019/20:2</w:t>
            </w:r>
            <w:r w:rsidR="00F9395D">
              <w:rPr>
                <w:bCs/>
                <w:color w:val="000000"/>
                <w:szCs w:val="24"/>
              </w:rPr>
              <w:t>5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8005DF" w:rsidRPr="008005DF" w:rsidRDefault="008005DF" w:rsidP="006F5B63">
            <w:pPr>
              <w:rPr>
                <w:b/>
                <w:bCs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9395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F9395D" w:rsidRDefault="00F9395D" w:rsidP="00F9395D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Apoteks- och läkemedelsfrågor (SoU6)</w:t>
            </w:r>
          </w:p>
          <w:p w:rsidR="00005DCB" w:rsidRDefault="00005DCB" w:rsidP="006F5B63">
            <w:pPr>
              <w:rPr>
                <w:b/>
                <w:bCs/>
                <w:szCs w:val="24"/>
              </w:rPr>
            </w:pPr>
          </w:p>
          <w:p w:rsidR="000D49A9" w:rsidRPr="000D49A9" w:rsidRDefault="000D49A9" w:rsidP="000D49A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E078F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7E078F">
              <w:rPr>
                <w:bCs/>
                <w:szCs w:val="24"/>
              </w:rPr>
              <w:t xml:space="preserve"> motioner </w:t>
            </w:r>
            <w:r w:rsidRPr="009F2CDF">
              <w:rPr>
                <w:bCs/>
                <w:szCs w:val="24"/>
              </w:rPr>
              <w:t xml:space="preserve">om </w:t>
            </w:r>
            <w:r>
              <w:rPr>
                <w:bCs/>
                <w:szCs w:val="24"/>
              </w:rPr>
              <w:t>a</w:t>
            </w:r>
            <w:r w:rsidRPr="000D49A9">
              <w:rPr>
                <w:bCs/>
                <w:szCs w:val="24"/>
              </w:rPr>
              <w:t>poteks- och läkemedelsfrågor.</w:t>
            </w:r>
          </w:p>
          <w:p w:rsidR="000D49A9" w:rsidRDefault="000D49A9" w:rsidP="000D49A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D49A9" w:rsidRPr="0086408F" w:rsidRDefault="000D49A9" w:rsidP="000D49A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2019/</w:t>
            </w:r>
            <w:proofErr w:type="gramStart"/>
            <w:r>
              <w:rPr>
                <w:bCs/>
                <w:szCs w:val="24"/>
              </w:rPr>
              <w:t>20:SoU</w:t>
            </w:r>
            <w:proofErr w:type="gramEnd"/>
            <w:r>
              <w:rPr>
                <w:bCs/>
                <w:szCs w:val="24"/>
              </w:rPr>
              <w:t>6</w:t>
            </w:r>
            <w:r w:rsidRPr="0086408F">
              <w:rPr>
                <w:snapToGrid w:val="0"/>
              </w:rPr>
              <w:t xml:space="preserve">. </w:t>
            </w:r>
          </w:p>
          <w:p w:rsidR="000D49A9" w:rsidRDefault="000D49A9" w:rsidP="000D49A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49A9" w:rsidRPr="00113070" w:rsidRDefault="000D49A9" w:rsidP="000D49A9">
            <w:pPr>
              <w:rPr>
                <w:szCs w:val="24"/>
              </w:rPr>
            </w:pPr>
            <w:r w:rsidRPr="00113070">
              <w:rPr>
                <w:szCs w:val="24"/>
              </w:rPr>
              <w:t xml:space="preserve">M-, SD-, C-, V-, KD- och L-ledamöterna anmälde reservationer. </w:t>
            </w:r>
          </w:p>
          <w:p w:rsidR="000D49A9" w:rsidRPr="00113070" w:rsidRDefault="000D49A9" w:rsidP="000D49A9">
            <w:pPr>
              <w:rPr>
                <w:szCs w:val="24"/>
              </w:rPr>
            </w:pPr>
            <w:r w:rsidRPr="00113070">
              <w:rPr>
                <w:szCs w:val="24"/>
              </w:rPr>
              <w:t>M-, SD-, C-, KD- och L-ledamöterna anmälde särskilda yttranden.</w:t>
            </w:r>
          </w:p>
          <w:p w:rsidR="006F5B63" w:rsidRPr="008005DF" w:rsidRDefault="006F5B63" w:rsidP="006F5B63">
            <w:pPr>
              <w:rPr>
                <w:b/>
                <w:bCs/>
                <w:szCs w:val="24"/>
              </w:rPr>
            </w:pPr>
          </w:p>
        </w:tc>
      </w:tr>
      <w:tr w:rsidR="00F9395D" w:rsidRPr="00462BA4" w:rsidTr="00B10A33">
        <w:tc>
          <w:tcPr>
            <w:tcW w:w="567" w:type="dxa"/>
          </w:tcPr>
          <w:p w:rsidR="00F9395D" w:rsidRDefault="00F9395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:rsidR="00F9395D" w:rsidRDefault="00F9395D" w:rsidP="006F5B63">
            <w:pPr>
              <w:rPr>
                <w:b/>
                <w:bCs/>
                <w:szCs w:val="24"/>
              </w:rPr>
            </w:pPr>
            <w:r w:rsidRPr="00F9395D">
              <w:rPr>
                <w:b/>
                <w:bCs/>
                <w:szCs w:val="24"/>
              </w:rPr>
              <w:t>Frågor om psykisk hälsa (SoU10)</w:t>
            </w:r>
          </w:p>
          <w:p w:rsidR="0067135A" w:rsidRDefault="0067135A" w:rsidP="000D49A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D49A9" w:rsidRPr="000D49A9" w:rsidRDefault="000D49A9" w:rsidP="000D49A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E078F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7E078F">
              <w:rPr>
                <w:bCs/>
                <w:szCs w:val="24"/>
              </w:rPr>
              <w:t xml:space="preserve"> motioner </w:t>
            </w:r>
            <w:r w:rsidRPr="009F2CDF">
              <w:rPr>
                <w:bCs/>
                <w:szCs w:val="24"/>
              </w:rPr>
              <w:t xml:space="preserve">om </w:t>
            </w:r>
            <w:r>
              <w:rPr>
                <w:bCs/>
                <w:szCs w:val="24"/>
              </w:rPr>
              <w:t>f</w:t>
            </w:r>
            <w:r w:rsidRPr="000D49A9">
              <w:rPr>
                <w:bCs/>
                <w:szCs w:val="24"/>
              </w:rPr>
              <w:t>rågor om psykisk hälsa.</w:t>
            </w:r>
          </w:p>
          <w:p w:rsidR="000D49A9" w:rsidRDefault="000D49A9" w:rsidP="000D49A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D49A9" w:rsidRPr="0086408F" w:rsidRDefault="000D49A9" w:rsidP="000D49A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2019/</w:t>
            </w:r>
            <w:proofErr w:type="gramStart"/>
            <w:r>
              <w:rPr>
                <w:bCs/>
                <w:szCs w:val="24"/>
              </w:rPr>
              <w:t>20:SoU</w:t>
            </w:r>
            <w:proofErr w:type="gramEnd"/>
            <w:r>
              <w:rPr>
                <w:bCs/>
                <w:szCs w:val="24"/>
              </w:rPr>
              <w:t>10</w:t>
            </w:r>
            <w:r w:rsidRPr="0086408F">
              <w:rPr>
                <w:snapToGrid w:val="0"/>
              </w:rPr>
              <w:t xml:space="preserve">. </w:t>
            </w:r>
          </w:p>
          <w:p w:rsidR="000D49A9" w:rsidRDefault="000D49A9" w:rsidP="000D49A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49A9" w:rsidRPr="00113070" w:rsidRDefault="000D49A9" w:rsidP="000D49A9">
            <w:pPr>
              <w:rPr>
                <w:szCs w:val="24"/>
              </w:rPr>
            </w:pPr>
            <w:r w:rsidRPr="00113070">
              <w:rPr>
                <w:szCs w:val="24"/>
              </w:rPr>
              <w:t xml:space="preserve">M-, SD- och L-ledamöterna anmälde reservationer. </w:t>
            </w:r>
          </w:p>
          <w:p w:rsidR="000D49A9" w:rsidRPr="00113070" w:rsidRDefault="000D49A9" w:rsidP="000D49A9">
            <w:pPr>
              <w:rPr>
                <w:szCs w:val="24"/>
              </w:rPr>
            </w:pPr>
            <w:r w:rsidRPr="00113070">
              <w:rPr>
                <w:szCs w:val="24"/>
              </w:rPr>
              <w:t>M-, SD-, C-</w:t>
            </w:r>
            <w:r w:rsidR="005330EB">
              <w:rPr>
                <w:szCs w:val="24"/>
              </w:rPr>
              <w:t>,</w:t>
            </w:r>
            <w:r w:rsidRPr="00113070">
              <w:rPr>
                <w:szCs w:val="24"/>
              </w:rPr>
              <w:t xml:space="preserve"> KD- och L-ledamöterna anmälde särskilda yttranden.</w:t>
            </w:r>
          </w:p>
          <w:p w:rsidR="00F9395D" w:rsidRPr="00005DCB" w:rsidRDefault="00F9395D" w:rsidP="006F5B63">
            <w:pPr>
              <w:rPr>
                <w:b/>
                <w:bCs/>
                <w:szCs w:val="24"/>
              </w:rPr>
            </w:pPr>
          </w:p>
        </w:tc>
      </w:tr>
      <w:tr w:rsidR="00F9395D" w:rsidRPr="00462BA4" w:rsidTr="00B10A33">
        <w:tc>
          <w:tcPr>
            <w:tcW w:w="567" w:type="dxa"/>
          </w:tcPr>
          <w:p w:rsidR="00F9395D" w:rsidRDefault="00F9395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7017" w:type="dxa"/>
          </w:tcPr>
          <w:p w:rsidR="00F9395D" w:rsidRDefault="00F9395D" w:rsidP="006F5B63">
            <w:pPr>
              <w:rPr>
                <w:b/>
                <w:bCs/>
                <w:szCs w:val="24"/>
              </w:rPr>
            </w:pPr>
            <w:r w:rsidRPr="00F9395D">
              <w:rPr>
                <w:b/>
                <w:bCs/>
                <w:szCs w:val="24"/>
              </w:rPr>
              <w:t xml:space="preserve">Riksrevisionens rapport om ej verkställda beslut - rapporteringsskyldighet och särskild avgift i </w:t>
            </w:r>
            <w:proofErr w:type="spellStart"/>
            <w:r w:rsidRPr="00F9395D">
              <w:rPr>
                <w:b/>
                <w:bCs/>
                <w:szCs w:val="24"/>
              </w:rPr>
              <w:t>SoL</w:t>
            </w:r>
            <w:proofErr w:type="spellEnd"/>
            <w:r w:rsidRPr="00F9395D">
              <w:rPr>
                <w:b/>
                <w:bCs/>
                <w:szCs w:val="24"/>
              </w:rPr>
              <w:t xml:space="preserve"> och LSS (SoU14)</w:t>
            </w:r>
          </w:p>
          <w:p w:rsidR="000D49A9" w:rsidRDefault="000D49A9" w:rsidP="000D49A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D49A9" w:rsidRPr="000D49A9" w:rsidRDefault="000D49A9" w:rsidP="000D49A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E078F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 skrivelse 2019/20:61</w:t>
            </w:r>
            <w:r w:rsidR="005330EB">
              <w:rPr>
                <w:bCs/>
                <w:szCs w:val="24"/>
              </w:rPr>
              <w:t xml:space="preserve"> </w:t>
            </w:r>
            <w:r w:rsidRPr="000D49A9">
              <w:rPr>
                <w:bCs/>
                <w:szCs w:val="24"/>
              </w:rPr>
              <w:t xml:space="preserve">Riksrevisionens rapport om ej verkställda beslut </w:t>
            </w:r>
            <w:r w:rsidR="005330EB">
              <w:rPr>
                <w:bCs/>
                <w:szCs w:val="24"/>
              </w:rPr>
              <w:t>–</w:t>
            </w:r>
            <w:r w:rsidRPr="000D49A9">
              <w:rPr>
                <w:bCs/>
                <w:szCs w:val="24"/>
              </w:rPr>
              <w:t xml:space="preserve"> rapporterings</w:t>
            </w:r>
            <w:r w:rsidR="005330EB">
              <w:rPr>
                <w:bCs/>
                <w:szCs w:val="24"/>
              </w:rPr>
              <w:t>-</w:t>
            </w:r>
            <w:r w:rsidRPr="000D49A9">
              <w:rPr>
                <w:bCs/>
                <w:szCs w:val="24"/>
              </w:rPr>
              <w:t xml:space="preserve">skyldighet och särskild avgift i </w:t>
            </w:r>
            <w:proofErr w:type="spellStart"/>
            <w:r w:rsidRPr="000D49A9">
              <w:rPr>
                <w:bCs/>
                <w:szCs w:val="24"/>
              </w:rPr>
              <w:t>SoL</w:t>
            </w:r>
            <w:proofErr w:type="spellEnd"/>
            <w:r w:rsidRPr="000D49A9">
              <w:rPr>
                <w:bCs/>
                <w:szCs w:val="24"/>
              </w:rPr>
              <w:t xml:space="preserve"> och LSS.</w:t>
            </w:r>
          </w:p>
          <w:p w:rsidR="000D49A9" w:rsidRDefault="000D49A9" w:rsidP="000D49A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D49A9" w:rsidRPr="0086408F" w:rsidRDefault="000D49A9" w:rsidP="000D49A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2019/</w:t>
            </w:r>
            <w:proofErr w:type="gramStart"/>
            <w:r>
              <w:rPr>
                <w:bCs/>
                <w:szCs w:val="24"/>
              </w:rPr>
              <w:t>20:SoU</w:t>
            </w:r>
            <w:proofErr w:type="gramEnd"/>
            <w:r>
              <w:rPr>
                <w:bCs/>
                <w:szCs w:val="24"/>
              </w:rPr>
              <w:t>14</w:t>
            </w:r>
            <w:r w:rsidRPr="0086408F">
              <w:rPr>
                <w:snapToGrid w:val="0"/>
              </w:rPr>
              <w:t xml:space="preserve">. </w:t>
            </w:r>
          </w:p>
          <w:p w:rsidR="000D49A9" w:rsidRDefault="000D49A9" w:rsidP="000D49A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49A9" w:rsidRPr="00113070" w:rsidRDefault="000D49A9" w:rsidP="000D49A9">
            <w:pPr>
              <w:rPr>
                <w:szCs w:val="24"/>
              </w:rPr>
            </w:pPr>
            <w:r w:rsidRPr="00113070">
              <w:rPr>
                <w:szCs w:val="24"/>
              </w:rPr>
              <w:t xml:space="preserve">M-ledamöterna anmälde </w:t>
            </w:r>
            <w:r w:rsidR="005330EB">
              <w:rPr>
                <w:szCs w:val="24"/>
              </w:rPr>
              <w:t xml:space="preserve">ett </w:t>
            </w:r>
            <w:r w:rsidRPr="00113070">
              <w:rPr>
                <w:szCs w:val="24"/>
              </w:rPr>
              <w:t>särskil</w:t>
            </w:r>
            <w:r w:rsidR="005330EB">
              <w:rPr>
                <w:szCs w:val="24"/>
              </w:rPr>
              <w:t>t</w:t>
            </w:r>
            <w:r w:rsidRPr="00113070">
              <w:rPr>
                <w:szCs w:val="24"/>
              </w:rPr>
              <w:t xml:space="preserve"> yttrande.</w:t>
            </w:r>
          </w:p>
          <w:p w:rsidR="00F9395D" w:rsidRPr="00005DCB" w:rsidRDefault="00F9395D" w:rsidP="006F5B63">
            <w:pPr>
              <w:rPr>
                <w:b/>
                <w:bCs/>
                <w:szCs w:val="24"/>
              </w:rPr>
            </w:pPr>
          </w:p>
        </w:tc>
      </w:tr>
      <w:tr w:rsidR="00810FEE" w:rsidRPr="00462BA4" w:rsidTr="00B10A33">
        <w:tc>
          <w:tcPr>
            <w:tcW w:w="567" w:type="dxa"/>
          </w:tcPr>
          <w:p w:rsidR="00810FEE" w:rsidRDefault="00810FE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9395D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F9395D" w:rsidRDefault="00F9395D" w:rsidP="00F9395D">
            <w:pPr>
              <w:rPr>
                <w:b/>
                <w:bCs/>
                <w:szCs w:val="24"/>
              </w:rPr>
            </w:pPr>
            <w:r w:rsidRPr="00F9395D">
              <w:rPr>
                <w:b/>
                <w:bCs/>
                <w:szCs w:val="24"/>
              </w:rPr>
              <w:t>Kompetensförsörjning och prioriteringar inom hälso- och sjukvården m.m. (SoU12)</w:t>
            </w:r>
          </w:p>
          <w:p w:rsidR="00F9395D" w:rsidRDefault="00F9395D" w:rsidP="00F9395D">
            <w:pPr>
              <w:rPr>
                <w:b/>
                <w:bCs/>
                <w:szCs w:val="24"/>
              </w:rPr>
            </w:pPr>
          </w:p>
          <w:p w:rsidR="00F9395D" w:rsidRPr="006F5B63" w:rsidRDefault="00F9395D" w:rsidP="00F9395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05DCB">
              <w:rPr>
                <w:bCs/>
                <w:szCs w:val="24"/>
              </w:rPr>
              <w:t xml:space="preserve">Utskottet behandlade motioner om </w:t>
            </w:r>
            <w:r>
              <w:rPr>
                <w:bCs/>
                <w:szCs w:val="24"/>
              </w:rPr>
              <w:t>k</w:t>
            </w:r>
            <w:r w:rsidRPr="00F9395D">
              <w:rPr>
                <w:bCs/>
                <w:szCs w:val="24"/>
              </w:rPr>
              <w:t xml:space="preserve">ompetensförsörjning och prioriteringar inom hälso- och sjukvården m.m. </w:t>
            </w:r>
          </w:p>
          <w:p w:rsidR="00F9395D" w:rsidRDefault="00F9395D" w:rsidP="00F9395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9395D" w:rsidRDefault="00F9395D" w:rsidP="00F9395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  <w:p w:rsidR="00810FEE" w:rsidRPr="00364D02" w:rsidRDefault="00810FEE" w:rsidP="006F5B63">
            <w:pPr>
              <w:rPr>
                <w:b/>
                <w:bCs/>
                <w:szCs w:val="24"/>
              </w:rPr>
            </w:pPr>
          </w:p>
        </w:tc>
      </w:tr>
      <w:tr w:rsidR="00005DCB" w:rsidRPr="00462BA4" w:rsidTr="00B10A33">
        <w:tc>
          <w:tcPr>
            <w:tcW w:w="567" w:type="dxa"/>
          </w:tcPr>
          <w:p w:rsidR="00005DCB" w:rsidRDefault="00005DC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9395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005DCB" w:rsidRDefault="00005DCB" w:rsidP="00810FEE">
            <w:pPr>
              <w:rPr>
                <w:b/>
                <w:bCs/>
                <w:szCs w:val="24"/>
              </w:rPr>
            </w:pPr>
            <w:r w:rsidRPr="00005DCB">
              <w:rPr>
                <w:b/>
                <w:bCs/>
                <w:szCs w:val="24"/>
              </w:rPr>
              <w:t>Inkomna EU-dokument</w:t>
            </w:r>
          </w:p>
          <w:p w:rsidR="004D3728" w:rsidRDefault="004D3728" w:rsidP="004D372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D3728" w:rsidRPr="00A81A1C" w:rsidRDefault="004D3728" w:rsidP="004D372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81A1C">
              <w:rPr>
                <w:bCs/>
                <w:szCs w:val="24"/>
              </w:rPr>
              <w:t xml:space="preserve">Inkomna EU-dokument för </w:t>
            </w:r>
            <w:r w:rsidR="00F9395D">
              <w:rPr>
                <w:bCs/>
                <w:szCs w:val="24"/>
              </w:rPr>
              <w:t>12</w:t>
            </w:r>
            <w:r>
              <w:rPr>
                <w:bCs/>
                <w:szCs w:val="24"/>
              </w:rPr>
              <w:t xml:space="preserve"> mars</w:t>
            </w:r>
            <w:r w:rsidRPr="006111EA">
              <w:rPr>
                <w:bCs/>
                <w:szCs w:val="24"/>
              </w:rPr>
              <w:t xml:space="preserve"> – </w:t>
            </w:r>
            <w:r>
              <w:rPr>
                <w:bCs/>
                <w:szCs w:val="24"/>
              </w:rPr>
              <w:t>1</w:t>
            </w:r>
            <w:r w:rsidR="00F9395D">
              <w:rPr>
                <w:bCs/>
                <w:szCs w:val="24"/>
              </w:rPr>
              <w:t>6</w:t>
            </w:r>
            <w:r w:rsidRPr="006111EA">
              <w:rPr>
                <w:bCs/>
                <w:szCs w:val="24"/>
              </w:rPr>
              <w:t xml:space="preserve"> mars </w:t>
            </w:r>
            <w:r w:rsidRPr="00A81A1C">
              <w:rPr>
                <w:bCs/>
                <w:szCs w:val="24"/>
              </w:rPr>
              <w:t>2020 anmäldes.</w:t>
            </w:r>
          </w:p>
          <w:p w:rsidR="00005DCB" w:rsidRDefault="00005DCB" w:rsidP="00810FEE">
            <w:pPr>
              <w:rPr>
                <w:b/>
                <w:bCs/>
                <w:szCs w:val="24"/>
              </w:rPr>
            </w:pPr>
          </w:p>
        </w:tc>
      </w:tr>
      <w:tr w:rsidR="00005DCB" w:rsidRPr="00462BA4" w:rsidTr="00B10A33">
        <w:tc>
          <w:tcPr>
            <w:tcW w:w="567" w:type="dxa"/>
          </w:tcPr>
          <w:p w:rsidR="00005DCB" w:rsidRDefault="00005DC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9395D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005DCB" w:rsidRPr="00005DCB" w:rsidRDefault="00005DCB" w:rsidP="00005DCB">
            <w:pPr>
              <w:rPr>
                <w:b/>
                <w:bCs/>
                <w:szCs w:val="24"/>
              </w:rPr>
            </w:pPr>
            <w:r w:rsidRPr="00005DCB">
              <w:rPr>
                <w:b/>
                <w:bCs/>
                <w:szCs w:val="24"/>
              </w:rPr>
              <w:t>Information från Social</w:t>
            </w:r>
            <w:r w:rsidR="00F9395D">
              <w:rPr>
                <w:b/>
                <w:bCs/>
                <w:szCs w:val="24"/>
              </w:rPr>
              <w:t>styrelsen och MSB</w:t>
            </w:r>
          </w:p>
          <w:p w:rsidR="00EA0AFC" w:rsidRPr="00EA0AFC" w:rsidRDefault="00EA0AFC" w:rsidP="00EA0AFC">
            <w:pPr>
              <w:rPr>
                <w:bCs/>
                <w:szCs w:val="24"/>
              </w:rPr>
            </w:pPr>
            <w:r w:rsidRPr="00EA0AFC">
              <w:rPr>
                <w:bCs/>
                <w:szCs w:val="24"/>
              </w:rPr>
              <w:t xml:space="preserve"> </w:t>
            </w:r>
          </w:p>
          <w:p w:rsidR="00005DCB" w:rsidRDefault="001336F2" w:rsidP="00EA0AF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Generaldirektör Olivia Wigzell, Socialstyrelsen, och generaldirektör Dan Eliasson, MSB, båda med medarbetare</w:t>
            </w:r>
            <w:r w:rsidR="00C440AA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i</w:t>
            </w:r>
            <w:r w:rsidR="00EA0AFC" w:rsidRPr="00EA0AFC">
              <w:rPr>
                <w:bCs/>
                <w:szCs w:val="24"/>
              </w:rPr>
              <w:t>nform</w:t>
            </w:r>
            <w:r>
              <w:rPr>
                <w:bCs/>
                <w:szCs w:val="24"/>
              </w:rPr>
              <w:t>erade</w:t>
            </w:r>
            <w:r w:rsidR="00EA0AFC" w:rsidRPr="00EA0AFC">
              <w:rPr>
                <w:bCs/>
                <w:szCs w:val="24"/>
              </w:rPr>
              <w:t xml:space="preserve"> om den nationella lägesbilden när det gäller det nya coronaviruset. </w:t>
            </w:r>
          </w:p>
          <w:p w:rsidR="00EA0AFC" w:rsidRPr="00005DCB" w:rsidRDefault="00EA0AFC" w:rsidP="00EA0AFC">
            <w:pPr>
              <w:rPr>
                <w:b/>
                <w:bCs/>
                <w:szCs w:val="24"/>
              </w:rPr>
            </w:pPr>
          </w:p>
        </w:tc>
      </w:tr>
      <w:tr w:rsidR="00B85013" w:rsidRPr="00462BA4" w:rsidTr="00B10A33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9395D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B85013" w:rsidRPr="00B61BBF" w:rsidRDefault="00B85013" w:rsidP="00B85013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B85013" w:rsidRPr="00A9734F" w:rsidRDefault="00B85013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05DCB" w:rsidRPr="00462BA4" w:rsidTr="00B10A33">
        <w:tc>
          <w:tcPr>
            <w:tcW w:w="567" w:type="dxa"/>
          </w:tcPr>
          <w:p w:rsidR="00005DCB" w:rsidRDefault="00005DC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56E1B">
              <w:rPr>
                <w:b/>
                <w:snapToGrid w:val="0"/>
                <w:szCs w:val="24"/>
              </w:rPr>
              <w:t>1</w:t>
            </w:r>
            <w:r w:rsidR="00F9395D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7017" w:type="dxa"/>
          </w:tcPr>
          <w:p w:rsidR="00005DCB" w:rsidRDefault="00005DCB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005DCB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4D3728" w:rsidRDefault="004D3728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4D3728" w:rsidRPr="00665940" w:rsidRDefault="004D3728" w:rsidP="004D3728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Inkomna skrivelser enligt bilaga </w:t>
            </w:r>
            <w:r>
              <w:rPr>
                <w:rFonts w:eastAsia="Calibri"/>
                <w:bCs/>
                <w:szCs w:val="24"/>
                <w:lang w:eastAsia="en-US"/>
              </w:rPr>
              <w:t>2</w:t>
            </w: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 anmäldes.</w:t>
            </w:r>
          </w:p>
          <w:p w:rsidR="004D3728" w:rsidRPr="00B61BBF" w:rsidRDefault="004D3728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005DCB">
              <w:rPr>
                <w:b/>
                <w:snapToGrid w:val="0"/>
                <w:szCs w:val="24"/>
              </w:rPr>
              <w:t>1</w:t>
            </w:r>
            <w:r w:rsidR="00F9395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>m t</w:t>
            </w:r>
            <w:r w:rsidR="006E7655">
              <w:rPr>
                <w:color w:val="000000"/>
                <w:szCs w:val="24"/>
              </w:rPr>
              <w:t>or</w:t>
            </w:r>
            <w:r w:rsidR="006211E0">
              <w:rPr>
                <w:color w:val="000000"/>
                <w:szCs w:val="24"/>
              </w:rPr>
              <w:t xml:space="preserve">sdag den </w:t>
            </w:r>
            <w:r w:rsidR="00D955EF">
              <w:rPr>
                <w:color w:val="000000"/>
                <w:szCs w:val="24"/>
              </w:rPr>
              <w:t>26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23112C">
              <w:rPr>
                <w:color w:val="000000"/>
                <w:szCs w:val="24"/>
              </w:rPr>
              <w:t xml:space="preserve">mars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D7E8C">
              <w:rPr>
                <w:color w:val="000000"/>
                <w:szCs w:val="24"/>
              </w:rPr>
              <w:t>1</w:t>
            </w:r>
            <w:r w:rsidR="006E7655">
              <w:rPr>
                <w:color w:val="000000"/>
                <w:szCs w:val="24"/>
              </w:rPr>
              <w:t>0</w:t>
            </w:r>
            <w:r w:rsidR="009F2CDF">
              <w:rPr>
                <w:color w:val="000000"/>
                <w:szCs w:val="24"/>
              </w:rPr>
              <w:t>.00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B6D12" w:rsidRDefault="00DB6D12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4314D" w:rsidRDefault="0064314D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A1056" w:rsidRPr="00462BA4" w:rsidRDefault="00CA1056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D955EF">
              <w:rPr>
                <w:snapToGrid w:val="0"/>
                <w:szCs w:val="24"/>
              </w:rPr>
              <w:t>26</w:t>
            </w:r>
            <w:r w:rsidR="000D7E8C">
              <w:rPr>
                <w:snapToGrid w:val="0"/>
                <w:szCs w:val="24"/>
              </w:rPr>
              <w:t xml:space="preserve"> </w:t>
            </w:r>
            <w:r w:rsidR="00F1276B">
              <w:rPr>
                <w:snapToGrid w:val="0"/>
                <w:szCs w:val="24"/>
              </w:rPr>
              <w:t>mars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950810" w:rsidRDefault="00950810"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6F5B63" w:rsidRPr="00437544">
              <w:rPr>
                <w:sz w:val="22"/>
                <w:szCs w:val="22"/>
              </w:rPr>
              <w:t>2</w:t>
            </w:r>
            <w:r w:rsidR="00D955EF" w:rsidRPr="00437544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  <w:proofErr w:type="gramStart"/>
            <w:r w:rsidRPr="007209FC">
              <w:rPr>
                <w:sz w:val="22"/>
                <w:szCs w:val="22"/>
              </w:rPr>
              <w:t>1</w:t>
            </w:r>
            <w:r w:rsidR="009C39BC" w:rsidRPr="007209FC">
              <w:rPr>
                <w:sz w:val="22"/>
                <w:szCs w:val="22"/>
              </w:rPr>
              <w:t>-</w:t>
            </w:r>
            <w:r w:rsidR="00F72D48" w:rsidRPr="007209FC">
              <w:rPr>
                <w:sz w:val="22"/>
                <w:szCs w:val="22"/>
              </w:rPr>
              <w:t>11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113070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2C3DD5" w:rsidRPr="00894233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72D4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72D4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72D4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Sofia Nilsson </w:t>
            </w:r>
            <w:r w:rsidR="00C153E5" w:rsidRPr="00437544">
              <w:rPr>
                <w:sz w:val="22"/>
                <w:szCs w:val="22"/>
              </w:rPr>
              <w:t>(C</w:t>
            </w:r>
            <w:r w:rsidRPr="00437544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72D4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72D4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72D4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72D4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Anders W Jonsson </w:t>
            </w:r>
            <w:r w:rsidR="00C153E5" w:rsidRPr="00437544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72D4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72D4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Lotta Finstorp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Joar Forssell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Anna Vikström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Sultan Kayhan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Teres Lindberg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Jonas Andersson i Skellefteå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 Gardfjell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029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Arin Karapet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029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 Stockhaus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292" w:rsidRPr="00437544" w:rsidRDefault="00E2029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8579BE">
              <w:rPr>
                <w:b/>
                <w:szCs w:val="24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9644B6">
      <w:pPr>
        <w:widowControl/>
        <w:rPr>
          <w:b/>
          <w:szCs w:val="24"/>
        </w:rPr>
      </w:pPr>
      <w:bookmarkStart w:id="0" w:name="_GoBack"/>
      <w:bookmarkEnd w:id="0"/>
    </w:p>
    <w:sectPr w:rsidR="00BD26F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20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11"/>
  </w:num>
  <w:num w:numId="12">
    <w:abstractNumId w:val="18"/>
  </w:num>
  <w:num w:numId="13">
    <w:abstractNumId w:val="18"/>
  </w:num>
  <w:num w:numId="14">
    <w:abstractNumId w:val="18"/>
  </w:num>
  <w:num w:numId="15">
    <w:abstractNumId w:val="7"/>
  </w:num>
  <w:num w:numId="16">
    <w:abstractNumId w:val="19"/>
  </w:num>
  <w:num w:numId="17">
    <w:abstractNumId w:val="12"/>
  </w:num>
  <w:num w:numId="18">
    <w:abstractNumId w:val="1"/>
  </w:num>
  <w:num w:numId="19">
    <w:abstractNumId w:val="4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44B6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2E550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50B87-C98C-42D4-A840-5DEDD152D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7458</TotalTime>
  <Pages>4</Pages>
  <Words>619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1961</cp:revision>
  <cp:lastPrinted>2020-03-24T07:06:00Z</cp:lastPrinted>
  <dcterms:created xsi:type="dcterms:W3CDTF">2014-01-23T12:18:00Z</dcterms:created>
  <dcterms:modified xsi:type="dcterms:W3CDTF">2020-03-26T11:37:00Z</dcterms:modified>
</cp:coreProperties>
</file>