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E71" w:rsidRPr="00096E71" w:rsidRDefault="00096E71">
      <w:pPr>
        <w:pStyle w:val="Frslagsrubrik"/>
      </w:pPr>
      <w:r w:rsidRPr="00096E71">
        <w:t>Förslag till riksdagsbeslut</w:t>
      </w:r>
    </w:p>
    <w:p w:rsidR="00096E71" w:rsidRPr="00096E71" w:rsidRDefault="00096E71">
      <w:pPr>
        <w:pStyle w:val="Hemstlatt"/>
        <w:numPr>
          <w:ilvl w:val="0"/>
          <w:numId w:val="0"/>
        </w:numPr>
      </w:pPr>
      <w:r w:rsidRPr="00096E71">
        <w:t xml:space="preserve">Riksdagen tillkännager för regeringen som sin mening vad som anförs i motionen om behovet av utvärdering </w:t>
      </w:r>
      <w:r w:rsidRPr="00096E71">
        <w:rPr>
          <w:color w:val="000000"/>
        </w:rPr>
        <w:t>av effekterna av den nya lagstiftningen om sjöfylleri.</w:t>
      </w:r>
    </w:p>
    <w:p w:rsidR="00096E71" w:rsidRPr="00096E71" w:rsidRDefault="00096E71">
      <w:pPr>
        <w:pStyle w:val="Rubrik1"/>
      </w:pPr>
      <w:r w:rsidRPr="00096E71">
        <w:t>Motivering</w:t>
      </w:r>
    </w:p>
    <w:p w:rsidR="00096E71" w:rsidRPr="00096E71" w:rsidRDefault="00096E71">
      <w:r w:rsidRPr="00096E71">
        <w:t>Regeringen föreslår att straffansvaret för sjöfylleri utvidgas genom att det införs en fast, nedre promillegräns på 0,2 promille alkohol i blodet motsv</w:t>
      </w:r>
      <w:r w:rsidRPr="00096E71">
        <w:t>a</w:t>
      </w:r>
      <w:r w:rsidRPr="00096E71">
        <w:t>rande 0,10 milligram per liter i utandningsluften. Även straffansvaret för grovt sjöfylleri föreslås utvidgas så att ansvar kan följa direkt vid en alkoho</w:t>
      </w:r>
      <w:r w:rsidRPr="00096E71">
        <w:t>l</w:t>
      </w:r>
      <w:r w:rsidRPr="00096E71">
        <w:t>koncentration om minst 1,0 promille i blodet motsvarande 0,50 milligram per liter i utandningsluften. Straffansvaret föreslås gälla den som framför ett fa</w:t>
      </w:r>
      <w:r w:rsidRPr="00096E71">
        <w:t>r</w:t>
      </w:r>
      <w:r w:rsidRPr="00096E71">
        <w:t>tyg eller i övrigt på ett fartyg fullgör en uppgift av väsentlig betydelse för säkerheten till sjöss förutsatt att fartyget antingen med motordrift kan framf</w:t>
      </w:r>
      <w:r w:rsidRPr="00096E71">
        <w:t>ö</w:t>
      </w:r>
      <w:r w:rsidRPr="00096E71">
        <w:t>ras med en hastighet om minst 15 knop eller</w:t>
      </w:r>
      <w:r w:rsidRPr="00096E71">
        <w:t xml:space="preserve"> har ett skrov med en största längd av minst tio meter. Både yrkessjöfart och fritidssjöfart berörs av rege</w:t>
      </w:r>
      <w:r w:rsidRPr="00096E71">
        <w:t>l</w:t>
      </w:r>
      <w:r w:rsidRPr="00096E71">
        <w:t xml:space="preserve">verket. </w:t>
      </w:r>
    </w:p>
    <w:p w:rsidR="00096E71" w:rsidRPr="00096E71" w:rsidRDefault="00096E71">
      <w:pPr>
        <w:pStyle w:val="Normaltindrag"/>
      </w:pPr>
      <w:r w:rsidRPr="00096E71">
        <w:t>Vidare föreslås att det införs en möjlighet att ta rutinmässiga alkoholu</w:t>
      </w:r>
      <w:r w:rsidRPr="00096E71">
        <w:t>t</w:t>
      </w:r>
      <w:r w:rsidRPr="00096E71">
        <w:t>andningsprover på sådana personer på fartyg som omfattas av den nya pr</w:t>
      </w:r>
      <w:r w:rsidRPr="00096E71">
        <w:t>o</w:t>
      </w:r>
      <w:r w:rsidRPr="00096E71">
        <w:t>milleregeln. Proven ska kunna tas av polismän och tjänstemän vid Kustb</w:t>
      </w:r>
      <w:r w:rsidRPr="00096E71">
        <w:t>e</w:t>
      </w:r>
      <w:r w:rsidRPr="00096E71">
        <w:t>vakningen. Lagändringarna föreslås träda i kraft den 1 juni 2010.</w:t>
      </w:r>
    </w:p>
    <w:p w:rsidR="00096E71" w:rsidRPr="00096E71" w:rsidRDefault="00096E71">
      <w:pPr>
        <w:pStyle w:val="Normaltindrag"/>
      </w:pPr>
      <w:r w:rsidRPr="00096E71">
        <w:t>De rödgröna samarbetspartierna har länge krävt att det ska införas en nedre promillegräns för sjöfylleri samt att rutinmässiga alkoholutandningsprov ska tillåtas. Initiativ för att möjliggöra en sådan lagstiftning togs redan under den förra mandatperioden. Därefter har den moderatledda regeringen varit</w:t>
      </w:r>
      <w:r w:rsidRPr="00096E71">
        <w:t xml:space="preserve"> ofö</w:t>
      </w:r>
      <w:r w:rsidRPr="00096E71">
        <w:t>r</w:t>
      </w:r>
      <w:r w:rsidRPr="00096E71">
        <w:t xml:space="preserve">mögen att lämna förslag till riksdagen. Vi välkomnar därför att förslag nu läggs om skärpt lagstiftning. </w:t>
      </w:r>
    </w:p>
    <w:p w:rsidR="00096E71" w:rsidRPr="00096E71" w:rsidRDefault="00096E71">
      <w:pPr>
        <w:pStyle w:val="Rubrik1"/>
        <w:rPr>
          <w:b/>
          <w:szCs w:val="24"/>
        </w:rPr>
      </w:pPr>
      <w:r w:rsidRPr="00096E71">
        <w:rPr>
          <w:rStyle w:val="Rubrik1Char"/>
        </w:rPr>
        <w:lastRenderedPageBreak/>
        <w:t>Uppföljning krävs för att garantera sjösäkerheten</w:t>
      </w:r>
    </w:p>
    <w:p w:rsidR="00096E71" w:rsidRPr="00096E71" w:rsidRDefault="00096E71">
      <w:r w:rsidRPr="00096E71">
        <w:t xml:space="preserve">Sverige har med sina stora skärgårdsområden goda förutsättningar för ett aktivt fritidsbåtsliv. Svenskarnas båtintresse växer och antalet fritidsbåtar ökar. Båtlivet är en av de största folkrörelserna i Sverige. Detta är mycket positivt. Samtidigt har svenskt fritidsbåtsliv under de senaste tio åren drabbats av i genomsnitt 37 dödsfall varje år. Under år 2008 förolyckades/saknades 43 människor i samband med 38 olyckor. Antalet visar således en tendens att ökar, vilket är alarmerande. </w:t>
      </w:r>
    </w:p>
    <w:p w:rsidR="00096E71" w:rsidRPr="00096E71" w:rsidRDefault="00096E71">
      <w:pPr>
        <w:pStyle w:val="Normaltindrag"/>
      </w:pPr>
      <w:r w:rsidRPr="00096E71">
        <w:t>Samtidigt som antalet fritidsbåtar i Sverige ökar blir båtarna även större och snabbare. Vidare blir antalet restauranger längs våra kuster fler och tillfä</w:t>
      </w:r>
      <w:r w:rsidRPr="00096E71">
        <w:t>l</w:t>
      </w:r>
      <w:r w:rsidRPr="00096E71">
        <w:t>len där alkoholförtäring erbjuds ökar. En tydligare lagstiftning med en nedre gräns för sjöfylleri är därför motiverat av trafiksäkerhetsskäl och för att ty</w:t>
      </w:r>
      <w:r w:rsidRPr="00096E71">
        <w:t>d</w:t>
      </w:r>
      <w:r w:rsidRPr="00096E71">
        <w:t>ligt markera samhällets syn på att trafik och alkohol inte hör ihop.</w:t>
      </w:r>
    </w:p>
    <w:p w:rsidR="00096E71" w:rsidRPr="00096E71" w:rsidRDefault="00096E71">
      <w:pPr>
        <w:pStyle w:val="Normaltindrag"/>
      </w:pPr>
      <w:r w:rsidRPr="00096E71">
        <w:t>Regeringen väljer att i propositionen frångå det förslag som utredningen Rattfylleri och sjöfylleri (SOU 2006:12) lade fram. Utredningen förordade att maskindrivna fartyg med en längd under sju meter och vars maximifart inte överstiger 7 knop samt segelfartyg med en längd under sju me</w:t>
      </w:r>
      <w:r w:rsidRPr="00096E71">
        <w:t>ter och fartyg under rodd skulle undantas från regelverket. Regeringen väljer istället att höja gränsen så att regelverket berör fartyg som antingen med motordrift kan fra</w:t>
      </w:r>
      <w:r w:rsidRPr="00096E71">
        <w:t>m</w:t>
      </w:r>
      <w:r w:rsidRPr="00096E71">
        <w:t xml:space="preserve">föras med en hastighet om minst 15 knop eller har ett skrov med en största längd av minst tio meter. Fler båtar undantas därmed från den föreslagna lagstiftningen. </w:t>
      </w:r>
    </w:p>
    <w:p w:rsidR="00096E71" w:rsidRPr="00096E71" w:rsidRDefault="00096E71">
      <w:pPr>
        <w:pStyle w:val="Normaltindrag"/>
      </w:pPr>
      <w:r w:rsidRPr="00096E71">
        <w:t>Trots att gränserna höjs väsentligt saknas en analys av vilka konsekvenser regeringens förslag får för möjligheterna att öka sjösäkerheten. Hur många båtar som de facto berörs</w:t>
      </w:r>
      <w:r w:rsidRPr="00096E71">
        <w:t xml:space="preserve"> av lagen redovisas inte. </w:t>
      </w:r>
    </w:p>
    <w:p w:rsidR="00096E71" w:rsidRPr="00096E71" w:rsidRDefault="00096E71">
      <w:pPr>
        <w:pStyle w:val="Normaltindrag"/>
      </w:pPr>
      <w:r w:rsidRPr="00096E71">
        <w:t>Avsikten måste vara att lagstiftningen fångar in de fartyg där riskerna för trafiksäkerheten är påtagliga om de framförs under alkoholpåverkan. Vi m</w:t>
      </w:r>
      <w:r w:rsidRPr="00096E71">
        <w:t>e</w:t>
      </w:r>
      <w:r w:rsidRPr="00096E71">
        <w:t xml:space="preserve">nar därför att regeringens förslag till vilka båtar som ska omfattas av den nya lagstiftningen måste följas upp och utvärderas för att säkerställa att lagen ger en ökad sjösäkerhet. En förnyad prövning av regelverket kan därefter behöva göras. </w:t>
      </w:r>
    </w:p>
    <w:p w:rsidR="00096E71" w:rsidRPr="00096E71" w:rsidRDefault="00096E71">
      <w:pPr>
        <w:pStyle w:val="Rubrik1"/>
      </w:pPr>
      <w:r w:rsidRPr="00096E71">
        <w:t>Behörighetsbevis</w:t>
      </w:r>
      <w:r w:rsidRPr="00096E71">
        <w:rPr>
          <w:sz w:val="17"/>
          <w:szCs w:val="17"/>
        </w:rPr>
        <w:t xml:space="preserve"> </w:t>
      </w:r>
    </w:p>
    <w:p w:rsidR="00096E71" w:rsidRPr="00096E71" w:rsidRDefault="00096E71">
      <w:r w:rsidRPr="00096E71">
        <w:t>För att få framföra en fritidsbåt som inte är mer än tolv meter lång och fyra meter bred krävs idag ingen särskild utbildning. Antalet sjöräddningsuppdrag har ökat under senare år och nästan hela ökningen hänför sig till olyckor med fritidsbåtar. För att öka sjösäkerheten behöver båtförarnas kunskaper förbät</w:t>
      </w:r>
      <w:r w:rsidRPr="00096E71">
        <w:t>t</w:t>
      </w:r>
      <w:r w:rsidRPr="00096E71">
        <w:t xml:space="preserve">ras.  </w:t>
      </w:r>
    </w:p>
    <w:p w:rsidR="00096E71" w:rsidRPr="00096E71" w:rsidRDefault="00096E71">
      <w:pPr>
        <w:pStyle w:val="Normaltindrag"/>
      </w:pPr>
      <w:r w:rsidRPr="00096E71">
        <w:t>Vi anser att krav bör införas på behörighetsbevis för att få framföra även något mindre fritidsbåtar än vad dagens regelverk anger. Vilka båtar som bör beröras av ett sådant behörighetsbevis hade med fördel knutits samman och behandlats i samband med regelverket för nedre gräns för sjöfylleri, detta för att skapa en enhetlig lagstiftning. Trots att frågan har beretts i Regeringskan</w:t>
      </w:r>
      <w:r w:rsidRPr="00096E71">
        <w:t>s</w:t>
      </w:r>
      <w:r w:rsidRPr="00096E71">
        <w:t>liet under ett antal år har regeringen tyvärr inte kunnat presentera något fö</w:t>
      </w:r>
      <w:r w:rsidRPr="00096E71">
        <w:t>r</w:t>
      </w:r>
      <w:r w:rsidRPr="00096E71">
        <w:t xml:space="preserve">slag för riksdagen i denna del.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E71">
        <w:trPr>
          <w:cantSplit/>
        </w:trPr>
        <w:tc>
          <w:tcPr>
            <w:tcW w:w="3046" w:type="dxa"/>
          </w:tcPr>
          <w:p w:rsidR="00096E71" w:rsidRPr="00096E71" w:rsidRDefault="00096E71">
            <w:pPr>
              <w:pStyle w:val="UnderskriftDatum"/>
              <w:spacing w:before="240"/>
            </w:pPr>
            <w:r w:rsidRPr="00096E71">
              <w:t>Stockholm den 22 januari 2010</w:t>
            </w:r>
          </w:p>
        </w:tc>
        <w:tc>
          <w:tcPr>
            <w:tcW w:w="3047" w:type="dxa"/>
          </w:tcPr>
          <w:p w:rsidR="00096E71" w:rsidRPr="00096E71" w:rsidRDefault="00096E71">
            <w:pPr>
              <w:pStyle w:val="Underskrifter"/>
              <w:spacing w:before="240"/>
            </w:pPr>
          </w:p>
        </w:tc>
      </w:tr>
      <w:tr w:rsidR="00000000" w:rsidRPr="00096E71">
        <w:trPr>
          <w:cantSplit/>
        </w:trPr>
        <w:tc>
          <w:tcPr>
            <w:tcW w:w="3046" w:type="dxa"/>
          </w:tcPr>
          <w:p w:rsidR="00096E71" w:rsidRPr="00096E71" w:rsidRDefault="00096E71">
            <w:pPr>
              <w:pStyle w:val="Underskrifter"/>
            </w:pPr>
            <w:r w:rsidRPr="00096E71">
              <w:t>Carina Moberg (s)</w:t>
            </w:r>
          </w:p>
        </w:tc>
        <w:tc>
          <w:tcPr>
            <w:tcW w:w="3046" w:type="dxa"/>
          </w:tcPr>
          <w:p w:rsidR="00096E71" w:rsidRPr="00096E71" w:rsidRDefault="00096E71">
            <w:pPr>
              <w:pStyle w:val="Underskrifter"/>
            </w:pPr>
          </w:p>
        </w:tc>
      </w:tr>
      <w:tr w:rsidR="00000000" w:rsidRPr="00096E71">
        <w:trPr>
          <w:cantSplit/>
        </w:trPr>
        <w:tc>
          <w:tcPr>
            <w:tcW w:w="3046" w:type="dxa"/>
          </w:tcPr>
          <w:p w:rsidR="00096E71" w:rsidRPr="00096E71" w:rsidRDefault="00096E71">
            <w:pPr>
              <w:pStyle w:val="Underskrifter"/>
            </w:pPr>
            <w:r w:rsidRPr="00096E71">
              <w:t>Johan Löfstrand (s)</w:t>
            </w:r>
          </w:p>
        </w:tc>
        <w:tc>
          <w:tcPr>
            <w:tcW w:w="3046" w:type="dxa"/>
          </w:tcPr>
          <w:p w:rsidR="00096E71" w:rsidRPr="00096E71" w:rsidRDefault="00096E71">
            <w:pPr>
              <w:pStyle w:val="Underskrifter"/>
            </w:pPr>
            <w:r w:rsidRPr="00096E71">
              <w:t>Eva Sonidsson (s)</w:t>
            </w:r>
          </w:p>
        </w:tc>
      </w:tr>
      <w:tr w:rsidR="00000000" w:rsidRPr="00096E71">
        <w:trPr>
          <w:cantSplit/>
        </w:trPr>
        <w:tc>
          <w:tcPr>
            <w:tcW w:w="3046" w:type="dxa"/>
          </w:tcPr>
          <w:p w:rsidR="00096E71" w:rsidRPr="00096E71" w:rsidRDefault="00096E71">
            <w:pPr>
              <w:pStyle w:val="Underskrifter"/>
            </w:pPr>
            <w:r w:rsidRPr="00096E71">
              <w:t>Hillevi Larsson (s)</w:t>
            </w:r>
          </w:p>
        </w:tc>
        <w:tc>
          <w:tcPr>
            <w:tcW w:w="3046" w:type="dxa"/>
          </w:tcPr>
          <w:p w:rsidR="00096E71" w:rsidRPr="00096E71" w:rsidRDefault="00096E71">
            <w:pPr>
              <w:pStyle w:val="Underskrifter"/>
            </w:pPr>
            <w:r w:rsidRPr="00096E71">
              <w:t>Gunnar Sandberg (s)</w:t>
            </w:r>
          </w:p>
        </w:tc>
      </w:tr>
      <w:tr w:rsidR="00000000" w:rsidRPr="00096E71">
        <w:trPr>
          <w:cantSplit/>
        </w:trPr>
        <w:tc>
          <w:tcPr>
            <w:tcW w:w="3046" w:type="dxa"/>
          </w:tcPr>
          <w:p w:rsidR="00096E71" w:rsidRPr="00096E71" w:rsidRDefault="00096E71">
            <w:pPr>
              <w:pStyle w:val="Underskrifter"/>
            </w:pPr>
            <w:r w:rsidRPr="00096E71">
              <w:t>Christina Oskarsson (s)</w:t>
            </w:r>
          </w:p>
        </w:tc>
        <w:tc>
          <w:tcPr>
            <w:tcW w:w="3046" w:type="dxa"/>
          </w:tcPr>
          <w:p w:rsidR="00096E71" w:rsidRPr="00096E71" w:rsidRDefault="00096E71">
            <w:pPr>
              <w:pStyle w:val="Underskrifter"/>
            </w:pPr>
            <w:r w:rsidRPr="00096E71">
              <w:t>Fredrik  Lundh (s)</w:t>
            </w:r>
          </w:p>
        </w:tc>
      </w:tr>
      <w:tr w:rsidR="00000000" w:rsidRPr="00096E71">
        <w:trPr>
          <w:cantSplit/>
        </w:trPr>
        <w:tc>
          <w:tcPr>
            <w:tcW w:w="3046" w:type="dxa"/>
          </w:tcPr>
          <w:p w:rsidR="00096E71" w:rsidRPr="00096E71" w:rsidRDefault="00096E71">
            <w:pPr>
              <w:pStyle w:val="Underskrifter"/>
            </w:pPr>
            <w:r w:rsidRPr="00096E71">
              <w:t>Kristina Zakrisson (s)</w:t>
            </w:r>
          </w:p>
        </w:tc>
        <w:tc>
          <w:tcPr>
            <w:tcW w:w="3046" w:type="dxa"/>
          </w:tcPr>
          <w:p w:rsidR="00096E71" w:rsidRPr="00096E71" w:rsidRDefault="00096E71">
            <w:pPr>
              <w:pStyle w:val="Underskrifter"/>
            </w:pPr>
            <w:r w:rsidRPr="00096E71">
              <w:t>Börje Vestlund (s)</w:t>
            </w:r>
          </w:p>
        </w:tc>
      </w:tr>
      <w:tr w:rsidR="00000000" w:rsidRPr="00096E71">
        <w:trPr>
          <w:cantSplit/>
        </w:trPr>
        <w:tc>
          <w:tcPr>
            <w:tcW w:w="3046" w:type="dxa"/>
          </w:tcPr>
          <w:p w:rsidR="00096E71" w:rsidRPr="00096E71" w:rsidRDefault="00096E71">
            <w:pPr>
              <w:pStyle w:val="Underskrifter"/>
            </w:pPr>
            <w:r w:rsidRPr="00096E71">
              <w:t>Jan Lindholm (mp)</w:t>
            </w:r>
          </w:p>
        </w:tc>
        <w:tc>
          <w:tcPr>
            <w:tcW w:w="3046" w:type="dxa"/>
          </w:tcPr>
          <w:p w:rsidR="00096E71" w:rsidRPr="00096E71" w:rsidRDefault="00096E71">
            <w:pPr>
              <w:pStyle w:val="Underskrifter"/>
            </w:pPr>
          </w:p>
        </w:tc>
      </w:tr>
    </w:tbl>
    <w:p w:rsidR="00096E71" w:rsidRPr="00096E71" w:rsidRDefault="00096E71">
      <w:pPr>
        <w:pStyle w:val="Normaltindrag"/>
      </w:pPr>
    </w:p>
    <w:sectPr w:rsidR="00000000" w:rsidRPr="00096E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E71" w:rsidRPr="00096E71" w:rsidRDefault="00096E71">
      <w:r w:rsidRPr="00096E71">
        <w:separator/>
      </w:r>
    </w:p>
  </w:endnote>
  <w:endnote w:type="continuationSeparator" w:id="0">
    <w:p w:rsidR="00096E71" w:rsidRPr="00096E71" w:rsidRDefault="00096E71">
      <w:r w:rsidRPr="00096E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fot"/>
    </w:pPr>
    <w:r w:rsidRPr="00096E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961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E71" w:rsidRDefault="00096E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fot"/>
    </w:pPr>
    <w:r w:rsidRPr="00096E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384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E71" w:rsidRDefault="00096E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fot"/>
    </w:pPr>
    <w:r w:rsidRPr="00096E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441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E71" w:rsidRDefault="00096E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E71" w:rsidRPr="00096E71" w:rsidRDefault="00096E71">
      <w:r w:rsidRPr="00096E71">
        <w:separator/>
      </w:r>
    </w:p>
  </w:footnote>
  <w:footnote w:type="continuationSeparator" w:id="0">
    <w:p w:rsidR="00096E71" w:rsidRPr="00096E71" w:rsidRDefault="00096E71">
      <w:r w:rsidRPr="00096E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huvud"/>
    </w:pPr>
    <w:r w:rsidRPr="00096E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57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E71" w:rsidRDefault="00096E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Sidhuvud"/>
    </w:pPr>
    <w:r w:rsidRPr="00096E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210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71" w:rsidRDefault="00096E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E71" w:rsidRDefault="00096E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71" w:rsidRPr="00096E71" w:rsidRDefault="00096E71">
    <w:pPr>
      <w:pStyle w:val="FSHNormal"/>
      <w:tabs>
        <w:tab w:val="right" w:pos="5840"/>
      </w:tabs>
    </w:pPr>
    <w:r w:rsidRPr="00096E71">
      <w:br/>
    </w:r>
    <w:r w:rsidRPr="00096E71">
      <w:fldChar w:fldCharType="begin" w:fldLock="1"/>
    </w:r>
    <w:r w:rsidRPr="00096E71">
      <w:instrText xml:space="preserve"> DOCPROPERTY</w:instrText>
    </w:r>
    <w:r w:rsidRPr="00096E71">
      <w:rPr>
        <w:sz w:val="18"/>
      </w:rPr>
      <w:instrText xml:space="preserve"> "YearUser" *\charformat </w:instrText>
    </w:r>
    <w:r w:rsidRPr="00096E71">
      <w:fldChar w:fldCharType="separate"/>
    </w:r>
    <w:r w:rsidRPr="00096E71">
      <w:t>2009/10</w:t>
    </w:r>
    <w:r w:rsidRPr="00096E71">
      <w:fldChar w:fldCharType="end"/>
    </w:r>
    <w:r w:rsidRPr="00096E71">
      <w:t xml:space="preserve"> </w:t>
    </w:r>
    <w:r w:rsidRPr="00096E71">
      <w:tab/>
      <w:t xml:space="preserve">mnr: </w:t>
    </w:r>
    <w:r w:rsidRPr="00096E71">
      <w:fldChar w:fldCharType="begin" w:fldLock="1"/>
    </w:r>
    <w:r w:rsidRPr="00096E71">
      <w:instrText xml:space="preserve"> DOCPROPERTY</w:instrText>
    </w:r>
    <w:r w:rsidRPr="00096E71">
      <w:rPr>
        <w:sz w:val="18"/>
      </w:rPr>
      <w:instrText xml:space="preserve"> "Motionsnummer" *\charformat </w:instrText>
    </w:r>
    <w:r w:rsidRPr="00096E71">
      <w:fldChar w:fldCharType="separate"/>
    </w:r>
    <w:r w:rsidRPr="00096E71">
      <w:t>C7</w:t>
    </w:r>
    <w:r w:rsidRPr="00096E71">
      <w:fldChar w:fldCharType="end"/>
    </w:r>
    <w:r w:rsidRPr="00096E71">
      <w:br/>
    </w:r>
    <w:r w:rsidRPr="00096E71">
      <w:fldChar w:fldCharType="begin" w:fldLock="1"/>
    </w:r>
    <w:r w:rsidRPr="00096E71">
      <w:instrText xml:space="preserve"> DOCPROPERTY</w:instrText>
    </w:r>
    <w:r w:rsidRPr="00096E71">
      <w:rPr>
        <w:sz w:val="18"/>
      </w:rPr>
      <w:instrText xml:space="preserve"> "Samling" *\charformat </w:instrText>
    </w:r>
    <w:r w:rsidRPr="00096E71">
      <w:fldChar w:fldCharType="end"/>
    </w:r>
    <w:r w:rsidRPr="00096E71">
      <w:tab/>
      <w:t xml:space="preserve">pnr: </w:t>
    </w:r>
    <w:r w:rsidRPr="00096E71">
      <w:fldChar w:fldCharType="begin" w:fldLock="1"/>
    </w:r>
    <w:r w:rsidRPr="00096E71">
      <w:instrText xml:space="preserve"> DOCPROPERTY</w:instrText>
    </w:r>
    <w:r w:rsidRPr="00096E71">
      <w:rPr>
        <w:sz w:val="18"/>
      </w:rPr>
      <w:instrText xml:space="preserve"> "Partinummer" *\charformat </w:instrText>
    </w:r>
    <w:r w:rsidRPr="00096E71">
      <w:fldChar w:fldCharType="separate"/>
    </w:r>
    <w:r w:rsidRPr="00096E71">
      <w:t>-s83008</w:t>
    </w:r>
    <w:r w:rsidRPr="00096E71">
      <w:fldChar w:fldCharType="end"/>
    </w:r>
  </w:p>
  <w:p w:rsidR="00096E71" w:rsidRPr="00096E71" w:rsidRDefault="00096E71">
    <w:pPr>
      <w:pStyle w:val="FSHRub1"/>
    </w:pPr>
    <w:r w:rsidRPr="00096E71">
      <w:t>Motion till riksdagen</w:t>
    </w:r>
    <w:r w:rsidRPr="00096E71">
      <w:br/>
    </w:r>
    <w:r w:rsidRPr="00096E71">
      <w:fldChar w:fldCharType="begin" w:fldLock="1"/>
    </w:r>
    <w:r w:rsidRPr="00096E71">
      <w:instrText xml:space="preserve"> DOCPROPERTY "YearUser" *\charformat </w:instrText>
    </w:r>
    <w:r w:rsidRPr="00096E71">
      <w:fldChar w:fldCharType="separate"/>
    </w:r>
    <w:r w:rsidRPr="00096E71">
      <w:t>2009/10</w:t>
    </w:r>
    <w:r w:rsidRPr="00096E71">
      <w:fldChar w:fldCharType="end"/>
    </w:r>
    <w:r w:rsidRPr="00096E71">
      <w:t>:</w:t>
    </w:r>
    <w:r w:rsidRPr="00096E71">
      <w:fldChar w:fldCharType="begin" w:fldLock="1"/>
    </w:r>
    <w:r w:rsidRPr="00096E71">
      <w:instrText xml:space="preserve"> DOCPROPERTY "Motionsnummer" *\charformat </w:instrText>
    </w:r>
    <w:r w:rsidRPr="00096E71">
      <w:fldChar w:fldCharType="separate"/>
    </w:r>
    <w:r w:rsidRPr="00096E71">
      <w:t>C7</w:t>
    </w:r>
    <w:r w:rsidRPr="00096E71">
      <w:fldChar w:fldCharType="end"/>
    </w:r>
  </w:p>
  <w:p w:rsidR="00096E71" w:rsidRPr="00096E71" w:rsidRDefault="00096E71">
    <w:pPr>
      <w:pStyle w:val="FSHNormalS5"/>
    </w:pPr>
    <w:r w:rsidRPr="00096E71">
      <w:fldChar w:fldCharType="begin" w:fldLock="1"/>
    </w:r>
    <w:r w:rsidRPr="00096E71">
      <w:instrText xml:space="preserve"> DOCPROPERTY "MotionarText" *\charformat </w:instrText>
    </w:r>
    <w:r w:rsidRPr="00096E71">
      <w:fldChar w:fldCharType="separate"/>
    </w:r>
    <w:r w:rsidRPr="00096E71">
      <w:t>av Carina Moberg m.fl. (s, mp)</w:t>
    </w:r>
    <w:r w:rsidRPr="00096E71">
      <w:fldChar w:fldCharType="end"/>
    </w:r>
    <w:r w:rsidRPr="00096E71">
      <w:br/>
    </w:r>
    <w:r w:rsidRPr="00096E71">
      <w:fldChar w:fldCharType="begin" w:fldLock="1"/>
    </w:r>
    <w:r w:rsidRPr="00096E71">
      <w:instrText xml:space="preserve"> DOCPROPERTY "SvarFrasKort" *\charformat </w:instrText>
    </w:r>
    <w:r w:rsidRPr="00096E71">
      <w:fldChar w:fldCharType="separate"/>
    </w:r>
    <w:r w:rsidRPr="00096E71">
      <w:t>med anledning av prop. 2009/10:76</w:t>
    </w:r>
    <w:r w:rsidRPr="00096E71">
      <w:fldChar w:fldCharType="end"/>
    </w:r>
  </w:p>
  <w:p w:rsidR="00096E71" w:rsidRPr="00096E71" w:rsidRDefault="00096E71">
    <w:pPr>
      <w:pStyle w:val="FSHTitel"/>
    </w:pPr>
    <w:r w:rsidRPr="00096E71">
      <w:fldChar w:fldCharType="begin" w:fldLock="1"/>
    </w:r>
    <w:r w:rsidRPr="00096E71">
      <w:instrText xml:space="preserve"> DOCPROPERTY</w:instrText>
    </w:r>
    <w:r w:rsidRPr="00096E71">
      <w:rPr>
        <w:sz w:val="18"/>
      </w:rPr>
      <w:instrText xml:space="preserve"> "RubrikSvar" *\charformat </w:instrText>
    </w:r>
    <w:r w:rsidRPr="00096E71">
      <w:fldChar w:fldCharType="separate"/>
    </w:r>
    <w:r w:rsidRPr="00096E71">
      <w:t>En nedre promillegräns för sjöfylleri</w:t>
    </w:r>
    <w:r w:rsidRPr="00096E71">
      <w:fldChar w:fldCharType="end"/>
    </w:r>
  </w:p>
  <w:p w:rsidR="00096E71" w:rsidRPr="00096E71" w:rsidRDefault="00096E71">
    <w:pPr>
      <w:pStyle w:val="Normal00"/>
    </w:pPr>
  </w:p>
  <w:p w:rsidR="00096E71" w:rsidRPr="00096E71" w:rsidRDefault="00096E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C43314"/>
    <w:multiLevelType w:val="multilevel"/>
    <w:tmpl w:val="C36C90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C12628"/>
    <w:multiLevelType w:val="hybridMultilevel"/>
    <w:tmpl w:val="411677AA"/>
    <w:lvl w:ilvl="0" w:tplc="F38E3C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27841F7"/>
    <w:multiLevelType w:val="multilevel"/>
    <w:tmpl w:val="5FC8EE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98834A2"/>
    <w:multiLevelType w:val="hybridMultilevel"/>
    <w:tmpl w:val="BA7E20A0"/>
    <w:lvl w:ilvl="0" w:tplc="67AEE8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44A0F07"/>
    <w:multiLevelType w:val="multilevel"/>
    <w:tmpl w:val="1F9E51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6CA6BB6"/>
    <w:multiLevelType w:val="hybridMultilevel"/>
    <w:tmpl w:val="F4D63714"/>
    <w:lvl w:ilvl="0" w:tplc="6A28E5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277798">
    <w:abstractNumId w:val="3"/>
  </w:num>
  <w:num w:numId="2" w16cid:durableId="879585398">
    <w:abstractNumId w:val="2"/>
  </w:num>
  <w:num w:numId="3" w16cid:durableId="1222668760">
    <w:abstractNumId w:val="1"/>
  </w:num>
  <w:num w:numId="4" w16cid:durableId="920985830">
    <w:abstractNumId w:val="0"/>
  </w:num>
  <w:num w:numId="5" w16cid:durableId="1246572108">
    <w:abstractNumId w:val="7"/>
  </w:num>
  <w:num w:numId="6" w16cid:durableId="1419712988">
    <w:abstractNumId w:val="6"/>
  </w:num>
  <w:num w:numId="7" w16cid:durableId="919944492">
    <w:abstractNumId w:val="5"/>
  </w:num>
  <w:num w:numId="8" w16cid:durableId="161434397">
    <w:abstractNumId w:val="4"/>
  </w:num>
  <w:num w:numId="9" w16cid:durableId="1700812258">
    <w:abstractNumId w:val="8"/>
  </w:num>
  <w:num w:numId="10" w16cid:durableId="229929364">
    <w:abstractNumId w:val="9"/>
  </w:num>
  <w:num w:numId="11" w16cid:durableId="355272458">
    <w:abstractNumId w:val="10"/>
  </w:num>
  <w:num w:numId="12" w16cid:durableId="1130980860">
    <w:abstractNumId w:val="15"/>
  </w:num>
  <w:num w:numId="13" w16cid:durableId="1164854724">
    <w:abstractNumId w:val="18"/>
  </w:num>
  <w:num w:numId="14" w16cid:durableId="966006192">
    <w:abstractNumId w:val="20"/>
  </w:num>
  <w:num w:numId="15" w16cid:durableId="846287514">
    <w:abstractNumId w:val="12"/>
  </w:num>
  <w:num w:numId="16" w16cid:durableId="908613087">
    <w:abstractNumId w:val="24"/>
  </w:num>
  <w:num w:numId="17" w16cid:durableId="525294015">
    <w:abstractNumId w:val="21"/>
  </w:num>
  <w:num w:numId="18" w16cid:durableId="1042049708">
    <w:abstractNumId w:val="17"/>
  </w:num>
  <w:num w:numId="19" w16cid:durableId="160047483">
    <w:abstractNumId w:val="13"/>
  </w:num>
  <w:num w:numId="20" w16cid:durableId="699360440">
    <w:abstractNumId w:val="22"/>
  </w:num>
  <w:num w:numId="21" w16cid:durableId="880485296">
    <w:abstractNumId w:val="19"/>
  </w:num>
  <w:num w:numId="22" w16cid:durableId="1109592822">
    <w:abstractNumId w:val="23"/>
  </w:num>
  <w:num w:numId="23" w16cid:durableId="758453113">
    <w:abstractNumId w:val="11"/>
  </w:num>
  <w:num w:numId="24" w16cid:durableId="1166017406">
    <w:abstractNumId w:val="14"/>
  </w:num>
  <w:num w:numId="25" w16cid:durableId="469052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15B8594E-BEA9-43CC-A165-F86182734E4A},{6FACB04C-86F2-49FF-BDF3-B03F6F08AF65},{BF9BF603-152B-49FB-915D-59C9FA8B5D71},{CED91A7D-EA0F-4112-80B0-804585E3EC7B},{CA7D3CBE-D579-4C0A-9167-C63078DC176D},{FCBB1D1D-DA71-44FB-8C92-3111F9EDC77F},{662A7F07-DB1F-4AB0-A173-1D2398D4C9D4},{1B0EC7B2-9F16-4391-A824-2F6E746B104D},{F862D198-27F7-48B9-A0E6-F542C19DBB78},{C87839E7-C05D-47B9-AB7F-246B82B1F61B}"/>
  </w:docVars>
  <w:rsids>
    <w:rsidRoot w:val="00A97576"/>
    <w:rsid w:val="00096E71"/>
    <w:rsid w:val="00A975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B7EC88-732E-40C3-905B-BF4D1FD3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4165</Characters>
  <Application>Microsoft Office Word</Application>
  <DocSecurity>4</DocSecurity>
  <Lines>86</Lines>
  <Paragraphs>30</Paragraphs>
  <ScaleCrop>false</ScaleCrop>
  <HeadingPairs>
    <vt:vector size="2" baseType="variant">
      <vt:variant>
        <vt:lpstr>Rubrik</vt:lpstr>
      </vt:variant>
      <vt:variant>
        <vt:i4>1</vt:i4>
      </vt:variant>
    </vt:vector>
  </HeadingPairs>
  <TitlesOfParts>
    <vt:vector size="1" baseType="lpstr">
      <vt:lpstr>-s83008</vt:lpstr>
    </vt:vector>
  </TitlesOfParts>
  <Company>Riksdagen</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-s83008</dc:title>
  <dc:subject>-s83008</dc:subject>
  <dc:creator>Riksdagen</dc:creator>
  <cp:keywords>Riksdagen</cp:keywords>
  <dc:description>msmq kontroll, ensamt yrkande mm (b: S5 fix för yrk o listkorr)</dc:description>
  <cp:lastModifiedBy>Lars Brink</cp:lastModifiedBy>
  <cp:revision>2</cp:revision>
  <cp:lastPrinted>2010-01-27T13:18:00Z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mot2000_515_2010-01-20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2009/10:76 En nedre promillegräns för sjöfylleri</vt:lpwstr>
  </property>
  <property fmtid="{D5CDD505-2E9C-101B-9397-08002B2CF9AE}" pid="11" name="SvarFrasKort">
    <vt:lpwstr>med anledning av prop. 2009/10:76</vt:lpwstr>
  </property>
  <property fmtid="{D5CDD505-2E9C-101B-9397-08002B2CF9AE}" pid="12" name="Svar">
    <vt:lpwstr>Proposition</vt:lpwstr>
  </property>
  <property fmtid="{D5CDD505-2E9C-101B-9397-08002B2CF9AE}" pid="13" name="SvarNr">
    <vt:lpwstr>2009/10:76</vt:lpwstr>
  </property>
  <property fmtid="{D5CDD505-2E9C-101B-9397-08002B2CF9AE}" pid="14" name="RubrikSvar">
    <vt:lpwstr>En nedre promillegräns för sjöfylleri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-s83008</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10</vt:lpwstr>
  </property>
  <property fmtid="{D5CDD505-2E9C-101B-9397-08002B2CF9AE}" pid="25" name="MotionarText">
    <vt:lpwstr>av Carina Moberg m.fl. (s, mp)</vt:lpwstr>
  </property>
  <property fmtid="{D5CDD505-2E9C-101B-9397-08002B2CF9AE}" pid="26" name="MotionarLista">
    <vt:lpwstr>Moberg, Carina (s)\Löfstrand, Johan (s)\Sonidsson, Eva (s)\Larsson, Hillevi (s)\Sandberg, Gunnar (s)\Oskarsson, Christina (s)\Lundh, Fredrik  (s)\Zakrisson, Kristina (s)\Vestlund, Börje (s)\Lindholm,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Eva Sonidsson (s), Hillevi Larsson (s), Gunnar Sandberg (s), Christina Oskarsson (s), Fredrik Lundh (s), Kristina Zakrisson (s), Börje Vestlund (s),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147</vt:lpwstr>
  </property>
  <property fmtid="{D5CDD505-2E9C-101B-9397-08002B2CF9AE}" pid="35" name="Samling">
    <vt:lpwstr/>
  </property>
  <property fmtid="{D5CDD505-2E9C-101B-9397-08002B2CF9AE}" pid="36" name="SamlingPrint">
    <vt:lpwstr/>
  </property>
  <property fmtid="{D5CDD505-2E9C-101B-9397-08002B2CF9AE}" pid="37" name="Motionsnummer">
    <vt:lpwstr>C7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januari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20092010000000000115000830080070</vt:lpwstr>
  </property>
  <property fmtid="{D5CDD505-2E9C-101B-9397-08002B2CF9AE}" pid="47" name="datum">
    <vt:lpwstr>100122</vt:lpwstr>
  </property>
  <property fmtid="{D5CDD505-2E9C-101B-9397-08002B2CF9AE}" pid="48" name="avsändar-e-post">
    <vt:lpwstr>malin.cederfeldt.ostberg@riksdagen.se</vt:lpwstr>
  </property>
  <property fmtid="{D5CDD505-2E9C-101B-9397-08002B2CF9AE}" pid="49" name="id">
    <vt:lpwstr>20092010000000000115000830080070</vt:lpwstr>
  </property>
  <property fmtid="{D5CDD505-2E9C-101B-9397-08002B2CF9AE}" pid="50" name="nummer">
    <vt:lpwstr>7</vt:lpwstr>
  </property>
  <property fmtid="{D5CDD505-2E9C-101B-9397-08002B2CF9AE}" pid="51" name="utskottsbeteckning">
    <vt:lpwstr>C</vt:lpwstr>
  </property>
  <property fmtid="{D5CDD505-2E9C-101B-9397-08002B2CF9AE}" pid="52" name="GlobalUID">
    <vt:lpwstr>{5A2EBFED-9CB0-47FE-A86F-BED4A03B392E}</vt:lpwstr>
  </property>
  <property fmtid="{D5CDD505-2E9C-101B-9397-08002B2CF9AE}" pid="53" name="Överföringar">
    <vt:i4>0</vt:i4>
  </property>
  <property fmtid="{D5CDD505-2E9C-101B-9397-08002B2CF9AE}" pid="54" name="Checksum">
    <vt:lpwstr>*1009759231726*</vt:lpwstr>
  </property>
  <property fmtid="{D5CDD505-2E9C-101B-9397-08002B2CF9AE}" pid="55" name="skuggnummer">
    <vt:lpwstr/>
  </property>
  <property fmtid="{D5CDD505-2E9C-101B-9397-08002B2CF9AE}" pid="56" name="urixVersion">
    <vt:lpwstr>4.1.0.6</vt:lpwstr>
  </property>
  <property fmtid="{D5CDD505-2E9C-101B-9397-08002B2CF9AE}" pid="57" name="urixOrigin">
    <vt:lpwstr>100127 14:18:17.029</vt:lpwstr>
  </property>
  <property fmtid="{D5CDD505-2E9C-101B-9397-08002B2CF9AE}" pid="58" name="urixGuid">
    <vt:lpwstr>{63E8B5BD-8984-4E9A-A0D7-6254B07D4275}</vt:lpwstr>
  </property>
</Properties>
</file>