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4A2" w:rsidRPr="004474A2" w:rsidRDefault="004474A2">
      <w:pPr>
        <w:pStyle w:val="Frslagsrubrik"/>
      </w:pPr>
      <w:r w:rsidRPr="004474A2">
        <w:t>Förslag till riksdagsbeslut</w:t>
      </w:r>
    </w:p>
    <w:p w:rsidR="004474A2" w:rsidRPr="004474A2" w:rsidRDefault="004474A2">
      <w:pPr>
        <w:pStyle w:val="Hemstlatt"/>
        <w:numPr>
          <w:ilvl w:val="0"/>
          <w:numId w:val="1"/>
        </w:numPr>
      </w:pPr>
      <w:r w:rsidRPr="004474A2">
        <w:t>Riksdagen tillkännager för regeringen som sin mening vad som anförs i motionen om att säkerställa tidsangivelser i plan- och bygglovsärenden.</w:t>
      </w:r>
    </w:p>
    <w:p w:rsidR="004474A2" w:rsidRPr="004474A2" w:rsidRDefault="004474A2">
      <w:pPr>
        <w:pStyle w:val="Hemstlatt"/>
        <w:numPr>
          <w:ilvl w:val="0"/>
          <w:numId w:val="1"/>
        </w:numPr>
      </w:pPr>
      <w:r w:rsidRPr="004474A2">
        <w:t>Riksdagen tillkännager för regeringen som sin mening vad som anförs i motionen om möjligheten till bindande förhandsbesked i plan- och bygglovsärenden.</w:t>
      </w:r>
    </w:p>
    <w:p w:rsidR="004474A2" w:rsidRPr="004474A2" w:rsidRDefault="004474A2">
      <w:pPr>
        <w:pStyle w:val="Hemstlatt"/>
        <w:numPr>
          <w:ilvl w:val="0"/>
          <w:numId w:val="1"/>
        </w:numPr>
      </w:pPr>
      <w:r w:rsidRPr="004474A2">
        <w:t>Riksdagen tillkännager för regeringen som sin mening vad som anförs i motionen om behovet av att se över överklagningsmöjligh</w:t>
      </w:r>
      <w:r w:rsidRPr="004474A2">
        <w:t>e</w:t>
      </w:r>
      <w:r w:rsidRPr="004474A2">
        <w:t>terna i plan- och bygglovsärenden.</w:t>
      </w:r>
    </w:p>
    <w:p w:rsidR="004474A2" w:rsidRPr="004474A2" w:rsidRDefault="004474A2">
      <w:pPr>
        <w:pStyle w:val="Rubrik1"/>
      </w:pPr>
      <w:r w:rsidRPr="004474A2">
        <w:t>Motivering</w:t>
      </w:r>
    </w:p>
    <w:p w:rsidR="004474A2" w:rsidRPr="004474A2" w:rsidRDefault="004474A2">
      <w:pPr>
        <w:rPr>
          <w:szCs w:val="22"/>
        </w:rPr>
      </w:pPr>
      <w:r w:rsidRPr="004474A2">
        <w:rPr>
          <w:szCs w:val="22"/>
        </w:rPr>
        <w:t>För att attrahera mer tillväxtvänliga investeringar och öka initiativen till byggnation och expansion bör handläggningstiden i planprocessen minimeras. Genom att förbättra plan- och byggprocessen, vad gäller tidsåtgång och vä</w:t>
      </w:r>
      <w:r w:rsidRPr="004474A2">
        <w:rPr>
          <w:szCs w:val="22"/>
        </w:rPr>
        <w:t>n</w:t>
      </w:r>
      <w:r w:rsidRPr="004474A2">
        <w:rPr>
          <w:szCs w:val="22"/>
        </w:rPr>
        <w:t>tan på besked, kan antalet osäkerhetsfaktorer vid investeringar minskas. Detta är något som är avgörande för att aktörer skall våga gå in med kapital.</w:t>
      </w:r>
    </w:p>
    <w:p w:rsidR="004474A2" w:rsidRPr="004474A2" w:rsidRDefault="004474A2">
      <w:pPr>
        <w:pStyle w:val="Normaltindrag"/>
      </w:pPr>
      <w:r w:rsidRPr="004474A2">
        <w:t>Långa ledtider, som innebär oviss tidsåtgång, är ett reellt problem för många företagare. Det finns mardrömsexempel på fall där företag, efter flera års väntan, fortfarande inte erhållit tidsangivelser om när ett beslut väntas delges i ett byggärende. Med ett näringslivsperspektiv, som även inbegriper mindre företag vars ekonomiska förutsättningar är sämre i</w:t>
      </w:r>
      <w:r w:rsidRPr="004474A2">
        <w:t xml:space="preserve"> jämförelse med större aktörer, är vikten av tidsbestämning en av de faktorer som är viktigast för investeringar. Att kunna bedöma längden på byggnationsprojekt är cen</w:t>
      </w:r>
      <w:r w:rsidRPr="004474A2">
        <w:t>t</w:t>
      </w:r>
      <w:r w:rsidRPr="004474A2">
        <w:t>ralt för att möjliggöra korrekt budgetering och planering av verksamhetens utveckling. Inom ramen för tillgänglighet, information, bemötande, klag</w:t>
      </w:r>
      <w:r w:rsidRPr="004474A2">
        <w:t>o</w:t>
      </w:r>
      <w:r w:rsidRPr="004474A2">
        <w:t>målshantering, handläggningstid samt rättssäkerhet måste plan- och byggl</w:t>
      </w:r>
      <w:r w:rsidRPr="004474A2">
        <w:t>a</w:t>
      </w:r>
      <w:r w:rsidRPr="004474A2">
        <w:t>gen (PBL) leva upp till samtliga punkter för att inte utgöra ett hinder.</w:t>
      </w:r>
    </w:p>
    <w:p w:rsidR="004474A2" w:rsidRPr="004474A2" w:rsidRDefault="004474A2">
      <w:pPr>
        <w:pStyle w:val="Normaltindrag"/>
      </w:pPr>
      <w:r w:rsidRPr="004474A2">
        <w:lastRenderedPageBreak/>
        <w:t>I SOU 2008:68 Bygg – helt enkelt! sägs följande:</w:t>
      </w:r>
    </w:p>
    <w:p w:rsidR="004474A2" w:rsidRPr="004474A2" w:rsidRDefault="004474A2">
      <w:pPr>
        <w:pStyle w:val="Citat"/>
      </w:pPr>
      <w:r w:rsidRPr="004474A2">
        <w:t>Vi vill ta fasta på den tankegång som ligger bakom uttalandena i denna rapport. Vi tror att det går att åstadkomma en lösning utan lagreglerad tidsfrist, som ändå leder till en effektiv handläggning och skapar bättre förutsebarhet och trygghet för intressenterna.</w:t>
      </w:r>
    </w:p>
    <w:p w:rsidR="004474A2" w:rsidRPr="004474A2" w:rsidRDefault="004474A2">
      <w:pPr>
        <w:rPr>
          <w:szCs w:val="22"/>
        </w:rPr>
      </w:pPr>
      <w:r w:rsidRPr="004474A2">
        <w:rPr>
          <w:szCs w:val="22"/>
        </w:rPr>
        <w:t>I Storbritannien finns ett system som anger lägsta och längsta handläggning</w:t>
      </w:r>
      <w:r w:rsidRPr="004474A2">
        <w:rPr>
          <w:szCs w:val="22"/>
        </w:rPr>
        <w:t>s</w:t>
      </w:r>
      <w:r w:rsidRPr="004474A2">
        <w:rPr>
          <w:szCs w:val="22"/>
        </w:rPr>
        <w:t>tid för ett givet planärende. Mot bakgrunden av att det är viktigt att säkerställa en tydlig och på förväg bestämd tidsåtgång för byggnationsärenden som li</w:t>
      </w:r>
      <w:r w:rsidRPr="004474A2">
        <w:rPr>
          <w:szCs w:val="22"/>
        </w:rPr>
        <w:t>g</w:t>
      </w:r>
      <w:r w:rsidRPr="004474A2">
        <w:rPr>
          <w:szCs w:val="22"/>
        </w:rPr>
        <w:t>ger på kommunens sida borde Sverige ta efter det brittiska systemet. Det är orimligt att samma typ av ärende hanteras med stora tidsskillnader mellan olika kommuner eftersom det leder till snedvriden konkurrens och i övrigt orättvisa förhållanden mellan aktörer på marknaden. Därför bör en lagr</w:t>
      </w:r>
      <w:r w:rsidRPr="004474A2">
        <w:rPr>
          <w:szCs w:val="22"/>
        </w:rPr>
        <w:t>e</w:t>
      </w:r>
      <w:r w:rsidRPr="004474A2">
        <w:rPr>
          <w:szCs w:val="22"/>
        </w:rPr>
        <w:t xml:space="preserve">glering om längsta handläggningstid övervägas. Vidare borde </w:t>
      </w:r>
      <w:r w:rsidRPr="004474A2">
        <w:rPr>
          <w:szCs w:val="22"/>
        </w:rPr>
        <w:t>den enskilde vid ett plan- och byggärende ges möjlighet till att kunna erhålla ett bindande förhandsbesked för att investeringar snabbare skall kunna komma till stånd.</w:t>
      </w:r>
    </w:p>
    <w:p w:rsidR="004474A2" w:rsidRPr="004474A2" w:rsidRDefault="004474A2">
      <w:pPr>
        <w:pStyle w:val="Normaltindrag"/>
      </w:pPr>
      <w:r w:rsidRPr="004474A2">
        <w:t>För att attrahera mer tillväxtvänliga investeringar och öka initiativen till byggnation och expansion bör även överklagningsmöjligheterna i planproce</w:t>
      </w:r>
      <w:r w:rsidRPr="004474A2">
        <w:t>s</w:t>
      </w:r>
      <w:r w:rsidRPr="004474A2">
        <w:t>sen ses över så att dessa överklaganden inte kan dra ut på tiden och komma att omfatta många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4A2">
        <w:trPr>
          <w:cantSplit/>
        </w:trPr>
        <w:tc>
          <w:tcPr>
            <w:tcW w:w="3046" w:type="dxa"/>
          </w:tcPr>
          <w:p w:rsidR="004474A2" w:rsidRPr="004474A2" w:rsidRDefault="004474A2">
            <w:pPr>
              <w:pStyle w:val="UnderskriftDatum"/>
              <w:spacing w:before="240"/>
            </w:pPr>
            <w:r w:rsidRPr="004474A2">
              <w:t>Stockholm den 2 oktober 2009</w:t>
            </w:r>
          </w:p>
        </w:tc>
        <w:tc>
          <w:tcPr>
            <w:tcW w:w="3047" w:type="dxa"/>
          </w:tcPr>
          <w:p w:rsidR="004474A2" w:rsidRPr="004474A2" w:rsidRDefault="004474A2">
            <w:pPr>
              <w:pStyle w:val="Underskrifter"/>
              <w:spacing w:before="240"/>
            </w:pPr>
          </w:p>
        </w:tc>
      </w:tr>
      <w:tr w:rsidR="00000000" w:rsidRPr="004474A2">
        <w:trPr>
          <w:cantSplit/>
        </w:trPr>
        <w:tc>
          <w:tcPr>
            <w:tcW w:w="3046" w:type="dxa"/>
          </w:tcPr>
          <w:p w:rsidR="004474A2" w:rsidRPr="004474A2" w:rsidRDefault="004474A2">
            <w:pPr>
              <w:pStyle w:val="Underskrifter"/>
            </w:pPr>
            <w:r w:rsidRPr="004474A2">
              <w:t>Ulrika Karlsson i Uppsala (m)</w:t>
            </w:r>
          </w:p>
        </w:tc>
        <w:tc>
          <w:tcPr>
            <w:tcW w:w="3046" w:type="dxa"/>
          </w:tcPr>
          <w:p w:rsidR="004474A2" w:rsidRPr="004474A2" w:rsidRDefault="004474A2">
            <w:pPr>
              <w:pStyle w:val="Underskrifter"/>
            </w:pPr>
          </w:p>
        </w:tc>
      </w:tr>
    </w:tbl>
    <w:p w:rsidR="004474A2" w:rsidRPr="004474A2" w:rsidRDefault="004474A2">
      <w:pPr>
        <w:pStyle w:val="Normaltindrag"/>
      </w:pPr>
    </w:p>
    <w:sectPr w:rsidR="00000000" w:rsidRPr="004474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4A2" w:rsidRPr="004474A2" w:rsidRDefault="004474A2">
      <w:r w:rsidRPr="004474A2">
        <w:separator/>
      </w:r>
    </w:p>
  </w:endnote>
  <w:endnote w:type="continuationSeparator" w:id="0">
    <w:p w:rsidR="004474A2" w:rsidRPr="004474A2" w:rsidRDefault="004474A2">
      <w:r w:rsidRPr="004474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Sidfot"/>
    </w:pPr>
    <w:r w:rsidRPr="004474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545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A2" w:rsidRDefault="004474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4A2" w:rsidRDefault="004474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Sidfot"/>
    </w:pPr>
    <w:r w:rsidRPr="004474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964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A2" w:rsidRDefault="004474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4A2" w:rsidRDefault="004474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Sidfot"/>
    </w:pPr>
    <w:r w:rsidRPr="004474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62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A2" w:rsidRDefault="004474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4A2" w:rsidRDefault="004474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4A2" w:rsidRPr="004474A2" w:rsidRDefault="004474A2">
      <w:r w:rsidRPr="004474A2">
        <w:separator/>
      </w:r>
    </w:p>
  </w:footnote>
  <w:footnote w:type="continuationSeparator" w:id="0">
    <w:p w:rsidR="004474A2" w:rsidRPr="004474A2" w:rsidRDefault="004474A2">
      <w:r w:rsidRPr="004474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Sidhuvud"/>
    </w:pPr>
    <w:r w:rsidRPr="004474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846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A2" w:rsidRDefault="004474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4A2" w:rsidRDefault="004474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Sidhuvud"/>
    </w:pPr>
    <w:r w:rsidRPr="004474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594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A2" w:rsidRDefault="004474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4A2" w:rsidRDefault="004474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A2" w:rsidRPr="004474A2" w:rsidRDefault="004474A2">
    <w:pPr>
      <w:pStyle w:val="FSHNormal"/>
      <w:tabs>
        <w:tab w:val="right" w:pos="5840"/>
      </w:tabs>
    </w:pPr>
    <w:r w:rsidRPr="004474A2">
      <w:br/>
    </w:r>
    <w:r w:rsidRPr="004474A2">
      <w:fldChar w:fldCharType="begin" w:fldLock="1"/>
    </w:r>
    <w:r w:rsidRPr="004474A2">
      <w:instrText xml:space="preserve"> DOCPROPERTY</w:instrText>
    </w:r>
    <w:r w:rsidRPr="004474A2">
      <w:rPr>
        <w:sz w:val="18"/>
      </w:rPr>
      <w:instrText xml:space="preserve"> "YearUser" *\charformat </w:instrText>
    </w:r>
    <w:r w:rsidRPr="004474A2">
      <w:fldChar w:fldCharType="separate"/>
    </w:r>
    <w:r w:rsidRPr="004474A2">
      <w:t>2009/10</w:t>
    </w:r>
    <w:r w:rsidRPr="004474A2">
      <w:fldChar w:fldCharType="end"/>
    </w:r>
    <w:r w:rsidRPr="004474A2">
      <w:t xml:space="preserve"> </w:t>
    </w:r>
    <w:r w:rsidRPr="004474A2">
      <w:tab/>
      <w:t xml:space="preserve">mnr: </w:t>
    </w:r>
    <w:r w:rsidRPr="004474A2">
      <w:fldChar w:fldCharType="begin" w:fldLock="1"/>
    </w:r>
    <w:r w:rsidRPr="004474A2">
      <w:instrText xml:space="preserve"> DOCPROPERTY</w:instrText>
    </w:r>
    <w:r w:rsidRPr="004474A2">
      <w:rPr>
        <w:sz w:val="18"/>
      </w:rPr>
      <w:instrText xml:space="preserve"> "Motionsnummer" *\charformat </w:instrText>
    </w:r>
    <w:r w:rsidRPr="004474A2">
      <w:fldChar w:fldCharType="separate"/>
    </w:r>
    <w:r w:rsidRPr="004474A2">
      <w:t>C379</w:t>
    </w:r>
    <w:r w:rsidRPr="004474A2">
      <w:fldChar w:fldCharType="end"/>
    </w:r>
    <w:r w:rsidRPr="004474A2">
      <w:br/>
    </w:r>
    <w:r w:rsidRPr="004474A2">
      <w:fldChar w:fldCharType="begin" w:fldLock="1"/>
    </w:r>
    <w:r w:rsidRPr="004474A2">
      <w:instrText xml:space="preserve"> DOCPROPERTY</w:instrText>
    </w:r>
    <w:r w:rsidRPr="004474A2">
      <w:rPr>
        <w:sz w:val="18"/>
      </w:rPr>
      <w:instrText xml:space="preserve"> "Samling" *\charformat </w:instrText>
    </w:r>
    <w:r w:rsidRPr="004474A2">
      <w:fldChar w:fldCharType="end"/>
    </w:r>
    <w:r w:rsidRPr="004474A2">
      <w:tab/>
      <w:t xml:space="preserve">pnr: </w:t>
    </w:r>
    <w:r w:rsidRPr="004474A2">
      <w:fldChar w:fldCharType="begin" w:fldLock="1"/>
    </w:r>
    <w:r w:rsidRPr="004474A2">
      <w:instrText xml:space="preserve"> DOCPROPERTY</w:instrText>
    </w:r>
    <w:r w:rsidRPr="004474A2">
      <w:rPr>
        <w:sz w:val="18"/>
      </w:rPr>
      <w:instrText xml:space="preserve"> "Partinummer" *\charformat </w:instrText>
    </w:r>
    <w:r w:rsidRPr="004474A2">
      <w:fldChar w:fldCharType="separate"/>
    </w:r>
    <w:r w:rsidRPr="004474A2">
      <w:t>m1489</w:t>
    </w:r>
    <w:r w:rsidRPr="004474A2">
      <w:fldChar w:fldCharType="end"/>
    </w:r>
  </w:p>
  <w:p w:rsidR="004474A2" w:rsidRPr="004474A2" w:rsidRDefault="004474A2">
    <w:pPr>
      <w:pStyle w:val="FSHRub1"/>
    </w:pPr>
    <w:r w:rsidRPr="004474A2">
      <w:t>Motion till riksdagen</w:t>
    </w:r>
    <w:r w:rsidRPr="004474A2">
      <w:br/>
    </w:r>
    <w:r w:rsidRPr="004474A2">
      <w:fldChar w:fldCharType="begin" w:fldLock="1"/>
    </w:r>
    <w:r w:rsidRPr="004474A2">
      <w:instrText xml:space="preserve"> DOCPROPERTY "YearUser" *\charformat </w:instrText>
    </w:r>
    <w:r w:rsidRPr="004474A2">
      <w:fldChar w:fldCharType="separate"/>
    </w:r>
    <w:r w:rsidRPr="004474A2">
      <w:t>2009/10</w:t>
    </w:r>
    <w:r w:rsidRPr="004474A2">
      <w:fldChar w:fldCharType="end"/>
    </w:r>
    <w:r w:rsidRPr="004474A2">
      <w:t>:</w:t>
    </w:r>
    <w:r w:rsidRPr="004474A2">
      <w:fldChar w:fldCharType="begin" w:fldLock="1"/>
    </w:r>
    <w:r w:rsidRPr="004474A2">
      <w:instrText xml:space="preserve"> DOCPROPERTY "Motionsnummer" *\charformat </w:instrText>
    </w:r>
    <w:r w:rsidRPr="004474A2">
      <w:fldChar w:fldCharType="separate"/>
    </w:r>
    <w:r w:rsidRPr="004474A2">
      <w:t>C379</w:t>
    </w:r>
    <w:r w:rsidRPr="004474A2">
      <w:fldChar w:fldCharType="end"/>
    </w:r>
  </w:p>
  <w:p w:rsidR="004474A2" w:rsidRPr="004474A2" w:rsidRDefault="004474A2">
    <w:pPr>
      <w:pStyle w:val="FSHNormalS5"/>
    </w:pPr>
    <w:r w:rsidRPr="004474A2">
      <w:fldChar w:fldCharType="begin" w:fldLock="1"/>
    </w:r>
    <w:r w:rsidRPr="004474A2">
      <w:instrText xml:space="preserve"> DOCPROPERTY "MotionarText" *\charformat </w:instrText>
    </w:r>
    <w:r w:rsidRPr="004474A2">
      <w:fldChar w:fldCharType="separate"/>
    </w:r>
    <w:r w:rsidRPr="004474A2">
      <w:t>av Ulrika Karlsson i Uppsala (m)</w:t>
    </w:r>
    <w:r w:rsidRPr="004474A2">
      <w:fldChar w:fldCharType="end"/>
    </w:r>
    <w:r w:rsidRPr="004474A2">
      <w:br/>
    </w:r>
    <w:r w:rsidRPr="004474A2">
      <w:fldChar w:fldCharType="begin" w:fldLock="1"/>
    </w:r>
    <w:r w:rsidRPr="004474A2">
      <w:instrText xml:space="preserve"> DOCPROPERTY "SvarFrasKort" *\charformat </w:instrText>
    </w:r>
    <w:r w:rsidRPr="004474A2">
      <w:fldChar w:fldCharType="end"/>
    </w:r>
  </w:p>
  <w:p w:rsidR="004474A2" w:rsidRPr="004474A2" w:rsidRDefault="004474A2">
    <w:pPr>
      <w:pStyle w:val="FSHTitel"/>
    </w:pPr>
    <w:r w:rsidRPr="004474A2">
      <w:fldChar w:fldCharType="begin" w:fldLock="1"/>
    </w:r>
    <w:r w:rsidRPr="004474A2">
      <w:instrText xml:space="preserve"> DOCPROPERTY</w:instrText>
    </w:r>
    <w:r w:rsidRPr="004474A2">
      <w:rPr>
        <w:sz w:val="18"/>
      </w:rPr>
      <w:instrText xml:space="preserve"> "RubrikSvar" *\charformat </w:instrText>
    </w:r>
    <w:r w:rsidRPr="004474A2">
      <w:fldChar w:fldCharType="separate"/>
    </w:r>
    <w:r w:rsidRPr="004474A2">
      <w:t>En smidigare och tryggare plan- och bygglovsprocess</w:t>
    </w:r>
    <w:r w:rsidRPr="004474A2">
      <w:fldChar w:fldCharType="end"/>
    </w:r>
  </w:p>
  <w:p w:rsidR="004474A2" w:rsidRPr="004474A2" w:rsidRDefault="004474A2">
    <w:pPr>
      <w:pStyle w:val="Normal00"/>
    </w:pPr>
  </w:p>
  <w:p w:rsidR="004474A2" w:rsidRPr="004474A2" w:rsidRDefault="004474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6C72FB4"/>
    <w:multiLevelType w:val="hybridMultilevel"/>
    <w:tmpl w:val="EBFE0100"/>
    <w:lvl w:ilvl="0" w:tplc="D15C52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A26AB1"/>
    <w:multiLevelType w:val="hybridMultilevel"/>
    <w:tmpl w:val="01DCAF2A"/>
    <w:lvl w:ilvl="0" w:tplc="E18682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3582381">
    <w:abstractNumId w:val="8"/>
  </w:num>
  <w:num w:numId="2" w16cid:durableId="828247476">
    <w:abstractNumId w:val="9"/>
  </w:num>
  <w:num w:numId="3" w16cid:durableId="1726761360">
    <w:abstractNumId w:val="8"/>
  </w:num>
  <w:num w:numId="4" w16cid:durableId="1725367723">
    <w:abstractNumId w:val="9"/>
  </w:num>
  <w:num w:numId="5" w16cid:durableId="708529340">
    <w:abstractNumId w:val="15"/>
  </w:num>
  <w:num w:numId="6" w16cid:durableId="74590725">
    <w:abstractNumId w:val="10"/>
  </w:num>
  <w:num w:numId="7" w16cid:durableId="889460851">
    <w:abstractNumId w:val="13"/>
  </w:num>
  <w:num w:numId="8" w16cid:durableId="449936999">
    <w:abstractNumId w:val="14"/>
  </w:num>
  <w:num w:numId="9" w16cid:durableId="3359427">
    <w:abstractNumId w:val="8"/>
  </w:num>
  <w:num w:numId="10" w16cid:durableId="65302514">
    <w:abstractNumId w:val="3"/>
  </w:num>
  <w:num w:numId="11" w16cid:durableId="1659965199">
    <w:abstractNumId w:val="2"/>
  </w:num>
  <w:num w:numId="12" w16cid:durableId="1775443051">
    <w:abstractNumId w:val="1"/>
  </w:num>
  <w:num w:numId="13" w16cid:durableId="1835802159">
    <w:abstractNumId w:val="0"/>
  </w:num>
  <w:num w:numId="14" w16cid:durableId="924997988">
    <w:abstractNumId w:val="9"/>
  </w:num>
  <w:num w:numId="15" w16cid:durableId="295258171">
    <w:abstractNumId w:val="7"/>
  </w:num>
  <w:num w:numId="16" w16cid:durableId="922297852">
    <w:abstractNumId w:val="6"/>
  </w:num>
  <w:num w:numId="17" w16cid:durableId="1752240133">
    <w:abstractNumId w:val="5"/>
  </w:num>
  <w:num w:numId="18" w16cid:durableId="878051677">
    <w:abstractNumId w:val="4"/>
  </w:num>
  <w:num w:numId="19" w16cid:durableId="175270403">
    <w:abstractNumId w:val="11"/>
  </w:num>
  <w:num w:numId="20" w16cid:durableId="1226406105">
    <w:abstractNumId w:val="13"/>
  </w:num>
  <w:num w:numId="21" w16cid:durableId="1600874842">
    <w:abstractNumId w:val="10"/>
  </w:num>
  <w:num w:numId="22" w16cid:durableId="1711416565">
    <w:abstractNumId w:val="14"/>
  </w:num>
  <w:num w:numId="23" w16cid:durableId="321931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
  </w:docVars>
  <w:rsids>
    <w:rsidRoot w:val="00C63D4E"/>
    <w:rsid w:val="004474A2"/>
    <w:rsid w:val="00C63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EBA73F-0477-4810-B797-7B34E940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2632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m1489</vt:lpstr>
    </vt:vector>
  </TitlesOfParts>
  <Company>Riksdagen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m1489</dc:title>
  <dc:subject>m1489</dc:subject>
  <dc:creator>Riksdagen</dc:creator>
  <cp:keywords>Riksdagen</cp:keywords>
  <dc:description>Nya formatmallshantering för förslag+urix bakåtkomp+könamn</dc:description>
  <cp:lastModifiedBy>Lars Brink</cp:lastModifiedBy>
  <cp:revision>2</cp:revision>
  <cp:lastPrinted>2010-01-24T09:15:00Z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smidigare och tryggare plan- och bygglovsprocess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smidigare och tryggare plan- och bygglovsprocess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20092010000000000109000014890069</vt:lpwstr>
  </property>
  <property fmtid="{D5CDD505-2E9C-101B-9397-08002B2CF9AE}" pid="47" name="datum">
    <vt:lpwstr>091002</vt:lpwstr>
  </property>
  <property fmtid="{D5CDD505-2E9C-101B-9397-08002B2CF9AE}" pid="48" name="avsändar-e-post">
    <vt:lpwstr>shashika.padmaperuma@riksdagen.se</vt:lpwstr>
  </property>
  <property fmtid="{D5CDD505-2E9C-101B-9397-08002B2CF9AE}" pid="49" name="id">
    <vt:lpwstr>20092010000000000109000014890069</vt:lpwstr>
  </property>
  <property fmtid="{D5CDD505-2E9C-101B-9397-08002B2CF9AE}" pid="50" name="nummer">
    <vt:lpwstr>379</vt:lpwstr>
  </property>
  <property fmtid="{D5CDD505-2E9C-101B-9397-08002B2CF9AE}" pid="51" name="utskottsbeteckning">
    <vt:lpwstr>C</vt:lpwstr>
  </property>
  <property fmtid="{D5CDD505-2E9C-101B-9397-08002B2CF9AE}" pid="52" name="GlobalUID">
    <vt:lpwstr>{BAA5D53C-B53F-429A-AEEE-967AE232E9FC}</vt:lpwstr>
  </property>
  <property fmtid="{D5CDD505-2E9C-101B-9397-08002B2CF9AE}" pid="53" name="Överföringar">
    <vt:i4>0</vt:i4>
  </property>
  <property fmtid="{D5CDD505-2E9C-101B-9397-08002B2CF9AE}" pid="54" name="Checksum">
    <vt:lpwstr>*0004515666003*</vt:lpwstr>
  </property>
  <property fmtid="{D5CDD505-2E9C-101B-9397-08002B2CF9AE}" pid="55" name="skuggnummer">
    <vt:lpwstr>2059</vt:lpwstr>
  </property>
  <property fmtid="{D5CDD505-2E9C-101B-9397-08002B2CF9AE}" pid="56" name="urixVersion">
    <vt:lpwstr>4.1.0.6</vt:lpwstr>
  </property>
  <property fmtid="{D5CDD505-2E9C-101B-9397-08002B2CF9AE}" pid="57" name="urixOrigin">
    <vt:lpwstr>100124 10:15:55.020</vt:lpwstr>
  </property>
  <property fmtid="{D5CDD505-2E9C-101B-9397-08002B2CF9AE}" pid="58" name="urixGuid">
    <vt:lpwstr>{443BE8E0-74D4-47A5-9F66-02732D574BE0}</vt:lpwstr>
  </property>
</Properties>
</file>