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11483EEF" w:rsidR="0096348C" w:rsidRDefault="002C4A2A" w:rsidP="0096348C">
            <w:pPr>
              <w:rPr>
                <w:b/>
              </w:rPr>
            </w:pPr>
            <w:r>
              <w:rPr>
                <w:b/>
              </w:rPr>
              <w:t>UTSKOTTSSAMMANTRÄDE 20</w:t>
            </w:r>
            <w:r w:rsidR="00C47A83">
              <w:rPr>
                <w:b/>
              </w:rPr>
              <w:t>2</w:t>
            </w:r>
            <w:r w:rsidR="00D970F7">
              <w:rPr>
                <w:b/>
              </w:rPr>
              <w:t>2</w:t>
            </w:r>
            <w:r>
              <w:rPr>
                <w:b/>
              </w:rPr>
              <w:t>/</w:t>
            </w:r>
            <w:r w:rsidR="00484908">
              <w:rPr>
                <w:b/>
              </w:rPr>
              <w:t>2</w:t>
            </w:r>
            <w:r w:rsidR="00D970F7">
              <w:rPr>
                <w:b/>
              </w:rPr>
              <w:t>3</w:t>
            </w:r>
            <w:r w:rsidR="0096348C">
              <w:rPr>
                <w:b/>
              </w:rPr>
              <w:t>:</w:t>
            </w:r>
            <w:r w:rsidR="00CE7BB0">
              <w:rPr>
                <w:b/>
              </w:rPr>
              <w:t>3</w:t>
            </w:r>
            <w:r w:rsidR="00BD78A3">
              <w:rPr>
                <w:b/>
              </w:rPr>
              <w:t>2</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588720E0" w:rsidR="0096348C" w:rsidRDefault="00841169" w:rsidP="000E055F">
            <w:r>
              <w:t>20</w:t>
            </w:r>
            <w:r w:rsidR="007A3DA7">
              <w:t>2</w:t>
            </w:r>
            <w:r w:rsidR="00073409">
              <w:t>3</w:t>
            </w:r>
            <w:r w:rsidR="007B4607">
              <w:t>-</w:t>
            </w:r>
            <w:r w:rsidR="00FB191B">
              <w:t>0</w:t>
            </w:r>
            <w:r w:rsidR="00F548CF">
              <w:t>6</w:t>
            </w:r>
            <w:r w:rsidR="00745634">
              <w:t>-</w:t>
            </w:r>
            <w:r w:rsidR="00B22D9D">
              <w:t>1</w:t>
            </w:r>
            <w:r w:rsidR="00BD78A3">
              <w:t>5</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7B0FF4F8" w:rsidR="0096348C" w:rsidRDefault="00EB5D50" w:rsidP="00214E90">
            <w:r w:rsidRPr="00BE690A">
              <w:t>1</w:t>
            </w:r>
            <w:r w:rsidR="00BD78A3">
              <w:t>0</w:t>
            </w:r>
            <w:r w:rsidR="00497FA3" w:rsidRPr="00BE690A">
              <w:t>.</w:t>
            </w:r>
            <w:r w:rsidR="0020234A">
              <w:t>0</w:t>
            </w:r>
            <w:r w:rsidR="00326424" w:rsidRPr="00BE690A">
              <w:t>0</w:t>
            </w:r>
            <w:r w:rsidR="00143484" w:rsidRPr="00BE690A">
              <w:t>-</w:t>
            </w:r>
            <w:r w:rsidR="00CD6B96" w:rsidRPr="00BE690A">
              <w:t>1</w:t>
            </w:r>
            <w:r w:rsidR="0020234A">
              <w:t>0</w:t>
            </w:r>
            <w:r w:rsidR="00CD6B96" w:rsidRPr="00BE690A">
              <w:t>.</w:t>
            </w:r>
            <w:r w:rsidR="0020234A">
              <w:t>4</w:t>
            </w:r>
            <w:r w:rsidR="00FB0F83">
              <w:t>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622DBD" w14:paraId="015954AA" w14:textId="77777777" w:rsidTr="00121808">
        <w:tc>
          <w:tcPr>
            <w:tcW w:w="567" w:type="dxa"/>
            <w:shd w:val="clear" w:color="auto" w:fill="auto"/>
          </w:tcPr>
          <w:p w14:paraId="41BCBE9A" w14:textId="5113E49B" w:rsidR="00622DBD" w:rsidRDefault="00622DBD" w:rsidP="00D467E8">
            <w:pPr>
              <w:tabs>
                <w:tab w:val="left" w:pos="1701"/>
              </w:tabs>
              <w:rPr>
                <w:b/>
                <w:snapToGrid w:val="0"/>
              </w:rPr>
            </w:pPr>
            <w:r>
              <w:rPr>
                <w:b/>
                <w:snapToGrid w:val="0"/>
              </w:rPr>
              <w:t>§1</w:t>
            </w:r>
          </w:p>
        </w:tc>
        <w:tc>
          <w:tcPr>
            <w:tcW w:w="6946" w:type="dxa"/>
            <w:shd w:val="clear" w:color="auto" w:fill="auto"/>
          </w:tcPr>
          <w:p w14:paraId="62C1965C" w14:textId="77777777" w:rsidR="00622DBD" w:rsidRDefault="00622DBD" w:rsidP="00D9259E">
            <w:pPr>
              <w:rPr>
                <w:b/>
              </w:rPr>
            </w:pPr>
            <w:r>
              <w:rPr>
                <w:b/>
              </w:rPr>
              <w:t>Beslut om närvaro</w:t>
            </w:r>
          </w:p>
          <w:p w14:paraId="498763EE" w14:textId="77777777" w:rsidR="00622DBD" w:rsidRDefault="00622DBD" w:rsidP="00D9259E">
            <w:pPr>
              <w:rPr>
                <w:b/>
              </w:rPr>
            </w:pPr>
          </w:p>
          <w:p w14:paraId="2A779D45" w14:textId="0132CCC0" w:rsidR="00622DBD" w:rsidRPr="00622DBD" w:rsidRDefault="00622DBD" w:rsidP="00D9259E">
            <w:pPr>
              <w:rPr>
                <w:bCs/>
              </w:rPr>
            </w:pPr>
            <w:r>
              <w:rPr>
                <w:bCs/>
              </w:rPr>
              <w:t>En praktikant till l</w:t>
            </w:r>
            <w:r w:rsidRPr="00622DBD">
              <w:rPr>
                <w:bCs/>
              </w:rPr>
              <w:t xml:space="preserve">edamoten Sanna </w:t>
            </w:r>
            <w:r w:rsidR="008A002F">
              <w:rPr>
                <w:bCs/>
              </w:rPr>
              <w:t xml:space="preserve">Backeskog (S) </w:t>
            </w:r>
            <w:r>
              <w:rPr>
                <w:bCs/>
              </w:rPr>
              <w:t>fick närvara vid sammanträdet.</w:t>
            </w:r>
          </w:p>
          <w:p w14:paraId="00E8E301" w14:textId="5F430DDC" w:rsidR="00622DBD" w:rsidRDefault="00622DBD" w:rsidP="00D9259E">
            <w:pPr>
              <w:rPr>
                <w:b/>
              </w:rPr>
            </w:pPr>
          </w:p>
        </w:tc>
      </w:tr>
      <w:tr w:rsidR="00811424" w14:paraId="4C641913" w14:textId="77777777" w:rsidTr="00121808">
        <w:tc>
          <w:tcPr>
            <w:tcW w:w="567" w:type="dxa"/>
            <w:shd w:val="clear" w:color="auto" w:fill="auto"/>
          </w:tcPr>
          <w:p w14:paraId="050D1E9A" w14:textId="3AA7B757" w:rsidR="00811424" w:rsidRDefault="00811424" w:rsidP="00D467E8">
            <w:pPr>
              <w:tabs>
                <w:tab w:val="left" w:pos="1701"/>
              </w:tabs>
              <w:rPr>
                <w:b/>
                <w:snapToGrid w:val="0"/>
              </w:rPr>
            </w:pPr>
            <w:r>
              <w:rPr>
                <w:b/>
                <w:snapToGrid w:val="0"/>
              </w:rPr>
              <w:t xml:space="preserve">§ </w:t>
            </w:r>
            <w:r w:rsidR="004D55E5">
              <w:rPr>
                <w:b/>
                <w:snapToGrid w:val="0"/>
              </w:rPr>
              <w:t>2</w:t>
            </w:r>
          </w:p>
        </w:tc>
        <w:tc>
          <w:tcPr>
            <w:tcW w:w="6946" w:type="dxa"/>
            <w:shd w:val="clear" w:color="auto" w:fill="auto"/>
          </w:tcPr>
          <w:p w14:paraId="4F6A9C2F" w14:textId="671F11E2" w:rsidR="009A54FF" w:rsidRDefault="00BD78A3" w:rsidP="00D9259E">
            <w:pPr>
              <w:rPr>
                <w:b/>
              </w:rPr>
            </w:pPr>
            <w:r>
              <w:rPr>
                <w:b/>
              </w:rPr>
              <w:t>Överläggning med regeringen om förslag till förordning om överföring av straffrättsliga förfaranden</w:t>
            </w:r>
          </w:p>
          <w:p w14:paraId="20093D22" w14:textId="77777777" w:rsidR="009A54FF" w:rsidRDefault="009A54FF" w:rsidP="00D9259E">
            <w:pPr>
              <w:rPr>
                <w:bCs/>
              </w:rPr>
            </w:pPr>
          </w:p>
          <w:p w14:paraId="2DFE0037" w14:textId="7835D688" w:rsidR="009A54FF" w:rsidRDefault="009A54FF" w:rsidP="00D9259E">
            <w:pPr>
              <w:rPr>
                <w:bCs/>
              </w:rPr>
            </w:pPr>
            <w:r>
              <w:rPr>
                <w:bCs/>
              </w:rPr>
              <w:t>Utskottet överlade med statssekreterare Charlotte Kugelberg, biträdd av medarbetare från Justitiedepartementet.</w:t>
            </w:r>
          </w:p>
          <w:p w14:paraId="44742288" w14:textId="365D9073" w:rsidR="009A54FF" w:rsidRDefault="009A54FF" w:rsidP="00D9259E">
            <w:pPr>
              <w:rPr>
                <w:bCs/>
              </w:rPr>
            </w:pPr>
          </w:p>
          <w:p w14:paraId="3E7B6BD6" w14:textId="2DE910E3" w:rsidR="009A54FF" w:rsidRDefault="009A54FF" w:rsidP="00D9259E">
            <w:pPr>
              <w:rPr>
                <w:bCs/>
              </w:rPr>
            </w:pPr>
            <w:r>
              <w:rPr>
                <w:bCs/>
              </w:rPr>
              <w:t>Underlaget utgjordes av COM(2023) 185 och Regeringskansliets faktapromemoria, 2022/23:FPM83.</w:t>
            </w:r>
          </w:p>
          <w:p w14:paraId="6139A1DD" w14:textId="7B038D79" w:rsidR="009A54FF" w:rsidRDefault="009A54FF" w:rsidP="00D9259E">
            <w:pPr>
              <w:rPr>
                <w:bCs/>
              </w:rPr>
            </w:pPr>
          </w:p>
          <w:p w14:paraId="52575444" w14:textId="43D2B669" w:rsidR="009A54FF" w:rsidRDefault="009A54FF" w:rsidP="00D9259E">
            <w:pPr>
              <w:rPr>
                <w:bCs/>
              </w:rPr>
            </w:pPr>
            <w:r>
              <w:rPr>
                <w:bCs/>
              </w:rPr>
              <w:t xml:space="preserve">Statssekreterare Charlotte Kugelberg redogjorde för regeringens ståndpunkt i enlighet med faktapromemorian: </w:t>
            </w:r>
          </w:p>
          <w:p w14:paraId="05ACB51D" w14:textId="4DACBA47" w:rsidR="009A54FF" w:rsidRDefault="009A54FF" w:rsidP="00D9259E">
            <w:pPr>
              <w:rPr>
                <w:bCs/>
              </w:rPr>
            </w:pPr>
          </w:p>
          <w:p w14:paraId="157D2ACE" w14:textId="707FF4D8" w:rsidR="009A54FF" w:rsidRPr="009A54FF" w:rsidRDefault="009A54FF" w:rsidP="009A54FF">
            <w:pPr>
              <w:pStyle w:val="Citat"/>
              <w:jc w:val="left"/>
              <w:rPr>
                <w:i w:val="0"/>
                <w:iCs w:val="0"/>
                <w:color w:val="auto"/>
              </w:rPr>
            </w:pPr>
            <w:r w:rsidRPr="009A54FF">
              <w:rPr>
                <w:i w:val="0"/>
                <w:iCs w:val="0"/>
                <w:color w:val="auto"/>
              </w:rPr>
              <w:t>Ett väl fungerande samarbete mellan medlems</w:t>
            </w:r>
            <w:r>
              <w:rPr>
                <w:i w:val="0"/>
                <w:iCs w:val="0"/>
                <w:color w:val="auto"/>
              </w:rPr>
              <w:softHyphen/>
            </w:r>
            <w:r w:rsidRPr="009A54FF">
              <w:rPr>
                <w:i w:val="0"/>
                <w:iCs w:val="0"/>
                <w:color w:val="auto"/>
              </w:rPr>
              <w:t>staterna om överföring av straffrättsliga förfaranden är ett viktigt komplement till det nuvarande straff</w:t>
            </w:r>
            <w:r>
              <w:rPr>
                <w:i w:val="0"/>
                <w:iCs w:val="0"/>
                <w:color w:val="auto"/>
              </w:rPr>
              <w:softHyphen/>
            </w:r>
            <w:r w:rsidRPr="009A54FF">
              <w:rPr>
                <w:i w:val="0"/>
                <w:iCs w:val="0"/>
                <w:color w:val="auto"/>
              </w:rPr>
              <w:t>rättsliga samarbetet. Att EU-gemensamma regler införs på området innebär bland annat ett mervärde i kampen mot den gränsöverskridande brottsligheten och för att motverka straffrihet. Regeringen välkomnar därför kommissionens förslag om ett nytt EU-instrument på området. Regeringen avser verka för att det nya instrumentet leder till en effektiv och rättssäker</w:t>
            </w:r>
            <w:r>
              <w:rPr>
                <w:i w:val="0"/>
                <w:iCs w:val="0"/>
                <w:color w:val="auto"/>
              </w:rPr>
              <w:t xml:space="preserve"> </w:t>
            </w:r>
            <w:r w:rsidRPr="009A54FF">
              <w:rPr>
                <w:i w:val="0"/>
                <w:iCs w:val="0"/>
                <w:color w:val="auto"/>
              </w:rPr>
              <w:t>handläggning av lagföring av brott som har koppling till flera medlemsstater. Att förordningens tillämpningsområde och förfarande</w:t>
            </w:r>
            <w:r>
              <w:rPr>
                <w:i w:val="0"/>
                <w:iCs w:val="0"/>
                <w:color w:val="auto"/>
              </w:rPr>
              <w:softHyphen/>
            </w:r>
            <w:r w:rsidRPr="009A54FF">
              <w:rPr>
                <w:i w:val="0"/>
                <w:iCs w:val="0"/>
                <w:color w:val="auto"/>
              </w:rPr>
              <w:t>regler blir ändamålsenliga bör eftersträvas. Det bör bevakas att reglerna om behörighet förbättrar möjligheterna till överföring. Likaså att ett till</w:t>
            </w:r>
            <w:r>
              <w:rPr>
                <w:i w:val="0"/>
                <w:iCs w:val="0"/>
                <w:color w:val="auto"/>
              </w:rPr>
              <w:softHyphen/>
            </w:r>
            <w:r w:rsidRPr="009A54FF">
              <w:rPr>
                <w:i w:val="0"/>
                <w:iCs w:val="0"/>
                <w:color w:val="auto"/>
              </w:rPr>
              <w:t>räckligt skydd för enskildas grundläggande rättigheter uppnås samtidigt som effektiviteten i det straffrättsliga samarbetet beaktas. Att behöriga myndigheters kommunikation</w:t>
            </w:r>
            <w:r>
              <w:rPr>
                <w:i w:val="0"/>
                <w:iCs w:val="0"/>
                <w:color w:val="auto"/>
              </w:rPr>
              <w:t xml:space="preserve"> </w:t>
            </w:r>
            <w:r w:rsidRPr="009A54FF">
              <w:rPr>
                <w:i w:val="0"/>
                <w:iCs w:val="0"/>
                <w:color w:val="auto"/>
              </w:rPr>
              <w:t xml:space="preserve">ska ske digitalt välkomnas. Regeringen ska konstruktivt verka för </w:t>
            </w:r>
            <w:r w:rsidRPr="009A54FF">
              <w:rPr>
                <w:i w:val="0"/>
                <w:iCs w:val="0"/>
                <w:color w:val="auto"/>
              </w:rPr>
              <w:lastRenderedPageBreak/>
              <w:t>att medel används så effektivt som möjligt för de utgifter som ingår i uppgörelsen om EU:s långtidsbudget för 2021–2027.</w:t>
            </w:r>
          </w:p>
          <w:p w14:paraId="76731E17" w14:textId="0294855F" w:rsidR="009A54FF" w:rsidRPr="009A54FF" w:rsidRDefault="009A54FF" w:rsidP="009A54FF">
            <w:pPr>
              <w:pStyle w:val="Citat"/>
              <w:jc w:val="left"/>
              <w:rPr>
                <w:i w:val="0"/>
                <w:iCs w:val="0"/>
                <w:color w:val="auto"/>
              </w:rPr>
            </w:pPr>
            <w:r w:rsidRPr="009A54FF">
              <w:rPr>
                <w:i w:val="0"/>
                <w:iCs w:val="0"/>
                <w:color w:val="auto"/>
              </w:rPr>
              <w:t>Eventuella nya uppgifter och åtaganden som innebär kostnader ska</w:t>
            </w:r>
            <w:r>
              <w:rPr>
                <w:i w:val="0"/>
                <w:iCs w:val="0"/>
                <w:color w:val="auto"/>
              </w:rPr>
              <w:t xml:space="preserve"> </w:t>
            </w:r>
            <w:r w:rsidRPr="009A54FF">
              <w:rPr>
                <w:i w:val="0"/>
                <w:iCs w:val="0"/>
                <w:color w:val="auto"/>
              </w:rPr>
              <w:t>finansieras genom omprioriteringar av medel inom beslutade ramar i den fleråriga budget</w:t>
            </w:r>
            <w:r>
              <w:rPr>
                <w:i w:val="0"/>
                <w:iCs w:val="0"/>
                <w:color w:val="auto"/>
              </w:rPr>
              <w:softHyphen/>
            </w:r>
            <w:r w:rsidRPr="009A54FF">
              <w:rPr>
                <w:i w:val="0"/>
                <w:iCs w:val="0"/>
                <w:color w:val="auto"/>
              </w:rPr>
              <w:t>ramen (MFF). Eventuellt ökade kostnader på stats</w:t>
            </w:r>
            <w:r w:rsidR="00C62837">
              <w:rPr>
                <w:i w:val="0"/>
                <w:iCs w:val="0"/>
                <w:color w:val="auto"/>
              </w:rPr>
              <w:softHyphen/>
            </w:r>
            <w:r w:rsidRPr="009A54FF">
              <w:rPr>
                <w:i w:val="0"/>
                <w:iCs w:val="0"/>
                <w:color w:val="auto"/>
              </w:rPr>
              <w:t>budgeten ska finansieras inom befintliga ramar inom berörda utgiftsområden.</w:t>
            </w:r>
          </w:p>
          <w:p w14:paraId="22683E7C" w14:textId="1431E60E" w:rsidR="009A54FF" w:rsidRDefault="009A54FF" w:rsidP="00D9259E">
            <w:pPr>
              <w:rPr>
                <w:bCs/>
              </w:rPr>
            </w:pPr>
          </w:p>
          <w:p w14:paraId="595353BE" w14:textId="5F4FD879" w:rsidR="009A54FF" w:rsidRPr="009A54FF" w:rsidRDefault="009A54FF" w:rsidP="00D9259E">
            <w:pPr>
              <w:rPr>
                <w:bCs/>
              </w:rPr>
            </w:pPr>
            <w:r>
              <w:rPr>
                <w:bCs/>
              </w:rPr>
              <w:t xml:space="preserve">Ordföranden konstaterade att det fanns stöd för regeringens ståndpunkt. </w:t>
            </w:r>
          </w:p>
          <w:p w14:paraId="635B9B5D" w14:textId="2935D031" w:rsidR="00811424" w:rsidRDefault="00811424" w:rsidP="00AC7585">
            <w:pPr>
              <w:rPr>
                <w:b/>
              </w:rPr>
            </w:pPr>
          </w:p>
        </w:tc>
      </w:tr>
      <w:tr w:rsidR="000B404C" w14:paraId="22BF3F15" w14:textId="77777777" w:rsidTr="00121808">
        <w:tc>
          <w:tcPr>
            <w:tcW w:w="567" w:type="dxa"/>
            <w:shd w:val="clear" w:color="auto" w:fill="auto"/>
          </w:tcPr>
          <w:p w14:paraId="688BDE67" w14:textId="3434CAC2" w:rsidR="000B404C" w:rsidRDefault="000B404C" w:rsidP="00D467E8">
            <w:pPr>
              <w:tabs>
                <w:tab w:val="left" w:pos="1701"/>
              </w:tabs>
              <w:rPr>
                <w:b/>
                <w:snapToGrid w:val="0"/>
              </w:rPr>
            </w:pPr>
            <w:r>
              <w:rPr>
                <w:b/>
                <w:snapToGrid w:val="0"/>
              </w:rPr>
              <w:lastRenderedPageBreak/>
              <w:t xml:space="preserve">§ </w:t>
            </w:r>
            <w:r w:rsidR="004D55E5">
              <w:rPr>
                <w:b/>
                <w:snapToGrid w:val="0"/>
              </w:rPr>
              <w:t>3</w:t>
            </w:r>
          </w:p>
        </w:tc>
        <w:tc>
          <w:tcPr>
            <w:tcW w:w="6946" w:type="dxa"/>
            <w:shd w:val="clear" w:color="auto" w:fill="auto"/>
          </w:tcPr>
          <w:p w14:paraId="20C7FF9E" w14:textId="6A31BE8D" w:rsidR="000B404C" w:rsidRDefault="000B404C" w:rsidP="00D9259E">
            <w:pPr>
              <w:rPr>
                <w:b/>
              </w:rPr>
            </w:pPr>
            <w:r>
              <w:rPr>
                <w:b/>
              </w:rPr>
              <w:t>Direktiv om bekämpning av korruption</w:t>
            </w:r>
          </w:p>
          <w:p w14:paraId="11681F7C" w14:textId="628C9FFA" w:rsidR="009F01D0" w:rsidRDefault="009F01D0" w:rsidP="00D9259E">
            <w:pPr>
              <w:rPr>
                <w:b/>
              </w:rPr>
            </w:pPr>
          </w:p>
          <w:p w14:paraId="4940F33C" w14:textId="77777777" w:rsidR="009F01D0" w:rsidRDefault="009F01D0" w:rsidP="009F01D0">
            <w:pPr>
              <w:rPr>
                <w:bCs/>
              </w:rPr>
            </w:pPr>
            <w:r>
              <w:rPr>
                <w:bCs/>
              </w:rPr>
              <w:t>Utskottet överlade med statssekreterare Charlotte Kugelberg, biträdd av medarbetare från Justitiedepartementet.</w:t>
            </w:r>
          </w:p>
          <w:p w14:paraId="5BC02C92" w14:textId="77777777" w:rsidR="009F01D0" w:rsidRDefault="009F01D0" w:rsidP="009F01D0">
            <w:pPr>
              <w:rPr>
                <w:bCs/>
              </w:rPr>
            </w:pPr>
          </w:p>
          <w:p w14:paraId="767ACCD4" w14:textId="2C848167" w:rsidR="009F01D0" w:rsidRDefault="009F01D0" w:rsidP="009F01D0">
            <w:pPr>
              <w:rPr>
                <w:bCs/>
              </w:rPr>
            </w:pPr>
            <w:r>
              <w:rPr>
                <w:bCs/>
              </w:rPr>
              <w:t>Underlaget utgjordes av COM(2023) 234 och Regeringskansliets faktapromemoria, 2022/23:FPM93.</w:t>
            </w:r>
          </w:p>
          <w:p w14:paraId="6010E184" w14:textId="77777777" w:rsidR="009F01D0" w:rsidRDefault="009F01D0" w:rsidP="009F01D0">
            <w:pPr>
              <w:rPr>
                <w:bCs/>
              </w:rPr>
            </w:pPr>
          </w:p>
          <w:p w14:paraId="02A87294" w14:textId="2CC18BED" w:rsidR="009F01D0" w:rsidRDefault="009F01D0" w:rsidP="009F01D0">
            <w:pPr>
              <w:rPr>
                <w:bCs/>
              </w:rPr>
            </w:pPr>
            <w:r>
              <w:rPr>
                <w:bCs/>
              </w:rPr>
              <w:t xml:space="preserve">Statssekreterare Charlotte Kugelberg redogjorde för regeringens ståndpunkt i enlighet med faktapromemorian: </w:t>
            </w:r>
          </w:p>
          <w:p w14:paraId="1821D7D8" w14:textId="3FBB6E66" w:rsidR="009F01D0" w:rsidRDefault="009F01D0" w:rsidP="009F01D0">
            <w:pPr>
              <w:rPr>
                <w:bCs/>
              </w:rPr>
            </w:pPr>
          </w:p>
          <w:p w14:paraId="1875CFD0" w14:textId="03CBE00A" w:rsidR="009F01D0" w:rsidRPr="009F01D0" w:rsidRDefault="009F01D0" w:rsidP="009F01D0">
            <w:pPr>
              <w:pStyle w:val="Citat"/>
              <w:jc w:val="left"/>
              <w:rPr>
                <w:i w:val="0"/>
                <w:iCs w:val="0"/>
                <w:color w:val="auto"/>
              </w:rPr>
            </w:pPr>
            <w:r w:rsidRPr="009F01D0">
              <w:rPr>
                <w:i w:val="0"/>
                <w:iCs w:val="0"/>
                <w:color w:val="auto"/>
              </w:rPr>
              <w:t>Att förebygga och bekämpa korruption är prioriterade frågor för regeringen. För att nå framgång i detta arbete är internationell samverkan viktig och det europeiska samarbetet är därmed av central betydelse. Regeringen är därför positiv till och välkomnar initiativet till ett fortsatt arbete inom EU för att ytterligare förstärka arbetet med att förebygga och bekämpa korruption.</w:t>
            </w:r>
          </w:p>
          <w:p w14:paraId="7EB3ADB5" w14:textId="5CD599D0" w:rsidR="009F01D0" w:rsidRPr="009F01D0" w:rsidRDefault="009F01D0" w:rsidP="009F01D0">
            <w:pPr>
              <w:pStyle w:val="Citat"/>
              <w:jc w:val="left"/>
              <w:rPr>
                <w:i w:val="0"/>
                <w:iCs w:val="0"/>
                <w:color w:val="auto"/>
              </w:rPr>
            </w:pPr>
            <w:r w:rsidRPr="009F01D0">
              <w:rPr>
                <w:i w:val="0"/>
                <w:iCs w:val="0"/>
                <w:color w:val="auto"/>
              </w:rPr>
              <w:t>Det är dock viktigt att direktivet utformas så att det inte kommer i konflikt med svensk grundlag eller grundprinciperna i den svenska rättsordningen samt att det utformas med respekt för medlemsstaternas frihet att organisera sin offentliga förvaltning. Det är också viktigt att bestämmelserna i förslaget får en ändamålsenlig utformning och rimlig räckvidd samt att de inte avviker för mycket från liknande reglering i andra straffrättsliga instrument. Det gäller inte minst regleringen om påföljder för fysiska och juridiska personer.</w:t>
            </w:r>
          </w:p>
          <w:p w14:paraId="20F70E84" w14:textId="34E9DD67" w:rsidR="009F01D0" w:rsidRPr="009F01D0" w:rsidRDefault="009F01D0" w:rsidP="009F01D0">
            <w:pPr>
              <w:pStyle w:val="Citat"/>
              <w:jc w:val="left"/>
              <w:rPr>
                <w:i w:val="0"/>
                <w:iCs w:val="0"/>
                <w:color w:val="auto"/>
              </w:rPr>
            </w:pPr>
            <w:r w:rsidRPr="009F01D0">
              <w:rPr>
                <w:i w:val="0"/>
                <w:iCs w:val="0"/>
                <w:color w:val="auto"/>
              </w:rPr>
              <w:t>Förhandlingar om förslaget kommer att påbörjas under Sveriges EU-ordförandeskap till och med den 30 juni 2023.</w:t>
            </w:r>
          </w:p>
          <w:p w14:paraId="3F67650F" w14:textId="77777777" w:rsidR="009F01D0" w:rsidRDefault="009F01D0" w:rsidP="009F01D0">
            <w:pPr>
              <w:rPr>
                <w:bCs/>
              </w:rPr>
            </w:pPr>
          </w:p>
          <w:p w14:paraId="72EBF98D" w14:textId="61D1912E" w:rsidR="009F01D0" w:rsidRDefault="009F01D0" w:rsidP="009F01D0">
            <w:pPr>
              <w:rPr>
                <w:bCs/>
              </w:rPr>
            </w:pPr>
            <w:r>
              <w:rPr>
                <w:bCs/>
              </w:rPr>
              <w:t xml:space="preserve">Ordföranden konstaterade att det fanns stöd för regeringens ståndpunkt. </w:t>
            </w:r>
          </w:p>
          <w:p w14:paraId="47E2220C" w14:textId="77777777" w:rsidR="009F01D0" w:rsidRDefault="009F01D0" w:rsidP="00D9259E">
            <w:pPr>
              <w:rPr>
                <w:b/>
              </w:rPr>
            </w:pPr>
          </w:p>
          <w:p w14:paraId="58DFF4CD" w14:textId="1EBF024D" w:rsidR="00B245F9" w:rsidRDefault="00B245F9" w:rsidP="00D9259E">
            <w:pPr>
              <w:rPr>
                <w:b/>
              </w:rPr>
            </w:pPr>
          </w:p>
        </w:tc>
      </w:tr>
      <w:tr w:rsidR="000B404C" w14:paraId="10DC09A8" w14:textId="77777777" w:rsidTr="00121808">
        <w:tc>
          <w:tcPr>
            <w:tcW w:w="567" w:type="dxa"/>
            <w:shd w:val="clear" w:color="auto" w:fill="auto"/>
          </w:tcPr>
          <w:p w14:paraId="25639C2A" w14:textId="5F40C77A" w:rsidR="000B404C" w:rsidRDefault="000B404C" w:rsidP="00D467E8">
            <w:pPr>
              <w:tabs>
                <w:tab w:val="left" w:pos="1701"/>
              </w:tabs>
              <w:rPr>
                <w:b/>
                <w:snapToGrid w:val="0"/>
              </w:rPr>
            </w:pPr>
            <w:r>
              <w:rPr>
                <w:b/>
                <w:snapToGrid w:val="0"/>
              </w:rPr>
              <w:lastRenderedPageBreak/>
              <w:t xml:space="preserve">§ </w:t>
            </w:r>
            <w:r w:rsidR="004D55E5">
              <w:rPr>
                <w:b/>
                <w:snapToGrid w:val="0"/>
              </w:rPr>
              <w:t>4</w:t>
            </w:r>
          </w:p>
        </w:tc>
        <w:tc>
          <w:tcPr>
            <w:tcW w:w="6946" w:type="dxa"/>
            <w:shd w:val="clear" w:color="auto" w:fill="auto"/>
          </w:tcPr>
          <w:p w14:paraId="064DD341" w14:textId="46EE9E22" w:rsidR="000B404C" w:rsidRDefault="000B404C" w:rsidP="00D9259E">
            <w:pPr>
              <w:rPr>
                <w:b/>
              </w:rPr>
            </w:pPr>
            <w:r>
              <w:rPr>
                <w:b/>
              </w:rPr>
              <w:t>Utvidgning av Europeiska åklagarmyndighetens mandat till att omfatta överträdelser av EU:s restriktiva åtgärder</w:t>
            </w:r>
          </w:p>
          <w:p w14:paraId="4B356647" w14:textId="5AA18928" w:rsidR="00F1475F" w:rsidRDefault="00F1475F" w:rsidP="00D9259E">
            <w:pPr>
              <w:rPr>
                <w:b/>
              </w:rPr>
            </w:pPr>
          </w:p>
          <w:p w14:paraId="638C22AD" w14:textId="77777777" w:rsidR="00F1475F" w:rsidRDefault="00F1475F" w:rsidP="00F1475F">
            <w:pPr>
              <w:rPr>
                <w:bCs/>
              </w:rPr>
            </w:pPr>
            <w:r>
              <w:rPr>
                <w:bCs/>
              </w:rPr>
              <w:t>Utskottet överlade med statssekreterare Charlotte Kugelberg, biträdd av medarbetare från Justitiedepartementet.</w:t>
            </w:r>
          </w:p>
          <w:p w14:paraId="121B2F14" w14:textId="77777777" w:rsidR="00F1475F" w:rsidRDefault="00F1475F" w:rsidP="00F1475F">
            <w:pPr>
              <w:rPr>
                <w:bCs/>
              </w:rPr>
            </w:pPr>
          </w:p>
          <w:p w14:paraId="37E9CFC8" w14:textId="72BCEEE9" w:rsidR="00F1475F" w:rsidRDefault="00F1475F" w:rsidP="00F1475F">
            <w:pPr>
              <w:rPr>
                <w:bCs/>
              </w:rPr>
            </w:pPr>
            <w:r>
              <w:rPr>
                <w:bCs/>
              </w:rPr>
              <w:t xml:space="preserve">Underlaget utgjordes av Regeringskansliets </w:t>
            </w:r>
            <w:r>
              <w:rPr>
                <w:bCs/>
              </w:rPr>
              <w:t xml:space="preserve">överläggningspromemoria (dnr. </w:t>
            </w:r>
            <w:r w:rsidRPr="00F1475F">
              <w:rPr>
                <w:bCs/>
              </w:rPr>
              <w:t>2022/23</w:t>
            </w:r>
            <w:r>
              <w:rPr>
                <w:bCs/>
              </w:rPr>
              <w:t>-</w:t>
            </w:r>
            <w:r w:rsidRPr="00F1475F">
              <w:rPr>
                <w:bCs/>
              </w:rPr>
              <w:t>2382</w:t>
            </w:r>
            <w:r>
              <w:rPr>
                <w:bCs/>
              </w:rPr>
              <w:t>)</w:t>
            </w:r>
            <w:r>
              <w:rPr>
                <w:bCs/>
              </w:rPr>
              <w:t>.</w:t>
            </w:r>
          </w:p>
          <w:p w14:paraId="1FD50A5E" w14:textId="77777777" w:rsidR="00F1475F" w:rsidRDefault="00F1475F" w:rsidP="00F1475F">
            <w:pPr>
              <w:rPr>
                <w:bCs/>
              </w:rPr>
            </w:pPr>
          </w:p>
          <w:p w14:paraId="4AFB8267" w14:textId="6D66E9B8" w:rsidR="00F1475F" w:rsidRDefault="00F1475F" w:rsidP="00F1475F">
            <w:pPr>
              <w:rPr>
                <w:bCs/>
              </w:rPr>
            </w:pPr>
            <w:r>
              <w:rPr>
                <w:bCs/>
              </w:rPr>
              <w:t xml:space="preserve">Statssekreterare Charlotte Kugelberg redogjorde för regeringens ståndpunkt i enlighet med </w:t>
            </w:r>
            <w:r>
              <w:rPr>
                <w:bCs/>
              </w:rPr>
              <w:t>överläggningspromemorian</w:t>
            </w:r>
            <w:r>
              <w:rPr>
                <w:bCs/>
              </w:rPr>
              <w:t xml:space="preserve">: </w:t>
            </w:r>
          </w:p>
          <w:p w14:paraId="20211F8C" w14:textId="31C40052" w:rsidR="00F1475F" w:rsidRDefault="00F1475F" w:rsidP="00F1475F">
            <w:pPr>
              <w:rPr>
                <w:bCs/>
              </w:rPr>
            </w:pPr>
          </w:p>
          <w:p w14:paraId="47350BB4" w14:textId="5354B63D" w:rsidR="00F1475F" w:rsidRPr="00F1475F" w:rsidRDefault="00F1475F" w:rsidP="00F1475F">
            <w:pPr>
              <w:pStyle w:val="Citat"/>
              <w:jc w:val="left"/>
              <w:rPr>
                <w:i w:val="0"/>
                <w:iCs w:val="0"/>
                <w:color w:val="auto"/>
              </w:rPr>
            </w:pPr>
            <w:r w:rsidRPr="00F1475F">
              <w:rPr>
                <w:i w:val="0"/>
                <w:iCs w:val="0"/>
                <w:color w:val="auto"/>
              </w:rPr>
              <w:t>Europeiska åklagarmyndighetens nuvarande mandat omfattar att utreda och</w:t>
            </w:r>
            <w:r w:rsidRPr="00F1475F">
              <w:rPr>
                <w:i w:val="0"/>
                <w:iCs w:val="0"/>
                <w:color w:val="auto"/>
              </w:rPr>
              <w:t xml:space="preserve"> </w:t>
            </w:r>
            <w:r w:rsidRPr="00F1475F">
              <w:rPr>
                <w:i w:val="0"/>
                <w:iCs w:val="0"/>
                <w:color w:val="auto"/>
              </w:rPr>
              <w:t>åtala för brott som skadar unionens ekonomiska intressen. Sverige deltar inte</w:t>
            </w:r>
            <w:r w:rsidRPr="00F1475F">
              <w:rPr>
                <w:i w:val="0"/>
                <w:iCs w:val="0"/>
                <w:color w:val="auto"/>
              </w:rPr>
              <w:t xml:space="preserve"> </w:t>
            </w:r>
            <w:r w:rsidRPr="00F1475F">
              <w:rPr>
                <w:i w:val="0"/>
                <w:iCs w:val="0"/>
                <w:color w:val="auto"/>
              </w:rPr>
              <w:t>i nuläget i det fördjupade samarbetet om Europeiska åklagarmyndigheten.</w:t>
            </w:r>
            <w:r w:rsidRPr="00F1475F">
              <w:rPr>
                <w:i w:val="0"/>
                <w:iCs w:val="0"/>
                <w:color w:val="auto"/>
              </w:rPr>
              <w:t xml:space="preserve"> </w:t>
            </w:r>
            <w:r w:rsidRPr="00F1475F">
              <w:rPr>
                <w:i w:val="0"/>
                <w:iCs w:val="0"/>
                <w:color w:val="auto"/>
              </w:rPr>
              <w:t>Europeiska åklagar</w:t>
            </w:r>
            <w:r>
              <w:rPr>
                <w:i w:val="0"/>
                <w:iCs w:val="0"/>
                <w:color w:val="auto"/>
              </w:rPr>
              <w:softHyphen/>
            </w:r>
            <w:r w:rsidRPr="00F1475F">
              <w:rPr>
                <w:i w:val="0"/>
                <w:iCs w:val="0"/>
                <w:color w:val="auto"/>
              </w:rPr>
              <w:t>myndigheten är en ny myndighet och eventuella</w:t>
            </w:r>
            <w:r w:rsidRPr="00F1475F">
              <w:rPr>
                <w:i w:val="0"/>
                <w:iCs w:val="0"/>
                <w:color w:val="auto"/>
              </w:rPr>
              <w:t xml:space="preserve"> </w:t>
            </w:r>
            <w:r w:rsidRPr="00F1475F">
              <w:rPr>
                <w:i w:val="0"/>
                <w:iCs w:val="0"/>
                <w:color w:val="auto"/>
              </w:rPr>
              <w:t>utvidgningar av dess mandat bör föregås av en utvärdering och analys av</w:t>
            </w:r>
            <w:r w:rsidRPr="00F1475F">
              <w:rPr>
                <w:i w:val="0"/>
                <w:iCs w:val="0"/>
                <w:color w:val="auto"/>
              </w:rPr>
              <w:t xml:space="preserve"> </w:t>
            </w:r>
            <w:r w:rsidRPr="00F1475F">
              <w:rPr>
                <w:i w:val="0"/>
                <w:iCs w:val="0"/>
                <w:color w:val="auto"/>
              </w:rPr>
              <w:t>myndighetens verksamhet och möjligheter att åta sig ytterligare uppgifter.</w:t>
            </w:r>
          </w:p>
          <w:p w14:paraId="2872B225" w14:textId="0C655E47" w:rsidR="00F1475F" w:rsidRPr="00F1475F" w:rsidRDefault="00F1475F" w:rsidP="00F1475F">
            <w:pPr>
              <w:pStyle w:val="Citat"/>
              <w:jc w:val="left"/>
              <w:rPr>
                <w:i w:val="0"/>
                <w:iCs w:val="0"/>
                <w:color w:val="auto"/>
              </w:rPr>
            </w:pPr>
            <w:r w:rsidRPr="00F1475F">
              <w:rPr>
                <w:i w:val="0"/>
                <w:iCs w:val="0"/>
                <w:color w:val="auto"/>
              </w:rPr>
              <w:t>Som en del av den gemensamma utrikes- och säkerhetspolitiken har EU</w:t>
            </w:r>
            <w:r w:rsidRPr="00F1475F">
              <w:rPr>
                <w:i w:val="0"/>
                <w:iCs w:val="0"/>
                <w:color w:val="auto"/>
              </w:rPr>
              <w:t xml:space="preserve"> </w:t>
            </w:r>
            <w:r w:rsidRPr="00F1475F">
              <w:rPr>
                <w:i w:val="0"/>
                <w:iCs w:val="0"/>
                <w:color w:val="auto"/>
              </w:rPr>
              <w:t>antagit mer än 40 sanktions</w:t>
            </w:r>
            <w:r>
              <w:rPr>
                <w:i w:val="0"/>
                <w:iCs w:val="0"/>
                <w:color w:val="auto"/>
              </w:rPr>
              <w:softHyphen/>
            </w:r>
            <w:r w:rsidRPr="00F1475F">
              <w:rPr>
                <w:i w:val="0"/>
                <w:iCs w:val="0"/>
                <w:color w:val="auto"/>
              </w:rPr>
              <w:t>regimer. Bland annat har EU, som en följd av</w:t>
            </w:r>
            <w:r w:rsidRPr="00F1475F">
              <w:rPr>
                <w:i w:val="0"/>
                <w:iCs w:val="0"/>
                <w:color w:val="auto"/>
              </w:rPr>
              <w:t xml:space="preserve"> </w:t>
            </w:r>
            <w:r w:rsidRPr="00F1475F">
              <w:rPr>
                <w:i w:val="0"/>
                <w:iCs w:val="0"/>
                <w:color w:val="auto"/>
              </w:rPr>
              <w:t>Rysslands invasion av Ukraina, beslutat om omfattande sanktioner mot</w:t>
            </w:r>
            <w:r w:rsidRPr="00F1475F">
              <w:rPr>
                <w:i w:val="0"/>
                <w:iCs w:val="0"/>
                <w:color w:val="auto"/>
              </w:rPr>
              <w:t xml:space="preserve"> </w:t>
            </w:r>
            <w:r w:rsidRPr="00F1475F">
              <w:rPr>
                <w:i w:val="0"/>
                <w:iCs w:val="0"/>
                <w:color w:val="auto"/>
              </w:rPr>
              <w:t>Ryssland och Belarus. Sverige står bakom EU:s sanktionsregimer och har</w:t>
            </w:r>
            <w:r w:rsidRPr="00F1475F">
              <w:rPr>
                <w:i w:val="0"/>
                <w:iCs w:val="0"/>
                <w:color w:val="auto"/>
              </w:rPr>
              <w:t xml:space="preserve"> </w:t>
            </w:r>
            <w:r w:rsidRPr="00F1475F">
              <w:rPr>
                <w:i w:val="0"/>
                <w:iCs w:val="0"/>
                <w:color w:val="auto"/>
              </w:rPr>
              <w:t>välkomnat kommissionens förslag till ett direktiv om fastställande av</w:t>
            </w:r>
            <w:r w:rsidRPr="00F1475F">
              <w:rPr>
                <w:i w:val="0"/>
                <w:iCs w:val="0"/>
                <w:color w:val="auto"/>
              </w:rPr>
              <w:t xml:space="preserve"> </w:t>
            </w:r>
            <w:r w:rsidRPr="00F1475F">
              <w:rPr>
                <w:i w:val="0"/>
                <w:iCs w:val="0"/>
                <w:color w:val="auto"/>
              </w:rPr>
              <w:t>brottsrekvisit och påföljder med avseende på överträdelser av unionens</w:t>
            </w:r>
            <w:r w:rsidRPr="00F1475F">
              <w:rPr>
                <w:i w:val="0"/>
                <w:iCs w:val="0"/>
                <w:color w:val="auto"/>
              </w:rPr>
              <w:t xml:space="preserve"> </w:t>
            </w:r>
            <w:r w:rsidRPr="00F1475F">
              <w:rPr>
                <w:i w:val="0"/>
                <w:iCs w:val="0"/>
                <w:color w:val="auto"/>
              </w:rPr>
              <w:t>restriktiva åtgärder och även ställt sig bakom den allmänna riktlinje som</w:t>
            </w:r>
            <w:r w:rsidRPr="00F1475F">
              <w:rPr>
                <w:i w:val="0"/>
                <w:iCs w:val="0"/>
                <w:color w:val="auto"/>
              </w:rPr>
              <w:t xml:space="preserve"> </w:t>
            </w:r>
            <w:r w:rsidRPr="00F1475F">
              <w:rPr>
                <w:i w:val="0"/>
                <w:iCs w:val="0"/>
                <w:color w:val="auto"/>
              </w:rPr>
              <w:t>antogs vid RIF-rådet den 9 juni 2023.</w:t>
            </w:r>
          </w:p>
          <w:p w14:paraId="474D280C" w14:textId="0F8C1745" w:rsidR="00F1475F" w:rsidRPr="00F1475F" w:rsidRDefault="00F1475F" w:rsidP="00F1475F">
            <w:pPr>
              <w:pStyle w:val="Citat"/>
              <w:jc w:val="left"/>
              <w:rPr>
                <w:i w:val="0"/>
                <w:iCs w:val="0"/>
                <w:color w:val="auto"/>
              </w:rPr>
            </w:pPr>
            <w:r w:rsidRPr="00F1475F">
              <w:rPr>
                <w:i w:val="0"/>
                <w:iCs w:val="0"/>
                <w:color w:val="auto"/>
              </w:rPr>
              <w:t>Det är viktigt att det upprätthålls en effektivitet i genomförandet av EU:s</w:t>
            </w:r>
            <w:r w:rsidRPr="00F1475F">
              <w:rPr>
                <w:i w:val="0"/>
                <w:iCs w:val="0"/>
                <w:color w:val="auto"/>
              </w:rPr>
              <w:t xml:space="preserve"> </w:t>
            </w:r>
            <w:r w:rsidRPr="00F1475F">
              <w:rPr>
                <w:i w:val="0"/>
                <w:iCs w:val="0"/>
                <w:color w:val="auto"/>
              </w:rPr>
              <w:t>sanktioner, inte minst med hänsyn till den ryska invasionen av Ukraina. För</w:t>
            </w:r>
            <w:r w:rsidRPr="00F1475F">
              <w:rPr>
                <w:i w:val="0"/>
                <w:iCs w:val="0"/>
                <w:color w:val="auto"/>
              </w:rPr>
              <w:t xml:space="preserve"> </w:t>
            </w:r>
            <w:r w:rsidRPr="00F1475F">
              <w:rPr>
                <w:i w:val="0"/>
                <w:iCs w:val="0"/>
                <w:color w:val="auto"/>
              </w:rPr>
              <w:t>att regler om kriminalisering ska vara effektiva krävs även att överträdelser</w:t>
            </w:r>
            <w:r w:rsidRPr="00F1475F">
              <w:rPr>
                <w:i w:val="0"/>
                <w:iCs w:val="0"/>
                <w:color w:val="auto"/>
              </w:rPr>
              <w:t xml:space="preserve"> </w:t>
            </w:r>
            <w:r w:rsidRPr="00F1475F">
              <w:rPr>
                <w:i w:val="0"/>
                <w:iCs w:val="0"/>
                <w:color w:val="auto"/>
              </w:rPr>
              <w:t>och kringgående av sanktioner upptäcks och utreds och det finns anledning</w:t>
            </w:r>
            <w:r w:rsidRPr="00F1475F">
              <w:rPr>
                <w:i w:val="0"/>
                <w:iCs w:val="0"/>
                <w:color w:val="auto"/>
              </w:rPr>
              <w:t xml:space="preserve"> </w:t>
            </w:r>
            <w:r w:rsidRPr="00F1475F">
              <w:rPr>
                <w:i w:val="0"/>
                <w:iCs w:val="0"/>
                <w:color w:val="auto"/>
              </w:rPr>
              <w:t>att överväga olika alternativ för hur detta kan optimeras. Sverige bör därför</w:t>
            </w:r>
            <w:r w:rsidRPr="00F1475F">
              <w:rPr>
                <w:i w:val="0"/>
                <w:iCs w:val="0"/>
                <w:color w:val="auto"/>
              </w:rPr>
              <w:t xml:space="preserve"> </w:t>
            </w:r>
            <w:r w:rsidRPr="00F1475F">
              <w:rPr>
                <w:i w:val="0"/>
                <w:iCs w:val="0"/>
                <w:color w:val="auto"/>
              </w:rPr>
              <w:t>som icke-deltagande medlemsstat i Europeiska åklagarmyndigheten inte</w:t>
            </w:r>
            <w:r w:rsidRPr="00F1475F">
              <w:rPr>
                <w:i w:val="0"/>
                <w:iCs w:val="0"/>
                <w:color w:val="auto"/>
              </w:rPr>
              <w:t xml:space="preserve"> </w:t>
            </w:r>
            <w:r w:rsidRPr="00F1475F">
              <w:rPr>
                <w:i w:val="0"/>
                <w:iCs w:val="0"/>
                <w:color w:val="auto"/>
              </w:rPr>
              <w:t>motsätta sig en eventuell utvidgning av myndighetens mandat till att omfatta</w:t>
            </w:r>
            <w:r>
              <w:rPr>
                <w:i w:val="0"/>
                <w:iCs w:val="0"/>
                <w:color w:val="auto"/>
              </w:rPr>
              <w:t xml:space="preserve"> </w:t>
            </w:r>
            <w:r w:rsidRPr="00F1475F">
              <w:rPr>
                <w:i w:val="0"/>
                <w:iCs w:val="0"/>
                <w:color w:val="auto"/>
              </w:rPr>
              <w:t>överträdelser av EU:s sanktionsbeslut och ser positivt på att frågan</w:t>
            </w:r>
            <w:r>
              <w:rPr>
                <w:i w:val="0"/>
                <w:iCs w:val="0"/>
                <w:color w:val="auto"/>
              </w:rPr>
              <w:t xml:space="preserve"> </w:t>
            </w:r>
            <w:r w:rsidRPr="00F1475F">
              <w:rPr>
                <w:i w:val="0"/>
                <w:iCs w:val="0"/>
                <w:color w:val="auto"/>
              </w:rPr>
              <w:t>utvärderas närmare.</w:t>
            </w:r>
          </w:p>
          <w:p w14:paraId="0217BBCC" w14:textId="20A895C5" w:rsidR="00F1475F" w:rsidRPr="00F1475F" w:rsidRDefault="00F1475F" w:rsidP="00D9259E">
            <w:pPr>
              <w:rPr>
                <w:bCs/>
              </w:rPr>
            </w:pPr>
            <w:r w:rsidRPr="00F1475F">
              <w:rPr>
                <w:bCs/>
              </w:rPr>
              <w:t>Ordföranden konstaterade att det fanns stöd för regeringens ståndpunkt.</w:t>
            </w:r>
          </w:p>
          <w:p w14:paraId="796ACA33" w14:textId="33A61A5B" w:rsidR="00B245F9" w:rsidRDefault="00B245F9" w:rsidP="00D9259E">
            <w:pPr>
              <w:rPr>
                <w:b/>
              </w:rPr>
            </w:pPr>
          </w:p>
        </w:tc>
      </w:tr>
      <w:tr w:rsidR="00AC7585" w14:paraId="3692B6AA" w14:textId="77777777" w:rsidTr="00121808">
        <w:tc>
          <w:tcPr>
            <w:tcW w:w="567" w:type="dxa"/>
            <w:shd w:val="clear" w:color="auto" w:fill="auto"/>
          </w:tcPr>
          <w:p w14:paraId="04965597" w14:textId="2A18D0DC" w:rsidR="00AC7585" w:rsidRDefault="00AC7585" w:rsidP="00D467E8">
            <w:pPr>
              <w:tabs>
                <w:tab w:val="left" w:pos="1701"/>
              </w:tabs>
              <w:rPr>
                <w:b/>
                <w:snapToGrid w:val="0"/>
              </w:rPr>
            </w:pPr>
            <w:r>
              <w:rPr>
                <w:b/>
                <w:snapToGrid w:val="0"/>
              </w:rPr>
              <w:t xml:space="preserve">§ </w:t>
            </w:r>
            <w:r w:rsidR="004D55E5">
              <w:rPr>
                <w:b/>
                <w:snapToGrid w:val="0"/>
              </w:rPr>
              <w:t>5</w:t>
            </w:r>
          </w:p>
        </w:tc>
        <w:tc>
          <w:tcPr>
            <w:tcW w:w="6946" w:type="dxa"/>
            <w:shd w:val="clear" w:color="auto" w:fill="auto"/>
          </w:tcPr>
          <w:p w14:paraId="405E1399" w14:textId="15307D3D" w:rsidR="00D9259E" w:rsidRDefault="00BD78A3" w:rsidP="00D9259E">
            <w:pPr>
              <w:rPr>
                <w:b/>
              </w:rPr>
            </w:pPr>
            <w:r>
              <w:rPr>
                <w:b/>
              </w:rPr>
              <w:t>Information från regeringen i EU-ärenden</w:t>
            </w:r>
          </w:p>
          <w:p w14:paraId="00415A7E" w14:textId="66393244" w:rsidR="009A54FF" w:rsidRDefault="009A54FF" w:rsidP="00D9259E">
            <w:pPr>
              <w:rPr>
                <w:b/>
              </w:rPr>
            </w:pPr>
          </w:p>
          <w:p w14:paraId="3B4A5823" w14:textId="04475D84" w:rsidR="009A54FF" w:rsidRPr="009A54FF" w:rsidRDefault="009A54FF" w:rsidP="00D9259E">
            <w:pPr>
              <w:rPr>
                <w:bCs/>
              </w:rPr>
            </w:pPr>
            <w:r>
              <w:rPr>
                <w:bCs/>
              </w:rPr>
              <w:t>Statssekreterare Charlotte Kugelberg, biträdd av medarbetare från Justitiedepartementet, informerade om aktuella förhandlingar</w:t>
            </w:r>
            <w:r w:rsidR="00F1475F">
              <w:rPr>
                <w:bCs/>
              </w:rPr>
              <w:t>.</w:t>
            </w:r>
          </w:p>
          <w:p w14:paraId="165E3137" w14:textId="5B16070D" w:rsidR="00AC7585" w:rsidRDefault="00AC7585" w:rsidP="00D9259E">
            <w:pPr>
              <w:rPr>
                <w:b/>
              </w:rPr>
            </w:pPr>
          </w:p>
        </w:tc>
      </w:tr>
      <w:tr w:rsidR="00D467E8" w14:paraId="2809A38B" w14:textId="77777777" w:rsidTr="00121808">
        <w:tc>
          <w:tcPr>
            <w:tcW w:w="567" w:type="dxa"/>
            <w:shd w:val="clear" w:color="auto" w:fill="auto"/>
          </w:tcPr>
          <w:p w14:paraId="7ABFF1DA" w14:textId="573C435F" w:rsidR="00D467E8" w:rsidRDefault="00D467E8" w:rsidP="00D467E8">
            <w:pPr>
              <w:tabs>
                <w:tab w:val="left" w:pos="1701"/>
              </w:tabs>
              <w:rPr>
                <w:b/>
                <w:snapToGrid w:val="0"/>
              </w:rPr>
            </w:pPr>
            <w:r>
              <w:rPr>
                <w:b/>
                <w:snapToGrid w:val="0"/>
              </w:rPr>
              <w:t xml:space="preserve">§ </w:t>
            </w:r>
            <w:r w:rsidR="004D55E5">
              <w:rPr>
                <w:b/>
                <w:snapToGrid w:val="0"/>
              </w:rPr>
              <w:t>6</w:t>
            </w:r>
          </w:p>
        </w:tc>
        <w:tc>
          <w:tcPr>
            <w:tcW w:w="6946" w:type="dxa"/>
            <w:shd w:val="clear" w:color="auto" w:fill="auto"/>
          </w:tcPr>
          <w:p w14:paraId="4E05D4EA" w14:textId="49BCA690" w:rsidR="00306E25" w:rsidRDefault="0008653C" w:rsidP="00D467E8">
            <w:pPr>
              <w:rPr>
                <w:b/>
              </w:rPr>
            </w:pPr>
            <w:r>
              <w:rPr>
                <w:b/>
              </w:rPr>
              <w:t>F</w:t>
            </w:r>
            <w:r w:rsidRPr="00B27151">
              <w:rPr>
                <w:b/>
              </w:rPr>
              <w:t>örslag till direktiv om bekämpning av korruption</w:t>
            </w:r>
            <w:r w:rsidR="00A85192">
              <w:rPr>
                <w:b/>
              </w:rPr>
              <w:t xml:space="preserve"> (JuU33)</w:t>
            </w:r>
          </w:p>
          <w:p w14:paraId="5858F8B6" w14:textId="2CE76DD0" w:rsidR="00D467E8" w:rsidRDefault="0008653C" w:rsidP="00D467E8">
            <w:pPr>
              <w:rPr>
                <w:bCs/>
              </w:rPr>
            </w:pPr>
            <w:r>
              <w:rPr>
                <w:b/>
              </w:rPr>
              <w:br/>
            </w:r>
            <w:r w:rsidR="00306E25">
              <w:rPr>
                <w:bCs/>
              </w:rPr>
              <w:t xml:space="preserve">Utskottet </w:t>
            </w:r>
            <w:r w:rsidR="0054384B">
              <w:rPr>
                <w:bCs/>
              </w:rPr>
              <w:t>fortsatte</w:t>
            </w:r>
            <w:r w:rsidR="00306E25">
              <w:rPr>
                <w:bCs/>
              </w:rPr>
              <w:t xml:space="preserve"> s</w:t>
            </w:r>
            <w:r>
              <w:rPr>
                <w:bCs/>
              </w:rPr>
              <w:t>ubsidiaritetsprövning</w:t>
            </w:r>
            <w:r w:rsidR="00306E25">
              <w:rPr>
                <w:bCs/>
              </w:rPr>
              <w:t>en av COM (2023)</w:t>
            </w:r>
            <w:r w:rsidR="007E7024">
              <w:rPr>
                <w:bCs/>
              </w:rPr>
              <w:t xml:space="preserve"> 234</w:t>
            </w:r>
            <w:r w:rsidR="00306E25">
              <w:rPr>
                <w:bCs/>
              </w:rPr>
              <w:t>.</w:t>
            </w:r>
          </w:p>
          <w:p w14:paraId="050364A4" w14:textId="77777777" w:rsidR="00306E25" w:rsidRDefault="00306E25" w:rsidP="00D467E8">
            <w:pPr>
              <w:rPr>
                <w:bCs/>
              </w:rPr>
            </w:pPr>
          </w:p>
          <w:p w14:paraId="49EFE940" w14:textId="77777777" w:rsidR="00306E25" w:rsidRDefault="00306E25" w:rsidP="00D467E8">
            <w:pPr>
              <w:rPr>
                <w:bCs/>
              </w:rPr>
            </w:pPr>
            <w:r>
              <w:rPr>
                <w:bCs/>
              </w:rPr>
              <w:t xml:space="preserve">Utskottet </w:t>
            </w:r>
            <w:r w:rsidR="00A85192">
              <w:rPr>
                <w:bCs/>
              </w:rPr>
              <w:t>justerade utlåtande 2022/23:JuU33.</w:t>
            </w:r>
          </w:p>
          <w:p w14:paraId="30AE413E" w14:textId="7449AFF3" w:rsidR="00C25538" w:rsidRPr="002D62D3" w:rsidRDefault="00C25538" w:rsidP="00D467E8">
            <w:pPr>
              <w:rPr>
                <w:b/>
                <w:bCs/>
                <w:snapToGrid w:val="0"/>
              </w:rPr>
            </w:pPr>
          </w:p>
        </w:tc>
      </w:tr>
      <w:tr w:rsidR="00C25538" w14:paraId="15C7ABFE" w14:textId="77777777" w:rsidTr="00121808">
        <w:tc>
          <w:tcPr>
            <w:tcW w:w="567" w:type="dxa"/>
            <w:shd w:val="clear" w:color="auto" w:fill="auto"/>
          </w:tcPr>
          <w:p w14:paraId="5E6DC094" w14:textId="752782E5" w:rsidR="00C25538" w:rsidRDefault="00C25538" w:rsidP="00D467E8">
            <w:pPr>
              <w:tabs>
                <w:tab w:val="left" w:pos="1701"/>
              </w:tabs>
              <w:rPr>
                <w:b/>
                <w:snapToGrid w:val="0"/>
              </w:rPr>
            </w:pPr>
            <w:r>
              <w:rPr>
                <w:b/>
                <w:snapToGrid w:val="0"/>
              </w:rPr>
              <w:t xml:space="preserve">§ </w:t>
            </w:r>
            <w:r w:rsidR="004D55E5">
              <w:rPr>
                <w:b/>
                <w:snapToGrid w:val="0"/>
              </w:rPr>
              <w:t>7</w:t>
            </w:r>
          </w:p>
        </w:tc>
        <w:tc>
          <w:tcPr>
            <w:tcW w:w="6946" w:type="dxa"/>
            <w:shd w:val="clear" w:color="auto" w:fill="auto"/>
          </w:tcPr>
          <w:p w14:paraId="6B65CA8C" w14:textId="77777777" w:rsidR="00C25538" w:rsidRDefault="00C25538" w:rsidP="00C25538">
            <w:pPr>
              <w:rPr>
                <w:b/>
              </w:rPr>
            </w:pPr>
            <w:r>
              <w:rPr>
                <w:b/>
              </w:rPr>
              <w:t>Justering av protokoll</w:t>
            </w:r>
          </w:p>
          <w:p w14:paraId="3B184383" w14:textId="77777777" w:rsidR="00C25538" w:rsidRDefault="00C25538" w:rsidP="00C25538">
            <w:pPr>
              <w:rPr>
                <w:b/>
              </w:rPr>
            </w:pPr>
          </w:p>
          <w:p w14:paraId="3381CDFA" w14:textId="34DDEEFD" w:rsidR="00C25538" w:rsidRPr="00293C64" w:rsidRDefault="00C25538" w:rsidP="00D467E8">
            <w:pPr>
              <w:rPr>
                <w:bCs/>
              </w:rPr>
            </w:pPr>
            <w:r w:rsidRPr="00D62063">
              <w:rPr>
                <w:bCs/>
              </w:rPr>
              <w:t>Utskottet justerade protokoll 2022/23:</w:t>
            </w:r>
            <w:r>
              <w:rPr>
                <w:bCs/>
              </w:rPr>
              <w:t>31</w:t>
            </w:r>
            <w:r w:rsidRPr="00D62063">
              <w:rPr>
                <w:bCs/>
              </w:rPr>
              <w:t>.</w:t>
            </w:r>
          </w:p>
        </w:tc>
      </w:tr>
      <w:tr w:rsidR="00D467E8" w14:paraId="0910EDBB" w14:textId="77777777" w:rsidTr="00121808">
        <w:tc>
          <w:tcPr>
            <w:tcW w:w="567" w:type="dxa"/>
            <w:shd w:val="clear" w:color="auto" w:fill="auto"/>
          </w:tcPr>
          <w:p w14:paraId="7E2EE480" w14:textId="5528A83E" w:rsidR="00D467E8" w:rsidRDefault="00D467E8" w:rsidP="00D467E8">
            <w:pPr>
              <w:tabs>
                <w:tab w:val="left" w:pos="1701"/>
              </w:tabs>
              <w:rPr>
                <w:b/>
                <w:snapToGrid w:val="0"/>
              </w:rPr>
            </w:pPr>
          </w:p>
        </w:tc>
        <w:tc>
          <w:tcPr>
            <w:tcW w:w="6946" w:type="dxa"/>
            <w:shd w:val="clear" w:color="auto" w:fill="auto"/>
          </w:tcPr>
          <w:p w14:paraId="6800FDAE" w14:textId="47AEA4D6" w:rsidR="00D467E8" w:rsidRDefault="00D467E8" w:rsidP="00D467E8">
            <w:pPr>
              <w:rPr>
                <w:b/>
              </w:rPr>
            </w:pPr>
          </w:p>
        </w:tc>
      </w:tr>
      <w:tr w:rsidR="00D467E8" w14:paraId="06DA1A6F" w14:textId="77777777" w:rsidTr="005F3412">
        <w:tc>
          <w:tcPr>
            <w:tcW w:w="567" w:type="dxa"/>
          </w:tcPr>
          <w:p w14:paraId="09263E9D" w14:textId="2491079D" w:rsidR="00D467E8" w:rsidRDefault="00D467E8" w:rsidP="00D467E8">
            <w:pPr>
              <w:tabs>
                <w:tab w:val="left" w:pos="1701"/>
              </w:tabs>
              <w:rPr>
                <w:b/>
                <w:snapToGrid w:val="0"/>
              </w:rPr>
            </w:pPr>
            <w:r>
              <w:rPr>
                <w:b/>
                <w:snapToGrid w:val="0"/>
              </w:rPr>
              <w:t xml:space="preserve">§ </w:t>
            </w:r>
            <w:r w:rsidR="004D55E5">
              <w:rPr>
                <w:b/>
                <w:snapToGrid w:val="0"/>
              </w:rPr>
              <w:t>8</w:t>
            </w:r>
          </w:p>
        </w:tc>
        <w:tc>
          <w:tcPr>
            <w:tcW w:w="6946" w:type="dxa"/>
          </w:tcPr>
          <w:p w14:paraId="36F011DE" w14:textId="77777777" w:rsidR="00D467E8" w:rsidRDefault="00D467E8" w:rsidP="00D467E8">
            <w:pPr>
              <w:tabs>
                <w:tab w:val="left" w:pos="1701"/>
              </w:tabs>
              <w:rPr>
                <w:b/>
                <w:snapToGrid w:val="0"/>
              </w:rPr>
            </w:pPr>
            <w:r>
              <w:rPr>
                <w:b/>
                <w:snapToGrid w:val="0"/>
              </w:rPr>
              <w:t>Nästa sammanträde</w:t>
            </w:r>
          </w:p>
          <w:p w14:paraId="25D1CF8E" w14:textId="39BE82E1" w:rsidR="00D467E8" w:rsidRDefault="00D467E8" w:rsidP="00D467E8">
            <w:pPr>
              <w:tabs>
                <w:tab w:val="left" w:pos="1701"/>
              </w:tabs>
              <w:rPr>
                <w:b/>
                <w:snapToGrid w:val="0"/>
              </w:rPr>
            </w:pPr>
            <w:r>
              <w:rPr>
                <w:b/>
                <w:snapToGrid w:val="0"/>
              </w:rPr>
              <w:br/>
            </w:r>
            <w:r>
              <w:rPr>
                <w:snapToGrid w:val="0"/>
              </w:rPr>
              <w:t>T</w:t>
            </w:r>
            <w:r w:rsidR="00BD78A3">
              <w:rPr>
                <w:snapToGrid w:val="0"/>
              </w:rPr>
              <w:t>i</w:t>
            </w:r>
            <w:r>
              <w:rPr>
                <w:snapToGrid w:val="0"/>
              </w:rPr>
              <w:t xml:space="preserve">sdagen den </w:t>
            </w:r>
            <w:r w:rsidR="00BD78A3">
              <w:rPr>
                <w:snapToGrid w:val="0"/>
              </w:rPr>
              <w:t>20</w:t>
            </w:r>
            <w:r w:rsidR="00393AA5">
              <w:rPr>
                <w:snapToGrid w:val="0"/>
              </w:rPr>
              <w:t xml:space="preserve"> juni</w:t>
            </w:r>
            <w:r>
              <w:rPr>
                <w:snapToGrid w:val="0"/>
              </w:rPr>
              <w:t xml:space="preserve"> 2023 kl. 1</w:t>
            </w:r>
            <w:r w:rsidR="00393AA5">
              <w:rPr>
                <w:snapToGrid w:val="0"/>
              </w:rPr>
              <w:t>0</w:t>
            </w:r>
            <w:r>
              <w:rPr>
                <w:snapToGrid w:val="0"/>
              </w:rPr>
              <w:t>.</w:t>
            </w:r>
            <w:r w:rsidR="00DA5F27">
              <w:rPr>
                <w:snapToGrid w:val="0"/>
              </w:rPr>
              <w:t>3</w:t>
            </w:r>
            <w:r>
              <w:rPr>
                <w:snapToGrid w:val="0"/>
              </w:rPr>
              <w:t>0.</w:t>
            </w:r>
          </w:p>
          <w:p w14:paraId="1B3CCEE6" w14:textId="67EC8F31" w:rsidR="00D467E8" w:rsidRDefault="00D467E8" w:rsidP="00D467E8">
            <w:pPr>
              <w:rPr>
                <w:b/>
                <w:bCs/>
                <w:snapToGrid w:val="0"/>
              </w:rPr>
            </w:pPr>
          </w:p>
        </w:tc>
      </w:tr>
      <w:tr w:rsidR="00D467E8" w14:paraId="06B600AA" w14:textId="77777777" w:rsidTr="005F3412">
        <w:tc>
          <w:tcPr>
            <w:tcW w:w="567" w:type="dxa"/>
          </w:tcPr>
          <w:p w14:paraId="7A1B589A" w14:textId="77777777" w:rsidR="00D467E8" w:rsidRDefault="00D467E8" w:rsidP="00D467E8">
            <w:pPr>
              <w:tabs>
                <w:tab w:val="left" w:pos="1701"/>
              </w:tabs>
              <w:rPr>
                <w:b/>
                <w:snapToGrid w:val="0"/>
              </w:rPr>
            </w:pPr>
          </w:p>
        </w:tc>
        <w:tc>
          <w:tcPr>
            <w:tcW w:w="6946" w:type="dxa"/>
          </w:tcPr>
          <w:p w14:paraId="0622F8F8" w14:textId="77777777" w:rsidR="00D467E8" w:rsidRPr="00D504CC" w:rsidRDefault="00D467E8" w:rsidP="00D467E8">
            <w:pPr>
              <w:tabs>
                <w:tab w:val="left" w:pos="1701"/>
              </w:tabs>
              <w:rPr>
                <w:snapToGrid w:val="0"/>
              </w:rPr>
            </w:pPr>
          </w:p>
        </w:tc>
      </w:tr>
      <w:tr w:rsidR="00D467E8" w14:paraId="47097576" w14:textId="77777777" w:rsidTr="005F3412">
        <w:tc>
          <w:tcPr>
            <w:tcW w:w="567" w:type="dxa"/>
          </w:tcPr>
          <w:p w14:paraId="0F442093" w14:textId="77777777" w:rsidR="00D467E8" w:rsidRDefault="00D467E8" w:rsidP="00D467E8">
            <w:pPr>
              <w:tabs>
                <w:tab w:val="left" w:pos="1701"/>
              </w:tabs>
              <w:rPr>
                <w:b/>
                <w:snapToGrid w:val="0"/>
              </w:rPr>
            </w:pPr>
          </w:p>
        </w:tc>
        <w:tc>
          <w:tcPr>
            <w:tcW w:w="6946" w:type="dxa"/>
          </w:tcPr>
          <w:p w14:paraId="43A25E53" w14:textId="77777777" w:rsidR="00D467E8" w:rsidRDefault="00D467E8" w:rsidP="00D467E8">
            <w:pPr>
              <w:tabs>
                <w:tab w:val="left" w:pos="1701"/>
              </w:tabs>
              <w:rPr>
                <w:b/>
                <w:snapToGrid w:val="0"/>
              </w:rPr>
            </w:pPr>
          </w:p>
        </w:tc>
      </w:tr>
    </w:tbl>
    <w:p w14:paraId="15479F88" w14:textId="7106FC2D" w:rsidR="00B22510" w:rsidRDefault="00B22510"/>
    <w:p w14:paraId="34054B00" w14:textId="4A1B1431" w:rsidR="00637717" w:rsidRDefault="00637717"/>
    <w:p w14:paraId="0BE289CD" w14:textId="77777777" w:rsidR="00637717" w:rsidRDefault="00637717"/>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1DB55901" w14:textId="553CB70F" w:rsidR="008E3AF3" w:rsidRDefault="008E3AF3" w:rsidP="008E3AF3">
            <w:pPr>
              <w:tabs>
                <w:tab w:val="left" w:pos="1701"/>
              </w:tabs>
            </w:pPr>
          </w:p>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308E600C" w:rsidR="008E3AF3" w:rsidRDefault="00C51494"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7FDC41C0" w:rsidR="008E3AF3" w:rsidRDefault="008E3AF3" w:rsidP="008E3AF3">
            <w:pPr>
              <w:tabs>
                <w:tab w:val="left" w:pos="1701"/>
              </w:tabs>
            </w:pPr>
            <w:r>
              <w:t>Justeras den</w:t>
            </w:r>
            <w:r w:rsidR="009F4412">
              <w:t xml:space="preserve"> </w:t>
            </w:r>
            <w:r w:rsidR="00BD78A3">
              <w:t>20</w:t>
            </w:r>
            <w:r w:rsidR="00393AA5">
              <w:t xml:space="preserve"> juni</w:t>
            </w:r>
            <w:r w:rsidR="00D7713D">
              <w:t xml:space="preserve"> </w:t>
            </w:r>
            <w:r>
              <w:t>202</w:t>
            </w:r>
            <w:r w:rsidR="001F480A">
              <w:t>3</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2B6ED060" w14:textId="730E4475" w:rsidR="008E3AF3" w:rsidRDefault="00AA153E" w:rsidP="008E3AF3">
            <w:pPr>
              <w:tabs>
                <w:tab w:val="left" w:pos="1701"/>
              </w:tabs>
              <w:rPr>
                <w:szCs w:val="24"/>
              </w:rPr>
            </w:pPr>
            <w:r>
              <w:rPr>
                <w:szCs w:val="24"/>
              </w:rPr>
              <w:t>Richard Jomshof</w:t>
            </w:r>
          </w:p>
          <w:p w14:paraId="4BD23539" w14:textId="1F80CE15" w:rsidR="00B22510" w:rsidRPr="00142088" w:rsidRDefault="00B22510" w:rsidP="008E3AF3">
            <w:pPr>
              <w:tabs>
                <w:tab w:val="left" w:pos="1701"/>
              </w:tabs>
            </w:pP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7E0CB34F" w:rsidR="00E760A5" w:rsidRDefault="00E760A5" w:rsidP="00720C97">
            <w:pPr>
              <w:tabs>
                <w:tab w:val="left" w:pos="1701"/>
              </w:tabs>
            </w:pPr>
            <w:r>
              <w:t>20</w:t>
            </w:r>
            <w:r w:rsidR="00CD70B9">
              <w:t>2</w:t>
            </w:r>
            <w:r w:rsidR="00283C5A">
              <w:t>2</w:t>
            </w:r>
            <w:r>
              <w:t>/2</w:t>
            </w:r>
            <w:r w:rsidR="00283C5A">
              <w:t>3</w:t>
            </w:r>
            <w:r>
              <w:t>:</w:t>
            </w:r>
            <w:r w:rsidR="00CE7BB0">
              <w:t>3</w:t>
            </w:r>
            <w:r w:rsidR="00BD78A3">
              <w:t>2</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04CC8383"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1B1C66">
              <w:rPr>
                <w:sz w:val="22"/>
              </w:rPr>
              <w:t>-</w:t>
            </w:r>
            <w:r w:rsidR="00293C64">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150F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4F629C35"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45B517E6"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7C7C3F2"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A90DAD" w:rsidRPr="007379A1" w:rsidRDefault="00A90DAD" w:rsidP="00A90DAD">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218ED215" w:rsidR="00A90DAD" w:rsidRPr="00F72CCB" w:rsidRDefault="00893ED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128C8B59"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11E4D358"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A90DAD" w:rsidRPr="009841C1" w:rsidRDefault="00A90DAD" w:rsidP="00A90DAD">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436C0683" w:rsidR="00A90DAD" w:rsidRDefault="00893ED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58BE6112"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34CA8789"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A90DAD" w:rsidRPr="00C04C3F" w:rsidRDefault="00A90DAD" w:rsidP="00A90DAD">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578F4C32"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1A9EC24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A90DAD" w:rsidRPr="00A74BA5" w:rsidRDefault="00A90DAD" w:rsidP="00A90DAD">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363C2F3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2F6AFB6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A90DAD" w:rsidRPr="00A74BA5" w:rsidRDefault="00A90DAD" w:rsidP="00A90DAD">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413ACBB2"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3DECD1D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A90DAD" w:rsidRPr="00F85329" w:rsidRDefault="00A90DAD" w:rsidP="00A90DAD">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67CA75A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07A534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A90DAD" w:rsidRPr="00A74BA5" w:rsidRDefault="00A90DAD" w:rsidP="00A90DAD">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6F925FD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5D10FBA2"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A90DAD" w:rsidRPr="00A74BA5" w:rsidRDefault="00A90DAD" w:rsidP="00A90DAD">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5A81954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6A03246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5D74EF0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A90DAD" w:rsidRPr="00A74BA5" w:rsidRDefault="00A90DAD" w:rsidP="00A90DAD">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6FBA20A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15977D9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A90DAD" w:rsidRPr="00A74BA5" w:rsidRDefault="00A90DAD" w:rsidP="00A90DAD">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4B9570A2"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5284CC1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A90DAD" w:rsidRPr="00A74BA5" w:rsidRDefault="00A90DAD" w:rsidP="00A90DAD">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34609F62"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3F0EC32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A90DAD" w:rsidRPr="00A74BA5" w:rsidRDefault="00A90DAD" w:rsidP="00A90DAD">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1D6FE25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79CF36A2"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A90DAD" w:rsidRPr="00A74BA5" w:rsidRDefault="00A90DAD" w:rsidP="00A90DAD">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3858B6A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684BA07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A90DAD" w:rsidRPr="00A74BA5" w:rsidRDefault="00A90DAD" w:rsidP="00A90DAD">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4AF34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3B44F8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3E64C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4A6941D9" w:rsidR="00A90DAD" w:rsidRPr="00A74BA5" w:rsidRDefault="00A90DAD" w:rsidP="00A90DAD">
            <w:pPr>
              <w:rPr>
                <w:szCs w:val="24"/>
              </w:rPr>
            </w:pPr>
            <w:r w:rsidRPr="00F85329">
              <w:t>Pontus Andersson (SD)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179D03F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5FECB9B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A90DAD" w:rsidRPr="000253CD" w:rsidRDefault="00A90DAD" w:rsidP="00A90DAD">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0C8AFE6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7DADB87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A90DAD" w:rsidRPr="00A74BA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48E7CFD5"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4B4FA132"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A90DAD" w:rsidRPr="00A74BA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A90DAD" w:rsidRPr="00CD65BC" w:rsidRDefault="00A90DAD" w:rsidP="00A90DAD">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0464FA0D" w:rsidR="00A90DAD" w:rsidRPr="0078232D" w:rsidRDefault="00893ED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73E0FD33"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001D01F6"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0DAD"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A90DAD" w:rsidRPr="00A23450" w:rsidRDefault="00A90DAD" w:rsidP="00A90DAD">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5B929D83"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195E8EA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0DAD"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A90DAD" w:rsidRPr="00A23450" w:rsidRDefault="00A90DAD" w:rsidP="00A90DAD">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7389A2C3"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138AAF96"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22B1A16E"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125D57" w:rsidRDefault="00125D57" w:rsidP="00125D57">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02360A48" w:rsidR="00125D57" w:rsidRPr="0078232D" w:rsidRDefault="00893EDD"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119E1FF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125D57" w:rsidRDefault="00125D57" w:rsidP="00125D57">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125D57" w:rsidRPr="00A23450" w:rsidRDefault="00125D57" w:rsidP="00125D57">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125D57" w:rsidRPr="00A23450" w:rsidRDefault="00125D57" w:rsidP="00125D57">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125D57" w:rsidRPr="00A23450" w:rsidRDefault="00125D57" w:rsidP="00125D57">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125D57" w:rsidRDefault="00125D57" w:rsidP="00125D57">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125D57" w:rsidRDefault="00125D57" w:rsidP="00125D57">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125D57" w:rsidRPr="00A23450" w:rsidRDefault="00125D57" w:rsidP="00125D57">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125D57" w:rsidRPr="00A23450" w:rsidRDefault="00125D57" w:rsidP="00125D57">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947908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743E3785"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5E4ABCE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949C65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546AD32F" w14:textId="2E0AF5F4"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r w:rsidRPr="0054222C">
              <w:rPr>
                <w:sz w:val="20"/>
              </w:rPr>
              <w:t>För</w:t>
            </w:r>
            <w:r>
              <w:rPr>
                <w:sz w:val="20"/>
              </w:rPr>
              <w:t xml:space="preserve">teckningen </w:t>
            </w:r>
            <w:r w:rsidR="001452CD">
              <w:rPr>
                <w:sz w:val="20"/>
              </w:rPr>
              <w:t xml:space="preserve">uppdat. </w:t>
            </w:r>
            <w:r w:rsidR="0024100F">
              <w:rPr>
                <w:sz w:val="20"/>
              </w:rPr>
              <w:t>2023-0</w:t>
            </w:r>
            <w:r w:rsidR="00311275">
              <w:rPr>
                <w:sz w:val="20"/>
              </w:rPr>
              <w:t>5</w:t>
            </w:r>
            <w:r w:rsidR="0024100F">
              <w:rPr>
                <w:sz w:val="20"/>
              </w:rPr>
              <w:t>-</w:t>
            </w:r>
            <w:r w:rsidR="00311275">
              <w:rPr>
                <w:sz w:val="20"/>
              </w:rPr>
              <w:t>0</w:t>
            </w:r>
            <w:r w:rsidR="006210B8">
              <w:rPr>
                <w:sz w:val="20"/>
              </w:rPr>
              <w:t>8</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2297"/>
    <w:rsid w:val="000B2AD3"/>
    <w:rsid w:val="000B3562"/>
    <w:rsid w:val="000B404C"/>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E06"/>
    <w:rsid w:val="000F01C1"/>
    <w:rsid w:val="000F0520"/>
    <w:rsid w:val="000F1021"/>
    <w:rsid w:val="000F1C2D"/>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4F4B"/>
    <w:rsid w:val="00155286"/>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B02CE"/>
    <w:rsid w:val="001B0943"/>
    <w:rsid w:val="001B0FF5"/>
    <w:rsid w:val="001B1553"/>
    <w:rsid w:val="001B15BB"/>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34A"/>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699"/>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C64"/>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455"/>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9A4"/>
    <w:rsid w:val="00463AC7"/>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598"/>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5E5"/>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312"/>
    <w:rsid w:val="005269F7"/>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DBD"/>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2E21"/>
    <w:rsid w:val="00643045"/>
    <w:rsid w:val="00644674"/>
    <w:rsid w:val="00644801"/>
    <w:rsid w:val="00644D66"/>
    <w:rsid w:val="00644FF0"/>
    <w:rsid w:val="006455A7"/>
    <w:rsid w:val="0064586B"/>
    <w:rsid w:val="00646158"/>
    <w:rsid w:val="00646B6B"/>
    <w:rsid w:val="00646D0C"/>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4F0E"/>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3F9C"/>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6019"/>
    <w:rsid w:val="007F61E5"/>
    <w:rsid w:val="007F6390"/>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3EDD"/>
    <w:rsid w:val="008944B3"/>
    <w:rsid w:val="00894633"/>
    <w:rsid w:val="008947C2"/>
    <w:rsid w:val="00894E1A"/>
    <w:rsid w:val="00895464"/>
    <w:rsid w:val="00895BAD"/>
    <w:rsid w:val="00895EEB"/>
    <w:rsid w:val="00895FB5"/>
    <w:rsid w:val="008960AB"/>
    <w:rsid w:val="008961A4"/>
    <w:rsid w:val="00896444"/>
    <w:rsid w:val="0089732C"/>
    <w:rsid w:val="00897378"/>
    <w:rsid w:val="008975E0"/>
    <w:rsid w:val="008A002F"/>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41B2"/>
    <w:rsid w:val="008E4844"/>
    <w:rsid w:val="008E48BF"/>
    <w:rsid w:val="008E49E2"/>
    <w:rsid w:val="008E4D6C"/>
    <w:rsid w:val="008E54DC"/>
    <w:rsid w:val="008E5756"/>
    <w:rsid w:val="008E5A89"/>
    <w:rsid w:val="008E5F35"/>
    <w:rsid w:val="008E66F5"/>
    <w:rsid w:val="008E6C29"/>
    <w:rsid w:val="008E7E98"/>
    <w:rsid w:val="008F03D0"/>
    <w:rsid w:val="008F0A8B"/>
    <w:rsid w:val="008F0B71"/>
    <w:rsid w:val="008F0BC6"/>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1E9"/>
    <w:rsid w:val="009056FA"/>
    <w:rsid w:val="00905EA2"/>
    <w:rsid w:val="00905F5B"/>
    <w:rsid w:val="00906303"/>
    <w:rsid w:val="00906C2D"/>
    <w:rsid w:val="00907BF7"/>
    <w:rsid w:val="0091001C"/>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54FF"/>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4D2D"/>
    <w:rsid w:val="009B5788"/>
    <w:rsid w:val="009B57DF"/>
    <w:rsid w:val="009B5E03"/>
    <w:rsid w:val="009B6EFD"/>
    <w:rsid w:val="009B71E5"/>
    <w:rsid w:val="009B7629"/>
    <w:rsid w:val="009B78F4"/>
    <w:rsid w:val="009B7F9E"/>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1D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192"/>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585"/>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D9D"/>
    <w:rsid w:val="00B22E7F"/>
    <w:rsid w:val="00B23083"/>
    <w:rsid w:val="00B2377D"/>
    <w:rsid w:val="00B245F3"/>
    <w:rsid w:val="00B245F9"/>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538"/>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494"/>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E88"/>
    <w:rsid w:val="00C61EAE"/>
    <w:rsid w:val="00C625AD"/>
    <w:rsid w:val="00C62837"/>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52F"/>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75B0"/>
    <w:rsid w:val="00D678D3"/>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03F"/>
    <w:rsid w:val="00E46464"/>
    <w:rsid w:val="00E464AB"/>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75F"/>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690"/>
    <w:rsid w:val="00F2385B"/>
    <w:rsid w:val="00F238D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150</TotalTime>
  <Pages>6</Pages>
  <Words>1023</Words>
  <Characters>7261</Characters>
  <Application>Microsoft Office Word</Application>
  <DocSecurity>0</DocSecurity>
  <Lines>1452</Lines>
  <Paragraphs>243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Sara Dadnahal</cp:lastModifiedBy>
  <cp:revision>20</cp:revision>
  <cp:lastPrinted>2023-06-15T06:19:00Z</cp:lastPrinted>
  <dcterms:created xsi:type="dcterms:W3CDTF">2023-06-12T07:53:00Z</dcterms:created>
  <dcterms:modified xsi:type="dcterms:W3CDTF">2023-06-15T12:23:00Z</dcterms:modified>
</cp:coreProperties>
</file>