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3F63DB">
        <w:tblPrEx>
          <w:tblCellMar>
            <w:top w:w="0" w:type="dxa"/>
            <w:bottom w:w="0" w:type="dxa"/>
          </w:tblCellMar>
        </w:tblPrEx>
        <w:trPr>
          <w:cantSplit/>
          <w:trHeight w:val="635"/>
        </w:trPr>
        <w:tc>
          <w:tcPr>
            <w:tcW w:w="5457" w:type="dxa"/>
            <w:gridSpan w:val="2"/>
            <w:vMerge w:val="restart"/>
            <w:tcBorders>
              <w:bottom w:val="nil"/>
            </w:tcBorders>
          </w:tcPr>
          <w:p w:rsidR="00905B3E" w:rsidRPr="003F63DB" w:rsidRDefault="00905B3E">
            <w:pPr>
              <w:pStyle w:val="HuvudRubrik"/>
              <w:spacing w:before="0"/>
              <w:rPr>
                <w:sz w:val="36"/>
              </w:rPr>
            </w:pPr>
            <w:r w:rsidRPr="003F63DB">
              <w:rPr>
                <w:sz w:val="36"/>
              </w:rPr>
              <w:t>Förslag till riksdagen</w:t>
            </w:r>
          </w:p>
          <w:p w:rsidR="00905B3E" w:rsidRPr="003F63DB" w:rsidRDefault="00905B3E">
            <w:pPr>
              <w:pStyle w:val="HuvudRubrik"/>
              <w:spacing w:before="0"/>
            </w:pPr>
            <w:r w:rsidRPr="003F63DB">
              <w:rPr>
                <w:sz w:val="36"/>
              </w:rPr>
              <w:t>2002/03:RR11</w:t>
            </w:r>
          </w:p>
          <w:p w:rsidR="00905B3E" w:rsidRPr="003F63DB" w:rsidRDefault="00905B3E">
            <w:pPr>
              <w:pStyle w:val="HuvudRubrik"/>
              <w:spacing w:before="0"/>
            </w:pPr>
            <w:r w:rsidRPr="003F63DB">
              <w:t xml:space="preserve">Riksdagens revisorers förslag angående </w:t>
            </w:r>
            <w:bookmarkStart w:id="0" w:name="Mittenrubrik2"/>
            <w:bookmarkEnd w:id="0"/>
            <w:r w:rsidRPr="003F63DB">
              <w:t>arkeologi på uppdrag</w:t>
            </w:r>
          </w:p>
        </w:tc>
        <w:tc>
          <w:tcPr>
            <w:tcW w:w="2126" w:type="dxa"/>
          </w:tcPr>
          <w:p w:rsidR="00905B3E" w:rsidRPr="003F63DB" w:rsidRDefault="003F63DB">
            <w:pPr>
              <w:pStyle w:val="rtal"/>
              <w:ind w:left="0"/>
              <w:rPr>
                <w:sz w:val="2"/>
              </w:rPr>
            </w:pPr>
            <w:r w:rsidRPr="003F63DB">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3F63DB">
        <w:tblPrEx>
          <w:tblCellMar>
            <w:top w:w="0" w:type="dxa"/>
            <w:bottom w:w="0" w:type="dxa"/>
          </w:tblCellMar>
        </w:tblPrEx>
        <w:trPr>
          <w:cantSplit/>
          <w:trHeight w:val="313"/>
        </w:trPr>
        <w:tc>
          <w:tcPr>
            <w:tcW w:w="5457" w:type="dxa"/>
            <w:gridSpan w:val="2"/>
            <w:vMerge/>
            <w:tcBorders>
              <w:bottom w:val="nil"/>
            </w:tcBorders>
          </w:tcPr>
          <w:p w:rsidR="00905B3E" w:rsidRPr="003F63DB" w:rsidRDefault="00905B3E">
            <w:pPr>
              <w:pStyle w:val="HuvudRubrik"/>
            </w:pPr>
          </w:p>
        </w:tc>
        <w:tc>
          <w:tcPr>
            <w:tcW w:w="2126" w:type="dxa"/>
          </w:tcPr>
          <w:p w:rsidR="00905B3E" w:rsidRPr="003F63DB" w:rsidRDefault="00905B3E">
            <w:pPr>
              <w:pStyle w:val="rtal"/>
              <w:ind w:left="0"/>
            </w:pPr>
            <w:r w:rsidRPr="003F63DB">
              <w:t>2002/03</w:t>
            </w:r>
          </w:p>
        </w:tc>
      </w:tr>
      <w:tr w:rsidR="00000000" w:rsidRPr="003F63DB">
        <w:tblPrEx>
          <w:tblCellMar>
            <w:top w:w="0" w:type="dxa"/>
            <w:bottom w:w="0" w:type="dxa"/>
          </w:tblCellMar>
        </w:tblPrEx>
        <w:trPr>
          <w:cantSplit/>
          <w:trHeight w:val="635"/>
        </w:trPr>
        <w:tc>
          <w:tcPr>
            <w:tcW w:w="5457" w:type="dxa"/>
            <w:gridSpan w:val="2"/>
            <w:vMerge/>
            <w:tcBorders>
              <w:bottom w:val="single" w:sz="4" w:space="0" w:color="auto"/>
            </w:tcBorders>
          </w:tcPr>
          <w:p w:rsidR="00905B3E" w:rsidRPr="003F63DB" w:rsidRDefault="00905B3E">
            <w:pPr>
              <w:pStyle w:val="HuvudRubrik"/>
            </w:pPr>
          </w:p>
        </w:tc>
        <w:tc>
          <w:tcPr>
            <w:tcW w:w="2126" w:type="dxa"/>
            <w:tcBorders>
              <w:bottom w:val="single" w:sz="6" w:space="0" w:color="auto"/>
            </w:tcBorders>
          </w:tcPr>
          <w:p w:rsidR="00905B3E" w:rsidRPr="003F63DB" w:rsidRDefault="00905B3E">
            <w:pPr>
              <w:pStyle w:val="rtal"/>
              <w:ind w:left="0"/>
            </w:pPr>
            <w:r w:rsidRPr="003F63DB">
              <w:t>RR11</w:t>
            </w:r>
          </w:p>
        </w:tc>
      </w:tr>
      <w:tr w:rsidR="00000000" w:rsidRPr="003F63DB">
        <w:tblPrEx>
          <w:tblCellMar>
            <w:top w:w="0" w:type="dxa"/>
            <w:bottom w:w="0" w:type="dxa"/>
          </w:tblCellMar>
        </w:tblPrEx>
        <w:trPr>
          <w:cantSplit/>
          <w:trHeight w:hRule="exact" w:val="660"/>
        </w:trPr>
        <w:tc>
          <w:tcPr>
            <w:tcW w:w="3012" w:type="dxa"/>
          </w:tcPr>
          <w:p w:rsidR="00905B3E" w:rsidRPr="003F63DB" w:rsidRDefault="00905B3E">
            <w:pPr>
              <w:pStyle w:val="StatusSida1"/>
            </w:pPr>
          </w:p>
        </w:tc>
        <w:tc>
          <w:tcPr>
            <w:tcW w:w="2445" w:type="dxa"/>
          </w:tcPr>
          <w:p w:rsidR="00905B3E" w:rsidRPr="003F63DB" w:rsidRDefault="00905B3E">
            <w:pPr>
              <w:pStyle w:val="UtskriftsdatumSida1"/>
              <w:rPr>
                <w:b/>
                <w:sz w:val="28"/>
              </w:rPr>
            </w:pPr>
          </w:p>
        </w:tc>
        <w:tc>
          <w:tcPr>
            <w:tcW w:w="2126" w:type="dxa"/>
          </w:tcPr>
          <w:p w:rsidR="00905B3E" w:rsidRPr="003F63DB" w:rsidRDefault="00905B3E"/>
        </w:tc>
      </w:tr>
    </w:tbl>
    <w:p w:rsidR="00905B3E" w:rsidRPr="003F63DB" w:rsidRDefault="00905B3E">
      <w:pPr>
        <w:pStyle w:val="Rubrik1"/>
      </w:pPr>
      <w:bookmarkStart w:id="1" w:name="Textstart"/>
      <w:bookmarkStart w:id="2" w:name="_Toc35833456"/>
      <w:bookmarkStart w:id="3" w:name="_Toc36520704"/>
      <w:bookmarkEnd w:id="1"/>
      <w:r w:rsidRPr="003F63DB">
        <w:t>Revisorernas granskning</w:t>
      </w:r>
      <w:bookmarkEnd w:id="2"/>
      <w:bookmarkEnd w:id="3"/>
    </w:p>
    <w:p w:rsidR="00905B3E" w:rsidRPr="003F63DB" w:rsidRDefault="00905B3E">
      <w:r w:rsidRPr="003F63DB">
        <w:t>Riksdagens revisorer har på eget initiativ granskat uppdragsarkeologi – ark</w:t>
      </w:r>
      <w:r w:rsidRPr="003F63DB">
        <w:t>e</w:t>
      </w:r>
      <w:r w:rsidRPr="003F63DB">
        <w:t>ologiska utredningar och undersökningar som exploatörer ska bekosta vid markexploatering. Granskningen har omfattat organisationen och konku</w:t>
      </w:r>
      <w:r w:rsidRPr="003F63DB">
        <w:t>r</w:t>
      </w:r>
      <w:r w:rsidRPr="003F63DB">
        <w:t>rensvillkoren för uppdragsarkeologi, och då särskilt länsstyrelsernas val av undersökare, samt Riksantikvarieämbetets verksamhet – både som myndi</w:t>
      </w:r>
      <w:r w:rsidRPr="003F63DB">
        <w:t>g</w:t>
      </w:r>
      <w:r w:rsidRPr="003F63DB">
        <w:t>hetsutövare och som utförare av uppdragsarkeologiska undersökningar. Även arkeologisk forskning och användningen av resultaten från undersökningarna har berörts i rapporten.</w:t>
      </w:r>
    </w:p>
    <w:p w:rsidR="00905B3E" w:rsidRPr="003F63DB" w:rsidRDefault="00905B3E">
      <w:pPr>
        <w:pStyle w:val="Normaltindrag"/>
      </w:pPr>
      <w:r w:rsidRPr="003F63DB">
        <w:t>Resultatet av granskningen har redovisats i rappor</w:t>
      </w:r>
      <w:r w:rsidRPr="003F63DB">
        <w:t xml:space="preserve">ten 2002/03:3 </w:t>
      </w:r>
      <w:r w:rsidRPr="003F63DB">
        <w:rPr>
          <w:i/>
        </w:rPr>
        <w:t>Arkeologi på uppdrag</w:t>
      </w:r>
      <w:r w:rsidRPr="003F63DB">
        <w:t xml:space="preserve">. Rapporten finns som </w:t>
      </w:r>
      <w:r w:rsidRPr="003F63DB">
        <w:rPr>
          <w:i/>
        </w:rPr>
        <w:t>bilaga 1</w:t>
      </w:r>
      <w:r w:rsidRPr="003F63DB">
        <w:t xml:space="preserve"> till denna skrivelse. </w:t>
      </w:r>
    </w:p>
    <w:p w:rsidR="00905B3E" w:rsidRPr="003F63DB" w:rsidRDefault="00905B3E">
      <w:pPr>
        <w:pStyle w:val="Normaltindrag"/>
      </w:pPr>
      <w:r w:rsidRPr="003F63DB">
        <w:t xml:space="preserve">Rapporten har remissbehandlats. Sammanlagt 32 remissinstanser har yttrat sig. En sammanfattning av yttrandena finns som </w:t>
      </w:r>
      <w:r w:rsidRPr="003F63DB">
        <w:rPr>
          <w:i/>
        </w:rPr>
        <w:t>bilaga 2</w:t>
      </w:r>
      <w:r w:rsidRPr="003F63DB">
        <w:t>.</w:t>
      </w:r>
    </w:p>
    <w:p w:rsidR="00905B3E" w:rsidRPr="003F63DB" w:rsidRDefault="00905B3E">
      <w:pPr>
        <w:pStyle w:val="Rubrik2"/>
      </w:pPr>
      <w:bookmarkStart w:id="4" w:name="_Toc35833457"/>
      <w:bookmarkStart w:id="5" w:name="_Toc36520705"/>
      <w:r w:rsidRPr="003F63DB">
        <w:t>Uppdragsarkeologi</w:t>
      </w:r>
      <w:bookmarkEnd w:id="4"/>
      <w:bookmarkEnd w:id="5"/>
    </w:p>
    <w:p w:rsidR="00905B3E" w:rsidRPr="003F63DB" w:rsidRDefault="00905B3E">
      <w:r w:rsidRPr="003F63DB">
        <w:t>Fasta fornlämningar är skyddade enligt kulturminneslagen (1988:950). Län</w:t>
      </w:r>
      <w:r w:rsidRPr="003F63DB">
        <w:t>s</w:t>
      </w:r>
      <w:r w:rsidRPr="003F63DB">
        <w:t>styrelserna ger tillstånd till ingrepp i fornlämning för markexploatering om samhällsintresset för ingreppet väger tyngre än intresset av att bevara for</w:t>
      </w:r>
      <w:r w:rsidRPr="003F63DB">
        <w:t>n</w:t>
      </w:r>
      <w:r w:rsidRPr="003F63DB">
        <w:t>lämningen. Länsstyrelserna kan då ställa som villkor att fornlämningen u</w:t>
      </w:r>
      <w:r w:rsidRPr="003F63DB">
        <w:t>n</w:t>
      </w:r>
      <w:r w:rsidRPr="003F63DB">
        <w:t>dersöks och dokumenteras på exploatörens bekostnad. Resultaten från unde</w:t>
      </w:r>
      <w:r w:rsidRPr="003F63DB">
        <w:t>r</w:t>
      </w:r>
      <w:r w:rsidRPr="003F63DB">
        <w:t xml:space="preserve">sökningarna förväntas bidra till ny kunskap. </w:t>
      </w:r>
    </w:p>
    <w:p w:rsidR="00905B3E" w:rsidRPr="003F63DB" w:rsidRDefault="00905B3E">
      <w:pPr>
        <w:pStyle w:val="Normaltindrag"/>
      </w:pPr>
      <w:r w:rsidRPr="003F63DB">
        <w:t>När en arkeologisk undersökning väl har genomförts och fornlämningen har tagits bort är ingreppet oåterkalleligt. Arkeologer får inget nytt tillfälle att undersöka fo</w:t>
      </w:r>
      <w:r w:rsidRPr="003F63DB">
        <w:t xml:space="preserve">rnlämningen – åtminstone inte i dess rätta miljö och aldrig i dess helhet. Valda delar av fornlämningen lever kvar i form av tillvaratagna fynd och arkeologisk dokumentation. </w:t>
      </w:r>
    </w:p>
    <w:p w:rsidR="00905B3E" w:rsidRPr="003F63DB" w:rsidRDefault="00905B3E">
      <w:pPr>
        <w:pStyle w:val="Normaltindrag"/>
      </w:pPr>
      <w:r w:rsidRPr="003F63DB">
        <w:t>Organisationen för uppdragsarkeologi omfattar i huvudsak tre parter – länsstyrelserna, exploatörerna och de arkeologiska undersökarna. Länsstyre</w:t>
      </w:r>
      <w:r w:rsidRPr="003F63DB">
        <w:t>l</w:t>
      </w:r>
      <w:r w:rsidRPr="003F63DB">
        <w:t>serna ska utarbeta kravspecifikation, utse undersökare samt svara för up</w:t>
      </w:r>
      <w:r w:rsidRPr="003F63DB">
        <w:t>p</w:t>
      </w:r>
      <w:r w:rsidRPr="003F63DB">
        <w:t>följning och tillsyn. Det arkeologiska arbetet ska genomföras med god vete</w:t>
      </w:r>
      <w:r w:rsidRPr="003F63DB">
        <w:t>n</w:t>
      </w:r>
      <w:r w:rsidRPr="003F63DB">
        <w:t>skaplig kvalitet till en kostnad som inte är högre än motiverat. Av kulturmi</w:t>
      </w:r>
      <w:r w:rsidRPr="003F63DB">
        <w:t>n</w:t>
      </w:r>
      <w:r w:rsidRPr="003F63DB">
        <w:lastRenderedPageBreak/>
        <w:t>neslagen framgår att lagen (1992:1528) om offentlig upphandling (LOU) inte ska tillämpas då unders</w:t>
      </w:r>
      <w:r w:rsidRPr="003F63DB">
        <w:t>ö</w:t>
      </w:r>
      <w:r w:rsidRPr="003F63DB">
        <w:t>kare väljs.</w:t>
      </w:r>
    </w:p>
    <w:p w:rsidR="00905B3E" w:rsidRPr="003F63DB" w:rsidRDefault="00905B3E">
      <w:pPr>
        <w:pStyle w:val="Normaltindrag"/>
      </w:pPr>
      <w:r w:rsidRPr="003F63DB">
        <w:t>Riksantikvarieämbetet styr uppdragsarkeologin genom föreskrifter. My</w:t>
      </w:r>
      <w:r w:rsidRPr="003F63DB">
        <w:t>n</w:t>
      </w:r>
      <w:r w:rsidRPr="003F63DB">
        <w:t>digheten utformar normer för verksamheten genom allmänna råd och r</w:t>
      </w:r>
      <w:r w:rsidRPr="003F63DB">
        <w:t>e</w:t>
      </w:r>
      <w:r w:rsidRPr="003F63DB">
        <w:t>kommendationer. Riksantikvarieämbetet svarar även för uppföljning och central tillsyn (överinseende) vad gäller tillämpningen av kulturminneslagen och föreskrifterna. Myndigheten har rätt att överklaga länsstyrelsebeslut. Vid sidan av dessa myndighetsuppgifter bedriver Riksantikvarieämbetet landets största arkeologiska uppdragsver</w:t>
      </w:r>
      <w:r w:rsidRPr="003F63DB">
        <w:t>k</w:t>
      </w:r>
      <w:r w:rsidRPr="003F63DB">
        <w:t>samhet.</w:t>
      </w:r>
    </w:p>
    <w:p w:rsidR="00905B3E" w:rsidRPr="003F63DB" w:rsidRDefault="00905B3E">
      <w:pPr>
        <w:pStyle w:val="Rubrik2"/>
      </w:pPr>
      <w:bookmarkStart w:id="6" w:name="_Toc35833458"/>
      <w:bookmarkStart w:id="7" w:name="_Toc36520706"/>
      <w:r w:rsidRPr="003F63DB">
        <w:t>Revisorernas utgångspunkter och förslag</w:t>
      </w:r>
      <w:bookmarkEnd w:id="6"/>
      <w:bookmarkEnd w:id="7"/>
    </w:p>
    <w:p w:rsidR="00905B3E" w:rsidRPr="003F63DB" w:rsidRDefault="00905B3E">
      <w:r w:rsidRPr="003F63DB">
        <w:t>I granskningen har revisorerna utgått från kulturminneslagens bestämmelser om att fasta fornlämningar i möjligaste mån ska skyddas. När tillstånd till ingrepp i fornlämningar ändå ges ska arkeologiska undersökningar genomf</w:t>
      </w:r>
      <w:r w:rsidRPr="003F63DB">
        <w:t>ö</w:t>
      </w:r>
      <w:r w:rsidRPr="003F63DB">
        <w:t>ras på ett sådant sätt att de ger ny kunskap om historiska förhållanden. Ku</w:t>
      </w:r>
      <w:r w:rsidRPr="003F63DB">
        <w:t>n</w:t>
      </w:r>
      <w:r w:rsidRPr="003F63DB">
        <w:t>skapen ska komma till användning i forskning och utbildning och även på andra sätt förmedlas till allmänheten. Arkeologiska undersökningar ska genomföras till så låga kostnader som möjligt. Eftersom en arkeologisk undersökning inte kan göras om efter det att fornlämningen har förstörts är det viktigt att forskare, undersökare och exploatörer och även en intresserad allmänhet får insyn i hur beslut om arkeologiska undersökningar fat</w:t>
      </w:r>
      <w:r w:rsidRPr="003F63DB">
        <w:t>tas och i det arke</w:t>
      </w:r>
      <w:r w:rsidRPr="003F63DB">
        <w:t>o</w:t>
      </w:r>
      <w:r w:rsidRPr="003F63DB">
        <w:t xml:space="preserve">logiska arbetet som sådant. </w:t>
      </w:r>
    </w:p>
    <w:p w:rsidR="00905B3E" w:rsidRPr="003F63DB" w:rsidRDefault="00905B3E">
      <w:pPr>
        <w:pStyle w:val="Normaltindrag"/>
      </w:pPr>
      <w:r w:rsidRPr="003F63DB">
        <w:t>I rapporten har revisorerna lämnat fem förslag. Tillsammans syftar försl</w:t>
      </w:r>
      <w:r w:rsidRPr="003F63DB">
        <w:t>a</w:t>
      </w:r>
      <w:r w:rsidRPr="003F63DB">
        <w:t>gen till att värna fornlämningars skydd, stärka statens roll som beställare av arkeologiska undersökningar, säkerställa kvaliteten i det arkeologiska arb</w:t>
      </w:r>
      <w:r w:rsidRPr="003F63DB">
        <w:t>e</w:t>
      </w:r>
      <w:r w:rsidRPr="003F63DB">
        <w:t>tet, öka användningen av de arkeologiska resultaten, förbättra insynen, skapa förutsättningar för bättre konkurrens och kostnadskontroll samt tydliggöra Riksantikvarieämbetets myndi</w:t>
      </w:r>
      <w:r w:rsidRPr="003F63DB">
        <w:t>g</w:t>
      </w:r>
      <w:r w:rsidRPr="003F63DB">
        <w:t>hetsuppgifter.</w:t>
      </w:r>
    </w:p>
    <w:p w:rsidR="00905B3E" w:rsidRPr="003F63DB" w:rsidRDefault="00905B3E">
      <w:pPr>
        <w:pStyle w:val="Rubrik2"/>
      </w:pPr>
      <w:bookmarkStart w:id="8" w:name="_Toc35833459"/>
      <w:bookmarkStart w:id="9" w:name="_Toc36520707"/>
      <w:r w:rsidRPr="003F63DB">
        <w:t>Aviserad översyn</w:t>
      </w:r>
      <w:bookmarkEnd w:id="8"/>
      <w:bookmarkEnd w:id="9"/>
    </w:p>
    <w:p w:rsidR="00905B3E" w:rsidRPr="003F63DB" w:rsidRDefault="00905B3E">
      <w:r w:rsidRPr="003F63DB">
        <w:t>Kulturdepartementet har vid flera tillfällen sedan år 2000 framfört till riksd</w:t>
      </w:r>
      <w:r w:rsidRPr="003F63DB">
        <w:t>a</w:t>
      </w:r>
      <w:r w:rsidRPr="003F63DB">
        <w:t>gen att det inom departementet pågår en översyn av formerna för den up</w:t>
      </w:r>
      <w:r w:rsidRPr="003F63DB">
        <w:t>p</w:t>
      </w:r>
      <w:r w:rsidRPr="003F63DB">
        <w:t>dragsarkeologiska verksamheten. I budgetpropositionen för 2003 beskriver regeringen vilka frågor som omfattas av Kulturdepartementets översyn. Regeringen nämner bl.a. tillämpningen av kulturminneslagen, Riksantikv</w:t>
      </w:r>
      <w:r w:rsidRPr="003F63DB">
        <w:t>a</w:t>
      </w:r>
      <w:r w:rsidRPr="003F63DB">
        <w:t>rieämbetets och länsstyrelsernas uppgifter samt uppföljningen av den up</w:t>
      </w:r>
      <w:r w:rsidRPr="003F63DB">
        <w:t>p</w:t>
      </w:r>
      <w:r w:rsidRPr="003F63DB">
        <w:t>dragsarkeologiska verksamheten. Översynen omfattar även konkurrenssitu</w:t>
      </w:r>
      <w:r w:rsidRPr="003F63DB">
        <w:t>a</w:t>
      </w:r>
      <w:r w:rsidRPr="003F63DB">
        <w:t>tionen och variationerna i uppdragsvolym. I propositionen hänvisar regerin</w:t>
      </w:r>
      <w:r w:rsidRPr="003F63DB">
        <w:t>g</w:t>
      </w:r>
      <w:r w:rsidRPr="003F63DB">
        <w:t xml:space="preserve">en till </w:t>
      </w:r>
      <w:r w:rsidRPr="003F63DB">
        <w:t>Riksdagens revisorers granskning av up</w:t>
      </w:r>
      <w:r w:rsidRPr="003F63DB">
        <w:t>p</w:t>
      </w:r>
      <w:r w:rsidRPr="003F63DB">
        <w:t>dragsarkeologi.</w:t>
      </w:r>
    </w:p>
    <w:p w:rsidR="00905B3E" w:rsidRPr="003F63DB" w:rsidRDefault="00905B3E">
      <w:pPr>
        <w:pStyle w:val="Normaltindrag"/>
      </w:pPr>
      <w:r w:rsidRPr="003F63DB">
        <w:t>Regeringen hade ännu i mars 2003 inte presenterat några resultat av öve</w:t>
      </w:r>
      <w:r w:rsidRPr="003F63DB">
        <w:t>r</w:t>
      </w:r>
      <w:r w:rsidRPr="003F63DB">
        <w:t xml:space="preserve">synen. Någon offentlig utredning hade heller inte tillsatts. </w:t>
      </w:r>
    </w:p>
    <w:p w:rsidR="00905B3E" w:rsidRPr="003F63DB" w:rsidRDefault="00905B3E">
      <w:pPr>
        <w:pStyle w:val="Rubrik2"/>
      </w:pPr>
      <w:r w:rsidRPr="003F63DB">
        <w:br w:type="page"/>
      </w:r>
      <w:bookmarkStart w:id="10" w:name="_Toc35833460"/>
      <w:bookmarkStart w:id="11" w:name="_Toc36520708"/>
      <w:r w:rsidRPr="003F63DB">
        <w:t>Remissinstansernas allmänna synpunkter</w:t>
      </w:r>
      <w:bookmarkEnd w:id="10"/>
      <w:bookmarkEnd w:id="11"/>
    </w:p>
    <w:p w:rsidR="00905B3E" w:rsidRPr="003F63DB" w:rsidRDefault="00905B3E">
      <w:r w:rsidRPr="003F63DB">
        <w:t>Remissinstansernas allmänna synpunkter på rapporten är bl.a. följande:</w:t>
      </w:r>
    </w:p>
    <w:p w:rsidR="00905B3E" w:rsidRPr="003F63DB" w:rsidRDefault="00905B3E">
      <w:pPr>
        <w:pStyle w:val="Normaltindrag"/>
      </w:pPr>
      <w:r w:rsidRPr="003F63DB">
        <w:rPr>
          <w:i/>
        </w:rPr>
        <w:t>Statskontoret</w:t>
      </w:r>
      <w:r w:rsidRPr="003F63DB">
        <w:t xml:space="preserve"> anser det viktigt att det skapas förutsättningar för bättre hu</w:t>
      </w:r>
      <w:r w:rsidRPr="003F63DB">
        <w:t>s</w:t>
      </w:r>
      <w:r w:rsidRPr="003F63DB">
        <w:t>hållning med offentliga medel inom uppdragsarkeologin.</w:t>
      </w:r>
    </w:p>
    <w:p w:rsidR="00905B3E" w:rsidRPr="003F63DB" w:rsidRDefault="00905B3E">
      <w:pPr>
        <w:pStyle w:val="Normaltindrag"/>
      </w:pPr>
      <w:r w:rsidRPr="003F63DB">
        <w:rPr>
          <w:i/>
        </w:rPr>
        <w:t>Länsstyrelsen i Stockholms län</w:t>
      </w:r>
      <w:r w:rsidRPr="003F63DB">
        <w:t xml:space="preserve"> anser att revisorerna har gjort en värdefull genomgång av tillämpningen av kulturminneslagen, förskrifterna och effe</w:t>
      </w:r>
      <w:r w:rsidRPr="003F63DB">
        <w:t>k</w:t>
      </w:r>
      <w:r w:rsidRPr="003F63DB">
        <w:t>terna av det upphandlingsliknande förfarandet. Länsstyrelsen konstaterar att de uppdragsarkeologiska frågorna har hanterats med ambivalens inom d</w:t>
      </w:r>
      <w:r w:rsidRPr="003F63DB">
        <w:t>e</w:t>
      </w:r>
      <w:r w:rsidRPr="003F63DB">
        <w:t>partement och myndigheter. Trots flera utredningar i ämnet fungerar inte systemet tillfredsställande.</w:t>
      </w:r>
    </w:p>
    <w:p w:rsidR="00905B3E" w:rsidRPr="003F63DB" w:rsidRDefault="00905B3E">
      <w:pPr>
        <w:pStyle w:val="Normaltindrag"/>
      </w:pPr>
      <w:r w:rsidRPr="003F63DB">
        <w:rPr>
          <w:i/>
        </w:rPr>
        <w:t>Länsstyrelsen i Uppsala län</w:t>
      </w:r>
      <w:r w:rsidRPr="003F63DB">
        <w:t xml:space="preserve"> menar att revisorerna har uppmärksammat viktiga problem inom uppdragsarkeologin, vilka kräver en lösning. Länsst</w:t>
      </w:r>
      <w:r w:rsidRPr="003F63DB">
        <w:t>y</w:t>
      </w:r>
      <w:r w:rsidRPr="003F63DB">
        <w:t>relsen föreslår att revisorernas granskning breddas och fördjupas. Frågorna  bör behandlas av den sedan länge aviserade departementsutre</w:t>
      </w:r>
      <w:r w:rsidRPr="003F63DB">
        <w:t>d</w:t>
      </w:r>
      <w:r w:rsidRPr="003F63DB">
        <w:t>ningen.</w:t>
      </w:r>
    </w:p>
    <w:p w:rsidR="00905B3E" w:rsidRPr="003F63DB" w:rsidRDefault="00905B3E">
      <w:pPr>
        <w:pStyle w:val="Normaltindrag"/>
      </w:pPr>
      <w:r w:rsidRPr="003F63DB">
        <w:rPr>
          <w:i/>
        </w:rPr>
        <w:t>Länsstyrelsen i Kronobergs län</w:t>
      </w:r>
      <w:r w:rsidRPr="003F63DB">
        <w:t xml:space="preserve"> delar i stort revisorernas uppfattning om tillståndet för uppdragsarkeologin och finner kritiken mot länsstyrelsernas handläggning befogad. Höga kostnader för arkeologi och uteblivna eller banala resultat leder till att förtroendet för verksamheten minskar.</w:t>
      </w:r>
    </w:p>
    <w:p w:rsidR="00905B3E" w:rsidRPr="003F63DB" w:rsidRDefault="00905B3E">
      <w:pPr>
        <w:pStyle w:val="Normaltindrag"/>
      </w:pPr>
      <w:r w:rsidRPr="003F63DB">
        <w:rPr>
          <w:i/>
        </w:rPr>
        <w:t xml:space="preserve">Umeå universitet </w:t>
      </w:r>
      <w:r w:rsidRPr="003F63DB">
        <w:t>menar att den uppdragsarkeologiska organisationen inte fungerar bra. Förändringar och nya rutiner har inte fungerat som det var tänkt. Slutresultaten motsvarar i många fall inte vad som förespeglats i u</w:t>
      </w:r>
      <w:r w:rsidRPr="003F63DB">
        <w:t>n</w:t>
      </w:r>
      <w:r w:rsidRPr="003F63DB">
        <w:t xml:space="preserve">dersökarnas vetenskapliga program. </w:t>
      </w:r>
    </w:p>
    <w:p w:rsidR="00905B3E" w:rsidRPr="003F63DB" w:rsidRDefault="00905B3E">
      <w:pPr>
        <w:pStyle w:val="Normaltindrag"/>
      </w:pPr>
      <w:r w:rsidRPr="003F63DB">
        <w:t xml:space="preserve">Enligt </w:t>
      </w:r>
      <w:r w:rsidRPr="003F63DB">
        <w:rPr>
          <w:i/>
        </w:rPr>
        <w:t>Banverkets</w:t>
      </w:r>
      <w:r w:rsidRPr="003F63DB">
        <w:t xml:space="preserve"> uppfattning har formerna och villkoren för upphandling och genomförande av uppdragsarkeologi under lång tid väckt förundran och irritation. </w:t>
      </w:r>
    </w:p>
    <w:p w:rsidR="00905B3E" w:rsidRPr="003F63DB" w:rsidRDefault="00905B3E">
      <w:pPr>
        <w:pStyle w:val="Normaltindrag"/>
      </w:pPr>
      <w:r w:rsidRPr="003F63DB">
        <w:rPr>
          <w:i/>
        </w:rPr>
        <w:t>Societas Archaeologica Upsaliensis (SAU</w:t>
      </w:r>
      <w:r w:rsidRPr="003F63DB">
        <w:t>) bekräftar att revisorerna red</w:t>
      </w:r>
      <w:r w:rsidRPr="003F63DB">
        <w:t>o</w:t>
      </w:r>
      <w:r w:rsidRPr="003F63DB">
        <w:t>visar en verklighetsbakgrund som i allt väsentligt är korrekt. Den rådande situationen är grundligt och neutralt redovisad. Om revisorernas förslag genomförs skapas en ny och radikalt annorlunda uppdragsarkeologisk stru</w:t>
      </w:r>
      <w:r w:rsidRPr="003F63DB">
        <w:t>k</w:t>
      </w:r>
      <w:r w:rsidRPr="003F63DB">
        <w:t>tur, som SAU ser fram emot med glädje.</w:t>
      </w:r>
    </w:p>
    <w:p w:rsidR="00905B3E" w:rsidRPr="003F63DB" w:rsidRDefault="00905B3E">
      <w:pPr>
        <w:pStyle w:val="Normaltindrag"/>
      </w:pPr>
      <w:r w:rsidRPr="003F63DB">
        <w:rPr>
          <w:i/>
        </w:rPr>
        <w:t xml:space="preserve">DIK-förbundet </w:t>
      </w:r>
      <w:r w:rsidRPr="003F63DB">
        <w:t>anser att revisorerna har pekat på många brister inom up</w:t>
      </w:r>
      <w:r w:rsidRPr="003F63DB">
        <w:t>p</w:t>
      </w:r>
      <w:r w:rsidRPr="003F63DB">
        <w:t>dragsarkeologin och att förslagen i många avseenden är bra, men inte til</w:t>
      </w:r>
      <w:r w:rsidRPr="003F63DB">
        <w:t>l</w:t>
      </w:r>
      <w:r w:rsidRPr="003F63DB">
        <w:t>räckliga. Enligt förbundet är det angeläget att regeringen tar ett samlat grepp om uppdragsarkeologin och lägger fast förutsättningarna för verksamheten. Samtliga aktörers roller och ansvar måste klargöras.</w:t>
      </w:r>
    </w:p>
    <w:p w:rsidR="00905B3E" w:rsidRPr="003F63DB" w:rsidRDefault="00905B3E">
      <w:pPr>
        <w:pStyle w:val="Normaltindrag"/>
      </w:pPr>
      <w:r w:rsidRPr="003F63DB">
        <w:rPr>
          <w:i/>
        </w:rPr>
        <w:t xml:space="preserve">Riksantikvarieämbetet </w:t>
      </w:r>
      <w:r w:rsidRPr="003F63DB">
        <w:t>anser att revisorerna i flera avseenden har uppmär</w:t>
      </w:r>
      <w:r w:rsidRPr="003F63DB">
        <w:t>k</w:t>
      </w:r>
      <w:r w:rsidRPr="003F63DB">
        <w:t>sammat viktiga problem i den uppdragsarkeologiska verksamheten, men att kritiken avser förhållanden och brister som Riksantikvarieämbetet i många fall redan har kommit till rätta med eller för närvarande avhjälper.</w:t>
      </w:r>
    </w:p>
    <w:p w:rsidR="00905B3E" w:rsidRPr="003F63DB" w:rsidRDefault="00905B3E">
      <w:pPr>
        <w:pStyle w:val="Normaltindrag"/>
      </w:pPr>
      <w:r w:rsidRPr="003F63DB">
        <w:rPr>
          <w:i/>
        </w:rPr>
        <w:t>Länsstyrelsen i Södermanlands län</w:t>
      </w:r>
      <w:r w:rsidRPr="003F63DB">
        <w:t xml:space="preserve"> kritiserar revisorerna för en obalans</w:t>
      </w:r>
      <w:r w:rsidRPr="003F63DB">
        <w:t>e</w:t>
      </w:r>
      <w:r w:rsidRPr="003F63DB">
        <w:t>rad beskrivning av olika aktörers intressen inom uppdragsarkeologin. En större kunskap om arkeologi skulle gett en mer nyanserad framställning. Nu präglas rapporten av en ekonomisk framtoning.</w:t>
      </w:r>
    </w:p>
    <w:p w:rsidR="00905B3E" w:rsidRPr="003F63DB" w:rsidRDefault="00905B3E">
      <w:pPr>
        <w:pStyle w:val="Rubrik1"/>
      </w:pPr>
      <w:bookmarkStart w:id="12" w:name="_Toc35833461"/>
      <w:bookmarkStart w:id="13" w:name="_Toc36520709"/>
      <w:r w:rsidRPr="003F63DB">
        <w:t>Revisorernas överväganden</w:t>
      </w:r>
      <w:bookmarkEnd w:id="12"/>
      <w:bookmarkEnd w:id="13"/>
    </w:p>
    <w:p w:rsidR="00905B3E" w:rsidRPr="003F63DB" w:rsidRDefault="00905B3E">
      <w:pPr>
        <w:pStyle w:val="Rubrik2"/>
      </w:pPr>
      <w:bookmarkStart w:id="14" w:name="_Toc35833462"/>
      <w:bookmarkStart w:id="15" w:name="_Toc36520710"/>
      <w:r w:rsidRPr="003F63DB">
        <w:t>Riksantikvarieämbetets uppgifter</w:t>
      </w:r>
      <w:bookmarkEnd w:id="14"/>
      <w:bookmarkEnd w:id="15"/>
    </w:p>
    <w:p w:rsidR="00905B3E" w:rsidRPr="003F63DB" w:rsidRDefault="00905B3E">
      <w:pPr>
        <w:pStyle w:val="R3"/>
      </w:pPr>
      <w:r w:rsidRPr="003F63DB">
        <w:t>Rapporten</w:t>
      </w:r>
    </w:p>
    <w:p w:rsidR="00905B3E" w:rsidRPr="003F63DB" w:rsidRDefault="00905B3E">
      <w:r w:rsidRPr="003F63DB">
        <w:t>Revisorerna framhöll i rapporten att det finns en intressekonflikt i Riksanti</w:t>
      </w:r>
      <w:r w:rsidRPr="003F63DB">
        <w:t>k</w:t>
      </w:r>
      <w:r w:rsidRPr="003F63DB">
        <w:t>varieämbetets uppgifter. Myndigheten ska bevaka kulturminneslagens krav på skydd av fornlämningar och samtidigt ansvara för en uppdragsverksamhet som är beroende av att ingrepp i fornlämningar medges. Samtidigt som my</w:t>
      </w:r>
      <w:r w:rsidRPr="003F63DB">
        <w:t>n</w:t>
      </w:r>
      <w:r w:rsidRPr="003F63DB">
        <w:t>digheten ska hävda sig i konkurrensen om de arkeologiska uppdragen ska man också hantera uppgifterna att ange konkurrensvillkoren för uppdragsa</w:t>
      </w:r>
      <w:r w:rsidRPr="003F63DB">
        <w:t>r</w:t>
      </w:r>
      <w:r w:rsidRPr="003F63DB">
        <w:t>keologi. Revisorerna ifrågasatte även lämpligheten av en ordning där Rik</w:t>
      </w:r>
      <w:r w:rsidRPr="003F63DB">
        <w:t>s</w:t>
      </w:r>
      <w:r w:rsidRPr="003F63DB">
        <w:t>antikvarieämbetet överklagar länsstyrelsebeslut som kan röra den egna up</w:t>
      </w:r>
      <w:r w:rsidRPr="003F63DB">
        <w:t>p</w:t>
      </w:r>
      <w:r w:rsidRPr="003F63DB">
        <w:t>dra</w:t>
      </w:r>
      <w:r w:rsidRPr="003F63DB">
        <w:t>gsverksamheten. Då Riksantikvarieämbetet förordar sin egen arkeologi</w:t>
      </w:r>
      <w:r w:rsidRPr="003F63DB">
        <w:t>s</w:t>
      </w:r>
      <w:r w:rsidRPr="003F63DB">
        <w:t>ka verksamhet framför en konkurrents, vilket har varit aktuellt, kan myndi</w:t>
      </w:r>
      <w:r w:rsidRPr="003F63DB">
        <w:t>g</w:t>
      </w:r>
      <w:r w:rsidRPr="003F63DB">
        <w:t>hetens trovärdighet påve</w:t>
      </w:r>
      <w:r w:rsidRPr="003F63DB">
        <w:t>r</w:t>
      </w:r>
      <w:r w:rsidRPr="003F63DB">
        <w:t xml:space="preserve">kas. </w:t>
      </w:r>
    </w:p>
    <w:p w:rsidR="00905B3E" w:rsidRPr="003F63DB" w:rsidRDefault="00905B3E">
      <w:pPr>
        <w:pStyle w:val="Normaltindrag"/>
      </w:pPr>
      <w:r w:rsidRPr="003F63DB">
        <w:t>Revisorerna föreslog att Riksantikvarieämbetets arkeologiska uppdrag</w:t>
      </w:r>
      <w:r w:rsidRPr="003F63DB">
        <w:t>s</w:t>
      </w:r>
      <w:r w:rsidRPr="003F63DB">
        <w:t xml:space="preserve">verksamhet skiljs från Riksantikvarieämbetet. </w:t>
      </w:r>
    </w:p>
    <w:p w:rsidR="00905B3E" w:rsidRPr="003F63DB" w:rsidRDefault="00905B3E">
      <w:pPr>
        <w:pStyle w:val="R3"/>
      </w:pPr>
      <w:r w:rsidRPr="003F63DB">
        <w:t>Remissinstanserna</w:t>
      </w:r>
    </w:p>
    <w:p w:rsidR="00905B3E" w:rsidRPr="003F63DB" w:rsidRDefault="00905B3E">
      <w:r w:rsidRPr="003F63DB">
        <w:t>Nästan samtliga remissinstanser tillstyrker förslaget. Remissinstanserna framför flera förslag på en framtida associationsform för Riksantikvarieä</w:t>
      </w:r>
      <w:r w:rsidRPr="003F63DB">
        <w:t>m</w:t>
      </w:r>
      <w:r w:rsidRPr="003F63DB">
        <w:t>betets arkeologiska uppdragsverksamhet (UV): statligt bolag, stiftelse knuten till universiteten, verksamhet knuten till Statens historiska museum altern</w:t>
      </w:r>
      <w:r w:rsidRPr="003F63DB">
        <w:t>a</w:t>
      </w:r>
      <w:r w:rsidRPr="003F63DB">
        <w:t xml:space="preserve">tivt ett nytt arkeologiskt museum. </w:t>
      </w:r>
    </w:p>
    <w:p w:rsidR="00905B3E" w:rsidRPr="003F63DB" w:rsidRDefault="00905B3E">
      <w:pPr>
        <w:pStyle w:val="Normaltindrag"/>
      </w:pPr>
      <w:r w:rsidRPr="003F63DB">
        <w:rPr>
          <w:i/>
        </w:rPr>
        <w:t>Konkurrensverket</w:t>
      </w:r>
      <w:r w:rsidRPr="003F63DB">
        <w:t xml:space="preserve"> föreslår att statsmakterna utarbetar en plan för vilken roll staten ska ha som undersökare inom uppdragsarkeologin. Verket ställer frågan om det är samhällsekonomiskt optimalt att staten ska vara den största aktören och därtill gå med underskott.</w:t>
      </w:r>
    </w:p>
    <w:p w:rsidR="00905B3E" w:rsidRPr="003F63DB" w:rsidRDefault="00905B3E">
      <w:pPr>
        <w:pStyle w:val="Normaltindrag"/>
      </w:pPr>
      <w:r w:rsidRPr="003F63DB">
        <w:rPr>
          <w:i/>
        </w:rPr>
        <w:t>Statskontoret</w:t>
      </w:r>
      <w:r w:rsidRPr="003F63DB">
        <w:t xml:space="preserve"> menar att en bolagisering av uppdragsverksamheten är mö</w:t>
      </w:r>
      <w:r w:rsidRPr="003F63DB">
        <w:t>j</w:t>
      </w:r>
      <w:r w:rsidRPr="003F63DB">
        <w:t xml:space="preserve">lig. </w:t>
      </w:r>
      <w:r w:rsidRPr="003F63DB">
        <w:rPr>
          <w:i/>
        </w:rPr>
        <w:t>Västergötlands museum</w:t>
      </w:r>
      <w:r w:rsidRPr="003F63DB">
        <w:t xml:space="preserve"> anser att UV bör knytas till Statens historiska museum. </w:t>
      </w:r>
      <w:r w:rsidRPr="003F63DB">
        <w:rPr>
          <w:i/>
        </w:rPr>
        <w:t xml:space="preserve"> Länsstyrelsen i Stockholms län</w:t>
      </w:r>
      <w:r w:rsidRPr="003F63DB">
        <w:t xml:space="preserve"> anser att det bör utredas om UV ska bli ett statligt bolag eller knytas till Statens historiska museum. Enligt </w:t>
      </w:r>
      <w:r w:rsidRPr="003F63DB">
        <w:rPr>
          <w:i/>
        </w:rPr>
        <w:t>DIK-förbundet</w:t>
      </w:r>
      <w:r w:rsidRPr="003F63DB">
        <w:t xml:space="preserve"> bör UV kvarstå under statligt huvudmannaskap, kanske ett Statens arkeologiska museum.</w:t>
      </w:r>
    </w:p>
    <w:p w:rsidR="00905B3E" w:rsidRPr="003F63DB" w:rsidRDefault="00905B3E">
      <w:pPr>
        <w:pStyle w:val="Normaltindrag"/>
      </w:pPr>
      <w:r w:rsidRPr="003F63DB">
        <w:rPr>
          <w:i/>
        </w:rPr>
        <w:t>Länsstyrelsen i Kronobergs län</w:t>
      </w:r>
      <w:r w:rsidRPr="003F63DB">
        <w:t xml:space="preserve"> och </w:t>
      </w:r>
      <w:r w:rsidRPr="003F63DB">
        <w:rPr>
          <w:i/>
        </w:rPr>
        <w:t>Föreningen Sveriges länsantikvarier</w:t>
      </w:r>
      <w:r w:rsidRPr="003F63DB">
        <w:t xml:space="preserve"> föreslår att UV:s fem regionkontor blir självständiga enheter så att förutsät</w:t>
      </w:r>
      <w:r w:rsidRPr="003F63DB">
        <w:t>t</w:t>
      </w:r>
      <w:r w:rsidRPr="003F63DB">
        <w:t xml:space="preserve">ningarna för konkurrens ökar. </w:t>
      </w:r>
      <w:r w:rsidRPr="003F63DB">
        <w:rPr>
          <w:i/>
        </w:rPr>
        <w:t>Professor Kristian Kristansen</w:t>
      </w:r>
      <w:r w:rsidRPr="003F63DB">
        <w:t xml:space="preserve"> framhåller att Sverige är ledande internationellt på grund av UV:s storlek och förordar att regionkontoren hålls samman, t.ex. i en stiftelse med universiteten som h</w:t>
      </w:r>
      <w:r w:rsidRPr="003F63DB">
        <w:t>u</w:t>
      </w:r>
      <w:r w:rsidRPr="003F63DB">
        <w:t>vudman.</w:t>
      </w:r>
    </w:p>
    <w:p w:rsidR="00905B3E" w:rsidRPr="003F63DB" w:rsidRDefault="00905B3E">
      <w:pPr>
        <w:pStyle w:val="Normaltindrag"/>
      </w:pPr>
      <w:r w:rsidRPr="003F63DB">
        <w:rPr>
          <w:i/>
        </w:rPr>
        <w:t xml:space="preserve">Riksantikvarieämbetet </w:t>
      </w:r>
      <w:r w:rsidRPr="003F63DB">
        <w:t>instämmer i slutsatsen att myndighetens dubbla roller kan leda till otydlighet, men menar att ett avskiljande av UV kan få konsekvenser för bl.a. metodutveckling, förebildlighet och rapportering. Riksantikvarieämbetet fram</w:t>
      </w:r>
      <w:r w:rsidRPr="003F63DB">
        <w:softHyphen/>
        <w:t>håller att formerna för UV:s verksamhet bör utredas skyn</w:t>
      </w:r>
      <w:r w:rsidRPr="003F63DB">
        <w:t>d</w:t>
      </w:r>
      <w:r w:rsidRPr="003F63DB">
        <w:t>samt.</w:t>
      </w:r>
    </w:p>
    <w:p w:rsidR="00905B3E" w:rsidRPr="003F63DB" w:rsidRDefault="00905B3E">
      <w:pPr>
        <w:pStyle w:val="Normaltindrag"/>
      </w:pPr>
      <w:r w:rsidRPr="003F63DB">
        <w:t>Det finns också olika uppfattningar om det utvecklingsarbete som UV b</w:t>
      </w:r>
      <w:r w:rsidRPr="003F63DB">
        <w:t>e</w:t>
      </w:r>
      <w:r w:rsidRPr="003F63DB">
        <w:t xml:space="preserve">drivit. </w:t>
      </w:r>
      <w:r w:rsidRPr="003F63DB">
        <w:rPr>
          <w:i/>
        </w:rPr>
        <w:t>Länsstyrelsen i Skåne län</w:t>
      </w:r>
      <w:r w:rsidRPr="003F63DB">
        <w:t xml:space="preserve"> anser det viktigt att det utvecklingsarbete som UV bedrivit fortsätter i någon form, även om UV skiljs från Riksanti</w:t>
      </w:r>
      <w:r w:rsidRPr="003F63DB">
        <w:t>k</w:t>
      </w:r>
      <w:r w:rsidRPr="003F63DB">
        <w:t xml:space="preserve">varieämbetet. </w:t>
      </w:r>
      <w:r w:rsidRPr="003F63DB">
        <w:rPr>
          <w:i/>
        </w:rPr>
        <w:t>Länsstyrelsen i Gotlands län</w:t>
      </w:r>
      <w:r w:rsidRPr="003F63DB">
        <w:t xml:space="preserve"> anser att Riksantikvarieämbetet även i fortsättningen ska ha ett samlat ansvar för metodutveckling inom uppdragsarkeologin. Enligt</w:t>
      </w:r>
      <w:r w:rsidRPr="003F63DB">
        <w:rPr>
          <w:i/>
        </w:rPr>
        <w:t xml:space="preserve"> DIK-förbundet</w:t>
      </w:r>
      <w:r w:rsidRPr="003F63DB">
        <w:t xml:space="preserve"> finns det inget som hindrar att UV framöver har kvar sitt uppdrag att vara en för</w:t>
      </w:r>
      <w:r w:rsidRPr="003F63DB">
        <w:t>e</w:t>
      </w:r>
      <w:r w:rsidRPr="003F63DB">
        <w:t>bild.</w:t>
      </w:r>
    </w:p>
    <w:p w:rsidR="00905B3E" w:rsidRPr="003F63DB" w:rsidRDefault="00905B3E">
      <w:pPr>
        <w:pStyle w:val="Normaltindrag"/>
      </w:pPr>
      <w:r w:rsidRPr="003F63DB">
        <w:rPr>
          <w:i/>
        </w:rPr>
        <w:t>Västergötlands museum</w:t>
      </w:r>
      <w:r w:rsidRPr="003F63DB">
        <w:t xml:space="preserve"> framhåller dock att UV:s spetskompetens är en målsättning snarare än ett faktum. </w:t>
      </w:r>
      <w:r w:rsidRPr="003F63DB">
        <w:rPr>
          <w:i/>
        </w:rPr>
        <w:t>Jönköpings läns museum</w:t>
      </w:r>
      <w:r w:rsidRPr="003F63DB">
        <w:t xml:space="preserve"> och </w:t>
      </w:r>
      <w:r w:rsidRPr="003F63DB">
        <w:rPr>
          <w:i/>
        </w:rPr>
        <w:t>Societas Archaeologica Upsaliensis</w:t>
      </w:r>
      <w:r w:rsidRPr="003F63DB">
        <w:t xml:space="preserve"> hävdar att kopplingen mellan ämbetsverk och uppdragsverksamhet har hämmat arkeologins utveckling. </w:t>
      </w:r>
      <w:r w:rsidRPr="003F63DB">
        <w:rPr>
          <w:i/>
        </w:rPr>
        <w:t>Arkeologikonsult AB</w:t>
      </w:r>
      <w:r w:rsidRPr="003F63DB">
        <w:t xml:space="preserve"> menar att UV:s verksamhet de senaste åren präglats av en akademisering, men att metodu</w:t>
      </w:r>
      <w:r w:rsidRPr="003F63DB">
        <w:t>t</w:t>
      </w:r>
      <w:r w:rsidRPr="003F63DB">
        <w:t>vecklingen trots detta har kommit på undantag.</w:t>
      </w:r>
    </w:p>
    <w:p w:rsidR="00905B3E" w:rsidRPr="003F63DB" w:rsidRDefault="00905B3E">
      <w:pPr>
        <w:pStyle w:val="R3"/>
      </w:pPr>
      <w:r w:rsidRPr="003F63DB">
        <w:t>Revisorerna</w:t>
      </w:r>
    </w:p>
    <w:p w:rsidR="00905B3E" w:rsidRPr="003F63DB" w:rsidRDefault="00905B3E">
      <w:r w:rsidRPr="003F63DB">
        <w:t>Enligt revisorernas uppfattning ska Riksantikvarieämbetets arbete genoms</w:t>
      </w:r>
      <w:r w:rsidRPr="003F63DB">
        <w:t>y</w:t>
      </w:r>
      <w:r w:rsidRPr="003F63DB">
        <w:t>ras av hänsyn till kulturarvet. Skyddet av fasta fornlämningar ska så långt möjligt upprätthållas. Den arkeologiska uppdragsverksamheten (UV) bör därför skiljas från Riksantikvarieämbetet. En sådan åtskillnad överensstä</w:t>
      </w:r>
      <w:r w:rsidRPr="003F63DB">
        <w:t>m</w:t>
      </w:r>
      <w:r w:rsidRPr="003F63DB">
        <w:t xml:space="preserve">mer med riksdagens beslut om förvaltningspolitikens inriktning. Med en tydlig åtskillnad mellan myndighetsutövning och uppdragsverksamhet ökar trovärdigheten i Riksantikvarieämbetets agerande vad gäller normgivning, uppföljning och tillsyn. </w:t>
      </w:r>
    </w:p>
    <w:p w:rsidR="00905B3E" w:rsidRPr="003F63DB" w:rsidRDefault="00905B3E">
      <w:pPr>
        <w:pStyle w:val="Normaltindrag"/>
      </w:pPr>
      <w:r w:rsidRPr="003F63DB">
        <w:t>Remissinstanserna har framfört flera alternativ f</w:t>
      </w:r>
      <w:r w:rsidRPr="003F63DB">
        <w:t>ör UV:s framtida associ</w:t>
      </w:r>
      <w:r w:rsidRPr="003F63DB">
        <w:t>a</w:t>
      </w:r>
      <w:r w:rsidRPr="003F63DB">
        <w:t>tionsform. Förslag har även framförts om att UV:s nuvarande regionala enheter bör blir fristående från varandra. Enligt revisorernas uppfattning är det en uppgift för regeringen att närmare utreda i vilken form UV:s verksa</w:t>
      </w:r>
      <w:r w:rsidRPr="003F63DB">
        <w:t>m</w:t>
      </w:r>
      <w:r w:rsidRPr="003F63DB">
        <w:t xml:space="preserve">het ska bedrivas. </w:t>
      </w:r>
    </w:p>
    <w:p w:rsidR="00905B3E" w:rsidRPr="003F63DB" w:rsidRDefault="00905B3E">
      <w:pPr>
        <w:pStyle w:val="Normaltindrag"/>
      </w:pPr>
      <w:r w:rsidRPr="003F63DB">
        <w:t>Avdelningen för arkeologiska undersökningar har sett som sin uppgift att vara en förebild och stå för vetenskaplig och teknisk utveckling. Remissi</w:t>
      </w:r>
      <w:r w:rsidRPr="003F63DB">
        <w:t>n</w:t>
      </w:r>
      <w:r w:rsidRPr="003F63DB">
        <w:t>stanserna har olika syn på huruvida UV har fullgjort denna uppgift. Det finns även olika syn på om det är Riksantikvarieämbetet eller den arkeologiska uppdragsverksamheten som framöver ska svara för utveckling och norm</w:t>
      </w:r>
      <w:r w:rsidRPr="003F63DB">
        <w:t>e</w:t>
      </w:r>
      <w:r w:rsidRPr="003F63DB">
        <w:t>ring. Revisorerna menar att regeringen ska utreda vilka uppgifter den arke</w:t>
      </w:r>
      <w:r w:rsidRPr="003F63DB">
        <w:t>o</w:t>
      </w:r>
      <w:r w:rsidRPr="003F63DB">
        <w:t>logiska uppdragsverksamheten ska ha och vilka uppgifter som ska åvila Riksantikvarieämbetet. Att UV har haft en normerande roll vad gäller pri</w:t>
      </w:r>
      <w:r w:rsidRPr="003F63DB">
        <w:t>s</w:t>
      </w:r>
      <w:r w:rsidRPr="003F63DB">
        <w:t>sättning och färdigställande av rapporter har enligt revisorernas mening i</w:t>
      </w:r>
      <w:r w:rsidRPr="003F63DB">
        <w:t>nte givit några tillfredsställande resultat. Revisorerna ifrågasätter om staten bör ålägga en undersökare att svara för vetenskaplig och teknisk utveckling. I andra sammanhang anses konkurrens kunna bidra till utveckling, nytänkande och effektiv</w:t>
      </w:r>
      <w:r w:rsidRPr="003F63DB">
        <w:t>i</w:t>
      </w:r>
      <w:r w:rsidRPr="003F63DB">
        <w:t>sering.</w:t>
      </w:r>
    </w:p>
    <w:p w:rsidR="00905B3E" w:rsidRPr="003F63DB" w:rsidRDefault="00905B3E">
      <w:pPr>
        <w:numPr>
          <w:ilvl w:val="0"/>
          <w:numId w:val="28"/>
        </w:numPr>
      </w:pPr>
      <w:r w:rsidRPr="003F63DB">
        <w:t>Revisorerna föreslår att regeringen utreder de närmare förutsättningarna för att skilja den arkeologiska uppdragsverksamheten från Riksantikv</w:t>
      </w:r>
      <w:r w:rsidRPr="003F63DB">
        <w:t>a</w:t>
      </w:r>
      <w:r w:rsidRPr="003F63DB">
        <w:t>rieämb</w:t>
      </w:r>
      <w:r w:rsidRPr="003F63DB">
        <w:t>e</w:t>
      </w:r>
      <w:r w:rsidRPr="003F63DB">
        <w:t xml:space="preserve">tet. </w:t>
      </w:r>
    </w:p>
    <w:p w:rsidR="00905B3E" w:rsidRPr="003F63DB" w:rsidRDefault="00905B3E">
      <w:pPr>
        <w:pStyle w:val="Rubrik2"/>
      </w:pPr>
      <w:bookmarkStart w:id="16" w:name="_Toc35833463"/>
      <w:bookmarkStart w:id="17" w:name="_Toc36520711"/>
      <w:r w:rsidRPr="003F63DB">
        <w:t>Staten som beställare av arkeologi</w:t>
      </w:r>
      <w:bookmarkEnd w:id="16"/>
      <w:bookmarkEnd w:id="17"/>
    </w:p>
    <w:p w:rsidR="00905B3E" w:rsidRPr="003F63DB" w:rsidRDefault="00905B3E">
      <w:pPr>
        <w:pStyle w:val="R3"/>
      </w:pPr>
      <w:r w:rsidRPr="003F63DB">
        <w:t>Rapporten</w:t>
      </w:r>
    </w:p>
    <w:p w:rsidR="00905B3E" w:rsidRPr="003F63DB" w:rsidRDefault="00905B3E">
      <w:r w:rsidRPr="003F63DB">
        <w:t>Länsstyrelserna ska bevaka statens och exploatörernas intressen av att up</w:t>
      </w:r>
      <w:r w:rsidRPr="003F63DB">
        <w:t>p</w:t>
      </w:r>
      <w:r w:rsidRPr="003F63DB">
        <w:t>dragsarkeologiska undersökningar håller vetenskapligt god kvalitet och genomförs till kostnader som inte är högre än motiverat. Statsmakterna har uttalat att länsstyrelserna inte får överlåta till undersökarna att bestämma ambitionsnivån för de arkeologiska undersökningarna. Länsstyrelserna ska även tillse att undersökningarna genomförs enligt vad som angivits i besluten och att resultaten dokumenteras, redovisas och görs tillgän</w:t>
      </w:r>
      <w:r w:rsidRPr="003F63DB">
        <w:t>g</w:t>
      </w:r>
      <w:r w:rsidRPr="003F63DB">
        <w:t>liga.</w:t>
      </w:r>
    </w:p>
    <w:p w:rsidR="00905B3E" w:rsidRPr="003F63DB" w:rsidRDefault="00905B3E">
      <w:pPr>
        <w:pStyle w:val="Normaltindrag"/>
      </w:pPr>
      <w:r w:rsidRPr="003F63DB">
        <w:t>Länsstyrelserna tillämpar föreskrivna regler på olika sätt. De har olik</w:t>
      </w:r>
      <w:r w:rsidRPr="003F63DB">
        <w:t>a a</w:t>
      </w:r>
      <w:r w:rsidRPr="003F63DB">
        <w:t>m</w:t>
      </w:r>
      <w:r w:rsidRPr="003F63DB">
        <w:t>bitioner att begränsa undersökningarnas omfattning och därmed även kos</w:t>
      </w:r>
      <w:r w:rsidRPr="003F63DB">
        <w:t>t</w:t>
      </w:r>
      <w:r w:rsidRPr="003F63DB">
        <w:t>naderna. Kravspecifikationer upprättas inte alltid. Det förekommer också att de är oprecisa. Även undersökarnas planer håller varierande kvalitet. Många undersökare anser att de har den bästa kunskapen för att göra vetenskapliga prioriteringar och kostnadsuppskattningar. Länsstyrelsernas uppföljning och tillsyn över det arkeologiska arbetet motsvarar sällan statsmakternas krav. Undersökningarnas resultat utvärderas sällan.</w:t>
      </w:r>
    </w:p>
    <w:p w:rsidR="00905B3E" w:rsidRPr="003F63DB" w:rsidRDefault="00905B3E">
      <w:pPr>
        <w:pStyle w:val="Normaltindrag"/>
      </w:pPr>
      <w:r w:rsidRPr="003F63DB">
        <w:t>Arkeologis</w:t>
      </w:r>
      <w:r w:rsidRPr="003F63DB">
        <w:t>ka undersökningar ska leda till ny kunskap, som ska komma medborgarna till del. Resultaten ska komma till användning i forskningen. Statsmakterna har framfört önskemål om att universitet och högskolor aktivt ska medverka i uppdragsarkeologin. Riksdagen har betonat att forskningen måste få ett sådant inflytande över uppdragsarkeologin att det främjar utbil</w:t>
      </w:r>
      <w:r w:rsidRPr="003F63DB">
        <w:t>d</w:t>
      </w:r>
      <w:r w:rsidRPr="003F63DB">
        <w:t>ningen vid universitet och högskolor och långsiktig kunskaps</w:t>
      </w:r>
      <w:r w:rsidRPr="003F63DB">
        <w:softHyphen/>
        <w:t>uppbyggnad. Universitetsforskarnas aktiva medverkan har dock i huvudsak varit avgrä</w:t>
      </w:r>
      <w:r w:rsidRPr="003F63DB">
        <w:t>n</w:t>
      </w:r>
      <w:r w:rsidRPr="003F63DB">
        <w:t xml:space="preserve">sad till </w:t>
      </w:r>
      <w:r w:rsidRPr="003F63DB">
        <w:t>representation i styr- eller referensgrupper till stora arkeologiska projekt. Att en aktiv medverkan inte har kommit till stånd förklaras enligt revisorernas mening av att universitet och högskolor inte finns med i organ</w:t>
      </w:r>
      <w:r w:rsidRPr="003F63DB">
        <w:t>i</w:t>
      </w:r>
      <w:r w:rsidRPr="003F63DB">
        <w:t>sationen för uppdragsa</w:t>
      </w:r>
      <w:r w:rsidRPr="003F63DB">
        <w:t>r</w:t>
      </w:r>
      <w:r w:rsidRPr="003F63DB">
        <w:t xml:space="preserve">keologi. </w:t>
      </w:r>
    </w:p>
    <w:p w:rsidR="00905B3E" w:rsidRPr="003F63DB" w:rsidRDefault="00905B3E">
      <w:pPr>
        <w:pStyle w:val="Normaltindrag"/>
      </w:pPr>
      <w:r w:rsidRPr="003F63DB">
        <w:t>Drygt 3 000 arkeologiska undersökningar har ännu inte slutredovisats, trots att de i vissa fall genomfördes för flera decennier sedan. Detta har fått till följd att det är oklart vilken kunskap undersökningarna har bidragit med. Uteblivna eller försenade slu</w:t>
      </w:r>
      <w:r w:rsidRPr="003F63DB">
        <w:t>tredovisningar av det slag som har förekommit under lång tid inom uppdragsarkeologin skulle knappast godtas inom andra verksamheter som utförs på uppdrag. Att ett sådant förfarande har varit mö</w:t>
      </w:r>
      <w:r w:rsidRPr="003F63DB">
        <w:t>j</w:t>
      </w:r>
      <w:r w:rsidRPr="003F63DB">
        <w:t>ligt förklaras enligt revisorerna av att det bland dem som ingår i den up</w:t>
      </w:r>
      <w:r w:rsidRPr="003F63DB">
        <w:t>p</w:t>
      </w:r>
      <w:r w:rsidRPr="003F63DB">
        <w:t>dragsarkeologiska organisationen inte finns någon aktiv mottagare av de arkeologiska result</w:t>
      </w:r>
      <w:r w:rsidRPr="003F63DB">
        <w:t>a</w:t>
      </w:r>
      <w:r w:rsidRPr="003F63DB">
        <w:t>ten.</w:t>
      </w:r>
    </w:p>
    <w:p w:rsidR="00905B3E" w:rsidRPr="003F63DB" w:rsidRDefault="00905B3E">
      <w:pPr>
        <w:pStyle w:val="Normaltindrag"/>
      </w:pPr>
      <w:r w:rsidRPr="003F63DB">
        <w:t>Revisorerna föreslog att stora eller viktiga uppdragsarkeologiska unde</w:t>
      </w:r>
      <w:r w:rsidRPr="003F63DB">
        <w:t>r</w:t>
      </w:r>
      <w:r w:rsidRPr="003F63DB">
        <w:t>sökningar leds av universitet och högskolor.</w:t>
      </w:r>
    </w:p>
    <w:p w:rsidR="00905B3E" w:rsidRPr="003F63DB" w:rsidRDefault="00905B3E">
      <w:pPr>
        <w:pStyle w:val="R3"/>
      </w:pPr>
      <w:r w:rsidRPr="003F63DB">
        <w:br w:type="page"/>
        <w:t>Remissinstanserna</w:t>
      </w:r>
    </w:p>
    <w:p w:rsidR="00905B3E" w:rsidRPr="003F63DB" w:rsidRDefault="00905B3E">
      <w:r w:rsidRPr="003F63DB">
        <w:t>Många remissinstanser anser det angeläget att forskningen knyts närmare uppdragsarkeologin. Länsstyrelserna behöver ett vetenskapligt stöd i sitt arbete.</w:t>
      </w:r>
    </w:p>
    <w:p w:rsidR="00905B3E" w:rsidRPr="003F63DB" w:rsidRDefault="00905B3E">
      <w:pPr>
        <w:pStyle w:val="Normaltindrag"/>
      </w:pPr>
      <w:r w:rsidRPr="003F63DB">
        <w:rPr>
          <w:i/>
        </w:rPr>
        <w:t>Angaria AB</w:t>
      </w:r>
      <w:r w:rsidRPr="003F63DB">
        <w:t xml:space="preserve"> anser det självklart att infoga pågående forskning i uppdrag</w:t>
      </w:r>
      <w:r w:rsidRPr="003F63DB">
        <w:t>s</w:t>
      </w:r>
      <w:r w:rsidRPr="003F63DB">
        <w:t>arkeologin, särskilt när länsstyrelserna formulerar kravspecifikationen. Un</w:t>
      </w:r>
      <w:r w:rsidRPr="003F63DB">
        <w:t>i</w:t>
      </w:r>
      <w:r w:rsidRPr="003F63DB">
        <w:t>versitet och högskolor bör i högre grad aktivt bidra med vetenskaplig ko</w:t>
      </w:r>
      <w:r w:rsidRPr="003F63DB">
        <w:t>m</w:t>
      </w:r>
      <w:r w:rsidRPr="003F63DB">
        <w:t>petens och beredas möjlighet att delta i processen på ett tidigt stad</w:t>
      </w:r>
      <w:r w:rsidRPr="003F63DB">
        <w:t>i</w:t>
      </w:r>
      <w:r w:rsidRPr="003F63DB">
        <w:t xml:space="preserve">um. </w:t>
      </w:r>
    </w:p>
    <w:p w:rsidR="00905B3E" w:rsidRPr="003F63DB" w:rsidRDefault="00905B3E">
      <w:pPr>
        <w:pStyle w:val="Normaltindrag"/>
      </w:pPr>
      <w:r w:rsidRPr="003F63DB">
        <w:rPr>
          <w:i/>
        </w:rPr>
        <w:t>Västerbottens museum, Bohusläns museum, Västergötlands museum, Jö</w:t>
      </w:r>
      <w:r w:rsidRPr="003F63DB">
        <w:rPr>
          <w:i/>
        </w:rPr>
        <w:t>n</w:t>
      </w:r>
      <w:r w:rsidRPr="003F63DB">
        <w:rPr>
          <w:i/>
        </w:rPr>
        <w:t xml:space="preserve">köpings läns museum, Föreningen Sveriges länsantikvarier </w:t>
      </w:r>
      <w:r w:rsidRPr="003F63DB">
        <w:t>och</w:t>
      </w:r>
      <w:r w:rsidRPr="003F63DB">
        <w:rPr>
          <w:i/>
        </w:rPr>
        <w:t xml:space="preserve"> DIK-förbundet</w:t>
      </w:r>
      <w:r w:rsidRPr="003F63DB">
        <w:t xml:space="preserve"> är positiva till att forskare från universiteten ska fungera som stöd åt länsstyrelserna. </w:t>
      </w:r>
      <w:r w:rsidRPr="003F63DB">
        <w:rPr>
          <w:i/>
        </w:rPr>
        <w:t>Jönköpings läns museum</w:t>
      </w:r>
      <w:r w:rsidRPr="003F63DB">
        <w:t xml:space="preserve"> och </w:t>
      </w:r>
      <w:r w:rsidRPr="003F63DB">
        <w:rPr>
          <w:i/>
        </w:rPr>
        <w:t>DIK-förbundet</w:t>
      </w:r>
      <w:r w:rsidRPr="003F63DB">
        <w:t xml:space="preserve"> jämför fö</w:t>
      </w:r>
      <w:r w:rsidRPr="003F63DB">
        <w:t>r</w:t>
      </w:r>
      <w:r w:rsidRPr="003F63DB">
        <w:t xml:space="preserve">slaget med det nedlagda projektet med forskningskoordinatorer. Även </w:t>
      </w:r>
      <w:r w:rsidRPr="003F63DB">
        <w:rPr>
          <w:i/>
        </w:rPr>
        <w:t>Län</w:t>
      </w:r>
      <w:r w:rsidRPr="003F63DB">
        <w:rPr>
          <w:i/>
        </w:rPr>
        <w:t>s</w:t>
      </w:r>
      <w:r w:rsidRPr="003F63DB">
        <w:rPr>
          <w:i/>
        </w:rPr>
        <w:t xml:space="preserve">styrelserna i Uppsala </w:t>
      </w:r>
      <w:r w:rsidRPr="003F63DB">
        <w:t>resp</w:t>
      </w:r>
      <w:r w:rsidRPr="003F63DB">
        <w:rPr>
          <w:i/>
        </w:rPr>
        <w:t>. Gotlands län</w:t>
      </w:r>
      <w:r w:rsidRPr="003F63DB">
        <w:t xml:space="preserve"> och </w:t>
      </w:r>
      <w:r w:rsidRPr="003F63DB">
        <w:rPr>
          <w:i/>
        </w:rPr>
        <w:t>Föreningen Sveriges länsanti</w:t>
      </w:r>
      <w:r w:rsidRPr="003F63DB">
        <w:rPr>
          <w:i/>
        </w:rPr>
        <w:t>k</w:t>
      </w:r>
      <w:r w:rsidRPr="003F63DB">
        <w:rPr>
          <w:i/>
        </w:rPr>
        <w:t xml:space="preserve">varie </w:t>
      </w:r>
      <w:r w:rsidRPr="003F63DB">
        <w:t>förordar en utveckling av Riksantikvarieämbetets tidigare projekt Up</w:t>
      </w:r>
      <w:r w:rsidRPr="003F63DB">
        <w:t>p</w:t>
      </w:r>
      <w:r w:rsidRPr="003F63DB">
        <w:t>dragsarkeologi och forskning.</w:t>
      </w:r>
    </w:p>
    <w:p w:rsidR="00905B3E" w:rsidRPr="003F63DB" w:rsidRDefault="00905B3E">
      <w:pPr>
        <w:pStyle w:val="Normaltindrag"/>
      </w:pPr>
      <w:r w:rsidRPr="003F63DB">
        <w:rPr>
          <w:i/>
        </w:rPr>
        <w:t>Länsstyrelsen i Västernorrlands län</w:t>
      </w:r>
      <w:r w:rsidRPr="003F63DB">
        <w:t xml:space="preserve"> uppger att man redan använder vete</w:t>
      </w:r>
      <w:r w:rsidRPr="003F63DB">
        <w:t>n</w:t>
      </w:r>
      <w:r w:rsidRPr="003F63DB">
        <w:t>skapliga rådgivare, diskussions- och samarbetspartner som stöd i arbetet med arkeologiska uppdrag. En sådan samverkan skulle enligt länsstyrelsen kunna utvecklas.</w:t>
      </w:r>
    </w:p>
    <w:p w:rsidR="00905B3E" w:rsidRPr="003F63DB" w:rsidRDefault="00905B3E">
      <w:pPr>
        <w:pStyle w:val="Normaltindrag"/>
      </w:pPr>
      <w:r w:rsidRPr="003F63DB">
        <w:t>Enligt</w:t>
      </w:r>
      <w:r w:rsidRPr="003F63DB">
        <w:rPr>
          <w:i/>
        </w:rPr>
        <w:t xml:space="preserve"> Statens historiska museer</w:t>
      </w:r>
      <w:r w:rsidRPr="003F63DB">
        <w:t xml:space="preserve"> bör universitet och högskolor delta i up</w:t>
      </w:r>
      <w:r w:rsidRPr="003F63DB">
        <w:t>p</w:t>
      </w:r>
      <w:r w:rsidRPr="003F63DB">
        <w:t>dragsarkeologin genom representation i olika styr- eller referensgrupper, som stöd för länsstyrelsens beslut om kravspecifikation eller i sam</w:t>
      </w:r>
      <w:r w:rsidRPr="003F63DB">
        <w:softHyphen/>
        <w:t xml:space="preserve">band med utvärderingar av undersökningsplaner och rapporter. </w:t>
      </w:r>
    </w:p>
    <w:p w:rsidR="00905B3E" w:rsidRPr="003F63DB" w:rsidRDefault="00905B3E">
      <w:pPr>
        <w:pStyle w:val="Normaltindrag"/>
      </w:pPr>
      <w:r w:rsidRPr="003F63DB">
        <w:rPr>
          <w:i/>
        </w:rPr>
        <w:t>Umeå universitet</w:t>
      </w:r>
      <w:r w:rsidRPr="003F63DB">
        <w:t xml:space="preserve"> instämmer i revisorernas analys. Universitetet tror att permanenta tjänster, liknande forskningskoordinatorerna i projektet Upp</w:t>
      </w:r>
      <w:r w:rsidRPr="003F63DB">
        <w:softHyphen/>
        <w:t>dragsarkeologi och forskning, vore det bästa för uppdragsarkeologin. Försl</w:t>
      </w:r>
      <w:r w:rsidRPr="003F63DB">
        <w:t>a</w:t>
      </w:r>
      <w:r w:rsidRPr="003F63DB">
        <w:t xml:space="preserve">get förutsätter att medel skjuts till, då det inte finns någon koppling mellan universitetens samverkansuppdrag och ett deltagande i uppdragsarkeologin. </w:t>
      </w:r>
    </w:p>
    <w:p w:rsidR="00905B3E" w:rsidRPr="003F63DB" w:rsidRDefault="00905B3E">
      <w:pPr>
        <w:pStyle w:val="Normaltindrag"/>
        <w:rPr>
          <w:i/>
        </w:rPr>
      </w:pPr>
      <w:r w:rsidRPr="003F63DB">
        <w:rPr>
          <w:i/>
        </w:rPr>
        <w:t>Mitthögskolan</w:t>
      </w:r>
      <w:r w:rsidRPr="003F63DB">
        <w:t xml:space="preserve"> anser att förslaget är bra, men att det kräver att de arkeol</w:t>
      </w:r>
      <w:r w:rsidRPr="003F63DB">
        <w:t>o</w:t>
      </w:r>
      <w:r w:rsidRPr="003F63DB">
        <w:t>gi</w:t>
      </w:r>
      <w:r w:rsidRPr="003F63DB">
        <w:t>s</w:t>
      </w:r>
      <w:r w:rsidRPr="003F63DB">
        <w:t xml:space="preserve">ka institutionerna prioriterar samverkansuppdraget. </w:t>
      </w:r>
    </w:p>
    <w:p w:rsidR="00905B3E" w:rsidRPr="003F63DB" w:rsidRDefault="00905B3E">
      <w:pPr>
        <w:pStyle w:val="Normaltindrag"/>
      </w:pPr>
      <w:r w:rsidRPr="003F63DB">
        <w:rPr>
          <w:i/>
        </w:rPr>
        <w:t xml:space="preserve">Societas Archaeologica Upsaliensis </w:t>
      </w:r>
      <w:r w:rsidRPr="003F63DB">
        <w:t>tillstyrker förslaget, men påtalar att det inte är möjligt att ålägga en universitetsanställd forskare att inom sin tjänst utföra sådana uppdrag, inte ens om man ger universitetet lönekompe</w:t>
      </w:r>
      <w:r w:rsidRPr="003F63DB">
        <w:t>n</w:t>
      </w:r>
      <w:r w:rsidRPr="003F63DB">
        <w:t>sation.</w:t>
      </w:r>
    </w:p>
    <w:p w:rsidR="00905B3E" w:rsidRPr="003F63DB" w:rsidRDefault="00905B3E">
      <w:pPr>
        <w:pStyle w:val="Normaltindrag"/>
      </w:pPr>
      <w:r w:rsidRPr="003F63DB">
        <w:rPr>
          <w:i/>
        </w:rPr>
        <w:t>Uppsala universitet</w:t>
      </w:r>
      <w:r w:rsidRPr="003F63DB">
        <w:t xml:space="preserve"> tillstyrker förslaget, men anser att det bör kompletteras och utredas närmare. Enligt universitetet ska forskare delta i upphandling</w:t>
      </w:r>
      <w:r w:rsidRPr="003F63DB">
        <w:t>s</w:t>
      </w:r>
      <w:r w:rsidRPr="003F63DB">
        <w:t>processen och i arkeologiska fältprojekt från det de påbörjas. Forskare från andra länder bör ges möjlighet att medverka på samma villkor. Universiteten bör bestämma vilka forskare som ska utses som vetenskapliga ledare. Ledare ska utses till alla exploateringsgrävningar och ersättning ska utgå. Medel till verksamheten bör omfördelas från Riksantikvarieämbetet och länsstyrels</w:t>
      </w:r>
      <w:r w:rsidRPr="003F63DB">
        <w:t>erna till univers</w:t>
      </w:r>
      <w:r w:rsidRPr="003F63DB">
        <w:t>i</w:t>
      </w:r>
      <w:r w:rsidRPr="003F63DB">
        <w:t>teten.</w:t>
      </w:r>
    </w:p>
    <w:p w:rsidR="00905B3E" w:rsidRPr="003F63DB" w:rsidRDefault="00905B3E">
      <w:pPr>
        <w:pStyle w:val="Normaltindrag"/>
      </w:pPr>
      <w:r w:rsidRPr="003F63DB">
        <w:rPr>
          <w:i/>
        </w:rPr>
        <w:t>Länsstyrelsen i Västra Götalands län</w:t>
      </w:r>
      <w:r w:rsidRPr="003F63DB">
        <w:t xml:space="preserve"> är positiv till grundtanken i förslaget men menar att relationen mellan parterna i den ”nya” organisationen för uppdragsarkeologi måste klargöras genom fortsatt utredningsarbete. Till exempel bör frågor om ansvar, huvudmannaskap, kostnader och resurser klargöras. Även</w:t>
      </w:r>
      <w:r w:rsidRPr="003F63DB">
        <w:rPr>
          <w:i/>
        </w:rPr>
        <w:t xml:space="preserve"> Arkeologikonsult AB</w:t>
      </w:r>
      <w:r w:rsidRPr="003F63DB">
        <w:t xml:space="preserve"> tillstyrker i princip förslaget, men menar att det innehåller ekonomiska och organisatoriska oklarheter. </w:t>
      </w:r>
    </w:p>
    <w:p w:rsidR="00905B3E" w:rsidRPr="003F63DB" w:rsidRDefault="00905B3E">
      <w:pPr>
        <w:pStyle w:val="Normaltindrag"/>
      </w:pPr>
      <w:r w:rsidRPr="003F63DB">
        <w:rPr>
          <w:i/>
        </w:rPr>
        <w:t>Länsstyrelsen i Stockholms län</w:t>
      </w:r>
      <w:r w:rsidRPr="003F63DB">
        <w:t xml:space="preserve"> är positiv till förslaget, men menar att fr</w:t>
      </w:r>
      <w:r w:rsidRPr="003F63DB">
        <w:t>å</w:t>
      </w:r>
      <w:r w:rsidRPr="003F63DB">
        <w:t>gan om kostnaderna för universitetens medverkan ska rymmas inom ramen för universitetens ordinarie verksamhet eller belasta exploatörerna bör utr</w:t>
      </w:r>
      <w:r w:rsidRPr="003F63DB">
        <w:t>e</w:t>
      </w:r>
      <w:r w:rsidRPr="003F63DB">
        <w:t xml:space="preserve">das närmare. Även </w:t>
      </w:r>
      <w:r w:rsidRPr="003F63DB">
        <w:rPr>
          <w:i/>
        </w:rPr>
        <w:t>DIK-förbundet</w:t>
      </w:r>
      <w:r w:rsidRPr="003F63DB">
        <w:t xml:space="preserve"> anser att finansieringsfrågan bör klarg</w:t>
      </w:r>
      <w:r w:rsidRPr="003F63DB">
        <w:t>ö</w:t>
      </w:r>
      <w:r w:rsidRPr="003F63DB">
        <w:t>ras.</w:t>
      </w:r>
    </w:p>
    <w:p w:rsidR="00905B3E" w:rsidRPr="003F63DB" w:rsidRDefault="00905B3E">
      <w:pPr>
        <w:pStyle w:val="Normaltindrag"/>
      </w:pPr>
      <w:r w:rsidRPr="003F63DB">
        <w:rPr>
          <w:i/>
        </w:rPr>
        <w:t>Vägverket</w:t>
      </w:r>
      <w:r w:rsidRPr="003F63DB">
        <w:t xml:space="preserve"> begär en ordentlig genomlysning av förslaget, t.ex. vilka kons</w:t>
      </w:r>
      <w:r w:rsidRPr="003F63DB">
        <w:t>e</w:t>
      </w:r>
      <w:r w:rsidRPr="003F63DB">
        <w:t>kvenser det får för expl</w:t>
      </w:r>
      <w:r w:rsidRPr="003F63DB">
        <w:t>o</w:t>
      </w:r>
      <w:r w:rsidRPr="003F63DB">
        <w:t xml:space="preserve">atören i form av tid och kostnader. </w:t>
      </w:r>
    </w:p>
    <w:p w:rsidR="00905B3E" w:rsidRPr="003F63DB" w:rsidRDefault="00905B3E">
      <w:pPr>
        <w:pStyle w:val="Normaltindrag"/>
      </w:pPr>
      <w:r w:rsidRPr="003F63DB">
        <w:rPr>
          <w:i/>
        </w:rPr>
        <w:t xml:space="preserve">Länsstyrelsen i Södermanlands län </w:t>
      </w:r>
      <w:r w:rsidRPr="003F63DB">
        <w:t>menar att tydligare kravspecifikationer, tillsyn och utvärdering kräver mer resurser till länsstyrelserna och en strategi för hur personalens vetenskapliga kompetens kan upprätthållas.</w:t>
      </w:r>
    </w:p>
    <w:p w:rsidR="00905B3E" w:rsidRPr="003F63DB" w:rsidRDefault="00905B3E">
      <w:pPr>
        <w:pStyle w:val="Normaltindrag"/>
      </w:pPr>
      <w:r w:rsidRPr="003F63DB">
        <w:rPr>
          <w:i/>
        </w:rPr>
        <w:t>Riksantikvarieämbetet</w:t>
      </w:r>
      <w:r w:rsidRPr="003F63DB">
        <w:t xml:space="preserve"> menar att förhållandet mellan uppdragsarkeologin och forskningen är en nyckelfråga i verksamheten. Riksantikvarieämbetet delar revisorernas uppfattning att uppdragsarkeologin bör knytas närmare forskningen, men anser att man inte kan göra en åtskillnad mellan univers</w:t>
      </w:r>
      <w:r w:rsidRPr="003F63DB">
        <w:t>i</w:t>
      </w:r>
      <w:r w:rsidRPr="003F63DB">
        <w:t>teten och undersökarna i vetenskapligt hänseende. Metodisk och vetenska</w:t>
      </w:r>
      <w:r w:rsidRPr="003F63DB">
        <w:t>p</w:t>
      </w:r>
      <w:r w:rsidRPr="003F63DB">
        <w:t>lig kompetens för genomförande av stora undersökningar finns i huvudsak hos unders</w:t>
      </w:r>
      <w:r w:rsidRPr="003F63DB">
        <w:t>ö</w:t>
      </w:r>
      <w:r w:rsidRPr="003F63DB">
        <w:t>karna.</w:t>
      </w:r>
    </w:p>
    <w:p w:rsidR="00905B3E" w:rsidRPr="003F63DB" w:rsidRDefault="00905B3E">
      <w:pPr>
        <w:pStyle w:val="Normaltindrag"/>
      </w:pPr>
      <w:r w:rsidRPr="003F63DB">
        <w:rPr>
          <w:i/>
        </w:rPr>
        <w:t>Svenska Arkeologiska Samfundet</w:t>
      </w:r>
      <w:r w:rsidRPr="003F63DB">
        <w:t xml:space="preserve"> och </w:t>
      </w:r>
      <w:r w:rsidRPr="003F63DB">
        <w:rPr>
          <w:i/>
        </w:rPr>
        <w:t>Länsstyrelsen i Södermanlands län</w:t>
      </w:r>
      <w:r w:rsidRPr="003F63DB">
        <w:t xml:space="preserve"> anser att det i praktiken är undersökarna som kan ses som mottagare av r</w:t>
      </w:r>
      <w:r w:rsidRPr="003F63DB">
        <w:t>e</w:t>
      </w:r>
      <w:r w:rsidRPr="003F63DB">
        <w:t xml:space="preserve">sultaten, men att det är ett problem att resultaten inte når ut till forskarna tillräckligt snabbt. </w:t>
      </w:r>
    </w:p>
    <w:p w:rsidR="00905B3E" w:rsidRPr="003F63DB" w:rsidRDefault="00905B3E">
      <w:pPr>
        <w:pStyle w:val="Normaltindrag"/>
      </w:pPr>
      <w:r w:rsidRPr="003F63DB">
        <w:rPr>
          <w:i/>
        </w:rPr>
        <w:t xml:space="preserve">Länsstyrelsen i Skåne län </w:t>
      </w:r>
      <w:r w:rsidRPr="003F63DB">
        <w:t>avstyrker förslaget och anser att det är de up</w:t>
      </w:r>
      <w:r w:rsidRPr="003F63DB">
        <w:t>p</w:t>
      </w:r>
      <w:r w:rsidRPr="003F63DB">
        <w:t>drags</w:t>
      </w:r>
      <w:r w:rsidRPr="003F63DB">
        <w:softHyphen/>
        <w:t>arkeologiska undersökarna som genom egen forskning ska producera ny kunskap. Universitetens forskare är i huvudsak lärare med begränsad tid till egen forskning. Länsstyrelsen förordar att tillfälliga referensgrupper även fortsättningsvis ska tillsättas.</w:t>
      </w:r>
    </w:p>
    <w:p w:rsidR="00905B3E" w:rsidRPr="003F63DB" w:rsidRDefault="00905B3E">
      <w:pPr>
        <w:pStyle w:val="R3"/>
      </w:pPr>
      <w:r w:rsidRPr="003F63DB">
        <w:t>Revisorerna</w:t>
      </w:r>
    </w:p>
    <w:p w:rsidR="00905B3E" w:rsidRPr="003F63DB" w:rsidRDefault="00905B3E">
      <w:r w:rsidRPr="003F63DB">
        <w:t>Staten är en svag beställare av arkeologi. De arkeologiska undersökarna har ett övertag i förhållande till länsstyrelserna när det gäller att bestämma u</w:t>
      </w:r>
      <w:r w:rsidRPr="003F63DB">
        <w:t>n</w:t>
      </w:r>
      <w:r w:rsidRPr="003F63DB">
        <w:t>dersökningarnas omfattning och vetenskapliga ambitionsnivå. Statsmakterna har dock uttalat att länsstyrelserna inte får överlåta sådana avgöranden till undersökarna. Därför måste länsstyrelserna skärpa sina krav och utvärdera resultaten av de arkeologiska undersökningarna till nytta för framtida beslut om arkeol</w:t>
      </w:r>
      <w:r w:rsidRPr="003F63DB">
        <w:t>o</w:t>
      </w:r>
      <w:r w:rsidRPr="003F63DB">
        <w:t xml:space="preserve">gi. </w:t>
      </w:r>
    </w:p>
    <w:p w:rsidR="00905B3E" w:rsidRPr="003F63DB" w:rsidRDefault="00905B3E">
      <w:pPr>
        <w:pStyle w:val="Normaltindrag"/>
      </w:pPr>
      <w:r w:rsidRPr="003F63DB">
        <w:t>Enligt revisorernas mening måste länsstyrelserna ges förutsättningar för att vid utformning av kravspecifikationer beakta kunskapsbehovet, bl.a. genom att tillvarata resultat från tidigare und</w:t>
      </w:r>
      <w:r w:rsidRPr="003F63DB">
        <w:t>ersökningar och ta hänsyn till aktuell och relevant forskning. Länsstyrelsen i Södermanlands län menar att det behövs en strategi för hur personalens vetenskapliga kompetens kan upprät</w:t>
      </w:r>
      <w:r w:rsidRPr="003F63DB">
        <w:t>t</w:t>
      </w:r>
      <w:r w:rsidRPr="003F63DB">
        <w:t>hållas. Enligt revisorernas uppfattning är det varken rimligt eller effektivt att länsstyrelsernas handläggare i kulturmiljöfrågor ska upprätthålla sådan v</w:t>
      </w:r>
      <w:r w:rsidRPr="003F63DB">
        <w:t>e</w:t>
      </w:r>
      <w:r w:rsidRPr="003F63DB">
        <w:t>tenskaplig kompetens i arkeologiska frågor att de t.ex. ska ha kunskap om forskningsläget och väga regionala kunskapsbehov mot nati</w:t>
      </w:r>
      <w:r w:rsidRPr="003F63DB">
        <w:t>o</w:t>
      </w:r>
      <w:r w:rsidRPr="003F63DB">
        <w:t xml:space="preserve">nella. </w:t>
      </w:r>
    </w:p>
    <w:p w:rsidR="00905B3E" w:rsidRPr="003F63DB" w:rsidRDefault="00905B3E">
      <w:pPr>
        <w:pStyle w:val="Normaltindrag"/>
      </w:pPr>
      <w:r w:rsidRPr="003F63DB">
        <w:t>Revisorerna anser att det är en</w:t>
      </w:r>
      <w:r w:rsidRPr="003F63DB">
        <w:t xml:space="preserve"> uppgift för universitet och högskolor att til</w:t>
      </w:r>
      <w:r w:rsidRPr="003F63DB">
        <w:t>l</w:t>
      </w:r>
      <w:r w:rsidRPr="003F63DB">
        <w:t>sammans med länsstyrelserna utforma riktlinjerna för stora eller viktiga arkeologiska undersökningar. Forskare kan därmed fungera som rådgivare och stöd för länsstyrelserna vid utformningen av kravspecifikationer och inför utvärderingen av undersökningsplaner och rapporter. Flera remissi</w:t>
      </w:r>
      <w:r w:rsidRPr="003F63DB">
        <w:t>n</w:t>
      </w:r>
      <w:r w:rsidRPr="003F63DB">
        <w:t>stanser har uppfattat revisorernas förslag som att universitetsforskare själva skulle delta i de arkeologiska undersökarnas arbete. Revisorerna menar att utsedda forskare, till</w:t>
      </w:r>
      <w:r w:rsidRPr="003F63DB">
        <w:t>sammans med länsstyrelserna, bör ta kommandot över beställningen av arkeologiska undersökningar ur ett vetenskapligt perspektiv. Det arkeologiska fältarbetet och rapporteringen ska som hittills handhas av valda unders</w:t>
      </w:r>
      <w:r w:rsidRPr="003F63DB">
        <w:t>ö</w:t>
      </w:r>
      <w:r w:rsidRPr="003F63DB">
        <w:t xml:space="preserve">kare. </w:t>
      </w:r>
    </w:p>
    <w:p w:rsidR="00905B3E" w:rsidRPr="003F63DB" w:rsidRDefault="00905B3E">
      <w:pPr>
        <w:pStyle w:val="Normaltindrag"/>
      </w:pPr>
      <w:r w:rsidRPr="003F63DB">
        <w:t>Med revisorernas förslag stärks statens roll som beställare av arkeologi. Särskilt utsedda forskare får möjlighet att påverka undersökningarnas o</w:t>
      </w:r>
      <w:r w:rsidRPr="003F63DB">
        <w:t>m</w:t>
      </w:r>
      <w:r w:rsidRPr="003F63DB">
        <w:t>fattning och inriktning. Undersökarnas planer prövas och ifrågasätts av fler intressenter och från skilda utgångspunkter. Insynen i beslutsprocessen skulle förbättras. Forskarna och de arkeologiska institutionerna får information om planerade undersökningar på ett tidigt stadium och möjligheter att direkt använda undersökningsresultat i utbildning och forskning. Därmed knyts uppdragsarkeologins resultat närmare forskningen, vilket överensstämmer med statsmakternas intentioner. Med aktiva mottagare av uppdr</w:t>
      </w:r>
      <w:r w:rsidRPr="003F63DB">
        <w:t>agsarkeol</w:t>
      </w:r>
      <w:r w:rsidRPr="003F63DB">
        <w:t>o</w:t>
      </w:r>
      <w:r w:rsidRPr="003F63DB">
        <w:t>giska resultat skulle kraven på att rapporterna färdigställs skä</w:t>
      </w:r>
      <w:r w:rsidRPr="003F63DB">
        <w:t>r</w:t>
      </w:r>
      <w:r w:rsidRPr="003F63DB">
        <w:t>pas.</w:t>
      </w:r>
    </w:p>
    <w:p w:rsidR="00905B3E" w:rsidRPr="003F63DB" w:rsidRDefault="00905B3E">
      <w:pPr>
        <w:pStyle w:val="Normaltindrag"/>
      </w:pPr>
      <w:r w:rsidRPr="003F63DB">
        <w:t>Remissinstanserna är i huvudsak positiva till att länsstyrelserna ges vete</w:t>
      </w:r>
      <w:r w:rsidRPr="003F63DB">
        <w:t>n</w:t>
      </w:r>
      <w:r w:rsidRPr="003F63DB">
        <w:t xml:space="preserve">skapligt stöd i sitt arbete. Flera av instanserna jämför revisorernas förslag med det projekt med forskningskoordinatorer som Riksantikvarieämbetet drev under några år. Revisorerna utgår från att de erfarenheter som projektet gav tas till vara. </w:t>
      </w:r>
    </w:p>
    <w:p w:rsidR="00905B3E" w:rsidRPr="003F63DB" w:rsidRDefault="00905B3E">
      <w:pPr>
        <w:pStyle w:val="Normaltindrag"/>
      </w:pPr>
      <w:r w:rsidRPr="003F63DB">
        <w:t>Många remissinstanser anser det angeläget att forskningen knyts närmare uppdragsarkeologin. Flera instanser påtalar dock att de uppdragsarkeologiska undersökarna själva forskar och att de därmed kan ses som mottagare av resultaten. När arkeologer verksamma i en upp</w:t>
      </w:r>
      <w:r w:rsidRPr="003F63DB">
        <w:t>dragsarkeologisk organisation även forskar är det enligt revisorernas uppfattning viktigt att hålla isär roller och finansiering. Den undersökningsrapport som blir resultatet av länsstyre</w:t>
      </w:r>
      <w:r w:rsidRPr="003F63DB">
        <w:t>l</w:t>
      </w:r>
      <w:r w:rsidRPr="003F63DB">
        <w:t>sens beslut ska finansieras av exploatören och expedieras inom avtalad tid. Intäkter från uppdragsarkeologiska tjänster bör inte användas för att subve</w:t>
      </w:r>
      <w:r w:rsidRPr="003F63DB">
        <w:t>n</w:t>
      </w:r>
      <w:r w:rsidRPr="003F63DB">
        <w:t>tionera annan verksamhet, t.ex. forskning eller förmedling, hos undersök</w:t>
      </w:r>
      <w:r w:rsidRPr="003F63DB">
        <w:t>a</w:t>
      </w:r>
      <w:r w:rsidRPr="003F63DB">
        <w:t xml:space="preserve">ren. </w:t>
      </w:r>
    </w:p>
    <w:p w:rsidR="00905B3E" w:rsidRPr="003F63DB" w:rsidRDefault="00905B3E">
      <w:pPr>
        <w:pStyle w:val="Normaltindrag"/>
      </w:pPr>
      <w:r w:rsidRPr="003F63DB">
        <w:t>Revisorerna framförde i rapporten att universitet och högskolor bör bistå med vetenskaplig ko</w:t>
      </w:r>
      <w:r w:rsidRPr="003F63DB">
        <w:t>mpetens inom ramen för sitt samverkansuppdrag. Umeå universitet menar att uppgiften kräver att medel skjuts till. Societas Archa</w:t>
      </w:r>
      <w:r w:rsidRPr="003F63DB">
        <w:t>e</w:t>
      </w:r>
      <w:r w:rsidRPr="003F63DB">
        <w:t>ologica Upsaliensis menar att det inte går att ålägga en universitetsanställd att inom sin tjänst utföra sådana uppdrag – inte ens om universitetet får ek</w:t>
      </w:r>
      <w:r w:rsidRPr="003F63DB">
        <w:t>o</w:t>
      </w:r>
      <w:r w:rsidRPr="003F63DB">
        <w:t>nomisk kompensation för uppgiften. Enligt revisorernas mening behöver det därför klargöras hur uppgiften passar in i samverkansuppdr</w:t>
      </w:r>
      <w:r w:rsidRPr="003F63DB">
        <w:t>a</w:t>
      </w:r>
      <w:r w:rsidRPr="003F63DB">
        <w:t>get.</w:t>
      </w:r>
    </w:p>
    <w:p w:rsidR="00905B3E" w:rsidRPr="003F63DB" w:rsidRDefault="00905B3E">
      <w:pPr>
        <w:pStyle w:val="Normaltindrag"/>
      </w:pPr>
      <w:r w:rsidRPr="003F63DB">
        <w:t>Flera remissinstanser har berört frågan om länsstyrelsernas resursbrist. R</w:t>
      </w:r>
      <w:r w:rsidRPr="003F63DB">
        <w:t>e</w:t>
      </w:r>
      <w:r w:rsidRPr="003F63DB">
        <w:t>visorerna har inte granskat hur länsstyrelserna använder sina resurser. Detta är i första hand en fråga för länsstyrelserna själva. Uppdragsarkeologiska ärenden ska vägas mot andra kulturmiljöfrågor. Kulturmiljöfrågor ska vägas mot annan verksamhet som länsstyrelsen har ansvar för. Eftersom uppdrag</w:t>
      </w:r>
      <w:r w:rsidRPr="003F63DB">
        <w:t>s</w:t>
      </w:r>
      <w:r w:rsidRPr="003F63DB">
        <w:t>arkeologiska ärenden kommer slumpmässigt, både geografiskt och över tid, finns det ingenting som hindrar att regeringen vid behov förstärker länsst</w:t>
      </w:r>
      <w:r w:rsidRPr="003F63DB">
        <w:t>y</w:t>
      </w:r>
      <w:r w:rsidRPr="003F63DB">
        <w:t xml:space="preserve">relsernas resurser. </w:t>
      </w:r>
    </w:p>
    <w:p w:rsidR="00905B3E" w:rsidRPr="003F63DB" w:rsidRDefault="00905B3E">
      <w:pPr>
        <w:numPr>
          <w:ilvl w:val="0"/>
          <w:numId w:val="35"/>
        </w:numPr>
      </w:pPr>
      <w:r w:rsidRPr="003F63DB">
        <w:t>Revisorerna föreslår att regeringen tillsä</w:t>
      </w:r>
      <w:r w:rsidRPr="003F63DB">
        <w:t>tter en oberoende utredning för att utforma en beställarorganisation för uppdragsarkeologi där forskare från universitet och högskola regelmässigt ingår.</w:t>
      </w:r>
    </w:p>
    <w:p w:rsidR="00905B3E" w:rsidRPr="003F63DB" w:rsidRDefault="00905B3E">
      <w:pPr>
        <w:pStyle w:val="Rubrik2"/>
      </w:pPr>
      <w:bookmarkStart w:id="18" w:name="_Toc35833464"/>
      <w:bookmarkStart w:id="19" w:name="_Toc36520712"/>
      <w:r w:rsidRPr="003F63DB">
        <w:t>Konkurrens och insyn</w:t>
      </w:r>
      <w:bookmarkEnd w:id="18"/>
      <w:bookmarkEnd w:id="19"/>
    </w:p>
    <w:p w:rsidR="00905B3E" w:rsidRPr="003F63DB" w:rsidRDefault="00905B3E">
      <w:pPr>
        <w:pStyle w:val="R3"/>
      </w:pPr>
      <w:r w:rsidRPr="003F63DB">
        <w:t>Rapporten</w:t>
      </w:r>
    </w:p>
    <w:p w:rsidR="00905B3E" w:rsidRPr="003F63DB" w:rsidRDefault="00905B3E">
      <w:r w:rsidRPr="003F63DB">
        <w:t xml:space="preserve">Konkurrensen inom uppdragsarkeologin är begränsad. De ambitioner som regeringen uttryckt om konkurrens har varit motsägelsefulla – något som också avspeglas i Riksantikvarieämbetets föreskrifter och allmänna råd. Revisorerna framhöll att föreskrifterna medger en generös tolkning av vilka skäl länsstyrelserna kan åberopa för att frångå reglerna om urvalsförfarande inför val av undersökare. </w:t>
      </w:r>
    </w:p>
    <w:p w:rsidR="00905B3E" w:rsidRPr="003F63DB" w:rsidRDefault="00905B3E">
      <w:pPr>
        <w:pStyle w:val="Normaltindrag"/>
      </w:pPr>
      <w:r w:rsidRPr="003F63DB">
        <w:t>Användningen av urvalsförfaranden har minskat och har varit begränsad till ett fåtal länsstyrelser. Samarbete eller en på förhand given fördelning av uppdrag mellan undersökare föredras ofta framför konkurrens. Undersökare väljs oftast utifrån tidigare kontakter och erfarenheter. Privata undersökare möts med skepsis och har svårt att få uppdrag. Länsstyrelserna har därmed inte heller beaktat sina uppgifter enligt konkurrensförordningen: att verka för en effektiv konkurrens i länet och beakta konkurre</w:t>
      </w:r>
      <w:r w:rsidRPr="003F63DB">
        <w:t>n</w:t>
      </w:r>
      <w:r w:rsidRPr="003F63DB">
        <w:t>saspekten i sitt arbete.</w:t>
      </w:r>
    </w:p>
    <w:p w:rsidR="00905B3E" w:rsidRPr="003F63DB" w:rsidRDefault="00905B3E">
      <w:pPr>
        <w:pStyle w:val="Normaltindrag"/>
      </w:pPr>
      <w:r w:rsidRPr="003F63DB">
        <w:t>Insynen i hur beslut om arkeologi fattas är begränsad. Alternativa förslag till genomförande presenteras sällan. Länsstyrelsernas beslutsunderlag är ibland otydliga eller saknas helt. Valet av undersökare motiveras inte alltid i besluten. De grunder på vilka undersökare väljs blir då oklara.</w:t>
      </w:r>
    </w:p>
    <w:p w:rsidR="00905B3E" w:rsidRPr="003F63DB" w:rsidRDefault="00905B3E">
      <w:pPr>
        <w:pStyle w:val="Normaltindrag"/>
      </w:pPr>
      <w:r w:rsidRPr="003F63DB">
        <w:t>Riksdagens beslut att undanta uppdragsarkeologi från lagen om offentlig upphandling (LOU) kan bygga på en felaktig tolkning av rättsläget och för</w:t>
      </w:r>
      <w:r w:rsidRPr="003F63DB">
        <w:t>e</w:t>
      </w:r>
      <w:r w:rsidRPr="003F63DB">
        <w:t>faller strida mot EG-rättsliga principer. Revisorerna förslog att beslutet o</w:t>
      </w:r>
      <w:r w:rsidRPr="003F63DB">
        <w:t>m</w:t>
      </w:r>
      <w:r w:rsidRPr="003F63DB">
        <w:t>prövas.</w:t>
      </w:r>
    </w:p>
    <w:p w:rsidR="00905B3E" w:rsidRPr="003F63DB" w:rsidRDefault="00905B3E">
      <w:pPr>
        <w:pStyle w:val="R3"/>
      </w:pPr>
      <w:r w:rsidRPr="003F63DB">
        <w:t>Remissinstanserna</w:t>
      </w:r>
    </w:p>
    <w:p w:rsidR="00905B3E" w:rsidRPr="003F63DB" w:rsidRDefault="00905B3E">
      <w:r w:rsidRPr="003F63DB">
        <w:t>De flesta remissinstanser är positiva till förslaget att ompröva beslutet att undanta uppdragsarkeologi från lagen om offentlig upphandling (LOU).</w:t>
      </w:r>
    </w:p>
    <w:p w:rsidR="00905B3E" w:rsidRPr="003F63DB" w:rsidRDefault="00905B3E">
      <w:pPr>
        <w:pStyle w:val="Normaltindrag"/>
      </w:pPr>
      <w:r w:rsidRPr="003F63DB">
        <w:rPr>
          <w:i/>
        </w:rPr>
        <w:t xml:space="preserve">Nämnden för offentlig upphandling </w:t>
      </w:r>
      <w:r w:rsidRPr="003F63DB">
        <w:t xml:space="preserve">anser att länsstyrelsernas beslut om tilldelning av kontrakt (uppdrag) avseende arkeologiska utredningar och undersökningar </w:t>
      </w:r>
      <w:r w:rsidRPr="003F63DB">
        <w:rPr>
          <w:i/>
        </w:rPr>
        <w:t>inte</w:t>
      </w:r>
      <w:r w:rsidRPr="003F63DB">
        <w:t xml:space="preserve"> omfattas av undantaget för tjänster som har samband med utövande av offentlig makt enligt artiklarna 45 och 55 i EG-fördraget. Tilldelningen av kontrakt omfattas därmed av EG:s direktiv 92/50/EEG om upphandling av tjänster. Enligt nämnden bör EG-fördragets uttryck ”utövande av offentlig makt” tolkas mer restriktivt än begreppet myndi</w:t>
      </w:r>
      <w:r w:rsidRPr="003F63DB">
        <w:t>g</w:t>
      </w:r>
      <w:r w:rsidRPr="003F63DB">
        <w:t>hetsutövning i svensk rätt. Den arkeologiska un</w:t>
      </w:r>
      <w:r w:rsidRPr="003F63DB">
        <w:t>dersökarens verksamhet är inte förenad med utövande av offentlig makt i den mening uttrycket har i EG-fördraget. Den undersökare länsstyrelsen förordar enligt kulturminnesl</w:t>
      </w:r>
      <w:r w:rsidRPr="003F63DB">
        <w:t>a</w:t>
      </w:r>
      <w:r w:rsidRPr="003F63DB">
        <w:t>gen har inte några särskilda befogenheter utöver vad en undersökare skulle ha som engagerats genom ett privaträttsligt avtal.</w:t>
      </w:r>
    </w:p>
    <w:p w:rsidR="00905B3E" w:rsidRPr="003F63DB" w:rsidRDefault="00905B3E">
      <w:pPr>
        <w:pStyle w:val="Normaltindrag"/>
      </w:pPr>
      <w:r w:rsidRPr="003F63DB">
        <w:rPr>
          <w:i/>
        </w:rPr>
        <w:t>Länsstyrelsen i Stockholms län</w:t>
      </w:r>
      <w:r w:rsidRPr="003F63DB">
        <w:t xml:space="preserve"> är positiv till en omprövning och anser att det mot bakgrund av EG-domstolens uttalanden är tveksamt om länsstyre</w:t>
      </w:r>
      <w:r w:rsidRPr="003F63DB">
        <w:t>l</w:t>
      </w:r>
      <w:r w:rsidRPr="003F63DB">
        <w:t>sernas beslut är av sådan art att Sverige har möjlighet att åberopa artikel 66 för att inte behöva tillämpa direktiv 92/50/EEG på upphandling av arkeol</w:t>
      </w:r>
      <w:r w:rsidRPr="003F63DB">
        <w:t>o</w:t>
      </w:r>
      <w:r w:rsidRPr="003F63DB">
        <w:t>giska tjänster. Direktivet tycks ta sikte på situationer där upphandlande enhet (länsstyrelsen) själv sluter kontrakt (med undersökaren). Så är inte fallet inom uppdragsarkeologin. Länsstyrelsen menar att det, oavsett EG-direktivets tillämplighe</w:t>
      </w:r>
      <w:r w:rsidRPr="003F63DB">
        <w:t>t, inte finns några hinder att ändå tillämpa LOU. Enligt länsstyrelsen är det framför allt i de medelstora och mindre undersö</w:t>
      </w:r>
      <w:r w:rsidRPr="003F63DB">
        <w:t>k</w:t>
      </w:r>
      <w:r w:rsidRPr="003F63DB">
        <w:t>ningarna som bättre samstämmighet mellan ambitionsnivå och kostnader kan uppnås.</w:t>
      </w:r>
    </w:p>
    <w:p w:rsidR="00905B3E" w:rsidRPr="003F63DB" w:rsidRDefault="00905B3E">
      <w:pPr>
        <w:pStyle w:val="Normaltindrag"/>
      </w:pPr>
      <w:r w:rsidRPr="003F63DB">
        <w:rPr>
          <w:i/>
        </w:rPr>
        <w:t>Konkurrensverket</w:t>
      </w:r>
      <w:r w:rsidRPr="003F63DB">
        <w:t xml:space="preserve"> anser att det inte är särskilt meningsfullt att skapa ko</w:t>
      </w:r>
      <w:r w:rsidRPr="003F63DB">
        <w:t>n</w:t>
      </w:r>
      <w:r w:rsidRPr="003F63DB">
        <w:t>kurrens om det inte finns ändamålsenliga regler för att vårda konkurrensen. Verket framhåller att nuvarande regler inte garanterar en rättssäker behan</w:t>
      </w:r>
      <w:r w:rsidRPr="003F63DB">
        <w:t>d</w:t>
      </w:r>
      <w:r w:rsidRPr="003F63DB">
        <w:t xml:space="preserve">ling av undersökarna. Anbudsgivare som förfördelas vid en upphandling har inga möjligheter att få rättelse. Berörda myndigheter kan sätta konkurrensen ur spel utan att riskera någon påföljd. </w:t>
      </w:r>
    </w:p>
    <w:p w:rsidR="00905B3E" w:rsidRPr="003F63DB" w:rsidRDefault="00905B3E">
      <w:pPr>
        <w:pStyle w:val="Normaltindrag"/>
      </w:pPr>
      <w:r w:rsidRPr="003F63DB">
        <w:rPr>
          <w:i/>
        </w:rPr>
        <w:t xml:space="preserve">Banverket </w:t>
      </w:r>
      <w:r w:rsidRPr="003F63DB">
        <w:t>och</w:t>
      </w:r>
      <w:r w:rsidRPr="003F63DB">
        <w:rPr>
          <w:i/>
        </w:rPr>
        <w:t xml:space="preserve"> Vägverket</w:t>
      </w:r>
      <w:r w:rsidRPr="003F63DB">
        <w:t xml:space="preserve"> tillstyrker förslaget</w:t>
      </w:r>
      <w:r w:rsidRPr="003F63DB">
        <w:rPr>
          <w:i/>
        </w:rPr>
        <w:t xml:space="preserve">. Vägverket </w:t>
      </w:r>
      <w:r w:rsidRPr="003F63DB">
        <w:t xml:space="preserve">menar att det är viktigt att kostnader för arkeologi, liksom andra kostnader i samband med vägbyggen, reduceras utan att kvaliteten äventyras. </w:t>
      </w:r>
      <w:r w:rsidRPr="003F63DB">
        <w:rPr>
          <w:i/>
        </w:rPr>
        <w:t>Banverket</w:t>
      </w:r>
      <w:r w:rsidRPr="003F63DB">
        <w:t xml:space="preserve"> menar att revisorernas samtliga förlag kommer att bidra till effektivitet i upphandlingen och kvalitet i genomförandet.</w:t>
      </w:r>
    </w:p>
    <w:p w:rsidR="00905B3E" w:rsidRPr="003F63DB" w:rsidRDefault="00905B3E">
      <w:pPr>
        <w:pStyle w:val="Normaltindrag"/>
      </w:pPr>
      <w:r w:rsidRPr="003F63DB">
        <w:t>Några av de remissinstanser som tillstyrker förslaget anser att det bör kompletteras.</w:t>
      </w:r>
      <w:r w:rsidRPr="003F63DB">
        <w:rPr>
          <w:i/>
        </w:rPr>
        <w:t xml:space="preserve"> Statskontoret</w:t>
      </w:r>
      <w:r w:rsidRPr="003F63DB">
        <w:t xml:space="preserve">, </w:t>
      </w:r>
      <w:r w:rsidRPr="003F63DB">
        <w:rPr>
          <w:i/>
        </w:rPr>
        <w:t xml:space="preserve">Konkurrensverket </w:t>
      </w:r>
      <w:r w:rsidRPr="003F63DB">
        <w:t>och</w:t>
      </w:r>
      <w:r w:rsidRPr="003F63DB">
        <w:rPr>
          <w:i/>
        </w:rPr>
        <w:t xml:space="preserve"> DIK-förbundet</w:t>
      </w:r>
      <w:r w:rsidRPr="003F63DB">
        <w:t xml:space="preserve"> anser att förslaget bör kompletteras med en bestämmelse om att LOU ska tillämpas vid köp av arkeologiska tjänster mellan myndigheter inom samma rättssu</w:t>
      </w:r>
      <w:r w:rsidRPr="003F63DB">
        <w:t>b</w:t>
      </w:r>
      <w:r w:rsidRPr="003F63DB">
        <w:t xml:space="preserve">jekt. </w:t>
      </w:r>
    </w:p>
    <w:p w:rsidR="00905B3E" w:rsidRPr="003F63DB" w:rsidRDefault="00905B3E">
      <w:pPr>
        <w:pStyle w:val="Normaltindrag"/>
      </w:pPr>
      <w:r w:rsidRPr="003F63DB">
        <w:t>De remissinstanser som avstyrker förslaget hänvisar bl.a. till att det inte är önskvärt med konkurrens eller en anpassning till LOU, att samarbete är bättre än konkurrens, att upphandling är resurskrävande och att det blir dyr</w:t>
      </w:r>
      <w:r w:rsidRPr="003F63DB">
        <w:t>a</w:t>
      </w:r>
      <w:r w:rsidRPr="003F63DB">
        <w:t xml:space="preserve">re för exploatören. </w:t>
      </w:r>
    </w:p>
    <w:p w:rsidR="00905B3E" w:rsidRPr="003F63DB" w:rsidRDefault="00905B3E">
      <w:pPr>
        <w:pStyle w:val="Normaltindrag"/>
      </w:pPr>
      <w:r w:rsidRPr="003F63DB">
        <w:rPr>
          <w:i/>
        </w:rPr>
        <w:t>Riksantikvarieämbetet</w:t>
      </w:r>
      <w:r w:rsidRPr="003F63DB">
        <w:t xml:space="preserve"> avstyrker förslaget och menar att bristen på konku</w:t>
      </w:r>
      <w:r w:rsidRPr="003F63DB">
        <w:t>r</w:t>
      </w:r>
      <w:r w:rsidRPr="003F63DB">
        <w:t>rens inte är ett stort problem. Konkurrens kan riskera slå ut de regionala museernas uppdragsarkeologiska verksamhet. En tillämpning av LOU me</w:t>
      </w:r>
      <w:r w:rsidRPr="003F63DB">
        <w:t>d</w:t>
      </w:r>
      <w:r w:rsidRPr="003F63DB">
        <w:t xml:space="preserve">för sannolikt höjda administrativa kostnader. </w:t>
      </w:r>
    </w:p>
    <w:p w:rsidR="00905B3E" w:rsidRPr="003F63DB" w:rsidRDefault="00905B3E">
      <w:pPr>
        <w:pStyle w:val="Normaltindrag"/>
      </w:pPr>
      <w:r w:rsidRPr="003F63DB">
        <w:rPr>
          <w:i/>
        </w:rPr>
        <w:t>Länsstyrelsen i Skåne län</w:t>
      </w:r>
      <w:r w:rsidRPr="003F63DB">
        <w:t xml:space="preserve"> avstyrker förslaget och befarar, liksom </w:t>
      </w:r>
      <w:r w:rsidRPr="003F63DB">
        <w:rPr>
          <w:i/>
        </w:rPr>
        <w:t>Riksa</w:t>
      </w:r>
      <w:r w:rsidRPr="003F63DB">
        <w:rPr>
          <w:i/>
        </w:rPr>
        <w:t>n</w:t>
      </w:r>
      <w:r w:rsidRPr="003F63DB">
        <w:rPr>
          <w:i/>
        </w:rPr>
        <w:t>tikvarieämbetet</w:t>
      </w:r>
      <w:r w:rsidRPr="003F63DB">
        <w:t>, att en tillämpning av LOU medför onödig tidsutdräkt för exploatörerna, där stora ekon</w:t>
      </w:r>
      <w:r w:rsidRPr="003F63DB">
        <w:t>o</w:t>
      </w:r>
      <w:r w:rsidRPr="003F63DB">
        <w:t>miska värden kan stå på spel.</w:t>
      </w:r>
    </w:p>
    <w:p w:rsidR="00905B3E" w:rsidRPr="003F63DB" w:rsidRDefault="00905B3E">
      <w:pPr>
        <w:pStyle w:val="Normaltindrag"/>
      </w:pPr>
      <w:r w:rsidRPr="003F63DB">
        <w:rPr>
          <w:i/>
        </w:rPr>
        <w:t>Jönköpings läns museum</w:t>
      </w:r>
      <w:r w:rsidRPr="003F63DB">
        <w:t xml:space="preserve"> avstyrker förslaget, men menar att en positiv e</w:t>
      </w:r>
      <w:r w:rsidRPr="003F63DB">
        <w:t>f</w:t>
      </w:r>
      <w:r w:rsidRPr="003F63DB">
        <w:t>fekt av LOU skulle vara att länsstyrelsen inte längre kan besluta om en lägre kostnad för det arkeologiska arbetet än vad museet angivit i undersökning</w:t>
      </w:r>
      <w:r w:rsidRPr="003F63DB">
        <w:t>s</w:t>
      </w:r>
      <w:r w:rsidRPr="003F63DB">
        <w:t>pl</w:t>
      </w:r>
      <w:r w:rsidRPr="003F63DB">
        <w:t>a</w:t>
      </w:r>
      <w:r w:rsidRPr="003F63DB">
        <w:t>nen.</w:t>
      </w:r>
    </w:p>
    <w:p w:rsidR="00905B3E" w:rsidRPr="003F63DB" w:rsidRDefault="00905B3E">
      <w:pPr>
        <w:pStyle w:val="R3"/>
      </w:pPr>
      <w:r w:rsidRPr="003F63DB">
        <w:br w:type="page"/>
        <w:t>Revisorerna</w:t>
      </w:r>
    </w:p>
    <w:p w:rsidR="00905B3E" w:rsidRPr="003F63DB" w:rsidRDefault="00905B3E">
      <w:r w:rsidRPr="003F63DB">
        <w:t>Nuvarande regler, och det sätt på vilket reglerna tolkats, har lett till att endast ett fåtal stora arkeologiska undersökningar utsatts för konkurrens och därmed en öppen prövning vad gäller kostnader, vetenskaplig inriktning och amb</w:t>
      </w:r>
      <w:r w:rsidRPr="003F63DB">
        <w:t>i</w:t>
      </w:r>
      <w:r w:rsidRPr="003F63DB">
        <w:t>tionsnivå. Små och medelstora undersökningar har inte utsatts för någon prövning, trots att förutsättningarna för konkurrens borde ha varit bättre. Länsstyrelsernas varierande handläggningsrutiner och ambitioner att hålla nere kostnaderna för arkeologi har enligt revisorernas uppfattning varit otil</w:t>
      </w:r>
      <w:r w:rsidRPr="003F63DB">
        <w:t>l</w:t>
      </w:r>
      <w:r w:rsidRPr="003F63DB">
        <w:t>fredsställande. Ingen vet om kostnaderna för arkeologi är ri</w:t>
      </w:r>
      <w:r w:rsidRPr="003F63DB">
        <w:t>m</w:t>
      </w:r>
      <w:r w:rsidRPr="003F63DB">
        <w:t>liga.</w:t>
      </w:r>
    </w:p>
    <w:p w:rsidR="00905B3E" w:rsidRPr="003F63DB" w:rsidRDefault="00905B3E">
      <w:pPr>
        <w:pStyle w:val="Normaltindrag"/>
      </w:pPr>
      <w:r w:rsidRPr="003F63DB">
        <w:t>Remissyttrandena, särskilt yttrandena från Nämnden för offentlig up</w:t>
      </w:r>
      <w:r w:rsidRPr="003F63DB">
        <w:t>p</w:t>
      </w:r>
      <w:r w:rsidRPr="003F63DB">
        <w:t>handling och Länsstyrelsen i Stockholms län, styrker revisorernas uppfat</w:t>
      </w:r>
      <w:r w:rsidRPr="003F63DB">
        <w:t>t</w:t>
      </w:r>
      <w:r w:rsidRPr="003F63DB">
        <w:t>ning att beslutet att undanta uppdragsarkeologi från lagen om offentlig up</w:t>
      </w:r>
      <w:r w:rsidRPr="003F63DB">
        <w:t>p</w:t>
      </w:r>
      <w:r w:rsidRPr="003F63DB">
        <w:t xml:space="preserve">handling (LOU) bör omprövas. </w:t>
      </w:r>
    </w:p>
    <w:p w:rsidR="00905B3E" w:rsidRPr="003F63DB" w:rsidRDefault="00905B3E">
      <w:pPr>
        <w:pStyle w:val="Normaltindrag"/>
      </w:pPr>
      <w:r w:rsidRPr="003F63DB">
        <w:t>Revisorerna menar att det finns flera skäl som talar för att LOU ska gälla. Lagen syftar bl.a. till att skapa öppenhet kring beslutsprocesser. En likvärdig och rättssäker behandling av anbudsgivare ska säkerställas och de konku</w:t>
      </w:r>
      <w:r w:rsidRPr="003F63DB">
        <w:t>r</w:t>
      </w:r>
      <w:r w:rsidRPr="003F63DB">
        <w:t>rensmöjligheter som finns utnyttjas. Med ett upphandlingsförfarande ko</w:t>
      </w:r>
      <w:r w:rsidRPr="003F63DB">
        <w:t>m</w:t>
      </w:r>
      <w:r w:rsidRPr="003F63DB">
        <w:t>mer alternativa förslag till genomförande att läggas fram. Tydliga kravspec</w:t>
      </w:r>
      <w:r w:rsidRPr="003F63DB">
        <w:t>i</w:t>
      </w:r>
      <w:r w:rsidRPr="003F63DB">
        <w:t>fikationer innebär att undersökarnas möjligheter att bestämma ambitionsn</w:t>
      </w:r>
      <w:r w:rsidRPr="003F63DB">
        <w:t>i</w:t>
      </w:r>
      <w:r w:rsidRPr="003F63DB">
        <w:t>vån i olika projekt minskar. En tydligare avvägning mellan kostnader och vetenskaplig nytta kan åstadkommas. Valet av undersökare måste motiveras på ett mera utförligt sätt än vad som hittills varit fallet och anbudsgivare som förfördelas kan få rättelse. Aktuella upphandlingar måste offent</w:t>
      </w:r>
      <w:r w:rsidRPr="003F63DB">
        <w:t>liggöras på ett bättre sätt än vad som hittills varit fallet. Ett upphandlingsförfarande enligt LOU ökar möjligheterna till insyn i arkeologiska b</w:t>
      </w:r>
      <w:r w:rsidRPr="003F63DB">
        <w:t>e</w:t>
      </w:r>
      <w:r w:rsidRPr="003F63DB">
        <w:t xml:space="preserve">slutsprocesser. </w:t>
      </w:r>
    </w:p>
    <w:p w:rsidR="00905B3E" w:rsidRPr="003F63DB" w:rsidRDefault="00905B3E">
      <w:pPr>
        <w:pStyle w:val="Normaltindrag"/>
      </w:pPr>
      <w:r w:rsidRPr="003F63DB">
        <w:t>Riksantikvarieämbetet befarar att upphandling enligt LOU leder till att e</w:t>
      </w:r>
      <w:r w:rsidRPr="003F63DB">
        <w:t>x</w:t>
      </w:r>
      <w:r w:rsidRPr="003F63DB">
        <w:t>ploateringarna försenas och blir dyrare. Både Banverket och Vägverket fö</w:t>
      </w:r>
      <w:r w:rsidRPr="003F63DB">
        <w:t>r</w:t>
      </w:r>
      <w:r w:rsidRPr="003F63DB">
        <w:t xml:space="preserve">ordar däremot upphandling. De menar att kostnaderna kan reduceras, utan att kvaliteten äventyras. </w:t>
      </w:r>
    </w:p>
    <w:p w:rsidR="00905B3E" w:rsidRPr="003F63DB" w:rsidRDefault="00905B3E">
      <w:pPr>
        <w:pStyle w:val="Normaltindrag"/>
      </w:pPr>
      <w:r w:rsidRPr="003F63DB">
        <w:t>Enligt revisorernas uppfattning måste upphandlingen av arkeologiska u</w:t>
      </w:r>
      <w:r w:rsidRPr="003F63DB">
        <w:t>n</w:t>
      </w:r>
      <w:r w:rsidRPr="003F63DB">
        <w:t>dersökningar kunna planeras så att de inte försenar exploateringen. Stora väg- eller byggprojekt planeras vanligen under flera år. Det måste finnas utrymme för att under några veckor upphandla tjänster som rör ingrepp i  kulturarvet. Som framgått har varken Vägverket eller Banverket framfört några invändningar mot förslaget. Om revisorernas förslag om att låta expl</w:t>
      </w:r>
      <w:r w:rsidRPr="003F63DB">
        <w:t>o</w:t>
      </w:r>
      <w:r w:rsidRPr="003F63DB">
        <w:t>a</w:t>
      </w:r>
      <w:r w:rsidRPr="003F63DB">
        <w:softHyphen/>
        <w:t>törerna ansvara för upphandlingen genomförs, får exploatörerna incitament att up</w:t>
      </w:r>
      <w:r w:rsidRPr="003F63DB">
        <w:t>p</w:t>
      </w:r>
      <w:r w:rsidRPr="003F63DB">
        <w:t xml:space="preserve">handla arkeologi i ett tidigt skede av planeringen (avsnitt </w:t>
      </w:r>
      <w:r w:rsidRPr="003F63DB">
        <w:t>2.4).</w:t>
      </w:r>
    </w:p>
    <w:p w:rsidR="00905B3E" w:rsidRPr="003F63DB" w:rsidRDefault="00905B3E">
      <w:pPr>
        <w:numPr>
          <w:ilvl w:val="0"/>
          <w:numId w:val="29"/>
        </w:numPr>
      </w:pPr>
      <w:r w:rsidRPr="003F63DB">
        <w:t>Revisorerna föreslår att regeringen omprövar beslutet att undanta up</w:t>
      </w:r>
      <w:r w:rsidRPr="003F63DB">
        <w:t>p</w:t>
      </w:r>
      <w:r w:rsidRPr="003F63DB">
        <w:t xml:space="preserve">dragsarkeologi från lagen om offentlig upphandling. Regeringen bör klargöra vilka moment i den uppdragsarkeologiska processen som är myndighetsutövning respektive utövande av offentlig makt. </w:t>
      </w:r>
    </w:p>
    <w:p w:rsidR="00905B3E" w:rsidRPr="003F63DB" w:rsidRDefault="00905B3E">
      <w:pPr>
        <w:numPr>
          <w:ilvl w:val="0"/>
          <w:numId w:val="29"/>
        </w:numPr>
      </w:pPr>
      <w:r w:rsidRPr="003F63DB">
        <w:t>Revisorerna föreslår att regeringen utreder förutsättningarna för att lagen om offentlig upphandling tillämpas vid köp av arkeologiska tjänster mellan myndigheter inom samma rättssu</w:t>
      </w:r>
      <w:r w:rsidRPr="003F63DB">
        <w:t>b</w:t>
      </w:r>
      <w:r w:rsidRPr="003F63DB">
        <w:t xml:space="preserve">jekt. </w:t>
      </w:r>
    </w:p>
    <w:p w:rsidR="00905B3E" w:rsidRPr="003F63DB" w:rsidRDefault="00905B3E">
      <w:pPr>
        <w:pStyle w:val="Rubrik2"/>
      </w:pPr>
      <w:bookmarkStart w:id="20" w:name="_Toc35833465"/>
      <w:bookmarkStart w:id="21" w:name="_Toc36520713"/>
      <w:r w:rsidRPr="003F63DB">
        <w:t>Kostnader för uppdragsarkeologi</w:t>
      </w:r>
      <w:bookmarkEnd w:id="20"/>
      <w:bookmarkEnd w:id="21"/>
    </w:p>
    <w:p w:rsidR="00905B3E" w:rsidRPr="003F63DB" w:rsidRDefault="00905B3E">
      <w:pPr>
        <w:pStyle w:val="R3"/>
      </w:pPr>
      <w:r w:rsidRPr="003F63DB">
        <w:t>Rapporten</w:t>
      </w:r>
    </w:p>
    <w:p w:rsidR="00905B3E" w:rsidRPr="003F63DB" w:rsidRDefault="00905B3E">
      <w:r w:rsidRPr="003F63DB">
        <w:t>Ingrepp i fornlämningar innebär kostnader på både kort och lång sikt – kos</w:t>
      </w:r>
      <w:r w:rsidRPr="003F63DB">
        <w:t>t</w:t>
      </w:r>
      <w:r w:rsidRPr="003F63DB">
        <w:t>nader som i huvudsak finansieras med skattemedel. De samlade kostnaderna för uppdragsarkeologi är okända. De kostnader som Riksantikvarieämbetet redovisar avser endast sådana som debiteras exploatörerna enligt länsstyre</w:t>
      </w:r>
      <w:r w:rsidRPr="003F63DB">
        <w:t>l</w:t>
      </w:r>
      <w:r w:rsidRPr="003F63DB">
        <w:t>sernas beslut. Även dessa uppgifter är dock osäkra. Kostnadsangivelserna i besluten har inte alltid varit fullständiga. Exploatörer och undersökare kan även ha tecknat avtal om kostnader utöver vad länsstyrelsen beslutat. De faktiska kostnaderna följs sällan upp. Museernas kostnader för fra</w:t>
      </w:r>
      <w:r w:rsidRPr="003F63DB">
        <w:t xml:space="preserve">mtida vård och förvaring av tillvaratagna fynd beaktas sannolikt inte inför beslut om arkeologi. </w:t>
      </w:r>
    </w:p>
    <w:p w:rsidR="00905B3E" w:rsidRPr="003F63DB" w:rsidRDefault="00905B3E">
      <w:pPr>
        <w:pStyle w:val="Normaltindrag"/>
      </w:pPr>
      <w:r w:rsidRPr="003F63DB">
        <w:t>Den bristande kostnadskontrollen i organisationen för uppdragsarkeologi förklaras enligt revisorernas mening av att ”någon annan betalar”. Länsst</w:t>
      </w:r>
      <w:r w:rsidRPr="003F63DB">
        <w:t>y</w:t>
      </w:r>
      <w:r w:rsidRPr="003F63DB">
        <w:t>relserna har inga tydliga incitament att begränsa undersökningarnas omfat</w:t>
      </w:r>
      <w:r w:rsidRPr="003F63DB">
        <w:t>t</w:t>
      </w:r>
      <w:r w:rsidRPr="003F63DB">
        <w:t>ning eftersom de själva inte bär kostnaderna. Exploatörerna har i praktiken små möjligheter att påverka valet av undersökare eller kostnaderna för u</w:t>
      </w:r>
      <w:r w:rsidRPr="003F63DB">
        <w:t>n</w:t>
      </w:r>
      <w:r w:rsidRPr="003F63DB">
        <w:t>dersökarens tjänster.</w:t>
      </w:r>
    </w:p>
    <w:p w:rsidR="00905B3E" w:rsidRPr="003F63DB" w:rsidRDefault="00905B3E">
      <w:pPr>
        <w:pStyle w:val="Normaltindrag"/>
      </w:pPr>
      <w:r w:rsidRPr="003F63DB">
        <w:t>Gränsen för exploatörernas kostnadsansvar är oskarp och tenderar att u</w:t>
      </w:r>
      <w:r w:rsidRPr="003F63DB">
        <w:t>t</w:t>
      </w:r>
      <w:r w:rsidRPr="003F63DB">
        <w:t>vidgas. Det är oklart vem som bevakar att kostnadsansvaret inte överskrids. När en exploatör finansierar den handläggande länsstyrelsens myndighetsu</w:t>
      </w:r>
      <w:r w:rsidRPr="003F63DB">
        <w:t>t</w:t>
      </w:r>
      <w:r w:rsidRPr="003F63DB">
        <w:t>övning, vilket har förekommit, kan länsstyrelsens oberoende ifråg</w:t>
      </w:r>
      <w:r w:rsidRPr="003F63DB">
        <w:t>a</w:t>
      </w:r>
      <w:r w:rsidRPr="003F63DB">
        <w:t xml:space="preserve">sättas. </w:t>
      </w:r>
    </w:p>
    <w:p w:rsidR="00905B3E" w:rsidRPr="003F63DB" w:rsidRDefault="00905B3E">
      <w:pPr>
        <w:pStyle w:val="Normaltindrag"/>
      </w:pPr>
      <w:r w:rsidRPr="003F63DB">
        <w:t>Revisorerna föreslog att exploatörerna ges ansvaret för att upphandla ark</w:t>
      </w:r>
      <w:r w:rsidRPr="003F63DB">
        <w:t>e</w:t>
      </w:r>
      <w:r w:rsidRPr="003F63DB">
        <w:t>ologiska utredningar och undersökningar.</w:t>
      </w:r>
    </w:p>
    <w:p w:rsidR="00905B3E" w:rsidRPr="003F63DB" w:rsidRDefault="00905B3E">
      <w:pPr>
        <w:pStyle w:val="R3"/>
      </w:pPr>
      <w:r w:rsidRPr="003F63DB">
        <w:t>Remissinstanserna</w:t>
      </w:r>
    </w:p>
    <w:p w:rsidR="00905B3E" w:rsidRPr="003F63DB" w:rsidRDefault="00905B3E">
      <w:r w:rsidRPr="003F63DB">
        <w:t xml:space="preserve">Vissa remissinstanser är positiva till förslaget. </w:t>
      </w:r>
      <w:r w:rsidRPr="003F63DB">
        <w:rPr>
          <w:i/>
        </w:rPr>
        <w:t xml:space="preserve">Statskontoret, Länsstyrelsen i Stockholms län, Banverket, Vägverket, Konkurrensverket, Arkeologikonsult AB, Societas Archaeologica Upsaliensis (SAU), DIK-förbundet </w:t>
      </w:r>
      <w:r w:rsidRPr="003F63DB">
        <w:t>och</w:t>
      </w:r>
      <w:r w:rsidRPr="003F63DB">
        <w:rPr>
          <w:i/>
        </w:rPr>
        <w:t xml:space="preserve"> professor Kristian Kristiansen</w:t>
      </w:r>
      <w:r w:rsidRPr="003F63DB">
        <w:t xml:space="preserve"> tillstyrker förslaget att ge exploatörerna ansvaret för upphan</w:t>
      </w:r>
      <w:r w:rsidRPr="003F63DB">
        <w:t>d</w:t>
      </w:r>
      <w:r w:rsidRPr="003F63DB">
        <w:t xml:space="preserve">ling. </w:t>
      </w:r>
    </w:p>
    <w:p w:rsidR="00905B3E" w:rsidRPr="003F63DB" w:rsidRDefault="00905B3E">
      <w:pPr>
        <w:pStyle w:val="Normaltindrag"/>
      </w:pPr>
      <w:r w:rsidRPr="003F63DB">
        <w:rPr>
          <w:i/>
        </w:rPr>
        <w:t>Vägverket</w:t>
      </w:r>
      <w:r w:rsidRPr="003F63DB">
        <w:t xml:space="preserve"> framhåller att verket har en väl utvecklad upphandlingsver</w:t>
      </w:r>
      <w:r w:rsidRPr="003F63DB">
        <w:t>k</w:t>
      </w:r>
      <w:r w:rsidRPr="003F63DB">
        <w:t>samhet. Länsstyrelserna saknar resurser och har även begränsad erfarenhet av upphandling.</w:t>
      </w:r>
    </w:p>
    <w:p w:rsidR="00905B3E" w:rsidRPr="003F63DB" w:rsidRDefault="00905B3E">
      <w:pPr>
        <w:pStyle w:val="Normaltindrag"/>
      </w:pPr>
      <w:r w:rsidRPr="003F63DB">
        <w:rPr>
          <w:i/>
        </w:rPr>
        <w:t>SAU</w:t>
      </w:r>
      <w:r w:rsidRPr="003F63DB">
        <w:t xml:space="preserve"> anser att exploatörernas roll behöver stärkas och legitimeras. </w:t>
      </w:r>
    </w:p>
    <w:p w:rsidR="00905B3E" w:rsidRPr="003F63DB" w:rsidRDefault="00905B3E">
      <w:pPr>
        <w:pStyle w:val="Normaltindrag"/>
      </w:pPr>
      <w:r w:rsidRPr="003F63DB">
        <w:rPr>
          <w:i/>
        </w:rPr>
        <w:t>Arkeologikonsult AB</w:t>
      </w:r>
      <w:r w:rsidRPr="003F63DB">
        <w:t xml:space="preserve"> menar att exploatörer, i samråd med länsstyrelsens expertkompetens, kan genomföra upphandling utifrån kravspecifikati</w:t>
      </w:r>
      <w:r w:rsidRPr="003F63DB">
        <w:t>o</w:t>
      </w:r>
      <w:r w:rsidRPr="003F63DB">
        <w:t>nen.</w:t>
      </w:r>
    </w:p>
    <w:p w:rsidR="00905B3E" w:rsidRPr="003F63DB" w:rsidRDefault="00905B3E">
      <w:pPr>
        <w:pStyle w:val="Normaltindrag"/>
      </w:pPr>
      <w:r w:rsidRPr="003F63DB">
        <w:rPr>
          <w:i/>
        </w:rPr>
        <w:t>Länsstyrelsen i Stockholms län</w:t>
      </w:r>
      <w:r w:rsidRPr="003F63DB">
        <w:t xml:space="preserve"> framhåller att exploatörerna måste ges skyldighet att tillämpa LOU, så att inte undersökare tillhörande samma rätt</w:t>
      </w:r>
      <w:r w:rsidRPr="003F63DB">
        <w:t>s</w:t>
      </w:r>
      <w:r w:rsidRPr="003F63DB">
        <w:t xml:space="preserve">subjekt gynnas. </w:t>
      </w:r>
    </w:p>
    <w:p w:rsidR="00905B3E" w:rsidRPr="003F63DB" w:rsidRDefault="00905B3E">
      <w:pPr>
        <w:pStyle w:val="Normaltindrag"/>
      </w:pPr>
      <w:r w:rsidRPr="003F63DB">
        <w:rPr>
          <w:i/>
        </w:rPr>
        <w:t>DIK-förbundet</w:t>
      </w:r>
      <w:r w:rsidRPr="003F63DB">
        <w:t xml:space="preserve"> anser förslaget rimligt, om länsstyrelserna får ett avgörande inflytande och vetorätt samt tillräckliga resurser för uppgiften. I vilken u</w:t>
      </w:r>
      <w:r w:rsidRPr="003F63DB">
        <w:t>t</w:t>
      </w:r>
      <w:r w:rsidRPr="003F63DB">
        <w:t>sträckning små exploatörer kan och vill sköta upphandlingen och om försl</w:t>
      </w:r>
      <w:r w:rsidRPr="003F63DB">
        <w:t>a</w:t>
      </w:r>
      <w:r w:rsidRPr="003F63DB">
        <w:t>get leder till kostnadsbesp</w:t>
      </w:r>
      <w:r w:rsidRPr="003F63DB">
        <w:t>a</w:t>
      </w:r>
      <w:r w:rsidRPr="003F63DB">
        <w:t>ringar bör bli föremål för analys.</w:t>
      </w:r>
    </w:p>
    <w:p w:rsidR="00905B3E" w:rsidRPr="003F63DB" w:rsidRDefault="00905B3E">
      <w:pPr>
        <w:pStyle w:val="Normaltindrag"/>
      </w:pPr>
      <w:r w:rsidRPr="003F63DB">
        <w:rPr>
          <w:i/>
        </w:rPr>
        <w:t>Professor Kristiansen</w:t>
      </w:r>
      <w:r w:rsidRPr="003F63DB">
        <w:t xml:space="preserve"> uppger att exploatörerna upphandlar arkeologi i fl</w:t>
      </w:r>
      <w:r w:rsidRPr="003F63DB">
        <w:t>e</w:t>
      </w:r>
      <w:r w:rsidRPr="003F63DB">
        <w:t>ra stora länder. Förslaget kräver dock att Riksantikvarieämbetet och länsst</w:t>
      </w:r>
      <w:r w:rsidRPr="003F63DB">
        <w:t>y</w:t>
      </w:r>
      <w:r w:rsidRPr="003F63DB">
        <w:t xml:space="preserve">relserna stärks för att säkerställa kvalitet och kompetens i förhållande till pris. </w:t>
      </w:r>
    </w:p>
    <w:p w:rsidR="00905B3E" w:rsidRPr="003F63DB" w:rsidRDefault="00905B3E">
      <w:pPr>
        <w:pStyle w:val="Normaltindrag"/>
      </w:pPr>
      <w:r w:rsidRPr="003F63DB">
        <w:t xml:space="preserve">Många remissinstanser avstyrker förslaget. </w:t>
      </w:r>
      <w:r w:rsidRPr="003F63DB">
        <w:rPr>
          <w:i/>
        </w:rPr>
        <w:t xml:space="preserve">Länsstyrelserna i Uppsala, Kronobergs, Gotlands </w:t>
      </w:r>
      <w:r w:rsidRPr="003F63DB">
        <w:t>och</w:t>
      </w:r>
      <w:r w:rsidRPr="003F63DB">
        <w:rPr>
          <w:i/>
        </w:rPr>
        <w:t xml:space="preserve"> Skåne län </w:t>
      </w:r>
      <w:r w:rsidRPr="003F63DB">
        <w:t>samt</w:t>
      </w:r>
      <w:r w:rsidRPr="003F63DB">
        <w:rPr>
          <w:i/>
        </w:rPr>
        <w:t xml:space="preserve"> Föreningen Sveriges länsantikv</w:t>
      </w:r>
      <w:r w:rsidRPr="003F63DB">
        <w:rPr>
          <w:i/>
        </w:rPr>
        <w:t>a</w:t>
      </w:r>
      <w:r w:rsidRPr="003F63DB">
        <w:rPr>
          <w:i/>
        </w:rPr>
        <w:t>rier</w:t>
      </w:r>
      <w:r w:rsidRPr="003F63DB">
        <w:t xml:space="preserve"> menar att upphandling av arkeologiska tjänster är en del av länsstyre</w:t>
      </w:r>
      <w:r w:rsidRPr="003F63DB">
        <w:t>l</w:t>
      </w:r>
      <w:r w:rsidRPr="003F63DB">
        <w:t xml:space="preserve">sernas myndighetsutövning, som inte kan överlåtas åt exploatörerna. </w:t>
      </w:r>
      <w:r w:rsidRPr="003F63DB">
        <w:rPr>
          <w:i/>
        </w:rPr>
        <w:t>För</w:t>
      </w:r>
      <w:r w:rsidRPr="003F63DB">
        <w:rPr>
          <w:i/>
        </w:rPr>
        <w:t>e</w:t>
      </w:r>
      <w:r w:rsidRPr="003F63DB">
        <w:rPr>
          <w:i/>
        </w:rPr>
        <w:t>ningen Sveriges länsantikvarier</w:t>
      </w:r>
      <w:r w:rsidRPr="003F63DB">
        <w:t xml:space="preserve"> föredrar att exploatör och länsstyrelse sa</w:t>
      </w:r>
      <w:r w:rsidRPr="003F63DB">
        <w:t>m</w:t>
      </w:r>
      <w:r w:rsidRPr="003F63DB">
        <w:t>arbetar kring upphandlingen.</w:t>
      </w:r>
    </w:p>
    <w:p w:rsidR="00905B3E" w:rsidRPr="003F63DB" w:rsidRDefault="00905B3E">
      <w:pPr>
        <w:pStyle w:val="Normaltindrag"/>
      </w:pPr>
      <w:r w:rsidRPr="003F63DB">
        <w:rPr>
          <w:i/>
        </w:rPr>
        <w:t xml:space="preserve">Statens historiska museer </w:t>
      </w:r>
      <w:r w:rsidRPr="003F63DB">
        <w:t>avstyrker förslaget och menar att förslaget inn</w:t>
      </w:r>
      <w:r w:rsidRPr="003F63DB">
        <w:t>e</w:t>
      </w:r>
      <w:r w:rsidRPr="003F63DB">
        <w:t xml:space="preserve">bär en belastning och ökade kostnader för i första hand små och medelstora arbetsföretag. </w:t>
      </w:r>
    </w:p>
    <w:p w:rsidR="00905B3E" w:rsidRPr="003F63DB" w:rsidRDefault="00905B3E">
      <w:pPr>
        <w:pStyle w:val="Normaltindrag"/>
      </w:pPr>
      <w:r w:rsidRPr="003F63DB">
        <w:rPr>
          <w:i/>
        </w:rPr>
        <w:t xml:space="preserve">Riksantikvarieämbetet, Jönköpings läns museum </w:t>
      </w:r>
      <w:r w:rsidRPr="003F63DB">
        <w:t>och</w:t>
      </w:r>
      <w:r w:rsidRPr="003F63DB">
        <w:rPr>
          <w:i/>
        </w:rPr>
        <w:t xml:space="preserve"> Västerbottens mus</w:t>
      </w:r>
      <w:r w:rsidRPr="003F63DB">
        <w:rPr>
          <w:i/>
        </w:rPr>
        <w:t>e</w:t>
      </w:r>
      <w:r w:rsidRPr="003F63DB">
        <w:rPr>
          <w:i/>
        </w:rPr>
        <w:t xml:space="preserve">um </w:t>
      </w:r>
      <w:r w:rsidRPr="003F63DB">
        <w:t>avstyrker förslaget och befarar att priskonkurrens prioriteras och att kv</w:t>
      </w:r>
      <w:r w:rsidRPr="003F63DB">
        <w:t>a</w:t>
      </w:r>
      <w:r w:rsidRPr="003F63DB">
        <w:t xml:space="preserve">liteten blir lägre. Enligt </w:t>
      </w:r>
      <w:r w:rsidRPr="003F63DB">
        <w:rPr>
          <w:i/>
        </w:rPr>
        <w:t>Riksantikvarieämbetet</w:t>
      </w:r>
      <w:r w:rsidRPr="003F63DB">
        <w:t xml:space="preserve"> skulle förslaget kräva att exploatörerna även får ta ansvar för fördyringar av ett uppdrag utöver besl</w:t>
      </w:r>
      <w:r w:rsidRPr="003F63DB">
        <w:t>u</w:t>
      </w:r>
      <w:r w:rsidRPr="003F63DB">
        <w:t>tade kostnader – något som staten i dag ansvarar för.</w:t>
      </w:r>
    </w:p>
    <w:p w:rsidR="00905B3E" w:rsidRPr="003F63DB" w:rsidRDefault="00905B3E">
      <w:pPr>
        <w:pStyle w:val="Normaltindrag"/>
      </w:pPr>
      <w:r w:rsidRPr="003F63DB">
        <w:rPr>
          <w:i/>
        </w:rPr>
        <w:t>Uppsala universitet</w:t>
      </w:r>
      <w:r w:rsidRPr="003F63DB">
        <w:t xml:space="preserve"> och </w:t>
      </w:r>
      <w:r w:rsidRPr="003F63DB">
        <w:rPr>
          <w:i/>
        </w:rPr>
        <w:t>Mitthögskolan</w:t>
      </w:r>
      <w:r w:rsidRPr="003F63DB">
        <w:t xml:space="preserve"> avstyrker förslaget, men framför samtidigt konstruktiva idéer. </w:t>
      </w:r>
      <w:r w:rsidRPr="003F63DB">
        <w:rPr>
          <w:i/>
        </w:rPr>
        <w:t>Uppsala universitet</w:t>
      </w:r>
      <w:r w:rsidRPr="003F63DB">
        <w:t xml:space="preserve"> menar att exploatörer sa</w:t>
      </w:r>
      <w:r w:rsidRPr="003F63DB">
        <w:t>n</w:t>
      </w:r>
      <w:r w:rsidRPr="003F63DB">
        <w:t>nolikt väljer det ekonomiskt mest fördelaktiga alternativet. Det finns därmed risk för att vetenskapliga och allmänhistoriska intressen inte beaktas tillräc</w:t>
      </w:r>
      <w:r w:rsidRPr="003F63DB">
        <w:t>k</w:t>
      </w:r>
      <w:r w:rsidRPr="003F63DB">
        <w:t xml:space="preserve">ligt. Om förslaget genomförs får universiteten en viktig uppgift, samtidigt som de auktoriserade undersökarna måste ha hög kompetens. </w:t>
      </w:r>
      <w:r w:rsidRPr="003F63DB">
        <w:rPr>
          <w:i/>
        </w:rPr>
        <w:t>Mitthögskolan</w:t>
      </w:r>
      <w:r w:rsidRPr="003F63DB">
        <w:t xml:space="preserve"> hävdar att upphandling bör ske i samråd mellan exploatören, den vetenska</w:t>
      </w:r>
      <w:r w:rsidRPr="003F63DB">
        <w:t>p</w:t>
      </w:r>
      <w:r w:rsidRPr="003F63DB">
        <w:t>liga le</w:t>
      </w:r>
      <w:r w:rsidRPr="003F63DB">
        <w:t>daren och länsstyrelsen. Den vetenskapliga ledaren måste vara delaktig i urvalsprocessen om resultaten ska kunna användas i forskningen.</w:t>
      </w:r>
      <w:r w:rsidRPr="003F63DB">
        <w:rPr>
          <w:i/>
        </w:rPr>
        <w:t xml:space="preserve"> </w:t>
      </w:r>
    </w:p>
    <w:p w:rsidR="00905B3E" w:rsidRPr="003F63DB" w:rsidRDefault="00905B3E">
      <w:pPr>
        <w:pStyle w:val="Normaltindrag"/>
      </w:pPr>
      <w:r w:rsidRPr="003F63DB">
        <w:t>Några remissinstanser kommenterar exploatörernas kostnadsansvar.</w:t>
      </w:r>
      <w:r w:rsidRPr="003F63DB">
        <w:rPr>
          <w:i/>
        </w:rPr>
        <w:t xml:space="preserve"> Malmö Kulturmiljö</w:t>
      </w:r>
      <w:r w:rsidRPr="003F63DB">
        <w:t xml:space="preserve"> anser inte att exploatörerna ska få ansvar för upphan</w:t>
      </w:r>
      <w:r w:rsidRPr="003F63DB">
        <w:t>d</w:t>
      </w:r>
      <w:r w:rsidRPr="003F63DB">
        <w:t>ling, men menar att kostnaderna kan göras tydligare för exploatören och att det bör klargöras vilka kostnader som faktiskt ska åvila denne.</w:t>
      </w:r>
    </w:p>
    <w:p w:rsidR="00905B3E" w:rsidRPr="003F63DB" w:rsidRDefault="00905B3E">
      <w:pPr>
        <w:pStyle w:val="Normaltindrag"/>
      </w:pPr>
      <w:r w:rsidRPr="003F63DB">
        <w:rPr>
          <w:i/>
        </w:rPr>
        <w:t>Mitthögskolan</w:t>
      </w:r>
      <w:r w:rsidRPr="003F63DB">
        <w:t xml:space="preserve"> ser det som ett problem att exploatörer inte kan debiteras för undersökningar som ligger utanför den exploaterade ytan, även om det finns starka vetenskapliga motiv för att utvidga undersökningsomr</w:t>
      </w:r>
      <w:r w:rsidRPr="003F63DB">
        <w:t>å</w:t>
      </w:r>
      <w:r w:rsidRPr="003F63DB">
        <w:t>det.</w:t>
      </w:r>
    </w:p>
    <w:p w:rsidR="00905B3E" w:rsidRPr="003F63DB" w:rsidRDefault="00905B3E">
      <w:pPr>
        <w:pStyle w:val="Normaltindrag"/>
      </w:pPr>
      <w:r w:rsidRPr="003F63DB">
        <w:rPr>
          <w:i/>
        </w:rPr>
        <w:t>Vägverket</w:t>
      </w:r>
      <w:r w:rsidRPr="003F63DB">
        <w:t xml:space="preserve"> menar att verket inte bör belastas kostnader för utgrävningar som görs utanför exploateringsområdet och inte heller för det vetenskapliga arbetet att lägga in en ny pusselbit i det stora historiska pusslet. Vägverket anser det heller inte vara exploatörens ansvar att stå för de regionala musee</w:t>
      </w:r>
      <w:r w:rsidRPr="003F63DB">
        <w:t>r</w:t>
      </w:r>
      <w:r w:rsidRPr="003F63DB">
        <w:t>nas ku</w:t>
      </w:r>
      <w:r w:rsidRPr="003F63DB">
        <w:t>n</w:t>
      </w:r>
      <w:r w:rsidRPr="003F63DB">
        <w:t>skapsuppbyggnad.</w:t>
      </w:r>
    </w:p>
    <w:p w:rsidR="00905B3E" w:rsidRPr="003F63DB" w:rsidRDefault="00905B3E">
      <w:pPr>
        <w:pStyle w:val="R3"/>
      </w:pPr>
      <w:r w:rsidRPr="003F63DB">
        <w:t>Revisorerna</w:t>
      </w:r>
    </w:p>
    <w:p w:rsidR="00905B3E" w:rsidRPr="003F63DB" w:rsidRDefault="00905B3E">
      <w:r w:rsidRPr="003F63DB">
        <w:t>Uppdragsarkeologi finansieras i huvudsak med skattemedel. Förutom unde</w:t>
      </w:r>
      <w:r w:rsidRPr="003F63DB">
        <w:t>r</w:t>
      </w:r>
      <w:r w:rsidRPr="003F63DB">
        <w:t>sökningsverksamheten hänför sig kostnaderna till framtida vård och förv</w:t>
      </w:r>
      <w:r w:rsidRPr="003F63DB">
        <w:t>a</w:t>
      </w:r>
      <w:r w:rsidRPr="003F63DB">
        <w:t>ring av fynd samt dokumentation. Det effektivaste sättet att begränsa kostn</w:t>
      </w:r>
      <w:r w:rsidRPr="003F63DB">
        <w:t>a</w:t>
      </w:r>
      <w:r w:rsidRPr="003F63DB">
        <w:t>derna är att så långt möjligt undvika ingrepp i fornlämningar. Enligt revis</w:t>
      </w:r>
      <w:r w:rsidRPr="003F63DB">
        <w:t>o</w:t>
      </w:r>
      <w:r w:rsidRPr="003F63DB">
        <w:t>rernas mening är det därför angeläget att organisationen för uppdragsarke</w:t>
      </w:r>
      <w:r w:rsidRPr="003F63DB">
        <w:t>o</w:t>
      </w:r>
      <w:r w:rsidRPr="003F63DB">
        <w:t>logi utformas så att exploatörerna får incitament att undvika fornlämningar och i övrigt minska skadorna på kulturmiljön. Revisorerna framförde i rap</w:t>
      </w:r>
      <w:r w:rsidRPr="003F63DB">
        <w:t>p</w:t>
      </w:r>
      <w:r w:rsidRPr="003F63DB">
        <w:t>orten att ett sådant incitament är att ge exploatörerna ansvare</w:t>
      </w:r>
      <w:r w:rsidRPr="003F63DB">
        <w:t>t för upphan</w:t>
      </w:r>
      <w:r w:rsidRPr="003F63DB">
        <w:t>d</w:t>
      </w:r>
      <w:r w:rsidRPr="003F63DB">
        <w:t>ling av arkeologiska tjänster. Tidiga kontakter mellan arkeologer och expl</w:t>
      </w:r>
      <w:r w:rsidRPr="003F63DB">
        <w:t>o</w:t>
      </w:r>
      <w:r w:rsidRPr="003F63DB">
        <w:t>atörer kan leda till att exploatörerna omprövar sina planer. Flera undersökare säljer tjänster som just syftar till att undvika ingrepp i fornlämning; tjänster som fler exploatörer skulle kunna nyttja.</w:t>
      </w:r>
    </w:p>
    <w:p w:rsidR="00905B3E" w:rsidRPr="003F63DB" w:rsidRDefault="00905B3E">
      <w:pPr>
        <w:pStyle w:val="Normaltindrag"/>
      </w:pPr>
      <w:r w:rsidRPr="003F63DB">
        <w:t>Revisorerna anser att exploatörerna måste få ett ökat inflytande över de kostnader de debiteras. Med ett ansvar för upphandlingen av arkeologi blir exploatörerna bättre informerade om vad olika undersökningar kostar. De ka</w:t>
      </w:r>
      <w:r w:rsidRPr="003F63DB">
        <w:t>n utnyttja sina erfarenheter av upphandling för att sänka kostnaderna. Länsstyrelserna avlastas uppgiften och kan frigöra resurser för att t.ex. fö</w:t>
      </w:r>
      <w:r w:rsidRPr="003F63DB">
        <w:t>r</w:t>
      </w:r>
      <w:r w:rsidRPr="003F63DB">
        <w:t>stärka sin tillsyn.</w:t>
      </w:r>
    </w:p>
    <w:p w:rsidR="00905B3E" w:rsidRPr="003F63DB" w:rsidRDefault="00905B3E">
      <w:pPr>
        <w:pStyle w:val="Normaltindrag"/>
      </w:pPr>
      <w:r w:rsidRPr="003F63DB">
        <w:t>Förslaget att ge exploatörerna ansvaret för upphandling av arkeologi har fått ett blandat mottagande av remissinstanserna. Ett argument som framförts mot förslaget är att valet av undersökare är myndighetsutövning och därför inte kan överlåtas på exploatören. Revisorerna ifrågasätter denna tolkning (jfr avsnitt 2.3). Exploatörer och undersöka</w:t>
      </w:r>
      <w:r w:rsidRPr="003F63DB">
        <w:t>re är redan i dag kontraktssluta</w:t>
      </w:r>
      <w:r w:rsidRPr="003F63DB">
        <w:t>n</w:t>
      </w:r>
      <w:r w:rsidRPr="003F63DB">
        <w:t xml:space="preserve">de parter, som i privaträttsliga avtal ingår affärsöverenskommelser utanför länsstyrelsens kontroll. </w:t>
      </w:r>
    </w:p>
    <w:p w:rsidR="00905B3E" w:rsidRPr="003F63DB" w:rsidRDefault="00905B3E">
      <w:pPr>
        <w:pStyle w:val="Normaltindrag"/>
      </w:pPr>
      <w:r w:rsidRPr="003F63DB">
        <w:t>En farhåga som uttryckts av remissinstanserna är att möjligheterna att sä</w:t>
      </w:r>
      <w:r w:rsidRPr="003F63DB">
        <w:t>n</w:t>
      </w:r>
      <w:r w:rsidRPr="003F63DB">
        <w:t>ka kostnaderna kommer att tillmätas alltför stor vikt på bekostnad av vete</w:t>
      </w:r>
      <w:r w:rsidRPr="003F63DB">
        <w:t>n</w:t>
      </w:r>
      <w:r w:rsidRPr="003F63DB">
        <w:t>skaplig kvalitet. Revisorerna menar dock att länsstyrelserna får bättre föru</w:t>
      </w:r>
      <w:r w:rsidRPr="003F63DB">
        <w:t>t</w:t>
      </w:r>
      <w:r w:rsidRPr="003F63DB">
        <w:t>sättningar att fungera som beställare om de avlastas uppgiften att samtidigt ansvara för upphandlingen av arkeologitjänster. Förutsättningarna förbättras ytterligare med revisorernas förslag att ge länsstyrelserna vetenskapligt stöd från universiteten (avsnitt 2.2). I kravspecifikationer ställs krav som tillgod</w:t>
      </w:r>
      <w:r w:rsidRPr="003F63DB">
        <w:t>o</w:t>
      </w:r>
      <w:r w:rsidRPr="003F63DB">
        <w:t>ser statens intressen av vetenskaplig kvalitet</w:t>
      </w:r>
      <w:r w:rsidRPr="003F63DB">
        <w:t xml:space="preserve"> och nytta. Exploatörerna kan därtill åläggas att välja auktoriserade arkeologer enligt revisorernas förslag (avsnitt 2.5). </w:t>
      </w:r>
    </w:p>
    <w:p w:rsidR="00905B3E" w:rsidRPr="003F63DB" w:rsidRDefault="00905B3E">
      <w:pPr>
        <w:pStyle w:val="Normaltindrag"/>
      </w:pPr>
      <w:r w:rsidRPr="003F63DB">
        <w:t>Endast offentliga exploatörer kan åläggas att upphandla arkeologi enligt LOU. Revisorerna utgår ifrån att även privata exploatörer agerar affärsmä</w:t>
      </w:r>
      <w:r w:rsidRPr="003F63DB">
        <w:t>s</w:t>
      </w:r>
      <w:r w:rsidRPr="003F63DB">
        <w:t xml:space="preserve">sigt och tillfrågar flera undersökare. Att upphandla arkeologi utifrån en av länsstyrelsen fastställd kravspecifikation är enligt revisorernas mening inte svårare än att upphandla andra entreprenader. Inget hindrar att exploatörer tar råd av länsstyrelsen i valet av undersökare. </w:t>
      </w:r>
    </w:p>
    <w:p w:rsidR="00905B3E" w:rsidRPr="003F63DB" w:rsidRDefault="00905B3E">
      <w:pPr>
        <w:numPr>
          <w:ilvl w:val="0"/>
          <w:numId w:val="30"/>
        </w:numPr>
      </w:pPr>
      <w:r w:rsidRPr="003F63DB">
        <w:t>Revisorerna förslår att regeringen tillsätter en oberoende utredning för att utreda förutsättningar för att ge exploatörerna ansvaret för att up</w:t>
      </w:r>
      <w:r w:rsidRPr="003F63DB">
        <w:t>p</w:t>
      </w:r>
      <w:r w:rsidRPr="003F63DB">
        <w:t>handla ark</w:t>
      </w:r>
      <w:r w:rsidRPr="003F63DB">
        <w:t>e</w:t>
      </w:r>
      <w:r w:rsidRPr="003F63DB">
        <w:t>ologiska utredningar och undersökningar.</w:t>
      </w:r>
    </w:p>
    <w:p w:rsidR="00905B3E" w:rsidRPr="003F63DB" w:rsidRDefault="00905B3E">
      <w:r w:rsidRPr="003F63DB">
        <w:t>Exploatörernas kostnadsansvar utvidgades 1997 till att omfatta även fyn</w:t>
      </w:r>
      <w:r w:rsidRPr="003F63DB">
        <w:t>d</w:t>
      </w:r>
      <w:r w:rsidRPr="003F63DB">
        <w:t>hantering och konservering av fornfynd. Regeringen meddelade i propositi</w:t>
      </w:r>
      <w:r w:rsidRPr="003F63DB">
        <w:t>o</w:t>
      </w:r>
      <w:r w:rsidRPr="003F63DB">
        <w:t>nen om Uppdragsarkeologi m.m. (prop. 1996/97:99) att Riksantikvarieä</w:t>
      </w:r>
      <w:r w:rsidRPr="003F63DB">
        <w:t>m</w:t>
      </w:r>
      <w:r w:rsidRPr="003F63DB">
        <w:t>betet skulle ges i uppdrag att noga följa kostnadsutvecklingen. Riksantikv</w:t>
      </w:r>
      <w:r w:rsidRPr="003F63DB">
        <w:t>a</w:t>
      </w:r>
      <w:r w:rsidRPr="003F63DB">
        <w:t>rieämbetet hade dock ännu i mars 2003 inte fått något sådant up</w:t>
      </w:r>
      <w:r w:rsidRPr="003F63DB">
        <w:t>p</w:t>
      </w:r>
      <w:r w:rsidRPr="003F63DB">
        <w:t xml:space="preserve">drag. </w:t>
      </w:r>
    </w:p>
    <w:p w:rsidR="00905B3E" w:rsidRPr="003F63DB" w:rsidRDefault="00905B3E">
      <w:pPr>
        <w:pStyle w:val="Normaltindrag"/>
      </w:pPr>
      <w:r w:rsidRPr="003F63DB">
        <w:t>De kostnader som debiteras exploatörerna är tvingande och kan liknas vid offentligrättsliga avgifter. Kostnadsansvaret bygger dock på praxis och grä</w:t>
      </w:r>
      <w:r w:rsidRPr="003F63DB">
        <w:t>n</w:t>
      </w:r>
      <w:r w:rsidRPr="003F63DB">
        <w:t>serna tänjs. Det som i dag betraktas som frivilliga åtaganden från vissa e</w:t>
      </w:r>
      <w:r w:rsidRPr="003F63DB">
        <w:t>x</w:t>
      </w:r>
      <w:r w:rsidRPr="003F63DB">
        <w:t xml:space="preserve">ploatörer kan komma att utvecklas till ny praxis och ett obligatorium för alla. Det är också oklart vem som har till uppgift att bevaka att exploatörernas kostnadsansvar inte överskrids. Enligt revisorernas uppfattning behövs ett klargörande av vad exploatörernas kostnadsansvar ska omfatta. </w:t>
      </w:r>
    </w:p>
    <w:p w:rsidR="00905B3E" w:rsidRPr="003F63DB" w:rsidRDefault="00905B3E">
      <w:pPr>
        <w:numPr>
          <w:ilvl w:val="0"/>
          <w:numId w:val="31"/>
        </w:numPr>
      </w:pPr>
      <w:r w:rsidRPr="003F63DB">
        <w:t>Revisorerna föreslår att regeringen utreder hur de samlade kostnaderna för uppdragsarkeologiska undersökningar har utvecklats och hur expl</w:t>
      </w:r>
      <w:r w:rsidRPr="003F63DB">
        <w:t>o</w:t>
      </w:r>
      <w:r w:rsidRPr="003F63DB">
        <w:t>a</w:t>
      </w:r>
      <w:r w:rsidRPr="003F63DB">
        <w:softHyphen/>
        <w:t>törernas utvidgade kostnadsansvar har u</w:t>
      </w:r>
      <w:r w:rsidRPr="003F63DB">
        <w:t>t</w:t>
      </w:r>
      <w:r w:rsidRPr="003F63DB">
        <w:t>fallit.</w:t>
      </w:r>
    </w:p>
    <w:p w:rsidR="00905B3E" w:rsidRPr="003F63DB" w:rsidRDefault="00905B3E">
      <w:pPr>
        <w:numPr>
          <w:ilvl w:val="0"/>
          <w:numId w:val="32"/>
        </w:numPr>
      </w:pPr>
      <w:r w:rsidRPr="003F63DB">
        <w:t>Revisorerna föreslår att regeringen preciserar vad exploatörernas kos</w:t>
      </w:r>
      <w:r w:rsidRPr="003F63DB">
        <w:t>t</w:t>
      </w:r>
      <w:r w:rsidRPr="003F63DB">
        <w:t>nadsansvar ska omfatta och vilka ambitionsnivåer vad gäller t.ex. publ</w:t>
      </w:r>
      <w:r w:rsidRPr="003F63DB">
        <w:t>i</w:t>
      </w:r>
      <w:r w:rsidRPr="003F63DB">
        <w:t>cering och vetenskapliga analyser som faller inom ramen för exploat</w:t>
      </w:r>
      <w:r w:rsidRPr="003F63DB">
        <w:t>ö</w:t>
      </w:r>
      <w:r w:rsidRPr="003F63DB">
        <w:t>rernas kostnadsansv</w:t>
      </w:r>
      <w:r w:rsidRPr="003F63DB">
        <w:t>a</w:t>
      </w:r>
      <w:r w:rsidRPr="003F63DB">
        <w:t>r.</w:t>
      </w:r>
    </w:p>
    <w:p w:rsidR="00905B3E" w:rsidRPr="003F63DB" w:rsidRDefault="00905B3E">
      <w:pPr>
        <w:pStyle w:val="Rubrik2"/>
      </w:pPr>
      <w:bookmarkStart w:id="22" w:name="_Toc35833466"/>
      <w:bookmarkStart w:id="23" w:name="_Toc36520714"/>
      <w:r w:rsidRPr="003F63DB">
        <w:t>Kompetenskrav och auktorisation</w:t>
      </w:r>
      <w:bookmarkEnd w:id="22"/>
      <w:bookmarkEnd w:id="23"/>
    </w:p>
    <w:p w:rsidR="00905B3E" w:rsidRPr="003F63DB" w:rsidRDefault="00905B3E">
      <w:pPr>
        <w:pStyle w:val="R3"/>
      </w:pPr>
      <w:r w:rsidRPr="003F63DB">
        <w:t>Rapporten</w:t>
      </w:r>
    </w:p>
    <w:p w:rsidR="00905B3E" w:rsidRPr="003F63DB" w:rsidRDefault="00905B3E">
      <w:r w:rsidRPr="003F63DB">
        <w:t>Statsmakterna har förutsatt att de som utför arkeologiska undersökningar är väl kvalificerade för sin uppgift. Undersökare i privat regi ska kunna utses för uppdrag lika väl som de i offentlig regi. Riksantikvarieämbetet har i föreskrifter, allmänna råd och rekommendationer närmare angivit vilka krav länsstyrelserna bör ställa på de undersökande organisationernas kompetens och på de enskilda arkeologernas utbildning och tjänstg</w:t>
      </w:r>
      <w:r w:rsidRPr="003F63DB">
        <w:t>ö</w:t>
      </w:r>
      <w:r w:rsidRPr="003F63DB">
        <w:t xml:space="preserve">ring. </w:t>
      </w:r>
    </w:p>
    <w:p w:rsidR="00905B3E" w:rsidRPr="003F63DB" w:rsidRDefault="00905B3E">
      <w:pPr>
        <w:pStyle w:val="Normaltindrag"/>
      </w:pPr>
      <w:r w:rsidRPr="003F63DB">
        <w:t>Vikten av regional kompetens och behovet av reg</w:t>
      </w:r>
      <w:r w:rsidRPr="003F63DB">
        <w:t>i</w:t>
      </w:r>
      <w:r w:rsidRPr="003F63DB">
        <w:t>onal kunskaps</w:t>
      </w:r>
      <w:r w:rsidRPr="003F63DB">
        <w:softHyphen/>
        <w:t>uppbyggnad är argument som många länsstyrelser använder för att motivera sitt val av i länet verksamma undersökare. Argument om regional kompetens används också för att stänga ute nya undersökare. En undersökare verksam i ett län anses i många fall inte ha kompetens att utföra undersökningar i ett grannlän. Främst drabbar detta undersökare i privat regi. Deras möjligheter att få uppdrag avgörs av länsstyrelsernas inställning till att pröva nya alte</w:t>
      </w:r>
      <w:r w:rsidRPr="003F63DB">
        <w:t>r</w:t>
      </w:r>
      <w:r w:rsidRPr="003F63DB">
        <w:t xml:space="preserve">nativ. </w:t>
      </w:r>
    </w:p>
    <w:p w:rsidR="00905B3E" w:rsidRPr="003F63DB" w:rsidRDefault="00905B3E">
      <w:pPr>
        <w:pStyle w:val="Normaltindrag"/>
      </w:pPr>
      <w:r w:rsidRPr="003F63DB">
        <w:t>Kravet på regional kompetens för att</w:t>
      </w:r>
      <w:r w:rsidRPr="003F63DB">
        <w:t xml:space="preserve"> komma i fråga för arkeologiska up</w:t>
      </w:r>
      <w:r w:rsidRPr="003F63DB">
        <w:t>p</w:t>
      </w:r>
      <w:r w:rsidRPr="003F63DB">
        <w:t xml:space="preserve">drag i ett län strider mot det sätt på vilket arkeologisk verksamhet faktiskt bedrivs. Arkeologerna samlar i regel erfarenheter från olika undersökare, olika delar av landet samt även från utlandet. </w:t>
      </w:r>
    </w:p>
    <w:p w:rsidR="00905B3E" w:rsidRPr="003F63DB" w:rsidRDefault="00905B3E">
      <w:pPr>
        <w:pStyle w:val="Normaltindrag"/>
      </w:pPr>
      <w:r w:rsidRPr="003F63DB">
        <w:t>Revisorerna föreslog att Riksantikvarieämbetet ges i uppdrag att auktoris</w:t>
      </w:r>
      <w:r w:rsidRPr="003F63DB">
        <w:t>e</w:t>
      </w:r>
      <w:r w:rsidRPr="003F63DB">
        <w:t>ra arkeologer.</w:t>
      </w:r>
    </w:p>
    <w:p w:rsidR="00905B3E" w:rsidRPr="003F63DB" w:rsidRDefault="00905B3E">
      <w:pPr>
        <w:pStyle w:val="R3"/>
      </w:pPr>
      <w:r w:rsidRPr="003F63DB">
        <w:t>Remissinstanserna</w:t>
      </w:r>
    </w:p>
    <w:p w:rsidR="00905B3E" w:rsidRPr="003F63DB" w:rsidRDefault="00905B3E">
      <w:r w:rsidRPr="003F63DB">
        <w:rPr>
          <w:i/>
        </w:rPr>
        <w:t>Riksantikvarieämbetet</w:t>
      </w:r>
      <w:r w:rsidRPr="003F63DB">
        <w:t xml:space="preserve"> och </w:t>
      </w:r>
      <w:r w:rsidRPr="003F63DB">
        <w:rPr>
          <w:i/>
        </w:rPr>
        <w:t xml:space="preserve">Statens historiska museer </w:t>
      </w:r>
      <w:r w:rsidRPr="003F63DB">
        <w:t>är avvisande till försl</w:t>
      </w:r>
      <w:r w:rsidRPr="003F63DB">
        <w:t>a</w:t>
      </w:r>
      <w:r w:rsidRPr="003F63DB">
        <w:t xml:space="preserve">get. </w:t>
      </w:r>
      <w:r w:rsidRPr="003F63DB">
        <w:rPr>
          <w:i/>
        </w:rPr>
        <w:t>Riksantikvarieämbetet</w:t>
      </w:r>
      <w:r w:rsidRPr="003F63DB">
        <w:t xml:space="preserve"> förordar nuvarande ordning, där länsstyrelserna i varje enskilt ärende bedömer en undersökares lämplighet. </w:t>
      </w:r>
      <w:r w:rsidRPr="003F63DB">
        <w:rPr>
          <w:i/>
        </w:rPr>
        <w:t>Statens historiska museer</w:t>
      </w:r>
      <w:r w:rsidRPr="003F63DB">
        <w:t xml:space="preserve"> menar att ett auktorisationssystem skulle innebära ökade kostnader och administration. Länsstyrelserna har ändå det avgörande inflytandet över hur och av vem en undersökning ska genomföras. </w:t>
      </w:r>
    </w:p>
    <w:p w:rsidR="00905B3E" w:rsidRPr="003F63DB" w:rsidRDefault="00905B3E">
      <w:pPr>
        <w:pStyle w:val="Normaltindrag"/>
      </w:pPr>
      <w:r w:rsidRPr="003F63DB">
        <w:rPr>
          <w:i/>
        </w:rPr>
        <w:t xml:space="preserve">Länsstyrelserna i Uppsala, Gotlands </w:t>
      </w:r>
      <w:r w:rsidRPr="003F63DB">
        <w:t>och</w:t>
      </w:r>
      <w:r w:rsidRPr="003F63DB">
        <w:rPr>
          <w:i/>
        </w:rPr>
        <w:t xml:space="preserve"> Skåne län</w:t>
      </w:r>
      <w:r w:rsidRPr="003F63DB">
        <w:t xml:space="preserve"> samt </w:t>
      </w:r>
      <w:r w:rsidRPr="003F63DB">
        <w:rPr>
          <w:i/>
        </w:rPr>
        <w:t>Jönköpings läns museum</w:t>
      </w:r>
      <w:r w:rsidRPr="003F63DB">
        <w:t xml:space="preserve"> och </w:t>
      </w:r>
      <w:r w:rsidRPr="003F63DB">
        <w:rPr>
          <w:i/>
        </w:rPr>
        <w:t>Wallin kulturlandskap och arkeologi</w:t>
      </w:r>
      <w:r w:rsidRPr="003F63DB">
        <w:t xml:space="preserve"> avstyrker förslaget men har synpunkter på auktorisation om förslaget skulle genomföras. </w:t>
      </w:r>
    </w:p>
    <w:p w:rsidR="00905B3E" w:rsidRPr="003F63DB" w:rsidRDefault="00905B3E">
      <w:pPr>
        <w:pStyle w:val="Normaltindrag"/>
      </w:pPr>
      <w:r w:rsidRPr="003F63DB">
        <w:t xml:space="preserve">Flera remissinstanser förordar att frågan blir föremål för utredning. </w:t>
      </w:r>
      <w:r w:rsidRPr="003F63DB">
        <w:rPr>
          <w:i/>
        </w:rPr>
        <w:t>Ark</w:t>
      </w:r>
      <w:r w:rsidRPr="003F63DB">
        <w:rPr>
          <w:i/>
        </w:rPr>
        <w:t>e</w:t>
      </w:r>
      <w:r w:rsidRPr="003F63DB">
        <w:rPr>
          <w:i/>
        </w:rPr>
        <w:t>ologikonsult AB</w:t>
      </w:r>
      <w:r w:rsidRPr="003F63DB">
        <w:t xml:space="preserve"> påtalar att frågan om auktorisation är komplicerad och fö</w:t>
      </w:r>
      <w:r w:rsidRPr="003F63DB">
        <w:t>r</w:t>
      </w:r>
      <w:r w:rsidRPr="003F63DB">
        <w:t>ordar att den utreds utifrån ett europeiskt perspektiv. Om europeiska auktor</w:t>
      </w:r>
      <w:r w:rsidRPr="003F63DB">
        <w:t>i</w:t>
      </w:r>
      <w:r w:rsidRPr="003F63DB">
        <w:t>sationsmyndigheter ställer olika krav kan detta komma att hämma den fria rörligheten inom EU. Även</w:t>
      </w:r>
      <w:r w:rsidRPr="003F63DB">
        <w:rPr>
          <w:i/>
        </w:rPr>
        <w:t xml:space="preserve"> Länsstyrelsen i Gotlands</w:t>
      </w:r>
      <w:r w:rsidRPr="003F63DB">
        <w:t xml:space="preserve"> län anser det viktigt att utreda om ett nationellt auktorisationsförfarande strider mot EU-regler.</w:t>
      </w:r>
    </w:p>
    <w:p w:rsidR="00905B3E" w:rsidRPr="003F63DB" w:rsidRDefault="00905B3E">
      <w:pPr>
        <w:rPr>
          <w:i/>
        </w:rPr>
      </w:pPr>
      <w:r w:rsidRPr="003F63DB">
        <w:rPr>
          <w:i/>
        </w:rPr>
        <w:t>Vem ska auktoriseras och på vilka meriter?</w:t>
      </w:r>
    </w:p>
    <w:p w:rsidR="00905B3E" w:rsidRPr="003F63DB" w:rsidRDefault="00905B3E">
      <w:r w:rsidRPr="003F63DB">
        <w:t xml:space="preserve">Många remissinstanser har synpunkter på vem som ska auktoriseras och på vilka meriter en auktorisation ska utfärdas. </w:t>
      </w:r>
      <w:r w:rsidRPr="003F63DB">
        <w:rPr>
          <w:i/>
        </w:rPr>
        <w:t>Mitthögskolan</w:t>
      </w:r>
      <w:r w:rsidRPr="003F63DB">
        <w:t xml:space="preserve"> förordar att cert</w:t>
      </w:r>
      <w:r w:rsidRPr="003F63DB">
        <w:t>i</w:t>
      </w:r>
      <w:r w:rsidRPr="003F63DB">
        <w:t xml:space="preserve">fikat utfärdas till arkeologer med kompetens och erfarenhet av att leda och genomföra arkeologiska uppdrag. Även </w:t>
      </w:r>
      <w:r w:rsidRPr="003F63DB">
        <w:rPr>
          <w:i/>
        </w:rPr>
        <w:t>Angaria AB</w:t>
      </w:r>
      <w:r w:rsidRPr="003F63DB">
        <w:t xml:space="preserve"> förordar auktorisation av undersökningsledare.</w:t>
      </w:r>
      <w:r w:rsidRPr="003F63DB">
        <w:rPr>
          <w:i/>
        </w:rPr>
        <w:t xml:space="preserve"> DIK-förbundet</w:t>
      </w:r>
      <w:r w:rsidRPr="003F63DB">
        <w:t xml:space="preserve"> anser att branschen bör diskutera vilka meriter som ska ligga till grund för en auktorisation och vilka arkeol</w:t>
      </w:r>
      <w:r w:rsidRPr="003F63DB">
        <w:t>o</w:t>
      </w:r>
      <w:r w:rsidRPr="003F63DB">
        <w:t>ger som ska auktoriseras – alla arkeologer, arkeologer inom uppdragsarke</w:t>
      </w:r>
      <w:r w:rsidRPr="003F63DB">
        <w:t>o</w:t>
      </w:r>
      <w:r w:rsidRPr="003F63DB">
        <w:t>login eller endast undersökningsled</w:t>
      </w:r>
      <w:r w:rsidRPr="003F63DB">
        <w:t>a</w:t>
      </w:r>
      <w:r w:rsidRPr="003F63DB">
        <w:t>re.</w:t>
      </w:r>
    </w:p>
    <w:p w:rsidR="00905B3E" w:rsidRPr="003F63DB" w:rsidRDefault="00905B3E">
      <w:pPr>
        <w:pStyle w:val="Normaltindrag"/>
      </w:pPr>
      <w:r w:rsidRPr="003F63DB">
        <w:rPr>
          <w:i/>
        </w:rPr>
        <w:t>Umeå universitet</w:t>
      </w:r>
      <w:r w:rsidRPr="003F63DB">
        <w:t xml:space="preserve"> menar att ett auktorisationsförfarande förutsätter att det finns detaljerade kriterier och konsensus i arkeologsamhället för hur auktor</w:t>
      </w:r>
      <w:r w:rsidRPr="003F63DB">
        <w:t>i</w:t>
      </w:r>
      <w:r w:rsidRPr="003F63DB">
        <w:t xml:space="preserve">sationen ska organiseras och följas upp. En bred arkeologisk kompetens bör vara utslagsgivande för auktorisation. Regional kompetens ska tas till vara, men måste balanseras mot behovet av ett övergripande nationellt och kanske även internationellt vetenskapligt perspektiv på förhistorien. </w:t>
      </w:r>
    </w:p>
    <w:p w:rsidR="00905B3E" w:rsidRPr="003F63DB" w:rsidRDefault="00905B3E">
      <w:pPr>
        <w:pStyle w:val="Normaltindrag"/>
      </w:pPr>
      <w:r w:rsidRPr="003F63DB">
        <w:rPr>
          <w:i/>
        </w:rPr>
        <w:t>Societas Archaeologica Upsaliensis</w:t>
      </w:r>
      <w:r w:rsidRPr="003F63DB">
        <w:t xml:space="preserve"> anser att auktorisation på sikt bör kopplas till en universitetsutbildning – exempelvis en magisterexamen –förenad med praktik- eller AT-tjänst på auktoriserat grävföretag, föremå</w:t>
      </w:r>
      <w:r w:rsidRPr="003F63DB">
        <w:t>l</w:t>
      </w:r>
      <w:r w:rsidRPr="003F63DB">
        <w:t>s</w:t>
      </w:r>
      <w:r w:rsidRPr="003F63DB">
        <w:softHyphen/>
        <w:t>vårdande museum, förmedlande museum och länsstyrelse. Auktorisationen bör ses som en fråga om både utbildnings- och företagskval</w:t>
      </w:r>
      <w:r w:rsidRPr="003F63DB">
        <w:t>i</w:t>
      </w:r>
      <w:r w:rsidRPr="003F63DB">
        <w:t>tet.</w:t>
      </w:r>
    </w:p>
    <w:p w:rsidR="00905B3E" w:rsidRPr="003F63DB" w:rsidRDefault="00905B3E">
      <w:pPr>
        <w:pStyle w:val="Normaltindrag"/>
      </w:pPr>
      <w:r w:rsidRPr="003F63DB">
        <w:rPr>
          <w:i/>
        </w:rPr>
        <w:t xml:space="preserve">Länsstyrelserna i Gotlands </w:t>
      </w:r>
      <w:r w:rsidRPr="003F63DB">
        <w:t>och</w:t>
      </w:r>
      <w:r w:rsidRPr="003F63DB">
        <w:rPr>
          <w:i/>
        </w:rPr>
        <w:t xml:space="preserve"> Skåne län</w:t>
      </w:r>
      <w:r w:rsidRPr="003F63DB">
        <w:t xml:space="preserve">, </w:t>
      </w:r>
      <w:r w:rsidRPr="003F63DB">
        <w:rPr>
          <w:i/>
        </w:rPr>
        <w:t>Västergötlands museum, B</w:t>
      </w:r>
      <w:r w:rsidRPr="003F63DB">
        <w:rPr>
          <w:i/>
        </w:rPr>
        <w:t>o</w:t>
      </w:r>
      <w:r w:rsidRPr="003F63DB">
        <w:rPr>
          <w:i/>
        </w:rPr>
        <w:t>husläns museum, Jönköpings läns museum</w:t>
      </w:r>
      <w:r w:rsidRPr="003F63DB">
        <w:t xml:space="preserve"> förordar att undersökande organ</w:t>
      </w:r>
      <w:r w:rsidRPr="003F63DB">
        <w:t>i</w:t>
      </w:r>
      <w:r w:rsidRPr="003F63DB">
        <w:t xml:space="preserve">sationer auktoriseras framför enskilda personer. </w:t>
      </w:r>
      <w:r w:rsidRPr="003F63DB">
        <w:rPr>
          <w:i/>
        </w:rPr>
        <w:t>Bohusläns museum</w:t>
      </w:r>
      <w:r w:rsidRPr="003F63DB">
        <w:t xml:space="preserve"> och </w:t>
      </w:r>
      <w:r w:rsidRPr="003F63DB">
        <w:rPr>
          <w:i/>
        </w:rPr>
        <w:t>Länsstyrelsen i Västernorrlands län</w:t>
      </w:r>
      <w:r w:rsidRPr="003F63DB">
        <w:t xml:space="preserve"> bedömer att det utöver enskilda arkeol</w:t>
      </w:r>
      <w:r w:rsidRPr="003F63DB">
        <w:t>o</w:t>
      </w:r>
      <w:r w:rsidRPr="003F63DB">
        <w:t>gers skicklighet krävs att de undersökande organisationerna har kompetens att organisatoriskt och administr</w:t>
      </w:r>
      <w:r w:rsidRPr="003F63DB">
        <w:t>a</w:t>
      </w:r>
      <w:r w:rsidRPr="003F63DB">
        <w:t>tivt hantera undersökningar.</w:t>
      </w:r>
    </w:p>
    <w:p w:rsidR="00905B3E" w:rsidRPr="003F63DB" w:rsidRDefault="00905B3E">
      <w:pPr>
        <w:pStyle w:val="Normaltindrag"/>
      </w:pPr>
      <w:r w:rsidRPr="003F63DB">
        <w:rPr>
          <w:i/>
        </w:rPr>
        <w:t>Länsstyrelsen i Uppsala län</w:t>
      </w:r>
      <w:r w:rsidRPr="003F63DB">
        <w:t xml:space="preserve"> anser att Riksantikvarieämbetet kan få i up</w:t>
      </w:r>
      <w:r w:rsidRPr="003F63DB">
        <w:t>p</w:t>
      </w:r>
      <w:r w:rsidRPr="003F63DB">
        <w:t>drag att auktorisera arkeologiföretag. De institutionsanknutna undersökarna ska själva fastställa krav för deltagande i undersö</w:t>
      </w:r>
      <w:r w:rsidRPr="003F63DB">
        <w:t>k</w:t>
      </w:r>
      <w:r w:rsidRPr="003F63DB">
        <w:t>ningarna.</w:t>
      </w:r>
    </w:p>
    <w:p w:rsidR="00905B3E" w:rsidRPr="003F63DB" w:rsidRDefault="00905B3E">
      <w:pPr>
        <w:pStyle w:val="Normaltindrag"/>
      </w:pPr>
      <w:r w:rsidRPr="003F63DB">
        <w:t xml:space="preserve">En remissinstans påtalar också att en auktorisation inte är statisk. </w:t>
      </w:r>
      <w:r w:rsidRPr="003F63DB">
        <w:rPr>
          <w:i/>
        </w:rPr>
        <w:t>Svenska Arkeologiska Samfundet</w:t>
      </w:r>
      <w:r w:rsidRPr="003F63DB">
        <w:t xml:space="preserve"> menar att en utfärdad auktorisation kan behöva omprövas allt eftersom arkeologin utvecklas vetenskapligt, tekniskt och applikationsmä</w:t>
      </w:r>
      <w:r w:rsidRPr="003F63DB">
        <w:t>s</w:t>
      </w:r>
      <w:r w:rsidRPr="003F63DB">
        <w:t>sigt.</w:t>
      </w:r>
    </w:p>
    <w:p w:rsidR="00905B3E" w:rsidRPr="003F63DB" w:rsidRDefault="00905B3E">
      <w:pPr>
        <w:rPr>
          <w:i/>
        </w:rPr>
      </w:pPr>
      <w:r w:rsidRPr="003F63DB">
        <w:rPr>
          <w:i/>
        </w:rPr>
        <w:br w:type="page"/>
        <w:t>Vem ska utfärda auktorisationen?</w:t>
      </w:r>
    </w:p>
    <w:p w:rsidR="00905B3E" w:rsidRPr="003F63DB" w:rsidRDefault="00905B3E">
      <w:r w:rsidRPr="003F63DB">
        <w:t xml:space="preserve">Flera remissinstanser framför synpunkter på vem eller vilka som ska utfärda en auktorisation. </w:t>
      </w:r>
      <w:r w:rsidRPr="003F63DB">
        <w:rPr>
          <w:i/>
        </w:rPr>
        <w:t>Länsstyrelsen i Kronobergs län, Umeå universitet, Mitthö</w:t>
      </w:r>
      <w:r w:rsidRPr="003F63DB">
        <w:rPr>
          <w:i/>
        </w:rPr>
        <w:t>g</w:t>
      </w:r>
      <w:r w:rsidRPr="003F63DB">
        <w:rPr>
          <w:i/>
        </w:rPr>
        <w:t xml:space="preserve">skolan </w:t>
      </w:r>
      <w:r w:rsidRPr="003F63DB">
        <w:t xml:space="preserve">och </w:t>
      </w:r>
      <w:r w:rsidRPr="003F63DB">
        <w:rPr>
          <w:i/>
        </w:rPr>
        <w:t>Wallin kulturlandskap och arkeologi</w:t>
      </w:r>
      <w:r w:rsidRPr="003F63DB">
        <w:t xml:space="preserve"> ifrågasätter om Riksantikv</w:t>
      </w:r>
      <w:r w:rsidRPr="003F63DB">
        <w:t>a</w:t>
      </w:r>
      <w:r w:rsidRPr="003F63DB">
        <w:t xml:space="preserve">rieämbetet har kompetens och förtroende för att utfärda auktorisation. </w:t>
      </w:r>
      <w:r w:rsidRPr="003F63DB">
        <w:rPr>
          <w:i/>
        </w:rPr>
        <w:t>Wallin</w:t>
      </w:r>
      <w:r w:rsidRPr="003F63DB">
        <w:t xml:space="preserve"> framhåller som argument att Riksantikvarieämbetet har en skeptisk instäl</w:t>
      </w:r>
      <w:r w:rsidRPr="003F63DB">
        <w:t>l</w:t>
      </w:r>
      <w:r w:rsidRPr="003F63DB">
        <w:t xml:space="preserve">ning till privata undersökare. </w:t>
      </w:r>
    </w:p>
    <w:p w:rsidR="00905B3E" w:rsidRPr="003F63DB" w:rsidRDefault="00905B3E">
      <w:pPr>
        <w:pStyle w:val="Normaltindrag"/>
      </w:pPr>
      <w:r w:rsidRPr="003F63DB">
        <w:rPr>
          <w:i/>
        </w:rPr>
        <w:t xml:space="preserve">Föreningen Sveriges länsantikvarier </w:t>
      </w:r>
      <w:r w:rsidRPr="003F63DB">
        <w:t>anser att Riksantikvarieämbetet och länsstyrelserna gemensamt bör stå för ett auktorisationsförfarande.</w:t>
      </w:r>
    </w:p>
    <w:p w:rsidR="00905B3E" w:rsidRPr="003F63DB" w:rsidRDefault="00905B3E">
      <w:pPr>
        <w:pStyle w:val="Normaltindrag"/>
      </w:pPr>
      <w:r w:rsidRPr="003F63DB">
        <w:rPr>
          <w:i/>
        </w:rPr>
        <w:t>Länsstyrelsen i Kronobergs län</w:t>
      </w:r>
      <w:r w:rsidRPr="003F63DB">
        <w:t xml:space="preserve"> förordar en framtida branschorganisation för en sådan auktorisationsuppgift. </w:t>
      </w:r>
      <w:r w:rsidRPr="003F63DB">
        <w:rPr>
          <w:i/>
        </w:rPr>
        <w:t>Mitthögskolan</w:t>
      </w:r>
      <w:r w:rsidRPr="003F63DB">
        <w:t xml:space="preserve"> förordar att en certifi</w:t>
      </w:r>
      <w:r w:rsidRPr="003F63DB">
        <w:t>e</w:t>
      </w:r>
      <w:r w:rsidRPr="003F63DB">
        <w:t>ringsgrupp utses med representanter från universitet och högskolor, Riksa</w:t>
      </w:r>
      <w:r w:rsidRPr="003F63DB">
        <w:t>n</w:t>
      </w:r>
      <w:r w:rsidRPr="003F63DB">
        <w:t xml:space="preserve">tikvarieämbetet, länsmuseer och privata företag. Även </w:t>
      </w:r>
      <w:r w:rsidRPr="003F63DB">
        <w:rPr>
          <w:i/>
        </w:rPr>
        <w:t>Angaria AB</w:t>
      </w:r>
      <w:r w:rsidRPr="003F63DB">
        <w:t xml:space="preserve"> menar att auktorisationen bör utfärdas av företrädare för samtliga aktörer.</w:t>
      </w:r>
    </w:p>
    <w:p w:rsidR="00905B3E" w:rsidRPr="003F63DB" w:rsidRDefault="00905B3E">
      <w:pPr>
        <w:pStyle w:val="R3"/>
      </w:pPr>
      <w:r w:rsidRPr="003F63DB">
        <w:t>Revisorerna</w:t>
      </w:r>
    </w:p>
    <w:p w:rsidR="00905B3E" w:rsidRPr="003F63DB" w:rsidRDefault="00905B3E">
      <w:r w:rsidRPr="003F63DB">
        <w:t>Det måste ställas höga krav på dem som ges förtroendet att dokumentera och tolka ett historiskt arv. Enligt nuvarande regler ska länsstyrelserna inför arkeologiska uppdrag pröva den undersökande organisationens kompetens med hjälp av Riksantikvarieämbetets riktlinjer. Länsstyrelsernas synsätt och rutiner för handläggning av arkeologiärenden varierar. Revisorerna har gjort flera iakttagelser som indikerar att även prövningen av undersökarnas och de deltagande arkeologernas kompetens varierar. I granskningen</w:t>
      </w:r>
      <w:r w:rsidRPr="003F63DB">
        <w:t xml:space="preserve"> har framko</w:t>
      </w:r>
      <w:r w:rsidRPr="003F63DB">
        <w:t>m</w:t>
      </w:r>
      <w:r w:rsidRPr="003F63DB">
        <w:t>mit att undersökare utses slentrianmässigt och att valet av undersökare inte alltid motiveras. Undersökare som har ansetts vara kompetenta och lämpliga av några länsstyrelser har av andra bedömts vara olämpliga. Kraven på s.k. regional kompetens tycks ofta överskugga andra meriter. Revisorerna menar att regional kompetens är ett trubbigt och alltför snävt kompetenskrav för att antingen välja eller diskvalificera arkeologer och undersökare för uppdrag. Det finns därför skäl att klargöra vilka kra</w:t>
      </w:r>
      <w:r w:rsidRPr="003F63DB">
        <w:t>v som bör ställas på arkeologer och på de undersökande organisatione</w:t>
      </w:r>
      <w:r w:rsidRPr="003F63DB">
        <w:t>r</w:t>
      </w:r>
      <w:r w:rsidRPr="003F63DB">
        <w:t xml:space="preserve">na. </w:t>
      </w:r>
    </w:p>
    <w:p w:rsidR="00905B3E" w:rsidRPr="003F63DB" w:rsidRDefault="00905B3E">
      <w:pPr>
        <w:pStyle w:val="Normaltindrag"/>
      </w:pPr>
      <w:r w:rsidRPr="003F63DB">
        <w:t>Remissinstanserna har framfört många synpunkter och idéer med anle</w:t>
      </w:r>
      <w:r w:rsidRPr="003F63DB">
        <w:t>d</w:t>
      </w:r>
      <w:r w:rsidRPr="003F63DB">
        <w:t>ning av revisorernas förslag att auktorisera arkeologer. Diskussionen rör vilka arkeologer som ska auktoriseras och om det är enskilda personer, u</w:t>
      </w:r>
      <w:r w:rsidRPr="003F63DB">
        <w:t>n</w:t>
      </w:r>
      <w:r w:rsidRPr="003F63DB">
        <w:t>dersökande organisationer eller endast privata arkeologiföretag som ska auktoriseras. Det handlar också om vilka krav som ska ställas samt vem eller vilka som är bäst lämpade att utfärda auktorisationen. Riksantikvarieämb</w:t>
      </w:r>
      <w:r w:rsidRPr="003F63DB">
        <w:t>e</w:t>
      </w:r>
      <w:r w:rsidRPr="003F63DB">
        <w:t>tets kompetens och lämplighet för uppgiften ifrågasätts. Ett branschgeme</w:t>
      </w:r>
      <w:r w:rsidRPr="003F63DB">
        <w:t>n</w:t>
      </w:r>
      <w:r w:rsidRPr="003F63DB">
        <w:t>samt organ för auktorisation förordas i några fall. Ett par instanser</w:t>
      </w:r>
      <w:r w:rsidRPr="003F63DB">
        <w:t xml:space="preserve"> har pekat på svårigheter med nationell auktorisation och föreslår att frågan utreds utifrån ett europeiskt perspektiv. </w:t>
      </w:r>
    </w:p>
    <w:p w:rsidR="00905B3E" w:rsidRPr="003F63DB" w:rsidRDefault="00905B3E">
      <w:pPr>
        <w:pStyle w:val="Normaltindrag"/>
      </w:pPr>
      <w:r w:rsidRPr="003F63DB">
        <w:t>Enligt revisorernas mening behöver frågan om auktorisation därför utredas närmare. Frågor som bör klargöras är bl.a. vem som ska auktoriseras, vilka krav på utbildning, erfarenhet och lämplighet som eftersträvas, sammansät</w:t>
      </w:r>
      <w:r w:rsidRPr="003F63DB">
        <w:t>t</w:t>
      </w:r>
      <w:r w:rsidRPr="003F63DB">
        <w:t>ning på och befogenheter för det organ som utfärdar auktorisationen samt hur ett auktorisationsförfarande ska finansieras.</w:t>
      </w:r>
    </w:p>
    <w:p w:rsidR="00905B3E" w:rsidRPr="003F63DB" w:rsidRDefault="00905B3E">
      <w:pPr>
        <w:pStyle w:val="Normaltindrag"/>
      </w:pPr>
    </w:p>
    <w:p w:rsidR="00905B3E" w:rsidRPr="003F63DB" w:rsidRDefault="00905B3E">
      <w:pPr>
        <w:pStyle w:val="Normaltindrag"/>
        <w:numPr>
          <w:ilvl w:val="0"/>
          <w:numId w:val="34"/>
        </w:numPr>
      </w:pPr>
      <w:r w:rsidRPr="003F63DB">
        <w:t xml:space="preserve">Revisorerna föreslår att regeringen utreder frågan om auktorisation av arkeologer. </w:t>
      </w:r>
    </w:p>
    <w:p w:rsidR="00905B3E" w:rsidRPr="003F63DB" w:rsidRDefault="00905B3E">
      <w:pPr>
        <w:pStyle w:val="Rubrik1"/>
      </w:pPr>
      <w:r w:rsidRPr="003F63DB">
        <w:br w:type="page"/>
      </w:r>
      <w:bookmarkStart w:id="24" w:name="_Toc35833467"/>
      <w:bookmarkStart w:id="25" w:name="_Toc36520715"/>
      <w:r w:rsidRPr="003F63DB">
        <w:t>Revisorernas förslag</w:t>
      </w:r>
      <w:bookmarkEnd w:id="24"/>
      <w:bookmarkEnd w:id="25"/>
    </w:p>
    <w:p w:rsidR="00905B3E" w:rsidRPr="003F63DB" w:rsidRDefault="00905B3E">
      <w:r w:rsidRPr="003F63DB">
        <w:t>Med hänvisning till de motiveringar som framförts under revisorernas öve</w:t>
      </w:r>
      <w:r w:rsidRPr="003F63DB">
        <w:t>r</w:t>
      </w:r>
      <w:r w:rsidRPr="003F63DB">
        <w:t>väganden föreslår Riksdagens revisorer att riksdagen fattar följande beslut:</w:t>
      </w:r>
    </w:p>
    <w:p w:rsidR="00905B3E" w:rsidRPr="003F63DB" w:rsidRDefault="00905B3E">
      <w:pPr>
        <w:pStyle w:val="R3"/>
      </w:pPr>
      <w:r w:rsidRPr="003F63DB">
        <w:t>Riksantikvarieämbetets uppgifter</w:t>
      </w:r>
    </w:p>
    <w:p w:rsidR="00905B3E" w:rsidRPr="003F63DB" w:rsidRDefault="00905B3E">
      <w:r w:rsidRPr="003F63DB">
        <w:t>Riksdagen tillkännager för regeringen som sin mening vad revisorerna anfört i avsnitt 2.1 om Riksantikvarieämbetets uppgifter.</w:t>
      </w:r>
    </w:p>
    <w:p w:rsidR="00905B3E" w:rsidRPr="003F63DB" w:rsidRDefault="00905B3E">
      <w:pPr>
        <w:pStyle w:val="R3"/>
      </w:pPr>
      <w:r w:rsidRPr="003F63DB">
        <w:t>Staten som beställare av arkeologi</w:t>
      </w:r>
    </w:p>
    <w:p w:rsidR="00905B3E" w:rsidRPr="003F63DB" w:rsidRDefault="00905B3E">
      <w:r w:rsidRPr="003F63DB">
        <w:t>Riksdagen tillkännager för regeringen som sin mening vad revisorerna anfört i avsnitt 2.2 om staten som beställare av arkeologi.</w:t>
      </w:r>
    </w:p>
    <w:p w:rsidR="00905B3E" w:rsidRPr="003F63DB" w:rsidRDefault="00905B3E">
      <w:pPr>
        <w:pStyle w:val="R3"/>
      </w:pPr>
      <w:r w:rsidRPr="003F63DB">
        <w:t>Konkurrens och insyn</w:t>
      </w:r>
    </w:p>
    <w:p w:rsidR="00905B3E" w:rsidRPr="003F63DB" w:rsidRDefault="00905B3E">
      <w:r w:rsidRPr="003F63DB">
        <w:t>Riksdagen tillkännager för regeringen som sin mening vad revisorerna anfört i avsnitt 2.3 om konkurrens och insyn.</w:t>
      </w:r>
    </w:p>
    <w:p w:rsidR="00905B3E" w:rsidRPr="003F63DB" w:rsidRDefault="00905B3E">
      <w:pPr>
        <w:pStyle w:val="R3"/>
      </w:pPr>
      <w:r w:rsidRPr="003F63DB">
        <w:t>Kostnader för uppdragsarkeologi</w:t>
      </w:r>
    </w:p>
    <w:p w:rsidR="00905B3E" w:rsidRPr="003F63DB" w:rsidRDefault="00905B3E">
      <w:r w:rsidRPr="003F63DB">
        <w:t>Riksdagen tillkännager för regeringen som sin mening vad revisorerna anfört i avsnitt 2.4 om kostnader för uppdragsarkeologi.</w:t>
      </w:r>
    </w:p>
    <w:p w:rsidR="00905B3E" w:rsidRPr="003F63DB" w:rsidRDefault="00905B3E">
      <w:pPr>
        <w:pStyle w:val="R3"/>
      </w:pPr>
      <w:r w:rsidRPr="003F63DB">
        <w:t>Kompetenskrav och auktorisation</w:t>
      </w:r>
    </w:p>
    <w:p w:rsidR="00905B3E" w:rsidRPr="003F63DB" w:rsidRDefault="00905B3E">
      <w:r w:rsidRPr="003F63DB">
        <w:t>Riksdagen tillkännager för regeringen som sin mening vad revisorerna anfört i avsnitt 2.5 om kompetenskrav och auktorisation.</w:t>
      </w:r>
    </w:p>
    <w:p w:rsidR="00905B3E" w:rsidRPr="003F63DB" w:rsidRDefault="00905B3E"/>
    <w:p w:rsidR="00905B3E" w:rsidRPr="003F63DB" w:rsidRDefault="00905B3E">
      <w:pPr>
        <w:spacing w:before="0"/>
      </w:pPr>
      <w:r w:rsidRPr="003F63DB">
        <w:t xml:space="preserve">Detta ärende har avgjorts av revisorerna i plenum. I beslutet har deltagit revisorerna </w:t>
      </w:r>
      <w:r w:rsidRPr="003F63DB">
        <w:rPr>
          <w:snapToGrid w:val="0"/>
          <w:lang w:eastAsia="sv-SE"/>
        </w:rPr>
        <w:t>Ingemar Josefsson (s), Anders G Högmark (m), Per Rosengren (v), Anita Jönsson (s), Gunnar Andrén (fp), Agneta Lundberg (s), Kenneth Lantz (kd), Bengt Silfverstrand (s), Conny Öhman (s), Ann-Marie Fage</w:t>
      </w:r>
      <w:r w:rsidRPr="003F63DB">
        <w:rPr>
          <w:snapToGrid w:val="0"/>
          <w:lang w:eastAsia="sv-SE"/>
        </w:rPr>
        <w:t>r</w:t>
      </w:r>
      <w:r w:rsidRPr="003F63DB">
        <w:rPr>
          <w:snapToGrid w:val="0"/>
          <w:lang w:eastAsia="sv-SE"/>
        </w:rPr>
        <w:t>ström (s) och Lennart Hedquist (m).</w:t>
      </w:r>
    </w:p>
    <w:p w:rsidR="00905B3E" w:rsidRPr="003F63DB" w:rsidRDefault="00905B3E">
      <w:pPr>
        <w:spacing w:before="0"/>
      </w:pPr>
    </w:p>
    <w:p w:rsidR="00905B3E" w:rsidRPr="003F63DB" w:rsidRDefault="00905B3E">
      <w:pPr>
        <w:spacing w:before="0"/>
      </w:pPr>
      <w:r w:rsidRPr="003F63DB">
        <w:t>Vid ärendets slutliga handläggning har vidare närvarit kanslichefen Åke Dahlberg, utredningschefen Karin Brunsson och revisionsdirektören Annika Gustafsson (föredragande).</w:t>
      </w:r>
    </w:p>
    <w:p w:rsidR="00905B3E" w:rsidRPr="003F63DB" w:rsidRDefault="00905B3E">
      <w:r w:rsidRPr="003F63DB">
        <w:t>Stockholm den 27 mars 2003</w:t>
      </w:r>
    </w:p>
    <w:p w:rsidR="00905B3E" w:rsidRPr="003F63DB" w:rsidRDefault="00905B3E">
      <w:pPr>
        <w:pStyle w:val="Innehll1"/>
        <w:rPr>
          <w:noProof w:val="0"/>
        </w:rPr>
      </w:pPr>
      <w:r w:rsidRPr="003F63DB">
        <w:rPr>
          <w:noProof w:val="0"/>
        </w:rPr>
        <w:t>På Riksdagens revisorers vägnar</w:t>
      </w:r>
    </w:p>
    <w:p w:rsidR="00905B3E" w:rsidRPr="003F63DB" w:rsidRDefault="00905B3E">
      <w:pPr>
        <w:pStyle w:val="Normaltindrag"/>
      </w:pPr>
    </w:p>
    <w:p w:rsidR="00905B3E" w:rsidRPr="003F63DB" w:rsidRDefault="00905B3E">
      <w:pPr>
        <w:pStyle w:val="Normaltindrag"/>
      </w:pPr>
    </w:p>
    <w:p w:rsidR="00905B3E" w:rsidRPr="003F63DB" w:rsidRDefault="00905B3E">
      <w:pPr>
        <w:rPr>
          <w:i/>
          <w:sz w:val="20"/>
        </w:rPr>
      </w:pPr>
      <w:r w:rsidRPr="003F63DB">
        <w:rPr>
          <w:i/>
          <w:sz w:val="20"/>
        </w:rPr>
        <w:t>Ingemar Josefsson</w:t>
      </w:r>
    </w:p>
    <w:p w:rsidR="00905B3E" w:rsidRPr="003F63DB" w:rsidRDefault="00905B3E">
      <w:pPr>
        <w:rPr>
          <w:i/>
          <w:sz w:val="20"/>
        </w:rPr>
      </w:pPr>
      <w:r w:rsidRPr="003F63DB">
        <w:rPr>
          <w:i/>
          <w:sz w:val="20"/>
        </w:rPr>
        <w:tab/>
      </w:r>
      <w:r w:rsidRPr="003F63DB">
        <w:rPr>
          <w:i/>
          <w:sz w:val="20"/>
        </w:rPr>
        <w:tab/>
      </w:r>
      <w:r w:rsidRPr="003F63DB">
        <w:rPr>
          <w:i/>
          <w:sz w:val="20"/>
        </w:rPr>
        <w:tab/>
        <w:t>Annika Gustafsson</w:t>
      </w:r>
    </w:p>
    <w:p w:rsidR="00905B3E" w:rsidRPr="003F63DB" w:rsidRDefault="00905B3E">
      <w:pPr>
        <w:pStyle w:val="Normaltindrag"/>
        <w:ind w:firstLine="0"/>
        <w:sectPr w:rsidR="00000000" w:rsidRPr="003F63DB">
          <w:headerReference w:type="default" r:id="rId8"/>
          <w:footerReference w:type="default" r:id="rId9"/>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3F63DB">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905B3E" w:rsidRPr="003F63DB" w:rsidRDefault="00905B3E">
            <w:pPr>
              <w:pStyle w:val="HuvudRubrik"/>
            </w:pPr>
            <w:r w:rsidRPr="003F63DB">
              <w:t xml:space="preserve">Rapport </w:t>
            </w:r>
            <w:bookmarkStart w:id="26" w:name="BetänkandeNr"/>
            <w:bookmarkEnd w:id="26"/>
            <w:r w:rsidRPr="003F63DB">
              <w:t>2002/03:3</w:t>
            </w:r>
          </w:p>
        </w:tc>
        <w:tc>
          <w:tcPr>
            <w:tcW w:w="2126" w:type="dxa"/>
            <w:gridSpan w:val="2"/>
            <w:tcBorders>
              <w:bottom w:val="single" w:sz="6" w:space="0" w:color="auto"/>
            </w:tcBorders>
          </w:tcPr>
          <w:p w:rsidR="00905B3E" w:rsidRPr="003F63DB" w:rsidRDefault="003F63DB">
            <w:pPr>
              <w:spacing w:before="0" w:line="240" w:lineRule="auto"/>
              <w:jc w:val="center"/>
            </w:pPr>
            <w:r w:rsidRPr="003F63DB">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3F63DB">
        <w:tblPrEx>
          <w:tblCellMar>
            <w:top w:w="0" w:type="dxa"/>
            <w:bottom w:w="0" w:type="dxa"/>
          </w:tblCellMar>
        </w:tblPrEx>
        <w:trPr>
          <w:gridAfter w:val="1"/>
          <w:wAfter w:w="851" w:type="dxa"/>
          <w:cantSplit/>
          <w:trHeight w:hRule="exact" w:val="660"/>
        </w:trPr>
        <w:tc>
          <w:tcPr>
            <w:tcW w:w="3012" w:type="dxa"/>
          </w:tcPr>
          <w:p w:rsidR="00905B3E" w:rsidRPr="003F63DB" w:rsidRDefault="00905B3E">
            <w:pPr>
              <w:pStyle w:val="StatusSida1"/>
            </w:pPr>
            <w:r w:rsidRPr="003F63DB">
              <w:t xml:space="preserve"> </w:t>
            </w:r>
          </w:p>
        </w:tc>
        <w:tc>
          <w:tcPr>
            <w:tcW w:w="2445" w:type="dxa"/>
            <w:gridSpan w:val="2"/>
          </w:tcPr>
          <w:p w:rsidR="00905B3E" w:rsidRPr="003F63DB" w:rsidRDefault="00905B3E">
            <w:pPr>
              <w:pStyle w:val="UtskriftsdatumSida1"/>
              <w:rPr>
                <w:b/>
                <w:sz w:val="28"/>
              </w:rPr>
            </w:pPr>
          </w:p>
        </w:tc>
        <w:tc>
          <w:tcPr>
            <w:tcW w:w="992" w:type="dxa"/>
          </w:tcPr>
          <w:p w:rsidR="00905B3E" w:rsidRPr="003F63DB" w:rsidRDefault="00905B3E"/>
        </w:tc>
      </w:tr>
      <w:tr w:rsidR="00000000" w:rsidRPr="003F63DB">
        <w:tblPrEx>
          <w:tblCellMar>
            <w:top w:w="0" w:type="dxa"/>
            <w:bottom w:w="0" w:type="dxa"/>
          </w:tblCellMar>
        </w:tblPrEx>
        <w:trPr>
          <w:gridAfter w:val="1"/>
          <w:wAfter w:w="851" w:type="dxa"/>
          <w:cantSplit/>
        </w:trPr>
        <w:tc>
          <w:tcPr>
            <w:tcW w:w="6449" w:type="dxa"/>
            <w:gridSpan w:val="4"/>
          </w:tcPr>
          <w:p w:rsidR="00905B3E" w:rsidRPr="003F63DB" w:rsidRDefault="00905B3E">
            <w:pPr>
              <w:spacing w:before="240"/>
            </w:pPr>
          </w:p>
        </w:tc>
      </w:tr>
      <w:tr w:rsidR="00000000" w:rsidRPr="003F63DB">
        <w:tblPrEx>
          <w:tblCellMar>
            <w:top w:w="0" w:type="dxa"/>
            <w:bottom w:w="0" w:type="dxa"/>
          </w:tblCellMar>
        </w:tblPrEx>
        <w:trPr>
          <w:gridAfter w:val="1"/>
          <w:wAfter w:w="851" w:type="dxa"/>
          <w:cantSplit/>
          <w:trHeight w:val="6000"/>
        </w:trPr>
        <w:tc>
          <w:tcPr>
            <w:tcW w:w="6449" w:type="dxa"/>
            <w:gridSpan w:val="4"/>
          </w:tcPr>
          <w:p w:rsidR="00905B3E" w:rsidRPr="003F63DB" w:rsidRDefault="00905B3E">
            <w:pPr>
              <w:pStyle w:val="RubrikFrstaSida"/>
              <w:ind w:left="0" w:firstLine="0"/>
            </w:pPr>
            <w:bookmarkStart w:id="27" w:name="Mittenrubrik"/>
            <w:bookmarkEnd w:id="27"/>
            <w:r w:rsidRPr="003F63DB">
              <w:t>Arkeologi på uppdrag</w:t>
            </w:r>
          </w:p>
          <w:p w:rsidR="00905B3E" w:rsidRPr="003F63DB" w:rsidRDefault="00905B3E">
            <w:pPr>
              <w:pStyle w:val="RubrikFrstaSida"/>
              <w:ind w:left="0" w:firstLine="0"/>
              <w:rPr>
                <w:i/>
                <w:sz w:val="40"/>
              </w:rPr>
            </w:pPr>
          </w:p>
        </w:tc>
      </w:tr>
      <w:tr w:rsidR="00000000" w:rsidRPr="003F63DB">
        <w:tblPrEx>
          <w:tblCellMar>
            <w:top w:w="0" w:type="dxa"/>
            <w:bottom w:w="0" w:type="dxa"/>
          </w:tblCellMar>
        </w:tblPrEx>
        <w:trPr>
          <w:cantSplit/>
          <w:trHeight w:val="480"/>
        </w:trPr>
        <w:tc>
          <w:tcPr>
            <w:tcW w:w="7300" w:type="dxa"/>
            <w:gridSpan w:val="5"/>
          </w:tcPr>
          <w:p w:rsidR="00905B3E" w:rsidRPr="003F63DB" w:rsidRDefault="00905B3E">
            <w:pPr>
              <w:pStyle w:val="Sidfot"/>
              <w:spacing w:before="1560" w:line="240" w:lineRule="auto"/>
              <w:jc w:val="left"/>
              <w:rPr>
                <w:rFonts w:ascii="GillSans Light" w:hAnsi="GillSans Light"/>
                <w:caps/>
                <w:spacing w:val="10"/>
                <w:sz w:val="17"/>
              </w:rPr>
            </w:pPr>
            <w:r w:rsidRPr="003F63DB">
              <w:rPr>
                <w:rFonts w:ascii="GillSans Light" w:hAnsi="GillSans Light"/>
                <w:caps/>
                <w:spacing w:val="10"/>
                <w:sz w:val="17"/>
              </w:rPr>
              <w:t>Riksdagens revisorer · 100 12 STOCKHOLM · TEL 08-786 40 00 · fax 08-786 61 88</w:t>
            </w:r>
          </w:p>
          <w:p w:rsidR="00905B3E" w:rsidRPr="003F63DB" w:rsidRDefault="00905B3E">
            <w:pPr>
              <w:spacing w:before="0" w:line="240" w:lineRule="auto"/>
              <w:rPr>
                <w:rFonts w:ascii="GillSans Light" w:hAnsi="GillSans Light"/>
                <w:spacing w:val="10"/>
                <w:sz w:val="20"/>
              </w:rPr>
            </w:pPr>
            <w:r w:rsidRPr="003F63DB">
              <w:t>www.riksdagen.se/rr</w:t>
            </w:r>
          </w:p>
        </w:tc>
      </w:tr>
    </w:tbl>
    <w:p w:rsidR="00905B3E" w:rsidRPr="003F63DB" w:rsidRDefault="00905B3E">
      <w:pPr>
        <w:pStyle w:val="Rubrik1-Utannumrering"/>
        <w:sectPr w:rsidR="00000000" w:rsidRPr="003F63DB">
          <w:headerReference w:type="default" r:id="rId11"/>
          <w:footerReference w:type="default" r:id="rId12"/>
          <w:type w:val="oddPage"/>
          <w:pgSz w:w="11906" w:h="16838" w:code="9"/>
          <w:pgMar w:top="567" w:right="4876" w:bottom="4508" w:left="1134" w:header="227" w:footer="227" w:gutter="0"/>
          <w:cols w:space="720"/>
        </w:sectPr>
      </w:pPr>
      <w:bookmarkStart w:id="28" w:name="_Toc25031887"/>
    </w:p>
    <w:p w:rsidR="00905B3E" w:rsidRPr="003F63DB" w:rsidRDefault="00905B3E">
      <w:pPr>
        <w:pStyle w:val="Rubrik1-Utannumrering"/>
      </w:pPr>
      <w:bookmarkStart w:id="29" w:name="_Toc25031889"/>
      <w:bookmarkStart w:id="30" w:name="_Toc36520716"/>
      <w:bookmarkEnd w:id="28"/>
      <w:r w:rsidRPr="003F63DB">
        <w:t>Förord</w:t>
      </w:r>
      <w:bookmarkEnd w:id="30"/>
    </w:p>
    <w:p w:rsidR="00905B3E" w:rsidRPr="003F63DB" w:rsidRDefault="00905B3E">
      <w:r w:rsidRPr="003F63DB">
        <w:t>Riksdagens revisorer har på eget initiativ granskat uppdragsarkeologi – ark</w:t>
      </w:r>
      <w:r w:rsidRPr="003F63DB">
        <w:t>e</w:t>
      </w:r>
      <w:r w:rsidRPr="003F63DB">
        <w:t>ologiska utredningar och undersökningar som exploatörer ska bekosta vid markexploatering. Rapporten är ett delprojekt i en större granskning b</w:t>
      </w:r>
      <w:r w:rsidRPr="003F63DB">
        <w:t>e</w:t>
      </w:r>
      <w:r w:rsidRPr="003F63DB">
        <w:t xml:space="preserve">nämnd </w:t>
      </w:r>
      <w:r w:rsidRPr="003F63DB">
        <w:rPr>
          <w:i/>
        </w:rPr>
        <w:t>Myndigheter på marknaden</w:t>
      </w:r>
      <w:r w:rsidRPr="003F63DB">
        <w:t xml:space="preserve"> (förstudie 2001/02:9). </w:t>
      </w:r>
    </w:p>
    <w:p w:rsidR="00905B3E" w:rsidRPr="003F63DB" w:rsidRDefault="00905B3E">
      <w:pPr>
        <w:pStyle w:val="Normaltindrag"/>
      </w:pPr>
      <w:r w:rsidRPr="003F63DB">
        <w:t>Granskningen omfattar organisationen för uppdragsarkeologi, konkurren</w:t>
      </w:r>
      <w:r w:rsidRPr="003F63DB">
        <w:t>s</w:t>
      </w:r>
      <w:r w:rsidRPr="003F63DB">
        <w:t>villkoren för uppdragsarkeologi och länsstyrelsernas val av undersökare samt Riksantikvarieämbetets verksamhet – både som myndighetsutövare och som dominerande undersökare. Forskning och användningen av resultaten berörs i rapporten, men har inte granskats närmare. Revisorerna har tidigare b</w:t>
      </w:r>
      <w:r w:rsidRPr="003F63DB">
        <w:t>e</w:t>
      </w:r>
      <w:r w:rsidRPr="003F63DB">
        <w:t>handlat uppdragsarkeologi vid ett informationsbesök vid Riksantikvarieä</w:t>
      </w:r>
      <w:r w:rsidRPr="003F63DB">
        <w:t>m</w:t>
      </w:r>
      <w:r w:rsidRPr="003F63DB">
        <w:t>betet (informationsrapport 1999/2000:3).</w:t>
      </w:r>
    </w:p>
    <w:p w:rsidR="00905B3E" w:rsidRPr="003F63DB" w:rsidRDefault="00905B3E">
      <w:pPr>
        <w:pStyle w:val="Normaltindrag"/>
      </w:pPr>
      <w:r w:rsidRPr="003F63DB">
        <w:t>Underlag till granskningen har hämtats in genom intervjuer och dokumen</w:t>
      </w:r>
      <w:r w:rsidRPr="003F63DB">
        <w:t>t</w:t>
      </w:r>
      <w:r w:rsidRPr="003F63DB">
        <w:t>studier. Intervjuer har gjorts med företrädare för bl.a. Riksantikvarieämbetet, länsstyrelser, statliga exploatörer, universitet, arkeologiska undersökare, Kulturdepartementet, Konkurrensverket och Nämnden för offentlig up</w:t>
      </w:r>
      <w:r w:rsidRPr="003F63DB">
        <w:t>p</w:t>
      </w:r>
      <w:r w:rsidRPr="003F63DB">
        <w:t>handling. Riksantikvarieämbetets statistik, uppföljnings</w:t>
      </w:r>
      <w:r w:rsidRPr="003F63DB">
        <w:softHyphen/>
        <w:t>rapporter och my</w:t>
      </w:r>
      <w:r w:rsidRPr="003F63DB">
        <w:t>n</w:t>
      </w:r>
      <w:r w:rsidRPr="003F63DB">
        <w:t>dighetsinterna dokument har varit viktiga underlag. En enkät till länsstyre</w:t>
      </w:r>
      <w:r w:rsidRPr="003F63DB">
        <w:t>l</w:t>
      </w:r>
      <w:r w:rsidRPr="003F63DB">
        <w:t>serna våren 2002 och de beslut som länsstyrelserna fattat under perioden 2000–2001 om arkeologiska undersökningar med en kostnad överstiga</w:t>
      </w:r>
      <w:r w:rsidRPr="003F63DB">
        <w:t xml:space="preserve">nde 30 prisbasbelopp har också använts som underlag i granskningen. </w:t>
      </w:r>
    </w:p>
    <w:p w:rsidR="00905B3E" w:rsidRPr="003F63DB" w:rsidRDefault="00905B3E">
      <w:pPr>
        <w:pStyle w:val="Normaltindrag"/>
      </w:pPr>
      <w:r w:rsidRPr="003F63DB">
        <w:t>Granskningen har beretts inom revisorernas tredje avdelning. I avdelnin</w:t>
      </w:r>
      <w:r w:rsidRPr="003F63DB">
        <w:t>g</w:t>
      </w:r>
      <w:r w:rsidRPr="003F63DB">
        <w:t>en ingår Anders G Högmark, ordf. (m), Anita Jönsson, v. ordf. (s), Kenneth Lantz (kd), Conny Öhman (s), Ingvar Eriksson (m), Ann-Kristine Johansson (s), Ann-Marie Fagerström (s) och Marie Engström (v).</w:t>
      </w:r>
    </w:p>
    <w:p w:rsidR="00905B3E" w:rsidRPr="003F63DB" w:rsidRDefault="00905B3E">
      <w:pPr>
        <w:pStyle w:val="Normaltindrag"/>
      </w:pPr>
      <w:r w:rsidRPr="003F63DB">
        <w:t>Inom revisorernas kansli har revisionsdirektör Annika Gustafsson haft a</w:t>
      </w:r>
      <w:r w:rsidRPr="003F63DB">
        <w:t>n</w:t>
      </w:r>
      <w:r w:rsidRPr="003F63DB">
        <w:t>svaret för granskningen. Även revisionsdirektör Roger Berggren, utredning</w:t>
      </w:r>
      <w:r w:rsidRPr="003F63DB">
        <w:t>s</w:t>
      </w:r>
      <w:r w:rsidRPr="003F63DB">
        <w:t>chef Karin Brunsson och kanslichef Åke Dahlberg har deltagit i gransknin</w:t>
      </w:r>
      <w:r w:rsidRPr="003F63DB">
        <w:t>g</w:t>
      </w:r>
      <w:r w:rsidRPr="003F63DB">
        <w:t>en.</w:t>
      </w:r>
    </w:p>
    <w:p w:rsidR="00905B3E" w:rsidRPr="003F63DB" w:rsidRDefault="00905B3E">
      <w:r w:rsidRPr="003F63DB">
        <w:t>Beslut om rapporten har fattats av revisorerna i plenum den 14 november 2002. Rapporten sänds nu på remiss till berörda myndigheter och organis</w:t>
      </w:r>
      <w:r w:rsidRPr="003F63DB">
        <w:t>a</w:t>
      </w:r>
      <w:r w:rsidRPr="003F63DB">
        <w:t>tioner. Revisorernas slutliga ställningstaganden kommer därefter att utformas i en skrivelse till riksd</w:t>
      </w:r>
      <w:r w:rsidRPr="003F63DB">
        <w:t>a</w:t>
      </w:r>
      <w:r w:rsidRPr="003F63DB">
        <w:t>gen.</w:t>
      </w:r>
    </w:p>
    <w:p w:rsidR="00905B3E" w:rsidRPr="003F63DB" w:rsidRDefault="00905B3E">
      <w:pPr>
        <w:pStyle w:val="Rubrik1-Utannumrering"/>
        <w:sectPr w:rsidR="00000000" w:rsidRPr="003F63DB">
          <w:headerReference w:type="default" r:id="rId13"/>
          <w:footerReference w:type="default" r:id="rId14"/>
          <w:type w:val="oddPage"/>
          <w:pgSz w:w="11906" w:h="16838" w:code="9"/>
          <w:pgMar w:top="567" w:right="4876" w:bottom="4508" w:left="1134" w:header="227" w:footer="227" w:gutter="0"/>
          <w:cols w:space="720"/>
        </w:sectPr>
      </w:pPr>
    </w:p>
    <w:p w:rsidR="00905B3E" w:rsidRPr="003F63DB" w:rsidRDefault="00905B3E">
      <w:pPr>
        <w:pStyle w:val="Rubrik1-Utannumrering"/>
      </w:pPr>
      <w:bookmarkStart w:id="31" w:name="_Toc36520717"/>
      <w:r w:rsidRPr="003F63DB">
        <w:t>Sammanfattning</w:t>
      </w:r>
      <w:bookmarkStart w:id="32" w:name="_Toc2051029"/>
      <w:bookmarkEnd w:id="29"/>
      <w:bookmarkEnd w:id="31"/>
    </w:p>
    <w:p w:rsidR="00905B3E" w:rsidRPr="003F63DB" w:rsidRDefault="00905B3E">
      <w:r w:rsidRPr="003F63DB">
        <w:t>Fasta fornlämningar är skyddade enligt kulturminneslagen (1988:950). Län</w:t>
      </w:r>
      <w:r w:rsidRPr="003F63DB">
        <w:t>s</w:t>
      </w:r>
      <w:r w:rsidRPr="003F63DB">
        <w:t>styrelserna kan ge tillstånd till ingrepp i fornlämning för markexploatering om samhällsintresset för ingreppet väger tyngre än intresset av att bevara fornlämningen. Villkor som länsstyrelserna då kan ställa är att fornlämnin</w:t>
      </w:r>
      <w:r w:rsidRPr="003F63DB">
        <w:t>g</w:t>
      </w:r>
      <w:r w:rsidRPr="003F63DB">
        <w:t>en undersöks och dokumenteras på exploatörens bekostnad. För det arkeol</w:t>
      </w:r>
      <w:r w:rsidRPr="003F63DB">
        <w:t>o</w:t>
      </w:r>
      <w:r w:rsidRPr="003F63DB">
        <w:t xml:space="preserve">giska arbetet utser länsstyrelserna undersökare. Länsstyrelserna har ansvar för att de arkeologiska tjänsterna genomförs med god vetenskaplig kvalitet till en kostnad som inte är högre än motiverat. </w:t>
      </w:r>
    </w:p>
    <w:p w:rsidR="00905B3E" w:rsidRPr="003F63DB" w:rsidRDefault="00905B3E">
      <w:pPr>
        <w:pStyle w:val="Normaltindrag"/>
      </w:pPr>
      <w:r w:rsidRPr="003F63DB">
        <w:t>Den beslutsp</w:t>
      </w:r>
      <w:r w:rsidRPr="003F63DB">
        <w:t>rocess som föregår ett tillstånd om ingrepp och de arkeologi</w:t>
      </w:r>
      <w:r w:rsidRPr="003F63DB">
        <w:t>s</w:t>
      </w:r>
      <w:r w:rsidRPr="003F63DB">
        <w:t>ka utredningar och undersökningar som genomförs med anledning av mar</w:t>
      </w:r>
      <w:r w:rsidRPr="003F63DB">
        <w:t>k</w:t>
      </w:r>
      <w:r w:rsidRPr="003F63DB">
        <w:t>exploatering benämns uppdragsarkeologi. Organisationen för uppdragsark</w:t>
      </w:r>
      <w:r w:rsidRPr="003F63DB">
        <w:t>e</w:t>
      </w:r>
      <w:r w:rsidRPr="003F63DB">
        <w:t>ologi omfattar i huvudsak tre parter – länsstyrelsen, exploatören och unde</w:t>
      </w:r>
      <w:r w:rsidRPr="003F63DB">
        <w:t>r</w:t>
      </w:r>
      <w:r w:rsidRPr="003F63DB">
        <w:t>sök</w:t>
      </w:r>
      <w:r w:rsidRPr="003F63DB">
        <w:t>a</w:t>
      </w:r>
      <w:r w:rsidRPr="003F63DB">
        <w:t xml:space="preserve">ren. </w:t>
      </w:r>
    </w:p>
    <w:p w:rsidR="00905B3E" w:rsidRPr="003F63DB" w:rsidRDefault="00905B3E">
      <w:pPr>
        <w:pStyle w:val="Rubrik2-Utannumrering"/>
      </w:pPr>
      <w:bookmarkStart w:id="33" w:name="_Toc25031890"/>
      <w:bookmarkStart w:id="34" w:name="_Toc36520718"/>
      <w:r w:rsidRPr="003F63DB">
        <w:t>Riksantikvarieämbetets uppgifter</w:t>
      </w:r>
      <w:bookmarkEnd w:id="33"/>
      <w:bookmarkEnd w:id="34"/>
    </w:p>
    <w:p w:rsidR="00905B3E" w:rsidRPr="003F63DB" w:rsidRDefault="00905B3E">
      <w:r w:rsidRPr="003F63DB">
        <w:t>Riksantikvarieämbetet styr uppdragsarkeologin genom föreskrifter, allmänna råd och rekommendationer. Myndigheten svarar även för uppföljning och central tillsyn vad gäller tillämpningen av kulturminneslagen och föreskri</w:t>
      </w:r>
      <w:r w:rsidRPr="003F63DB">
        <w:t>f</w:t>
      </w:r>
      <w:r w:rsidRPr="003F63DB">
        <w:t>terna. Riksantikvarieämbetet kan överklaga beslut fattade av länsstyrelserna i uppdragsarkeologiska ärenden. Vid sidan av dessa myndighetsuppgifter ansvarar Riksantikvarieämbetet för landets största arkeologiska uppdrag</w:t>
      </w:r>
      <w:r w:rsidRPr="003F63DB">
        <w:t>s</w:t>
      </w:r>
      <w:r w:rsidRPr="003F63DB">
        <w:t>verksamhet.</w:t>
      </w:r>
    </w:p>
    <w:p w:rsidR="00905B3E" w:rsidRPr="003F63DB" w:rsidRDefault="00905B3E">
      <w:pPr>
        <w:pStyle w:val="Rubrik3-Utannumrering"/>
      </w:pPr>
      <w:r w:rsidRPr="003F63DB">
        <w:t>Riksantikvarieämbetet dominerar</w:t>
      </w:r>
    </w:p>
    <w:p w:rsidR="00905B3E" w:rsidRPr="003F63DB" w:rsidRDefault="00905B3E">
      <w:r w:rsidRPr="003F63DB">
        <w:t>Totalt finns minst 36 organisationer i landet som bedriver arkeologisk up</w:t>
      </w:r>
      <w:r w:rsidRPr="003F63DB">
        <w:t>p</w:t>
      </w:r>
      <w:r w:rsidRPr="003F63DB">
        <w:t xml:space="preserve">dragsverksamhet. Det möjliga geografiska verksamhetsområdet begränsas för de flesta undersökare av deras juridiska form eller huvudmannaskap. Riksantikvarieämbetets avdelning för arkeologiska undersökningar (UV) och undersökare i enskild eller privat regi är fria att ta uppdrag i hela landet. </w:t>
      </w:r>
    </w:p>
    <w:p w:rsidR="00905B3E" w:rsidRPr="003F63DB" w:rsidRDefault="00905B3E">
      <w:pPr>
        <w:pStyle w:val="Normaltindrag"/>
      </w:pPr>
      <w:r w:rsidRPr="003F63DB">
        <w:t>Riksantikvarieämbetet-UV dominerar uppdragsarkeologin vad gäller både omsättning och geografiskt verksamhetsområde. Avdelningen har sett som sin uppgift att vara en förebild och en ledande aktör inom arkeologi i fler</w:t>
      </w:r>
      <w:r w:rsidRPr="003F63DB">
        <w:t>a avseenden. Verksamheten har breddats till att avse olika slags utredningar och försäljning av dataprogram. Därutöver bedriver avdelningen forskning och tjänsteexport. Avdelningen, som utgör en egen resultatenhet inom Rik</w:t>
      </w:r>
      <w:r w:rsidRPr="003F63DB">
        <w:t>s</w:t>
      </w:r>
      <w:r w:rsidRPr="003F63DB">
        <w:t>antikvarieämbetet, har under flera år haft ett ackumulerat underskott i ver</w:t>
      </w:r>
      <w:r w:rsidRPr="003F63DB">
        <w:t>k</w:t>
      </w:r>
      <w:r w:rsidRPr="003F63DB">
        <w:t>samheten. För att åstadkomma ekonomisk balans har avdelningen som mål att gå med överskott de närmaste åren och att vinna fler anbud i konku</w:t>
      </w:r>
      <w:r w:rsidRPr="003F63DB">
        <w:t>r</w:t>
      </w:r>
      <w:r w:rsidRPr="003F63DB">
        <w:t>rens.</w:t>
      </w:r>
    </w:p>
    <w:p w:rsidR="00905B3E" w:rsidRPr="003F63DB" w:rsidRDefault="00905B3E">
      <w:pPr>
        <w:pStyle w:val="Rubrik3-Utannumrering"/>
      </w:pPr>
      <w:r w:rsidRPr="003F63DB">
        <w:t xml:space="preserve">Intressekonflikter </w:t>
      </w:r>
    </w:p>
    <w:p w:rsidR="00905B3E" w:rsidRPr="003F63DB" w:rsidRDefault="00905B3E">
      <w:r w:rsidRPr="003F63DB">
        <w:t>Riksantikvarieämbetet ska bevaka kulturminneslagens krav på skydd och bevarande av fornlämningar och samtidigt ansvara för en arkeologisk up</w:t>
      </w:r>
      <w:r w:rsidRPr="003F63DB">
        <w:t>p</w:t>
      </w:r>
      <w:r w:rsidRPr="003F63DB">
        <w:t>dragsverksamhet som är beroende av att ingrepp i fornlämningar medges. Därutöver ska Riksantikvarieämbetet hantera uppgifterna att i föreskrifter ange konkurrensvillkoren för uppdragsarkeologi och samtidigt bedriva en uppdragsverksamhet som ska hävda sig i konku</w:t>
      </w:r>
      <w:r w:rsidRPr="003F63DB">
        <w:t>r</w:t>
      </w:r>
      <w:r w:rsidRPr="003F63DB">
        <w:t>rensen.</w:t>
      </w:r>
    </w:p>
    <w:p w:rsidR="00905B3E" w:rsidRPr="003F63DB" w:rsidRDefault="00905B3E">
      <w:pPr>
        <w:pStyle w:val="Normaltindrag"/>
      </w:pPr>
      <w:r w:rsidRPr="003F63DB">
        <w:t>Lämpligheten av en ordning där Riksantikvarieämbetet överklagar länsst</w:t>
      </w:r>
      <w:r w:rsidRPr="003F63DB">
        <w:t>y</w:t>
      </w:r>
      <w:r w:rsidRPr="003F63DB">
        <w:t>relsebeslut som kan röra den egna uppdragsverksamheten kan ifrågasättas. Då Riksantikvarieämbetet förordar sin egen verksamhet framför en konku</w:t>
      </w:r>
      <w:r w:rsidRPr="003F63DB">
        <w:t>r</w:t>
      </w:r>
      <w:r w:rsidRPr="003F63DB">
        <w:t>rents, vilket har varit aktuellt, kan Riksantikvarieämbetets trovärdighet p</w:t>
      </w:r>
      <w:r w:rsidRPr="003F63DB">
        <w:t>å</w:t>
      </w:r>
      <w:r w:rsidRPr="003F63DB">
        <w:t>verkas.</w:t>
      </w:r>
    </w:p>
    <w:p w:rsidR="00905B3E" w:rsidRPr="003F63DB" w:rsidRDefault="00905B3E">
      <w:r w:rsidRPr="003F63DB">
        <w:t xml:space="preserve">Revisorerna föreslår </w:t>
      </w:r>
    </w:p>
    <w:p w:rsidR="00905B3E" w:rsidRPr="003F63DB" w:rsidRDefault="00905B3E">
      <w:pPr>
        <w:numPr>
          <w:ilvl w:val="0"/>
          <w:numId w:val="205"/>
        </w:numPr>
      </w:pPr>
      <w:r w:rsidRPr="003F63DB">
        <w:t>att Riksantikvarieämbetets arkeologiska uppdragsverksamhet skiljs från Riksantikvarieämbetet.</w:t>
      </w:r>
    </w:p>
    <w:p w:rsidR="00905B3E" w:rsidRPr="003F63DB" w:rsidRDefault="00905B3E">
      <w:pPr>
        <w:pStyle w:val="Rubrik2-Utannumrering"/>
      </w:pPr>
      <w:bookmarkStart w:id="35" w:name="_Toc25031891"/>
      <w:bookmarkStart w:id="36" w:name="_Toc36520719"/>
      <w:r w:rsidRPr="003F63DB">
        <w:t>Konkurrens och insyn</w:t>
      </w:r>
      <w:bookmarkEnd w:id="35"/>
      <w:bookmarkEnd w:id="36"/>
    </w:p>
    <w:p w:rsidR="00905B3E" w:rsidRPr="003F63DB" w:rsidRDefault="00905B3E">
      <w:r w:rsidRPr="003F63DB">
        <w:t>Genom ett riksdagsbeslut 1997 är uppdragsarkeologi undantagen från lagen om offentlig upphandling. Länsstyrelsernas beslut om arkeologi inför mar</w:t>
      </w:r>
      <w:r w:rsidRPr="003F63DB">
        <w:t>k</w:t>
      </w:r>
      <w:r w:rsidRPr="003F63DB">
        <w:t>exploatering har betraktats som myndighetsutövning. Statsmakterna har dock ansett att det finns fördelar med konkurrens i uppdragsarkeologin och att ett anbudsliknande förf</w:t>
      </w:r>
      <w:r w:rsidRPr="003F63DB">
        <w:t>a</w:t>
      </w:r>
      <w:r w:rsidRPr="003F63DB">
        <w:t xml:space="preserve">rande i vissa fall ska tillämpas. </w:t>
      </w:r>
    </w:p>
    <w:p w:rsidR="00905B3E" w:rsidRPr="003F63DB" w:rsidRDefault="00905B3E">
      <w:pPr>
        <w:pStyle w:val="Normaltindrag"/>
      </w:pPr>
      <w:r w:rsidRPr="003F63DB">
        <w:t>I föreskrifter har Riksantikvarieämbetet närmare angivit hur länsstyrelse</w:t>
      </w:r>
      <w:r w:rsidRPr="003F63DB">
        <w:t>r</w:t>
      </w:r>
      <w:r w:rsidRPr="003F63DB">
        <w:t>na ska gå till väga inför val av undersökare. Stora arkeologiska uppdrag (över 1 137 000 kronor) ska föregås av ett urvalsförfarande, om det inte finns särskilda skäl för direktval av undersökare. Mellanstora uppdrag (379 000–1 137 000 kronor) ska föregås av ett urvalsförfarande om exploatören kräver det. Gränsen för när ett anbuds- eller urvalsförfarande ska tillämpas är satt på en sådan nivå att få undersökare utöver Riksantikvarieämbetets egen arke</w:t>
      </w:r>
      <w:r w:rsidRPr="003F63DB">
        <w:t>o</w:t>
      </w:r>
      <w:r w:rsidRPr="003F63DB">
        <w:t>logiska verksamhet kan konkurrera om uppdr</w:t>
      </w:r>
      <w:r w:rsidRPr="003F63DB">
        <w:t>a</w:t>
      </w:r>
      <w:r w:rsidRPr="003F63DB">
        <w:t xml:space="preserve">gen. </w:t>
      </w:r>
    </w:p>
    <w:p w:rsidR="00905B3E" w:rsidRPr="003F63DB" w:rsidRDefault="00905B3E">
      <w:pPr>
        <w:pStyle w:val="Rubrik3-Utannumrering"/>
      </w:pPr>
      <w:r w:rsidRPr="003F63DB">
        <w:t>Få upp</w:t>
      </w:r>
      <w:r w:rsidRPr="003F63DB">
        <w:t xml:space="preserve">drag har utsatts för konkurrens </w:t>
      </w:r>
    </w:p>
    <w:p w:rsidR="00905B3E" w:rsidRPr="003F63DB" w:rsidRDefault="00905B3E">
      <w:r w:rsidRPr="003F63DB">
        <w:t>Konkurrensen inom uppdragsarkeologi har varit begränsad. Utvecklingen 1999–2001 visar också att andelen stora arkeologiska uppdrag som utsatts för konkurrens har minskat från 32 % till 12 %. Mellanstora undersökningar har knappast utsatts för någon konkurrens alls. Användningen av urvalsförf</w:t>
      </w:r>
      <w:r w:rsidRPr="003F63DB">
        <w:t>a</w:t>
      </w:r>
      <w:r w:rsidRPr="003F63DB">
        <w:t>randen har vidare varit begränsad till ett fåtal länsstyrelser. Föreskrifterna medger en generös tolkning av vilka särskilda skäl som länsstyrelserna kan åberopa för att frångå reglerna om urvalsförfarande. Vissa länsstyrelser m</w:t>
      </w:r>
      <w:r w:rsidRPr="003F63DB">
        <w:t>o</w:t>
      </w:r>
      <w:r w:rsidRPr="003F63DB">
        <w:t xml:space="preserve">tiverar inte sina beslut vad gäller val av undersökare. De grunder på vilka undersökare väljs blir då oklara. </w:t>
      </w:r>
    </w:p>
    <w:p w:rsidR="00905B3E" w:rsidRPr="003F63DB" w:rsidRDefault="00905B3E">
      <w:pPr>
        <w:pStyle w:val="Normaltindrag"/>
      </w:pPr>
      <w:r w:rsidRPr="003F63DB">
        <w:t>De allra flesta beslut i uppdragsarkeologiska ärenden fattas genom att län</w:t>
      </w:r>
      <w:r w:rsidRPr="003F63DB">
        <w:t>s</w:t>
      </w:r>
      <w:r w:rsidRPr="003F63DB">
        <w:t>styrelserna genom direktval utser en undersökare. Valet görs huvudsakligen med utgångspunkt från tidigare kontakter och erfarenheter. Ofta väljs en undersökare som sedan tidigare bedriver arkeologisk verksamhet i länet.</w:t>
      </w:r>
    </w:p>
    <w:p w:rsidR="00905B3E" w:rsidRPr="003F63DB" w:rsidRDefault="00905B3E">
      <w:pPr>
        <w:pStyle w:val="Normaltindrag"/>
      </w:pPr>
      <w:r w:rsidRPr="003F63DB">
        <w:t>Länsstyrelserna tycks föredra olika typer av samarbeten eller en på förhand given fördelning av uppdrag mellan olika undersökare framför konkurrens. Även när länsstyrelser har använt sig av ett urvalsförfarande har det för</w:t>
      </w:r>
      <w:r w:rsidRPr="003F63DB">
        <w:t>e</w:t>
      </w:r>
      <w:r w:rsidRPr="003F63DB">
        <w:t>kommit att undersökare har lämnat gemensamma anbud. Riksantikvarieä</w:t>
      </w:r>
      <w:r w:rsidRPr="003F63DB">
        <w:t>m</w:t>
      </w:r>
      <w:r w:rsidRPr="003F63DB">
        <w:t>betet-UV samarbetar allt oftare med andra undersökare. Vissa länsstyrelser betraktar undersökarnas samarbeten som kartel</w:t>
      </w:r>
      <w:r w:rsidRPr="003F63DB">
        <w:t>l</w:t>
      </w:r>
      <w:r w:rsidRPr="003F63DB">
        <w:t>bildning.</w:t>
      </w:r>
    </w:p>
    <w:p w:rsidR="00905B3E" w:rsidRPr="003F63DB" w:rsidRDefault="00905B3E">
      <w:pPr>
        <w:pStyle w:val="Rubrik3-Utannumrering"/>
      </w:pPr>
      <w:r w:rsidRPr="003F63DB">
        <w:t>Länsgränserna är styrande för valet av undersökare</w:t>
      </w:r>
    </w:p>
    <w:p w:rsidR="00905B3E" w:rsidRPr="003F63DB" w:rsidRDefault="00905B3E">
      <w:r w:rsidRPr="003F63DB">
        <w:t>Regeringen har uttalat att undersökare i privat regi ska kunna utses för up</w:t>
      </w:r>
      <w:r w:rsidRPr="003F63DB">
        <w:t>p</w:t>
      </w:r>
      <w:r w:rsidRPr="003F63DB">
        <w:t>drag lika väl som undersökare i offentlig regi. Privata undersökare har dock anlitats i begränsad utsträckning, och deras marknadsandel förefaller min</w:t>
      </w:r>
      <w:r w:rsidRPr="003F63DB">
        <w:t>s</w:t>
      </w:r>
      <w:r w:rsidRPr="003F63DB">
        <w:t xml:space="preserve">ka. </w:t>
      </w:r>
    </w:p>
    <w:p w:rsidR="00905B3E" w:rsidRPr="003F63DB" w:rsidRDefault="00905B3E">
      <w:pPr>
        <w:pStyle w:val="Normaltindrag"/>
      </w:pPr>
      <w:r w:rsidRPr="003F63DB">
        <w:t>Det finns en skepsis mot privata undersökare. Den kommer till uttryck bl.a. i länsstyrelsernas sätt att bemöta privata undersökares intresse av att komma i fråga för uppdrag. Många länsstyrelser argumenterar för att det behövs regional kompetens hos dem som ska utföra en arkeologisk unde</w:t>
      </w:r>
      <w:r w:rsidRPr="003F63DB">
        <w:t>r</w:t>
      </w:r>
      <w:r w:rsidRPr="003F63DB">
        <w:t xml:space="preserve">sökning. Därför väljer de undersökare som redan är verksamma i respektive län. Nya undersökare stängs ute. En undersökare verksam i ett län anses i många fall inte ha kompetens att utföra undersökningar i ett grannlän. </w:t>
      </w:r>
    </w:p>
    <w:p w:rsidR="00905B3E" w:rsidRPr="003F63DB" w:rsidRDefault="00905B3E">
      <w:pPr>
        <w:pStyle w:val="Normaltindrag"/>
      </w:pPr>
      <w:r w:rsidRPr="003F63DB">
        <w:t>Kravet på regional kompetens för att komma i fråga för uppdrag i ett län strider dock mot det sätt på vilket arkeologisk verksamhet bedrivs i prakt</w:t>
      </w:r>
      <w:r w:rsidRPr="003F63DB">
        <w:t>i</w:t>
      </w:r>
      <w:r w:rsidRPr="003F63DB">
        <w:t xml:space="preserve">ken. Arkeologerna är en rörlig yrkeskår som samlar erfarenheter från olika arbetsgivare och olika platser i landet, men även från utlandet. </w:t>
      </w:r>
    </w:p>
    <w:p w:rsidR="00905B3E" w:rsidRPr="003F63DB" w:rsidRDefault="00905B3E">
      <w:pPr>
        <w:pStyle w:val="Rubrik3-Utannumrering"/>
      </w:pPr>
      <w:r w:rsidRPr="003F63DB">
        <w:t>Insynen är begränsad</w:t>
      </w:r>
    </w:p>
    <w:p w:rsidR="00905B3E" w:rsidRPr="003F63DB" w:rsidRDefault="00905B3E">
      <w:r w:rsidRPr="003F63DB">
        <w:t>En arkeologisk undersökning kan inte göras om efter det att fornlämningen har förstörts. Det går heller inte i efterhand att kontrollera hur undersöknin</w:t>
      </w:r>
      <w:r w:rsidRPr="003F63DB">
        <w:t>g</w:t>
      </w:r>
      <w:r w:rsidRPr="003F63DB">
        <w:t xml:space="preserve">en genomfördes. </w:t>
      </w:r>
    </w:p>
    <w:p w:rsidR="00905B3E" w:rsidRPr="003F63DB" w:rsidRDefault="00905B3E">
      <w:pPr>
        <w:pStyle w:val="Normaltindrag"/>
      </w:pPr>
      <w:r w:rsidRPr="003F63DB">
        <w:t>Insynen i den arkeologiska beslutsprocessen begränsas av att länsstyrelse</w:t>
      </w:r>
      <w:r w:rsidRPr="003F63DB">
        <w:t>r</w:t>
      </w:r>
      <w:r w:rsidRPr="003F63DB">
        <w:t>nas underlag i form av kravspecifikationer och undersökningsplaner är oty</w:t>
      </w:r>
      <w:r w:rsidRPr="003F63DB">
        <w:t>d</w:t>
      </w:r>
      <w:r w:rsidRPr="003F63DB">
        <w:t>liga eller saknas helt. Undersökarna har därmed ett övertag i förhållande till länsstyrelserna vad gäller att bestämma den arkeologiska undersökningens omfattning och kostnader. Ett sådant förfarande går tvärtemot statsmakternas krav på att inte överlåta ett sådant avgörande åt undersökarna. Det föreko</w:t>
      </w:r>
      <w:r w:rsidRPr="003F63DB">
        <w:t>m</w:t>
      </w:r>
      <w:r w:rsidRPr="003F63DB">
        <w:t>mer också att undersökningsplaner beläggs med se</w:t>
      </w:r>
      <w:r w:rsidRPr="003F63DB">
        <w:t>k</w:t>
      </w:r>
      <w:r w:rsidRPr="003F63DB">
        <w:t>retess.</w:t>
      </w:r>
    </w:p>
    <w:p w:rsidR="00905B3E" w:rsidRPr="003F63DB" w:rsidRDefault="00905B3E">
      <w:pPr>
        <w:pStyle w:val="Normaltindrag"/>
      </w:pPr>
      <w:r w:rsidRPr="003F63DB">
        <w:t>Möjligheterna till insyn i det arkeologiska arbetet begränsas av att länsst</w:t>
      </w:r>
      <w:r w:rsidRPr="003F63DB">
        <w:t>y</w:t>
      </w:r>
      <w:r w:rsidRPr="003F63DB">
        <w:t xml:space="preserve">relsernas uppföljning och tillsyn – tvärtemot statsmakternas intentioner – är lågt prioriterade uppgifter. </w:t>
      </w:r>
    </w:p>
    <w:p w:rsidR="00905B3E" w:rsidRPr="003F63DB" w:rsidRDefault="00905B3E">
      <w:r w:rsidRPr="003F63DB">
        <w:t xml:space="preserve">Revisorerna föreslår </w:t>
      </w:r>
    </w:p>
    <w:p w:rsidR="00905B3E" w:rsidRPr="003F63DB" w:rsidRDefault="00905B3E">
      <w:pPr>
        <w:numPr>
          <w:ilvl w:val="0"/>
          <w:numId w:val="204"/>
        </w:numPr>
      </w:pPr>
      <w:r w:rsidRPr="003F63DB">
        <w:t>att beslutet om att undanta uppdragsarkeologi från lagen om offentlig upphandling omprövas</w:t>
      </w:r>
    </w:p>
    <w:p w:rsidR="00905B3E" w:rsidRPr="003F63DB" w:rsidRDefault="00905B3E">
      <w:pPr>
        <w:numPr>
          <w:ilvl w:val="0"/>
          <w:numId w:val="204"/>
        </w:numPr>
      </w:pPr>
      <w:r w:rsidRPr="003F63DB">
        <w:t>att Riksantikvarieämbetet får i uppdrag att auktorisera arke</w:t>
      </w:r>
      <w:r w:rsidRPr="003F63DB">
        <w:t>o</w:t>
      </w:r>
      <w:r w:rsidRPr="003F63DB">
        <w:t>loger.</w:t>
      </w:r>
    </w:p>
    <w:p w:rsidR="00905B3E" w:rsidRPr="003F63DB" w:rsidRDefault="00905B3E">
      <w:pPr>
        <w:pStyle w:val="Rubrik2-Utannumrering"/>
      </w:pPr>
      <w:r w:rsidRPr="003F63DB">
        <w:br w:type="page"/>
      </w:r>
      <w:bookmarkStart w:id="37" w:name="_Toc25031892"/>
      <w:bookmarkStart w:id="38" w:name="_Toc36520720"/>
      <w:r w:rsidRPr="003F63DB">
        <w:t>Kostnader för uppdragsarkeologi</w:t>
      </w:r>
      <w:bookmarkEnd w:id="37"/>
      <w:bookmarkEnd w:id="38"/>
    </w:p>
    <w:p w:rsidR="00905B3E" w:rsidRPr="003F63DB" w:rsidRDefault="00905B3E">
      <w:r w:rsidRPr="003F63DB">
        <w:t>Ingrepp i fornlämningar innebär kostnader på både kort och lång sikt – kos</w:t>
      </w:r>
      <w:r w:rsidRPr="003F63DB">
        <w:t>t</w:t>
      </w:r>
      <w:r w:rsidRPr="003F63DB">
        <w:t>nader som i huvudsak finansieras med skattemedel. De samlade kostnaderna för uppdragsarkeologi är okända. Mycket tyder på att museernas kostnader för framtida vård och förvaring av omhändertagna fynd inte beaktas inför beslut om arkeologisk unde</w:t>
      </w:r>
      <w:r w:rsidRPr="003F63DB">
        <w:t>r</w:t>
      </w:r>
      <w:r w:rsidRPr="003F63DB">
        <w:t>sökning.</w:t>
      </w:r>
    </w:p>
    <w:p w:rsidR="00905B3E" w:rsidRPr="003F63DB" w:rsidRDefault="00905B3E">
      <w:pPr>
        <w:pStyle w:val="Rubrik3-Utannumrering"/>
      </w:pPr>
      <w:r w:rsidRPr="003F63DB">
        <w:t>Exploatörerna ska betala</w:t>
      </w:r>
    </w:p>
    <w:p w:rsidR="00905B3E" w:rsidRPr="003F63DB" w:rsidRDefault="00905B3E">
      <w:r w:rsidRPr="003F63DB">
        <w:t>De kostnader för uppdragsarkeologi som redovisas avser endast de kostnader som debiteras exploatörerna. Riksantikvarieämbetets uppgifter är dock osä</w:t>
      </w:r>
      <w:r w:rsidRPr="003F63DB">
        <w:t>k</w:t>
      </w:r>
      <w:r w:rsidRPr="003F63DB">
        <w:t xml:space="preserve">ra. Länsstyrelsernas beslut är ofullständiga och de faktiska kostnaderna följs inte upp. </w:t>
      </w:r>
    </w:p>
    <w:p w:rsidR="00905B3E" w:rsidRPr="003F63DB" w:rsidRDefault="00905B3E">
      <w:pPr>
        <w:pStyle w:val="Normaltindrag"/>
      </w:pPr>
      <w:r w:rsidRPr="003F63DB">
        <w:t>Den bristande kostnadskontrollen förklaras av organisationen för up</w:t>
      </w:r>
      <w:r w:rsidRPr="003F63DB">
        <w:t>p</w:t>
      </w:r>
      <w:r w:rsidRPr="003F63DB">
        <w:t>dragsarkeologi och av synsättet att ”någon annan” betalar. Ex</w:t>
      </w:r>
      <w:r w:rsidRPr="003F63DB">
        <w:softHyphen/>
        <w:t>ploatörerna brukar benämnas uppdragsgivare, men har i praktiken små möjligheter att påverka valet av undersökare eller kostnaderna för undersökarens tjänster. Eftersom länsstyrelserna inte bär kostnaderna har de inga tydliga incitament att begränsa undersökningarnas omfattning. Ett anbudsförfarande innebär endast ökad administration för länsstyrelserna, som inte får ta del av de kos</w:t>
      </w:r>
      <w:r w:rsidRPr="003F63DB">
        <w:t>t</w:t>
      </w:r>
      <w:r w:rsidRPr="003F63DB">
        <w:t>nadsminskningar en upphandling kan ge. Det finns dock exempel p</w:t>
      </w:r>
      <w:r w:rsidRPr="003F63DB">
        <w:t>å att kostnaderna för arkeologi har kunnat begränsas när anbudsförfarande har använts eller när exploatören tagit kontroll över det arkeologiska projektet med hjälp av konsult.</w:t>
      </w:r>
    </w:p>
    <w:p w:rsidR="00905B3E" w:rsidRPr="003F63DB" w:rsidRDefault="00905B3E">
      <w:pPr>
        <w:pStyle w:val="Rubrik3-Utannumrering"/>
      </w:pPr>
      <w:r w:rsidRPr="003F63DB">
        <w:t>Exploatörernas ansvar utvidgas</w:t>
      </w:r>
    </w:p>
    <w:p w:rsidR="00905B3E" w:rsidRPr="003F63DB" w:rsidRDefault="00905B3E">
      <w:r w:rsidRPr="003F63DB">
        <w:t>Gränsen för exploatörernas kostnadsansvar är oskarp och tenderar att utvi</w:t>
      </w:r>
      <w:r w:rsidRPr="003F63DB">
        <w:t>d</w:t>
      </w:r>
      <w:r w:rsidRPr="003F63DB">
        <w:t>gas. Exploatörer har åtagit sig att finansiera informations- och förmedling</w:t>
      </w:r>
      <w:r w:rsidRPr="003F63DB">
        <w:t>s</w:t>
      </w:r>
      <w:r w:rsidRPr="003F63DB">
        <w:t>verksamhet med anledning av arkeologiska undersökningar. Det har även förekommit att en exploatör finansierar den handläggande länsstyrelsens myndighetsutövning. Det är oklart vem som bevakar att exploatörernas kos</w:t>
      </w:r>
      <w:r w:rsidRPr="003F63DB">
        <w:t>t</w:t>
      </w:r>
      <w:r w:rsidRPr="003F63DB">
        <w:t xml:space="preserve">nadsansvar inte överskrids. </w:t>
      </w:r>
    </w:p>
    <w:p w:rsidR="00905B3E" w:rsidRPr="003F63DB" w:rsidRDefault="00905B3E">
      <w:r w:rsidRPr="003F63DB">
        <w:t>Revisorerna föreslår</w:t>
      </w:r>
    </w:p>
    <w:p w:rsidR="00905B3E" w:rsidRPr="003F63DB" w:rsidRDefault="00905B3E">
      <w:pPr>
        <w:numPr>
          <w:ilvl w:val="0"/>
          <w:numId w:val="206"/>
        </w:numPr>
      </w:pPr>
      <w:r w:rsidRPr="003F63DB">
        <w:t>att exploatörer ges ansvaret för att upphandla arkeologiska utredningar och undersökningar.</w:t>
      </w:r>
    </w:p>
    <w:p w:rsidR="00905B3E" w:rsidRPr="003F63DB" w:rsidRDefault="00905B3E">
      <w:pPr>
        <w:pStyle w:val="Rubrik2-Utannumrering"/>
      </w:pPr>
      <w:bookmarkStart w:id="39" w:name="_Toc25031893"/>
      <w:bookmarkStart w:id="40" w:name="_Toc36520721"/>
      <w:r w:rsidRPr="003F63DB">
        <w:t>De arkeologiska resultaten</w:t>
      </w:r>
      <w:bookmarkEnd w:id="39"/>
      <w:bookmarkEnd w:id="40"/>
    </w:p>
    <w:p w:rsidR="00905B3E" w:rsidRPr="003F63DB" w:rsidRDefault="00905B3E">
      <w:r w:rsidRPr="003F63DB">
        <w:t>Statsmakterna har uttalat att resultaten från de uppdragsarkeologiska unde</w:t>
      </w:r>
      <w:r w:rsidRPr="003F63DB">
        <w:t>r</w:t>
      </w:r>
      <w:r w:rsidRPr="003F63DB">
        <w:t>sökningarna ska bidra till ökad kunskap om historiska förhållanden. Resu</w:t>
      </w:r>
      <w:r w:rsidRPr="003F63DB">
        <w:t>l</w:t>
      </w:r>
      <w:r w:rsidRPr="003F63DB">
        <w:t>taten ska komma till användning i forskning och utbildning. De ska även komma allmä</w:t>
      </w:r>
      <w:r w:rsidRPr="003F63DB">
        <w:t>n</w:t>
      </w:r>
      <w:r w:rsidRPr="003F63DB">
        <w:t>heten till del.</w:t>
      </w:r>
    </w:p>
    <w:p w:rsidR="00905B3E" w:rsidRPr="003F63DB" w:rsidRDefault="00905B3E">
      <w:pPr>
        <w:pStyle w:val="Rubrik3-Utannumrering"/>
      </w:pPr>
      <w:r w:rsidRPr="003F63DB">
        <w:t>Åtskilliga undersökningar har inte slutredovisats</w:t>
      </w:r>
    </w:p>
    <w:p w:rsidR="00905B3E" w:rsidRPr="003F63DB" w:rsidRDefault="00905B3E">
      <w:r w:rsidRPr="003F63DB">
        <w:t>Av granskningen framgår att drygt 3 000 arkeologiska undersökningar ännu inte har slutredovisats, trots att de i vissa fall genomfördes för flera decennier sedan. Exploatörerna har som regel betalat för rapporteringen i förskott. Riksantikvarieämbetet-UV har som enda undersökare fått använda särskilda anslagsmedel för att åtgärda eftersläpningarna i den egna rapport</w:t>
      </w:r>
      <w:r w:rsidRPr="003F63DB">
        <w:t>e</w:t>
      </w:r>
      <w:r w:rsidRPr="003F63DB">
        <w:t xml:space="preserve">ringen. </w:t>
      </w:r>
    </w:p>
    <w:p w:rsidR="00905B3E" w:rsidRPr="003F63DB" w:rsidRDefault="00905B3E">
      <w:pPr>
        <w:pStyle w:val="Normaltindrag"/>
      </w:pPr>
      <w:r w:rsidRPr="003F63DB">
        <w:t>Avsaknaden av slutredovisningar har fått till följd att det är oklart vilken kunskap undersökningarna har bidragit med. Den har även fått konsekvenser för de arkeologiska fyndens tillgänglighet och vård. En förklaring till att ett sådant förfarande har varit möjligt är att det bland dem som ingår i den up</w:t>
      </w:r>
      <w:r w:rsidRPr="003F63DB">
        <w:t>p</w:t>
      </w:r>
      <w:r w:rsidRPr="003F63DB">
        <w:t>dragsarkeologiska organisationen inte finns någon aktiv mottagare av de arkeologiska resultaten. Huvudmottagarna av rapporterna, universitet och högskolor, ingår inte i organis</w:t>
      </w:r>
      <w:r w:rsidRPr="003F63DB">
        <w:t>a</w:t>
      </w:r>
      <w:r w:rsidRPr="003F63DB">
        <w:t>tionen.</w:t>
      </w:r>
    </w:p>
    <w:p w:rsidR="00905B3E" w:rsidRPr="003F63DB" w:rsidRDefault="00905B3E">
      <w:pPr>
        <w:pStyle w:val="Normaltindrag"/>
      </w:pPr>
      <w:r w:rsidRPr="003F63DB">
        <w:t>Riksantikvarieämbetet har påtalat att uppdragsarkeologiska resultat är d</w:t>
      </w:r>
      <w:r w:rsidRPr="003F63DB">
        <w:t>å</w:t>
      </w:r>
      <w:r w:rsidRPr="003F63DB">
        <w:t>ligt utnyttjade inom grundforskningen. För ett bättre nyttjande av resultaten har statsmakterna pekat på vikten av en aktiv medverkan från universitets- och forskningsorganisationer. Dessa organisationer har dock i huvudsak medverkat i styr- och referensgrupper till stora arkeologiska unde</w:t>
      </w:r>
      <w:r w:rsidRPr="003F63DB">
        <w:t>r</w:t>
      </w:r>
      <w:r w:rsidRPr="003F63DB">
        <w:t xml:space="preserve">sökningar. </w:t>
      </w:r>
    </w:p>
    <w:p w:rsidR="00905B3E" w:rsidRPr="003F63DB" w:rsidRDefault="00905B3E">
      <w:pPr>
        <w:pStyle w:val="Rubrik3-Utannumrering"/>
        <w:rPr>
          <w:b w:val="0"/>
        </w:rPr>
      </w:pPr>
      <w:r w:rsidRPr="003F63DB">
        <w:rPr>
          <w:b w:val="0"/>
        </w:rPr>
        <w:t xml:space="preserve">Revisorerna föreslår </w:t>
      </w:r>
    </w:p>
    <w:p w:rsidR="00905B3E" w:rsidRPr="003F63DB" w:rsidRDefault="00905B3E">
      <w:pPr>
        <w:numPr>
          <w:ilvl w:val="0"/>
          <w:numId w:val="207"/>
        </w:numPr>
      </w:pPr>
      <w:r w:rsidRPr="003F63DB">
        <w:t>att stora eller viktiga uppdragsarkeologiska undersökningar leds av universitet eller högskolor.</w:t>
      </w:r>
    </w:p>
    <w:p w:rsidR="00905B3E" w:rsidRPr="003F63DB" w:rsidRDefault="00905B3E">
      <w:pPr>
        <w:pStyle w:val="Rubrik1"/>
        <w:numPr>
          <w:ilvl w:val="0"/>
          <w:numId w:val="209"/>
        </w:numPr>
      </w:pPr>
      <w:r w:rsidRPr="003F63DB">
        <w:br w:type="page"/>
      </w:r>
      <w:bookmarkStart w:id="41" w:name="_Toc25031894"/>
      <w:bookmarkStart w:id="42" w:name="_Toc36520722"/>
      <w:r w:rsidRPr="003F63DB">
        <w:t>Marken är full av fornlämningar</w:t>
      </w:r>
      <w:bookmarkEnd w:id="41"/>
      <w:bookmarkEnd w:id="42"/>
    </w:p>
    <w:p w:rsidR="00905B3E" w:rsidRPr="003F63DB" w:rsidRDefault="00905B3E">
      <w:r w:rsidRPr="003F63DB">
        <w:t>För medborgarnas räkning ska staten se till att fasta fornlämningar i första hand skyddas och bevaras. Ett bevarande är dock inte alltid samhällsekon</w:t>
      </w:r>
      <w:r w:rsidRPr="003F63DB">
        <w:t>o</w:t>
      </w:r>
      <w:r w:rsidRPr="003F63DB">
        <w:t xml:space="preserve">miskt försvarbart. Staten har också ett intresse av att t.ex. infrastrukturen förbättras, att bostäder byggs och att kunskapen om vår historia ökar. Därför tillåter staten att ingrepp i fornlämningar görs. Ett ingrepp är oåterkalleligt. </w:t>
      </w:r>
    </w:p>
    <w:p w:rsidR="00905B3E" w:rsidRPr="003F63DB" w:rsidRDefault="00905B3E">
      <w:pPr>
        <w:pStyle w:val="Normaltindrag"/>
      </w:pPr>
      <w:r w:rsidRPr="003F63DB">
        <w:t>Då mark ska exploateras och fornlämningar kommer till skada eller måste tas bort ska exploatören bekosta de arkeologiska undersökningar eller andra åtgärder som staten beslutar om. Resultaten från dessa undersökningar ska komma medborgarna till del. De arkeologiska fynd so</w:t>
      </w:r>
      <w:r w:rsidRPr="003F63DB">
        <w:t xml:space="preserve">m tas om hand ska förvaras och vårdas – en kostnad som staten och museerna får bära för all framtid. </w:t>
      </w:r>
    </w:p>
    <w:p w:rsidR="00905B3E" w:rsidRPr="003F63DB" w:rsidRDefault="00905B3E">
      <w:pPr>
        <w:pStyle w:val="Rubrik2"/>
      </w:pPr>
      <w:bookmarkStart w:id="43" w:name="_Toc25031895"/>
      <w:bookmarkStart w:id="44" w:name="_Toc36520723"/>
      <w:r w:rsidRPr="003F63DB">
        <w:t>Fasta fornlämningar ska skyddas</w:t>
      </w:r>
      <w:bookmarkEnd w:id="43"/>
      <w:bookmarkEnd w:id="44"/>
    </w:p>
    <w:p w:rsidR="00905B3E" w:rsidRPr="003F63DB" w:rsidRDefault="00905B3E">
      <w:r w:rsidRPr="003F63DB">
        <w:t xml:space="preserve">En </w:t>
      </w:r>
      <w:r w:rsidRPr="003F63DB">
        <w:rPr>
          <w:i/>
        </w:rPr>
        <w:t>fast fornlämning</w:t>
      </w:r>
      <w:r w:rsidRPr="003F63DB">
        <w:t xml:space="preserve"> är en varaktigt övergiven lämning efter människors verksamhet under forna tider. Till fasta fornlämningar räknas sådant som t.ex. gravar och begravningsplatser, resta stenar och ristningar, samlingspla</w:t>
      </w:r>
      <w:r w:rsidRPr="003F63DB">
        <w:t>t</w:t>
      </w:r>
      <w:r w:rsidRPr="003F63DB">
        <w:t xml:space="preserve">ser, bostäder och arbetsplatser, färdvägar och skeppsvrak. Hur gammal en lämning måste vara för att betraktas som fornlämning framgår inte av lagen (1988:950) om kulturminnen m.m. Riksantikvarieämbetet har heller inte kunnat ge ett entydigt svar på detta. </w:t>
      </w:r>
    </w:p>
    <w:p w:rsidR="00905B3E" w:rsidRPr="003F63DB" w:rsidRDefault="00905B3E">
      <w:pPr>
        <w:pStyle w:val="Normaltindrag"/>
      </w:pPr>
      <w:r w:rsidRPr="003F63DB">
        <w:rPr>
          <w:i/>
        </w:rPr>
        <w:t>Fornfynd</w:t>
      </w:r>
      <w:r w:rsidRPr="003F63DB">
        <w:t xml:space="preserve"> är föremål som påträffas i eller vid en fast fornlämning och har ett samband med denna. Även fynd som påträffas under andra omständigh</w:t>
      </w:r>
      <w:r w:rsidRPr="003F63DB">
        <w:t>e</w:t>
      </w:r>
      <w:r w:rsidRPr="003F63DB">
        <w:t>ter och antas vara minst 100 år gamla räknas som fornfynd. Till sådana fynd räknas t.ex. skeppsvrak.</w:t>
      </w:r>
    </w:p>
    <w:p w:rsidR="00905B3E" w:rsidRPr="003F63DB" w:rsidRDefault="00905B3E">
      <w:pPr>
        <w:pStyle w:val="Normaltindrag"/>
      </w:pPr>
      <w:r w:rsidRPr="003F63DB">
        <w:t>Fasta fornlämningar, liksom markområdet runt en fornlämning, ska i första hand bevaras. De är därför skyddade enligt kulturminneslagen (KML). For</w:t>
      </w:r>
      <w:r w:rsidRPr="003F63DB">
        <w:t>n</w:t>
      </w:r>
      <w:r w:rsidRPr="003F63DB">
        <w:t>fynd som påträffas i eller vid en fornlämning är statens egendom. Om for</w:t>
      </w:r>
      <w:r w:rsidRPr="003F63DB">
        <w:t>n</w:t>
      </w:r>
      <w:r w:rsidRPr="003F63DB">
        <w:t>fynd påträffas under andra omständigheter tillfaller fyndet upphittaren. Up</w:t>
      </w:r>
      <w:r w:rsidRPr="003F63DB">
        <w:t>p</w:t>
      </w:r>
      <w:r w:rsidRPr="003F63DB">
        <w:t>hittaren är dock skyldig att erbjuda staten att få lösa in föremålet mot beta</w:t>
      </w:r>
      <w:r w:rsidRPr="003F63DB">
        <w:t>l</w:t>
      </w:r>
      <w:r w:rsidRPr="003F63DB">
        <w:t>ning om det t.ex. innehåller guld, silver, koppar eller därmed legerade m</w:t>
      </w:r>
      <w:r w:rsidRPr="003F63DB">
        <w:t>e</w:t>
      </w:r>
      <w:r w:rsidRPr="003F63DB">
        <w:t xml:space="preserve">taller om fornfyndet består av flera föremål som kan antas ha blivit nedlagda tillsammans. </w:t>
      </w:r>
    </w:p>
    <w:p w:rsidR="00905B3E" w:rsidRPr="003F63DB" w:rsidRDefault="00905B3E">
      <w:pPr>
        <w:pStyle w:val="Normaltindrag"/>
      </w:pPr>
      <w:r w:rsidRPr="003F63DB">
        <w:t>Även om många fornlämningar är kända för de kulturmiljövårdande my</w:t>
      </w:r>
      <w:r w:rsidRPr="003F63DB">
        <w:t>n</w:t>
      </w:r>
      <w:r w:rsidRPr="003F63DB">
        <w:t>digheterna finns det ännu okända lämningar. Kulturminneslagens skydd omfattar även de okända.</w:t>
      </w: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3F63DB">
        <w:tblPrEx>
          <w:tblCellMar>
            <w:top w:w="0" w:type="dxa"/>
            <w:bottom w:w="0" w:type="dxa"/>
          </w:tblCellMar>
        </w:tblPrEx>
        <w:tc>
          <w:tcPr>
            <w:tcW w:w="6036" w:type="dxa"/>
            <w:shd w:val="pct10" w:color="auto" w:fill="FFFFFF"/>
          </w:tcPr>
          <w:p w:rsidR="00905B3E" w:rsidRPr="003F63DB" w:rsidRDefault="00905B3E">
            <w:pPr>
              <w:pStyle w:val="Tabell"/>
              <w:rPr>
                <w:rFonts w:ascii="Arial" w:hAnsi="Arial"/>
                <w:b/>
              </w:rPr>
            </w:pPr>
            <w:r w:rsidRPr="003F63DB">
              <w:br w:type="page"/>
            </w:r>
          </w:p>
          <w:p w:rsidR="00905B3E" w:rsidRPr="003F63DB" w:rsidRDefault="00905B3E">
            <w:pPr>
              <w:pStyle w:val="Tabell"/>
              <w:rPr>
                <w:rFonts w:ascii="Arial" w:hAnsi="Arial"/>
              </w:rPr>
            </w:pPr>
            <w:r w:rsidRPr="003F63DB">
              <w:rPr>
                <w:rFonts w:ascii="Arial" w:hAnsi="Arial"/>
                <w:b/>
              </w:rPr>
              <w:t>Fornminnesregistret</w:t>
            </w:r>
            <w:r w:rsidRPr="003F63DB">
              <w:rPr>
                <w:rFonts w:ascii="Arial" w:hAnsi="Arial"/>
              </w:rPr>
              <w:t xml:space="preserve"> är ett nationellt register med uppgifter om fornlämningar och andra kulturhistoriska lämningar. Registret består av två delar – ekon</w:t>
            </w:r>
            <w:r w:rsidRPr="003F63DB">
              <w:rPr>
                <w:rFonts w:ascii="Arial" w:hAnsi="Arial"/>
              </w:rPr>
              <w:t>o</w:t>
            </w:r>
            <w:r w:rsidRPr="003F63DB">
              <w:rPr>
                <w:rFonts w:ascii="Arial" w:hAnsi="Arial"/>
              </w:rPr>
              <w:t>miska kartor med varje känd fornlämning markerad och texter som beskriver fornlämningen. Registret innehåller information om närmare en miljon fasta fornlämningar och övriga kulturhistoriska lämningar, vilka finns registrerade på ca 400 000 platser i landet. Utvecklingsarbete pågår vid Riksantikvarieämb</w:t>
            </w:r>
            <w:r w:rsidRPr="003F63DB">
              <w:rPr>
                <w:rFonts w:ascii="Arial" w:hAnsi="Arial"/>
              </w:rPr>
              <w:t>e</w:t>
            </w:r>
            <w:r w:rsidRPr="003F63DB">
              <w:rPr>
                <w:rFonts w:ascii="Arial" w:hAnsi="Arial"/>
              </w:rPr>
              <w:t>tet för att göra registrets information tillgänglig digitalt.</w:t>
            </w:r>
          </w:p>
          <w:p w:rsidR="00905B3E" w:rsidRPr="003F63DB" w:rsidRDefault="00905B3E">
            <w:pPr>
              <w:pStyle w:val="Tabell"/>
              <w:rPr>
                <w:rFonts w:ascii="Arial" w:hAnsi="Arial"/>
              </w:rPr>
            </w:pPr>
            <w:r w:rsidRPr="003F63DB">
              <w:rPr>
                <w:rFonts w:ascii="Arial" w:hAnsi="Arial"/>
              </w:rPr>
              <w:br/>
              <w:t xml:space="preserve"> Källa: Ri</w:t>
            </w:r>
            <w:r w:rsidRPr="003F63DB">
              <w:rPr>
                <w:rFonts w:ascii="Arial" w:hAnsi="Arial"/>
              </w:rPr>
              <w:t>ksantikvarieämbetets webbplats 2002-03-05</w:t>
            </w:r>
          </w:p>
          <w:p w:rsidR="00905B3E" w:rsidRPr="003F63DB" w:rsidRDefault="00905B3E">
            <w:pPr>
              <w:pStyle w:val="Tabell"/>
            </w:pPr>
          </w:p>
        </w:tc>
      </w:tr>
    </w:tbl>
    <w:p w:rsidR="00905B3E" w:rsidRPr="003F63DB" w:rsidRDefault="00905B3E">
      <w:pPr>
        <w:pStyle w:val="Rubrik2"/>
      </w:pPr>
      <w:bookmarkStart w:id="45" w:name="_Toc25031896"/>
      <w:bookmarkStart w:id="46" w:name="_Toc36520724"/>
      <w:r w:rsidRPr="003F63DB">
        <w:t>Ingrepp i fornlämning kräver tillstånd</w:t>
      </w:r>
      <w:bookmarkEnd w:id="45"/>
      <w:bookmarkEnd w:id="46"/>
    </w:p>
    <w:p w:rsidR="00905B3E" w:rsidRPr="003F63DB" w:rsidRDefault="00905B3E">
      <w:r w:rsidRPr="003F63DB">
        <w:t>Det är förbjudet att utan tillstånd från länsstyrelsen på något sätt förändra, ta bort, skada eller täcka över en fornlämning.</w:t>
      </w:r>
      <w:r w:rsidRPr="003F63DB">
        <w:rPr>
          <w:rStyle w:val="Fotnotsreferens"/>
        </w:rPr>
        <w:footnoteReference w:id="1"/>
      </w:r>
      <w:r w:rsidRPr="003F63DB">
        <w:t xml:space="preserve"> Tillstånd till ingrepp i fast fornlämning kan ges av två skäl – markexploatering eller forskning. Riksa</w:t>
      </w:r>
      <w:r w:rsidRPr="003F63DB">
        <w:t>n</w:t>
      </w:r>
      <w:r w:rsidRPr="003F63DB">
        <w:t>tikvarieämbetet menar att krav på t.ex. samhällsnytta, vetenskaplighet och dokumentation gäller arkeologiska undersökningar oavsett syfte. Skälen för ett ingrepp ska väga tyngre än intresset för ett bevarande.</w:t>
      </w:r>
    </w:p>
    <w:p w:rsidR="00905B3E" w:rsidRPr="003F63DB" w:rsidRDefault="00905B3E">
      <w:pPr>
        <w:pStyle w:val="Rubrik3-Utannumrering"/>
      </w:pPr>
      <w:r w:rsidRPr="003F63DB">
        <w:t>Tillstånd vid markexploatering</w:t>
      </w:r>
    </w:p>
    <w:p w:rsidR="00905B3E" w:rsidRPr="003F63DB" w:rsidRDefault="00905B3E">
      <w:r w:rsidRPr="003F63DB">
        <w:t>Vid markexploatering ska fornlämningar i möjligaste mån undvikas; detta för att lagens krav på bevarande ska tillgodoses. Länsstyrelsen ska bara ge til</w:t>
      </w:r>
      <w:r w:rsidRPr="003F63DB">
        <w:t>l</w:t>
      </w:r>
      <w:r w:rsidRPr="003F63DB">
        <w:t>stånd till ingrepp om sam</w:t>
      </w:r>
      <w:r w:rsidRPr="003F63DB">
        <w:softHyphen/>
        <w:t>hälls</w:t>
      </w:r>
      <w:r w:rsidRPr="003F63DB">
        <w:softHyphen/>
        <w:t>intresset för exploa</w:t>
      </w:r>
      <w:r w:rsidRPr="003F63DB">
        <w:softHyphen/>
        <w:t>teringen väger tyngre än fornlämningens betydelse och vikten av att den skyddas. Av kulturminnesl</w:t>
      </w:r>
      <w:r w:rsidRPr="003F63DB">
        <w:t>a</w:t>
      </w:r>
      <w:r w:rsidRPr="003F63DB">
        <w:t>gen framgår också att fornlämningar som inte kan bevaras ska undersökas och dokumenteras på exploatörens bekostnad. För det arkeologiska arbetet ska länsstyrelsen utse undersökare för exploatörens räkning.</w:t>
      </w:r>
      <w:r w:rsidRPr="003F63DB">
        <w:rPr>
          <w:rStyle w:val="Fotnotsreferens"/>
        </w:rPr>
        <w:footnoteReference w:id="2"/>
      </w:r>
      <w:r w:rsidRPr="003F63DB">
        <w:t xml:space="preserve"> Den beslut</w:t>
      </w:r>
      <w:r w:rsidRPr="003F63DB">
        <w:t>s</w:t>
      </w:r>
      <w:r w:rsidRPr="003F63DB">
        <w:t>process och det arkeologiska arbete som utförs med anledning av en marke</w:t>
      </w:r>
      <w:r w:rsidRPr="003F63DB">
        <w:t>x</w:t>
      </w:r>
      <w:r w:rsidRPr="003F63DB">
        <w:t>ploatering brukar benämnas exploateringsarkeologi eller uppdragsa</w:t>
      </w:r>
      <w:r w:rsidRPr="003F63DB">
        <w:t>r</w:t>
      </w:r>
      <w:r w:rsidRPr="003F63DB">
        <w:t xml:space="preserve">keologi. </w:t>
      </w:r>
    </w:p>
    <w:p w:rsidR="00905B3E" w:rsidRPr="003F63DB" w:rsidRDefault="00905B3E">
      <w:pPr>
        <w:pStyle w:val="Normaltindrag"/>
      </w:pPr>
      <w:r w:rsidRPr="003F63DB">
        <w:t>Riksantikvarieämbetet uppskattar att mellan 100 och 150 fornlämningar tagits bort varje år sedan 1996 på grund av markexploatering. Ett undantag var år 1999, då antalet var knappt 40.</w:t>
      </w:r>
    </w:p>
    <w:p w:rsidR="00905B3E" w:rsidRPr="003F63DB" w:rsidRDefault="00905B3E">
      <w:pPr>
        <w:pStyle w:val="Normaltindrag"/>
        <w:rPr>
          <w:rFonts w:ascii="Arial" w:hAnsi="Arial"/>
          <w:sz w:val="16"/>
        </w:rPr>
      </w:pPr>
    </w:p>
    <w:p w:rsidR="00905B3E" w:rsidRPr="003F63DB" w:rsidRDefault="00905B3E">
      <w:pPr>
        <w:pStyle w:val="Normaltindrag"/>
        <w:rPr>
          <w:rFonts w:ascii="Arial" w:hAnsi="Arial"/>
          <w:sz w:val="16"/>
        </w:rPr>
      </w:pPr>
    </w:p>
    <w:p w:rsidR="00905B3E" w:rsidRPr="003F63DB" w:rsidRDefault="00905B3E">
      <w:pPr>
        <w:pStyle w:val="Tabell"/>
        <w:shd w:val="pct10" w:color="auto" w:fill="FFFFFF"/>
        <w:rPr>
          <w:rFonts w:ascii="Arial" w:hAnsi="Arial"/>
          <w:b/>
          <w:sz w:val="16"/>
        </w:rPr>
      </w:pPr>
    </w:p>
    <w:p w:rsidR="00905B3E" w:rsidRPr="003F63DB" w:rsidRDefault="00905B3E">
      <w:pPr>
        <w:pStyle w:val="Tabell"/>
        <w:shd w:val="pct10" w:color="auto" w:fill="FFFFFF"/>
        <w:rPr>
          <w:rFonts w:ascii="Arial" w:hAnsi="Arial"/>
          <w:b/>
        </w:rPr>
      </w:pPr>
      <w:r w:rsidRPr="003F63DB">
        <w:rPr>
          <w:rFonts w:ascii="Arial" w:hAnsi="Arial"/>
          <w:b/>
        </w:rPr>
        <w:t>Arkeologi</w:t>
      </w:r>
    </w:p>
    <w:p w:rsidR="00905B3E" w:rsidRPr="003F63DB" w:rsidRDefault="00905B3E">
      <w:pPr>
        <w:pStyle w:val="Tabell"/>
        <w:shd w:val="pct10" w:color="auto" w:fill="FFFFFF"/>
        <w:rPr>
          <w:rFonts w:ascii="Arial" w:hAnsi="Arial"/>
          <w:b/>
        </w:rPr>
      </w:pPr>
    </w:p>
    <w:p w:rsidR="00905B3E" w:rsidRPr="003F63DB" w:rsidRDefault="00905B3E">
      <w:pPr>
        <w:pStyle w:val="Tabell"/>
        <w:shd w:val="pct10" w:color="auto" w:fill="FFFFFF"/>
        <w:rPr>
          <w:rFonts w:ascii="Arial" w:hAnsi="Arial"/>
        </w:rPr>
      </w:pPr>
      <w:r w:rsidRPr="003F63DB">
        <w:rPr>
          <w:rFonts w:ascii="Arial" w:hAnsi="Arial"/>
        </w:rPr>
        <w:t xml:space="preserve">Enligt </w:t>
      </w:r>
      <w:r w:rsidRPr="003F63DB">
        <w:rPr>
          <w:rFonts w:ascii="Arial" w:hAnsi="Arial"/>
          <w:i/>
        </w:rPr>
        <w:t>Nationalencyklopedin</w:t>
      </w:r>
      <w:r w:rsidRPr="003F63DB">
        <w:rPr>
          <w:rFonts w:ascii="Arial" w:hAnsi="Arial"/>
        </w:rPr>
        <w:t xml:space="preserve"> betyder arkeologi vetenskapen om den del av kulturhistorien som föregår den skrifthistoriska tiden. Det är en vetenskap som med stöd av materiella lämningar studerar äldre tiders mänskliga kultur, sä</w:t>
      </w:r>
      <w:r w:rsidRPr="003F63DB">
        <w:rPr>
          <w:rFonts w:ascii="Arial" w:hAnsi="Arial"/>
        </w:rPr>
        <w:t>r</w:t>
      </w:r>
      <w:r w:rsidRPr="003F63DB">
        <w:rPr>
          <w:rFonts w:ascii="Arial" w:hAnsi="Arial"/>
        </w:rPr>
        <w:t xml:space="preserve">skilt studier av kulturer utan bevarade skriftliga vittnesbörd. </w:t>
      </w:r>
    </w:p>
    <w:p w:rsidR="00905B3E" w:rsidRPr="003F63DB" w:rsidRDefault="00905B3E">
      <w:pPr>
        <w:pStyle w:val="Tabell"/>
        <w:shd w:val="pct10" w:color="auto" w:fill="FFFFFF"/>
        <w:rPr>
          <w:rFonts w:ascii="Arial" w:hAnsi="Arial"/>
        </w:rPr>
      </w:pPr>
      <w:r w:rsidRPr="003F63DB">
        <w:rPr>
          <w:rFonts w:ascii="Arial" w:hAnsi="Arial"/>
        </w:rPr>
        <w:t xml:space="preserve">En annan betydelse är utgrävning, arkeologiskt fältarbete eller studier av sakmaterial från grävningar. </w:t>
      </w:r>
    </w:p>
    <w:p w:rsidR="00905B3E" w:rsidRPr="003F63DB" w:rsidRDefault="00905B3E">
      <w:pPr>
        <w:pStyle w:val="Tabell"/>
        <w:shd w:val="pct10" w:color="auto" w:fill="FFFFFF"/>
        <w:rPr>
          <w:rFonts w:ascii="Arial" w:hAnsi="Arial"/>
        </w:rPr>
      </w:pPr>
    </w:p>
    <w:p w:rsidR="00905B3E" w:rsidRPr="003F63DB" w:rsidRDefault="00905B3E">
      <w:pPr>
        <w:pStyle w:val="Tabell"/>
        <w:shd w:val="pct10" w:color="auto" w:fill="FFFFFF"/>
        <w:rPr>
          <w:rFonts w:ascii="Arial" w:hAnsi="Arial"/>
        </w:rPr>
      </w:pPr>
      <w:r w:rsidRPr="003F63DB">
        <w:rPr>
          <w:rFonts w:ascii="Arial" w:hAnsi="Arial"/>
        </w:rPr>
        <w:t xml:space="preserve">Enligt </w:t>
      </w:r>
      <w:r w:rsidRPr="003F63DB">
        <w:rPr>
          <w:rFonts w:ascii="Arial" w:hAnsi="Arial"/>
          <w:i/>
        </w:rPr>
        <w:t>universitet och högskolor</w:t>
      </w:r>
      <w:r w:rsidRPr="003F63DB">
        <w:rPr>
          <w:rFonts w:ascii="Arial" w:hAnsi="Arial"/>
        </w:rPr>
        <w:t xml:space="preserve"> grundar sig ämnet arkeologi på studier av historiskt material. Man studerar den historiska människans levnadsförhålla</w:t>
      </w:r>
      <w:r w:rsidRPr="003F63DB">
        <w:rPr>
          <w:rFonts w:ascii="Arial" w:hAnsi="Arial"/>
        </w:rPr>
        <w:t>n</w:t>
      </w:r>
      <w:r w:rsidRPr="003F63DB">
        <w:rPr>
          <w:rFonts w:ascii="Arial" w:hAnsi="Arial"/>
        </w:rPr>
        <w:t>den och samhällsbildningar, relationen till den naturliga miljön och kontakten med andra samhällen. Detta innebär att långtidsförändringar analyseras. Analyserna har betydelse även för bedömningen av många nutidsproblem.</w:t>
      </w:r>
    </w:p>
    <w:p w:rsidR="00905B3E" w:rsidRPr="003F63DB" w:rsidRDefault="00905B3E">
      <w:pPr>
        <w:pStyle w:val="Tabell"/>
        <w:shd w:val="pct10" w:color="auto" w:fill="FFFFFF"/>
        <w:rPr>
          <w:rFonts w:ascii="Arial" w:hAnsi="Arial"/>
          <w:sz w:val="16"/>
        </w:rPr>
      </w:pPr>
    </w:p>
    <w:p w:rsidR="00905B3E" w:rsidRPr="003F63DB" w:rsidRDefault="00905B3E">
      <w:pPr>
        <w:pStyle w:val="Rubrik3-Utannumrering"/>
      </w:pPr>
      <w:r w:rsidRPr="003F63DB">
        <w:t>Tillstånd i forskningssyfte</w:t>
      </w:r>
    </w:p>
    <w:p w:rsidR="00905B3E" w:rsidRPr="003F63DB" w:rsidRDefault="00905B3E">
      <w:r w:rsidRPr="003F63DB">
        <w:t>Tillstånd till arkeologiska undersökningar för forskning ges med stöd av 2 kap. 8 § kulturminneslagen. Här framgår att Riksantikvarieämbetet och län</w:t>
      </w:r>
      <w:r w:rsidRPr="003F63DB">
        <w:t>s</w:t>
      </w:r>
      <w:r w:rsidRPr="003F63DB">
        <w:t>styrelserna får undersöka en fast fornlämning eller undersöka en plats där fornfynd påträ</w:t>
      </w:r>
      <w:r w:rsidRPr="003F63DB">
        <w:t>f</w:t>
      </w:r>
      <w:r w:rsidRPr="003F63DB">
        <w:t>fats.</w:t>
      </w:r>
      <w:r w:rsidRPr="003F63DB">
        <w:rPr>
          <w:rStyle w:val="Fotnotsreferens"/>
        </w:rPr>
        <w:footnoteReference w:id="3"/>
      </w:r>
    </w:p>
    <w:p w:rsidR="00905B3E" w:rsidRPr="003F63DB" w:rsidRDefault="00905B3E">
      <w:pPr>
        <w:pStyle w:val="Normaltindrag"/>
      </w:pPr>
      <w:r w:rsidRPr="003F63DB">
        <w:t>Forskningsprojektet ska bekosta undersökningen. Den kan finansieras t.ex. med egna forskningsmedel, medel från fonder, stiftelser eller företagsspon</w:t>
      </w:r>
      <w:r w:rsidRPr="003F63DB">
        <w:t>s</w:t>
      </w:r>
      <w:r w:rsidRPr="003F63DB">
        <w:t>ring. Till skillnad från uppdragsgrävningar görs forskningsgrävningar i regel utan tidspress och på en väl avgränsad yta. Objekten väljs utifrån vetenska</w:t>
      </w:r>
      <w:r w:rsidRPr="003F63DB">
        <w:t>p</w:t>
      </w:r>
      <w:r w:rsidRPr="003F63DB">
        <w:t>liga frågeställningar, dvs. på andra grunder än de objekt som blir föremål för utgrävning vid markexploat</w:t>
      </w:r>
      <w:r w:rsidRPr="003F63DB">
        <w:t>e</w:t>
      </w:r>
      <w:r w:rsidRPr="003F63DB">
        <w:t>ring.</w:t>
      </w:r>
    </w:p>
    <w:p w:rsidR="00905B3E" w:rsidRPr="003F63DB" w:rsidRDefault="00905B3E">
      <w:pPr>
        <w:pStyle w:val="Normaltindrag"/>
      </w:pPr>
      <w:r w:rsidRPr="003F63DB">
        <w:t>Forskningsgrävningarna kan även ha andra syften än enbart forskning. Länsstyrelsen i Gotlands län ger tillstånd till forskningsgrävningar som också ska bidra till att öka bygdens attraktionskraft som turistmål. Forskningsgrä</w:t>
      </w:r>
      <w:r w:rsidRPr="003F63DB">
        <w:t>v</w:t>
      </w:r>
      <w:r w:rsidRPr="003F63DB">
        <w:t>ningar kombineras med barn</w:t>
      </w:r>
      <w:r w:rsidRPr="003F63DB">
        <w:softHyphen/>
        <w:t>arkeologi, vilket innebär att barn får delta i en arkeologisk utgrävning.</w:t>
      </w:r>
      <w:r w:rsidRPr="003F63DB">
        <w:rPr>
          <w:rStyle w:val="Fotnotsreferens"/>
        </w:rPr>
        <w:footnoteReference w:id="4"/>
      </w:r>
      <w:r w:rsidRPr="003F63DB">
        <w:t xml:space="preserve"> Andra syften är att utveckla metoder för att fö</w:t>
      </w:r>
      <w:r w:rsidRPr="003F63DB">
        <w:t>r</w:t>
      </w:r>
      <w:r w:rsidRPr="003F63DB">
        <w:t>medla arkeologisk kunskap till allmänheten och att fungera som utbildning</w:t>
      </w:r>
      <w:r w:rsidRPr="003F63DB">
        <w:t>s</w:t>
      </w:r>
      <w:r w:rsidRPr="003F63DB">
        <w:t>resurs för högskolor och skolor.</w:t>
      </w:r>
      <w:r w:rsidRPr="003F63DB">
        <w:rPr>
          <w:rStyle w:val="Fotnotsreferens"/>
        </w:rPr>
        <w:footnoteReference w:id="5"/>
      </w:r>
      <w:r w:rsidRPr="003F63DB">
        <w:t xml:space="preserve"> Under sakkunnig ledning genomförs am</w:t>
      </w:r>
      <w:r w:rsidRPr="003F63DB">
        <w:t>a</w:t>
      </w:r>
      <w:r w:rsidRPr="003F63DB">
        <w:t>törkurser i arkeologi.</w:t>
      </w:r>
      <w:r w:rsidRPr="003F63DB">
        <w:rPr>
          <w:rStyle w:val="Fotnotsreferens"/>
        </w:rPr>
        <w:footnoteReference w:id="6"/>
      </w:r>
    </w:p>
    <w:p w:rsidR="00905B3E" w:rsidRPr="003F63DB" w:rsidRDefault="00905B3E">
      <w:pPr>
        <w:pStyle w:val="Normaltindrag"/>
      </w:pPr>
      <w:r w:rsidRPr="003F63DB">
        <w:t>Sedan 1996 har länsstyrelserna gett tillstånd till i genomsnitt 85 fors</w:t>
      </w:r>
      <w:r w:rsidRPr="003F63DB">
        <w:t>k</w:t>
      </w:r>
      <w:r w:rsidRPr="003F63DB">
        <w:t>ningsgrävningar varje år. År 2001 gavs 104 sådana tillstånd.</w:t>
      </w:r>
    </w:p>
    <w:p w:rsidR="00905B3E" w:rsidRPr="003F63DB" w:rsidRDefault="00905B3E">
      <w:pPr>
        <w:pStyle w:val="Rubrik2"/>
      </w:pPr>
      <w:bookmarkStart w:id="47" w:name="_Toc25031897"/>
      <w:bookmarkStart w:id="48" w:name="_Toc36520725"/>
      <w:r w:rsidRPr="003F63DB">
        <w:t>Ingreppen är oåterkall</w:t>
      </w:r>
      <w:r w:rsidRPr="003F63DB">
        <w:t>e</w:t>
      </w:r>
      <w:r w:rsidRPr="003F63DB">
        <w:t>liga</w:t>
      </w:r>
      <w:bookmarkEnd w:id="47"/>
      <w:bookmarkEnd w:id="48"/>
    </w:p>
    <w:p w:rsidR="00905B3E" w:rsidRPr="003F63DB" w:rsidRDefault="00905B3E">
      <w:r w:rsidRPr="003F63DB">
        <w:t>När en arkeologisk undersökning väl har genomförts och fornlämningen tagits bort är ingreppet oåterkalleligt. Arkeologer får aldrig något nytt tillfälle att undersöka fornlämningen – åtminstone inte i dess rätta miljö och aldrig i dess helhet. Endast valda delar av fornlämningen lever kvar i form av tillv</w:t>
      </w:r>
      <w:r w:rsidRPr="003F63DB">
        <w:t>a</w:t>
      </w:r>
      <w:r w:rsidRPr="003F63DB">
        <w:t>ratagna fynd och arke</w:t>
      </w:r>
      <w:r w:rsidRPr="003F63DB">
        <w:t>o</w:t>
      </w:r>
      <w:r w:rsidRPr="003F63DB">
        <w:t xml:space="preserve">logisk dokumentation. </w:t>
      </w:r>
    </w:p>
    <w:p w:rsidR="00905B3E" w:rsidRPr="003F63DB" w:rsidRDefault="00905B3E">
      <w:pPr>
        <w:pStyle w:val="Normaltindrag"/>
      </w:pPr>
      <w:r w:rsidRPr="003F63DB">
        <w:t>Ingreppen är också geografiskt slumpmässiga såtillvida att arkeologiska undersökningar främst görs på de platser i landet där en markexploatering blir aktuell. Som en naturlig följd av detta görs därför ingrepp i fornlämnin</w:t>
      </w:r>
      <w:r w:rsidRPr="003F63DB">
        <w:t>g</w:t>
      </w:r>
      <w:r w:rsidRPr="003F63DB">
        <w:t xml:space="preserve">ar oftast i expansiva regioner eller regioner där det investeras i infrastruktur. </w:t>
      </w:r>
    </w:p>
    <w:p w:rsidR="00905B3E" w:rsidRPr="003F63DB" w:rsidRDefault="00905B3E">
      <w:pPr>
        <w:pStyle w:val="Normaltindrag"/>
      </w:pPr>
      <w:r w:rsidRPr="003F63DB">
        <w:t>Det finns en uppfattning om att ingreppen i våra fornlämningar beror på vad exploatören är beredd att betala för att få tillgång till marken. I sitt ark</w:t>
      </w:r>
      <w:r w:rsidRPr="003F63DB">
        <w:t>e</w:t>
      </w:r>
      <w:r w:rsidRPr="003F63DB">
        <w:t xml:space="preserve">ologiska forskningsprogram uttrycker sig Regionmuseet i Skåne på följande sätt: </w:t>
      </w:r>
    </w:p>
    <w:p w:rsidR="00905B3E" w:rsidRPr="003F63DB" w:rsidRDefault="00905B3E">
      <w:pPr>
        <w:pStyle w:val="Citat"/>
      </w:pPr>
      <w:r w:rsidRPr="003F63DB">
        <w:t>Den nuvarande praxisen i tillämpningen av Kulturminneslagen är förenklat och krasst att fornlämningar har en prislapp. Om någon vill ta bort eller bygga på en fornlämning så ges det så gott som undantagslöst tillstånd till detta, om sökanden är villig att ta en undersökningskostnad eller de andra villkor som anges i länsst</w:t>
      </w:r>
      <w:r w:rsidRPr="003F63DB">
        <w:t>y</w:t>
      </w:r>
      <w:r w:rsidRPr="003F63DB">
        <w:t xml:space="preserve">relsens beslut. </w:t>
      </w:r>
    </w:p>
    <w:p w:rsidR="00905B3E" w:rsidRPr="003F63DB" w:rsidRDefault="00905B3E">
      <w:pPr>
        <w:pStyle w:val="CitatIndrag"/>
      </w:pPr>
      <w:r w:rsidRPr="003F63DB">
        <w:t>En avgörande faktor till varför det tas bort så många fornlämningar är den många gånger dåliga planeringen hos kommuner, Vägverk, Banverk och andra företag. De rådfrågar oftast inte regionala kulturmiljöinstanser förrän i ett sent skede...</w:t>
      </w:r>
      <w:r w:rsidRPr="003F63DB">
        <w:rPr>
          <w:rStyle w:val="Fotnotsreferens"/>
        </w:rPr>
        <w:footnoteReference w:id="7"/>
      </w:r>
    </w:p>
    <w:p w:rsidR="00905B3E" w:rsidRPr="003F63DB" w:rsidRDefault="00905B3E">
      <w:pPr>
        <w:pStyle w:val="Rubrik2"/>
      </w:pPr>
      <w:bookmarkStart w:id="49" w:name="_Toc25031898"/>
      <w:bookmarkStart w:id="50" w:name="_Toc36520726"/>
      <w:r w:rsidRPr="003F63DB">
        <w:t>En beslutsprocess i tre steg</w:t>
      </w:r>
      <w:bookmarkEnd w:id="49"/>
      <w:bookmarkEnd w:id="50"/>
    </w:p>
    <w:p w:rsidR="00905B3E" w:rsidRPr="003F63DB" w:rsidRDefault="00905B3E">
      <w:bookmarkStart w:id="51" w:name="_Toc2051068"/>
      <w:r w:rsidRPr="003F63DB">
        <w:t>Den som avser att exploatera ett markområde – för att bygga bostäder eller annan större anläggning, anlägga en väg, järnväg, flygplats eller liknande – är skyldig att ta reda på om en fast fornlämning kommer att beröras av arb</w:t>
      </w:r>
      <w:r w:rsidRPr="003F63DB">
        <w:t>e</w:t>
      </w:r>
      <w:r w:rsidRPr="003F63DB">
        <w:t xml:space="preserve">tet. Exploatören ska därför samråda med länsstyrelsen. </w:t>
      </w:r>
    </w:p>
    <w:p w:rsidR="00905B3E" w:rsidRPr="003F63DB" w:rsidRDefault="00905B3E">
      <w:pPr>
        <w:pStyle w:val="Normaltindrag"/>
      </w:pPr>
      <w:r w:rsidRPr="003F63DB">
        <w:t>Tillstånd till ingrepp i fast fornlämning föregås av en beslutsprocess som i regel omfattar tre steg – särskild utredning, arkeologisk förundersökning och särskild undersökning.</w:t>
      </w:r>
      <w:r w:rsidRPr="003F63DB">
        <w:rPr>
          <w:rStyle w:val="Fotnotsreferens"/>
        </w:rPr>
        <w:footnoteReference w:id="8"/>
      </w:r>
      <w:r w:rsidRPr="003F63DB">
        <w:t xml:space="preserve"> Sedan 1996 har länsstyrelserna årligen fattat mellan 1 500 och 2 000 beslut i uppdragsarkeologiska ärenden.</w:t>
      </w:r>
      <w:r w:rsidRPr="003F63DB">
        <w:rPr>
          <w:rStyle w:val="Fotnotsreferens"/>
        </w:rPr>
        <w:footnoteReference w:id="9"/>
      </w:r>
      <w:r w:rsidRPr="003F63DB">
        <w:t xml:space="preserve"> År 2001 har kos</w:t>
      </w:r>
      <w:r w:rsidRPr="003F63DB">
        <w:t>t</w:t>
      </w:r>
      <w:r w:rsidRPr="003F63DB">
        <w:t>naderna för de arkeologiska tjänsterna beräknats uppgå till nära 330 miljoner kr</w:t>
      </w:r>
      <w:r w:rsidRPr="003F63DB">
        <w:t>o</w:t>
      </w:r>
      <w:r w:rsidRPr="003F63DB">
        <w:t xml:space="preserve">nor. </w:t>
      </w:r>
    </w:p>
    <w:p w:rsidR="00905B3E" w:rsidRPr="003F63DB" w:rsidRDefault="00905B3E">
      <w:pPr>
        <w:pStyle w:val="Rubrik3-Utannumrering"/>
      </w:pPr>
      <w:r w:rsidRPr="003F63DB">
        <w:t>Särskild utredning</w:t>
      </w:r>
    </w:p>
    <w:p w:rsidR="00905B3E" w:rsidRPr="003F63DB" w:rsidRDefault="00905B3E">
      <w:r w:rsidRPr="003F63DB">
        <w:t xml:space="preserve">Innan en länsstyrelse kan ta ställning till om man ska tillåta ingrepp i en fast fornlämning behöver man i regel förbättra sitt underlag för beslut. I samband med exploateringar som rör ett större markområde kan en </w:t>
      </w:r>
      <w:r w:rsidRPr="003F63DB">
        <w:rPr>
          <w:i/>
        </w:rPr>
        <w:t xml:space="preserve">särskild utredning </w:t>
      </w:r>
      <w:r w:rsidRPr="003F63DB">
        <w:t>behöva göras för att få reda på om någon fast fornlämning kommer att ber</w:t>
      </w:r>
      <w:r w:rsidRPr="003F63DB">
        <w:t>ö</w:t>
      </w:r>
      <w:r w:rsidRPr="003F63DB">
        <w:t>ras. Utredningen omfattar i praktiken arkiv- och fältstudier och ibland även begränsade provgrävningar, som dock inte fysiskt berör en känd fornlä</w:t>
      </w:r>
      <w:r w:rsidRPr="003F63DB">
        <w:t>m</w:t>
      </w:r>
      <w:r w:rsidRPr="003F63DB">
        <w:t>ning. Resultatet redovisas i en ra</w:t>
      </w:r>
      <w:r w:rsidRPr="003F63DB">
        <w:t>p</w:t>
      </w:r>
      <w:r w:rsidRPr="003F63DB">
        <w:t xml:space="preserve">port. </w:t>
      </w:r>
    </w:p>
    <w:p w:rsidR="00905B3E" w:rsidRPr="003F63DB" w:rsidRDefault="00905B3E">
      <w:pPr>
        <w:pStyle w:val="Rubrik3-Utannumrering"/>
      </w:pPr>
      <w:r w:rsidRPr="003F63DB">
        <w:t>Arkeologisk förundersökning</w:t>
      </w:r>
    </w:p>
    <w:p w:rsidR="00905B3E" w:rsidRPr="003F63DB" w:rsidRDefault="00905B3E">
      <w:r w:rsidRPr="003F63DB">
        <w:t>Även när en fornlämning är känd inom exploateringsområdet, antingen sedan tidigare eller genom en särskild utredning, kan länsstyrelsen inför sitt beslut behöva förbättra kunskapen om fornlämningens storlek och karaktär. Län</w:t>
      </w:r>
      <w:r w:rsidRPr="003F63DB">
        <w:t>s</w:t>
      </w:r>
      <w:r w:rsidRPr="003F63DB">
        <w:t>styrelsen kan också behöva underlag för att bättre kunna avgöra hur omfa</w:t>
      </w:r>
      <w:r w:rsidRPr="003F63DB">
        <w:t>t</w:t>
      </w:r>
      <w:r w:rsidRPr="003F63DB">
        <w:t xml:space="preserve">tande utgrävningen ska bli. Länsstyrelsen kan då besluta om en </w:t>
      </w:r>
      <w:r w:rsidRPr="003F63DB">
        <w:rPr>
          <w:i/>
        </w:rPr>
        <w:t>arkeologisk förundersökning</w:t>
      </w:r>
      <w:r w:rsidRPr="003F63DB">
        <w:t>. Förundersökningen kan omfatta grävningar i schakt som innebär ett direkt ingrepp i fornlämningen. Arbetet och resultatet dokument</w:t>
      </w:r>
      <w:r w:rsidRPr="003F63DB">
        <w:t>e</w:t>
      </w:r>
      <w:r w:rsidRPr="003F63DB">
        <w:t>ras i en rapport.</w:t>
      </w:r>
    </w:p>
    <w:p w:rsidR="00905B3E" w:rsidRPr="003F63DB" w:rsidRDefault="00905B3E">
      <w:pPr>
        <w:pStyle w:val="Normaltindrag"/>
      </w:pPr>
      <w:r w:rsidRPr="003F63DB">
        <w:t>Resultatet från en särskild utredning eller en förundersökning kan leda till att exploatören omlokaliserar det planerade projektet så att det inte alls eller bara i begränsad omfattning berör fornlä</w:t>
      </w:r>
      <w:r w:rsidRPr="003F63DB">
        <w:t>mningar. Riksantikvarieämbetet framhåller att det är angeläget att beslut om särskild utredning fattas i ett tidigt skede av exploatörens planering, när det fortfarande finns möjlighet att lokalisera projektet på ett sådant sätt att det inte berör fornlämningen.</w:t>
      </w:r>
      <w:r w:rsidRPr="003F63DB">
        <w:rPr>
          <w:rStyle w:val="Fotnotsreferens"/>
        </w:rPr>
        <w:footnoteReference w:id="10"/>
      </w:r>
      <w:r w:rsidRPr="003F63DB">
        <w:t xml:space="preserve"> En förundersökning kan i vissa fall vara den enda nödvändiga undersökningen, men är annars första ledet i en mer omfattande undersökning eller utgrä</w:t>
      </w:r>
      <w:r w:rsidRPr="003F63DB">
        <w:t>v</w:t>
      </w:r>
      <w:r w:rsidRPr="003F63DB">
        <w:t>ning, om länsstyrelsen bedömer att en fornlämning kan först</w:t>
      </w:r>
      <w:r w:rsidRPr="003F63DB">
        <w:t>ö</w:t>
      </w:r>
      <w:r w:rsidRPr="003F63DB">
        <w:t>ras.</w:t>
      </w:r>
    </w:p>
    <w:p w:rsidR="00905B3E" w:rsidRPr="003F63DB" w:rsidRDefault="00905B3E">
      <w:pPr>
        <w:pStyle w:val="Normaltindrag"/>
      </w:pPr>
      <w:r w:rsidRPr="003F63DB">
        <w:t>Trots att en särskild utredning och en arkeologisk förundersökning har g</w:t>
      </w:r>
      <w:r w:rsidRPr="003F63DB">
        <w:t>e</w:t>
      </w:r>
      <w:r w:rsidRPr="003F63DB">
        <w:t>nomförts kvarstår en osäkerhet om vilka lämningar som ligger dolda under mark.</w:t>
      </w:r>
      <w:r w:rsidRPr="003F63DB">
        <w:rPr>
          <w:rStyle w:val="Fotnotsreferens"/>
        </w:rPr>
        <w:footnoteReference w:id="11"/>
      </w:r>
    </w:p>
    <w:p w:rsidR="00905B3E" w:rsidRPr="003F63DB" w:rsidRDefault="00905B3E">
      <w:pPr>
        <w:pStyle w:val="Rubrik3-Utannumrering"/>
      </w:pPr>
      <w:r w:rsidRPr="003F63DB">
        <w:t>Särskild undersökning</w:t>
      </w:r>
    </w:p>
    <w:p w:rsidR="00905B3E" w:rsidRPr="003F63DB" w:rsidRDefault="00905B3E">
      <w:r w:rsidRPr="003F63DB">
        <w:t xml:space="preserve">Om länsstyrelsen efter sin prövning beslutar att lämna tillstånd för ingrepp i fornlämningen kan man ställa krav på </w:t>
      </w:r>
      <w:r w:rsidRPr="003F63DB">
        <w:rPr>
          <w:i/>
        </w:rPr>
        <w:t>särskild undersökning</w:t>
      </w:r>
      <w:r w:rsidRPr="003F63DB">
        <w:t>. En särskild undersökning, även kallad slutundersökning, innebär vanligtvis en arkeol</w:t>
      </w:r>
      <w:r w:rsidRPr="003F63DB">
        <w:t>o</w:t>
      </w:r>
      <w:r w:rsidRPr="003F63DB">
        <w:t>gisk utgrävning – fornlämningen tas bort. Undersökningen innefattar också efterföljande bearbetning av observationer och framtaget material samt en skriftlig rapport. Syftet är att information om fornlämningen ska dokument</w:t>
      </w:r>
      <w:r w:rsidRPr="003F63DB">
        <w:t>e</w:t>
      </w:r>
      <w:r w:rsidRPr="003F63DB">
        <w:t>ras för eftervärlden och att fornfynd ska tas till vara. Länsstyrelsen kan också ställa krav på att effekten av ingreppet på annat sätt begränsas. Förutom att ange de åtgärder som s</w:t>
      </w:r>
      <w:r w:rsidRPr="003F63DB">
        <w:t>tälls som villkor för tillståndet ska länsstyrelsen i beslutet även ange de kostnader som åtgärderna beräknas medföra för expl</w:t>
      </w:r>
      <w:r w:rsidRPr="003F63DB">
        <w:t>o</w:t>
      </w:r>
      <w:r w:rsidRPr="003F63DB">
        <w:t xml:space="preserve">atören. </w:t>
      </w:r>
    </w:p>
    <w:p w:rsidR="00905B3E" w:rsidRPr="003F63DB" w:rsidRDefault="00905B3E">
      <w:pPr>
        <w:pStyle w:val="Rubrik3-Utannumrering"/>
      </w:pPr>
      <w:r w:rsidRPr="003F63DB">
        <w:t>Länsstyrelsen väljer undersökare och svarar för tillsyn</w:t>
      </w:r>
    </w:p>
    <w:p w:rsidR="00905B3E" w:rsidRPr="003F63DB" w:rsidRDefault="00905B3E">
      <w:r w:rsidRPr="003F63DB">
        <w:t>Länsstyrelsen ska i sitt beslut om särskild utredning, förundersökning r</w:t>
      </w:r>
      <w:r w:rsidRPr="003F63DB">
        <w:t>e</w:t>
      </w:r>
      <w:r w:rsidRPr="003F63DB">
        <w:t>spektive särskild undersökning ange vem som ska utföra det arkeologiska arbetet. Vid sitt val av undersökare ska länsstyrelsen beakta att undersö</w:t>
      </w:r>
      <w:r w:rsidRPr="003F63DB">
        <w:t>k</w:t>
      </w:r>
      <w:r w:rsidRPr="003F63DB">
        <w:t>ningen ska vara av vetenskapligt god kvalitet och genomföras till en kostnad som inte är högre än vad som är motiverat med hänsyn till omständigheterna. Lagen (1992:1528) om offentlig upphandling ska inte tillämpas. Detta tillägg i kulturminneslagen 2 kap. 11 och 13 §§ infördes den 1 juli 1997.</w:t>
      </w:r>
      <w:r w:rsidRPr="003F63DB">
        <w:rPr>
          <w:rStyle w:val="Fotnotsreferens"/>
        </w:rPr>
        <w:footnoteReference w:id="12"/>
      </w:r>
      <w:r w:rsidRPr="003F63DB">
        <w:t xml:space="preserve"> När det rör sig om stora undersökningar ska länsstyrelserna dock tillämpa ett a</w:t>
      </w:r>
      <w:r w:rsidRPr="003F63DB">
        <w:t>n</w:t>
      </w:r>
      <w:r w:rsidRPr="003F63DB">
        <w:t>budsli</w:t>
      </w:r>
      <w:r w:rsidRPr="003F63DB">
        <w:t>k</w:t>
      </w:r>
      <w:r w:rsidRPr="003F63DB">
        <w:t>nande förfarande. (Se kapitel 3.)</w:t>
      </w:r>
    </w:p>
    <w:p w:rsidR="00905B3E" w:rsidRPr="003F63DB" w:rsidRDefault="00905B3E">
      <w:pPr>
        <w:pStyle w:val="Normaltindrag"/>
      </w:pPr>
      <w:r w:rsidRPr="003F63DB">
        <w:t>Länsstyrelsen svarar även för att en undersökning genomförs enligt vad som angivits i beslutet och för att uppställda kvalitetskrav upprätthålls. En annan uppgift är att se till att resultatet av undersökningen dokumenteras, redovisas och görs tillgängligt.</w:t>
      </w:r>
      <w:r w:rsidRPr="003F63DB">
        <w:rPr>
          <w:rStyle w:val="Fotnotsreferens"/>
        </w:rPr>
        <w:footnoteReference w:id="13"/>
      </w:r>
      <w:r w:rsidRPr="003F63DB">
        <w:t xml:space="preserve"> Detta anses vara en förutsättning för att kunskaper och erfarenheter kan tillvaratas och användas i forskningen och det kulturmilj</w:t>
      </w:r>
      <w:r w:rsidRPr="003F63DB">
        <w:t>ö</w:t>
      </w:r>
      <w:r w:rsidRPr="003F63DB">
        <w:t>vårdande arbetet.</w:t>
      </w:r>
      <w:r w:rsidRPr="003F63DB">
        <w:rPr>
          <w:rStyle w:val="Fotnotsreferens"/>
        </w:rPr>
        <w:footnoteReference w:id="14"/>
      </w:r>
    </w:p>
    <w:p w:rsidR="00905B3E" w:rsidRPr="003F63DB" w:rsidRDefault="00905B3E">
      <w:pPr>
        <w:pStyle w:val="Rubrik3-Utannumrering"/>
      </w:pPr>
      <w:r w:rsidRPr="003F63DB">
        <w:t>Ej tillståndspliktiga arkeologiska förstudier och utredningar</w:t>
      </w:r>
    </w:p>
    <w:p w:rsidR="00905B3E" w:rsidRPr="003F63DB" w:rsidRDefault="00905B3E">
      <w:r w:rsidRPr="003F63DB">
        <w:t>En arkeologisk utredning behöver inte föregås av ett beslut av länsstyrelsen. Det står var och en fritt att utreda om fornlämningar berörs av en exploat</w:t>
      </w:r>
      <w:r w:rsidRPr="003F63DB">
        <w:t>e</w:t>
      </w:r>
      <w:r w:rsidRPr="003F63DB">
        <w:t>ring, bara kulturminneslagens bestämmelser i övrigt beaktas. Länsstyrelsen i Kronobergs län uppger att man uppmuntrar exploatörerna att upphandla den arkeologiska utre</w:t>
      </w:r>
      <w:r w:rsidRPr="003F63DB">
        <w:t>d</w:t>
      </w:r>
      <w:r w:rsidRPr="003F63DB">
        <w:t>ningen på egen hand.</w:t>
      </w:r>
      <w:r w:rsidRPr="003F63DB">
        <w:rPr>
          <w:rStyle w:val="Fotnotsreferens"/>
        </w:rPr>
        <w:footnoteReference w:id="15"/>
      </w:r>
    </w:p>
    <w:p w:rsidR="00905B3E" w:rsidRPr="003F63DB" w:rsidRDefault="00905B3E">
      <w:pPr>
        <w:pStyle w:val="Normaltindrag"/>
      </w:pPr>
      <w:r w:rsidRPr="003F63DB">
        <w:t>Om utredningsresultatet ska kunna ligga till grund för en kommande prö</w:t>
      </w:r>
      <w:r w:rsidRPr="003F63DB">
        <w:t>v</w:t>
      </w:r>
      <w:r w:rsidRPr="003F63DB">
        <w:t>ning enligt kulturminneslagen fordras dock att det uppfyller länsstyrelsens krav och att det i övrigt kan godkännas från kvalitetssynpunkt. Om det skulle visa sig att ytterligare fornlämningar påträffas vid exploateringen, t.ex. ber</w:t>
      </w:r>
      <w:r w:rsidRPr="003F63DB">
        <w:t>o</w:t>
      </w:r>
      <w:r w:rsidRPr="003F63DB">
        <w:t>ende på en bristfälligt gjord utredning, kan staten bli betalningsansvarig för de arkeologiska tjänsterna.</w:t>
      </w:r>
      <w:r w:rsidRPr="003F63DB">
        <w:rPr>
          <w:rStyle w:val="Fotnotsreferens"/>
        </w:rPr>
        <w:footnoteReference w:id="16"/>
      </w:r>
      <w:r w:rsidRPr="003F63DB">
        <w:t xml:space="preserve"> </w:t>
      </w:r>
    </w:p>
    <w:p w:rsidR="00905B3E" w:rsidRPr="003F63DB" w:rsidRDefault="00905B3E">
      <w:pPr>
        <w:pStyle w:val="Normaltindrag"/>
      </w:pPr>
      <w:r w:rsidRPr="003F63DB">
        <w:t>I samhällsplaneringen förekommer olika typer av utredningar eller först</w:t>
      </w:r>
      <w:r w:rsidRPr="003F63DB">
        <w:t>u</w:t>
      </w:r>
      <w:r w:rsidRPr="003F63DB">
        <w:t>dier som kan vara framtagna på frivillig väg eller som ett led i miljökons</w:t>
      </w:r>
      <w:r w:rsidRPr="003F63DB">
        <w:t>e</w:t>
      </w:r>
      <w:r w:rsidRPr="003F63DB">
        <w:t>kvensbeskrivningar enligt miljöbalken (1998:808). En miljö</w:t>
      </w:r>
      <w:r w:rsidRPr="003F63DB">
        <w:softHyphen/>
        <w:t>konsekvens</w:t>
      </w:r>
      <w:r w:rsidRPr="003F63DB">
        <w:softHyphen/>
        <w:t xml:space="preserve">beskrivning kan innehålla beskrivningar av de direkta eller indirekta effekter som en planerad exploatering kan ha på landskap och kulturmiljö. Flera av de organisationer som genomför arkeologiska undersökningar tar på uppdrag fram kulturhistoriskt underlag för samhällsplanering – underlag som kan bidra till att ingrepp i fornlämningar undviks. </w:t>
      </w:r>
    </w:p>
    <w:p w:rsidR="00905B3E" w:rsidRPr="003F63DB" w:rsidRDefault="00905B3E">
      <w:pPr>
        <w:pStyle w:val="Rubrik2"/>
      </w:pPr>
      <w:bookmarkStart w:id="52" w:name="_Toc25031899"/>
      <w:bookmarkStart w:id="53" w:name="_Toc36520727"/>
      <w:r w:rsidRPr="003F63DB">
        <w:t>Många är inblandad</w:t>
      </w:r>
      <w:r w:rsidRPr="003F63DB">
        <w:t>e i uppdragsarkeologin</w:t>
      </w:r>
      <w:bookmarkEnd w:id="52"/>
      <w:bookmarkEnd w:id="53"/>
    </w:p>
    <w:p w:rsidR="00905B3E" w:rsidRPr="003F63DB" w:rsidRDefault="00905B3E">
      <w:r w:rsidRPr="003F63DB">
        <w:t>Uppdragsarkeologi brukar beskrivas som ett system med i huvudsak tre parter – de kulturmiljövårdande myndigheterna, undersökarna samt exploat</w:t>
      </w:r>
      <w:r w:rsidRPr="003F63DB">
        <w:t>ö</w:t>
      </w:r>
      <w:r w:rsidRPr="003F63DB">
        <w:t>rerna. Andra organisationer med ansvar eller uppgifter som rör kulturmilj</w:t>
      </w:r>
      <w:r w:rsidRPr="003F63DB">
        <w:t>ö</w:t>
      </w:r>
      <w:r w:rsidRPr="003F63DB">
        <w:t xml:space="preserve">vård eller arkeologi är högskolorna och de regionala museerna. </w:t>
      </w:r>
    </w:p>
    <w:p w:rsidR="00905B3E" w:rsidRPr="003F63DB" w:rsidRDefault="00905B3E">
      <w:pPr>
        <w:pStyle w:val="Normaltindrag"/>
      </w:pPr>
      <w:r w:rsidRPr="003F63DB">
        <w:t>Exploatören står för kostnaderna, men har begränsade möjligheter att p</w:t>
      </w:r>
      <w:r w:rsidRPr="003F63DB">
        <w:t>å</w:t>
      </w:r>
      <w:r w:rsidRPr="003F63DB">
        <w:t>verka länsstyrelsens val av undersökare och kostnaderna för undersökarens tjänster. Trots det brukar exploatörerna av alla inblandade parter benämnas som uppdrags</w:t>
      </w:r>
      <w:r w:rsidRPr="003F63DB">
        <w:softHyphen/>
        <w:t>givaren. Det förklaras av att det är exploatören som ytterst avgör om en arkeologisk undersökning ska genomföras utifrån de villkor länsstyrelsen ställt.</w:t>
      </w:r>
    </w:p>
    <w:p w:rsidR="00905B3E" w:rsidRPr="003F63DB" w:rsidRDefault="00905B3E">
      <w:pPr>
        <w:pStyle w:val="Rubrik3-Utannumrering"/>
      </w:pPr>
      <w:r w:rsidRPr="003F63DB">
        <w:t>Riksantikvarieämbetet</w:t>
      </w:r>
      <w:bookmarkEnd w:id="51"/>
      <w:r w:rsidRPr="003F63DB">
        <w:t xml:space="preserve"> </w:t>
      </w:r>
    </w:p>
    <w:p w:rsidR="00905B3E" w:rsidRPr="003F63DB" w:rsidRDefault="00905B3E">
      <w:r w:rsidRPr="003F63DB">
        <w:t>Riksantikvarieämbetet (RAÄ) är central förvaltningsmyndighet för frågor om kulturmiljön och kulturarvet. Med kulturmiljö menas den miljö som har formats av människor genom tiderna, t.ex. boplatser, boendemiljöer, ko</w:t>
      </w:r>
      <w:r w:rsidRPr="003F63DB">
        <w:t>m</w:t>
      </w:r>
      <w:r w:rsidRPr="003F63DB">
        <w:t>munikationsleder och jord- och skogsbruk. Kulturarvet utgörs av de traditi</w:t>
      </w:r>
      <w:r w:rsidRPr="003F63DB">
        <w:t>o</w:t>
      </w:r>
      <w:r w:rsidRPr="003F63DB">
        <w:t>ner och värden som förs över från tidigare generationer. Enligt sin instru</w:t>
      </w:r>
      <w:r w:rsidRPr="003F63DB">
        <w:t>k</w:t>
      </w:r>
      <w:r w:rsidRPr="003F63DB">
        <w:t xml:space="preserve">tion (1997:1171) ska Riksantikvarieämbetet värna om kulturvärden och verka för att hänsyn tas till kulturarvet. </w:t>
      </w:r>
    </w:p>
    <w:p w:rsidR="00905B3E" w:rsidRPr="003F63DB" w:rsidRDefault="00905B3E">
      <w:pPr>
        <w:pStyle w:val="Normaltindrag"/>
      </w:pPr>
      <w:r w:rsidRPr="003F63DB">
        <w:t>Riksantikvarieämbetet har flera myndighetsuppgifter med anknytning till uppdragsarkeologi. En uppgift är att föra och utveckla de centrala arkeol</w:t>
      </w:r>
      <w:r w:rsidRPr="003F63DB">
        <w:t>o</w:t>
      </w:r>
      <w:r w:rsidRPr="003F63DB">
        <w:t xml:space="preserve">giska registren såsom fornminnesregistret och det antikvarisk-topografiska arkivet. </w:t>
      </w:r>
    </w:p>
    <w:p w:rsidR="00905B3E" w:rsidRPr="003F63DB" w:rsidRDefault="00905B3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3F63DB">
        <w:tblPrEx>
          <w:tblCellMar>
            <w:top w:w="0" w:type="dxa"/>
            <w:bottom w:w="0" w:type="dxa"/>
          </w:tblCellMar>
        </w:tblPrEx>
        <w:tc>
          <w:tcPr>
            <w:tcW w:w="6036" w:type="dxa"/>
            <w:shd w:val="pct10" w:color="auto" w:fill="FFFFFF"/>
          </w:tcPr>
          <w:p w:rsidR="00905B3E" w:rsidRPr="003F63DB" w:rsidRDefault="00905B3E">
            <w:pPr>
              <w:pStyle w:val="Tabell"/>
              <w:rPr>
                <w:rFonts w:ascii="Arial" w:hAnsi="Arial"/>
                <w:b/>
              </w:rPr>
            </w:pPr>
          </w:p>
          <w:p w:rsidR="00905B3E" w:rsidRPr="003F63DB" w:rsidRDefault="00905B3E">
            <w:pPr>
              <w:pStyle w:val="Tabell"/>
              <w:rPr>
                <w:rFonts w:ascii="Arial" w:hAnsi="Arial"/>
              </w:rPr>
            </w:pPr>
            <w:r w:rsidRPr="003F63DB">
              <w:rPr>
                <w:rFonts w:ascii="Arial" w:hAnsi="Arial"/>
                <w:b/>
              </w:rPr>
              <w:t xml:space="preserve">Antikvarisk-topografiska arkivet </w:t>
            </w:r>
            <w:r w:rsidRPr="003F63DB">
              <w:rPr>
                <w:rFonts w:ascii="Arial" w:hAnsi="Arial"/>
              </w:rPr>
              <w:t>(ATA) är centralt arkiv för Riksantikvari</w:t>
            </w:r>
            <w:r w:rsidRPr="003F63DB">
              <w:rPr>
                <w:rFonts w:ascii="Arial" w:hAnsi="Arial"/>
              </w:rPr>
              <w:t>e</w:t>
            </w:r>
            <w:r w:rsidRPr="003F63DB">
              <w:rPr>
                <w:rFonts w:ascii="Arial" w:hAnsi="Arial"/>
              </w:rPr>
              <w:t>ämbetet, Statens historiska museum och Kungliga myntkabinettet. Här finns handlingar sedan 1666. En av de viktigaste serierna i ämbetsarkivet, den s.k. topografiska serien, består av handlingar ordnade efter landskap och stad eller socken. De innehåller uppgifter om fornlämningar och arkeologiska fynd m.m. Vid sidan av de topografiska serierna finns stora ritnings- och fotograf</w:t>
            </w:r>
            <w:r w:rsidRPr="003F63DB">
              <w:rPr>
                <w:rFonts w:ascii="Arial" w:hAnsi="Arial"/>
              </w:rPr>
              <w:t>i</w:t>
            </w:r>
            <w:r w:rsidRPr="003F63DB">
              <w:rPr>
                <w:rFonts w:ascii="Arial" w:hAnsi="Arial"/>
              </w:rPr>
              <w:t>samlingar – planer och uppmätningar från arkeologiska inventeringar och utgrävningar, bil</w:t>
            </w:r>
            <w:r w:rsidRPr="003F63DB">
              <w:rPr>
                <w:rFonts w:ascii="Arial" w:hAnsi="Arial"/>
              </w:rPr>
              <w:t>der över kultu</w:t>
            </w:r>
            <w:r w:rsidRPr="003F63DB">
              <w:rPr>
                <w:rFonts w:ascii="Arial" w:hAnsi="Arial"/>
              </w:rPr>
              <w:t>r</w:t>
            </w:r>
            <w:r w:rsidRPr="003F63DB">
              <w:rPr>
                <w:rFonts w:ascii="Arial" w:hAnsi="Arial"/>
              </w:rPr>
              <w:t xml:space="preserve">miljöer och fasta fornlämningar. </w:t>
            </w:r>
          </w:p>
          <w:p w:rsidR="00905B3E" w:rsidRPr="003F63DB" w:rsidRDefault="00905B3E">
            <w:pPr>
              <w:pStyle w:val="Tabell"/>
              <w:rPr>
                <w:rFonts w:ascii="Arial" w:hAnsi="Arial"/>
              </w:rPr>
            </w:pPr>
          </w:p>
          <w:p w:rsidR="00905B3E" w:rsidRPr="003F63DB" w:rsidRDefault="00905B3E">
            <w:pPr>
              <w:pStyle w:val="Tabell"/>
              <w:rPr>
                <w:rFonts w:ascii="Arial" w:hAnsi="Arial"/>
              </w:rPr>
            </w:pPr>
            <w:r w:rsidRPr="003F63DB">
              <w:rPr>
                <w:rFonts w:ascii="Arial" w:hAnsi="Arial"/>
              </w:rPr>
              <w:t>Källa: Riksantikvarieämbetets webbplats 2002-03-05</w:t>
            </w:r>
          </w:p>
          <w:p w:rsidR="00905B3E" w:rsidRPr="003F63DB" w:rsidRDefault="00905B3E">
            <w:pPr>
              <w:pStyle w:val="Tabell"/>
            </w:pPr>
          </w:p>
        </w:tc>
      </w:tr>
    </w:tbl>
    <w:p w:rsidR="00905B3E" w:rsidRPr="003F63DB" w:rsidRDefault="00905B3E">
      <w:r w:rsidRPr="003F63DB">
        <w:t>En annan myndighetsuppgift är att besluta om verkställighetsföreskrifter vad gäller förfarandet vid ingrepp i fast fornlämning.</w:t>
      </w:r>
      <w:r w:rsidRPr="003F63DB">
        <w:rPr>
          <w:rStyle w:val="Fotnotsreferens"/>
        </w:rPr>
        <w:footnoteReference w:id="17"/>
      </w:r>
      <w:r w:rsidRPr="003F63DB">
        <w:t xml:space="preserve"> Myndigheten ger också ut allmänna råd och rekommendationer som rör uppdragsarkeologi. Den ce</w:t>
      </w:r>
      <w:r w:rsidRPr="003F63DB">
        <w:t>n</w:t>
      </w:r>
      <w:r w:rsidRPr="003F63DB">
        <w:t>trala tillsynen</w:t>
      </w:r>
      <w:r w:rsidRPr="003F63DB">
        <w:rPr>
          <w:rStyle w:val="Fotnotsreferens"/>
        </w:rPr>
        <w:footnoteReference w:id="18"/>
      </w:r>
      <w:r w:rsidRPr="003F63DB">
        <w:t xml:space="preserve"> (överinseende) av kulturminneslagens tillämpning bl.a. när det gäller fornlämningar är en annan av Riksantikvari</w:t>
      </w:r>
      <w:r w:rsidRPr="003F63DB">
        <w:t>e</w:t>
      </w:r>
      <w:r w:rsidRPr="003F63DB">
        <w:t xml:space="preserve">ämbetets uppgifter. </w:t>
      </w:r>
    </w:p>
    <w:p w:rsidR="00905B3E" w:rsidRPr="003F63DB" w:rsidRDefault="00905B3E">
      <w:pPr>
        <w:pStyle w:val="Normaltindrag"/>
      </w:pPr>
      <w:r w:rsidRPr="003F63DB">
        <w:t>Med ca 16 miljoner kronor årligen stöder Riksantikvarieämbetet fors</w:t>
      </w:r>
      <w:r w:rsidRPr="003F63DB">
        <w:t>k</w:t>
      </w:r>
      <w:r w:rsidRPr="003F63DB">
        <w:t>nings- och utvecklingsarbete inom kulturområdet, däribland projekt som rör kulturhistorisk kunskap och uppdragsarkeologi.</w:t>
      </w:r>
      <w:r w:rsidRPr="003F63DB">
        <w:rPr>
          <w:rStyle w:val="Fotnotsreferens"/>
        </w:rPr>
        <w:footnoteReference w:id="19"/>
      </w:r>
      <w:r w:rsidRPr="003F63DB">
        <w:t xml:space="preserve"> Myndigheten driver själv vissa utvecklingsprojekt som rör up</w:t>
      </w:r>
      <w:r w:rsidRPr="003F63DB">
        <w:t>p</w:t>
      </w:r>
      <w:r w:rsidRPr="003F63DB">
        <w:t>dragsarkeologi.</w:t>
      </w:r>
    </w:p>
    <w:p w:rsidR="00905B3E" w:rsidRPr="003F63DB" w:rsidRDefault="00905B3E">
      <w:pPr>
        <w:pStyle w:val="Normaltindrag"/>
      </w:pPr>
      <w:r w:rsidRPr="003F63DB">
        <w:t>Vid sidan av dessa myndighetsuppgifter ska Riksantik</w:t>
      </w:r>
      <w:r w:rsidRPr="003F63DB">
        <w:softHyphen/>
        <w:t>varie</w:t>
      </w:r>
      <w:r w:rsidRPr="003F63DB">
        <w:softHyphen/>
        <w:t>ämbetet enligt instruktionen utföra arkeologiska undersökningar. Myndighetens arkeo</w:t>
      </w:r>
      <w:r w:rsidRPr="003F63DB">
        <w:softHyphen/>
        <w:t>logiska uppdragsverksamhet är den mest omfattande i landet och har bedr</w:t>
      </w:r>
      <w:r w:rsidRPr="003F63DB">
        <w:t>i</w:t>
      </w:r>
      <w:r w:rsidRPr="003F63DB">
        <w:t>vits sedan 1959. Verksamheten utförs av avdelningen för arkeologiska u</w:t>
      </w:r>
      <w:r w:rsidRPr="003F63DB">
        <w:t>n</w:t>
      </w:r>
      <w:r w:rsidRPr="003F63DB">
        <w:t>dersö</w:t>
      </w:r>
      <w:r w:rsidRPr="003F63DB">
        <w:t>k</w:t>
      </w:r>
      <w:r w:rsidRPr="003F63DB">
        <w:t>ningar, vanligen kallad UV (uppdragsverksamheten). Av reglerings</w:t>
      </w:r>
      <w:r w:rsidRPr="003F63DB">
        <w:softHyphen/>
        <w:t>brevet till Riksantikvarieämbetet för år 2002 framgår att verksamheten ska utgöra ett separat verksamhets- och resultatområde som i sin helhet ska f</w:t>
      </w:r>
      <w:r w:rsidRPr="003F63DB">
        <w:t>i</w:t>
      </w:r>
      <w:r w:rsidRPr="003F63DB">
        <w:t>nansieras med avgiftsintäkter och andra externa intäkter.</w:t>
      </w:r>
    </w:p>
    <w:p w:rsidR="00905B3E" w:rsidRPr="003F63DB" w:rsidRDefault="00905B3E">
      <w:pPr>
        <w:pStyle w:val="Normaltindrag"/>
      </w:pPr>
      <w:r w:rsidRPr="003F63DB">
        <w:t>Riksantikvarieämbetet ska också svara för antikvarisk konservering – en tjänst som utförs på uppdrag och finansieras med avgiftsintäkter. Antikvarisk konservering utförs av antikvarisk-tekniska avdelningen, som har en blandf</w:t>
      </w:r>
      <w:r w:rsidRPr="003F63DB">
        <w:t>i</w:t>
      </w:r>
      <w:r w:rsidRPr="003F63DB">
        <w:t>nansiering.</w:t>
      </w:r>
    </w:p>
    <w:p w:rsidR="00905B3E" w:rsidRPr="003F63DB" w:rsidRDefault="00905B3E">
      <w:pPr>
        <w:pStyle w:val="Normaltindrag"/>
      </w:pPr>
      <w:r w:rsidRPr="003F63DB">
        <w:t>Riksantikvarieämbetet har rätt att överklaga beslut fattade av domstol eller annan myndighet enligt kulturminneslagen.</w:t>
      </w:r>
      <w:r w:rsidRPr="003F63DB">
        <w:rPr>
          <w:rStyle w:val="Fotnotsreferens"/>
        </w:rPr>
        <w:footnoteReference w:id="20"/>
      </w:r>
      <w:r w:rsidRPr="003F63DB">
        <w:t xml:space="preserve"> Rätten till överprövning o</w:t>
      </w:r>
      <w:r w:rsidRPr="003F63DB">
        <w:t>m</w:t>
      </w:r>
      <w:r w:rsidRPr="003F63DB">
        <w:t xml:space="preserve">fattar även de beslut om uppdragsarkeologiska ärenden som länsstyrelserna fattat. Riksantikvarieämbetet kan därmed överklaga beslut som rör eller får konsekvenser för myndighetens egen uppdragsverksamhet, något man också gjort. </w:t>
      </w:r>
    </w:p>
    <w:p w:rsidR="00905B3E" w:rsidRPr="003F63DB" w:rsidRDefault="00905B3E">
      <w:pPr>
        <w:pStyle w:val="Rubrik3-Utannumrering"/>
      </w:pPr>
      <w:r w:rsidRPr="003F63DB">
        <w:t>Länsstyrelserna</w:t>
      </w:r>
    </w:p>
    <w:p w:rsidR="00905B3E" w:rsidRPr="003F63DB" w:rsidRDefault="00905B3E">
      <w:r w:rsidRPr="003F63DB">
        <w:t>Länsstyrelserna och de regionala museerna – länsmuseerna eller motsvara</w:t>
      </w:r>
      <w:r w:rsidRPr="003F63DB">
        <w:t>n</w:t>
      </w:r>
      <w:r w:rsidRPr="003F63DB">
        <w:t>de museer – bildar tillsammans kulturmiljösektorns regionala organisation. Länsstyrelserna fattar beslut i löpande förvaltnings</w:t>
      </w:r>
      <w:r w:rsidRPr="003F63DB">
        <w:softHyphen/>
        <w:t>ärenden, t.ex. beslut om ingrepp i fast fornlämning. Inför beslut som är av större vikt ska länsstyre</w:t>
      </w:r>
      <w:r w:rsidRPr="003F63DB">
        <w:t>l</w:t>
      </w:r>
      <w:r w:rsidRPr="003F63DB">
        <w:t>serna samråda med Riksantikvarieämbetet.</w:t>
      </w:r>
      <w:r w:rsidRPr="003F63DB">
        <w:rPr>
          <w:rStyle w:val="Fotnotsreferens"/>
        </w:rPr>
        <w:footnoteReference w:id="21"/>
      </w:r>
      <w:r w:rsidRPr="003F63DB">
        <w:t xml:space="preserve"> Enligt kulturminneslagen ska länsstyrelserna ha tillsyn över kulturminnesvården i respektive län. Vid til</w:t>
      </w:r>
      <w:r w:rsidRPr="003F63DB">
        <w:t>l</w:t>
      </w:r>
      <w:r w:rsidRPr="003F63DB">
        <w:t>synen ska de samverka med kulturminnesvårdande organ i länet och särskilt det regionala museet.</w:t>
      </w:r>
      <w:r w:rsidRPr="003F63DB">
        <w:rPr>
          <w:rStyle w:val="Fotnotsreferens"/>
        </w:rPr>
        <w:footnoteReference w:id="22"/>
      </w:r>
      <w:r w:rsidRPr="003F63DB">
        <w:t xml:space="preserve"> </w:t>
      </w:r>
    </w:p>
    <w:p w:rsidR="00905B3E" w:rsidRPr="003F63DB" w:rsidRDefault="00905B3E">
      <w:pPr>
        <w:pStyle w:val="Normaltindrag"/>
      </w:pPr>
      <w:r w:rsidRPr="003F63DB">
        <w:t>Länsstyrelserna har också till uppgift att främja det egna länets utveckling och ska samordna olika samhällsintressen inom myndighetens ansvarsomr</w:t>
      </w:r>
      <w:r w:rsidRPr="003F63DB">
        <w:t>å</w:t>
      </w:r>
      <w:r w:rsidRPr="003F63DB">
        <w:t>de. Utöver uppgifter inom kulturmiljövården har länsstyrelserna uppgifter som gäller bl.a. samhällsplanering och boende, kommunikationer, regional näringspolitik, naturvård och miljöskydd.</w:t>
      </w:r>
      <w:r w:rsidRPr="003F63DB">
        <w:rPr>
          <w:rStyle w:val="Fotnotsreferens"/>
        </w:rPr>
        <w:footnoteReference w:id="23"/>
      </w:r>
      <w:r w:rsidRPr="003F63DB">
        <w:t xml:space="preserve"> Skyddet av fornlämningar, li</w:t>
      </w:r>
      <w:r w:rsidRPr="003F63DB">
        <w:t>k</w:t>
      </w:r>
      <w:r w:rsidRPr="003F63DB">
        <w:t>som skyddet av natur och miljö, ska således vägas mot samhälleliga och enskilda intressen av att utveckla länet vad gäller infrastruktur, bostadsby</w:t>
      </w:r>
      <w:r w:rsidRPr="003F63DB">
        <w:t>g</w:t>
      </w:r>
      <w:r w:rsidRPr="003F63DB">
        <w:t>gande, företagande och sysse</w:t>
      </w:r>
      <w:r w:rsidRPr="003F63DB">
        <w:t>l</w:t>
      </w:r>
      <w:r w:rsidRPr="003F63DB">
        <w:t xml:space="preserve">sättning. </w:t>
      </w:r>
    </w:p>
    <w:p w:rsidR="00905B3E" w:rsidRPr="003F63DB" w:rsidRDefault="00905B3E">
      <w:pPr>
        <w:pStyle w:val="Normaltindrag"/>
      </w:pPr>
      <w:r w:rsidRPr="003F63DB">
        <w:t>Länsstyrelserna ska även verka för en effektiv konkurrens i privat och o</w:t>
      </w:r>
      <w:r w:rsidRPr="003F63DB">
        <w:t>f</w:t>
      </w:r>
      <w:r w:rsidRPr="003F63DB">
        <w:t>fentlig sektor i sina respektive län. De ska även verka för att konkurren</w:t>
      </w:r>
      <w:r w:rsidRPr="003F63DB">
        <w:t>s</w:t>
      </w:r>
      <w:r w:rsidRPr="003F63DB">
        <w:t>aspekten beaktas i länsstyrelsernas eget arbete.</w:t>
      </w:r>
      <w:r w:rsidRPr="003F63DB">
        <w:rPr>
          <w:rStyle w:val="Fotnotsreferens"/>
        </w:rPr>
        <w:footnoteReference w:id="24"/>
      </w:r>
      <w:r w:rsidRPr="003F63DB">
        <w:t xml:space="preserve"> </w:t>
      </w:r>
    </w:p>
    <w:p w:rsidR="00905B3E" w:rsidRPr="003F63DB" w:rsidRDefault="00905B3E">
      <w:pPr>
        <w:pStyle w:val="Rubrik3-Utannumrering"/>
      </w:pPr>
      <w:r w:rsidRPr="003F63DB">
        <w:t>Regionala museer</w:t>
      </w:r>
    </w:p>
    <w:p w:rsidR="00905B3E" w:rsidRPr="003F63DB" w:rsidRDefault="00905B3E">
      <w:r w:rsidRPr="003F63DB">
        <w:t>Det regionala kulturmiljöarbetet bygger i flertalet län på en samverkan me</w:t>
      </w:r>
      <w:r w:rsidRPr="003F63DB">
        <w:t>l</w:t>
      </w:r>
      <w:r w:rsidRPr="003F63DB">
        <w:t>lan ett statsbidragsberättigat museum och länsstyrelsen. De regionala mus</w:t>
      </w:r>
      <w:r w:rsidRPr="003F63DB">
        <w:t>e</w:t>
      </w:r>
      <w:r w:rsidRPr="003F63DB">
        <w:t>erna är självständiga juridiska personer, vanligen stiftelser. Ofta är landstin</w:t>
      </w:r>
      <w:r w:rsidRPr="003F63DB">
        <w:t>g</w:t>
      </w:r>
      <w:r w:rsidRPr="003F63DB">
        <w:t>et tillsammans med en kommun och en hembygds- eller fornminnesförening stiftare. Västerbottens museum drivs som ett aktiebolag.</w:t>
      </w:r>
    </w:p>
    <w:p w:rsidR="00905B3E" w:rsidRPr="003F63DB" w:rsidRDefault="00905B3E">
      <w:pPr>
        <w:pStyle w:val="Normaltindrag"/>
      </w:pPr>
      <w:r w:rsidRPr="003F63DB">
        <w:t>Museerna är berättigade till statsbidrag för kulturmiljöarbetet om de också får bidrag från landstinget eller någon annan huvudman.</w:t>
      </w:r>
      <w:r w:rsidRPr="003F63DB">
        <w:rPr>
          <w:rStyle w:val="Fotnotsreferens"/>
        </w:rPr>
        <w:footnoteReference w:id="25"/>
      </w:r>
      <w:r w:rsidRPr="003F63DB">
        <w:t xml:space="preserve"> Statsbidraget ska stödja museerna i deras uppgift att samla in, bearbeta och förmedla kunskap om bl.a. regionens kulturarv. Riksdagen har för budgetåret 2002 beslutat om bidrag till regionala museer på drygt 137 miljoner kronor.</w:t>
      </w:r>
      <w:r w:rsidRPr="003F63DB">
        <w:rPr>
          <w:rStyle w:val="Fotnotsreferens"/>
        </w:rPr>
        <w:footnoteReference w:id="26"/>
      </w:r>
      <w:r w:rsidRPr="003F63DB">
        <w:t xml:space="preserve"> Den överväga</w:t>
      </w:r>
      <w:r w:rsidRPr="003F63DB">
        <w:t>n</w:t>
      </w:r>
      <w:r w:rsidRPr="003F63DB">
        <w:t>de delen av stödet fördelas av Statens kulturråd efter samråd med Riksanti</w:t>
      </w:r>
      <w:r w:rsidRPr="003F63DB">
        <w:t>k</w:t>
      </w:r>
      <w:r w:rsidRPr="003F63DB">
        <w:t>varieämbetet. Stöd till regionala och lokala museer i försökslänen Kalmar, Gotland och Skåne fördelas av Riksantikvarieämbetet.</w:t>
      </w:r>
      <w:r w:rsidRPr="003F63DB">
        <w:rPr>
          <w:rStyle w:val="Fotnotsreferens"/>
        </w:rPr>
        <w:footnoteReference w:id="27"/>
      </w:r>
      <w:r w:rsidRPr="003F63DB">
        <w:t xml:space="preserve"> Staten kan ställa villkor för stödet. Sådana villkor kan vara att museet ska bidra med kunskap till länsstyrelsen, utföra besiktningar eller vara remissi</w:t>
      </w:r>
      <w:r w:rsidRPr="003F63DB">
        <w:t>n</w:t>
      </w:r>
      <w:r w:rsidRPr="003F63DB">
        <w:t>stans.</w:t>
      </w:r>
      <w:r w:rsidRPr="003F63DB">
        <w:rPr>
          <w:rStyle w:val="Fotnotsreferens"/>
        </w:rPr>
        <w:footnoteReference w:id="28"/>
      </w:r>
      <w:r w:rsidRPr="003F63DB">
        <w:t xml:space="preserve"> </w:t>
      </w:r>
    </w:p>
    <w:p w:rsidR="00905B3E" w:rsidRPr="003F63DB" w:rsidRDefault="00905B3E">
      <w:pPr>
        <w:pStyle w:val="Normaltindrag"/>
      </w:pPr>
      <w:r w:rsidRPr="003F63DB">
        <w:t>De flesta regionala museer bedriver arkeologisk uppdragsverksamhet. I ett ärende där en fornlämning berörs kan museet således ha medverkat dels som kunskapspartner och remissinstans, dels som undersökande organisation.</w:t>
      </w:r>
    </w:p>
    <w:p w:rsidR="00905B3E" w:rsidRPr="003F63DB" w:rsidRDefault="00905B3E">
      <w:pPr>
        <w:pStyle w:val="Rubrik3-Utannumrering"/>
      </w:pPr>
      <w:r w:rsidRPr="003F63DB">
        <w:t>Exploatörerna</w:t>
      </w:r>
    </w:p>
    <w:p w:rsidR="00905B3E" w:rsidRPr="003F63DB" w:rsidRDefault="00905B3E">
      <w:r w:rsidRPr="003F63DB">
        <w:t>Exploatörer kan vara kommuner, statliga myndigheter, privata företag, pr</w:t>
      </w:r>
      <w:r w:rsidRPr="003F63DB">
        <w:t>i</w:t>
      </w:r>
      <w:r w:rsidRPr="003F63DB">
        <w:t>vatpersoner eller ideella föreningar, t.ex. golfklubbar. Markexploateringen kan alltså styras av ett samhällsintresse, ett affärsintresse eller av ett rent privat intresse. Projektet kan finans</w:t>
      </w:r>
      <w:r w:rsidRPr="003F63DB">
        <w:t>i</w:t>
      </w:r>
      <w:r w:rsidRPr="003F63DB">
        <w:t xml:space="preserve">eras med offentliga eller privata medel. </w:t>
      </w:r>
    </w:p>
    <w:p w:rsidR="00905B3E" w:rsidRPr="003F63DB" w:rsidRDefault="00905B3E">
      <w:pPr>
        <w:pStyle w:val="Normaltindrag"/>
      </w:pPr>
      <w:r w:rsidRPr="003F63DB">
        <w:t>Exploatörernas primära intresse är att få tillgång till marken. För detta måste de vara beredda att betala för de arkeologiska utredningar och unde</w:t>
      </w:r>
      <w:r w:rsidRPr="003F63DB">
        <w:t>r</w:t>
      </w:r>
      <w:r w:rsidRPr="003F63DB">
        <w:t>sökningar som länsstyrelsen har beslutat ska genomföras. Kravet på arkeol</w:t>
      </w:r>
      <w:r w:rsidRPr="003F63DB">
        <w:t>o</w:t>
      </w:r>
      <w:r w:rsidRPr="003F63DB">
        <w:t>giska undersökningar kan uppfattas som ett moment som fördyrar och förs</w:t>
      </w:r>
      <w:r w:rsidRPr="003F63DB">
        <w:t>e</w:t>
      </w:r>
      <w:r w:rsidRPr="003F63DB">
        <w:t xml:space="preserve">nar exploateringen. </w:t>
      </w:r>
    </w:p>
    <w:p w:rsidR="00905B3E" w:rsidRPr="003F63DB" w:rsidRDefault="00905B3E">
      <w:pPr>
        <w:pStyle w:val="Normaltindrag"/>
      </w:pPr>
      <w:r w:rsidRPr="003F63DB">
        <w:t>Riksantikvarieämbetet har inte kunnat ta fram aktuella uppgifter om hur de totala arkeologikostnaderna fördelas på olika kategorier av exploatörer. Av ett utkast till en intern promemoria från år 2000 går att utläsa att staten, g</w:t>
      </w:r>
      <w:r w:rsidRPr="003F63DB">
        <w:t>e</w:t>
      </w:r>
      <w:r w:rsidRPr="003F63DB">
        <w:t>nom främst Vägverket och Banverket, är den största exploatören. De statliga exploatörerna stod för mellan 70 och 80 % av de totala arkeologikostnaderna åren 1996–1998, medan kommunerna stod för ca 10 % av kostnaderna.</w:t>
      </w:r>
      <w:r w:rsidRPr="003F63DB">
        <w:rPr>
          <w:rStyle w:val="Fotnotsreferens"/>
        </w:rPr>
        <w:footnoteReference w:id="29"/>
      </w:r>
      <w:r w:rsidRPr="003F63DB">
        <w:t xml:space="preserve"> Huvuddelen av uppdragsarkeologin bekostas därmed med skatt</w:t>
      </w:r>
      <w:r w:rsidRPr="003F63DB">
        <w:t>e</w:t>
      </w:r>
      <w:r w:rsidRPr="003F63DB">
        <w:t>medel.</w:t>
      </w:r>
    </w:p>
    <w:p w:rsidR="00905B3E" w:rsidRPr="003F63DB" w:rsidRDefault="00905B3E">
      <w:pPr>
        <w:pStyle w:val="Rubrik3-Utannumrering"/>
      </w:pPr>
      <w:r w:rsidRPr="003F63DB">
        <w:t>Undersökarna</w:t>
      </w:r>
    </w:p>
    <w:p w:rsidR="00905B3E" w:rsidRPr="003F63DB" w:rsidRDefault="00905B3E">
      <w:r w:rsidRPr="003F63DB">
        <w:t>Riksantikvarieämbetet, 22 regionala museer och ett tiotal kommunala museer bedriver arkeologisk uppdragsverksamhet. Därutöver finns det ett fåtal u</w:t>
      </w:r>
      <w:r w:rsidRPr="003F63DB">
        <w:t>n</w:t>
      </w:r>
      <w:r w:rsidRPr="003F63DB">
        <w:t>dersökare i privat regi som åtar sig liknande uppdrag. Även universitet och högskolor kan anlitas för eller delta i uppdragsarkeologiska undersö</w:t>
      </w:r>
      <w:r w:rsidRPr="003F63DB">
        <w:t>k</w:t>
      </w:r>
      <w:r w:rsidRPr="003F63DB">
        <w:t>ningar.</w:t>
      </w:r>
    </w:p>
    <w:p w:rsidR="00905B3E" w:rsidRPr="003F63DB" w:rsidRDefault="00905B3E">
      <w:pPr>
        <w:pStyle w:val="Normaltindrag"/>
      </w:pPr>
      <w:r w:rsidRPr="003F63DB">
        <w:t>På grundval av länsstyrelsens beslut ingår exploatören och den arkeologi</w:t>
      </w:r>
      <w:r w:rsidRPr="003F63DB">
        <w:t>s</w:t>
      </w:r>
      <w:r w:rsidRPr="003F63DB">
        <w:t>ka undersökaren ett avtal som reglerar bl.a. arvode för uppdraget, betalning</w:t>
      </w:r>
      <w:r w:rsidRPr="003F63DB">
        <w:t>s</w:t>
      </w:r>
      <w:r w:rsidRPr="003F63DB">
        <w:t>rutiner, tidsplan, ansvar och skadeståndsskyldighet. Om en tvist skulle uppstå mellan exploatör och undersökare – t.ex. om exploatören inte betalar för utfört arkeologiskt arbete – är det undersökaren som får driva en eventuell rättslig process. Undersökaren kan bli skadeståndsskyldig gentemot explo</w:t>
      </w:r>
      <w:r w:rsidRPr="003F63DB">
        <w:t>a</w:t>
      </w:r>
      <w:r w:rsidRPr="003F63DB">
        <w:t xml:space="preserve">tören om uppdraget exempelvis inte utförs inom avtalad tid. </w:t>
      </w:r>
    </w:p>
    <w:p w:rsidR="00905B3E" w:rsidRPr="003F63DB" w:rsidRDefault="00905B3E">
      <w:pPr>
        <w:pStyle w:val="Normaltindrag"/>
      </w:pPr>
      <w:r w:rsidRPr="003F63DB">
        <w:t>Undersökarna ska svara för undersökningsplanering, fältarbete, analys oc</w:t>
      </w:r>
      <w:r w:rsidRPr="003F63DB">
        <w:t>h rapportering samt registrering och konservering av fynd. De utför det arke</w:t>
      </w:r>
      <w:r w:rsidRPr="003F63DB">
        <w:t>o</w:t>
      </w:r>
      <w:r w:rsidRPr="003F63DB">
        <w:t>logiska arbetet för exploatörernas räkning, men har även ansvar i förhållande till de kulturmiljövårdande myndigheterna. Undersökarna ska svara för att arbetet genomförs på ett kostnads</w:t>
      </w:r>
      <w:r w:rsidRPr="003F63DB">
        <w:softHyphen/>
        <w:t>effektivt sätt och håller vetenskapligt god kv</w:t>
      </w:r>
      <w:r w:rsidRPr="003F63DB">
        <w:t>a</w:t>
      </w:r>
      <w:r w:rsidRPr="003F63DB">
        <w:t>litet.</w:t>
      </w:r>
    </w:p>
    <w:p w:rsidR="00905B3E" w:rsidRPr="003F63DB" w:rsidRDefault="00905B3E">
      <w:pPr>
        <w:pStyle w:val="Normaltindrag"/>
      </w:pPr>
      <w:r w:rsidRPr="003F63DB">
        <w:t>Riksantikvarieämbetet rekommenderar att de arkeologer som deltar i en arkeologisk undersökning har minst 60 poäng i ämnet arkeologi samt har genomfört godkänd praktiktjänstgöring om minst tre mån</w:t>
      </w:r>
      <w:r w:rsidRPr="003F63DB">
        <w:t>aders fältarbete under sakkunnig ledning. Arkeologer i arbetsledande ställning rekommend</w:t>
      </w:r>
      <w:r w:rsidRPr="003F63DB">
        <w:t>e</w:t>
      </w:r>
      <w:r w:rsidRPr="003F63DB">
        <w:t>ras därutöver ha mångårig erfarenhet av arkeologiska undersökningar samt dokumenterad vetenskaplig kompetens, gärna i form av en högre akademisk examen eller aktiva forskarstudier.</w:t>
      </w:r>
      <w:r w:rsidRPr="003F63DB">
        <w:rPr>
          <w:rStyle w:val="Fotnotsreferens"/>
        </w:rPr>
        <w:footnoteReference w:id="30"/>
      </w:r>
    </w:p>
    <w:p w:rsidR="00905B3E" w:rsidRPr="003F63DB" w:rsidRDefault="00905B3E">
      <w:pPr>
        <w:pStyle w:val="Rubrik3-Utannumrering"/>
      </w:pPr>
      <w:r w:rsidRPr="003F63DB">
        <w:t>Universitet och högskolor</w:t>
      </w:r>
    </w:p>
    <w:p w:rsidR="00905B3E" w:rsidRPr="003F63DB" w:rsidRDefault="00905B3E">
      <w:r w:rsidRPr="003F63DB">
        <w:t>Grundläggande arkeologiutbildning bedrivs vid tio universitet och högskolor i landet, varav sju utfärdar både kandidat- och magisterexamen. Det finns tre huvudinriktningar inom arkeologin – arkeologi, medeltidsarkeologi och laborativ arkeologi. Arkeologisk forskning bedrivs vid universiteten i Up</w:t>
      </w:r>
      <w:r w:rsidRPr="003F63DB">
        <w:t>p</w:t>
      </w:r>
      <w:r w:rsidRPr="003F63DB">
        <w:t xml:space="preserve">sala, Göteborg, Stockholm, Umeå, Lund och Karlstad samt vid Högskolan på Gotland, Högskolan i Kalmar, Mitthögskolan och Södertörns högskola. </w:t>
      </w:r>
    </w:p>
    <w:p w:rsidR="00905B3E" w:rsidRPr="003F63DB" w:rsidRDefault="00905B3E">
      <w:pPr>
        <w:pStyle w:val="Normaltindrag"/>
      </w:pPr>
      <w:r w:rsidRPr="003F63DB">
        <w:t>Sedan den 1 januari 1997 ingår det i högskolans lagstadgade</w:t>
      </w:r>
      <w:r w:rsidRPr="003F63DB">
        <w:rPr>
          <w:rStyle w:val="Fotnotsreferens"/>
        </w:rPr>
        <w:footnoteReference w:id="31"/>
      </w:r>
      <w:r w:rsidRPr="003F63DB">
        <w:t xml:space="preserve"> uppdrag att samverka med det omgivande samhället och att informera om sin verksa</w:t>
      </w:r>
      <w:r w:rsidRPr="003F63DB">
        <w:t>m</w:t>
      </w:r>
      <w:r w:rsidRPr="003F63DB">
        <w:t>het.</w:t>
      </w:r>
      <w:r w:rsidRPr="003F63DB">
        <w:rPr>
          <w:rStyle w:val="Fotnotsreferens"/>
        </w:rPr>
        <w:footnoteReference w:id="32"/>
      </w:r>
      <w:r w:rsidRPr="003F63DB">
        <w:t xml:space="preserve"> Ett mål för högskolorna är att integrera denna samverkan i utbildning och forskning, men också att aktivt använda och dra nytta av erfarenheter i det omgivande samhället.</w:t>
      </w:r>
      <w:r w:rsidRPr="003F63DB">
        <w:rPr>
          <w:rStyle w:val="Fotnotsreferens"/>
        </w:rPr>
        <w:footnoteReference w:id="33"/>
      </w:r>
      <w:r w:rsidRPr="003F63DB">
        <w:t xml:space="preserve"> Högskoleverket har i en rapport från 2001 ko</w:t>
      </w:r>
      <w:r w:rsidRPr="003F63DB">
        <w:t>n</w:t>
      </w:r>
      <w:r w:rsidRPr="003F63DB">
        <w:t>staterat att samverkansuppdraget förändrar högskolans uppdrag i dess helhet. Förändringen handlar inte om en särskild (tredje) uppgift, utan om förändr</w:t>
      </w:r>
      <w:r w:rsidRPr="003F63DB">
        <w:t>a</w:t>
      </w:r>
      <w:r w:rsidRPr="003F63DB">
        <w:t>de krav på forskningen och u</w:t>
      </w:r>
      <w:r w:rsidRPr="003F63DB">
        <w:t>t</w:t>
      </w:r>
      <w:r w:rsidRPr="003F63DB">
        <w:t>bildningen.</w:t>
      </w:r>
      <w:r w:rsidRPr="003F63DB">
        <w:rPr>
          <w:rStyle w:val="Fotnotsreferens"/>
        </w:rPr>
        <w:footnoteReference w:id="34"/>
      </w:r>
    </w:p>
    <w:p w:rsidR="00905B3E" w:rsidRPr="003F63DB" w:rsidRDefault="00905B3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3F63DB">
        <w:tblPrEx>
          <w:tblCellMar>
            <w:top w:w="0" w:type="dxa"/>
            <w:bottom w:w="0" w:type="dxa"/>
          </w:tblCellMar>
        </w:tblPrEx>
        <w:tc>
          <w:tcPr>
            <w:tcW w:w="6036" w:type="dxa"/>
            <w:shd w:val="pct10" w:color="auto" w:fill="FFFFFF"/>
          </w:tcPr>
          <w:p w:rsidR="00905B3E" w:rsidRPr="003F63DB" w:rsidRDefault="00905B3E">
            <w:pPr>
              <w:pStyle w:val="Tabell"/>
              <w:rPr>
                <w:rFonts w:ascii="Arial" w:hAnsi="Arial"/>
                <w:b/>
                <w:sz w:val="16"/>
              </w:rPr>
            </w:pPr>
          </w:p>
          <w:p w:rsidR="00905B3E" w:rsidRPr="003F63DB" w:rsidRDefault="00905B3E">
            <w:pPr>
              <w:pStyle w:val="Tabell"/>
              <w:rPr>
                <w:rFonts w:ascii="Arial" w:hAnsi="Arial"/>
                <w:b/>
                <w:sz w:val="16"/>
              </w:rPr>
            </w:pPr>
            <w:r w:rsidRPr="003F63DB">
              <w:rPr>
                <w:rFonts w:ascii="Arial" w:hAnsi="Arial"/>
                <w:b/>
                <w:sz w:val="16"/>
              </w:rPr>
              <w:t>Examinerade arkeologer</w:t>
            </w:r>
          </w:p>
          <w:p w:rsidR="00905B3E" w:rsidRPr="003F63DB" w:rsidRDefault="00905B3E">
            <w:pPr>
              <w:pStyle w:val="Tabell"/>
              <w:rPr>
                <w:rFonts w:ascii="Arial" w:hAnsi="Arial"/>
                <w:sz w:val="16"/>
              </w:rPr>
            </w:pPr>
          </w:p>
          <w:p w:rsidR="00905B3E" w:rsidRPr="003F63DB" w:rsidRDefault="00905B3E">
            <w:pPr>
              <w:pStyle w:val="Tabell"/>
              <w:rPr>
                <w:rFonts w:ascii="Arial" w:hAnsi="Arial"/>
                <w:sz w:val="16"/>
              </w:rPr>
            </w:pPr>
            <w:r w:rsidRPr="003F63DB">
              <w:rPr>
                <w:rFonts w:ascii="Arial" w:hAnsi="Arial"/>
                <w:sz w:val="16"/>
              </w:rPr>
              <w:t xml:space="preserve">En kandidatexamen i arkeologi omfattar 120 poäng och ska innehålla minst 60 poäng arkeologi. En magisterexamen i arkeologi omfattar 160 poäng, varav minst 80 poäng arkeologi. Under läsåret 2000/01 avlade 40 personer kandidatexamen och 70 magisterexamen med arkeologi som huvudämne. Under vårterminen 2001 disputerade 15 personer. </w:t>
            </w:r>
          </w:p>
          <w:p w:rsidR="00905B3E" w:rsidRPr="003F63DB" w:rsidRDefault="00905B3E">
            <w:pPr>
              <w:pStyle w:val="Tabell"/>
              <w:rPr>
                <w:rFonts w:ascii="Arial" w:hAnsi="Arial"/>
              </w:rPr>
            </w:pPr>
            <w:r w:rsidRPr="003F63DB">
              <w:rPr>
                <w:rFonts w:ascii="Arial" w:hAnsi="Arial"/>
                <w:sz w:val="16"/>
              </w:rPr>
              <w:br/>
            </w:r>
            <w:r w:rsidRPr="003F63DB">
              <w:rPr>
                <w:rFonts w:ascii="Arial" w:hAnsi="Arial"/>
              </w:rPr>
              <w:t xml:space="preserve"> Källa: Högskoleverket</w:t>
            </w:r>
          </w:p>
          <w:p w:rsidR="00905B3E" w:rsidRPr="003F63DB" w:rsidRDefault="00905B3E">
            <w:pPr>
              <w:pStyle w:val="Tabell"/>
            </w:pPr>
          </w:p>
        </w:tc>
      </w:tr>
    </w:tbl>
    <w:p w:rsidR="00905B3E" w:rsidRPr="003F63DB" w:rsidRDefault="00905B3E">
      <w:pPr>
        <w:pStyle w:val="Rubrik2"/>
      </w:pPr>
      <w:bookmarkStart w:id="54" w:name="_Toc25031900"/>
      <w:bookmarkStart w:id="55" w:name="_Toc36520728"/>
      <w:r w:rsidRPr="003F63DB">
        <w:t>Arkeologerna är en rörlig yrkeskår</w:t>
      </w:r>
      <w:bookmarkEnd w:id="54"/>
      <w:bookmarkEnd w:id="55"/>
    </w:p>
    <w:p w:rsidR="00905B3E" w:rsidRPr="003F63DB" w:rsidRDefault="00905B3E">
      <w:r w:rsidRPr="003F63DB">
        <w:t>Arkeologiska undersökningar är till stor del ett säsongsbetonat arbete. Själva fältarbetet är knutet till månaderna april–okt</w:t>
      </w:r>
      <w:r w:rsidRPr="003F63DB">
        <w:t>o</w:t>
      </w:r>
      <w:r w:rsidRPr="003F63DB">
        <w:t xml:space="preserve">ber/november. </w:t>
      </w:r>
    </w:p>
    <w:p w:rsidR="00905B3E" w:rsidRPr="003F63DB" w:rsidRDefault="00905B3E">
      <w:pPr>
        <w:pStyle w:val="Normaltindrag"/>
      </w:pPr>
      <w:r w:rsidRPr="003F63DB">
        <w:t>En stab av fast anställd personal kompletteras vid behov med tillfälligt a</w:t>
      </w:r>
      <w:r w:rsidRPr="003F63DB">
        <w:t>n</w:t>
      </w:r>
      <w:r w:rsidRPr="003F63DB">
        <w:t>ställda, dock inte enbart under fältsäsongen. Vid Riksantikvarieämbetets avdelning för arkeologiska undersökningar (UV) har antalet tillsvidarea</w:t>
      </w:r>
      <w:r w:rsidRPr="003F63DB">
        <w:t>n</w:t>
      </w:r>
      <w:r w:rsidRPr="003F63DB">
        <w:t>ställda minskat. I december 1997 hade avdelningen 176 tillsvidareanställda jämfört med 138 i december 2001. Den tillfälligt anställda personalen utgör mellan 20 och 50 % av hela personalstyrkan beroende på säsong och ko</w:t>
      </w:r>
      <w:r w:rsidRPr="003F63DB">
        <w:t>n</w:t>
      </w:r>
      <w:r w:rsidRPr="003F63DB">
        <w:t>junkturläge.</w:t>
      </w:r>
      <w:r w:rsidRPr="003F63DB">
        <w:rPr>
          <w:rStyle w:val="Fotnotsreferens"/>
        </w:rPr>
        <w:footnoteReference w:id="35"/>
      </w:r>
      <w:r w:rsidRPr="003F63DB">
        <w:t xml:space="preserve"> </w:t>
      </w:r>
    </w:p>
    <w:p w:rsidR="00905B3E" w:rsidRPr="003F63DB" w:rsidRDefault="00905B3E">
      <w:pPr>
        <w:pStyle w:val="Normaltindrag"/>
      </w:pPr>
    </w:p>
    <w:p w:rsidR="00905B3E" w:rsidRPr="003F63DB" w:rsidRDefault="00905B3E">
      <w:pPr>
        <w:pStyle w:val="Tabellrubrik"/>
        <w:spacing w:after="120"/>
        <w:rPr>
          <w:rFonts w:ascii="Arial" w:hAnsi="Arial"/>
          <w:sz w:val="18"/>
        </w:rPr>
      </w:pPr>
      <w:r w:rsidRPr="003F63D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1pt;margin-top:39.25pt;width:295.2pt;height:151.2pt;z-index:251657728;mso-position-horizontal:absolute;mso-position-horizontal-relative:text;mso-position-vertical:absolute;mso-position-vertical-relative:text" o:allowincell="f">
            <v:imagedata r:id="rId15" o:title="" croptop="2867f" cropbottom="2469f" cropleft="1524f" cropright="1524f"/>
            <w10:wrap type="topAndBottom"/>
          </v:shape>
          <o:OLEObject Type="Embed" ProgID="Excel.Sheet.8" ShapeID="_x0000_s1028" DrawAspect="Content" ObjectID="_1827361083" r:id="rId16"/>
        </w:object>
      </w:r>
      <w:r w:rsidRPr="003F63DB">
        <w:rPr>
          <w:rFonts w:ascii="Arial" w:hAnsi="Arial"/>
          <w:sz w:val="18"/>
        </w:rPr>
        <w:t>Antal anställda vid Riksantikvarieämbetet-UV med tillsvidareanstäl</w:t>
      </w:r>
      <w:r w:rsidRPr="003F63DB">
        <w:rPr>
          <w:rFonts w:ascii="Arial" w:hAnsi="Arial"/>
          <w:sz w:val="18"/>
        </w:rPr>
        <w:t>l</w:t>
      </w:r>
      <w:r w:rsidRPr="003F63DB">
        <w:rPr>
          <w:rFonts w:ascii="Arial" w:hAnsi="Arial"/>
          <w:sz w:val="18"/>
        </w:rPr>
        <w:t>ning resp. annan typ av anställning  den 31/12 resp. 30/6 1997–2002.</w:t>
      </w:r>
    </w:p>
    <w:p w:rsidR="00905B3E" w:rsidRPr="003F63DB" w:rsidRDefault="00905B3E">
      <w:pPr>
        <w:pStyle w:val="Tabell"/>
        <w:spacing w:before="120" w:after="120"/>
        <w:rPr>
          <w:rFonts w:ascii="Arial" w:hAnsi="Arial"/>
        </w:rPr>
      </w:pPr>
      <w:r w:rsidRPr="003F63DB">
        <w:rPr>
          <w:rFonts w:ascii="Arial" w:hAnsi="Arial"/>
        </w:rPr>
        <w:t>Källa: Riksantikvarieämbetet</w:t>
      </w:r>
    </w:p>
    <w:p w:rsidR="00905B3E" w:rsidRPr="003F63DB" w:rsidRDefault="00905B3E">
      <w:r w:rsidRPr="003F63DB">
        <w:t>Arbetslösheten bland yrkesverksamma arkeologer är hög, särskilt under vinterhalvåret. Svenska museimannaförbundet, den underavdelning inom DIK-förbundet som organiserar arkeologer, uppvisar på årsbasis en arbet</w:t>
      </w:r>
      <w:r w:rsidRPr="003F63DB">
        <w:t>s</w:t>
      </w:r>
      <w:r w:rsidRPr="003F63DB">
        <w:t>löshet bland sina medlemmar på 15 till 20 %. I mars 2002 var arbetslösheten 15,1 %.</w:t>
      </w:r>
      <w:r w:rsidRPr="003F63DB">
        <w:rPr>
          <w:rStyle w:val="Fotnotsreferens"/>
        </w:rPr>
        <w:footnoteReference w:id="36"/>
      </w:r>
      <w:r w:rsidRPr="003F63DB">
        <w:t xml:space="preserve"> Förbundet menar att man som nyutexaminerad arkeolog måste vara beredd att flytta, ta vikariat och projektanställningar eller periodvis vara arbet</w:t>
      </w:r>
      <w:r w:rsidRPr="003F63DB">
        <w:t>s</w:t>
      </w:r>
      <w:r w:rsidRPr="003F63DB">
        <w:t>lös.</w:t>
      </w:r>
    </w:p>
    <w:p w:rsidR="00905B3E" w:rsidRPr="003F63DB" w:rsidRDefault="00905B3E">
      <w:pPr>
        <w:pStyle w:val="Normaltindrag"/>
      </w:pPr>
      <w:r w:rsidRPr="003F63DB">
        <w:t>Osäkra anställningsvillkor gäller dock inte enbart nyutexaminerade arke</w:t>
      </w:r>
      <w:r w:rsidRPr="003F63DB">
        <w:t>o</w:t>
      </w:r>
      <w:r w:rsidRPr="003F63DB">
        <w:t>loger. Även arkeologer med arbetslivserfarenhet får tillfälliga anställningar hos olika undersökare.</w:t>
      </w:r>
    </w:p>
    <w:p w:rsidR="00905B3E" w:rsidRPr="003F63DB" w:rsidRDefault="00905B3E">
      <w:pPr>
        <w:pStyle w:val="Rubrik2"/>
      </w:pPr>
      <w:bookmarkStart w:id="56" w:name="_Toc25031901"/>
      <w:bookmarkStart w:id="57" w:name="_Toc36520729"/>
      <w:r w:rsidRPr="003F63DB">
        <w:t>Sammanfattande iakttagelser</w:t>
      </w:r>
      <w:bookmarkEnd w:id="56"/>
      <w:bookmarkEnd w:id="57"/>
    </w:p>
    <w:p w:rsidR="00905B3E" w:rsidRPr="003F63DB" w:rsidRDefault="00905B3E">
      <w:r w:rsidRPr="003F63DB">
        <w:t>Ett ingrepp i en fornlämning är oåterkalleligt. En arkeologisk undersökning kan inte göras om. Det går heller inte att i efterhand kontrollera hur unde</w:t>
      </w:r>
      <w:r w:rsidRPr="003F63DB">
        <w:t>r</w:t>
      </w:r>
      <w:r w:rsidRPr="003F63DB">
        <w:t>sökningen genomfördes.</w:t>
      </w:r>
    </w:p>
    <w:p w:rsidR="00905B3E" w:rsidRPr="003F63DB" w:rsidRDefault="00905B3E">
      <w:pPr>
        <w:pStyle w:val="Normaltindrag"/>
      </w:pPr>
      <w:r w:rsidRPr="003F63DB">
        <w:t xml:space="preserve">Tillstånd till ingrepp i fasta fornlämningar ges inte bara för </w:t>
      </w:r>
      <w:r w:rsidRPr="003F63DB">
        <w:br/>
        <w:t>mark</w:t>
      </w:r>
      <w:r w:rsidRPr="003F63DB">
        <w:softHyphen/>
        <w:t>exploatering, utan även för forskning. I båda fallen ska sa</w:t>
      </w:r>
      <w:r w:rsidRPr="003F63DB">
        <w:t>m</w:t>
      </w:r>
      <w:r w:rsidRPr="003F63DB">
        <w:t>hälls</w:t>
      </w:r>
      <w:r w:rsidRPr="003F63DB">
        <w:softHyphen/>
        <w:t>intresset väga tyngre än intresset av att bevara fornlämningen. Exploatörerna får dock normalt tillstånd till ingrepp för planerade mark</w:t>
      </w:r>
      <w:r w:rsidRPr="003F63DB">
        <w:softHyphen/>
        <w:t>exploateringar, om de är beredda att stå för de kostnader för arkeologiska undersökningar som länsstyrelserna anser nödvänd</w:t>
      </w:r>
      <w:r w:rsidRPr="003F63DB">
        <w:t>i</w:t>
      </w:r>
      <w:r w:rsidRPr="003F63DB">
        <w:t>ga.</w:t>
      </w:r>
    </w:p>
    <w:p w:rsidR="00905B3E" w:rsidRPr="003F63DB" w:rsidRDefault="00905B3E">
      <w:pPr>
        <w:pStyle w:val="Normaltindrag"/>
      </w:pPr>
      <w:r w:rsidRPr="003F63DB">
        <w:t xml:space="preserve">Avsteg från kulturminneslagens intentioner att skydda fasta fornlämningar innebär kostnader på både kort och lång sikt. En fornlämning som inte kan bevaras ska undersökas och </w:t>
      </w:r>
      <w:r w:rsidRPr="003F63DB">
        <w:t>dokumenteras på exploatörens bekostnad. For</w:t>
      </w:r>
      <w:r w:rsidRPr="003F63DB">
        <w:t>n</w:t>
      </w:r>
      <w:r w:rsidRPr="003F63DB">
        <w:t xml:space="preserve">fynd som tas om hand ska för all framtid vårdas och lagras vid museerna. Huvuddelen av de sammanlagda kostnaderna för uppdragsarkeologi betalas med skattemedel. </w:t>
      </w:r>
    </w:p>
    <w:p w:rsidR="00905B3E" w:rsidRPr="003F63DB" w:rsidRDefault="00905B3E">
      <w:pPr>
        <w:pStyle w:val="Normaltindrag"/>
      </w:pPr>
      <w:r w:rsidRPr="003F63DB">
        <w:t xml:space="preserve">Länsstyrelserna beslutar om ramarna för de avtal som exploatörerna och undersökarna ska ingå. Exploatörerna har begränsade möjligheter att påverka länsstyrelsernas val av undersökare och kostnaderna för undersökarnas tjänster. </w:t>
      </w:r>
    </w:p>
    <w:p w:rsidR="00905B3E" w:rsidRPr="003F63DB" w:rsidRDefault="00905B3E">
      <w:pPr>
        <w:pStyle w:val="Normaltindrag"/>
      </w:pPr>
      <w:r w:rsidRPr="003F63DB">
        <w:t>Riksantikvarieämbetet ska värna om kulturvärden och verka för att hänsyn tas till kulturarvet. Samtidigt ska Riksantikvarieämbetet bedriva arkeologisk uppdragsverksamhet som är beroende av att ingrepp i fornlämningar me</w:t>
      </w:r>
      <w:r w:rsidRPr="003F63DB">
        <w:t>d</w:t>
      </w:r>
      <w:r w:rsidRPr="003F63DB">
        <w:t>ges.</w:t>
      </w:r>
    </w:p>
    <w:p w:rsidR="00905B3E" w:rsidRPr="003F63DB" w:rsidRDefault="00905B3E">
      <w:pPr>
        <w:pStyle w:val="Normaltindrag"/>
      </w:pPr>
      <w:r w:rsidRPr="003F63DB">
        <w:t>Länsstyrelserna och de regionala museerna ska samverka. De ska även ha affärsliknande relationer i uppdragsarkeologiska ärenden. I ett ärende där en fornlämning berörs kan länsmuseet medverka både som remissinstans och som undersökande organ</w:t>
      </w:r>
      <w:r w:rsidRPr="003F63DB">
        <w:t>i</w:t>
      </w:r>
      <w:r w:rsidRPr="003F63DB">
        <w:t>sation.</w:t>
      </w:r>
    </w:p>
    <w:p w:rsidR="00905B3E" w:rsidRPr="003F63DB" w:rsidRDefault="00905B3E">
      <w:pPr>
        <w:pStyle w:val="Normaltindrag"/>
      </w:pPr>
      <w:r w:rsidRPr="003F63DB">
        <w:t xml:space="preserve">Rikantikvarieämbetet rekommenderar att de arkeologer som deltar i en uppdragsarkeologisk undersökning har minst 60 poäng i ämnet arkeologi och godkänd praktiktjänstgöring. Samtidigt har amatörarkeologer fått delta i arkeologiska undersökningar som utförts med tillstånd för forskning. </w:t>
      </w:r>
    </w:p>
    <w:p w:rsidR="00905B3E" w:rsidRPr="003F63DB" w:rsidRDefault="00905B3E">
      <w:pPr>
        <w:pStyle w:val="Rubrik1"/>
      </w:pPr>
      <w:bookmarkStart w:id="58" w:name="_Toc2051063"/>
      <w:r w:rsidRPr="003F63DB">
        <w:br w:type="page"/>
      </w:r>
      <w:bookmarkStart w:id="59" w:name="_Toc25031902"/>
      <w:bookmarkStart w:id="60" w:name="_Toc36520730"/>
      <w:r w:rsidRPr="003F63DB">
        <w:t>Ingrepp ska ge ny kunskap</w:t>
      </w:r>
      <w:bookmarkEnd w:id="59"/>
      <w:bookmarkEnd w:id="60"/>
    </w:p>
    <w:p w:rsidR="00905B3E" w:rsidRPr="003F63DB" w:rsidRDefault="00905B3E">
      <w:r w:rsidRPr="003F63DB">
        <w:t>Markexploateringar kan innebära att fornlämningar kommer till skada eller helt förstörs. Samtidigt bidrar de arkeologiska utredningar och förundersö</w:t>
      </w:r>
      <w:r w:rsidRPr="003F63DB">
        <w:t>k</w:t>
      </w:r>
      <w:r w:rsidRPr="003F63DB">
        <w:t>ningar som föregår ett tillstånd om ingrepp i fornlämning till att öka känn</w:t>
      </w:r>
      <w:r w:rsidRPr="003F63DB">
        <w:t>e</w:t>
      </w:r>
      <w:r w:rsidRPr="003F63DB">
        <w:t>domen om fornlämningars förekomst och utbredning. De arkeologiska u</w:t>
      </w:r>
      <w:r w:rsidRPr="003F63DB">
        <w:t>n</w:t>
      </w:r>
      <w:r w:rsidRPr="003F63DB">
        <w:t>dersökningar som fullföljs förväntas bidra till att öka kunskapen om vår historia.</w:t>
      </w:r>
      <w:r w:rsidRPr="003F63DB">
        <w:rPr>
          <w:rStyle w:val="Fotnotsreferens"/>
        </w:rPr>
        <w:footnoteReference w:id="37"/>
      </w:r>
      <w:r w:rsidRPr="003F63DB">
        <w:t xml:space="preserve"> Regeringen har betonat att resultaten ska komma till användning i v</w:t>
      </w:r>
      <w:r w:rsidRPr="003F63DB">
        <w:t>e</w:t>
      </w:r>
      <w:r w:rsidRPr="003F63DB">
        <w:t>tenskaplig forskning och utveckling.</w:t>
      </w:r>
      <w:r w:rsidRPr="003F63DB">
        <w:rPr>
          <w:rStyle w:val="Fotnotsreferens"/>
        </w:rPr>
        <w:footnoteReference w:id="38"/>
      </w:r>
      <w:r w:rsidRPr="003F63DB">
        <w:t xml:space="preserve"> </w:t>
      </w:r>
    </w:p>
    <w:p w:rsidR="00905B3E" w:rsidRPr="003F63DB" w:rsidRDefault="00905B3E">
      <w:pPr>
        <w:pStyle w:val="Rubrik2"/>
      </w:pPr>
      <w:bookmarkStart w:id="61" w:name="_Toc25031903"/>
      <w:bookmarkStart w:id="62" w:name="_Toc36520731"/>
      <w:r w:rsidRPr="003F63DB">
        <w:t>Universiteten som mottagare och medverkande</w:t>
      </w:r>
      <w:bookmarkEnd w:id="61"/>
      <w:bookmarkEnd w:id="62"/>
    </w:p>
    <w:p w:rsidR="00905B3E" w:rsidRPr="003F63DB" w:rsidRDefault="00905B3E">
      <w:r w:rsidRPr="003F63DB">
        <w:t>Riksantikvarieämbetet menar att den uppdragsarkeologiska verksamheten under lång tid har burit spår av synsättet att objektivt samla in fakta om och dokumentera fornlämningen. Ända fram till 1990-talets första hälft sägs detta synsätt ha dominerat. Numera ställs högre krav på att resultaten ska tolkas. Den rådande uppfattningen bland de kulturmiljövårdande myndigheterna är att uppdragsarkeologi ska ses som ett led i en framåtsyftande forskningspr</w:t>
      </w:r>
      <w:r w:rsidRPr="003F63DB">
        <w:t>o</w:t>
      </w:r>
      <w:r w:rsidRPr="003F63DB">
        <w:t>cess.</w:t>
      </w:r>
    </w:p>
    <w:p w:rsidR="00905B3E" w:rsidRPr="003F63DB" w:rsidRDefault="00905B3E">
      <w:pPr>
        <w:pStyle w:val="Rubrik3-Utannumrering"/>
      </w:pPr>
      <w:r w:rsidRPr="003F63DB">
        <w:t>Regeringens och riksdagens uttalanden</w:t>
      </w:r>
    </w:p>
    <w:p w:rsidR="00905B3E" w:rsidRPr="003F63DB" w:rsidRDefault="00905B3E">
      <w:r w:rsidRPr="003F63DB">
        <w:t>Av de uttalanden regeringen gjort vad gäller uppdragsarkeologi och fors</w:t>
      </w:r>
      <w:r w:rsidRPr="003F63DB">
        <w:t>k</w:t>
      </w:r>
      <w:r w:rsidRPr="003F63DB">
        <w:t>ning framgår att universitets- och forskningsorganisationen dels aktivt ska medverka i planeringen, dels vara mottagare av resultaten. I propositionen Uppdragsarkeologi m.m</w:t>
      </w:r>
      <w:r w:rsidRPr="003F63DB">
        <w:rPr>
          <w:i/>
        </w:rPr>
        <w:t>.</w:t>
      </w:r>
      <w:r w:rsidRPr="003F63DB">
        <w:t xml:space="preserve"> säger regeringen att en arkeologisk undersökning syftar till att säkra arkeologiska data och fynd på ett sådant sätt att fornlä</w:t>
      </w:r>
      <w:r w:rsidRPr="003F63DB">
        <w:t>m</w:t>
      </w:r>
      <w:r w:rsidRPr="003F63DB">
        <w:t xml:space="preserve">ningens vetenskapliga innehåll blir </w:t>
      </w:r>
      <w:r w:rsidRPr="003F63DB">
        <w:rPr>
          <w:i/>
        </w:rPr>
        <w:t>tillgängligt</w:t>
      </w:r>
      <w:r w:rsidRPr="003F63DB">
        <w:t xml:space="preserve"> för forskare och allmänhet.</w:t>
      </w:r>
      <w:r w:rsidRPr="003F63DB">
        <w:rPr>
          <w:rStyle w:val="Fotnotsreferens"/>
        </w:rPr>
        <w:footnoteReference w:id="39"/>
      </w:r>
      <w:r w:rsidRPr="003F63DB">
        <w:t xml:space="preserve"> Även i propositionen Utbildning och forskning – Kvalitet och konkurren</w:t>
      </w:r>
      <w:r w:rsidRPr="003F63DB">
        <w:t>s</w:t>
      </w:r>
      <w:r w:rsidRPr="003F63DB">
        <w:t>kraft understryker regeringen vikten av att arkeologiska uppdragsundersö</w:t>
      </w:r>
      <w:r w:rsidRPr="003F63DB">
        <w:t>k</w:t>
      </w:r>
      <w:r w:rsidRPr="003F63DB">
        <w:t xml:space="preserve">ningar görs på ett sådant sätt att de kan </w:t>
      </w:r>
      <w:r w:rsidRPr="003F63DB">
        <w:rPr>
          <w:i/>
        </w:rPr>
        <w:t>utnyttjas</w:t>
      </w:r>
      <w:r w:rsidRPr="003F63DB">
        <w:t xml:space="preserve"> av olika forskningsinrik</w:t>
      </w:r>
      <w:r w:rsidRPr="003F63DB">
        <w:t>t</w:t>
      </w:r>
      <w:r w:rsidRPr="003F63DB">
        <w:t xml:space="preserve">ningar inom arkeologi och näraliggande discipliner. I propositionen betonas också forskningens </w:t>
      </w:r>
      <w:r w:rsidRPr="003F63DB">
        <w:rPr>
          <w:i/>
        </w:rPr>
        <w:t>aktiva medverkan</w:t>
      </w:r>
      <w:r w:rsidRPr="003F63DB">
        <w:t xml:space="preserve"> och vikten av en tydlig fördelning av roller och ansvar mellan forskningen och andra aktörer. Regeringen skriver bl.a.:</w:t>
      </w:r>
    </w:p>
    <w:p w:rsidR="00905B3E" w:rsidRPr="003F63DB" w:rsidRDefault="00905B3E">
      <w:pPr>
        <w:pStyle w:val="Citat"/>
      </w:pPr>
      <w:r w:rsidRPr="003F63DB">
        <w:t xml:space="preserve"> De omfattande uppdragsundersökningarna ... innebär en uto</w:t>
      </w:r>
      <w:r w:rsidRPr="003F63DB">
        <w:t>mordentlig potential för forskningen – även i ett internationellt perspektiv – och utgör samtidigt en vetenskaplig och organisatorisk utmaning. För att de rätt skall kunna utnyttjas måste undersökningarna göras till delar i en framåtsyftande forskningsprocess. Det är viktigt att vetenskapliga frågeställningar finns med redan i ett tidigt planeringsskede. Detta kan bara ske genom aktiv medverkan från universitets- och forskningsorganisationen. – – – En utvecklad och tydlig fördelning av roller och ansvar mel</w:t>
      </w:r>
      <w:r w:rsidRPr="003F63DB">
        <w:t>lan de medverkande är en viktig förutsättning för att verksamheten skall kunna drivas effektivt och målinri</w:t>
      </w:r>
      <w:r w:rsidRPr="003F63DB">
        <w:t>k</w:t>
      </w:r>
      <w:r w:rsidRPr="003F63DB">
        <w:t>tat och ge en god behållning. Det innebär att inte bara riksantikvarieämbetet, länsmuseerna m.fl. inom den kulturmiljövårdande sektorn utan även unive</w:t>
      </w:r>
      <w:r w:rsidRPr="003F63DB">
        <w:t>r</w:t>
      </w:r>
      <w:r w:rsidRPr="003F63DB">
        <w:t>sitets- och forskningsorganisationen har ett ansvar för att ta till vara de mö</w:t>
      </w:r>
      <w:r w:rsidRPr="003F63DB">
        <w:t>j</w:t>
      </w:r>
      <w:r w:rsidRPr="003F63DB">
        <w:t xml:space="preserve">ligheter som uppdragsarkeologin erbjuder. – – – Inte minst är det viktigt att den forskning, som utförs utifrån uppdragsarkeologin kan ges en bra och till sina uppgifter väl </w:t>
      </w:r>
      <w:r w:rsidRPr="003F63DB">
        <w:t>anpassad organisation, t.ex. med tanke på universitetens utbildningsmöjligheter och den inriktning på långsiktig kunskapsuppbyggnad om landets historia som också är en av kulturmiljövårdens främsta uppgifter. Det bör ankomma på de ansvariga myndigheterna att ta de initiativ som kan krävas i detta sammanhang ... för att långsiktigt åstadkomma en god intera</w:t>
      </w:r>
      <w:r w:rsidRPr="003F63DB">
        <w:t>k</w:t>
      </w:r>
      <w:r w:rsidRPr="003F63DB">
        <w:t>tion mellan den arkeologiska uppdragsverksamheten och forskningen.</w:t>
      </w:r>
      <w:r w:rsidRPr="003F63DB">
        <w:rPr>
          <w:rStyle w:val="Fotnotsreferens"/>
        </w:rPr>
        <w:footnoteReference w:id="40"/>
      </w:r>
    </w:p>
    <w:p w:rsidR="00905B3E" w:rsidRPr="003F63DB" w:rsidRDefault="00905B3E">
      <w:r w:rsidRPr="003F63DB">
        <w:t>Kulturutskottet instämde i regeringens resonemang och pekade på att unive</w:t>
      </w:r>
      <w:r w:rsidRPr="003F63DB">
        <w:t>r</w:t>
      </w:r>
      <w:r w:rsidRPr="003F63DB">
        <w:t>siteten och forskningsrådet (HSFR) måste samverka med Riksantikvarieä</w:t>
      </w:r>
      <w:r w:rsidRPr="003F63DB">
        <w:t>m</w:t>
      </w:r>
      <w:r w:rsidRPr="003F63DB">
        <w:t>betet och den kulturmiljövårdande organisationen om uppdragsundersö</w:t>
      </w:r>
      <w:r w:rsidRPr="003F63DB">
        <w:t>k</w:t>
      </w:r>
      <w:r w:rsidRPr="003F63DB">
        <w:t>ningarna ska ge full vetenskaplig utdelning. Vidare menade utskottet att universitetsforskningen och den rådsstödda forskningen bör ges ett sådant inflytande över verksamheten att den främjar utbildningen och den långsikt</w:t>
      </w:r>
      <w:r w:rsidRPr="003F63DB">
        <w:t>i</w:t>
      </w:r>
      <w:r w:rsidRPr="003F63DB">
        <w:t>ga kunskapsuppbyg</w:t>
      </w:r>
      <w:r w:rsidRPr="003F63DB">
        <w:t>g</w:t>
      </w:r>
      <w:r w:rsidRPr="003F63DB">
        <w:t>naden.</w:t>
      </w:r>
      <w:r w:rsidRPr="003F63DB">
        <w:rPr>
          <w:rStyle w:val="Fotnotsreferens"/>
        </w:rPr>
        <w:footnoteReference w:id="41"/>
      </w:r>
      <w:r w:rsidRPr="003F63DB">
        <w:t xml:space="preserve"> </w:t>
      </w:r>
    </w:p>
    <w:p w:rsidR="00905B3E" w:rsidRPr="003F63DB" w:rsidRDefault="00905B3E">
      <w:pPr>
        <w:pStyle w:val="Rubrik3-Utannumrering"/>
      </w:pPr>
      <w:r w:rsidRPr="003F63DB">
        <w:t>Samspelet mellan forskningen och uppdragsarkeologin</w:t>
      </w:r>
    </w:p>
    <w:p w:rsidR="00905B3E" w:rsidRPr="003F63DB" w:rsidRDefault="00905B3E">
      <w:r w:rsidRPr="003F63DB">
        <w:t>Det finns en skiljelinje mellan den arkeologiska grundforskningen vid un</w:t>
      </w:r>
      <w:r w:rsidRPr="003F63DB">
        <w:t>i</w:t>
      </w:r>
      <w:r w:rsidRPr="003F63DB">
        <w:t>versiteten och uppdragsarkeologin. Uppdragsarkeologin måste utgå från den fornlämning som för tillfället ska undersökas och den forskning som är akt</w:t>
      </w:r>
      <w:r w:rsidRPr="003F63DB">
        <w:t>u</w:t>
      </w:r>
      <w:r w:rsidRPr="003F63DB">
        <w:t>ell och relevant i sammanhanget. Forskare kan fritt välja vetenskapliga pr</w:t>
      </w:r>
      <w:r w:rsidRPr="003F63DB">
        <w:t>o</w:t>
      </w:r>
      <w:r w:rsidRPr="003F63DB">
        <w:t xml:space="preserve">blem och arkeologiskt material. </w:t>
      </w:r>
    </w:p>
    <w:p w:rsidR="00905B3E" w:rsidRPr="003F63DB" w:rsidRDefault="00905B3E">
      <w:pPr>
        <w:pStyle w:val="Normaltindrag"/>
      </w:pPr>
      <w:r w:rsidRPr="003F63DB">
        <w:t>Forskare har möjlighet att välja bland material som tagits fram inom up</w:t>
      </w:r>
      <w:r w:rsidRPr="003F63DB">
        <w:t>p</w:t>
      </w:r>
      <w:r w:rsidRPr="003F63DB">
        <w:t>dragsarkeologi eller vid särskilda forskningsgrävningar. Resultat och tillv</w:t>
      </w:r>
      <w:r w:rsidRPr="003F63DB">
        <w:t>a</w:t>
      </w:r>
      <w:r w:rsidRPr="003F63DB">
        <w:t>ratagna fynd från en uppdragsarkeologisk undersökning kan därmed event</w:t>
      </w:r>
      <w:r w:rsidRPr="003F63DB">
        <w:t>u</w:t>
      </w:r>
      <w:r w:rsidRPr="003F63DB">
        <w:t xml:space="preserve">ellt komma till användning. Precis som inom andra forskningsområden finns det vetenskapliga ”trender” inom den arkeologiska forskningen. Det innebär att forskarnas intresse för en viss typ av arkeologiskt material inte behöver överensstämma med det som för tillfället grävs ut inom uppdragsarkeologi. Materialet kan dock komma att användas vid en betydligt senare </w:t>
      </w:r>
      <w:r w:rsidRPr="003F63DB">
        <w:t xml:space="preserve">tidpunkt. </w:t>
      </w:r>
    </w:p>
    <w:p w:rsidR="00905B3E" w:rsidRPr="003F63DB" w:rsidRDefault="00905B3E">
      <w:pPr>
        <w:pStyle w:val="Normaltindrag"/>
      </w:pPr>
      <w:r w:rsidRPr="003F63DB">
        <w:t>Riksantikvarieämbetet framhåller att riksdagens och regeringens krav på att utvinna ny kunskap förutsätter ett vetenskapligt arbetssätt inom uppdrag</w:t>
      </w:r>
      <w:r w:rsidRPr="003F63DB">
        <w:t>s</w:t>
      </w:r>
      <w:r w:rsidRPr="003F63DB">
        <w:t>arkeologi där målet är att tolka det arkeologiska materialet. Utan tolkning anses materialet inte vara användbart för grundforskningen. Enligt flera bedömare sätter de ekonomiska villkoren ramar för vilken vetenskaplig rapportering som är mö</w:t>
      </w:r>
      <w:r w:rsidRPr="003F63DB">
        <w:t>j</w:t>
      </w:r>
      <w:r w:rsidRPr="003F63DB">
        <w:t>lig.</w:t>
      </w:r>
    </w:p>
    <w:p w:rsidR="00905B3E" w:rsidRPr="003F63DB" w:rsidRDefault="00905B3E">
      <w:pPr>
        <w:pStyle w:val="Normaltindrag"/>
      </w:pPr>
      <w:r w:rsidRPr="003F63DB">
        <w:t>Samtidigt finns det tecken på att forskning eller forskningsnära verksamhet bedrivs inom de uppdragsarkeologiska organisationerna. I en promemoria från länsstyrelsen i Uppsala län år 1997 uttrycks följande önskemål avseende vetenska</w:t>
      </w:r>
      <w:r w:rsidRPr="003F63DB">
        <w:t>p</w:t>
      </w:r>
      <w:r w:rsidRPr="003F63DB">
        <w:t>ligt samarbete:</w:t>
      </w:r>
    </w:p>
    <w:p w:rsidR="00905B3E" w:rsidRPr="003F63DB" w:rsidRDefault="00905B3E">
      <w:pPr>
        <w:pStyle w:val="Citat"/>
      </w:pPr>
      <w:r w:rsidRPr="003F63DB">
        <w:t>Länsstyrelsen ser gärna att ett vetenskapligt samarbete med någon univers</w:t>
      </w:r>
      <w:r w:rsidRPr="003F63DB">
        <w:t>i</w:t>
      </w:r>
      <w:r w:rsidRPr="003F63DB">
        <w:t>tetsinstitution kommer till stånd och att undersökningen integreras i något pågående forskningsprojekt inom eller utom den egna organisationen.</w:t>
      </w:r>
      <w:r w:rsidRPr="003F63DB">
        <w:rPr>
          <w:rStyle w:val="Fotnotsreferens"/>
        </w:rPr>
        <w:footnoteReference w:id="42"/>
      </w:r>
    </w:p>
    <w:p w:rsidR="00905B3E" w:rsidRPr="003F63DB" w:rsidRDefault="00905B3E">
      <w:r w:rsidRPr="003F63DB">
        <w:t>Flera undersökare har forskarutbildade arkeologer anställda och det har blivit vanligare att stora arkeologiska undersökningar avrapporteras i ambitiöst utformade publikationer. Riksantikvarieämbetet menar att de arkeologiska rapporterna ska betraktas som fors</w:t>
      </w:r>
      <w:r w:rsidRPr="003F63DB">
        <w:t>k</w:t>
      </w:r>
      <w:r w:rsidRPr="003F63DB">
        <w:t>ningsredovisningar.</w:t>
      </w:r>
      <w:r w:rsidRPr="003F63DB">
        <w:rPr>
          <w:rStyle w:val="Fotnotsreferens"/>
        </w:rPr>
        <w:footnoteReference w:id="43"/>
      </w:r>
      <w:r w:rsidRPr="003F63DB">
        <w:t xml:space="preserve"> </w:t>
      </w:r>
    </w:p>
    <w:p w:rsidR="00905B3E" w:rsidRPr="003F63DB" w:rsidRDefault="00905B3E">
      <w:pPr>
        <w:pStyle w:val="Normaltindrag"/>
      </w:pPr>
      <w:r w:rsidRPr="003F63DB">
        <w:t>Universitetsforskarnas aktiva medverkan i uppdragsarkeologiska unde</w:t>
      </w:r>
      <w:r w:rsidRPr="003F63DB">
        <w:t>r</w:t>
      </w:r>
      <w:r w:rsidRPr="003F63DB">
        <w:t>sökningar förefaller i huvudsak vara avgränsad till representation i olika styr- eller referensgrupper. När den undersökande organisationen eller länsstyre</w:t>
      </w:r>
      <w:r w:rsidRPr="003F63DB">
        <w:t>l</w:t>
      </w:r>
      <w:r w:rsidRPr="003F63DB">
        <w:t>sen knyter till sig referensgrupper är målet oftast kvalitetskontroll. Referen</w:t>
      </w:r>
      <w:r w:rsidRPr="003F63DB">
        <w:t>s</w:t>
      </w:r>
      <w:r w:rsidRPr="003F63DB">
        <w:t>gruppen finns vanligtvis med från projektets start. De ur vetenskaplig sy</w:t>
      </w:r>
      <w:r w:rsidRPr="003F63DB">
        <w:t>n</w:t>
      </w:r>
      <w:r w:rsidRPr="003F63DB">
        <w:t>punkt mest intressanta undersökningarna beror inte alltid på projektets sto</w:t>
      </w:r>
      <w:r w:rsidRPr="003F63DB">
        <w:t>r</w:t>
      </w:r>
      <w:r w:rsidRPr="003F63DB">
        <w:t>lek, men det tycks framför allt vara till de stora arkeologiska projekten ref</w:t>
      </w:r>
      <w:r w:rsidRPr="003F63DB">
        <w:t>e</w:t>
      </w:r>
      <w:r w:rsidRPr="003F63DB">
        <w:t>rensgru</w:t>
      </w:r>
      <w:r w:rsidRPr="003F63DB">
        <w:t>p</w:t>
      </w:r>
      <w:r w:rsidRPr="003F63DB">
        <w:t xml:space="preserve">per knyts. </w:t>
      </w:r>
    </w:p>
    <w:p w:rsidR="00905B3E" w:rsidRPr="003F63DB" w:rsidRDefault="00905B3E">
      <w:pPr>
        <w:pStyle w:val="Normaltindrag"/>
      </w:pPr>
      <w:r w:rsidRPr="003F63DB">
        <w:t>Riksantikvarieämbetet rappor</w:t>
      </w:r>
      <w:r w:rsidRPr="003F63DB">
        <w:t>terade 1998 till regeringen att samspelet mellan uppdragsarkeologi och akademisk arkeologi vid universitet och hö</w:t>
      </w:r>
      <w:r w:rsidRPr="003F63DB">
        <w:t>g</w:t>
      </w:r>
      <w:r w:rsidRPr="003F63DB">
        <w:t>skolor hittills hade varit mycket dålig. Myndigheten talade i termer av ”misshushållning av de uppdragsarkeologiska resultaten”. Endast en mycket liten del av den akademiska forskningen var baserad på uppdragsarkeologins resultat eller utnyttjade dess källmaterial.</w:t>
      </w:r>
      <w:r w:rsidRPr="003F63DB">
        <w:rPr>
          <w:rStyle w:val="Fotnotsreferens"/>
        </w:rPr>
        <w:footnoteReference w:id="44"/>
      </w:r>
      <w:r w:rsidRPr="003F63DB">
        <w:t xml:space="preserve"> Slutsatsen baserades på en up</w:t>
      </w:r>
      <w:r w:rsidRPr="003F63DB">
        <w:t>p</w:t>
      </w:r>
      <w:r w:rsidRPr="003F63DB">
        <w:t>följning gjord av Riksantikvarieämbetet 1995 om hur det uppdragsarkeol</w:t>
      </w:r>
      <w:r w:rsidRPr="003F63DB">
        <w:t>o</w:t>
      </w:r>
      <w:r w:rsidRPr="003F63DB">
        <w:t>giska resultatet användes inom forskningen. Myndigheten hade bl.a. gjort en genomgång av samtliga avhandlingar i arkeologi och medeltidsarkeologi 1964–1993. Genomgången visade att endast ca 18 % av avhandlingarna till väsentlig del var grundade på up</w:t>
      </w:r>
      <w:r w:rsidRPr="003F63DB">
        <w:t>p</w:t>
      </w:r>
      <w:r w:rsidRPr="003F63DB">
        <w:t>dragsarkeologiska resultat.</w:t>
      </w:r>
      <w:r w:rsidRPr="003F63DB">
        <w:rPr>
          <w:rStyle w:val="Fotnotsreferens"/>
        </w:rPr>
        <w:footnoteReference w:id="45"/>
      </w:r>
      <w:r w:rsidRPr="003F63DB">
        <w:t xml:space="preserve"> </w:t>
      </w:r>
    </w:p>
    <w:p w:rsidR="00905B3E" w:rsidRPr="003F63DB" w:rsidRDefault="00905B3E">
      <w:pPr>
        <w:pStyle w:val="Normaltindrag"/>
      </w:pPr>
      <w:r w:rsidRPr="003F63DB">
        <w:t>En länsstyrelse åskådliggör bristen på samspel på följande sätt:</w:t>
      </w:r>
    </w:p>
    <w:p w:rsidR="00905B3E" w:rsidRPr="003F63DB" w:rsidRDefault="00905B3E">
      <w:pPr>
        <w:pStyle w:val="Citat"/>
      </w:pPr>
      <w:r w:rsidRPr="003F63DB">
        <w:t>Tolkade resultat från undersökningarna måste ut tydligare och snabbare så att de kan återverka på fortsatt forskning även genom andra än undersökarna själva. Under de senaste decennierna har t.ex. omfattande undersökningar gjorts av boplatsområden, som kompletterar de stora gravfältsundersöknin</w:t>
      </w:r>
      <w:r w:rsidRPr="003F63DB">
        <w:t>g</w:t>
      </w:r>
      <w:r w:rsidRPr="003F63DB">
        <w:t>arna tidigare. Detta ger oss speciella möjligheter sett i ett europeiskt pe</w:t>
      </w:r>
      <w:r w:rsidRPr="003F63DB">
        <w:t>r</w:t>
      </w:r>
      <w:r w:rsidRPr="003F63DB">
        <w:t>spektiv att få en helhetsbild av samhället. Varför är det så få forskare som utnyttjar den möjligheten? Universitetsforskare arbetar ofta med gravar och andra monument.</w:t>
      </w:r>
      <w:r w:rsidRPr="003F63DB">
        <w:rPr>
          <w:rStyle w:val="Fotnotsreferens"/>
        </w:rPr>
        <w:footnoteReference w:id="46"/>
      </w:r>
    </w:p>
    <w:p w:rsidR="00905B3E" w:rsidRPr="003F63DB" w:rsidRDefault="00905B3E">
      <w:pPr>
        <w:pStyle w:val="Rubrik3-Utannumrering"/>
      </w:pPr>
      <w:r w:rsidRPr="003F63DB">
        <w:t>Särskilda utvecklingsprojekt vid Riksantikvarieämbetet</w:t>
      </w:r>
    </w:p>
    <w:p w:rsidR="00905B3E" w:rsidRPr="003F63DB" w:rsidRDefault="00905B3E">
      <w:r w:rsidRPr="003F63DB">
        <w:t xml:space="preserve">Mot bakgrund av det dåliga nyttjandet av uppdragsarkeologiskt material, och mot bakgrund av vad regeringen uttalade om bättre samverkansformer i den s.k. forskningspropositionen, drev Riksantikvarieämbetet under perioden 1995–2000 projektet </w:t>
      </w:r>
      <w:r w:rsidRPr="003F63DB">
        <w:rPr>
          <w:i/>
        </w:rPr>
        <w:t>Uppdragsarkeologi och forskning</w:t>
      </w:r>
      <w:r w:rsidRPr="003F63DB">
        <w:t>. Projektet har huvu</w:t>
      </w:r>
      <w:r w:rsidRPr="003F63DB">
        <w:t>d</w:t>
      </w:r>
      <w:r w:rsidRPr="003F63DB">
        <w:t>sakligen gått ut på att fem s.k. forskningskoordinatorer har varit anställda vid universiteten i Umeå, Uppsala, Stockholm, Göteborg och Lund. Koordinat</w:t>
      </w:r>
      <w:r w:rsidRPr="003F63DB">
        <w:t>o</w:t>
      </w:r>
      <w:r w:rsidRPr="003F63DB">
        <w:t>rernas uppgift har varit att utgöra ett regionalt vetenskapligt stöd för länsst</w:t>
      </w:r>
      <w:r w:rsidRPr="003F63DB">
        <w:t>y</w:t>
      </w:r>
      <w:r w:rsidRPr="003F63DB">
        <w:t>relser och undersökare. Bland annat skulle koordinatorerna stödja länsstyre</w:t>
      </w:r>
      <w:r w:rsidRPr="003F63DB">
        <w:t>l</w:t>
      </w:r>
      <w:r w:rsidRPr="003F63DB">
        <w:t>serna i samband med utformande av regionala forskningsplaner, kravspecif</w:t>
      </w:r>
      <w:r w:rsidRPr="003F63DB">
        <w:t>i</w:t>
      </w:r>
      <w:r w:rsidRPr="003F63DB">
        <w:t>kationer och bedömningen av undersökningsplaner. De skulle även verka för att u</w:t>
      </w:r>
      <w:r w:rsidRPr="003F63DB">
        <w:t>ppdragsarkeologiskt material kom till användning inom forskningen och skapa en dialog mellan grundforskning och sektor</w:t>
      </w:r>
      <w:r w:rsidRPr="003F63DB">
        <w:t>s</w:t>
      </w:r>
      <w:r w:rsidRPr="003F63DB">
        <w:t>forskning.</w:t>
      </w:r>
      <w:r w:rsidRPr="003F63DB">
        <w:rPr>
          <w:rStyle w:val="Fotnotsreferens"/>
        </w:rPr>
        <w:footnoteReference w:id="47"/>
      </w:r>
      <w:r w:rsidRPr="003F63DB">
        <w:t xml:space="preserve"> </w:t>
      </w:r>
    </w:p>
    <w:p w:rsidR="00905B3E" w:rsidRPr="003F63DB" w:rsidRDefault="00905B3E">
      <w:pPr>
        <w:pStyle w:val="Normaltindrag"/>
      </w:pPr>
      <w:r w:rsidRPr="003F63DB">
        <w:t>Vid vissa universitet har man försökt integrera praktisk fältarkeologi och utbildningen i arkeologi genom att förlägga seminariegrävningar i anslutning till uppdrags</w:t>
      </w:r>
      <w:r w:rsidRPr="003F63DB">
        <w:softHyphen/>
        <w:t>arkeologiska projekt. Forskningskoordinatorerna har även me</w:t>
      </w:r>
      <w:r w:rsidRPr="003F63DB">
        <w:t>d</w:t>
      </w:r>
      <w:r w:rsidRPr="003F63DB">
        <w:t>verkat till att universiteten aktivt har deltagit vid utformningen av fors</w:t>
      </w:r>
      <w:r w:rsidRPr="003F63DB">
        <w:t>k</w:t>
      </w:r>
      <w:r w:rsidRPr="003F63DB">
        <w:t>ningsprogram knutna till aktuella, större exploaterin</w:t>
      </w:r>
      <w:r w:rsidRPr="003F63DB">
        <w:t>g</w:t>
      </w:r>
      <w:r w:rsidRPr="003F63DB">
        <w:t>ar.</w:t>
      </w:r>
      <w:r w:rsidRPr="003F63DB">
        <w:rPr>
          <w:rStyle w:val="Fotnotsreferens"/>
        </w:rPr>
        <w:t xml:space="preserve"> </w:t>
      </w:r>
    </w:p>
    <w:p w:rsidR="00905B3E" w:rsidRPr="003F63DB" w:rsidRDefault="00905B3E">
      <w:pPr>
        <w:pStyle w:val="Normaltindrag"/>
      </w:pPr>
      <w:r w:rsidRPr="003F63DB">
        <w:t>Riksantikvarieämbetet har låtit två externa bedömare utvärdera delar av ovan nämnda projekt.</w:t>
      </w:r>
      <w:r w:rsidRPr="003F63DB">
        <w:rPr>
          <w:rStyle w:val="Fotnotsreferens"/>
        </w:rPr>
        <w:footnoteReference w:id="48"/>
      </w:r>
      <w:r w:rsidRPr="003F63DB">
        <w:t xml:space="preserve"> En samlad utvärderingsrapport för projektet ska enligt uppgift redovisas av Riksantikvarieämbetet under år 2002. Av ett utkast till redovisning av projektets samlade resultat framgår att inriktningen och utfallet varierat mellan regionerna, men att Riksantikvarieämbetet bed</w:t>
      </w:r>
      <w:r w:rsidRPr="003F63DB">
        <w:t>ö</w:t>
      </w:r>
      <w:r w:rsidRPr="003F63DB">
        <w:t>mer att resultaten över lag har varit goda vad gäller t.ex. ökad samverkan mellan uppdragsarkeologin och universiteten, ökad vetenskaplig kvalitet, bättre kunskapsutbyte och bättre nyttjande av befintligt källmaterial i fors</w:t>
      </w:r>
      <w:r w:rsidRPr="003F63DB">
        <w:t>k</w:t>
      </w:r>
      <w:r w:rsidRPr="003F63DB">
        <w:t xml:space="preserve">ningen och </w:t>
      </w:r>
      <w:r w:rsidRPr="003F63DB">
        <w:t>i utbildningen.</w:t>
      </w:r>
      <w:r w:rsidRPr="003F63DB">
        <w:rPr>
          <w:rStyle w:val="Fotnotsreferens"/>
        </w:rPr>
        <w:footnoteReference w:id="49"/>
      </w:r>
      <w:r w:rsidRPr="003F63DB">
        <w:t xml:space="preserve"> Projektet har dock inte fått någon fortsättning på grund av att man inte kunnat hitta någon finansiering.</w:t>
      </w:r>
    </w:p>
    <w:p w:rsidR="00905B3E" w:rsidRPr="003F63DB" w:rsidRDefault="00905B3E">
      <w:pPr>
        <w:pStyle w:val="Normaltindrag"/>
      </w:pPr>
      <w:r w:rsidRPr="003F63DB">
        <w:t>Riksantikvarieämbetet har efter 1995 inte gjort någon ny uppföljning av hur resultaten nyttjas inom forskningen. Myndighetens uppfattning är ändå att det läggs fram fler avhandlingar än tidigare som till stora delar baseras på arkeologiska uppdragsundersökningar. Merparten av dessa läggs fram av doktorander som också har en anställning inom kulturmiljövården, bl.a. vid Riksantikvarieämbetets arkeologis</w:t>
      </w:r>
      <w:r w:rsidRPr="003F63DB">
        <w:t>ka up</w:t>
      </w:r>
      <w:r w:rsidRPr="003F63DB">
        <w:t>p</w:t>
      </w:r>
      <w:r w:rsidRPr="003F63DB">
        <w:t>dragsverksamhet.</w:t>
      </w:r>
    </w:p>
    <w:p w:rsidR="00905B3E" w:rsidRPr="003F63DB" w:rsidRDefault="00905B3E">
      <w:pPr>
        <w:pStyle w:val="Rubrik3-Utannumrering"/>
      </w:pPr>
      <w:bookmarkStart w:id="63" w:name="_Toc2051059"/>
      <w:r w:rsidRPr="003F63DB">
        <w:t>Krav på forskningsprogram</w:t>
      </w:r>
    </w:p>
    <w:p w:rsidR="00905B3E" w:rsidRPr="003F63DB" w:rsidRDefault="00905B3E">
      <w:r w:rsidRPr="003F63DB">
        <w:t>Det råder en relativt samstämmig uppfattning om att kraven på vetenskapliga frågeställningar i den tidiga planeringen av en uppdragsarkeologisk unde</w:t>
      </w:r>
      <w:r w:rsidRPr="003F63DB">
        <w:t>r</w:t>
      </w:r>
      <w:r w:rsidRPr="003F63DB">
        <w:t>sökning har ökat. Länsstyrelserna ska enligt föreskrifterna till kulturmi</w:t>
      </w:r>
      <w:r w:rsidRPr="003F63DB">
        <w:t>n</w:t>
      </w:r>
      <w:r w:rsidRPr="003F63DB">
        <w:t>neslagen bl.a. ställa krav på att undersökarna har den kunskap om det arke</w:t>
      </w:r>
      <w:r w:rsidRPr="003F63DB">
        <w:t>o</w:t>
      </w:r>
      <w:r w:rsidRPr="003F63DB">
        <w:t>logiska forskningsläget inom sakområdet och det geografiska området som undersökningen kräver.</w:t>
      </w:r>
      <w:r w:rsidRPr="003F63DB">
        <w:rPr>
          <w:rStyle w:val="Fotnotsreferens"/>
        </w:rPr>
        <w:footnoteReference w:id="50"/>
      </w:r>
      <w:r w:rsidRPr="003F63DB">
        <w:t xml:space="preserve"> Riksantikvarieämbetet framhåller i sina allmänna råd till föreskrifterna att undersökaren bör ha ett forskningsprogram som undersökningarnas inriktning bör relateras till. Bör har dock kommit att tolkas som ska. Trots att det inte finns några uttryckliga krav på forskning</w:t>
      </w:r>
      <w:r w:rsidRPr="003F63DB">
        <w:t>s</w:t>
      </w:r>
      <w:r w:rsidRPr="003F63DB">
        <w:t>program i föreskrifterna har Riksantikvarieämbetet i ett överklagande av ett länsstyrelsebeslut till länsrätten framhållit att en undersöknings vetenskapliga inriktning med tydlig koppling till ett forskningsprogram ska tillmätas stor bet</w:t>
      </w:r>
      <w:r w:rsidRPr="003F63DB">
        <w:t>ydelse.</w:t>
      </w:r>
      <w:r w:rsidRPr="003F63DB">
        <w:rPr>
          <w:rStyle w:val="Fotnotsreferens"/>
        </w:rPr>
        <w:footnoteReference w:id="51"/>
      </w:r>
    </w:p>
    <w:p w:rsidR="00905B3E" w:rsidRPr="003F63DB" w:rsidRDefault="00905B3E">
      <w:pPr>
        <w:pStyle w:val="Normaltindrag"/>
      </w:pPr>
      <w:r w:rsidRPr="003F63DB">
        <w:t>Intervjuade undersökare uppger också att de uppfattar önskemålen om ett forskningsprogram som ett krav, t.ex. för att kunna komma i fråga för up</w:t>
      </w:r>
      <w:r w:rsidRPr="003F63DB">
        <w:t>p</w:t>
      </w:r>
      <w:r w:rsidRPr="003F63DB">
        <w:t>drag. En av de större undersökarna, Malmö Kulturmiljö, skriver bl.a. följa</w:t>
      </w:r>
      <w:r w:rsidRPr="003F63DB">
        <w:t>n</w:t>
      </w:r>
      <w:r w:rsidRPr="003F63DB">
        <w:t>de i sitt vete</w:t>
      </w:r>
      <w:r w:rsidRPr="003F63DB">
        <w:t>n</w:t>
      </w:r>
      <w:r w:rsidRPr="003F63DB">
        <w:t>skapliga program</w:t>
      </w:r>
      <w:r w:rsidRPr="003F63DB">
        <w:rPr>
          <w:rStyle w:val="Fotnotsreferens"/>
        </w:rPr>
        <w:footnoteReference w:id="52"/>
      </w:r>
      <w:r w:rsidRPr="003F63DB">
        <w:t>:</w:t>
      </w:r>
    </w:p>
    <w:p w:rsidR="00905B3E" w:rsidRPr="003F63DB" w:rsidRDefault="00905B3E">
      <w:pPr>
        <w:pStyle w:val="Citat"/>
      </w:pPr>
      <w:r w:rsidRPr="003F63DB">
        <w:t>Uppmaningarna från RAÄ till de uppdragsarkeologiskt baserade instituti</w:t>
      </w:r>
      <w:r w:rsidRPr="003F63DB">
        <w:t>o</w:t>
      </w:r>
      <w:r w:rsidRPr="003F63DB">
        <w:t>nerna att upprätta vetenskapliga program (eller forskningsprogram) bör ses mot bakgrund av främst två faktorer:</w:t>
      </w:r>
    </w:p>
    <w:p w:rsidR="00905B3E" w:rsidRPr="003F63DB" w:rsidRDefault="00905B3E">
      <w:pPr>
        <w:pStyle w:val="CitatIndrag"/>
      </w:pPr>
      <w:r w:rsidRPr="003F63DB">
        <w:t>1) statens krav på ett ökat vetenskapligt utbyte av uppdragsarkeologin, med andra ord att uppdragsarkeologin ska vara probl</w:t>
      </w:r>
      <w:r w:rsidRPr="003F63DB">
        <w:t>e</w:t>
      </w:r>
      <w:r w:rsidRPr="003F63DB">
        <w:t>m</w:t>
      </w:r>
      <w:r w:rsidRPr="003F63DB">
        <w:softHyphen/>
        <w:t>orienterad, och</w:t>
      </w:r>
    </w:p>
    <w:p w:rsidR="00905B3E" w:rsidRPr="003F63DB" w:rsidRDefault="00905B3E">
      <w:pPr>
        <w:pStyle w:val="CitatIndrag"/>
      </w:pPr>
      <w:r w:rsidRPr="003F63DB">
        <w:t>2) att arkeologiska undersökningar kom att bli föremål för anbudsförfara</w:t>
      </w:r>
      <w:r w:rsidRPr="003F63DB">
        <w:t>n</w:t>
      </w:r>
      <w:r w:rsidRPr="003F63DB">
        <w:t xml:space="preserve">de. </w:t>
      </w:r>
    </w:p>
    <w:p w:rsidR="00905B3E" w:rsidRPr="003F63DB" w:rsidRDefault="00905B3E">
      <w:r w:rsidRPr="003F63DB">
        <w:t>Regionmuseet i Skåne skriver i sitt arkeologiska forskningspr</w:t>
      </w:r>
      <w:r w:rsidRPr="003F63DB">
        <w:t>o</w:t>
      </w:r>
      <w:r w:rsidRPr="003F63DB">
        <w:t>gram</w:t>
      </w:r>
      <w:r w:rsidRPr="003F63DB">
        <w:rPr>
          <w:rStyle w:val="Fotnotsreferens"/>
        </w:rPr>
        <w:footnoteReference w:id="53"/>
      </w:r>
      <w:r w:rsidRPr="003F63DB">
        <w:t>:</w:t>
      </w:r>
    </w:p>
    <w:p w:rsidR="00905B3E" w:rsidRPr="003F63DB" w:rsidRDefault="00905B3E">
      <w:pPr>
        <w:pStyle w:val="Citat"/>
      </w:pPr>
      <w:r w:rsidRPr="003F63DB">
        <w:t>Det kan konstateras att RAÄ flera gånger de senaste två åren uppmanat och krävt att de undersökande institutionerna ska ha framåtsyftande forskning</w:t>
      </w:r>
      <w:r w:rsidRPr="003F63DB">
        <w:t>s</w:t>
      </w:r>
      <w:r w:rsidRPr="003F63DB">
        <w:t>program, som successivt uppdateras. Detta kan förhoppningsvis fungera som en vitamininjektion för den arkeologiska uppdragsverksamheten i landet och leda till en mer målinriktad kunskapsuppbyggnad i ämnet.</w:t>
      </w:r>
    </w:p>
    <w:p w:rsidR="00905B3E" w:rsidRPr="003F63DB" w:rsidRDefault="00905B3E">
      <w:r w:rsidRPr="003F63DB">
        <w:t>Programmens syften, och även deras målgrupper, är i praktiken flera. Föru</w:t>
      </w:r>
      <w:r w:rsidRPr="003F63DB">
        <w:t>t</w:t>
      </w:r>
      <w:r w:rsidRPr="003F63DB">
        <w:t>om att klargöra den vetenskapliga basen för verksamheten kan forskning</w:t>
      </w:r>
      <w:r w:rsidRPr="003F63DB">
        <w:t>s</w:t>
      </w:r>
      <w:r w:rsidRPr="003F63DB">
        <w:t xml:space="preserve">programmen även ha ett allmänt informativt syfte. Det senare kan liknas vid marknadsföring. </w:t>
      </w:r>
    </w:p>
    <w:p w:rsidR="00905B3E" w:rsidRPr="003F63DB" w:rsidRDefault="00905B3E">
      <w:pPr>
        <w:pStyle w:val="Normaltindrag"/>
      </w:pPr>
      <w:r w:rsidRPr="003F63DB">
        <w:t>Riksantikvarieämbetet-UV låter de fem regionala enheterna utarbeta v</w:t>
      </w:r>
      <w:r w:rsidRPr="003F63DB">
        <w:t>e</w:t>
      </w:r>
      <w:r w:rsidRPr="003F63DB">
        <w:t>tenskapliga program för sina respektive geografiska verksamhetsområden. För exempelvis UV Syd sägs det vetenskapliga programmet vara ett polic</w:t>
      </w:r>
      <w:r w:rsidRPr="003F63DB">
        <w:t>y</w:t>
      </w:r>
      <w:r w:rsidRPr="003F63DB">
        <w:t>dokument som anger en vetenskaplig inriktning för enheten och dess arke</w:t>
      </w:r>
      <w:r w:rsidRPr="003F63DB">
        <w:t>o</w:t>
      </w:r>
      <w:r w:rsidRPr="003F63DB">
        <w:t>logiska verksamhet i Sydsverige under en treårsperiod. Ett annat syfte är att programmet ska vara en vetenskaplig ”positionsmarkering” gentemot län</w:t>
      </w:r>
      <w:r w:rsidRPr="003F63DB">
        <w:t>s</w:t>
      </w:r>
      <w:r w:rsidRPr="003F63DB">
        <w:t>styrelser, universitet och museer och tjäna som underlag för dialog med dessa. Programmet är också en beskrivning av enhetens arkeologiska ko</w:t>
      </w:r>
      <w:r w:rsidRPr="003F63DB">
        <w:t>m</w:t>
      </w:r>
      <w:r w:rsidRPr="003F63DB">
        <w:t>petens</w:t>
      </w:r>
      <w:r w:rsidRPr="003F63DB">
        <w:t xml:space="preserve"> inom dess geografiska verksa</w:t>
      </w:r>
      <w:r w:rsidRPr="003F63DB">
        <w:t>m</w:t>
      </w:r>
      <w:r w:rsidRPr="003F63DB">
        <w:t>hetsområde.</w:t>
      </w:r>
      <w:r w:rsidRPr="003F63DB">
        <w:rPr>
          <w:rStyle w:val="Fotnotsreferens"/>
        </w:rPr>
        <w:footnoteReference w:id="54"/>
      </w:r>
      <w:r w:rsidRPr="003F63DB">
        <w:t xml:space="preserve"> </w:t>
      </w:r>
    </w:p>
    <w:p w:rsidR="00905B3E" w:rsidRPr="003F63DB" w:rsidRDefault="00905B3E">
      <w:pPr>
        <w:pStyle w:val="Normaltindrag"/>
      </w:pPr>
      <w:r w:rsidRPr="003F63DB">
        <w:t>Uppfatt</w:t>
      </w:r>
      <w:r w:rsidRPr="003F63DB">
        <w:softHyphen/>
        <w:t>ningarna går isär om hur användbara geografiskt knutna fors</w:t>
      </w:r>
      <w:r w:rsidRPr="003F63DB">
        <w:t>k</w:t>
      </w:r>
      <w:r w:rsidRPr="003F63DB">
        <w:t>ningsprogram i praktiken är då uppdragsarkeologi är slumpmässig till sin karaktär – både geografiskt och över tid. I samband med stora uppdragsark</w:t>
      </w:r>
      <w:r w:rsidRPr="003F63DB">
        <w:t>e</w:t>
      </w:r>
      <w:r w:rsidRPr="003F63DB">
        <w:t>ologiska undersökningar kan länsstyrelsen även komma att begära att ett projektspecifikt vetenskapligt pr</w:t>
      </w:r>
      <w:r w:rsidRPr="003F63DB">
        <w:t>o</w:t>
      </w:r>
      <w:r w:rsidRPr="003F63DB">
        <w:t>gram utarbetas.</w:t>
      </w:r>
    </w:p>
    <w:p w:rsidR="00905B3E" w:rsidRPr="003F63DB" w:rsidRDefault="00905B3E">
      <w:pPr>
        <w:pStyle w:val="Normaltindrag"/>
      </w:pPr>
      <w:r w:rsidRPr="003F63DB">
        <w:t xml:space="preserve">En länsstyrelse ställer frågan om vem som har ansvaret för att sammanfatta vad alla undersökningar har tillfört kunskapsläget i länet. </w:t>
      </w:r>
    </w:p>
    <w:p w:rsidR="00905B3E" w:rsidRPr="003F63DB" w:rsidRDefault="00905B3E">
      <w:pPr>
        <w:pStyle w:val="Rubrik3-Utannumrering"/>
      </w:pPr>
      <w:r w:rsidRPr="003F63DB">
        <w:t>Riksantikvarieämbetet bedriver forskning</w:t>
      </w:r>
    </w:p>
    <w:p w:rsidR="00905B3E" w:rsidRPr="003F63DB" w:rsidRDefault="00905B3E">
      <w:r w:rsidRPr="003F63DB">
        <w:t>Riksantikvarieämbetets avdelning för arkeologiska undersökningar (UV) har formulerat en verksamhetsidé. Enligt denna ska avdelningen ha spetsko</w:t>
      </w:r>
      <w:r w:rsidRPr="003F63DB">
        <w:t>m</w:t>
      </w:r>
      <w:r w:rsidRPr="003F63DB">
        <w:t>petens och verka för vetenskaplig utveckling.</w:t>
      </w:r>
      <w:r w:rsidRPr="003F63DB">
        <w:rPr>
          <w:rStyle w:val="Fotnotsreferens"/>
        </w:rPr>
        <w:footnoteReference w:id="55"/>
      </w:r>
      <w:r w:rsidRPr="003F63DB">
        <w:t xml:space="preserve"> Avdelningen söker därför tillstånd för egna forsknings</w:t>
      </w:r>
      <w:r w:rsidRPr="003F63DB">
        <w:softHyphen/>
        <w:t>undersökningar i Sverige och deltar även i fors</w:t>
      </w:r>
      <w:r w:rsidRPr="003F63DB">
        <w:t>k</w:t>
      </w:r>
      <w:r w:rsidRPr="003F63DB">
        <w:t>ningsgrävningar där en universitetsinstitution har fått tillståndet. De vete</w:t>
      </w:r>
      <w:r w:rsidRPr="003F63DB">
        <w:t>n</w:t>
      </w:r>
      <w:r w:rsidRPr="003F63DB">
        <w:t>skapliga programmen utgör underlag då avdelningen söker medel från olika fonder.</w:t>
      </w:r>
    </w:p>
    <w:p w:rsidR="00905B3E" w:rsidRPr="003F63DB" w:rsidRDefault="00905B3E">
      <w:pPr>
        <w:pStyle w:val="Normaltindrag"/>
      </w:pPr>
      <w:r w:rsidRPr="003F63DB">
        <w:t>Sedan 1996 har Riksantikvarieämbetet-UV arbetat med 25 forskningspr</w:t>
      </w:r>
      <w:r w:rsidRPr="003F63DB">
        <w:t>o</w:t>
      </w:r>
      <w:r w:rsidRPr="003F63DB">
        <w:t>jekt. Våren 2002 var 17 av dem pågående. Under perioden 2000–2001 i</w:t>
      </w:r>
      <w:r w:rsidRPr="003F63DB">
        <w:t>n</w:t>
      </w:r>
      <w:r w:rsidRPr="003F63DB">
        <w:t>bringade dessa projekt drygt 0,5 miljoner kronor i intäkter. Avdelningen bedriver även internationell verksamhet. Personal från avdelningen deltar i forskningsgrävningar i an</w:t>
      </w:r>
      <w:r w:rsidRPr="003F63DB">
        <w:t>d</w:t>
      </w:r>
      <w:r w:rsidRPr="003F63DB">
        <w:t xml:space="preserve">ra länder. </w:t>
      </w:r>
    </w:p>
    <w:p w:rsidR="00905B3E" w:rsidRPr="003F63DB" w:rsidRDefault="00905B3E">
      <w:pPr>
        <w:pStyle w:val="Rubrik2"/>
      </w:pPr>
      <w:bookmarkStart w:id="64" w:name="_Toc25031904"/>
      <w:bookmarkStart w:id="65" w:name="_Toc36520732"/>
      <w:r w:rsidRPr="003F63DB">
        <w:t>Rapporterna och fynden</w:t>
      </w:r>
      <w:bookmarkEnd w:id="64"/>
      <w:bookmarkEnd w:id="65"/>
    </w:p>
    <w:p w:rsidR="00905B3E" w:rsidRPr="003F63DB" w:rsidRDefault="00905B3E">
      <w:r w:rsidRPr="003F63DB">
        <w:t>En arkeologisk undersökning anses inte vara slutförd förrän en undersö</w:t>
      </w:r>
      <w:r w:rsidRPr="003F63DB">
        <w:t>k</w:t>
      </w:r>
      <w:r w:rsidRPr="003F63DB">
        <w:t>ningsrapport är skriven, fynden är registrerade, konserverade och färdiga för magasinering eller utställning.</w:t>
      </w:r>
      <w:r w:rsidRPr="003F63DB">
        <w:rPr>
          <w:rStyle w:val="Fotnotsreferens"/>
        </w:rPr>
        <w:footnoteReference w:id="56"/>
      </w:r>
      <w:r w:rsidRPr="003F63DB">
        <w:t xml:space="preserve"> </w:t>
      </w:r>
    </w:p>
    <w:p w:rsidR="00905B3E" w:rsidRPr="003F63DB" w:rsidRDefault="00905B3E">
      <w:pPr>
        <w:pStyle w:val="Normaltindrag"/>
      </w:pPr>
      <w:r w:rsidRPr="003F63DB">
        <w:t>Riksantikvarieämbetet ansvarar för att fynden fördelas på museer. Denna fördelning kan göras först när en rapport föreligger. Förseningar i rapport</w:t>
      </w:r>
      <w:r w:rsidRPr="003F63DB">
        <w:t>e</w:t>
      </w:r>
      <w:r w:rsidRPr="003F63DB">
        <w:t>ringen får således konsekvenser för fyndhanteringen och därmed även för forskares och museers möjligheter att få tillgång till fynden och dokument</w:t>
      </w:r>
      <w:r w:rsidRPr="003F63DB">
        <w:t>a</w:t>
      </w:r>
      <w:r w:rsidRPr="003F63DB">
        <w:t>tionen från en u</w:t>
      </w:r>
      <w:r w:rsidRPr="003F63DB">
        <w:t>n</w:t>
      </w:r>
      <w:r w:rsidRPr="003F63DB">
        <w:t xml:space="preserve">dersökning. </w:t>
      </w:r>
    </w:p>
    <w:p w:rsidR="00905B3E" w:rsidRPr="003F63DB" w:rsidRDefault="00905B3E">
      <w:pPr>
        <w:pStyle w:val="Rubrik3-Utannumrering"/>
      </w:pPr>
      <w:r w:rsidRPr="003F63DB">
        <w:t>Den arkeologiska rapporten och dess mottagare</w:t>
      </w:r>
    </w:p>
    <w:p w:rsidR="00905B3E" w:rsidRPr="003F63DB" w:rsidRDefault="00905B3E">
      <w:r w:rsidRPr="003F63DB">
        <w:t>En arkeologisk rapport ska innehålla en redovisning och tolkning av de iak</w:t>
      </w:r>
      <w:r w:rsidRPr="003F63DB">
        <w:t>t</w:t>
      </w:r>
      <w:r w:rsidRPr="003F63DB">
        <w:t>tagelser och fynd som gjorts vid en arkeologisk utredning, förundersökning eller särskild undersökning. Den undersökare som utfört uppdraget ska svara för att rapporten samma</w:t>
      </w:r>
      <w:r w:rsidRPr="003F63DB">
        <w:t>n</w:t>
      </w:r>
      <w:r w:rsidRPr="003F63DB">
        <w:t xml:space="preserve">ställs. </w:t>
      </w:r>
    </w:p>
    <w:p w:rsidR="00905B3E" w:rsidRPr="003F63DB" w:rsidRDefault="00905B3E">
      <w:pPr>
        <w:pStyle w:val="Normaltindrag"/>
      </w:pPr>
      <w:r w:rsidRPr="003F63DB">
        <w:t>Mottagarna av en rapport kan vara exploatörer, kommuner, länsstyrelser, Riksantikvarieämbetet, museer och högskolor samt hembygdsföreningar och allmänheten. Utrednings- respektive förundersökningsrapporter riktar sig i första hand till länsstyrelser och exploatörer och är avsedda som underlag för planering och beslut. Rapport</w:t>
      </w:r>
      <w:r w:rsidRPr="003F63DB">
        <w:t>er från särskilda undersökningar ska främst bidra till ny kunskap inom arkeologi och kulturhistoria. De riktar sig därför huvudsakligen till forskare och intresserade medborg</w:t>
      </w:r>
      <w:r w:rsidRPr="003F63DB">
        <w:t>a</w:t>
      </w:r>
      <w:r w:rsidRPr="003F63DB">
        <w:t>re.</w:t>
      </w:r>
      <w:r w:rsidRPr="003F63DB">
        <w:rPr>
          <w:rStyle w:val="Fotnotsreferens"/>
        </w:rPr>
        <w:footnoteReference w:id="57"/>
      </w:r>
      <w:r w:rsidRPr="003F63DB">
        <w:t xml:space="preserve"> </w:t>
      </w:r>
    </w:p>
    <w:p w:rsidR="00905B3E" w:rsidRPr="003F63DB" w:rsidRDefault="00905B3E">
      <w:pPr>
        <w:pStyle w:val="Normaltindrag"/>
      </w:pPr>
      <w:r w:rsidRPr="003F63DB">
        <w:t>Med undersökarens undersökningsplan som underlag avgör länsstyrelsen hur en undersökning ska rapporteras. Vissa större undersökningar eller u</w:t>
      </w:r>
      <w:r w:rsidRPr="003F63DB">
        <w:t>n</w:t>
      </w:r>
      <w:r w:rsidRPr="003F63DB">
        <w:t>dersökningar med stor vetenskaplig potential kan bli föremål för fördjupade bearbetningar och analyser. Vid Riksantikvarieämbetet-UV omfattar rappo</w:t>
      </w:r>
      <w:r w:rsidRPr="003F63DB">
        <w:t>r</w:t>
      </w:r>
      <w:r w:rsidRPr="003F63DB">
        <w:t>teringen från en slutundersökning numera två moment, där det första är en dokumentation av fältarbetsfasen. Denna rapport innehåller mycket fakta och ges i regel även ut i digital form via nätet. Det andra momentet är den vete</w:t>
      </w:r>
      <w:r w:rsidRPr="003F63DB">
        <w:t>n</w:t>
      </w:r>
      <w:r w:rsidRPr="003F63DB">
        <w:t>skapliga rapporteringen, där valda delar av gjorda iakttagelser och fynd an</w:t>
      </w:r>
      <w:r w:rsidRPr="003F63DB">
        <w:t>a</w:t>
      </w:r>
      <w:r w:rsidRPr="003F63DB">
        <w:t>lyseras närmare och sätts in i ett vetenskapligt sammanhang.</w:t>
      </w:r>
      <w:r w:rsidRPr="003F63DB">
        <w:rPr>
          <w:rStyle w:val="Fotnotsreferens"/>
        </w:rPr>
        <w:footnoteReference w:id="58"/>
      </w:r>
      <w:r w:rsidRPr="003F63DB">
        <w:t xml:space="preserve"> </w:t>
      </w:r>
    </w:p>
    <w:p w:rsidR="00905B3E" w:rsidRPr="003F63DB" w:rsidRDefault="00905B3E">
      <w:pPr>
        <w:pStyle w:val="Normaltindrag"/>
      </w:pPr>
      <w:r w:rsidRPr="003F63DB">
        <w:t>Stor vikt kan läggas vid den grafiska utformningen av den vetenskapliga rapporten. Vissa rapporter ges ut som inbundna böcker med färgtryck. En stor undersökning kan innebära att böcker ges ut i flera band. De arkeologi</w:t>
      </w:r>
      <w:r w:rsidRPr="003F63DB">
        <w:t>s</w:t>
      </w:r>
      <w:r w:rsidRPr="003F63DB">
        <w:t>ka undersökningarna i samband med Öresundsförbindelsens tillkomst ko</w:t>
      </w:r>
      <w:r w:rsidRPr="003F63DB">
        <w:t>m</w:t>
      </w:r>
      <w:r w:rsidRPr="003F63DB">
        <w:t>mer att resultera i sammanlagt 30 inbundna böcker, vilka exploatörerna Svedab AB och Vägverket bekostar. Den vetenskapliga rapporteringen från de arkeologiska undersökningarna inför Västkustbanans utbyggnad (He</w:t>
      </w:r>
      <w:r w:rsidRPr="003F63DB">
        <w:t>l</w:t>
      </w:r>
      <w:r w:rsidRPr="003F63DB">
        <w:t>singborg–Kävlinge) kommer att omfatta sammanlagt 11 band.</w:t>
      </w:r>
      <w:r w:rsidRPr="003F63DB">
        <w:rPr>
          <w:rStyle w:val="Fotnotsreferens"/>
        </w:rPr>
        <w:footnoteReference w:id="59"/>
      </w:r>
      <w:r w:rsidRPr="003F63DB">
        <w:t xml:space="preserve"> I detta fall är det Banverket som bekostar rapporterin</w:t>
      </w:r>
      <w:r w:rsidRPr="003F63DB">
        <w:t>g</w:t>
      </w:r>
      <w:r w:rsidRPr="003F63DB">
        <w:t>en.</w:t>
      </w:r>
    </w:p>
    <w:p w:rsidR="00905B3E" w:rsidRPr="003F63DB" w:rsidRDefault="00905B3E">
      <w:pPr>
        <w:pStyle w:val="Normaltindrag"/>
      </w:pPr>
      <w:r w:rsidRPr="003F63DB">
        <w:t>All skriftlig dokumentation från en arkeologisk undersökning – rapporter, ritningar, fotografier etc. – ska arkiveras. Riksantikvarieämbetet ska bl.a. ha två arkivvärdiga exemplar av alla rapporter.</w:t>
      </w:r>
      <w:r w:rsidRPr="003F63DB">
        <w:rPr>
          <w:rStyle w:val="Fotnotsreferens"/>
        </w:rPr>
        <w:t xml:space="preserve"> </w:t>
      </w:r>
      <w:r w:rsidRPr="003F63DB">
        <w:t>Dokumentationen registreras i det antikvarisk-topografiska arkivet (ATA) vid Riksantikvarieämbetet. (Se avsnitt 1.5)</w:t>
      </w:r>
    </w:p>
    <w:p w:rsidR="00905B3E" w:rsidRPr="003F63DB" w:rsidRDefault="00905B3E">
      <w:pPr>
        <w:pStyle w:val="Rubrik3-Utannumrering"/>
      </w:pPr>
      <w:r w:rsidRPr="003F63DB">
        <w:t>En liten del av alla fornfynd tas om hand</w:t>
      </w:r>
    </w:p>
    <w:p w:rsidR="00905B3E" w:rsidRPr="003F63DB" w:rsidRDefault="00905B3E">
      <w:r w:rsidRPr="003F63DB">
        <w:t>Flera undersökare menar att bara en bråkdel av det som grävs ut kan tas om hand och analyseras. Vid varje undersökning görs därmed ett urval – både vad gäller det som ska analyseras närmare och vilka fynd som ska sparas. Precis som i andra verksamheter finns därmed möjligheten att olika unders</w:t>
      </w:r>
      <w:r w:rsidRPr="003F63DB">
        <w:t>ö</w:t>
      </w:r>
      <w:r w:rsidRPr="003F63DB">
        <w:t>kare kan göra olika avvägningar och komma fram till olika slutsatser. Vilka fynd som sparas och vad som bedöms intressant att analysera närmare beror på vilka frågeställningar och förkunskaper den ansvarige arkeologen har, men också på vilka interna regler organisationen har för arbetet. Över tid förändras även förutsättningarna för vilka analyser som är möjliga att göra. Teknisk och vetenskaplig utveckling kan innebära att analyser som inte är möjliga att genomföra i dag kan bli möjliga i fra</w:t>
      </w:r>
      <w:r w:rsidRPr="003F63DB">
        <w:t>m</w:t>
      </w:r>
      <w:r w:rsidRPr="003F63DB">
        <w:t>tiden.</w:t>
      </w:r>
    </w:p>
    <w:p w:rsidR="00905B3E" w:rsidRPr="003F63DB" w:rsidRDefault="00905B3E">
      <w:pPr>
        <w:pStyle w:val="Rubrik3-Utannumrering"/>
      </w:pPr>
      <w:r w:rsidRPr="003F63DB">
        <w:t>Förde</w:t>
      </w:r>
      <w:r w:rsidRPr="003F63DB">
        <w:t>lningen av fornfynd</w:t>
      </w:r>
    </w:p>
    <w:p w:rsidR="00905B3E" w:rsidRPr="003F63DB" w:rsidRDefault="00905B3E">
      <w:r w:rsidRPr="003F63DB">
        <w:t>Riksantikvarieämbetet ansvarar för fyndfördelningen och får överlåta statens rätt till fornfynd till något museum som kan åta sig att vårda det på ett til</w:t>
      </w:r>
      <w:r w:rsidRPr="003F63DB">
        <w:t>l</w:t>
      </w:r>
      <w:r w:rsidRPr="003F63DB">
        <w:t>fredsställande sätt framöver.</w:t>
      </w:r>
      <w:r w:rsidRPr="003F63DB">
        <w:rPr>
          <w:rStyle w:val="Fotnotsreferens"/>
        </w:rPr>
        <w:footnoteReference w:id="60"/>
      </w:r>
      <w:r w:rsidRPr="003F63DB">
        <w:t xml:space="preserve"> Fornfynden ska tillsammans med rapporten lämnas till det museum som Riksantikvarieämbetet anvisar. Varje enskilt museum för egna föremålskataloger, vilka kan se olika ut sinsemellan. Det finns inget centralt fyndr</w:t>
      </w:r>
      <w:r w:rsidRPr="003F63DB">
        <w:t>e</w:t>
      </w:r>
      <w:r w:rsidRPr="003F63DB">
        <w:t>gister.</w:t>
      </w:r>
    </w:p>
    <w:p w:rsidR="00905B3E" w:rsidRPr="003F63DB" w:rsidRDefault="00905B3E">
      <w:pPr>
        <w:pStyle w:val="Normaltindrag"/>
      </w:pPr>
      <w:r w:rsidRPr="003F63DB">
        <w:t>Riksantikvarieämbetet remitterar i regel ärenden om fyndfördelning till Statens historiska museer. Enligt uppgift från Statens historiska museer begär man i ett fåtal fall att fynden ska tillföras den egna myndigheten. Detta kan gälla när fynd från en viss fornlämning sedan tidigare finns</w:t>
      </w:r>
      <w:r w:rsidRPr="003F63DB">
        <w:t xml:space="preserve"> hos Statens hist</w:t>
      </w:r>
      <w:r w:rsidRPr="003F63DB">
        <w:t>o</w:t>
      </w:r>
      <w:r w:rsidRPr="003F63DB">
        <w:t>riska museer eller när myndigheten bedömer att fynden är av nationellt i</w:t>
      </w:r>
      <w:r w:rsidRPr="003F63DB">
        <w:t>n</w:t>
      </w:r>
      <w:r w:rsidRPr="003F63DB">
        <w:t>tresse och därför bör förbli i statlig ägo. Även material från en utgrävning som inget annat museum har anmält intresse för att ta emot tillförs Statens historiska museer. Uppskattningsvis förs ca 70 % av fynden till regionala museer på museernas begäran.</w:t>
      </w:r>
      <w:r w:rsidRPr="003F63DB">
        <w:rPr>
          <w:rStyle w:val="Fotnotsreferens"/>
        </w:rPr>
        <w:footnoteReference w:id="61"/>
      </w:r>
      <w:r w:rsidRPr="003F63DB">
        <w:t xml:space="preserve"> </w:t>
      </w:r>
    </w:p>
    <w:p w:rsidR="00905B3E" w:rsidRPr="003F63DB" w:rsidRDefault="00905B3E">
      <w:pPr>
        <w:pStyle w:val="Rubrik3-Utannumrering"/>
      </w:pPr>
      <w:r w:rsidRPr="003F63DB">
        <w:t>Mängden arkeologiska fynd är okänd</w:t>
      </w:r>
    </w:p>
    <w:p w:rsidR="00905B3E" w:rsidRPr="003F63DB" w:rsidRDefault="00905B3E">
      <w:r w:rsidRPr="003F63DB">
        <w:t>Det finns inga uppgifter om hur många arkeologiska fynd som tas om hand varje år. Det saknas även uppgifter om mängden fynd som sammanlagt finns utställda eller lagrade i magasin vid landets museer. Bara vid Statens hist</w:t>
      </w:r>
      <w:r w:rsidRPr="003F63DB">
        <w:t>o</w:t>
      </w:r>
      <w:r w:rsidRPr="003F63DB">
        <w:t>riska museum finns närmare 20,5 miljoner enskilda föremål</w:t>
      </w:r>
      <w:r w:rsidRPr="003F63DB">
        <w:rPr>
          <w:rStyle w:val="Fotnotsreferens"/>
        </w:rPr>
        <w:footnoteReference w:id="62"/>
      </w:r>
      <w:r w:rsidRPr="003F63DB">
        <w:t xml:space="preserve"> lagrade, fö</w:t>
      </w:r>
      <w:r w:rsidRPr="003F63DB">
        <w:t>r</w:t>
      </w:r>
      <w:r w:rsidRPr="003F63DB">
        <w:t>delade på drygt 33 700 inventarienummer.</w:t>
      </w:r>
      <w:r w:rsidRPr="003F63DB">
        <w:rPr>
          <w:rStyle w:val="Fotnotsreferens"/>
        </w:rPr>
        <w:footnoteReference w:id="63"/>
      </w:r>
      <w:r w:rsidRPr="003F63DB">
        <w:t xml:space="preserve"> Statens historiska museer up</w:t>
      </w:r>
      <w:r w:rsidRPr="003F63DB">
        <w:t>p</w:t>
      </w:r>
      <w:r w:rsidRPr="003F63DB">
        <w:t>skattar att endast en liten del av allt nyuppgrävt material kommer till a</w:t>
      </w:r>
      <w:r w:rsidRPr="003F63DB">
        <w:t>n</w:t>
      </w:r>
      <w:r w:rsidRPr="003F63DB">
        <w:t>vändning i u</w:t>
      </w:r>
      <w:r w:rsidRPr="003F63DB">
        <w:t>t</w:t>
      </w:r>
      <w:r w:rsidRPr="003F63DB">
        <w:t>ställningssammanhang.</w:t>
      </w:r>
    </w:p>
    <w:p w:rsidR="00905B3E" w:rsidRPr="003F63DB" w:rsidRDefault="00905B3E">
      <w:pPr>
        <w:pStyle w:val="Normaltindrag"/>
      </w:pPr>
      <w:r w:rsidRPr="003F63DB">
        <w:t>Av budgetpropositionen för 2003 framgår att Statens historiska museer har ackumulerade eftersläpningar när det gäller bl.a. konservering och dok</w:t>
      </w:r>
      <w:r w:rsidRPr="003F63DB">
        <w:t>u</w:t>
      </w:r>
      <w:r w:rsidRPr="003F63DB">
        <w:t>mentation av arkeologiska föremål samt handläggning av fyndfördelning</w:t>
      </w:r>
      <w:r w:rsidRPr="003F63DB">
        <w:t>s</w:t>
      </w:r>
      <w:r w:rsidRPr="003F63DB">
        <w:t>ärenden. Regeringen förslår att anslaget till Statens historiska museer höjs med 900 000 kronor fr.o.m. 2003 för att ge myndigheten möjlighet att ko</w:t>
      </w:r>
      <w:r w:rsidRPr="003F63DB">
        <w:t>m</w:t>
      </w:r>
      <w:r w:rsidRPr="003F63DB">
        <w:t>ma till rätta med situationen.</w:t>
      </w:r>
      <w:r w:rsidRPr="003F63DB">
        <w:rPr>
          <w:rStyle w:val="Fotnotsreferens"/>
        </w:rPr>
        <w:footnoteReference w:id="64"/>
      </w:r>
    </w:p>
    <w:p w:rsidR="00905B3E" w:rsidRPr="003F63DB" w:rsidRDefault="00905B3E">
      <w:pPr>
        <w:pStyle w:val="Normaltindrag"/>
      </w:pPr>
      <w:r w:rsidRPr="003F63DB">
        <w:t>Som tidigare har framgått görs en gallring av arkeologiskt material av a</w:t>
      </w:r>
      <w:r w:rsidRPr="003F63DB">
        <w:t>n</w:t>
      </w:r>
      <w:r w:rsidRPr="003F63DB">
        <w:t>svarig arkeolog redan vid undersökningstillfället. Senare kan också en gal</w:t>
      </w:r>
      <w:r w:rsidRPr="003F63DB">
        <w:t>l</w:t>
      </w:r>
      <w:r w:rsidRPr="003F63DB">
        <w:t>ring göras av ansvarigt museum. Både Statens historiska museer och Riksa</w:t>
      </w:r>
      <w:r w:rsidRPr="003F63DB">
        <w:t>n</w:t>
      </w:r>
      <w:r w:rsidRPr="003F63DB">
        <w:t>tikvarieämbetet menar dock att det är svårare att få en gallring till stånd när fynden väl är registrerade och omhändertagna. Varken Statens kulturråd eller Statens historiska museer känner till om museerna har genomfört några me</w:t>
      </w:r>
      <w:r w:rsidRPr="003F63DB">
        <w:t>d</w:t>
      </w:r>
      <w:r w:rsidRPr="003F63DB">
        <w:t>vetna gallringar av arkeologiskt material. Inom Statens historiska museer pågår dock för närvarande ett arbete med att se över möjlig</w:t>
      </w:r>
      <w:r w:rsidRPr="003F63DB">
        <w:t>heterna att gallra ur sa</w:t>
      </w:r>
      <w:r w:rsidRPr="003F63DB">
        <w:t>m</w:t>
      </w:r>
      <w:r w:rsidRPr="003F63DB">
        <w:t xml:space="preserve">lingarna. </w:t>
      </w:r>
    </w:p>
    <w:p w:rsidR="00905B3E" w:rsidRPr="003F63DB" w:rsidRDefault="00905B3E">
      <w:pPr>
        <w:pStyle w:val="Normaltindrag"/>
      </w:pPr>
      <w:r w:rsidRPr="003F63DB">
        <w:t>Av kulturutskottets betänkande om kulturmiljövård</w:t>
      </w:r>
      <w:r w:rsidRPr="003F63DB">
        <w:rPr>
          <w:rStyle w:val="Fotnotsreferens"/>
        </w:rPr>
        <w:footnoteReference w:id="65"/>
      </w:r>
      <w:r w:rsidRPr="003F63DB">
        <w:t xml:space="preserve"> framgår att både M</w:t>
      </w:r>
      <w:r w:rsidRPr="003F63DB">
        <w:t>u</w:t>
      </w:r>
      <w:r w:rsidRPr="003F63DB">
        <w:t>seiutredningen</w:t>
      </w:r>
      <w:r w:rsidRPr="003F63DB">
        <w:rPr>
          <w:rStyle w:val="Fotnotsreferens"/>
        </w:rPr>
        <w:footnoteReference w:id="66"/>
      </w:r>
      <w:r w:rsidRPr="003F63DB">
        <w:t xml:space="preserve"> och Kulturutredningen</w:t>
      </w:r>
      <w:r w:rsidRPr="003F63DB">
        <w:rPr>
          <w:rStyle w:val="Fotnotsreferens"/>
        </w:rPr>
        <w:footnoteReference w:id="67"/>
      </w:r>
      <w:r w:rsidRPr="003F63DB">
        <w:t xml:space="preserve"> var positiva till att museerna gallrar genom att avyttra föremål som finns i många exemplar. </w:t>
      </w:r>
    </w:p>
    <w:p w:rsidR="00905B3E" w:rsidRPr="003F63DB" w:rsidRDefault="00905B3E">
      <w:pPr>
        <w:pStyle w:val="Rubrik2"/>
      </w:pPr>
      <w:bookmarkStart w:id="66" w:name="_Toc25031905"/>
      <w:bookmarkStart w:id="67" w:name="_Toc36520733"/>
      <w:r w:rsidRPr="003F63DB">
        <w:t>Försenade rapporter</w:t>
      </w:r>
      <w:bookmarkEnd w:id="66"/>
      <w:bookmarkEnd w:id="67"/>
    </w:p>
    <w:p w:rsidR="00905B3E" w:rsidRPr="003F63DB" w:rsidRDefault="00905B3E">
      <w:r w:rsidRPr="003F63DB">
        <w:t>Ett stort antal arkeologiska undersökningar har ännu inte redovisats i en rapport, trots att de genomfördes för flera decennier sedan. I många fall har exploatören betalat för en rapportering som aldrig kommit till stånd. Riksa</w:t>
      </w:r>
      <w:r w:rsidRPr="003F63DB">
        <w:t>n</w:t>
      </w:r>
      <w:r w:rsidRPr="003F63DB">
        <w:t>tikvarieämbetet uppskattar att antalet icke avslutade ärenden sammantaget uppgår till drygt 3 000.</w:t>
      </w:r>
      <w:r w:rsidRPr="003F63DB">
        <w:rPr>
          <w:rStyle w:val="Fotnotsreferens"/>
        </w:rPr>
        <w:footnoteReference w:id="68"/>
      </w:r>
      <w:r w:rsidRPr="003F63DB">
        <w:t xml:space="preserve"> Eftersläpningar i rapporteringen finns enligt Rik</w:t>
      </w:r>
      <w:r w:rsidRPr="003F63DB">
        <w:t>s</w:t>
      </w:r>
      <w:r w:rsidRPr="003F63DB">
        <w:t>antikvarieämbetet hos flera arkeologiska undersökare: museer, universitet och Riksantikvarieämbetets egen undersökningsverksa</w:t>
      </w:r>
      <w:r w:rsidRPr="003F63DB">
        <w:t>m</w:t>
      </w:r>
      <w:r w:rsidRPr="003F63DB">
        <w:t xml:space="preserve">het. </w:t>
      </w:r>
    </w:p>
    <w:p w:rsidR="00905B3E" w:rsidRPr="003F63DB" w:rsidRDefault="00905B3E">
      <w:pPr>
        <w:pStyle w:val="Rubrik3-Utannumrering"/>
      </w:pPr>
      <w:r w:rsidRPr="003F63DB">
        <w:t>Eftersläpningar i Riksantikvarieämbetets rapportering</w:t>
      </w:r>
    </w:p>
    <w:p w:rsidR="00905B3E" w:rsidRPr="003F63DB" w:rsidRDefault="00905B3E">
      <w:r w:rsidRPr="003F63DB">
        <w:t>Problemen med eftersläpningar i rapporteringen vid Riksantikvarieämbetets avdelning för arkeologiska undersökningar (UV) tilltog under 1980-talet. En förklaring till problemet är att nya undersökningar och fältarbeten har pri</w:t>
      </w:r>
      <w:r w:rsidRPr="003F63DB">
        <w:t>o</w:t>
      </w:r>
      <w:r w:rsidRPr="003F63DB">
        <w:t>riterats på bekostnad av slutrapporteringen av äldre sådana. Förfaringssättet sägs framför allt ha blivit aktuellt då uppdragsvolymen ökat i förhållande till tidigare år. En annan förklaring är att Riksantikvarieämbetet har fått ersät</w:t>
      </w:r>
      <w:r w:rsidRPr="003F63DB">
        <w:t>t</w:t>
      </w:r>
      <w:r w:rsidRPr="003F63DB">
        <w:t>ning av exploatören innan undersökningen i sin helhet varit avslutad. De medel som har reserverats för rapportarbetet har inte varit tillräckliga. Samt</w:t>
      </w:r>
      <w:r w:rsidRPr="003F63DB">
        <w:t>i</w:t>
      </w:r>
      <w:r w:rsidRPr="003F63DB">
        <w:t>digt har inflationen bidragit till att värdet på de reserverade medlen har minskat.</w:t>
      </w:r>
      <w:r w:rsidRPr="003F63DB">
        <w:rPr>
          <w:rStyle w:val="Fotnotsreferens"/>
        </w:rPr>
        <w:footnoteReference w:id="69"/>
      </w:r>
      <w:r w:rsidRPr="003F63DB">
        <w:t xml:space="preserve"> </w:t>
      </w:r>
    </w:p>
    <w:p w:rsidR="00905B3E" w:rsidRPr="003F63DB" w:rsidRDefault="00905B3E">
      <w:pPr>
        <w:pStyle w:val="Normaltindrag"/>
      </w:pPr>
      <w:r w:rsidRPr="003F63DB">
        <w:t>Till skillnad från vad som gällt för andra undersökare med försenade rap</w:t>
      </w:r>
      <w:r w:rsidRPr="003F63DB">
        <w:t>p</w:t>
      </w:r>
      <w:r w:rsidRPr="003F63DB">
        <w:t>orter har Riksantikvarieämbetet fått använda särskilda anslagsmedel för att åtgärda eftersläpningarna. I regleringsbreven för budgetåren 1993/94–2000 gav regeringen Riksantikvarieämbetet tillstånd att använda högst 1 miljon kronor årligen av anslaget Bidrag till kulturmiljövård för att färdigställa rapporter från arkeologiska undersökningar utförda av myndigheten.</w:t>
      </w:r>
      <w:r w:rsidRPr="003F63DB">
        <w:rPr>
          <w:rStyle w:val="Fotnotsreferens"/>
        </w:rPr>
        <w:footnoteReference w:id="70"/>
      </w:r>
      <w:r w:rsidRPr="003F63DB">
        <w:t xml:space="preserve"> Enligt uppgift från Riksantikvarieämbetet har myndigheten beslutat att färdigstäl</w:t>
      </w:r>
      <w:r w:rsidRPr="003F63DB">
        <w:t>l</w:t>
      </w:r>
      <w:r w:rsidRPr="003F63DB">
        <w:t>andet av rapporter avseende undersökningar genomförda före 1982 ska vara den centrala myndighetens ansvar. De särskilda medel som tilldelats Riksa</w:t>
      </w:r>
      <w:r w:rsidRPr="003F63DB">
        <w:t>n</w:t>
      </w:r>
      <w:r w:rsidRPr="003F63DB">
        <w:t>tikvarieämbetet har använts för att anställa personal vid myndigheten centralt för att färdigställa rapporter från undersökningarna.</w:t>
      </w:r>
      <w:r w:rsidRPr="003F63DB">
        <w:rPr>
          <w:rStyle w:val="Fotnotsreferens"/>
        </w:rPr>
        <w:footnoteReference w:id="71"/>
      </w:r>
      <w:r w:rsidRPr="003F63DB">
        <w:t xml:space="preserve"> Parallellt med det a</w:t>
      </w:r>
      <w:r w:rsidRPr="003F63DB">
        <w:t>r</w:t>
      </w:r>
      <w:r w:rsidRPr="003F63DB">
        <w:t>bete som genomförts centralt vid Riksantikvarieämbetet har UV arbetat med att avrapportera undersökningar utförda 1982 och senare. Rapporterna har utformats på ett enklare sätt jämfört med vad som normalt är brukligt.</w:t>
      </w:r>
    </w:p>
    <w:p w:rsidR="00905B3E" w:rsidRPr="003F63DB" w:rsidRDefault="00905B3E">
      <w:pPr>
        <w:pStyle w:val="Normaltindrag"/>
      </w:pPr>
      <w:r w:rsidRPr="003F63DB">
        <w:t>Våren 2002 uppskattar Riksantikvarieämbetet att det fortfarande finns drygt 600 orapporterade undersökningar gjorda av myndigheten som härrör från 1950-talet fram till 1982.</w:t>
      </w:r>
      <w:r w:rsidRPr="003F63DB">
        <w:rPr>
          <w:rStyle w:val="Fotnotsreferens"/>
        </w:rPr>
        <w:footnoteReference w:id="72"/>
      </w:r>
      <w:r w:rsidRPr="003F63DB">
        <w:t xml:space="preserve"> Därutöver finns vid UV sammanlagt 164 undersökningar genomförda mellan 1990 och 1999 och som ännu inte ra</w:t>
      </w:r>
      <w:r w:rsidRPr="003F63DB">
        <w:t>p</w:t>
      </w:r>
      <w:r w:rsidRPr="003F63DB">
        <w:t>porterats slutgiltigt.</w:t>
      </w:r>
      <w:r w:rsidRPr="003F63DB">
        <w:rPr>
          <w:rStyle w:val="Fotnotsreferens"/>
        </w:rPr>
        <w:footnoteReference w:id="73"/>
      </w:r>
      <w:r w:rsidRPr="003F63DB">
        <w:t xml:space="preserve"> Fakturerade men inte förbrukade medel för arkeologi</w:t>
      </w:r>
      <w:r w:rsidRPr="003F63DB">
        <w:t>s</w:t>
      </w:r>
      <w:r w:rsidRPr="003F63DB">
        <w:t>ka uppdrag inklusive rapportering uppgick till drygt 52 miljoner kronor den 31 dece</w:t>
      </w:r>
      <w:r w:rsidRPr="003F63DB">
        <w:t>m</w:t>
      </w:r>
      <w:r w:rsidRPr="003F63DB">
        <w:t xml:space="preserve">ber 2001. </w:t>
      </w:r>
    </w:p>
    <w:p w:rsidR="00905B3E" w:rsidRPr="003F63DB" w:rsidRDefault="00905B3E">
      <w:pPr>
        <w:pStyle w:val="Rubrik3-Utannumrering"/>
      </w:pPr>
      <w:r w:rsidRPr="003F63DB">
        <w:t>Konsekvenserna av försenade rapporter</w:t>
      </w:r>
    </w:p>
    <w:p w:rsidR="00905B3E" w:rsidRPr="003F63DB" w:rsidRDefault="00905B3E">
      <w:r w:rsidRPr="003F63DB">
        <w:t>De stora förseningarna i rapporteringen under flera decennier har inte bara begränsat tillgängligheten till fynden, utan har sannolikt även lett till att kunskap som skulle ha utvunnits genom dessa undersökningar inte har ku</w:t>
      </w:r>
      <w:r w:rsidRPr="003F63DB">
        <w:t>n</w:t>
      </w:r>
      <w:r w:rsidRPr="003F63DB">
        <w:t>nat ligga till grund för senare undersökningar. Risken finns också att fynden inte vårdats och förvarats på bästa sätt. Riksantikvarieämbetet befarar att en hel del fynd har kommit bort eller förstörts under årens lopp.</w:t>
      </w:r>
    </w:p>
    <w:p w:rsidR="00905B3E" w:rsidRPr="003F63DB" w:rsidRDefault="00905B3E">
      <w:pPr>
        <w:pStyle w:val="Normaltindrag"/>
      </w:pPr>
      <w:r w:rsidRPr="003F63DB">
        <w:t>I avvaktan på att en arkeologisk rapport färdigställs förvaras de arkeol</w:t>
      </w:r>
      <w:r w:rsidRPr="003F63DB">
        <w:t>o</w:t>
      </w:r>
      <w:r w:rsidRPr="003F63DB">
        <w:t xml:space="preserve">giska fynden hos den undersökande organisationen, som behöver ha tillgång till fynden för att kunna skriva sin rapport. I vissa fall förvaras de hos Statens historiska museum. Fynden är under denna period i praktiken inte kända och därmed mindre tillgängliga för t.ex. utställning. </w:t>
      </w:r>
    </w:p>
    <w:p w:rsidR="00905B3E" w:rsidRPr="003F63DB" w:rsidRDefault="00905B3E">
      <w:pPr>
        <w:pStyle w:val="Normaltindrag"/>
      </w:pPr>
      <w:r w:rsidRPr="003F63DB">
        <w:t>Fynd från oavslutade undersökningar vid Riksantikvarieämbetets up</w:t>
      </w:r>
      <w:r w:rsidRPr="003F63DB">
        <w:t>p</w:t>
      </w:r>
      <w:r w:rsidRPr="003F63DB">
        <w:t>dragsverksamhet (UV) finns tillfälligt lagrade i magasin vid Riksantikvari</w:t>
      </w:r>
      <w:r w:rsidRPr="003F63DB">
        <w:t>e</w:t>
      </w:r>
      <w:r w:rsidRPr="003F63DB">
        <w:t>ämbetet och vid Statens historiska museer.</w:t>
      </w:r>
      <w:r w:rsidRPr="003F63DB">
        <w:rPr>
          <w:rStyle w:val="Fotnotsreferens"/>
        </w:rPr>
        <w:footnoteReference w:id="74"/>
      </w:r>
      <w:r w:rsidRPr="003F63DB">
        <w:t xml:space="preserve"> Enligt uppgifter från Riksanti</w:t>
      </w:r>
      <w:r w:rsidRPr="003F63DB">
        <w:t>k</w:t>
      </w:r>
      <w:r w:rsidRPr="003F63DB">
        <w:t xml:space="preserve">varieämbetet finns det sannolikt ytterligare fynd vid regionala museer och universitet och högskolor som ännu inte har fördelats till något museum för att rapport saknas. </w:t>
      </w:r>
    </w:p>
    <w:p w:rsidR="00905B3E" w:rsidRPr="003F63DB" w:rsidRDefault="00905B3E">
      <w:pPr>
        <w:pStyle w:val="Normaltindrag"/>
      </w:pPr>
      <w:r w:rsidRPr="003F63DB">
        <w:t>Riksantikvarieämbetet har utarbetat ett förslag till en nationell plan för hur äldre undersökningar ska rapporteras och hur denna rapportering ska finans</w:t>
      </w:r>
      <w:r w:rsidRPr="003F63DB">
        <w:t>i</w:t>
      </w:r>
      <w:r w:rsidRPr="003F63DB">
        <w:t>eras.</w:t>
      </w:r>
      <w:r w:rsidRPr="003F63DB">
        <w:rPr>
          <w:rStyle w:val="Fotnotsreferens"/>
        </w:rPr>
        <w:footnoteReference w:id="75"/>
      </w:r>
      <w:r w:rsidRPr="003F63DB">
        <w:t xml:space="preserve"> Förslaget ska under hösten 2002 diskuteras med länsstyrelserna.</w:t>
      </w:r>
    </w:p>
    <w:bookmarkEnd w:id="63"/>
    <w:p w:rsidR="00905B3E" w:rsidRPr="003F63DB" w:rsidRDefault="00905B3E">
      <w:pPr>
        <w:pStyle w:val="Rubrik3-Utannumrering"/>
      </w:pPr>
      <w:r w:rsidRPr="003F63DB">
        <w:t>Krav på snabbare rapportering</w:t>
      </w:r>
    </w:p>
    <w:p w:rsidR="00905B3E" w:rsidRPr="003F63DB" w:rsidRDefault="00905B3E">
      <w:r w:rsidRPr="003F63DB">
        <w:t>De flesta inblandade parter är ense om att kraven på att en rapport ska vara färdig vid en bestämd tidpunkt har skärpts de senaste åren. Förseningar sägs sällan förekomma vad gäller de nyare u</w:t>
      </w:r>
      <w:r w:rsidRPr="003F63DB">
        <w:t>n</w:t>
      </w:r>
      <w:r w:rsidRPr="003F63DB">
        <w:t xml:space="preserve">dersökningarna. </w:t>
      </w:r>
    </w:p>
    <w:p w:rsidR="00905B3E" w:rsidRPr="003F63DB" w:rsidRDefault="00905B3E">
      <w:pPr>
        <w:pStyle w:val="Normaltindrag"/>
      </w:pPr>
      <w:r w:rsidRPr="003F63DB">
        <w:t>Enligt föreskrifterna till kulturminneslagen ska läns</w:t>
      </w:r>
      <w:r w:rsidRPr="003F63DB">
        <w:softHyphen/>
        <w:t>styrel</w:t>
      </w:r>
      <w:r w:rsidRPr="003F63DB">
        <w:softHyphen/>
        <w:t>sens beslut, om det behövs, innehålla uppgift om när och till vem rapporter ska lämnas.</w:t>
      </w:r>
      <w:r w:rsidRPr="003F63DB">
        <w:rPr>
          <w:rStyle w:val="Fotnotsreferens"/>
        </w:rPr>
        <w:footnoteReference w:id="76"/>
      </w:r>
      <w:r w:rsidRPr="003F63DB">
        <w:t xml:space="preserve"> Det finns därmed fortfarande inget uttryckligt krav på att länsstyrelsen i beslutet ska ange när en rapport ska lämnas. Det är heller inte alla länsstyrelsebeslut som innehåller ett sådant slutdatum. I vart femte beslut om undersökningar med en kostnad över 1,1 miljon kronor åren 2000–2001 saknas en angivelse om när en undersökning</w:t>
      </w:r>
      <w:r w:rsidRPr="003F63DB">
        <w:t>s</w:t>
      </w:r>
      <w:r w:rsidRPr="003F63DB">
        <w:t xml:space="preserve">rapport ska vara klar.  </w:t>
      </w:r>
    </w:p>
    <w:p w:rsidR="00905B3E" w:rsidRPr="003F63DB" w:rsidRDefault="00905B3E">
      <w:pPr>
        <w:pStyle w:val="Rubrik2"/>
      </w:pPr>
      <w:bookmarkStart w:id="68" w:name="_Toc25031906"/>
      <w:bookmarkStart w:id="69" w:name="_Toc36520734"/>
      <w:r w:rsidRPr="003F63DB">
        <w:t>Sammanfattande iakttagelser</w:t>
      </w:r>
      <w:bookmarkEnd w:id="68"/>
      <w:bookmarkEnd w:id="69"/>
    </w:p>
    <w:p w:rsidR="00905B3E" w:rsidRPr="003F63DB" w:rsidRDefault="00905B3E">
      <w:r w:rsidRPr="003F63DB">
        <w:t>De ingrepp i fornlämningar som görs vid markexploatering är geografiskt slumpmässiga. Därmed blir även den kunskap som utvinns genom uppdrag</w:t>
      </w:r>
      <w:r w:rsidRPr="003F63DB">
        <w:t>s</w:t>
      </w:r>
      <w:r w:rsidRPr="003F63DB">
        <w:t>arkeologiska undersökningar betingad av slumpmässighet. Synen på hur man utför en arkeologisk undersökning på bästa sätt förändras med tiden. Med nya forskningsrön, nya metoder och ny teknik kan kunskap komma att utvi</w:t>
      </w:r>
      <w:r w:rsidRPr="003F63DB">
        <w:t>n</w:t>
      </w:r>
      <w:r w:rsidRPr="003F63DB">
        <w:t xml:space="preserve">nas i framtiden som inte är möjlig att få i dag. </w:t>
      </w:r>
    </w:p>
    <w:p w:rsidR="00905B3E" w:rsidRPr="003F63DB" w:rsidRDefault="00905B3E">
      <w:pPr>
        <w:pStyle w:val="Normaltindrag"/>
      </w:pPr>
      <w:r w:rsidRPr="003F63DB">
        <w:t xml:space="preserve">Det finns ingen aktiv mottagare av resultaten från en uppdragsarkeologisk undersökning. Universitets- och forskningsorganisationer har visat ett svalt intresse för resultaten. De söker egna tillstånd för ingrepp i fornlämning utifrån bestämda </w:t>
      </w:r>
      <w:r w:rsidRPr="003F63DB">
        <w:t xml:space="preserve">vetenskapliga frågeställningar. </w:t>
      </w:r>
    </w:p>
    <w:p w:rsidR="00905B3E" w:rsidRPr="003F63DB" w:rsidRDefault="00905B3E">
      <w:pPr>
        <w:pStyle w:val="Normaltindrag"/>
      </w:pPr>
      <w:r w:rsidRPr="003F63DB">
        <w:t>Universitets- och forskningsorganisationen har i begränsad omfattning medverkat i uppdragsarkeologi. Forskning och forskningsnära verksamhet bedrivs dock även inom de undersökande organisationerna. Riksantikvari</w:t>
      </w:r>
      <w:r w:rsidRPr="003F63DB">
        <w:t>e</w:t>
      </w:r>
      <w:r w:rsidRPr="003F63DB">
        <w:t>ämbetets avdelning för arkeologiska undersökningar (UV) medverkar i många stora arkeologiska undersökningar som föregår en markexploatering. Avdelningen söker också tillstånd för ytterligare ingrepp i fornlämningar i forskning</w:t>
      </w:r>
      <w:r w:rsidRPr="003F63DB">
        <w:t>s</w:t>
      </w:r>
      <w:r w:rsidRPr="003F63DB">
        <w:t>syfte.</w:t>
      </w:r>
    </w:p>
    <w:p w:rsidR="00905B3E" w:rsidRPr="003F63DB" w:rsidRDefault="00905B3E">
      <w:pPr>
        <w:pStyle w:val="Normaltindrag"/>
      </w:pPr>
      <w:r w:rsidRPr="003F63DB">
        <w:t>Riksantikvarie</w:t>
      </w:r>
      <w:r w:rsidRPr="003F63DB">
        <w:softHyphen/>
        <w:t>ämbetet ställer krav på att uppdragsarkeologiska undersök</w:t>
      </w:r>
      <w:r w:rsidRPr="003F63DB">
        <w:t>a</w:t>
      </w:r>
      <w:r w:rsidRPr="003F63DB">
        <w:t>re ska utarbeta egna forskningsprogram. Programmen tas fram utifrån ett lokalt eller regionalt perspektiv. En överblick över kunskapsläget i landet saknas.</w:t>
      </w:r>
    </w:p>
    <w:p w:rsidR="00905B3E" w:rsidRPr="003F63DB" w:rsidRDefault="00905B3E">
      <w:pPr>
        <w:pStyle w:val="Normaltindrag"/>
      </w:pPr>
      <w:r w:rsidRPr="003F63DB">
        <w:t>Några tusen arkeologiska ärenden är fortfarande inte avslutade. Det förkl</w:t>
      </w:r>
      <w:r w:rsidRPr="003F63DB">
        <w:t>a</w:t>
      </w:r>
      <w:r w:rsidRPr="003F63DB">
        <w:t>ras av att resultaten av undersökningar genomförda sedan flera decennier tillbaka inte är slutligt rapporterade. Detta har fått konsekvenser för fyndens vård och tillgänglighet, men även för kunskapsläget. Fortfarande saknas uttryckliga krav på att länsstyrelserna i besluten ska ange när en undersö</w:t>
      </w:r>
      <w:r w:rsidRPr="003F63DB">
        <w:t>k</w:t>
      </w:r>
      <w:r w:rsidRPr="003F63DB">
        <w:t xml:space="preserve">ningsrapport ska föreligga. </w:t>
      </w:r>
    </w:p>
    <w:p w:rsidR="00905B3E" w:rsidRPr="003F63DB" w:rsidRDefault="00905B3E">
      <w:pPr>
        <w:pStyle w:val="Normaltindrag"/>
      </w:pPr>
      <w:r w:rsidRPr="003F63DB">
        <w:t>Riksantikvarieämbetet har som enda undersökare fått betalt för sin arke</w:t>
      </w:r>
      <w:r w:rsidRPr="003F63DB">
        <w:t>o</w:t>
      </w:r>
      <w:r w:rsidRPr="003F63DB">
        <w:t>logiska rapportering två gånger. Regeringen har under flera år beviljat sä</w:t>
      </w:r>
      <w:r w:rsidRPr="003F63DB">
        <w:t>r</w:t>
      </w:r>
      <w:r w:rsidRPr="003F63DB">
        <w:t>skilda medel till Riksantikvarieämbetet för att rapporter från äldre undersö</w:t>
      </w:r>
      <w:r w:rsidRPr="003F63DB">
        <w:t>k</w:t>
      </w:r>
      <w:r w:rsidRPr="003F63DB">
        <w:t>ningar ska färdigställas. Fortfarande återstår drygt 750 undersökningar  – från 1950-talet fram till 1999 – att rapportera från Riksantikv</w:t>
      </w:r>
      <w:r w:rsidRPr="003F63DB">
        <w:t>a</w:t>
      </w:r>
      <w:r w:rsidRPr="003F63DB">
        <w:t>rieämbetet.</w:t>
      </w:r>
    </w:p>
    <w:p w:rsidR="00905B3E" w:rsidRPr="003F63DB" w:rsidRDefault="00905B3E">
      <w:pPr>
        <w:pStyle w:val="Normaltindrag"/>
      </w:pPr>
      <w:r w:rsidRPr="003F63DB">
        <w:t>Undersökare som utses att genomföra arkeologiska undersökningar har tolkningsföreträde. Andra intressenter har begränsad insyn i undersökningen och begränsad tillgång till materialet innan de arkeologiska rap</w:t>
      </w:r>
      <w:r w:rsidRPr="003F63DB">
        <w:t>porterna är klara.</w:t>
      </w:r>
    </w:p>
    <w:p w:rsidR="00905B3E" w:rsidRPr="003F63DB" w:rsidRDefault="00905B3E">
      <w:pPr>
        <w:pStyle w:val="Normaltindrag"/>
      </w:pPr>
      <w:r w:rsidRPr="003F63DB">
        <w:t>Endast en liten del av de fynd som tas om hand visas för allmänheten. Mängden arkeologiska fynd som finns magasinerade eller utställda vid la</w:t>
      </w:r>
      <w:r w:rsidRPr="003F63DB">
        <w:t>n</w:t>
      </w:r>
      <w:r w:rsidRPr="003F63DB">
        <w:t>dets museer är okänd. Det finns inget centralt fyndregister. Likartade fynd, ibland i stora mängder, kan därmed finnas vid olika museer. Gallringsprinc</w:t>
      </w:r>
      <w:r w:rsidRPr="003F63DB">
        <w:t>i</w:t>
      </w:r>
      <w:r w:rsidRPr="003F63DB">
        <w:t>perna för omhändertagna fynd är oklara.</w:t>
      </w:r>
    </w:p>
    <w:p w:rsidR="00905B3E" w:rsidRPr="003F63DB" w:rsidRDefault="00905B3E">
      <w:pPr>
        <w:pStyle w:val="Normaltindrag"/>
      </w:pPr>
    </w:p>
    <w:p w:rsidR="00905B3E" w:rsidRPr="003F63DB" w:rsidRDefault="00905B3E">
      <w:pPr>
        <w:pStyle w:val="Rubrik1"/>
      </w:pPr>
      <w:r w:rsidRPr="003F63DB">
        <w:br w:type="page"/>
      </w:r>
      <w:bookmarkStart w:id="70" w:name="_Toc25031907"/>
      <w:bookmarkStart w:id="71" w:name="_Toc36520735"/>
      <w:r w:rsidRPr="003F63DB">
        <w:t>Reglerade konkurrensvillkor</w:t>
      </w:r>
      <w:bookmarkEnd w:id="70"/>
      <w:bookmarkEnd w:id="71"/>
    </w:p>
    <w:p w:rsidR="00905B3E" w:rsidRPr="003F63DB" w:rsidRDefault="00905B3E">
      <w:r w:rsidRPr="003F63DB">
        <w:t>Konkurrensvillkoren för uppdragsarkeologi regleras i kulturminneslagen och i Riksantikvarieämbetets föreskrifter till lagen. Lagen om offentlig upphan</w:t>
      </w:r>
      <w:r w:rsidRPr="003F63DB">
        <w:t>d</w:t>
      </w:r>
      <w:r w:rsidRPr="003F63DB">
        <w:t xml:space="preserve">ling gäller inte då länsstyrelsen väljer undersökare. Länsstyrelserna ska dock använda ett anbudsliknande förfarande under vissa förutsättningar. </w:t>
      </w:r>
    </w:p>
    <w:p w:rsidR="00905B3E" w:rsidRPr="003F63DB" w:rsidRDefault="00905B3E">
      <w:pPr>
        <w:pStyle w:val="Rubrik2"/>
      </w:pPr>
      <w:bookmarkStart w:id="72" w:name="_Toc25031908"/>
      <w:bookmarkStart w:id="73" w:name="_Toc36520736"/>
      <w:r w:rsidRPr="003F63DB">
        <w:t>Konkurrens och offentlig upphandling</w:t>
      </w:r>
      <w:bookmarkEnd w:id="72"/>
      <w:bookmarkEnd w:id="73"/>
    </w:p>
    <w:p w:rsidR="00905B3E" w:rsidRPr="003F63DB" w:rsidRDefault="00905B3E">
      <w:bookmarkStart w:id="74" w:name="_Toc8527881"/>
      <w:r w:rsidRPr="003F63DB">
        <w:t>Konkurrens är ett medel för att stimulera till teknisk och ekonomisk förnye</w:t>
      </w:r>
      <w:r w:rsidRPr="003F63DB">
        <w:t>l</w:t>
      </w:r>
      <w:r w:rsidRPr="003F63DB">
        <w:t xml:space="preserve">se, mångfald och en effektivare användning av samhällets resurser. För att främja konkurrens och i möjligaste mån motverka konkurrensbegränsningar finns bl.a. konkurrenslagen (1993:20) och lagen (1992:1528) om offentlig upphandling. </w:t>
      </w:r>
    </w:p>
    <w:p w:rsidR="00905B3E" w:rsidRPr="003F63DB" w:rsidRDefault="00905B3E">
      <w:pPr>
        <w:pStyle w:val="Normaltindrag"/>
      </w:pPr>
      <w:r w:rsidRPr="003F63DB">
        <w:t>I likhet med EG-rätten innehåller konkurrenslagen två generella förbud – ett om konkurrensbegränsande samarbete och ett om missbruk av domin</w:t>
      </w:r>
      <w:r w:rsidRPr="003F63DB">
        <w:t>e</w:t>
      </w:r>
      <w:r w:rsidRPr="003F63DB">
        <w:t>rande ställning. Konkurrensbegränsande överenskommelser kan innebära att leverantörer av varor eller tjänster samarbetar om priser och delar upp mar</w:t>
      </w:r>
      <w:r w:rsidRPr="003F63DB">
        <w:t>k</w:t>
      </w:r>
      <w:r w:rsidRPr="003F63DB">
        <w:t>nader mellan sig. Även gemensamma anbud, s.k. anbudska</w:t>
      </w:r>
      <w:r w:rsidRPr="003F63DB">
        <w:t>r</w:t>
      </w:r>
      <w:r w:rsidRPr="003F63DB">
        <w:t xml:space="preserve">teller, räknas hit. </w:t>
      </w:r>
    </w:p>
    <w:p w:rsidR="00905B3E" w:rsidRPr="003F63DB" w:rsidRDefault="00905B3E">
      <w:pPr>
        <w:pStyle w:val="Normaltindrag"/>
      </w:pPr>
      <w:r w:rsidRPr="003F63DB">
        <w:t>Medlemmar i den europeiska unionen ska följa vissa grundläggande g</w:t>
      </w:r>
      <w:r w:rsidRPr="003F63DB">
        <w:t>e</w:t>
      </w:r>
      <w:r w:rsidRPr="003F63DB">
        <w:t>menskapsrättsliga principer vid all offentlig upphandling. Principerna är ickediskriminering, likabehandling, transparens (öppenhet och förutseba</w:t>
      </w:r>
      <w:r w:rsidRPr="003F63DB">
        <w:t>r</w:t>
      </w:r>
      <w:r w:rsidRPr="003F63DB">
        <w:t>het), proportionalitet och ömsesidigt erkännande. Grundprincipen i lagen om offentlig upphandling (LOU) är att upphandlingen ska göras med utnyttjande av de konkurrensmöjligheter som finns och även i övrigt genomföras affär</w:t>
      </w:r>
      <w:r w:rsidRPr="003F63DB">
        <w:t>s</w:t>
      </w:r>
      <w:r w:rsidRPr="003F63DB">
        <w:t>mässigt. Anbudsgivare, anbudssökande och anbud ska b</w:t>
      </w:r>
      <w:r w:rsidRPr="003F63DB">
        <w:t>e</w:t>
      </w:r>
      <w:r w:rsidRPr="003F63DB">
        <w:t xml:space="preserve">handlas objektivt. </w:t>
      </w:r>
    </w:p>
    <w:p w:rsidR="00905B3E" w:rsidRPr="003F63DB" w:rsidRDefault="00905B3E">
      <w:pPr>
        <w:pStyle w:val="Normaltindrag"/>
      </w:pPr>
      <w:r w:rsidRPr="003F63DB">
        <w:t>Enligt rekommendationer från Nämnden för offentlig upphandling får d</w:t>
      </w:r>
      <w:r w:rsidRPr="003F63DB">
        <w:t>i</w:t>
      </w:r>
      <w:r w:rsidRPr="003F63DB">
        <w:t>rektupphandling användas endast om upphandlingens värde är lågt eller om det finns synnerliga skäl. Två prisbasbelopp (75 800 kronor) anses vara ett lämpligt belopp för enstaka intellektuella ko</w:t>
      </w:r>
      <w:r w:rsidRPr="003F63DB">
        <w:t>n</w:t>
      </w:r>
      <w:r w:rsidRPr="003F63DB">
        <w:t>sulttjänster.</w:t>
      </w:r>
      <w:r w:rsidRPr="003F63DB">
        <w:rPr>
          <w:rStyle w:val="Fotnotsreferens"/>
        </w:rPr>
        <w:footnoteReference w:id="77"/>
      </w:r>
    </w:p>
    <w:p w:rsidR="00905B3E" w:rsidRPr="003F63DB" w:rsidRDefault="00905B3E">
      <w:pPr>
        <w:pStyle w:val="Rubrik2"/>
      </w:pPr>
      <w:bookmarkStart w:id="75" w:name="_Toc25031909"/>
      <w:bookmarkStart w:id="76" w:name="_Toc36520737"/>
      <w:bookmarkEnd w:id="74"/>
      <w:r w:rsidRPr="003F63DB">
        <w:t>Önskemål om konkurrens i uppdragsarkeologi</w:t>
      </w:r>
      <w:bookmarkEnd w:id="75"/>
      <w:bookmarkEnd w:id="76"/>
    </w:p>
    <w:p w:rsidR="00905B3E" w:rsidRPr="003F63DB" w:rsidRDefault="00905B3E">
      <w:r w:rsidRPr="003F63DB">
        <w:t xml:space="preserve">I betänkandet </w:t>
      </w:r>
      <w:r w:rsidRPr="003F63DB">
        <w:rPr>
          <w:i/>
        </w:rPr>
        <w:t>Arkeologi och exploatering</w:t>
      </w:r>
      <w:r w:rsidRPr="003F63DB">
        <w:t xml:space="preserve"> (SOU 1992:137) lämn</w:t>
      </w:r>
      <w:r w:rsidRPr="003F63DB">
        <w:t>a</w:t>
      </w:r>
      <w:r w:rsidRPr="003F63DB">
        <w:t>de HUR-utredningen</w:t>
      </w:r>
      <w:r w:rsidRPr="003F63DB">
        <w:rPr>
          <w:rStyle w:val="Fotnotsreferens"/>
        </w:rPr>
        <w:footnoteReference w:id="78"/>
      </w:r>
      <w:r w:rsidRPr="003F63DB">
        <w:t xml:space="preserve"> ett förslag om att införa konkurrens i den arkeologiska up</w:t>
      </w:r>
      <w:r w:rsidRPr="003F63DB">
        <w:t>p</w:t>
      </w:r>
      <w:r w:rsidRPr="003F63DB">
        <w:t>dragsverksamheten genom ett system med anbudsupphandling. Utredningens förslag lämnades ett år innan lagen om offentlig upphandling trädde i kraft.</w:t>
      </w:r>
      <w:r w:rsidRPr="003F63DB">
        <w:rPr>
          <w:rStyle w:val="Fotnotsreferens"/>
        </w:rPr>
        <w:footnoteReference w:id="79"/>
      </w:r>
      <w:r w:rsidRPr="003F63DB">
        <w:t xml:space="preserve"> Vid remissbehandlingen fick utredningens förslag kritik av organisationerna inom kulturmiljövården. Uppfattningen var att ett system med konkurrens skulle förstöra samarbetet och informationsutbytet mellan Riksantikvarieä</w:t>
      </w:r>
      <w:r w:rsidRPr="003F63DB">
        <w:t>m</w:t>
      </w:r>
      <w:r w:rsidRPr="003F63DB">
        <w:t>betets undersökningsverksamhet, länsstyrelserna och museerna. Arkeologi</w:t>
      </w:r>
      <w:r w:rsidRPr="003F63DB">
        <w:t>s</w:t>
      </w:r>
      <w:r w:rsidRPr="003F63DB">
        <w:t>ka undersökningar utförda av privata aktörer uppfattades som ett hot mot undersökningarnas kvalitet, samtidigt som ett system med upphandling a</w:t>
      </w:r>
      <w:r w:rsidRPr="003F63DB">
        <w:t>n</w:t>
      </w:r>
      <w:r w:rsidRPr="003F63DB">
        <w:t>sågs strida mot bevarandefilosofin i kulturmi</w:t>
      </w:r>
      <w:r w:rsidRPr="003F63DB">
        <w:t>n</w:t>
      </w:r>
      <w:r w:rsidRPr="003F63DB">
        <w:t xml:space="preserve">neslagen. </w:t>
      </w:r>
    </w:p>
    <w:p w:rsidR="00905B3E" w:rsidRPr="003F63DB" w:rsidRDefault="00905B3E">
      <w:pPr>
        <w:pStyle w:val="Normaltindrag"/>
      </w:pPr>
      <w:r w:rsidRPr="003F63DB">
        <w:t>I budgetproposit</w:t>
      </w:r>
      <w:r w:rsidRPr="003F63DB">
        <w:t>ionen för 1994 föreslog regeringen att anbud och up</w:t>
      </w:r>
      <w:r w:rsidRPr="003F63DB">
        <w:t>p</w:t>
      </w:r>
      <w:r w:rsidRPr="003F63DB">
        <w:t>handling skulle införas i uppdragsarkeologi. Syftet var att ge länsstyrelserna möjlighet att välja mellan olika undersökningsalternativ vilket i sin tur skulle bidra till att skapa undersökningar av god kvalitet till rimlig kostnad. Rege</w:t>
      </w:r>
      <w:r w:rsidRPr="003F63DB">
        <w:t>r</w:t>
      </w:r>
      <w:r w:rsidRPr="003F63DB">
        <w:t>ingens förslag fick inte majoritet i riksdagen. Kulturutskottet ansåg att det fanns starka skäl för remissinstansernas kritik.</w:t>
      </w:r>
      <w:r w:rsidRPr="003F63DB">
        <w:rPr>
          <w:rStyle w:val="Fotnotsreferens"/>
        </w:rPr>
        <w:footnoteReference w:id="80"/>
      </w:r>
    </w:p>
    <w:p w:rsidR="00905B3E" w:rsidRPr="003F63DB" w:rsidRDefault="00905B3E">
      <w:pPr>
        <w:pStyle w:val="Rubrik2"/>
      </w:pPr>
      <w:bookmarkStart w:id="77" w:name="_Toc25031910"/>
      <w:bookmarkStart w:id="78" w:name="_Toc36520738"/>
      <w:r w:rsidRPr="003F63DB">
        <w:t>Anbudsliknande förfarande</w:t>
      </w:r>
      <w:bookmarkEnd w:id="77"/>
      <w:bookmarkEnd w:id="78"/>
    </w:p>
    <w:p w:rsidR="00905B3E" w:rsidRPr="003F63DB" w:rsidRDefault="00905B3E">
      <w:r w:rsidRPr="003F63DB">
        <w:t>Våren 1995 framförde Riksantikvarieämbetet önskemål om att regeringen skulle pröva behovet av att reglera de kommersiella villkoren för uppdrag</w:t>
      </w:r>
      <w:r w:rsidRPr="003F63DB">
        <w:t>s</w:t>
      </w:r>
      <w:r w:rsidRPr="003F63DB">
        <w:t>arkeologi och förhållandet mellan kulturminneslagen (KML) och lagen om offentlig upphandling (LOU).</w:t>
      </w:r>
      <w:r w:rsidRPr="003F63DB">
        <w:rPr>
          <w:rStyle w:val="Fotnotsreferens"/>
        </w:rPr>
        <w:footnoteReference w:id="81"/>
      </w:r>
      <w:r w:rsidRPr="003F63DB">
        <w:t xml:space="preserve"> Riksantikvarieämbetet skrev bl.a.:</w:t>
      </w:r>
    </w:p>
    <w:p w:rsidR="00905B3E" w:rsidRPr="003F63DB" w:rsidRDefault="00905B3E">
      <w:pPr>
        <w:pStyle w:val="Citat"/>
      </w:pPr>
      <w:r w:rsidRPr="003F63DB">
        <w:t>Det är enligt RAÄ:s bedömning emellertid klarlagt att länsstyrelserna inte skall tillämpa LOU inför utpekande av undersökande institution ... De åtgä</w:t>
      </w:r>
      <w:r w:rsidRPr="003F63DB">
        <w:t>r</w:t>
      </w:r>
      <w:r w:rsidRPr="003F63DB">
        <w:t>der länsstyrelsen då vidtar är ett led i dess myndighetsutövning, något som stöds av såväl uttalanden i budgetpropositionen 1994 som av Regeringsrä</w:t>
      </w:r>
      <w:r w:rsidRPr="003F63DB">
        <w:t>t</w:t>
      </w:r>
      <w:r w:rsidRPr="003F63DB">
        <w:t>tens dom 1993-03-03 i mål 3521-1992. – – – Bakom diskussionen om anbud och upphandling finns således frågan om det skall vara möjligt för privata konsultföretag att arbeta inom uppdragsarkeologin eller inte. Idag finns det privata företaget Arkeologikonsult AB verksamt inom den mellansvenska regionen. Företaget svarar nu för den näst RAÄ:s egen uppdragsverksamh</w:t>
      </w:r>
      <w:r w:rsidRPr="003F63DB">
        <w:t>et (UV) största undersökningsvolymen. Regler för hur länsstyrelserna ska agera i förhållande till företaget saknas.</w:t>
      </w:r>
    </w:p>
    <w:p w:rsidR="00905B3E" w:rsidRPr="003F63DB" w:rsidRDefault="00905B3E">
      <w:pPr>
        <w:pStyle w:val="Rubrik3-Utannumrering"/>
      </w:pPr>
      <w:r w:rsidRPr="003F63DB">
        <w:t>Lagen om offentlig upphandling gäller inte uppdragsarkeologi</w:t>
      </w:r>
    </w:p>
    <w:p w:rsidR="00905B3E" w:rsidRPr="003F63DB" w:rsidRDefault="00905B3E">
      <w:r w:rsidRPr="003F63DB">
        <w:t>I den departementspromemoria om uppdragsarkeologi som följde av Riksa</w:t>
      </w:r>
      <w:r w:rsidRPr="003F63DB">
        <w:t>n</w:t>
      </w:r>
      <w:r w:rsidRPr="003F63DB">
        <w:t>tikvarieämbetets önskemål utreddes förutsättningarna för att undanta up</w:t>
      </w:r>
      <w:r w:rsidRPr="003F63DB">
        <w:t>p</w:t>
      </w:r>
      <w:r w:rsidRPr="003F63DB">
        <w:t>dragsarkeologi från lagen om offentlig upphan</w:t>
      </w:r>
      <w:r w:rsidRPr="003F63DB">
        <w:t>d</w:t>
      </w:r>
      <w:r w:rsidRPr="003F63DB">
        <w:t>ling.</w:t>
      </w:r>
      <w:r w:rsidRPr="003F63DB">
        <w:rPr>
          <w:rStyle w:val="Fotnotsreferens"/>
        </w:rPr>
        <w:footnoteReference w:id="82"/>
      </w:r>
      <w:r w:rsidRPr="003F63DB">
        <w:t xml:space="preserve"> </w:t>
      </w:r>
    </w:p>
    <w:p w:rsidR="00905B3E" w:rsidRPr="003F63DB" w:rsidRDefault="00905B3E">
      <w:pPr>
        <w:pStyle w:val="Normaltindrag"/>
      </w:pPr>
      <w:r w:rsidRPr="003F63DB">
        <w:t>Regeringen framförde i den därpå följande propositionen att övervägande skäl talar för att länsstyrelsens beslut om särskild utredning, arkeologisk förundersökning eller särskild undersökning ska betraktas som myndighet</w:t>
      </w:r>
      <w:r w:rsidRPr="003F63DB">
        <w:t>s</w:t>
      </w:r>
      <w:r w:rsidRPr="003F63DB">
        <w:t>utövning. Regeringen menade vidare att eftersom lagen om offentlig up</w:t>
      </w:r>
      <w:r w:rsidRPr="003F63DB">
        <w:t>p</w:t>
      </w:r>
      <w:r w:rsidRPr="003F63DB">
        <w:t>handling inte torde tillämpas då det är fråga om myndighetsutövning, är länsstyrelserna inte skyldiga att begära in anbud innan de beslutar om vem som ska utföra arkeologiskt uppdrag.</w:t>
      </w:r>
      <w:r w:rsidRPr="003F63DB">
        <w:rPr>
          <w:rStyle w:val="Fotnotsreferens"/>
        </w:rPr>
        <w:footnoteReference w:id="83"/>
      </w:r>
      <w:r w:rsidRPr="003F63DB">
        <w:t xml:space="preserve"> Som stöd för att myndighetsutövning inte omfattas av lagen åberopar regeringen Romfördraget, som gör undantag för verksamhet som hos medlemsstaten är förenad med utövandet av offen</w:t>
      </w:r>
      <w:r w:rsidRPr="003F63DB">
        <w:t>t</w:t>
      </w:r>
      <w:r w:rsidRPr="003F63DB">
        <w:t>lig makt, dvs. myndighetsutö</w:t>
      </w:r>
      <w:r w:rsidRPr="003F63DB">
        <w:t>v</w:t>
      </w:r>
      <w:r w:rsidRPr="003F63DB">
        <w:t>ning.</w:t>
      </w:r>
      <w:r w:rsidRPr="003F63DB">
        <w:rPr>
          <w:rStyle w:val="Fotnotsreferens"/>
        </w:rPr>
        <w:footnoteReference w:id="84"/>
      </w:r>
      <w:r w:rsidRPr="003F63DB">
        <w:t xml:space="preserve"> </w:t>
      </w:r>
    </w:p>
    <w:p w:rsidR="00905B3E" w:rsidRPr="003F63DB" w:rsidRDefault="00905B3E">
      <w:pPr>
        <w:pStyle w:val="Normaltindrag"/>
      </w:pPr>
      <w:r w:rsidRPr="003F63DB">
        <w:t>De domstolar som har prövat frågan om lagen om offentlig upphandling ska tillämpas inför val av undersökare har gjort olika bedömningar. I depa</w:t>
      </w:r>
      <w:r w:rsidRPr="003F63DB">
        <w:t>r</w:t>
      </w:r>
      <w:r w:rsidRPr="003F63DB">
        <w:t>tementspromemorian redovisar Kulturdepartementet domar i några länsrä</w:t>
      </w:r>
      <w:r w:rsidRPr="003F63DB">
        <w:t>t</w:t>
      </w:r>
      <w:r w:rsidRPr="003F63DB">
        <w:t>ter.</w:t>
      </w:r>
      <w:r w:rsidRPr="003F63DB">
        <w:rPr>
          <w:rStyle w:val="Fotnotsreferens"/>
        </w:rPr>
        <w:footnoteReference w:id="85"/>
      </w:r>
      <w:r w:rsidRPr="003F63DB">
        <w:t xml:space="preserve"> Avgörandena har inte pr</w:t>
      </w:r>
      <w:r w:rsidRPr="003F63DB">
        <w:t>ö</w:t>
      </w:r>
      <w:r w:rsidRPr="003F63DB">
        <w:t>vats av högre instans.</w:t>
      </w:r>
      <w:r w:rsidRPr="003F63DB">
        <w:rPr>
          <w:rStyle w:val="Fotnotsreferens"/>
        </w:rPr>
        <w:footnoteReference w:id="86"/>
      </w:r>
    </w:p>
    <w:p w:rsidR="00905B3E" w:rsidRPr="003F63DB" w:rsidRDefault="00905B3E">
      <w:pPr>
        <w:pStyle w:val="Normaltindrag"/>
      </w:pPr>
      <w:r w:rsidRPr="003F63DB">
        <w:t>När det däremot gäller momsskyldighet har Regeringsrätten i en dom a</w:t>
      </w:r>
      <w:r w:rsidRPr="003F63DB">
        <w:t>n</w:t>
      </w:r>
      <w:r w:rsidRPr="003F63DB">
        <w:t>fört att Riksantikvarieämbetets tillhandahållande av en undersökning i sig inte torde utgöra myndighetsutövning, men att den kan anses utgöra ett led i den myndighetsutövning som innefattas i länsstyrelsens beslut enligt 2 kap. 12 § kulturminnesl</w:t>
      </w:r>
      <w:r w:rsidRPr="003F63DB">
        <w:t>a</w:t>
      </w:r>
      <w:r w:rsidRPr="003F63DB">
        <w:t>gen.</w:t>
      </w:r>
      <w:r w:rsidRPr="003F63DB">
        <w:rPr>
          <w:rStyle w:val="Fotnotsreferens"/>
        </w:rPr>
        <w:footnoteReference w:id="87"/>
      </w:r>
      <w:r w:rsidRPr="003F63DB">
        <w:t xml:space="preserve"> </w:t>
      </w:r>
    </w:p>
    <w:p w:rsidR="00905B3E" w:rsidRPr="003F63DB" w:rsidRDefault="00905B3E">
      <w:pPr>
        <w:pStyle w:val="Normaltindrag"/>
      </w:pPr>
      <w:r w:rsidRPr="003F63DB">
        <w:t>Sedan den 1 juli 1997 framgår av kulturminneslagen att lagen om offentlig upphandling inte ska tillämpas då länsstyrelsen väljer utförare av arkeologi</w:t>
      </w:r>
      <w:r w:rsidRPr="003F63DB">
        <w:t>s</w:t>
      </w:r>
      <w:r w:rsidRPr="003F63DB">
        <w:t>ka utredningar eller undersökningar.</w:t>
      </w:r>
      <w:r w:rsidRPr="003F63DB">
        <w:rPr>
          <w:rStyle w:val="Fotnotsreferens"/>
        </w:rPr>
        <w:footnoteReference w:id="88"/>
      </w:r>
      <w:r w:rsidRPr="003F63DB">
        <w:t xml:space="preserve"> Lagrådet förordade denna uttryckliga reglering i kulturminneslagen, men menade samtidigt att frågan i sista hand kan komma att bli föremål för prövning av EG-domstolen.</w:t>
      </w:r>
      <w:r w:rsidRPr="003F63DB">
        <w:rPr>
          <w:rStyle w:val="Fotnotsreferens"/>
        </w:rPr>
        <w:footnoteReference w:id="89"/>
      </w:r>
      <w:r w:rsidRPr="003F63DB">
        <w:t xml:space="preserve"> </w:t>
      </w:r>
    </w:p>
    <w:p w:rsidR="00905B3E" w:rsidRPr="003F63DB" w:rsidRDefault="00905B3E">
      <w:pPr>
        <w:pStyle w:val="Normaltindrag"/>
      </w:pPr>
      <w:r w:rsidRPr="003F63DB">
        <w:t>Även om lagen om offentlig upphandling inte ska gälla har statsmakterna uttalat att ett anbudsliknande</w:t>
      </w:r>
      <w:r w:rsidRPr="003F63DB">
        <w:rPr>
          <w:i/>
        </w:rPr>
        <w:t xml:space="preserve"> </w:t>
      </w:r>
      <w:r w:rsidRPr="003F63DB">
        <w:t>förfarande i vissa fall ska tillämpas inför län</w:t>
      </w:r>
      <w:r w:rsidRPr="003F63DB">
        <w:t>s</w:t>
      </w:r>
      <w:r w:rsidRPr="003F63DB">
        <w:t>styrelsens val av utförare. En konkurrenssituation anses kunna stimulera utvecklingen av undersökningsmetoder och ge incitament för att effektivisera utförandet. Ett upphandlingsförfarande kan bidra till att öka mångfalden i den arkeologiska verksamheten. Det har framhållits att en enskild organis</w:t>
      </w:r>
      <w:r w:rsidRPr="003F63DB">
        <w:t>a</w:t>
      </w:r>
      <w:r w:rsidRPr="003F63DB">
        <w:t>tion lika väl som en offentlig kan utses att utföra arkeologiska undersöknin</w:t>
      </w:r>
      <w:r w:rsidRPr="003F63DB">
        <w:t>g</w:t>
      </w:r>
      <w:r w:rsidRPr="003F63DB">
        <w:t>ar. Samtidigt skr</w:t>
      </w:r>
      <w:r w:rsidRPr="003F63DB">
        <w:t>i</w:t>
      </w:r>
      <w:r w:rsidRPr="003F63DB">
        <w:t xml:space="preserve">ver regeringen: </w:t>
      </w:r>
    </w:p>
    <w:p w:rsidR="00905B3E" w:rsidRPr="003F63DB" w:rsidRDefault="00905B3E">
      <w:pPr>
        <w:pStyle w:val="Citat"/>
      </w:pPr>
      <w:r w:rsidRPr="003F63DB">
        <w:t xml:space="preserve">En utveckling måste undvikas som medför att privata </w:t>
      </w:r>
      <w:r w:rsidRPr="003F63DB">
        <w:t>intressenter får utföra de mer omfattande undersökningarna medan de mindre utförs av övriga institutioner. Det är av betydelse att t.ex. länsmuseer och vissa kommunala museer bibehåller sin kompetens på det arkeologiska området. Detta kan vara svårt om museet inte kan förutse omfattningen av kommande uppdrag eller om det bara får utföra vissa slags undersökningar.</w:t>
      </w:r>
    </w:p>
    <w:p w:rsidR="00905B3E" w:rsidRPr="003F63DB" w:rsidRDefault="00905B3E">
      <w:r w:rsidRPr="003F63DB">
        <w:t>Riksdagen instämde i detta resonemang.</w:t>
      </w:r>
      <w:r w:rsidRPr="003F63DB">
        <w:rPr>
          <w:rStyle w:val="Fotnotsreferens"/>
        </w:rPr>
        <w:footnoteReference w:id="90"/>
      </w:r>
    </w:p>
    <w:p w:rsidR="00905B3E" w:rsidRPr="003F63DB" w:rsidRDefault="00905B3E">
      <w:pPr>
        <w:pStyle w:val="Rubrik3-Utannumrering"/>
      </w:pPr>
      <w:r w:rsidRPr="003F63DB">
        <w:t>Urvalsförfarande under vissa förutsättningar</w:t>
      </w:r>
    </w:p>
    <w:p w:rsidR="00905B3E" w:rsidRPr="003F63DB" w:rsidRDefault="00905B3E">
      <w:r w:rsidRPr="003F63DB">
        <w:t xml:space="preserve">Efter bemyndigande från regeringen beslutade Riksantikvarieämbetet den 2 april 1998 om </w:t>
      </w:r>
      <w:r w:rsidRPr="003F63DB">
        <w:rPr>
          <w:i/>
        </w:rPr>
        <w:t>verkställighetsföreskrifter</w:t>
      </w:r>
      <w:r w:rsidRPr="003F63DB">
        <w:t xml:space="preserve"> till 2 kap. 10–13 §§ kulturminnesl</w:t>
      </w:r>
      <w:r w:rsidRPr="003F63DB">
        <w:t>a</w:t>
      </w:r>
      <w:r w:rsidRPr="003F63DB">
        <w:t>gen (KRFS 1998:1).</w:t>
      </w:r>
      <w:r w:rsidRPr="003F63DB">
        <w:rPr>
          <w:rStyle w:val="Fotnotsreferens"/>
        </w:rPr>
        <w:footnoteReference w:id="91"/>
      </w:r>
      <w:r w:rsidRPr="003F63DB">
        <w:t xml:space="preserve"> I föreskrifterna anges vilka krav som ska ställas på undersökarna, hur länsstyrelserna ska gå till väga inför valet av undersökare och under vilka förutsättningar länsstyrelserna ska tillämpa ett urvalsförf</w:t>
      </w:r>
      <w:r w:rsidRPr="003F63DB">
        <w:t>a</w:t>
      </w:r>
      <w:r w:rsidRPr="003F63DB">
        <w:t>rande.</w:t>
      </w:r>
    </w:p>
    <w:p w:rsidR="00905B3E" w:rsidRPr="003F63DB" w:rsidRDefault="00905B3E">
      <w:pPr>
        <w:pStyle w:val="Normaltindrag"/>
      </w:pPr>
      <w:r w:rsidRPr="003F63DB">
        <w:t xml:space="preserve">I anslutning till verkställighetsföreskrifterna gav Riksantikvarieämbetet ut </w:t>
      </w:r>
      <w:r w:rsidRPr="003F63DB">
        <w:rPr>
          <w:i/>
        </w:rPr>
        <w:t>allmänna råd</w:t>
      </w:r>
      <w:r w:rsidRPr="003F63DB">
        <w:rPr>
          <w:rStyle w:val="Fotnotsreferens"/>
        </w:rPr>
        <w:t xml:space="preserve"> </w:t>
      </w:r>
      <w:r w:rsidRPr="003F63DB">
        <w:rPr>
          <w:rStyle w:val="Fotnotsreferens"/>
        </w:rPr>
        <w:footnoteReference w:id="92"/>
      </w:r>
      <w:r w:rsidRPr="003F63DB">
        <w:t xml:space="preserve"> samt två skrifter med </w:t>
      </w:r>
      <w:r w:rsidRPr="003F63DB">
        <w:rPr>
          <w:i/>
        </w:rPr>
        <w:t>rekommendationer</w:t>
      </w:r>
      <w:r w:rsidRPr="003F63DB">
        <w:rPr>
          <w:rStyle w:val="Fotnotsreferens"/>
        </w:rPr>
        <w:footnoteReference w:id="93"/>
      </w:r>
      <w:r w:rsidRPr="003F63DB">
        <w:t>. Trots att det endast är verkställighetsföreskrifterna som är juridiskt bindande skriver Riksantikvarieämbetet i sina reko</w:t>
      </w:r>
      <w:r w:rsidRPr="003F63DB">
        <w:t>m</w:t>
      </w:r>
      <w:r w:rsidRPr="003F63DB">
        <w:t>mendationer (1998:1 s. 27):</w:t>
      </w:r>
    </w:p>
    <w:p w:rsidR="00905B3E" w:rsidRPr="003F63DB" w:rsidRDefault="00905B3E">
      <w:pPr>
        <w:pStyle w:val="Citat"/>
      </w:pPr>
      <w:r w:rsidRPr="003F63DB">
        <w:t>Det är angeläget att undersökaren är väl förtrogen med gällande lagstiftning på kulturmiljöområdet, innefattande bl.a. föreskrifter, Allmänna råd och rekommend</w:t>
      </w:r>
      <w:r w:rsidRPr="003F63DB">
        <w:t>a</w:t>
      </w:r>
      <w:r w:rsidRPr="003F63DB">
        <w:t>tioner ...</w:t>
      </w:r>
    </w:p>
    <w:p w:rsidR="00905B3E" w:rsidRPr="003F63DB" w:rsidRDefault="00905B3E">
      <w:pPr>
        <w:pStyle w:val="CitatIndrag"/>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3F63DB">
        <w:tblPrEx>
          <w:tblCellMar>
            <w:top w:w="0" w:type="dxa"/>
            <w:bottom w:w="0" w:type="dxa"/>
          </w:tblCellMar>
        </w:tblPrEx>
        <w:tc>
          <w:tcPr>
            <w:tcW w:w="6036" w:type="dxa"/>
            <w:shd w:val="pct10" w:color="auto" w:fill="FFFFFF"/>
          </w:tcPr>
          <w:p w:rsidR="00905B3E" w:rsidRPr="003F63DB" w:rsidRDefault="00905B3E">
            <w:pPr>
              <w:pStyle w:val="Tabell"/>
              <w:rPr>
                <w:rFonts w:ascii="Arial" w:hAnsi="Arial"/>
                <w:sz w:val="16"/>
              </w:rPr>
            </w:pPr>
          </w:p>
          <w:p w:rsidR="00905B3E" w:rsidRPr="003F63DB" w:rsidRDefault="00905B3E">
            <w:pPr>
              <w:pStyle w:val="Tabell"/>
              <w:rPr>
                <w:rFonts w:ascii="Arial" w:hAnsi="Arial"/>
                <w:b/>
                <w:sz w:val="16"/>
              </w:rPr>
            </w:pPr>
            <w:r w:rsidRPr="003F63DB">
              <w:rPr>
                <w:rFonts w:ascii="Arial" w:hAnsi="Arial"/>
                <w:b/>
                <w:sz w:val="16"/>
              </w:rPr>
              <w:t>Förfarandet vid vissa beslut m.m. enligt 2 kap. 10–13 §§ lagen (1988:950) om kulturminnen m.m. Verkställighetsföreskrifter av Riksantikvarieämbetet. KRFS 1998:1</w:t>
            </w:r>
          </w:p>
          <w:p w:rsidR="00905B3E" w:rsidRPr="003F63DB" w:rsidRDefault="00905B3E">
            <w:pPr>
              <w:pStyle w:val="Tabell"/>
              <w:rPr>
                <w:rFonts w:ascii="Arial" w:hAnsi="Arial"/>
                <w:b/>
                <w:sz w:val="16"/>
              </w:rPr>
            </w:pPr>
          </w:p>
          <w:p w:rsidR="00905B3E" w:rsidRPr="003F63DB" w:rsidRDefault="00905B3E">
            <w:pPr>
              <w:pStyle w:val="Tabell"/>
              <w:rPr>
                <w:rFonts w:ascii="Arial" w:hAnsi="Arial"/>
                <w:b/>
                <w:sz w:val="16"/>
              </w:rPr>
            </w:pPr>
            <w:r w:rsidRPr="003F63DB">
              <w:rPr>
                <w:rFonts w:ascii="Arial" w:hAnsi="Arial"/>
                <w:b/>
                <w:sz w:val="16"/>
              </w:rPr>
              <w:t>9 § Direktval</w:t>
            </w:r>
          </w:p>
          <w:p w:rsidR="00905B3E" w:rsidRPr="003F63DB" w:rsidRDefault="00905B3E">
            <w:pPr>
              <w:pStyle w:val="Tabell"/>
              <w:rPr>
                <w:rFonts w:ascii="Arial" w:hAnsi="Arial"/>
                <w:sz w:val="16"/>
              </w:rPr>
            </w:pPr>
          </w:p>
          <w:p w:rsidR="00905B3E" w:rsidRPr="003F63DB" w:rsidRDefault="00905B3E">
            <w:pPr>
              <w:pStyle w:val="Tabell"/>
              <w:rPr>
                <w:rFonts w:ascii="Arial" w:hAnsi="Arial"/>
                <w:sz w:val="16"/>
              </w:rPr>
            </w:pPr>
            <w:r w:rsidRPr="003F63DB">
              <w:rPr>
                <w:rFonts w:ascii="Arial" w:hAnsi="Arial"/>
                <w:sz w:val="16"/>
              </w:rPr>
              <w:t>Länsstyrelsen skall erbjuda den, som mot bakgrund av 4 och 5 §§ bedöms kunna genomföra undersökningen så att kravspecifikationen och företagarens intressen bäst tillgodoses, att lämna förslag till undersökningsplan och att göra undersö</w:t>
            </w:r>
            <w:r w:rsidRPr="003F63DB">
              <w:rPr>
                <w:rFonts w:ascii="Arial" w:hAnsi="Arial"/>
                <w:sz w:val="16"/>
              </w:rPr>
              <w:t>k</w:t>
            </w:r>
            <w:r w:rsidRPr="003F63DB">
              <w:rPr>
                <w:rFonts w:ascii="Arial" w:hAnsi="Arial"/>
                <w:sz w:val="16"/>
              </w:rPr>
              <w:t>ningen.</w:t>
            </w:r>
          </w:p>
          <w:p w:rsidR="00905B3E" w:rsidRPr="003F63DB" w:rsidRDefault="00905B3E">
            <w:pPr>
              <w:pStyle w:val="Tabell"/>
              <w:rPr>
                <w:rFonts w:ascii="Arial" w:hAnsi="Arial"/>
                <w:sz w:val="16"/>
              </w:rPr>
            </w:pPr>
          </w:p>
          <w:p w:rsidR="00905B3E" w:rsidRPr="003F63DB" w:rsidRDefault="00905B3E">
            <w:pPr>
              <w:pStyle w:val="Tabell"/>
              <w:rPr>
                <w:rFonts w:ascii="Arial" w:hAnsi="Arial"/>
                <w:sz w:val="16"/>
              </w:rPr>
            </w:pPr>
          </w:p>
          <w:p w:rsidR="00905B3E" w:rsidRPr="003F63DB" w:rsidRDefault="00905B3E">
            <w:pPr>
              <w:pStyle w:val="Tabell"/>
              <w:rPr>
                <w:rFonts w:ascii="Arial" w:hAnsi="Arial"/>
                <w:b/>
                <w:sz w:val="16"/>
              </w:rPr>
            </w:pPr>
            <w:r w:rsidRPr="003F63DB">
              <w:rPr>
                <w:rFonts w:ascii="Arial" w:hAnsi="Arial"/>
                <w:b/>
                <w:sz w:val="16"/>
              </w:rPr>
              <w:t>10 § Urvalsförfarande</w:t>
            </w:r>
          </w:p>
          <w:p w:rsidR="00905B3E" w:rsidRPr="003F63DB" w:rsidRDefault="00905B3E">
            <w:pPr>
              <w:pStyle w:val="Tabell"/>
              <w:rPr>
                <w:rFonts w:ascii="Arial" w:hAnsi="Arial"/>
                <w:sz w:val="16"/>
              </w:rPr>
            </w:pPr>
          </w:p>
          <w:p w:rsidR="00905B3E" w:rsidRPr="003F63DB" w:rsidRDefault="00905B3E">
            <w:pPr>
              <w:pStyle w:val="Tabell"/>
              <w:rPr>
                <w:rFonts w:ascii="Arial" w:hAnsi="Arial"/>
                <w:sz w:val="16"/>
              </w:rPr>
            </w:pPr>
            <w:r w:rsidRPr="003F63DB">
              <w:rPr>
                <w:rFonts w:ascii="Arial" w:hAnsi="Arial"/>
                <w:sz w:val="16"/>
              </w:rPr>
              <w:t>Om det inte finns särskilda skäl för direktval och om det finns flera undersökare som kan antas vara lämpade att göra undersökningen, skall länsstyrelsen i stället för direktval använda ett urval</w:t>
            </w:r>
            <w:r w:rsidRPr="003F63DB">
              <w:rPr>
                <w:rFonts w:ascii="Arial" w:hAnsi="Arial"/>
                <w:sz w:val="16"/>
              </w:rPr>
              <w:t>s</w:t>
            </w:r>
            <w:r w:rsidRPr="003F63DB">
              <w:rPr>
                <w:rFonts w:ascii="Arial" w:hAnsi="Arial"/>
                <w:sz w:val="16"/>
              </w:rPr>
              <w:t>förfarande när</w:t>
            </w:r>
          </w:p>
          <w:p w:rsidR="00905B3E" w:rsidRPr="003F63DB" w:rsidRDefault="00905B3E">
            <w:pPr>
              <w:pStyle w:val="Tabell"/>
              <w:numPr>
                <w:ilvl w:val="0"/>
                <w:numId w:val="79"/>
              </w:numPr>
              <w:rPr>
                <w:rFonts w:ascii="Arial" w:hAnsi="Arial"/>
                <w:sz w:val="16"/>
              </w:rPr>
            </w:pPr>
            <w:r w:rsidRPr="003F63DB">
              <w:rPr>
                <w:rFonts w:ascii="Arial" w:hAnsi="Arial"/>
                <w:sz w:val="16"/>
              </w:rPr>
              <w:t>kostnaden kan antas komma att överstiga 30 basbelopp eller</w:t>
            </w:r>
          </w:p>
          <w:p w:rsidR="00905B3E" w:rsidRPr="003F63DB" w:rsidRDefault="00905B3E">
            <w:pPr>
              <w:pStyle w:val="Tabell"/>
              <w:numPr>
                <w:ilvl w:val="0"/>
                <w:numId w:val="79"/>
              </w:numPr>
            </w:pPr>
            <w:r w:rsidRPr="003F63DB">
              <w:rPr>
                <w:rFonts w:ascii="Arial" w:hAnsi="Arial"/>
                <w:sz w:val="16"/>
              </w:rPr>
              <w:t>kostnaden kan antas komma att understiga 30 men överstiga 10 basbelopp och för</w:t>
            </w:r>
            <w:r w:rsidRPr="003F63DB">
              <w:rPr>
                <w:rFonts w:ascii="Arial" w:hAnsi="Arial"/>
                <w:sz w:val="16"/>
              </w:rPr>
              <w:t>e</w:t>
            </w:r>
            <w:r w:rsidRPr="003F63DB">
              <w:rPr>
                <w:rFonts w:ascii="Arial" w:hAnsi="Arial"/>
                <w:sz w:val="16"/>
              </w:rPr>
              <w:t>tagaren begär det</w:t>
            </w:r>
            <w:r w:rsidRPr="003F63DB">
              <w:t>.</w:t>
            </w:r>
          </w:p>
          <w:p w:rsidR="00905B3E" w:rsidRPr="003F63DB" w:rsidRDefault="00905B3E">
            <w:pPr>
              <w:pStyle w:val="Normaltindrag"/>
            </w:pPr>
          </w:p>
        </w:tc>
      </w:tr>
    </w:tbl>
    <w:p w:rsidR="00905B3E" w:rsidRPr="003F63DB" w:rsidRDefault="00905B3E">
      <w:r w:rsidRPr="003F63DB">
        <w:t>Länsstyrelserna ska använda sig av ett urvalsförfarande vid alla större unde</w:t>
      </w:r>
      <w:r w:rsidRPr="003F63DB">
        <w:t>r</w:t>
      </w:r>
      <w:r w:rsidRPr="003F63DB">
        <w:t>sökningar, om inte särskilda skäl för direktval föreligger och om det finns flera undersökare som kan antas vara lämpade att göra undersökningen. Det som avgör när ett urvalsförfarande ska tillämpas är undersökningens förvä</w:t>
      </w:r>
      <w:r w:rsidRPr="003F63DB">
        <w:t>n</w:t>
      </w:r>
      <w:r w:rsidRPr="003F63DB">
        <w:t>tade kostnad. När kostnaden antas överstiga 30 prisbasbelopp (idag motsv</w:t>
      </w:r>
      <w:r w:rsidRPr="003F63DB">
        <w:t>a</w:t>
      </w:r>
      <w:r w:rsidRPr="003F63DB">
        <w:t>rande 1 137 000 kronor) ska länsstyrelsen använda ett urvalsförfarande. Om kostnaden för en undersökning beräknas uppgå till mellan 10 och 30 prisba</w:t>
      </w:r>
      <w:r w:rsidRPr="003F63DB">
        <w:t>s</w:t>
      </w:r>
      <w:r w:rsidRPr="003F63DB">
        <w:t xml:space="preserve">belopp (379 000–1 137 000 kronor) ska länsstyrelsen tillämpa ett </w:t>
      </w:r>
      <w:r w:rsidRPr="003F63DB">
        <w:t>urvalsfö</w:t>
      </w:r>
      <w:r w:rsidRPr="003F63DB">
        <w:t>r</w:t>
      </w:r>
      <w:r w:rsidRPr="003F63DB">
        <w:t>farande om exploatören begär det. Riksantikvarieämbetet har bedömt att det är i de värdemässigt största uppdragen som möjligheterna till kostnads- och kvalitetsvinster är störst.</w:t>
      </w:r>
    </w:p>
    <w:p w:rsidR="00905B3E" w:rsidRPr="003F63DB" w:rsidRDefault="00905B3E">
      <w:pPr>
        <w:pStyle w:val="Normaltindrag"/>
      </w:pPr>
      <w:r w:rsidRPr="003F63DB">
        <w:t>Riksantikvarieämbetets föreskrifter och råd är knapphändiga när det gäller hur länsstyrelserna ska gå till väga vid urvalsförfarande. Det enda konkreta råd Riksantikvarieämbetet ger i detta avseende är att ”sedvanlig teknik för upphandling bör vara vägl</w:t>
      </w:r>
      <w:r w:rsidRPr="003F63DB">
        <w:t>e</w:t>
      </w:r>
      <w:r w:rsidRPr="003F63DB">
        <w:t>dande”.</w:t>
      </w:r>
    </w:p>
    <w:p w:rsidR="00905B3E" w:rsidRPr="003F63DB" w:rsidRDefault="00905B3E">
      <w:pPr>
        <w:pStyle w:val="Rubrik3-Utannumrering"/>
      </w:pPr>
      <w:r w:rsidRPr="003F63DB">
        <w:t>Konkurrensmyndigheternas tolkning</w:t>
      </w:r>
    </w:p>
    <w:p w:rsidR="00905B3E" w:rsidRPr="003F63DB" w:rsidRDefault="00905B3E">
      <w:r w:rsidRPr="003F63DB">
        <w:t>Nämnden för offentlig upphandling (NOU) har framfört uppfattningen att uppdragsarkeologiska undersökningar bör omfattas av lagen om offentlig upphandling. I sitt yttrande över departementspromemorian om uppdragsa</w:t>
      </w:r>
      <w:r w:rsidRPr="003F63DB">
        <w:t>r</w:t>
      </w:r>
      <w:r w:rsidRPr="003F63DB">
        <w:t>keologi</w:t>
      </w:r>
      <w:r w:rsidRPr="003F63DB">
        <w:rPr>
          <w:rStyle w:val="Fotnotsreferens"/>
        </w:rPr>
        <w:footnoteReference w:id="94"/>
      </w:r>
      <w:r w:rsidRPr="003F63DB">
        <w:t xml:space="preserve"> anförde Nämnden för offentlig upphandling att länsstyrelsens b</w:t>
      </w:r>
      <w:r w:rsidRPr="003F63DB">
        <w:t>e</w:t>
      </w:r>
      <w:r w:rsidRPr="003F63DB">
        <w:t>slut om undersökare inte är myndighetsutövning så länge länsstyrelsen inte har befogenhet att ålägga någon arkeologisk undersökare att utföra ett visst arbete. Kvaliteten i de arkeologiska utredningarna och undersökningarna kan enligt nämnden säkerställas genom att länsstyrelsen i ett förfrågningsunde</w:t>
      </w:r>
      <w:r w:rsidRPr="003F63DB">
        <w:t>r</w:t>
      </w:r>
      <w:r w:rsidRPr="003F63DB">
        <w:t>lag i en offentlig upphandling anger de krav som ska ställas på utförarna. Eftersom exploatören i normalfallet ska bära kostnaderna för utredning</w:t>
      </w:r>
      <w:r w:rsidRPr="003F63DB">
        <w:t>en respektive undersökningen ansåg nämnden att det är lämpligt att upphandling görs.</w:t>
      </w:r>
      <w:r w:rsidRPr="003F63DB">
        <w:rPr>
          <w:rStyle w:val="Fotnotsreferens"/>
        </w:rPr>
        <w:footnoteReference w:id="95"/>
      </w:r>
      <w:r w:rsidRPr="003F63DB">
        <w:t xml:space="preserve"> </w:t>
      </w:r>
    </w:p>
    <w:p w:rsidR="00905B3E" w:rsidRPr="003F63DB" w:rsidRDefault="00905B3E">
      <w:pPr>
        <w:pStyle w:val="Normaltindrag"/>
      </w:pPr>
      <w:r w:rsidRPr="003F63DB">
        <w:t>I ett annat yttrande har nämnden påtalat att det inte finns några undantag</w:t>
      </w:r>
      <w:r w:rsidRPr="003F63DB">
        <w:t>s</w:t>
      </w:r>
      <w:r w:rsidRPr="003F63DB">
        <w:t>regler från lagen om offentlig upphandling vad gäller ingrepp i kyrkliga kulturminnen, vilka också regleras av kultu</w:t>
      </w:r>
      <w:r w:rsidRPr="003F63DB">
        <w:t>r</w:t>
      </w:r>
      <w:r w:rsidRPr="003F63DB">
        <w:t>minneslagen.</w:t>
      </w:r>
      <w:r w:rsidRPr="003F63DB">
        <w:rPr>
          <w:rStyle w:val="Fotnotsreferens"/>
        </w:rPr>
        <w:footnoteReference w:id="96"/>
      </w:r>
    </w:p>
    <w:p w:rsidR="00905B3E" w:rsidRPr="003F63DB" w:rsidRDefault="00905B3E">
      <w:pPr>
        <w:pStyle w:val="Normaltindrag"/>
      </w:pPr>
      <w:r w:rsidRPr="003F63DB">
        <w:t>I ett yttrande till länsrätten år 2000 meddelar Nämnden för offentlig up</w:t>
      </w:r>
      <w:r w:rsidRPr="003F63DB">
        <w:t>p</w:t>
      </w:r>
      <w:r w:rsidRPr="003F63DB">
        <w:t>handling att nämnden även är tveksam till om det är riktigt att jämställa länsstyrelsens beslut med utövande av offentlig makt.</w:t>
      </w:r>
      <w:r w:rsidRPr="003F63DB">
        <w:rPr>
          <w:rStyle w:val="Fotnotsreferens"/>
        </w:rPr>
        <w:footnoteReference w:id="97"/>
      </w:r>
      <w:r w:rsidRPr="003F63DB">
        <w:t xml:space="preserve"> Här citerar nämnden ett uttalande av EG-domstolen: </w:t>
      </w:r>
    </w:p>
    <w:p w:rsidR="00905B3E" w:rsidRPr="003F63DB" w:rsidRDefault="00905B3E">
      <w:pPr>
        <w:pStyle w:val="Citat"/>
      </w:pPr>
      <w:r w:rsidRPr="003F63DB">
        <w:t>Av fast praxis framgår nämligen att en medlemsstat inte kan åberopa b</w:t>
      </w:r>
      <w:r w:rsidRPr="003F63DB">
        <w:t>e</w:t>
      </w:r>
      <w:r w:rsidRPr="003F63DB">
        <w:t xml:space="preserve">stämmelser, praxis eller andra omständigheter i sin interna rättsordning för att rättfärdiga att den åsidosätter skyldigheter och frister som föreskrivs i ett direktiv. </w:t>
      </w:r>
      <w:r w:rsidRPr="003F63DB">
        <w:rPr>
          <w:rStyle w:val="Fotnotsreferens"/>
        </w:rPr>
        <w:footnoteReference w:id="98"/>
      </w:r>
    </w:p>
    <w:p w:rsidR="00905B3E" w:rsidRPr="003F63DB" w:rsidRDefault="00905B3E">
      <w:r w:rsidRPr="003F63DB">
        <w:t>Konkurrensverket framförde i yttrandet över departementspromemorian om uppdragsarkeologi att regeringen inte klarlagt att länsstyrelsens val av utför</w:t>
      </w:r>
      <w:r w:rsidRPr="003F63DB">
        <w:t>a</w:t>
      </w:r>
      <w:r w:rsidRPr="003F63DB">
        <w:t>re ska betraktas som myndighetsutövning. Att undanta uppdragsarkeologi från lagen om offentlig upphandling lämnar enligt Konkurrensverket utry</w:t>
      </w:r>
      <w:r w:rsidRPr="003F63DB">
        <w:t>m</w:t>
      </w:r>
      <w:r w:rsidRPr="003F63DB">
        <w:t xml:space="preserve">me för godtyckligt val av utförare. Verket pekar på risken att anbudsgivare utses på andra grunder än givna kompetens- och kvalitetskrav. </w:t>
      </w:r>
    </w:p>
    <w:p w:rsidR="00905B3E" w:rsidRPr="003F63DB" w:rsidRDefault="00905B3E">
      <w:pPr>
        <w:pStyle w:val="Normaltindrag"/>
      </w:pPr>
      <w:r w:rsidRPr="003F63DB">
        <w:t>Även exploatörer har förespråkat att länsstyrelserna ska upphandla arke</w:t>
      </w:r>
      <w:r w:rsidRPr="003F63DB">
        <w:t>o</w:t>
      </w:r>
      <w:r w:rsidRPr="003F63DB">
        <w:t>logiska tjänster i konkurrens. I remissyttranden över departementspromem</w:t>
      </w:r>
      <w:r w:rsidRPr="003F63DB">
        <w:t>o</w:t>
      </w:r>
      <w:r w:rsidRPr="003F63DB">
        <w:t>rian förordar både Vägverket och Banverket att länsstyrelsens beslut ska föregås av en upphandling.</w:t>
      </w:r>
      <w:r w:rsidRPr="003F63DB">
        <w:rPr>
          <w:rStyle w:val="Fotnotsreferens"/>
        </w:rPr>
        <w:footnoteReference w:id="99"/>
      </w:r>
      <w:r w:rsidRPr="003F63DB">
        <w:t xml:space="preserve"> </w:t>
      </w:r>
    </w:p>
    <w:p w:rsidR="00905B3E" w:rsidRPr="003F63DB" w:rsidRDefault="00905B3E">
      <w:pPr>
        <w:pStyle w:val="Rubrik2"/>
      </w:pPr>
      <w:bookmarkStart w:id="79" w:name="_Toc25031911"/>
      <w:bookmarkStart w:id="80" w:name="_Toc36520739"/>
      <w:r w:rsidRPr="003F63DB">
        <w:t>Tjänster som ska upphandlas</w:t>
      </w:r>
      <w:bookmarkEnd w:id="79"/>
      <w:bookmarkEnd w:id="80"/>
    </w:p>
    <w:p w:rsidR="00905B3E" w:rsidRPr="003F63DB" w:rsidRDefault="00905B3E">
      <w:r w:rsidRPr="003F63DB">
        <w:t>Förstudier och frivilliga utredningar, kulturhistoriskt underlag för miljöko</w:t>
      </w:r>
      <w:r w:rsidRPr="003F63DB">
        <w:t>n</w:t>
      </w:r>
      <w:r w:rsidRPr="003F63DB">
        <w:t>sekvensbeskrivningar, förmedlingstjänster och andra typer av uppdrag som inte kräver beslut av någon länsstyrelse enligt 2 kap. 11–13 §§ kulturmi</w:t>
      </w:r>
      <w:r w:rsidRPr="003F63DB">
        <w:t>n</w:t>
      </w:r>
      <w:r w:rsidRPr="003F63DB">
        <w:t>neslagen ska upphandlas enligt lagen om offentlig upphandling om beställ</w:t>
      </w:r>
      <w:r w:rsidRPr="003F63DB">
        <w:t>a</w:t>
      </w:r>
      <w:r w:rsidRPr="003F63DB">
        <w:t xml:space="preserve">ren är en offentlig myndighet. Enligt flera undersökare tillämpas lagen om offentlig upphandling emellertid sällan. </w:t>
      </w:r>
    </w:p>
    <w:p w:rsidR="00905B3E" w:rsidRPr="003F63DB" w:rsidRDefault="00905B3E">
      <w:pPr>
        <w:pStyle w:val="Normaltindrag"/>
      </w:pPr>
      <w:r w:rsidRPr="003F63DB">
        <w:t>Ett exempel gäller förundersökningarna inför Norrortsleden i Stockholms län. Där har Vägverket Region Stockholm anlitat Stockholms länsmuseum för att genomföra en informations</w:t>
      </w:r>
      <w:r w:rsidRPr="003F63DB">
        <w:t>satsning.</w:t>
      </w:r>
      <w:r w:rsidRPr="003F63DB">
        <w:rPr>
          <w:rStyle w:val="Fotnotsreferens"/>
        </w:rPr>
        <w:footnoteReference w:id="100"/>
      </w:r>
      <w:r w:rsidRPr="003F63DB">
        <w:t xml:space="preserve"> Uppdraget, värt 170 000 kr</w:t>
      </w:r>
      <w:r w:rsidRPr="003F63DB">
        <w:t>o</w:t>
      </w:r>
      <w:r w:rsidRPr="003F63DB">
        <w:t>nor, tilldelades museet utan anbudsupphandling, trots att det fanns ytterligare tre undersökare som våren 2002 genomförde förundersökningar i samband med projektet – Riksantikvarieämbetet-UV samt två privata undersökare. Enligt uppgifter till revisorerna hade samtliga dessa varit intresserade av att få informations</w:t>
      </w:r>
      <w:r w:rsidRPr="003F63DB">
        <w:softHyphen/>
        <w:t xml:space="preserve">uppdraget. </w:t>
      </w:r>
    </w:p>
    <w:p w:rsidR="00905B3E" w:rsidRPr="003F63DB" w:rsidRDefault="00905B3E">
      <w:pPr>
        <w:pStyle w:val="Normaltindrag"/>
      </w:pPr>
      <w:r w:rsidRPr="003F63DB">
        <w:t>Avtal om informationssatsningen har upprättats mellan Vägverket och Stockholms länsmuseum. På en informationsbroschyr avseende arkeolog</w:t>
      </w:r>
      <w:r w:rsidRPr="003F63DB">
        <w:t>i</w:t>
      </w:r>
      <w:r w:rsidRPr="003F63DB">
        <w:t>projektet står dock Riksantikvarieämbetet-UV tillsammans med Vägverket och länsmuseet som avsändare.</w:t>
      </w:r>
      <w:r w:rsidRPr="003F63DB">
        <w:rPr>
          <w:rStyle w:val="Fotnotsreferens"/>
        </w:rPr>
        <w:footnoteReference w:id="101"/>
      </w:r>
      <w:r w:rsidRPr="003F63DB">
        <w:t xml:space="preserve"> </w:t>
      </w:r>
    </w:p>
    <w:p w:rsidR="00905B3E" w:rsidRPr="003F63DB" w:rsidRDefault="00905B3E">
      <w:pPr>
        <w:pStyle w:val="Rubrik2"/>
      </w:pPr>
      <w:bookmarkStart w:id="81" w:name="_Toc25031912"/>
      <w:bookmarkStart w:id="82" w:name="_Toc36520740"/>
      <w:r w:rsidRPr="003F63DB">
        <w:t>Sammanfattande iakttagelser</w:t>
      </w:r>
      <w:bookmarkEnd w:id="81"/>
      <w:bookmarkEnd w:id="82"/>
    </w:p>
    <w:p w:rsidR="00905B3E" w:rsidRPr="003F63DB" w:rsidRDefault="00905B3E">
      <w:r w:rsidRPr="003F63DB">
        <w:t xml:space="preserve">Riksdagens beslut att undanta uppdragsarkeologi från lagen om offentlig upphandling kan bygga på en felaktig tolkning av rättsläget och synes strida mot EG-rättsliga principer. </w:t>
      </w:r>
    </w:p>
    <w:p w:rsidR="00905B3E" w:rsidRPr="003F63DB" w:rsidRDefault="00905B3E">
      <w:pPr>
        <w:pStyle w:val="Normaltindrag"/>
      </w:pPr>
      <w:r w:rsidRPr="003F63DB">
        <w:t xml:space="preserve">Regeringens ambitioner är motsägelsefulla när det gäller konkurrens om </w:t>
      </w:r>
      <w:r w:rsidRPr="003F63DB">
        <w:rPr>
          <w:spacing w:val="-4"/>
        </w:rPr>
        <w:t>arkeologiska uppdrag. Regeringen eftersträvar ökad mångfald i den arkeologiska verksamheten och menar att konkurrens kan verka stimulerande för utveckling och effektivitet. Samtidigt menar regeringen att museernas arkeologiska ver</w:t>
      </w:r>
      <w:r w:rsidRPr="003F63DB">
        <w:rPr>
          <w:spacing w:val="-4"/>
        </w:rPr>
        <w:t>k</w:t>
      </w:r>
      <w:r w:rsidRPr="003F63DB">
        <w:rPr>
          <w:spacing w:val="-4"/>
        </w:rPr>
        <w:t>samhet ska värnas och privata undersökares verksamhet b</w:t>
      </w:r>
      <w:r w:rsidRPr="003F63DB">
        <w:rPr>
          <w:spacing w:val="-4"/>
        </w:rPr>
        <w:t>e</w:t>
      </w:r>
      <w:r w:rsidRPr="003F63DB">
        <w:rPr>
          <w:spacing w:val="-4"/>
        </w:rPr>
        <w:t>gränsas.</w:t>
      </w:r>
    </w:p>
    <w:p w:rsidR="00905B3E" w:rsidRPr="003F63DB" w:rsidRDefault="00905B3E">
      <w:pPr>
        <w:pStyle w:val="Normaltindrag"/>
      </w:pPr>
      <w:r w:rsidRPr="003F63DB">
        <w:t>Riksantikvarieämbetet har bemyndigats att utforma konkurrensvillkoren för en verksamhet där myndigheten själv är den dominerande undersökaren. De föreskrifter och allmänna råd som Riksantikvarieämbetet utfärdat är kn</w:t>
      </w:r>
      <w:r w:rsidRPr="003F63DB">
        <w:t>apphändiga när det gäller hur länsstyrelserna ska gå till väga när de väljer undersökare genom ett urvalsförf</w:t>
      </w:r>
      <w:r w:rsidRPr="003F63DB">
        <w:t>a</w:t>
      </w:r>
      <w:r w:rsidRPr="003F63DB">
        <w:t>rande.</w:t>
      </w:r>
    </w:p>
    <w:p w:rsidR="00905B3E" w:rsidRPr="003F63DB" w:rsidRDefault="00905B3E">
      <w:pPr>
        <w:pStyle w:val="Normaltindrag"/>
      </w:pPr>
      <w:r w:rsidRPr="003F63DB">
        <w:t>Tjänster utförda av arkeologiska undersökare som inte avser arkeologiska utredningar, förundersökningar eller särskilda undersökningar enligt länsst</w:t>
      </w:r>
      <w:r w:rsidRPr="003F63DB">
        <w:t>y</w:t>
      </w:r>
      <w:r w:rsidRPr="003F63DB">
        <w:t>relsens beslut ska upphandlas enligt lagen om offentlig upphandling. Lagen tillämpas eme</w:t>
      </w:r>
      <w:r w:rsidRPr="003F63DB">
        <w:t>l</w:t>
      </w:r>
      <w:r w:rsidRPr="003F63DB">
        <w:t>lertid sällan.</w:t>
      </w:r>
    </w:p>
    <w:p w:rsidR="00905B3E" w:rsidRPr="003F63DB" w:rsidRDefault="00905B3E">
      <w:pPr>
        <w:pStyle w:val="Rubrik1"/>
      </w:pPr>
      <w:r w:rsidRPr="003F63DB">
        <w:br w:type="page"/>
      </w:r>
      <w:bookmarkStart w:id="83" w:name="_Toc25031913"/>
      <w:bookmarkStart w:id="84" w:name="_Toc36520741"/>
      <w:r w:rsidRPr="003F63DB">
        <w:t>Ny kunskap till rimlig kostnad</w:t>
      </w:r>
      <w:bookmarkEnd w:id="83"/>
      <w:bookmarkEnd w:id="84"/>
    </w:p>
    <w:p w:rsidR="00905B3E" w:rsidRPr="003F63DB" w:rsidRDefault="00905B3E">
      <w:r w:rsidRPr="003F63DB">
        <w:t>De fornlämningar som inte kan bevaras ska undersökas och dokumenteras i syfte att öka kunskapen om vår historia. Det leder till kostnader – kostnader för att undersöka och dokumentera fornlämningen, analysera och publicera resultaten och för att i all framtid vårda och lagra de fornfynd som tas om hand. Om ett ingrepp i en fornlämning kan undvikas vid exploatering til</w:t>
      </w:r>
      <w:r w:rsidRPr="003F63DB">
        <w:t>l</w:t>
      </w:r>
      <w:r w:rsidRPr="003F63DB">
        <w:t>mötesgås intentionerna i kulturminneslagen, samtidigt som kostnaderna för arkeologi och framtida bevarande b</w:t>
      </w:r>
      <w:r w:rsidRPr="003F63DB">
        <w:t>e</w:t>
      </w:r>
      <w:r w:rsidRPr="003F63DB">
        <w:t xml:space="preserve">gränsas. </w:t>
      </w:r>
    </w:p>
    <w:p w:rsidR="00905B3E" w:rsidRPr="003F63DB" w:rsidRDefault="00905B3E">
      <w:pPr>
        <w:pStyle w:val="Normaltindrag"/>
      </w:pPr>
      <w:r w:rsidRPr="003F63DB">
        <w:t>De samlade kostnaderna för uppdragsarkeologi, inkluderat vård och förv</w:t>
      </w:r>
      <w:r w:rsidRPr="003F63DB">
        <w:t>a</w:t>
      </w:r>
      <w:r w:rsidRPr="003F63DB">
        <w:t>ring av tillvarataget material, är okända. Diskussioner om kostnader för uppdragsarkeologi gäller främst exploatörens kostnadsansvar.</w:t>
      </w:r>
    </w:p>
    <w:p w:rsidR="00905B3E" w:rsidRPr="003F63DB" w:rsidRDefault="00905B3E">
      <w:pPr>
        <w:pStyle w:val="Normaltindrag"/>
      </w:pPr>
      <w:r w:rsidRPr="003F63DB">
        <w:t>I regeringens proposition Uppdragsarkeologi m.m. sägs att det ur sa</w:t>
      </w:r>
      <w:r w:rsidRPr="003F63DB">
        <w:t>m</w:t>
      </w:r>
      <w:r w:rsidRPr="003F63DB">
        <w:t>hällsekonomisk synvinkel är av intresse att kostnaden för undersökningarna inte är högre än vad som är motiverat. Regeringen betonar att länsstyrelserna ska beakta kostnadsaspekten när det gäller undersökningens omfattning och ambitionsnivå, men även när den arkeologiska undersökaren ska utses. Det ska dock inte ske på bekostnad av det grundläggande kravet på kvalitet.</w:t>
      </w:r>
      <w:r w:rsidRPr="003F63DB">
        <w:rPr>
          <w:rStyle w:val="Fotnotsreferens"/>
        </w:rPr>
        <w:footnoteReference w:id="102"/>
      </w:r>
      <w:r w:rsidRPr="003F63DB">
        <w:t xml:space="preserve"> Av kulturminneslagen framgår att länsstyrelserna i sina beslut ska beakta att utredningen respektive undersökningen ska vara av vetenskapligt god kval</w:t>
      </w:r>
      <w:r w:rsidRPr="003F63DB">
        <w:t>i</w:t>
      </w:r>
      <w:r w:rsidRPr="003F63DB">
        <w:t>tet och genomföras till en kostnad som inte är högre än vad som är motiverat med hänsyn till omständighete</w:t>
      </w:r>
      <w:r w:rsidRPr="003F63DB">
        <w:t>r</w:t>
      </w:r>
      <w:r w:rsidRPr="003F63DB">
        <w:t>na.</w:t>
      </w:r>
      <w:r w:rsidRPr="003F63DB">
        <w:rPr>
          <w:rStyle w:val="Fotnotsreferens"/>
        </w:rPr>
        <w:footnoteReference w:id="103"/>
      </w:r>
      <w:r w:rsidRPr="003F63DB">
        <w:t xml:space="preserve"> </w:t>
      </w:r>
    </w:p>
    <w:p w:rsidR="00905B3E" w:rsidRPr="003F63DB" w:rsidRDefault="00905B3E">
      <w:pPr>
        <w:pStyle w:val="Normaltindrag"/>
      </w:pPr>
      <w:r w:rsidRPr="003F63DB">
        <w:t>Riksantikvarieämbetet saknar uppgifter om vilken hänsyn länsstyrelserna tar till kostnader för framtida vård och förvaring av fynd då de fattar beslut om en arkeologisk undersökning.</w:t>
      </w:r>
    </w:p>
    <w:p w:rsidR="00905B3E" w:rsidRPr="003F63DB" w:rsidRDefault="00905B3E">
      <w:pPr>
        <w:pStyle w:val="Rubrik2"/>
      </w:pPr>
      <w:bookmarkStart w:id="85" w:name="_Toc25031914"/>
      <w:bookmarkStart w:id="86" w:name="_Toc36520742"/>
      <w:r w:rsidRPr="003F63DB">
        <w:t>Exploatörerna betalar</w:t>
      </w:r>
      <w:bookmarkEnd w:id="85"/>
      <w:bookmarkEnd w:id="86"/>
    </w:p>
    <w:p w:rsidR="00905B3E" w:rsidRPr="003F63DB" w:rsidRDefault="00905B3E">
      <w:r w:rsidRPr="003F63DB">
        <w:t>Exploatörernas skyldighet att bekosta arkeologiska undersökningar framgick redan av 1942 års fornminneslag (1942:350). Lyde</w:t>
      </w:r>
      <w:r w:rsidRPr="003F63DB">
        <w:t>l</w:t>
      </w:r>
      <w:r w:rsidRPr="003F63DB">
        <w:t xml:space="preserve">sen i 9 § var: </w:t>
      </w:r>
    </w:p>
    <w:p w:rsidR="00905B3E" w:rsidRPr="003F63DB" w:rsidRDefault="00905B3E">
      <w:pPr>
        <w:pStyle w:val="Citat"/>
      </w:pPr>
      <w:r w:rsidRPr="003F63DB">
        <w:t>Erfordras med anledning av allmänt eller större enskilt arbetsföretag som berör fast fornlämning, att särskild undersökning av fornlämningen företas eller särskild åtgärd vidtages för att bevara den, skall kostnaden därför åvila företaget, såvitt det icke på grund av särskilda förhållanden finnes obilligt.</w:t>
      </w:r>
    </w:p>
    <w:p w:rsidR="00905B3E" w:rsidRPr="003F63DB" w:rsidRDefault="00905B3E">
      <w:r w:rsidRPr="003F63DB">
        <w:t xml:space="preserve">Vad detta kostnadsansvar i praktiken har innefattat för arbetsmoment har sedan 1940-talet byggt på en praxis utvecklad av Riksantikvarieämbetet. Under årens lopp har synen på vad kostnadsansvaret ska innefatta kommit att utvidgas. </w:t>
      </w:r>
    </w:p>
    <w:p w:rsidR="00905B3E" w:rsidRPr="003F63DB" w:rsidRDefault="00905B3E">
      <w:pPr>
        <w:pStyle w:val="Rubrik3-Utannumrering"/>
      </w:pPr>
      <w:r w:rsidRPr="003F63DB">
        <w:t>Reglerat kostnadsansvar</w:t>
      </w:r>
    </w:p>
    <w:p w:rsidR="00905B3E" w:rsidRPr="003F63DB" w:rsidRDefault="00905B3E">
      <w:r w:rsidRPr="003F63DB">
        <w:t>Med vissa undantag står exploatörerna numera för samtliga kostnader som är förenade med en arkeologisk utredning, förundersökning eller särskild u</w:t>
      </w:r>
      <w:r w:rsidRPr="003F63DB">
        <w:t>n</w:t>
      </w:r>
      <w:r w:rsidRPr="003F63DB">
        <w:t>dersökning.</w:t>
      </w:r>
      <w:r w:rsidRPr="003F63DB">
        <w:rPr>
          <w:rStyle w:val="Fotnotsreferens"/>
        </w:rPr>
        <w:footnoteReference w:id="104"/>
      </w:r>
      <w:r w:rsidRPr="003F63DB">
        <w:t xml:space="preserve"> Att exploatörerna även ska betala för en arkeologisk utredning har motiverats med att de tjänar på att tidigt i sin planering ta hänsyn till tidigare okända fornlämningar.</w:t>
      </w:r>
      <w:r w:rsidRPr="003F63DB">
        <w:rPr>
          <w:rStyle w:val="Fotnotsreferens"/>
        </w:rPr>
        <w:footnoteReference w:id="105"/>
      </w:r>
      <w:r w:rsidRPr="003F63DB">
        <w:t xml:space="preserve"> Exploatörerna får då tillfälle att pröva möjligheterna att oml</w:t>
      </w:r>
      <w:r w:rsidRPr="003F63DB">
        <w:t>o</w:t>
      </w:r>
      <w:r w:rsidRPr="003F63DB">
        <w:t>kalisera sina projekt.</w:t>
      </w:r>
    </w:p>
    <w:p w:rsidR="00905B3E" w:rsidRPr="003F63DB" w:rsidRDefault="00905B3E">
      <w:pPr>
        <w:pStyle w:val="Normaltindrag"/>
      </w:pPr>
      <w:r w:rsidRPr="003F63DB">
        <w:t>Kostnadsansvaret omfattar undersökning och dokumentation och sedan den 1 juli 1997 även kostnader för fyndhantering och konservering av for</w:t>
      </w:r>
      <w:r w:rsidRPr="003F63DB">
        <w:t>n</w:t>
      </w:r>
      <w:r w:rsidRPr="003F63DB">
        <w:t>fynd.</w:t>
      </w:r>
      <w:r w:rsidRPr="003F63DB">
        <w:rPr>
          <w:rStyle w:val="Fotnotsreferens"/>
        </w:rPr>
        <w:footnoteReference w:id="106"/>
      </w:r>
      <w:r w:rsidRPr="003F63DB">
        <w:t xml:space="preserve"> Skälet till det utvidgade kostnadsansvaret var att ökade arkeologiska undersökningsvolymer medförde ökade insatser för fyndhantering och ko</w:t>
      </w:r>
      <w:r w:rsidRPr="003F63DB">
        <w:t>n</w:t>
      </w:r>
      <w:r w:rsidRPr="003F63DB">
        <w:t>servering. Museernas resurser ansågs inte räcka till för dessa uppgifter. Det museum som tilldelas fynden ska dock bära kostnader för framtida förvaring och vård. Den länsstyrelse som beslutar i ett ärende ska bära kostnader för handläggning, uppföljning och tillsyn av det arkeologiska proje</w:t>
      </w:r>
      <w:r w:rsidRPr="003F63DB">
        <w:t>k</w:t>
      </w:r>
      <w:r w:rsidRPr="003F63DB">
        <w:t>tet.</w:t>
      </w:r>
    </w:p>
    <w:p w:rsidR="00905B3E" w:rsidRPr="003F63DB" w:rsidRDefault="00905B3E">
      <w:pPr>
        <w:pStyle w:val="Normaltindrag"/>
      </w:pPr>
      <w:r w:rsidRPr="003F63DB">
        <w:t>Då exploatörernas kostnadsansvar utvidgades 1997 bedömde Riksantikv</w:t>
      </w:r>
      <w:r w:rsidRPr="003F63DB">
        <w:t>a</w:t>
      </w:r>
      <w:r w:rsidRPr="003F63DB">
        <w:t>rieämbetet att kostnaderna för arkeologi skulle öka med mellan 3 och 7 %. Kostnadsökningen bedömdes dock på sikt kunna minska genom rational</w:t>
      </w:r>
      <w:r w:rsidRPr="003F63DB">
        <w:t>i</w:t>
      </w:r>
      <w:r w:rsidRPr="003F63DB">
        <w:t>seringar i verksamheten. I propositionen framförde regeringen att Riksanti</w:t>
      </w:r>
      <w:r w:rsidRPr="003F63DB">
        <w:t>k</w:t>
      </w:r>
      <w:r w:rsidRPr="003F63DB">
        <w:t>varieämbetet skulle ges i uppdrag att noga följa kostnadsutvecklingen.</w:t>
      </w:r>
      <w:r w:rsidRPr="003F63DB">
        <w:rPr>
          <w:rStyle w:val="Fotnotsreferens"/>
        </w:rPr>
        <w:footnoteReference w:id="107"/>
      </w:r>
      <w:r w:rsidRPr="003F63DB">
        <w:t xml:space="preserve"> Hösten 2002 hade Riksantikvarieämbetet ännu inte fått något sådant up</w:t>
      </w:r>
      <w:r w:rsidRPr="003F63DB">
        <w:t>p</w:t>
      </w:r>
      <w:r w:rsidRPr="003F63DB">
        <w:t>drag.</w:t>
      </w:r>
    </w:p>
    <w:p w:rsidR="00905B3E" w:rsidRPr="003F63DB" w:rsidRDefault="00905B3E">
      <w:pPr>
        <w:pStyle w:val="Rubrik3-Utannumrering"/>
      </w:pPr>
      <w:r w:rsidRPr="003F63DB">
        <w:t>Stora variationer i kostnader för arkeologi</w:t>
      </w:r>
    </w:p>
    <w:p w:rsidR="00905B3E" w:rsidRPr="003F63DB" w:rsidRDefault="00905B3E">
      <w:r w:rsidRPr="003F63DB">
        <w:t>Hur stora de arkeologiska kostnaderna blir beror bl.a. på projektets storlek, fornlämningsförekomsten i området, lämningarnas vetenskapliga värde och om fynden är i behov av konservering. Kostnader som undersökaren debit</w:t>
      </w:r>
      <w:r w:rsidRPr="003F63DB">
        <w:t>e</w:t>
      </w:r>
      <w:r w:rsidRPr="003F63DB">
        <w:t>rar exploatören avser t.ex. löner, resor och traktamenten, tekniska analyser, konservering, rapportering och tryck av rapporter samt övrig administration kring det arkeologiska projektet. I kostnadsansvaret ingår också att bekosta maskinell och annan teknisk utrustning, grävmaskintjänster, men även övriga etableringskostnader såsom bodar, vatten, toaletter, elektricitet, stängsel, säkerhetscontainrar och lage</w:t>
      </w:r>
      <w:r w:rsidRPr="003F63DB">
        <w:t>r</w:t>
      </w:r>
      <w:r w:rsidRPr="003F63DB">
        <w:t xml:space="preserve">utrymmen. </w:t>
      </w:r>
    </w:p>
    <w:p w:rsidR="00905B3E" w:rsidRPr="003F63DB" w:rsidRDefault="00905B3E">
      <w:pPr>
        <w:pStyle w:val="Normaltindrag"/>
      </w:pPr>
      <w:r w:rsidRPr="003F63DB">
        <w:t>Ett syfte med den arkeologiska beslutsprocessen i tre steg är att länsstyre</w:t>
      </w:r>
      <w:r w:rsidRPr="003F63DB">
        <w:t>l</w:t>
      </w:r>
      <w:r w:rsidRPr="003F63DB">
        <w:t>serna successivt ska få ökad kunskap om fornlämningen. Kostnadsuppskat</w:t>
      </w:r>
      <w:r w:rsidRPr="003F63DB">
        <w:t>t</w:t>
      </w:r>
      <w:r w:rsidRPr="003F63DB">
        <w:t>ningar för den dyraste delen, själva utgrävningen med efterföljande analyser och dokumentation, kan dock presenteras för exploatören efter genomförd förundersökning och först då förslag om undersökningsplan för särskild undersökning tagits fram. Arkeologiska utredningar har utgjort 8 %, föru</w:t>
      </w:r>
      <w:r w:rsidRPr="003F63DB">
        <w:t>n</w:t>
      </w:r>
      <w:r w:rsidRPr="003F63DB">
        <w:t>dersökningar 20 % och särskilda undersökningar 72 % av de totala kostnader som debiterats exploatöre</w:t>
      </w:r>
      <w:r w:rsidRPr="003F63DB">
        <w:t>r</w:t>
      </w:r>
      <w:r w:rsidRPr="003F63DB">
        <w:t>na under perioden 1996–2001.</w:t>
      </w:r>
    </w:p>
    <w:p w:rsidR="00905B3E" w:rsidRPr="003F63DB" w:rsidRDefault="00905B3E">
      <w:pPr>
        <w:pStyle w:val="Normaltindrag"/>
      </w:pPr>
      <w:r w:rsidRPr="003F63DB">
        <w:t>Kostnader för ark</w:t>
      </w:r>
      <w:r w:rsidRPr="003F63DB">
        <w:t>eologiska undersökningar ska rymmas inom exploatörens projektbudget. Enligt uppgifter från statliga exploatörer uppgår kostnaderna för arkeologi vanligen till någon eller några procent av den totala projek</w:t>
      </w:r>
      <w:r w:rsidRPr="003F63DB">
        <w:t>t</w:t>
      </w:r>
      <w:r w:rsidRPr="003F63DB">
        <w:t>budgeten. I vissa infrastrukturprojekt kan dock arkeologikostnaderna utgöra en mycket större andel än så. Som exempel uppger Banverket att kostnade</w:t>
      </w:r>
      <w:r w:rsidRPr="003F63DB">
        <w:t>r</w:t>
      </w:r>
      <w:r w:rsidRPr="003F63DB">
        <w:t>na för arkeologi i samband med Västkustbanan uppgick till ca 7 % av pr</w:t>
      </w:r>
      <w:r w:rsidRPr="003F63DB">
        <w:t>o</w:t>
      </w:r>
      <w:r w:rsidRPr="003F63DB">
        <w:t>jektets samlade kostnader. Vägverket uppger att arkeologikostnaderna i Mälardalen varie</w:t>
      </w:r>
      <w:r w:rsidRPr="003F63DB">
        <w:t>rar från någon procent upp till 20–25 % av den totala pr</w:t>
      </w:r>
      <w:r w:rsidRPr="003F63DB">
        <w:t>o</w:t>
      </w:r>
      <w:r w:rsidRPr="003F63DB">
        <w:t>jektbu</w:t>
      </w:r>
      <w:r w:rsidRPr="003F63DB">
        <w:t>d</w:t>
      </w:r>
      <w:r w:rsidRPr="003F63DB">
        <w:t xml:space="preserve">geten. </w:t>
      </w:r>
    </w:p>
    <w:p w:rsidR="00905B3E" w:rsidRPr="003F63DB" w:rsidRDefault="00905B3E">
      <w:pPr>
        <w:pStyle w:val="Normaltindrag"/>
      </w:pPr>
      <w:r w:rsidRPr="003F63DB">
        <w:t>En exploatör kan befrias från kostnader i vissa fall.</w:t>
      </w:r>
      <w:r w:rsidRPr="003F63DB">
        <w:rPr>
          <w:rStyle w:val="Fotnotsreferens"/>
        </w:rPr>
        <w:footnoteReference w:id="108"/>
      </w:r>
      <w:r w:rsidRPr="003F63DB">
        <w:t xml:space="preserve"> En icke offentlig e</w:t>
      </w:r>
      <w:r w:rsidRPr="003F63DB">
        <w:t>x</w:t>
      </w:r>
      <w:r w:rsidRPr="003F63DB">
        <w:t>ploatör har också möjlighet att få statsbidrag för vissa arkeologiska unde</w:t>
      </w:r>
      <w:r w:rsidRPr="003F63DB">
        <w:t>r</w:t>
      </w:r>
      <w:r w:rsidRPr="003F63DB">
        <w:t>sökningar, exempelvis vid bostadsbyggande.</w:t>
      </w:r>
      <w:r w:rsidRPr="003F63DB">
        <w:rPr>
          <w:rStyle w:val="Fotnotsreferens"/>
        </w:rPr>
        <w:footnoteReference w:id="109"/>
      </w:r>
      <w:r w:rsidRPr="003F63DB">
        <w:t xml:space="preserve"> </w:t>
      </w:r>
    </w:p>
    <w:p w:rsidR="00905B3E" w:rsidRPr="003F63DB" w:rsidRDefault="00905B3E">
      <w:pPr>
        <w:pStyle w:val="Rubrik2"/>
      </w:pPr>
      <w:bookmarkStart w:id="87" w:name="_Toc25031915"/>
      <w:bookmarkStart w:id="88" w:name="_Toc36520743"/>
      <w:r w:rsidRPr="003F63DB">
        <w:t>Exploatörernas frivilliga ekonomiska åtaganden</w:t>
      </w:r>
      <w:bookmarkEnd w:id="87"/>
      <w:bookmarkEnd w:id="88"/>
    </w:p>
    <w:p w:rsidR="00905B3E" w:rsidRPr="003F63DB" w:rsidRDefault="00905B3E">
      <w:r w:rsidRPr="003F63DB">
        <w:t>I praktiken har exploatörernas kostnadsansvar kommit att utvidgats ytterlig</w:t>
      </w:r>
      <w:r w:rsidRPr="003F63DB">
        <w:t>a</w:t>
      </w:r>
      <w:r w:rsidRPr="003F63DB">
        <w:t>re, även om det sägs vara på frivillig basis.</w:t>
      </w:r>
    </w:p>
    <w:p w:rsidR="00905B3E" w:rsidRPr="003F63DB" w:rsidRDefault="00905B3E">
      <w:pPr>
        <w:pStyle w:val="Rubrik3-Utannumrering"/>
      </w:pPr>
      <w:r w:rsidRPr="003F63DB">
        <w:t>Informationssatsningar</w:t>
      </w:r>
    </w:p>
    <w:p w:rsidR="00905B3E" w:rsidRPr="003F63DB" w:rsidRDefault="00905B3E">
      <w:r w:rsidRPr="003F63DB">
        <w:t>Undersökare och statliga exploatörer uppger att de vid sidan om de up</w:t>
      </w:r>
      <w:r w:rsidRPr="003F63DB">
        <w:t>p</w:t>
      </w:r>
      <w:r w:rsidRPr="003F63DB">
        <w:t>dragsarkeologiska avtalen ibland tecknar avtal om ytterligare åtaganden. En sådan överenskommelse kan innebära att exploatören tar på sig kostnader för publika arrangemang, informationsmaterial eller populärvetenskapliga tryc</w:t>
      </w:r>
      <w:r w:rsidRPr="003F63DB">
        <w:t>k</w:t>
      </w:r>
      <w:r w:rsidRPr="003F63DB">
        <w:t>saker. Som exempel uppger Vägverket att information till berörda intresse</w:t>
      </w:r>
      <w:r w:rsidRPr="003F63DB">
        <w:t>n</w:t>
      </w:r>
      <w:r w:rsidRPr="003F63DB">
        <w:t>ter, markägare, närboende och allmänhet är bra när det gäller alla vägprojekt och kanske särskilt de med en rik förekomst av fornlämningar. Informationen kan skapa goodwill för Vägverket och underlätta ett genom</w:t>
      </w:r>
      <w:r w:rsidRPr="003F63DB">
        <w:t>förande av vä</w:t>
      </w:r>
      <w:r w:rsidRPr="003F63DB">
        <w:t>g</w:t>
      </w:r>
      <w:r w:rsidRPr="003F63DB">
        <w:t>projektet.</w:t>
      </w:r>
      <w:r w:rsidRPr="003F63DB">
        <w:rPr>
          <w:rStyle w:val="Fotnotsreferens"/>
        </w:rPr>
        <w:footnoteReference w:id="110"/>
      </w:r>
      <w:r w:rsidRPr="003F63DB">
        <w:t xml:space="preserve"> </w:t>
      </w:r>
    </w:p>
    <w:p w:rsidR="00905B3E" w:rsidRPr="003F63DB" w:rsidRDefault="00905B3E">
      <w:pPr>
        <w:pStyle w:val="Normaltindrag"/>
      </w:pPr>
      <w:r w:rsidRPr="003F63DB">
        <w:t>I en ny rapport menar dock Riksantikvarieämbetet att populärförmedling av resultaten till allmänheten kan ses som lika naturlig som registrering av data eller vetenskaplig rapportering. Riksantikv</w:t>
      </w:r>
      <w:r w:rsidRPr="003F63DB">
        <w:t>a</w:t>
      </w:r>
      <w:r w:rsidRPr="003F63DB">
        <w:t>rieämbetet skriver:</w:t>
      </w:r>
    </w:p>
    <w:p w:rsidR="00905B3E" w:rsidRPr="003F63DB" w:rsidRDefault="00905B3E">
      <w:pPr>
        <w:pStyle w:val="Citat"/>
      </w:pPr>
      <w:r w:rsidRPr="003F63DB">
        <w:t>En del av resurserna för avrapportering från särskilda undersökningar skall avsättas för någon form av populär förmedling till en vidare allmänhet.</w:t>
      </w:r>
      <w:r w:rsidRPr="003F63DB">
        <w:rPr>
          <w:rStyle w:val="Fotnotsreferens"/>
        </w:rPr>
        <w:t xml:space="preserve"> </w:t>
      </w:r>
      <w:r w:rsidRPr="003F63DB">
        <w:rPr>
          <w:rStyle w:val="Fotnotsreferens"/>
        </w:rPr>
        <w:footnoteReference w:id="111"/>
      </w:r>
    </w:p>
    <w:p w:rsidR="00905B3E" w:rsidRPr="003F63DB" w:rsidRDefault="00905B3E">
      <w:pPr>
        <w:pStyle w:val="Rubrik3-Utannumrering"/>
      </w:pPr>
      <w:r w:rsidRPr="003F63DB">
        <w:t>Ekonomiskt stöd till länsstyrelsens handläggning</w:t>
      </w:r>
    </w:p>
    <w:p w:rsidR="00905B3E" w:rsidRPr="003F63DB" w:rsidRDefault="00905B3E">
      <w:r w:rsidRPr="003F63DB">
        <w:t xml:space="preserve">Det har även framkommit att exploatören bekostar administrativa resurser vid den handläggande länsstyrelsen. </w:t>
      </w:r>
    </w:p>
    <w:p w:rsidR="00905B3E" w:rsidRPr="003F63DB" w:rsidRDefault="00905B3E">
      <w:pPr>
        <w:pStyle w:val="Normaltindrag"/>
      </w:pPr>
      <w:r w:rsidRPr="003F63DB">
        <w:t>Omläggningen av väg E 4 mellan Uppsala och Mehedeby i Uppsala län kommer att medföra arkeologiska slutundersökningar till en beräknad kos</w:t>
      </w:r>
      <w:r w:rsidRPr="003F63DB">
        <w:t>t</w:t>
      </w:r>
      <w:r w:rsidRPr="003F63DB">
        <w:t>nad av 165 miljoner kronor. Länsstyrelsen i Uppsala län begärde därför att Vägverket skulle bekosta den projektledning som skulle komma att krävas vid länsstyrelsen. Man ansåg sig inte ha de resurser som krävdes för att pl</w:t>
      </w:r>
      <w:r w:rsidRPr="003F63DB">
        <w:t>a</w:t>
      </w:r>
      <w:r w:rsidRPr="003F63DB">
        <w:t>nera, styra och utöva tillsyn över undersökningarna.</w:t>
      </w:r>
      <w:r w:rsidRPr="003F63DB">
        <w:rPr>
          <w:rStyle w:val="Fotnotsreferens"/>
        </w:rPr>
        <w:footnoteReference w:id="112"/>
      </w:r>
      <w:r w:rsidRPr="003F63DB">
        <w:t xml:space="preserve"> Vägverket tillmöte</w:t>
      </w:r>
      <w:r w:rsidRPr="003F63DB">
        <w:t>s</w:t>
      </w:r>
      <w:r w:rsidRPr="003F63DB">
        <w:t>gick länsstyrelsens begäran och beslutade att bistå med ett belopp på ca 600 000 kronor per år, dock högst 2 miljoner kronor totalt. Motiven för b</w:t>
      </w:r>
      <w:r w:rsidRPr="003F63DB">
        <w:t>e</w:t>
      </w:r>
      <w:r w:rsidRPr="003F63DB">
        <w:t>slutet var behovet av ekonomisk styrning av det arkeologiska projektet och det gemensamma intresset av undersökningarnas vetenskapliga kvalitet.</w:t>
      </w:r>
      <w:r w:rsidRPr="003F63DB">
        <w:rPr>
          <w:rStyle w:val="Fotnotsreferens"/>
        </w:rPr>
        <w:footnoteReference w:id="113"/>
      </w:r>
      <w:r w:rsidRPr="003F63DB">
        <w:t xml:space="preserve"> Vägverket har även uppgett att det behövs kompetens hos såväl verket som länsstyrelsen för att samspelet mellan parterna – inklusive de arkeologiska undersökarna – ska fungera utan störningar, tidsfördröjning eller förd</w:t>
      </w:r>
      <w:r w:rsidRPr="003F63DB">
        <w:t>y</w:t>
      </w:r>
      <w:r w:rsidRPr="003F63DB">
        <w:t>ring.</w:t>
      </w:r>
      <w:r w:rsidRPr="003F63DB">
        <w:rPr>
          <w:rStyle w:val="Fotnotsreferens"/>
        </w:rPr>
        <w:footnoteReference w:id="114"/>
      </w:r>
      <w:r w:rsidRPr="003F63DB">
        <w:t xml:space="preserve"> Riksantikvarieämbetet har inte invänt mot att exploatören bekostar länsstyrelsens myndi</w:t>
      </w:r>
      <w:r w:rsidRPr="003F63DB">
        <w:t>g</w:t>
      </w:r>
      <w:r w:rsidRPr="003F63DB">
        <w:t>hetsutövning.</w:t>
      </w:r>
    </w:p>
    <w:p w:rsidR="00905B3E" w:rsidRPr="003F63DB" w:rsidRDefault="00905B3E">
      <w:pPr>
        <w:pStyle w:val="Normaltindrag"/>
      </w:pPr>
      <w:r w:rsidRPr="003F63DB">
        <w:t>För medlen från Vägverket har länsstyrelsen i Uppsala län för år 2002 på deltid anställt en antikvarie från Riksantikvarieämbetet.</w:t>
      </w:r>
      <w:r w:rsidRPr="003F63DB">
        <w:rPr>
          <w:rStyle w:val="Fotnotsreferens"/>
        </w:rPr>
        <w:footnoteReference w:id="115"/>
      </w:r>
      <w:r w:rsidRPr="003F63DB">
        <w:t xml:space="preserve"> Förfarandet inn</w:t>
      </w:r>
      <w:r w:rsidRPr="003F63DB">
        <w:t>e</w:t>
      </w:r>
      <w:r w:rsidRPr="003F63DB">
        <w:t>bär att tjänstemannen som anställd vid Riksantikvarieämbetet förutsätts granska länsstyrelsens och därmed även sin egen handläggning. Som anställd vid länsstyrelsen ska tjänstemannen styra och ha direkt tillsyn över tre ark</w:t>
      </w:r>
      <w:r w:rsidRPr="003F63DB">
        <w:t>e</w:t>
      </w:r>
      <w:r w:rsidRPr="003F63DB">
        <w:t>ologiska undersökare, varav en är Riksantikvarieä</w:t>
      </w:r>
      <w:r w:rsidRPr="003F63DB">
        <w:t>m</w:t>
      </w:r>
      <w:r w:rsidRPr="003F63DB">
        <w:t>betet-UV.</w:t>
      </w:r>
    </w:p>
    <w:p w:rsidR="00905B3E" w:rsidRPr="003F63DB" w:rsidRDefault="00905B3E">
      <w:pPr>
        <w:pStyle w:val="Rubrik2"/>
      </w:pPr>
      <w:bookmarkStart w:id="89" w:name="_Toc25031916"/>
      <w:bookmarkStart w:id="90" w:name="_Toc36520744"/>
      <w:r w:rsidRPr="003F63DB">
        <w:t>Kostnader för arkeologiska undersökningar</w:t>
      </w:r>
      <w:bookmarkEnd w:id="89"/>
      <w:bookmarkEnd w:id="90"/>
    </w:p>
    <w:p w:rsidR="00905B3E" w:rsidRPr="003F63DB" w:rsidRDefault="00905B3E">
      <w:r w:rsidRPr="003F63DB">
        <w:t>Riksantikvarieämbetet registrerar uppgifter från samtliga beslut som länsst</w:t>
      </w:r>
      <w:r w:rsidRPr="003F63DB">
        <w:t>y</w:t>
      </w:r>
      <w:r w:rsidRPr="003F63DB">
        <w:t>relserna fattar i exploateringsarkeologiska ärenden i det s.k. beslutsr</w:t>
      </w:r>
      <w:r w:rsidRPr="003F63DB">
        <w:t>e</w:t>
      </w:r>
      <w:r w:rsidRPr="003F63DB">
        <w:t>gistret.</w:t>
      </w:r>
      <w:r w:rsidRPr="003F63DB">
        <w:rPr>
          <w:rStyle w:val="Fotnotsreferens"/>
        </w:rPr>
        <w:footnoteReference w:id="116"/>
      </w:r>
      <w:r w:rsidRPr="003F63DB">
        <w:t xml:space="preserve"> Registret förs frivilligt av Riksantikvarieämbetet och är den enda källan till statistik över kostnader för arkeologiska utredningar och unde</w:t>
      </w:r>
      <w:r w:rsidRPr="003F63DB">
        <w:t>r</w:t>
      </w:r>
      <w:r w:rsidRPr="003F63DB">
        <w:t>sökningar.</w:t>
      </w:r>
      <w:r w:rsidRPr="003F63DB">
        <w:rPr>
          <w:rStyle w:val="Fotnotsreferens"/>
        </w:rPr>
        <w:footnoteReference w:id="117"/>
      </w:r>
      <w:r w:rsidRPr="003F63DB">
        <w:t xml:space="preserve"> Det finns flera indikationer på att kostnadsuppgifterna i r</w:t>
      </w:r>
      <w:r w:rsidRPr="003F63DB">
        <w:t>e</w:t>
      </w:r>
      <w:r w:rsidRPr="003F63DB">
        <w:t>gistret inte är tillförli</w:t>
      </w:r>
      <w:r w:rsidRPr="003F63DB">
        <w:t>t</w:t>
      </w:r>
      <w:r w:rsidRPr="003F63DB">
        <w:t>liga.</w:t>
      </w:r>
    </w:p>
    <w:p w:rsidR="00905B3E" w:rsidRPr="003F63DB" w:rsidRDefault="00905B3E">
      <w:pPr>
        <w:pStyle w:val="Normaltindrag"/>
      </w:pPr>
      <w:r w:rsidRPr="003F63DB">
        <w:t>Enligt registrerade uppgifter fattade länsstyrelserna beslut om uppdragsa</w:t>
      </w:r>
      <w:r w:rsidRPr="003F63DB">
        <w:t>r</w:t>
      </w:r>
      <w:r w:rsidRPr="003F63DB">
        <w:t>keologi för 329 miljoner kronor år 2001. Drygt 70 % av summan utgjordes av särskilda undersökningar. Att kostnaderna varierar beror i hög grad på att investeringar i infrastrukturen och ö</w:t>
      </w:r>
      <w:r w:rsidRPr="003F63DB">
        <w:t>v</w:t>
      </w:r>
      <w:r w:rsidRPr="003F63DB">
        <w:t xml:space="preserve">rigt byggande varierar. </w:t>
      </w:r>
    </w:p>
    <w:p w:rsidR="00905B3E" w:rsidRPr="003F63DB" w:rsidRDefault="00905B3E">
      <w:pPr>
        <w:pStyle w:val="Normaltindrag"/>
      </w:pPr>
    </w:p>
    <w:p w:rsidR="00905B3E" w:rsidRPr="003F63DB" w:rsidRDefault="00905B3E">
      <w:pPr>
        <w:pStyle w:val="Tabellrubrik"/>
        <w:spacing w:after="120"/>
        <w:rPr>
          <w:rFonts w:ascii="Arial" w:hAnsi="Arial"/>
          <w:sz w:val="18"/>
        </w:rPr>
      </w:pPr>
      <w:r w:rsidRPr="003F63DB">
        <w:rPr>
          <w:rFonts w:ascii="Arial" w:hAnsi="Arial"/>
          <w:sz w:val="18"/>
        </w:rPr>
        <w:t>Kostnader för arkeologiska utredningar, förundersökningar och särskilda undersökningar enligt länsstyrelsernas beslut 1996–2001, mi</w:t>
      </w:r>
      <w:r w:rsidRPr="003F63DB">
        <w:rPr>
          <w:rFonts w:ascii="Arial" w:hAnsi="Arial"/>
          <w:sz w:val="18"/>
        </w:rPr>
        <w:t>l</w:t>
      </w:r>
      <w:r w:rsidRPr="003F63DB">
        <w:rPr>
          <w:rFonts w:ascii="Arial" w:hAnsi="Arial"/>
          <w:sz w:val="18"/>
        </w:rPr>
        <w:t>joner kronor</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2012"/>
        <w:gridCol w:w="641"/>
        <w:gridCol w:w="641"/>
        <w:gridCol w:w="641"/>
        <w:gridCol w:w="641"/>
        <w:gridCol w:w="641"/>
        <w:gridCol w:w="641"/>
      </w:tblGrid>
      <w:tr w:rsidR="00000000" w:rsidRPr="003F63DB">
        <w:tblPrEx>
          <w:tblCellMar>
            <w:top w:w="0" w:type="dxa"/>
            <w:bottom w:w="0" w:type="dxa"/>
          </w:tblCellMar>
        </w:tblPrEx>
        <w:tc>
          <w:tcPr>
            <w:tcW w:w="2012" w:type="dxa"/>
            <w:tcBorders>
              <w:bottom w:val="single" w:sz="6" w:space="0" w:color="808080"/>
            </w:tcBorders>
          </w:tcPr>
          <w:p w:rsidR="00905B3E" w:rsidRPr="003F63DB" w:rsidRDefault="00905B3E">
            <w:pPr>
              <w:pStyle w:val="Tabell"/>
              <w:rPr>
                <w:rFonts w:ascii="Arial" w:hAnsi="Arial"/>
                <w:sz w:val="16"/>
              </w:rPr>
            </w:pP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1996</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1997</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1998</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1999</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2000</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2001</w:t>
            </w:r>
          </w:p>
        </w:tc>
      </w:tr>
      <w:tr w:rsidR="00000000" w:rsidRPr="003F63DB">
        <w:tblPrEx>
          <w:tblCellMar>
            <w:top w:w="0" w:type="dxa"/>
            <w:bottom w:w="0" w:type="dxa"/>
          </w:tblCellMar>
        </w:tblPrEx>
        <w:tc>
          <w:tcPr>
            <w:tcW w:w="2012" w:type="dxa"/>
            <w:tcBorders>
              <w:top w:val="single" w:sz="6" w:space="0" w:color="808080"/>
            </w:tcBorders>
          </w:tcPr>
          <w:p w:rsidR="00905B3E" w:rsidRPr="003F63DB" w:rsidRDefault="00905B3E">
            <w:pPr>
              <w:pStyle w:val="Tabell"/>
              <w:rPr>
                <w:rFonts w:ascii="Arial" w:hAnsi="Arial"/>
                <w:sz w:val="16"/>
              </w:rPr>
            </w:pPr>
            <w:r w:rsidRPr="003F63DB">
              <w:rPr>
                <w:rFonts w:ascii="Arial" w:hAnsi="Arial"/>
                <w:sz w:val="16"/>
              </w:rPr>
              <w:t>Särskild utre</w:t>
            </w:r>
            <w:r w:rsidRPr="003F63DB">
              <w:rPr>
                <w:rFonts w:ascii="Arial" w:hAnsi="Arial"/>
                <w:sz w:val="16"/>
              </w:rPr>
              <w:t>d</w:t>
            </w:r>
            <w:r w:rsidRPr="003F63DB">
              <w:rPr>
                <w:rFonts w:ascii="Arial" w:hAnsi="Arial"/>
                <w:sz w:val="16"/>
              </w:rPr>
              <w:t>ning</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13,5</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13,6</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15,5</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12,8</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21,4</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29,3</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Förundersö</w:t>
            </w:r>
            <w:r w:rsidRPr="003F63DB">
              <w:rPr>
                <w:rFonts w:ascii="Arial" w:hAnsi="Arial"/>
                <w:sz w:val="16"/>
              </w:rPr>
              <w:t>k</w:t>
            </w:r>
            <w:r w:rsidRPr="003F63DB">
              <w:rPr>
                <w:rFonts w:ascii="Arial" w:hAnsi="Arial"/>
                <w:sz w:val="16"/>
              </w:rPr>
              <w:t>ning</w:t>
            </w:r>
          </w:p>
        </w:tc>
        <w:tc>
          <w:tcPr>
            <w:tcW w:w="641" w:type="dxa"/>
          </w:tcPr>
          <w:p w:rsidR="00905B3E" w:rsidRPr="003F63DB" w:rsidRDefault="00905B3E">
            <w:pPr>
              <w:pStyle w:val="Tabell"/>
              <w:jc w:val="right"/>
              <w:rPr>
                <w:rFonts w:ascii="Arial" w:hAnsi="Arial"/>
                <w:sz w:val="16"/>
              </w:rPr>
            </w:pPr>
            <w:r w:rsidRPr="003F63DB">
              <w:rPr>
                <w:rFonts w:ascii="Arial" w:hAnsi="Arial"/>
                <w:sz w:val="16"/>
              </w:rPr>
              <w:t>48,1</w:t>
            </w:r>
          </w:p>
        </w:tc>
        <w:tc>
          <w:tcPr>
            <w:tcW w:w="641" w:type="dxa"/>
          </w:tcPr>
          <w:p w:rsidR="00905B3E" w:rsidRPr="003F63DB" w:rsidRDefault="00905B3E">
            <w:pPr>
              <w:pStyle w:val="Tabell"/>
              <w:jc w:val="right"/>
              <w:rPr>
                <w:rFonts w:ascii="Arial" w:hAnsi="Arial"/>
                <w:sz w:val="16"/>
              </w:rPr>
            </w:pPr>
            <w:r w:rsidRPr="003F63DB">
              <w:rPr>
                <w:rFonts w:ascii="Arial" w:hAnsi="Arial"/>
                <w:sz w:val="16"/>
              </w:rPr>
              <w:t>40,9</w:t>
            </w:r>
          </w:p>
        </w:tc>
        <w:tc>
          <w:tcPr>
            <w:tcW w:w="641" w:type="dxa"/>
          </w:tcPr>
          <w:p w:rsidR="00905B3E" w:rsidRPr="003F63DB" w:rsidRDefault="00905B3E">
            <w:pPr>
              <w:pStyle w:val="Tabell"/>
              <w:jc w:val="right"/>
              <w:rPr>
                <w:rFonts w:ascii="Arial" w:hAnsi="Arial"/>
                <w:sz w:val="16"/>
              </w:rPr>
            </w:pPr>
            <w:r w:rsidRPr="003F63DB">
              <w:rPr>
                <w:rFonts w:ascii="Arial" w:hAnsi="Arial"/>
                <w:sz w:val="16"/>
              </w:rPr>
              <w:t>27,6</w:t>
            </w:r>
          </w:p>
        </w:tc>
        <w:tc>
          <w:tcPr>
            <w:tcW w:w="641" w:type="dxa"/>
          </w:tcPr>
          <w:p w:rsidR="00905B3E" w:rsidRPr="003F63DB" w:rsidRDefault="00905B3E">
            <w:pPr>
              <w:pStyle w:val="Tabell"/>
              <w:jc w:val="right"/>
              <w:rPr>
                <w:rFonts w:ascii="Arial" w:hAnsi="Arial"/>
                <w:sz w:val="16"/>
              </w:rPr>
            </w:pPr>
            <w:r w:rsidRPr="003F63DB">
              <w:rPr>
                <w:rFonts w:ascii="Arial" w:hAnsi="Arial"/>
                <w:sz w:val="16"/>
              </w:rPr>
              <w:t>21,2</w:t>
            </w:r>
          </w:p>
        </w:tc>
        <w:tc>
          <w:tcPr>
            <w:tcW w:w="641" w:type="dxa"/>
          </w:tcPr>
          <w:p w:rsidR="00905B3E" w:rsidRPr="003F63DB" w:rsidRDefault="00905B3E">
            <w:pPr>
              <w:pStyle w:val="Tabell"/>
              <w:jc w:val="right"/>
              <w:rPr>
                <w:rFonts w:ascii="Arial" w:hAnsi="Arial"/>
                <w:sz w:val="16"/>
              </w:rPr>
            </w:pPr>
            <w:r w:rsidRPr="003F63DB">
              <w:rPr>
                <w:rFonts w:ascii="Arial" w:hAnsi="Arial"/>
                <w:sz w:val="16"/>
              </w:rPr>
              <w:t>45,8</w:t>
            </w:r>
          </w:p>
        </w:tc>
        <w:tc>
          <w:tcPr>
            <w:tcW w:w="641" w:type="dxa"/>
          </w:tcPr>
          <w:p w:rsidR="00905B3E" w:rsidRPr="003F63DB" w:rsidRDefault="00905B3E">
            <w:pPr>
              <w:pStyle w:val="Tabell"/>
              <w:jc w:val="right"/>
              <w:rPr>
                <w:rFonts w:ascii="Arial" w:hAnsi="Arial"/>
                <w:sz w:val="16"/>
              </w:rPr>
            </w:pPr>
            <w:r w:rsidRPr="003F63DB">
              <w:rPr>
                <w:rFonts w:ascii="Arial" w:hAnsi="Arial"/>
                <w:sz w:val="16"/>
              </w:rPr>
              <w:t>68,4</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Särskild undersö</w:t>
            </w:r>
            <w:r w:rsidRPr="003F63DB">
              <w:rPr>
                <w:rFonts w:ascii="Arial" w:hAnsi="Arial"/>
                <w:sz w:val="16"/>
              </w:rPr>
              <w:t>k</w:t>
            </w:r>
            <w:r w:rsidRPr="003F63DB">
              <w:rPr>
                <w:rFonts w:ascii="Arial" w:hAnsi="Arial"/>
                <w:sz w:val="16"/>
              </w:rPr>
              <w:t>ning</w:t>
            </w:r>
          </w:p>
        </w:tc>
        <w:tc>
          <w:tcPr>
            <w:tcW w:w="641" w:type="dxa"/>
          </w:tcPr>
          <w:p w:rsidR="00905B3E" w:rsidRPr="003F63DB" w:rsidRDefault="00905B3E">
            <w:pPr>
              <w:pStyle w:val="Tabell"/>
              <w:jc w:val="right"/>
              <w:rPr>
                <w:rFonts w:ascii="Arial" w:hAnsi="Arial"/>
                <w:sz w:val="16"/>
              </w:rPr>
            </w:pPr>
            <w:r w:rsidRPr="003F63DB">
              <w:rPr>
                <w:rFonts w:ascii="Arial" w:hAnsi="Arial"/>
                <w:sz w:val="16"/>
              </w:rPr>
              <w:t>156,3</w:t>
            </w:r>
          </w:p>
        </w:tc>
        <w:tc>
          <w:tcPr>
            <w:tcW w:w="641" w:type="dxa"/>
          </w:tcPr>
          <w:p w:rsidR="00905B3E" w:rsidRPr="003F63DB" w:rsidRDefault="00905B3E">
            <w:pPr>
              <w:pStyle w:val="Tabell"/>
              <w:jc w:val="right"/>
              <w:rPr>
                <w:rFonts w:ascii="Arial" w:hAnsi="Arial"/>
                <w:sz w:val="16"/>
              </w:rPr>
            </w:pPr>
            <w:r w:rsidRPr="003F63DB">
              <w:rPr>
                <w:rFonts w:ascii="Arial" w:hAnsi="Arial"/>
                <w:sz w:val="16"/>
              </w:rPr>
              <w:t>94,0</w:t>
            </w:r>
          </w:p>
        </w:tc>
        <w:tc>
          <w:tcPr>
            <w:tcW w:w="641" w:type="dxa"/>
          </w:tcPr>
          <w:p w:rsidR="00905B3E" w:rsidRPr="003F63DB" w:rsidRDefault="00905B3E">
            <w:pPr>
              <w:pStyle w:val="Tabell"/>
              <w:jc w:val="right"/>
              <w:rPr>
                <w:rFonts w:ascii="Arial" w:hAnsi="Arial"/>
                <w:sz w:val="16"/>
              </w:rPr>
            </w:pPr>
            <w:r w:rsidRPr="003F63DB">
              <w:rPr>
                <w:rFonts w:ascii="Arial" w:hAnsi="Arial"/>
                <w:sz w:val="16"/>
              </w:rPr>
              <w:t>200,6</w:t>
            </w:r>
          </w:p>
        </w:tc>
        <w:tc>
          <w:tcPr>
            <w:tcW w:w="641" w:type="dxa"/>
          </w:tcPr>
          <w:p w:rsidR="00905B3E" w:rsidRPr="003F63DB" w:rsidRDefault="00905B3E">
            <w:pPr>
              <w:pStyle w:val="Tabell"/>
              <w:jc w:val="right"/>
              <w:rPr>
                <w:rFonts w:ascii="Arial" w:hAnsi="Arial"/>
                <w:sz w:val="16"/>
              </w:rPr>
            </w:pPr>
            <w:r w:rsidRPr="003F63DB">
              <w:rPr>
                <w:rFonts w:ascii="Arial" w:hAnsi="Arial"/>
                <w:sz w:val="16"/>
              </w:rPr>
              <w:t>76,5</w:t>
            </w:r>
          </w:p>
        </w:tc>
        <w:tc>
          <w:tcPr>
            <w:tcW w:w="641" w:type="dxa"/>
          </w:tcPr>
          <w:p w:rsidR="00905B3E" w:rsidRPr="003F63DB" w:rsidRDefault="00905B3E">
            <w:pPr>
              <w:pStyle w:val="Tabell"/>
              <w:jc w:val="right"/>
              <w:rPr>
                <w:rFonts w:ascii="Arial" w:hAnsi="Arial"/>
                <w:sz w:val="16"/>
              </w:rPr>
            </w:pPr>
            <w:r w:rsidRPr="003F63DB">
              <w:rPr>
                <w:rFonts w:ascii="Arial" w:hAnsi="Arial"/>
                <w:sz w:val="16"/>
              </w:rPr>
              <w:t>102,9</w:t>
            </w:r>
          </w:p>
        </w:tc>
        <w:tc>
          <w:tcPr>
            <w:tcW w:w="641" w:type="dxa"/>
          </w:tcPr>
          <w:p w:rsidR="00905B3E" w:rsidRPr="003F63DB" w:rsidRDefault="00905B3E">
            <w:pPr>
              <w:pStyle w:val="Tabell"/>
              <w:jc w:val="right"/>
              <w:rPr>
                <w:rFonts w:ascii="Arial" w:hAnsi="Arial"/>
                <w:sz w:val="16"/>
              </w:rPr>
            </w:pPr>
            <w:r w:rsidRPr="003F63DB">
              <w:rPr>
                <w:rFonts w:ascii="Arial" w:hAnsi="Arial"/>
                <w:sz w:val="16"/>
              </w:rPr>
              <w:t>231,0</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b/>
                <w:sz w:val="16"/>
              </w:rPr>
            </w:pPr>
            <w:r w:rsidRPr="003F63DB">
              <w:rPr>
                <w:rFonts w:ascii="Arial" w:hAnsi="Arial"/>
                <w:b/>
                <w:sz w:val="16"/>
              </w:rPr>
              <w:t>Totalt</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218,0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148,6</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243,6</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110,5</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170,0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328,7</w:t>
            </w:r>
          </w:p>
        </w:tc>
      </w:tr>
    </w:tbl>
    <w:p w:rsidR="00905B3E" w:rsidRPr="003F63DB" w:rsidRDefault="00905B3E">
      <w:pPr>
        <w:pStyle w:val="Tabell"/>
        <w:spacing w:before="120" w:after="120"/>
        <w:rPr>
          <w:rFonts w:ascii="Arial" w:hAnsi="Arial"/>
        </w:rPr>
      </w:pPr>
      <w:r w:rsidRPr="003F63DB">
        <w:rPr>
          <w:rFonts w:ascii="Arial" w:hAnsi="Arial"/>
        </w:rPr>
        <w:t>Källa: Riksantikvarieämbetet, beslutsregistret</w:t>
      </w:r>
    </w:p>
    <w:p w:rsidR="00905B3E" w:rsidRPr="003F63DB" w:rsidRDefault="00905B3E">
      <w:r w:rsidRPr="003F63DB">
        <w:t>De uppgifter som Riksantikvarieämbetet tagit fram ur beslutsregistret för Riksdagens revisorers granskning överensstämmer dock inte med de uppgi</w:t>
      </w:r>
      <w:r w:rsidRPr="003F63DB">
        <w:t>f</w:t>
      </w:r>
      <w:r w:rsidRPr="003F63DB">
        <w:t>ter som Riksantikvarieämbetet redovisade till regeringen i mars 2001.</w:t>
      </w:r>
      <w:r w:rsidRPr="003F63DB">
        <w:rPr>
          <w:rStyle w:val="Fotnotsreferens"/>
        </w:rPr>
        <w:footnoteReference w:id="118"/>
      </w:r>
      <w:r w:rsidRPr="003F63DB">
        <w:t xml:space="preserve"> För åren 1998 och 1999 redovisades till regeringen betydligt högre kostnader än vad som redovisats till Riksdagens revisorer. För år 1998 är skillnaden 86 miljoner kronor och för år 1999 är skillnaden 32 miljoner kronor.</w:t>
      </w:r>
      <w:r w:rsidRPr="003F63DB">
        <w:rPr>
          <w:rStyle w:val="Fotnotsreferens"/>
        </w:rPr>
        <w:footnoteReference w:id="119"/>
      </w:r>
    </w:p>
    <w:p w:rsidR="00905B3E" w:rsidRPr="003F63DB" w:rsidRDefault="00905B3E">
      <w:pPr>
        <w:pStyle w:val="Rubrik2"/>
      </w:pPr>
      <w:bookmarkStart w:id="91" w:name="_Toc25031917"/>
      <w:bookmarkStart w:id="92" w:name="_Toc36520745"/>
      <w:r w:rsidRPr="003F63DB">
        <w:t>Bestämning av ambitionsnivå och kostnader</w:t>
      </w:r>
      <w:bookmarkEnd w:id="91"/>
      <w:bookmarkEnd w:id="92"/>
    </w:p>
    <w:p w:rsidR="00905B3E" w:rsidRPr="003F63DB" w:rsidRDefault="00905B3E">
      <w:r w:rsidRPr="003F63DB">
        <w:t>Regeringen har uttalat att länsstyrelsen inte får överlåta till de undersökande organisationerna att bestämma undersökningens omfattning och ambition</w:t>
      </w:r>
      <w:r w:rsidRPr="003F63DB">
        <w:t>s</w:t>
      </w:r>
      <w:r w:rsidRPr="003F63DB">
        <w:t>nivå.</w:t>
      </w:r>
      <w:r w:rsidRPr="003F63DB">
        <w:rPr>
          <w:rStyle w:val="Fotnotsreferens"/>
        </w:rPr>
        <w:footnoteReference w:id="120"/>
      </w:r>
      <w:r w:rsidRPr="003F63DB">
        <w:t xml:space="preserve"> Som underlag för beslut om särskild utredning, förundersökning och särskild undersökning ska länsstyrelsen därför upprätta en kravspecifikation utifrån vilken undersökaren ska utforma en undersökningsplan.</w:t>
      </w:r>
      <w:r w:rsidRPr="003F63DB">
        <w:rPr>
          <w:rStyle w:val="Fotnotsreferens"/>
        </w:rPr>
        <w:footnoteReference w:id="121"/>
      </w:r>
      <w:r w:rsidRPr="003F63DB">
        <w:t xml:space="preserve"> Inför varje steg i den arkeologiska processen ska därmed en särskild prövning göras. </w:t>
      </w:r>
    </w:p>
    <w:p w:rsidR="00905B3E" w:rsidRPr="003F63DB" w:rsidRDefault="00905B3E">
      <w:pPr>
        <w:pStyle w:val="Normaltindrag"/>
      </w:pPr>
      <w:r w:rsidRPr="003F63DB">
        <w:t xml:space="preserve">I propositionen om uppdragsarkeologi menar regeringen att ju större eller mer komplexa fornlämningsområden som berörs av en undersökning, desto fler möjligheter finns att välja inriktning på undersökningen. Bestämningen av en rimlig ambitionsnivå blir därmed också mer komplicerad. När det däremot handlar om små eller enklare fornlämningar sägs uppgiften vara förhållandevis okomplicerad och skulle utföras på ungefär samma </w:t>
      </w:r>
      <w:r w:rsidRPr="003F63DB">
        <w:t>sätt av alla undersökare.</w:t>
      </w:r>
      <w:r w:rsidRPr="003F63DB">
        <w:rPr>
          <w:rStyle w:val="Fotnotsreferens"/>
        </w:rPr>
        <w:footnoteReference w:id="122"/>
      </w:r>
    </w:p>
    <w:p w:rsidR="00905B3E" w:rsidRPr="003F63DB" w:rsidRDefault="00905B3E">
      <w:pPr>
        <w:pStyle w:val="Rubrik3-Utannumrering"/>
      </w:pPr>
      <w:r w:rsidRPr="003F63DB">
        <w:t>Kravspecifikationer och undersökningsplaner</w:t>
      </w:r>
    </w:p>
    <w:p w:rsidR="00905B3E" w:rsidRPr="003F63DB" w:rsidRDefault="00905B3E">
      <w:r w:rsidRPr="003F63DB">
        <w:t xml:space="preserve">I </w:t>
      </w:r>
      <w:r w:rsidRPr="003F63DB">
        <w:rPr>
          <w:i/>
        </w:rPr>
        <w:t>kravspecifikationen</w:t>
      </w:r>
      <w:r w:rsidRPr="003F63DB">
        <w:t xml:space="preserve"> ska länsstyrelsen ange förutsättningarna och villkoren för en planerad utredning eller undersökning. Kravspecifikationen kan dä</w:t>
      </w:r>
      <w:r w:rsidRPr="003F63DB">
        <w:t>r</w:t>
      </w:r>
      <w:r w:rsidRPr="003F63DB">
        <w:t>med liknas vid ett anbuds- eller förfrågningsunderlag till undersökaren. E</w:t>
      </w:r>
      <w:r w:rsidRPr="003F63DB">
        <w:t>n</w:t>
      </w:r>
      <w:r w:rsidRPr="003F63DB">
        <w:t>dast sådana villkor och kriterier som redovisats i kravspecifikationen ska inverka på valet av unders</w:t>
      </w:r>
      <w:r w:rsidRPr="003F63DB">
        <w:t>ö</w:t>
      </w:r>
      <w:r w:rsidRPr="003F63DB">
        <w:t>kare.</w:t>
      </w:r>
      <w:r w:rsidRPr="003F63DB">
        <w:rPr>
          <w:rStyle w:val="Fotnotsreferens"/>
        </w:rPr>
        <w:footnoteReference w:id="123"/>
      </w:r>
      <w:r w:rsidRPr="003F63DB">
        <w:t xml:space="preserve"> </w:t>
      </w:r>
    </w:p>
    <w:p w:rsidR="00905B3E" w:rsidRPr="003F63DB" w:rsidRDefault="00905B3E">
      <w:pPr>
        <w:pStyle w:val="Normaltindrag"/>
      </w:pPr>
      <w:r w:rsidRPr="003F63DB">
        <w:t xml:space="preserve">En </w:t>
      </w:r>
      <w:r w:rsidRPr="003F63DB">
        <w:rPr>
          <w:i/>
        </w:rPr>
        <w:t>undersökningsplan</w:t>
      </w:r>
      <w:r w:rsidRPr="003F63DB">
        <w:t xml:space="preserve"> ska därefter inhämtas från den eller de undersökare som länsstyrelsen anser vara lämpliga för uppdraget. Planen ska innehålla uppgifter om vad hela undersökningen beräknas kosta, men också vilket system för kvalitetskontroll som undersökaren har. Undersökningsplanen kan därmed liknas vid en offert eller ett anbud. I Riksantikvarieämbetets allmä</w:t>
      </w:r>
      <w:r w:rsidRPr="003F63DB">
        <w:t>n</w:t>
      </w:r>
      <w:r w:rsidRPr="003F63DB">
        <w:t>na råd och rekommendationer framhålls att den vetenskapliga inriktningen alltid bör anges i en undersökningsplan. Även t.ex. metodval, tid- och per</w:t>
      </w:r>
      <w:r w:rsidRPr="003F63DB">
        <w:t>s</w:t>
      </w:r>
      <w:r w:rsidRPr="003F63DB">
        <w:t>o</w:t>
      </w:r>
      <w:r w:rsidRPr="003F63DB">
        <w:t>nalplanering och en specificerad kostnadsberäkning bör redovisas. Riksa</w:t>
      </w:r>
      <w:r w:rsidRPr="003F63DB">
        <w:t>n</w:t>
      </w:r>
      <w:r w:rsidRPr="003F63DB">
        <w:t>tikvarieämbetet rekommenderar fö</w:t>
      </w:r>
      <w:r w:rsidRPr="003F63DB">
        <w:t>l</w:t>
      </w:r>
      <w:r w:rsidRPr="003F63DB">
        <w:t>jande:</w:t>
      </w:r>
      <w:r w:rsidRPr="003F63DB">
        <w:rPr>
          <w:rStyle w:val="Fotnotsreferens"/>
        </w:rPr>
        <w:t xml:space="preserve"> </w:t>
      </w:r>
    </w:p>
    <w:p w:rsidR="00905B3E" w:rsidRPr="003F63DB" w:rsidRDefault="00905B3E">
      <w:pPr>
        <w:pStyle w:val="Citat"/>
      </w:pPr>
      <w:r w:rsidRPr="003F63DB">
        <w:t>Undersökningens kostnader bör redovisas som en logisk konsekvens av det antikvariska syftet, den vetenskapliga inriktningen, den valda ambitionsn</w:t>
      </w:r>
      <w:r w:rsidRPr="003F63DB">
        <w:t>i</w:t>
      </w:r>
      <w:r w:rsidRPr="003F63DB">
        <w:t>vån, de gjorda prioriteringarna m.m. på ett sådant sätt att det är möjligt för länsstyrelsen att bilda sig en uppfattning om kostnadernas rimlighet i förhå</w:t>
      </w:r>
      <w:r w:rsidRPr="003F63DB">
        <w:t>l</w:t>
      </w:r>
      <w:r w:rsidRPr="003F63DB">
        <w:t>lande till de uppställda målen.</w:t>
      </w:r>
      <w:r w:rsidRPr="003F63DB">
        <w:rPr>
          <w:rStyle w:val="Fotnotsreferens"/>
        </w:rPr>
        <w:t xml:space="preserve"> </w:t>
      </w:r>
      <w:r w:rsidRPr="003F63DB">
        <w:rPr>
          <w:rStyle w:val="Fotnotsreferens"/>
        </w:rPr>
        <w:footnoteReference w:id="124"/>
      </w:r>
    </w:p>
    <w:p w:rsidR="00905B3E" w:rsidRPr="003F63DB" w:rsidRDefault="00905B3E">
      <w:pPr>
        <w:pStyle w:val="Rubrik2"/>
      </w:pPr>
      <w:bookmarkStart w:id="93" w:name="_Toc25031918"/>
      <w:bookmarkStart w:id="94" w:name="_Toc36520746"/>
      <w:r w:rsidRPr="003F63DB">
        <w:t>Prövningen i praktiken</w:t>
      </w:r>
      <w:bookmarkEnd w:id="93"/>
      <w:bookmarkEnd w:id="94"/>
    </w:p>
    <w:p w:rsidR="00905B3E" w:rsidRPr="003F63DB" w:rsidRDefault="00905B3E">
      <w:r w:rsidRPr="003F63DB">
        <w:t>I en uppföljningsrapport från 2001 påtalar Riksantikvarieämbetet brister i länsstyrelsernas sätt att ange kraven för en utredning eller undersökning. Även kvaliteten på de undersökningsplaner som undersökare upprättar krit</w:t>
      </w:r>
      <w:r w:rsidRPr="003F63DB">
        <w:t>i</w:t>
      </w:r>
      <w:r w:rsidRPr="003F63DB">
        <w:t>seras. Riksantikvarieämbetet konstaterar att alla undersökare numera up</w:t>
      </w:r>
      <w:r w:rsidRPr="003F63DB">
        <w:t>p</w:t>
      </w:r>
      <w:r w:rsidRPr="003F63DB">
        <w:t>rättar undersökningsplaner, men att inte alla länsstyrelser upprättar kravsp</w:t>
      </w:r>
      <w:r w:rsidRPr="003F63DB">
        <w:t>e</w:t>
      </w:r>
      <w:r w:rsidRPr="003F63DB">
        <w:t>cifikationer.</w:t>
      </w:r>
      <w:r w:rsidRPr="003F63DB">
        <w:rPr>
          <w:rStyle w:val="Fotnotsreferens"/>
        </w:rPr>
        <w:footnoteReference w:id="125"/>
      </w:r>
    </w:p>
    <w:p w:rsidR="00905B3E" w:rsidRPr="003F63DB" w:rsidRDefault="00905B3E">
      <w:pPr>
        <w:pStyle w:val="Rubrik3-Utannumrering"/>
      </w:pPr>
      <w:r w:rsidRPr="003F63DB">
        <w:t>Brister i länsstyrelsernas kravställan</w:t>
      </w:r>
    </w:p>
    <w:p w:rsidR="00905B3E" w:rsidRPr="003F63DB" w:rsidRDefault="00905B3E">
      <w:r w:rsidRPr="003F63DB">
        <w:t>Kravspecifikationer och undersökningsplaner håller enligt Riksantikvari</w:t>
      </w:r>
      <w:r w:rsidRPr="003F63DB">
        <w:t>e</w:t>
      </w:r>
      <w:r w:rsidRPr="003F63DB">
        <w:t>ämbetet mycket varierande kvalitet. De länsstyrelser som upprättar enkla och kortfattade kravspecifikationer menar att de undersökare som länsstyrelsen väljer för uppdrag regelmässigt lämnar information som behövs i sina unde</w:t>
      </w:r>
      <w:r w:rsidRPr="003F63DB">
        <w:t>r</w:t>
      </w:r>
      <w:r w:rsidRPr="003F63DB">
        <w:t>sökningsplaner. Om läns</w:t>
      </w:r>
      <w:r w:rsidRPr="003F63DB">
        <w:softHyphen/>
        <w:t>styrelsen behöver kompletteringar kan dessa begäras in efter hand. Det förekommer också att kraven framförs muntligt till unde</w:t>
      </w:r>
      <w:r w:rsidRPr="003F63DB">
        <w:t>r</w:t>
      </w:r>
      <w:r w:rsidRPr="003F63DB">
        <w:t>sök</w:t>
      </w:r>
      <w:r w:rsidRPr="003F63DB">
        <w:t>a</w:t>
      </w:r>
      <w:r w:rsidRPr="003F63DB">
        <w:t>ren.</w:t>
      </w:r>
    </w:p>
    <w:p w:rsidR="00905B3E" w:rsidRPr="003F63DB" w:rsidRDefault="00905B3E">
      <w:pPr>
        <w:pStyle w:val="Normaltindrag"/>
      </w:pPr>
      <w:r w:rsidRPr="003F63DB">
        <w:t>Länsstyrelsen i Hallands län uppger att man inte upprättar kravspecifik</w:t>
      </w:r>
      <w:r w:rsidRPr="003F63DB">
        <w:t>a</w:t>
      </w:r>
      <w:r w:rsidRPr="003F63DB">
        <w:t>tioner över huvud taget.</w:t>
      </w:r>
      <w:r w:rsidRPr="003F63DB">
        <w:rPr>
          <w:rStyle w:val="Fotnotsreferens"/>
        </w:rPr>
        <w:footnoteReference w:id="126"/>
      </w:r>
      <w:r w:rsidRPr="003F63DB">
        <w:t xml:space="preserve"> Länsstyrelsen i Kronobergs län har i sin verksa</w:t>
      </w:r>
      <w:r w:rsidRPr="003F63DB">
        <w:t>m</w:t>
      </w:r>
      <w:r w:rsidRPr="003F63DB">
        <w:t>hetsplan för år 2001 uttryckligen angivit att avsteg kommer att göras från föreskrifterna. Bland annat kommer länsstyrelsen inte att utforma några utförliga kravspecifikationer inför utredningar och undersökningar. Länsst</w:t>
      </w:r>
      <w:r w:rsidRPr="003F63DB">
        <w:t>y</w:t>
      </w:r>
      <w:r w:rsidRPr="003F63DB">
        <w:t xml:space="preserve">relsen i Gävleborgs län hävdar att man upprättar kravspecifikationer. En undersökare i privat regi som begärt att få ta del av dessa dokument, har inte fått sina önskemål tillgodosedda. </w:t>
      </w:r>
    </w:p>
    <w:p w:rsidR="00905B3E" w:rsidRPr="003F63DB" w:rsidRDefault="00905B3E">
      <w:pPr>
        <w:pStyle w:val="Normaltindrag"/>
      </w:pPr>
      <w:r w:rsidRPr="003F63DB">
        <w:t>Resultat från den enkät som revisorerna ställt till lä</w:t>
      </w:r>
      <w:r w:rsidRPr="003F63DB">
        <w:t>nsstyrelserna tyder på att länsstyrelserna i liten omfattning söker stöd från någon utomstående organisation då en kravspecifikation ska upprättas. Externa råd inhämtas främst från Riksantikvarieämbetet, någon annan länsstyrelse eller någon forskare vid universitetet. Mindre vanligt är att länsstyrelsen vänder sig till länsmuseet eller någon av undersökarna. Tre länsstyrelser har inte vänt sig till någon e</w:t>
      </w:r>
      <w:r w:rsidRPr="003F63DB">
        <w:t>x</w:t>
      </w:r>
      <w:r w:rsidRPr="003F63DB">
        <w:t>tern diskussionspartner alls sedan år 2000.</w:t>
      </w:r>
    </w:p>
    <w:p w:rsidR="00905B3E" w:rsidRPr="003F63DB" w:rsidRDefault="00905B3E">
      <w:pPr>
        <w:pStyle w:val="Normaltindrag"/>
      </w:pPr>
      <w:r w:rsidRPr="003F63DB">
        <w:t>I länsstyrelsernas beslut under perioden 2000–2001 om unde</w:t>
      </w:r>
      <w:r w:rsidRPr="003F63DB">
        <w:t xml:space="preserve">rsökningar som beräknas kosta mer än 1,1 miljoner kronor (30 prisbasbelopp) finns direkta hänvisningar till kravspecifikationen i mindre än vart tredje fall. </w:t>
      </w:r>
    </w:p>
    <w:p w:rsidR="00905B3E" w:rsidRPr="003F63DB" w:rsidRDefault="00905B3E">
      <w:pPr>
        <w:pStyle w:val="Rubrik3-Utannumrering"/>
      </w:pPr>
      <w:r w:rsidRPr="003F63DB">
        <w:t>Undersökarna avgör ambitionsnivå och kostnader</w:t>
      </w:r>
    </w:p>
    <w:p w:rsidR="00905B3E" w:rsidRPr="003F63DB" w:rsidRDefault="00905B3E">
      <w:r w:rsidRPr="003F63DB">
        <w:t>Enligt flera bedömare har kraven på att undersökare ska utarbeta en unde</w:t>
      </w:r>
      <w:r w:rsidRPr="003F63DB">
        <w:t>r</w:t>
      </w:r>
      <w:r w:rsidRPr="003F63DB">
        <w:t>sökningsplan inför varje undersökning lett till ökad tydlighet i den arkeol</w:t>
      </w:r>
      <w:r w:rsidRPr="003F63DB">
        <w:t>o</w:t>
      </w:r>
      <w:r w:rsidRPr="003F63DB">
        <w:t>giska processen. Kraven sägs ha inneburit en skärpning bl.a. när det gäller att beskriva den vetenskapliga inriktningen och att ange kostnaderna. Mycket tyder dock på att undersökarna har ett övertag i förhållande till länsstyrelse</w:t>
      </w:r>
      <w:r w:rsidRPr="003F63DB">
        <w:t>r</w:t>
      </w:r>
      <w:r w:rsidRPr="003F63DB">
        <w:t>na när det gäller att sätta ambitionsnivån för en undersökning. Undersökare anser i allmänhet att de har den bästa kunskapen för att göra vetenskapliga prioriteringar och kostnadsuppskattningar. Länsstyr</w:t>
      </w:r>
      <w:r w:rsidRPr="003F63DB">
        <w:t xml:space="preserve">elserna uppfattas ha för lite resurser och ibland även bristande eller föråldrad vetenskaplig kompetens för uppgiften. </w:t>
      </w:r>
    </w:p>
    <w:p w:rsidR="00905B3E" w:rsidRPr="003F63DB" w:rsidRDefault="00905B3E">
      <w:pPr>
        <w:pStyle w:val="Normaltindrag"/>
      </w:pPr>
      <w:r w:rsidRPr="003F63DB">
        <w:t>I en uppföljningsrapport från 2001 konstaterar Riksantikvarieämbetet att kvaliteten på undersökningsplanerna varierar. Vissa undersökare har hög kvalitet på sina undersökningsplaner, både när det gäller vetenskapliga mot</w:t>
      </w:r>
      <w:r w:rsidRPr="003F63DB">
        <w:t>i</w:t>
      </w:r>
      <w:r w:rsidRPr="003F63DB">
        <w:t>veringar och redovisning av kostnader. Andra undersökare anger endast en kostnadsuppgift utan att ange undersökningens omfattning eller vetenskapl</w:t>
      </w:r>
      <w:r w:rsidRPr="003F63DB">
        <w:t>i</w:t>
      </w:r>
      <w:r w:rsidRPr="003F63DB">
        <w:t>ga inriktning. Riksantikvarieämbetet riktar i rapporten kritik mot både län</w:t>
      </w:r>
      <w:r w:rsidRPr="003F63DB">
        <w:t>s</w:t>
      </w:r>
      <w:r w:rsidRPr="003F63DB">
        <w:t>styrelser och unders</w:t>
      </w:r>
      <w:r w:rsidRPr="003F63DB">
        <w:t>ö</w:t>
      </w:r>
      <w:r w:rsidRPr="003F63DB">
        <w:t>kare:</w:t>
      </w:r>
    </w:p>
    <w:p w:rsidR="00905B3E" w:rsidRPr="003F63DB" w:rsidRDefault="00905B3E">
      <w:pPr>
        <w:pStyle w:val="Citat"/>
      </w:pPr>
      <w:r w:rsidRPr="003F63DB">
        <w:t>Att man från länsstyrelsens sida anser sig känna till en undersökares komp</w:t>
      </w:r>
      <w:r w:rsidRPr="003F63DB">
        <w:t>e</w:t>
      </w:r>
      <w:r w:rsidRPr="003F63DB">
        <w:t>tens är inte tillräckligt skäl för att godta en undermålig undersökningsplan. Utan en fullgod undersökningsplan kan inte länsstyrelsen utvärdera kvalit</w:t>
      </w:r>
      <w:r w:rsidRPr="003F63DB">
        <w:t>e</w:t>
      </w:r>
      <w:r w:rsidRPr="003F63DB">
        <w:t>ten på resultaten av en arkeologisk undersökning i förhållande till kostnaden för genomförandet. Det är anmärkningsvärt, att det fortfarande i åtskilliga undersökningsplaner saknas en särredovisning av kostnaderna för hantering och konservering av fynd. Inte ens UV anger dessa kostnader. Det är tydligt, att de ibland ingår i posten ”externa analyser”, men d</w:t>
      </w:r>
      <w:r w:rsidRPr="003F63DB">
        <w:t>et framgår inte hur stor del som är konserveringskostnader eller vilka andra ”analyser” som döljer sig bakom denna post.</w:t>
      </w:r>
      <w:r w:rsidRPr="003F63DB">
        <w:rPr>
          <w:rStyle w:val="Fotnotsreferens"/>
        </w:rPr>
        <w:footnoteReference w:id="127"/>
      </w:r>
    </w:p>
    <w:p w:rsidR="00905B3E" w:rsidRPr="003F63DB" w:rsidRDefault="00905B3E">
      <w:pPr>
        <w:pStyle w:val="Rubrik3-Utannumrering"/>
      </w:pPr>
      <w:r w:rsidRPr="003F63DB">
        <w:t>Länsstyrelsernas ambitioner att begränsa undersökningen</w:t>
      </w:r>
    </w:p>
    <w:p w:rsidR="00905B3E" w:rsidRPr="003F63DB" w:rsidRDefault="00905B3E">
      <w:r w:rsidRPr="003F63DB">
        <w:t>Ett anbudsförfarande kan innebära att en länsstyrelse får alternativa unde</w:t>
      </w:r>
      <w:r w:rsidRPr="003F63DB">
        <w:t>r</w:t>
      </w:r>
      <w:r w:rsidRPr="003F63DB">
        <w:t>sökningsplaner som kan jämföras till innehåll och kostnader. Då länsstyre</w:t>
      </w:r>
      <w:r w:rsidRPr="003F63DB">
        <w:t>l</w:t>
      </w:r>
      <w:r w:rsidRPr="003F63DB">
        <w:t xml:space="preserve">sen väljer undersökare genom direktval, vilket sker i de allra flesta fall, har man inget alternativ att jämföra med utan måste bedöma om det förslag som presenteras är rimligt. </w:t>
      </w:r>
    </w:p>
    <w:p w:rsidR="00905B3E" w:rsidRPr="003F63DB" w:rsidRDefault="00905B3E">
      <w:pPr>
        <w:pStyle w:val="Normaltindrag"/>
      </w:pPr>
      <w:r w:rsidRPr="003F63DB">
        <w:t>Av revisorernas enkät framgår att länsstyrelserna har olika ambitioner vad gäller att begränsa undersökningens omfattning i förhållande till den unde</w:t>
      </w:r>
      <w:r w:rsidRPr="003F63DB">
        <w:t>r</w:t>
      </w:r>
      <w:r w:rsidRPr="003F63DB">
        <w:t>sökningsplan en direktvald undersökare presenterar. Vissa länsstyrelser försöker sällan eller aldrig begränsa undersökningens omfattning vad gäller ambitionsnivå och kostnader. Andra länsstyrelser försöker begränsa antingen de kostnadsmässigt stora eller de små undersökningarna. Det finns också de länsstyrelser som har en ambition att begränsa alla undersö</w:t>
      </w:r>
      <w:r w:rsidRPr="003F63DB">
        <w:t>k</w:t>
      </w:r>
      <w:r w:rsidRPr="003F63DB">
        <w:t>ningar.</w:t>
      </w:r>
    </w:p>
    <w:p w:rsidR="00905B3E" w:rsidRPr="003F63DB" w:rsidRDefault="00905B3E">
      <w:pPr>
        <w:pStyle w:val="Normaltindrag"/>
      </w:pPr>
      <w:r w:rsidRPr="003F63DB">
        <w:t>Sammantaget innebär detta att vissa länsstyrelser i hög grad överlåter åt undersökarna att avgöra undersökningarnas omfattning och inriktning oc</w:t>
      </w:r>
      <w:r w:rsidRPr="003F63DB">
        <w:t xml:space="preserve">h därmed även kostnaderna. </w:t>
      </w:r>
    </w:p>
    <w:p w:rsidR="00905B3E" w:rsidRPr="003F63DB" w:rsidRDefault="00905B3E">
      <w:pPr>
        <w:pStyle w:val="Rubrik2"/>
      </w:pPr>
      <w:bookmarkStart w:id="95" w:name="_Toc2051060"/>
      <w:bookmarkStart w:id="96" w:name="_Toc25031919"/>
      <w:bookmarkStart w:id="97" w:name="_Toc36520747"/>
      <w:r w:rsidRPr="003F63DB">
        <w:t>Beräkning och redovisning av kostnader</w:t>
      </w:r>
      <w:bookmarkEnd w:id="96"/>
      <w:bookmarkEnd w:id="97"/>
      <w:r w:rsidRPr="003F63DB">
        <w:t xml:space="preserve"> </w:t>
      </w:r>
    </w:p>
    <w:p w:rsidR="00905B3E" w:rsidRPr="003F63DB" w:rsidRDefault="00905B3E">
      <w:r w:rsidRPr="003F63DB">
        <w:t>I beslut om tillstånd att rubba eller ta bort en fast fornlämning ska länsstyre</w:t>
      </w:r>
      <w:r w:rsidRPr="003F63DB">
        <w:t>l</w:t>
      </w:r>
      <w:r w:rsidRPr="003F63DB">
        <w:t>serna enligt kulturminneslagen ange kostnaden för de arkeologiska åtgärde</w:t>
      </w:r>
      <w:r w:rsidRPr="003F63DB">
        <w:t>r</w:t>
      </w:r>
      <w:r w:rsidRPr="003F63DB">
        <w:t>na så långt det är möjligt.</w:t>
      </w:r>
      <w:r w:rsidRPr="003F63DB">
        <w:rPr>
          <w:rStyle w:val="Fotnotsreferens"/>
        </w:rPr>
        <w:footnoteReference w:id="128"/>
      </w:r>
      <w:r w:rsidRPr="003F63DB">
        <w:t xml:space="preserve"> Länsstyrelserna har dock inte någon skyldighet att i ett beslut om särskild utredning eller förundersökning uttryckligen ange kostnaden för det arkeologi</w:t>
      </w:r>
      <w:r w:rsidRPr="003F63DB">
        <w:t>s</w:t>
      </w:r>
      <w:r w:rsidRPr="003F63DB">
        <w:t>ka arbetet.</w:t>
      </w:r>
    </w:p>
    <w:p w:rsidR="00905B3E" w:rsidRPr="003F63DB" w:rsidRDefault="00905B3E">
      <w:pPr>
        <w:pStyle w:val="Normaltindrag"/>
      </w:pPr>
      <w:r w:rsidRPr="003F63DB">
        <w:t>Riksantikvarieämbetet rekommenderar dock att länsstyrelserna i beslut om särskild utredning, förundersökning och särskild undersökning ska ange kostnaden och vem som ska bära den. Kostnaden bör anges som en högsta beräknad kostnad.</w:t>
      </w:r>
      <w:r w:rsidRPr="003F63DB">
        <w:rPr>
          <w:rStyle w:val="Fotnotsreferens"/>
        </w:rPr>
        <w:footnoteReference w:id="129"/>
      </w:r>
      <w:r w:rsidRPr="003F63DB">
        <w:t xml:space="preserve"> Exploatören ska inte svara för kostnader som väsentligt överstiger vad länsstyrelsen angivit i beslutet.</w:t>
      </w:r>
      <w:r w:rsidRPr="003F63DB">
        <w:rPr>
          <w:rStyle w:val="Fotnotsreferens"/>
        </w:rPr>
        <w:footnoteReference w:id="130"/>
      </w:r>
      <w:r w:rsidRPr="003F63DB">
        <w:t xml:space="preserve"> I de allmänna råden till föreskrifterna förtydligar Riksantikvarieämbetet att exploatören heller inte ska betala för mer än den tid som verkligen gått åt för undersökningen inkl</w:t>
      </w:r>
      <w:r w:rsidRPr="003F63DB">
        <w:t>u</w:t>
      </w:r>
      <w:r w:rsidRPr="003F63DB">
        <w:t>sive rapporterin</w:t>
      </w:r>
      <w:r w:rsidRPr="003F63DB">
        <w:t>g</w:t>
      </w:r>
      <w:r w:rsidRPr="003F63DB">
        <w:t>en.</w:t>
      </w:r>
      <w:r w:rsidRPr="003F63DB">
        <w:rPr>
          <w:rStyle w:val="Fotnotsreferens"/>
        </w:rPr>
        <w:footnoteReference w:id="131"/>
      </w:r>
      <w:r w:rsidRPr="003F63DB">
        <w:t xml:space="preserve"> </w:t>
      </w:r>
    </w:p>
    <w:p w:rsidR="00905B3E" w:rsidRPr="003F63DB" w:rsidRDefault="00905B3E">
      <w:pPr>
        <w:pStyle w:val="Rubrik3-Utannumrering"/>
      </w:pPr>
      <w:r w:rsidRPr="003F63DB">
        <w:t>Ofullständiga kostnadsangivelser i länsstyrelsernas beslut</w:t>
      </w:r>
    </w:p>
    <w:p w:rsidR="00905B3E" w:rsidRPr="003F63DB" w:rsidRDefault="00905B3E">
      <w:r w:rsidRPr="003F63DB">
        <w:t>Kostnadsangivelsen för de arkeologiska tjänsterna kan vara mer eller mindre väl specificerade i länsstyrelsernas beslut. Det framgår efter den granskning som gjorts av beslut om arkeologiska undersökningar som har beräknats kosta mer än 1,1 miljoner kronor åren 2000–2001. I vissa fall anges en högsta kostnad, i andra fall ett exakt belopp. Kostnader för etablering på undersökningsplatsen eller kostnader för grävmaskinsarbete kan tillkomma, utan att en förväntad summa för detta anges i beslutet. Det är myck</w:t>
      </w:r>
      <w:r w:rsidRPr="003F63DB">
        <w:t>et ova</w:t>
      </w:r>
      <w:r w:rsidRPr="003F63DB">
        <w:t>n</w:t>
      </w:r>
      <w:r w:rsidRPr="003F63DB">
        <w:t>ligt att de beräkningar som har legat till grund för besluten inkluderas i själva beslutsdokumentet. I vissa fall hänvisar länsstyrelsen till kostnadsberäknin</w:t>
      </w:r>
      <w:r w:rsidRPr="003F63DB">
        <w:t>g</w:t>
      </w:r>
      <w:r w:rsidRPr="003F63DB">
        <w:t>ar i bilagor eller till den undersö</w:t>
      </w:r>
      <w:r w:rsidRPr="003F63DB">
        <w:t>k</w:t>
      </w:r>
      <w:r w:rsidRPr="003F63DB">
        <w:t xml:space="preserve">ningsplan som undersökaren har upprättat. </w:t>
      </w:r>
    </w:p>
    <w:p w:rsidR="00905B3E" w:rsidRPr="003F63DB" w:rsidRDefault="00905B3E">
      <w:pPr>
        <w:pStyle w:val="Normaltindrag"/>
      </w:pPr>
      <w:r w:rsidRPr="003F63DB">
        <w:t>Nedanstående två exempel visar på hur länsstyrelsernas formuleringar kan variera.</w:t>
      </w:r>
    </w:p>
    <w:p w:rsidR="00905B3E" w:rsidRPr="003F63DB" w:rsidRDefault="00905B3E">
      <w:pPr>
        <w:pStyle w:val="Citat"/>
      </w:pPr>
      <w:r w:rsidRPr="003F63DB">
        <w:t>Kostnaderna ... har ... beräknats till 1 895 219 kronor ... I kostnaderna ingår förarbete, arbetstid i fält, manusarbete, renritning, fyndhantering, rappor</w:t>
      </w:r>
      <w:r w:rsidRPr="003F63DB">
        <w:t>t</w:t>
      </w:r>
      <w:r w:rsidRPr="003F63DB">
        <w:t>framställning, analyser, konservering av eventuella föremål, resor, trakt</w:t>
      </w:r>
      <w:r w:rsidRPr="003F63DB">
        <w:t>a</w:t>
      </w:r>
      <w:r w:rsidRPr="003F63DB">
        <w:t>mente, inmätning med totalstation, re</w:t>
      </w:r>
      <w:r w:rsidRPr="003F63DB">
        <w:t>d</w:t>
      </w:r>
      <w:r w:rsidRPr="003F63DB">
        <w:t>skapsbod, grävmaskin och dumper.</w:t>
      </w:r>
      <w:r w:rsidRPr="003F63DB">
        <w:rPr>
          <w:rStyle w:val="Fotnotsreferens"/>
        </w:rPr>
        <w:footnoteReference w:id="132"/>
      </w:r>
    </w:p>
    <w:p w:rsidR="00905B3E" w:rsidRPr="003F63DB" w:rsidRDefault="00905B3E">
      <w:pPr>
        <w:pStyle w:val="Citat"/>
      </w:pPr>
      <w:r w:rsidRPr="003F63DB">
        <w:t>Kostnaderna för förundersökningen åvilar Vägverket ... De har ... beräknats till 2 148 000 kronor.</w:t>
      </w:r>
      <w:r w:rsidRPr="003F63DB">
        <w:rPr>
          <w:rStyle w:val="Fotnotsreferens"/>
        </w:rPr>
        <w:footnoteReference w:id="133"/>
      </w:r>
    </w:p>
    <w:p w:rsidR="00905B3E" w:rsidRPr="003F63DB" w:rsidRDefault="00905B3E">
      <w:r w:rsidRPr="003F63DB">
        <w:t>I det andra exemplet finns ingen bilaga med kostnadsberäkningar fogad till beslutet.</w:t>
      </w:r>
    </w:p>
    <w:p w:rsidR="00905B3E" w:rsidRPr="003F63DB" w:rsidRDefault="00905B3E">
      <w:pPr>
        <w:pStyle w:val="Normaltindrag"/>
      </w:pPr>
      <w:r w:rsidRPr="003F63DB">
        <w:t>Riksantikvarieämbetet accepterar att vissa kostnadsposter inte uttryckligen anges i beslutet, bara det tydligt framgår att det är ett arbetsmoment som exploatören och undersökaren ska teckna avtal om. Att vissa kostnader inte är uttryckligen angivna i beslutet betyder också att de heller inte registreras i Riksantikvarieämbetets beslutsregi</w:t>
      </w:r>
      <w:r w:rsidRPr="003F63DB">
        <w:t>s</w:t>
      </w:r>
      <w:r w:rsidRPr="003F63DB">
        <w:t xml:space="preserve">ter. </w:t>
      </w:r>
    </w:p>
    <w:p w:rsidR="00905B3E" w:rsidRPr="003F63DB" w:rsidRDefault="00905B3E">
      <w:pPr>
        <w:pStyle w:val="Normaltindrag"/>
      </w:pPr>
      <w:r w:rsidRPr="003F63DB">
        <w:t>Exploatörerna får ibland även acceptera att kostnader debiteras dem på l</w:t>
      </w:r>
      <w:r w:rsidRPr="003F63DB">
        <w:t>ö</w:t>
      </w:r>
      <w:r w:rsidRPr="003F63DB">
        <w:t>pande räkning. Riksantikvarieämbetet upp</w:t>
      </w:r>
      <w:r w:rsidRPr="003F63DB">
        <w:softHyphen/>
        <w:t>ger att det under det senaste året blivit vanligare att länsstyrelserna anger undersökningskostnaden enligt en timtaxa och på löpande räkning. Inför en avstämning av beslutsregistret för år 2001 efterfrågade Riksantikvarieämbetet fullständiga kostnadsuppgifter i beslut fattade av 15 av de 21 länsstyrelserna. Som exempel hade länsstyre</w:t>
      </w:r>
      <w:r w:rsidRPr="003F63DB">
        <w:t>l</w:t>
      </w:r>
      <w:r w:rsidRPr="003F63DB">
        <w:t>sen i Skåne län redovisat närmare 100 beslut där totalkostnaden inte fra</w:t>
      </w:r>
      <w:r w:rsidRPr="003F63DB">
        <w:t>m</w:t>
      </w:r>
      <w:r w:rsidRPr="003F63DB">
        <w:t>gick. Länsstyrelsen i Östergötlands län hade redovisat drygt</w:t>
      </w:r>
      <w:r w:rsidRPr="003F63DB">
        <w:t xml:space="preserve"> 60 sådana b</w:t>
      </w:r>
      <w:r w:rsidRPr="003F63DB">
        <w:t>e</w:t>
      </w:r>
      <w:r w:rsidRPr="003F63DB">
        <w:t xml:space="preserve">slut. </w:t>
      </w:r>
    </w:p>
    <w:p w:rsidR="00905B3E" w:rsidRPr="003F63DB" w:rsidRDefault="00905B3E">
      <w:pPr>
        <w:pStyle w:val="Rubrik2"/>
      </w:pPr>
      <w:bookmarkStart w:id="98" w:name="_Toc25031920"/>
      <w:bookmarkStart w:id="99" w:name="_Toc36520748"/>
      <w:r w:rsidRPr="003F63DB">
        <w:t>Länsstyrelsernas tillsyn</w:t>
      </w:r>
      <w:bookmarkEnd w:id="98"/>
      <w:bookmarkEnd w:id="99"/>
    </w:p>
    <w:p w:rsidR="00905B3E" w:rsidRPr="003F63DB" w:rsidRDefault="00905B3E">
      <w:r w:rsidRPr="003F63DB">
        <w:t>Länsstyrelsernas ansvar upphör inte i och med att beslut om undersökning har fattats. Under en pågående undersökning ska länsstyrelserna enligt för</w:t>
      </w:r>
      <w:r w:rsidRPr="003F63DB">
        <w:t>e</w:t>
      </w:r>
      <w:r w:rsidRPr="003F63DB">
        <w:t xml:space="preserve">skrifterna </w:t>
      </w:r>
      <w:r w:rsidRPr="003F63DB">
        <w:rPr>
          <w:i/>
        </w:rPr>
        <w:t>fortlöpande tillse</w:t>
      </w:r>
      <w:r w:rsidRPr="003F63DB">
        <w:t xml:space="preserve"> att undersökningen genomförs enligt undersök</w:t>
      </w:r>
      <w:r w:rsidRPr="003F63DB">
        <w:t>a</w:t>
      </w:r>
      <w:r w:rsidRPr="003F63DB">
        <w:t>rens system för kvalitetskontroll, eller länsstyrelsens beslut.</w:t>
      </w:r>
      <w:r w:rsidRPr="003F63DB">
        <w:rPr>
          <w:rStyle w:val="Fotnotsreferens"/>
        </w:rPr>
        <w:footnoteReference w:id="134"/>
      </w:r>
      <w:r w:rsidRPr="003F63DB">
        <w:t xml:space="preserve"> Det framgår dock varken av föreskrifterna eller de allmänna råden till föreskrifterna vilket ansvar länsstyrelserna har när det gäller att löpande följa kostnaderna. När rapporten från undersökningen har lämnats till länsstyrelsen ska undersö</w:t>
      </w:r>
      <w:r w:rsidRPr="003F63DB">
        <w:t>k</w:t>
      </w:r>
      <w:r w:rsidRPr="003F63DB">
        <w:t xml:space="preserve">ningen </w:t>
      </w:r>
      <w:r w:rsidRPr="003F63DB">
        <w:rPr>
          <w:i/>
        </w:rPr>
        <w:t>utvärderas</w:t>
      </w:r>
      <w:r w:rsidRPr="003F63DB">
        <w:t xml:space="preserve"> vad gäller genomförande, utfall och redovisning. Då ska värdet av undersökningen även relateras till kostnaderna.</w:t>
      </w:r>
      <w:r w:rsidRPr="003F63DB">
        <w:rPr>
          <w:rStyle w:val="Fotnotsreferens"/>
        </w:rPr>
        <w:footnoteReference w:id="135"/>
      </w:r>
      <w:r w:rsidRPr="003F63DB">
        <w:t xml:space="preserve"> </w:t>
      </w:r>
    </w:p>
    <w:p w:rsidR="00905B3E" w:rsidRPr="003F63DB" w:rsidRDefault="00905B3E">
      <w:pPr>
        <w:pStyle w:val="Normaltindrag"/>
      </w:pPr>
      <w:r w:rsidRPr="003F63DB">
        <w:t>Riksantikvarieämbetet framhåller att länsstyrelserna genom sin tillsyn bl.a. ska garantera en hög vetenskaplig ambitionsnivå och kostnadseffektivitet. Samtidigt understryker Riksantikvarieämbetet att insatserna kan anpassas efter undersökningens omfattning och komplexitet. Stora och kostnadsinte</w:t>
      </w:r>
      <w:r w:rsidRPr="003F63DB">
        <w:t>n</w:t>
      </w:r>
      <w:r w:rsidRPr="003F63DB">
        <w:t>siva undersökningar bör ägnas mer ingående och kontinuerliga uppföl</w:t>
      </w:r>
      <w:r w:rsidRPr="003F63DB">
        <w:t>j</w:t>
      </w:r>
      <w:r w:rsidRPr="003F63DB">
        <w:t>ningsinsatser än mindre och okomplicerade sådana. I det senare fallet kan det vara tillräckligt med att länsstyrelsen tar del av protokollen från undersök</w:t>
      </w:r>
      <w:r w:rsidRPr="003F63DB">
        <w:t>a</w:t>
      </w:r>
      <w:r w:rsidRPr="003F63DB">
        <w:t>rens egna uppföljningar. Riksantikvarieämbetet menar att gränserna för urvalsförfarande – 10 respektive 30 prisbasbelopp – kan vara vägledande för länsstyrelsen när man avgör ambitionsnivån i uppföljningen.</w:t>
      </w:r>
      <w:r w:rsidRPr="003F63DB">
        <w:rPr>
          <w:rStyle w:val="Fotnotsreferens"/>
        </w:rPr>
        <w:footnoteReference w:id="136"/>
      </w:r>
      <w:r w:rsidRPr="003F63DB">
        <w:t xml:space="preserve"> Utvärderin</w:t>
      </w:r>
      <w:r w:rsidRPr="003F63DB">
        <w:t>g</w:t>
      </w:r>
      <w:r w:rsidRPr="003F63DB">
        <w:t>ar av resultat från utredningar och förundersökningar kan göras på ett enklare sätt än utvärderingar av en slutundersö</w:t>
      </w:r>
      <w:r w:rsidRPr="003F63DB">
        <w:t>k</w:t>
      </w:r>
      <w:r w:rsidRPr="003F63DB">
        <w:t>ning.</w:t>
      </w:r>
      <w:r w:rsidRPr="003F63DB">
        <w:rPr>
          <w:rStyle w:val="Fotnotsreferens"/>
        </w:rPr>
        <w:footnoteReference w:id="137"/>
      </w:r>
    </w:p>
    <w:p w:rsidR="00905B3E" w:rsidRPr="003F63DB" w:rsidRDefault="00905B3E">
      <w:pPr>
        <w:pStyle w:val="Rubrik3-Utannumrering"/>
      </w:pPr>
      <w:r w:rsidRPr="003F63DB">
        <w:t>Svårigheter att utföra föreskriven tillsyn</w:t>
      </w:r>
    </w:p>
    <w:p w:rsidR="00905B3E" w:rsidRPr="003F63DB" w:rsidRDefault="00905B3E">
      <w:r w:rsidRPr="003F63DB">
        <w:t>Regeringen efterlyste i propositionen om uppdragsarkeologi tydliga regler för länsstyrelsernas tillsyn över och uppföljning av uppdragsverksamheten.</w:t>
      </w:r>
      <w:r w:rsidRPr="003F63DB">
        <w:rPr>
          <w:rStyle w:val="Fotnotsreferens"/>
        </w:rPr>
        <w:footnoteReference w:id="138"/>
      </w:r>
      <w:r w:rsidRPr="003F63DB">
        <w:t xml:space="preserve"> I budgetpropositionen för år 2000 skriver regeringen att det nu finns tydlig</w:t>
      </w:r>
      <w:r w:rsidRPr="003F63DB">
        <w:t>a</w:t>
      </w:r>
      <w:r w:rsidRPr="003F63DB">
        <w:t>re regler och riktlinjer på det uppdragsarkeologiska området genom Riksa</w:t>
      </w:r>
      <w:r w:rsidRPr="003F63DB">
        <w:t>n</w:t>
      </w:r>
      <w:r w:rsidRPr="003F63DB">
        <w:t>tikvarieämbetets verkställighetsföreskrifter och allmänna råd. Flera länsst</w:t>
      </w:r>
      <w:r w:rsidRPr="003F63DB">
        <w:t>y</w:t>
      </w:r>
      <w:r w:rsidRPr="003F63DB">
        <w:t>relser uppges ha kommit långt i arbetet med att förbättra uppföljningen av verksamh</w:t>
      </w:r>
      <w:r w:rsidRPr="003F63DB">
        <w:t>e</w:t>
      </w:r>
      <w:r w:rsidRPr="003F63DB">
        <w:t>ten.</w:t>
      </w:r>
      <w:r w:rsidRPr="003F63DB">
        <w:rPr>
          <w:rStyle w:val="Fotnotsreferens"/>
        </w:rPr>
        <w:footnoteReference w:id="139"/>
      </w:r>
    </w:p>
    <w:p w:rsidR="00905B3E" w:rsidRPr="003F63DB" w:rsidRDefault="00905B3E">
      <w:pPr>
        <w:pStyle w:val="Normaltindrag"/>
      </w:pPr>
      <w:r w:rsidRPr="003F63DB">
        <w:t>Länsstyrelsernas svar på revisorernas enkät samt Riksantikvarieämbetets uppföljningar av länsstyrelsernas tillämpning av föreskrifterna</w:t>
      </w:r>
      <w:r w:rsidRPr="003F63DB">
        <w:rPr>
          <w:rStyle w:val="Fotnotsreferens"/>
        </w:rPr>
        <w:footnoteReference w:id="140"/>
      </w:r>
      <w:r w:rsidRPr="003F63DB">
        <w:t xml:space="preserve"> ger dock sammantaget en bild av att tillsyn och utvärdering är lågt prioriterat och utförs med olika ambitionsnivå i l</w:t>
      </w:r>
      <w:r w:rsidRPr="003F63DB">
        <w:t>ä</w:t>
      </w:r>
      <w:r w:rsidRPr="003F63DB">
        <w:t xml:space="preserve">nen. </w:t>
      </w:r>
    </w:p>
    <w:p w:rsidR="00905B3E" w:rsidRPr="003F63DB" w:rsidRDefault="00905B3E">
      <w:pPr>
        <w:pStyle w:val="Normaltindrag"/>
      </w:pPr>
      <w:r w:rsidRPr="003F63DB">
        <w:t>Endast två av länsstyrelserna – Västernorrland och Värmland – anser att de har goda möjligheter att utföra den tillsyn som Riksantikvarieämbetet för</w:t>
      </w:r>
      <w:r w:rsidRPr="003F63DB">
        <w:t>e</w:t>
      </w:r>
      <w:r w:rsidRPr="003F63DB">
        <w:t>skriver eller rekommenderar, åtminstone med den exploateringsgrad som råder för tillfället. Övriga länsstyrelser anser inte att de kan motsvara kraven och hänvisar till brist på resurser för uppgiften. Länsstyrelsen i Uppsala län har t.ex. uttryckligen angivit i sin verksamhetsplan för år 2002 att tillsyn</w:t>
      </w:r>
      <w:r w:rsidRPr="003F63DB">
        <w:t>s</w:t>
      </w:r>
      <w:r w:rsidRPr="003F63DB">
        <w:t>verksamheten på kulturmiljöområdet, däribland uppdragsarkeologin, ges en lägre prioritet till följd av resursbrist. Undantaget är det omfattande arkeol</w:t>
      </w:r>
      <w:r w:rsidRPr="003F63DB">
        <w:t>o</w:t>
      </w:r>
      <w:r w:rsidRPr="003F63DB">
        <w:t>giska projektet inför utbyggnaden av väg E 4 Uppsala</w:t>
      </w:r>
      <w:r w:rsidRPr="003F63DB">
        <w:t>–Mehedeby. Som tidigare har framgått får länsstyrelsen i detta fall ekonomiskt stöd från expl</w:t>
      </w:r>
      <w:r w:rsidRPr="003F63DB">
        <w:t>o</w:t>
      </w:r>
      <w:r w:rsidRPr="003F63DB">
        <w:t xml:space="preserve">atören för bl.a. denna uppgift. </w:t>
      </w:r>
    </w:p>
    <w:p w:rsidR="00905B3E" w:rsidRPr="003F63DB" w:rsidRDefault="00905B3E">
      <w:pPr>
        <w:pStyle w:val="Normaltindrag"/>
      </w:pPr>
      <w:r w:rsidRPr="003F63DB">
        <w:t>En av länsstyrelserna besvarar revisorernas fråga om möjligheten att utföra föreskriven tillsyn på följande sätt:</w:t>
      </w:r>
    </w:p>
    <w:p w:rsidR="00905B3E" w:rsidRPr="003F63DB" w:rsidRDefault="00905B3E">
      <w:pPr>
        <w:pStyle w:val="Citat"/>
      </w:pPr>
      <w:r w:rsidRPr="003F63DB">
        <w:t>Driver ni med oss? Vi är chanslösa. Med nuvarande resurser kan uppföl</w:t>
      </w:r>
      <w:r w:rsidRPr="003F63DB">
        <w:t>j</w:t>
      </w:r>
      <w:r w:rsidRPr="003F63DB">
        <w:t>ning/tillsyn skötas enbart på några stora projekt, för övrigt inte alls.</w:t>
      </w:r>
    </w:p>
    <w:p w:rsidR="00905B3E" w:rsidRPr="003F63DB" w:rsidRDefault="00905B3E">
      <w:pPr>
        <w:pStyle w:val="Rubrik3-Utannumrering"/>
      </w:pPr>
      <w:r w:rsidRPr="003F63DB">
        <w:t>Tillsyn under undersökningens genomförande</w:t>
      </w:r>
    </w:p>
    <w:p w:rsidR="00905B3E" w:rsidRPr="003F63DB" w:rsidRDefault="00905B3E">
      <w:r w:rsidRPr="003F63DB">
        <w:t>Riksantikvarieämbetet rekommenderar att länsstyrelserna ska göra en löpa</w:t>
      </w:r>
      <w:r w:rsidRPr="003F63DB">
        <w:t>n</w:t>
      </w:r>
      <w:r w:rsidRPr="003F63DB">
        <w:t>de uppföljning under fältarbets- och rapportskrivningsfasen.</w:t>
      </w:r>
      <w:r w:rsidRPr="003F63DB">
        <w:rPr>
          <w:rStyle w:val="Fotnotsreferens"/>
        </w:rPr>
        <w:footnoteReference w:id="141"/>
      </w:r>
      <w:r w:rsidRPr="003F63DB">
        <w:t xml:space="preserve"> Resultat från revisorernas enkät visar att undersökarna oftast får något besök av länsstyre</w:t>
      </w:r>
      <w:r w:rsidRPr="003F63DB">
        <w:t>l</w:t>
      </w:r>
      <w:r w:rsidRPr="003F63DB">
        <w:t>sen då den arkeologiska undersökningen genomförs i fält. Vissa länsstyrelser uppger dock att fältbesök endast görs vid större undersökningar. Andra län</w:t>
      </w:r>
      <w:r w:rsidRPr="003F63DB">
        <w:t>s</w:t>
      </w:r>
      <w:r w:rsidRPr="003F63DB">
        <w:t>styrelser uppger att de gör regelbundna fältbesök eller har kontinuerlig ko</w:t>
      </w:r>
      <w:r w:rsidRPr="003F63DB">
        <w:t>n</w:t>
      </w:r>
      <w:r w:rsidRPr="003F63DB">
        <w:t>takt med undersökaren i denna fas av unde</w:t>
      </w:r>
      <w:r w:rsidRPr="003F63DB">
        <w:t>r</w:t>
      </w:r>
      <w:r w:rsidRPr="003F63DB">
        <w:t xml:space="preserve">sökningen. </w:t>
      </w:r>
    </w:p>
    <w:p w:rsidR="00905B3E" w:rsidRPr="003F63DB" w:rsidRDefault="00905B3E">
      <w:pPr>
        <w:pStyle w:val="Normaltindrag"/>
      </w:pPr>
      <w:r w:rsidRPr="003F63DB">
        <w:t>Enligt föreskrifterna ska länsstyrelserna vid sin tillsyn bl.a. förlita sig till undersökarnas egna system för kvalitetskontroll. Alla un</w:t>
      </w:r>
      <w:r w:rsidRPr="003F63DB">
        <w:t>dersökare har dock inget sådant system. Riksantikvarieämbetet har i en uppföljning av 70 unde</w:t>
      </w:r>
      <w:r w:rsidRPr="003F63DB">
        <w:t>r</w:t>
      </w:r>
      <w:r w:rsidRPr="003F63DB">
        <w:t>sökningar från år 2000 funnit att ett system för kvalitetskontroll redovisades i endast drygt hälften av undersökningsplanerna. Det var främst de stora u</w:t>
      </w:r>
      <w:r w:rsidRPr="003F63DB">
        <w:t>n</w:t>
      </w:r>
      <w:r w:rsidRPr="003F63DB">
        <w:t>dersökarna samt ett privat företag som konsekvent tillämpade ett system för kvalitetskontroll. Flera länsmuseer och kommunala museer saknade sådant sy</w:t>
      </w:r>
      <w:r w:rsidRPr="003F63DB">
        <w:t>s</w:t>
      </w:r>
      <w:r w:rsidRPr="003F63DB">
        <w:t xml:space="preserve">tem. </w:t>
      </w:r>
    </w:p>
    <w:p w:rsidR="00905B3E" w:rsidRPr="003F63DB" w:rsidRDefault="00905B3E">
      <w:pPr>
        <w:pStyle w:val="Normaltindrag"/>
      </w:pPr>
      <w:r w:rsidRPr="003F63DB">
        <w:t>När det gäller att följa undersökarens arbete med att skriva rapporten framgår också stora skillnader mella</w:t>
      </w:r>
      <w:r w:rsidRPr="003F63DB">
        <w:t>n länsstyrelserna. Flera länsstyrelser följer inte arbetet alls, andra kanske någon gång tar del av ett utkast innan den slutliga rapporten levereras. Samtidigt finns det länsstyrelser som under rapporteringsfasen har uppföljningsmöten med undersökaren eller får ta del av och lämnar synpunkter på utkast till ra</w:t>
      </w:r>
      <w:r w:rsidRPr="003F63DB">
        <w:t>p</w:t>
      </w:r>
      <w:r w:rsidRPr="003F63DB">
        <w:t xml:space="preserve">port. </w:t>
      </w:r>
    </w:p>
    <w:p w:rsidR="00905B3E" w:rsidRPr="003F63DB" w:rsidRDefault="00905B3E">
      <w:pPr>
        <w:pStyle w:val="Normaltindrag"/>
      </w:pPr>
      <w:r w:rsidRPr="003F63DB">
        <w:t>Även Riksantikvarieämbetets uppföljningar visar att länsstyrelserna inte utför kontroll och uppföljning av undersökningarna på det sätt som för</w:t>
      </w:r>
      <w:r w:rsidRPr="003F63DB">
        <w:t>e</w:t>
      </w:r>
      <w:r w:rsidRPr="003F63DB">
        <w:t>skrifterna och de allmänna råden ger uttryck för. Tillsynen är enligt Riksa</w:t>
      </w:r>
      <w:r w:rsidRPr="003F63DB">
        <w:t>n</w:t>
      </w:r>
      <w:r w:rsidRPr="003F63DB">
        <w:t>tikvarieämbetet ”en svag länk i systemet”. Undantaget är dock vissa mer omfattande undersökningar, vilka sträcker sig över flera år, där länsstyrelse</w:t>
      </w:r>
      <w:r w:rsidRPr="003F63DB">
        <w:t>r</w:t>
      </w:r>
      <w:r w:rsidRPr="003F63DB">
        <w:t>na tillsammans med undersökare har utvecklat kontroll- och uppföljningssy</w:t>
      </w:r>
      <w:r w:rsidRPr="003F63DB">
        <w:softHyphen/>
        <w:t>-</w:t>
      </w:r>
      <w:r w:rsidRPr="003F63DB">
        <w:br/>
      </w:r>
      <w:r w:rsidRPr="003F63DB">
        <w:t>s</w:t>
      </w:r>
      <w:r w:rsidRPr="003F63DB">
        <w:t>tem.</w:t>
      </w:r>
      <w:r w:rsidRPr="003F63DB">
        <w:rPr>
          <w:rStyle w:val="Fotnotsreferens"/>
        </w:rPr>
        <w:footnoteReference w:id="142"/>
      </w:r>
      <w:r w:rsidRPr="003F63DB">
        <w:t xml:space="preserve"> </w:t>
      </w:r>
    </w:p>
    <w:p w:rsidR="00905B3E" w:rsidRPr="003F63DB" w:rsidRDefault="00905B3E">
      <w:pPr>
        <w:pStyle w:val="Rubrik3-Utannumrering"/>
      </w:pPr>
      <w:r w:rsidRPr="003F63DB">
        <w:t>Utvärdering av det sammanvägda resultatet</w:t>
      </w:r>
    </w:p>
    <w:p w:rsidR="00905B3E" w:rsidRPr="003F63DB" w:rsidRDefault="00905B3E">
      <w:r w:rsidRPr="003F63DB">
        <w:t>Länsstyrelserna ska utvärdera den arkeologiska undersökningen då rapporten är klar.</w:t>
      </w:r>
      <w:r w:rsidRPr="003F63DB">
        <w:rPr>
          <w:rStyle w:val="Fotnotsreferens"/>
        </w:rPr>
        <w:footnoteReference w:id="143"/>
      </w:r>
      <w:r w:rsidRPr="003F63DB">
        <w:t xml:space="preserve"> Utvärderingen bör omfatta en granskning av att kostnaderna inte blivit högre än vad som är motiverat i förhållande till undersökningsresultat och vad som angivits i länsstyrelsens beslut. Utvärderingen ska även relat</w:t>
      </w:r>
      <w:r w:rsidRPr="003F63DB">
        <w:t>e</w:t>
      </w:r>
      <w:r w:rsidRPr="003F63DB">
        <w:t>ras till andra undersökningar i länet, till de långsiktiga kunskapsmålen och till forsknin</w:t>
      </w:r>
      <w:r w:rsidRPr="003F63DB">
        <w:t>g</w:t>
      </w:r>
      <w:r w:rsidRPr="003F63DB">
        <w:t>en.</w:t>
      </w:r>
      <w:r w:rsidRPr="003F63DB">
        <w:rPr>
          <w:rStyle w:val="Fotnotsreferens"/>
        </w:rPr>
        <w:footnoteReference w:id="144"/>
      </w:r>
      <w:r w:rsidRPr="003F63DB">
        <w:t xml:space="preserve"> </w:t>
      </w:r>
    </w:p>
    <w:p w:rsidR="00905B3E" w:rsidRPr="003F63DB" w:rsidRDefault="00905B3E">
      <w:pPr>
        <w:pStyle w:val="Normaltindrag"/>
      </w:pPr>
      <w:r w:rsidRPr="003F63DB">
        <w:t>Det samlade intrycket från intervjuer, Riksantikvarieämbetets uppföljnin</w:t>
      </w:r>
      <w:r w:rsidRPr="003F63DB">
        <w:t>g</w:t>
      </w:r>
      <w:r w:rsidRPr="003F63DB">
        <w:t>ar och resultat från revisorernas enkät är att länsstyrelserna inte utvärderar undersökningarna på det sätt som föreskrivs och i övrigt rekommenderas. Följande är några exempel på länsstyrelsernas svar när de ombads beskriva sina insatser när det gäller utvärdering av det sammanvägda r</w:t>
      </w:r>
      <w:r w:rsidRPr="003F63DB">
        <w:t>e</w:t>
      </w:r>
      <w:r w:rsidRPr="003F63DB">
        <w:t>sultatet:</w:t>
      </w:r>
      <w:r w:rsidRPr="003F63DB">
        <w:rPr>
          <w:rStyle w:val="Fotnotsreferens"/>
        </w:rPr>
        <w:t xml:space="preserve"> </w:t>
      </w:r>
      <w:r w:rsidRPr="003F63DB">
        <w:rPr>
          <w:rStyle w:val="Fotnotsreferens"/>
        </w:rPr>
        <w:footnoteReference w:id="145"/>
      </w:r>
    </w:p>
    <w:p w:rsidR="00905B3E" w:rsidRPr="003F63DB" w:rsidRDefault="00905B3E">
      <w:pPr>
        <w:pStyle w:val="Citat"/>
        <w:numPr>
          <w:ilvl w:val="0"/>
          <w:numId w:val="193"/>
        </w:numPr>
      </w:pPr>
      <w:r w:rsidRPr="003F63DB">
        <w:t xml:space="preserve">Sker ej på grund av resursbrist. </w:t>
      </w:r>
    </w:p>
    <w:p w:rsidR="00905B3E" w:rsidRPr="003F63DB" w:rsidRDefault="00905B3E">
      <w:pPr>
        <w:pStyle w:val="Citat"/>
        <w:numPr>
          <w:ilvl w:val="0"/>
          <w:numId w:val="193"/>
        </w:numPr>
      </w:pPr>
      <w:r w:rsidRPr="003F63DB">
        <w:t>Mer av konstaterande, diskuteras sällan eller aldrig.</w:t>
      </w:r>
    </w:p>
    <w:p w:rsidR="00905B3E" w:rsidRPr="003F63DB" w:rsidRDefault="00905B3E">
      <w:pPr>
        <w:pStyle w:val="Citat"/>
        <w:numPr>
          <w:ilvl w:val="0"/>
          <w:numId w:val="193"/>
        </w:numPr>
      </w:pPr>
      <w:r w:rsidRPr="003F63DB">
        <w:t xml:space="preserve">Görs endast efter större undersökningar. </w:t>
      </w:r>
    </w:p>
    <w:p w:rsidR="00905B3E" w:rsidRPr="003F63DB" w:rsidRDefault="00905B3E">
      <w:pPr>
        <w:pStyle w:val="Citat"/>
        <w:numPr>
          <w:ilvl w:val="0"/>
          <w:numId w:val="193"/>
        </w:numPr>
      </w:pPr>
      <w:r w:rsidRPr="003F63DB">
        <w:t xml:space="preserve">Har påbörjats genom upprättande av en rapportbas. </w:t>
      </w:r>
    </w:p>
    <w:p w:rsidR="00905B3E" w:rsidRPr="003F63DB" w:rsidRDefault="00905B3E">
      <w:pPr>
        <w:pStyle w:val="Citat"/>
        <w:numPr>
          <w:ilvl w:val="0"/>
          <w:numId w:val="193"/>
        </w:numPr>
      </w:pPr>
      <w:r w:rsidRPr="003F63DB">
        <w:t>Görs, men återkopplingen till grävande institution är bristfä</w:t>
      </w:r>
      <w:r w:rsidRPr="003F63DB">
        <w:t>l</w:t>
      </w:r>
      <w:r w:rsidRPr="003F63DB">
        <w:t>lig.</w:t>
      </w:r>
    </w:p>
    <w:p w:rsidR="00905B3E" w:rsidRPr="003F63DB" w:rsidRDefault="00905B3E">
      <w:pPr>
        <w:pStyle w:val="Citat"/>
        <w:numPr>
          <w:ilvl w:val="0"/>
          <w:numId w:val="193"/>
        </w:numPr>
      </w:pPr>
      <w:r w:rsidRPr="003F63DB">
        <w:t>Genomfört ett tvådagarsseminarium för att diskutera result</w:t>
      </w:r>
      <w:r w:rsidRPr="003F63DB">
        <w:t>a</w:t>
      </w:r>
      <w:r w:rsidRPr="003F63DB">
        <w:t>ten.</w:t>
      </w:r>
    </w:p>
    <w:p w:rsidR="00905B3E" w:rsidRPr="003F63DB" w:rsidRDefault="00905B3E">
      <w:pPr>
        <w:pStyle w:val="Citat"/>
        <w:numPr>
          <w:ilvl w:val="0"/>
          <w:numId w:val="193"/>
        </w:numPr>
      </w:pPr>
      <w:r w:rsidRPr="003F63DB">
        <w:t>Länsstyrelsen har ingen systematisk metod att utvärdera en undersö</w:t>
      </w:r>
      <w:r w:rsidRPr="003F63DB">
        <w:t>k</w:t>
      </w:r>
      <w:r w:rsidRPr="003F63DB">
        <w:t>nings sammanvägda resultat. Vi försöker emellertid se vilka resultat i en undersökning som kan utgöra stöd vid framtida li</w:t>
      </w:r>
      <w:r w:rsidRPr="003F63DB">
        <w:t>k</w:t>
      </w:r>
      <w:r w:rsidRPr="003F63DB">
        <w:t xml:space="preserve">nande arbeten. </w:t>
      </w:r>
    </w:p>
    <w:p w:rsidR="00905B3E" w:rsidRPr="003F63DB" w:rsidRDefault="00905B3E">
      <w:r w:rsidRPr="003F63DB">
        <w:t>Riksantikvarieämbetet menar att om det sker någon tillsyn utöver fältbesök handlar den nästan uteslutande om en kostnadsuppföljning. Endast i unda</w:t>
      </w:r>
      <w:r w:rsidRPr="003F63DB">
        <w:t>n</w:t>
      </w:r>
      <w:r w:rsidRPr="003F63DB">
        <w:t>tagsfall utvärderas resultaten i förhållande till de vetenska</w:t>
      </w:r>
      <w:r w:rsidRPr="003F63DB">
        <w:t>p</w:t>
      </w:r>
      <w:r w:rsidRPr="003F63DB">
        <w:t xml:space="preserve">liga målen. </w:t>
      </w:r>
    </w:p>
    <w:p w:rsidR="00905B3E" w:rsidRPr="003F63DB" w:rsidRDefault="00905B3E">
      <w:pPr>
        <w:pStyle w:val="Normaltindrag"/>
      </w:pPr>
      <w:r w:rsidRPr="003F63DB">
        <w:t>När revisorerna i enkäten bad länsstyrelserna beskriva hur de arbetade med tillsyn och utvärdering nämner ingen av länsstyrelserna uttryckligen att de gör en kostnadsuppföljning. Riksantikvarieämbetet gör inte heller någon uppföljning av hur de faktiska kostnaderna utfaller i förhållande till beräkn</w:t>
      </w:r>
      <w:r w:rsidRPr="003F63DB">
        <w:t>a</w:t>
      </w:r>
      <w:r w:rsidRPr="003F63DB">
        <w:t>de och beslutade belopp, för t.ex. registrering i myndighetens b</w:t>
      </w:r>
      <w:r w:rsidRPr="003F63DB">
        <w:t>e</w:t>
      </w:r>
      <w:r w:rsidRPr="003F63DB">
        <w:t>slutsregister.</w:t>
      </w:r>
    </w:p>
    <w:p w:rsidR="00905B3E" w:rsidRPr="003F63DB" w:rsidRDefault="00905B3E">
      <w:pPr>
        <w:pStyle w:val="Rubrik2"/>
      </w:pPr>
      <w:bookmarkStart w:id="100" w:name="_Toc25031921"/>
      <w:bookmarkStart w:id="101" w:name="_Toc36520749"/>
      <w:r w:rsidRPr="003F63DB">
        <w:t>Exploatörernas kontroll</w:t>
      </w:r>
      <w:bookmarkEnd w:id="100"/>
      <w:bookmarkEnd w:id="101"/>
    </w:p>
    <w:p w:rsidR="00905B3E" w:rsidRPr="003F63DB" w:rsidRDefault="00905B3E">
      <w:r w:rsidRPr="003F63DB">
        <w:t>Exploatörerna saknar som regel kompetens inom arkeologi och har därför begränsade möjligheter att ifrågasätta undersökningarnas vetenskapliga ambitionsnivå. Till följd av detta kan exploatörerna även ha svårt att avgöra om de kostnader de debiteras är rimliga. Vissa uttalanden tyder på att expl</w:t>
      </w:r>
      <w:r w:rsidRPr="003F63DB">
        <w:t>o</w:t>
      </w:r>
      <w:r w:rsidRPr="003F63DB">
        <w:t>atörerna också har dåliga kunskaper om reglerna för anbudsförfarande och däribland sin rätt att kräva anbudsförfarande vid mellanstora arkeologiska undersökningar (10–30 prisbasb</w:t>
      </w:r>
      <w:r w:rsidRPr="003F63DB">
        <w:t>e</w:t>
      </w:r>
      <w:r w:rsidRPr="003F63DB">
        <w:t>lopp).</w:t>
      </w:r>
    </w:p>
    <w:p w:rsidR="00905B3E" w:rsidRPr="003F63DB" w:rsidRDefault="00905B3E">
      <w:pPr>
        <w:pStyle w:val="Normaltindrag"/>
      </w:pPr>
      <w:r w:rsidRPr="003F63DB">
        <w:t>Det normala förfarandet vid fakturering har sedan länge varit att unders</w:t>
      </w:r>
      <w:r w:rsidRPr="003F63DB">
        <w:t>ö</w:t>
      </w:r>
      <w:r w:rsidRPr="003F63DB">
        <w:t>karna fakturerar exploatörerna i förskott, dvs. innan hela uppdraget är slu</w:t>
      </w:r>
      <w:r w:rsidRPr="003F63DB">
        <w:t>t</w:t>
      </w:r>
      <w:r w:rsidRPr="003F63DB">
        <w:t>fört. Riksantikvarieämbetet-UV uppger att de flesta stora uppdragsgivare i dag föredrar eller kräver att bli fakt</w:t>
      </w:r>
      <w:r w:rsidRPr="003F63DB">
        <w:t>u</w:t>
      </w:r>
      <w:r w:rsidRPr="003F63DB">
        <w:t>rerade efter faktiskt utfört arbete.</w:t>
      </w:r>
      <w:r w:rsidRPr="003F63DB">
        <w:rPr>
          <w:rStyle w:val="Fotnotsreferens"/>
        </w:rPr>
        <w:t xml:space="preserve"> </w:t>
      </w:r>
      <w:r w:rsidRPr="003F63DB">
        <w:rPr>
          <w:rStyle w:val="Fotnotsreferens"/>
        </w:rPr>
        <w:footnoteReference w:id="146"/>
      </w:r>
      <w:r w:rsidRPr="003F63DB">
        <w:t xml:space="preserve"> </w:t>
      </w:r>
    </w:p>
    <w:p w:rsidR="00905B3E" w:rsidRPr="003F63DB" w:rsidRDefault="00905B3E">
      <w:pPr>
        <w:pStyle w:val="Rubrik3-Utannumrering"/>
      </w:pPr>
      <w:r w:rsidRPr="003F63DB">
        <w:t>Anlitande av konsulter med arkeologisk kompetens</w:t>
      </w:r>
    </w:p>
    <w:p w:rsidR="00905B3E" w:rsidRPr="003F63DB" w:rsidRDefault="00905B3E">
      <w:r w:rsidRPr="003F63DB">
        <w:t>Vid en markexploatering som kräver omfattande arkeologiska undersöknin</w:t>
      </w:r>
      <w:r w:rsidRPr="003F63DB">
        <w:t>g</w:t>
      </w:r>
      <w:r w:rsidRPr="003F63DB">
        <w:t>ar kan kostnaderna för arkeologi komma att handla om åtskilliga miljoner kronor. De statliga exploatörerna Vägverket och Banverket har för egen räkning börjat anlita konsulter, eller beställarstöd, med arkeologisk komp</w:t>
      </w:r>
      <w:r w:rsidRPr="003F63DB">
        <w:t>e</w:t>
      </w:r>
      <w:r w:rsidRPr="003F63DB">
        <w:t>tens i samband med stora arkeologiska projekt. Syftet är att öka de egna styr- och kontrollmöjligheterna över det arkeologiska projektet och att säkerställa samspelet mellan beställaren och övriga parter i det arkeologiska projektet.</w:t>
      </w:r>
    </w:p>
    <w:p w:rsidR="00905B3E" w:rsidRPr="003F63DB" w:rsidRDefault="00905B3E">
      <w:pPr>
        <w:pStyle w:val="Normaltindrag"/>
      </w:pPr>
      <w:r w:rsidRPr="003F63DB">
        <w:t>Banverket var först med att anlita beställarstöd. Det gäll</w:t>
      </w:r>
      <w:r w:rsidRPr="003F63DB">
        <w:t>de anläggandet av Västkustbanan 1998. Med beställarstödets hjälp kunde verket bevaka att man endast betalade undersökaren Riksantikvarieämbetet-UV för det de var åla</w:t>
      </w:r>
      <w:r w:rsidRPr="003F63DB">
        <w:t>g</w:t>
      </w:r>
      <w:r w:rsidRPr="003F63DB">
        <w:t>da att betala enligt länsstyrelsens beslut. Kontrollen utfördes genom att bl.a. begära in och granska fakturaunderlag. Banverket har bedömt att man sa</w:t>
      </w:r>
      <w:r w:rsidRPr="003F63DB">
        <w:t>m</w:t>
      </w:r>
      <w:r w:rsidRPr="003F63DB">
        <w:t>mantaget tjänade in kostnaderna för beställarstödet genom minskade kostn</w:t>
      </w:r>
      <w:r w:rsidRPr="003F63DB">
        <w:t>a</w:t>
      </w:r>
      <w:r w:rsidRPr="003F63DB">
        <w:t>der för arkeologi.</w:t>
      </w:r>
    </w:p>
    <w:p w:rsidR="00905B3E" w:rsidRPr="003F63DB" w:rsidRDefault="00905B3E">
      <w:pPr>
        <w:pStyle w:val="Normaltindrag"/>
      </w:pPr>
      <w:r w:rsidRPr="003F63DB">
        <w:t>Ett aktuellt projekt är arkeologiska undersökningar inför E 4:ans nya sträckning i Uppsala län. Vägverk</w:t>
      </w:r>
      <w:r w:rsidRPr="003F63DB">
        <w:t>et Region Mälardalen har i detta projekt anlitat en arkeologisk konsult som rådgivare. Konsulten bistår Vägverket i diskussioner med länsstyrelsen vad gäller t.ex. undersökningsplaner och kostnader. Konsulten ska se till att samspelet mellan de parter som är inbla</w:t>
      </w:r>
      <w:r w:rsidRPr="003F63DB">
        <w:t>n</w:t>
      </w:r>
      <w:r w:rsidRPr="003F63DB">
        <w:t>dade i projektet – Vägverket, länsstyrelsen och undersökarna – fungerar. Att följa det arkeologiska projektet och att göra kostnadsuppföljningar är andra av konsu</w:t>
      </w:r>
      <w:r w:rsidRPr="003F63DB">
        <w:t>l</w:t>
      </w:r>
      <w:r w:rsidRPr="003F63DB">
        <w:t xml:space="preserve">tens uppgifter. </w:t>
      </w:r>
    </w:p>
    <w:p w:rsidR="00905B3E" w:rsidRPr="003F63DB" w:rsidRDefault="00905B3E">
      <w:pPr>
        <w:pStyle w:val="Rubrik3-Utannumrering"/>
      </w:pPr>
      <w:r w:rsidRPr="003F63DB">
        <w:t>Samverkansprojekt Vägverket–Riksantikvarieämbetet</w:t>
      </w:r>
    </w:p>
    <w:p w:rsidR="00905B3E" w:rsidRPr="003F63DB" w:rsidRDefault="00905B3E">
      <w:r w:rsidRPr="003F63DB">
        <w:t>Riksantikvarieämbetet och Vägverket har träffat en överenskommelse om samverkan.</w:t>
      </w:r>
      <w:r w:rsidRPr="003F63DB">
        <w:rPr>
          <w:rStyle w:val="Fotnotsreferens"/>
        </w:rPr>
        <w:footnoteReference w:id="147"/>
      </w:r>
      <w:r w:rsidRPr="003F63DB">
        <w:t xml:space="preserve"> Ett konkret samarbetsprojekt gäller uppdragsarkeologi. En angelägen samverkansuppgift sägs vara att utveckla beställarorganisationen så att länsstyrelserna ska fungera som exploatörens ombud och att något särskilt beställarstöd därmed inte ska behöva anlitas från Vägverkets sida. En annan samverkansuppgift är att skapa klarare konkurrensvillkor inom up</w:t>
      </w:r>
      <w:r w:rsidRPr="003F63DB">
        <w:t>p</w:t>
      </w:r>
      <w:r w:rsidRPr="003F63DB">
        <w:t>dragsarkeologin. Med detta menas att länsstyrelserna ska tillämpa ett urval</w:t>
      </w:r>
      <w:r w:rsidRPr="003F63DB">
        <w:t>s</w:t>
      </w:r>
      <w:r w:rsidRPr="003F63DB">
        <w:t>förfarande då detta föreskrivs.</w:t>
      </w:r>
      <w:r w:rsidRPr="003F63DB">
        <w:rPr>
          <w:rStyle w:val="Fotnotsreferens"/>
        </w:rPr>
        <w:footnoteReference w:id="148"/>
      </w:r>
      <w:r w:rsidRPr="003F63DB">
        <w:t xml:space="preserve"> </w:t>
      </w:r>
    </w:p>
    <w:p w:rsidR="00905B3E" w:rsidRPr="003F63DB" w:rsidRDefault="00905B3E">
      <w:pPr>
        <w:pStyle w:val="Normaltindrag"/>
      </w:pPr>
      <w:r w:rsidRPr="003F63DB">
        <w:t>Projektets inriktning tyder på att Vägverket anser att länsstyrelserna inte tar tillräcklig hänsyn till verkets önskemål om att hålla nere kostnaderna för arkeologi.</w:t>
      </w:r>
    </w:p>
    <w:p w:rsidR="00905B3E" w:rsidRPr="003F63DB" w:rsidRDefault="00905B3E">
      <w:pPr>
        <w:pStyle w:val="Rubrik2"/>
      </w:pPr>
      <w:bookmarkStart w:id="102" w:name="_Toc25031922"/>
      <w:bookmarkStart w:id="103" w:name="_Toc36520750"/>
      <w:r w:rsidRPr="003F63DB">
        <w:t>Sammanfattande iakttagelser</w:t>
      </w:r>
      <w:bookmarkEnd w:id="102"/>
      <w:bookmarkEnd w:id="103"/>
    </w:p>
    <w:p w:rsidR="00905B3E" w:rsidRPr="003F63DB" w:rsidRDefault="00905B3E">
      <w:r w:rsidRPr="003F63DB">
        <w:t>De samlade kostnaderna för uppdragsarkeologi, inkluderat vård och förv</w:t>
      </w:r>
      <w:r w:rsidRPr="003F63DB">
        <w:t>a</w:t>
      </w:r>
      <w:r w:rsidRPr="003F63DB">
        <w:t>ring av tillvaratagna arkeologiska fynd, är okända. Uppmärksamhet ägnas främst de kostnader som debiteras exploatörerna. Det är oklart vilken hänsyn länsstyrelserna tar till kostnader för framtida vård och förvaring när de b</w:t>
      </w:r>
      <w:r w:rsidRPr="003F63DB">
        <w:t>e</w:t>
      </w:r>
      <w:r w:rsidRPr="003F63DB">
        <w:t>slutar om en arkeologisk undersökning.</w:t>
      </w:r>
    </w:p>
    <w:p w:rsidR="00905B3E" w:rsidRPr="003F63DB" w:rsidRDefault="00905B3E">
      <w:pPr>
        <w:pStyle w:val="Normaltindrag"/>
      </w:pPr>
      <w:r w:rsidRPr="003F63DB">
        <w:t>Det finns inga krav på att länsstyrelserna i beslutet om särskild utredning eller arkeologisk förundersökning ska ange beräknade kostnader för de ark</w:t>
      </w:r>
      <w:r w:rsidRPr="003F63DB">
        <w:t>e</w:t>
      </w:r>
      <w:r w:rsidRPr="003F63DB">
        <w:t>ologiska tjänsterna. En effekt av detta är att exploatörer debiteras på löpande räkning.</w:t>
      </w:r>
    </w:p>
    <w:p w:rsidR="00905B3E" w:rsidRPr="003F63DB" w:rsidRDefault="00905B3E">
      <w:pPr>
        <w:pStyle w:val="Normaltindrag"/>
      </w:pPr>
      <w:r w:rsidRPr="003F63DB">
        <w:t>Kostnadsangivelserna i länsstyrelsernas beslut om stora undersökningar (över 30 prisbasbelopp) är inte alltid fullständiga. Vissa kostnadsposter kan saknas. I sådana fall blir det en fråga för undersökare och exploatör att sluta avtal om.</w:t>
      </w:r>
    </w:p>
    <w:p w:rsidR="00905B3E" w:rsidRPr="003F63DB" w:rsidRDefault="00905B3E">
      <w:pPr>
        <w:pStyle w:val="Normaltindrag"/>
      </w:pPr>
      <w:r w:rsidRPr="003F63DB">
        <w:t>Det är oklart vilken överensstämmelse som finns mellan länsstyrelsernas beslut om beräknade kostnader för de arkeologiska undersökningarna och de kostnader som exploatörerna slutgiltigt debiteras. Riksantikvarieämbetet har inte gjort någon uppföljning av hur de faktiska kostnaderna utfaller. Riksa</w:t>
      </w:r>
      <w:r w:rsidRPr="003F63DB">
        <w:t>n</w:t>
      </w:r>
      <w:r w:rsidRPr="003F63DB">
        <w:t>tikvarieämbetet godtar att vissa kostnadsposter inte redovisas i länsstyrelse</w:t>
      </w:r>
      <w:r w:rsidRPr="003F63DB">
        <w:t>r</w:t>
      </w:r>
      <w:r w:rsidRPr="003F63DB">
        <w:t>nas beslut.</w:t>
      </w:r>
    </w:p>
    <w:p w:rsidR="00905B3E" w:rsidRPr="003F63DB" w:rsidRDefault="00905B3E">
      <w:pPr>
        <w:pStyle w:val="Normaltindrag"/>
      </w:pPr>
      <w:r w:rsidRPr="003F63DB">
        <w:t>Uppgifterna i Riksantikvarieämbetets beslutsregister över kostnader för uppdragsarkeologi ger inte ett tillförlitligt underlag för kostnadsjämförelser. Riksantikvarieämbetet har redovisat högre kostnader för uppdragsarkeologi till regeringen än till Riksdagens revisorer för åren 1998 och 1999. Skilln</w:t>
      </w:r>
      <w:r w:rsidRPr="003F63DB">
        <w:t>a</w:t>
      </w:r>
      <w:r w:rsidRPr="003F63DB">
        <w:t>den uppgår till sammanlagt 118 mi</w:t>
      </w:r>
      <w:r w:rsidRPr="003F63DB">
        <w:t>l</w:t>
      </w:r>
      <w:r w:rsidRPr="003F63DB">
        <w:t xml:space="preserve">joner kronor för perioden. </w:t>
      </w:r>
    </w:p>
    <w:p w:rsidR="00905B3E" w:rsidRPr="003F63DB" w:rsidRDefault="00905B3E">
      <w:pPr>
        <w:pStyle w:val="Normaltindrag"/>
      </w:pPr>
      <w:r w:rsidRPr="003F63DB">
        <w:t>Avsaknad av eller oprecisa kravspecifikationer från länsstyrelserna, liksom ofullständiga undersökningsplaner från undersökarna, ger länsstyrelserna ett dåligt beslutsunderlag. Undersökarna har ett övertag i förhållande till länsst</w:t>
      </w:r>
      <w:r w:rsidRPr="003F63DB">
        <w:t>y</w:t>
      </w:r>
      <w:r w:rsidRPr="003F63DB">
        <w:t>relserna vad gäller att bestämma undersökningens omfattning och inriktning. Därmed har unders</w:t>
      </w:r>
      <w:r w:rsidRPr="003F63DB">
        <w:t>ö</w:t>
      </w:r>
      <w:r w:rsidRPr="003F63DB">
        <w:t>karna även ett övertag i bedömningen av kostnaderna.</w:t>
      </w:r>
    </w:p>
    <w:p w:rsidR="00905B3E" w:rsidRPr="003F63DB" w:rsidRDefault="00905B3E">
      <w:pPr>
        <w:pStyle w:val="Normaltindrag"/>
      </w:pPr>
      <w:r w:rsidRPr="003F63DB">
        <w:t>Exploatörerna har små möjligheter att kontrollera om kostnadsansvaret u</w:t>
      </w:r>
      <w:r w:rsidRPr="003F63DB">
        <w:t>t</w:t>
      </w:r>
      <w:r w:rsidRPr="003F63DB">
        <w:t>vidgas eller vad de debiteras för. Riksantikvarieämbetet har inte invänt mot att Vägverket bekostar länsstyrelsens myndighetsutövning i samband med arkeologiska undersökningar i Uppsala län. Exploatörerna har anlitat egna konsulter med arkeologisk kompetens endast vid ett fåtal stora arkeologiska projekt.</w:t>
      </w:r>
    </w:p>
    <w:p w:rsidR="00905B3E" w:rsidRPr="003F63DB" w:rsidRDefault="00905B3E">
      <w:pPr>
        <w:pStyle w:val="Normaltindrag"/>
      </w:pPr>
      <w:r w:rsidRPr="003F63DB">
        <w:t>De flesta länsstyrelser har svårt att utföra en tillsyn över den arkeologiska verksamheten som motsvarar de krav som Riksantikvarieämbetet ställer. Länsstyrelserna hänvisar till resursbrist. Riksantikvari</w:t>
      </w:r>
      <w:r w:rsidRPr="003F63DB">
        <w:t>eämbetet uppmanar länsstyrelserna att förlita sig till undersökarnas egna uppföljningar av mindre arkeologiska uppdr</w:t>
      </w:r>
      <w:r w:rsidRPr="003F63DB">
        <w:t>a</w:t>
      </w:r>
      <w:r w:rsidRPr="003F63DB">
        <w:t>g.</w:t>
      </w:r>
    </w:p>
    <w:p w:rsidR="00905B3E" w:rsidRPr="003F63DB" w:rsidRDefault="00905B3E">
      <w:pPr>
        <w:pStyle w:val="Rubrik1"/>
      </w:pPr>
      <w:bookmarkStart w:id="104" w:name="_Toc2051070"/>
      <w:bookmarkEnd w:id="58"/>
      <w:bookmarkEnd w:id="95"/>
      <w:r w:rsidRPr="003F63DB">
        <w:br w:type="page"/>
      </w:r>
      <w:bookmarkStart w:id="105" w:name="_Toc25031923"/>
      <w:bookmarkStart w:id="106" w:name="_Toc36520751"/>
      <w:r w:rsidRPr="003F63DB">
        <w:t xml:space="preserve">Undersökarna och </w:t>
      </w:r>
      <w:bookmarkStart w:id="107" w:name="_Toc2051072"/>
      <w:bookmarkEnd w:id="104"/>
      <w:r w:rsidRPr="003F63DB">
        <w:t>uppdragen</w:t>
      </w:r>
      <w:bookmarkEnd w:id="105"/>
      <w:bookmarkEnd w:id="106"/>
    </w:p>
    <w:p w:rsidR="00905B3E" w:rsidRPr="003F63DB" w:rsidRDefault="00905B3E">
      <w:r w:rsidRPr="003F63DB">
        <w:t>Utan kulturminneslagens skydd av fasta fornlämningar – och de avsteg som görs från skyddet då ingrepp tillåts – skulle den uppdragsarkeologiska ver</w:t>
      </w:r>
      <w:r w:rsidRPr="003F63DB">
        <w:t>k</w:t>
      </w:r>
      <w:r w:rsidRPr="003F63DB">
        <w:t xml:space="preserve">samheten inte behövas. Verksamheten kan inte få en större omfattning än vad länsstyrelserna beslutar med stöd av lagen. </w:t>
      </w:r>
    </w:p>
    <w:p w:rsidR="00905B3E" w:rsidRPr="003F63DB" w:rsidRDefault="00905B3E">
      <w:pPr>
        <w:pStyle w:val="Normaltindrag"/>
      </w:pPr>
      <w:r w:rsidRPr="003F63DB">
        <w:t>Redovisningen i det följande avser arkeologiska tjänster vid markexploat</w:t>
      </w:r>
      <w:r w:rsidRPr="003F63DB">
        <w:t>e</w:t>
      </w:r>
      <w:r w:rsidRPr="003F63DB">
        <w:t>ring som kräver länsstyrelsens beslut enligt kulturminneslagen, dvs. särskild utredning, arkeologisk förundersökning och särskild undersökning.</w:t>
      </w:r>
      <w:r w:rsidRPr="003F63DB">
        <w:rPr>
          <w:rStyle w:val="Fotnotsreferens"/>
        </w:rPr>
        <w:footnoteReference w:id="149"/>
      </w:r>
    </w:p>
    <w:p w:rsidR="00905B3E" w:rsidRPr="003F63DB" w:rsidRDefault="00905B3E">
      <w:pPr>
        <w:pStyle w:val="Rubrik2"/>
      </w:pPr>
      <w:bookmarkStart w:id="108" w:name="_Toc25031924"/>
      <w:bookmarkStart w:id="109" w:name="_Toc36520752"/>
      <w:r w:rsidRPr="003F63DB">
        <w:t>Uppdragens antal och storlek</w:t>
      </w:r>
      <w:bookmarkEnd w:id="108"/>
      <w:bookmarkEnd w:id="109"/>
    </w:p>
    <w:p w:rsidR="00905B3E" w:rsidRPr="003F63DB" w:rsidRDefault="00905B3E">
      <w:r w:rsidRPr="003F63DB">
        <w:t xml:space="preserve">Efterfrågan på arkeologiska tjänster varierar mellan åren beroende på vilka markexploateringar som planeras. Årligen fattar länsstyrelserna mellan 1 500 och 2 000 beslut i uppdragsarkeologiska ärenden. De flesta beslut avser uppdrag som understiger en kostnad av ett prisbasbelopp. Under perioden 1996–2001 har nästan 80 % av alla uppdrag varit av denna storlek. </w:t>
      </w:r>
    </w:p>
    <w:p w:rsidR="00905B3E" w:rsidRPr="003F63DB" w:rsidRDefault="00905B3E">
      <w:pPr>
        <w:pStyle w:val="Normaltindrag"/>
      </w:pPr>
    </w:p>
    <w:p w:rsidR="00905B3E" w:rsidRPr="003F63DB" w:rsidRDefault="00905B3E">
      <w:pPr>
        <w:pStyle w:val="Tabellrubrik"/>
        <w:spacing w:after="120"/>
        <w:rPr>
          <w:rFonts w:ascii="Arial" w:hAnsi="Arial"/>
          <w:sz w:val="18"/>
        </w:rPr>
      </w:pPr>
      <w:r w:rsidRPr="003F63DB">
        <w:rPr>
          <w:rFonts w:ascii="Arial" w:hAnsi="Arial"/>
          <w:sz w:val="18"/>
        </w:rPr>
        <w:t>Fördelning av antalet beslut om arkeologiska uppdrag i olika kos</w:t>
      </w:r>
      <w:r w:rsidRPr="003F63DB">
        <w:rPr>
          <w:rFonts w:ascii="Arial" w:hAnsi="Arial"/>
          <w:sz w:val="18"/>
        </w:rPr>
        <w:t>t</w:t>
      </w:r>
      <w:r w:rsidRPr="003F63DB">
        <w:rPr>
          <w:rFonts w:ascii="Arial" w:hAnsi="Arial"/>
          <w:sz w:val="18"/>
        </w:rPr>
        <w:t>nadsintervall, pr</w:t>
      </w:r>
      <w:r w:rsidRPr="003F63DB">
        <w:rPr>
          <w:rFonts w:ascii="Arial" w:hAnsi="Arial"/>
          <w:sz w:val="18"/>
        </w:rPr>
        <w:t>o</w:t>
      </w:r>
      <w:r w:rsidRPr="003F63DB">
        <w:rPr>
          <w:rFonts w:ascii="Arial" w:hAnsi="Arial"/>
          <w:sz w:val="18"/>
        </w:rPr>
        <w:t>cent</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2012"/>
        <w:gridCol w:w="641"/>
        <w:gridCol w:w="641"/>
        <w:gridCol w:w="641"/>
        <w:gridCol w:w="641"/>
        <w:gridCol w:w="641"/>
        <w:gridCol w:w="641"/>
      </w:tblGrid>
      <w:tr w:rsidR="00000000" w:rsidRPr="003F63DB">
        <w:tblPrEx>
          <w:tblCellMar>
            <w:top w:w="0" w:type="dxa"/>
            <w:bottom w:w="0" w:type="dxa"/>
          </w:tblCellMar>
        </w:tblPrEx>
        <w:tc>
          <w:tcPr>
            <w:tcW w:w="2012" w:type="dxa"/>
            <w:tcBorders>
              <w:bottom w:val="single" w:sz="6" w:space="0" w:color="808080"/>
            </w:tcBorders>
          </w:tcPr>
          <w:p w:rsidR="00905B3E" w:rsidRPr="003F63DB" w:rsidRDefault="00905B3E">
            <w:pPr>
              <w:pStyle w:val="Tabell"/>
              <w:rPr>
                <w:rFonts w:ascii="Arial" w:hAnsi="Arial"/>
                <w:sz w:val="16"/>
              </w:rPr>
            </w:pPr>
            <w:r w:rsidRPr="003F63DB">
              <w:rPr>
                <w:rFonts w:ascii="Arial" w:hAnsi="Arial"/>
                <w:sz w:val="16"/>
              </w:rPr>
              <w:t>Kostnadsintervall</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1996</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1997</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1998</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1999</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2000</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2001</w:t>
            </w:r>
          </w:p>
        </w:tc>
      </w:tr>
      <w:tr w:rsidR="00000000" w:rsidRPr="003F63DB">
        <w:tblPrEx>
          <w:tblCellMar>
            <w:top w:w="0" w:type="dxa"/>
            <w:bottom w:w="0" w:type="dxa"/>
          </w:tblCellMar>
        </w:tblPrEx>
        <w:tc>
          <w:tcPr>
            <w:tcW w:w="2012" w:type="dxa"/>
            <w:tcBorders>
              <w:top w:val="single" w:sz="6" w:space="0" w:color="808080"/>
            </w:tcBorders>
          </w:tcPr>
          <w:p w:rsidR="00905B3E" w:rsidRPr="003F63DB" w:rsidRDefault="00905B3E">
            <w:pPr>
              <w:pStyle w:val="Tabell"/>
              <w:rPr>
                <w:rFonts w:ascii="Arial" w:hAnsi="Arial"/>
                <w:sz w:val="16"/>
              </w:rPr>
            </w:pPr>
            <w:r w:rsidRPr="003F63DB">
              <w:rPr>
                <w:rFonts w:ascii="Arial" w:hAnsi="Arial"/>
                <w:sz w:val="16"/>
              </w:rPr>
              <w:t>&lt; 1 prisbasbelopp</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79</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82</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77</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78</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78</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78</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 xml:space="preserve">1–2 </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c>
          <w:tcPr>
            <w:tcW w:w="641" w:type="dxa"/>
          </w:tcPr>
          <w:p w:rsidR="00905B3E" w:rsidRPr="003F63DB" w:rsidRDefault="00905B3E">
            <w:pPr>
              <w:pStyle w:val="Tabell"/>
              <w:jc w:val="right"/>
              <w:rPr>
                <w:rFonts w:ascii="Arial" w:hAnsi="Arial"/>
                <w:sz w:val="16"/>
              </w:rPr>
            </w:pPr>
            <w:r w:rsidRPr="003F63DB">
              <w:rPr>
                <w:rFonts w:ascii="Arial" w:hAnsi="Arial"/>
                <w:sz w:val="16"/>
              </w:rPr>
              <w:t>6</w:t>
            </w:r>
          </w:p>
        </w:tc>
        <w:tc>
          <w:tcPr>
            <w:tcW w:w="641" w:type="dxa"/>
          </w:tcPr>
          <w:p w:rsidR="00905B3E" w:rsidRPr="003F63DB" w:rsidRDefault="00905B3E">
            <w:pPr>
              <w:pStyle w:val="Tabell"/>
              <w:jc w:val="right"/>
              <w:rPr>
                <w:rFonts w:ascii="Arial" w:hAnsi="Arial"/>
                <w:sz w:val="16"/>
              </w:rPr>
            </w:pPr>
            <w:r w:rsidRPr="003F63DB">
              <w:rPr>
                <w:rFonts w:ascii="Arial" w:hAnsi="Arial"/>
                <w:sz w:val="16"/>
              </w:rPr>
              <w:t>7</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c>
          <w:tcPr>
            <w:tcW w:w="641" w:type="dxa"/>
          </w:tcPr>
          <w:p w:rsidR="00905B3E" w:rsidRPr="003F63DB" w:rsidRDefault="00905B3E">
            <w:pPr>
              <w:pStyle w:val="Tabell"/>
              <w:jc w:val="right"/>
              <w:rPr>
                <w:rFonts w:ascii="Arial" w:hAnsi="Arial"/>
                <w:sz w:val="16"/>
              </w:rPr>
            </w:pPr>
            <w:r w:rsidRPr="003F63DB">
              <w:rPr>
                <w:rFonts w:ascii="Arial" w:hAnsi="Arial"/>
                <w:sz w:val="16"/>
              </w:rPr>
              <w:t>7</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 xml:space="preserve">2–5 </w:t>
            </w:r>
          </w:p>
        </w:tc>
        <w:tc>
          <w:tcPr>
            <w:tcW w:w="641" w:type="dxa"/>
          </w:tcPr>
          <w:p w:rsidR="00905B3E" w:rsidRPr="003F63DB" w:rsidRDefault="00905B3E">
            <w:pPr>
              <w:pStyle w:val="Tabell"/>
              <w:jc w:val="right"/>
              <w:rPr>
                <w:rFonts w:ascii="Arial" w:hAnsi="Arial"/>
                <w:sz w:val="16"/>
              </w:rPr>
            </w:pPr>
            <w:r w:rsidRPr="003F63DB">
              <w:rPr>
                <w:rFonts w:ascii="Arial" w:hAnsi="Arial"/>
                <w:sz w:val="16"/>
              </w:rPr>
              <w:t>5</w:t>
            </w:r>
          </w:p>
        </w:tc>
        <w:tc>
          <w:tcPr>
            <w:tcW w:w="641" w:type="dxa"/>
          </w:tcPr>
          <w:p w:rsidR="00905B3E" w:rsidRPr="003F63DB" w:rsidRDefault="00905B3E">
            <w:pPr>
              <w:pStyle w:val="Tabell"/>
              <w:jc w:val="right"/>
              <w:rPr>
                <w:rFonts w:ascii="Arial" w:hAnsi="Arial"/>
                <w:sz w:val="16"/>
              </w:rPr>
            </w:pPr>
            <w:r w:rsidRPr="003F63DB">
              <w:rPr>
                <w:rFonts w:ascii="Arial" w:hAnsi="Arial"/>
                <w:sz w:val="16"/>
              </w:rPr>
              <w:t>5</w:t>
            </w:r>
          </w:p>
        </w:tc>
        <w:tc>
          <w:tcPr>
            <w:tcW w:w="641" w:type="dxa"/>
          </w:tcPr>
          <w:p w:rsidR="00905B3E" w:rsidRPr="003F63DB" w:rsidRDefault="00905B3E">
            <w:pPr>
              <w:pStyle w:val="Tabell"/>
              <w:jc w:val="right"/>
              <w:rPr>
                <w:rFonts w:ascii="Arial" w:hAnsi="Arial"/>
                <w:sz w:val="16"/>
              </w:rPr>
            </w:pPr>
            <w:r w:rsidRPr="003F63DB">
              <w:rPr>
                <w:rFonts w:ascii="Arial" w:hAnsi="Arial"/>
                <w:sz w:val="16"/>
              </w:rPr>
              <w:t>7</w:t>
            </w:r>
          </w:p>
        </w:tc>
        <w:tc>
          <w:tcPr>
            <w:tcW w:w="641" w:type="dxa"/>
          </w:tcPr>
          <w:p w:rsidR="00905B3E" w:rsidRPr="003F63DB" w:rsidRDefault="00905B3E">
            <w:pPr>
              <w:pStyle w:val="Tabell"/>
              <w:jc w:val="right"/>
              <w:rPr>
                <w:rFonts w:ascii="Arial" w:hAnsi="Arial"/>
                <w:sz w:val="16"/>
              </w:rPr>
            </w:pPr>
            <w:r w:rsidRPr="003F63DB">
              <w:rPr>
                <w:rFonts w:ascii="Arial" w:hAnsi="Arial"/>
                <w:sz w:val="16"/>
              </w:rPr>
              <w:t>7</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5–10</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10–30</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c>
          <w:tcPr>
            <w:tcW w:w="641" w:type="dxa"/>
          </w:tcPr>
          <w:p w:rsidR="00905B3E" w:rsidRPr="003F63DB" w:rsidRDefault="00905B3E">
            <w:pPr>
              <w:pStyle w:val="Tabell"/>
              <w:jc w:val="right"/>
              <w:rPr>
                <w:rFonts w:ascii="Arial" w:hAnsi="Arial"/>
                <w:sz w:val="16"/>
              </w:rPr>
            </w:pPr>
            <w:r w:rsidRPr="003F63DB">
              <w:rPr>
                <w:rFonts w:ascii="Arial" w:hAnsi="Arial"/>
                <w:sz w:val="16"/>
              </w:rPr>
              <w:t>2</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c>
          <w:tcPr>
            <w:tcW w:w="641" w:type="dxa"/>
          </w:tcPr>
          <w:p w:rsidR="00905B3E" w:rsidRPr="003F63DB" w:rsidRDefault="00905B3E">
            <w:pPr>
              <w:pStyle w:val="Tabell"/>
              <w:jc w:val="right"/>
              <w:rPr>
                <w:rFonts w:ascii="Arial" w:hAnsi="Arial"/>
                <w:sz w:val="16"/>
              </w:rPr>
            </w:pPr>
            <w:r w:rsidRPr="003F63DB">
              <w:rPr>
                <w:rFonts w:ascii="Arial" w:hAnsi="Arial"/>
                <w:sz w:val="16"/>
              </w:rPr>
              <w:t>2</w:t>
            </w:r>
          </w:p>
        </w:tc>
        <w:tc>
          <w:tcPr>
            <w:tcW w:w="641" w:type="dxa"/>
          </w:tcPr>
          <w:p w:rsidR="00905B3E" w:rsidRPr="003F63DB" w:rsidRDefault="00905B3E">
            <w:pPr>
              <w:pStyle w:val="Tabell"/>
              <w:jc w:val="right"/>
              <w:rPr>
                <w:rFonts w:ascii="Arial" w:hAnsi="Arial"/>
                <w:sz w:val="16"/>
              </w:rPr>
            </w:pPr>
            <w:r w:rsidRPr="003F63DB">
              <w:rPr>
                <w:rFonts w:ascii="Arial" w:hAnsi="Arial"/>
                <w:sz w:val="16"/>
              </w:rPr>
              <w:t>2</w:t>
            </w:r>
          </w:p>
        </w:tc>
        <w:tc>
          <w:tcPr>
            <w:tcW w:w="641" w:type="dxa"/>
          </w:tcPr>
          <w:p w:rsidR="00905B3E" w:rsidRPr="003F63DB" w:rsidRDefault="00905B3E">
            <w:pPr>
              <w:pStyle w:val="Tabell"/>
              <w:jc w:val="right"/>
              <w:rPr>
                <w:rFonts w:ascii="Arial" w:hAnsi="Arial"/>
                <w:sz w:val="16"/>
              </w:rPr>
            </w:pPr>
            <w:r w:rsidRPr="003F63DB">
              <w:rPr>
                <w:rFonts w:ascii="Arial" w:hAnsi="Arial"/>
                <w:sz w:val="16"/>
              </w:rPr>
              <w:t>3</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&gt;30</w:t>
            </w:r>
          </w:p>
        </w:tc>
        <w:tc>
          <w:tcPr>
            <w:tcW w:w="641" w:type="dxa"/>
          </w:tcPr>
          <w:p w:rsidR="00905B3E" w:rsidRPr="003F63DB" w:rsidRDefault="00905B3E">
            <w:pPr>
              <w:pStyle w:val="Tabell"/>
              <w:jc w:val="right"/>
              <w:rPr>
                <w:rFonts w:ascii="Arial" w:hAnsi="Arial"/>
                <w:sz w:val="16"/>
              </w:rPr>
            </w:pPr>
            <w:r w:rsidRPr="003F63DB">
              <w:rPr>
                <w:rFonts w:ascii="Arial" w:hAnsi="Arial"/>
                <w:sz w:val="16"/>
              </w:rPr>
              <w:t>2</w:t>
            </w:r>
          </w:p>
        </w:tc>
        <w:tc>
          <w:tcPr>
            <w:tcW w:w="641" w:type="dxa"/>
          </w:tcPr>
          <w:p w:rsidR="00905B3E" w:rsidRPr="003F63DB" w:rsidRDefault="00905B3E">
            <w:pPr>
              <w:pStyle w:val="Tabell"/>
              <w:jc w:val="right"/>
              <w:rPr>
                <w:rFonts w:ascii="Arial" w:hAnsi="Arial"/>
                <w:sz w:val="16"/>
              </w:rPr>
            </w:pPr>
            <w:r w:rsidRPr="003F63DB">
              <w:rPr>
                <w:rFonts w:ascii="Arial" w:hAnsi="Arial"/>
                <w:sz w:val="16"/>
              </w:rPr>
              <w:t>2</w:t>
            </w:r>
          </w:p>
        </w:tc>
        <w:tc>
          <w:tcPr>
            <w:tcW w:w="641" w:type="dxa"/>
          </w:tcPr>
          <w:p w:rsidR="00905B3E" w:rsidRPr="003F63DB" w:rsidRDefault="00905B3E">
            <w:pPr>
              <w:pStyle w:val="Tabell"/>
              <w:jc w:val="right"/>
              <w:rPr>
                <w:rFonts w:ascii="Arial" w:hAnsi="Arial"/>
                <w:sz w:val="16"/>
              </w:rPr>
            </w:pPr>
            <w:r w:rsidRPr="003F63DB">
              <w:rPr>
                <w:rFonts w:ascii="Arial" w:hAnsi="Arial"/>
                <w:sz w:val="16"/>
              </w:rPr>
              <w:t>2</w:t>
            </w:r>
          </w:p>
        </w:tc>
        <w:tc>
          <w:tcPr>
            <w:tcW w:w="641" w:type="dxa"/>
          </w:tcPr>
          <w:p w:rsidR="00905B3E" w:rsidRPr="003F63DB" w:rsidRDefault="00905B3E">
            <w:pPr>
              <w:pStyle w:val="Tabell"/>
              <w:jc w:val="right"/>
              <w:rPr>
                <w:rFonts w:ascii="Arial" w:hAnsi="Arial"/>
                <w:sz w:val="16"/>
              </w:rPr>
            </w:pPr>
            <w:r w:rsidRPr="003F63DB">
              <w:rPr>
                <w:rFonts w:ascii="Arial" w:hAnsi="Arial"/>
                <w:sz w:val="16"/>
              </w:rPr>
              <w:t>2</w:t>
            </w:r>
          </w:p>
        </w:tc>
        <w:tc>
          <w:tcPr>
            <w:tcW w:w="641" w:type="dxa"/>
          </w:tcPr>
          <w:p w:rsidR="00905B3E" w:rsidRPr="003F63DB" w:rsidRDefault="00905B3E">
            <w:pPr>
              <w:pStyle w:val="Tabell"/>
              <w:jc w:val="right"/>
              <w:rPr>
                <w:rFonts w:ascii="Arial" w:hAnsi="Arial"/>
                <w:sz w:val="16"/>
              </w:rPr>
            </w:pPr>
            <w:r w:rsidRPr="003F63DB">
              <w:rPr>
                <w:rFonts w:ascii="Arial" w:hAnsi="Arial"/>
                <w:sz w:val="16"/>
              </w:rPr>
              <w:t>1</w:t>
            </w:r>
          </w:p>
        </w:tc>
        <w:tc>
          <w:tcPr>
            <w:tcW w:w="641" w:type="dxa"/>
          </w:tcPr>
          <w:p w:rsidR="00905B3E" w:rsidRPr="003F63DB" w:rsidRDefault="00905B3E">
            <w:pPr>
              <w:pStyle w:val="Tabell"/>
              <w:jc w:val="right"/>
              <w:rPr>
                <w:rFonts w:ascii="Arial" w:hAnsi="Arial"/>
                <w:sz w:val="16"/>
              </w:rPr>
            </w:pPr>
            <w:r w:rsidRPr="003F63DB">
              <w:rPr>
                <w:rFonts w:ascii="Arial" w:hAnsi="Arial"/>
                <w:sz w:val="16"/>
              </w:rPr>
              <w:t>2</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b/>
                <w:sz w:val="16"/>
              </w:rPr>
            </w:pPr>
            <w:r w:rsidRPr="003F63DB">
              <w:rPr>
                <w:rFonts w:ascii="Arial" w:hAnsi="Arial"/>
                <w:b/>
                <w:sz w:val="16"/>
              </w:rPr>
              <w:t>Samtliga beslut, procent</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Samtliga beslut, antal</w:t>
            </w:r>
          </w:p>
        </w:tc>
        <w:tc>
          <w:tcPr>
            <w:tcW w:w="641" w:type="dxa"/>
          </w:tcPr>
          <w:p w:rsidR="00905B3E" w:rsidRPr="003F63DB" w:rsidRDefault="00905B3E">
            <w:pPr>
              <w:pStyle w:val="Tabell"/>
              <w:jc w:val="right"/>
              <w:rPr>
                <w:rFonts w:ascii="Arial" w:hAnsi="Arial"/>
                <w:sz w:val="16"/>
              </w:rPr>
            </w:pPr>
            <w:r w:rsidRPr="003F63DB">
              <w:rPr>
                <w:rFonts w:ascii="Arial" w:hAnsi="Arial"/>
                <w:sz w:val="16"/>
              </w:rPr>
              <w:t>1 475</w:t>
            </w:r>
          </w:p>
        </w:tc>
        <w:tc>
          <w:tcPr>
            <w:tcW w:w="641" w:type="dxa"/>
          </w:tcPr>
          <w:p w:rsidR="00905B3E" w:rsidRPr="003F63DB" w:rsidRDefault="00905B3E">
            <w:pPr>
              <w:pStyle w:val="Tabell"/>
              <w:jc w:val="right"/>
              <w:rPr>
                <w:rFonts w:ascii="Arial" w:hAnsi="Arial"/>
                <w:sz w:val="16"/>
              </w:rPr>
            </w:pPr>
            <w:r w:rsidRPr="003F63DB">
              <w:rPr>
                <w:rFonts w:ascii="Arial" w:hAnsi="Arial"/>
                <w:sz w:val="16"/>
              </w:rPr>
              <w:t>1 517</w:t>
            </w:r>
          </w:p>
        </w:tc>
        <w:tc>
          <w:tcPr>
            <w:tcW w:w="641" w:type="dxa"/>
          </w:tcPr>
          <w:p w:rsidR="00905B3E" w:rsidRPr="003F63DB" w:rsidRDefault="00905B3E">
            <w:pPr>
              <w:pStyle w:val="Tabell"/>
              <w:jc w:val="right"/>
              <w:rPr>
                <w:rFonts w:ascii="Arial" w:hAnsi="Arial"/>
                <w:sz w:val="16"/>
              </w:rPr>
            </w:pPr>
            <w:r w:rsidRPr="003F63DB">
              <w:rPr>
                <w:rFonts w:ascii="Arial" w:hAnsi="Arial"/>
                <w:sz w:val="16"/>
              </w:rPr>
              <w:t>1 536</w:t>
            </w:r>
          </w:p>
        </w:tc>
        <w:tc>
          <w:tcPr>
            <w:tcW w:w="641" w:type="dxa"/>
          </w:tcPr>
          <w:p w:rsidR="00905B3E" w:rsidRPr="003F63DB" w:rsidRDefault="00905B3E">
            <w:pPr>
              <w:pStyle w:val="Tabell"/>
              <w:jc w:val="right"/>
              <w:rPr>
                <w:rFonts w:ascii="Arial" w:hAnsi="Arial"/>
                <w:sz w:val="16"/>
              </w:rPr>
            </w:pPr>
            <w:r w:rsidRPr="003F63DB">
              <w:rPr>
                <w:rFonts w:ascii="Arial" w:hAnsi="Arial"/>
                <w:sz w:val="16"/>
              </w:rPr>
              <w:t>1 131</w:t>
            </w:r>
          </w:p>
        </w:tc>
        <w:tc>
          <w:tcPr>
            <w:tcW w:w="641" w:type="dxa"/>
          </w:tcPr>
          <w:p w:rsidR="00905B3E" w:rsidRPr="003F63DB" w:rsidRDefault="00905B3E">
            <w:pPr>
              <w:pStyle w:val="Tabell"/>
              <w:jc w:val="right"/>
              <w:rPr>
                <w:rFonts w:ascii="Arial" w:hAnsi="Arial"/>
                <w:sz w:val="16"/>
              </w:rPr>
            </w:pPr>
            <w:r w:rsidRPr="003F63DB">
              <w:rPr>
                <w:rFonts w:ascii="Arial" w:hAnsi="Arial"/>
                <w:sz w:val="16"/>
              </w:rPr>
              <w:t>2 049</w:t>
            </w:r>
          </w:p>
        </w:tc>
        <w:tc>
          <w:tcPr>
            <w:tcW w:w="641" w:type="dxa"/>
          </w:tcPr>
          <w:p w:rsidR="00905B3E" w:rsidRPr="003F63DB" w:rsidRDefault="00905B3E">
            <w:pPr>
              <w:pStyle w:val="Tabell"/>
              <w:jc w:val="right"/>
              <w:rPr>
                <w:rFonts w:ascii="Arial" w:hAnsi="Arial"/>
                <w:sz w:val="16"/>
              </w:rPr>
            </w:pPr>
            <w:r w:rsidRPr="003F63DB">
              <w:rPr>
                <w:rFonts w:ascii="Arial" w:hAnsi="Arial"/>
                <w:sz w:val="16"/>
              </w:rPr>
              <w:t>2 110</w:t>
            </w:r>
          </w:p>
        </w:tc>
      </w:tr>
    </w:tbl>
    <w:p w:rsidR="00905B3E" w:rsidRPr="003F63DB" w:rsidRDefault="00905B3E">
      <w:pPr>
        <w:pStyle w:val="Tabell"/>
        <w:spacing w:before="120" w:after="120"/>
      </w:pPr>
      <w:r w:rsidRPr="003F63DB">
        <w:rPr>
          <w:rFonts w:ascii="Arial" w:hAnsi="Arial"/>
        </w:rPr>
        <w:t>Källa: Riksantikvarieämbetet, beslutsregistret</w:t>
      </w:r>
      <w:r w:rsidRPr="003F63DB">
        <w:t xml:space="preserve"> </w:t>
      </w:r>
    </w:p>
    <w:p w:rsidR="00905B3E" w:rsidRPr="003F63DB" w:rsidRDefault="00905B3E">
      <w:pPr>
        <w:pStyle w:val="Tabell"/>
        <w:spacing w:before="120" w:after="120"/>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3F63DB">
        <w:tblPrEx>
          <w:tblCellMar>
            <w:top w:w="0" w:type="dxa"/>
            <w:bottom w:w="0" w:type="dxa"/>
          </w:tblCellMar>
        </w:tblPrEx>
        <w:tc>
          <w:tcPr>
            <w:tcW w:w="6036" w:type="dxa"/>
            <w:shd w:val="pct10" w:color="auto" w:fill="FFFFFF"/>
          </w:tcPr>
          <w:p w:rsidR="00905B3E" w:rsidRPr="003F63DB" w:rsidRDefault="00905B3E">
            <w:pPr>
              <w:pStyle w:val="Tabell"/>
              <w:spacing w:before="120" w:after="120"/>
              <w:rPr>
                <w:rFonts w:ascii="Arial" w:hAnsi="Arial"/>
                <w:sz w:val="16"/>
              </w:rPr>
            </w:pPr>
            <w:r w:rsidRPr="003F63DB">
              <w:rPr>
                <w:rFonts w:ascii="Arial" w:hAnsi="Arial"/>
                <w:b/>
                <w:sz w:val="16"/>
              </w:rPr>
              <w:t>Prisbasbeloppet</w:t>
            </w:r>
            <w:r w:rsidRPr="003F63DB">
              <w:rPr>
                <w:rFonts w:ascii="Arial" w:hAnsi="Arial"/>
                <w:sz w:val="16"/>
              </w:rPr>
              <w:t xml:space="preserve"> var för år 1996 36 200 kronor och för år 2001 36 900 kronor. Gällande prisbasbelopp för år 2002 är 37 900 kronor.</w:t>
            </w:r>
          </w:p>
        </w:tc>
      </w:tr>
    </w:tbl>
    <w:p w:rsidR="00905B3E" w:rsidRPr="003F63DB" w:rsidRDefault="00905B3E">
      <w:r w:rsidRPr="003F63DB">
        <w:t>Omkring 2 % av besluten har avsett undersökningar över 30 prisbasbelopp. Det är uppdrag där undersökare enligt föreskrifterna ska utses genom ett urvalsförfarande. Ytterligare mellan 2 och 3 % av besluten har gällt unde</w:t>
      </w:r>
      <w:r w:rsidRPr="003F63DB">
        <w:t>r</w:t>
      </w:r>
      <w:r w:rsidRPr="003F63DB">
        <w:t>sökningar i kostnadsintervallet 10–30 prisbasbelopp, dvs. uppdrag som ska upphandlas om exploatören begär det. Sammantaget har omkring 5 % av besluten avsett uppdrag med en kostnad överstigande 10 prisbasbelopp. Dessa beslut har dock motsvarat mellan 75 och 85  % av det totala uppdrag</w:t>
      </w:r>
      <w:r w:rsidRPr="003F63DB">
        <w:t>s</w:t>
      </w:r>
      <w:r w:rsidRPr="003F63DB">
        <w:t xml:space="preserve">värdet. </w:t>
      </w:r>
    </w:p>
    <w:p w:rsidR="00905B3E" w:rsidRPr="003F63DB" w:rsidRDefault="00905B3E">
      <w:pPr>
        <w:pStyle w:val="Normaltindrag"/>
      </w:pPr>
    </w:p>
    <w:p w:rsidR="00905B3E" w:rsidRPr="003F63DB" w:rsidRDefault="00905B3E">
      <w:pPr>
        <w:pStyle w:val="Tabellrubrik"/>
        <w:spacing w:after="120"/>
        <w:rPr>
          <w:rFonts w:ascii="Arial" w:hAnsi="Arial"/>
          <w:sz w:val="18"/>
        </w:rPr>
      </w:pPr>
      <w:r w:rsidRPr="003F63DB">
        <w:rPr>
          <w:rFonts w:ascii="Arial" w:hAnsi="Arial"/>
          <w:sz w:val="18"/>
        </w:rPr>
        <w:br w:type="page"/>
        <w:t>Fördelning av det sammanlagda värdet på beslut om arkeologiska uppdrag i olika kostnadsintervall, procent</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2012"/>
        <w:gridCol w:w="641"/>
        <w:gridCol w:w="641"/>
        <w:gridCol w:w="641"/>
        <w:gridCol w:w="641"/>
        <w:gridCol w:w="641"/>
        <w:gridCol w:w="641"/>
      </w:tblGrid>
      <w:tr w:rsidR="00000000" w:rsidRPr="003F63DB">
        <w:tblPrEx>
          <w:tblCellMar>
            <w:top w:w="0" w:type="dxa"/>
            <w:bottom w:w="0" w:type="dxa"/>
          </w:tblCellMar>
        </w:tblPrEx>
        <w:tc>
          <w:tcPr>
            <w:tcW w:w="2012" w:type="dxa"/>
            <w:tcBorders>
              <w:bottom w:val="single" w:sz="6" w:space="0" w:color="808080"/>
            </w:tcBorders>
          </w:tcPr>
          <w:p w:rsidR="00905B3E" w:rsidRPr="003F63DB" w:rsidRDefault="00905B3E">
            <w:pPr>
              <w:pStyle w:val="Tabell"/>
              <w:rPr>
                <w:rFonts w:ascii="Arial" w:hAnsi="Arial"/>
                <w:sz w:val="16"/>
              </w:rPr>
            </w:pPr>
            <w:r w:rsidRPr="003F63DB">
              <w:rPr>
                <w:rFonts w:ascii="Arial" w:hAnsi="Arial"/>
                <w:sz w:val="16"/>
              </w:rPr>
              <w:t>Kostnadsintervall</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1996</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1997</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1998</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1999</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2000</w:t>
            </w:r>
          </w:p>
        </w:tc>
        <w:tc>
          <w:tcPr>
            <w:tcW w:w="641"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2001</w:t>
            </w:r>
          </w:p>
        </w:tc>
      </w:tr>
      <w:tr w:rsidR="00000000" w:rsidRPr="003F63DB">
        <w:tblPrEx>
          <w:tblCellMar>
            <w:top w:w="0" w:type="dxa"/>
            <w:bottom w:w="0" w:type="dxa"/>
          </w:tblCellMar>
        </w:tblPrEx>
        <w:tc>
          <w:tcPr>
            <w:tcW w:w="2012" w:type="dxa"/>
            <w:tcBorders>
              <w:top w:val="single" w:sz="6" w:space="0" w:color="808080"/>
            </w:tcBorders>
          </w:tcPr>
          <w:p w:rsidR="00905B3E" w:rsidRPr="003F63DB" w:rsidRDefault="00905B3E">
            <w:pPr>
              <w:pStyle w:val="Tabell"/>
              <w:rPr>
                <w:rFonts w:ascii="Arial" w:hAnsi="Arial"/>
                <w:sz w:val="16"/>
              </w:rPr>
            </w:pPr>
            <w:r w:rsidRPr="003F63DB">
              <w:rPr>
                <w:rFonts w:ascii="Arial" w:hAnsi="Arial"/>
                <w:sz w:val="16"/>
              </w:rPr>
              <w:t>&lt; 1 prisbasbelopp</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3</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4</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4</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4</w:t>
            </w:r>
          </w:p>
        </w:tc>
        <w:tc>
          <w:tcPr>
            <w:tcW w:w="641"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3</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 xml:space="preserve">1–5 </w:t>
            </w:r>
          </w:p>
        </w:tc>
        <w:tc>
          <w:tcPr>
            <w:tcW w:w="641" w:type="dxa"/>
          </w:tcPr>
          <w:p w:rsidR="00905B3E" w:rsidRPr="003F63DB" w:rsidRDefault="00905B3E">
            <w:pPr>
              <w:pStyle w:val="Tabell"/>
              <w:jc w:val="right"/>
              <w:rPr>
                <w:rFonts w:ascii="Arial" w:hAnsi="Arial"/>
                <w:sz w:val="16"/>
              </w:rPr>
            </w:pPr>
            <w:r w:rsidRPr="003F63DB">
              <w:rPr>
                <w:rFonts w:ascii="Arial" w:hAnsi="Arial"/>
                <w:sz w:val="16"/>
              </w:rPr>
              <w:t>7</w:t>
            </w:r>
          </w:p>
        </w:tc>
        <w:tc>
          <w:tcPr>
            <w:tcW w:w="641" w:type="dxa"/>
          </w:tcPr>
          <w:p w:rsidR="00905B3E" w:rsidRPr="003F63DB" w:rsidRDefault="00905B3E">
            <w:pPr>
              <w:pStyle w:val="Tabell"/>
              <w:jc w:val="right"/>
              <w:rPr>
                <w:rFonts w:ascii="Arial" w:hAnsi="Arial"/>
                <w:sz w:val="16"/>
              </w:rPr>
            </w:pPr>
            <w:r w:rsidRPr="003F63DB">
              <w:rPr>
                <w:rFonts w:ascii="Arial" w:hAnsi="Arial"/>
                <w:sz w:val="16"/>
              </w:rPr>
              <w:t>9</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c>
          <w:tcPr>
            <w:tcW w:w="641" w:type="dxa"/>
          </w:tcPr>
          <w:p w:rsidR="00905B3E" w:rsidRPr="003F63DB" w:rsidRDefault="00905B3E">
            <w:pPr>
              <w:pStyle w:val="Tabell"/>
              <w:jc w:val="right"/>
              <w:rPr>
                <w:rFonts w:ascii="Arial" w:hAnsi="Arial"/>
                <w:sz w:val="16"/>
              </w:rPr>
            </w:pPr>
            <w:r w:rsidRPr="003F63DB">
              <w:rPr>
                <w:rFonts w:ascii="Arial" w:hAnsi="Arial"/>
                <w:sz w:val="16"/>
              </w:rPr>
              <w:t>13</w:t>
            </w:r>
          </w:p>
        </w:tc>
        <w:tc>
          <w:tcPr>
            <w:tcW w:w="641" w:type="dxa"/>
          </w:tcPr>
          <w:p w:rsidR="00905B3E" w:rsidRPr="003F63DB" w:rsidRDefault="00905B3E">
            <w:pPr>
              <w:pStyle w:val="Tabell"/>
              <w:jc w:val="right"/>
              <w:rPr>
                <w:rFonts w:ascii="Arial" w:hAnsi="Arial"/>
                <w:sz w:val="16"/>
              </w:rPr>
            </w:pPr>
            <w:r w:rsidRPr="003F63DB">
              <w:rPr>
                <w:rFonts w:ascii="Arial" w:hAnsi="Arial"/>
                <w:sz w:val="16"/>
              </w:rPr>
              <w:t>16</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5–10</w:t>
            </w:r>
          </w:p>
        </w:tc>
        <w:tc>
          <w:tcPr>
            <w:tcW w:w="641" w:type="dxa"/>
          </w:tcPr>
          <w:p w:rsidR="00905B3E" w:rsidRPr="003F63DB" w:rsidRDefault="00905B3E">
            <w:pPr>
              <w:pStyle w:val="Tabell"/>
              <w:jc w:val="right"/>
              <w:rPr>
                <w:rFonts w:ascii="Arial" w:hAnsi="Arial"/>
                <w:sz w:val="16"/>
              </w:rPr>
            </w:pPr>
            <w:r w:rsidRPr="003F63DB">
              <w:rPr>
                <w:rFonts w:ascii="Arial" w:hAnsi="Arial"/>
                <w:sz w:val="16"/>
              </w:rPr>
              <w:t>4</w:t>
            </w:r>
          </w:p>
        </w:tc>
        <w:tc>
          <w:tcPr>
            <w:tcW w:w="641" w:type="dxa"/>
          </w:tcPr>
          <w:p w:rsidR="00905B3E" w:rsidRPr="003F63DB" w:rsidRDefault="00905B3E">
            <w:pPr>
              <w:pStyle w:val="Tabell"/>
              <w:jc w:val="right"/>
              <w:rPr>
                <w:rFonts w:ascii="Arial" w:hAnsi="Arial"/>
                <w:sz w:val="16"/>
              </w:rPr>
            </w:pPr>
            <w:r w:rsidRPr="003F63DB">
              <w:rPr>
                <w:rFonts w:ascii="Arial" w:hAnsi="Arial"/>
                <w:sz w:val="16"/>
              </w:rPr>
              <w:t>7</w:t>
            </w:r>
          </w:p>
        </w:tc>
        <w:tc>
          <w:tcPr>
            <w:tcW w:w="641" w:type="dxa"/>
          </w:tcPr>
          <w:p w:rsidR="00905B3E" w:rsidRPr="003F63DB" w:rsidRDefault="00905B3E">
            <w:pPr>
              <w:pStyle w:val="Tabell"/>
              <w:jc w:val="right"/>
              <w:rPr>
                <w:rFonts w:ascii="Arial" w:hAnsi="Arial"/>
                <w:sz w:val="16"/>
              </w:rPr>
            </w:pPr>
            <w:r w:rsidRPr="003F63DB">
              <w:rPr>
                <w:rFonts w:ascii="Arial" w:hAnsi="Arial"/>
                <w:sz w:val="16"/>
              </w:rPr>
              <w:t>5</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c>
          <w:tcPr>
            <w:tcW w:w="641" w:type="dxa"/>
          </w:tcPr>
          <w:p w:rsidR="00905B3E" w:rsidRPr="003F63DB" w:rsidRDefault="00905B3E">
            <w:pPr>
              <w:pStyle w:val="Tabell"/>
              <w:jc w:val="right"/>
              <w:rPr>
                <w:rFonts w:ascii="Arial" w:hAnsi="Arial"/>
                <w:sz w:val="16"/>
              </w:rPr>
            </w:pPr>
            <w:r w:rsidRPr="003F63DB">
              <w:rPr>
                <w:rFonts w:ascii="Arial" w:hAnsi="Arial"/>
                <w:sz w:val="16"/>
              </w:rPr>
              <w:t>8</w:t>
            </w:r>
          </w:p>
        </w:tc>
        <w:tc>
          <w:tcPr>
            <w:tcW w:w="641" w:type="dxa"/>
          </w:tcPr>
          <w:p w:rsidR="00905B3E" w:rsidRPr="003F63DB" w:rsidRDefault="00905B3E">
            <w:pPr>
              <w:pStyle w:val="Tabell"/>
              <w:jc w:val="right"/>
              <w:rPr>
                <w:rFonts w:ascii="Arial" w:hAnsi="Arial"/>
                <w:sz w:val="16"/>
              </w:rPr>
            </w:pPr>
            <w:r w:rsidRPr="003F63DB">
              <w:rPr>
                <w:rFonts w:ascii="Arial" w:hAnsi="Arial"/>
                <w:sz w:val="16"/>
              </w:rPr>
              <w:t>5</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10–30</w:t>
            </w:r>
          </w:p>
        </w:tc>
        <w:tc>
          <w:tcPr>
            <w:tcW w:w="641" w:type="dxa"/>
          </w:tcPr>
          <w:p w:rsidR="00905B3E" w:rsidRPr="003F63DB" w:rsidRDefault="00905B3E">
            <w:pPr>
              <w:pStyle w:val="Tabell"/>
              <w:jc w:val="right"/>
              <w:rPr>
                <w:rFonts w:ascii="Arial" w:hAnsi="Arial"/>
                <w:sz w:val="16"/>
              </w:rPr>
            </w:pPr>
            <w:r w:rsidRPr="003F63DB">
              <w:rPr>
                <w:rFonts w:ascii="Arial" w:hAnsi="Arial"/>
                <w:sz w:val="16"/>
              </w:rPr>
              <w:t>11</w:t>
            </w:r>
          </w:p>
        </w:tc>
        <w:tc>
          <w:tcPr>
            <w:tcW w:w="641" w:type="dxa"/>
          </w:tcPr>
          <w:p w:rsidR="00905B3E" w:rsidRPr="003F63DB" w:rsidRDefault="00905B3E">
            <w:pPr>
              <w:pStyle w:val="Tabell"/>
              <w:jc w:val="right"/>
              <w:rPr>
                <w:rFonts w:ascii="Arial" w:hAnsi="Arial"/>
                <w:sz w:val="16"/>
              </w:rPr>
            </w:pPr>
            <w:r w:rsidRPr="003F63DB">
              <w:rPr>
                <w:rFonts w:ascii="Arial" w:hAnsi="Arial"/>
                <w:sz w:val="16"/>
              </w:rPr>
              <w:t>14</w:t>
            </w:r>
          </w:p>
        </w:tc>
        <w:tc>
          <w:tcPr>
            <w:tcW w:w="641" w:type="dxa"/>
          </w:tcPr>
          <w:p w:rsidR="00905B3E" w:rsidRPr="003F63DB" w:rsidRDefault="00905B3E">
            <w:pPr>
              <w:pStyle w:val="Tabell"/>
              <w:jc w:val="right"/>
              <w:rPr>
                <w:rFonts w:ascii="Arial" w:hAnsi="Arial"/>
                <w:sz w:val="16"/>
              </w:rPr>
            </w:pPr>
            <w:r w:rsidRPr="003F63DB">
              <w:rPr>
                <w:rFonts w:ascii="Arial" w:hAnsi="Arial"/>
                <w:sz w:val="16"/>
              </w:rPr>
              <w:t>11</w:t>
            </w:r>
          </w:p>
        </w:tc>
        <w:tc>
          <w:tcPr>
            <w:tcW w:w="641" w:type="dxa"/>
          </w:tcPr>
          <w:p w:rsidR="00905B3E" w:rsidRPr="003F63DB" w:rsidRDefault="00905B3E">
            <w:pPr>
              <w:pStyle w:val="Tabell"/>
              <w:jc w:val="right"/>
              <w:rPr>
                <w:rFonts w:ascii="Arial" w:hAnsi="Arial"/>
                <w:sz w:val="16"/>
              </w:rPr>
            </w:pPr>
            <w:r w:rsidRPr="003F63DB">
              <w:rPr>
                <w:rFonts w:ascii="Arial" w:hAnsi="Arial"/>
                <w:sz w:val="16"/>
              </w:rPr>
              <w:t>12</w:t>
            </w:r>
          </w:p>
        </w:tc>
        <w:tc>
          <w:tcPr>
            <w:tcW w:w="641" w:type="dxa"/>
          </w:tcPr>
          <w:p w:rsidR="00905B3E" w:rsidRPr="003F63DB" w:rsidRDefault="00905B3E">
            <w:pPr>
              <w:pStyle w:val="Tabell"/>
              <w:jc w:val="right"/>
              <w:rPr>
                <w:rFonts w:ascii="Arial" w:hAnsi="Arial"/>
                <w:sz w:val="16"/>
              </w:rPr>
            </w:pPr>
            <w:r w:rsidRPr="003F63DB">
              <w:rPr>
                <w:rFonts w:ascii="Arial" w:hAnsi="Arial"/>
                <w:sz w:val="16"/>
              </w:rPr>
              <w:t>17</w:t>
            </w:r>
          </w:p>
        </w:tc>
        <w:tc>
          <w:tcPr>
            <w:tcW w:w="641" w:type="dxa"/>
          </w:tcPr>
          <w:p w:rsidR="00905B3E" w:rsidRPr="003F63DB" w:rsidRDefault="00905B3E">
            <w:pPr>
              <w:pStyle w:val="Tabell"/>
              <w:jc w:val="right"/>
              <w:rPr>
                <w:rFonts w:ascii="Arial" w:hAnsi="Arial"/>
                <w:sz w:val="16"/>
              </w:rPr>
            </w:pPr>
            <w:r w:rsidRPr="003F63DB">
              <w:rPr>
                <w:rFonts w:ascii="Arial" w:hAnsi="Arial"/>
                <w:sz w:val="16"/>
              </w:rPr>
              <w:t>10</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&gt;30</w:t>
            </w:r>
          </w:p>
        </w:tc>
        <w:tc>
          <w:tcPr>
            <w:tcW w:w="641" w:type="dxa"/>
          </w:tcPr>
          <w:p w:rsidR="00905B3E" w:rsidRPr="003F63DB" w:rsidRDefault="00905B3E">
            <w:pPr>
              <w:pStyle w:val="Tabell"/>
              <w:jc w:val="right"/>
              <w:rPr>
                <w:rFonts w:ascii="Arial" w:hAnsi="Arial"/>
                <w:sz w:val="16"/>
              </w:rPr>
            </w:pPr>
            <w:r w:rsidRPr="003F63DB">
              <w:rPr>
                <w:rFonts w:ascii="Arial" w:hAnsi="Arial"/>
                <w:sz w:val="16"/>
              </w:rPr>
              <w:t>75</w:t>
            </w:r>
          </w:p>
        </w:tc>
        <w:tc>
          <w:tcPr>
            <w:tcW w:w="641" w:type="dxa"/>
          </w:tcPr>
          <w:p w:rsidR="00905B3E" w:rsidRPr="003F63DB" w:rsidRDefault="00905B3E">
            <w:pPr>
              <w:pStyle w:val="Tabell"/>
              <w:jc w:val="right"/>
              <w:rPr>
                <w:rFonts w:ascii="Arial" w:hAnsi="Arial"/>
                <w:sz w:val="16"/>
              </w:rPr>
            </w:pPr>
            <w:r w:rsidRPr="003F63DB">
              <w:rPr>
                <w:rFonts w:ascii="Arial" w:hAnsi="Arial"/>
                <w:sz w:val="16"/>
              </w:rPr>
              <w:t>66</w:t>
            </w:r>
          </w:p>
        </w:tc>
        <w:tc>
          <w:tcPr>
            <w:tcW w:w="641" w:type="dxa"/>
          </w:tcPr>
          <w:p w:rsidR="00905B3E" w:rsidRPr="003F63DB" w:rsidRDefault="00905B3E">
            <w:pPr>
              <w:pStyle w:val="Tabell"/>
              <w:jc w:val="right"/>
              <w:rPr>
                <w:rFonts w:ascii="Arial" w:hAnsi="Arial"/>
                <w:sz w:val="16"/>
              </w:rPr>
            </w:pPr>
            <w:r w:rsidRPr="003F63DB">
              <w:rPr>
                <w:rFonts w:ascii="Arial" w:hAnsi="Arial"/>
                <w:sz w:val="16"/>
              </w:rPr>
              <w:t>74</w:t>
            </w:r>
          </w:p>
        </w:tc>
        <w:tc>
          <w:tcPr>
            <w:tcW w:w="641" w:type="dxa"/>
          </w:tcPr>
          <w:p w:rsidR="00905B3E" w:rsidRPr="003F63DB" w:rsidRDefault="00905B3E">
            <w:pPr>
              <w:pStyle w:val="Tabell"/>
              <w:jc w:val="right"/>
              <w:rPr>
                <w:rFonts w:ascii="Arial" w:hAnsi="Arial"/>
                <w:sz w:val="16"/>
              </w:rPr>
            </w:pPr>
            <w:r w:rsidRPr="003F63DB">
              <w:rPr>
                <w:rFonts w:ascii="Arial" w:hAnsi="Arial"/>
                <w:sz w:val="16"/>
              </w:rPr>
              <w:t>63</w:t>
            </w:r>
          </w:p>
        </w:tc>
        <w:tc>
          <w:tcPr>
            <w:tcW w:w="641" w:type="dxa"/>
          </w:tcPr>
          <w:p w:rsidR="00905B3E" w:rsidRPr="003F63DB" w:rsidRDefault="00905B3E">
            <w:pPr>
              <w:pStyle w:val="Tabell"/>
              <w:jc w:val="right"/>
              <w:rPr>
                <w:rFonts w:ascii="Arial" w:hAnsi="Arial"/>
                <w:sz w:val="16"/>
              </w:rPr>
            </w:pPr>
            <w:r w:rsidRPr="003F63DB">
              <w:rPr>
                <w:rFonts w:ascii="Arial" w:hAnsi="Arial"/>
                <w:sz w:val="16"/>
              </w:rPr>
              <w:t>55</w:t>
            </w:r>
          </w:p>
        </w:tc>
        <w:tc>
          <w:tcPr>
            <w:tcW w:w="641" w:type="dxa"/>
          </w:tcPr>
          <w:p w:rsidR="00905B3E" w:rsidRPr="003F63DB" w:rsidRDefault="00905B3E">
            <w:pPr>
              <w:pStyle w:val="Tabell"/>
              <w:jc w:val="right"/>
              <w:rPr>
                <w:rFonts w:ascii="Arial" w:hAnsi="Arial"/>
                <w:sz w:val="16"/>
              </w:rPr>
            </w:pPr>
            <w:r w:rsidRPr="003F63DB">
              <w:rPr>
                <w:rFonts w:ascii="Arial" w:hAnsi="Arial"/>
                <w:sz w:val="16"/>
              </w:rPr>
              <w:t>74</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b/>
                <w:sz w:val="16"/>
              </w:rPr>
            </w:pPr>
            <w:r w:rsidRPr="003F63DB">
              <w:rPr>
                <w:rFonts w:ascii="Arial" w:hAnsi="Arial"/>
                <w:b/>
                <w:sz w:val="16"/>
              </w:rPr>
              <w:t>Samtliga beslut, procent</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641" w:type="dxa"/>
          </w:tcPr>
          <w:p w:rsidR="00905B3E" w:rsidRPr="003F63DB" w:rsidRDefault="00905B3E">
            <w:pPr>
              <w:pStyle w:val="Tabell"/>
              <w:jc w:val="right"/>
              <w:rPr>
                <w:rFonts w:ascii="Arial" w:hAnsi="Arial"/>
                <w:b/>
                <w:sz w:val="16"/>
              </w:rPr>
            </w:pPr>
            <w:r w:rsidRPr="003F63DB">
              <w:rPr>
                <w:rFonts w:ascii="Arial" w:hAnsi="Arial"/>
                <w:b/>
                <w:sz w:val="16"/>
              </w:rPr>
              <w:t>100</w:t>
            </w: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c>
          <w:tcPr>
            <w:tcW w:w="641" w:type="dxa"/>
          </w:tcPr>
          <w:p w:rsidR="00905B3E" w:rsidRPr="003F63DB" w:rsidRDefault="00905B3E">
            <w:pPr>
              <w:pStyle w:val="Tabell"/>
              <w:jc w:val="right"/>
              <w:rPr>
                <w:rFonts w:ascii="Arial" w:hAnsi="Arial"/>
                <w:b/>
                <w:sz w:val="16"/>
              </w:rPr>
            </w:pPr>
          </w:p>
        </w:tc>
      </w:tr>
      <w:tr w:rsidR="00000000" w:rsidRPr="003F63DB">
        <w:tblPrEx>
          <w:tblCellMar>
            <w:top w:w="0" w:type="dxa"/>
            <w:bottom w:w="0" w:type="dxa"/>
          </w:tblCellMar>
        </w:tblPrEx>
        <w:tc>
          <w:tcPr>
            <w:tcW w:w="2012" w:type="dxa"/>
          </w:tcPr>
          <w:p w:rsidR="00905B3E" w:rsidRPr="003F63DB" w:rsidRDefault="00905B3E">
            <w:pPr>
              <w:pStyle w:val="Tabell"/>
              <w:rPr>
                <w:rFonts w:ascii="Arial" w:hAnsi="Arial"/>
                <w:sz w:val="16"/>
              </w:rPr>
            </w:pPr>
            <w:r w:rsidRPr="003F63DB">
              <w:rPr>
                <w:rFonts w:ascii="Arial" w:hAnsi="Arial"/>
                <w:sz w:val="16"/>
              </w:rPr>
              <w:t>Samtliga beslut, värde i miljoner kronor</w:t>
            </w:r>
          </w:p>
        </w:tc>
        <w:tc>
          <w:tcPr>
            <w:tcW w:w="641" w:type="dxa"/>
          </w:tcPr>
          <w:p w:rsidR="00905B3E" w:rsidRPr="003F63DB" w:rsidRDefault="00905B3E">
            <w:pPr>
              <w:pStyle w:val="Tabell"/>
              <w:jc w:val="right"/>
              <w:rPr>
                <w:rFonts w:ascii="Arial" w:hAnsi="Arial"/>
                <w:sz w:val="16"/>
              </w:rPr>
            </w:pPr>
            <w:r w:rsidRPr="003F63DB">
              <w:rPr>
                <w:rFonts w:ascii="Arial" w:hAnsi="Arial"/>
                <w:sz w:val="16"/>
              </w:rPr>
              <w:t>218</w:t>
            </w:r>
          </w:p>
        </w:tc>
        <w:tc>
          <w:tcPr>
            <w:tcW w:w="641" w:type="dxa"/>
          </w:tcPr>
          <w:p w:rsidR="00905B3E" w:rsidRPr="003F63DB" w:rsidRDefault="00905B3E">
            <w:pPr>
              <w:pStyle w:val="Tabell"/>
              <w:jc w:val="right"/>
              <w:rPr>
                <w:rFonts w:ascii="Arial" w:hAnsi="Arial"/>
                <w:sz w:val="16"/>
              </w:rPr>
            </w:pPr>
            <w:r w:rsidRPr="003F63DB">
              <w:rPr>
                <w:rFonts w:ascii="Arial" w:hAnsi="Arial"/>
                <w:sz w:val="16"/>
              </w:rPr>
              <w:t>149</w:t>
            </w:r>
          </w:p>
        </w:tc>
        <w:tc>
          <w:tcPr>
            <w:tcW w:w="641" w:type="dxa"/>
          </w:tcPr>
          <w:p w:rsidR="00905B3E" w:rsidRPr="003F63DB" w:rsidRDefault="00905B3E">
            <w:pPr>
              <w:pStyle w:val="Tabell"/>
              <w:jc w:val="right"/>
              <w:rPr>
                <w:rFonts w:ascii="Arial" w:hAnsi="Arial"/>
                <w:sz w:val="16"/>
              </w:rPr>
            </w:pPr>
            <w:r w:rsidRPr="003F63DB">
              <w:rPr>
                <w:rFonts w:ascii="Arial" w:hAnsi="Arial"/>
                <w:sz w:val="16"/>
              </w:rPr>
              <w:t>244</w:t>
            </w:r>
          </w:p>
        </w:tc>
        <w:tc>
          <w:tcPr>
            <w:tcW w:w="641" w:type="dxa"/>
          </w:tcPr>
          <w:p w:rsidR="00905B3E" w:rsidRPr="003F63DB" w:rsidRDefault="00905B3E">
            <w:pPr>
              <w:pStyle w:val="Tabell"/>
              <w:jc w:val="right"/>
              <w:rPr>
                <w:rFonts w:ascii="Arial" w:hAnsi="Arial"/>
                <w:sz w:val="16"/>
              </w:rPr>
            </w:pPr>
            <w:r w:rsidRPr="003F63DB">
              <w:rPr>
                <w:rFonts w:ascii="Arial" w:hAnsi="Arial"/>
                <w:sz w:val="16"/>
              </w:rPr>
              <w:t>110</w:t>
            </w:r>
          </w:p>
        </w:tc>
        <w:tc>
          <w:tcPr>
            <w:tcW w:w="641" w:type="dxa"/>
          </w:tcPr>
          <w:p w:rsidR="00905B3E" w:rsidRPr="003F63DB" w:rsidRDefault="00905B3E">
            <w:pPr>
              <w:pStyle w:val="Tabell"/>
              <w:jc w:val="right"/>
              <w:rPr>
                <w:rFonts w:ascii="Arial" w:hAnsi="Arial"/>
                <w:sz w:val="16"/>
              </w:rPr>
            </w:pPr>
            <w:r w:rsidRPr="003F63DB">
              <w:rPr>
                <w:rFonts w:ascii="Arial" w:hAnsi="Arial"/>
                <w:sz w:val="16"/>
              </w:rPr>
              <w:t>170</w:t>
            </w:r>
          </w:p>
        </w:tc>
        <w:tc>
          <w:tcPr>
            <w:tcW w:w="641" w:type="dxa"/>
          </w:tcPr>
          <w:p w:rsidR="00905B3E" w:rsidRPr="003F63DB" w:rsidRDefault="00905B3E">
            <w:pPr>
              <w:pStyle w:val="Tabell"/>
              <w:jc w:val="right"/>
              <w:rPr>
                <w:rFonts w:ascii="Arial" w:hAnsi="Arial"/>
                <w:sz w:val="16"/>
              </w:rPr>
            </w:pPr>
            <w:r w:rsidRPr="003F63DB">
              <w:rPr>
                <w:rFonts w:ascii="Arial" w:hAnsi="Arial"/>
                <w:sz w:val="16"/>
              </w:rPr>
              <w:t>329</w:t>
            </w:r>
          </w:p>
        </w:tc>
      </w:tr>
    </w:tbl>
    <w:p w:rsidR="00905B3E" w:rsidRPr="003F63DB" w:rsidRDefault="00905B3E">
      <w:pPr>
        <w:pStyle w:val="Tabell"/>
        <w:spacing w:before="120" w:after="120"/>
        <w:rPr>
          <w:rFonts w:ascii="Arial" w:hAnsi="Arial"/>
        </w:rPr>
      </w:pPr>
      <w:r w:rsidRPr="003F63DB">
        <w:rPr>
          <w:rFonts w:ascii="Arial" w:hAnsi="Arial"/>
        </w:rPr>
        <w:t>Källa: Riksantikvarieämbetet, beslutsregistret</w:t>
      </w:r>
    </w:p>
    <w:p w:rsidR="00905B3E" w:rsidRPr="003F63DB" w:rsidRDefault="00905B3E">
      <w:r w:rsidRPr="003F63DB">
        <w:t>De riktigt stora undersökningarna – överstigande 100 prisbasbelopp – har varit mellan 5 och 15 stycken årligen. Totalt har de svarat för mellan 40 och 60 % av det totala uppdragsvärdet.</w:t>
      </w:r>
    </w:p>
    <w:p w:rsidR="00905B3E" w:rsidRPr="003F63DB" w:rsidRDefault="00905B3E">
      <w:pPr>
        <w:pStyle w:val="Rubrik2"/>
      </w:pPr>
      <w:bookmarkStart w:id="110" w:name="_Toc25031925"/>
      <w:bookmarkStart w:id="111" w:name="_Toc36520753"/>
      <w:r w:rsidRPr="003F63DB">
        <w:t>Uppdragens geografiska fördelning</w:t>
      </w:r>
      <w:bookmarkEnd w:id="110"/>
      <w:bookmarkEnd w:id="111"/>
    </w:p>
    <w:p w:rsidR="00905B3E" w:rsidRPr="003F63DB" w:rsidRDefault="00905B3E">
      <w:r w:rsidRPr="003F63DB">
        <w:t>Efterfrågan på arkeologiska tjänster varierar även geografiskt. Av kartan på nästa sida framgår de arkeologiska uppdragens värde i kronor och per län för perioden 2000–2001. Med uppdragsvärde avses de beräknade kostnader för arkeologiska utredningar och undersökningar som framgår av länsstyrelse</w:t>
      </w:r>
      <w:r w:rsidRPr="003F63DB">
        <w:t>r</w:t>
      </w:r>
      <w:r w:rsidRPr="003F63DB">
        <w:t>nas beslut. Det sammanlagda uppdragsvärdet för de två åren uppskattas till 500 miljoner kronor. Skåne län stod för en tredjedel av värdet, ca 170 milj</w:t>
      </w:r>
      <w:r w:rsidRPr="003F63DB">
        <w:t>o</w:t>
      </w:r>
      <w:r w:rsidRPr="003F63DB">
        <w:t xml:space="preserve">ner kronor. </w:t>
      </w:r>
    </w:p>
    <w:p w:rsidR="00905B3E" w:rsidRPr="003F63DB" w:rsidRDefault="00905B3E">
      <w:pPr>
        <w:pStyle w:val="Normaltindrag"/>
      </w:pPr>
      <w:r w:rsidRPr="003F63DB">
        <w:t>Sett över en längre period, åren 1996–2001, har Skåne, Västra Götalands, Östergötlands och Stockholms län haft de största arkeologiska uppdragsv</w:t>
      </w:r>
      <w:r w:rsidRPr="003F63DB">
        <w:t>o</w:t>
      </w:r>
      <w:r w:rsidRPr="003F63DB">
        <w:t>lymerna. Skåne län har under sexårspe</w:t>
      </w:r>
      <w:r w:rsidRPr="003F63DB">
        <w:softHyphen/>
        <w:t>rioden svarat för ca 40 % av det totala uppdragsvärdet i landet. Den arkeologiska uppdrags</w:t>
      </w:r>
      <w:r w:rsidRPr="003F63DB">
        <w:softHyphen/>
        <w:t>verksamheten har haft minst omfattning i Jämtlands, Blekinge och Norrbo</w:t>
      </w:r>
      <w:r w:rsidRPr="003F63DB">
        <w:t>t</w:t>
      </w:r>
      <w:r w:rsidRPr="003F63DB">
        <w:t xml:space="preserve">tens län. </w:t>
      </w:r>
    </w:p>
    <w:p w:rsidR="00905B3E" w:rsidRPr="003F63DB" w:rsidRDefault="00905B3E">
      <w:pPr>
        <w:pStyle w:val="Tabellrubrik"/>
        <w:spacing w:before="120" w:after="120"/>
        <w:rPr>
          <w:rFonts w:ascii="Arial" w:hAnsi="Arial"/>
          <w:sz w:val="18"/>
        </w:rPr>
      </w:pPr>
      <w:r w:rsidRPr="003F63DB">
        <w:rPr>
          <w:rFonts w:ascii="Arial" w:hAnsi="Arial"/>
          <w:sz w:val="18"/>
        </w:rPr>
        <w:br w:type="page"/>
        <w:t xml:space="preserve">De arkeologiska uppdragens värde enligt länsstyrelsernas beslut 2000–2001, miljoner kronor </w:t>
      </w:r>
    </w:p>
    <w:p w:rsidR="00905B3E" w:rsidRPr="003F63DB" w:rsidRDefault="003F63DB">
      <w:pPr>
        <w:pStyle w:val="Normaltindrag"/>
        <w:spacing w:line="240" w:lineRule="atLeast"/>
      </w:pPr>
      <w:r w:rsidRPr="003F63DB">
        <w:rPr>
          <w:noProof/>
        </w:rPr>
        <w:drawing>
          <wp:inline distT="0" distB="0" distL="0" distR="0">
            <wp:extent cx="3744595" cy="53016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4595" cy="5301615"/>
                    </a:xfrm>
                    <a:prstGeom prst="rect">
                      <a:avLst/>
                    </a:prstGeom>
                    <a:noFill/>
                    <a:ln>
                      <a:noFill/>
                    </a:ln>
                  </pic:spPr>
                </pic:pic>
              </a:graphicData>
            </a:graphic>
          </wp:inline>
        </w:drawing>
      </w:r>
    </w:p>
    <w:p w:rsidR="00905B3E" w:rsidRPr="003F63DB" w:rsidRDefault="00905B3E">
      <w:pPr>
        <w:pStyle w:val="Tabell"/>
        <w:spacing w:before="120" w:after="120"/>
        <w:rPr>
          <w:rFonts w:ascii="Arial" w:hAnsi="Arial"/>
        </w:rPr>
      </w:pPr>
      <w:r w:rsidRPr="003F63DB">
        <w:rPr>
          <w:rFonts w:ascii="Arial" w:hAnsi="Arial"/>
        </w:rPr>
        <w:t>Källa: Riksantikvarieämbetet, beslutsregistret</w:t>
      </w:r>
    </w:p>
    <w:p w:rsidR="00905B3E" w:rsidRPr="003F63DB" w:rsidRDefault="00905B3E">
      <w:pPr>
        <w:pStyle w:val="Rubrik3-Utannumrering"/>
      </w:pPr>
      <w:r w:rsidRPr="003F63DB">
        <w:br w:type="page"/>
      </w:r>
      <w:bookmarkEnd w:id="107"/>
      <w:r w:rsidRPr="003F63DB">
        <w:t>Förväntad ökning av efterfrågan på arkeologitjänster</w:t>
      </w:r>
    </w:p>
    <w:p w:rsidR="00905B3E" w:rsidRPr="003F63DB" w:rsidRDefault="00905B3E">
      <w:r w:rsidRPr="003F63DB">
        <w:t>Riksdagens beslutade satsningar på infrastrukturen under perioden 2002–2015 beräknas kosta sammanlagt 12 miljarder kronor under perioden 2002–2004 och 364 miljarder kronor perioden 2004–2015.</w:t>
      </w:r>
      <w:r w:rsidRPr="003F63DB">
        <w:rPr>
          <w:rStyle w:val="Fotnotsreferens"/>
        </w:rPr>
        <w:footnoteReference w:id="150"/>
      </w:r>
      <w:r w:rsidRPr="003F63DB">
        <w:t xml:space="preserve"> Närmare 150 miljarder av dessa ska investeras i järnvägar och nationella vägar. Investeringarna ko</w:t>
      </w:r>
      <w:r w:rsidRPr="003F63DB">
        <w:t>m</w:t>
      </w:r>
      <w:r w:rsidRPr="003F63DB">
        <w:t>mer att medföra ökad efterfrågan på arkeologiska tjänster, vilket även ko</w:t>
      </w:r>
      <w:r w:rsidRPr="003F63DB">
        <w:t>m</w:t>
      </w:r>
      <w:r w:rsidRPr="003F63DB">
        <w:t>mer att få följder för vissa länsstyrelsers arbetsbörda och samhällets kostn</w:t>
      </w:r>
      <w:r w:rsidRPr="003F63DB">
        <w:t>a</w:t>
      </w:r>
      <w:r w:rsidRPr="003F63DB">
        <w:t>der för hantering och förvaring av fynd. Riksantik</w:t>
      </w:r>
      <w:r w:rsidRPr="003F63DB">
        <w:softHyphen/>
        <w:t>varie</w:t>
      </w:r>
      <w:r w:rsidRPr="003F63DB">
        <w:softHyphen/>
        <w:t>ämbetet ser redan år 2002 att efterfrågan på arkeologitjänster ökar, och myndigheten befarar att det framöver kommer att bli brist på kompetenta fältarkeologer. Länsstyre</w:t>
      </w:r>
      <w:r w:rsidRPr="003F63DB">
        <w:t>l</w:t>
      </w:r>
      <w:r w:rsidRPr="003F63DB">
        <w:t>serna har hittills inte anlitat u</w:t>
      </w:r>
      <w:r w:rsidRPr="003F63DB">
        <w:t>t</w:t>
      </w:r>
      <w:r w:rsidRPr="003F63DB">
        <w:softHyphen/>
        <w:t>länds</w:t>
      </w:r>
      <w:r w:rsidRPr="003F63DB">
        <w:softHyphen/>
        <w:t>ka undersök</w:t>
      </w:r>
      <w:r w:rsidRPr="003F63DB">
        <w:t>a</w:t>
      </w:r>
      <w:r w:rsidRPr="003F63DB">
        <w:t>re.</w:t>
      </w:r>
    </w:p>
    <w:p w:rsidR="00905B3E" w:rsidRPr="003F63DB" w:rsidRDefault="00905B3E">
      <w:pPr>
        <w:pStyle w:val="Rubrik2"/>
      </w:pPr>
      <w:bookmarkStart w:id="112" w:name="_Toc25031926"/>
      <w:bookmarkStart w:id="113" w:name="_Toc36520754"/>
      <w:r w:rsidRPr="003F63DB">
        <w:t>De arkeologiska undersökarna</w:t>
      </w:r>
      <w:bookmarkEnd w:id="112"/>
      <w:bookmarkEnd w:id="113"/>
    </w:p>
    <w:p w:rsidR="00905B3E" w:rsidRPr="003F63DB" w:rsidRDefault="00905B3E">
      <w:r w:rsidRPr="003F63DB">
        <w:t>Enligt Riksantikvarieämbetets uppgifter finns det 36 undersökande organis</w:t>
      </w:r>
      <w:r w:rsidRPr="003F63DB">
        <w:t>a</w:t>
      </w:r>
      <w:r w:rsidRPr="003F63DB">
        <w:t>tioner som angivits som uppdragstagare i länsstyrelsernas beslut för 2001. Utöver Riksantikvarieämbetets egen uppdragsverksamhet (UV) finns det 22 länsmuseer, 10 kommunala museer och 3 undersökare i enskild, eller privat, regi. Undersökare i enskild regi kan vara aktiebolag, enskild firma eller stiftelse. Fortsättningsvis benämns de i denna rapport som enskilda eller privata undersökare, oavsett juridisk form. Riksantikvarieämbetet har inte med säkerhet kunnat ange vilka undersökare som finns och i vilka l</w:t>
      </w:r>
      <w:r w:rsidRPr="003F63DB">
        <w:t xml:space="preserve">än de fått uppdrag. </w:t>
      </w:r>
    </w:p>
    <w:p w:rsidR="00905B3E" w:rsidRPr="003F63DB" w:rsidRDefault="00905B3E">
      <w:pPr>
        <w:pStyle w:val="Normaltindrag"/>
      </w:pPr>
      <w:r w:rsidRPr="003F63DB">
        <w:t>Länsstyrelserna har i enkätsvar till revisorerna angett vilka undersökare som anlitats för arkeologiska uppdrag i länet sedan år 2000 fram till i mitten av april 2002. Enligt länsstyrelsernas uppgifter har sex privata undersökare anlitats för uppdrag under perioden, vilket är fler än vad Riksantikvarieä</w:t>
      </w:r>
      <w:r w:rsidRPr="003F63DB">
        <w:t>m</w:t>
      </w:r>
      <w:r w:rsidRPr="003F63DB">
        <w:t>betet har registrerat. Därutöver uppger fyra länsstyrelser att de anlitat unive</w:t>
      </w:r>
      <w:r w:rsidRPr="003F63DB">
        <w:t>r</w:t>
      </w:r>
      <w:r w:rsidRPr="003F63DB">
        <w:t>sitet eller högskolor för arkeologiska up</w:t>
      </w:r>
      <w:r w:rsidRPr="003F63DB">
        <w:t>p</w:t>
      </w:r>
      <w:r w:rsidRPr="003F63DB">
        <w:t>drag.</w:t>
      </w:r>
      <w:r w:rsidRPr="003F63DB">
        <w:rPr>
          <w:rStyle w:val="Fotnotsreferens"/>
        </w:rPr>
        <w:footnoteReference w:id="151"/>
      </w:r>
      <w:r w:rsidRPr="003F63DB">
        <w:t xml:space="preserve"> </w:t>
      </w:r>
    </w:p>
    <w:p w:rsidR="00905B3E" w:rsidRPr="003F63DB" w:rsidRDefault="00905B3E">
      <w:pPr>
        <w:pStyle w:val="Rubrik2"/>
      </w:pPr>
      <w:bookmarkStart w:id="114" w:name="_Toc25031927"/>
      <w:bookmarkStart w:id="115" w:name="_Toc36520755"/>
      <w:r w:rsidRPr="003F63DB">
        <w:t>Undersökarnas marknadsandelar</w:t>
      </w:r>
      <w:bookmarkEnd w:id="114"/>
      <w:bookmarkEnd w:id="115"/>
    </w:p>
    <w:p w:rsidR="00905B3E" w:rsidRPr="003F63DB" w:rsidRDefault="00905B3E">
      <w:r w:rsidRPr="003F63DB">
        <w:t>Det sammanlagda uppdragsvärdet och värdet fördelat på olika undersökare, eller grupper av undersökare, kan sägas beskriva marknadens totala omsät</w:t>
      </w:r>
      <w:r w:rsidRPr="003F63DB">
        <w:t>t</w:t>
      </w:r>
      <w:r w:rsidRPr="003F63DB">
        <w:t>ning och undersökarnas marknadsandelar. Uppgifterna i tabellen nedan by</w:t>
      </w:r>
      <w:r w:rsidRPr="003F63DB">
        <w:t>g</w:t>
      </w:r>
      <w:r w:rsidRPr="003F63DB">
        <w:t>ger på uppgifter ur Riksantikvarieämbetets beslutsregister. Som tidigare framgått är dessa up</w:t>
      </w:r>
      <w:r w:rsidRPr="003F63DB">
        <w:t>p</w:t>
      </w:r>
      <w:r w:rsidRPr="003F63DB">
        <w:t>gifter inte helt tillförlitliga.</w:t>
      </w:r>
    </w:p>
    <w:p w:rsidR="00905B3E" w:rsidRPr="003F63DB" w:rsidRDefault="00905B3E">
      <w:pPr>
        <w:pStyle w:val="Normaltindrag"/>
      </w:pPr>
      <w:r w:rsidRPr="003F63DB">
        <w:t>De enskilt största undersökarna är Riksantikvarieämbetet-UV och Malmö Kulturmiljö. Den senare är en till övervägande del uppdragsfinansierad a</w:t>
      </w:r>
      <w:r w:rsidRPr="003F63DB">
        <w:t>v</w:t>
      </w:r>
      <w:r w:rsidRPr="003F63DB">
        <w:t>delning under Malmö stads kulturförval</w:t>
      </w:r>
      <w:r w:rsidRPr="003F63DB">
        <w:t>t</w:t>
      </w:r>
      <w:r w:rsidRPr="003F63DB">
        <w:t>ning.</w:t>
      </w:r>
    </w:p>
    <w:p w:rsidR="00905B3E" w:rsidRPr="003F63DB" w:rsidRDefault="00905B3E">
      <w:pPr>
        <w:pStyle w:val="Normaltindrag"/>
      </w:pPr>
    </w:p>
    <w:p w:rsidR="00905B3E" w:rsidRPr="003F63DB" w:rsidRDefault="00905B3E">
      <w:pPr>
        <w:pStyle w:val="Tabellrubrik"/>
        <w:spacing w:after="120"/>
        <w:rPr>
          <w:rFonts w:ascii="Arial" w:hAnsi="Arial"/>
          <w:sz w:val="18"/>
        </w:rPr>
      </w:pPr>
      <w:r w:rsidRPr="003F63DB">
        <w:rPr>
          <w:rFonts w:ascii="Arial" w:hAnsi="Arial"/>
          <w:sz w:val="18"/>
        </w:rPr>
        <w:br w:type="page"/>
        <w:t>Uppdragsvärde enligt länsstyrelsernas beslut 1996–2001 fördelat på undersökare, procent</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2197"/>
        <w:gridCol w:w="559"/>
        <w:gridCol w:w="559"/>
        <w:gridCol w:w="559"/>
        <w:gridCol w:w="559"/>
        <w:gridCol w:w="559"/>
        <w:gridCol w:w="559"/>
        <w:gridCol w:w="609"/>
      </w:tblGrid>
      <w:tr w:rsidR="00000000" w:rsidRPr="003F63DB">
        <w:tblPrEx>
          <w:tblCellMar>
            <w:top w:w="0" w:type="dxa"/>
            <w:bottom w:w="0" w:type="dxa"/>
          </w:tblCellMar>
        </w:tblPrEx>
        <w:tc>
          <w:tcPr>
            <w:tcW w:w="2197" w:type="dxa"/>
            <w:tcBorders>
              <w:bottom w:val="single" w:sz="6" w:space="0" w:color="808080"/>
            </w:tcBorders>
          </w:tcPr>
          <w:p w:rsidR="00905B3E" w:rsidRPr="003F63DB" w:rsidRDefault="00905B3E">
            <w:pPr>
              <w:pStyle w:val="Tabell"/>
              <w:rPr>
                <w:rFonts w:ascii="Arial" w:hAnsi="Arial"/>
                <w:sz w:val="16"/>
              </w:rPr>
            </w:pPr>
          </w:p>
        </w:tc>
        <w:tc>
          <w:tcPr>
            <w:tcW w:w="559"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1996</w:t>
            </w:r>
          </w:p>
        </w:tc>
        <w:tc>
          <w:tcPr>
            <w:tcW w:w="559"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1997</w:t>
            </w:r>
          </w:p>
        </w:tc>
        <w:tc>
          <w:tcPr>
            <w:tcW w:w="559"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1998</w:t>
            </w:r>
          </w:p>
        </w:tc>
        <w:tc>
          <w:tcPr>
            <w:tcW w:w="559"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1999</w:t>
            </w:r>
          </w:p>
        </w:tc>
        <w:tc>
          <w:tcPr>
            <w:tcW w:w="559"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2000</w:t>
            </w:r>
          </w:p>
        </w:tc>
        <w:tc>
          <w:tcPr>
            <w:tcW w:w="559" w:type="dxa"/>
            <w:tcBorders>
              <w:bottom w:val="single" w:sz="6" w:space="0" w:color="808080"/>
              <w:right w:val="nil"/>
            </w:tcBorders>
          </w:tcPr>
          <w:p w:rsidR="00905B3E" w:rsidRPr="003F63DB" w:rsidRDefault="00905B3E">
            <w:pPr>
              <w:pStyle w:val="Tabell"/>
              <w:jc w:val="right"/>
              <w:rPr>
                <w:rFonts w:ascii="Arial" w:hAnsi="Arial"/>
                <w:sz w:val="16"/>
              </w:rPr>
            </w:pPr>
            <w:r w:rsidRPr="003F63DB">
              <w:rPr>
                <w:rFonts w:ascii="Arial" w:hAnsi="Arial"/>
                <w:sz w:val="16"/>
              </w:rPr>
              <w:t>2001</w:t>
            </w:r>
          </w:p>
        </w:tc>
        <w:tc>
          <w:tcPr>
            <w:tcW w:w="609" w:type="dxa"/>
            <w:tcBorders>
              <w:top w:val="single" w:sz="12" w:space="0" w:color="808080"/>
              <w:left w:val="dotted" w:sz="4" w:space="0" w:color="auto"/>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1996–2001</w:t>
            </w:r>
          </w:p>
        </w:tc>
      </w:tr>
      <w:tr w:rsidR="00000000" w:rsidRPr="003F63DB">
        <w:tblPrEx>
          <w:tblCellMar>
            <w:top w:w="0" w:type="dxa"/>
            <w:bottom w:w="0" w:type="dxa"/>
          </w:tblCellMar>
        </w:tblPrEx>
        <w:tc>
          <w:tcPr>
            <w:tcW w:w="2197" w:type="dxa"/>
            <w:tcBorders>
              <w:top w:val="single" w:sz="6" w:space="0" w:color="808080"/>
            </w:tcBorders>
          </w:tcPr>
          <w:p w:rsidR="00905B3E" w:rsidRPr="003F63DB" w:rsidRDefault="00905B3E">
            <w:pPr>
              <w:pStyle w:val="Tabell"/>
              <w:rPr>
                <w:rFonts w:ascii="Arial" w:hAnsi="Arial"/>
                <w:sz w:val="16"/>
              </w:rPr>
            </w:pPr>
            <w:r w:rsidRPr="003F63DB">
              <w:rPr>
                <w:rFonts w:ascii="Arial" w:hAnsi="Arial"/>
                <w:sz w:val="16"/>
              </w:rPr>
              <w:t>Riksantikvarieä</w:t>
            </w:r>
            <w:r w:rsidRPr="003F63DB">
              <w:rPr>
                <w:rFonts w:ascii="Arial" w:hAnsi="Arial"/>
                <w:sz w:val="16"/>
              </w:rPr>
              <w:t>m</w:t>
            </w:r>
            <w:r w:rsidRPr="003F63DB">
              <w:rPr>
                <w:rFonts w:ascii="Arial" w:hAnsi="Arial"/>
                <w:sz w:val="16"/>
              </w:rPr>
              <w:t>betet-UV</w:t>
            </w:r>
          </w:p>
        </w:tc>
        <w:tc>
          <w:tcPr>
            <w:tcW w:w="559"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41</w:t>
            </w:r>
          </w:p>
        </w:tc>
        <w:tc>
          <w:tcPr>
            <w:tcW w:w="559"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67</w:t>
            </w:r>
          </w:p>
        </w:tc>
        <w:tc>
          <w:tcPr>
            <w:tcW w:w="559"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44</w:t>
            </w:r>
          </w:p>
        </w:tc>
        <w:tc>
          <w:tcPr>
            <w:tcW w:w="559"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39</w:t>
            </w:r>
          </w:p>
        </w:tc>
        <w:tc>
          <w:tcPr>
            <w:tcW w:w="559"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46</w:t>
            </w:r>
          </w:p>
        </w:tc>
        <w:tc>
          <w:tcPr>
            <w:tcW w:w="559" w:type="dxa"/>
            <w:tcBorders>
              <w:top w:val="single" w:sz="6" w:space="0" w:color="808080"/>
              <w:right w:val="nil"/>
            </w:tcBorders>
          </w:tcPr>
          <w:p w:rsidR="00905B3E" w:rsidRPr="003F63DB" w:rsidRDefault="00905B3E">
            <w:pPr>
              <w:pStyle w:val="Tabell"/>
              <w:jc w:val="right"/>
              <w:rPr>
                <w:rFonts w:ascii="Arial" w:hAnsi="Arial"/>
                <w:sz w:val="16"/>
              </w:rPr>
            </w:pPr>
            <w:r w:rsidRPr="003F63DB">
              <w:rPr>
                <w:rFonts w:ascii="Arial" w:hAnsi="Arial"/>
                <w:sz w:val="16"/>
              </w:rPr>
              <w:t>41</w:t>
            </w:r>
          </w:p>
        </w:tc>
        <w:tc>
          <w:tcPr>
            <w:tcW w:w="609" w:type="dxa"/>
            <w:tcBorders>
              <w:top w:val="single" w:sz="6" w:space="0" w:color="808080"/>
              <w:left w:val="dotted" w:sz="4" w:space="0" w:color="auto"/>
            </w:tcBorders>
          </w:tcPr>
          <w:p w:rsidR="00905B3E" w:rsidRPr="003F63DB" w:rsidRDefault="00905B3E">
            <w:pPr>
              <w:pStyle w:val="Tabell"/>
              <w:jc w:val="right"/>
              <w:rPr>
                <w:rFonts w:ascii="Arial" w:hAnsi="Arial"/>
                <w:sz w:val="16"/>
              </w:rPr>
            </w:pPr>
            <w:r w:rsidRPr="003F63DB">
              <w:rPr>
                <w:rFonts w:ascii="Arial" w:hAnsi="Arial"/>
                <w:sz w:val="16"/>
              </w:rPr>
              <w:t>45</w:t>
            </w:r>
          </w:p>
        </w:tc>
      </w:tr>
      <w:tr w:rsidR="00000000" w:rsidRPr="003F63DB">
        <w:tblPrEx>
          <w:tblCellMar>
            <w:top w:w="0" w:type="dxa"/>
            <w:bottom w:w="0" w:type="dxa"/>
          </w:tblCellMar>
        </w:tblPrEx>
        <w:tc>
          <w:tcPr>
            <w:tcW w:w="2197" w:type="dxa"/>
          </w:tcPr>
          <w:p w:rsidR="00905B3E" w:rsidRPr="003F63DB" w:rsidRDefault="00905B3E">
            <w:pPr>
              <w:pStyle w:val="Tabell"/>
              <w:rPr>
                <w:rFonts w:ascii="Arial" w:hAnsi="Arial"/>
                <w:sz w:val="16"/>
              </w:rPr>
            </w:pPr>
            <w:r w:rsidRPr="003F63DB">
              <w:rPr>
                <w:rFonts w:ascii="Arial" w:hAnsi="Arial"/>
                <w:sz w:val="16"/>
              </w:rPr>
              <w:t>Länsmuseer</w:t>
            </w:r>
          </w:p>
        </w:tc>
        <w:tc>
          <w:tcPr>
            <w:tcW w:w="559" w:type="dxa"/>
          </w:tcPr>
          <w:p w:rsidR="00905B3E" w:rsidRPr="003F63DB" w:rsidRDefault="00905B3E">
            <w:pPr>
              <w:pStyle w:val="Tabell"/>
              <w:jc w:val="right"/>
              <w:rPr>
                <w:rFonts w:ascii="Arial" w:hAnsi="Arial"/>
                <w:sz w:val="16"/>
              </w:rPr>
            </w:pPr>
            <w:r w:rsidRPr="003F63DB">
              <w:rPr>
                <w:rFonts w:ascii="Arial" w:hAnsi="Arial"/>
                <w:sz w:val="16"/>
              </w:rPr>
              <w:t>10</w:t>
            </w:r>
          </w:p>
        </w:tc>
        <w:tc>
          <w:tcPr>
            <w:tcW w:w="559" w:type="dxa"/>
          </w:tcPr>
          <w:p w:rsidR="00905B3E" w:rsidRPr="003F63DB" w:rsidRDefault="00905B3E">
            <w:pPr>
              <w:pStyle w:val="Tabell"/>
              <w:jc w:val="right"/>
              <w:rPr>
                <w:rFonts w:ascii="Arial" w:hAnsi="Arial"/>
                <w:sz w:val="16"/>
              </w:rPr>
            </w:pPr>
            <w:r w:rsidRPr="003F63DB">
              <w:rPr>
                <w:rFonts w:ascii="Arial" w:hAnsi="Arial"/>
                <w:sz w:val="16"/>
              </w:rPr>
              <w:t>23</w:t>
            </w:r>
          </w:p>
        </w:tc>
        <w:tc>
          <w:tcPr>
            <w:tcW w:w="559" w:type="dxa"/>
          </w:tcPr>
          <w:p w:rsidR="00905B3E" w:rsidRPr="003F63DB" w:rsidRDefault="00905B3E">
            <w:pPr>
              <w:pStyle w:val="Tabell"/>
              <w:jc w:val="right"/>
              <w:rPr>
                <w:rFonts w:ascii="Arial" w:hAnsi="Arial"/>
                <w:sz w:val="16"/>
              </w:rPr>
            </w:pPr>
            <w:r w:rsidRPr="003F63DB">
              <w:rPr>
                <w:rFonts w:ascii="Arial" w:hAnsi="Arial"/>
                <w:sz w:val="16"/>
              </w:rPr>
              <w:t>27</w:t>
            </w:r>
          </w:p>
        </w:tc>
        <w:tc>
          <w:tcPr>
            <w:tcW w:w="559" w:type="dxa"/>
          </w:tcPr>
          <w:p w:rsidR="00905B3E" w:rsidRPr="003F63DB" w:rsidRDefault="00905B3E">
            <w:pPr>
              <w:pStyle w:val="Tabell"/>
              <w:jc w:val="right"/>
              <w:rPr>
                <w:rFonts w:ascii="Arial" w:hAnsi="Arial"/>
                <w:sz w:val="16"/>
              </w:rPr>
            </w:pPr>
            <w:r w:rsidRPr="003F63DB">
              <w:rPr>
                <w:rFonts w:ascii="Arial" w:hAnsi="Arial"/>
                <w:sz w:val="16"/>
              </w:rPr>
              <w:t>15</w:t>
            </w:r>
          </w:p>
        </w:tc>
        <w:tc>
          <w:tcPr>
            <w:tcW w:w="559" w:type="dxa"/>
          </w:tcPr>
          <w:p w:rsidR="00905B3E" w:rsidRPr="003F63DB" w:rsidRDefault="00905B3E">
            <w:pPr>
              <w:pStyle w:val="Tabell"/>
              <w:jc w:val="right"/>
              <w:rPr>
                <w:rFonts w:ascii="Arial" w:hAnsi="Arial"/>
                <w:sz w:val="16"/>
              </w:rPr>
            </w:pPr>
            <w:r w:rsidRPr="003F63DB">
              <w:rPr>
                <w:rFonts w:ascii="Arial" w:hAnsi="Arial"/>
                <w:sz w:val="16"/>
              </w:rPr>
              <w:t>30</w:t>
            </w:r>
          </w:p>
        </w:tc>
        <w:tc>
          <w:tcPr>
            <w:tcW w:w="559"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28</w:t>
            </w:r>
          </w:p>
        </w:tc>
        <w:tc>
          <w:tcPr>
            <w:tcW w:w="609" w:type="dxa"/>
            <w:tcBorders>
              <w:left w:val="dotted" w:sz="4" w:space="0" w:color="auto"/>
            </w:tcBorders>
          </w:tcPr>
          <w:p w:rsidR="00905B3E" w:rsidRPr="003F63DB" w:rsidRDefault="00905B3E">
            <w:pPr>
              <w:pStyle w:val="Tabell"/>
              <w:jc w:val="right"/>
              <w:rPr>
                <w:rFonts w:ascii="Arial" w:hAnsi="Arial"/>
                <w:sz w:val="16"/>
              </w:rPr>
            </w:pPr>
            <w:r w:rsidRPr="003F63DB">
              <w:rPr>
                <w:rFonts w:ascii="Arial" w:hAnsi="Arial"/>
                <w:sz w:val="16"/>
              </w:rPr>
              <w:t>23</w:t>
            </w:r>
          </w:p>
        </w:tc>
      </w:tr>
      <w:tr w:rsidR="00000000" w:rsidRPr="003F63DB">
        <w:tblPrEx>
          <w:tblCellMar>
            <w:top w:w="0" w:type="dxa"/>
            <w:bottom w:w="0" w:type="dxa"/>
          </w:tblCellMar>
        </w:tblPrEx>
        <w:tc>
          <w:tcPr>
            <w:tcW w:w="2197" w:type="dxa"/>
          </w:tcPr>
          <w:p w:rsidR="00905B3E" w:rsidRPr="003F63DB" w:rsidRDefault="00905B3E">
            <w:pPr>
              <w:pStyle w:val="Tabell"/>
              <w:rPr>
                <w:rFonts w:ascii="Arial" w:hAnsi="Arial"/>
                <w:sz w:val="16"/>
              </w:rPr>
            </w:pPr>
            <w:r w:rsidRPr="003F63DB">
              <w:rPr>
                <w:rFonts w:ascii="Arial" w:hAnsi="Arial"/>
                <w:sz w:val="16"/>
              </w:rPr>
              <w:t>Kommunala mus</w:t>
            </w:r>
            <w:r w:rsidRPr="003F63DB">
              <w:rPr>
                <w:rFonts w:ascii="Arial" w:hAnsi="Arial"/>
                <w:sz w:val="16"/>
              </w:rPr>
              <w:t>e</w:t>
            </w:r>
            <w:r w:rsidRPr="003F63DB">
              <w:rPr>
                <w:rFonts w:ascii="Arial" w:hAnsi="Arial"/>
                <w:sz w:val="16"/>
              </w:rPr>
              <w:t>er/förvalt.</w:t>
            </w:r>
          </w:p>
        </w:tc>
        <w:tc>
          <w:tcPr>
            <w:tcW w:w="559" w:type="dxa"/>
          </w:tcPr>
          <w:p w:rsidR="00905B3E" w:rsidRPr="003F63DB" w:rsidRDefault="00905B3E">
            <w:pPr>
              <w:pStyle w:val="Tabell"/>
              <w:jc w:val="right"/>
              <w:rPr>
                <w:rFonts w:ascii="Arial" w:hAnsi="Arial"/>
                <w:sz w:val="16"/>
              </w:rPr>
            </w:pPr>
            <w:r w:rsidRPr="003F63DB">
              <w:rPr>
                <w:rFonts w:ascii="Arial" w:hAnsi="Arial"/>
                <w:sz w:val="16"/>
              </w:rPr>
              <w:t>41</w:t>
            </w:r>
          </w:p>
        </w:tc>
        <w:tc>
          <w:tcPr>
            <w:tcW w:w="559" w:type="dxa"/>
          </w:tcPr>
          <w:p w:rsidR="00905B3E" w:rsidRPr="003F63DB" w:rsidRDefault="00905B3E">
            <w:pPr>
              <w:pStyle w:val="Tabell"/>
              <w:jc w:val="right"/>
              <w:rPr>
                <w:rFonts w:ascii="Arial" w:hAnsi="Arial"/>
                <w:sz w:val="16"/>
              </w:rPr>
            </w:pPr>
            <w:r w:rsidRPr="003F63DB">
              <w:rPr>
                <w:rFonts w:ascii="Arial" w:hAnsi="Arial"/>
                <w:sz w:val="16"/>
              </w:rPr>
              <w:t>10</w:t>
            </w:r>
          </w:p>
        </w:tc>
        <w:tc>
          <w:tcPr>
            <w:tcW w:w="559" w:type="dxa"/>
          </w:tcPr>
          <w:p w:rsidR="00905B3E" w:rsidRPr="003F63DB" w:rsidRDefault="00905B3E">
            <w:pPr>
              <w:pStyle w:val="Tabell"/>
              <w:jc w:val="right"/>
              <w:rPr>
                <w:rFonts w:ascii="Arial" w:hAnsi="Arial"/>
                <w:sz w:val="16"/>
              </w:rPr>
            </w:pPr>
            <w:r w:rsidRPr="003F63DB">
              <w:rPr>
                <w:rFonts w:ascii="Arial" w:hAnsi="Arial"/>
                <w:sz w:val="16"/>
              </w:rPr>
              <w:t>29</w:t>
            </w:r>
          </w:p>
        </w:tc>
        <w:tc>
          <w:tcPr>
            <w:tcW w:w="559" w:type="dxa"/>
          </w:tcPr>
          <w:p w:rsidR="00905B3E" w:rsidRPr="003F63DB" w:rsidRDefault="00905B3E">
            <w:pPr>
              <w:pStyle w:val="Tabell"/>
              <w:jc w:val="right"/>
              <w:rPr>
                <w:rFonts w:ascii="Arial" w:hAnsi="Arial"/>
                <w:sz w:val="16"/>
              </w:rPr>
            </w:pPr>
            <w:r w:rsidRPr="003F63DB">
              <w:rPr>
                <w:rFonts w:ascii="Arial" w:hAnsi="Arial"/>
                <w:sz w:val="16"/>
              </w:rPr>
              <w:t>40</w:t>
            </w:r>
          </w:p>
        </w:tc>
        <w:tc>
          <w:tcPr>
            <w:tcW w:w="559" w:type="dxa"/>
          </w:tcPr>
          <w:p w:rsidR="00905B3E" w:rsidRPr="003F63DB" w:rsidRDefault="00905B3E">
            <w:pPr>
              <w:pStyle w:val="Tabell"/>
              <w:jc w:val="right"/>
              <w:rPr>
                <w:rFonts w:ascii="Arial" w:hAnsi="Arial"/>
                <w:sz w:val="16"/>
              </w:rPr>
            </w:pPr>
            <w:r w:rsidRPr="003F63DB">
              <w:rPr>
                <w:rFonts w:ascii="Arial" w:hAnsi="Arial"/>
                <w:sz w:val="16"/>
              </w:rPr>
              <w:t>20</w:t>
            </w:r>
          </w:p>
        </w:tc>
        <w:tc>
          <w:tcPr>
            <w:tcW w:w="559"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29</w:t>
            </w:r>
          </w:p>
        </w:tc>
        <w:tc>
          <w:tcPr>
            <w:tcW w:w="609" w:type="dxa"/>
            <w:tcBorders>
              <w:left w:val="dotted" w:sz="4" w:space="0" w:color="auto"/>
            </w:tcBorders>
          </w:tcPr>
          <w:p w:rsidR="00905B3E" w:rsidRPr="003F63DB" w:rsidRDefault="00905B3E">
            <w:pPr>
              <w:pStyle w:val="Tabell"/>
              <w:jc w:val="right"/>
              <w:rPr>
                <w:rFonts w:ascii="Arial" w:hAnsi="Arial"/>
                <w:sz w:val="16"/>
              </w:rPr>
            </w:pPr>
            <w:r w:rsidRPr="003F63DB">
              <w:rPr>
                <w:rFonts w:ascii="Arial" w:hAnsi="Arial"/>
                <w:sz w:val="16"/>
              </w:rPr>
              <w:t>29</w:t>
            </w:r>
          </w:p>
        </w:tc>
      </w:tr>
      <w:tr w:rsidR="00000000" w:rsidRPr="003F63DB">
        <w:tblPrEx>
          <w:tblCellMar>
            <w:top w:w="0" w:type="dxa"/>
            <w:bottom w:w="0" w:type="dxa"/>
          </w:tblCellMar>
        </w:tblPrEx>
        <w:tc>
          <w:tcPr>
            <w:tcW w:w="2197" w:type="dxa"/>
          </w:tcPr>
          <w:p w:rsidR="00905B3E" w:rsidRPr="003F63DB" w:rsidRDefault="00905B3E">
            <w:pPr>
              <w:pStyle w:val="Tabell"/>
              <w:rPr>
                <w:rFonts w:ascii="Arial" w:hAnsi="Arial"/>
                <w:sz w:val="16"/>
              </w:rPr>
            </w:pPr>
            <w:r w:rsidRPr="003F63DB">
              <w:rPr>
                <w:rFonts w:ascii="Arial" w:hAnsi="Arial"/>
                <w:sz w:val="16"/>
              </w:rPr>
              <w:t xml:space="preserve">  </w:t>
            </w:r>
            <w:r w:rsidRPr="003F63DB">
              <w:rPr>
                <w:rFonts w:ascii="Arial" w:hAnsi="Arial"/>
                <w:i/>
                <w:sz w:val="16"/>
              </w:rPr>
              <w:t>därav</w:t>
            </w:r>
            <w:r w:rsidRPr="003F63DB">
              <w:rPr>
                <w:rFonts w:ascii="Arial" w:hAnsi="Arial"/>
                <w:sz w:val="16"/>
              </w:rPr>
              <w:t xml:space="preserve"> Malmö Ku</w:t>
            </w:r>
            <w:r w:rsidRPr="003F63DB">
              <w:rPr>
                <w:rFonts w:ascii="Arial" w:hAnsi="Arial"/>
                <w:sz w:val="16"/>
              </w:rPr>
              <w:t>l</w:t>
            </w:r>
            <w:r w:rsidRPr="003F63DB">
              <w:rPr>
                <w:rFonts w:ascii="Arial" w:hAnsi="Arial"/>
                <w:sz w:val="16"/>
              </w:rPr>
              <w:t>turmiljö</w:t>
            </w:r>
          </w:p>
        </w:tc>
        <w:tc>
          <w:tcPr>
            <w:tcW w:w="559" w:type="dxa"/>
          </w:tcPr>
          <w:p w:rsidR="00905B3E" w:rsidRPr="003F63DB" w:rsidRDefault="00905B3E">
            <w:pPr>
              <w:pStyle w:val="Tabell"/>
              <w:jc w:val="right"/>
              <w:rPr>
                <w:rFonts w:ascii="Arial" w:hAnsi="Arial"/>
                <w:sz w:val="16"/>
              </w:rPr>
            </w:pPr>
            <w:r w:rsidRPr="003F63DB">
              <w:rPr>
                <w:rFonts w:ascii="Arial" w:hAnsi="Arial"/>
                <w:sz w:val="16"/>
              </w:rPr>
              <w:t>39</w:t>
            </w:r>
          </w:p>
        </w:tc>
        <w:tc>
          <w:tcPr>
            <w:tcW w:w="559" w:type="dxa"/>
          </w:tcPr>
          <w:p w:rsidR="00905B3E" w:rsidRPr="003F63DB" w:rsidRDefault="00905B3E">
            <w:pPr>
              <w:pStyle w:val="Tabell"/>
              <w:jc w:val="right"/>
              <w:rPr>
                <w:rFonts w:ascii="Arial" w:hAnsi="Arial"/>
                <w:sz w:val="16"/>
              </w:rPr>
            </w:pPr>
            <w:r w:rsidRPr="003F63DB">
              <w:rPr>
                <w:rFonts w:ascii="Arial" w:hAnsi="Arial"/>
                <w:sz w:val="16"/>
              </w:rPr>
              <w:t>7</w:t>
            </w:r>
          </w:p>
        </w:tc>
        <w:tc>
          <w:tcPr>
            <w:tcW w:w="559" w:type="dxa"/>
          </w:tcPr>
          <w:p w:rsidR="00905B3E" w:rsidRPr="003F63DB" w:rsidRDefault="00905B3E">
            <w:pPr>
              <w:pStyle w:val="Tabell"/>
              <w:jc w:val="right"/>
              <w:rPr>
                <w:rFonts w:ascii="Arial" w:hAnsi="Arial"/>
                <w:sz w:val="16"/>
              </w:rPr>
            </w:pPr>
            <w:r w:rsidRPr="003F63DB">
              <w:rPr>
                <w:rFonts w:ascii="Arial" w:hAnsi="Arial"/>
                <w:sz w:val="16"/>
              </w:rPr>
              <w:t>27</w:t>
            </w:r>
          </w:p>
        </w:tc>
        <w:tc>
          <w:tcPr>
            <w:tcW w:w="559" w:type="dxa"/>
          </w:tcPr>
          <w:p w:rsidR="00905B3E" w:rsidRPr="003F63DB" w:rsidRDefault="00905B3E">
            <w:pPr>
              <w:pStyle w:val="Tabell"/>
              <w:jc w:val="right"/>
              <w:rPr>
                <w:rFonts w:ascii="Arial" w:hAnsi="Arial"/>
                <w:sz w:val="16"/>
              </w:rPr>
            </w:pPr>
            <w:r w:rsidRPr="003F63DB">
              <w:rPr>
                <w:rFonts w:ascii="Arial" w:hAnsi="Arial"/>
                <w:sz w:val="16"/>
              </w:rPr>
              <w:t>31</w:t>
            </w:r>
          </w:p>
        </w:tc>
        <w:tc>
          <w:tcPr>
            <w:tcW w:w="559" w:type="dxa"/>
          </w:tcPr>
          <w:p w:rsidR="00905B3E" w:rsidRPr="003F63DB" w:rsidRDefault="00905B3E">
            <w:pPr>
              <w:pStyle w:val="Tabell"/>
              <w:jc w:val="right"/>
              <w:rPr>
                <w:rFonts w:ascii="Arial" w:hAnsi="Arial"/>
                <w:sz w:val="16"/>
              </w:rPr>
            </w:pPr>
            <w:r w:rsidRPr="003F63DB">
              <w:rPr>
                <w:rFonts w:ascii="Arial" w:hAnsi="Arial"/>
                <w:sz w:val="16"/>
              </w:rPr>
              <w:t>17</w:t>
            </w:r>
          </w:p>
        </w:tc>
        <w:tc>
          <w:tcPr>
            <w:tcW w:w="559"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28</w:t>
            </w:r>
          </w:p>
        </w:tc>
        <w:tc>
          <w:tcPr>
            <w:tcW w:w="609" w:type="dxa"/>
            <w:tcBorders>
              <w:left w:val="dotted" w:sz="4" w:space="0" w:color="auto"/>
            </w:tcBorders>
          </w:tcPr>
          <w:p w:rsidR="00905B3E" w:rsidRPr="003F63DB" w:rsidRDefault="00905B3E">
            <w:pPr>
              <w:pStyle w:val="Tabell"/>
              <w:jc w:val="right"/>
              <w:rPr>
                <w:rFonts w:ascii="Arial" w:hAnsi="Arial"/>
                <w:sz w:val="16"/>
              </w:rPr>
            </w:pPr>
            <w:r w:rsidRPr="003F63DB">
              <w:rPr>
                <w:rFonts w:ascii="Arial" w:hAnsi="Arial"/>
                <w:sz w:val="16"/>
              </w:rPr>
              <w:t>26</w:t>
            </w:r>
          </w:p>
        </w:tc>
      </w:tr>
      <w:tr w:rsidR="00000000" w:rsidRPr="003F63DB">
        <w:tblPrEx>
          <w:tblCellMar>
            <w:top w:w="0" w:type="dxa"/>
            <w:bottom w:w="0" w:type="dxa"/>
          </w:tblCellMar>
        </w:tblPrEx>
        <w:tc>
          <w:tcPr>
            <w:tcW w:w="2197" w:type="dxa"/>
          </w:tcPr>
          <w:p w:rsidR="00905B3E" w:rsidRPr="003F63DB" w:rsidRDefault="00905B3E">
            <w:pPr>
              <w:pStyle w:val="Tabell"/>
              <w:rPr>
                <w:rFonts w:ascii="Arial" w:hAnsi="Arial"/>
                <w:sz w:val="16"/>
              </w:rPr>
            </w:pPr>
            <w:r w:rsidRPr="003F63DB">
              <w:rPr>
                <w:rFonts w:ascii="Arial" w:hAnsi="Arial"/>
                <w:sz w:val="16"/>
              </w:rPr>
              <w:t>Enskilda unders</w:t>
            </w:r>
            <w:r w:rsidRPr="003F63DB">
              <w:rPr>
                <w:rFonts w:ascii="Arial" w:hAnsi="Arial"/>
                <w:sz w:val="16"/>
              </w:rPr>
              <w:t>ö</w:t>
            </w:r>
            <w:r w:rsidRPr="003F63DB">
              <w:rPr>
                <w:rFonts w:ascii="Arial" w:hAnsi="Arial"/>
                <w:sz w:val="16"/>
              </w:rPr>
              <w:t>kare</w:t>
            </w:r>
          </w:p>
        </w:tc>
        <w:tc>
          <w:tcPr>
            <w:tcW w:w="559" w:type="dxa"/>
          </w:tcPr>
          <w:p w:rsidR="00905B3E" w:rsidRPr="003F63DB" w:rsidRDefault="00905B3E">
            <w:pPr>
              <w:pStyle w:val="Tabell"/>
              <w:jc w:val="right"/>
              <w:rPr>
                <w:rFonts w:ascii="Arial" w:hAnsi="Arial"/>
                <w:sz w:val="16"/>
              </w:rPr>
            </w:pPr>
            <w:r w:rsidRPr="003F63DB">
              <w:rPr>
                <w:rFonts w:ascii="Arial" w:hAnsi="Arial"/>
                <w:sz w:val="16"/>
              </w:rPr>
              <w:t>8</w:t>
            </w:r>
          </w:p>
        </w:tc>
        <w:tc>
          <w:tcPr>
            <w:tcW w:w="559" w:type="dxa"/>
          </w:tcPr>
          <w:p w:rsidR="00905B3E" w:rsidRPr="003F63DB" w:rsidRDefault="00905B3E">
            <w:pPr>
              <w:pStyle w:val="Tabell"/>
              <w:jc w:val="right"/>
              <w:rPr>
                <w:rFonts w:ascii="Arial" w:hAnsi="Arial"/>
                <w:sz w:val="16"/>
              </w:rPr>
            </w:pPr>
            <w:r w:rsidRPr="003F63DB">
              <w:rPr>
                <w:rFonts w:ascii="Arial" w:hAnsi="Arial"/>
                <w:sz w:val="16"/>
              </w:rPr>
              <w:t>0</w:t>
            </w:r>
          </w:p>
        </w:tc>
        <w:tc>
          <w:tcPr>
            <w:tcW w:w="559" w:type="dxa"/>
          </w:tcPr>
          <w:p w:rsidR="00905B3E" w:rsidRPr="003F63DB" w:rsidRDefault="00905B3E">
            <w:pPr>
              <w:pStyle w:val="Tabell"/>
              <w:jc w:val="right"/>
              <w:rPr>
                <w:rFonts w:ascii="Arial" w:hAnsi="Arial"/>
                <w:sz w:val="16"/>
              </w:rPr>
            </w:pPr>
            <w:r w:rsidRPr="003F63DB">
              <w:rPr>
                <w:rFonts w:ascii="Arial" w:hAnsi="Arial"/>
                <w:sz w:val="16"/>
              </w:rPr>
              <w:t>1</w:t>
            </w:r>
          </w:p>
        </w:tc>
        <w:tc>
          <w:tcPr>
            <w:tcW w:w="559" w:type="dxa"/>
          </w:tcPr>
          <w:p w:rsidR="00905B3E" w:rsidRPr="003F63DB" w:rsidRDefault="00905B3E">
            <w:pPr>
              <w:pStyle w:val="Tabell"/>
              <w:jc w:val="right"/>
              <w:rPr>
                <w:rFonts w:ascii="Arial" w:hAnsi="Arial"/>
                <w:sz w:val="16"/>
              </w:rPr>
            </w:pPr>
            <w:r w:rsidRPr="003F63DB">
              <w:rPr>
                <w:rFonts w:ascii="Arial" w:hAnsi="Arial"/>
                <w:sz w:val="16"/>
              </w:rPr>
              <w:t>6</w:t>
            </w:r>
          </w:p>
        </w:tc>
        <w:tc>
          <w:tcPr>
            <w:tcW w:w="559" w:type="dxa"/>
          </w:tcPr>
          <w:p w:rsidR="00905B3E" w:rsidRPr="003F63DB" w:rsidRDefault="00905B3E">
            <w:pPr>
              <w:pStyle w:val="Tabell"/>
              <w:jc w:val="right"/>
              <w:rPr>
                <w:rFonts w:ascii="Arial" w:hAnsi="Arial"/>
                <w:sz w:val="16"/>
              </w:rPr>
            </w:pPr>
            <w:r w:rsidRPr="003F63DB">
              <w:rPr>
                <w:rFonts w:ascii="Arial" w:hAnsi="Arial"/>
                <w:sz w:val="16"/>
              </w:rPr>
              <w:t>4</w:t>
            </w:r>
          </w:p>
        </w:tc>
        <w:tc>
          <w:tcPr>
            <w:tcW w:w="559"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1</w:t>
            </w:r>
          </w:p>
        </w:tc>
        <w:tc>
          <w:tcPr>
            <w:tcW w:w="609" w:type="dxa"/>
            <w:tcBorders>
              <w:left w:val="dotted" w:sz="4" w:space="0" w:color="auto"/>
            </w:tcBorders>
          </w:tcPr>
          <w:p w:rsidR="00905B3E" w:rsidRPr="003F63DB" w:rsidRDefault="00905B3E">
            <w:pPr>
              <w:pStyle w:val="Tabell"/>
              <w:jc w:val="right"/>
              <w:rPr>
                <w:rFonts w:ascii="Arial" w:hAnsi="Arial"/>
                <w:sz w:val="16"/>
              </w:rPr>
            </w:pPr>
            <w:r w:rsidRPr="003F63DB">
              <w:rPr>
                <w:rFonts w:ascii="Arial" w:hAnsi="Arial"/>
                <w:sz w:val="16"/>
              </w:rPr>
              <w:t>3</w:t>
            </w:r>
          </w:p>
        </w:tc>
      </w:tr>
      <w:tr w:rsidR="00000000" w:rsidRPr="003F63DB">
        <w:tblPrEx>
          <w:tblCellMar>
            <w:top w:w="0" w:type="dxa"/>
            <w:bottom w:w="0" w:type="dxa"/>
          </w:tblCellMar>
        </w:tblPrEx>
        <w:tc>
          <w:tcPr>
            <w:tcW w:w="2197" w:type="dxa"/>
          </w:tcPr>
          <w:p w:rsidR="00905B3E" w:rsidRPr="003F63DB" w:rsidRDefault="00905B3E">
            <w:pPr>
              <w:pStyle w:val="Tabell"/>
              <w:rPr>
                <w:rFonts w:ascii="Arial" w:hAnsi="Arial"/>
                <w:b/>
                <w:sz w:val="16"/>
              </w:rPr>
            </w:pPr>
            <w:r w:rsidRPr="003F63DB">
              <w:rPr>
                <w:rFonts w:ascii="Arial" w:hAnsi="Arial"/>
                <w:b/>
                <w:sz w:val="16"/>
              </w:rPr>
              <w:t>Summa, procent</w:t>
            </w:r>
          </w:p>
        </w:tc>
        <w:tc>
          <w:tcPr>
            <w:tcW w:w="559"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559"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559"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559"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559" w:type="dxa"/>
          </w:tcPr>
          <w:p w:rsidR="00905B3E" w:rsidRPr="003F63DB" w:rsidRDefault="00905B3E">
            <w:pPr>
              <w:pStyle w:val="Tabell"/>
              <w:jc w:val="right"/>
              <w:rPr>
                <w:rFonts w:ascii="Arial" w:hAnsi="Arial"/>
                <w:b/>
                <w:sz w:val="16"/>
              </w:rPr>
            </w:pPr>
            <w:r w:rsidRPr="003F63DB">
              <w:rPr>
                <w:rFonts w:ascii="Arial" w:hAnsi="Arial"/>
                <w:b/>
                <w:sz w:val="16"/>
              </w:rPr>
              <w:t>100</w:t>
            </w:r>
          </w:p>
        </w:tc>
        <w:tc>
          <w:tcPr>
            <w:tcW w:w="559" w:type="dxa"/>
            <w:tcBorders>
              <w:right w:val="nil"/>
            </w:tcBorders>
          </w:tcPr>
          <w:p w:rsidR="00905B3E" w:rsidRPr="003F63DB" w:rsidRDefault="00905B3E">
            <w:pPr>
              <w:pStyle w:val="Tabell"/>
              <w:jc w:val="right"/>
              <w:rPr>
                <w:rFonts w:ascii="Arial" w:hAnsi="Arial"/>
                <w:b/>
                <w:sz w:val="16"/>
              </w:rPr>
            </w:pPr>
            <w:r w:rsidRPr="003F63DB">
              <w:rPr>
                <w:rFonts w:ascii="Arial" w:hAnsi="Arial"/>
                <w:b/>
                <w:sz w:val="16"/>
              </w:rPr>
              <w:t>100</w:t>
            </w:r>
          </w:p>
        </w:tc>
        <w:tc>
          <w:tcPr>
            <w:tcW w:w="609" w:type="dxa"/>
            <w:tcBorders>
              <w:left w:val="dotted" w:sz="4" w:space="0" w:color="auto"/>
            </w:tcBorders>
          </w:tcPr>
          <w:p w:rsidR="00905B3E" w:rsidRPr="003F63DB" w:rsidRDefault="00905B3E">
            <w:pPr>
              <w:pStyle w:val="Tabell"/>
              <w:jc w:val="right"/>
              <w:rPr>
                <w:rFonts w:ascii="Arial" w:hAnsi="Arial"/>
                <w:b/>
                <w:sz w:val="16"/>
              </w:rPr>
            </w:pPr>
            <w:r w:rsidRPr="003F63DB">
              <w:rPr>
                <w:rFonts w:ascii="Arial" w:hAnsi="Arial"/>
                <w:b/>
                <w:sz w:val="16"/>
              </w:rPr>
              <w:t>100</w:t>
            </w:r>
          </w:p>
        </w:tc>
      </w:tr>
      <w:tr w:rsidR="00000000" w:rsidRPr="003F63DB">
        <w:tblPrEx>
          <w:tblCellMar>
            <w:top w:w="0" w:type="dxa"/>
            <w:bottom w:w="0" w:type="dxa"/>
          </w:tblCellMar>
        </w:tblPrEx>
        <w:tc>
          <w:tcPr>
            <w:tcW w:w="2197" w:type="dxa"/>
          </w:tcPr>
          <w:p w:rsidR="00905B3E" w:rsidRPr="003F63DB" w:rsidRDefault="00905B3E">
            <w:pPr>
              <w:pStyle w:val="Tabell"/>
              <w:rPr>
                <w:rFonts w:ascii="Arial" w:hAnsi="Arial"/>
                <w:b/>
                <w:sz w:val="16"/>
              </w:rPr>
            </w:pPr>
          </w:p>
        </w:tc>
        <w:tc>
          <w:tcPr>
            <w:tcW w:w="559" w:type="dxa"/>
          </w:tcPr>
          <w:p w:rsidR="00905B3E" w:rsidRPr="003F63DB" w:rsidRDefault="00905B3E">
            <w:pPr>
              <w:pStyle w:val="Tabell"/>
              <w:jc w:val="right"/>
              <w:rPr>
                <w:rFonts w:ascii="Arial" w:hAnsi="Arial"/>
                <w:b/>
                <w:sz w:val="16"/>
              </w:rPr>
            </w:pPr>
          </w:p>
        </w:tc>
        <w:tc>
          <w:tcPr>
            <w:tcW w:w="559" w:type="dxa"/>
          </w:tcPr>
          <w:p w:rsidR="00905B3E" w:rsidRPr="003F63DB" w:rsidRDefault="00905B3E">
            <w:pPr>
              <w:pStyle w:val="Tabell"/>
              <w:jc w:val="right"/>
              <w:rPr>
                <w:rFonts w:ascii="Arial" w:hAnsi="Arial"/>
                <w:b/>
                <w:sz w:val="16"/>
              </w:rPr>
            </w:pPr>
          </w:p>
        </w:tc>
        <w:tc>
          <w:tcPr>
            <w:tcW w:w="559" w:type="dxa"/>
          </w:tcPr>
          <w:p w:rsidR="00905B3E" w:rsidRPr="003F63DB" w:rsidRDefault="00905B3E">
            <w:pPr>
              <w:pStyle w:val="Tabell"/>
              <w:jc w:val="right"/>
              <w:rPr>
                <w:rFonts w:ascii="Arial" w:hAnsi="Arial"/>
                <w:b/>
                <w:sz w:val="16"/>
              </w:rPr>
            </w:pPr>
          </w:p>
        </w:tc>
        <w:tc>
          <w:tcPr>
            <w:tcW w:w="559" w:type="dxa"/>
          </w:tcPr>
          <w:p w:rsidR="00905B3E" w:rsidRPr="003F63DB" w:rsidRDefault="00905B3E">
            <w:pPr>
              <w:pStyle w:val="Tabell"/>
              <w:jc w:val="right"/>
              <w:rPr>
                <w:rFonts w:ascii="Arial" w:hAnsi="Arial"/>
                <w:b/>
                <w:sz w:val="16"/>
              </w:rPr>
            </w:pPr>
          </w:p>
        </w:tc>
        <w:tc>
          <w:tcPr>
            <w:tcW w:w="559" w:type="dxa"/>
          </w:tcPr>
          <w:p w:rsidR="00905B3E" w:rsidRPr="003F63DB" w:rsidRDefault="00905B3E">
            <w:pPr>
              <w:pStyle w:val="Tabell"/>
              <w:jc w:val="right"/>
              <w:rPr>
                <w:rFonts w:ascii="Arial" w:hAnsi="Arial"/>
                <w:b/>
                <w:sz w:val="16"/>
              </w:rPr>
            </w:pPr>
          </w:p>
        </w:tc>
        <w:tc>
          <w:tcPr>
            <w:tcW w:w="559" w:type="dxa"/>
            <w:tcBorders>
              <w:right w:val="nil"/>
            </w:tcBorders>
          </w:tcPr>
          <w:p w:rsidR="00905B3E" w:rsidRPr="003F63DB" w:rsidRDefault="00905B3E">
            <w:pPr>
              <w:pStyle w:val="Tabell"/>
              <w:jc w:val="right"/>
              <w:rPr>
                <w:rFonts w:ascii="Arial" w:hAnsi="Arial"/>
                <w:b/>
                <w:sz w:val="16"/>
              </w:rPr>
            </w:pPr>
          </w:p>
        </w:tc>
        <w:tc>
          <w:tcPr>
            <w:tcW w:w="609" w:type="dxa"/>
            <w:tcBorders>
              <w:left w:val="dotted" w:sz="4" w:space="0" w:color="auto"/>
            </w:tcBorders>
          </w:tcPr>
          <w:p w:rsidR="00905B3E" w:rsidRPr="003F63DB" w:rsidRDefault="00905B3E">
            <w:pPr>
              <w:pStyle w:val="Tabell"/>
              <w:jc w:val="right"/>
              <w:rPr>
                <w:rFonts w:ascii="Arial" w:hAnsi="Arial"/>
                <w:b/>
                <w:sz w:val="16"/>
              </w:rPr>
            </w:pPr>
          </w:p>
        </w:tc>
      </w:tr>
      <w:tr w:rsidR="00000000" w:rsidRPr="003F63DB">
        <w:tblPrEx>
          <w:tblCellMar>
            <w:top w:w="0" w:type="dxa"/>
            <w:bottom w:w="0" w:type="dxa"/>
          </w:tblCellMar>
        </w:tblPrEx>
        <w:tc>
          <w:tcPr>
            <w:tcW w:w="2197" w:type="dxa"/>
          </w:tcPr>
          <w:p w:rsidR="00905B3E" w:rsidRPr="003F63DB" w:rsidRDefault="00905B3E">
            <w:pPr>
              <w:pStyle w:val="Tabell"/>
              <w:rPr>
                <w:rFonts w:ascii="Arial" w:hAnsi="Arial"/>
                <w:sz w:val="16"/>
              </w:rPr>
            </w:pPr>
            <w:r w:rsidRPr="003F63DB">
              <w:rPr>
                <w:rFonts w:ascii="Arial" w:hAnsi="Arial"/>
                <w:sz w:val="16"/>
              </w:rPr>
              <w:t>Totalt uppdragsvä</w:t>
            </w:r>
            <w:r w:rsidRPr="003F63DB">
              <w:rPr>
                <w:rFonts w:ascii="Arial" w:hAnsi="Arial"/>
                <w:sz w:val="16"/>
              </w:rPr>
              <w:t>r</w:t>
            </w:r>
            <w:r w:rsidRPr="003F63DB">
              <w:rPr>
                <w:rFonts w:ascii="Arial" w:hAnsi="Arial"/>
                <w:sz w:val="16"/>
              </w:rPr>
              <w:t xml:space="preserve">de, </w:t>
            </w:r>
          </w:p>
          <w:p w:rsidR="00905B3E" w:rsidRPr="003F63DB" w:rsidRDefault="00905B3E">
            <w:pPr>
              <w:pStyle w:val="Tabell"/>
              <w:rPr>
                <w:rFonts w:ascii="Arial" w:hAnsi="Arial"/>
                <w:sz w:val="16"/>
              </w:rPr>
            </w:pPr>
            <w:r w:rsidRPr="003F63DB">
              <w:rPr>
                <w:rFonts w:ascii="Arial" w:hAnsi="Arial"/>
                <w:sz w:val="16"/>
              </w:rPr>
              <w:t>mi</w:t>
            </w:r>
            <w:r w:rsidRPr="003F63DB">
              <w:rPr>
                <w:rFonts w:ascii="Arial" w:hAnsi="Arial"/>
                <w:sz w:val="16"/>
              </w:rPr>
              <w:t>l</w:t>
            </w:r>
            <w:r w:rsidRPr="003F63DB">
              <w:rPr>
                <w:rFonts w:ascii="Arial" w:hAnsi="Arial"/>
                <w:sz w:val="16"/>
              </w:rPr>
              <w:t>joner kronor</w:t>
            </w:r>
          </w:p>
        </w:tc>
        <w:tc>
          <w:tcPr>
            <w:tcW w:w="559" w:type="dxa"/>
          </w:tcPr>
          <w:p w:rsidR="00905B3E" w:rsidRPr="003F63DB" w:rsidRDefault="00905B3E">
            <w:pPr>
              <w:pStyle w:val="Tabell"/>
              <w:jc w:val="right"/>
              <w:rPr>
                <w:rFonts w:ascii="Arial" w:hAnsi="Arial"/>
                <w:sz w:val="16"/>
              </w:rPr>
            </w:pPr>
            <w:r w:rsidRPr="003F63DB">
              <w:rPr>
                <w:rFonts w:ascii="Arial" w:hAnsi="Arial"/>
                <w:sz w:val="16"/>
              </w:rPr>
              <w:t>218</w:t>
            </w:r>
          </w:p>
        </w:tc>
        <w:tc>
          <w:tcPr>
            <w:tcW w:w="559" w:type="dxa"/>
          </w:tcPr>
          <w:p w:rsidR="00905B3E" w:rsidRPr="003F63DB" w:rsidRDefault="00905B3E">
            <w:pPr>
              <w:pStyle w:val="Tabell"/>
              <w:jc w:val="right"/>
              <w:rPr>
                <w:rFonts w:ascii="Arial" w:hAnsi="Arial"/>
                <w:sz w:val="16"/>
              </w:rPr>
            </w:pPr>
            <w:r w:rsidRPr="003F63DB">
              <w:rPr>
                <w:rFonts w:ascii="Arial" w:hAnsi="Arial"/>
                <w:sz w:val="16"/>
              </w:rPr>
              <w:t>149</w:t>
            </w:r>
          </w:p>
        </w:tc>
        <w:tc>
          <w:tcPr>
            <w:tcW w:w="559" w:type="dxa"/>
          </w:tcPr>
          <w:p w:rsidR="00905B3E" w:rsidRPr="003F63DB" w:rsidRDefault="00905B3E">
            <w:pPr>
              <w:pStyle w:val="Tabell"/>
              <w:jc w:val="right"/>
              <w:rPr>
                <w:rFonts w:ascii="Arial" w:hAnsi="Arial"/>
                <w:sz w:val="16"/>
              </w:rPr>
            </w:pPr>
            <w:r w:rsidRPr="003F63DB">
              <w:rPr>
                <w:rFonts w:ascii="Arial" w:hAnsi="Arial"/>
                <w:sz w:val="16"/>
              </w:rPr>
              <w:t>244</w:t>
            </w:r>
          </w:p>
        </w:tc>
        <w:tc>
          <w:tcPr>
            <w:tcW w:w="559" w:type="dxa"/>
          </w:tcPr>
          <w:p w:rsidR="00905B3E" w:rsidRPr="003F63DB" w:rsidRDefault="00905B3E">
            <w:pPr>
              <w:pStyle w:val="Tabell"/>
              <w:jc w:val="right"/>
              <w:rPr>
                <w:rFonts w:ascii="Arial" w:hAnsi="Arial"/>
                <w:sz w:val="16"/>
              </w:rPr>
            </w:pPr>
            <w:r w:rsidRPr="003F63DB">
              <w:rPr>
                <w:rFonts w:ascii="Arial" w:hAnsi="Arial"/>
                <w:sz w:val="16"/>
              </w:rPr>
              <w:t>110</w:t>
            </w:r>
          </w:p>
        </w:tc>
        <w:tc>
          <w:tcPr>
            <w:tcW w:w="559" w:type="dxa"/>
          </w:tcPr>
          <w:p w:rsidR="00905B3E" w:rsidRPr="003F63DB" w:rsidRDefault="00905B3E">
            <w:pPr>
              <w:pStyle w:val="Tabell"/>
              <w:jc w:val="right"/>
              <w:rPr>
                <w:rFonts w:ascii="Arial" w:hAnsi="Arial"/>
                <w:sz w:val="16"/>
              </w:rPr>
            </w:pPr>
            <w:r w:rsidRPr="003F63DB">
              <w:rPr>
                <w:rFonts w:ascii="Arial" w:hAnsi="Arial"/>
                <w:sz w:val="16"/>
              </w:rPr>
              <w:t>170</w:t>
            </w:r>
          </w:p>
        </w:tc>
        <w:tc>
          <w:tcPr>
            <w:tcW w:w="559"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329</w:t>
            </w:r>
          </w:p>
        </w:tc>
        <w:tc>
          <w:tcPr>
            <w:tcW w:w="609" w:type="dxa"/>
            <w:tcBorders>
              <w:left w:val="dotted" w:sz="4" w:space="0" w:color="auto"/>
              <w:bottom w:val="single" w:sz="12" w:space="0" w:color="808080"/>
            </w:tcBorders>
          </w:tcPr>
          <w:p w:rsidR="00905B3E" w:rsidRPr="003F63DB" w:rsidRDefault="00905B3E">
            <w:pPr>
              <w:pStyle w:val="Tabell"/>
              <w:jc w:val="right"/>
              <w:rPr>
                <w:rFonts w:ascii="Arial" w:hAnsi="Arial"/>
                <w:sz w:val="16"/>
              </w:rPr>
            </w:pPr>
            <w:r w:rsidRPr="003F63DB">
              <w:rPr>
                <w:rFonts w:ascii="Arial" w:hAnsi="Arial"/>
                <w:sz w:val="16"/>
              </w:rPr>
              <w:t>1 219</w:t>
            </w:r>
          </w:p>
        </w:tc>
      </w:tr>
    </w:tbl>
    <w:p w:rsidR="00905B3E" w:rsidRPr="003F63DB" w:rsidRDefault="00905B3E">
      <w:pPr>
        <w:pStyle w:val="Tabell"/>
        <w:spacing w:before="120" w:after="120"/>
        <w:rPr>
          <w:rFonts w:ascii="Arial" w:hAnsi="Arial"/>
        </w:rPr>
      </w:pPr>
      <w:r w:rsidRPr="003F63DB">
        <w:rPr>
          <w:rFonts w:ascii="Arial" w:hAnsi="Arial"/>
        </w:rPr>
        <w:t>Källa: Riksantikvarieämbetet, beslutsregistret</w:t>
      </w:r>
    </w:p>
    <w:p w:rsidR="00905B3E" w:rsidRPr="003F63DB" w:rsidRDefault="00905B3E">
      <w:r w:rsidRPr="003F63DB">
        <w:t>Sett som ett genomsnitt över perioden 1996–2001 har Riksantikvarieämb</w:t>
      </w:r>
      <w:r w:rsidRPr="003F63DB">
        <w:t>e</w:t>
      </w:r>
      <w:r w:rsidRPr="003F63DB">
        <w:t>tet-UV en marknadsandel på 45 %, medan marknadsandelen för länsmusee</w:t>
      </w:r>
      <w:r w:rsidRPr="003F63DB">
        <w:t>r</w:t>
      </w:r>
      <w:r w:rsidRPr="003F63DB">
        <w:t>na är 23 %. Enligt samma beräkningssätt har Malmö Kulturmiljö en mar</w:t>
      </w:r>
      <w:r w:rsidRPr="003F63DB">
        <w:t>k</w:t>
      </w:r>
      <w:r w:rsidRPr="003F63DB">
        <w:t>nadsandel på 26 % och övriga kommunala museer 3 %. Undersökare i privat regi har en marknadsandel på 3 %. Sedan 1999 tycks marknadsandelen för de privata unde</w:t>
      </w:r>
      <w:r w:rsidRPr="003F63DB">
        <w:t>r</w:t>
      </w:r>
      <w:r w:rsidRPr="003F63DB">
        <w:t>sökarna ha minskat.</w:t>
      </w:r>
    </w:p>
    <w:p w:rsidR="00905B3E" w:rsidRPr="003F63DB" w:rsidRDefault="00905B3E">
      <w:pPr>
        <w:pStyle w:val="Normaltindrag"/>
      </w:pPr>
      <w:r w:rsidRPr="003F63DB">
        <w:t>Riksantikvarieämbetet menar att uppdragsvärdet för undersökare med en liten verksamhet kan vara underskattat. På samma sätt kan uppdragsvärdet vara överskattat för undersökare med en stor verksa</w:t>
      </w:r>
      <w:r w:rsidRPr="003F63DB">
        <w:t>mhet, t.ex. Riksantikv</w:t>
      </w:r>
      <w:r w:rsidRPr="003F63DB">
        <w:t>a</w:t>
      </w:r>
      <w:r w:rsidRPr="003F63DB">
        <w:t>rieämbetet-UV. Det förklaras enligt Riksantikvarieämbetet av att undersök</w:t>
      </w:r>
      <w:r w:rsidRPr="003F63DB">
        <w:t>a</w:t>
      </w:r>
      <w:r w:rsidRPr="003F63DB">
        <w:t>re allt oftare samarbetar i de arkeologiska projekten. Länsstyrelserna anger i beslutet vanligen den huvudansvarige undersökaren som up</w:t>
      </w:r>
      <w:r w:rsidRPr="003F63DB">
        <w:t>p</w:t>
      </w:r>
      <w:r w:rsidRPr="003F63DB">
        <w:t>dragstagare.</w:t>
      </w:r>
    </w:p>
    <w:p w:rsidR="00905B3E" w:rsidRPr="003F63DB" w:rsidRDefault="00905B3E">
      <w:pPr>
        <w:pStyle w:val="Rubrik3-Utannumrering"/>
      </w:pPr>
      <w:r w:rsidRPr="003F63DB">
        <w:t>Riksantikvarieämbetet-UV dominerar uppdragsarkeologin</w:t>
      </w:r>
    </w:p>
    <w:p w:rsidR="00905B3E" w:rsidRPr="003F63DB" w:rsidRDefault="00905B3E">
      <w:r w:rsidRPr="003F63DB">
        <w:t>Riksantikvarieämbetets avdelning för arkeologiska undersökningar (UV) är landets största undersökare, både vad gäller omsättning och geografiskt verksamhetsområde. (Se kartan i avsnitt 6.1.) De tre senaste åren (1999–2001) har UV haft en omsättning på mellan 108 och 115 miljoner kronor årligen. Mellan 80 och 85 % av intäkterna kommer från uppdragsarkeologi – utre</w:t>
      </w:r>
      <w:r w:rsidRPr="003F63DB">
        <w:t>d</w:t>
      </w:r>
      <w:r w:rsidRPr="003F63DB">
        <w:t>ningar, förundersökningar och särskilda undersökningar enligt länsstyrelse</w:t>
      </w:r>
      <w:r w:rsidRPr="003F63DB">
        <w:t>r</w:t>
      </w:r>
      <w:r w:rsidRPr="003F63DB">
        <w:t>nas beslut.</w:t>
      </w:r>
    </w:p>
    <w:p w:rsidR="00905B3E" w:rsidRPr="003F63DB" w:rsidRDefault="00905B3E">
      <w:pPr>
        <w:pStyle w:val="Normaltindrag"/>
      </w:pPr>
      <w:r w:rsidRPr="003F63DB">
        <w:t>Enligt regleringsbrevet för år 2002 ska den arkeologiska up</w:t>
      </w:r>
      <w:r w:rsidRPr="003F63DB">
        <w:t>p</w:t>
      </w:r>
      <w:r w:rsidRPr="003F63DB">
        <w:t>drags</w:t>
      </w:r>
      <w:r w:rsidRPr="003F63DB">
        <w:softHyphen/>
        <w:t>verksamheten vid Riksantikvarieämbetet vara en förebild i fråga om antikv</w:t>
      </w:r>
      <w:r w:rsidRPr="003F63DB">
        <w:t>a</w:t>
      </w:r>
      <w:r w:rsidRPr="003F63DB">
        <w:t>risk och vetenskaplig kvalitet, relevans och kostnadseffektivitet. Utifrån regeringens övergripande mål för verksamheten har avdelningen formulerat en verksamhetsidé där avdelningen tar på sig rollen att vara ledande i flera avseenden – vad gäller kompetens, yrkesutbildning av arkeologer samt v</w:t>
      </w:r>
      <w:r w:rsidRPr="003F63DB">
        <w:t>e</w:t>
      </w:r>
      <w:r w:rsidRPr="003F63DB">
        <w:t>tenskaplig och teknisk utvec</w:t>
      </w:r>
      <w:r w:rsidRPr="003F63DB">
        <w:t>k</w:t>
      </w:r>
      <w:r w:rsidRPr="003F63DB">
        <w:t>ling.</w:t>
      </w:r>
      <w:r w:rsidRPr="003F63DB">
        <w:rPr>
          <w:rStyle w:val="Fotnotsreferens"/>
        </w:rPr>
        <w:t xml:space="preserve"> </w:t>
      </w:r>
      <w:r w:rsidRPr="003F63DB">
        <w:rPr>
          <w:rStyle w:val="Fotnotsreferens"/>
        </w:rPr>
        <w:footnoteReference w:id="152"/>
      </w:r>
      <w:r w:rsidRPr="003F63DB">
        <w:t xml:space="preserve"> </w:t>
      </w:r>
    </w:p>
    <w:p w:rsidR="00905B3E" w:rsidRPr="003F63DB" w:rsidRDefault="00905B3E">
      <w:pPr>
        <w:pStyle w:val="Normaltindrag"/>
      </w:pPr>
      <w:r w:rsidRPr="003F63DB">
        <w:t>Riksantikvarieämbetet-UV marknadsför sig som ”ett kulturhistoriskt serv</w:t>
      </w:r>
      <w:r w:rsidRPr="003F63DB">
        <w:t>i</w:t>
      </w:r>
      <w:r w:rsidRPr="003F63DB">
        <w:t>ceföretag i bred bemärkelse”.</w:t>
      </w:r>
      <w:r w:rsidRPr="003F63DB">
        <w:rPr>
          <w:rStyle w:val="Fotnotsreferens"/>
        </w:rPr>
        <w:footnoteReference w:id="153"/>
      </w:r>
      <w:r w:rsidRPr="003F63DB">
        <w:t xml:space="preserve"> Avdelningens verksamhet har utvidgats mot att även omfatta olika typer av kulturhistoriska utredningar som underlag för fysisk planering.</w:t>
      </w:r>
      <w:r w:rsidRPr="003F63DB">
        <w:rPr>
          <w:rStyle w:val="Fotnotsreferens"/>
        </w:rPr>
        <w:footnoteReference w:id="154"/>
      </w:r>
      <w:r w:rsidRPr="003F63DB">
        <w:t xml:space="preserve"> Därutöver har avdelningen utvecklat ett arkeologiskt informationssystem för undersökningar i fält (Intrasis). Från och med 2002 säljer Riksantikvarieämbetet systemet – licenser, utbildning, installation och stöd – till kunder i Sverige, men även uto</w:t>
      </w:r>
      <w:r w:rsidRPr="003F63DB">
        <w:t>m</w:t>
      </w:r>
      <w:r w:rsidRPr="003F63DB">
        <w:t>lands.</w:t>
      </w:r>
      <w:r w:rsidRPr="003F63DB">
        <w:rPr>
          <w:rStyle w:val="Fotnotsreferens"/>
        </w:rPr>
        <w:footnoteReference w:id="155"/>
      </w:r>
      <w:r w:rsidRPr="003F63DB">
        <w:t xml:space="preserve"> </w:t>
      </w:r>
    </w:p>
    <w:p w:rsidR="00905B3E" w:rsidRPr="003F63DB" w:rsidRDefault="00905B3E">
      <w:pPr>
        <w:pStyle w:val="Normaltindrag"/>
      </w:pPr>
      <w:r w:rsidRPr="003F63DB">
        <w:t>Verksamheten vid Riksantikvarieämbetet-UV är dimen</w:t>
      </w:r>
      <w:r w:rsidRPr="003F63DB">
        <w:softHyphen/>
        <w:t>sionerad för att i</w:t>
      </w:r>
      <w:r w:rsidRPr="003F63DB">
        <w:t>n</w:t>
      </w:r>
      <w:r w:rsidRPr="003F63DB">
        <w:t>riktas på stora och komplexa arkeologiska projekt. Av verksamhetsplanen framgår att avdelningen ska ”ha kapacitet och kompetens att klara stora infrastruktursatsningar och nya typer av exploateringsföretag”.</w:t>
      </w:r>
      <w:r w:rsidRPr="003F63DB">
        <w:rPr>
          <w:rStyle w:val="Fotnotsreferens"/>
        </w:rPr>
        <w:footnoteReference w:id="156"/>
      </w:r>
      <w:r w:rsidRPr="003F63DB">
        <w:t xml:space="preserve"> Riksanti</w:t>
      </w:r>
      <w:r w:rsidRPr="003F63DB">
        <w:t>k</w:t>
      </w:r>
      <w:r w:rsidRPr="003F63DB">
        <w:t>varieämbetet-UV:s dominans är också störst när det gäller de stora uppdr</w:t>
      </w:r>
      <w:r w:rsidRPr="003F63DB">
        <w:t>a</w:t>
      </w:r>
      <w:r w:rsidRPr="003F63DB">
        <w:t>gen. Sett som ett genomsnitt över perioden 1996–2001 har UV tilldelats omkring 60 % av alla uppdrag med en kostnad överstigande 10 prisbasb</w:t>
      </w:r>
      <w:r w:rsidRPr="003F63DB">
        <w:t>e</w:t>
      </w:r>
      <w:r w:rsidRPr="003F63DB">
        <w:t>lopp och 13 % av uppdragen under 10 prisbasbelopp.</w:t>
      </w:r>
      <w:r w:rsidRPr="003F63DB">
        <w:rPr>
          <w:rStyle w:val="Fotnotsreferens"/>
        </w:rPr>
        <w:footnoteReference w:id="157"/>
      </w:r>
      <w:r w:rsidRPr="003F63DB">
        <w:t xml:space="preserve"> Därmed är UV:s verksamhet främst inriktad på de arkeologiska uppdrag som ska vara utsatta för konkurrens enligt föreskrifterna. Det är samtidigt de uppdrag som vari</w:t>
      </w:r>
      <w:r w:rsidRPr="003F63DB">
        <w:t>e</w:t>
      </w:r>
      <w:r w:rsidRPr="003F63DB">
        <w:t>rar mest beroende på konjunktursvängningar och försenade eller uteblivna investeringar i infrastrukt</w:t>
      </w:r>
      <w:r w:rsidRPr="003F63DB">
        <w:t>u</w:t>
      </w:r>
      <w:r w:rsidRPr="003F63DB">
        <w:t xml:space="preserve">ren. </w:t>
      </w:r>
    </w:p>
    <w:p w:rsidR="00905B3E" w:rsidRPr="003F63DB" w:rsidRDefault="00905B3E">
      <w:pPr>
        <w:pStyle w:val="Rubrik2"/>
      </w:pPr>
      <w:bookmarkStart w:id="116" w:name="_Toc25031928"/>
      <w:bookmarkStart w:id="117" w:name="_Toc36520756"/>
      <w:r w:rsidRPr="003F63DB">
        <w:t>Undersökarnas olika förutsättningar</w:t>
      </w:r>
      <w:bookmarkEnd w:id="116"/>
      <w:bookmarkEnd w:id="117"/>
      <w:r w:rsidRPr="003F63DB">
        <w:t xml:space="preserve"> </w:t>
      </w:r>
    </w:p>
    <w:p w:rsidR="00905B3E" w:rsidRPr="003F63DB" w:rsidRDefault="00905B3E">
      <w:r w:rsidRPr="003F63DB">
        <w:t>I ett yttrande till Konkurrensrådet</w:t>
      </w:r>
      <w:r w:rsidRPr="003F63DB">
        <w:rPr>
          <w:rStyle w:val="Fotnotsreferens"/>
        </w:rPr>
        <w:footnoteReference w:id="158"/>
      </w:r>
      <w:r w:rsidRPr="003F63DB">
        <w:t xml:space="preserve"> menar Riksantikvarieämbetet att ko</w:t>
      </w:r>
      <w:r w:rsidRPr="003F63DB">
        <w:t>n</w:t>
      </w:r>
      <w:r w:rsidRPr="003F63DB">
        <w:t>kurrens på lika villkor inte råder inom uppdragsarkeologi. Riksantikvarieä</w:t>
      </w:r>
      <w:r w:rsidRPr="003F63DB">
        <w:t>m</w:t>
      </w:r>
      <w:r w:rsidRPr="003F63DB">
        <w:t>betet menar att det heller inte varit lagstiftarens avsikt.</w:t>
      </w:r>
      <w:r w:rsidRPr="003F63DB">
        <w:rPr>
          <w:rStyle w:val="Fotnotsreferens"/>
        </w:rPr>
        <w:footnoteReference w:id="159"/>
      </w:r>
      <w:r w:rsidRPr="003F63DB">
        <w:t xml:space="preserve"> Undersökarnas förutsättningar skiljer sig åt vad gäller finansiering och ekonomiskt riskt</w:t>
      </w:r>
      <w:r w:rsidRPr="003F63DB">
        <w:t>a</w:t>
      </w:r>
      <w:r w:rsidRPr="003F63DB">
        <w:t xml:space="preserve">gande, momsregler och möjligt geografiskt verksamhetsområde. </w:t>
      </w:r>
    </w:p>
    <w:p w:rsidR="00905B3E" w:rsidRPr="003F63DB" w:rsidRDefault="00905B3E">
      <w:pPr>
        <w:pStyle w:val="Rubrik3-Utannumrering"/>
      </w:pPr>
      <w:r w:rsidRPr="003F63DB">
        <w:t>Möjligt geografiskt verksamhetsområde</w:t>
      </w:r>
    </w:p>
    <w:p w:rsidR="00905B3E" w:rsidRPr="003F63DB" w:rsidRDefault="00905B3E">
      <w:r w:rsidRPr="003F63DB">
        <w:t>Det står Riksantikvarieämbetet-UV fritt att ta uppdrag i hela landet om a</w:t>
      </w:r>
      <w:r w:rsidRPr="003F63DB">
        <w:t>v</w:t>
      </w:r>
      <w:r w:rsidRPr="003F63DB">
        <w:t xml:space="preserve">delningen så önskar. Samma möjligheter gäller undersökare i privat regi. </w:t>
      </w:r>
    </w:p>
    <w:p w:rsidR="00905B3E" w:rsidRPr="003F63DB" w:rsidRDefault="00905B3E">
      <w:pPr>
        <w:pStyle w:val="Normaltindrag"/>
      </w:pPr>
      <w:r w:rsidRPr="003F63DB">
        <w:t>Riksantikvarieämbetet-UV har en regional organisation med uppdrag</w:t>
      </w:r>
      <w:r w:rsidRPr="003F63DB">
        <w:t>s</w:t>
      </w:r>
      <w:r w:rsidRPr="003F63DB">
        <w:t>kontor på fem platser i landet. Enheterna är placerade i Lund (UV Syd), Kungsbacka (UV Väst), Linköping (UV Öst), Örebro (UV Bergslagen) och Stockholm (UV Mitt). Därutöver har  man ett geoarkeologiskt laboratorium (UV GAL) i Uppsala och huvudkontor i Stockholm. De fem regionala up</w:t>
      </w:r>
      <w:r w:rsidRPr="003F63DB">
        <w:t>p</w:t>
      </w:r>
      <w:r w:rsidRPr="003F63DB">
        <w:t>dragskontoren har delat upp landet mellan sig. UV Mitt, som är den nordl</w:t>
      </w:r>
      <w:r w:rsidRPr="003F63DB">
        <w:t>i</w:t>
      </w:r>
      <w:r w:rsidRPr="003F63DB">
        <w:t>gaste enheten, täcker det största geografiska området. Enheten åtar sig ark</w:t>
      </w:r>
      <w:r w:rsidRPr="003F63DB">
        <w:t>e</w:t>
      </w:r>
      <w:r w:rsidRPr="003F63DB">
        <w:t>ologiska projekt i Stockholms län, Södermanlands län, Upplands län och länen i N</w:t>
      </w:r>
      <w:r w:rsidRPr="003F63DB">
        <w:t>orrland. Fördelen med en regional organisation, som Riksantikv</w:t>
      </w:r>
      <w:r w:rsidRPr="003F63DB">
        <w:t>a</w:t>
      </w:r>
      <w:r w:rsidRPr="003F63DB">
        <w:t>rieämbetet-UV beskriver den, är att kompetensen är lokalt förankrad samt</w:t>
      </w:r>
      <w:r w:rsidRPr="003F63DB">
        <w:t>i</w:t>
      </w:r>
      <w:r w:rsidRPr="003F63DB">
        <w:t xml:space="preserve">digt som organisationen kan dra nytta av att vara rikstäckande. Ekonomiska och personella resurser kan omfördelas mellan enheterna. </w:t>
      </w:r>
    </w:p>
    <w:p w:rsidR="00905B3E" w:rsidRPr="003F63DB" w:rsidRDefault="00905B3E">
      <w:pPr>
        <w:pStyle w:val="Normaltindrag"/>
      </w:pPr>
      <w:r w:rsidRPr="003F63DB">
        <w:t>Regeringen har inte avgränsat det geografiska verksamhetsområdet för Riksantikvarieämbetet-UV. Avdelningen ser därmed inga hinder för att verka internationellt. Den internationella verksamheten omfattar arkeologiska uppdrag, biståndsverksamhet</w:t>
      </w:r>
      <w:r w:rsidRPr="003F63DB">
        <w:t xml:space="preserve"> samt teknik- och metodutveckling. Avdelnin</w:t>
      </w:r>
      <w:r w:rsidRPr="003F63DB">
        <w:t>g</w:t>
      </w:r>
      <w:r w:rsidRPr="003F63DB">
        <w:t>en har metodologiskt och vetenskapligt utbyte med t.ex. Norge, Holland, Italien och Grekland. Personal från UV har deltagit i forskningsgrävningar eller andra arkeologiska projekt i Ungern, Zimbabwe och Tanzania. Vissa projekt är finansierade av Sida.</w:t>
      </w:r>
    </w:p>
    <w:p w:rsidR="00905B3E" w:rsidRPr="003F63DB" w:rsidRDefault="00905B3E">
      <w:pPr>
        <w:pStyle w:val="Normaltindrag"/>
      </w:pPr>
      <w:r w:rsidRPr="003F63DB">
        <w:t>Länsmuseer och kommunala museer har inte samma frihet att ha en ge</w:t>
      </w:r>
      <w:r w:rsidRPr="003F63DB">
        <w:t>o</w:t>
      </w:r>
      <w:r w:rsidRPr="003F63DB">
        <w:t xml:space="preserve">grafisk spridning på sin verksamhet. Av stiftelseurkunden för exempelvis Kalmar läns museum framgår att stiftelsen ska bedriva kulturminnesvård, museal verksamhet och annan därmed förenlig kulturell verksamhet </w:t>
      </w:r>
      <w:r w:rsidRPr="003F63DB">
        <w:rPr>
          <w:i/>
        </w:rPr>
        <w:t>inom</w:t>
      </w:r>
      <w:r w:rsidRPr="003F63DB">
        <w:t xml:space="preserve"> Kalmar län. Stiftelseurkunden för Jönköpings läns museum säger däremot att stiftelsen ska bedriva likalydande verksamhet </w:t>
      </w:r>
      <w:r w:rsidRPr="003F63DB">
        <w:rPr>
          <w:i/>
        </w:rPr>
        <w:t xml:space="preserve">huvudsakligen i </w:t>
      </w:r>
      <w:r w:rsidRPr="003F63DB">
        <w:t xml:space="preserve">Jönköpings län. Västerbottens museum, vilket är ett aktiebolag, uppger att de kan åta sig uppdrag utanför Västerbottens län. </w:t>
      </w:r>
    </w:p>
    <w:p w:rsidR="00905B3E" w:rsidRPr="003F63DB" w:rsidRDefault="00905B3E">
      <w:pPr>
        <w:pStyle w:val="Normaltindrag"/>
      </w:pPr>
      <w:r w:rsidRPr="003F63DB">
        <w:t>Kommunallagen (1991:900) styr den</w:t>
      </w:r>
      <w:r w:rsidRPr="003F63DB">
        <w:t xml:space="preserve"> kommunala verksamheten vad gäller geografiskt område. Om en kommun säljer varor eller tjänster utanför den egna kommunen strider ett sådant beteende i normalfallet mot kommunall</w:t>
      </w:r>
      <w:r w:rsidRPr="003F63DB">
        <w:t>a</w:t>
      </w:r>
      <w:r w:rsidRPr="003F63DB">
        <w:t>gens s.k. lokaliseringsprincip. En kommun får driva näringsverksamhet om den drivs utan vinstsyfte och går ut på att tillhandahålla allmännyttiga tjän</w:t>
      </w:r>
      <w:r w:rsidRPr="003F63DB">
        <w:t>s</w:t>
      </w:r>
      <w:r w:rsidRPr="003F63DB">
        <w:t>ter åt medlemmar i kommunen.</w:t>
      </w:r>
      <w:r w:rsidRPr="003F63DB">
        <w:rPr>
          <w:rStyle w:val="Fotnotsreferens"/>
        </w:rPr>
        <w:footnoteReference w:id="160"/>
      </w:r>
      <w:r w:rsidRPr="003F63DB">
        <w:t xml:space="preserve"> Enligt Konkurrensrådet krävs en s.k. ko</w:t>
      </w:r>
      <w:r w:rsidRPr="003F63DB">
        <w:t>m</w:t>
      </w:r>
      <w:r w:rsidRPr="003F63DB">
        <w:t>petensutvidgande lag</w:t>
      </w:r>
      <w:r w:rsidRPr="003F63DB">
        <w:rPr>
          <w:rStyle w:val="Fotnotsreferens"/>
        </w:rPr>
        <w:footnoteReference w:id="161"/>
      </w:r>
      <w:r w:rsidRPr="003F63DB">
        <w:t xml:space="preserve"> för att lokaliseringsprincipen ska upphävas. Av lagen ska det då framgå att en kommunal aktör kan sälja en vara eller tjänst utanför kommungränsen.</w:t>
      </w:r>
      <w:r w:rsidRPr="003F63DB">
        <w:rPr>
          <w:rStyle w:val="Fotnotsreferens"/>
        </w:rPr>
        <w:footnoteReference w:id="162"/>
      </w:r>
      <w:r w:rsidRPr="003F63DB">
        <w:t xml:space="preserve"> Malmö Kulturmiljö, som är en kommunal förvaltning, utför arkeologiska uppdrag inte bara i Malmö stad, utan även i angränsande komm</w:t>
      </w:r>
      <w:r w:rsidRPr="003F63DB">
        <w:t>u</w:t>
      </w:r>
      <w:r w:rsidRPr="003F63DB">
        <w:t>ner.</w:t>
      </w:r>
    </w:p>
    <w:p w:rsidR="00905B3E" w:rsidRPr="003F63DB" w:rsidRDefault="00905B3E">
      <w:pPr>
        <w:pStyle w:val="Rubrik3-Utannumrering"/>
      </w:pPr>
      <w:r w:rsidRPr="003F63DB">
        <w:t>Finansiering och ekonomiskt risktagande</w:t>
      </w:r>
    </w:p>
    <w:p w:rsidR="00905B3E" w:rsidRPr="003F63DB" w:rsidRDefault="00905B3E">
      <w:r w:rsidRPr="003F63DB">
        <w:t>Allmänt sett sägs en undersökningsverksamhet i offentlig regi vara mer finansiellt uthållig än en i privat regi.</w:t>
      </w:r>
      <w:r w:rsidRPr="003F63DB">
        <w:rPr>
          <w:rStyle w:val="Fotnotsreferens"/>
        </w:rPr>
        <w:footnoteReference w:id="163"/>
      </w:r>
      <w:r w:rsidRPr="003F63DB">
        <w:t xml:space="preserve"> Medan ett privat företag får satsa eget eller lånat kapital i verksamheten, garanteras offentliga undersökare normalt av skattemedel. </w:t>
      </w:r>
    </w:p>
    <w:p w:rsidR="00905B3E" w:rsidRPr="003F63DB" w:rsidRDefault="00905B3E">
      <w:pPr>
        <w:pStyle w:val="Normaltindrag"/>
      </w:pPr>
      <w:r w:rsidRPr="003F63DB">
        <w:t>Riksantikvarieämbetet rekommenderar att undersökare ska ha stabila ek</w:t>
      </w:r>
      <w:r w:rsidRPr="003F63DB">
        <w:t>o</w:t>
      </w:r>
      <w:r w:rsidRPr="003F63DB">
        <w:t>nomiska förhållanden för att kunna komma i fråga för uppdrag.</w:t>
      </w:r>
      <w:r w:rsidRPr="003F63DB">
        <w:rPr>
          <w:rStyle w:val="Fotnotsreferens"/>
        </w:rPr>
        <w:footnoteReference w:id="164"/>
      </w:r>
      <w:r w:rsidRPr="003F63DB">
        <w:t xml:space="preserve"> Hur detta förhållande bedöms av länsstyrelserna är oklart. Riksantikvarieämbetet har inte följt upp frågan. Företaget Arkeologikonsult AB menar att felaktiga rykten om att företaget gått i konkurs inneburit att det varit svårt för företaget att få uppdrag. Riksantikvarieämbetet-UV, som under de senaste åren inte uppfyllt kraven på ekonomisk stabilitet, har inte upplevt att förhållandet inneburit problem att komma i fråga för uppdrag. </w:t>
      </w:r>
    </w:p>
    <w:p w:rsidR="00905B3E" w:rsidRPr="003F63DB" w:rsidRDefault="00905B3E">
      <w:pPr>
        <w:pStyle w:val="Normaltindrag"/>
      </w:pPr>
      <w:r w:rsidRPr="003F63DB">
        <w:t>Vid ingången av år 1998 hade Riksantikvarieämbetet-UV ett ackumulerat un</w:t>
      </w:r>
      <w:r w:rsidRPr="003F63DB">
        <w:t>derskott på drygt 23 miljoner kronor. Trots vissa förbättringar av det ek</w:t>
      </w:r>
      <w:r w:rsidRPr="003F63DB">
        <w:t>o</w:t>
      </w:r>
      <w:r w:rsidRPr="003F63DB">
        <w:t>nomiska resultatet uppvisade verksamheten fortfarande ett ackumulerat u</w:t>
      </w:r>
      <w:r w:rsidRPr="003F63DB">
        <w:t>n</w:t>
      </w:r>
      <w:r w:rsidRPr="003F63DB">
        <w:t>derskott på nära 10 miljoner kronor i slutet av år 2001. Avdelningens ek</w:t>
      </w:r>
      <w:r w:rsidRPr="003F63DB">
        <w:t>o</w:t>
      </w:r>
      <w:r w:rsidRPr="003F63DB">
        <w:t>nomiska problem har uppmärksammats av regeringen, som begärt att Rik</w:t>
      </w:r>
      <w:r w:rsidRPr="003F63DB">
        <w:t>s</w:t>
      </w:r>
      <w:r w:rsidRPr="003F63DB">
        <w:t>antikvarieämbetet ska redovisa hur underskottet ska balans</w:t>
      </w:r>
      <w:r w:rsidRPr="003F63DB">
        <w:t>e</w:t>
      </w:r>
      <w:r w:rsidRPr="003F63DB">
        <w:t>ras.</w:t>
      </w:r>
    </w:p>
    <w:p w:rsidR="00905B3E" w:rsidRPr="003F63DB" w:rsidRDefault="00905B3E">
      <w:pPr>
        <w:pStyle w:val="Normaltindrag"/>
      </w:pPr>
    </w:p>
    <w:p w:rsidR="00905B3E" w:rsidRPr="003F63DB" w:rsidRDefault="00905B3E">
      <w:pPr>
        <w:pStyle w:val="Tabellrubrik"/>
        <w:spacing w:after="120"/>
        <w:rPr>
          <w:rFonts w:ascii="Arial" w:hAnsi="Arial"/>
          <w:sz w:val="18"/>
        </w:rPr>
      </w:pPr>
      <w:r w:rsidRPr="003F63DB">
        <w:rPr>
          <w:rFonts w:ascii="Arial" w:hAnsi="Arial"/>
          <w:sz w:val="18"/>
        </w:rPr>
        <w:t>Verksamhetsutfall och ackumulerat resultat för Riksantikvarieämb</w:t>
      </w:r>
      <w:r w:rsidRPr="003F63DB">
        <w:rPr>
          <w:rFonts w:ascii="Arial" w:hAnsi="Arial"/>
          <w:sz w:val="18"/>
        </w:rPr>
        <w:t>e</w:t>
      </w:r>
      <w:r w:rsidRPr="003F63DB">
        <w:rPr>
          <w:rFonts w:ascii="Arial" w:hAnsi="Arial"/>
          <w:sz w:val="18"/>
        </w:rPr>
        <w:t>tet-UV 1996–2001, tusen kronor</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1777"/>
        <w:gridCol w:w="683"/>
        <w:gridCol w:w="725"/>
        <w:gridCol w:w="719"/>
        <w:gridCol w:w="725"/>
        <w:gridCol w:w="725"/>
        <w:gridCol w:w="683"/>
      </w:tblGrid>
      <w:tr w:rsidR="00000000" w:rsidRPr="003F63DB">
        <w:tblPrEx>
          <w:tblCellMar>
            <w:top w:w="0" w:type="dxa"/>
            <w:bottom w:w="0" w:type="dxa"/>
          </w:tblCellMar>
        </w:tblPrEx>
        <w:tc>
          <w:tcPr>
            <w:tcW w:w="1777" w:type="dxa"/>
            <w:tcBorders>
              <w:bottom w:val="single" w:sz="6" w:space="0" w:color="808080"/>
            </w:tcBorders>
          </w:tcPr>
          <w:p w:rsidR="00905B3E" w:rsidRPr="003F63DB" w:rsidRDefault="00905B3E">
            <w:pPr>
              <w:pStyle w:val="Tabell"/>
              <w:rPr>
                <w:rFonts w:ascii="Arial" w:hAnsi="Arial"/>
                <w:sz w:val="16"/>
              </w:rPr>
            </w:pPr>
          </w:p>
        </w:tc>
        <w:tc>
          <w:tcPr>
            <w:tcW w:w="683"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1996</w:t>
            </w:r>
          </w:p>
        </w:tc>
        <w:tc>
          <w:tcPr>
            <w:tcW w:w="725"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1997</w:t>
            </w:r>
          </w:p>
        </w:tc>
        <w:tc>
          <w:tcPr>
            <w:tcW w:w="719"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1998</w:t>
            </w:r>
          </w:p>
        </w:tc>
        <w:tc>
          <w:tcPr>
            <w:tcW w:w="725"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1999</w:t>
            </w:r>
          </w:p>
        </w:tc>
        <w:tc>
          <w:tcPr>
            <w:tcW w:w="725"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2000</w:t>
            </w:r>
          </w:p>
        </w:tc>
        <w:tc>
          <w:tcPr>
            <w:tcW w:w="683"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2001</w:t>
            </w:r>
          </w:p>
        </w:tc>
      </w:tr>
      <w:tr w:rsidR="00000000" w:rsidRPr="003F63DB">
        <w:tblPrEx>
          <w:tblCellMar>
            <w:top w:w="0" w:type="dxa"/>
            <w:bottom w:w="0" w:type="dxa"/>
          </w:tblCellMar>
        </w:tblPrEx>
        <w:tc>
          <w:tcPr>
            <w:tcW w:w="1777" w:type="dxa"/>
            <w:tcBorders>
              <w:top w:val="single" w:sz="6" w:space="0" w:color="808080"/>
            </w:tcBorders>
          </w:tcPr>
          <w:p w:rsidR="00905B3E" w:rsidRPr="003F63DB" w:rsidRDefault="00905B3E">
            <w:pPr>
              <w:pStyle w:val="Tabell"/>
              <w:rPr>
                <w:rFonts w:ascii="Arial" w:hAnsi="Arial"/>
                <w:sz w:val="16"/>
              </w:rPr>
            </w:pPr>
            <w:r w:rsidRPr="003F63DB">
              <w:rPr>
                <w:rFonts w:ascii="Arial" w:hAnsi="Arial"/>
                <w:sz w:val="16"/>
              </w:rPr>
              <w:t>Verksamhetsu</w:t>
            </w:r>
            <w:r w:rsidRPr="003F63DB">
              <w:rPr>
                <w:rFonts w:ascii="Arial" w:hAnsi="Arial"/>
                <w:sz w:val="16"/>
              </w:rPr>
              <w:t>t</w:t>
            </w:r>
            <w:r w:rsidRPr="003F63DB">
              <w:rPr>
                <w:rFonts w:ascii="Arial" w:hAnsi="Arial"/>
                <w:sz w:val="16"/>
              </w:rPr>
              <w:t>fall</w:t>
            </w:r>
          </w:p>
          <w:p w:rsidR="00905B3E" w:rsidRPr="003F63DB" w:rsidRDefault="00905B3E">
            <w:pPr>
              <w:pStyle w:val="Tabell"/>
              <w:rPr>
                <w:rFonts w:ascii="Arial" w:hAnsi="Arial"/>
                <w:sz w:val="16"/>
              </w:rPr>
            </w:pPr>
            <w:r w:rsidRPr="003F63DB">
              <w:rPr>
                <w:rFonts w:ascii="Arial" w:hAnsi="Arial"/>
                <w:sz w:val="16"/>
              </w:rPr>
              <w:t>(årsresu</w:t>
            </w:r>
            <w:r w:rsidRPr="003F63DB">
              <w:rPr>
                <w:rFonts w:ascii="Arial" w:hAnsi="Arial"/>
                <w:sz w:val="16"/>
              </w:rPr>
              <w:t>l</w:t>
            </w:r>
            <w:r w:rsidRPr="003F63DB">
              <w:rPr>
                <w:rFonts w:ascii="Arial" w:hAnsi="Arial"/>
                <w:sz w:val="16"/>
              </w:rPr>
              <w:t>tat)</w:t>
            </w:r>
          </w:p>
        </w:tc>
        <w:tc>
          <w:tcPr>
            <w:tcW w:w="683"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–1 166</w:t>
            </w:r>
          </w:p>
        </w:tc>
        <w:tc>
          <w:tcPr>
            <w:tcW w:w="725"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–22 273</w:t>
            </w:r>
          </w:p>
        </w:tc>
        <w:tc>
          <w:tcPr>
            <w:tcW w:w="719"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23 377</w:t>
            </w:r>
          </w:p>
        </w:tc>
        <w:tc>
          <w:tcPr>
            <w:tcW w:w="725"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–14 607</w:t>
            </w:r>
          </w:p>
        </w:tc>
        <w:tc>
          <w:tcPr>
            <w:tcW w:w="725"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–838</w:t>
            </w:r>
          </w:p>
        </w:tc>
        <w:tc>
          <w:tcPr>
            <w:tcW w:w="683" w:type="dxa"/>
            <w:tcBorders>
              <w:top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5 783</w:t>
            </w:r>
          </w:p>
        </w:tc>
      </w:tr>
      <w:tr w:rsidR="00000000" w:rsidRPr="003F63DB">
        <w:tblPrEx>
          <w:tblCellMar>
            <w:top w:w="0" w:type="dxa"/>
            <w:bottom w:w="0" w:type="dxa"/>
          </w:tblCellMar>
        </w:tblPrEx>
        <w:tc>
          <w:tcPr>
            <w:tcW w:w="1777" w:type="dxa"/>
          </w:tcPr>
          <w:p w:rsidR="00905B3E" w:rsidRPr="003F63DB" w:rsidRDefault="00905B3E">
            <w:pPr>
              <w:pStyle w:val="Tabell"/>
              <w:rPr>
                <w:rFonts w:ascii="Arial" w:hAnsi="Arial"/>
                <w:sz w:val="16"/>
              </w:rPr>
            </w:pPr>
            <w:r w:rsidRPr="003F63DB">
              <w:rPr>
                <w:rFonts w:ascii="Arial" w:hAnsi="Arial"/>
                <w:sz w:val="16"/>
              </w:rPr>
              <w:t>Ackumulerat resultat</w:t>
            </w:r>
          </w:p>
        </w:tc>
        <w:tc>
          <w:tcPr>
            <w:tcW w:w="683" w:type="dxa"/>
          </w:tcPr>
          <w:p w:rsidR="00905B3E" w:rsidRPr="003F63DB" w:rsidRDefault="00905B3E">
            <w:pPr>
              <w:pStyle w:val="Tabell"/>
              <w:jc w:val="right"/>
              <w:rPr>
                <w:rFonts w:ascii="Arial" w:hAnsi="Arial"/>
                <w:sz w:val="16"/>
              </w:rPr>
            </w:pPr>
            <w:r w:rsidRPr="003F63DB">
              <w:rPr>
                <w:rFonts w:ascii="Arial" w:hAnsi="Arial"/>
                <w:sz w:val="16"/>
              </w:rPr>
              <w:t>–3 000</w:t>
            </w:r>
          </w:p>
        </w:tc>
        <w:tc>
          <w:tcPr>
            <w:tcW w:w="725" w:type="dxa"/>
          </w:tcPr>
          <w:p w:rsidR="00905B3E" w:rsidRPr="003F63DB" w:rsidRDefault="00905B3E">
            <w:pPr>
              <w:pStyle w:val="Tabell"/>
              <w:jc w:val="right"/>
              <w:rPr>
                <w:rFonts w:ascii="Arial" w:hAnsi="Arial"/>
                <w:sz w:val="16"/>
              </w:rPr>
            </w:pPr>
            <w:r w:rsidRPr="003F63DB">
              <w:rPr>
                <w:rFonts w:ascii="Arial" w:hAnsi="Arial"/>
                <w:sz w:val="16"/>
              </w:rPr>
              <w:t>–23 227</w:t>
            </w:r>
          </w:p>
        </w:tc>
        <w:tc>
          <w:tcPr>
            <w:tcW w:w="719" w:type="dxa"/>
          </w:tcPr>
          <w:p w:rsidR="00905B3E" w:rsidRPr="003F63DB" w:rsidRDefault="00905B3E">
            <w:pPr>
              <w:pStyle w:val="Tabell"/>
              <w:jc w:val="right"/>
              <w:rPr>
                <w:rFonts w:ascii="Arial" w:hAnsi="Arial"/>
                <w:sz w:val="16"/>
              </w:rPr>
            </w:pPr>
            <w:r w:rsidRPr="003F63DB">
              <w:rPr>
                <w:rFonts w:ascii="Arial" w:hAnsi="Arial"/>
                <w:sz w:val="16"/>
              </w:rPr>
              <w:t>–1 294</w:t>
            </w:r>
          </w:p>
        </w:tc>
        <w:tc>
          <w:tcPr>
            <w:tcW w:w="725" w:type="dxa"/>
          </w:tcPr>
          <w:p w:rsidR="00905B3E" w:rsidRPr="003F63DB" w:rsidRDefault="00905B3E">
            <w:pPr>
              <w:pStyle w:val="Tabell"/>
              <w:jc w:val="right"/>
              <w:rPr>
                <w:rFonts w:ascii="Arial" w:hAnsi="Arial"/>
                <w:sz w:val="16"/>
              </w:rPr>
            </w:pPr>
            <w:r w:rsidRPr="003F63DB">
              <w:rPr>
                <w:rFonts w:ascii="Arial" w:hAnsi="Arial"/>
                <w:sz w:val="16"/>
              </w:rPr>
              <w:t>–14 658</w:t>
            </w:r>
          </w:p>
        </w:tc>
        <w:tc>
          <w:tcPr>
            <w:tcW w:w="725" w:type="dxa"/>
          </w:tcPr>
          <w:p w:rsidR="00905B3E" w:rsidRPr="003F63DB" w:rsidRDefault="00905B3E">
            <w:pPr>
              <w:pStyle w:val="Tabell"/>
              <w:jc w:val="right"/>
              <w:rPr>
                <w:rFonts w:ascii="Arial" w:hAnsi="Arial"/>
                <w:sz w:val="16"/>
              </w:rPr>
            </w:pPr>
            <w:r w:rsidRPr="003F63DB">
              <w:rPr>
                <w:rFonts w:ascii="Arial" w:hAnsi="Arial"/>
                <w:sz w:val="16"/>
              </w:rPr>
              <w:t>–15 497</w:t>
            </w:r>
          </w:p>
        </w:tc>
        <w:tc>
          <w:tcPr>
            <w:tcW w:w="683" w:type="dxa"/>
          </w:tcPr>
          <w:p w:rsidR="00905B3E" w:rsidRPr="003F63DB" w:rsidRDefault="00905B3E">
            <w:pPr>
              <w:pStyle w:val="Tabell"/>
              <w:jc w:val="right"/>
              <w:rPr>
                <w:rFonts w:ascii="Arial" w:hAnsi="Arial"/>
                <w:sz w:val="16"/>
              </w:rPr>
            </w:pPr>
            <w:r w:rsidRPr="003F63DB">
              <w:rPr>
                <w:rFonts w:ascii="Arial" w:hAnsi="Arial"/>
                <w:sz w:val="16"/>
              </w:rPr>
              <w:t>–9 714</w:t>
            </w:r>
          </w:p>
        </w:tc>
      </w:tr>
    </w:tbl>
    <w:p w:rsidR="00905B3E" w:rsidRPr="003F63DB" w:rsidRDefault="00905B3E">
      <w:pPr>
        <w:pStyle w:val="Tabell"/>
        <w:spacing w:before="120" w:after="120"/>
        <w:rPr>
          <w:rFonts w:ascii="Arial" w:hAnsi="Arial"/>
        </w:rPr>
      </w:pPr>
      <w:r w:rsidRPr="003F63DB">
        <w:rPr>
          <w:rFonts w:ascii="Arial" w:hAnsi="Arial"/>
        </w:rPr>
        <w:t>Källa: Riksantikvarieämbetets årsredovisningar för 1997–2001 samt r</w:t>
      </w:r>
      <w:r w:rsidRPr="003F63DB">
        <w:rPr>
          <w:rFonts w:ascii="Arial" w:hAnsi="Arial"/>
        </w:rPr>
        <w:t>e</w:t>
      </w:r>
      <w:r w:rsidRPr="003F63DB">
        <w:rPr>
          <w:rFonts w:ascii="Arial" w:hAnsi="Arial"/>
        </w:rPr>
        <w:t>gleringsbreven för 1998–2002</w:t>
      </w:r>
    </w:p>
    <w:p w:rsidR="00905B3E" w:rsidRPr="003F63DB" w:rsidRDefault="00905B3E">
      <w:r w:rsidRPr="003F63DB">
        <w:t>I augusti 1998 uppgav Riksantikvarieämbetet att det ekonomiska undersko</w:t>
      </w:r>
      <w:r w:rsidRPr="003F63DB">
        <w:t>t</w:t>
      </w:r>
      <w:r w:rsidRPr="003F63DB">
        <w:t>tet skulle avvecklas inom fem år, dvs. senast 2003.</w:t>
      </w:r>
      <w:r w:rsidRPr="003F63DB">
        <w:rPr>
          <w:rStyle w:val="Fotnotsreferens"/>
        </w:rPr>
        <w:footnoteReference w:id="165"/>
      </w:r>
      <w:r w:rsidRPr="003F63DB">
        <w:t xml:space="preserve"> Det nu gällande målet är att UV ska ha en ekonomi i balans under 2005. Detta ska åstadkommas genom att verksamheten årligen ska generera ett överskott om minst 2 milj</w:t>
      </w:r>
      <w:r w:rsidRPr="003F63DB">
        <w:t>o</w:t>
      </w:r>
      <w:r w:rsidRPr="003F63DB">
        <w:t>ner kronor och att antalet förlorade anbud relativt sett ska minskas fram till år 2004.</w:t>
      </w:r>
      <w:r w:rsidRPr="003F63DB">
        <w:rPr>
          <w:rStyle w:val="Fotnotsreferens"/>
        </w:rPr>
        <w:footnoteReference w:id="166"/>
      </w:r>
    </w:p>
    <w:p w:rsidR="00905B3E" w:rsidRPr="003F63DB" w:rsidRDefault="00905B3E">
      <w:pPr>
        <w:pStyle w:val="Normaltindrag"/>
      </w:pPr>
      <w:r w:rsidRPr="003F63DB">
        <w:t>Trots ett dåligt ekonomiskt resultat har UV inga likviditetsproblem efte</w:t>
      </w:r>
      <w:r w:rsidRPr="003F63DB">
        <w:t>r</w:t>
      </w:r>
      <w:r w:rsidRPr="003F63DB">
        <w:t>som avdelningen i regel fakturerar uppdragsgivaren i förskott. Medlen finns på Riksantikvarieämbetets räntekonto vid Riksgäldskontoret och är avsedda för att i första hand användas för att färdigställa rapporter från undersöknin</w:t>
      </w:r>
      <w:r w:rsidRPr="003F63DB">
        <w:t>g</w:t>
      </w:r>
      <w:r w:rsidRPr="003F63DB">
        <w:t xml:space="preserve">arna. </w:t>
      </w:r>
    </w:p>
    <w:p w:rsidR="00905B3E" w:rsidRPr="003F63DB" w:rsidRDefault="00905B3E">
      <w:pPr>
        <w:pStyle w:val="Normaltindrag"/>
      </w:pPr>
      <w:r w:rsidRPr="003F63DB">
        <w:t>Riksantikvarieämbetet-UV har efter påtryckningar från exploatörerna bytt faktureringsrutiner så att de uppdragsgivare som så önskar ska faktureras för faktiskt arbetad tid. En konsekvens av detta är, enligt Riksantikvarieämbetets uppfattning, att det framöver inte kommer att</w:t>
      </w:r>
      <w:r w:rsidRPr="003F63DB">
        <w:t xml:space="preserve"> finnas likvida medel i tillräc</w:t>
      </w:r>
      <w:r w:rsidRPr="003F63DB">
        <w:t>k</w:t>
      </w:r>
      <w:r w:rsidRPr="003F63DB">
        <w:t>lig omfattning för att täcka stora underskott. Därför har myndigheten begärt regeringens medgivande att söka nya former för att förvalta kapital som garanterar en värdesäkring.</w:t>
      </w:r>
      <w:r w:rsidRPr="003F63DB">
        <w:rPr>
          <w:rStyle w:val="Fotnotsreferens"/>
        </w:rPr>
        <w:footnoteReference w:id="167"/>
      </w:r>
      <w:r w:rsidRPr="003F63DB">
        <w:t xml:space="preserve"> Redan i dag har dock Riksantikvarieämbetet möjlighet att enligt kapitalförsörjningsförordningen (1996:1188) balansera ett överskott i ny rä</w:t>
      </w:r>
      <w:r w:rsidRPr="003F63DB">
        <w:t>k</w:t>
      </w:r>
      <w:r w:rsidRPr="003F63DB">
        <w:t xml:space="preserve">ning. </w:t>
      </w:r>
    </w:p>
    <w:p w:rsidR="00905B3E" w:rsidRPr="003F63DB" w:rsidRDefault="00905B3E">
      <w:pPr>
        <w:pStyle w:val="Normaltindrag"/>
      </w:pPr>
      <w:r w:rsidRPr="003F63DB">
        <w:t>I budgetunderlaget för år 2002 framför Riksantikvarieämbetet önskemål om att det skapas ett särskilt finansieringssystem för UV:s arkeologiska undersökningar om inte en bättre framförhållning kan åstadkommas när infrastrukturinvesteringar plan</w:t>
      </w:r>
      <w:r w:rsidRPr="003F63DB">
        <w:t>e</w:t>
      </w:r>
      <w:r w:rsidRPr="003F63DB">
        <w:t>ras.</w:t>
      </w:r>
      <w:r w:rsidRPr="003F63DB">
        <w:rPr>
          <w:rStyle w:val="Fotnotsreferens"/>
        </w:rPr>
        <w:footnoteReference w:id="168"/>
      </w:r>
      <w:r w:rsidRPr="003F63DB">
        <w:t xml:space="preserve"> </w:t>
      </w:r>
    </w:p>
    <w:p w:rsidR="00905B3E" w:rsidRPr="003F63DB" w:rsidRDefault="00905B3E">
      <w:pPr>
        <w:pStyle w:val="Rubrik3-Utannumrering"/>
      </w:pPr>
      <w:r w:rsidRPr="003F63DB">
        <w:t>Möjligheter till finansiering med anslag</w:t>
      </w:r>
    </w:p>
    <w:p w:rsidR="00905B3E" w:rsidRPr="003F63DB" w:rsidRDefault="00905B3E">
      <w:r w:rsidRPr="003F63DB">
        <w:t>Då en organisation finansierar delar av verksamheten med anslag eller bidrag finns det, åtminstone teoretiskt sett, en möjlighet att den anslags- eller b</w:t>
      </w:r>
      <w:r w:rsidRPr="003F63DB">
        <w:t>i</w:t>
      </w:r>
      <w:r w:rsidRPr="003F63DB">
        <w:t>dragsfinansierade verksamheten subventionerar uppdragsverksamheten om verksamheterna ur ekonomiskt hänseende inte är tydligt åtskilda.</w:t>
      </w:r>
      <w:r w:rsidRPr="003F63DB">
        <w:rPr>
          <w:rStyle w:val="Fotnotsreferens"/>
        </w:rPr>
        <w:footnoteReference w:id="169"/>
      </w:r>
      <w:r w:rsidRPr="003F63DB">
        <w:t xml:space="preserve"> </w:t>
      </w:r>
    </w:p>
    <w:p w:rsidR="00905B3E" w:rsidRPr="003F63DB" w:rsidRDefault="00905B3E">
      <w:pPr>
        <w:pStyle w:val="Normaltindrag"/>
      </w:pPr>
      <w:r w:rsidRPr="003F63DB">
        <w:t>Riksantikvarieämbetets avdelning för arkeologiska undersökningar utgör en egen resultatenhet inom myndigheten. Sedan slutet av 1980-talet har avdelningen finansierat verksamheten i dess helhet med externa intäkter, dvs. med intäkter från exploatörer och andra uppdragsgivare. Som tidigare nämnts (avsnitt 2.3) har Riksantikvarieämbetet fått särskilt stöd för att ko</w:t>
      </w:r>
      <w:r w:rsidRPr="003F63DB">
        <w:t>m</w:t>
      </w:r>
      <w:r w:rsidRPr="003F63DB">
        <w:t xml:space="preserve">ma till rätta med eftersläpningar i rapporteringen av arkeologiska uppdrag utförda av UV. </w:t>
      </w:r>
    </w:p>
    <w:p w:rsidR="00905B3E" w:rsidRPr="003F63DB" w:rsidRDefault="00905B3E">
      <w:pPr>
        <w:pStyle w:val="Normaltindrag"/>
      </w:pPr>
      <w:r w:rsidRPr="003F63DB">
        <w:t>Riksantikvarieämbetet-UV pekar på att många av konkurrenterna, såsom länsmuseer och kommunala museer, inte har en ekonomisk åtskillnad mellan sin arkeologiska uppdragsverksamhet och sin övriga ver</w:t>
      </w:r>
      <w:r w:rsidRPr="003F63DB">
        <w:t>k</w:t>
      </w:r>
      <w:r w:rsidRPr="003F63DB">
        <w:t xml:space="preserve">samhet. </w:t>
      </w:r>
    </w:p>
    <w:p w:rsidR="00905B3E" w:rsidRPr="003F63DB" w:rsidRDefault="00905B3E">
      <w:pPr>
        <w:pStyle w:val="Rubrik3-Utannumrering"/>
      </w:pPr>
      <w:bookmarkStart w:id="118" w:name="_Toc2051077"/>
      <w:r w:rsidRPr="003F63DB">
        <w:t>Olika momsregler för undersökarna</w:t>
      </w:r>
    </w:p>
    <w:p w:rsidR="00905B3E" w:rsidRPr="003F63DB" w:rsidRDefault="00905B3E">
      <w:pPr>
        <w:rPr>
          <w:snapToGrid w:val="0"/>
          <w:lang w:eastAsia="sv-SE"/>
        </w:rPr>
      </w:pPr>
      <w:r w:rsidRPr="003F63DB">
        <w:rPr>
          <w:snapToGrid w:val="0"/>
          <w:lang w:eastAsia="sv-SE"/>
        </w:rPr>
        <w:t>Riksskatteverket har i en skrivelse</w:t>
      </w:r>
      <w:r w:rsidRPr="003F63DB">
        <w:rPr>
          <w:rStyle w:val="Fotnotsreferens"/>
          <w:snapToGrid w:val="0"/>
          <w:lang w:eastAsia="sv-SE"/>
        </w:rPr>
        <w:footnoteReference w:id="170"/>
      </w:r>
      <w:r w:rsidRPr="003F63DB">
        <w:rPr>
          <w:snapToGrid w:val="0"/>
          <w:lang w:eastAsia="sv-SE"/>
        </w:rPr>
        <w:t xml:space="preserve"> med hänvisning till en dom i Regering</w:t>
      </w:r>
      <w:r w:rsidRPr="003F63DB">
        <w:rPr>
          <w:snapToGrid w:val="0"/>
          <w:lang w:eastAsia="sv-SE"/>
        </w:rPr>
        <w:t>s</w:t>
      </w:r>
      <w:r w:rsidRPr="003F63DB">
        <w:rPr>
          <w:snapToGrid w:val="0"/>
          <w:lang w:eastAsia="sv-SE"/>
        </w:rPr>
        <w:t>rätten</w:t>
      </w:r>
      <w:r w:rsidRPr="003F63DB">
        <w:rPr>
          <w:rStyle w:val="Fotnotsreferens"/>
          <w:snapToGrid w:val="0"/>
          <w:lang w:eastAsia="sv-SE"/>
        </w:rPr>
        <w:footnoteReference w:id="171"/>
      </w:r>
      <w:r w:rsidRPr="003F63DB">
        <w:rPr>
          <w:snapToGrid w:val="0"/>
          <w:lang w:eastAsia="sv-SE"/>
        </w:rPr>
        <w:t xml:space="preserve"> ansett att arkeologiska undersökningar som utförs av Riksantikv</w:t>
      </w:r>
      <w:r w:rsidRPr="003F63DB">
        <w:rPr>
          <w:snapToGrid w:val="0"/>
          <w:lang w:eastAsia="sv-SE"/>
        </w:rPr>
        <w:t>a</w:t>
      </w:r>
      <w:r w:rsidRPr="003F63DB">
        <w:rPr>
          <w:snapToGrid w:val="0"/>
          <w:lang w:eastAsia="sv-SE"/>
        </w:rPr>
        <w:t>rieämbetet efter beslut av länsstyrelse ingår som ett led i myndighetsutö</w:t>
      </w:r>
      <w:r w:rsidRPr="003F63DB">
        <w:rPr>
          <w:snapToGrid w:val="0"/>
          <w:lang w:eastAsia="sv-SE"/>
        </w:rPr>
        <w:t>v</w:t>
      </w:r>
      <w:r w:rsidRPr="003F63DB">
        <w:rPr>
          <w:snapToGrid w:val="0"/>
          <w:lang w:eastAsia="sv-SE"/>
        </w:rPr>
        <w:t>ning. Det innebär att Riksantikvarieämbetet inte ska lägga på moms på sina uppdragsarkeologiska tjänster.</w:t>
      </w:r>
      <w:r w:rsidRPr="003F63DB">
        <w:rPr>
          <w:rStyle w:val="Fotnotsreferens"/>
          <w:snapToGrid w:val="0"/>
          <w:lang w:eastAsia="sv-SE"/>
        </w:rPr>
        <w:footnoteReference w:id="172"/>
      </w:r>
      <w:r w:rsidRPr="003F63DB">
        <w:rPr>
          <w:snapToGrid w:val="0"/>
          <w:lang w:eastAsia="sv-SE"/>
        </w:rPr>
        <w:t xml:space="preserve"> Även undersökare i kommunal regi, t.ex. Malmö Kulturmiljö, är momsbefriade. Länsmuseer och privata undersökare ska dock lägga på 25 % moms på motsvarande tjänster. </w:t>
      </w:r>
    </w:p>
    <w:p w:rsidR="00905B3E" w:rsidRPr="003F63DB" w:rsidRDefault="00905B3E">
      <w:pPr>
        <w:pStyle w:val="Normaltindrag"/>
        <w:rPr>
          <w:snapToGrid w:val="0"/>
          <w:lang w:eastAsia="sv-SE"/>
        </w:rPr>
      </w:pPr>
      <w:r w:rsidRPr="003F63DB">
        <w:rPr>
          <w:snapToGrid w:val="0"/>
          <w:lang w:eastAsia="sv-SE"/>
        </w:rPr>
        <w:t>Om den som betalar för undersökarens tjänst inte har möjlighet att göra avdrag för momsen blir den en extra kostnad när tjänsten köps från ett län</w:t>
      </w:r>
      <w:r w:rsidRPr="003F63DB">
        <w:rPr>
          <w:snapToGrid w:val="0"/>
          <w:lang w:eastAsia="sv-SE"/>
        </w:rPr>
        <w:t>s</w:t>
      </w:r>
      <w:r w:rsidRPr="003F63DB">
        <w:rPr>
          <w:snapToGrid w:val="0"/>
          <w:lang w:eastAsia="sv-SE"/>
        </w:rPr>
        <w:t xml:space="preserve">museum eller ett privat företag. </w:t>
      </w:r>
    </w:p>
    <w:p w:rsidR="00905B3E" w:rsidRPr="003F63DB" w:rsidRDefault="00905B3E">
      <w:pPr>
        <w:pStyle w:val="Rubrik2"/>
      </w:pPr>
      <w:bookmarkStart w:id="119" w:name="_Toc25031929"/>
      <w:bookmarkStart w:id="120" w:name="_Toc36520757"/>
      <w:r w:rsidRPr="003F63DB">
        <w:t>Taxor och prissättning</w:t>
      </w:r>
      <w:bookmarkEnd w:id="119"/>
      <w:bookmarkEnd w:id="120"/>
    </w:p>
    <w:p w:rsidR="00905B3E" w:rsidRPr="003F63DB" w:rsidRDefault="00905B3E">
      <w:r w:rsidRPr="003F63DB">
        <w:t>Det råder enighet om att Riksantikvarieämbetet-UV är den prisledande u</w:t>
      </w:r>
      <w:r w:rsidRPr="003F63DB">
        <w:t>n</w:t>
      </w:r>
      <w:r w:rsidRPr="003F63DB">
        <w:t>dersökaren. Övriga undersökare uppges ha anpassat sig till UV:s taxa, men ligger strax under. En länsstyrelse uppger i revisorernas enkät att priserna har stigit sedan det anbudsliknande förfarandet infördes:</w:t>
      </w:r>
    </w:p>
    <w:p w:rsidR="00905B3E" w:rsidRPr="003F63DB" w:rsidRDefault="00905B3E">
      <w:pPr>
        <w:pStyle w:val="Citat"/>
      </w:pPr>
      <w:r w:rsidRPr="003F63DB">
        <w:t xml:space="preserve">...länsmuseerna började göra medvetna jämförelser med RAÄ-UV:s taxa och fann att det fanns ganska goda justeringsmarginaler uppåt, med bibehållen positiv prisbild jämfört med UV. Tidigare hade länsmuseerna arbetat utifrån självkostnadspris med ett relativt blygsamt administrativt påslag. UV låg redan </w:t>
      </w:r>
      <w:r w:rsidRPr="003F63DB">
        <w:t>med höga adm</w:t>
      </w:r>
      <w:r w:rsidRPr="003F63DB">
        <w:t>i</w:t>
      </w:r>
      <w:r w:rsidRPr="003F63DB">
        <w:t>nistrativa kostnader pga. företagets organisationssätt.</w:t>
      </w:r>
    </w:p>
    <w:p w:rsidR="00905B3E" w:rsidRPr="003F63DB" w:rsidRDefault="00905B3E">
      <w:r w:rsidRPr="003F63DB">
        <w:t>Riksantikvarieämbetets uppfattning är dock att länsmuseerna och vissa kommunala museer tidigare subventionerat uppdragsverksamheten, dvs. inte tagit hänsyn till samtliga indirekta kostn</w:t>
      </w:r>
      <w:r w:rsidRPr="003F63DB">
        <w:t>a</w:t>
      </w:r>
      <w:r w:rsidRPr="003F63DB">
        <w:t>der.</w:t>
      </w:r>
      <w:r w:rsidRPr="003F63DB">
        <w:rPr>
          <w:rStyle w:val="Fotnotsreferens"/>
        </w:rPr>
        <w:footnoteReference w:id="173"/>
      </w:r>
      <w:r w:rsidRPr="003F63DB">
        <w:t xml:space="preserve"> </w:t>
      </w:r>
    </w:p>
    <w:p w:rsidR="00905B3E" w:rsidRPr="003F63DB" w:rsidRDefault="00905B3E">
      <w:pPr>
        <w:pStyle w:val="Normaltindrag"/>
      </w:pPr>
      <w:r w:rsidRPr="003F63DB">
        <w:t>I sina rekommendationer uttrycker Riksantikvarieämbetet att länsstyrelse</w:t>
      </w:r>
      <w:r w:rsidRPr="003F63DB">
        <w:t>r</w:t>
      </w:r>
      <w:r w:rsidRPr="003F63DB">
        <w:t>na bör förvissa sig om att undersökaren har en tydlig och konsekvent tax</w:t>
      </w:r>
      <w:r w:rsidRPr="003F63DB">
        <w:t>e</w:t>
      </w:r>
      <w:r w:rsidRPr="003F63DB">
        <w:t>sättning.</w:t>
      </w:r>
      <w:r w:rsidRPr="003F63DB">
        <w:rPr>
          <w:rStyle w:val="Fotnotsreferens"/>
        </w:rPr>
        <w:footnoteReference w:id="174"/>
      </w:r>
      <w:r w:rsidRPr="003F63DB">
        <w:t xml:space="preserve"> En av de länsstyrelser som svarat på revisorernas enkät uppger att länsstyrelsen haft problem med att få uppgift om vad undersökarnas taxa per timma omfattar, i synnerhet vad gäller Riksantikvarieämbetet-UV:s taxa. Trots flera påstötningar menar länsstyrelsen att man inte har fått en sådan efterfrågad redovi</w:t>
      </w:r>
      <w:r w:rsidRPr="003F63DB">
        <w:t>s</w:t>
      </w:r>
      <w:r w:rsidRPr="003F63DB">
        <w:t>ning:</w:t>
      </w:r>
    </w:p>
    <w:p w:rsidR="00905B3E" w:rsidRPr="003F63DB" w:rsidRDefault="00905B3E">
      <w:pPr>
        <w:pStyle w:val="Citat"/>
      </w:pPr>
      <w:r w:rsidRPr="003F63DB">
        <w:t xml:space="preserve">För att länsstyrelsen ska kunna göra en fullgod prövning av kostnaden är det viktigt att veta vad taxan per timma innehåller och vad som är skäligt att debitera utöver denna. </w:t>
      </w:r>
    </w:p>
    <w:p w:rsidR="00905B3E" w:rsidRPr="003F63DB" w:rsidRDefault="00905B3E">
      <w:pPr>
        <w:pStyle w:val="Rubrik3-Utannumrering"/>
      </w:pPr>
      <w:r w:rsidRPr="003F63DB">
        <w:t>Riksantikvarieämbetets avgifter</w:t>
      </w:r>
    </w:p>
    <w:p w:rsidR="00905B3E" w:rsidRPr="003F63DB" w:rsidRDefault="00905B3E">
      <w:r w:rsidRPr="003F63DB">
        <w:t>Riksantikvarieämbetet avgör vilka avgifter avdelningen för arkeologiska undersökningar (UV) ska ta ut för sina tjänster, dock efter samråd med Ek</w:t>
      </w:r>
      <w:r w:rsidRPr="003F63DB">
        <w:t>o</w:t>
      </w:r>
      <w:r w:rsidRPr="003F63DB">
        <w:t>nomistyrningsverket (ESV). Enligt 5 § avgiftsförordningen (1992:191) ska avgiften beräknas så att full kost</w:t>
      </w:r>
      <w:r w:rsidRPr="003F63DB">
        <w:softHyphen/>
        <w:t>nads</w:t>
      </w:r>
      <w:r w:rsidRPr="003F63DB">
        <w:softHyphen/>
        <w:t xml:space="preserve">täckning uppnås. Eftersom avdelningen bedriver tjänsteexport ska även reglerna i tjänsteexportförordningen (1992:192) följas. Av förordningens 5 § framgår bl.a. att tjänsteexport ska bedrivas med krav på lönsamhet. </w:t>
      </w:r>
    </w:p>
    <w:p w:rsidR="00905B3E" w:rsidRPr="003F63DB" w:rsidRDefault="00905B3E">
      <w:pPr>
        <w:pStyle w:val="Normaltindrag"/>
      </w:pPr>
      <w:r w:rsidRPr="003F63DB">
        <w:t>Enligt Riksantikvarieämbetets avgiftspolicy</w:t>
      </w:r>
      <w:r w:rsidRPr="003F63DB">
        <w:rPr>
          <w:rStyle w:val="Fotnotsreferens"/>
        </w:rPr>
        <w:footnoteReference w:id="175"/>
      </w:r>
      <w:r w:rsidRPr="003F63DB">
        <w:t xml:space="preserve"> ska avgiften sättas så att intäkterna täcker både de direkta och indirekta kostnaderna på tre års sikt. De avgifter UV tar ut ska därmed täcka kostnader för löner, lokaler, utbildning och övrig intern tid, avdelningsadministration m.m. Därutöver ska UV:s avgift täcka vissa myndighetsgemensamma kostnader såsom central pers</w:t>
      </w:r>
      <w:r w:rsidRPr="003F63DB">
        <w:t>o</w:t>
      </w:r>
      <w:r w:rsidRPr="003F63DB">
        <w:t xml:space="preserve">nal- och ekonomiadministration, ledningsfunktion, IT-funktion m.m. De myndighetsgemensamma kostnaderna uppgick till 7,3 miljoner kronor år 2001 och till 8,2 miljoner kronor för år 2002 – </w:t>
      </w:r>
      <w:r w:rsidRPr="003F63DB">
        <w:t>en intern avgift som UV b</w:t>
      </w:r>
      <w:r w:rsidRPr="003F63DB">
        <w:t>e</w:t>
      </w:r>
      <w:r w:rsidRPr="003F63DB">
        <w:t>talar till den centrala myndi</w:t>
      </w:r>
      <w:r w:rsidRPr="003F63DB">
        <w:t>g</w:t>
      </w:r>
      <w:r w:rsidRPr="003F63DB">
        <w:t>heten.</w:t>
      </w:r>
    </w:p>
    <w:p w:rsidR="00905B3E" w:rsidRPr="003F63DB" w:rsidRDefault="00905B3E">
      <w:pPr>
        <w:pStyle w:val="Normaltindrag"/>
      </w:pPr>
      <w:r w:rsidRPr="003F63DB">
        <w:t>Trots att den centrala myndigheten och UV tycks vara överens om förde</w:t>
      </w:r>
      <w:r w:rsidRPr="003F63DB">
        <w:t>l</w:t>
      </w:r>
      <w:r w:rsidRPr="003F63DB">
        <w:t>ningsprincipen för de myndighetsgemensamma kostnaderna, hävdar UV att man får betala för mer än vad man faktiskt utnyttjar av centrala resurser.</w:t>
      </w:r>
    </w:p>
    <w:p w:rsidR="00905B3E" w:rsidRPr="003F63DB" w:rsidRDefault="00905B3E">
      <w:pPr>
        <w:pStyle w:val="Rubrik3-Utannumrering"/>
      </w:pPr>
      <w:r w:rsidRPr="003F63DB">
        <w:t>Riksantikvarieämbetet-UV tillämpar olika timtaxor</w:t>
      </w:r>
    </w:p>
    <w:p w:rsidR="00905B3E" w:rsidRPr="003F63DB" w:rsidRDefault="00905B3E">
      <w:r w:rsidRPr="003F63DB">
        <w:t>Riksantikvarieämbetet-UV tillämpar olika taxor beroende på personalkateg</w:t>
      </w:r>
      <w:r w:rsidRPr="003F63DB">
        <w:t>o</w:t>
      </w:r>
      <w:r w:rsidRPr="003F63DB">
        <w:t>ri och typ av tjänst.</w:t>
      </w:r>
      <w:r w:rsidRPr="003F63DB">
        <w:rPr>
          <w:rStyle w:val="Fotnotsreferens"/>
        </w:rPr>
        <w:footnoteReference w:id="176"/>
      </w:r>
      <w:r w:rsidRPr="003F63DB">
        <w:t xml:space="preserve"> Exempelvis är timtaxan för amanuenser lägre än för arkeologer – 480 kronor jämfört med 590 kronor. Timtaxan för analys- och laboratorietjänster är högre än för övriga tjänster – 625 kronor. </w:t>
      </w:r>
    </w:p>
    <w:p w:rsidR="00905B3E" w:rsidRPr="003F63DB" w:rsidRDefault="00905B3E">
      <w:pPr>
        <w:pStyle w:val="Normaltindrag"/>
      </w:pPr>
      <w:r w:rsidRPr="003F63DB">
        <w:t>Efter samråd med Ekonomistyrningsverket har Riksantikvarieämbetet-UV fr.o.m. 2002 infört en särskild taxa som tillämpas vid forsknings- och fö</w:t>
      </w:r>
      <w:r w:rsidRPr="003F63DB">
        <w:t>r</w:t>
      </w:r>
      <w:r w:rsidRPr="003F63DB">
        <w:t>medlingsuppdrag.</w:t>
      </w:r>
      <w:r w:rsidRPr="003F63DB">
        <w:rPr>
          <w:rStyle w:val="Fotnotsreferens"/>
        </w:rPr>
        <w:footnoteReference w:id="177"/>
      </w:r>
      <w:r w:rsidRPr="003F63DB">
        <w:t xml:space="preserve"> Riksantikvarieämbetet har framfört att ordinarie taxa kan vara ett direkt hinder för UV att få delta i sådana projekt. I forskning</w:t>
      </w:r>
      <w:r w:rsidRPr="003F63DB">
        <w:t>s</w:t>
      </w:r>
      <w:r w:rsidRPr="003F63DB">
        <w:t>projekt i samarbete med universiteten är kostnaderna för en arkeolog från UV med ordinarie taxa ungefär dubbelt så hög som för en universitetsbaserad arkeolog. Detta, menar Riksantikvarieämbetet, ger en sned och svårförklarad kostnadsbild vid gemensamma projektansökningar. I samarbetsprojekt med museer och andra institutioner inom kulturmiljövården för förmedling kan UV:s ordin</w:t>
      </w:r>
      <w:r w:rsidRPr="003F63DB">
        <w:t>arie taxa heller inte tillämpas. Argumentet är att medlen inom sektorn är begränsade.</w:t>
      </w:r>
    </w:p>
    <w:p w:rsidR="00905B3E" w:rsidRPr="003F63DB" w:rsidRDefault="00905B3E">
      <w:pPr>
        <w:pStyle w:val="Normaltindrag"/>
      </w:pPr>
      <w:r w:rsidRPr="003F63DB">
        <w:t>Forsknings- och förmedlingsuppdragen sägs vara viktiga för UV:s metod- och kompetensutveckling. De anses också vara en del av UV:s marknadsf</w:t>
      </w:r>
      <w:r w:rsidRPr="003F63DB">
        <w:t>ö</w:t>
      </w:r>
      <w:r w:rsidRPr="003F63DB">
        <w:t>ring/PR. Därutöver hävdas att externt finansierade samarbetsprojekt kring forskning och förmedling är en förutsättning för att UV ska kunna leva upp till högt ställda mål vad gäller vetenskaplig kvalitet och förmedling av resu</w:t>
      </w:r>
      <w:r w:rsidRPr="003F63DB">
        <w:t>l</w:t>
      </w:r>
      <w:r w:rsidRPr="003F63DB">
        <w:t>tat till allmänheten. Av Riksantikvarieämbetets förslag framgår att fors</w:t>
      </w:r>
      <w:r w:rsidRPr="003F63DB">
        <w:t>k</w:t>
      </w:r>
      <w:r w:rsidRPr="003F63DB">
        <w:t>nings- och förmedlingstaxan ska användas restriktivt.</w:t>
      </w:r>
    </w:p>
    <w:p w:rsidR="00905B3E" w:rsidRPr="003F63DB" w:rsidRDefault="00905B3E">
      <w:pPr>
        <w:pStyle w:val="Normaltindrag"/>
      </w:pPr>
      <w:r w:rsidRPr="003F63DB">
        <w:t>Då en arkeolog från Riksantikvarieämbetet-UV arbetar i ett forsknings- eller förmedlingsprojekt tar avdelningen ut en taxa om 340 kronor per ti</w:t>
      </w:r>
      <w:r w:rsidRPr="003F63DB">
        <w:t>m</w:t>
      </w:r>
      <w:r w:rsidRPr="003F63DB">
        <w:t>me, dvs. 42 % lägre än den ordinarie taxan. Forsknings- och förmedlingsta</w:t>
      </w:r>
      <w:r w:rsidRPr="003F63DB">
        <w:t>x</w:t>
      </w:r>
      <w:r w:rsidRPr="003F63DB">
        <w:t>an innehåller inga pålägg för lokaler och myndighets- eller avdelningsg</w:t>
      </w:r>
      <w:r w:rsidRPr="003F63DB">
        <w:t>e</w:t>
      </w:r>
      <w:r w:rsidRPr="003F63DB">
        <w:t>mensamma kostnader. Ekonomistyrningsverket har pekat på vikten av att en rättvisande del av gemensamma kostnader även ingår i forsknings- och fö</w:t>
      </w:r>
      <w:r w:rsidRPr="003F63DB">
        <w:t>r</w:t>
      </w:r>
      <w:r w:rsidRPr="003F63DB">
        <w:t>medlingstaxan, eftersom det ekonomiska målet för verksamheten är full kostnadstäckning.</w:t>
      </w:r>
      <w:r w:rsidRPr="003F63DB">
        <w:rPr>
          <w:rStyle w:val="Fotnotsreferens"/>
        </w:rPr>
        <w:footnoteReference w:id="178"/>
      </w:r>
      <w:r w:rsidRPr="003F63DB">
        <w:t xml:space="preserve"> Riksantikvarieämbetet har inte beaktat Ekonomisty</w:t>
      </w:r>
      <w:r w:rsidRPr="003F63DB">
        <w:t>r</w:t>
      </w:r>
      <w:r w:rsidRPr="003F63DB">
        <w:t>ningsverkets synpunkter.</w:t>
      </w:r>
    </w:p>
    <w:p w:rsidR="00905B3E" w:rsidRPr="003F63DB" w:rsidRDefault="00905B3E">
      <w:pPr>
        <w:pStyle w:val="Rubrik2"/>
      </w:pPr>
      <w:bookmarkStart w:id="121" w:name="_Toc25031930"/>
      <w:bookmarkStart w:id="122" w:name="_Toc36520758"/>
      <w:r w:rsidRPr="003F63DB">
        <w:t>Sammanfattande iakttagelser</w:t>
      </w:r>
      <w:bookmarkEnd w:id="121"/>
      <w:bookmarkEnd w:id="122"/>
    </w:p>
    <w:p w:rsidR="00905B3E" w:rsidRPr="003F63DB" w:rsidRDefault="00905B3E">
      <w:r w:rsidRPr="003F63DB">
        <w:t>Det finns minst 36 organisationer i landet som bedriver arkeologisk up</w:t>
      </w:r>
      <w:r w:rsidRPr="003F63DB">
        <w:t>p</w:t>
      </w:r>
      <w:r w:rsidRPr="003F63DB">
        <w:t>dragsverksamhet. Det möjliga geografiska verksamhetsområdet begränsas dock för de flesta genom deras juridiska form eller huvudmannaskap. Rik</w:t>
      </w:r>
      <w:r w:rsidRPr="003F63DB">
        <w:t>s</w:t>
      </w:r>
      <w:r w:rsidRPr="003F63DB">
        <w:t>antikvarieämbetet-UV och privata undersökare är fria att verka i hela landet.</w:t>
      </w:r>
    </w:p>
    <w:p w:rsidR="00905B3E" w:rsidRPr="003F63DB" w:rsidRDefault="00905B3E">
      <w:pPr>
        <w:pStyle w:val="Normaltindrag"/>
      </w:pPr>
      <w:r w:rsidRPr="003F63DB">
        <w:t>Endast omkring 2 % av länsstyrelsernas beslut har avsett uppdrag som ska vara föremål för konkurrens genom ett anbudsförfarande. Det har gällt där Riksantikvarieämbetet-UV har fördelar på grund av sin storlek och sitt ge</w:t>
      </w:r>
      <w:r w:rsidRPr="003F63DB">
        <w:t>o</w:t>
      </w:r>
      <w:r w:rsidRPr="003F63DB">
        <w:t>grafiska verksamhetsområde. Få undersökare kan konkurrera med Riksanti</w:t>
      </w:r>
      <w:r w:rsidRPr="003F63DB">
        <w:t>k</w:t>
      </w:r>
      <w:r w:rsidRPr="003F63DB">
        <w:t>varieämbetet när det gäller uppdrag med ett värde över 30 prisba</w:t>
      </w:r>
      <w:r w:rsidRPr="003F63DB">
        <w:t>s</w:t>
      </w:r>
      <w:r w:rsidRPr="003F63DB">
        <w:t xml:space="preserve">belopp. </w:t>
      </w:r>
    </w:p>
    <w:p w:rsidR="00905B3E" w:rsidRPr="003F63DB" w:rsidRDefault="00905B3E">
      <w:pPr>
        <w:pStyle w:val="Normaltindrag"/>
      </w:pPr>
      <w:r w:rsidRPr="003F63DB">
        <w:t>Antalet privata undersökare har ökat sedan riksdagen beslutade att införa ett anbudsförfarande i den uppdragsarkeologiska verksamheten. Samtidigt tycks deras marknadsandel inom uppdragsark</w:t>
      </w:r>
      <w:r w:rsidRPr="003F63DB">
        <w:t>e</w:t>
      </w:r>
      <w:r w:rsidRPr="003F63DB">
        <w:t xml:space="preserve">ologi ha minskat sedan 1999. </w:t>
      </w:r>
    </w:p>
    <w:p w:rsidR="00905B3E" w:rsidRPr="003F63DB" w:rsidRDefault="00905B3E">
      <w:pPr>
        <w:pStyle w:val="Normaltindrag"/>
      </w:pPr>
      <w:r w:rsidRPr="003F63DB">
        <w:t>Med stöd av formuleringar i regleringsbrevet tar Riksantikvari</w:t>
      </w:r>
      <w:r w:rsidRPr="003F63DB">
        <w:t>e</w:t>
      </w:r>
      <w:r w:rsidRPr="003F63DB">
        <w:t>ämbetet-UV på sig uppgiften att vara ledande inom arkeologi i flera avseenden. A</w:t>
      </w:r>
      <w:r w:rsidRPr="003F63DB">
        <w:t>v</w:t>
      </w:r>
      <w:r w:rsidRPr="003F63DB">
        <w:t>delningen har sett som sin uppgift att stå för spetskompetens samt branschens vetenskapliga och tekniska u</w:t>
      </w:r>
      <w:r w:rsidRPr="003F63DB">
        <w:t>t</w:t>
      </w:r>
      <w:r w:rsidRPr="003F63DB">
        <w:t xml:space="preserve">veckling. </w:t>
      </w:r>
    </w:p>
    <w:p w:rsidR="00905B3E" w:rsidRPr="003F63DB" w:rsidRDefault="00905B3E">
      <w:pPr>
        <w:pStyle w:val="Normaltindrag"/>
      </w:pPr>
      <w:r w:rsidRPr="003F63DB">
        <w:t xml:space="preserve">Riksantikvarieämbetet-UV är prisledande inom uppdragsarkeologi. </w:t>
      </w:r>
      <w:bookmarkEnd w:id="118"/>
      <w:r w:rsidRPr="003F63DB">
        <w:t>Avde</w:t>
      </w:r>
      <w:r w:rsidRPr="003F63DB">
        <w:t>l</w:t>
      </w:r>
      <w:r w:rsidRPr="003F63DB">
        <w:t>ningens deltagande i forsknings- och förmedlingsprojekt subventioneras av intäkter från uppdragsarkeologiska undersökningar. Då andra undersökare anpassar sig till Riksantikvarieämbetet-UV:s taxor, samtidigt som konku</w:t>
      </w:r>
      <w:r w:rsidRPr="003F63DB">
        <w:t>r</w:t>
      </w:r>
      <w:r w:rsidRPr="003F63DB">
        <w:t>rensen är begränsad, kan det medföra att kostnaderna för uppdragsarkeologi blir högre än motiverat.</w:t>
      </w:r>
    </w:p>
    <w:p w:rsidR="00905B3E" w:rsidRPr="003F63DB" w:rsidRDefault="00905B3E">
      <w:pPr>
        <w:pStyle w:val="Rubrik1"/>
      </w:pPr>
      <w:r w:rsidRPr="003F63DB">
        <w:br w:type="page"/>
      </w:r>
      <w:bookmarkStart w:id="123" w:name="_Toc25031931"/>
      <w:bookmarkStart w:id="124" w:name="_Toc36520759"/>
      <w:r w:rsidRPr="003F63DB">
        <w:t>Länsstyrelserna väljer undersökare</w:t>
      </w:r>
      <w:bookmarkEnd w:id="123"/>
      <w:bookmarkEnd w:id="124"/>
    </w:p>
    <w:p w:rsidR="00905B3E" w:rsidRPr="003F63DB" w:rsidRDefault="00905B3E">
      <w:r w:rsidRPr="003F63DB">
        <w:t>Länsstyrelserna har genom sitt val av undersökare ett ansvar för att arkeol</w:t>
      </w:r>
      <w:r w:rsidRPr="003F63DB">
        <w:t>o</w:t>
      </w:r>
      <w:r w:rsidRPr="003F63DB">
        <w:t>giska undersökningar genomförs med ”god vetenskaplig kvalitet ... till en kostnad som inte är högre än motiverat”.</w:t>
      </w:r>
      <w:r w:rsidRPr="003F63DB">
        <w:rPr>
          <w:rStyle w:val="Fotnotsreferens"/>
        </w:rPr>
        <w:footnoteReference w:id="179"/>
      </w:r>
      <w:r w:rsidRPr="003F63DB">
        <w:t xml:space="preserve"> Vid större undersökningar ska länsstyrelserna inbjuda flera undersökare att lämna förslag till undersö</w:t>
      </w:r>
      <w:r w:rsidRPr="003F63DB">
        <w:t>k</w:t>
      </w:r>
      <w:r w:rsidRPr="003F63DB">
        <w:t>ningsplan.</w:t>
      </w:r>
    </w:p>
    <w:p w:rsidR="00905B3E" w:rsidRPr="003F63DB" w:rsidRDefault="00905B3E">
      <w:pPr>
        <w:pStyle w:val="Normaltindrag"/>
      </w:pPr>
      <w:r w:rsidRPr="003F63DB">
        <w:t>Såväl Riksantikvarieämbetet som flertalet länsstyrelser hävdar att det finns för få undersökande organisationer för att man ska kunna tala om en mar</w:t>
      </w:r>
      <w:r w:rsidRPr="003F63DB">
        <w:t>k</w:t>
      </w:r>
      <w:r w:rsidRPr="003F63DB">
        <w:t>nad där en konkurrenssituation ska kunna uppstå. Av redovisningen i det följande framgår dock att både länsstyrelser och undersökare genom sitt agerande bidrar till att begränsa ko</w:t>
      </w:r>
      <w:r w:rsidRPr="003F63DB">
        <w:t>n</w:t>
      </w:r>
      <w:r w:rsidRPr="003F63DB">
        <w:t xml:space="preserve">kurrensen. </w:t>
      </w:r>
    </w:p>
    <w:p w:rsidR="00905B3E" w:rsidRPr="003F63DB" w:rsidRDefault="00905B3E">
      <w:pPr>
        <w:pStyle w:val="Rubrik2"/>
      </w:pPr>
      <w:bookmarkStart w:id="125" w:name="_Toc25031932"/>
      <w:bookmarkStart w:id="126" w:name="_Toc36520760"/>
      <w:r w:rsidRPr="003F63DB">
        <w:t>Undersökare som anlitats för uppdrag</w:t>
      </w:r>
      <w:bookmarkEnd w:id="125"/>
      <w:bookmarkEnd w:id="126"/>
    </w:p>
    <w:p w:rsidR="00905B3E" w:rsidRPr="003F63DB" w:rsidRDefault="00905B3E">
      <w:r w:rsidRPr="003F63DB">
        <w:t>Kartan på nästa sida visar vilka undersökare de olika länsstyrelserna har anlitat för uppdrag i respektive län sedan år 2000 fram t.o.m. mitten av april 2002. Redovisningen bygger på länsstyrelsernas egna uppgifter till revisore</w:t>
      </w:r>
      <w:r w:rsidRPr="003F63DB">
        <w:t>r</w:t>
      </w:r>
      <w:r w:rsidRPr="003F63DB">
        <w:t>na. Att länsstyrelsen anlitat undersökaren vid något tillfälle under perioden för ett mindre eller större uppdrag är tillräckligt för att undersökaren ska vara markerad på kartan. Hur dominerande undersökaren är i länet går alltså inte att utläsa, utom i de fall där en viss undersökare är ensam uppdragstagare. Universitet och högskolor som några länsstyrelser har anlitat för uppdrag finns inte marker</w:t>
      </w:r>
      <w:r w:rsidRPr="003F63DB">
        <w:t>a</w:t>
      </w:r>
      <w:r w:rsidRPr="003F63DB">
        <w:t xml:space="preserve">de. </w:t>
      </w:r>
    </w:p>
    <w:p w:rsidR="00905B3E" w:rsidRPr="003F63DB" w:rsidRDefault="00905B3E">
      <w:pPr>
        <w:pStyle w:val="Normaltindrag"/>
      </w:pPr>
      <w:r w:rsidRPr="003F63DB">
        <w:t xml:space="preserve">Riksantikvarieämbetet-UV har sedan år 2000 tilldelats uppdrag i 14 av de 21 länen. I Örebro län är UV </w:t>
      </w:r>
      <w:r w:rsidRPr="003F63DB">
        <w:t>den enda undersökare som fått uppdrag. I 5 län – Jönköpings</w:t>
      </w:r>
      <w:r w:rsidRPr="003F63DB">
        <w:rPr>
          <w:rStyle w:val="Fotnotsreferens"/>
        </w:rPr>
        <w:footnoteReference w:id="180"/>
      </w:r>
      <w:r w:rsidRPr="003F63DB">
        <w:t>, Kalmar, Gotlands, Dalarnas och Jämtlands län – har endast länsmuseet tilldelats uppdrag. Privata undersökare har under samma period anlitats för uppdrag i åtta län. Fyra av de sex privata undersökarna har fått uppdrag i endast ett län, oftast i det län där företaget har sitt s</w:t>
      </w:r>
      <w:r w:rsidRPr="003F63DB">
        <w:t>ä</w:t>
      </w:r>
      <w:r w:rsidRPr="003F63DB">
        <w:t>te.</w:t>
      </w:r>
      <w:r w:rsidRPr="003F63DB">
        <w:rPr>
          <w:rStyle w:val="Fotnotsreferens"/>
        </w:rPr>
        <w:footnoteReference w:id="181"/>
      </w:r>
      <w:r w:rsidRPr="003F63DB">
        <w:t xml:space="preserve"> </w:t>
      </w:r>
    </w:p>
    <w:p w:rsidR="00905B3E" w:rsidRPr="003F63DB" w:rsidRDefault="00905B3E">
      <w:pPr>
        <w:pStyle w:val="Normaltindrag"/>
      </w:pPr>
    </w:p>
    <w:p w:rsidR="00905B3E" w:rsidRPr="003F63DB" w:rsidRDefault="00905B3E">
      <w:pPr>
        <w:pStyle w:val="Tabellrubrik"/>
        <w:spacing w:before="120" w:after="120"/>
        <w:jc w:val="left"/>
        <w:rPr>
          <w:rFonts w:ascii="Arial" w:hAnsi="Arial"/>
          <w:sz w:val="18"/>
        </w:rPr>
      </w:pPr>
      <w:r w:rsidRPr="003F63DB">
        <w:rPr>
          <w:rFonts w:ascii="Arial" w:hAnsi="Arial"/>
          <w:sz w:val="18"/>
        </w:rPr>
        <w:br w:type="page"/>
        <w:t xml:space="preserve">Arkeologiska organisationer som anlitats av länsstyrelserna under perioden 2000– våren 2002 </w:t>
      </w:r>
    </w:p>
    <w:p w:rsidR="00905B3E" w:rsidRPr="003F63DB" w:rsidRDefault="003F63DB">
      <w:pPr>
        <w:pStyle w:val="Normaltindrag"/>
        <w:spacing w:line="240" w:lineRule="atLeast"/>
      </w:pPr>
      <w:r w:rsidRPr="003F63DB">
        <w:rPr>
          <w:noProof/>
        </w:rPr>
        <w:drawing>
          <wp:inline distT="0" distB="0" distL="0" distR="0">
            <wp:extent cx="3744595" cy="53016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4595" cy="5301615"/>
                    </a:xfrm>
                    <a:prstGeom prst="rect">
                      <a:avLst/>
                    </a:prstGeom>
                    <a:noFill/>
                    <a:ln>
                      <a:noFill/>
                    </a:ln>
                  </pic:spPr>
                </pic:pic>
              </a:graphicData>
            </a:graphic>
          </wp:inline>
        </w:drawing>
      </w:r>
    </w:p>
    <w:p w:rsidR="00905B3E" w:rsidRPr="003F63DB" w:rsidRDefault="00905B3E">
      <w:pPr>
        <w:pStyle w:val="Tabell"/>
        <w:spacing w:before="120" w:after="120"/>
        <w:rPr>
          <w:rFonts w:ascii="Arial" w:hAnsi="Arial"/>
        </w:rPr>
      </w:pPr>
      <w:r w:rsidRPr="003F63DB">
        <w:rPr>
          <w:rFonts w:ascii="Arial" w:hAnsi="Arial"/>
        </w:rPr>
        <w:t>Källa: Riksdagens revisorers enkät till länsstyrelserna, april 2002</w:t>
      </w:r>
    </w:p>
    <w:p w:rsidR="00905B3E" w:rsidRPr="003F63DB" w:rsidRDefault="00905B3E">
      <w:pPr>
        <w:pStyle w:val="Rubrik2"/>
      </w:pPr>
      <w:bookmarkStart w:id="127" w:name="_Toc25031933"/>
      <w:bookmarkStart w:id="128" w:name="_Toc36520761"/>
      <w:r w:rsidRPr="003F63DB">
        <w:t>Urvalsförfarandets omfattning</w:t>
      </w:r>
      <w:bookmarkEnd w:id="127"/>
      <w:bookmarkEnd w:id="128"/>
      <w:r w:rsidRPr="003F63DB">
        <w:t xml:space="preserve"> </w:t>
      </w:r>
    </w:p>
    <w:p w:rsidR="00905B3E" w:rsidRPr="003F63DB" w:rsidRDefault="00905B3E">
      <w:r w:rsidRPr="003F63DB">
        <w:t>Som tidigare beskrivits ska länsstyrelserna enligt verk</w:t>
      </w:r>
      <w:r w:rsidRPr="003F63DB">
        <w:softHyphen/>
        <w:t>ställig</w:t>
      </w:r>
      <w:r w:rsidRPr="003F63DB">
        <w:softHyphen/>
        <w:t>hets</w:t>
      </w:r>
      <w:r w:rsidRPr="003F63DB">
        <w:softHyphen/>
        <w:t>före</w:t>
      </w:r>
      <w:r w:rsidRPr="003F63DB">
        <w:softHyphen/>
        <w:t>skrifterna använda ett urvals- eller anbuds</w:t>
      </w:r>
      <w:r w:rsidRPr="003F63DB">
        <w:softHyphen/>
        <w:t>förfarande när kostnaden för en undersökning kan antas komma att överstiga 30 prisbasbelopp eller – om exploatören begär det – när kostnaden kan antas komma att understiga 30 men överstiga 10 prisbasbelopp. Undantag från denna regel får göras om särskilda skäl föreligger eller då det inte finns flera undersökare som kan antas vara lämpade att genomföra undersö</w:t>
      </w:r>
      <w:r w:rsidRPr="003F63DB">
        <w:t>k</w:t>
      </w:r>
      <w:r w:rsidRPr="003F63DB">
        <w:t>ningen.</w:t>
      </w:r>
    </w:p>
    <w:p w:rsidR="00905B3E" w:rsidRPr="003F63DB" w:rsidRDefault="00905B3E">
      <w:pPr>
        <w:pStyle w:val="Normaltindrag"/>
      </w:pPr>
      <w:r w:rsidRPr="003F63DB">
        <w:t xml:space="preserve">Länsstyrelserna har tillämpat urvalsförfaranden i begränsad omfattning. Under </w:t>
      </w:r>
      <w:r w:rsidRPr="003F63DB">
        <w:t>perioden 1999–2001 har länsstyrelserna sammantaget beslutat om 201 uppdrag där kostnaden överstiger 10 prisbasbelopp. Endast 17 av dessa b</w:t>
      </w:r>
      <w:r w:rsidRPr="003F63DB">
        <w:t>e</w:t>
      </w:r>
      <w:r w:rsidRPr="003F63DB">
        <w:t>slut har för</w:t>
      </w:r>
      <w:r w:rsidRPr="003F63DB">
        <w:t>e</w:t>
      </w:r>
      <w:r w:rsidRPr="003F63DB">
        <w:t xml:space="preserve">gåtts av ett urval. </w:t>
      </w:r>
    </w:p>
    <w:p w:rsidR="00905B3E" w:rsidRPr="003F63DB" w:rsidRDefault="00905B3E">
      <w:pPr>
        <w:pStyle w:val="Tabellrubrik"/>
        <w:spacing w:after="120"/>
        <w:rPr>
          <w:rFonts w:ascii="Arial" w:hAnsi="Arial"/>
          <w:sz w:val="18"/>
        </w:rPr>
      </w:pPr>
    </w:p>
    <w:p w:rsidR="00905B3E" w:rsidRPr="003F63DB" w:rsidRDefault="00905B3E">
      <w:pPr>
        <w:pStyle w:val="Tabellrubrik"/>
        <w:spacing w:after="120"/>
        <w:rPr>
          <w:rFonts w:ascii="Arial" w:hAnsi="Arial"/>
          <w:sz w:val="18"/>
        </w:rPr>
      </w:pPr>
      <w:r w:rsidRPr="003F63DB">
        <w:rPr>
          <w:rFonts w:ascii="Arial" w:hAnsi="Arial"/>
          <w:sz w:val="18"/>
        </w:rPr>
        <w:t>Antal arkeologiska uppdrag med en kostnad överstigande 10 pri</w:t>
      </w:r>
      <w:r w:rsidRPr="003F63DB">
        <w:rPr>
          <w:rFonts w:ascii="Arial" w:hAnsi="Arial"/>
          <w:sz w:val="18"/>
        </w:rPr>
        <w:t>s</w:t>
      </w:r>
      <w:r w:rsidRPr="003F63DB">
        <w:rPr>
          <w:rFonts w:ascii="Arial" w:hAnsi="Arial"/>
          <w:sz w:val="18"/>
        </w:rPr>
        <w:t>basbelopp där undersökare utsetts genom direktval respektive u</w:t>
      </w:r>
      <w:r w:rsidRPr="003F63DB">
        <w:rPr>
          <w:rFonts w:ascii="Arial" w:hAnsi="Arial"/>
          <w:sz w:val="18"/>
        </w:rPr>
        <w:t>r</w:t>
      </w:r>
      <w:r w:rsidRPr="003F63DB">
        <w:rPr>
          <w:rFonts w:ascii="Arial" w:hAnsi="Arial"/>
          <w:sz w:val="18"/>
        </w:rPr>
        <w:t>valsförf</w:t>
      </w:r>
      <w:r w:rsidRPr="003F63DB">
        <w:rPr>
          <w:rFonts w:ascii="Arial" w:hAnsi="Arial"/>
          <w:sz w:val="18"/>
        </w:rPr>
        <w:t>a</w:t>
      </w:r>
      <w:r w:rsidRPr="003F63DB">
        <w:rPr>
          <w:rFonts w:ascii="Arial" w:hAnsi="Arial"/>
          <w:sz w:val="18"/>
        </w:rPr>
        <w:t>rande, 1996–2001</w:t>
      </w:r>
    </w:p>
    <w:tbl>
      <w:tblPr>
        <w:tblW w:w="0" w:type="auto"/>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0B7" w:firstRow="1" w:lastRow="0" w:firstColumn="1" w:lastColumn="0" w:noHBand="0" w:noVBand="0"/>
      </w:tblPr>
      <w:tblGrid>
        <w:gridCol w:w="1913"/>
        <w:gridCol w:w="585"/>
        <w:gridCol w:w="585"/>
        <w:gridCol w:w="585"/>
        <w:gridCol w:w="585"/>
        <w:gridCol w:w="585"/>
        <w:gridCol w:w="585"/>
        <w:gridCol w:w="722"/>
      </w:tblGrid>
      <w:tr w:rsidR="00000000" w:rsidRPr="003F63DB">
        <w:tblPrEx>
          <w:tblCellMar>
            <w:top w:w="0" w:type="dxa"/>
            <w:bottom w:w="0" w:type="dxa"/>
          </w:tblCellMar>
        </w:tblPrEx>
        <w:tc>
          <w:tcPr>
            <w:tcW w:w="1913" w:type="dxa"/>
            <w:tcBorders>
              <w:bottom w:val="single" w:sz="6" w:space="0" w:color="808080"/>
            </w:tcBorders>
          </w:tcPr>
          <w:p w:rsidR="00905B3E" w:rsidRPr="003F63DB" w:rsidRDefault="00905B3E">
            <w:pPr>
              <w:pStyle w:val="Tabell"/>
              <w:rPr>
                <w:rFonts w:ascii="Arial" w:hAnsi="Arial"/>
                <w:sz w:val="16"/>
              </w:rPr>
            </w:pPr>
          </w:p>
        </w:tc>
        <w:tc>
          <w:tcPr>
            <w:tcW w:w="585"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1996</w:t>
            </w:r>
          </w:p>
        </w:tc>
        <w:tc>
          <w:tcPr>
            <w:tcW w:w="585"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1997</w:t>
            </w:r>
          </w:p>
        </w:tc>
        <w:tc>
          <w:tcPr>
            <w:tcW w:w="585"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1998</w:t>
            </w:r>
          </w:p>
        </w:tc>
        <w:tc>
          <w:tcPr>
            <w:tcW w:w="585"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1999</w:t>
            </w:r>
          </w:p>
        </w:tc>
        <w:tc>
          <w:tcPr>
            <w:tcW w:w="585" w:type="dxa"/>
            <w:tcBorders>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2000</w:t>
            </w:r>
          </w:p>
        </w:tc>
        <w:tc>
          <w:tcPr>
            <w:tcW w:w="585" w:type="dxa"/>
            <w:tcBorders>
              <w:bottom w:val="single" w:sz="6" w:space="0" w:color="808080"/>
              <w:right w:val="nil"/>
            </w:tcBorders>
          </w:tcPr>
          <w:p w:rsidR="00905B3E" w:rsidRPr="003F63DB" w:rsidRDefault="00905B3E">
            <w:pPr>
              <w:pStyle w:val="Tabell"/>
              <w:jc w:val="right"/>
              <w:rPr>
                <w:rFonts w:ascii="Arial" w:hAnsi="Arial"/>
                <w:sz w:val="16"/>
              </w:rPr>
            </w:pPr>
            <w:r w:rsidRPr="003F63DB">
              <w:rPr>
                <w:rFonts w:ascii="Arial" w:hAnsi="Arial"/>
                <w:sz w:val="16"/>
              </w:rPr>
              <w:t>2001</w:t>
            </w:r>
          </w:p>
        </w:tc>
        <w:tc>
          <w:tcPr>
            <w:tcW w:w="722" w:type="dxa"/>
            <w:tcBorders>
              <w:top w:val="single" w:sz="12" w:space="0" w:color="808080"/>
              <w:left w:val="dotted" w:sz="4" w:space="0" w:color="auto"/>
              <w:bottom w:val="single" w:sz="6" w:space="0" w:color="808080"/>
            </w:tcBorders>
          </w:tcPr>
          <w:p w:rsidR="00905B3E" w:rsidRPr="003F63DB" w:rsidRDefault="00905B3E">
            <w:pPr>
              <w:pStyle w:val="Tabell"/>
              <w:jc w:val="right"/>
              <w:rPr>
                <w:rFonts w:ascii="Arial" w:hAnsi="Arial"/>
                <w:sz w:val="16"/>
              </w:rPr>
            </w:pPr>
            <w:r w:rsidRPr="003F63DB">
              <w:rPr>
                <w:rFonts w:ascii="Arial" w:hAnsi="Arial"/>
                <w:sz w:val="16"/>
              </w:rPr>
              <w:t>1999–2001</w:t>
            </w:r>
          </w:p>
        </w:tc>
      </w:tr>
      <w:tr w:rsidR="00000000" w:rsidRPr="003F63DB">
        <w:tblPrEx>
          <w:tblCellMar>
            <w:top w:w="0" w:type="dxa"/>
            <w:bottom w:w="0" w:type="dxa"/>
          </w:tblCellMar>
        </w:tblPrEx>
        <w:tc>
          <w:tcPr>
            <w:tcW w:w="1913" w:type="dxa"/>
            <w:tcBorders>
              <w:top w:val="single" w:sz="6" w:space="0" w:color="808080"/>
            </w:tcBorders>
          </w:tcPr>
          <w:p w:rsidR="00905B3E" w:rsidRPr="003F63DB" w:rsidRDefault="00905B3E">
            <w:pPr>
              <w:pStyle w:val="Tabell"/>
              <w:rPr>
                <w:rFonts w:ascii="Arial" w:hAnsi="Arial"/>
                <w:b/>
                <w:sz w:val="16"/>
              </w:rPr>
            </w:pPr>
            <w:r w:rsidRPr="003F63DB">
              <w:rPr>
                <w:rFonts w:ascii="Arial" w:hAnsi="Arial"/>
                <w:b/>
                <w:sz w:val="16"/>
              </w:rPr>
              <w:t>&gt; 30 prisbasb</w:t>
            </w:r>
            <w:r w:rsidRPr="003F63DB">
              <w:rPr>
                <w:rFonts w:ascii="Arial" w:hAnsi="Arial"/>
                <w:b/>
                <w:sz w:val="16"/>
              </w:rPr>
              <w:t>e</w:t>
            </w:r>
            <w:r w:rsidRPr="003F63DB">
              <w:rPr>
                <w:rFonts w:ascii="Arial" w:hAnsi="Arial"/>
                <w:b/>
                <w:sz w:val="16"/>
              </w:rPr>
              <w:t>lopp</w:t>
            </w:r>
          </w:p>
        </w:tc>
        <w:tc>
          <w:tcPr>
            <w:tcW w:w="585" w:type="dxa"/>
            <w:tcBorders>
              <w:top w:val="single" w:sz="6" w:space="0" w:color="808080"/>
            </w:tcBorders>
          </w:tcPr>
          <w:p w:rsidR="00905B3E" w:rsidRPr="003F63DB" w:rsidRDefault="00905B3E">
            <w:pPr>
              <w:pStyle w:val="Tabell"/>
              <w:jc w:val="right"/>
              <w:rPr>
                <w:rFonts w:ascii="Arial" w:hAnsi="Arial"/>
                <w:b/>
                <w:sz w:val="16"/>
              </w:rPr>
            </w:pPr>
            <w:r w:rsidRPr="003F63DB">
              <w:rPr>
                <w:rFonts w:ascii="Arial" w:hAnsi="Arial"/>
                <w:b/>
                <w:sz w:val="16"/>
              </w:rPr>
              <w:t>25</w:t>
            </w:r>
          </w:p>
        </w:tc>
        <w:tc>
          <w:tcPr>
            <w:tcW w:w="585" w:type="dxa"/>
            <w:tcBorders>
              <w:top w:val="single" w:sz="6" w:space="0" w:color="808080"/>
            </w:tcBorders>
          </w:tcPr>
          <w:p w:rsidR="00905B3E" w:rsidRPr="003F63DB" w:rsidRDefault="00905B3E">
            <w:pPr>
              <w:pStyle w:val="Tabell"/>
              <w:jc w:val="right"/>
              <w:rPr>
                <w:rFonts w:ascii="Arial" w:hAnsi="Arial"/>
                <w:b/>
                <w:sz w:val="16"/>
              </w:rPr>
            </w:pPr>
            <w:r w:rsidRPr="003F63DB">
              <w:rPr>
                <w:rFonts w:ascii="Arial" w:hAnsi="Arial"/>
                <w:b/>
                <w:sz w:val="16"/>
              </w:rPr>
              <w:t>23</w:t>
            </w:r>
          </w:p>
        </w:tc>
        <w:tc>
          <w:tcPr>
            <w:tcW w:w="585" w:type="dxa"/>
            <w:tcBorders>
              <w:top w:val="single" w:sz="6" w:space="0" w:color="808080"/>
            </w:tcBorders>
          </w:tcPr>
          <w:p w:rsidR="00905B3E" w:rsidRPr="003F63DB" w:rsidRDefault="00905B3E">
            <w:pPr>
              <w:pStyle w:val="Tabell"/>
              <w:jc w:val="right"/>
              <w:rPr>
                <w:rFonts w:ascii="Arial" w:hAnsi="Arial"/>
                <w:b/>
                <w:sz w:val="16"/>
              </w:rPr>
            </w:pPr>
            <w:r w:rsidRPr="003F63DB">
              <w:rPr>
                <w:rFonts w:ascii="Arial" w:hAnsi="Arial"/>
                <w:b/>
                <w:sz w:val="16"/>
              </w:rPr>
              <w:t>36</w:t>
            </w:r>
          </w:p>
        </w:tc>
        <w:tc>
          <w:tcPr>
            <w:tcW w:w="585" w:type="dxa"/>
            <w:tcBorders>
              <w:top w:val="single" w:sz="6" w:space="0" w:color="808080"/>
            </w:tcBorders>
          </w:tcPr>
          <w:p w:rsidR="00905B3E" w:rsidRPr="003F63DB" w:rsidRDefault="00905B3E">
            <w:pPr>
              <w:pStyle w:val="Tabell"/>
              <w:jc w:val="right"/>
              <w:rPr>
                <w:rFonts w:ascii="Arial" w:hAnsi="Arial"/>
                <w:b/>
                <w:sz w:val="16"/>
              </w:rPr>
            </w:pPr>
            <w:r w:rsidRPr="003F63DB">
              <w:rPr>
                <w:rFonts w:ascii="Arial" w:hAnsi="Arial"/>
                <w:b/>
                <w:sz w:val="16"/>
              </w:rPr>
              <w:t>19</w:t>
            </w:r>
          </w:p>
        </w:tc>
        <w:tc>
          <w:tcPr>
            <w:tcW w:w="585" w:type="dxa"/>
            <w:tcBorders>
              <w:top w:val="single" w:sz="6" w:space="0" w:color="808080"/>
            </w:tcBorders>
          </w:tcPr>
          <w:p w:rsidR="00905B3E" w:rsidRPr="003F63DB" w:rsidRDefault="00905B3E">
            <w:pPr>
              <w:pStyle w:val="Tabell"/>
              <w:jc w:val="right"/>
              <w:rPr>
                <w:rFonts w:ascii="Arial" w:hAnsi="Arial"/>
                <w:b/>
                <w:sz w:val="16"/>
              </w:rPr>
            </w:pPr>
            <w:r w:rsidRPr="003F63DB">
              <w:rPr>
                <w:rFonts w:ascii="Arial" w:hAnsi="Arial"/>
                <w:b/>
                <w:sz w:val="16"/>
              </w:rPr>
              <w:t>20</w:t>
            </w:r>
          </w:p>
        </w:tc>
        <w:tc>
          <w:tcPr>
            <w:tcW w:w="585" w:type="dxa"/>
            <w:tcBorders>
              <w:top w:val="single" w:sz="6" w:space="0" w:color="808080"/>
              <w:right w:val="nil"/>
            </w:tcBorders>
          </w:tcPr>
          <w:p w:rsidR="00905B3E" w:rsidRPr="003F63DB" w:rsidRDefault="00905B3E">
            <w:pPr>
              <w:pStyle w:val="Tabell"/>
              <w:jc w:val="right"/>
              <w:rPr>
                <w:rFonts w:ascii="Arial" w:hAnsi="Arial"/>
                <w:b/>
                <w:sz w:val="16"/>
              </w:rPr>
            </w:pPr>
            <w:r w:rsidRPr="003F63DB">
              <w:rPr>
                <w:rFonts w:ascii="Arial" w:hAnsi="Arial"/>
                <w:b/>
                <w:sz w:val="16"/>
              </w:rPr>
              <w:t>40</w:t>
            </w:r>
          </w:p>
        </w:tc>
        <w:tc>
          <w:tcPr>
            <w:tcW w:w="722" w:type="dxa"/>
            <w:tcBorders>
              <w:top w:val="single" w:sz="6" w:space="0" w:color="808080"/>
              <w:left w:val="dotted" w:sz="4" w:space="0" w:color="auto"/>
            </w:tcBorders>
          </w:tcPr>
          <w:p w:rsidR="00905B3E" w:rsidRPr="003F63DB" w:rsidRDefault="00905B3E">
            <w:pPr>
              <w:pStyle w:val="Tabell"/>
              <w:jc w:val="right"/>
              <w:rPr>
                <w:rFonts w:ascii="Arial" w:hAnsi="Arial"/>
                <w:b/>
                <w:sz w:val="16"/>
              </w:rPr>
            </w:pPr>
            <w:r w:rsidRPr="003F63DB">
              <w:rPr>
                <w:rFonts w:ascii="Arial" w:hAnsi="Arial"/>
                <w:b/>
                <w:sz w:val="16"/>
              </w:rPr>
              <w:t>79</w:t>
            </w:r>
          </w:p>
        </w:tc>
      </w:tr>
      <w:tr w:rsidR="00000000" w:rsidRPr="003F63DB">
        <w:tblPrEx>
          <w:tblCellMar>
            <w:top w:w="0" w:type="dxa"/>
            <w:bottom w:w="0" w:type="dxa"/>
          </w:tblCellMar>
        </w:tblPrEx>
        <w:tc>
          <w:tcPr>
            <w:tcW w:w="1913" w:type="dxa"/>
          </w:tcPr>
          <w:p w:rsidR="00905B3E" w:rsidRPr="003F63DB" w:rsidRDefault="00905B3E">
            <w:pPr>
              <w:pStyle w:val="Tabell"/>
              <w:rPr>
                <w:rFonts w:ascii="Arial" w:hAnsi="Arial"/>
                <w:sz w:val="16"/>
              </w:rPr>
            </w:pPr>
            <w:r w:rsidRPr="003F63DB">
              <w:rPr>
                <w:rFonts w:ascii="Arial" w:hAnsi="Arial"/>
                <w:sz w:val="16"/>
              </w:rPr>
              <w:t>Direktval</w:t>
            </w:r>
          </w:p>
        </w:tc>
        <w:tc>
          <w:tcPr>
            <w:tcW w:w="585" w:type="dxa"/>
          </w:tcPr>
          <w:p w:rsidR="00905B3E" w:rsidRPr="003F63DB" w:rsidRDefault="00905B3E">
            <w:pPr>
              <w:pStyle w:val="Tabell"/>
              <w:jc w:val="right"/>
              <w:rPr>
                <w:rFonts w:ascii="Arial" w:hAnsi="Arial"/>
                <w:sz w:val="16"/>
              </w:rPr>
            </w:pPr>
            <w:r w:rsidRPr="003F63DB">
              <w:rPr>
                <w:rFonts w:ascii="Arial" w:hAnsi="Arial"/>
                <w:sz w:val="16"/>
              </w:rPr>
              <w:t>25</w:t>
            </w:r>
          </w:p>
        </w:tc>
        <w:tc>
          <w:tcPr>
            <w:tcW w:w="585" w:type="dxa"/>
          </w:tcPr>
          <w:p w:rsidR="00905B3E" w:rsidRPr="003F63DB" w:rsidRDefault="00905B3E">
            <w:pPr>
              <w:pStyle w:val="Tabell"/>
              <w:jc w:val="right"/>
              <w:rPr>
                <w:rFonts w:ascii="Arial" w:hAnsi="Arial"/>
                <w:sz w:val="16"/>
              </w:rPr>
            </w:pPr>
            <w:r w:rsidRPr="003F63DB">
              <w:rPr>
                <w:rFonts w:ascii="Arial" w:hAnsi="Arial"/>
                <w:sz w:val="16"/>
              </w:rPr>
              <w:t>23</w:t>
            </w:r>
          </w:p>
        </w:tc>
        <w:tc>
          <w:tcPr>
            <w:tcW w:w="585" w:type="dxa"/>
          </w:tcPr>
          <w:p w:rsidR="00905B3E" w:rsidRPr="003F63DB" w:rsidRDefault="00905B3E">
            <w:pPr>
              <w:pStyle w:val="Tabell"/>
              <w:jc w:val="right"/>
              <w:rPr>
                <w:rFonts w:ascii="Arial" w:hAnsi="Arial"/>
                <w:sz w:val="16"/>
              </w:rPr>
            </w:pPr>
            <w:r w:rsidRPr="003F63DB">
              <w:rPr>
                <w:rFonts w:ascii="Arial" w:hAnsi="Arial"/>
                <w:sz w:val="16"/>
              </w:rPr>
              <w:t>34</w:t>
            </w:r>
          </w:p>
        </w:tc>
        <w:tc>
          <w:tcPr>
            <w:tcW w:w="585" w:type="dxa"/>
          </w:tcPr>
          <w:p w:rsidR="00905B3E" w:rsidRPr="003F63DB" w:rsidRDefault="00905B3E">
            <w:pPr>
              <w:pStyle w:val="Tabell"/>
              <w:jc w:val="right"/>
              <w:rPr>
                <w:rFonts w:ascii="Arial" w:hAnsi="Arial"/>
                <w:sz w:val="16"/>
              </w:rPr>
            </w:pPr>
            <w:r w:rsidRPr="003F63DB">
              <w:rPr>
                <w:rFonts w:ascii="Arial" w:hAnsi="Arial"/>
                <w:sz w:val="16"/>
              </w:rPr>
              <w:t>13</w:t>
            </w:r>
          </w:p>
        </w:tc>
        <w:tc>
          <w:tcPr>
            <w:tcW w:w="585" w:type="dxa"/>
          </w:tcPr>
          <w:p w:rsidR="00905B3E" w:rsidRPr="003F63DB" w:rsidRDefault="00905B3E">
            <w:pPr>
              <w:pStyle w:val="Tabell"/>
              <w:jc w:val="right"/>
              <w:rPr>
                <w:rFonts w:ascii="Arial" w:hAnsi="Arial"/>
                <w:sz w:val="16"/>
              </w:rPr>
            </w:pPr>
            <w:r w:rsidRPr="003F63DB">
              <w:rPr>
                <w:rFonts w:ascii="Arial" w:hAnsi="Arial"/>
                <w:sz w:val="16"/>
              </w:rPr>
              <w:t>17</w:t>
            </w:r>
          </w:p>
        </w:tc>
        <w:tc>
          <w:tcPr>
            <w:tcW w:w="585"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35</w:t>
            </w:r>
          </w:p>
        </w:tc>
        <w:tc>
          <w:tcPr>
            <w:tcW w:w="722" w:type="dxa"/>
            <w:tcBorders>
              <w:left w:val="dotted" w:sz="4" w:space="0" w:color="auto"/>
            </w:tcBorders>
          </w:tcPr>
          <w:p w:rsidR="00905B3E" w:rsidRPr="003F63DB" w:rsidRDefault="00905B3E">
            <w:pPr>
              <w:pStyle w:val="Tabell"/>
              <w:jc w:val="right"/>
              <w:rPr>
                <w:rFonts w:ascii="Arial" w:hAnsi="Arial"/>
                <w:sz w:val="16"/>
              </w:rPr>
            </w:pPr>
            <w:r w:rsidRPr="003F63DB">
              <w:rPr>
                <w:rFonts w:ascii="Arial" w:hAnsi="Arial"/>
                <w:sz w:val="16"/>
              </w:rPr>
              <w:t>65</w:t>
            </w:r>
          </w:p>
        </w:tc>
      </w:tr>
      <w:tr w:rsidR="00000000" w:rsidRPr="003F63DB">
        <w:tblPrEx>
          <w:tblCellMar>
            <w:top w:w="0" w:type="dxa"/>
            <w:bottom w:w="0" w:type="dxa"/>
          </w:tblCellMar>
        </w:tblPrEx>
        <w:tc>
          <w:tcPr>
            <w:tcW w:w="1913" w:type="dxa"/>
          </w:tcPr>
          <w:p w:rsidR="00905B3E" w:rsidRPr="003F63DB" w:rsidRDefault="00905B3E">
            <w:pPr>
              <w:pStyle w:val="Tabell"/>
              <w:rPr>
                <w:rFonts w:ascii="Arial" w:hAnsi="Arial"/>
                <w:sz w:val="16"/>
              </w:rPr>
            </w:pPr>
            <w:r w:rsidRPr="003F63DB">
              <w:rPr>
                <w:rFonts w:ascii="Arial" w:hAnsi="Arial"/>
                <w:sz w:val="16"/>
              </w:rPr>
              <w:t>Urval</w:t>
            </w:r>
          </w:p>
        </w:tc>
        <w:tc>
          <w:tcPr>
            <w:tcW w:w="585" w:type="dxa"/>
          </w:tcPr>
          <w:p w:rsidR="00905B3E" w:rsidRPr="003F63DB" w:rsidRDefault="00905B3E">
            <w:pPr>
              <w:pStyle w:val="Tabell"/>
              <w:jc w:val="right"/>
              <w:rPr>
                <w:rFonts w:ascii="Arial" w:hAnsi="Arial"/>
                <w:sz w:val="16"/>
              </w:rPr>
            </w:pPr>
            <w:r w:rsidRPr="003F63DB">
              <w:rPr>
                <w:rFonts w:ascii="Arial" w:hAnsi="Arial"/>
                <w:sz w:val="16"/>
              </w:rPr>
              <w:t>0</w:t>
            </w:r>
          </w:p>
        </w:tc>
        <w:tc>
          <w:tcPr>
            <w:tcW w:w="585" w:type="dxa"/>
          </w:tcPr>
          <w:p w:rsidR="00905B3E" w:rsidRPr="003F63DB" w:rsidRDefault="00905B3E">
            <w:pPr>
              <w:pStyle w:val="Tabell"/>
              <w:jc w:val="right"/>
              <w:rPr>
                <w:rFonts w:ascii="Arial" w:hAnsi="Arial"/>
                <w:sz w:val="16"/>
              </w:rPr>
            </w:pPr>
            <w:r w:rsidRPr="003F63DB">
              <w:rPr>
                <w:rFonts w:ascii="Arial" w:hAnsi="Arial"/>
                <w:sz w:val="16"/>
              </w:rPr>
              <w:t>0</w:t>
            </w:r>
          </w:p>
        </w:tc>
        <w:tc>
          <w:tcPr>
            <w:tcW w:w="585" w:type="dxa"/>
          </w:tcPr>
          <w:p w:rsidR="00905B3E" w:rsidRPr="003F63DB" w:rsidRDefault="00905B3E">
            <w:pPr>
              <w:pStyle w:val="Tabell"/>
              <w:jc w:val="right"/>
              <w:rPr>
                <w:rFonts w:ascii="Arial" w:hAnsi="Arial"/>
                <w:sz w:val="16"/>
              </w:rPr>
            </w:pPr>
            <w:r w:rsidRPr="003F63DB">
              <w:rPr>
                <w:rFonts w:ascii="Arial" w:hAnsi="Arial"/>
                <w:sz w:val="16"/>
              </w:rPr>
              <w:t>2</w:t>
            </w:r>
          </w:p>
        </w:tc>
        <w:tc>
          <w:tcPr>
            <w:tcW w:w="585" w:type="dxa"/>
          </w:tcPr>
          <w:p w:rsidR="00905B3E" w:rsidRPr="003F63DB" w:rsidRDefault="00905B3E">
            <w:pPr>
              <w:pStyle w:val="Tabell"/>
              <w:jc w:val="right"/>
              <w:rPr>
                <w:rFonts w:ascii="Arial" w:hAnsi="Arial"/>
                <w:sz w:val="16"/>
              </w:rPr>
            </w:pPr>
            <w:r w:rsidRPr="003F63DB">
              <w:rPr>
                <w:rFonts w:ascii="Arial" w:hAnsi="Arial"/>
                <w:sz w:val="16"/>
              </w:rPr>
              <w:t>6</w:t>
            </w:r>
          </w:p>
        </w:tc>
        <w:tc>
          <w:tcPr>
            <w:tcW w:w="585" w:type="dxa"/>
          </w:tcPr>
          <w:p w:rsidR="00905B3E" w:rsidRPr="003F63DB" w:rsidRDefault="00905B3E">
            <w:pPr>
              <w:pStyle w:val="Tabell"/>
              <w:jc w:val="right"/>
              <w:rPr>
                <w:rFonts w:ascii="Arial" w:hAnsi="Arial"/>
                <w:sz w:val="16"/>
              </w:rPr>
            </w:pPr>
            <w:r w:rsidRPr="003F63DB">
              <w:rPr>
                <w:rFonts w:ascii="Arial" w:hAnsi="Arial"/>
                <w:sz w:val="16"/>
              </w:rPr>
              <w:t>3</w:t>
            </w:r>
          </w:p>
        </w:tc>
        <w:tc>
          <w:tcPr>
            <w:tcW w:w="585"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5</w:t>
            </w:r>
          </w:p>
        </w:tc>
        <w:tc>
          <w:tcPr>
            <w:tcW w:w="722" w:type="dxa"/>
            <w:tcBorders>
              <w:left w:val="dotted" w:sz="4" w:space="0" w:color="auto"/>
            </w:tcBorders>
          </w:tcPr>
          <w:p w:rsidR="00905B3E" w:rsidRPr="003F63DB" w:rsidRDefault="00905B3E">
            <w:pPr>
              <w:pStyle w:val="Tabell"/>
              <w:jc w:val="right"/>
              <w:rPr>
                <w:rFonts w:ascii="Arial" w:hAnsi="Arial"/>
                <w:sz w:val="16"/>
              </w:rPr>
            </w:pPr>
            <w:r w:rsidRPr="003F63DB">
              <w:rPr>
                <w:rFonts w:ascii="Arial" w:hAnsi="Arial"/>
                <w:sz w:val="16"/>
              </w:rPr>
              <w:t>14</w:t>
            </w:r>
          </w:p>
        </w:tc>
      </w:tr>
      <w:tr w:rsidR="00000000" w:rsidRPr="003F63DB">
        <w:tblPrEx>
          <w:tblCellMar>
            <w:top w:w="0" w:type="dxa"/>
            <w:bottom w:w="0" w:type="dxa"/>
          </w:tblCellMar>
        </w:tblPrEx>
        <w:tc>
          <w:tcPr>
            <w:tcW w:w="1913" w:type="dxa"/>
          </w:tcPr>
          <w:p w:rsidR="00905B3E" w:rsidRPr="003F63DB" w:rsidRDefault="00905B3E">
            <w:pPr>
              <w:pStyle w:val="Tabell"/>
              <w:rPr>
                <w:rFonts w:ascii="Arial" w:hAnsi="Arial"/>
                <w:sz w:val="16"/>
              </w:rPr>
            </w:pPr>
          </w:p>
        </w:tc>
        <w:tc>
          <w:tcPr>
            <w:tcW w:w="585" w:type="dxa"/>
          </w:tcPr>
          <w:p w:rsidR="00905B3E" w:rsidRPr="003F63DB" w:rsidRDefault="00905B3E">
            <w:pPr>
              <w:pStyle w:val="Tabell"/>
              <w:jc w:val="right"/>
              <w:rPr>
                <w:rFonts w:ascii="Arial" w:hAnsi="Arial"/>
                <w:sz w:val="16"/>
              </w:rPr>
            </w:pPr>
          </w:p>
        </w:tc>
        <w:tc>
          <w:tcPr>
            <w:tcW w:w="585" w:type="dxa"/>
          </w:tcPr>
          <w:p w:rsidR="00905B3E" w:rsidRPr="003F63DB" w:rsidRDefault="00905B3E">
            <w:pPr>
              <w:pStyle w:val="Tabell"/>
              <w:jc w:val="right"/>
              <w:rPr>
                <w:rFonts w:ascii="Arial" w:hAnsi="Arial"/>
                <w:sz w:val="16"/>
              </w:rPr>
            </w:pPr>
          </w:p>
        </w:tc>
        <w:tc>
          <w:tcPr>
            <w:tcW w:w="585" w:type="dxa"/>
          </w:tcPr>
          <w:p w:rsidR="00905B3E" w:rsidRPr="003F63DB" w:rsidRDefault="00905B3E">
            <w:pPr>
              <w:pStyle w:val="Tabell"/>
              <w:jc w:val="right"/>
              <w:rPr>
                <w:rFonts w:ascii="Arial" w:hAnsi="Arial"/>
                <w:sz w:val="16"/>
              </w:rPr>
            </w:pPr>
          </w:p>
        </w:tc>
        <w:tc>
          <w:tcPr>
            <w:tcW w:w="585" w:type="dxa"/>
          </w:tcPr>
          <w:p w:rsidR="00905B3E" w:rsidRPr="003F63DB" w:rsidRDefault="00905B3E">
            <w:pPr>
              <w:pStyle w:val="Tabell"/>
              <w:jc w:val="right"/>
              <w:rPr>
                <w:rFonts w:ascii="Arial" w:hAnsi="Arial"/>
                <w:sz w:val="16"/>
              </w:rPr>
            </w:pPr>
          </w:p>
        </w:tc>
        <w:tc>
          <w:tcPr>
            <w:tcW w:w="585" w:type="dxa"/>
          </w:tcPr>
          <w:p w:rsidR="00905B3E" w:rsidRPr="003F63DB" w:rsidRDefault="00905B3E">
            <w:pPr>
              <w:pStyle w:val="Tabell"/>
              <w:jc w:val="right"/>
              <w:rPr>
                <w:rFonts w:ascii="Arial" w:hAnsi="Arial"/>
                <w:sz w:val="16"/>
              </w:rPr>
            </w:pPr>
          </w:p>
        </w:tc>
        <w:tc>
          <w:tcPr>
            <w:tcW w:w="585" w:type="dxa"/>
            <w:tcBorders>
              <w:right w:val="nil"/>
            </w:tcBorders>
          </w:tcPr>
          <w:p w:rsidR="00905B3E" w:rsidRPr="003F63DB" w:rsidRDefault="00905B3E">
            <w:pPr>
              <w:pStyle w:val="Tabell"/>
              <w:jc w:val="right"/>
              <w:rPr>
                <w:rFonts w:ascii="Arial" w:hAnsi="Arial"/>
                <w:sz w:val="16"/>
              </w:rPr>
            </w:pPr>
          </w:p>
        </w:tc>
        <w:tc>
          <w:tcPr>
            <w:tcW w:w="722" w:type="dxa"/>
            <w:tcBorders>
              <w:left w:val="dotted" w:sz="4" w:space="0" w:color="auto"/>
            </w:tcBorders>
          </w:tcPr>
          <w:p w:rsidR="00905B3E" w:rsidRPr="003F63DB" w:rsidRDefault="00905B3E">
            <w:pPr>
              <w:pStyle w:val="Tabell"/>
              <w:jc w:val="right"/>
              <w:rPr>
                <w:rFonts w:ascii="Arial" w:hAnsi="Arial"/>
                <w:sz w:val="16"/>
              </w:rPr>
            </w:pPr>
          </w:p>
        </w:tc>
      </w:tr>
      <w:tr w:rsidR="00000000" w:rsidRPr="003F63DB">
        <w:tblPrEx>
          <w:tblCellMar>
            <w:top w:w="0" w:type="dxa"/>
            <w:bottom w:w="0" w:type="dxa"/>
          </w:tblCellMar>
        </w:tblPrEx>
        <w:tc>
          <w:tcPr>
            <w:tcW w:w="1913" w:type="dxa"/>
          </w:tcPr>
          <w:p w:rsidR="00905B3E" w:rsidRPr="003F63DB" w:rsidRDefault="00905B3E">
            <w:pPr>
              <w:pStyle w:val="Tabell"/>
              <w:rPr>
                <w:rFonts w:ascii="Arial" w:hAnsi="Arial"/>
                <w:b/>
                <w:sz w:val="16"/>
              </w:rPr>
            </w:pPr>
            <w:r w:rsidRPr="003F63DB">
              <w:rPr>
                <w:rFonts w:ascii="Arial" w:hAnsi="Arial"/>
                <w:b/>
                <w:sz w:val="16"/>
              </w:rPr>
              <w:t>10–30 prisba</w:t>
            </w:r>
            <w:r w:rsidRPr="003F63DB">
              <w:rPr>
                <w:rFonts w:ascii="Arial" w:hAnsi="Arial"/>
                <w:b/>
                <w:sz w:val="16"/>
              </w:rPr>
              <w:t>s</w:t>
            </w:r>
            <w:r w:rsidRPr="003F63DB">
              <w:rPr>
                <w:rFonts w:ascii="Arial" w:hAnsi="Arial"/>
                <w:b/>
                <w:sz w:val="16"/>
              </w:rPr>
              <w:t>belopp</w:t>
            </w:r>
          </w:p>
        </w:tc>
        <w:tc>
          <w:tcPr>
            <w:tcW w:w="585" w:type="dxa"/>
          </w:tcPr>
          <w:p w:rsidR="00905B3E" w:rsidRPr="003F63DB" w:rsidRDefault="00905B3E">
            <w:pPr>
              <w:pStyle w:val="Tabell"/>
              <w:jc w:val="right"/>
              <w:rPr>
                <w:rFonts w:ascii="Arial" w:hAnsi="Arial"/>
                <w:b/>
                <w:sz w:val="16"/>
              </w:rPr>
            </w:pPr>
            <w:r w:rsidRPr="003F63DB">
              <w:rPr>
                <w:rFonts w:ascii="Arial" w:hAnsi="Arial"/>
                <w:b/>
                <w:sz w:val="16"/>
              </w:rPr>
              <w:t>43</w:t>
            </w:r>
          </w:p>
        </w:tc>
        <w:tc>
          <w:tcPr>
            <w:tcW w:w="585" w:type="dxa"/>
          </w:tcPr>
          <w:p w:rsidR="00905B3E" w:rsidRPr="003F63DB" w:rsidRDefault="00905B3E">
            <w:pPr>
              <w:pStyle w:val="Tabell"/>
              <w:jc w:val="right"/>
              <w:rPr>
                <w:rFonts w:ascii="Arial" w:hAnsi="Arial"/>
                <w:b/>
                <w:sz w:val="16"/>
              </w:rPr>
            </w:pPr>
            <w:r w:rsidRPr="003F63DB">
              <w:rPr>
                <w:rFonts w:ascii="Arial" w:hAnsi="Arial"/>
                <w:b/>
                <w:sz w:val="16"/>
              </w:rPr>
              <w:t>35</w:t>
            </w:r>
          </w:p>
        </w:tc>
        <w:tc>
          <w:tcPr>
            <w:tcW w:w="585" w:type="dxa"/>
          </w:tcPr>
          <w:p w:rsidR="00905B3E" w:rsidRPr="003F63DB" w:rsidRDefault="00905B3E">
            <w:pPr>
              <w:pStyle w:val="Tabell"/>
              <w:jc w:val="right"/>
              <w:rPr>
                <w:rFonts w:ascii="Arial" w:hAnsi="Arial"/>
                <w:b/>
                <w:sz w:val="16"/>
              </w:rPr>
            </w:pPr>
            <w:r w:rsidRPr="003F63DB">
              <w:rPr>
                <w:rFonts w:ascii="Arial" w:hAnsi="Arial"/>
                <w:b/>
                <w:sz w:val="16"/>
              </w:rPr>
              <w:t>41</w:t>
            </w:r>
          </w:p>
        </w:tc>
        <w:tc>
          <w:tcPr>
            <w:tcW w:w="585" w:type="dxa"/>
          </w:tcPr>
          <w:p w:rsidR="00905B3E" w:rsidRPr="003F63DB" w:rsidRDefault="00905B3E">
            <w:pPr>
              <w:pStyle w:val="Tabell"/>
              <w:jc w:val="right"/>
              <w:rPr>
                <w:rFonts w:ascii="Arial" w:hAnsi="Arial"/>
                <w:b/>
                <w:sz w:val="16"/>
              </w:rPr>
            </w:pPr>
            <w:r w:rsidRPr="003F63DB">
              <w:rPr>
                <w:rFonts w:ascii="Arial" w:hAnsi="Arial"/>
                <w:b/>
                <w:sz w:val="16"/>
              </w:rPr>
              <w:t>21</w:t>
            </w:r>
          </w:p>
        </w:tc>
        <w:tc>
          <w:tcPr>
            <w:tcW w:w="585" w:type="dxa"/>
          </w:tcPr>
          <w:p w:rsidR="00905B3E" w:rsidRPr="003F63DB" w:rsidRDefault="00905B3E">
            <w:pPr>
              <w:pStyle w:val="Tabell"/>
              <w:jc w:val="right"/>
              <w:rPr>
                <w:rFonts w:ascii="Arial" w:hAnsi="Arial"/>
                <w:b/>
                <w:sz w:val="16"/>
              </w:rPr>
            </w:pPr>
            <w:r w:rsidRPr="003F63DB">
              <w:rPr>
                <w:rFonts w:ascii="Arial" w:hAnsi="Arial"/>
                <w:b/>
                <w:sz w:val="16"/>
              </w:rPr>
              <w:t>48</w:t>
            </w:r>
          </w:p>
        </w:tc>
        <w:tc>
          <w:tcPr>
            <w:tcW w:w="585" w:type="dxa"/>
            <w:tcBorders>
              <w:right w:val="nil"/>
            </w:tcBorders>
          </w:tcPr>
          <w:p w:rsidR="00905B3E" w:rsidRPr="003F63DB" w:rsidRDefault="00905B3E">
            <w:pPr>
              <w:pStyle w:val="Tabell"/>
              <w:jc w:val="right"/>
              <w:rPr>
                <w:rFonts w:ascii="Arial" w:hAnsi="Arial"/>
                <w:b/>
                <w:sz w:val="16"/>
              </w:rPr>
            </w:pPr>
            <w:r w:rsidRPr="003F63DB">
              <w:rPr>
                <w:rFonts w:ascii="Arial" w:hAnsi="Arial"/>
                <w:b/>
                <w:sz w:val="16"/>
              </w:rPr>
              <w:t>53</w:t>
            </w:r>
          </w:p>
        </w:tc>
        <w:tc>
          <w:tcPr>
            <w:tcW w:w="722" w:type="dxa"/>
            <w:tcBorders>
              <w:left w:val="dotted" w:sz="4" w:space="0" w:color="auto"/>
            </w:tcBorders>
          </w:tcPr>
          <w:p w:rsidR="00905B3E" w:rsidRPr="003F63DB" w:rsidRDefault="00905B3E">
            <w:pPr>
              <w:pStyle w:val="Tabell"/>
              <w:jc w:val="right"/>
              <w:rPr>
                <w:rFonts w:ascii="Arial" w:hAnsi="Arial"/>
                <w:b/>
                <w:sz w:val="16"/>
              </w:rPr>
            </w:pPr>
            <w:r w:rsidRPr="003F63DB">
              <w:rPr>
                <w:rFonts w:ascii="Arial" w:hAnsi="Arial"/>
                <w:b/>
                <w:sz w:val="16"/>
              </w:rPr>
              <w:t>122</w:t>
            </w:r>
          </w:p>
        </w:tc>
      </w:tr>
      <w:tr w:rsidR="00000000" w:rsidRPr="003F63DB">
        <w:tblPrEx>
          <w:tblCellMar>
            <w:top w:w="0" w:type="dxa"/>
            <w:bottom w:w="0" w:type="dxa"/>
          </w:tblCellMar>
        </w:tblPrEx>
        <w:tc>
          <w:tcPr>
            <w:tcW w:w="1913" w:type="dxa"/>
          </w:tcPr>
          <w:p w:rsidR="00905B3E" w:rsidRPr="003F63DB" w:rsidRDefault="00905B3E">
            <w:pPr>
              <w:pStyle w:val="Tabell"/>
              <w:rPr>
                <w:rFonts w:ascii="Arial" w:hAnsi="Arial"/>
                <w:sz w:val="16"/>
              </w:rPr>
            </w:pPr>
            <w:r w:rsidRPr="003F63DB">
              <w:rPr>
                <w:rFonts w:ascii="Arial" w:hAnsi="Arial"/>
                <w:sz w:val="16"/>
              </w:rPr>
              <w:t>Direktval</w:t>
            </w:r>
          </w:p>
        </w:tc>
        <w:tc>
          <w:tcPr>
            <w:tcW w:w="585" w:type="dxa"/>
          </w:tcPr>
          <w:p w:rsidR="00905B3E" w:rsidRPr="003F63DB" w:rsidRDefault="00905B3E">
            <w:pPr>
              <w:pStyle w:val="Tabell"/>
              <w:jc w:val="right"/>
              <w:rPr>
                <w:rFonts w:ascii="Arial" w:hAnsi="Arial"/>
                <w:sz w:val="16"/>
              </w:rPr>
            </w:pPr>
            <w:r w:rsidRPr="003F63DB">
              <w:rPr>
                <w:rFonts w:ascii="Arial" w:hAnsi="Arial"/>
                <w:sz w:val="16"/>
              </w:rPr>
              <w:t>43</w:t>
            </w:r>
          </w:p>
        </w:tc>
        <w:tc>
          <w:tcPr>
            <w:tcW w:w="585" w:type="dxa"/>
          </w:tcPr>
          <w:p w:rsidR="00905B3E" w:rsidRPr="003F63DB" w:rsidRDefault="00905B3E">
            <w:pPr>
              <w:pStyle w:val="Tabell"/>
              <w:jc w:val="right"/>
              <w:rPr>
                <w:rFonts w:ascii="Arial" w:hAnsi="Arial"/>
                <w:sz w:val="16"/>
              </w:rPr>
            </w:pPr>
            <w:r w:rsidRPr="003F63DB">
              <w:rPr>
                <w:rFonts w:ascii="Arial" w:hAnsi="Arial"/>
                <w:sz w:val="16"/>
              </w:rPr>
              <w:t>35</w:t>
            </w:r>
          </w:p>
        </w:tc>
        <w:tc>
          <w:tcPr>
            <w:tcW w:w="585" w:type="dxa"/>
          </w:tcPr>
          <w:p w:rsidR="00905B3E" w:rsidRPr="003F63DB" w:rsidRDefault="00905B3E">
            <w:pPr>
              <w:pStyle w:val="Tabell"/>
              <w:jc w:val="right"/>
              <w:rPr>
                <w:rFonts w:ascii="Arial" w:hAnsi="Arial"/>
                <w:sz w:val="16"/>
              </w:rPr>
            </w:pPr>
            <w:r w:rsidRPr="003F63DB">
              <w:rPr>
                <w:rFonts w:ascii="Arial" w:hAnsi="Arial"/>
                <w:sz w:val="16"/>
              </w:rPr>
              <w:t>41</w:t>
            </w:r>
          </w:p>
        </w:tc>
        <w:tc>
          <w:tcPr>
            <w:tcW w:w="585" w:type="dxa"/>
          </w:tcPr>
          <w:p w:rsidR="00905B3E" w:rsidRPr="003F63DB" w:rsidRDefault="00905B3E">
            <w:pPr>
              <w:pStyle w:val="Tabell"/>
              <w:jc w:val="right"/>
              <w:rPr>
                <w:rFonts w:ascii="Arial" w:hAnsi="Arial"/>
                <w:sz w:val="16"/>
              </w:rPr>
            </w:pPr>
            <w:r w:rsidRPr="003F63DB">
              <w:rPr>
                <w:rFonts w:ascii="Arial" w:hAnsi="Arial"/>
                <w:sz w:val="16"/>
              </w:rPr>
              <w:t>20</w:t>
            </w:r>
          </w:p>
        </w:tc>
        <w:tc>
          <w:tcPr>
            <w:tcW w:w="585" w:type="dxa"/>
          </w:tcPr>
          <w:p w:rsidR="00905B3E" w:rsidRPr="003F63DB" w:rsidRDefault="00905B3E">
            <w:pPr>
              <w:pStyle w:val="Tabell"/>
              <w:jc w:val="right"/>
              <w:rPr>
                <w:rFonts w:ascii="Arial" w:hAnsi="Arial"/>
                <w:sz w:val="16"/>
              </w:rPr>
            </w:pPr>
            <w:r w:rsidRPr="003F63DB">
              <w:rPr>
                <w:rFonts w:ascii="Arial" w:hAnsi="Arial"/>
                <w:sz w:val="16"/>
              </w:rPr>
              <w:t>48</w:t>
            </w:r>
          </w:p>
        </w:tc>
        <w:tc>
          <w:tcPr>
            <w:tcW w:w="585"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51</w:t>
            </w:r>
          </w:p>
        </w:tc>
        <w:tc>
          <w:tcPr>
            <w:tcW w:w="722" w:type="dxa"/>
            <w:tcBorders>
              <w:left w:val="dotted" w:sz="4" w:space="0" w:color="auto"/>
            </w:tcBorders>
          </w:tcPr>
          <w:p w:rsidR="00905B3E" w:rsidRPr="003F63DB" w:rsidRDefault="00905B3E">
            <w:pPr>
              <w:pStyle w:val="Tabell"/>
              <w:jc w:val="right"/>
              <w:rPr>
                <w:rFonts w:ascii="Arial" w:hAnsi="Arial"/>
                <w:sz w:val="16"/>
              </w:rPr>
            </w:pPr>
            <w:r w:rsidRPr="003F63DB">
              <w:rPr>
                <w:rFonts w:ascii="Arial" w:hAnsi="Arial"/>
                <w:sz w:val="16"/>
              </w:rPr>
              <w:t>119</w:t>
            </w:r>
          </w:p>
        </w:tc>
      </w:tr>
      <w:tr w:rsidR="00000000" w:rsidRPr="003F63DB">
        <w:tblPrEx>
          <w:tblCellMar>
            <w:top w:w="0" w:type="dxa"/>
            <w:bottom w:w="0" w:type="dxa"/>
          </w:tblCellMar>
        </w:tblPrEx>
        <w:tc>
          <w:tcPr>
            <w:tcW w:w="1913" w:type="dxa"/>
          </w:tcPr>
          <w:p w:rsidR="00905B3E" w:rsidRPr="003F63DB" w:rsidRDefault="00905B3E">
            <w:pPr>
              <w:pStyle w:val="Tabell"/>
              <w:rPr>
                <w:rFonts w:ascii="Arial" w:hAnsi="Arial"/>
                <w:sz w:val="16"/>
              </w:rPr>
            </w:pPr>
            <w:r w:rsidRPr="003F63DB">
              <w:rPr>
                <w:rFonts w:ascii="Arial" w:hAnsi="Arial"/>
                <w:sz w:val="16"/>
              </w:rPr>
              <w:t>Urval</w:t>
            </w:r>
          </w:p>
        </w:tc>
        <w:tc>
          <w:tcPr>
            <w:tcW w:w="585" w:type="dxa"/>
          </w:tcPr>
          <w:p w:rsidR="00905B3E" w:rsidRPr="003F63DB" w:rsidRDefault="00905B3E">
            <w:pPr>
              <w:pStyle w:val="Tabell"/>
              <w:jc w:val="right"/>
              <w:rPr>
                <w:rFonts w:ascii="Arial" w:hAnsi="Arial"/>
                <w:sz w:val="16"/>
              </w:rPr>
            </w:pPr>
            <w:r w:rsidRPr="003F63DB">
              <w:rPr>
                <w:rFonts w:ascii="Arial" w:hAnsi="Arial"/>
                <w:sz w:val="16"/>
              </w:rPr>
              <w:t>0</w:t>
            </w:r>
          </w:p>
        </w:tc>
        <w:tc>
          <w:tcPr>
            <w:tcW w:w="585" w:type="dxa"/>
          </w:tcPr>
          <w:p w:rsidR="00905B3E" w:rsidRPr="003F63DB" w:rsidRDefault="00905B3E">
            <w:pPr>
              <w:pStyle w:val="Tabell"/>
              <w:jc w:val="right"/>
              <w:rPr>
                <w:rFonts w:ascii="Arial" w:hAnsi="Arial"/>
                <w:sz w:val="16"/>
              </w:rPr>
            </w:pPr>
            <w:r w:rsidRPr="003F63DB">
              <w:rPr>
                <w:rFonts w:ascii="Arial" w:hAnsi="Arial"/>
                <w:sz w:val="16"/>
              </w:rPr>
              <w:t>0</w:t>
            </w:r>
          </w:p>
        </w:tc>
        <w:tc>
          <w:tcPr>
            <w:tcW w:w="585" w:type="dxa"/>
          </w:tcPr>
          <w:p w:rsidR="00905B3E" w:rsidRPr="003F63DB" w:rsidRDefault="00905B3E">
            <w:pPr>
              <w:pStyle w:val="Tabell"/>
              <w:jc w:val="right"/>
              <w:rPr>
                <w:rFonts w:ascii="Arial" w:hAnsi="Arial"/>
                <w:sz w:val="16"/>
              </w:rPr>
            </w:pPr>
            <w:r w:rsidRPr="003F63DB">
              <w:rPr>
                <w:rFonts w:ascii="Arial" w:hAnsi="Arial"/>
                <w:sz w:val="16"/>
              </w:rPr>
              <w:t>0</w:t>
            </w:r>
          </w:p>
        </w:tc>
        <w:tc>
          <w:tcPr>
            <w:tcW w:w="585" w:type="dxa"/>
          </w:tcPr>
          <w:p w:rsidR="00905B3E" w:rsidRPr="003F63DB" w:rsidRDefault="00905B3E">
            <w:pPr>
              <w:pStyle w:val="Tabell"/>
              <w:jc w:val="right"/>
              <w:rPr>
                <w:rFonts w:ascii="Arial" w:hAnsi="Arial"/>
                <w:sz w:val="16"/>
              </w:rPr>
            </w:pPr>
            <w:r w:rsidRPr="003F63DB">
              <w:rPr>
                <w:rFonts w:ascii="Arial" w:hAnsi="Arial"/>
                <w:sz w:val="16"/>
              </w:rPr>
              <w:t>1</w:t>
            </w:r>
          </w:p>
        </w:tc>
        <w:tc>
          <w:tcPr>
            <w:tcW w:w="585" w:type="dxa"/>
          </w:tcPr>
          <w:p w:rsidR="00905B3E" w:rsidRPr="003F63DB" w:rsidRDefault="00905B3E">
            <w:pPr>
              <w:pStyle w:val="Tabell"/>
              <w:jc w:val="right"/>
              <w:rPr>
                <w:rFonts w:ascii="Arial" w:hAnsi="Arial"/>
                <w:sz w:val="16"/>
              </w:rPr>
            </w:pPr>
            <w:r w:rsidRPr="003F63DB">
              <w:rPr>
                <w:rFonts w:ascii="Arial" w:hAnsi="Arial"/>
                <w:sz w:val="16"/>
              </w:rPr>
              <w:t>0</w:t>
            </w:r>
          </w:p>
        </w:tc>
        <w:tc>
          <w:tcPr>
            <w:tcW w:w="585" w:type="dxa"/>
            <w:tcBorders>
              <w:right w:val="nil"/>
            </w:tcBorders>
          </w:tcPr>
          <w:p w:rsidR="00905B3E" w:rsidRPr="003F63DB" w:rsidRDefault="00905B3E">
            <w:pPr>
              <w:pStyle w:val="Tabell"/>
              <w:jc w:val="right"/>
              <w:rPr>
                <w:rFonts w:ascii="Arial" w:hAnsi="Arial"/>
                <w:sz w:val="16"/>
              </w:rPr>
            </w:pPr>
            <w:r w:rsidRPr="003F63DB">
              <w:rPr>
                <w:rFonts w:ascii="Arial" w:hAnsi="Arial"/>
                <w:sz w:val="16"/>
              </w:rPr>
              <w:t>2</w:t>
            </w:r>
          </w:p>
        </w:tc>
        <w:tc>
          <w:tcPr>
            <w:tcW w:w="722" w:type="dxa"/>
            <w:tcBorders>
              <w:left w:val="dotted" w:sz="4" w:space="0" w:color="auto"/>
              <w:bottom w:val="single" w:sz="12" w:space="0" w:color="808080"/>
            </w:tcBorders>
          </w:tcPr>
          <w:p w:rsidR="00905B3E" w:rsidRPr="003F63DB" w:rsidRDefault="00905B3E">
            <w:pPr>
              <w:pStyle w:val="Tabell"/>
              <w:jc w:val="right"/>
              <w:rPr>
                <w:rFonts w:ascii="Arial" w:hAnsi="Arial"/>
                <w:sz w:val="16"/>
              </w:rPr>
            </w:pPr>
            <w:r w:rsidRPr="003F63DB">
              <w:rPr>
                <w:rFonts w:ascii="Arial" w:hAnsi="Arial"/>
                <w:sz w:val="16"/>
              </w:rPr>
              <w:t>3</w:t>
            </w:r>
          </w:p>
        </w:tc>
      </w:tr>
    </w:tbl>
    <w:p w:rsidR="00905B3E" w:rsidRPr="003F63DB" w:rsidRDefault="00905B3E">
      <w:pPr>
        <w:pStyle w:val="Tabell"/>
        <w:spacing w:before="120" w:after="120"/>
        <w:rPr>
          <w:rFonts w:ascii="Arial" w:hAnsi="Arial"/>
        </w:rPr>
      </w:pPr>
      <w:r w:rsidRPr="003F63DB">
        <w:rPr>
          <w:rFonts w:ascii="Arial" w:hAnsi="Arial"/>
        </w:rPr>
        <w:t>Källa: Riksantikvarieämbetet, beslutsregistret</w:t>
      </w:r>
    </w:p>
    <w:p w:rsidR="00905B3E" w:rsidRPr="003F63DB" w:rsidRDefault="00905B3E">
      <w:r w:rsidRPr="003F63DB">
        <w:t>Vad gäller de stora undersökningarna – med en kostnad överstigande 30 prisbasbelopp – har 14 av totalt 79 undersökningar varit föremål för ett u</w:t>
      </w:r>
      <w:r w:rsidRPr="003F63DB">
        <w:t>r</w:t>
      </w:r>
      <w:r w:rsidRPr="003F63DB">
        <w:t>valsförfarande. Sedan 1999 har andelen undersökningar som utsatts för ko</w:t>
      </w:r>
      <w:r w:rsidRPr="003F63DB">
        <w:t>n</w:t>
      </w:r>
      <w:r w:rsidRPr="003F63DB">
        <w:t>kurrens minskat. År 2001 användes ett urvalsförfarande i 12 % av fallen mot 32 % år 1999. Undersökningar i kostnadsintervallet 10–30 prisbasbelopp har i princip inte utsatts för någon konku</w:t>
      </w:r>
      <w:r w:rsidRPr="003F63DB">
        <w:t>r</w:t>
      </w:r>
      <w:r w:rsidRPr="003F63DB">
        <w:t>rens alls.</w:t>
      </w:r>
    </w:p>
    <w:p w:rsidR="00905B3E" w:rsidRPr="003F63DB" w:rsidRDefault="00905B3E">
      <w:pPr>
        <w:pStyle w:val="Normaltindrag"/>
      </w:pPr>
      <w:r w:rsidRPr="003F63DB">
        <w:t>Under perioden 2000–2001 har 12 länsstyrelser haft minst en undersö</w:t>
      </w:r>
      <w:r w:rsidRPr="003F63DB">
        <w:t>k</w:t>
      </w:r>
      <w:r w:rsidRPr="003F63DB">
        <w:t>ning där kostnaden har överstigit 30 prisbasbelopp. Det är dock endast 5 länsstyrelser som tillämpat ett urvalsförfarande vid åtminstone någon av dessa undersökningar. Totalt 18 länsstyrelser har haft åtminstone en unde</w:t>
      </w:r>
      <w:r w:rsidRPr="003F63DB">
        <w:t>r</w:t>
      </w:r>
      <w:r w:rsidRPr="003F63DB">
        <w:t xml:space="preserve">sökning i intervallet 10–30 prisbasbelopp. Här är det bara en – länsstyrelsen i Stockholms län – som vänt sig till flera undersökare för att ta in anbud. </w:t>
      </w:r>
    </w:p>
    <w:p w:rsidR="00905B3E" w:rsidRPr="003F63DB" w:rsidRDefault="00905B3E">
      <w:pPr>
        <w:pStyle w:val="Normaltindrag"/>
      </w:pPr>
      <w:r w:rsidRPr="003F63DB">
        <w:t>Uppgifterna från Riksantikvarieämbetets beslutsregister överens</w:t>
      </w:r>
      <w:r w:rsidRPr="003F63DB">
        <w:softHyphen/>
        <w:t>stämmer inte med de uppgifter som länsstyrelserna lämnat till revisorerna i enkäten. När det gäller de mellanstora undersökningarna (10–30 prisbasbelopp) har tre länsstyrelser uppgett att man tillämpat ett urvalsförfarande under perioden 2000–2001. Enligt länsstyrelsernas uppgifter har exploatörerna inte uttryc</w:t>
      </w:r>
      <w:r w:rsidRPr="003F63DB">
        <w:t>k</w:t>
      </w:r>
      <w:r w:rsidRPr="003F63DB">
        <w:t xml:space="preserve">ligen krävt ett anbudsförfarande i större utsträckning än så. </w:t>
      </w:r>
    </w:p>
    <w:p w:rsidR="00905B3E" w:rsidRPr="003F63DB" w:rsidRDefault="00905B3E">
      <w:pPr>
        <w:pStyle w:val="Normaltindrag"/>
      </w:pPr>
      <w:r w:rsidRPr="003F63DB">
        <w:t>Riksantikvarieämbetet uppger att antalet undersökare är litet och att det traditionellt finns geografiskt avgränsade arbetsområden kopp</w:t>
      </w:r>
      <w:r w:rsidRPr="003F63DB">
        <w:t>lade till vissa undersökare. Exploatörerna har heller inte varit intresserade av ett urvalsfö</w:t>
      </w:r>
      <w:r w:rsidRPr="003F63DB">
        <w:t>r</w:t>
      </w:r>
      <w:r w:rsidRPr="003F63DB">
        <w:t>farande på grund av tidspress. Endast Riksantikvarieämbetets egen up</w:t>
      </w:r>
      <w:r w:rsidRPr="003F63DB">
        <w:t>p</w:t>
      </w:r>
      <w:r w:rsidRPr="003F63DB">
        <w:t>dragsverksamhet och ett fåtal museer har resurser att klara stora krävande undersökningar. Privata undersökare saknar ofta kompetens och resurser för annat än mindre uppdrag. Den minskade uppdragsvolymen under senare år har också minskat möjligheterna för privata undersökare att utvidga sin ver</w:t>
      </w:r>
      <w:r w:rsidRPr="003F63DB">
        <w:t>k</w:t>
      </w:r>
      <w:r w:rsidRPr="003F63DB">
        <w:t>samhet och därmed kunna konkurrera med större och mer</w:t>
      </w:r>
      <w:r w:rsidRPr="003F63DB">
        <w:t xml:space="preserve"> etablerade unde</w:t>
      </w:r>
      <w:r w:rsidRPr="003F63DB">
        <w:t>r</w:t>
      </w:r>
      <w:r w:rsidRPr="003F63DB">
        <w:t>sökare.</w:t>
      </w:r>
      <w:r w:rsidRPr="003F63DB">
        <w:rPr>
          <w:rStyle w:val="Fotnotsreferens"/>
        </w:rPr>
        <w:footnoteReference w:id="182"/>
      </w:r>
      <w:r w:rsidRPr="003F63DB">
        <w:t xml:space="preserve"> Det finns alltså enligt Riksantikvarieämbetet flera förklaringar till att anbudsförfaranden används i begränsad omfattning. </w:t>
      </w:r>
    </w:p>
    <w:p w:rsidR="00905B3E" w:rsidRPr="003F63DB" w:rsidRDefault="00905B3E">
      <w:pPr>
        <w:pStyle w:val="Normaltindrag"/>
      </w:pPr>
      <w:r w:rsidRPr="003F63DB">
        <w:t>Samtidigt skriver Riksantikvarieämbetet i de allmänna råden till verkstä</w:t>
      </w:r>
      <w:r w:rsidRPr="003F63DB">
        <w:t>l</w:t>
      </w:r>
      <w:r w:rsidRPr="003F63DB">
        <w:t>lighetsföreskrifterna att länsstyrelserna bör se till att ”en utveckling undviks som medför att privata intressenter får utföra de mer omfattande undersö</w:t>
      </w:r>
      <w:r w:rsidRPr="003F63DB">
        <w:t>k</w:t>
      </w:r>
      <w:r w:rsidRPr="003F63DB">
        <w:t>ningarna medan de mindre utförs av övriga institutioner”. Här gör Riksanti</w:t>
      </w:r>
      <w:r w:rsidRPr="003F63DB">
        <w:t>k</w:t>
      </w:r>
      <w:r w:rsidRPr="003F63DB">
        <w:t>varieämbetet en direkt referens till den formulering som användes i regerin</w:t>
      </w:r>
      <w:r w:rsidRPr="003F63DB">
        <w:t>g</w:t>
      </w:r>
      <w:r w:rsidRPr="003F63DB">
        <w:t>ens propos</w:t>
      </w:r>
      <w:r w:rsidRPr="003F63DB">
        <w:t>i</w:t>
      </w:r>
      <w:r w:rsidRPr="003F63DB">
        <w:t>tion.</w:t>
      </w:r>
    </w:p>
    <w:p w:rsidR="00905B3E" w:rsidRPr="003F63DB" w:rsidRDefault="00905B3E">
      <w:pPr>
        <w:pStyle w:val="Normaltindrag"/>
      </w:pPr>
      <w:r w:rsidRPr="003F63DB">
        <w:t>Det finns även länsstyrelser som inte tillämpar anbudsförfaranden med hänvisning till resursbrist. Länsstyrelsen i Kronobergs län anger i sin ver</w:t>
      </w:r>
      <w:r w:rsidRPr="003F63DB">
        <w:t>k</w:t>
      </w:r>
      <w:r w:rsidRPr="003F63DB">
        <w:t>samhetsplan för 2001 att man prioriterar snabb handläggning framför kvalitet och konkurrens. Länsstyrelsen redovisar att man inte följer riksdagens beslut och Riksantikvari</w:t>
      </w:r>
      <w:r w:rsidRPr="003F63DB">
        <w:t>e</w:t>
      </w:r>
      <w:r w:rsidRPr="003F63DB">
        <w:t>ämbetets föreskrifter.</w:t>
      </w:r>
    </w:p>
    <w:p w:rsidR="00905B3E" w:rsidRPr="003F63DB" w:rsidRDefault="00905B3E">
      <w:pPr>
        <w:pStyle w:val="Rubrik2"/>
      </w:pPr>
      <w:bookmarkStart w:id="129" w:name="_Toc25031934"/>
      <w:bookmarkStart w:id="130" w:name="_Toc36520762"/>
      <w:r w:rsidRPr="003F63DB">
        <w:t>Undersökningar med kostnader över 30 prisbasbelopp</w:t>
      </w:r>
      <w:bookmarkEnd w:id="129"/>
      <w:bookmarkEnd w:id="130"/>
    </w:p>
    <w:p w:rsidR="00905B3E" w:rsidRPr="003F63DB" w:rsidRDefault="00905B3E">
      <w:r w:rsidRPr="003F63DB">
        <w:t xml:space="preserve">Revisorerna har granskat samtliga beslut som länsstyrelserna fattat under perioden 2000–2001 där undersökningskostnaden beräknades uppgå till minst 30 prisbasbelopp. Totalt är det 59 beslut fördelade på 12 länsstyrelser. Besluten avser vanligtvis en särskild undersökning (slutundersökning). </w:t>
      </w:r>
    </w:p>
    <w:p w:rsidR="00905B3E" w:rsidRPr="003F63DB" w:rsidRDefault="00905B3E">
      <w:pPr>
        <w:pStyle w:val="Normaltindrag"/>
      </w:pPr>
      <w:r w:rsidRPr="003F63DB">
        <w:t xml:space="preserve">Sammanlagt avser besluten beräknade kostnader på drygt 334 miljoner kronor. Länsstyrelsen i Skåne län svarar för flest beslut med ett sammanlagt värde om drygt 140 miljoner kronor. </w:t>
      </w:r>
    </w:p>
    <w:p w:rsidR="00905B3E" w:rsidRPr="003F63DB" w:rsidRDefault="00905B3E">
      <w:pPr>
        <w:pStyle w:val="Tabellrubrik"/>
        <w:spacing w:before="240" w:after="120"/>
        <w:jc w:val="left"/>
        <w:rPr>
          <w:rFonts w:ascii="Arial" w:hAnsi="Arial"/>
          <w:sz w:val="18"/>
        </w:rPr>
      </w:pPr>
      <w:r w:rsidRPr="003F63DB">
        <w:rPr>
          <w:rFonts w:ascii="Arial" w:hAnsi="Arial"/>
          <w:sz w:val="18"/>
        </w:rPr>
        <w:t>Beslut fattade av länsstyrelserna under perioden 2000–2001 där undersökningskostnaden beräknades överstiga 30 prisbasbelopp (bbp). Antal beslut totalt och genom urval samt beräknad kostnad i milj</w:t>
      </w:r>
      <w:r w:rsidRPr="003F63DB">
        <w:rPr>
          <w:rFonts w:ascii="Arial" w:hAnsi="Arial"/>
          <w:sz w:val="18"/>
        </w:rPr>
        <w:t>o</w:t>
      </w:r>
      <w:r w:rsidRPr="003F63DB">
        <w:rPr>
          <w:rFonts w:ascii="Arial" w:hAnsi="Arial"/>
          <w:sz w:val="18"/>
        </w:rPr>
        <w:t>ner kronor.</w:t>
      </w:r>
    </w:p>
    <w:p w:rsidR="00905B3E" w:rsidRPr="003F63DB" w:rsidRDefault="00905B3E">
      <w:pPr>
        <w:pStyle w:val="Tabell"/>
      </w:pPr>
    </w:p>
    <w:tbl>
      <w:tblPr>
        <w:tblW w:w="0" w:type="auto"/>
        <w:tblBorders>
          <w:top w:val="single" w:sz="12" w:space="0" w:color="808080"/>
          <w:left w:val="nil"/>
          <w:bottom w:val="single" w:sz="12" w:space="0" w:color="808080"/>
          <w:right w:val="nil"/>
          <w:insideH w:val="nil"/>
          <w:insideV w:val="nil"/>
        </w:tblBorders>
        <w:tblLayout w:type="fixed"/>
        <w:tblCellMar>
          <w:left w:w="30" w:type="dxa"/>
          <w:right w:w="30" w:type="dxa"/>
        </w:tblCellMar>
        <w:tblLook w:val="00B7" w:firstRow="1" w:lastRow="0" w:firstColumn="1" w:lastColumn="0" w:noHBand="0" w:noVBand="0"/>
      </w:tblPr>
      <w:tblGrid>
        <w:gridCol w:w="1306"/>
        <w:gridCol w:w="1027"/>
        <w:gridCol w:w="905"/>
        <w:gridCol w:w="1107"/>
        <w:gridCol w:w="1160"/>
      </w:tblGrid>
      <w:tr w:rsidR="00000000" w:rsidRPr="003F63DB">
        <w:tblPrEx>
          <w:tblCellMar>
            <w:top w:w="0" w:type="dxa"/>
            <w:bottom w:w="0" w:type="dxa"/>
          </w:tblCellMar>
        </w:tblPrEx>
        <w:trPr>
          <w:trHeight w:val="247"/>
        </w:trPr>
        <w:tc>
          <w:tcPr>
            <w:tcW w:w="1306" w:type="dxa"/>
            <w:tcBorders>
              <w:bottom w:val="single" w:sz="6" w:space="0" w:color="808080"/>
            </w:tcBorders>
          </w:tcPr>
          <w:p w:rsidR="00905B3E" w:rsidRPr="003F63DB" w:rsidRDefault="00905B3E">
            <w:pPr>
              <w:pStyle w:val="Tabell"/>
              <w:rPr>
                <w:rFonts w:ascii="Arial" w:hAnsi="Arial"/>
                <w:sz w:val="16"/>
              </w:rPr>
            </w:pPr>
            <w:r w:rsidRPr="003F63DB">
              <w:rPr>
                <w:rFonts w:ascii="Arial" w:hAnsi="Arial"/>
                <w:sz w:val="16"/>
              </w:rPr>
              <w:t>Län</w:t>
            </w:r>
          </w:p>
        </w:tc>
        <w:tc>
          <w:tcPr>
            <w:tcW w:w="1027" w:type="dxa"/>
            <w:tcBorders>
              <w:bottom w:val="single" w:sz="6" w:space="0" w:color="808080"/>
            </w:tcBorders>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 xml:space="preserve">Antal beslut </w:t>
            </w:r>
          </w:p>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&gt;30 bbp</w:t>
            </w:r>
          </w:p>
        </w:tc>
        <w:tc>
          <w:tcPr>
            <w:tcW w:w="905" w:type="dxa"/>
            <w:tcBorders>
              <w:bottom w:val="single" w:sz="6" w:space="0" w:color="808080"/>
            </w:tcBorders>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Antal urval</w:t>
            </w:r>
          </w:p>
        </w:tc>
        <w:tc>
          <w:tcPr>
            <w:tcW w:w="1107" w:type="dxa"/>
            <w:tcBorders>
              <w:bottom w:val="single" w:sz="6" w:space="0" w:color="808080"/>
            </w:tcBorders>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Total kostnad</w:t>
            </w:r>
          </w:p>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 xml:space="preserve"> (mkr)</w:t>
            </w:r>
          </w:p>
        </w:tc>
        <w:tc>
          <w:tcPr>
            <w:tcW w:w="1160" w:type="dxa"/>
            <w:tcBorders>
              <w:bottom w:val="single" w:sz="6" w:space="0" w:color="808080"/>
            </w:tcBorders>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 xml:space="preserve">Andel av total </w:t>
            </w:r>
          </w:p>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kos</w:t>
            </w:r>
            <w:r w:rsidRPr="003F63DB">
              <w:rPr>
                <w:rFonts w:ascii="Arial" w:hAnsi="Arial"/>
                <w:snapToGrid w:val="0"/>
                <w:sz w:val="16"/>
                <w:lang w:eastAsia="sv-SE"/>
              </w:rPr>
              <w:t>t</w:t>
            </w:r>
            <w:r w:rsidRPr="003F63DB">
              <w:rPr>
                <w:rFonts w:ascii="Arial" w:hAnsi="Arial"/>
                <w:snapToGrid w:val="0"/>
                <w:sz w:val="16"/>
                <w:lang w:eastAsia="sv-SE"/>
              </w:rPr>
              <w:t>nad (%)</w:t>
            </w:r>
          </w:p>
        </w:tc>
      </w:tr>
      <w:tr w:rsidR="00000000" w:rsidRPr="003F63DB">
        <w:tblPrEx>
          <w:tblCellMar>
            <w:top w:w="0" w:type="dxa"/>
            <w:bottom w:w="0" w:type="dxa"/>
          </w:tblCellMar>
        </w:tblPrEx>
        <w:trPr>
          <w:trHeight w:val="247"/>
        </w:trPr>
        <w:tc>
          <w:tcPr>
            <w:tcW w:w="1306" w:type="dxa"/>
            <w:tcBorders>
              <w:top w:val="single" w:sz="6" w:space="0" w:color="808080"/>
            </w:tcBorders>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Skåne</w:t>
            </w:r>
          </w:p>
        </w:tc>
        <w:tc>
          <w:tcPr>
            <w:tcW w:w="1027" w:type="dxa"/>
            <w:tcBorders>
              <w:top w:val="single" w:sz="6" w:space="0" w:color="808080"/>
            </w:tcBorders>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21</w:t>
            </w:r>
          </w:p>
        </w:tc>
        <w:tc>
          <w:tcPr>
            <w:tcW w:w="905" w:type="dxa"/>
            <w:tcBorders>
              <w:top w:val="single" w:sz="6" w:space="0" w:color="808080"/>
            </w:tcBorders>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0</w:t>
            </w:r>
          </w:p>
        </w:tc>
        <w:tc>
          <w:tcPr>
            <w:tcW w:w="1107" w:type="dxa"/>
            <w:tcBorders>
              <w:top w:val="single" w:sz="6" w:space="0" w:color="808080"/>
            </w:tcBorders>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 xml:space="preserve">140,4 </w:t>
            </w:r>
          </w:p>
        </w:tc>
        <w:tc>
          <w:tcPr>
            <w:tcW w:w="1160" w:type="dxa"/>
            <w:tcBorders>
              <w:top w:val="single" w:sz="6" w:space="0" w:color="808080"/>
            </w:tcBorders>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42</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Stockholm</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8</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5</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15,7</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5</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Västra Götaland</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7</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0</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30,2</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9</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Östergötland</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7</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0</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45,0</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13</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Söderma</w:t>
            </w:r>
            <w:r w:rsidRPr="003F63DB">
              <w:rPr>
                <w:rFonts w:ascii="Arial" w:hAnsi="Arial"/>
                <w:snapToGrid w:val="0"/>
                <w:sz w:val="16"/>
                <w:lang w:eastAsia="sv-SE"/>
              </w:rPr>
              <w:t>n</w:t>
            </w:r>
            <w:r w:rsidRPr="003F63DB">
              <w:rPr>
                <w:rFonts w:ascii="Arial" w:hAnsi="Arial"/>
                <w:snapToGrid w:val="0"/>
                <w:sz w:val="16"/>
                <w:lang w:eastAsia="sv-SE"/>
              </w:rPr>
              <w:t>land</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3</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34,5</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10</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Västernor</w:t>
            </w:r>
            <w:r w:rsidRPr="003F63DB">
              <w:rPr>
                <w:rFonts w:ascii="Arial" w:hAnsi="Arial"/>
                <w:snapToGrid w:val="0"/>
                <w:sz w:val="16"/>
                <w:lang w:eastAsia="sv-SE"/>
              </w:rPr>
              <w:t>r</w:t>
            </w:r>
            <w:r w:rsidRPr="003F63DB">
              <w:rPr>
                <w:rFonts w:ascii="Arial" w:hAnsi="Arial"/>
                <w:snapToGrid w:val="0"/>
                <w:sz w:val="16"/>
                <w:lang w:eastAsia="sv-SE"/>
              </w:rPr>
              <w:t>land</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3</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36,4</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11</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Halland</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0</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4,6</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Kronoberg</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0</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3,8</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Västma</w:t>
            </w:r>
            <w:r w:rsidRPr="003F63DB">
              <w:rPr>
                <w:rFonts w:ascii="Arial" w:hAnsi="Arial"/>
                <w:snapToGrid w:val="0"/>
                <w:sz w:val="16"/>
                <w:lang w:eastAsia="sv-SE"/>
              </w:rPr>
              <w:t>n</w:t>
            </w:r>
            <w:r w:rsidRPr="003F63DB">
              <w:rPr>
                <w:rFonts w:ascii="Arial" w:hAnsi="Arial"/>
                <w:snapToGrid w:val="0"/>
                <w:sz w:val="16"/>
                <w:lang w:eastAsia="sv-SE"/>
              </w:rPr>
              <w:t>land</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11,4</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3</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Örebro</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0</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6,8</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Jönköping</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2,6</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snapToGrid w:val="0"/>
                <w:sz w:val="16"/>
                <w:lang w:eastAsia="sv-SE"/>
              </w:rPr>
            </w:pPr>
            <w:r w:rsidRPr="003F63DB">
              <w:rPr>
                <w:rFonts w:ascii="Arial" w:hAnsi="Arial"/>
                <w:snapToGrid w:val="0"/>
                <w:sz w:val="16"/>
                <w:lang w:eastAsia="sv-SE"/>
              </w:rPr>
              <w:t>Uppsala</w:t>
            </w:r>
          </w:p>
        </w:tc>
        <w:tc>
          <w:tcPr>
            <w:tcW w:w="102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c>
          <w:tcPr>
            <w:tcW w:w="905"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0</w:t>
            </w:r>
          </w:p>
        </w:tc>
        <w:tc>
          <w:tcPr>
            <w:tcW w:w="1107"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2,7</w:t>
            </w:r>
          </w:p>
        </w:tc>
        <w:tc>
          <w:tcPr>
            <w:tcW w:w="1160" w:type="dxa"/>
          </w:tcPr>
          <w:p w:rsidR="00905B3E" w:rsidRPr="003F63DB" w:rsidRDefault="00905B3E">
            <w:pPr>
              <w:pStyle w:val="Tabell"/>
              <w:jc w:val="right"/>
              <w:rPr>
                <w:rFonts w:ascii="Arial" w:hAnsi="Arial"/>
                <w:snapToGrid w:val="0"/>
                <w:sz w:val="16"/>
                <w:lang w:eastAsia="sv-SE"/>
              </w:rPr>
            </w:pPr>
            <w:r w:rsidRPr="003F63DB">
              <w:rPr>
                <w:rFonts w:ascii="Arial" w:hAnsi="Arial"/>
                <w:snapToGrid w:val="0"/>
                <w:sz w:val="16"/>
                <w:lang w:eastAsia="sv-SE"/>
              </w:rPr>
              <w:t>1</w:t>
            </w:r>
          </w:p>
        </w:tc>
      </w:tr>
      <w:tr w:rsidR="00000000" w:rsidRPr="003F63DB">
        <w:tblPrEx>
          <w:tblCellMar>
            <w:top w:w="0" w:type="dxa"/>
            <w:bottom w:w="0" w:type="dxa"/>
          </w:tblCellMar>
        </w:tblPrEx>
        <w:trPr>
          <w:trHeight w:val="247"/>
        </w:trPr>
        <w:tc>
          <w:tcPr>
            <w:tcW w:w="1306" w:type="dxa"/>
          </w:tcPr>
          <w:p w:rsidR="00905B3E" w:rsidRPr="003F63DB" w:rsidRDefault="00905B3E">
            <w:pPr>
              <w:pStyle w:val="Tabell"/>
              <w:rPr>
                <w:rFonts w:ascii="Arial" w:hAnsi="Arial"/>
                <w:b/>
                <w:sz w:val="16"/>
              </w:rPr>
            </w:pPr>
            <w:r w:rsidRPr="003F63DB">
              <w:rPr>
                <w:rFonts w:ascii="Arial" w:hAnsi="Arial"/>
                <w:b/>
                <w:sz w:val="16"/>
              </w:rPr>
              <w:t>TOTALT</w:t>
            </w:r>
          </w:p>
        </w:tc>
        <w:tc>
          <w:tcPr>
            <w:tcW w:w="1027" w:type="dxa"/>
          </w:tcPr>
          <w:p w:rsidR="00905B3E" w:rsidRPr="003F63DB" w:rsidRDefault="00905B3E">
            <w:pPr>
              <w:pStyle w:val="Tabell"/>
              <w:jc w:val="right"/>
              <w:rPr>
                <w:rFonts w:ascii="Arial" w:hAnsi="Arial"/>
                <w:b/>
                <w:snapToGrid w:val="0"/>
                <w:sz w:val="16"/>
                <w:lang w:eastAsia="sv-SE"/>
              </w:rPr>
            </w:pPr>
            <w:r w:rsidRPr="003F63DB">
              <w:rPr>
                <w:rFonts w:ascii="Arial" w:hAnsi="Arial"/>
                <w:b/>
                <w:snapToGrid w:val="0"/>
                <w:sz w:val="16"/>
                <w:lang w:eastAsia="sv-SE"/>
              </w:rPr>
              <w:t>59</w:t>
            </w:r>
          </w:p>
        </w:tc>
        <w:tc>
          <w:tcPr>
            <w:tcW w:w="905" w:type="dxa"/>
          </w:tcPr>
          <w:p w:rsidR="00905B3E" w:rsidRPr="003F63DB" w:rsidRDefault="00905B3E">
            <w:pPr>
              <w:pStyle w:val="Tabell"/>
              <w:jc w:val="right"/>
              <w:rPr>
                <w:rFonts w:ascii="Arial" w:hAnsi="Arial"/>
                <w:b/>
                <w:snapToGrid w:val="0"/>
                <w:sz w:val="16"/>
                <w:lang w:eastAsia="sv-SE"/>
              </w:rPr>
            </w:pPr>
            <w:r w:rsidRPr="003F63DB">
              <w:rPr>
                <w:rFonts w:ascii="Arial" w:hAnsi="Arial"/>
                <w:b/>
                <w:snapToGrid w:val="0"/>
                <w:sz w:val="16"/>
                <w:lang w:eastAsia="sv-SE"/>
              </w:rPr>
              <w:t>10</w:t>
            </w:r>
          </w:p>
        </w:tc>
        <w:tc>
          <w:tcPr>
            <w:tcW w:w="1107" w:type="dxa"/>
          </w:tcPr>
          <w:p w:rsidR="00905B3E" w:rsidRPr="003F63DB" w:rsidRDefault="00905B3E">
            <w:pPr>
              <w:pStyle w:val="Tabell"/>
              <w:jc w:val="right"/>
              <w:rPr>
                <w:rFonts w:ascii="Arial" w:hAnsi="Arial"/>
                <w:b/>
                <w:snapToGrid w:val="0"/>
                <w:sz w:val="16"/>
                <w:lang w:eastAsia="sv-SE"/>
              </w:rPr>
            </w:pPr>
            <w:r w:rsidRPr="003F63DB">
              <w:rPr>
                <w:rFonts w:ascii="Arial" w:hAnsi="Arial"/>
                <w:b/>
                <w:snapToGrid w:val="0"/>
                <w:sz w:val="16"/>
                <w:lang w:eastAsia="sv-SE"/>
              </w:rPr>
              <w:t>334,2</w:t>
            </w:r>
          </w:p>
        </w:tc>
        <w:tc>
          <w:tcPr>
            <w:tcW w:w="1160" w:type="dxa"/>
          </w:tcPr>
          <w:p w:rsidR="00905B3E" w:rsidRPr="003F63DB" w:rsidRDefault="00905B3E">
            <w:pPr>
              <w:pStyle w:val="Tabell"/>
              <w:jc w:val="right"/>
              <w:rPr>
                <w:rFonts w:ascii="Arial" w:hAnsi="Arial"/>
                <w:b/>
                <w:snapToGrid w:val="0"/>
                <w:sz w:val="16"/>
                <w:lang w:eastAsia="sv-SE"/>
              </w:rPr>
            </w:pPr>
            <w:r w:rsidRPr="003F63DB">
              <w:rPr>
                <w:rFonts w:ascii="Arial" w:hAnsi="Arial"/>
                <w:b/>
                <w:snapToGrid w:val="0"/>
                <w:sz w:val="16"/>
                <w:lang w:eastAsia="sv-SE"/>
              </w:rPr>
              <w:t>100</w:t>
            </w:r>
          </w:p>
        </w:tc>
      </w:tr>
    </w:tbl>
    <w:p w:rsidR="00905B3E" w:rsidRPr="003F63DB" w:rsidRDefault="00905B3E">
      <w:pPr>
        <w:pStyle w:val="Tabell"/>
        <w:rPr>
          <w:rFonts w:ascii="Arial" w:hAnsi="Arial"/>
          <w:sz w:val="16"/>
        </w:rPr>
      </w:pPr>
    </w:p>
    <w:p w:rsidR="00905B3E" w:rsidRPr="003F63DB" w:rsidRDefault="00905B3E">
      <w:pPr>
        <w:pStyle w:val="Tabell"/>
        <w:rPr>
          <w:rFonts w:ascii="Arial" w:hAnsi="Arial"/>
          <w:sz w:val="16"/>
        </w:rPr>
      </w:pPr>
      <w:r w:rsidRPr="003F63DB">
        <w:rPr>
          <w:rFonts w:ascii="Arial" w:hAnsi="Arial"/>
          <w:sz w:val="16"/>
        </w:rPr>
        <w:t>Källa: Länsstyrelsernas beslut</w:t>
      </w:r>
    </w:p>
    <w:p w:rsidR="00905B3E" w:rsidRPr="003F63DB" w:rsidRDefault="00905B3E">
      <w:r w:rsidRPr="003F63DB">
        <w:t>Endast 10 av 59 beslut har föregåtts av ett urvalsförfarande. Dessa 10 beslut är fördelade på 5 länsstyrelser. Länsstyrelsen i Stockholms län använde ett urvalsförfarande i 5 av 8 fall. Inte inför något av de 21 besluten i Skåne län använde länsstyrelsen sig av ett urvalsförfarande. Sammantaget inkom fler än ett anbud inför 8 av de 10 beslut där ett urvalsförfarande tillämpades.</w:t>
      </w:r>
    </w:p>
    <w:p w:rsidR="00905B3E" w:rsidRPr="003F63DB" w:rsidRDefault="00905B3E">
      <w:pPr>
        <w:pStyle w:val="Normaltindrag"/>
      </w:pPr>
      <w:r w:rsidRPr="003F63DB">
        <w:t>Det kostnadsmässigt största beslutet under perioden gällde en slutunde</w:t>
      </w:r>
      <w:r w:rsidRPr="003F63DB">
        <w:t>r</w:t>
      </w:r>
      <w:r w:rsidRPr="003F63DB">
        <w:t>sökning inför byggandet av Citytunneln genom Malmö. Enligt beslutet b</w:t>
      </w:r>
      <w:r w:rsidRPr="003F63DB">
        <w:t>e</w:t>
      </w:r>
      <w:r w:rsidRPr="003F63DB">
        <w:t>räknades kostnaderna för arkeologi uppgå till knappt 56 miljoner kronor. Beslutet innebar direktval av den kommunala undersökaren Malmö Kultu</w:t>
      </w:r>
      <w:r w:rsidRPr="003F63DB">
        <w:t>r</w:t>
      </w:r>
      <w:r w:rsidRPr="003F63DB">
        <w:t>miljö.</w:t>
      </w:r>
      <w:r w:rsidRPr="003F63DB">
        <w:rPr>
          <w:rStyle w:val="Fotnotsreferens"/>
        </w:rPr>
        <w:footnoteReference w:id="183"/>
      </w:r>
      <w:r w:rsidRPr="003F63DB">
        <w:t xml:space="preserve"> Det kostnadsmässigt näst största beslutet gällde en slutundersökning inför Botniabanan i Västernorrlands län och var på 29,4 miljoner kronor. Beslutet innebar direktval av Riksantikvarieämbetet-UV, men med krav på att UV skulle samverka med andra undersökare i regi</w:t>
      </w:r>
      <w:r w:rsidRPr="003F63DB">
        <w:t>o</w:t>
      </w:r>
      <w:r w:rsidRPr="003F63DB">
        <w:t>nen.</w:t>
      </w:r>
      <w:r w:rsidRPr="003F63DB">
        <w:rPr>
          <w:rStyle w:val="Fotnotsreferens"/>
        </w:rPr>
        <w:footnoteReference w:id="184"/>
      </w:r>
    </w:p>
    <w:p w:rsidR="00905B3E" w:rsidRPr="003F63DB" w:rsidRDefault="00905B3E">
      <w:pPr>
        <w:pStyle w:val="Normaltindrag"/>
      </w:pPr>
      <w:r w:rsidRPr="003F63DB">
        <w:t>Av diagrammen på nästa sida framgår att Riksantikvarieämbetet-UV til</w:t>
      </w:r>
      <w:r w:rsidRPr="003F63DB">
        <w:t>l</w:t>
      </w:r>
      <w:r w:rsidRPr="003F63DB">
        <w:t>sammans med Malmö Kulturmiljö och länsmuseerna dominerar vad gäller de stora arkeologiska uppdragen. Det enda privata företag som har fått egna uppdrag är Arkeologikonsult AB. I samtliga (tre) fall var det Länsstyrelsen i Stockholms län som tilldelade företaget uppdragen. I två av de tre fallen handlade det om direktval av för</w:t>
      </w:r>
      <w:r w:rsidRPr="003F63DB">
        <w:t>e</w:t>
      </w:r>
      <w:r w:rsidRPr="003F63DB">
        <w:t xml:space="preserve">taget. </w:t>
      </w:r>
    </w:p>
    <w:p w:rsidR="00905B3E" w:rsidRPr="003F63DB" w:rsidRDefault="00905B3E">
      <w:pPr>
        <w:pStyle w:val="Normaltindrag"/>
      </w:pPr>
      <w:r w:rsidRPr="003F63DB">
        <w:t>Endast i ett fall under perioden 2000–2001 har därmed en privat unders</w:t>
      </w:r>
      <w:r w:rsidRPr="003F63DB">
        <w:t>ö</w:t>
      </w:r>
      <w:r w:rsidRPr="003F63DB">
        <w:t>kare vunnit ett uppdrag i konkurrens. Detta beslut kom att överklagas av Riksantikvarieämbetet.</w:t>
      </w:r>
      <w:r w:rsidRPr="003F63DB">
        <w:rPr>
          <w:rStyle w:val="Fotnotsreferens"/>
        </w:rPr>
        <w:footnoteReference w:id="185"/>
      </w:r>
      <w:r w:rsidRPr="003F63DB">
        <w:t xml:space="preserve"> Rättsfallet redovisas nä</w:t>
      </w:r>
      <w:r w:rsidRPr="003F63DB">
        <w:t>r</w:t>
      </w:r>
      <w:r w:rsidRPr="003F63DB">
        <w:t>mare i avsnitt 7.1.</w:t>
      </w:r>
    </w:p>
    <w:p w:rsidR="00905B3E" w:rsidRPr="003F63DB" w:rsidRDefault="00905B3E">
      <w:pPr>
        <w:pStyle w:val="Tabellrubrik"/>
        <w:rPr>
          <w:rFonts w:ascii="Arial" w:hAnsi="Arial"/>
          <w:sz w:val="18"/>
        </w:rPr>
      </w:pPr>
    </w:p>
    <w:p w:rsidR="00905B3E" w:rsidRPr="003F63DB" w:rsidRDefault="00905B3E">
      <w:pPr>
        <w:pStyle w:val="Tabellrubrik"/>
        <w:spacing w:before="120"/>
        <w:rPr>
          <w:rFonts w:ascii="Arial" w:hAnsi="Arial"/>
          <w:sz w:val="18"/>
        </w:rPr>
      </w:pPr>
      <w:r w:rsidRPr="003F63DB">
        <w:rPr>
          <w:rFonts w:ascii="Arial" w:hAnsi="Arial"/>
          <w:sz w:val="18"/>
        </w:rPr>
        <w:t>Anlitade undersökare för arkeologiska undersökningar med en kostnad överstigande 30 prisbasbelopp, 2000–2001</w:t>
      </w:r>
    </w:p>
    <w:p w:rsidR="00905B3E" w:rsidRPr="003F63DB" w:rsidRDefault="00905B3E">
      <w:pPr>
        <w:pStyle w:val="Tabell"/>
      </w:pPr>
    </w:p>
    <w:p w:rsidR="00905B3E" w:rsidRPr="003F63DB" w:rsidRDefault="00905B3E">
      <w:pPr>
        <w:pStyle w:val="Tabell"/>
        <w:jc w:val="center"/>
        <w:rPr>
          <w:rFonts w:ascii="Arial" w:hAnsi="Arial"/>
          <w:b/>
          <w:i/>
          <w:sz w:val="16"/>
        </w:rPr>
      </w:pPr>
      <w:r w:rsidRPr="003F63DB">
        <w:rPr>
          <w:rFonts w:ascii="Arial" w:hAnsi="Arial"/>
          <w:b/>
          <w:i/>
          <w:sz w:val="16"/>
        </w:rPr>
        <w:t>Undersökarens andel av det totala uppdragsvärdet</w:t>
      </w:r>
    </w:p>
    <w:p w:rsidR="00905B3E" w:rsidRPr="003F63DB" w:rsidRDefault="003F63DB">
      <w:pPr>
        <w:pStyle w:val="Tabell"/>
        <w:spacing w:line="240" w:lineRule="atLeast"/>
        <w:ind w:left="993"/>
      </w:pPr>
      <w:r w:rsidRPr="003F63DB">
        <w:rPr>
          <w:noProof/>
        </w:rPr>
        <w:drawing>
          <wp:inline distT="0" distB="0" distL="0" distR="0">
            <wp:extent cx="2639695" cy="19050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l="18643" t="32780" r="15001" b="8150"/>
                    <a:stretch>
                      <a:fillRect/>
                    </a:stretch>
                  </pic:blipFill>
                  <pic:spPr bwMode="auto">
                    <a:xfrm>
                      <a:off x="0" y="0"/>
                      <a:ext cx="2639695" cy="1905000"/>
                    </a:xfrm>
                    <a:prstGeom prst="rect">
                      <a:avLst/>
                    </a:prstGeom>
                    <a:noFill/>
                    <a:ln>
                      <a:noFill/>
                    </a:ln>
                  </pic:spPr>
                </pic:pic>
              </a:graphicData>
            </a:graphic>
          </wp:inline>
        </w:drawing>
      </w:r>
    </w:p>
    <w:p w:rsidR="00905B3E" w:rsidRPr="003F63DB" w:rsidRDefault="00905B3E">
      <w:pPr>
        <w:pStyle w:val="Tabell"/>
        <w:jc w:val="center"/>
        <w:rPr>
          <w:rFonts w:ascii="Arial" w:hAnsi="Arial"/>
          <w:b/>
          <w:sz w:val="16"/>
        </w:rPr>
      </w:pPr>
    </w:p>
    <w:p w:rsidR="00905B3E" w:rsidRPr="003F63DB" w:rsidRDefault="00905B3E">
      <w:pPr>
        <w:pStyle w:val="Tabell"/>
        <w:spacing w:line="240" w:lineRule="atLeast"/>
        <w:jc w:val="center"/>
      </w:pPr>
    </w:p>
    <w:p w:rsidR="00905B3E" w:rsidRPr="003F63DB" w:rsidRDefault="00905B3E">
      <w:pPr>
        <w:pStyle w:val="Tabell"/>
        <w:spacing w:line="240" w:lineRule="atLeast"/>
        <w:jc w:val="center"/>
        <w:rPr>
          <w:rFonts w:ascii="Arial" w:hAnsi="Arial"/>
          <w:b/>
          <w:i/>
          <w:sz w:val="16"/>
        </w:rPr>
      </w:pPr>
      <w:r w:rsidRPr="003F63DB">
        <w:rPr>
          <w:rFonts w:ascii="Arial" w:hAnsi="Arial"/>
          <w:b/>
          <w:i/>
          <w:sz w:val="16"/>
        </w:rPr>
        <w:br w:type="page"/>
        <w:t>Undersökarens andel av det totala antalet beslut</w:t>
      </w:r>
    </w:p>
    <w:p w:rsidR="00905B3E" w:rsidRPr="003F63DB" w:rsidRDefault="003F63DB">
      <w:pPr>
        <w:pStyle w:val="Tabell"/>
        <w:spacing w:line="240" w:lineRule="atLeast"/>
        <w:jc w:val="center"/>
        <w:rPr>
          <w:rFonts w:ascii="Arial" w:hAnsi="Arial"/>
          <w:b/>
          <w:i/>
          <w:sz w:val="16"/>
        </w:rPr>
      </w:pPr>
      <w:r w:rsidRPr="003F63DB">
        <w:rPr>
          <w:noProof/>
        </w:rPr>
        <w:drawing>
          <wp:inline distT="0" distB="0" distL="0" distR="0">
            <wp:extent cx="2367915" cy="186118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l="26820" t="34653" r="23059" b="9258"/>
                    <a:stretch>
                      <a:fillRect/>
                    </a:stretch>
                  </pic:blipFill>
                  <pic:spPr bwMode="auto">
                    <a:xfrm>
                      <a:off x="0" y="0"/>
                      <a:ext cx="2367915" cy="1861185"/>
                    </a:xfrm>
                    <a:prstGeom prst="rect">
                      <a:avLst/>
                    </a:prstGeom>
                    <a:noFill/>
                    <a:ln>
                      <a:noFill/>
                    </a:ln>
                  </pic:spPr>
                </pic:pic>
              </a:graphicData>
            </a:graphic>
          </wp:inline>
        </w:drawing>
      </w:r>
    </w:p>
    <w:p w:rsidR="00905B3E" w:rsidRPr="003F63DB" w:rsidRDefault="00905B3E">
      <w:pPr>
        <w:pStyle w:val="Tabell"/>
        <w:spacing w:before="120" w:after="120"/>
        <w:rPr>
          <w:rFonts w:ascii="Arial" w:hAnsi="Arial"/>
        </w:rPr>
      </w:pPr>
      <w:r w:rsidRPr="003F63DB">
        <w:rPr>
          <w:rFonts w:ascii="Arial" w:hAnsi="Arial"/>
        </w:rPr>
        <w:t>Källa: Länsstyrelsernas beslut</w:t>
      </w:r>
    </w:p>
    <w:p w:rsidR="00905B3E" w:rsidRPr="003F63DB" w:rsidRDefault="00905B3E">
      <w:pPr>
        <w:pStyle w:val="Normaltindrag"/>
      </w:pPr>
    </w:p>
    <w:p w:rsidR="00905B3E" w:rsidRPr="003F63DB" w:rsidRDefault="00905B3E">
      <w:pPr>
        <w:pStyle w:val="Rubrik2"/>
      </w:pPr>
      <w:bookmarkStart w:id="131" w:name="_Toc25031935"/>
      <w:bookmarkStart w:id="132" w:name="_Toc36520763"/>
      <w:r w:rsidRPr="003F63DB">
        <w:t>Motiv för direktval då urval borde ha tillämpats</w:t>
      </w:r>
      <w:bookmarkEnd w:id="131"/>
      <w:bookmarkEnd w:id="132"/>
    </w:p>
    <w:p w:rsidR="00905B3E" w:rsidRPr="003F63DB" w:rsidRDefault="00905B3E">
      <w:r w:rsidRPr="003F63DB">
        <w:t>Som ovan har nämnts får länsstyrelserna, trots att undersökningskostnaden beräknas överstiga 30 prisbasbelopp, tillämpa direktval. I sådana fall krävs dock att det finns särskilda skäl för detta och att det inte finns andra kvalif</w:t>
      </w:r>
      <w:r w:rsidRPr="003F63DB">
        <w:t>i</w:t>
      </w:r>
      <w:r w:rsidRPr="003F63DB">
        <w:t xml:space="preserve">cerade undersökare att tillgå. </w:t>
      </w:r>
    </w:p>
    <w:p w:rsidR="00905B3E" w:rsidRPr="003F63DB" w:rsidRDefault="00905B3E">
      <w:pPr>
        <w:pStyle w:val="Normaltindrag"/>
      </w:pPr>
      <w:r w:rsidRPr="003F63DB">
        <w:t>Riksantikvarieämbetet ger i sina allmänna råd till föreskrifterna exempel på sådana särskilda skäl som kan motivera direktval. Det kan handla om att den tids- och resursåtgång som ett urvalsförfarande innebär bedöms bli all</w:t>
      </w:r>
      <w:r w:rsidRPr="003F63DB">
        <w:t>t</w:t>
      </w:r>
      <w:r w:rsidRPr="003F63DB">
        <w:t>för omfattande i förhållande till förväntade effektivitetsvinster. Vidare menar Riksantikvarieämbetet att länsstyrelserna bör pröva om ett direktvalsförf</w:t>
      </w:r>
      <w:r w:rsidRPr="003F63DB">
        <w:t>a</w:t>
      </w:r>
      <w:r w:rsidRPr="003F63DB">
        <w:t>rande kan vara befogat om exploatören åberopar synnerlig brådska. Ett v</w:t>
      </w:r>
      <w:r w:rsidRPr="003F63DB">
        <w:t>e</w:t>
      </w:r>
      <w:r w:rsidRPr="003F63DB">
        <w:t>tenskapligt betingat skäl som Riksantikvarieämbetet lyfter fram är att sa</w:t>
      </w:r>
      <w:r w:rsidRPr="003F63DB">
        <w:t>m</w:t>
      </w:r>
      <w:r w:rsidRPr="003F63DB">
        <w:t>ordning av flera led av en undersökningsprocess kan tala för att en och sa</w:t>
      </w:r>
      <w:r w:rsidRPr="003F63DB">
        <w:t>m</w:t>
      </w:r>
      <w:r w:rsidRPr="003F63DB">
        <w:t>ma undersökare utför samtliga led. Detta bör då beaktas av länsstyrelsen redan under arbetet med särskild utredning eller förundersö</w:t>
      </w:r>
      <w:r w:rsidRPr="003F63DB">
        <w:t>k</w:t>
      </w:r>
      <w:r w:rsidRPr="003F63DB">
        <w:t>nin</w:t>
      </w:r>
      <w:r w:rsidRPr="003F63DB">
        <w:t>g.</w:t>
      </w:r>
    </w:p>
    <w:p w:rsidR="00905B3E" w:rsidRPr="003F63DB" w:rsidRDefault="00905B3E">
      <w:pPr>
        <w:pStyle w:val="Normaltindrag"/>
      </w:pPr>
      <w:r w:rsidRPr="003F63DB">
        <w:t>Länsstyrelserna har tillämpat direktval i stället för urval inför 49 av 59 b</w:t>
      </w:r>
      <w:r w:rsidRPr="003F63DB">
        <w:t>e</w:t>
      </w:r>
      <w:r w:rsidRPr="003F63DB">
        <w:t>slut om undersökningar med kostnader överstigande 30 basbelopp. Motiv för direktvalet saknas helt i 45 % av besluten. I de beslut där motiv redovisas är följande några exempel:</w:t>
      </w:r>
    </w:p>
    <w:p w:rsidR="00905B3E" w:rsidRPr="003F63DB" w:rsidRDefault="00905B3E">
      <w:pPr>
        <w:pStyle w:val="Normaltindrag"/>
      </w:pPr>
    </w:p>
    <w:p w:rsidR="00905B3E" w:rsidRPr="003F63DB" w:rsidRDefault="00905B3E">
      <w:pPr>
        <w:numPr>
          <w:ilvl w:val="0"/>
          <w:numId w:val="208"/>
        </w:numPr>
        <w:spacing w:before="0"/>
        <w:ind w:left="357" w:hanging="357"/>
      </w:pPr>
      <w:r w:rsidRPr="003F63DB">
        <w:t xml:space="preserve">Exploatören åberopar brådska </w:t>
      </w:r>
    </w:p>
    <w:p w:rsidR="00905B3E" w:rsidRPr="003F63DB" w:rsidRDefault="00905B3E">
      <w:pPr>
        <w:numPr>
          <w:ilvl w:val="0"/>
          <w:numId w:val="208"/>
        </w:numPr>
        <w:spacing w:before="0"/>
        <w:ind w:left="357" w:hanging="357"/>
      </w:pPr>
      <w:r w:rsidRPr="003F63DB">
        <w:t>Den institution som genomfört utredning eller förundersökning väljs med hänvisning till vetenskaplig samordning av undersökningsproce</w:t>
      </w:r>
      <w:r w:rsidRPr="003F63DB">
        <w:t>s</w:t>
      </w:r>
      <w:r w:rsidRPr="003F63DB">
        <w:t>sens olika moment.</w:t>
      </w:r>
    </w:p>
    <w:p w:rsidR="00905B3E" w:rsidRPr="003F63DB" w:rsidRDefault="00905B3E">
      <w:pPr>
        <w:numPr>
          <w:ilvl w:val="0"/>
          <w:numId w:val="208"/>
        </w:numPr>
        <w:spacing w:before="0"/>
        <w:ind w:left="357" w:hanging="357"/>
      </w:pPr>
      <w:r w:rsidRPr="003F63DB">
        <w:t>Upphandlingen är tidskrävande, vilket bedöms få avsevärda ekonomiska konsekvenser för exploatören.</w:t>
      </w:r>
    </w:p>
    <w:p w:rsidR="00905B3E" w:rsidRPr="003F63DB" w:rsidRDefault="00905B3E">
      <w:pPr>
        <w:numPr>
          <w:ilvl w:val="0"/>
          <w:numId w:val="208"/>
        </w:numPr>
        <w:spacing w:before="0"/>
        <w:ind w:left="357" w:hanging="357"/>
      </w:pPr>
      <w:r w:rsidRPr="003F63DB">
        <w:t>Länsstyrelsen har inte resurser att hantera ett tidskrävande upphan</w:t>
      </w:r>
      <w:r w:rsidRPr="003F63DB">
        <w:t>d</w:t>
      </w:r>
      <w:r w:rsidRPr="003F63DB">
        <w:t>lingsförfara</w:t>
      </w:r>
      <w:r w:rsidRPr="003F63DB">
        <w:t>n</w:t>
      </w:r>
      <w:r w:rsidRPr="003F63DB">
        <w:t>de.</w:t>
      </w:r>
    </w:p>
    <w:p w:rsidR="00905B3E" w:rsidRPr="003F63DB" w:rsidRDefault="00905B3E">
      <w:pPr>
        <w:numPr>
          <w:ilvl w:val="0"/>
          <w:numId w:val="208"/>
        </w:numPr>
        <w:spacing w:before="0"/>
        <w:ind w:left="357" w:hanging="357"/>
      </w:pPr>
      <w:r w:rsidRPr="003F63DB">
        <w:t>Exploatören har inte begärt att uppdraget ska upphandlas.</w:t>
      </w:r>
    </w:p>
    <w:p w:rsidR="00905B3E" w:rsidRPr="003F63DB" w:rsidRDefault="00905B3E">
      <w:pPr>
        <w:pStyle w:val="Normaltindrag"/>
      </w:pPr>
    </w:p>
    <w:p w:rsidR="00905B3E" w:rsidRPr="003F63DB" w:rsidRDefault="00905B3E">
      <w:pPr>
        <w:pStyle w:val="Normaltindrag"/>
      </w:pPr>
      <w:r w:rsidRPr="003F63DB">
        <w:t>De åberopade motiven överensstämmer inte alltid med föreskrifterna och de allmänna råden; något som Riksantikvarieämbetet också har konstaterat i sina uppföljningar. Riksantikvarieämbetet menar att länsstyrelserna alltför ofta slentrianmässigt har motiverat direktvalet med att undersökaren besitter hög vetenskaplig kompetens. Ett annat sådant motiv är att länsstyrelserna anför kontin</w:t>
      </w:r>
      <w:r w:rsidRPr="003F63DB">
        <w:t>u</w:t>
      </w:r>
      <w:r w:rsidRPr="003F63DB">
        <w:t>itetsskäl.</w:t>
      </w:r>
    </w:p>
    <w:p w:rsidR="00905B3E" w:rsidRPr="003F63DB" w:rsidRDefault="00905B3E">
      <w:pPr>
        <w:pStyle w:val="Normaltindrag"/>
      </w:pPr>
      <w:r w:rsidRPr="003F63DB">
        <w:t>Det förekommer också att länsstyrelsen valt att använda ett direktvalsförf</w:t>
      </w:r>
      <w:r w:rsidRPr="003F63DB">
        <w:t>a</w:t>
      </w:r>
      <w:r w:rsidRPr="003F63DB">
        <w:t>rande, men i kravspecifikationen ställt krav på att olika undersökare ska samarbeta. Ett sådant tillvägagångssätt har stöd i Riksantikvarieämbetets allmänna råd till föreskri</w:t>
      </w:r>
      <w:r w:rsidRPr="003F63DB">
        <w:t>f</w:t>
      </w:r>
      <w:r w:rsidRPr="003F63DB">
        <w:t>terna.</w:t>
      </w:r>
      <w:r w:rsidRPr="003F63DB">
        <w:rPr>
          <w:rStyle w:val="Fotnotsreferens"/>
        </w:rPr>
        <w:footnoteReference w:id="186"/>
      </w:r>
      <w:r w:rsidRPr="003F63DB">
        <w:t xml:space="preserve"> </w:t>
      </w:r>
    </w:p>
    <w:p w:rsidR="00905B3E" w:rsidRPr="003F63DB" w:rsidRDefault="00905B3E">
      <w:pPr>
        <w:pStyle w:val="Normaltindrag"/>
      </w:pPr>
      <w:r w:rsidRPr="003F63DB">
        <w:t>Ett tillvägagångssätt som har tillämpats i Uppsala län har inneburit att länsstyrelsen direkt tillfrågat några undersökare med ”erforderlig erfarenhet, kompetens och lämplighet” om möjligheten att genomföra geografiskt skilda delar av en undersökning. Dessa har sedan inkommit med undersökningspl</w:t>
      </w:r>
      <w:r w:rsidRPr="003F63DB">
        <w:t>a</w:t>
      </w:r>
      <w:r w:rsidRPr="003F63DB">
        <w:t xml:space="preserve">ner och kostnadsuppgifter, och länsstyrelsen har fördelat uppdragen enligt dessa ”anbud”. </w:t>
      </w:r>
    </w:p>
    <w:p w:rsidR="00905B3E" w:rsidRPr="003F63DB" w:rsidRDefault="00905B3E">
      <w:pPr>
        <w:pStyle w:val="Rubrik2"/>
      </w:pPr>
      <w:bookmarkStart w:id="133" w:name="_Toc25031936"/>
      <w:bookmarkStart w:id="134" w:name="_Toc36520764"/>
      <w:r w:rsidRPr="003F63DB">
        <w:t>Motiv för valet av undersökare</w:t>
      </w:r>
      <w:bookmarkEnd w:id="133"/>
      <w:bookmarkEnd w:id="134"/>
    </w:p>
    <w:p w:rsidR="00905B3E" w:rsidRPr="003F63DB" w:rsidRDefault="00905B3E">
      <w:r w:rsidRPr="003F63DB">
        <w:t>Av föreskrifterna till kulturminneslagen framgår att skälen till valet av u</w:t>
      </w:r>
      <w:r w:rsidRPr="003F63DB">
        <w:t>n</w:t>
      </w:r>
      <w:r w:rsidRPr="003F63DB">
        <w:t xml:space="preserve">dersökare </w:t>
      </w:r>
      <w:r w:rsidRPr="003F63DB">
        <w:rPr>
          <w:i/>
        </w:rPr>
        <w:t>skall</w:t>
      </w:r>
      <w:r w:rsidRPr="003F63DB">
        <w:t xml:space="preserve"> anges.</w:t>
      </w:r>
      <w:r w:rsidRPr="003F63DB">
        <w:rPr>
          <w:rStyle w:val="Fotnotsreferens"/>
        </w:rPr>
        <w:footnoteReference w:id="187"/>
      </w:r>
      <w:r w:rsidRPr="003F63DB">
        <w:t xml:space="preserve"> I de allmänna råden uttrycker Riksantikvarieämbetet dock att motiveringen kan vara mycket kortfattad vid direktval eller om det vid urval endast har lämnats ett anbud. </w:t>
      </w:r>
    </w:p>
    <w:p w:rsidR="00905B3E" w:rsidRPr="003F63DB" w:rsidRDefault="00905B3E">
      <w:pPr>
        <w:pStyle w:val="Normaltindrag"/>
      </w:pPr>
      <w:r w:rsidRPr="003F63DB">
        <w:t>Statsmakterna har ansett att länsstyrelsernas beslut vad gäller val av unde</w:t>
      </w:r>
      <w:r w:rsidRPr="003F63DB">
        <w:t>r</w:t>
      </w:r>
      <w:r w:rsidRPr="003F63DB">
        <w:t>sökare ska betraktas som myndighetsutövning. Trots detta saknas motiv för valet av undersökare i 17 av de 59 beslut (29 %) som under perioden 2000–2001 översteg 30 prisbasbelopp. I de fall motiv angavs var dessa ofta allmänt hållna. Det handlade t.ex. om att undersökaren ansågs ha kunskap om tra</w:t>
      </w:r>
      <w:r w:rsidRPr="003F63DB">
        <w:t>k</w:t>
      </w:r>
      <w:r w:rsidRPr="003F63DB">
        <w:t>ten, att det fanns ett behov av att upprätthålla en regional undersökares ko</w:t>
      </w:r>
      <w:r w:rsidRPr="003F63DB">
        <w:t>m</w:t>
      </w:r>
      <w:r w:rsidRPr="003F63DB">
        <w:t>petens, att undersökaren hade en unik kompetens eller bedömdes ha sama</w:t>
      </w:r>
      <w:r w:rsidRPr="003F63DB">
        <w:t>r</w:t>
      </w:r>
      <w:r w:rsidRPr="003F63DB">
        <w:t>betsfö</w:t>
      </w:r>
      <w:r w:rsidRPr="003F63DB">
        <w:t>r</w:t>
      </w:r>
      <w:r w:rsidRPr="003F63DB">
        <w:t xml:space="preserve">måga. </w:t>
      </w:r>
    </w:p>
    <w:p w:rsidR="00905B3E" w:rsidRPr="003F63DB" w:rsidRDefault="00905B3E">
      <w:pPr>
        <w:pStyle w:val="Normaltindrag"/>
      </w:pPr>
      <w:r w:rsidRPr="003F63DB">
        <w:t xml:space="preserve">I några fall sammanfaller motivet för direktval med </w:t>
      </w:r>
      <w:r w:rsidRPr="003F63DB">
        <w:t>motivet för valet av undersökare. Det gäller exempelvis då länsstyrelserna hänvisar till att det endast finns en kompetent undersökare. I flera beslut av Länsstyrelsen i Skåne län saknas motiv för att inte ha tillämpat urval och motiv för valet av undersökare. Då motiv har angivits återkommer ofta exakt samma formul</w:t>
      </w:r>
      <w:r w:rsidRPr="003F63DB">
        <w:t>e</w:t>
      </w:r>
      <w:r w:rsidRPr="003F63DB">
        <w:t>ringar.</w:t>
      </w:r>
    </w:p>
    <w:p w:rsidR="00905B3E" w:rsidRPr="003F63DB" w:rsidRDefault="00905B3E">
      <w:pPr>
        <w:pStyle w:val="Normaltindrag"/>
      </w:pPr>
      <w:r w:rsidRPr="003F63DB">
        <w:t xml:space="preserve">Av länsstyrelsernas beslut framgår inte om man närmare har analyserat tillgången på undersökare som skulle ha kunnat utföra undersökningen. Länsstyrelsen i Örebro län har dock inför ett </w:t>
      </w:r>
      <w:r w:rsidRPr="003F63DB">
        <w:t>beslut år 2000 letat efter unde</w:t>
      </w:r>
      <w:r w:rsidRPr="003F63DB">
        <w:t>r</w:t>
      </w:r>
      <w:r w:rsidRPr="003F63DB">
        <w:t>sökare i angränsande regioner som skulle kunna anlitas.</w:t>
      </w:r>
      <w:r w:rsidRPr="003F63DB">
        <w:rPr>
          <w:rStyle w:val="Fotnotsreferens"/>
        </w:rPr>
        <w:footnoteReference w:id="188"/>
      </w:r>
    </w:p>
    <w:p w:rsidR="00905B3E" w:rsidRPr="003F63DB" w:rsidRDefault="00905B3E">
      <w:pPr>
        <w:pStyle w:val="Rubrik2"/>
      </w:pPr>
      <w:bookmarkStart w:id="135" w:name="_Toc25031937"/>
      <w:bookmarkStart w:id="136" w:name="_Toc36520765"/>
      <w:r w:rsidRPr="003F63DB">
        <w:t>Kompetenskrav</w:t>
      </w:r>
      <w:bookmarkEnd w:id="135"/>
      <w:bookmarkEnd w:id="136"/>
    </w:p>
    <w:p w:rsidR="00905B3E" w:rsidRPr="003F63DB" w:rsidRDefault="00905B3E">
      <w:r w:rsidRPr="003F63DB">
        <w:t>Innan länsstyrelsen fattar beslut om en arkeologisk utredning eller undersö</w:t>
      </w:r>
      <w:r w:rsidRPr="003F63DB">
        <w:t>k</w:t>
      </w:r>
      <w:r w:rsidRPr="003F63DB">
        <w:t>ning ska länsstyrelsen förvissa sig om att den som ska utföra den arkeologi</w:t>
      </w:r>
      <w:r w:rsidRPr="003F63DB">
        <w:t>s</w:t>
      </w:r>
      <w:r w:rsidRPr="003F63DB">
        <w:t>ka tjänsten har tillräcklig kunskap för up</w:t>
      </w:r>
      <w:r w:rsidRPr="003F63DB">
        <w:t>p</w:t>
      </w:r>
      <w:r w:rsidRPr="003F63DB">
        <w:t>giften.</w:t>
      </w:r>
      <w:r w:rsidRPr="003F63DB">
        <w:rPr>
          <w:rStyle w:val="Fotnotsreferens"/>
        </w:rPr>
        <w:footnoteReference w:id="189"/>
      </w:r>
      <w:r w:rsidRPr="003F63DB">
        <w:t xml:space="preserve"> </w:t>
      </w:r>
    </w:p>
    <w:p w:rsidR="00905B3E" w:rsidRPr="003F63DB" w:rsidRDefault="00905B3E">
      <w:pPr>
        <w:pStyle w:val="Normaltindrag"/>
      </w:pPr>
      <w:r w:rsidRPr="003F63DB">
        <w:t>Enligt Riksantikvarieämbetets föreskrifter ska undersökaren ha tillgång till kompetens vad gäller fornlämningens art och betydelse samt undersöknin</w:t>
      </w:r>
      <w:r w:rsidRPr="003F63DB">
        <w:t>g</w:t>
      </w:r>
      <w:r w:rsidRPr="003F63DB">
        <w:t>ens storlek och inriktning. Undersökaren ska även ha tillgång till kompetens vad gäller det arkeologiska forskningsläget, det geografiska området, akt</w:t>
      </w:r>
      <w:r w:rsidRPr="003F63DB">
        <w:t>u</w:t>
      </w:r>
      <w:r w:rsidRPr="003F63DB">
        <w:t>ella undersökningsmetoder och -tek</w:t>
      </w:r>
      <w:r w:rsidRPr="003F63DB">
        <w:softHyphen/>
        <w:t>niker, omhändertagande och konse</w:t>
      </w:r>
      <w:r w:rsidRPr="003F63DB">
        <w:t>r</w:t>
      </w:r>
      <w:r w:rsidRPr="003F63DB">
        <w:t>vering av fornfynd samt dokumentation, kunskaps- och erfarenhetsåterf</w:t>
      </w:r>
      <w:r w:rsidRPr="003F63DB">
        <w:t>ö</w:t>
      </w:r>
      <w:r w:rsidRPr="003F63DB">
        <w:t>ring.</w:t>
      </w:r>
      <w:r w:rsidRPr="003F63DB">
        <w:rPr>
          <w:rStyle w:val="Fotnotsreferens"/>
        </w:rPr>
        <w:footnoteReference w:id="190"/>
      </w:r>
      <w:r w:rsidRPr="003F63DB">
        <w:t xml:space="preserve"> Av de allmänna råden till föreskrifterna framgår att länsstyrelsen kan kräva att undersökaren styrker sin lämplighet och kompetens. Om unders</w:t>
      </w:r>
      <w:r w:rsidRPr="003F63DB">
        <w:t>ö</w:t>
      </w:r>
      <w:r w:rsidRPr="003F63DB">
        <w:t>karen begår fel i yrkesutövningen ska detta kunna leda till att undersökaren under en prövotid inte anförtros mer omfattande eller komplicerade up</w:t>
      </w:r>
      <w:r w:rsidRPr="003F63DB">
        <w:t>p</w:t>
      </w:r>
      <w:r w:rsidRPr="003F63DB">
        <w:t>drag.</w:t>
      </w:r>
      <w:r w:rsidRPr="003F63DB">
        <w:rPr>
          <w:rStyle w:val="Fotnotsreferens"/>
        </w:rPr>
        <w:footnoteReference w:id="191"/>
      </w:r>
    </w:p>
    <w:p w:rsidR="00905B3E" w:rsidRPr="003F63DB" w:rsidRDefault="00905B3E">
      <w:pPr>
        <w:pStyle w:val="Rubrik3-Utannumrering"/>
      </w:pPr>
      <w:r w:rsidRPr="003F63DB">
        <w:t>Regional kompetens värderas högt</w:t>
      </w:r>
    </w:p>
    <w:p w:rsidR="00905B3E" w:rsidRPr="003F63DB" w:rsidRDefault="00905B3E">
      <w:r w:rsidRPr="003F63DB">
        <w:t>Länsstyrelserna lägger stor vikt vid den kompetens som avser det geografi</w:t>
      </w:r>
      <w:r w:rsidRPr="003F63DB">
        <w:t>s</w:t>
      </w:r>
      <w:r w:rsidRPr="003F63DB">
        <w:t>ka området. Man talar om en lokal eller regional kompetens och behovet av regional kunskapsuppbyggnad. Resultaten från en arkeologisk undersökning betraktas som en del i regionens kulturhistoriska kunskapsuppbyggnad. Därför anses de undersökare som har erfarenhet från arkeologisk verksamhet i länet vara mest lämpade att utf</w:t>
      </w:r>
      <w:r w:rsidRPr="003F63DB">
        <w:t>ö</w:t>
      </w:r>
      <w:r w:rsidRPr="003F63DB">
        <w:t xml:space="preserve">ra undersökningen. </w:t>
      </w:r>
    </w:p>
    <w:p w:rsidR="00905B3E" w:rsidRPr="003F63DB" w:rsidRDefault="00905B3E">
      <w:pPr>
        <w:pStyle w:val="Normaltindrag"/>
      </w:pPr>
      <w:r w:rsidRPr="003F63DB">
        <w:t>Riksantikvarieämbetet har också angivit att de länsmuseer som har en väl fungerande undersökningsverksamhet bör ges uppdrag i sådan omfattning och av sådan art att d</w:t>
      </w:r>
      <w:r w:rsidRPr="003F63DB">
        <w:t>e kan upprätthålla och utveckla sin kompetens.</w:t>
      </w:r>
      <w:r w:rsidRPr="003F63DB">
        <w:rPr>
          <w:rStyle w:val="Fotnotsreferens"/>
        </w:rPr>
        <w:footnoteReference w:id="192"/>
      </w:r>
      <w:r w:rsidRPr="003F63DB">
        <w:t xml:space="preserve"> En undersökare som saknar erfarenhet av undersökningar i länet eller är okänd för länsstyrelsen bör, enligt Riksantikvarieämbetets uppfattning, inte ges några större uppdrag innan undersökaren vunnit länsstyrelsens förtroende.</w:t>
      </w:r>
      <w:r w:rsidRPr="003F63DB">
        <w:rPr>
          <w:rStyle w:val="Fotnotsreferens"/>
        </w:rPr>
        <w:footnoteReference w:id="193"/>
      </w:r>
      <w:r w:rsidRPr="003F63DB">
        <w:t xml:space="preserve"> Samtidigt menar Riksantikvarieämbetet att andra kompetenta undersökare inte ska utestängas från uppdrag, utan att länsstyrelserna bör sträva efter att stimulera mångfalden i den arkeologiska uppdragsver</w:t>
      </w:r>
      <w:r w:rsidRPr="003F63DB">
        <w:t>k</w:t>
      </w:r>
      <w:r w:rsidRPr="003F63DB">
        <w:t>samheten.</w:t>
      </w:r>
      <w:r w:rsidRPr="003F63DB">
        <w:rPr>
          <w:rStyle w:val="Fotnotsreferens"/>
        </w:rPr>
        <w:footnoteReference w:id="194"/>
      </w:r>
    </w:p>
    <w:p w:rsidR="00905B3E" w:rsidRPr="003F63DB" w:rsidRDefault="00905B3E">
      <w:pPr>
        <w:pStyle w:val="Rubrik3-Utannumrering"/>
      </w:pPr>
      <w:r w:rsidRPr="003F63DB">
        <w:t>Svårt för nya undersökare att få uppdrag</w:t>
      </w:r>
    </w:p>
    <w:p w:rsidR="00905B3E" w:rsidRPr="003F63DB" w:rsidRDefault="00905B3E">
      <w:r w:rsidRPr="003F63DB">
        <w:t>Flera undersökare menar att gränserna till vissa län är mer eller mindre stängda för nya undersökare – nya i den bemärkelsen att de inte tidigare tilldelats uppdrag i länet. Både privata undersökare och Riksantikvarieä</w:t>
      </w:r>
      <w:r w:rsidRPr="003F63DB">
        <w:t>m</w:t>
      </w:r>
      <w:r w:rsidRPr="003F63DB">
        <w:t>betet-UV uppger att de haft svårigheter att få uppdrag i andra län än där de redan är etablerade. Riksantikvarieämbetet-UV – som har en regional organ</w:t>
      </w:r>
      <w:r w:rsidRPr="003F63DB">
        <w:t>i</w:t>
      </w:r>
      <w:r w:rsidRPr="003F63DB">
        <w:t>sation – menar att den regionala närvaron är en strategiskt viktig konkurren</w:t>
      </w:r>
      <w:r w:rsidRPr="003F63DB">
        <w:t>s</w:t>
      </w:r>
      <w:r w:rsidRPr="003F63DB">
        <w:t>faktor.</w:t>
      </w:r>
      <w:r w:rsidRPr="003F63DB">
        <w:rPr>
          <w:rStyle w:val="Fotnotsreferens"/>
        </w:rPr>
        <w:footnoteReference w:id="195"/>
      </w:r>
      <w:r w:rsidRPr="003F63DB">
        <w:t xml:space="preserve"> Det som är avgörande för nya undersökares möjligheter att få up</w:t>
      </w:r>
      <w:r w:rsidRPr="003F63DB">
        <w:t>p</w:t>
      </w:r>
      <w:r w:rsidRPr="003F63DB">
        <w:t>drag är länsstyrelsernas inställning till nya alternativ.</w:t>
      </w:r>
    </w:p>
    <w:p w:rsidR="00905B3E" w:rsidRPr="003F63DB" w:rsidRDefault="00905B3E">
      <w:pPr>
        <w:pStyle w:val="Normaltindrag"/>
      </w:pPr>
      <w:r w:rsidRPr="003F63DB">
        <w:t>Två privata undersökare har uppgett för revisorerna att de skriftligen eller på annat sätt erbjudit sina tjänster till samtliga länsstyrelser sedan år 2000. Endast drygt hälften av länsstyrelserna uppger i revisorernas enkät att de under samma period blivit kontaktade av en eller flera undersökare som velat komma i fråga för uppdrag i länet, men som sedan inte anl</w:t>
      </w:r>
      <w:r w:rsidRPr="003F63DB">
        <w:t>i</w:t>
      </w:r>
      <w:r w:rsidRPr="003F63DB">
        <w:t xml:space="preserve">tats. </w:t>
      </w:r>
    </w:p>
    <w:p w:rsidR="00905B3E" w:rsidRPr="003F63DB" w:rsidRDefault="00905B3E">
      <w:pPr>
        <w:pStyle w:val="Normaltindrag"/>
      </w:pPr>
      <w:r w:rsidRPr="003F63DB">
        <w:t>De argument som länsstyrelserna anfört i revisorernas enkät för att inte ha anlitat de intresserade undersökarna är att de inte är lämpliga, inte har til</w:t>
      </w:r>
      <w:r w:rsidRPr="003F63DB">
        <w:t>l</w:t>
      </w:r>
      <w:r w:rsidRPr="003F63DB">
        <w:t>räcklig kompetens eller saknar erfarenhet från länet. Andra argument är att länsstyrelsen endast haft små uppdrag att fördela, dvs. de har inte varit sky</w:t>
      </w:r>
      <w:r w:rsidRPr="003F63DB">
        <w:t>l</w:t>
      </w:r>
      <w:r w:rsidRPr="003F63DB">
        <w:t>diga att tillämpa urval och därmed bjuda in nya unde</w:t>
      </w:r>
      <w:r w:rsidRPr="003F63DB">
        <w:t>r</w:t>
      </w:r>
      <w:r w:rsidRPr="003F63DB">
        <w:t xml:space="preserve">sökare. </w:t>
      </w:r>
    </w:p>
    <w:p w:rsidR="00905B3E" w:rsidRPr="003F63DB" w:rsidRDefault="00905B3E">
      <w:pPr>
        <w:pStyle w:val="Normaltindrag"/>
      </w:pPr>
      <w:r w:rsidRPr="003F63DB">
        <w:t>Argument som intresserade privata undersökare har mött från länsstyre</w:t>
      </w:r>
      <w:r w:rsidRPr="003F63DB">
        <w:t>l</w:t>
      </w:r>
      <w:r w:rsidRPr="003F63DB">
        <w:t xml:space="preserve">sernas sida är att undersökaren är för liten eller är oprövad i länet. Andra argument har varit att länsstyrelserna betonar vikten av kontinuitet i den arkeologiska processen. </w:t>
      </w:r>
    </w:p>
    <w:p w:rsidR="00905B3E" w:rsidRPr="003F63DB" w:rsidRDefault="00905B3E">
      <w:pPr>
        <w:pStyle w:val="Rubrik2"/>
      </w:pPr>
      <w:bookmarkStart w:id="137" w:name="_Toc2051061"/>
      <w:bookmarkStart w:id="138" w:name="_Toc25031938"/>
      <w:bookmarkStart w:id="139" w:name="_Toc36520766"/>
      <w:r w:rsidRPr="003F63DB">
        <w:t>Konkurrens, samarbete eller marknadsuppdelning</w:t>
      </w:r>
      <w:bookmarkEnd w:id="138"/>
      <w:bookmarkEnd w:id="139"/>
    </w:p>
    <w:p w:rsidR="00905B3E" w:rsidRPr="003F63DB" w:rsidRDefault="00905B3E">
      <w:r w:rsidRPr="003F63DB">
        <w:t>Nästan samtliga länsstyrelser anser att Riksantikvarieämbetets föreskrifter angående förfarandet vid val av undersökare lämnar visst, eller t.o.m. stort, utrymme för anpassning till förhållandena i l</w:t>
      </w:r>
      <w:r w:rsidRPr="003F63DB">
        <w:t>ä</w:t>
      </w:r>
      <w:r w:rsidRPr="003F63DB">
        <w:t>net.</w:t>
      </w:r>
      <w:r w:rsidRPr="003F63DB">
        <w:rPr>
          <w:rStyle w:val="Fotnotsreferens"/>
        </w:rPr>
        <w:footnoteReference w:id="196"/>
      </w:r>
      <w:r w:rsidRPr="003F63DB">
        <w:t xml:space="preserve"> </w:t>
      </w:r>
    </w:p>
    <w:p w:rsidR="00905B3E" w:rsidRPr="003F63DB" w:rsidRDefault="00905B3E">
      <w:pPr>
        <w:pStyle w:val="Normaltindrag"/>
      </w:pPr>
      <w:r w:rsidRPr="003F63DB">
        <w:t>Undersökare talar om olika regionala kulturer – länsstyrelser som arbetar för konkurrens, samarbete eller marknadsuppdelning. Regeringen har också konstaterat att i de fall flera undersökare bedriver arkeologisk uppdragsver</w:t>
      </w:r>
      <w:r w:rsidRPr="003F63DB">
        <w:t>k</w:t>
      </w:r>
      <w:r w:rsidRPr="003F63DB">
        <w:t>samhet i ett län har vanligtvis en uppdelning av uppdragen gjorts mellan undersökarna. Uppdragen fördelas utifrån kriterier som undersökningens storlek, art och l</w:t>
      </w:r>
      <w:r w:rsidRPr="003F63DB">
        <w:t>o</w:t>
      </w:r>
      <w:r w:rsidRPr="003F63DB">
        <w:t>kalisering samt undersökarnas kompetens och resurser.</w:t>
      </w:r>
      <w:r w:rsidRPr="003F63DB">
        <w:rPr>
          <w:rStyle w:val="Fotnotsreferens"/>
        </w:rPr>
        <w:footnoteReference w:id="197"/>
      </w:r>
    </w:p>
    <w:p w:rsidR="00905B3E" w:rsidRPr="003F63DB" w:rsidRDefault="00905B3E">
      <w:pPr>
        <w:pStyle w:val="Normaltindrag"/>
      </w:pPr>
      <w:r w:rsidRPr="003F63DB">
        <w:t>En länsstyrelse har möjlighet att dela in stora undersökningsområden i mindre delområden och erbjuda undersökare att inkomma med anbud på delarna.</w:t>
      </w:r>
      <w:r w:rsidRPr="003F63DB">
        <w:rPr>
          <w:rStyle w:val="Fotnotsreferens"/>
        </w:rPr>
        <w:footnoteReference w:id="198"/>
      </w:r>
      <w:r w:rsidRPr="003F63DB">
        <w:t xml:space="preserve"> Länsstyrelsen i Stockholms län har använt sig av denna teknik. Även andra länsstyrelser har delat in stora undersökningsområden i mindre delar. I stället för att inbjuda undersökare att konkurrera om delarna har länsstyrelsen uppmanat till samarbete eller på förhand fördelat uppdragen mellan tillfrågade undersökare. Det senare förfaringssättet har lett till att länsstyre</w:t>
      </w:r>
      <w:r w:rsidRPr="003F63DB">
        <w:t>l</w:t>
      </w:r>
      <w:r w:rsidRPr="003F63DB">
        <w:t xml:space="preserve">sen inte fått några alternativa förslag att jämföra. </w:t>
      </w:r>
    </w:p>
    <w:p w:rsidR="00905B3E" w:rsidRPr="003F63DB" w:rsidRDefault="00905B3E">
      <w:pPr>
        <w:pStyle w:val="Rubrik3-Utannumrering"/>
      </w:pPr>
      <w:r w:rsidRPr="003F63DB">
        <w:t>Samarbete utvidgas</w:t>
      </w:r>
    </w:p>
    <w:p w:rsidR="00905B3E" w:rsidRPr="003F63DB" w:rsidRDefault="00905B3E">
      <w:r w:rsidRPr="003F63DB">
        <w:t>Det förekommer samarbete mellan undersökare som antingen beror på att länsstyrelsen uppmuntrar till det eller att undersökarna själva väljer att sa</w:t>
      </w:r>
      <w:r w:rsidRPr="003F63DB">
        <w:t>m</w:t>
      </w:r>
      <w:r w:rsidRPr="003F63DB">
        <w:t xml:space="preserve">arbeta. </w:t>
      </w:r>
    </w:p>
    <w:p w:rsidR="00905B3E" w:rsidRPr="003F63DB" w:rsidRDefault="00905B3E">
      <w:pPr>
        <w:pStyle w:val="Normaltindrag"/>
      </w:pPr>
      <w:r w:rsidRPr="003F63DB">
        <w:t>Ett vanligt förfarande är att en stor undersökare, som Riksantikvarieämb</w:t>
      </w:r>
      <w:r w:rsidRPr="003F63DB">
        <w:t>e</w:t>
      </w:r>
      <w:r w:rsidRPr="003F63DB">
        <w:t>tet-UV, utses till huvudman eller projektledare och anlitar mindre undersök</w:t>
      </w:r>
      <w:r w:rsidRPr="003F63DB">
        <w:t>a</w:t>
      </w:r>
      <w:r w:rsidRPr="003F63DB">
        <w:t>re som underkonsulter. Riksantikvarieämbetet-UV uppger att det har blivit vanligare att man samarbetar med andra i de arkeologiska projekten. Avde</w:t>
      </w:r>
      <w:r w:rsidRPr="003F63DB">
        <w:t>l</w:t>
      </w:r>
      <w:r w:rsidRPr="003F63DB">
        <w:t>ningen sluter även ramavtal om samarbete med andra undersökare.</w:t>
      </w:r>
      <w:r w:rsidRPr="003F63DB">
        <w:rPr>
          <w:rStyle w:val="Fotnotsreferens"/>
        </w:rPr>
        <w:footnoteReference w:id="199"/>
      </w:r>
      <w:r w:rsidRPr="003F63DB">
        <w:t xml:space="preserve"> En förklaring till detta är att de flesta undersökare inte har någon överkapacitet. När flera stora uppdrag kommer samtidigt kan det bli nödvändigt att sama</w:t>
      </w:r>
      <w:r w:rsidRPr="003F63DB">
        <w:t>r</w:t>
      </w:r>
      <w:r w:rsidRPr="003F63DB">
        <w:t xml:space="preserve">beta för att kunna genomföra projekten. </w:t>
      </w:r>
    </w:p>
    <w:p w:rsidR="00905B3E" w:rsidRPr="003F63DB" w:rsidRDefault="00905B3E">
      <w:pPr>
        <w:pStyle w:val="Normaltindrag"/>
      </w:pPr>
      <w:r w:rsidRPr="003F63DB">
        <w:t>Ett annat skäl till samarbete som Riksantikvarieämbetet-UV uppger är att undersökarna har olika inriktning på sin verksamhet. Riksantikvarieämbetet-UV har specialkunskap för att styra stora projekt, museerna ansvarar för förmedling, andra undersökare har nära koppling till universiteten etc. För att tillgodose d</w:t>
      </w:r>
      <w:r w:rsidRPr="003F63DB">
        <w:t>e många målgrupperna för en arkeologisk undersökning kan samarbete därför krävas, menar Riksantikvarieämbetet-UV.</w:t>
      </w:r>
    </w:p>
    <w:p w:rsidR="00905B3E" w:rsidRPr="003F63DB" w:rsidRDefault="00905B3E">
      <w:pPr>
        <w:pStyle w:val="Normaltindrag"/>
      </w:pPr>
      <w:r w:rsidRPr="003F63DB">
        <w:t>Samtidigt menar vissa länsstyrelser att konkurrensen sätts ur spel genom att undersökarna samarbetar om ett gemensamt anbud. Undersökarnas sa</w:t>
      </w:r>
      <w:r w:rsidRPr="003F63DB">
        <w:t>m</w:t>
      </w:r>
      <w:r w:rsidRPr="003F63DB">
        <w:t>arbete liknas vid kartellbildning.</w:t>
      </w:r>
      <w:r w:rsidRPr="003F63DB">
        <w:rPr>
          <w:rStyle w:val="Fotnotsreferens"/>
        </w:rPr>
        <w:footnoteReference w:id="200"/>
      </w:r>
      <w:r w:rsidRPr="003F63DB">
        <w:t xml:space="preserve"> Ett exempel på detta är fö</w:t>
      </w:r>
      <w:r w:rsidRPr="003F63DB">
        <w:t>l</w:t>
      </w:r>
      <w:r w:rsidRPr="003F63DB">
        <w:t>jande:</w:t>
      </w:r>
    </w:p>
    <w:p w:rsidR="00905B3E" w:rsidRPr="003F63DB" w:rsidRDefault="00905B3E">
      <w:pPr>
        <w:pStyle w:val="Citat"/>
        <w:spacing w:before="0"/>
      </w:pPr>
      <w:r w:rsidRPr="003F63DB">
        <w:t>... det är svårt att få en balans mellan konkurrens och kartellbildning. Vissa undersökningar lämpar sig bättre för konkurrens och det är de mellanstora undersökningarna på mellan 10 och 30 basbelopp, där aktörerna kan spela på lika villkor. När det gäller de riktigt stora undersökningarna finns det egen</w:t>
      </w:r>
      <w:r w:rsidRPr="003F63DB">
        <w:t>t</w:t>
      </w:r>
      <w:r w:rsidRPr="003F63DB">
        <w:t>ligen bara en tänkbar undersökare och det är UV. Det blir fel när UV i up</w:t>
      </w:r>
      <w:r w:rsidRPr="003F63DB">
        <w:t>p</w:t>
      </w:r>
      <w:r w:rsidRPr="003F63DB">
        <w:t>handlingsskedet söker samverkan med andra undersökare och bildar ka</w:t>
      </w:r>
      <w:r w:rsidRPr="003F63DB">
        <w:t>r</w:t>
      </w:r>
      <w:r w:rsidRPr="003F63DB">
        <w:t>tell.</w:t>
      </w:r>
    </w:p>
    <w:bookmarkEnd w:id="137"/>
    <w:p w:rsidR="00905B3E" w:rsidRPr="003F63DB" w:rsidRDefault="00905B3E">
      <w:pPr>
        <w:pStyle w:val="Rubrik3-Utannumrering"/>
      </w:pPr>
      <w:r w:rsidRPr="003F63DB">
        <w:t>Lokala monopol i Skåne län</w:t>
      </w:r>
    </w:p>
    <w:p w:rsidR="00905B3E" w:rsidRPr="003F63DB" w:rsidRDefault="00905B3E">
      <w:r w:rsidRPr="003F63DB">
        <w:t>Länsstyrelsen i Skåne län uppger att man har flera kompetenta undersökare i länet att välja bland. Trots detta har länsstyrelsen inte vid något tillfälle sedan 1996 tillämpat ett anbudsförfarande.</w:t>
      </w:r>
      <w:r w:rsidRPr="003F63DB">
        <w:rPr>
          <w:rStyle w:val="Fotnotsreferens"/>
        </w:rPr>
        <w:footnoteReference w:id="201"/>
      </w:r>
      <w:r w:rsidRPr="003F63DB">
        <w:t xml:space="preserve"> Det gäller även de omfattande och kostnadskrävande arkeologiska undersökningarna inför Västkustbanan, Ör</w:t>
      </w:r>
      <w:r w:rsidRPr="003F63DB">
        <w:t>e</w:t>
      </w:r>
      <w:r w:rsidRPr="003F63DB">
        <w:t>sundsbron och Citytunneln. Malmö Kulturmiljö har tilldelats 15 av totalt 21 uppdrag i länet med en kostnad överstigande 30 prisbasbelopp under peri</w:t>
      </w:r>
      <w:r w:rsidRPr="003F63DB">
        <w:t>o</w:t>
      </w:r>
      <w:r w:rsidRPr="003F63DB">
        <w:t>den 2000–2001. Värdet av dessa undersökningar har motsvarat drygt en tredjedel av det totala uppdragsvärdet för stora undersö</w:t>
      </w:r>
      <w:r w:rsidRPr="003F63DB">
        <w:t>k</w:t>
      </w:r>
      <w:r w:rsidRPr="003F63DB">
        <w:t>ningar i hela landet.</w:t>
      </w:r>
    </w:p>
    <w:p w:rsidR="00905B3E" w:rsidRPr="003F63DB" w:rsidRDefault="00905B3E">
      <w:pPr>
        <w:pStyle w:val="Normaltindrag"/>
        <w:rPr>
          <w:spacing w:val="-4"/>
        </w:rPr>
      </w:pPr>
      <w:r w:rsidRPr="003F63DB">
        <w:t>Förklaringen till att länsstyrelsen inte tillämpar anbudsförfarande är att det i Skåne finns en geografisk mar</w:t>
      </w:r>
      <w:r w:rsidRPr="003F63DB">
        <w:t>knadsuppdelning mellan de i länet verksa</w:t>
      </w:r>
      <w:r w:rsidRPr="003F63DB">
        <w:t>m</w:t>
      </w:r>
      <w:r w:rsidRPr="003F63DB">
        <w:t>ma undersökarna. Länsstyrelsen i Skåne uppger att de geografiska ansvar</w:t>
      </w:r>
      <w:r w:rsidRPr="003F63DB">
        <w:t>s</w:t>
      </w:r>
      <w:r w:rsidRPr="003F63DB">
        <w:t>områdena gäller uppdrag som understiger 10 prisbasbelopp. Granskningen av länsstyrelsens beslut under 2000–2001 visar att ansvarsområdena i praktiken även omfattar de större undersökningarna.</w:t>
      </w:r>
    </w:p>
    <w:p w:rsidR="00905B3E" w:rsidRPr="003F63DB" w:rsidRDefault="00905B3E">
      <w:pPr>
        <w:pStyle w:val="Normaltindrag"/>
      </w:pPr>
      <w:r w:rsidRPr="003F63DB">
        <w:rPr>
          <w:spacing w:val="-4"/>
        </w:rPr>
        <w:t>Länsstyrelsen baserar den geografiska uppdelningen av den arkeologiska marknaden på en överenskommelse mellan Riksantikvarieämbetet och museerna i länet. Överenskommelsen gäller ansvarsfördelningen mellan lä</w:t>
      </w:r>
      <w:r w:rsidRPr="003F63DB">
        <w:rPr>
          <w:spacing w:val="-4"/>
        </w:rPr>
        <w:t>nets museer vad gäller det kulturmiljöarbete som ska utföras med hjälp av statsb</w:t>
      </w:r>
      <w:r w:rsidRPr="003F63DB">
        <w:rPr>
          <w:spacing w:val="-4"/>
        </w:rPr>
        <w:t>i</w:t>
      </w:r>
      <w:r w:rsidRPr="003F63DB">
        <w:rPr>
          <w:spacing w:val="-4"/>
        </w:rPr>
        <w:t>drag</w:t>
      </w:r>
      <w:r w:rsidRPr="003F63DB">
        <w:t>.</w:t>
      </w:r>
      <w:r w:rsidRPr="003F63DB">
        <w:rPr>
          <w:rStyle w:val="Fotnotsreferens"/>
        </w:rPr>
        <w:footnoteReference w:id="202"/>
      </w:r>
    </w:p>
    <w:p w:rsidR="00905B3E" w:rsidRPr="003F63DB" w:rsidRDefault="00905B3E">
      <w:pPr>
        <w:pStyle w:val="Normaltindrag"/>
      </w:pPr>
      <w:r w:rsidRPr="003F63DB">
        <w:t>Fyra av de fem museerna i länet bedriver arkeologisk uppdragsverksamhet. Länsstyrelsen fördelar arkeologiska uppdrag till museerna inom deras r</w:t>
      </w:r>
      <w:r w:rsidRPr="003F63DB">
        <w:t>e</w:t>
      </w:r>
      <w:r w:rsidRPr="003F63DB">
        <w:t>spektive geografiska ansvarsområden. Den geografiska uppdelningen av regionen hindrar undersökare från att utvidga sitt verksamhetsområde och från att konkurrera om uppdrag i Skåne län. Att söka samarbete kan vara en lösning för u</w:t>
      </w:r>
      <w:r w:rsidRPr="003F63DB">
        <w:t>n</w:t>
      </w:r>
      <w:r w:rsidRPr="003F63DB">
        <w:t xml:space="preserve">dersökare som vill bibehålla sin marknadsandel. </w:t>
      </w:r>
    </w:p>
    <w:p w:rsidR="00905B3E" w:rsidRPr="003F63DB" w:rsidRDefault="00905B3E">
      <w:pPr>
        <w:pStyle w:val="Rubrik2"/>
      </w:pPr>
      <w:bookmarkStart w:id="140" w:name="_Toc25031939"/>
      <w:bookmarkStart w:id="141" w:name="_Toc36520767"/>
      <w:r w:rsidRPr="003F63DB">
        <w:t>Effekter av konkurrens</w:t>
      </w:r>
      <w:bookmarkEnd w:id="140"/>
      <w:bookmarkEnd w:id="141"/>
    </w:p>
    <w:p w:rsidR="00905B3E" w:rsidRPr="003F63DB" w:rsidRDefault="00905B3E">
      <w:r w:rsidRPr="003F63DB">
        <w:t>Sedan föreskrifterna om förfarandet inför länsstyrelsernas val av undersökare trädde i kraft har ett urvalsförfarande tillämpats i begränsad omfattning. Det är därmed svårt att avgöra vilka effekter konkurrensen skulle ha haft för kostnader, kvalitet och insyn i det arkeol</w:t>
      </w:r>
      <w:r w:rsidRPr="003F63DB">
        <w:t>o</w:t>
      </w:r>
      <w:r w:rsidRPr="003F63DB">
        <w:t xml:space="preserve">giska arbetet. </w:t>
      </w:r>
    </w:p>
    <w:p w:rsidR="00905B3E" w:rsidRPr="003F63DB" w:rsidRDefault="00905B3E">
      <w:pPr>
        <w:pStyle w:val="Rubrik3-Utannumrering"/>
      </w:pPr>
      <w:r w:rsidRPr="003F63DB">
        <w:t>Konkurrensens kostnadspressande effekt</w:t>
      </w:r>
    </w:p>
    <w:p w:rsidR="00905B3E" w:rsidRPr="003F63DB" w:rsidRDefault="00905B3E">
      <w:r w:rsidRPr="003F63DB">
        <w:t>I den uppföljningsrapport som Riksantikvarieämbetet utarbetat på regerin</w:t>
      </w:r>
      <w:r w:rsidRPr="003F63DB">
        <w:t>g</w:t>
      </w:r>
      <w:r w:rsidRPr="003F63DB">
        <w:t>ens uppdrag konstateras att konkurrensutsättningen inom uppdragsarkeologin inte fått de effekter på kostnader och kvalitet som lagstiftaren avsåg. Det förklaras av att urvalsförfarande har tillämpats endast i begränsad utsträc</w:t>
      </w:r>
      <w:r w:rsidRPr="003F63DB">
        <w:t>k</w:t>
      </w:r>
      <w:r w:rsidRPr="003F63DB">
        <w:t>ning.</w:t>
      </w:r>
      <w:r w:rsidRPr="003F63DB">
        <w:rPr>
          <w:rStyle w:val="Fotnotsreferens"/>
        </w:rPr>
        <w:footnoteReference w:id="203"/>
      </w:r>
    </w:p>
    <w:p w:rsidR="00905B3E" w:rsidRPr="003F63DB" w:rsidRDefault="00905B3E">
      <w:pPr>
        <w:pStyle w:val="Normaltindrag"/>
      </w:pPr>
      <w:r w:rsidRPr="003F63DB">
        <w:t>Länsstyrelsen i Stockholms län – den länsstyrelse som i störst utsträckning tillämpat ett urvalsförfarande då detta föreskrivs – menar dock att konku</w:t>
      </w:r>
      <w:r w:rsidRPr="003F63DB">
        <w:t>r</w:t>
      </w:r>
      <w:r w:rsidRPr="003F63DB">
        <w:t>rensutsättningen har påverkat kostnaderna. Länsstyrelsen menar att urval</w:t>
      </w:r>
      <w:r w:rsidRPr="003F63DB">
        <w:t>s</w:t>
      </w:r>
      <w:r w:rsidRPr="003F63DB">
        <w:t>förfarandet har haft en prispressande effekt. Samtidigt menar man att förf</w:t>
      </w:r>
      <w:r w:rsidRPr="003F63DB">
        <w:t>a</w:t>
      </w:r>
      <w:r w:rsidRPr="003F63DB">
        <w:t>randet tar resurser i anspråk från såväl länsstyrelsen som de undersökare som ska uta</w:t>
      </w:r>
      <w:r w:rsidRPr="003F63DB">
        <w:t>r</w:t>
      </w:r>
      <w:r w:rsidRPr="003F63DB">
        <w:t xml:space="preserve">beta anbuden. </w:t>
      </w:r>
    </w:p>
    <w:p w:rsidR="00905B3E" w:rsidRPr="003F63DB" w:rsidRDefault="00905B3E">
      <w:pPr>
        <w:pStyle w:val="Rubrik3-Utannumrering"/>
      </w:pPr>
      <w:r w:rsidRPr="003F63DB">
        <w:t>Möjligheten att ta del av länsstyrelsens beslutsunderlag</w:t>
      </w:r>
    </w:p>
    <w:p w:rsidR="00905B3E" w:rsidRPr="003F63DB" w:rsidRDefault="00905B3E">
      <w:r w:rsidRPr="003F63DB">
        <w:t>En annan effekt av konkurrensutsättningen som länsstyrelsen i Stockholms län noterat är att undersökarna visar stort intresse för varandras anbud. De vill jämföra sig med varandra vad gäller t.ex. metoder och kostnader. Län</w:t>
      </w:r>
      <w:r w:rsidRPr="003F63DB">
        <w:t>s</w:t>
      </w:r>
      <w:r w:rsidRPr="003F63DB">
        <w:t>styrelsen ser inga hinder att på begäran lämna ut undersökarnas undersö</w:t>
      </w:r>
      <w:r w:rsidRPr="003F63DB">
        <w:t>k</w:t>
      </w:r>
      <w:r w:rsidRPr="003F63DB">
        <w:t>ningsplaner när upphan</w:t>
      </w:r>
      <w:r w:rsidRPr="003F63DB">
        <w:t>d</w:t>
      </w:r>
      <w:r w:rsidRPr="003F63DB">
        <w:t xml:space="preserve">lingen är avslutad. </w:t>
      </w:r>
    </w:p>
    <w:p w:rsidR="00905B3E" w:rsidRPr="003F63DB" w:rsidRDefault="00905B3E">
      <w:pPr>
        <w:pStyle w:val="Normaltindrag"/>
      </w:pPr>
      <w:r w:rsidRPr="003F63DB">
        <w:t>I Västernorrlands län har länsstyrelsen agerat annorlunda. En person har hos länsstyrelsen begärt att få ut undersökningsplaner för arkeologiska för- och slutundersökningar inför byggandet av Botnia</w:t>
      </w:r>
      <w:r w:rsidRPr="003F63DB">
        <w:softHyphen/>
        <w:t>banan.</w:t>
      </w:r>
      <w:r w:rsidRPr="003F63DB">
        <w:rPr>
          <w:rStyle w:val="Fotnotsreferens"/>
        </w:rPr>
        <w:footnoteReference w:id="204"/>
      </w:r>
      <w:r w:rsidRPr="003F63DB">
        <w:t xml:space="preserve"> Undersökning</w:t>
      </w:r>
      <w:r w:rsidRPr="003F63DB">
        <w:t>s</w:t>
      </w:r>
      <w:r w:rsidRPr="003F63DB">
        <w:t>planerna har utarbetats av Riks</w:t>
      </w:r>
      <w:r w:rsidRPr="003F63DB">
        <w:softHyphen/>
        <w:t>antikvarieämbetet-UV, som också tilldelats uppdraget i samarbete med andra undersökare i länet. Länsstyrelsen har med hänvisning till 6 kap. 1 § sekretesslagen (1980:100) belagt viss information i handlingarna med sekretess efter önskemål från Riksantikvari</w:t>
      </w:r>
      <w:r w:rsidRPr="003F63DB">
        <w:t>e</w:t>
      </w:r>
      <w:r w:rsidRPr="003F63DB">
        <w:t>ämbetet-UV.</w:t>
      </w:r>
      <w:r w:rsidRPr="003F63DB">
        <w:rPr>
          <w:rStyle w:val="Fotnotsreferens"/>
        </w:rPr>
        <w:footnoteReference w:id="205"/>
      </w:r>
      <w:r w:rsidRPr="003F63DB">
        <w:t xml:space="preserve"> Alla kostnadsuppgifter i undersökningsplanerna, utom undersöknin</w:t>
      </w:r>
      <w:r w:rsidRPr="003F63DB">
        <w:t>g</w:t>
      </w:r>
      <w:r w:rsidRPr="003F63DB">
        <w:t>arnas totala kostnad, är maskerade. Därutöver har länsstyrelsen maskerat vissa uppgifter om undersökningens genomförande – t.ex. planerad unde</w:t>
      </w:r>
      <w:r w:rsidRPr="003F63DB">
        <w:t>r</w:t>
      </w:r>
      <w:r w:rsidRPr="003F63DB">
        <w:t>sökningsyta, tidsplan, meto</w:t>
      </w:r>
      <w:r w:rsidRPr="003F63DB">
        <w:t>d</w:t>
      </w:r>
      <w:r w:rsidRPr="003F63DB">
        <w:t xml:space="preserve">val, provtagning och analyser. </w:t>
      </w:r>
    </w:p>
    <w:p w:rsidR="00905B3E" w:rsidRPr="003F63DB" w:rsidRDefault="00905B3E">
      <w:pPr>
        <w:pStyle w:val="Normaltindrag"/>
      </w:pPr>
      <w:r w:rsidRPr="003F63DB">
        <w:t>Länsstyrelsens beslut om sekretessbeläggning överklagades till Kamma</w:t>
      </w:r>
      <w:r w:rsidRPr="003F63DB">
        <w:t>r</w:t>
      </w:r>
      <w:r w:rsidRPr="003F63DB">
        <w:t>rätten i Sundsvall. Kammarrätten avslog överklagandet i en dom i slutet av juni månad 2002 och hänvisade till 6 kap. 1 § sekretesslagen.</w:t>
      </w:r>
      <w:r w:rsidRPr="003F63DB">
        <w:rPr>
          <w:rStyle w:val="Fotnotsreferens"/>
        </w:rPr>
        <w:footnoteReference w:id="206"/>
      </w:r>
      <w:r w:rsidRPr="003F63DB">
        <w:t xml:space="preserve"> Ärendet är överklagat till Regeringsrätten.</w:t>
      </w:r>
      <w:r w:rsidRPr="003F63DB">
        <w:rPr>
          <w:rStyle w:val="Fotnotsreferens"/>
        </w:rPr>
        <w:footnoteReference w:id="207"/>
      </w:r>
      <w:r w:rsidRPr="003F63DB">
        <w:t xml:space="preserve"> Regeringsrätten hade i oktober 2002 inte fattat beslut om huruvida ärendet ska tas upp till prövning eller ej.</w:t>
      </w:r>
      <w:r w:rsidRPr="003F63DB">
        <w:rPr>
          <w:highlight w:val="yellow"/>
        </w:rPr>
        <w:t xml:space="preserve"> </w:t>
      </w:r>
    </w:p>
    <w:p w:rsidR="00905B3E" w:rsidRPr="003F63DB" w:rsidRDefault="00905B3E">
      <w:pPr>
        <w:pStyle w:val="Rubrik2"/>
      </w:pPr>
      <w:bookmarkStart w:id="142" w:name="_Toc25031940"/>
      <w:bookmarkStart w:id="143" w:name="_Toc36520768"/>
      <w:r w:rsidRPr="003F63DB">
        <w:t>Sammanfattande iakttagelser</w:t>
      </w:r>
      <w:bookmarkEnd w:id="142"/>
      <w:bookmarkEnd w:id="143"/>
    </w:p>
    <w:p w:rsidR="00905B3E" w:rsidRPr="003F63DB" w:rsidRDefault="00905B3E">
      <w:r w:rsidRPr="003F63DB">
        <w:t xml:space="preserve">Länsstyrelserna har använt urvalsförfaranden i begränsad omfattning sedan Riksantikvarieämbetet utfärdade sina föreskrifter om förfarandet inför val av undersökare. Andelen stora undersökningar (över 30 prisbasbelopp) som har utsatts för konkurrens har minskat från 32 till 12 % under perioden 1999–2001. Mellanstora undersökningar (10–30 prisbasbelopp) har knappast utsatts för någon konkurrens alls. </w:t>
      </w:r>
    </w:p>
    <w:p w:rsidR="00905B3E" w:rsidRPr="003F63DB" w:rsidRDefault="00905B3E">
      <w:pPr>
        <w:pStyle w:val="Normaltindrag"/>
      </w:pPr>
      <w:r w:rsidRPr="003F63DB">
        <w:t>Regeringen har efterfrågat tydliga regler för hur länsstyrelserna ska gå till väga inför beslut om vem som ska genomföra en arkeologisk undersökning. Riksantikvarieämbetets föreskrifter och allmänna råd är dock oprecisa och medger en generös tolkning av vilka särskilda skäl som kan åberopas för direktval i stället för ett urvalsförfarande. Exploatörer och undersökare möter också olika handläggningsrutiner och principer beroende på vilken länsst</w:t>
      </w:r>
      <w:r w:rsidRPr="003F63DB">
        <w:t>y</w:t>
      </w:r>
      <w:r w:rsidRPr="003F63DB">
        <w:t>relse som behandlar ett ärende om tillstånd för ma</w:t>
      </w:r>
      <w:r w:rsidRPr="003F63DB">
        <w:t>r</w:t>
      </w:r>
      <w:r w:rsidRPr="003F63DB">
        <w:t xml:space="preserve">kingrepp. </w:t>
      </w:r>
    </w:p>
    <w:p w:rsidR="00905B3E" w:rsidRPr="003F63DB" w:rsidRDefault="00905B3E">
      <w:pPr>
        <w:pStyle w:val="Normaltindrag"/>
      </w:pPr>
      <w:r w:rsidRPr="003F63DB">
        <w:t>Enligt konkurrensförordningen ska länsstyrelserna verka för effektiv ko</w:t>
      </w:r>
      <w:r w:rsidRPr="003F63DB">
        <w:t>n</w:t>
      </w:r>
      <w:r w:rsidRPr="003F63DB">
        <w:t>kurrens i länen och även verka för att konkurrens</w:t>
      </w:r>
      <w:r w:rsidRPr="003F63DB">
        <w:softHyphen/>
        <w:t>aspekten beaktas i länsst</w:t>
      </w:r>
      <w:r w:rsidRPr="003F63DB">
        <w:t>y</w:t>
      </w:r>
      <w:r w:rsidRPr="003F63DB">
        <w:t>relsernas eget arbete. Länsstyrelserna har dock knappast beaktat dessa up</w:t>
      </w:r>
      <w:r w:rsidRPr="003F63DB">
        <w:t>p</w:t>
      </w:r>
      <w:r w:rsidRPr="003F63DB">
        <w:t>gifter när det gäller uppdragsa</w:t>
      </w:r>
      <w:r w:rsidRPr="003F63DB">
        <w:t>r</w:t>
      </w:r>
      <w:r w:rsidRPr="003F63DB">
        <w:t xml:space="preserve">keologi. </w:t>
      </w:r>
    </w:p>
    <w:p w:rsidR="00905B3E" w:rsidRPr="003F63DB" w:rsidRDefault="00905B3E">
      <w:pPr>
        <w:pStyle w:val="Normaltindrag"/>
      </w:pPr>
      <w:r w:rsidRPr="003F63DB">
        <w:t>Länsstyrelserna saknar ekonomiska incitament att använda ett anbudsförf</w:t>
      </w:r>
      <w:r w:rsidRPr="003F63DB">
        <w:t>a</w:t>
      </w:r>
      <w:r w:rsidRPr="003F63DB">
        <w:t>rande. En upphandling innebär ökad administration och därmed ökade kos</w:t>
      </w:r>
      <w:r w:rsidRPr="003F63DB">
        <w:t>t</w:t>
      </w:r>
      <w:r w:rsidRPr="003F63DB">
        <w:t>nader för länsstyrelserna. Länsstyrelserna får aldrig del av den kostnad</w:t>
      </w:r>
      <w:r w:rsidRPr="003F63DB">
        <w:t>s</w:t>
      </w:r>
      <w:r w:rsidRPr="003F63DB">
        <w:t>minskning för arkeologi som en upphandling skulle kunna medföra.</w:t>
      </w:r>
    </w:p>
    <w:p w:rsidR="00905B3E" w:rsidRPr="003F63DB" w:rsidRDefault="00905B3E">
      <w:pPr>
        <w:pStyle w:val="Normaltindrag"/>
      </w:pPr>
      <w:r w:rsidRPr="003F63DB">
        <w:t>Länsstyrelsernas fördelning av arkeologiska uppdrag är i huvudsak trad</w:t>
      </w:r>
      <w:r w:rsidRPr="003F63DB">
        <w:t>i</w:t>
      </w:r>
      <w:r w:rsidRPr="003F63DB">
        <w:t>tionell och förutbestämd. I närmare 30 % av länen har en enda undersökare – oftast ett länsmuseum – sedan år 2000 haft monopol på arkeologiska uppdrag i länet. I Skåne län verkar flera undersökare, men här tillämpar länsstyrelsen i stället en marknadsuppdelning – olika undersökare har monopol inom a</w:t>
      </w:r>
      <w:r w:rsidRPr="003F63DB">
        <w:t>v</w:t>
      </w:r>
      <w:r w:rsidRPr="003F63DB">
        <w:t>gränsade geografi</w:t>
      </w:r>
      <w:r w:rsidRPr="003F63DB">
        <w:t>s</w:t>
      </w:r>
      <w:r w:rsidRPr="003F63DB">
        <w:t xml:space="preserve">ka områden. </w:t>
      </w:r>
    </w:p>
    <w:p w:rsidR="00905B3E" w:rsidRPr="003F63DB" w:rsidRDefault="00905B3E">
      <w:pPr>
        <w:pStyle w:val="Normaltindrag"/>
      </w:pPr>
      <w:r w:rsidRPr="003F63DB">
        <w:t>Statsmakterna och Riksantikvarieämbetet har betraktat länsstyrelsens val av undersökare som myndighetsutövning. Vissa länsstyrelser motiverar dock inte sina beslut vad gäller vale</w:t>
      </w:r>
      <w:r w:rsidRPr="003F63DB">
        <w:t>t av undersökare. Inte heller motiveras besl</w:t>
      </w:r>
      <w:r w:rsidRPr="003F63DB">
        <w:t>u</w:t>
      </w:r>
      <w:r w:rsidRPr="003F63DB">
        <w:t>ten i de fall man frångår föreskrivna regler om anbudsförfarande. Detta str</w:t>
      </w:r>
      <w:r w:rsidRPr="003F63DB">
        <w:t>i</w:t>
      </w:r>
      <w:r w:rsidRPr="003F63DB">
        <w:t>der mot förvalt</w:t>
      </w:r>
      <w:r w:rsidRPr="003F63DB">
        <w:softHyphen/>
        <w:t>nings</w:t>
      </w:r>
      <w:r w:rsidRPr="003F63DB">
        <w:softHyphen/>
        <w:t>lagen.</w:t>
      </w:r>
    </w:p>
    <w:p w:rsidR="00905B3E" w:rsidRPr="003F63DB" w:rsidRDefault="00905B3E">
      <w:pPr>
        <w:pStyle w:val="Normaltindrag"/>
      </w:pPr>
      <w:r w:rsidRPr="003F63DB">
        <w:t>Sverige har genom Riksantikvarieämbetet exporterat arkeologiska tjänster. Däremot har Sverige inte anlitat utländska undersökare. En undersökare verksam i ett län anses i många fall inte ha kompetens att utföra undersö</w:t>
      </w:r>
      <w:r w:rsidRPr="003F63DB">
        <w:t>k</w:t>
      </w:r>
      <w:r w:rsidRPr="003F63DB">
        <w:t>ningar i ett grannlän. Samtidigt är arkeologerna en rörlig yrkeskår, som samlar erfarenheter från olika arbetsgivare och olika delar av landet samt även från utlandet.</w:t>
      </w:r>
    </w:p>
    <w:p w:rsidR="00905B3E" w:rsidRPr="003F63DB" w:rsidRDefault="00905B3E">
      <w:pPr>
        <w:pStyle w:val="Normaltindrag"/>
      </w:pPr>
      <w:r w:rsidRPr="003F63DB">
        <w:t>I stället för att låta undersökare konkurrera om uppdragen uppmuntrar vi</w:t>
      </w:r>
      <w:r w:rsidRPr="003F63DB">
        <w:t>s</w:t>
      </w:r>
      <w:r w:rsidRPr="003F63DB">
        <w:t xml:space="preserve">sa länsstyrelser till samarbete. Undersökare samverkar också på eget initiativ. </w:t>
      </w:r>
    </w:p>
    <w:p w:rsidR="00905B3E" w:rsidRPr="003F63DB" w:rsidRDefault="00905B3E">
      <w:pPr>
        <w:pStyle w:val="Normaltindrag"/>
      </w:pPr>
      <w:r w:rsidRPr="003F63DB">
        <w:t>Riksantikvarieämbetet-UV är momsbefriat med hänvisning till att den uppdragsarkeologiska verksamheten anses vara ett led i myndighetsutövning. Samtidigt marknadsför sig avdelningen som ett ”serviceföretag” och åber</w:t>
      </w:r>
      <w:r w:rsidRPr="003F63DB">
        <w:t>o</w:t>
      </w:r>
      <w:r w:rsidRPr="003F63DB">
        <w:t>par sekretesslagen för skyddande av affärsverksa</w:t>
      </w:r>
      <w:r w:rsidRPr="003F63DB">
        <w:t>m</w:t>
      </w:r>
      <w:r w:rsidRPr="003F63DB">
        <w:t>het.</w:t>
      </w:r>
    </w:p>
    <w:p w:rsidR="00905B3E" w:rsidRPr="003F63DB" w:rsidRDefault="00905B3E">
      <w:pPr>
        <w:pStyle w:val="Rubrik1"/>
      </w:pPr>
      <w:r w:rsidRPr="003F63DB">
        <w:br w:type="page"/>
      </w:r>
      <w:bookmarkStart w:id="144" w:name="_Toc25031941"/>
      <w:bookmarkStart w:id="145" w:name="_Toc36520769"/>
      <w:r w:rsidRPr="003F63DB">
        <w:t>Intressekonflikter i Riksantikvarieämbetets uppgifter</w:t>
      </w:r>
      <w:bookmarkEnd w:id="144"/>
      <w:bookmarkEnd w:id="145"/>
    </w:p>
    <w:p w:rsidR="00905B3E" w:rsidRPr="003F63DB" w:rsidRDefault="00905B3E">
      <w:r w:rsidRPr="003F63DB">
        <w:t>Intressekonflikter och sammanblandning av roller kan uppstå då en myndi</w:t>
      </w:r>
      <w:r w:rsidRPr="003F63DB">
        <w:t>g</w:t>
      </w:r>
      <w:r w:rsidRPr="003F63DB">
        <w:t>het samtidigt ska hantera myndighetsuppgifter och up</w:t>
      </w:r>
      <w:r w:rsidRPr="003F63DB">
        <w:t>p</w:t>
      </w:r>
      <w:r w:rsidRPr="003F63DB">
        <w:t xml:space="preserve">dragsverksamhet. </w:t>
      </w:r>
    </w:p>
    <w:p w:rsidR="00905B3E" w:rsidRPr="003F63DB" w:rsidRDefault="00905B3E">
      <w:pPr>
        <w:pStyle w:val="Normaltindrag"/>
      </w:pPr>
      <w:r w:rsidRPr="003F63DB">
        <w:t>Riksantikvarieämbetet ska hantera uppgifterna att bevaka kulturminnesl</w:t>
      </w:r>
      <w:r w:rsidRPr="003F63DB">
        <w:t>a</w:t>
      </w:r>
      <w:r w:rsidRPr="003F63DB">
        <w:t>gens krav på skydd och bevarande av fasta fornlämningar och samtidigt ansvara för en verksamhet som bedriver arkeologisk uppdragsverksamhet med full kostnadstäckning. Uppdragsverksamheten är beroende av att i</w:t>
      </w:r>
      <w:r w:rsidRPr="003F63DB">
        <w:t>n</w:t>
      </w:r>
      <w:r w:rsidRPr="003F63DB">
        <w:t>grepp i fornlämningar medges.</w:t>
      </w:r>
    </w:p>
    <w:p w:rsidR="00905B3E" w:rsidRPr="003F63DB" w:rsidRDefault="00905B3E">
      <w:pPr>
        <w:pStyle w:val="Normaltindrag"/>
      </w:pPr>
      <w:r w:rsidRPr="003F63DB">
        <w:t>Riksantikvarieämbetet ska också hantera uppgifterna att i föreskrifter ange konkurrensvillkoren för uppdragsarkeologi och samtidigt bedriva en arke</w:t>
      </w:r>
      <w:r w:rsidRPr="003F63DB">
        <w:t>o</w:t>
      </w:r>
      <w:r w:rsidRPr="003F63DB">
        <w:t xml:space="preserve">logisk uppdragsverksamhet som ska hävda sig i konkurrensen. </w:t>
      </w:r>
    </w:p>
    <w:p w:rsidR="00905B3E" w:rsidRPr="003F63DB" w:rsidRDefault="00905B3E">
      <w:pPr>
        <w:pStyle w:val="Rubrik2"/>
      </w:pPr>
      <w:bookmarkStart w:id="146" w:name="_Toc25031942"/>
      <w:bookmarkStart w:id="147" w:name="_Toc36520770"/>
      <w:r w:rsidRPr="003F63DB">
        <w:t>Styrning och tillsyn av egen verksamhet</w:t>
      </w:r>
      <w:bookmarkEnd w:id="146"/>
      <w:bookmarkEnd w:id="147"/>
    </w:p>
    <w:p w:rsidR="00905B3E" w:rsidRPr="003F63DB" w:rsidRDefault="00905B3E">
      <w:r w:rsidRPr="003F63DB">
        <w:t>Riksantikvarieämbetet styr den uppdragsarkeologiska verksamheten genom verkställighetsföreskrifter</w:t>
      </w:r>
      <w:r w:rsidRPr="003F63DB">
        <w:rPr>
          <w:rStyle w:val="Fotnotsreferens"/>
        </w:rPr>
        <w:footnoteReference w:id="208"/>
      </w:r>
      <w:r w:rsidRPr="003F63DB">
        <w:t xml:space="preserve"> samt påverkar verksamheten i övrigt genom allmänna råd och rekommendationer. I detta arbete är den egna arkeologiska uppdragsverksamheten normg</w:t>
      </w:r>
      <w:r w:rsidRPr="003F63DB">
        <w:t>i</w:t>
      </w:r>
      <w:r w:rsidRPr="003F63DB">
        <w:t xml:space="preserve">vande. </w:t>
      </w:r>
    </w:p>
    <w:p w:rsidR="00905B3E" w:rsidRPr="003F63DB" w:rsidRDefault="00905B3E">
      <w:pPr>
        <w:pStyle w:val="Normaltindrag"/>
      </w:pPr>
      <w:r w:rsidRPr="003F63DB">
        <w:t>Riksantikvarieämbetet svarar för central tillsyn (överinseende) över den uppdragsarkeologiska verksamheten. Ansvaret för uppföljning av verksa</w:t>
      </w:r>
      <w:r w:rsidRPr="003F63DB">
        <w:t>m</w:t>
      </w:r>
      <w:r w:rsidRPr="003F63DB">
        <w:t>heten inklusive tillsyn över länsstyrelsernas tillämpning av föreskrifterna vilar på kulturmiljöavdelningen. Riksantikvarieämbetet har rätt att överklaga beslut fattade av län</w:t>
      </w:r>
      <w:r w:rsidRPr="003F63DB">
        <w:t>s</w:t>
      </w:r>
      <w:r w:rsidRPr="003F63DB">
        <w:t>styrelse eller domstol enligt kulturminneslagen.</w:t>
      </w:r>
      <w:r w:rsidRPr="003F63DB">
        <w:rPr>
          <w:rStyle w:val="Fotnotsreferens"/>
        </w:rPr>
        <w:footnoteReference w:id="209"/>
      </w:r>
      <w:r w:rsidRPr="003F63DB">
        <w:t xml:space="preserve"> </w:t>
      </w:r>
    </w:p>
    <w:p w:rsidR="00905B3E" w:rsidRPr="003F63DB" w:rsidRDefault="00905B3E">
      <w:pPr>
        <w:pStyle w:val="Rubrik3-Utannumrering"/>
      </w:pPr>
      <w:r w:rsidRPr="003F63DB">
        <w:t>Uppföljning och kontroll</w:t>
      </w:r>
    </w:p>
    <w:p w:rsidR="00905B3E" w:rsidRPr="003F63DB" w:rsidRDefault="00905B3E">
      <w:r w:rsidRPr="003F63DB">
        <w:t>I samband med att regeringen 1997 föreslog nya regler för uppdragsarkeol</w:t>
      </w:r>
      <w:r w:rsidRPr="003F63DB">
        <w:t>o</w:t>
      </w:r>
      <w:r w:rsidRPr="003F63DB">
        <w:t>gi uttalades att en utvidgad kontroll över och uppföljning av den arkeologi</w:t>
      </w:r>
      <w:r w:rsidRPr="003F63DB">
        <w:t>s</w:t>
      </w:r>
      <w:r w:rsidRPr="003F63DB">
        <w:t>ka uppdragsverksamheten skulle komma att krävas. Kravet på ökad kontroll av kvalitet och kostnader i uppdragsarkeologin skulle gälla både länsstyre</w:t>
      </w:r>
      <w:r w:rsidRPr="003F63DB">
        <w:t>l</w:t>
      </w:r>
      <w:r w:rsidRPr="003F63DB">
        <w:t>serna och Riksantikvarieämb</w:t>
      </w:r>
      <w:r w:rsidRPr="003F63DB">
        <w:t>e</w:t>
      </w:r>
      <w:r w:rsidRPr="003F63DB">
        <w:t>tet.</w:t>
      </w:r>
      <w:r w:rsidRPr="003F63DB">
        <w:rPr>
          <w:rStyle w:val="Fotnotsreferens"/>
        </w:rPr>
        <w:footnoteReference w:id="210"/>
      </w:r>
      <w:r w:rsidRPr="003F63DB">
        <w:t xml:space="preserve"> </w:t>
      </w:r>
    </w:p>
    <w:p w:rsidR="00905B3E" w:rsidRPr="003F63DB" w:rsidRDefault="00905B3E">
      <w:pPr>
        <w:pStyle w:val="Normaltindrag"/>
      </w:pPr>
      <w:r w:rsidRPr="003F63DB">
        <w:t>Riksantikvarieämbetets kulturmiljöavdelning uppger att uppgifter med a</w:t>
      </w:r>
      <w:r w:rsidRPr="003F63DB">
        <w:t>n</w:t>
      </w:r>
      <w:r w:rsidRPr="003F63DB">
        <w:t>knytning till uppdragsarkeologi har varit prioriterade inom avdelningen sedan 1997. Resurserna för uppgifterna har dock minskat de senaste åren. Avdelningen avsätter år 2002 ungefär två årsarbetskrafter för arbetsuppgifter med anknytning till uppdragsarkeologi. Därav avser hälften uppföljning, utvärdering och överklaganden.</w:t>
      </w:r>
    </w:p>
    <w:p w:rsidR="00905B3E" w:rsidRPr="003F63DB" w:rsidRDefault="00905B3E">
      <w:pPr>
        <w:pStyle w:val="Normaltindrag"/>
      </w:pPr>
      <w:r w:rsidRPr="003F63DB">
        <w:t>Kulturmiljöavdelningen granskar beslut som länsstyrelserna har fattat e</w:t>
      </w:r>
      <w:r w:rsidRPr="003F63DB">
        <w:t>n</w:t>
      </w:r>
      <w:r w:rsidRPr="003F63DB">
        <w:t>ligt 2 kap. kulturminneslagen. Avdelningen menar att man inte har resurser att granska samtliga beslut. De beslut som avser stora arkeologiska unde</w:t>
      </w:r>
      <w:r w:rsidRPr="003F63DB">
        <w:t>r</w:t>
      </w:r>
      <w:r w:rsidRPr="003F63DB">
        <w:t xml:space="preserve">sökningar (över 30 prisbasbelopp) granskas mera noggrant än övriga. Som tidigare har framgått har Riksantikvarieämbetet på regeringens uppdrag gjort uppföljningar av länsstyrelsernas tillämpning av föreskrifterna. I rapporterna har Riksantikvarieämbetet konstaterat att föreskrifterna tillämpas på olika sätt, att anbudsförfaranden används i begränsad omfattning </w:t>
      </w:r>
      <w:r w:rsidRPr="003F63DB">
        <w:t>och att länsst</w:t>
      </w:r>
      <w:r w:rsidRPr="003F63DB">
        <w:t>y</w:t>
      </w:r>
      <w:r w:rsidRPr="003F63DB">
        <w:t>relsernas tillsyn har brister. Iakttagelserna har inte föranlett Riksantikvari</w:t>
      </w:r>
      <w:r w:rsidRPr="003F63DB">
        <w:t>e</w:t>
      </w:r>
      <w:r w:rsidRPr="003F63DB">
        <w:t>ämbetet att ändra föreskrifterna eller de allmänna råden.</w:t>
      </w:r>
    </w:p>
    <w:p w:rsidR="00905B3E" w:rsidRPr="003F63DB" w:rsidRDefault="00905B3E">
      <w:pPr>
        <w:pStyle w:val="Rubrik3-Utannumrering"/>
      </w:pPr>
      <w:r w:rsidRPr="003F63DB">
        <w:t>Överklaganden av länsstyrelsebeslut</w:t>
      </w:r>
    </w:p>
    <w:p w:rsidR="00905B3E" w:rsidRPr="003F63DB" w:rsidRDefault="00905B3E">
      <w:r w:rsidRPr="003F63DB">
        <w:t>Under perioden 1998–2001 har Riksantikvarieämbetet överklagat fem län</w:t>
      </w:r>
      <w:r w:rsidRPr="003F63DB">
        <w:t>s</w:t>
      </w:r>
      <w:r w:rsidRPr="003F63DB">
        <w:t>styrelsebeslut enligt 2 kap. kulturminneslagen. Två av besluten har rört äre</w:t>
      </w:r>
      <w:r w:rsidRPr="003F63DB">
        <w:t>n</w:t>
      </w:r>
      <w:r w:rsidRPr="003F63DB">
        <w:t>den om tillstånd till arkeologisk undersökning. Det senast aktuella av Rik</w:t>
      </w:r>
      <w:r w:rsidRPr="003F63DB">
        <w:t>s</w:t>
      </w:r>
      <w:r w:rsidRPr="003F63DB">
        <w:t>antikvarieämbetets överklaganden rörde myndighetens egen arkeologiska uppdragsverksamhet.</w:t>
      </w:r>
    </w:p>
    <w:p w:rsidR="00905B3E" w:rsidRPr="003F63DB" w:rsidRDefault="00905B3E">
      <w:pPr>
        <w:pStyle w:val="Normaltindrag"/>
      </w:pPr>
      <w:r w:rsidRPr="003F63DB">
        <w:t>Överklagandet, vilket avgjordes i en dom i Länsrätten i Stockholms län i mars 2002, avsåg ett beslut av Länsstyrelsen i Stockholms län.</w:t>
      </w:r>
      <w:r w:rsidRPr="003F63DB">
        <w:rPr>
          <w:rStyle w:val="Fotnotsreferens"/>
        </w:rPr>
        <w:footnoteReference w:id="211"/>
      </w:r>
      <w:r w:rsidRPr="003F63DB">
        <w:rPr>
          <w:rStyle w:val="Fotnotsreferens"/>
        </w:rPr>
        <w:t xml:space="preserve"> </w:t>
      </w:r>
      <w:r w:rsidRPr="003F63DB">
        <w:t>Länsstyre</w:t>
      </w:r>
      <w:r w:rsidRPr="003F63DB">
        <w:t>l</w:t>
      </w:r>
      <w:r w:rsidRPr="003F63DB">
        <w:t>sens beslut föregicks av en upphandling i konkurrens där anbudsgivarna utgjordes av ett privat företag och Riksantikvarieämbetets avdelning för arkeologiska undersökningar (UV) i samarbete med ett länsmuseum. Det privata företaget hade enligt länsstyrelsens bedömning det ekonomiskt mest förde</w:t>
      </w:r>
      <w:r w:rsidRPr="003F63DB">
        <w:t>l</w:t>
      </w:r>
      <w:r w:rsidRPr="003F63DB">
        <w:t xml:space="preserve">aktiga anbudet och uppfyllde i övrigt länsstyrelsens uppställda krav. </w:t>
      </w:r>
    </w:p>
    <w:p w:rsidR="00905B3E" w:rsidRPr="003F63DB" w:rsidRDefault="00905B3E">
      <w:pPr>
        <w:pStyle w:val="Normaltindrag"/>
      </w:pPr>
      <w:r w:rsidRPr="003F63DB">
        <w:t>Riksantikvarieämbetet menade att den undersökningsplan länsstyrelsen antagit hade fel inriktning, att undersökaren inte uppfyllde kraven</w:t>
      </w:r>
      <w:r w:rsidRPr="003F63DB">
        <w:t xml:space="preserve"> för up</w:t>
      </w:r>
      <w:r w:rsidRPr="003F63DB">
        <w:t>p</w:t>
      </w:r>
      <w:r w:rsidRPr="003F63DB">
        <w:t>giften och att det var oklart vilket företag som fått anbudet. Riksantikvari</w:t>
      </w:r>
      <w:r w:rsidRPr="003F63DB">
        <w:t>e</w:t>
      </w:r>
      <w:r w:rsidRPr="003F63DB">
        <w:t>ämbetet förordade anbudet från Riksantikvarieämbetet-UV och länsmuseet bl.a. med hänvisning till att dessa undersökare hade den bästa undersö</w:t>
      </w:r>
      <w:r w:rsidRPr="003F63DB">
        <w:t>k</w:t>
      </w:r>
      <w:r w:rsidRPr="003F63DB">
        <w:t>ningsplanen. Länsrätten avslog emellertid Riksantikvarieämbetets överkl</w:t>
      </w:r>
      <w:r w:rsidRPr="003F63DB">
        <w:t>a</w:t>
      </w:r>
      <w:r w:rsidRPr="003F63DB">
        <w:t>gan med motiveringen att Riksantikvarieämbetet inte anfört något bärande skäl till att det privata företaget borde frånkännas up</w:t>
      </w:r>
      <w:r w:rsidRPr="003F63DB">
        <w:t>p</w:t>
      </w:r>
      <w:r w:rsidRPr="003F63DB">
        <w:t xml:space="preserve">draget. </w:t>
      </w:r>
    </w:p>
    <w:p w:rsidR="00905B3E" w:rsidRPr="003F63DB" w:rsidRDefault="00905B3E">
      <w:pPr>
        <w:pStyle w:val="Rubrik3-Utannumrering"/>
      </w:pPr>
      <w:r w:rsidRPr="003F63DB">
        <w:t xml:space="preserve">Interna riktlinjer för åtskillnad av verksamheter </w:t>
      </w:r>
    </w:p>
    <w:p w:rsidR="00905B3E" w:rsidRPr="003F63DB" w:rsidRDefault="00905B3E">
      <w:r w:rsidRPr="003F63DB">
        <w:t>Från den 1 januari 2002 har Riksantikvarieämbetet en ny arbetsordning och nya handläggningsföreskrifter. Förtydliganden har gjorts vad gäller hur my</w:t>
      </w:r>
      <w:r w:rsidRPr="003F63DB">
        <w:t>n</w:t>
      </w:r>
      <w:r w:rsidRPr="003F63DB">
        <w:t>digheten i sin myndighetsroll ska förhålla sig till uppdragsverksamheten. Då det gäller intern samverkan sägs att avdelningar och enheter ska samverka, men att myndighetens uppdragsverksamhet varken får gynnas eller missgy</w:t>
      </w:r>
      <w:r w:rsidRPr="003F63DB">
        <w:t>n</w:t>
      </w:r>
      <w:r w:rsidRPr="003F63DB">
        <w:t>nas i förhållande till andra uppdragstagare. Det framhålls att avdelningen för arkeologiska undersökningar i sin uppdragsverksamhet inte får uppträda så att avdelningen kan uppfattas som företrädare för myndigheten Riksantikv</w:t>
      </w:r>
      <w:r w:rsidRPr="003F63DB">
        <w:t>a</w:t>
      </w:r>
      <w:r w:rsidRPr="003F63DB">
        <w:t>rieämbetet. Av handläggningsföreskrifterna framgår att den jur</w:t>
      </w:r>
      <w:r w:rsidRPr="003F63DB">
        <w:t>ist som biträtt vid ett ärende inom uppdragsverksamheten inte får biträda i ett förvaltning</w:t>
      </w:r>
      <w:r w:rsidRPr="003F63DB">
        <w:t>s</w:t>
      </w:r>
      <w:r w:rsidRPr="003F63DB">
        <w:t xml:space="preserve">ärende som rör samma sak. </w:t>
      </w:r>
    </w:p>
    <w:p w:rsidR="00905B3E" w:rsidRPr="003F63DB" w:rsidRDefault="00905B3E">
      <w:pPr>
        <w:pStyle w:val="Normaltindrag"/>
      </w:pPr>
      <w:r w:rsidRPr="003F63DB">
        <w:t>Riksantikvarieämbetet framhåller att det numera råder ”vattentäta skott” mellan avdelningen för arkeologiska undersökningar och kulturmiljöavde</w:t>
      </w:r>
      <w:r w:rsidRPr="003F63DB">
        <w:t>l</w:t>
      </w:r>
      <w:r w:rsidRPr="003F63DB">
        <w:t>ningen i myndighetsärenden, t.ex. i samband med överklaganden. De som samverkar med Riksantikvarieämbetet delar bedömningen att åtskillnaden mellan myndighetsuppgifter och uppdragsverksamhet har blivit tydligare. Fortfarande kvarstår dock uppfattningen att den nuvarande organisationen innebär fördelar för Riksantikvarieämbetets uppdragsver</w:t>
      </w:r>
      <w:r w:rsidRPr="003F63DB">
        <w:t>k</w:t>
      </w:r>
      <w:r w:rsidRPr="003F63DB">
        <w:t>samhet.</w:t>
      </w:r>
    </w:p>
    <w:p w:rsidR="00905B3E" w:rsidRPr="003F63DB" w:rsidRDefault="00905B3E">
      <w:pPr>
        <w:pStyle w:val="Rubrik2"/>
      </w:pPr>
      <w:bookmarkStart w:id="148" w:name="_Toc25031943"/>
      <w:bookmarkStart w:id="149" w:name="_Toc36520771"/>
      <w:r w:rsidRPr="003F63DB">
        <w:t>Diskussionen om att skilja UV från Riksantikvarieämbetet</w:t>
      </w:r>
      <w:bookmarkEnd w:id="148"/>
      <w:bookmarkEnd w:id="149"/>
    </w:p>
    <w:p w:rsidR="00905B3E" w:rsidRPr="003F63DB" w:rsidRDefault="00905B3E">
      <w:r w:rsidRPr="003F63DB">
        <w:t xml:space="preserve">Sedan 1990-talets början har det förts en diskussion om intressekonflikterna i Riksantikvarieämbetets uppgifter som rör uppdragsarkeologi. Diskussionen har också omfattat Riksantikvarieämbetet-UV:s konkurrensfördelar framför andra undersökare och avdelningens associationsform. </w:t>
      </w:r>
    </w:p>
    <w:p w:rsidR="00905B3E" w:rsidRPr="003F63DB" w:rsidRDefault="00905B3E">
      <w:pPr>
        <w:pStyle w:val="Rubrik3-Utannumrering"/>
      </w:pPr>
      <w:r w:rsidRPr="003F63DB">
        <w:t>Diskussionen under 1990-talet</w:t>
      </w:r>
    </w:p>
    <w:p w:rsidR="00905B3E" w:rsidRPr="003F63DB" w:rsidRDefault="00905B3E">
      <w:r w:rsidRPr="003F63DB">
        <w:t xml:space="preserve">Offentliga utredningar har 1992 och 1995 lagt fram förslag om att skilja UV från Riksantikvarieämbetet. I betänkandet </w:t>
      </w:r>
      <w:r w:rsidRPr="003F63DB">
        <w:rPr>
          <w:i/>
        </w:rPr>
        <w:t>Arkeologi och exploatering</w:t>
      </w:r>
      <w:r w:rsidRPr="003F63DB">
        <w:t xml:space="preserve"> (SOU 1992:137) föreslog HUR-utredningen att uppdragsverksamheten vid Riksa</w:t>
      </w:r>
      <w:r w:rsidRPr="003F63DB">
        <w:t>n</w:t>
      </w:r>
      <w:r w:rsidRPr="003F63DB">
        <w:t xml:space="preserve">tikvarieämbetet skulle bilda ett fristående helstatligt aktiebolag med uppgift att bedriva externfinansierad arkeologisk uppdragsverksamhet. I betänkandet </w:t>
      </w:r>
      <w:r w:rsidRPr="003F63DB">
        <w:rPr>
          <w:i/>
        </w:rPr>
        <w:t>Kulturpolitikens inriktning</w:t>
      </w:r>
      <w:r w:rsidRPr="003F63DB">
        <w:t xml:space="preserve"> (SOU 1995:84) framförde kulturutredningen synpunkten att det principiellt är en fördel om Riksantikvarieämbetet som strategisk, kontrollerande, uppföljande och utvärderande instans inte bedriver egen arkeologisk uppdragsverksa</w:t>
      </w:r>
      <w:r w:rsidRPr="003F63DB">
        <w:t>m</w:t>
      </w:r>
      <w:r w:rsidRPr="003F63DB">
        <w:t xml:space="preserve">het. </w:t>
      </w:r>
    </w:p>
    <w:p w:rsidR="00905B3E" w:rsidRPr="003F63DB" w:rsidRDefault="00905B3E">
      <w:pPr>
        <w:pStyle w:val="Normaltindrag"/>
      </w:pPr>
      <w:r w:rsidRPr="003F63DB">
        <w:t>I budgetpropositionen för 1994</w:t>
      </w:r>
      <w:r w:rsidRPr="003F63DB">
        <w:rPr>
          <w:rStyle w:val="Fotnotsreferens"/>
        </w:rPr>
        <w:footnoteReference w:id="212"/>
      </w:r>
      <w:r w:rsidRPr="003F63DB">
        <w:t xml:space="preserve"> behandlade regeringen HUR-utredningens förslag, men bedömde att uppdragsverksamheten vid UV skulle vara kvar inom Riksantikvarieämbetet i avvaktan på Museiutredningens förslag</w:t>
      </w:r>
      <w:r w:rsidRPr="003F63DB">
        <w:rPr>
          <w:rStyle w:val="Fotnotsreferens"/>
        </w:rPr>
        <w:footnoteReference w:id="213"/>
      </w:r>
      <w:r w:rsidRPr="003F63DB">
        <w:t xml:space="preserve"> om Riksantikvarieämbetets framtida organisation. Museiutrednin</w:t>
      </w:r>
      <w:r w:rsidRPr="003F63DB">
        <w:t>g</w:t>
      </w:r>
      <w:r w:rsidRPr="003F63DB">
        <w:t>en berörde inte UV:s ställning. Regeringen lade inte heller i propositionen som följde av Kulturutredningens förslag fram något förslag om att skilja UV från Riksantikvarieämbetet, utan hänvisade till att en konsekvensbeskrivning av en sådan åtgärd inte hade genomförts. Sambanden mellan produktion, kompetens och metodutveckling talade mot en åtskillnad. Regeringen ville också avvakta erfarenheterna av Riksantikvarieämbetets nya organisation inn</w:t>
      </w:r>
      <w:r w:rsidRPr="003F63DB">
        <w:t>an man var beredd att ta ställning. Den nya organisationen innebar att Statens historiska museum skildes från Riksanti</w:t>
      </w:r>
      <w:r w:rsidRPr="003F63DB">
        <w:t>k</w:t>
      </w:r>
      <w:r w:rsidRPr="003F63DB">
        <w:t xml:space="preserve">varieämbetet. </w:t>
      </w:r>
    </w:p>
    <w:p w:rsidR="00905B3E" w:rsidRPr="003F63DB" w:rsidRDefault="00905B3E">
      <w:pPr>
        <w:pStyle w:val="Normaltindrag"/>
      </w:pPr>
      <w:r w:rsidRPr="003F63DB">
        <w:t>Riksdagen invände inte mot regeringens förslag. Kulturutskottet vill inte föregripa regeringens kommande överväganden i frågan.</w:t>
      </w:r>
      <w:r w:rsidRPr="003F63DB">
        <w:rPr>
          <w:rStyle w:val="Fotnotsreferens"/>
        </w:rPr>
        <w:footnoteReference w:id="214"/>
      </w:r>
      <w:r w:rsidRPr="003F63DB">
        <w:t xml:space="preserve"> I kulturutskottets betänkande över regeringens proposition Uppdragsarkeologi m.m. påminde dock utskottet om att UV:s verksamhet är helt avgiftsfinansierad och att den arkeologiska verksamheten särredovisas såväl finansiellt som verksamhet</w:t>
      </w:r>
      <w:r w:rsidRPr="003F63DB">
        <w:t>s</w:t>
      </w:r>
      <w:r w:rsidRPr="003F63DB">
        <w:t>mä</w:t>
      </w:r>
      <w:r w:rsidRPr="003F63DB">
        <w:t>s</w:t>
      </w:r>
      <w:r w:rsidRPr="003F63DB">
        <w:t>sigt.</w:t>
      </w:r>
      <w:r w:rsidRPr="003F63DB">
        <w:rPr>
          <w:rStyle w:val="Fotnotsreferens"/>
        </w:rPr>
        <w:footnoteReference w:id="215"/>
      </w:r>
      <w:r w:rsidRPr="003F63DB">
        <w:t xml:space="preserve"> </w:t>
      </w:r>
    </w:p>
    <w:p w:rsidR="00905B3E" w:rsidRPr="003F63DB" w:rsidRDefault="00905B3E">
      <w:pPr>
        <w:pStyle w:val="Rubrik3-Utannumrering"/>
      </w:pPr>
      <w:r w:rsidRPr="003F63DB">
        <w:t>Riksantikvarieämbetet kan påverka konkurrensen</w:t>
      </w:r>
    </w:p>
    <w:p w:rsidR="00905B3E" w:rsidRPr="003F63DB" w:rsidRDefault="00905B3E">
      <w:r w:rsidRPr="003F63DB">
        <w:t>Statskontoret har bedömt att Riksantikvarieämbetet är en myndighet som kan påverka konkurrensen inom uppdragsarkeologi.</w:t>
      </w:r>
      <w:r w:rsidRPr="003F63DB">
        <w:rPr>
          <w:rStyle w:val="Fotnotsreferens"/>
        </w:rPr>
        <w:footnoteReference w:id="216"/>
      </w:r>
      <w:r w:rsidRPr="003F63DB">
        <w:t xml:space="preserve"> De skäl som anges är exempelvis att Riksantikvarieämbetet bedriver anslags</w:t>
      </w:r>
      <w:r w:rsidRPr="003F63DB">
        <w:softHyphen/>
        <w:t>finansierad och a</w:t>
      </w:r>
      <w:r w:rsidRPr="003F63DB">
        <w:t>v</w:t>
      </w:r>
      <w:r w:rsidRPr="003F63DB">
        <w:t>giftsfinansierad verksamhet inom samma myndighet, vilket kan skapa mis</w:t>
      </w:r>
      <w:r w:rsidRPr="003F63DB">
        <w:t>s</w:t>
      </w:r>
      <w:r w:rsidRPr="003F63DB">
        <w:t>tankar om korssubventionering. Att Riksantikvarieämbetet är central til</w:t>
      </w:r>
      <w:r w:rsidRPr="003F63DB">
        <w:t>l</w:t>
      </w:r>
      <w:r w:rsidRPr="003F63DB">
        <w:t>synsmyndighet för kulturmiljövården kan få till följd att myndigheten åtnj</w:t>
      </w:r>
      <w:r w:rsidRPr="003F63DB">
        <w:t>u</w:t>
      </w:r>
      <w:r w:rsidRPr="003F63DB">
        <w:t>ter extra stort förtroende – en ”offentlig goodwill”– hos länsstyrelserna vilket kan leda till att uppdragsverksamheten får fler uppdrag jämfört med unde</w:t>
      </w:r>
      <w:r w:rsidRPr="003F63DB">
        <w:t>r</w:t>
      </w:r>
      <w:r w:rsidRPr="003F63DB">
        <w:t>sökare som inte har denna fördel. Riksantikvar</w:t>
      </w:r>
      <w:r w:rsidRPr="003F63DB">
        <w:t>ieämbetet-UV har en domin</w:t>
      </w:r>
      <w:r w:rsidRPr="003F63DB">
        <w:t>e</w:t>
      </w:r>
      <w:r w:rsidRPr="003F63DB">
        <w:t>rande ställning på marknaden och har kunnat bygga upp sin verksamhet skyddad från konkurrens. Man har därmed ett försprång framför konkurre</w:t>
      </w:r>
      <w:r w:rsidRPr="003F63DB">
        <w:t>n</w:t>
      </w:r>
      <w:r w:rsidRPr="003F63DB">
        <w:t>terna.</w:t>
      </w:r>
    </w:p>
    <w:p w:rsidR="00905B3E" w:rsidRPr="003F63DB" w:rsidRDefault="00905B3E">
      <w:pPr>
        <w:pStyle w:val="Normaltindrag"/>
      </w:pPr>
      <w:r w:rsidRPr="003F63DB">
        <w:t>Statskontoret menar också att avsaknaden av upphandling inom uppdrag</w:t>
      </w:r>
      <w:r w:rsidRPr="003F63DB">
        <w:t>s</w:t>
      </w:r>
      <w:r w:rsidRPr="003F63DB">
        <w:t>arkeologin gör att beslut om vilka som ska göra en viss arkeologisk unde</w:t>
      </w:r>
      <w:r w:rsidRPr="003F63DB">
        <w:t>r</w:t>
      </w:r>
      <w:r w:rsidRPr="003F63DB">
        <w:t>sökning riskerar att baseras på lojalitet, personliga kontakter och gammal vana. Ett sådant beteende anses gynna de redan etablerade undersökarna. Enligt Statskontorets bedömning kan konkurrensen förbättras, utan att ku</w:t>
      </w:r>
      <w:r w:rsidRPr="003F63DB">
        <w:t>l</w:t>
      </w:r>
      <w:r w:rsidRPr="003F63DB">
        <w:t>turmiljövården försämras, om den arkeologiska uppdragsverksamheten ek</w:t>
      </w:r>
      <w:r w:rsidRPr="003F63DB">
        <w:t>o</w:t>
      </w:r>
      <w:r w:rsidRPr="003F63DB">
        <w:t>nomiskt och organisatoriskt skiljs från Riksantikvarieämbetet och organis</w:t>
      </w:r>
      <w:r w:rsidRPr="003F63DB">
        <w:t>e</w:t>
      </w:r>
      <w:r w:rsidRPr="003F63DB">
        <w:t xml:space="preserve">ras i ett eget bolag. </w:t>
      </w:r>
    </w:p>
    <w:p w:rsidR="00905B3E" w:rsidRPr="003F63DB" w:rsidRDefault="00905B3E">
      <w:pPr>
        <w:pStyle w:val="Normaltindrag"/>
      </w:pPr>
      <w:r w:rsidRPr="003F63DB">
        <w:t xml:space="preserve">Konkurrensverket har framfört liknande synpunkter. </w:t>
      </w:r>
      <w:r w:rsidRPr="003F63DB">
        <w:t>I ett yttrande över d</w:t>
      </w:r>
      <w:r w:rsidRPr="003F63DB">
        <w:t>e</w:t>
      </w:r>
      <w:r w:rsidRPr="003F63DB">
        <w:t>partementspromemorian Uppdragsarkeologi uppmanar verket regeringen att låta uppdragsverksamheten vid Riksantikvarieämbetet drivas i en särskild juridisk pe</w:t>
      </w:r>
      <w:r w:rsidRPr="003F63DB">
        <w:t>r</w:t>
      </w:r>
      <w:r w:rsidRPr="003F63DB">
        <w:t>son, t.ex. i ett bolag.</w:t>
      </w:r>
      <w:r w:rsidRPr="003F63DB">
        <w:rPr>
          <w:rStyle w:val="Fotnotsreferens"/>
        </w:rPr>
        <w:footnoteReference w:id="217"/>
      </w:r>
    </w:p>
    <w:p w:rsidR="00905B3E" w:rsidRPr="003F63DB" w:rsidRDefault="00905B3E">
      <w:pPr>
        <w:pStyle w:val="Normaltindrag"/>
      </w:pPr>
      <w:r w:rsidRPr="003F63DB">
        <w:t>Även vissa länsstyrelser och undersökare har ifrågasatt om Riksantikvari</w:t>
      </w:r>
      <w:r w:rsidRPr="003F63DB">
        <w:t>e</w:t>
      </w:r>
      <w:r w:rsidRPr="003F63DB">
        <w:t>ämbetet ska bedriva arkeologisk verksamhet då myndigheten samtidigt granskar länsstyrelsernas beslut vad gäller val av undersökare. Om den ark</w:t>
      </w:r>
      <w:r w:rsidRPr="003F63DB">
        <w:t>e</w:t>
      </w:r>
      <w:r w:rsidRPr="003F63DB">
        <w:t xml:space="preserve">ologiska uppdragsverksamheten skildes från Riksantikvarieämbetet skulle verkets roll bli tydligare och en bättre konkurrens uppstå. </w:t>
      </w:r>
    </w:p>
    <w:p w:rsidR="00905B3E" w:rsidRPr="003F63DB" w:rsidRDefault="00905B3E">
      <w:pPr>
        <w:pStyle w:val="Rubrik3-Utannumrering"/>
      </w:pPr>
      <w:r w:rsidRPr="003F63DB">
        <w:t>Översyn av uppdragsarkeologin är aviserad</w:t>
      </w:r>
    </w:p>
    <w:p w:rsidR="00905B3E" w:rsidRPr="003F63DB" w:rsidRDefault="00905B3E">
      <w:r w:rsidRPr="003F63DB">
        <w:t>Riksantikvarieämbetet aviserade i sitt budgetunderlag för år 2001 att my</w:t>
      </w:r>
      <w:r w:rsidRPr="003F63DB">
        <w:t>n</w:t>
      </w:r>
      <w:r w:rsidRPr="003F63DB">
        <w:t>digheten skulle initiera en utredning som kritiskt skulle granska bl.a. de långsiktiga förutsättningarna för uppdragsarkeologin och de specifika villkor som gäller avdelningen för arkeologiska undersökningar.</w:t>
      </w:r>
      <w:r w:rsidRPr="003F63DB">
        <w:rPr>
          <w:rStyle w:val="Fotnotsreferens"/>
        </w:rPr>
        <w:footnoteReference w:id="218"/>
      </w:r>
      <w:r w:rsidRPr="003F63DB">
        <w:t xml:space="preserve"> Några resultat av detta arbete har ännu inte redovisats.</w:t>
      </w:r>
    </w:p>
    <w:p w:rsidR="00905B3E" w:rsidRPr="003F63DB" w:rsidRDefault="00905B3E">
      <w:pPr>
        <w:pStyle w:val="Normaltindrag"/>
      </w:pPr>
      <w:r w:rsidRPr="003F63DB">
        <w:t>Som ett led i uppföljningen av riksdagens beslut genomförde kulturu</w:t>
      </w:r>
      <w:r w:rsidRPr="003F63DB">
        <w:t>t</w:t>
      </w:r>
      <w:r w:rsidRPr="003F63DB">
        <w:t>skottet i arbetet med betänkandet om kulturmiljövård ett stu</w:t>
      </w:r>
      <w:r w:rsidRPr="003F63DB">
        <w:softHyphen/>
      </w:r>
      <w:r w:rsidRPr="003F63DB">
        <w:softHyphen/>
        <w:t>diebesök vid Riksantikvarieämbetet år 2000. Utskottet inhämtade även information från Kulturdepartementet. Kulturdepartementet framförde att det inom depart</w:t>
      </w:r>
      <w:r w:rsidRPr="003F63DB">
        <w:t>e</w:t>
      </w:r>
      <w:r w:rsidRPr="003F63DB">
        <w:t>mentet pågick en översyn av formerna för den arkeologiska undersökning</w:t>
      </w:r>
      <w:r w:rsidRPr="003F63DB">
        <w:t>s</w:t>
      </w:r>
      <w:r w:rsidRPr="003F63DB">
        <w:t>verksamheten. Utskottet välkomnade en sådan översyn och framförde i b</w:t>
      </w:r>
      <w:r w:rsidRPr="003F63DB">
        <w:t>e</w:t>
      </w:r>
      <w:r w:rsidRPr="003F63DB">
        <w:t>tänkandet att det även är av stor vikt att Riksantikvarieämbetets uppgifter som central förvaltningsmyndighet och som utförare av arkeologiska unde</w:t>
      </w:r>
      <w:r w:rsidRPr="003F63DB">
        <w:t>r</w:t>
      </w:r>
      <w:r w:rsidRPr="003F63DB">
        <w:t>sök</w:t>
      </w:r>
      <w:r w:rsidRPr="003F63DB">
        <w:t>ningar blir noga genomlysta. Utskottet förutsatte att Kulturdepartementet i sitt utredningsarbete kommer att behandla dessa frågor och även går in på associationsformen för den arke</w:t>
      </w:r>
      <w:r w:rsidRPr="003F63DB">
        <w:t>o</w:t>
      </w:r>
      <w:r w:rsidRPr="003F63DB">
        <w:t>logiska uppdragsverksamheten.</w:t>
      </w:r>
      <w:r w:rsidRPr="003F63DB">
        <w:rPr>
          <w:rStyle w:val="Fotnotsreferens"/>
        </w:rPr>
        <w:footnoteReference w:id="219"/>
      </w:r>
      <w:r w:rsidRPr="003F63DB">
        <w:t xml:space="preserve"> </w:t>
      </w:r>
    </w:p>
    <w:p w:rsidR="00905B3E" w:rsidRPr="003F63DB" w:rsidRDefault="00905B3E">
      <w:pPr>
        <w:pStyle w:val="Normaltindrag"/>
      </w:pPr>
      <w:r w:rsidRPr="003F63DB">
        <w:t>I budgetpropositionen för 2001 meddelade regeringen återigen att en an</w:t>
      </w:r>
      <w:r w:rsidRPr="003F63DB">
        <w:t>a</w:t>
      </w:r>
      <w:r w:rsidRPr="003F63DB">
        <w:t>lys och översyn av formerna för den arkeologiska uppdragsverksamheten ska genomföras och att regeringen avser att återkomma till riksdagen i dessa frågor.</w:t>
      </w:r>
      <w:r w:rsidRPr="003F63DB">
        <w:rPr>
          <w:rStyle w:val="Fotnotsreferens"/>
        </w:rPr>
        <w:footnoteReference w:id="220"/>
      </w:r>
      <w:r w:rsidRPr="003F63DB">
        <w:t xml:space="preserve"> I april 2002 meddelade kulturministern att en översyn pågår inom Regeringskansliet och att regeringen avser att återkomma med en redovi</w:t>
      </w:r>
      <w:r w:rsidRPr="003F63DB">
        <w:t>s</w:t>
      </w:r>
      <w:r w:rsidRPr="003F63DB">
        <w:t>ning i 2003 års budgetproposition.</w:t>
      </w:r>
      <w:r w:rsidRPr="003F63DB">
        <w:rPr>
          <w:rStyle w:val="Fotnotsreferens"/>
        </w:rPr>
        <w:footnoteReference w:id="221"/>
      </w:r>
      <w:r w:rsidRPr="003F63DB">
        <w:t xml:space="preserve"> Våren 2002 upprepade kulturutskottet att utskottet förutsätter att Regeringskansliets analys av uppdragsarkeologin även omfattar Riksantikvarieämbetet-UV:s ställning och verksa</w:t>
      </w:r>
      <w:r w:rsidRPr="003F63DB">
        <w:t>m</w:t>
      </w:r>
      <w:r w:rsidRPr="003F63DB">
        <w:t>het.</w:t>
      </w:r>
      <w:r w:rsidRPr="003F63DB">
        <w:rPr>
          <w:rStyle w:val="Fotnotsreferens"/>
        </w:rPr>
        <w:footnoteReference w:id="222"/>
      </w:r>
      <w:bookmarkEnd w:id="32"/>
    </w:p>
    <w:p w:rsidR="00905B3E" w:rsidRPr="003F63DB" w:rsidRDefault="00905B3E">
      <w:pPr>
        <w:pStyle w:val="Normaltindrag"/>
      </w:pPr>
      <w:r w:rsidRPr="003F63DB">
        <w:t>I budgetpropositionen för 2003 tar regeringen upp vilka frågor som o</w:t>
      </w:r>
      <w:r w:rsidRPr="003F63DB">
        <w:t>m</w:t>
      </w:r>
      <w:r w:rsidRPr="003F63DB">
        <w:t>fattas av Kulturdepartementets översyn av uppdragsarkeologi. Regeringen nämner här tillämpningen av kulturminneslagen, Riksantikvarieämbetets och länsstyrelsernas uppgifter samt uppföljningen av den uppdragsarkeologiska verksamheten. Översynen omfattar även konkurrenssituationen och variati</w:t>
      </w:r>
      <w:r w:rsidRPr="003F63DB">
        <w:t>o</w:t>
      </w:r>
      <w:r w:rsidRPr="003F63DB">
        <w:t>nerna i uppdragsvolym. Huruvida associationsformen för Riksantikvarieä</w:t>
      </w:r>
      <w:r w:rsidRPr="003F63DB">
        <w:t>m</w:t>
      </w:r>
      <w:r w:rsidRPr="003F63DB">
        <w:t>betet-UV ska omfattas av översynen framgår inte. I budgetpropositionen hänvisar regeringen även till Riksdagens revisorers granskning av uppdrag</w:t>
      </w:r>
      <w:r w:rsidRPr="003F63DB">
        <w:t>s</w:t>
      </w:r>
      <w:r w:rsidRPr="003F63DB">
        <w:t>ark</w:t>
      </w:r>
      <w:r w:rsidRPr="003F63DB">
        <w:t>eologi.</w:t>
      </w:r>
      <w:r w:rsidRPr="003F63DB">
        <w:rPr>
          <w:rStyle w:val="Fotnotsreferens"/>
        </w:rPr>
        <w:footnoteReference w:id="223"/>
      </w:r>
      <w:r w:rsidRPr="003F63DB">
        <w:t xml:space="preserve"> </w:t>
      </w:r>
    </w:p>
    <w:p w:rsidR="00905B3E" w:rsidRPr="003F63DB" w:rsidRDefault="00905B3E">
      <w:pPr>
        <w:pStyle w:val="Rubrik2"/>
      </w:pPr>
      <w:bookmarkStart w:id="150" w:name="_Toc25031944"/>
      <w:bookmarkStart w:id="151" w:name="_Toc36520772"/>
      <w:r w:rsidRPr="003F63DB">
        <w:t>Sammanfattande iakttagelser</w:t>
      </w:r>
      <w:bookmarkEnd w:id="150"/>
      <w:bookmarkEnd w:id="151"/>
    </w:p>
    <w:p w:rsidR="00905B3E" w:rsidRPr="003F63DB" w:rsidRDefault="00905B3E">
      <w:r w:rsidRPr="003F63DB">
        <w:t>Riksantikvarieämbetets arkeologiska verksamhet är normgivande vid Rik</w:t>
      </w:r>
      <w:r w:rsidRPr="003F63DB">
        <w:t>s</w:t>
      </w:r>
      <w:r w:rsidRPr="003F63DB">
        <w:t>antikvarieämbetets utformning av föreskrifter, allmänna råd och rekomme</w:t>
      </w:r>
      <w:r w:rsidRPr="003F63DB">
        <w:t>n</w:t>
      </w:r>
      <w:r w:rsidRPr="003F63DB">
        <w:t>dationer. Därmed finns det risk för att andra arbetssätt och synsätt än dem Riksantikvarieämbetet-UV företr</w:t>
      </w:r>
      <w:r w:rsidRPr="003F63DB">
        <w:t>ä</w:t>
      </w:r>
      <w:r w:rsidRPr="003F63DB">
        <w:t>der beaktas i mindre utsträckning.</w:t>
      </w:r>
    </w:p>
    <w:p w:rsidR="00905B3E" w:rsidRPr="003F63DB" w:rsidRDefault="00905B3E">
      <w:pPr>
        <w:pStyle w:val="Normaltindrag"/>
      </w:pPr>
      <w:r w:rsidRPr="003F63DB">
        <w:t xml:space="preserve">Riksantikvarieämbetet har i de uppföljningar man gjort på regeringens uppdrag bl.a. konstaterat att länsstyrelserna tillämpar föreskrifterna på olika sätt, att anbudsförfaranden används i begränsad omfattning och att tillsynen brister. Iakttagelserna har inte föranlett Riksantikvarieämbetet att </w:t>
      </w:r>
      <w:r w:rsidRPr="003F63DB">
        <w:t>ändra för</w:t>
      </w:r>
      <w:r w:rsidRPr="003F63DB">
        <w:t>e</w:t>
      </w:r>
      <w:r w:rsidRPr="003F63DB">
        <w:t>skrifterna eller de allmä</w:t>
      </w:r>
      <w:r w:rsidRPr="003F63DB">
        <w:t>n</w:t>
      </w:r>
      <w:r w:rsidRPr="003F63DB">
        <w:t>na råden.</w:t>
      </w:r>
    </w:p>
    <w:p w:rsidR="00905B3E" w:rsidRPr="003F63DB" w:rsidRDefault="00905B3E">
      <w:pPr>
        <w:pStyle w:val="Normaltindrag"/>
      </w:pPr>
      <w:r w:rsidRPr="003F63DB">
        <w:t>Regeringen har krävt utvidgad kontroll över och uppföljning av den ark</w:t>
      </w:r>
      <w:r w:rsidRPr="003F63DB">
        <w:t>e</w:t>
      </w:r>
      <w:r w:rsidRPr="003F63DB">
        <w:t>ologiska verksamheten. Riksantikvarieämbetets resurser för uppgiften har dock minskat. Liksom länsstyrelserna har Riksantikvarieämbetet prioriterat kontroll av de beslut som rör stora arkeologiska projekt (över 30 prisbasb</w:t>
      </w:r>
      <w:r w:rsidRPr="003F63DB">
        <w:t>e</w:t>
      </w:r>
      <w:r w:rsidRPr="003F63DB">
        <w:t>lopp).</w:t>
      </w:r>
    </w:p>
    <w:p w:rsidR="00905B3E" w:rsidRPr="003F63DB" w:rsidRDefault="00905B3E">
      <w:pPr>
        <w:pStyle w:val="Normaltindrag"/>
      </w:pPr>
      <w:r w:rsidRPr="003F63DB">
        <w:t>Den konkurrens Riksantikvarieämbetet-UV möter finns främst i Stoc</w:t>
      </w:r>
      <w:r w:rsidRPr="003F63DB">
        <w:t>k</w:t>
      </w:r>
      <w:r w:rsidRPr="003F63DB">
        <w:t>holms län. För att komma till rätta med det balanserade underskottet är a</w:t>
      </w:r>
      <w:r w:rsidRPr="003F63DB">
        <w:t>v</w:t>
      </w:r>
      <w:r w:rsidRPr="003F63DB">
        <w:t>delningens mål att minska antalet förlorade anbud. Riksantikvarieämbetet har överklagat ett beslut av länsstyrelsen i Stockholms län och förordat sin egen verksamhet framför den undersökare som länsstyrelsen valt efter anbudsfö</w:t>
      </w:r>
      <w:r w:rsidRPr="003F63DB">
        <w:t>r</w:t>
      </w:r>
      <w:r w:rsidRPr="003F63DB">
        <w:t xml:space="preserve">farande. </w:t>
      </w:r>
    </w:p>
    <w:p w:rsidR="00905B3E" w:rsidRPr="003F63DB" w:rsidRDefault="00905B3E">
      <w:pPr>
        <w:pStyle w:val="Normaltindrag"/>
      </w:pPr>
      <w:r w:rsidRPr="003F63DB">
        <w:t>Det har under de senaste tio åren förts en diskussion om intressekonflikte</w:t>
      </w:r>
      <w:r w:rsidRPr="003F63DB">
        <w:t>r</w:t>
      </w:r>
      <w:r w:rsidRPr="003F63DB">
        <w:t>na i Riksantikvarieämbetets uppgifter och framförts förslag om en annan associationsform för myndighetens arkeol</w:t>
      </w:r>
      <w:r w:rsidRPr="003F63DB">
        <w:t>o</w:t>
      </w:r>
      <w:r w:rsidRPr="003F63DB">
        <w:t xml:space="preserve">giska uppdragsverksamhet. </w:t>
      </w:r>
    </w:p>
    <w:p w:rsidR="00905B3E" w:rsidRPr="003F63DB" w:rsidRDefault="00905B3E">
      <w:pPr>
        <w:pStyle w:val="Normaltindrag"/>
      </w:pPr>
      <w:r w:rsidRPr="003F63DB">
        <w:t>Avdelningen för arkeologiska undersökningar vid Riksantikvarieämbetet är en resultatenhet inom myndigheten. Riksantikvarieämbetet har vidtagit ytterligare åtgärder för att tydliggöra skiljelinjen mellan myndighetsuppgifter och uppdragsverksamhet i arkeologiska frågor. Myndigheten uppfattas ha blivit bättre på att hantera sina olika uppgifter. Det kvarstår dock principi</w:t>
      </w:r>
      <w:r w:rsidRPr="003F63DB">
        <w:t>ella invändningar mot myndighetens organisation och misstankar om att myndi</w:t>
      </w:r>
      <w:r w:rsidRPr="003F63DB">
        <w:t>g</w:t>
      </w:r>
      <w:r w:rsidRPr="003F63DB">
        <w:t>h</w:t>
      </w:r>
      <w:r w:rsidRPr="003F63DB">
        <w:t>e</w:t>
      </w:r>
      <w:r w:rsidRPr="003F63DB">
        <w:t>ten inte agerar opartiskt.</w:t>
      </w:r>
    </w:p>
    <w:p w:rsidR="00905B3E" w:rsidRPr="003F63DB" w:rsidRDefault="00905B3E">
      <w:pPr>
        <w:pStyle w:val="Rubrik1"/>
      </w:pPr>
      <w:r w:rsidRPr="003F63DB">
        <w:br w:type="page"/>
      </w:r>
      <w:bookmarkStart w:id="152" w:name="_Toc20724670"/>
      <w:bookmarkStart w:id="153" w:name="_Toc25031945"/>
      <w:bookmarkStart w:id="154" w:name="_Toc36520773"/>
      <w:r w:rsidRPr="003F63DB">
        <w:t xml:space="preserve">Revisorernas </w:t>
      </w:r>
      <w:bookmarkEnd w:id="152"/>
      <w:r w:rsidRPr="003F63DB">
        <w:t>överväganden och förslag</w:t>
      </w:r>
      <w:bookmarkEnd w:id="153"/>
      <w:bookmarkEnd w:id="154"/>
    </w:p>
    <w:p w:rsidR="00905B3E" w:rsidRPr="003F63DB" w:rsidRDefault="00905B3E">
      <w:r w:rsidRPr="003F63DB">
        <w:t>Revisorerna utgår i det följande från kulturminneslagens bestämmelser, som innebär att fasta fornlämningar i möjligaste mån ska skyddas. När tillstånd till ingrepp i fasta fornlämningar ändå ges ska arkeologiska undersökningar utföras på ett sådant sätt att de ger ny kunskap om historiska förhållanden. Kunskapen ska komma till användning i forskning och utbildning och även på andra sätt förmedlas till allmänheten. Statsmakterna har även framfört att arkeologiska undersö</w:t>
      </w:r>
      <w:r w:rsidRPr="003F63DB">
        <w:t>kningar ska genomföras till så låga kostnader som möjligt.</w:t>
      </w:r>
    </w:p>
    <w:p w:rsidR="00905B3E" w:rsidRPr="003F63DB" w:rsidRDefault="00905B3E">
      <w:pPr>
        <w:pStyle w:val="Normaltindrag"/>
      </w:pPr>
      <w:r w:rsidRPr="003F63DB">
        <w:t>En arkeologisk undersökning kan inte göras om efter det att fornlämningen har förstörts. Det går heller inte att i efterhand kontrollera hur undersöknin</w:t>
      </w:r>
      <w:r w:rsidRPr="003F63DB">
        <w:t>g</w:t>
      </w:r>
      <w:r w:rsidRPr="003F63DB">
        <w:t>en genomfördes. Enligt revisorernas mening är det därför viktigt att forskare, undersökare, exploatörer och en intresserad allmänhet får insyn i hur beslut om arkeologi</w:t>
      </w:r>
      <w:r w:rsidRPr="003F63DB">
        <w:t>s</w:t>
      </w:r>
      <w:r w:rsidRPr="003F63DB">
        <w:t xml:space="preserve">ka undersökningar fattas och i det arkeologiska arbetet. </w:t>
      </w:r>
    </w:p>
    <w:p w:rsidR="00905B3E" w:rsidRPr="003F63DB" w:rsidRDefault="00905B3E">
      <w:pPr>
        <w:pStyle w:val="Rubrik2"/>
      </w:pPr>
      <w:bookmarkStart w:id="155" w:name="_Toc25031946"/>
      <w:bookmarkStart w:id="156" w:name="_Toc36520774"/>
      <w:r w:rsidRPr="003F63DB">
        <w:t>Det saknas aktiva mottagare av resultaten</w:t>
      </w:r>
      <w:bookmarkEnd w:id="155"/>
      <w:bookmarkEnd w:id="156"/>
    </w:p>
    <w:p w:rsidR="00905B3E" w:rsidRPr="003F63DB" w:rsidRDefault="00905B3E">
      <w:r w:rsidRPr="003F63DB">
        <w:t>Revisorerna har funnit att flera tusen arkeologiska undersökningar ännu inte är slutligt rapporterade. Detta har fått till följd att det är oklart vilken ku</w:t>
      </w:r>
      <w:r w:rsidRPr="003F63DB">
        <w:t>n</w:t>
      </w:r>
      <w:r w:rsidRPr="003F63DB">
        <w:t>skap undersökningarna har bidragit med. De arkeologiska fynden har heller inte varit tillgängliga för forskare eller museer. De kan ha förvarats på fela</w:t>
      </w:r>
      <w:r w:rsidRPr="003F63DB">
        <w:t>k</w:t>
      </w:r>
      <w:r w:rsidRPr="003F63DB">
        <w:t>tigt sätt och därför förstörts. Fynd kan till och med ha kommit bort. Unders</w:t>
      </w:r>
      <w:r w:rsidRPr="003F63DB">
        <w:t>ö</w:t>
      </w:r>
      <w:r w:rsidRPr="003F63DB">
        <w:t>karna saknar incitament att få de arkeologiska rapporterna klara då de ofta har fått betalt för rapportarbetet i förskott.</w:t>
      </w:r>
    </w:p>
    <w:p w:rsidR="00905B3E" w:rsidRPr="003F63DB" w:rsidRDefault="00905B3E">
      <w:pPr>
        <w:pStyle w:val="Normaltindrag"/>
      </w:pPr>
      <w:r w:rsidRPr="003F63DB">
        <w:t>Uteblivna eller kraftigt försenade slutredovisningar av det slag som har f</w:t>
      </w:r>
      <w:r w:rsidRPr="003F63DB">
        <w:t>ö</w:t>
      </w:r>
      <w:r w:rsidRPr="003F63DB">
        <w:t>rekommit under lång tid inom uppdragsarkeologin skulle knappast godtas inom andra verksamheter som utförs på uppdragsbasis. En förklaring till att ett sådant förfarande har varit möjligt är att det bland dem som ingår i den uppdragsarkeologiska organisationen inte finns någon aktiv mottagare av de arkeologi</w:t>
      </w:r>
      <w:r w:rsidRPr="003F63DB">
        <w:t>s</w:t>
      </w:r>
      <w:r w:rsidRPr="003F63DB">
        <w:t xml:space="preserve">ka resultaten. </w:t>
      </w:r>
    </w:p>
    <w:p w:rsidR="00905B3E" w:rsidRPr="003F63DB" w:rsidRDefault="00905B3E">
      <w:pPr>
        <w:pStyle w:val="Normaltindrag"/>
      </w:pPr>
      <w:r w:rsidRPr="003F63DB">
        <w:t>Organisationen för uppdragsarkeologi omfattar länsstyrelserna, unders</w:t>
      </w:r>
      <w:r w:rsidRPr="003F63DB">
        <w:t>ö</w:t>
      </w:r>
      <w:r w:rsidRPr="003F63DB">
        <w:t>karna och exploatörerna. Ingen av dessa organisationer kan enligt revisore</w:t>
      </w:r>
      <w:r w:rsidRPr="003F63DB">
        <w:t>r</w:t>
      </w:r>
      <w:r w:rsidRPr="003F63DB">
        <w:t>nas mening betraktas som huvudmottagare av de arkeologiska undersö</w:t>
      </w:r>
      <w:r w:rsidRPr="003F63DB">
        <w:t>k</w:t>
      </w:r>
      <w:r w:rsidRPr="003F63DB">
        <w:t>ningsresultaten.</w:t>
      </w:r>
    </w:p>
    <w:p w:rsidR="00905B3E" w:rsidRPr="003F63DB" w:rsidRDefault="00905B3E">
      <w:pPr>
        <w:pStyle w:val="Normaltindrag"/>
      </w:pPr>
      <w:r w:rsidRPr="003F63DB">
        <w:t xml:space="preserve">Länsstyrelsernas uppgifter gäller formerna för uppdragsarkeologi, snarare än de arkeologiska resultaten. Undersökningsresultat kan visserligen komma till användning vid kommande prövningar om tillstånd, men länsstyrelserna varken bearbetar eller förmedlar resultaten vidare. </w:t>
      </w:r>
    </w:p>
    <w:p w:rsidR="00905B3E" w:rsidRPr="003F63DB" w:rsidRDefault="00905B3E">
      <w:pPr>
        <w:pStyle w:val="Normaltindrag"/>
      </w:pPr>
      <w:r w:rsidRPr="003F63DB">
        <w:t>Undersökarna kan ha nytta av undersökningsresultaten i sitt fortsatta arbete – metodmässigt och i arbetet med vetenskapliga program och nya undersö</w:t>
      </w:r>
      <w:r w:rsidRPr="003F63DB">
        <w:t>k</w:t>
      </w:r>
      <w:r w:rsidRPr="003F63DB">
        <w:t>ningsplaner. Inte heller de har emellertid till uppgift att bearbeta resultaten vidare eller att förmedla dem vidare till andra. Länsmuseerna arbetar i detta avseende på andra villkor än andra undersökare. De har också till uppgift att förmedla kunskap om regionens historia och kan därför utnyttja arkeologiska resultat i sin visningsverksamhet. Det finns dock ingen garanti för att de undersökningar där museerna deltagit bidrar med det mest intressanta mat</w:t>
      </w:r>
      <w:r w:rsidRPr="003F63DB">
        <w:t>e</w:t>
      </w:r>
      <w:r w:rsidRPr="003F63DB">
        <w:t>rialet för utställningar. Det är heller inte självk</w:t>
      </w:r>
      <w:r w:rsidRPr="003F63DB">
        <w:t>lart att de fynd som tillvarat</w:t>
      </w:r>
      <w:r w:rsidRPr="003F63DB">
        <w:t>a</w:t>
      </w:r>
      <w:r w:rsidRPr="003F63DB">
        <w:t xml:space="preserve">gits vid undersökningar i länet tillfaller respektive länsmuseum. </w:t>
      </w:r>
    </w:p>
    <w:p w:rsidR="00905B3E" w:rsidRPr="003F63DB" w:rsidRDefault="00905B3E">
      <w:pPr>
        <w:pStyle w:val="Normaltindrag"/>
      </w:pPr>
      <w:r w:rsidRPr="003F63DB">
        <w:t>Exploatörernas främsta intresse är att få snabb tillgång till marken för sin exploatering. Även om de benämns uppdragsgivare har exploatörerna kna</w:t>
      </w:r>
      <w:r w:rsidRPr="003F63DB">
        <w:t>p</w:t>
      </w:r>
      <w:r w:rsidRPr="003F63DB">
        <w:t>past någon nytta av undersökningsresultaten i sin egen verksamhet. Däremot kan de medan en arkeologisk undersökning pågår få positiv uppmärksamhet kring sin exploatering genom att t.ex. bekosta visningar och information</w:t>
      </w:r>
      <w:r w:rsidRPr="003F63DB">
        <w:t>s</w:t>
      </w:r>
      <w:r w:rsidRPr="003F63DB">
        <w:t>material.</w:t>
      </w:r>
    </w:p>
    <w:p w:rsidR="00905B3E" w:rsidRPr="003F63DB" w:rsidRDefault="00905B3E">
      <w:pPr>
        <w:pStyle w:val="Normaltindrag"/>
      </w:pPr>
      <w:r w:rsidRPr="003F63DB">
        <w:t>Huvudmottagarna av slutresultaten från arkeologiska undersökningar är i stället universitet och högskolor, som har som främsta uppgifter att bedriva forskning och utbildning. De har dock inte någon plats i organisationen för uppdragsarkeologi. Deras deltagande har i huvudsak varit</w:t>
      </w:r>
      <w:r w:rsidRPr="003F63DB">
        <w:t xml:space="preserve"> begränsat till me</w:t>
      </w:r>
      <w:r w:rsidRPr="003F63DB">
        <w:t>d</w:t>
      </w:r>
      <w:r w:rsidRPr="003F63DB">
        <w:t>verkan i styr- och referen</w:t>
      </w:r>
      <w:r w:rsidRPr="003F63DB">
        <w:t>s</w:t>
      </w:r>
      <w:r w:rsidRPr="003F63DB">
        <w:t xml:space="preserve">grupper för stora arkeologiska projekt. </w:t>
      </w:r>
    </w:p>
    <w:p w:rsidR="00905B3E" w:rsidRPr="003F63DB" w:rsidRDefault="00905B3E">
      <w:pPr>
        <w:pStyle w:val="Normaltindrag"/>
      </w:pPr>
      <w:r w:rsidRPr="003F63DB">
        <w:t>Trots att syftet med alla arkeologiska undersökningar är att utvinna ny kunskap bedrivs forskningsarkeologi och uppdragsarkeologi som två skilda verksamheter. Riksantikvarieämbetet har påtalat att uppdragsarkeologiska resultat är dåligt utnyttjade inom grundforskningen. Statsmakterna har dä</w:t>
      </w:r>
      <w:r w:rsidRPr="003F63DB">
        <w:t>r</w:t>
      </w:r>
      <w:r w:rsidRPr="003F63DB">
        <w:t>efter framfört önskemål om aktiv medverkan och inflytande från universitet och högskolor i uppdragsarkeologin. Att sådan medverkan inte har kommit till stånd förklaras enligt revisorernas mening av att universitet och högsk</w:t>
      </w:r>
      <w:r w:rsidRPr="003F63DB">
        <w:t>o</w:t>
      </w:r>
      <w:r w:rsidRPr="003F63DB">
        <w:t>lor inte finns med i organisationen för up</w:t>
      </w:r>
      <w:r w:rsidRPr="003F63DB">
        <w:t>p</w:t>
      </w:r>
      <w:r w:rsidRPr="003F63DB">
        <w:t>dragsarkeologi.</w:t>
      </w:r>
    </w:p>
    <w:p w:rsidR="00905B3E" w:rsidRPr="003F63DB" w:rsidRDefault="00905B3E">
      <w:pPr>
        <w:pStyle w:val="Rubrik3-Utannumrering"/>
      </w:pPr>
      <w:r w:rsidRPr="003F63DB">
        <w:t>Revisorernas förslag</w:t>
      </w:r>
    </w:p>
    <w:p w:rsidR="00905B3E" w:rsidRPr="003F63DB" w:rsidRDefault="00905B3E">
      <w:pPr>
        <w:numPr>
          <w:ilvl w:val="0"/>
          <w:numId w:val="188"/>
        </w:numPr>
      </w:pPr>
      <w:r w:rsidRPr="003F63DB">
        <w:t>Revisorerna föreslår att stora eller viktiga uppdragsarkeologiska unde</w:t>
      </w:r>
      <w:r w:rsidRPr="003F63DB">
        <w:t>r</w:t>
      </w:r>
      <w:r w:rsidRPr="003F63DB">
        <w:t>sökningar leds av universitet och hö</w:t>
      </w:r>
      <w:r w:rsidRPr="003F63DB">
        <w:t>g</w:t>
      </w:r>
      <w:r w:rsidRPr="003F63DB">
        <w:t>skolor.</w:t>
      </w:r>
    </w:p>
    <w:p w:rsidR="00905B3E" w:rsidRPr="003F63DB" w:rsidRDefault="00905B3E">
      <w:r w:rsidRPr="003F63DB">
        <w:t>Revisorerna anser att det bör vara en uppgift för universitet och högskolor att inom ramen för sitt samverkansuppdrag fungera som vetenskapliga ledare för stora eller viktiga arkeologiska undersökningar. Det innebär att forskare kan fungera som rådgivare och stöd till länsstyrelserna vid utformningen av kravspecifikationer och inför utvärderingen av undersökningsplaner och rapporter. Länsstyrelserna bör åläggas att efter samråd med Riksantikvari</w:t>
      </w:r>
      <w:r w:rsidRPr="003F63DB">
        <w:t>e</w:t>
      </w:r>
      <w:r w:rsidRPr="003F63DB">
        <w:t>ämbetet utse sådana vetenskapliga ledare. Det arkeologiska fältarbetet skulle däremot som hittills ledas av valda undersökare.</w:t>
      </w:r>
    </w:p>
    <w:p w:rsidR="00905B3E" w:rsidRPr="003F63DB" w:rsidRDefault="00905B3E">
      <w:pPr>
        <w:pStyle w:val="Normaltindrag"/>
      </w:pPr>
      <w:r w:rsidRPr="003F63DB">
        <w:t>Med särskilt utsedda vetenskapliga ledare skulle forskare få möjlighet att påverka undersökningarnas omfattning och inriktning. De skulle få inform</w:t>
      </w:r>
      <w:r w:rsidRPr="003F63DB">
        <w:t>a</w:t>
      </w:r>
      <w:r w:rsidRPr="003F63DB">
        <w:t>tion om planerade undersökningar på ett tidigt stadium och möjlighet att direkt använda undersökningsresultat i utbildning och forskning. Därmed skulle uppdragsarkeol</w:t>
      </w:r>
      <w:r w:rsidRPr="003F63DB">
        <w:t>o</w:t>
      </w:r>
      <w:r w:rsidRPr="003F63DB">
        <w:t xml:space="preserve">gins resultat knytas närmare forskningen. </w:t>
      </w:r>
    </w:p>
    <w:p w:rsidR="00905B3E" w:rsidRPr="003F63DB" w:rsidRDefault="00905B3E">
      <w:pPr>
        <w:pStyle w:val="Normaltindrag"/>
      </w:pPr>
      <w:r w:rsidRPr="003F63DB">
        <w:t>Med aktiva mottagare av uppdragsarkeologiska rapporter skulle kraven på att rapporterna färdigställs skärpas. Därmed skulle även fynden bli tillgängl</w:t>
      </w:r>
      <w:r w:rsidRPr="003F63DB">
        <w:t>i</w:t>
      </w:r>
      <w:r w:rsidRPr="003F63DB">
        <w:t>ga tidigare än vad som hittills varit fallet. Undersökarnas planer skulle pr</w:t>
      </w:r>
      <w:r w:rsidRPr="003F63DB">
        <w:t>ö</w:t>
      </w:r>
      <w:r w:rsidRPr="003F63DB">
        <w:t>vas och ifrågasättas av fler intressenter och från skilda utgångspunkter. Ins</w:t>
      </w:r>
      <w:r w:rsidRPr="003F63DB">
        <w:t>y</w:t>
      </w:r>
      <w:r w:rsidRPr="003F63DB">
        <w:t>nen i beslutsprocessen skulle förbättras, och statens roll som beställare av arkeologiska undersökningar stärkas.</w:t>
      </w:r>
    </w:p>
    <w:p w:rsidR="00905B3E" w:rsidRPr="003F63DB" w:rsidRDefault="00905B3E">
      <w:pPr>
        <w:pStyle w:val="Rubrik2"/>
      </w:pPr>
      <w:bookmarkStart w:id="157" w:name="_Toc25031947"/>
      <w:bookmarkStart w:id="158" w:name="_Toc36520775"/>
      <w:r w:rsidRPr="003F63DB">
        <w:t>Begränsad konkurrens och begränsad insyn</w:t>
      </w:r>
      <w:bookmarkEnd w:id="157"/>
      <w:bookmarkEnd w:id="158"/>
    </w:p>
    <w:p w:rsidR="00905B3E" w:rsidRPr="003F63DB" w:rsidRDefault="00905B3E">
      <w:r w:rsidRPr="003F63DB">
        <w:t>Genom ett särskilt riksdagsbeslut 1997 har uppdragsarkeologi undantagits från lagen om offentlig upphandling. Riksantikvarieämbetet har därefter bemyndigats att utforma konkurrensvillkoren för den verksamhet där my</w:t>
      </w:r>
      <w:r w:rsidRPr="003F63DB">
        <w:t>n</w:t>
      </w:r>
      <w:r w:rsidRPr="003F63DB">
        <w:t>digheten själv har en dominerande ställning. Gränsen för när ett anbudsförf</w:t>
      </w:r>
      <w:r w:rsidRPr="003F63DB">
        <w:t>a</w:t>
      </w:r>
      <w:r w:rsidRPr="003F63DB">
        <w:t>rande ska tillämpas är satt på en sådan nivå att få undersökare utöver Rik</w:t>
      </w:r>
      <w:r w:rsidRPr="003F63DB">
        <w:t>s</w:t>
      </w:r>
      <w:r w:rsidRPr="003F63DB">
        <w:t>antikvarieä</w:t>
      </w:r>
      <w:r w:rsidRPr="003F63DB">
        <w:t>m</w:t>
      </w:r>
      <w:r w:rsidRPr="003F63DB">
        <w:t xml:space="preserve">betet kan konkurrera om uppdragen. </w:t>
      </w:r>
    </w:p>
    <w:p w:rsidR="00905B3E" w:rsidRPr="003F63DB" w:rsidRDefault="00905B3E">
      <w:pPr>
        <w:pStyle w:val="Normaltindrag"/>
      </w:pPr>
      <w:r w:rsidRPr="003F63DB">
        <w:t>I sina uppföljningar av hur länsstyrelserna tillämpar föreskrifterna har Riksantikvarieämbetet konstaterat att föreskrifterna tillämpas på olika sätt och att anbudsförfaranden används i begränsad omfattning. Iakttagelserna har emellertid inte föranlett Riksantikvarieämbetet att ändra vare sig för</w:t>
      </w:r>
      <w:r w:rsidRPr="003F63DB">
        <w:t>e</w:t>
      </w:r>
      <w:r w:rsidRPr="003F63DB">
        <w:t>skrifter eller allmänna råd.</w:t>
      </w:r>
    </w:p>
    <w:p w:rsidR="00905B3E" w:rsidRPr="003F63DB" w:rsidRDefault="00905B3E">
      <w:pPr>
        <w:pStyle w:val="Normaltindrag"/>
      </w:pPr>
      <w:r w:rsidRPr="003F63DB">
        <w:t>Andra tjänster med anknytning till uppdragsarkeologi, såsom arkeologiska förstudier och informationstjänster, omfattas av lagen om offentlig upphan</w:t>
      </w:r>
      <w:r w:rsidRPr="003F63DB">
        <w:t>d</w:t>
      </w:r>
      <w:r w:rsidRPr="003F63DB">
        <w:t>ling. Revisorerna har emellertid noterat att flertalet sådana tjänster inte up</w:t>
      </w:r>
      <w:r w:rsidRPr="003F63DB">
        <w:t>p</w:t>
      </w:r>
      <w:r w:rsidRPr="003F63DB">
        <w:t>handlas enligt lagen.</w:t>
      </w:r>
    </w:p>
    <w:p w:rsidR="00905B3E" w:rsidRPr="003F63DB" w:rsidRDefault="00905B3E">
      <w:pPr>
        <w:pStyle w:val="Rubrik3-Utannumrering"/>
      </w:pPr>
      <w:r w:rsidRPr="003F63DB">
        <w:t>Möjligheterna till insyn är begränsade</w:t>
      </w:r>
    </w:p>
    <w:p w:rsidR="00905B3E" w:rsidRPr="003F63DB" w:rsidRDefault="00905B3E">
      <w:r w:rsidRPr="003F63DB">
        <w:t>Revisorerna har funnit att knappast någon utöver länsstyrelsen och berörd undersökare har insyn i hur beslut om arkeologiska utredningar och unde</w:t>
      </w:r>
      <w:r w:rsidRPr="003F63DB">
        <w:t>r</w:t>
      </w:r>
      <w:r w:rsidRPr="003F63DB">
        <w:t>sökningar fattas eller hur de genomförs. Allmänhetens kontakt med arkeologi inträffar som regel först när ingreppet är ett faktum och resultat från unde</w:t>
      </w:r>
      <w:r w:rsidRPr="003F63DB">
        <w:t>r</w:t>
      </w:r>
      <w:r w:rsidRPr="003F63DB">
        <w:t>sökningen på något sätt förmedlas. Intressemotsättningar som gäller ingre</w:t>
      </w:r>
      <w:r w:rsidRPr="003F63DB">
        <w:t>p</w:t>
      </w:r>
      <w:r w:rsidRPr="003F63DB">
        <w:t>pet eller undersökningens genomförande redovisas sällan offentligt. Prö</w:t>
      </w:r>
      <w:r w:rsidRPr="003F63DB">
        <w:t>v</w:t>
      </w:r>
      <w:r w:rsidRPr="003F63DB">
        <w:t>ningen görs av länsstyrelsen, som förväntas väga samman skilda sam</w:t>
      </w:r>
      <w:r w:rsidRPr="003F63DB">
        <w:softHyphen/>
        <w:t>hälls</w:t>
      </w:r>
      <w:r w:rsidRPr="003F63DB">
        <w:softHyphen/>
        <w:t>intressen. Motsättningar inom länsstyrelsen blir offentliga endast i den u</w:t>
      </w:r>
      <w:r w:rsidRPr="003F63DB">
        <w:t>t</w:t>
      </w:r>
      <w:r w:rsidRPr="003F63DB">
        <w:t>sträckning någon tjänsteman fogar en avvikande mening till ett b</w:t>
      </w:r>
      <w:r w:rsidRPr="003F63DB">
        <w:t>eslut.</w:t>
      </w:r>
    </w:p>
    <w:p w:rsidR="00905B3E" w:rsidRPr="003F63DB" w:rsidRDefault="00905B3E">
      <w:pPr>
        <w:pStyle w:val="Normaltindrag"/>
      </w:pPr>
      <w:r w:rsidRPr="003F63DB">
        <w:t>Riksantikvarieämbetet och länsstyrelserna ska bevaka att kulturminnesl</w:t>
      </w:r>
      <w:r w:rsidRPr="003F63DB">
        <w:t>a</w:t>
      </w:r>
      <w:r w:rsidRPr="003F63DB">
        <w:t>gens bestämmelser följs. Ingen aktiv intresseorganisation företräder fornlä</w:t>
      </w:r>
      <w:r w:rsidRPr="003F63DB">
        <w:t>m</w:t>
      </w:r>
      <w:r w:rsidRPr="003F63DB">
        <w:t>ningarna. Riksantikvarieämbetet kan överklaga beslut av länsstyrelserna i uppdragsarkeologiska ärenden men kan även ha intresse av att ingrepp tillåts, eftersom myndighetens uppdragsverksamhet är beroende av intä</w:t>
      </w:r>
      <w:r w:rsidRPr="003F63DB">
        <w:t>k</w:t>
      </w:r>
      <w:r w:rsidRPr="003F63DB">
        <w:t xml:space="preserve">terna. </w:t>
      </w:r>
    </w:p>
    <w:p w:rsidR="00905B3E" w:rsidRPr="003F63DB" w:rsidRDefault="00905B3E">
      <w:pPr>
        <w:pStyle w:val="Rubrik3-Utannumrering"/>
      </w:pPr>
      <w:r w:rsidRPr="003F63DB">
        <w:t>Beslutsunderlagen är ofullständiga eller hemliga och tillsynen</w:t>
      </w:r>
      <w:r w:rsidRPr="003F63DB">
        <w:rPr>
          <w:highlight w:val="yellow"/>
        </w:rPr>
        <w:t xml:space="preserve"> </w:t>
      </w:r>
      <w:r w:rsidRPr="003F63DB">
        <w:t>är begränsad</w:t>
      </w:r>
    </w:p>
    <w:p w:rsidR="00905B3E" w:rsidRPr="003F63DB" w:rsidRDefault="00905B3E">
      <w:r w:rsidRPr="003F63DB">
        <w:t>Insynen i den arkeologiska beslutsprocessen begränsas när länsstyrelsernas underlag i form av kravspecifikationer och undersökningsplaner är otydliga eller saknas helt. Vissa länsstyrelser överlåter åt undersökarna att avgöra både ambitionsnivå och kostnader för arkeologiska projekt. Ett sådant förf</w:t>
      </w:r>
      <w:r w:rsidRPr="003F63DB">
        <w:t>a</w:t>
      </w:r>
      <w:r w:rsidRPr="003F63DB">
        <w:t>rande går tvärtemot statsmakternas krav på att inte överlåta ett sådant avg</w:t>
      </w:r>
      <w:r w:rsidRPr="003F63DB">
        <w:t>ö</w:t>
      </w:r>
      <w:r w:rsidRPr="003F63DB">
        <w:t xml:space="preserve">rande åt undersökarna. Insynen i det arkeologiska arbetet begränsas också av att länsstyrelsernas uppföljning och tillsyn är lågt prioriterad. Även ett sådant förfarande strider mot statsmakternas intentioner. </w:t>
      </w:r>
    </w:p>
    <w:p w:rsidR="00905B3E" w:rsidRPr="003F63DB" w:rsidRDefault="00905B3E">
      <w:pPr>
        <w:pStyle w:val="Normaltindrag"/>
      </w:pPr>
      <w:r w:rsidRPr="003F63DB">
        <w:t>Revisorernas granskning av beslut om stora arkeologiska undersökningar visar att vissa länsstyrelser inte motiverar valet av undersökare. De grunder på vilka undersökare väljs blir då oklara. Ett länsstyrelsebeslut som sakna</w:t>
      </w:r>
      <w:r w:rsidRPr="003F63DB">
        <w:t>r motivering bidrar inte bara till begränsad insyn; det strider också mot fö</w:t>
      </w:r>
      <w:r w:rsidRPr="003F63DB">
        <w:t>r</w:t>
      </w:r>
      <w:r w:rsidRPr="003F63DB">
        <w:t>valtningslagen. Riksantikvarieämbetet ställer lägre krav på länsstyrelsernas beslutsmotivering vid direktval av undersökare. Detta gör det enligt revis</w:t>
      </w:r>
      <w:r w:rsidRPr="003F63DB">
        <w:t>o</w:t>
      </w:r>
      <w:r w:rsidRPr="003F63DB">
        <w:t>rernas mening särskilt svårt för konkurrenter och andra intresserade medbo</w:t>
      </w:r>
      <w:r w:rsidRPr="003F63DB">
        <w:t>r</w:t>
      </w:r>
      <w:r w:rsidRPr="003F63DB">
        <w:t xml:space="preserve">gare att utläsa hur länsstyrelserna resonerat när man valt undersökare. </w:t>
      </w:r>
    </w:p>
    <w:p w:rsidR="00905B3E" w:rsidRPr="003F63DB" w:rsidRDefault="00905B3E">
      <w:pPr>
        <w:pStyle w:val="Normaltindrag"/>
      </w:pPr>
      <w:r w:rsidRPr="003F63DB">
        <w:t xml:space="preserve">Att information i upprättade undersökningsplaner beläggs med sekretess bidrar också till att insynen begränsas. Riksantikvarieämbetets </w:t>
      </w:r>
      <w:r w:rsidRPr="003F63DB">
        <w:t>avdelning för arkeologiska undersökningar har i ett aktuellt fall begärt att den beslutande länsstyrelsen ska sekretessbelägga delar av avdelningens undersökningsplan med hänvisning till affärssekretess. Länsstyrelsen har tillmötesgått Riksa</w:t>
      </w:r>
      <w:r w:rsidRPr="003F63DB">
        <w:t>n</w:t>
      </w:r>
      <w:r w:rsidRPr="003F63DB">
        <w:t>tikvarieämbetets önskemål. Hemliga beslutsunderlag försvårar möjligheten för intresserade att kritiskt granska beslut som rör ingrepp i for</w:t>
      </w:r>
      <w:r w:rsidRPr="003F63DB">
        <w:t>n</w:t>
      </w:r>
      <w:r w:rsidRPr="003F63DB">
        <w:t>lämningar.</w:t>
      </w:r>
    </w:p>
    <w:p w:rsidR="00905B3E" w:rsidRPr="003F63DB" w:rsidRDefault="00905B3E">
      <w:pPr>
        <w:pStyle w:val="Rubrik3-Utannumrering"/>
      </w:pPr>
      <w:r w:rsidRPr="003F63DB">
        <w:t>Alternativa förslag förekommer sällan</w:t>
      </w:r>
    </w:p>
    <w:p w:rsidR="00905B3E" w:rsidRPr="003F63DB" w:rsidRDefault="00905B3E">
      <w:r w:rsidRPr="003F63DB">
        <w:t>En begränsad andel av alla stora arkeologiska uppdrag har i praktiken utsatts för konkurrens. Utvecklingen åren 1999–2001 visar att andelen stora arke</w:t>
      </w:r>
      <w:r w:rsidRPr="003F63DB">
        <w:t>o</w:t>
      </w:r>
      <w:r w:rsidRPr="003F63DB">
        <w:t>logiska uppdrag (över 1 137 000 kronor)  som utsatts för konkurrens totalt sett har minskat. Mellanstora undersökningar (379 000–1 137 000 kronor) har knappast utsatts för någon konkurrens alls. Ändå bör länsstyrelsernas möjligheter att välja bland flera undersökare vara särskilt goda när undersö</w:t>
      </w:r>
      <w:r w:rsidRPr="003F63DB">
        <w:t>k</w:t>
      </w:r>
      <w:r w:rsidRPr="003F63DB">
        <w:t>ningarna förväntas vara förhållandevis okomplicerade.</w:t>
      </w:r>
    </w:p>
    <w:p w:rsidR="00905B3E" w:rsidRPr="003F63DB" w:rsidRDefault="00905B3E">
      <w:pPr>
        <w:pStyle w:val="Normaltindrag"/>
      </w:pPr>
      <w:r w:rsidRPr="003F63DB">
        <w:t xml:space="preserve">Användningen av urvalsförfarande har vidare varit begränsad till ett fåtal länsstyrelser. I Skåne län har ingen undersökning utsatts för konkurrens de senaste </w:t>
      </w:r>
      <w:r w:rsidRPr="003F63DB">
        <w:t>åren, trots att länet haft flera av landets mest kostnadskrävande ark</w:t>
      </w:r>
      <w:r w:rsidRPr="003F63DB">
        <w:t>e</w:t>
      </w:r>
      <w:r w:rsidRPr="003F63DB">
        <w:t>ologiska undersökningar. En förklaring till den handläggningspraxis som har utvecklats är att Riksantikvarieämbetets föreskrifter med därtill hörande allmänna råd är oprecisa. De medger en generös tolkning av vilka särskilda skäl som länsstyrelserna kan åberopa för att frångå reglerna om urvalsförf</w:t>
      </w:r>
      <w:r w:rsidRPr="003F63DB">
        <w:t>a</w:t>
      </w:r>
      <w:r w:rsidRPr="003F63DB">
        <w:t>rande. Länsstyrelserna har även åberopat direktval av undersökare med hä</w:t>
      </w:r>
      <w:r w:rsidRPr="003F63DB">
        <w:t>n</w:t>
      </w:r>
      <w:r w:rsidRPr="003F63DB">
        <w:t>visning till sin egen arbet</w:t>
      </w:r>
      <w:r w:rsidRPr="003F63DB">
        <w:t>s</w:t>
      </w:r>
      <w:r w:rsidRPr="003F63DB">
        <w:t>börda.</w:t>
      </w:r>
    </w:p>
    <w:p w:rsidR="00905B3E" w:rsidRPr="003F63DB" w:rsidRDefault="00905B3E">
      <w:pPr>
        <w:pStyle w:val="Normaltindrag"/>
      </w:pPr>
      <w:r w:rsidRPr="003F63DB">
        <w:t>Ytterligare ett argument som länss</w:t>
      </w:r>
      <w:r w:rsidRPr="003F63DB">
        <w:t>tyrelserna har framfört som motiv för att inte tillämpa urvalsförfarande har varit att exploatörerna har krävt snabb handläggning. Att investeringsprojekt som har planerats under lång tid måste genomföras med kort varsel visar enligt revisorernas mening att kulturmilj</w:t>
      </w:r>
      <w:r w:rsidRPr="003F63DB">
        <w:t>ö</w:t>
      </w:r>
      <w:r w:rsidRPr="003F63DB">
        <w:t xml:space="preserve">frågor aktualiseras i ett sent skede av den fysiska planeringen. </w:t>
      </w:r>
    </w:p>
    <w:p w:rsidR="00905B3E" w:rsidRPr="003F63DB" w:rsidRDefault="00905B3E">
      <w:pPr>
        <w:pStyle w:val="Normaltindrag"/>
      </w:pPr>
      <w:r w:rsidRPr="003F63DB">
        <w:t>Merparten av alla beslut i uppdragsarkeologiska ärenden fattas därmed g</w:t>
      </w:r>
      <w:r w:rsidRPr="003F63DB">
        <w:t>e</w:t>
      </w:r>
      <w:r w:rsidRPr="003F63DB">
        <w:t>nom att länsstyrelserna, utan föregående anbudsupphandling, utser en unde</w:t>
      </w:r>
      <w:r w:rsidRPr="003F63DB">
        <w:t>r</w:t>
      </w:r>
      <w:r w:rsidRPr="003F63DB">
        <w:t>sökare för uppdraget. Länsstyrelserna väljer undersökare huvudsakligen med utgångspunkt i tidigare kontakter och erfarenheter. Ofta väljs en undersökare som sedan tidigare bedriver arkeologisk verksa</w:t>
      </w:r>
      <w:r w:rsidRPr="003F63DB">
        <w:t>m</w:t>
      </w:r>
      <w:r w:rsidRPr="003F63DB">
        <w:t xml:space="preserve">het i länet. </w:t>
      </w:r>
    </w:p>
    <w:p w:rsidR="00905B3E" w:rsidRPr="003F63DB" w:rsidRDefault="00905B3E">
      <w:pPr>
        <w:pStyle w:val="Normaltindrag"/>
      </w:pPr>
      <w:r w:rsidRPr="003F63DB">
        <w:t>Länsstyrelserna tycks föredra olika typer av samarbete eller en på förhand given fördelning av uppdrag mellan olika undersökare framför konkurrens. Även när länsstyrelser har använt sig av urvalsförfarande har det förekommi</w:t>
      </w:r>
      <w:r w:rsidRPr="003F63DB">
        <w:t>t att undersökare har lämnat gemensamt anbud. Några alternativa förslag till genomförande har därmed inte framkommit. Vissa länsstyrelser liknar unde</w:t>
      </w:r>
      <w:r w:rsidRPr="003F63DB">
        <w:t>r</w:t>
      </w:r>
      <w:r w:rsidRPr="003F63DB">
        <w:t>sökarnas samarbeten vid kartellbildningar. Detta är en företeelse som stat</w:t>
      </w:r>
      <w:r w:rsidRPr="003F63DB">
        <w:t>s</w:t>
      </w:r>
      <w:r w:rsidRPr="003F63DB">
        <w:t>makterna i andra sammanhang försöker bekä</w:t>
      </w:r>
      <w:r w:rsidRPr="003F63DB">
        <w:t>m</w:t>
      </w:r>
      <w:r w:rsidRPr="003F63DB">
        <w:t>pa.</w:t>
      </w:r>
    </w:p>
    <w:p w:rsidR="00905B3E" w:rsidRPr="003F63DB" w:rsidRDefault="00905B3E">
      <w:pPr>
        <w:pStyle w:val="Normaltindrag"/>
      </w:pPr>
      <w:r w:rsidRPr="003F63DB">
        <w:t>Ett beslut av Länsstyrelsen i Stockholms län visar att de konkurrerande undersökarna presenterat undersökningsplaner med olika inriktning och kostnader. Det visar enligt revisorernas mening att olika undersökare kan göra olika bedömningar av</w:t>
      </w:r>
      <w:r w:rsidRPr="003F63DB">
        <w:t xml:space="preserve"> hur omfattande en undersökning bör vara och vilken inriktning den bör få. Anbudsförfaranden bidrar således till att olika uppfattningar blir ty</w:t>
      </w:r>
      <w:r w:rsidRPr="003F63DB">
        <w:t>d</w:t>
      </w:r>
      <w:r w:rsidRPr="003F63DB">
        <w:t>ligare och alternativ diskuteras.</w:t>
      </w:r>
    </w:p>
    <w:p w:rsidR="00905B3E" w:rsidRPr="003F63DB" w:rsidRDefault="00905B3E">
      <w:pPr>
        <w:pStyle w:val="Rubrik3-Utannumrering"/>
        <w:rPr>
          <w:b w:val="0"/>
        </w:rPr>
      </w:pPr>
      <w:r w:rsidRPr="003F63DB">
        <w:t>Revisorernas förslag</w:t>
      </w:r>
    </w:p>
    <w:p w:rsidR="00905B3E" w:rsidRPr="003F63DB" w:rsidRDefault="00905B3E">
      <w:pPr>
        <w:numPr>
          <w:ilvl w:val="0"/>
          <w:numId w:val="190"/>
        </w:numPr>
      </w:pPr>
      <w:r w:rsidRPr="003F63DB">
        <w:t>Revisorerna föreslår att beslutet om att undanta uppdragsarkeologi från lagen om offentlig upphandling omprövas.</w:t>
      </w:r>
    </w:p>
    <w:p w:rsidR="00905B3E" w:rsidRPr="003F63DB" w:rsidRDefault="00905B3E">
      <w:r w:rsidRPr="003F63DB">
        <w:t>Riksdagens beslut att undanta uppdragsarkeologi från lagen om offentlig upphandling kan bygga på en felaktig tolkning av rättsläget och förefaller strida mot EG-rättsliga princ</w:t>
      </w:r>
      <w:r w:rsidRPr="003F63DB">
        <w:t>i</w:t>
      </w:r>
      <w:r w:rsidRPr="003F63DB">
        <w:t>per.</w:t>
      </w:r>
    </w:p>
    <w:p w:rsidR="00905B3E" w:rsidRPr="003F63DB" w:rsidRDefault="00905B3E">
      <w:pPr>
        <w:pStyle w:val="Normaltindrag"/>
      </w:pPr>
      <w:r w:rsidRPr="003F63DB">
        <w:t>Det finns flera skäl som talar för att lagen om offentlig upphandling ska gälla. Lagen syftar bl.a. till att skapa öppenhet kring beslutsprocesser. En likvärdig behandling av anbudsgivare ska säkerställas och de konkurren</w:t>
      </w:r>
      <w:r w:rsidRPr="003F63DB">
        <w:t>s</w:t>
      </w:r>
      <w:r w:rsidRPr="003F63DB">
        <w:t xml:space="preserve">möjligheter som finns utnyttjas. </w:t>
      </w:r>
    </w:p>
    <w:p w:rsidR="00905B3E" w:rsidRPr="003F63DB" w:rsidRDefault="00905B3E">
      <w:pPr>
        <w:pStyle w:val="Normaltindrag"/>
      </w:pPr>
      <w:r w:rsidRPr="003F63DB">
        <w:t>Med ett upphandlingsförfarande skulle alternativa förslag till genomföra</w:t>
      </w:r>
      <w:r w:rsidRPr="003F63DB">
        <w:t>n</w:t>
      </w:r>
      <w:r w:rsidRPr="003F63DB">
        <w:t>de läggas fram. Tydliga kravspecifikationer skulle innebära att undersöka</w:t>
      </w:r>
      <w:r w:rsidRPr="003F63DB">
        <w:t>r</w:t>
      </w:r>
      <w:r w:rsidRPr="003F63DB">
        <w:t>nas möjligheter att bestämma ambitionsnivån i olika projekt minskade. Valet av undersökare skulle motiveras på ett mera utförligt sätt än vad som hittills har varit fallet. Ett upphandlingsförfarande enligt lagen om offentlig up</w:t>
      </w:r>
      <w:r w:rsidRPr="003F63DB">
        <w:t>p</w:t>
      </w:r>
      <w:r w:rsidRPr="003F63DB">
        <w:t>handling skulle öka möjligheterna till insyn i arke</w:t>
      </w:r>
      <w:r w:rsidRPr="003F63DB">
        <w:t>o</w:t>
      </w:r>
      <w:r w:rsidRPr="003F63DB">
        <w:t>logiska beslutsprocesser.</w:t>
      </w:r>
    </w:p>
    <w:p w:rsidR="00905B3E" w:rsidRPr="003F63DB" w:rsidRDefault="00905B3E">
      <w:pPr>
        <w:pStyle w:val="Rubrik2"/>
      </w:pPr>
      <w:bookmarkStart w:id="159" w:name="_Toc25031948"/>
      <w:bookmarkStart w:id="160" w:name="_Toc36520776"/>
      <w:r w:rsidRPr="003F63DB">
        <w:t>Kostnadskontrollen brister</w:t>
      </w:r>
      <w:bookmarkEnd w:id="159"/>
      <w:bookmarkEnd w:id="160"/>
    </w:p>
    <w:p w:rsidR="00905B3E" w:rsidRPr="003F63DB" w:rsidRDefault="00905B3E">
      <w:r w:rsidRPr="003F63DB">
        <w:t>Om ingrepp i fornlämning kan undvikas begränsas kostnaderna för arkeol</w:t>
      </w:r>
      <w:r w:rsidRPr="003F63DB">
        <w:t>o</w:t>
      </w:r>
      <w:r w:rsidRPr="003F63DB">
        <w:t>giska utgrävningar samt kostnaderna för framtida vård och förvaring av omhändertagna fynd. Det är därför enligt revisorernas mening angeläget att organisationen för uppdragsarkeologi utformas så att exploatörerna får inc</w:t>
      </w:r>
      <w:r w:rsidRPr="003F63DB">
        <w:t>i</w:t>
      </w:r>
      <w:r w:rsidRPr="003F63DB">
        <w:t xml:space="preserve">tament att undvika ingrepp i fornlämningar och i övrigt minska skadorna på kulturmiljön.  </w:t>
      </w:r>
    </w:p>
    <w:p w:rsidR="00905B3E" w:rsidRPr="003F63DB" w:rsidRDefault="00905B3E">
      <w:pPr>
        <w:pStyle w:val="Normaltindrag"/>
      </w:pPr>
      <w:r w:rsidRPr="003F63DB">
        <w:t>De samlade kostnaderna för uppdrags</w:t>
      </w:r>
      <w:r w:rsidRPr="003F63DB">
        <w:softHyphen/>
        <w:t>arkeologi är okända och kostnad</w:t>
      </w:r>
      <w:r w:rsidRPr="003F63DB">
        <w:t>s</w:t>
      </w:r>
      <w:r w:rsidRPr="003F63DB">
        <w:t>kontrollen i organisationen för uppdragsarkeologi brister. Mycket tyder enligt revisorernas bedömning på att museernas kostnader för framtida vård och förvaring av tillvaratagna fynd inte beaktas inför beslut om en arkeol</w:t>
      </w:r>
      <w:r w:rsidRPr="003F63DB">
        <w:t>o</w:t>
      </w:r>
      <w:r w:rsidRPr="003F63DB">
        <w:t>gisk undersökning. Det finns även en osäkerhet i Riksantikvarieämbetets uppgifter om vilka kostnader som debiteras exploatörerna. Detta förklaras i sin tur av ofullständiga kostnadsangivelser i länsstyrelsernas beslut samt bristande uppföljning av de faktis</w:t>
      </w:r>
      <w:r w:rsidRPr="003F63DB">
        <w:t>ka kostn</w:t>
      </w:r>
      <w:r w:rsidRPr="003F63DB">
        <w:t>a</w:t>
      </w:r>
      <w:r w:rsidRPr="003F63DB">
        <w:t xml:space="preserve">derna. </w:t>
      </w:r>
    </w:p>
    <w:p w:rsidR="00905B3E" w:rsidRPr="003F63DB" w:rsidRDefault="00905B3E">
      <w:pPr>
        <w:pStyle w:val="Normaltindrag"/>
      </w:pPr>
      <w:r w:rsidRPr="003F63DB">
        <w:t>Riksantikvarieämbetets avdelning för arkeologiska undersökningar är som dominerande undersökare inom uppdragsarkeologi även prisledande. Avde</w:t>
      </w:r>
      <w:r w:rsidRPr="003F63DB">
        <w:t>l</w:t>
      </w:r>
      <w:r w:rsidRPr="003F63DB">
        <w:t>ningen använder intäkter från uppdragsarkeologi för att subventionera sitt deltagande i forsknings- och förmedlingsprojekt. Den begränsade konkurre</w:t>
      </w:r>
      <w:r w:rsidRPr="003F63DB">
        <w:t>n</w:t>
      </w:r>
      <w:r w:rsidRPr="003F63DB">
        <w:t>sen kan medföra att kostnaderna för arkeologi blir högre än mot</w:t>
      </w:r>
      <w:r w:rsidRPr="003F63DB">
        <w:t>i</w:t>
      </w:r>
      <w:r w:rsidRPr="003F63DB">
        <w:t>verat.</w:t>
      </w:r>
    </w:p>
    <w:p w:rsidR="00905B3E" w:rsidRPr="003F63DB" w:rsidRDefault="00905B3E">
      <w:pPr>
        <w:pStyle w:val="Rubrik3-Utannumrering"/>
      </w:pPr>
      <w:r w:rsidRPr="003F63DB">
        <w:t>Exploatörerna har små möjligheter att påverka</w:t>
      </w:r>
    </w:p>
    <w:p w:rsidR="00905B3E" w:rsidRPr="003F63DB" w:rsidRDefault="00905B3E">
      <w:r w:rsidRPr="003F63DB">
        <w:t>Den bristande kostnadskontrollen kan bland annat förklaras av organisati</w:t>
      </w:r>
      <w:r w:rsidRPr="003F63DB">
        <w:t>o</w:t>
      </w:r>
      <w:r w:rsidRPr="003F63DB">
        <w:t>nen för uppdragsarkeologi. Exploatörerna ska betala för de arkeologiska tjänsterna men har små möjligheter att påverka och kontrollera de kostnader som länsstyrelserna beslutar om. Det finns exempel på att kostnaderna för arkeologi har kunnat begränsas när exploatören tagit kontroll över det ark</w:t>
      </w:r>
      <w:r w:rsidRPr="003F63DB">
        <w:t>e</w:t>
      </w:r>
      <w:r w:rsidRPr="003F63DB">
        <w:t>ologiska projektet med hjälp av ko</w:t>
      </w:r>
      <w:r w:rsidRPr="003F63DB">
        <w:t>n</w:t>
      </w:r>
      <w:r w:rsidRPr="003F63DB">
        <w:t>sult.</w:t>
      </w:r>
    </w:p>
    <w:p w:rsidR="00905B3E" w:rsidRPr="003F63DB" w:rsidRDefault="00905B3E">
      <w:pPr>
        <w:pStyle w:val="Normaltindrag"/>
      </w:pPr>
      <w:r w:rsidRPr="003F63DB">
        <w:t>Eftersom länsstyrelserna inte bär kostnaderna har de heller inga tydliga i</w:t>
      </w:r>
      <w:r w:rsidRPr="003F63DB">
        <w:t>n</w:t>
      </w:r>
      <w:r w:rsidRPr="003F63DB">
        <w:t>citament att begränsa undersökningarnas omfattning. Det kan förklara varför ett anbudsförfarande så sällan används. En upphandling innebär endast ökad administration för länsstyrelserna, som inte får del av de kostnadsminsknin</w:t>
      </w:r>
      <w:r w:rsidRPr="003F63DB">
        <w:t>g</w:t>
      </w:r>
      <w:r w:rsidRPr="003F63DB">
        <w:t>ar en upphandling kan ge.</w:t>
      </w:r>
    </w:p>
    <w:p w:rsidR="00905B3E" w:rsidRPr="003F63DB" w:rsidRDefault="00905B3E">
      <w:pPr>
        <w:pStyle w:val="Rubrik3-Utannumrering"/>
      </w:pPr>
      <w:r w:rsidRPr="003F63DB">
        <w:t>Exploatörernas kostnadsansvar utvidgas</w:t>
      </w:r>
    </w:p>
    <w:p w:rsidR="00905B3E" w:rsidRPr="003F63DB" w:rsidRDefault="00905B3E">
      <w:r w:rsidRPr="003F63DB">
        <w:t>Sedan 1940-talet har praxis inom uppdragsarkeologin varit att den som fö</w:t>
      </w:r>
      <w:r w:rsidRPr="003F63DB">
        <w:t>r</w:t>
      </w:r>
      <w:r w:rsidRPr="003F63DB">
        <w:t>orsakar skador på fornlämningarna också ska betala för de arkeologiska undersökningar som staten bedömer nödvändiga. Synsättet att ”någon annan” betalar kan också bidra till den bri</w:t>
      </w:r>
      <w:r w:rsidRPr="003F63DB">
        <w:t>s</w:t>
      </w:r>
      <w:r w:rsidRPr="003F63DB">
        <w:t>tande kostnadskontrollen.</w:t>
      </w:r>
    </w:p>
    <w:p w:rsidR="00905B3E" w:rsidRPr="003F63DB" w:rsidRDefault="00905B3E">
      <w:pPr>
        <w:pStyle w:val="Normaltindrag"/>
      </w:pPr>
      <w:r w:rsidRPr="003F63DB">
        <w:t>Med tiden har en allt större del av kostnaderna för arkeologi lagts över på exploatörerna. Gränsen för exploatörernas åtaganden är oskarp, och kos</w:t>
      </w:r>
      <w:r w:rsidRPr="003F63DB">
        <w:t>t</w:t>
      </w:r>
      <w:r w:rsidRPr="003F63DB">
        <w:t>nadsansvaret tenderar att utvidgas ytterligare. Exploatörer har åtagit sig att finansiera informationsverksamhet, både i direkt anslutning till undersö</w:t>
      </w:r>
      <w:r w:rsidRPr="003F63DB">
        <w:t>k</w:t>
      </w:r>
      <w:r w:rsidRPr="003F63DB">
        <w:t>ningarna och vid regionala museer. De upphandlar också själva arkeologiska förstudier som inte kräver beslut av länsstyrelsen.</w:t>
      </w:r>
    </w:p>
    <w:p w:rsidR="00905B3E" w:rsidRPr="003F63DB" w:rsidRDefault="00905B3E">
      <w:pPr>
        <w:pStyle w:val="Normaltindrag"/>
      </w:pPr>
      <w:r w:rsidRPr="003F63DB">
        <w:t>Revisorerna har uppmärksammat att Vägverket i samband med ett stort aktuellt vägprojekt bekostar den handläggande länsstyrelsens myndighetsu</w:t>
      </w:r>
      <w:r w:rsidRPr="003F63DB">
        <w:t>t</w:t>
      </w:r>
      <w:r w:rsidRPr="003F63DB">
        <w:t>övning. Riksantikvarieämbetet har inte haft något att invända mot ett sådant förfarande, trots att åtagandet klart går utöver vad riksdagen har beslutat ska ingå i exploatörens kostnadsansvar. Länsstyrelsens oberoende i myndighet</w:t>
      </w:r>
      <w:r w:rsidRPr="003F63DB">
        <w:t>s</w:t>
      </w:r>
      <w:r w:rsidRPr="003F63DB">
        <w:t xml:space="preserve">utövningen kan ifrågasättas, då den part som söker tillstånd för ingrepp i fornlämning också finansierar myndighetsuppgifterna. </w:t>
      </w:r>
    </w:p>
    <w:p w:rsidR="00905B3E" w:rsidRPr="003F63DB" w:rsidRDefault="00905B3E">
      <w:pPr>
        <w:pStyle w:val="Normaltindrag"/>
      </w:pPr>
      <w:r w:rsidRPr="003F63DB">
        <w:t>Det är oklart vem som bevakar att exploatörernas kostnadsansvar inte överskrids. Regeringen aviserade 1997 att Riksantikvarieämbetet skulle få i uppdrag</w:t>
      </w:r>
      <w:r w:rsidRPr="003F63DB">
        <w:t xml:space="preserve"> att följa kostnadsutvecklingen, men något sådant uppdrag hade ännu i oktober 2002 inte lämnats. Riksantikvarieämbetet har inte heller tagit något eget initiativ i frågan.</w:t>
      </w:r>
    </w:p>
    <w:p w:rsidR="00905B3E" w:rsidRPr="003F63DB" w:rsidRDefault="00905B3E">
      <w:pPr>
        <w:pStyle w:val="Rubrik3-Utannumrering"/>
      </w:pPr>
      <w:r w:rsidRPr="003F63DB">
        <w:t>Revisorernas förslag</w:t>
      </w:r>
    </w:p>
    <w:p w:rsidR="00905B3E" w:rsidRPr="003F63DB" w:rsidRDefault="00905B3E">
      <w:pPr>
        <w:numPr>
          <w:ilvl w:val="0"/>
          <w:numId w:val="191"/>
        </w:numPr>
      </w:pPr>
      <w:r w:rsidRPr="003F63DB">
        <w:t>Revisorerna föreslår att exploatörer ges ansvaret för att upphandla ark</w:t>
      </w:r>
      <w:r w:rsidRPr="003F63DB">
        <w:t>e</w:t>
      </w:r>
      <w:r w:rsidRPr="003F63DB">
        <w:t>ologiska utredningar och undersökningar.</w:t>
      </w:r>
    </w:p>
    <w:p w:rsidR="00905B3E" w:rsidRPr="003F63DB" w:rsidRDefault="00905B3E">
      <w:r w:rsidRPr="003F63DB">
        <w:t>Om exploatörerna upphandlar arkeologiska tjänster får de genom tidiga kontakter med arkeologer incitament att ompröva sina planer, vilket kan leda till att fler fornlämningar bevaras. Flera undersökare säljer tjänster som syftar till att bl.a. undvika ingrepp i fornlämning, tjänster som fler exploatörer skulle kunna nyttja. Genom ansvaret för upphandling blir exploatörerna också bättre informerade om vad olika undersökningar kostar. De kan u</w:t>
      </w:r>
      <w:r w:rsidRPr="003F63DB">
        <w:t>t</w:t>
      </w:r>
      <w:r w:rsidRPr="003F63DB">
        <w:t>nyttja sin erfarenhet av upphandling för att sänka kostnaderna. Länsstyre</w:t>
      </w:r>
      <w:r w:rsidRPr="003F63DB">
        <w:t>l</w:t>
      </w:r>
      <w:r w:rsidRPr="003F63DB">
        <w:t xml:space="preserve">serna avlastas administrativa uppgifter och får möjligheter att förstärka sin tillsyn. </w:t>
      </w:r>
    </w:p>
    <w:p w:rsidR="00905B3E" w:rsidRPr="003F63DB" w:rsidRDefault="00905B3E">
      <w:pPr>
        <w:pStyle w:val="Normaltindrag"/>
      </w:pPr>
      <w:r w:rsidRPr="003F63DB">
        <w:t>Revisorerna förutsätter att länsstyrelserna liksom tidigare beslutar om til</w:t>
      </w:r>
      <w:r w:rsidRPr="003F63DB">
        <w:t>l</w:t>
      </w:r>
      <w:r w:rsidRPr="003F63DB">
        <w:t>stånd för ingrepp och utformar kraven för de arkeologiska uppdragen. Vid stora eller viktiga uppdragsarkeologiska undersökningar får länsstyrelsen enligt revisorernas förslag stöd av vetenskapliga ledare vid utformning av kravspecifikationer.</w:t>
      </w:r>
    </w:p>
    <w:p w:rsidR="00905B3E" w:rsidRPr="003F63DB" w:rsidRDefault="00905B3E">
      <w:pPr>
        <w:pStyle w:val="Rubrik2"/>
      </w:pPr>
      <w:bookmarkStart w:id="161" w:name="_Toc25031949"/>
      <w:bookmarkStart w:id="162" w:name="_Toc36520777"/>
      <w:r w:rsidRPr="003F63DB">
        <w:t>Kraven på kompetens är höga</w:t>
      </w:r>
      <w:bookmarkEnd w:id="161"/>
      <w:bookmarkEnd w:id="162"/>
    </w:p>
    <w:p w:rsidR="00905B3E" w:rsidRPr="003F63DB" w:rsidRDefault="00905B3E">
      <w:r w:rsidRPr="003F63DB">
        <w:t>Statsmakterna har förutsatt att de som utför arkeologiska undersökningar är väl kvalificerade för sin uppgift. Revisorerna anser också att det bör ställas höga krav på dem som ges förtroendet att dokumentera och tolka ett hist</w:t>
      </w:r>
      <w:r w:rsidRPr="003F63DB">
        <w:t>o</w:t>
      </w:r>
      <w:r w:rsidRPr="003F63DB">
        <w:t>riskt arv.</w:t>
      </w:r>
    </w:p>
    <w:p w:rsidR="00905B3E" w:rsidRPr="003F63DB" w:rsidRDefault="00905B3E">
      <w:pPr>
        <w:pStyle w:val="Rubrik3-Utannumrering"/>
      </w:pPr>
      <w:r w:rsidRPr="003F63DB">
        <w:t>Länsgränserna anses viktiga</w:t>
      </w:r>
    </w:p>
    <w:p w:rsidR="00905B3E" w:rsidRPr="003F63DB" w:rsidRDefault="00905B3E">
      <w:r w:rsidRPr="003F63DB">
        <w:t>Uppdragsarkeologin, liksom kulturmiljöarbetet, är knuten till lä</w:t>
      </w:r>
      <w:r w:rsidRPr="003F63DB">
        <w:t>n</w:t>
      </w:r>
      <w:r w:rsidRPr="003F63DB">
        <w:t>s</w:t>
      </w:r>
      <w:r w:rsidRPr="003F63DB">
        <w:softHyphen/>
        <w:t>organisationen. Undersökarna utarbetar forskningsprogram med ett länspe</w:t>
      </w:r>
      <w:r w:rsidRPr="003F63DB">
        <w:t>r</w:t>
      </w:r>
      <w:r w:rsidRPr="003F63DB">
        <w:t>spektiv, och resultaten från de arkeolo</w:t>
      </w:r>
      <w:r w:rsidRPr="003F63DB">
        <w:softHyphen/>
        <w:t xml:space="preserve">giska undersökningarna förutsätts återverka på kunskapsuppbyggnaden i länen. </w:t>
      </w:r>
    </w:p>
    <w:p w:rsidR="00905B3E" w:rsidRPr="003F63DB" w:rsidRDefault="00905B3E">
      <w:pPr>
        <w:pStyle w:val="Normaltindrag"/>
      </w:pPr>
      <w:r w:rsidRPr="003F63DB">
        <w:t>Vikten av regional kompetens och behovet av regional kun</w:t>
      </w:r>
      <w:r w:rsidRPr="003F63DB">
        <w:softHyphen/>
        <w:t>skaps</w:t>
      </w:r>
      <w:r w:rsidRPr="003F63DB">
        <w:softHyphen/>
      </w:r>
      <w:r w:rsidRPr="003F63DB">
        <w:softHyphen/>
      </w:r>
      <w:r w:rsidRPr="003F63DB">
        <w:softHyphen/>
        <w:t xml:space="preserve">uppbyggnad är argument som många länsstyrelser använder för att motivera sitt val av de i länet verksamma undersökarna, alternativt stänga ute nya undersökare. En undersökare verksam i ett län anses i många fall inte ha kompetens att utföra undersökningar i ett grannlän. Utländska undersökare har knappast anlitats. </w:t>
      </w:r>
    </w:p>
    <w:p w:rsidR="00905B3E" w:rsidRPr="003F63DB" w:rsidRDefault="00905B3E">
      <w:pPr>
        <w:pStyle w:val="Normaltindrag"/>
      </w:pPr>
      <w:r w:rsidRPr="003F63DB">
        <w:t>Kravet på regional kompetens för att komma i fråga för arkeologiska up</w:t>
      </w:r>
      <w:r w:rsidRPr="003F63DB">
        <w:t>p</w:t>
      </w:r>
      <w:r w:rsidRPr="003F63DB">
        <w:t>drag i ett län strider mot det sätt på vilket arkeologisk verksamhet faktiskt bedrivs. Arkeologerna är en rörlig yrkeskår som samlar erfarenheter från olika undersökare, olika delar av landet samt även från utlandet. Inför större eller komplicerade arkeologiska projekt knyter undersökare till sig den ko</w:t>
      </w:r>
      <w:r w:rsidRPr="003F63DB">
        <w:t>m</w:t>
      </w:r>
      <w:r w:rsidRPr="003F63DB">
        <w:t>petens som krävs för uppgiften. Detta blir en konsekvens av att uppdragsa</w:t>
      </w:r>
      <w:r w:rsidRPr="003F63DB">
        <w:t>r</w:t>
      </w:r>
      <w:r w:rsidRPr="003F63DB">
        <w:t>keologin till sin karaktär är slumpmässig, såväl geografiskt som över tid. Vid Riksantikvarieämbetets avdelning för arkeologiska und</w:t>
      </w:r>
      <w:r w:rsidRPr="003F63DB">
        <w:t>ersökningar utgörs närmare hälften av personalen av tillfälligt anställda under vissa perioder. Den rörliga arkeologkåren bidrar till att erfarenheter sprids och kan tas till vara på olika pla</w:t>
      </w:r>
      <w:r w:rsidRPr="003F63DB">
        <w:t>t</w:t>
      </w:r>
      <w:r w:rsidRPr="003F63DB">
        <w:t xml:space="preserve">ser i landet. </w:t>
      </w:r>
    </w:p>
    <w:p w:rsidR="00905B3E" w:rsidRPr="003F63DB" w:rsidRDefault="00905B3E">
      <w:pPr>
        <w:pStyle w:val="Rubrik3-Utannumrering"/>
      </w:pPr>
      <w:r w:rsidRPr="003F63DB">
        <w:t>Det finns skepsis mot undersökare i privat regi</w:t>
      </w:r>
    </w:p>
    <w:p w:rsidR="00905B3E" w:rsidRPr="003F63DB" w:rsidRDefault="00905B3E">
      <w:r w:rsidRPr="003F63DB">
        <w:t>Riksantikvarieämbetet och flertalet länsstyrelser har hävdat att det saknas tillräckligt med undersökare för att en konkurrenssituation ska uppstå. Rev</w:t>
      </w:r>
      <w:r w:rsidRPr="003F63DB">
        <w:t>i</w:t>
      </w:r>
      <w:r w:rsidRPr="003F63DB">
        <w:t>sorerna har funnit att det finns 36 organisationer, eller fler, som bedriver arkeologisk uppdragsverksamhet i Sverige. Det möjliga geografiska ver</w:t>
      </w:r>
      <w:r w:rsidRPr="003F63DB">
        <w:t>k</w:t>
      </w:r>
      <w:r w:rsidRPr="003F63DB">
        <w:t>samhetsområdet begränsas dock för de flesta undersökare av deras juridiska form eller huvudmannaskap. Riksantikvarieämbetet och privata undersökare är fria att ta uppdrag i hela landet. Privata undersökare anlitas dock i mycket begränsad utsträckning. Marknadsandelen för de privata företagen utgör högst några procent, och andelen förefaller ha minskat de senaste</w:t>
      </w:r>
      <w:r w:rsidRPr="003F63DB">
        <w:t xml:space="preserve"> tre åren. Vissa privata undersökare känner sig motarbetade. Deras möjligheter att få uppdrag avgörs av länsstyrelsernas inställning till att pröva nya alte</w:t>
      </w:r>
      <w:r w:rsidRPr="003F63DB">
        <w:t>r</w:t>
      </w:r>
      <w:r w:rsidRPr="003F63DB">
        <w:t>nativ.</w:t>
      </w:r>
    </w:p>
    <w:p w:rsidR="00905B3E" w:rsidRPr="003F63DB" w:rsidRDefault="00905B3E">
      <w:pPr>
        <w:pStyle w:val="Normaltindrag"/>
      </w:pPr>
      <w:r w:rsidRPr="003F63DB">
        <w:t>Både länsstyrelser och Riksantikvarieämbetet ställer sig skeptiska till u</w:t>
      </w:r>
      <w:r w:rsidRPr="003F63DB">
        <w:t>n</w:t>
      </w:r>
      <w:r w:rsidRPr="003F63DB">
        <w:t>dersökare i privat regi. Denna syn kommer till uttryck i Riksantikvarieä</w:t>
      </w:r>
      <w:r w:rsidRPr="003F63DB">
        <w:t>m</w:t>
      </w:r>
      <w:r w:rsidRPr="003F63DB">
        <w:t>betets allmänna råd och rekommendationer och i länsstyrelsernas sätt att bemöta privata undersökares intresse av uppdrag i länet. Regeringen har uttryckt motsägelsefulla ambitioner när det gäller konkurrens inom up</w:t>
      </w:r>
      <w:r w:rsidRPr="003F63DB">
        <w:t>p</w:t>
      </w:r>
      <w:r w:rsidRPr="003F63DB">
        <w:t>dragsarkeologi. Å ena sidan ska undersökare i enskild regi likaväl som i offentlig regi kunna utses att utföra arkeologiska undersökningar. Ett anbud</w:t>
      </w:r>
      <w:r w:rsidRPr="003F63DB">
        <w:t>s</w:t>
      </w:r>
      <w:r w:rsidRPr="003F63DB">
        <w:t xml:space="preserve">förfarande ska bidra till ökad mångfald. Å andra sidan ska länsmuseernas </w:t>
      </w:r>
      <w:r w:rsidRPr="003F63DB">
        <w:t>arkeologiska verksamhet värnas och privata undersökares verksamhet b</w:t>
      </w:r>
      <w:r w:rsidRPr="003F63DB">
        <w:t>e</w:t>
      </w:r>
      <w:r w:rsidRPr="003F63DB">
        <w:t xml:space="preserve">gränsas. </w:t>
      </w:r>
    </w:p>
    <w:p w:rsidR="00905B3E" w:rsidRPr="003F63DB" w:rsidRDefault="00905B3E">
      <w:pPr>
        <w:pStyle w:val="Rubrik3-Utannumrering"/>
      </w:pPr>
      <w:r w:rsidRPr="003F63DB">
        <w:t>Revisorernas förslag</w:t>
      </w:r>
    </w:p>
    <w:p w:rsidR="00905B3E" w:rsidRPr="003F63DB" w:rsidRDefault="00905B3E">
      <w:pPr>
        <w:numPr>
          <w:ilvl w:val="0"/>
          <w:numId w:val="189"/>
        </w:numPr>
      </w:pPr>
      <w:r w:rsidRPr="003F63DB">
        <w:t>Revisorerna föreslår att Riksantikvarieämbetet får i uppdrag att auktor</w:t>
      </w:r>
      <w:r w:rsidRPr="003F63DB">
        <w:t>i</w:t>
      </w:r>
      <w:r w:rsidRPr="003F63DB">
        <w:t>sera arke</w:t>
      </w:r>
      <w:r w:rsidRPr="003F63DB">
        <w:t>o</w:t>
      </w:r>
      <w:r w:rsidRPr="003F63DB">
        <w:t>loger.</w:t>
      </w:r>
    </w:p>
    <w:p w:rsidR="00905B3E" w:rsidRPr="003F63DB" w:rsidRDefault="00905B3E">
      <w:r w:rsidRPr="003F63DB">
        <w:t>Som framgått ställs höga krav på dem som ska delta i arkeologiska unde</w:t>
      </w:r>
      <w:r w:rsidRPr="003F63DB">
        <w:t>r</w:t>
      </w:r>
      <w:r w:rsidRPr="003F63DB">
        <w:t>sökningar. Trots det har även amatörer uppmuntrats att delta i undersöknin</w:t>
      </w:r>
      <w:r w:rsidRPr="003F63DB">
        <w:t>g</w:t>
      </w:r>
      <w:r w:rsidRPr="003F63DB">
        <w:t>ar med forskningssyfte. Vetenskapligt meriterade arkeologer har däremot inte kommit i fråga för uppdragsarkeologiska undersö</w:t>
      </w:r>
      <w:r w:rsidRPr="003F63DB">
        <w:t>k</w:t>
      </w:r>
      <w:r w:rsidRPr="003F63DB">
        <w:t xml:space="preserve">ningar. </w:t>
      </w:r>
    </w:p>
    <w:p w:rsidR="00905B3E" w:rsidRPr="003F63DB" w:rsidRDefault="00905B3E">
      <w:pPr>
        <w:pStyle w:val="Normaltindrag"/>
      </w:pPr>
      <w:r w:rsidRPr="003F63DB">
        <w:t>Med auktorisation skulle de krav som ställs på undersökningsledare ty</w:t>
      </w:r>
      <w:r w:rsidRPr="003F63DB">
        <w:t>d</w:t>
      </w:r>
      <w:r w:rsidRPr="003F63DB">
        <w:t>liggöras. Därmed skulle även prövningen av undersökares kompetens u</w:t>
      </w:r>
      <w:r w:rsidRPr="003F63DB">
        <w:t>n</w:t>
      </w:r>
      <w:r w:rsidRPr="003F63DB">
        <w:t xml:space="preserve">derlättas. Arkeologer skulle ges förutsättningar att arbeta på lika villkor. </w:t>
      </w:r>
    </w:p>
    <w:p w:rsidR="00905B3E" w:rsidRPr="003F63DB" w:rsidRDefault="00905B3E">
      <w:pPr>
        <w:pStyle w:val="Normaltindrag"/>
      </w:pPr>
      <w:r w:rsidRPr="003F63DB">
        <w:t>Revisorerna föreslår att Riksantikvarieämbetet ges i uppdrag att utfärda auktorisation för arkeologer. Auktorisation bör ges utifrån bestämda krav på utbildning, erfarenhet och lämplighet. Riksantikvarieämbetet bör även utöva tillsyn över arkeologkåren och ha rätt att vid behov aktualisera indragning av auktorisationen. De som önskar exploatera mark där fornlämni</w:t>
      </w:r>
      <w:r w:rsidRPr="003F63DB">
        <w:t>ngar kan komma att beröras bör ges skyldighet att upphandla arkeologiska tjänster från auktoris</w:t>
      </w:r>
      <w:r w:rsidRPr="003F63DB">
        <w:t>e</w:t>
      </w:r>
      <w:r w:rsidRPr="003F63DB">
        <w:t xml:space="preserve">rade arkeologer. </w:t>
      </w:r>
    </w:p>
    <w:p w:rsidR="00905B3E" w:rsidRPr="003F63DB" w:rsidRDefault="00905B3E">
      <w:pPr>
        <w:pStyle w:val="Rubrik2"/>
      </w:pPr>
      <w:bookmarkStart w:id="163" w:name="_Toc25031950"/>
      <w:bookmarkStart w:id="164" w:name="_Toc36520778"/>
      <w:r w:rsidRPr="003F63DB">
        <w:t>Riksantikvarieämbetet dominerar</w:t>
      </w:r>
      <w:bookmarkEnd w:id="163"/>
      <w:bookmarkEnd w:id="164"/>
    </w:p>
    <w:p w:rsidR="00905B3E" w:rsidRPr="003F63DB" w:rsidRDefault="00905B3E">
      <w:r w:rsidRPr="003F63DB">
        <w:t>Med stöd av formuleringar i regleringsbrevet har Riksantikvarieämbetets avdelning för arkeologiska undersökningar tagit på sig uppgiften att vara en förebild och ledande aktör inom arkeologi i flera avseenden. Avdelningen har sett som sin uppgift att stå för spets</w:t>
      </w:r>
      <w:r w:rsidRPr="003F63DB">
        <w:softHyphen/>
        <w:t>kompetens samt branschens vete</w:t>
      </w:r>
      <w:r w:rsidRPr="003F63DB">
        <w:t>n</w:t>
      </w:r>
      <w:r w:rsidRPr="003F63DB">
        <w:t>skapliga och tekniska utveckling. Det har inneburit att avdelningen har bre</w:t>
      </w:r>
      <w:r w:rsidRPr="003F63DB">
        <w:t>d</w:t>
      </w:r>
      <w:r w:rsidRPr="003F63DB">
        <w:t>dat sin verksam</w:t>
      </w:r>
      <w:r w:rsidRPr="003F63DB">
        <w:softHyphen/>
        <w:t>het till att bl.a. avse olika slags utredningar och försäljning av data</w:t>
      </w:r>
      <w:r w:rsidRPr="003F63DB">
        <w:softHyphen/>
        <w:t>program. Avdelningen bedriver även forskning och tjänstee</w:t>
      </w:r>
      <w:r w:rsidRPr="003F63DB">
        <w:t>x</w:t>
      </w:r>
      <w:r w:rsidRPr="003F63DB">
        <w:t>port.</w:t>
      </w:r>
    </w:p>
    <w:p w:rsidR="00905B3E" w:rsidRPr="003F63DB" w:rsidRDefault="00905B3E">
      <w:pPr>
        <w:pStyle w:val="Normaltindrag"/>
      </w:pPr>
      <w:r w:rsidRPr="003F63DB">
        <w:t>Verksamheten är dimensionerad för de stora och komplexa arkeologiska projekten. Riksantikvarieämbetets marknadsandel är också störst för de stora uppdragen. Denna inriktning har inneburit att verksamheten är känslig för konjunktursvängningar och för ut</w:t>
      </w:r>
      <w:r w:rsidRPr="003F63DB">
        <w:t>eblivna eller försenade investeringar i in</w:t>
      </w:r>
      <w:r w:rsidRPr="003F63DB">
        <w:t>f</w:t>
      </w:r>
      <w:r w:rsidRPr="003F63DB">
        <w:t>rastrukturen. Under flera år har avdelningen haft ett ackumulerat underskott. Verksamheten beräknas inte vara i balans förrän under år 2005. För att åstadkomma ekonomisk balans har avdelningen satt som mål att vinna fler anbud i konkurrens och bedriva sin verksamhet med överskott de närmaste åren.</w:t>
      </w:r>
    </w:p>
    <w:p w:rsidR="00905B3E" w:rsidRPr="003F63DB" w:rsidRDefault="00905B3E">
      <w:pPr>
        <w:pStyle w:val="Normaltindrag"/>
      </w:pPr>
      <w:r w:rsidRPr="003F63DB">
        <w:t>Den egna arkeologiska verksamheten är normgivande för Riksantikvari</w:t>
      </w:r>
      <w:r w:rsidRPr="003F63DB">
        <w:t>e</w:t>
      </w:r>
      <w:r w:rsidRPr="003F63DB">
        <w:t>ämbetets utformning av föreskrifter, allmänna råd och rekommendationer. Det finns därmed risk för att de arbetssätt och synsätt som avdelningen r</w:t>
      </w:r>
      <w:r w:rsidRPr="003F63DB">
        <w:t>e</w:t>
      </w:r>
      <w:r w:rsidRPr="003F63DB">
        <w:t>presenterar tas som självklara och att Riksantikvarieämbetet blir mindre mottagligt för idéer från andra organ</w:t>
      </w:r>
      <w:r w:rsidRPr="003F63DB">
        <w:t>i</w:t>
      </w:r>
      <w:r w:rsidRPr="003F63DB">
        <w:t xml:space="preserve">sationer. </w:t>
      </w:r>
    </w:p>
    <w:p w:rsidR="00905B3E" w:rsidRPr="003F63DB" w:rsidRDefault="00905B3E">
      <w:pPr>
        <w:pStyle w:val="Rubrik3-Utannumrering"/>
      </w:pPr>
      <w:r w:rsidRPr="003F63DB">
        <w:t>Riksantikvarieämbetet tillser sig självt</w:t>
      </w:r>
    </w:p>
    <w:p w:rsidR="00905B3E" w:rsidRPr="003F63DB" w:rsidRDefault="00905B3E">
      <w:r w:rsidRPr="003F63DB">
        <w:t>Riksantikvarieämbetet svarar för central tillsyn (överinseende) över den uppdragsarkeologiska verksamheten. Det innebär att Riksantikvarieämbetet ska utöva tillsyn över den egna arkeologiska verksamheten och dess föru</w:t>
      </w:r>
      <w:r w:rsidRPr="003F63DB">
        <w:t>t</w:t>
      </w:r>
      <w:r w:rsidRPr="003F63DB">
        <w:t>sättningar. Den direkta tillsynen över undersökarna och undersökningarnas genomförande utförs av länsstyre</w:t>
      </w:r>
      <w:r w:rsidRPr="003F63DB">
        <w:t>l</w:t>
      </w:r>
      <w:r w:rsidRPr="003F63DB">
        <w:t>serna.</w:t>
      </w:r>
    </w:p>
    <w:p w:rsidR="00905B3E" w:rsidRPr="003F63DB" w:rsidRDefault="00905B3E">
      <w:pPr>
        <w:pStyle w:val="Normaltindrag"/>
      </w:pPr>
      <w:r w:rsidRPr="003F63DB">
        <w:t>Enligt kulturminneslagens bestämmelser har Riksantikvarieämbetet rätt att överklaga beslut av länsstyrelserna. Lämpligheten av en ordning där Riksa</w:t>
      </w:r>
      <w:r w:rsidRPr="003F63DB">
        <w:t>n</w:t>
      </w:r>
      <w:r w:rsidRPr="003F63DB">
        <w:t>tikvarieämbetet överklagar länsstyrelsebeslut som kan röra den egna up</w:t>
      </w:r>
      <w:r w:rsidRPr="003F63DB">
        <w:t>p</w:t>
      </w:r>
      <w:r w:rsidRPr="003F63DB">
        <w:t>dragsverksamheten kan enligt revisorernas uppfattning ifrågasättas. Detta gäller oavsett vilka utgångspunkter myndigheten har för sitt överklagande. Då Riksantikvarieämbetet förordar sin egen verksamhet framför en konku</w:t>
      </w:r>
      <w:r w:rsidRPr="003F63DB">
        <w:t>r</w:t>
      </w:r>
      <w:r w:rsidRPr="003F63DB">
        <w:t>rents, vilket har varit aktuellt, kan Riksantikvarieämbetets trovärdighet p</w:t>
      </w:r>
      <w:r w:rsidRPr="003F63DB">
        <w:t>å</w:t>
      </w:r>
      <w:r w:rsidRPr="003F63DB">
        <w:t xml:space="preserve">verkas. </w:t>
      </w:r>
    </w:p>
    <w:p w:rsidR="00905B3E" w:rsidRPr="003F63DB" w:rsidRDefault="00905B3E">
      <w:pPr>
        <w:pStyle w:val="Normaltindrag"/>
      </w:pPr>
      <w:r w:rsidRPr="003F63DB">
        <w:t>Riksantikvarieämbetets möjligheter att förena arkeologisk uppdragsver</w:t>
      </w:r>
      <w:r w:rsidRPr="003F63DB">
        <w:t>k</w:t>
      </w:r>
      <w:r w:rsidRPr="003F63DB">
        <w:t>samhet med myndighetsuppgifter har sedan 1990-talets början ifrågasatts av bl.a. offentliga utredningar, Statskontoret och Konkurrensverket. Förslag har framförts om en annan associationsform för Riksantikvarieämbetet-UV. Även vissa länsstyrelser och uppdrags</w:t>
      </w:r>
      <w:r w:rsidRPr="003F63DB">
        <w:softHyphen/>
        <w:t xml:space="preserve">arkeologiska undersökare har ställt sig kritiska till ordningen. Frågan har också uppmärksammats av kulturutskottet åren 2000 och 2002. </w:t>
      </w:r>
    </w:p>
    <w:p w:rsidR="00905B3E" w:rsidRPr="003F63DB" w:rsidRDefault="00905B3E">
      <w:pPr>
        <w:pStyle w:val="Normaltindrag"/>
      </w:pPr>
      <w:r w:rsidRPr="003F63DB">
        <w:t>Riksantikvarieämbetet har vidtagit vissa åtgärder för att tydliggöra skilj</w:t>
      </w:r>
      <w:r w:rsidRPr="003F63DB">
        <w:t>e</w:t>
      </w:r>
      <w:r w:rsidRPr="003F63DB">
        <w:t>linjen mellan myndighetsuppgifter och uppdragsverksamhet i arkeologiska frågor. Myndigheten uppfattas ha blivit bättre på att hantera sina olika up</w:t>
      </w:r>
      <w:r w:rsidRPr="003F63DB">
        <w:t>p</w:t>
      </w:r>
      <w:r w:rsidRPr="003F63DB">
        <w:t>gifter. Det kvarstår dock principiella invändningar mot myndighetens organ</w:t>
      </w:r>
      <w:r w:rsidRPr="003F63DB">
        <w:t>i</w:t>
      </w:r>
      <w:r w:rsidRPr="003F63DB">
        <w:t>sation och misstankar om att myndigheten inte agerar opa</w:t>
      </w:r>
      <w:r w:rsidRPr="003F63DB">
        <w:t>r</w:t>
      </w:r>
      <w:r w:rsidRPr="003F63DB">
        <w:t xml:space="preserve">tiskt. </w:t>
      </w:r>
    </w:p>
    <w:p w:rsidR="00905B3E" w:rsidRPr="003F63DB" w:rsidRDefault="00905B3E">
      <w:pPr>
        <w:pStyle w:val="Normaltindrag"/>
      </w:pPr>
      <w:r w:rsidRPr="003F63DB">
        <w:t xml:space="preserve"> Regeringen har inte tagit några initiativ i frågan om associationsformen för Riksantikvarieämbetets avdelning för arkeologiska undersökningar. V</w:t>
      </w:r>
      <w:r w:rsidRPr="003F63DB">
        <w:t>å</w:t>
      </w:r>
      <w:r w:rsidRPr="003F63DB">
        <w:t>ren 2002 framförde kulturutskottet att regeringen borde behandla avdelnin</w:t>
      </w:r>
      <w:r w:rsidRPr="003F63DB">
        <w:t>g</w:t>
      </w:r>
      <w:r w:rsidRPr="003F63DB">
        <w:t>ens ställning i den översyn av uppdragsarkeologi som av</w:t>
      </w:r>
      <w:r w:rsidRPr="003F63DB">
        <w:t>i</w:t>
      </w:r>
      <w:r w:rsidRPr="003F63DB">
        <w:t>serats.</w:t>
      </w:r>
    </w:p>
    <w:p w:rsidR="00905B3E" w:rsidRPr="003F63DB" w:rsidRDefault="00905B3E">
      <w:pPr>
        <w:pStyle w:val="Rubrik3-Utannumrering"/>
      </w:pPr>
      <w:r w:rsidRPr="003F63DB">
        <w:t>Revisorernas förslag</w:t>
      </w:r>
    </w:p>
    <w:p w:rsidR="00905B3E" w:rsidRPr="003F63DB" w:rsidRDefault="00905B3E">
      <w:pPr>
        <w:numPr>
          <w:ilvl w:val="0"/>
          <w:numId w:val="192"/>
        </w:numPr>
      </w:pPr>
      <w:r w:rsidRPr="003F63DB">
        <w:t>Revisorerna föreslår att Riksantikvarieämbetets arkeologiska uppdrag</w:t>
      </w:r>
      <w:r w:rsidRPr="003F63DB">
        <w:t>s</w:t>
      </w:r>
      <w:r w:rsidRPr="003F63DB">
        <w:t>verksamhet skiljs från Riksa</w:t>
      </w:r>
      <w:r w:rsidRPr="003F63DB">
        <w:t>n</w:t>
      </w:r>
      <w:r w:rsidRPr="003F63DB">
        <w:t>tikvarieämbetet.</w:t>
      </w:r>
    </w:p>
    <w:p w:rsidR="00905B3E" w:rsidRPr="003F63DB" w:rsidRDefault="00905B3E">
      <w:r w:rsidRPr="003F63DB">
        <w:t>Riksantikvarieämbetet ska bevaka kulturminneslagens krav på skydd och bevarande av fornlämningar och samtidigt bedriva arkeologisk uppdrag</w:t>
      </w:r>
      <w:r w:rsidRPr="003F63DB">
        <w:t>s</w:t>
      </w:r>
      <w:r w:rsidRPr="003F63DB">
        <w:t>verksamhet med krav på full kostnadstäckning. Trots att verksamheterna organisatoriskt är skilda åt har många ställt sig kritiska till förhållandet att myndigheten tillser sin egen verksamhet.</w:t>
      </w:r>
    </w:p>
    <w:p w:rsidR="00905B3E" w:rsidRPr="003F63DB" w:rsidRDefault="00905B3E">
      <w:pPr>
        <w:pStyle w:val="Normaltindrag"/>
      </w:pPr>
      <w:r w:rsidRPr="003F63DB">
        <w:t>Med en tydlig åtskillnad mellan myndighetsutövning och uppdragsver</w:t>
      </w:r>
      <w:r w:rsidRPr="003F63DB">
        <w:t>k</w:t>
      </w:r>
      <w:r w:rsidRPr="003F63DB">
        <w:t>samhet ökar trovärdigheten i Riksantikvarieämbetets agerande vad gäller normgivning, uppföljning och tillsyn. En sådan åtskillnad överensstämmer med riksdagens beslut om förvaltningspolitikens inriktning. Revisorerna föreslår därför att Riksantikvarieämbetets avdelning för arkeologiska unde</w:t>
      </w:r>
      <w:r w:rsidRPr="003F63DB">
        <w:t>r</w:t>
      </w:r>
      <w:r w:rsidRPr="003F63DB">
        <w:t xml:space="preserve">sökningar skiljs från Riksantikvarieämbetet. </w:t>
      </w:r>
    </w:p>
    <w:p w:rsidR="00905B3E" w:rsidRPr="003F63DB" w:rsidRDefault="00905B3E">
      <w:pPr>
        <w:pStyle w:val="Rubrik1-Utannumrering"/>
      </w:pPr>
      <w:r w:rsidRPr="003F63DB">
        <w:br w:type="page"/>
      </w:r>
      <w:bookmarkStart w:id="165" w:name="_Toc25031951"/>
      <w:bookmarkStart w:id="166" w:name="_Toc36520779"/>
      <w:r w:rsidRPr="003F63DB">
        <w:t>Referenser</w:t>
      </w:r>
      <w:bookmarkEnd w:id="165"/>
      <w:bookmarkEnd w:id="166"/>
    </w:p>
    <w:p w:rsidR="00905B3E" w:rsidRPr="003F63DB" w:rsidRDefault="00905B3E">
      <w:pPr>
        <w:spacing w:before="0" w:after="60"/>
      </w:pPr>
    </w:p>
    <w:p w:rsidR="00905B3E" w:rsidRPr="003F63DB" w:rsidRDefault="00905B3E">
      <w:pPr>
        <w:spacing w:before="0" w:after="80"/>
      </w:pPr>
      <w:r w:rsidRPr="003F63DB">
        <w:t xml:space="preserve">Ds 1996:48, </w:t>
      </w:r>
      <w:r w:rsidRPr="003F63DB">
        <w:rPr>
          <w:i/>
        </w:rPr>
        <w:t>Uppdragsarkeologi</w:t>
      </w:r>
    </w:p>
    <w:p w:rsidR="00905B3E" w:rsidRPr="003F63DB" w:rsidRDefault="00905B3E">
      <w:pPr>
        <w:spacing w:before="0" w:after="80"/>
      </w:pPr>
      <w:r w:rsidRPr="003F63DB">
        <w:t>Ekonomistyrningsverket, Samråd avseende avgifter vid Riksantikvarieä</w:t>
      </w:r>
      <w:r w:rsidRPr="003F63DB">
        <w:t>m</w:t>
      </w:r>
      <w:r w:rsidRPr="003F63DB">
        <w:t>betet, dnr 74-1024/2001</w:t>
      </w:r>
    </w:p>
    <w:p w:rsidR="00905B3E" w:rsidRPr="003F63DB" w:rsidRDefault="00905B3E">
      <w:pPr>
        <w:spacing w:before="0" w:after="160"/>
      </w:pPr>
      <w:r w:rsidRPr="003F63DB">
        <w:t>Fråga 2001/02:1086 om uppdragsarkeologi</w:t>
      </w:r>
    </w:p>
    <w:p w:rsidR="00905B3E" w:rsidRPr="003F63DB" w:rsidRDefault="00905B3E">
      <w:pPr>
        <w:spacing w:before="0" w:after="80"/>
        <w:rPr>
          <w:b/>
        </w:rPr>
      </w:pPr>
      <w:r w:rsidRPr="003F63DB">
        <w:rPr>
          <w:b/>
        </w:rPr>
        <w:t>Författningar</w:t>
      </w:r>
    </w:p>
    <w:p w:rsidR="00905B3E" w:rsidRPr="003F63DB" w:rsidRDefault="00905B3E">
      <w:pPr>
        <w:spacing w:before="0" w:after="40"/>
      </w:pPr>
      <w:r w:rsidRPr="003F63DB">
        <w:t>Avgiftsförordning (1992:191)</w:t>
      </w:r>
    </w:p>
    <w:p w:rsidR="00905B3E" w:rsidRPr="003F63DB" w:rsidRDefault="00905B3E">
      <w:pPr>
        <w:spacing w:before="0" w:after="40"/>
      </w:pPr>
      <w:r w:rsidRPr="003F63DB">
        <w:t>Förordning (1997:1171) med instruktion för Riksantikvarieämb</w:t>
      </w:r>
      <w:r w:rsidRPr="003F63DB">
        <w:t>e</w:t>
      </w:r>
      <w:r w:rsidRPr="003F63DB">
        <w:t>tet</w:t>
      </w:r>
    </w:p>
    <w:p w:rsidR="00905B3E" w:rsidRPr="003F63DB" w:rsidRDefault="00905B3E">
      <w:pPr>
        <w:spacing w:before="0" w:after="40"/>
      </w:pPr>
      <w:r w:rsidRPr="003F63DB">
        <w:t>Förordning (1997:1258) med länsstyrelseinstruktion</w:t>
      </w:r>
    </w:p>
    <w:p w:rsidR="00905B3E" w:rsidRPr="003F63DB" w:rsidRDefault="00905B3E">
      <w:pPr>
        <w:spacing w:before="0" w:after="40"/>
      </w:pPr>
      <w:r w:rsidRPr="003F63DB">
        <w:t>Förordning (1993:379) om bidrag till kulturmiljövård</w:t>
      </w:r>
    </w:p>
    <w:p w:rsidR="00905B3E" w:rsidRPr="003F63DB" w:rsidRDefault="00905B3E">
      <w:pPr>
        <w:spacing w:before="0" w:after="40"/>
      </w:pPr>
      <w:r w:rsidRPr="003F63DB">
        <w:t>Förordning (1998:305) om försöksverksamhet med ändrad fördelning av statsbidrag till regional kulturverksamhet</w:t>
      </w:r>
    </w:p>
    <w:p w:rsidR="00905B3E" w:rsidRPr="003F63DB" w:rsidRDefault="00905B3E">
      <w:pPr>
        <w:spacing w:before="0" w:after="40"/>
      </w:pPr>
      <w:r w:rsidRPr="003F63DB">
        <w:t>Förordning (1988:1188) om kulturminnen m.m.</w:t>
      </w:r>
    </w:p>
    <w:p w:rsidR="00905B3E" w:rsidRPr="003F63DB" w:rsidRDefault="00905B3E">
      <w:pPr>
        <w:spacing w:before="0" w:after="40"/>
      </w:pPr>
      <w:r w:rsidRPr="003F63DB">
        <w:t>Förordning (1998:905) om miljökonsekvensbeskrivningar</w:t>
      </w:r>
    </w:p>
    <w:p w:rsidR="00905B3E" w:rsidRPr="003F63DB" w:rsidRDefault="00905B3E">
      <w:pPr>
        <w:spacing w:before="0" w:after="40"/>
      </w:pPr>
      <w:r w:rsidRPr="003F63DB">
        <w:t>Förordning (1996:1598) om statsbidrag till regional kulturver</w:t>
      </w:r>
      <w:r w:rsidRPr="003F63DB">
        <w:t>k</w:t>
      </w:r>
      <w:r w:rsidRPr="003F63DB">
        <w:t>samhet</w:t>
      </w:r>
    </w:p>
    <w:p w:rsidR="00905B3E" w:rsidRPr="003F63DB" w:rsidRDefault="00905B3E">
      <w:pPr>
        <w:spacing w:before="0" w:after="40"/>
      </w:pPr>
      <w:r w:rsidRPr="003F63DB">
        <w:t>Förvaltningslag (1986:223)</w:t>
      </w:r>
    </w:p>
    <w:p w:rsidR="00905B3E" w:rsidRPr="003F63DB" w:rsidRDefault="00905B3E">
      <w:pPr>
        <w:spacing w:before="0" w:after="40"/>
      </w:pPr>
      <w:r w:rsidRPr="003F63DB">
        <w:t>Högskolelag (1992:1434)</w:t>
      </w:r>
    </w:p>
    <w:p w:rsidR="00905B3E" w:rsidRPr="003F63DB" w:rsidRDefault="00905B3E">
      <w:pPr>
        <w:spacing w:before="0" w:after="40"/>
      </w:pPr>
      <w:r w:rsidRPr="003F63DB">
        <w:t>Kommunallag (1991:900)</w:t>
      </w:r>
    </w:p>
    <w:p w:rsidR="00905B3E" w:rsidRPr="003F63DB" w:rsidRDefault="00905B3E">
      <w:pPr>
        <w:spacing w:before="0" w:after="40"/>
      </w:pPr>
      <w:r w:rsidRPr="003F63DB">
        <w:t>Konkurrensförordning (1993:173)</w:t>
      </w:r>
    </w:p>
    <w:p w:rsidR="00905B3E" w:rsidRPr="003F63DB" w:rsidRDefault="00905B3E">
      <w:pPr>
        <w:spacing w:before="0" w:after="40"/>
      </w:pPr>
      <w:r w:rsidRPr="003F63DB">
        <w:t>Konkurrenslag (1993:20)</w:t>
      </w:r>
    </w:p>
    <w:p w:rsidR="00905B3E" w:rsidRPr="003F63DB" w:rsidRDefault="00905B3E">
      <w:pPr>
        <w:spacing w:before="0" w:after="40"/>
      </w:pPr>
      <w:r w:rsidRPr="003F63DB">
        <w:t>Lag (1988:950) om kulturminnen m.m.</w:t>
      </w:r>
    </w:p>
    <w:p w:rsidR="00905B3E" w:rsidRPr="003F63DB" w:rsidRDefault="00905B3E">
      <w:pPr>
        <w:spacing w:before="0" w:after="40"/>
      </w:pPr>
      <w:r w:rsidRPr="003F63DB">
        <w:t>Lag (1992:1528) om offentlig upphandling</w:t>
      </w:r>
    </w:p>
    <w:p w:rsidR="00905B3E" w:rsidRPr="003F63DB" w:rsidRDefault="00905B3E">
      <w:pPr>
        <w:spacing w:before="0" w:after="40"/>
      </w:pPr>
      <w:r w:rsidRPr="003F63DB">
        <w:t>Mervärdesskattelag (1994:200)</w:t>
      </w:r>
    </w:p>
    <w:p w:rsidR="00905B3E" w:rsidRPr="003F63DB" w:rsidRDefault="00905B3E">
      <w:pPr>
        <w:spacing w:before="0" w:after="40"/>
      </w:pPr>
      <w:r w:rsidRPr="003F63DB">
        <w:t>Miljöbalk (1998:808)</w:t>
      </w:r>
    </w:p>
    <w:p w:rsidR="00905B3E" w:rsidRPr="003F63DB" w:rsidRDefault="00905B3E">
      <w:pPr>
        <w:spacing w:before="0" w:after="40"/>
      </w:pPr>
      <w:r w:rsidRPr="003F63DB">
        <w:t>Tjänsteexportförordning (1992:192)</w:t>
      </w:r>
    </w:p>
    <w:p w:rsidR="00905B3E" w:rsidRPr="003F63DB" w:rsidRDefault="00905B3E">
      <w:pPr>
        <w:spacing w:before="0" w:after="240"/>
      </w:pPr>
      <w:r w:rsidRPr="003F63DB">
        <w:t>Sekretesslag (1980:100)</w:t>
      </w:r>
    </w:p>
    <w:p w:rsidR="00905B3E" w:rsidRPr="003F63DB" w:rsidRDefault="00905B3E">
      <w:pPr>
        <w:spacing w:before="0" w:after="80"/>
      </w:pPr>
      <w:r w:rsidRPr="003F63DB">
        <w:t xml:space="preserve">Högskoleverket (2001), </w:t>
      </w:r>
      <w:r w:rsidRPr="003F63DB">
        <w:rPr>
          <w:i/>
        </w:rPr>
        <w:t xml:space="preserve">Utvecklingen av högskolans samverkansuppdrag, </w:t>
      </w:r>
      <w:r w:rsidRPr="003F63DB">
        <w:t>2001:24 R</w:t>
      </w:r>
    </w:p>
    <w:p w:rsidR="00905B3E" w:rsidRPr="003F63DB" w:rsidRDefault="00905B3E">
      <w:pPr>
        <w:spacing w:before="0" w:after="80"/>
      </w:pPr>
      <w:r w:rsidRPr="003F63DB">
        <w:t>Kammarrätten i Sundsvall, dom i mål nr 143-2002</w:t>
      </w:r>
    </w:p>
    <w:p w:rsidR="00905B3E" w:rsidRPr="003F63DB" w:rsidRDefault="00905B3E">
      <w:pPr>
        <w:spacing w:before="0" w:after="80"/>
      </w:pPr>
      <w:r w:rsidRPr="003F63DB">
        <w:t xml:space="preserve">Konkurrensverket (2002), </w:t>
      </w:r>
      <w:r w:rsidRPr="003F63DB">
        <w:rPr>
          <w:i/>
        </w:rPr>
        <w:t xml:space="preserve">Vårda och skapa konkurrens, </w:t>
      </w:r>
      <w:r w:rsidRPr="003F63DB">
        <w:t>2002:2</w:t>
      </w:r>
    </w:p>
    <w:p w:rsidR="00905B3E" w:rsidRPr="003F63DB" w:rsidRDefault="00905B3E">
      <w:pPr>
        <w:spacing w:before="0" w:after="80"/>
      </w:pPr>
      <w:r w:rsidRPr="003F63DB">
        <w:t xml:space="preserve">Konkurrensverket (2000), </w:t>
      </w:r>
      <w:r w:rsidRPr="003F63DB">
        <w:rPr>
          <w:i/>
        </w:rPr>
        <w:t>Konkurrensen i Sverige under 90-talet</w:t>
      </w:r>
    </w:p>
    <w:p w:rsidR="00905B3E" w:rsidRPr="003F63DB" w:rsidRDefault="00905B3E">
      <w:pPr>
        <w:spacing w:before="0" w:after="80"/>
      </w:pPr>
      <w:r w:rsidRPr="003F63DB">
        <w:t>Konkurrensverket, yttrande över Ds 1996:48, dnr 790/96</w:t>
      </w:r>
    </w:p>
    <w:p w:rsidR="00905B3E" w:rsidRPr="003F63DB" w:rsidRDefault="00905B3E">
      <w:pPr>
        <w:spacing w:before="0" w:after="160"/>
      </w:pPr>
      <w:r w:rsidRPr="003F63DB">
        <w:t>Konkurrensrådet, dnr 7/01</w:t>
      </w:r>
    </w:p>
    <w:p w:rsidR="00905B3E" w:rsidRPr="003F63DB" w:rsidRDefault="00905B3E">
      <w:pPr>
        <w:spacing w:before="0" w:after="160"/>
      </w:pPr>
      <w:r w:rsidRPr="003F63DB">
        <w:t>Länsrätten i Stockholms län, dom i mål nr 17869-01</w:t>
      </w:r>
    </w:p>
    <w:p w:rsidR="00905B3E" w:rsidRPr="003F63DB" w:rsidRDefault="00905B3E">
      <w:pPr>
        <w:spacing w:before="0" w:after="80"/>
        <w:rPr>
          <w:b/>
        </w:rPr>
      </w:pPr>
      <w:r w:rsidRPr="003F63DB">
        <w:rPr>
          <w:b/>
        </w:rPr>
        <w:t>Länsstyrelserna</w:t>
      </w:r>
    </w:p>
    <w:p w:rsidR="00905B3E" w:rsidRPr="003F63DB" w:rsidRDefault="00905B3E">
      <w:pPr>
        <w:spacing w:before="0" w:after="40"/>
      </w:pPr>
      <w:r w:rsidRPr="003F63DB">
        <w:t>Länsstyrelsen i Gotlands län, dnr 220-3554-01, dnr 220-3077-01</w:t>
      </w:r>
    </w:p>
    <w:p w:rsidR="00905B3E" w:rsidRPr="003F63DB" w:rsidRDefault="00905B3E">
      <w:pPr>
        <w:spacing w:before="0" w:after="40"/>
      </w:pPr>
      <w:r w:rsidRPr="003F63DB">
        <w:t>Länsstyrelsen i Kronobergs län, promemoria om den arkeologiska processens handläggningstider, 2000-03-31</w:t>
      </w:r>
    </w:p>
    <w:p w:rsidR="00905B3E" w:rsidRPr="003F63DB" w:rsidRDefault="00905B3E">
      <w:pPr>
        <w:spacing w:before="0" w:after="40"/>
      </w:pPr>
      <w:r w:rsidRPr="003F63DB">
        <w:t xml:space="preserve">Länsstyrelsen i Uppsala län, dnr 220-7589-96 </w:t>
      </w:r>
    </w:p>
    <w:p w:rsidR="00905B3E" w:rsidRPr="003F63DB" w:rsidRDefault="00905B3E">
      <w:pPr>
        <w:spacing w:before="0" w:after="40"/>
      </w:pPr>
      <w:r w:rsidRPr="003F63DB">
        <w:t>Länsstyrelsen i Uppsala län, dnr 220-5467-00</w:t>
      </w:r>
    </w:p>
    <w:p w:rsidR="00905B3E" w:rsidRPr="003F63DB" w:rsidRDefault="00905B3E">
      <w:pPr>
        <w:spacing w:before="0" w:after="40"/>
      </w:pPr>
      <w:r w:rsidRPr="003F63DB">
        <w:t>Länsstyrelsen i Uppsala län, dnr 229-2025-02</w:t>
      </w:r>
    </w:p>
    <w:p w:rsidR="00905B3E" w:rsidRPr="003F63DB" w:rsidRDefault="00905B3E">
      <w:pPr>
        <w:spacing w:before="0" w:after="40"/>
      </w:pPr>
      <w:r w:rsidRPr="003F63DB">
        <w:t>Länsstyrelsen i Uppsala län, dnr 229-14228-01</w:t>
      </w:r>
    </w:p>
    <w:p w:rsidR="00905B3E" w:rsidRPr="003F63DB" w:rsidRDefault="00905B3E">
      <w:pPr>
        <w:spacing w:before="0" w:after="40"/>
      </w:pPr>
      <w:r w:rsidRPr="003F63DB">
        <w:t>Länsstyrelsen i Västernorrlands län, dnr 422-3358-2000</w:t>
      </w:r>
    </w:p>
    <w:p w:rsidR="00905B3E" w:rsidRPr="003F63DB" w:rsidRDefault="00905B3E">
      <w:pPr>
        <w:spacing w:before="0" w:after="40"/>
      </w:pPr>
      <w:r w:rsidRPr="003F63DB">
        <w:t>Länsstyrelsen i Västernorrlands län, dnr 423-1944-2001</w:t>
      </w:r>
    </w:p>
    <w:p w:rsidR="00905B3E" w:rsidRPr="003F63DB" w:rsidRDefault="00905B3E">
      <w:pPr>
        <w:spacing w:before="0" w:after="40"/>
      </w:pPr>
      <w:r w:rsidRPr="003F63DB">
        <w:t>Länsstyrelsen i Västernorrlands län, dnr 09-10997-01</w:t>
      </w:r>
    </w:p>
    <w:p w:rsidR="00905B3E" w:rsidRPr="003F63DB" w:rsidRDefault="00905B3E">
      <w:pPr>
        <w:spacing w:before="0" w:after="200"/>
      </w:pPr>
      <w:r w:rsidRPr="003F63DB">
        <w:t>Revisorerna har tillställt samtliga länsstyrelser en enkät med frågor om up</w:t>
      </w:r>
      <w:r w:rsidRPr="003F63DB">
        <w:t>p</w:t>
      </w:r>
      <w:r w:rsidRPr="003F63DB">
        <w:t>dragsarkeologi. Revisorerna har även granskat 59 länsstyrelsebeslut för åren 2000–2001 om arkeologiska uppdrag med kostnader överstigande 30 pri</w:t>
      </w:r>
      <w:r w:rsidRPr="003F63DB">
        <w:t>s</w:t>
      </w:r>
      <w:r w:rsidRPr="003F63DB">
        <w:t>basbelopp. Enkätsvaren och en förteckning över länsstyrelsernas beslut (di</w:t>
      </w:r>
      <w:r w:rsidRPr="003F63DB">
        <w:t>a</w:t>
      </w:r>
      <w:r w:rsidRPr="003F63DB">
        <w:t>rienummer) finns hos Rik</w:t>
      </w:r>
      <w:r w:rsidRPr="003F63DB">
        <w:t>s</w:t>
      </w:r>
      <w:r w:rsidRPr="003F63DB">
        <w:t>dagens revisorer dnr 2001:166(4).</w:t>
      </w:r>
    </w:p>
    <w:p w:rsidR="00905B3E" w:rsidRPr="003F63DB" w:rsidRDefault="00905B3E">
      <w:pPr>
        <w:spacing w:before="0" w:after="80"/>
      </w:pPr>
      <w:r w:rsidRPr="003F63DB">
        <w:t xml:space="preserve">Malmö Kulturmiljö (2001), </w:t>
      </w:r>
      <w:r w:rsidRPr="003F63DB">
        <w:rPr>
          <w:i/>
        </w:rPr>
        <w:t>Vetenskapligt program för Malmö Kulturmiljö</w:t>
      </w:r>
    </w:p>
    <w:p w:rsidR="00905B3E" w:rsidRPr="003F63DB" w:rsidRDefault="00905B3E">
      <w:pPr>
        <w:spacing w:before="0" w:after="80"/>
      </w:pPr>
      <w:r w:rsidRPr="003F63DB">
        <w:t xml:space="preserve">Nämnden för offentlig upphandling (2001), </w:t>
      </w:r>
      <w:r w:rsidRPr="003F63DB">
        <w:rPr>
          <w:i/>
        </w:rPr>
        <w:t>Kort om LOU och NOU</w:t>
      </w:r>
      <w:r w:rsidRPr="003F63DB">
        <w:t>, Januari 2001</w:t>
      </w:r>
    </w:p>
    <w:p w:rsidR="00905B3E" w:rsidRPr="003F63DB" w:rsidRDefault="00905B3E">
      <w:pPr>
        <w:spacing w:before="0" w:after="80"/>
      </w:pPr>
      <w:r w:rsidRPr="003F63DB">
        <w:t>Nämnden för offentlig upphandling, Yttrande över Ds 1996:48, dnr 174/96-22</w:t>
      </w:r>
    </w:p>
    <w:p w:rsidR="00905B3E" w:rsidRPr="003F63DB" w:rsidRDefault="00905B3E">
      <w:pPr>
        <w:spacing w:before="0" w:after="80"/>
      </w:pPr>
      <w:r w:rsidRPr="003F63DB">
        <w:t>Nämnden för offentlig upphandling, Yttrande, dnr 45/95-22</w:t>
      </w:r>
    </w:p>
    <w:p w:rsidR="00905B3E" w:rsidRPr="003F63DB" w:rsidRDefault="00905B3E">
      <w:pPr>
        <w:spacing w:before="0" w:after="160"/>
      </w:pPr>
      <w:r w:rsidRPr="003F63DB">
        <w:t>Nämnden för offentlig upphandling, dnr 2000/0003</w:t>
      </w:r>
    </w:p>
    <w:p w:rsidR="00905B3E" w:rsidRPr="003F63DB" w:rsidRDefault="00905B3E">
      <w:pPr>
        <w:spacing w:before="0" w:after="80"/>
        <w:rPr>
          <w:b/>
        </w:rPr>
      </w:pPr>
      <w:r w:rsidRPr="003F63DB">
        <w:rPr>
          <w:b/>
        </w:rPr>
        <w:t>Regeringens propositioner</w:t>
      </w:r>
    </w:p>
    <w:p w:rsidR="00905B3E" w:rsidRPr="003F63DB" w:rsidRDefault="00905B3E">
      <w:pPr>
        <w:spacing w:before="0" w:after="40"/>
      </w:pPr>
      <w:r w:rsidRPr="003F63DB">
        <w:t xml:space="preserve">Prop. 1993/94:100, </w:t>
      </w:r>
      <w:r w:rsidRPr="003F63DB">
        <w:rPr>
          <w:i/>
        </w:rPr>
        <w:t>Budgetpropositionen för 1993/94</w:t>
      </w:r>
    </w:p>
    <w:p w:rsidR="00905B3E" w:rsidRPr="003F63DB" w:rsidRDefault="00905B3E">
      <w:pPr>
        <w:spacing w:before="0" w:after="40"/>
        <w:rPr>
          <w:i/>
        </w:rPr>
      </w:pPr>
      <w:r w:rsidRPr="003F63DB">
        <w:t xml:space="preserve">Prop. 1993/94:177, </w:t>
      </w:r>
      <w:r w:rsidRPr="003F63DB">
        <w:rPr>
          <w:i/>
        </w:rPr>
        <w:t>Utbildning och forskning, Kvalitet och konku</w:t>
      </w:r>
      <w:r w:rsidRPr="003F63DB">
        <w:rPr>
          <w:i/>
        </w:rPr>
        <w:t>r</w:t>
      </w:r>
      <w:r w:rsidRPr="003F63DB">
        <w:rPr>
          <w:i/>
        </w:rPr>
        <w:t>renskraft</w:t>
      </w:r>
    </w:p>
    <w:p w:rsidR="00905B3E" w:rsidRPr="003F63DB" w:rsidRDefault="00905B3E">
      <w:pPr>
        <w:spacing w:before="0" w:after="40"/>
        <w:rPr>
          <w:i/>
        </w:rPr>
      </w:pPr>
      <w:r w:rsidRPr="003F63DB">
        <w:t xml:space="preserve">Prop. 1996/97:3, </w:t>
      </w:r>
      <w:r w:rsidRPr="003F63DB">
        <w:rPr>
          <w:i/>
        </w:rPr>
        <w:t>Kulturpolitik</w:t>
      </w:r>
    </w:p>
    <w:p w:rsidR="00905B3E" w:rsidRPr="003F63DB" w:rsidRDefault="00905B3E">
      <w:pPr>
        <w:spacing w:before="0" w:after="40"/>
        <w:rPr>
          <w:i/>
        </w:rPr>
      </w:pPr>
      <w:r w:rsidRPr="003F63DB">
        <w:t xml:space="preserve">Prop. 1996/97:99, </w:t>
      </w:r>
      <w:r w:rsidRPr="003F63DB">
        <w:rPr>
          <w:i/>
        </w:rPr>
        <w:t>Uppdragsarkeologi</w:t>
      </w:r>
    </w:p>
    <w:p w:rsidR="00905B3E" w:rsidRPr="003F63DB" w:rsidRDefault="00905B3E">
      <w:pPr>
        <w:spacing w:before="0" w:after="40"/>
      </w:pPr>
      <w:r w:rsidRPr="003F63DB">
        <w:t xml:space="preserve">Prop. 1999/2000:1, </w:t>
      </w:r>
      <w:r w:rsidRPr="003F63DB">
        <w:rPr>
          <w:i/>
        </w:rPr>
        <w:t>Budgetpropositionen för 2000</w:t>
      </w:r>
    </w:p>
    <w:p w:rsidR="00905B3E" w:rsidRPr="003F63DB" w:rsidRDefault="00905B3E">
      <w:pPr>
        <w:spacing w:before="0" w:after="40"/>
        <w:rPr>
          <w:i/>
        </w:rPr>
      </w:pPr>
      <w:r w:rsidRPr="003F63DB">
        <w:t xml:space="preserve">Prop. 2000/2001:1, </w:t>
      </w:r>
      <w:r w:rsidRPr="003F63DB">
        <w:rPr>
          <w:i/>
        </w:rPr>
        <w:t>Budgetpropositionen för 2001</w:t>
      </w:r>
    </w:p>
    <w:p w:rsidR="00905B3E" w:rsidRPr="003F63DB" w:rsidRDefault="00905B3E">
      <w:pPr>
        <w:spacing w:before="0" w:after="40"/>
        <w:rPr>
          <w:i/>
        </w:rPr>
      </w:pPr>
      <w:r w:rsidRPr="003F63DB">
        <w:t xml:space="preserve">Prop. 2001/02:1, </w:t>
      </w:r>
      <w:r w:rsidRPr="003F63DB">
        <w:rPr>
          <w:i/>
        </w:rPr>
        <w:t>Budgetpropositionen för 2002</w:t>
      </w:r>
    </w:p>
    <w:p w:rsidR="00905B3E" w:rsidRPr="003F63DB" w:rsidRDefault="00905B3E">
      <w:pPr>
        <w:spacing w:before="0" w:after="40"/>
      </w:pPr>
      <w:r w:rsidRPr="003F63DB">
        <w:t xml:space="preserve">Prop. 2001/02:20, </w:t>
      </w:r>
      <w:r w:rsidRPr="003F63DB">
        <w:rPr>
          <w:i/>
        </w:rPr>
        <w:t>Infrastruktur för ett långsiktigt hållbart tran</w:t>
      </w:r>
      <w:r w:rsidRPr="003F63DB">
        <w:rPr>
          <w:i/>
        </w:rPr>
        <w:t>s</w:t>
      </w:r>
      <w:r w:rsidRPr="003F63DB">
        <w:rPr>
          <w:i/>
        </w:rPr>
        <w:t>portsystem</w:t>
      </w:r>
    </w:p>
    <w:p w:rsidR="00905B3E" w:rsidRPr="003F63DB" w:rsidRDefault="00905B3E">
      <w:pPr>
        <w:spacing w:before="0" w:after="160"/>
      </w:pPr>
      <w:r w:rsidRPr="003F63DB">
        <w:t xml:space="preserve">Prop. 2002/03:1, </w:t>
      </w:r>
      <w:r w:rsidRPr="003F63DB">
        <w:rPr>
          <w:i/>
        </w:rPr>
        <w:t>Budgetpropositionen för 2003</w:t>
      </w:r>
    </w:p>
    <w:p w:rsidR="00905B3E" w:rsidRPr="003F63DB" w:rsidRDefault="00905B3E">
      <w:pPr>
        <w:spacing w:before="0" w:after="80"/>
      </w:pPr>
      <w:r w:rsidRPr="003F63DB">
        <w:t>Regeringsrätten, dom i mål nr 3521-1992</w:t>
      </w:r>
    </w:p>
    <w:p w:rsidR="00905B3E" w:rsidRPr="003F63DB" w:rsidRDefault="00905B3E">
      <w:pPr>
        <w:spacing w:before="0" w:after="80"/>
      </w:pPr>
      <w:r w:rsidRPr="003F63DB">
        <w:t>Regeringsrätten, mål nr 4733-2002</w:t>
      </w:r>
    </w:p>
    <w:p w:rsidR="00905B3E" w:rsidRPr="003F63DB" w:rsidRDefault="00905B3E">
      <w:pPr>
        <w:spacing w:before="0" w:after="200"/>
      </w:pPr>
      <w:r w:rsidRPr="003F63DB">
        <w:t xml:space="preserve">Regionmuseet i Skåne (1999), </w:t>
      </w:r>
      <w:r w:rsidRPr="003F63DB">
        <w:rPr>
          <w:i/>
        </w:rPr>
        <w:t>Arkeologiskt forskningsprogram 1999–2003,</w:t>
      </w:r>
      <w:r w:rsidRPr="003F63DB">
        <w:t xml:space="preserve"> Rapport 1999:30</w:t>
      </w:r>
    </w:p>
    <w:p w:rsidR="00905B3E" w:rsidRPr="003F63DB" w:rsidRDefault="00905B3E">
      <w:pPr>
        <w:spacing w:before="0" w:after="80"/>
        <w:rPr>
          <w:b/>
        </w:rPr>
      </w:pPr>
      <w:r w:rsidRPr="003F63DB">
        <w:rPr>
          <w:b/>
        </w:rPr>
        <w:t>Riksantikvarieämbetet</w:t>
      </w:r>
    </w:p>
    <w:p w:rsidR="00905B3E" w:rsidRPr="003F63DB" w:rsidRDefault="00905B3E">
      <w:pPr>
        <w:spacing w:before="0" w:after="80"/>
      </w:pPr>
      <w:r w:rsidRPr="003F63DB">
        <w:t>Allmänna råd till verkställighetsföreskrifter (KRFS 1998:1)</w:t>
      </w:r>
    </w:p>
    <w:p w:rsidR="00905B3E" w:rsidRPr="003F63DB" w:rsidRDefault="00905B3E">
      <w:pPr>
        <w:spacing w:before="0" w:after="80"/>
      </w:pPr>
      <w:r w:rsidRPr="003F63DB">
        <w:t>Arbetsordning och handläggningsföreskrifter, 2002-01-01</w:t>
      </w:r>
    </w:p>
    <w:p w:rsidR="00905B3E" w:rsidRPr="003F63DB" w:rsidRDefault="00905B3E">
      <w:pPr>
        <w:spacing w:before="0" w:after="80"/>
      </w:pPr>
      <w:r w:rsidRPr="003F63DB">
        <w:t>Avgiftspolicy, 2001-03-27</w:t>
      </w:r>
    </w:p>
    <w:p w:rsidR="00905B3E" w:rsidRPr="003F63DB" w:rsidRDefault="00905B3E">
      <w:pPr>
        <w:spacing w:before="0" w:after="80"/>
      </w:pPr>
      <w:r w:rsidRPr="003F63DB">
        <w:t>Avtal mellan RAÄ-UV och Länsmuseet Västernorrland,  dnr 421-2332-1999</w:t>
      </w:r>
    </w:p>
    <w:p w:rsidR="00905B3E" w:rsidRPr="003F63DB" w:rsidRDefault="00905B3E">
      <w:pPr>
        <w:spacing w:before="0" w:after="80"/>
      </w:pPr>
      <w:r w:rsidRPr="003F63DB">
        <w:t>Beslutsregistret, länsstyrelsernas beslut om arkeologi enligt KML</w:t>
      </w:r>
    </w:p>
    <w:p w:rsidR="00905B3E" w:rsidRPr="003F63DB" w:rsidRDefault="00905B3E">
      <w:pPr>
        <w:spacing w:before="0" w:after="80"/>
      </w:pPr>
      <w:r w:rsidRPr="003F63DB">
        <w:rPr>
          <w:i/>
        </w:rPr>
        <w:t>Bidrag till kulturmiljövård</w:t>
      </w:r>
      <w:r w:rsidRPr="003F63DB">
        <w:t xml:space="preserve"> 1999 resp. 2000</w:t>
      </w:r>
    </w:p>
    <w:p w:rsidR="00905B3E" w:rsidRPr="003F63DB" w:rsidRDefault="00905B3E">
      <w:pPr>
        <w:spacing w:before="0" w:after="80"/>
      </w:pPr>
      <w:r w:rsidRPr="003F63DB">
        <w:t>Budgetunderlag för åren 1998 och 2000–2002 (dnr 124-845-1997, 124-846-1999, 124-1998-2000, 124-00368-2001)</w:t>
      </w:r>
    </w:p>
    <w:p w:rsidR="00905B3E" w:rsidRPr="003F63DB" w:rsidRDefault="00905B3E">
      <w:pPr>
        <w:spacing w:before="0" w:after="80"/>
      </w:pPr>
      <w:r w:rsidRPr="003F63DB">
        <w:t>Föreslagna avgifter 2002, dnr 122-3192-2001</w:t>
      </w:r>
    </w:p>
    <w:p w:rsidR="00905B3E" w:rsidRPr="003F63DB" w:rsidRDefault="00905B3E">
      <w:pPr>
        <w:spacing w:before="0" w:after="80"/>
      </w:pPr>
      <w:r w:rsidRPr="003F63DB">
        <w:t>Färdigställande av arkeologiska rapporter, dnr 342-1215-2002</w:t>
      </w:r>
    </w:p>
    <w:p w:rsidR="00905B3E" w:rsidRPr="003F63DB" w:rsidRDefault="00905B3E">
      <w:pPr>
        <w:spacing w:before="0" w:after="80"/>
      </w:pPr>
      <w:r w:rsidRPr="003F63DB">
        <w:t>Kapacitetsförsörjning och konkurrensförutsättningar i uppdragsarkeologin, Utkast till promemoria 2000-09-15</w:t>
      </w:r>
    </w:p>
    <w:p w:rsidR="00905B3E" w:rsidRPr="003F63DB" w:rsidRDefault="00905B3E">
      <w:pPr>
        <w:spacing w:before="0" w:after="80"/>
      </w:pPr>
      <w:r w:rsidRPr="003F63DB">
        <w:t>Nyhetsmagasinet Tidevarv Nr. 4 2002</w:t>
      </w:r>
    </w:p>
    <w:p w:rsidR="00905B3E" w:rsidRPr="003F63DB" w:rsidRDefault="00905B3E">
      <w:pPr>
        <w:spacing w:before="0" w:after="80"/>
      </w:pPr>
      <w:r w:rsidRPr="003F63DB">
        <w:t>Projektet ”Samverkan kring uppdragsarkeologin i vägprojekt”, dnr 332-1160-2002</w:t>
      </w:r>
    </w:p>
    <w:p w:rsidR="00905B3E" w:rsidRPr="003F63DB" w:rsidRDefault="00905B3E">
      <w:pPr>
        <w:spacing w:before="0" w:after="80"/>
      </w:pPr>
      <w:r w:rsidRPr="003F63DB">
        <w:t>Projekt Uppdragsarkeologi och forskning 1999–2000, delrapport, dnr 353-1389-1999</w:t>
      </w:r>
    </w:p>
    <w:p w:rsidR="00905B3E" w:rsidRPr="003F63DB" w:rsidRDefault="00905B3E">
      <w:pPr>
        <w:spacing w:before="0" w:after="80"/>
      </w:pPr>
      <w:r w:rsidRPr="003F63DB">
        <w:rPr>
          <w:i/>
        </w:rPr>
        <w:t>Rapport om rappo</w:t>
      </w:r>
      <w:r w:rsidRPr="003F63DB">
        <w:rPr>
          <w:i/>
        </w:rPr>
        <w:t>r</w:t>
      </w:r>
      <w:r w:rsidRPr="003F63DB">
        <w:rPr>
          <w:i/>
        </w:rPr>
        <w:t>ter,</w:t>
      </w:r>
      <w:r w:rsidRPr="003F63DB">
        <w:t xml:space="preserve"> Rapport 2001:3</w:t>
      </w:r>
    </w:p>
    <w:p w:rsidR="00905B3E" w:rsidRPr="003F63DB" w:rsidRDefault="00905B3E">
      <w:pPr>
        <w:spacing w:before="0" w:after="80"/>
      </w:pPr>
      <w:r w:rsidRPr="003F63DB">
        <w:t>Regleringsbrev för Riksantikvarieämbetet, åren 1998–2002</w:t>
      </w:r>
    </w:p>
    <w:p w:rsidR="00905B3E" w:rsidRPr="003F63DB" w:rsidRDefault="00905B3E">
      <w:pPr>
        <w:spacing w:before="0" w:after="80"/>
      </w:pPr>
      <w:r w:rsidRPr="003F63DB">
        <w:t xml:space="preserve">Svensk uppdragsarkeologi (1995), Del A: </w:t>
      </w:r>
      <w:r w:rsidRPr="003F63DB">
        <w:rPr>
          <w:i/>
        </w:rPr>
        <w:t>Program för uppföljning</w:t>
      </w:r>
      <w:r w:rsidRPr="003F63DB">
        <w:t xml:space="preserve"> och Del B: </w:t>
      </w:r>
      <w:r w:rsidRPr="003F63DB">
        <w:rPr>
          <w:i/>
        </w:rPr>
        <w:t>Översikt och diskussion</w:t>
      </w:r>
      <w:r w:rsidRPr="003F63DB">
        <w:t>.</w:t>
      </w:r>
    </w:p>
    <w:p w:rsidR="00905B3E" w:rsidRPr="003F63DB" w:rsidRDefault="00905B3E">
      <w:pPr>
        <w:spacing w:before="0" w:after="80"/>
      </w:pPr>
      <w:r w:rsidRPr="003F63DB">
        <w:t>Underrättelser från RAÄ 1999:1, Beslut om ingrepp m.m. i fornlämning och fornlämningsområde</w:t>
      </w:r>
    </w:p>
    <w:p w:rsidR="00905B3E" w:rsidRPr="003F63DB" w:rsidRDefault="00905B3E">
      <w:pPr>
        <w:spacing w:before="0" w:after="80"/>
      </w:pPr>
      <w:r w:rsidRPr="003F63DB">
        <w:t>Underrättelser från RAÄ 1998:1, Uppdragsarkeologi, Rekommendationer vid upprättande av undersökningsplaner, utarbetande av rapporter, uppföl</w:t>
      </w:r>
      <w:r w:rsidRPr="003F63DB">
        <w:t>j</w:t>
      </w:r>
      <w:r w:rsidRPr="003F63DB">
        <w:t>ning, bedömning av lämplighet och kompetens samt konservering</w:t>
      </w:r>
    </w:p>
    <w:p w:rsidR="00905B3E" w:rsidRPr="003F63DB" w:rsidRDefault="00905B3E">
      <w:pPr>
        <w:spacing w:before="0" w:after="80"/>
      </w:pPr>
      <w:r w:rsidRPr="003F63DB">
        <w:t>Uppdragsarkeologi, Redovisning av uppdrag nr 4 i 2000 års regl</w:t>
      </w:r>
      <w:r w:rsidRPr="003F63DB">
        <w:t>e</w:t>
      </w:r>
      <w:r w:rsidRPr="003F63DB">
        <w:t>ringsbrev</w:t>
      </w:r>
    </w:p>
    <w:p w:rsidR="00905B3E" w:rsidRPr="003F63DB" w:rsidRDefault="00905B3E">
      <w:pPr>
        <w:spacing w:before="0" w:after="80"/>
      </w:pPr>
      <w:r w:rsidRPr="003F63DB">
        <w:t>Uppdragsarkeologi, Återrapportering enligt 1999 års reglering</w:t>
      </w:r>
      <w:r w:rsidRPr="003F63DB">
        <w:t>s</w:t>
      </w:r>
      <w:r w:rsidRPr="003F63DB">
        <w:t>brev</w:t>
      </w:r>
    </w:p>
    <w:p w:rsidR="00905B3E" w:rsidRPr="003F63DB" w:rsidRDefault="00905B3E">
      <w:pPr>
        <w:spacing w:before="0" w:after="80"/>
      </w:pPr>
      <w:r w:rsidRPr="003F63DB">
        <w:t>Verksamhetsplan för avdelningen för arkeologiska undersökningar 2001 och 2002</w:t>
      </w:r>
    </w:p>
    <w:p w:rsidR="00905B3E" w:rsidRPr="003F63DB" w:rsidRDefault="00905B3E">
      <w:pPr>
        <w:spacing w:before="0" w:after="80"/>
      </w:pPr>
      <w:r w:rsidRPr="003F63DB">
        <w:t>Verksamhetsplan för Riksantikvarieämbetet åren 1998–2002</w:t>
      </w:r>
    </w:p>
    <w:p w:rsidR="00905B3E" w:rsidRPr="003F63DB" w:rsidRDefault="00905B3E">
      <w:pPr>
        <w:spacing w:before="0" w:after="80"/>
      </w:pPr>
      <w:r w:rsidRPr="003F63DB">
        <w:t>Verkställighetsföreskrifter av Riksantikvarieämbetet, KRFS 1998:1, Förf</w:t>
      </w:r>
      <w:r w:rsidRPr="003F63DB">
        <w:t>a</w:t>
      </w:r>
      <w:r w:rsidRPr="003F63DB">
        <w:t xml:space="preserve">randet vid vissa beslut m.m. enligt 2 kap. 10–13 §§ lagen (1998:950) om kulturminnen m.m. </w:t>
      </w:r>
    </w:p>
    <w:p w:rsidR="00905B3E" w:rsidRPr="003F63DB" w:rsidRDefault="00905B3E">
      <w:pPr>
        <w:spacing w:before="0" w:after="80"/>
      </w:pPr>
      <w:r w:rsidRPr="003F63DB">
        <w:rPr>
          <w:i/>
        </w:rPr>
        <w:t>Vetenskapligt program för UV-Syd 1999–2002</w:t>
      </w:r>
      <w:r w:rsidRPr="003F63DB">
        <w:t xml:space="preserve">, Rapport UV-Syd 1999:35 </w:t>
      </w:r>
    </w:p>
    <w:p w:rsidR="00905B3E" w:rsidRPr="003F63DB" w:rsidRDefault="00905B3E">
      <w:pPr>
        <w:spacing w:before="0" w:after="80"/>
      </w:pPr>
      <w:r w:rsidRPr="003F63DB">
        <w:t>Villkoren för den arkeologiska uppdragsverksamheten, dnr 103-2430-1995</w:t>
      </w:r>
    </w:p>
    <w:p w:rsidR="00905B3E" w:rsidRPr="003F63DB" w:rsidRDefault="00905B3E">
      <w:pPr>
        <w:spacing w:before="0" w:after="80"/>
      </w:pPr>
      <w:r w:rsidRPr="003F63DB">
        <w:t>www.raa.se</w:t>
      </w:r>
    </w:p>
    <w:p w:rsidR="00905B3E" w:rsidRPr="003F63DB" w:rsidRDefault="00905B3E">
      <w:pPr>
        <w:spacing w:before="0" w:after="80"/>
      </w:pPr>
      <w:r w:rsidRPr="003F63DB">
        <w:t>Yttrande till Konkurrensrådet angående konkurrensförhållanden inom omr</w:t>
      </w:r>
      <w:r w:rsidRPr="003F63DB">
        <w:t>å</w:t>
      </w:r>
      <w:r w:rsidRPr="003F63DB">
        <w:t>det arkeologitjänster, dnr 301-3631-2001</w:t>
      </w:r>
    </w:p>
    <w:p w:rsidR="00905B3E" w:rsidRPr="003F63DB" w:rsidRDefault="00905B3E">
      <w:pPr>
        <w:spacing w:before="0" w:after="80"/>
      </w:pPr>
      <w:r w:rsidRPr="003F63DB">
        <w:t>Återrapportering av Riksantikvarieämbetets samarbete med de sk. försöksl</w:t>
      </w:r>
      <w:r w:rsidRPr="003F63DB">
        <w:t>ä</w:t>
      </w:r>
      <w:r w:rsidRPr="003F63DB">
        <w:t>nen Kalmar, Gotland och Skåne, dnr 108-600-2002</w:t>
      </w:r>
    </w:p>
    <w:p w:rsidR="00905B3E" w:rsidRPr="003F63DB" w:rsidRDefault="00905B3E">
      <w:pPr>
        <w:spacing w:before="0" w:after="80"/>
      </w:pPr>
      <w:r w:rsidRPr="003F63DB">
        <w:t>Årsredovisningar för åren 1996/97–2001</w:t>
      </w:r>
    </w:p>
    <w:p w:rsidR="00905B3E" w:rsidRPr="003F63DB" w:rsidRDefault="00905B3E">
      <w:pPr>
        <w:spacing w:before="0" w:after="80"/>
      </w:pPr>
      <w:r w:rsidRPr="003F63DB">
        <w:t>Åtgärder för att balansera underskottet för avdelningen för arkeologiska undersökningar, dnr 124-832-1998</w:t>
      </w:r>
    </w:p>
    <w:p w:rsidR="00905B3E" w:rsidRPr="003F63DB" w:rsidRDefault="00905B3E">
      <w:pPr>
        <w:spacing w:before="0" w:after="80"/>
      </w:pPr>
      <w:r w:rsidRPr="003F63DB">
        <w:t>Överenskommelse om ansvarsområden för de skånska museernas kulturmi</w:t>
      </w:r>
      <w:r w:rsidRPr="003F63DB">
        <w:t>l</w:t>
      </w:r>
      <w:r w:rsidRPr="003F63DB">
        <w:t>jöarbete, dnr 344-2691-1999</w:t>
      </w:r>
    </w:p>
    <w:p w:rsidR="00905B3E" w:rsidRPr="003F63DB" w:rsidRDefault="00905B3E">
      <w:pPr>
        <w:spacing w:before="0" w:after="80"/>
      </w:pPr>
      <w:r w:rsidRPr="003F63DB">
        <w:t>Överenskommelse om samverkan mellan Vägverket och Riksantikvarieä</w:t>
      </w:r>
      <w:r w:rsidRPr="003F63DB">
        <w:t>m</w:t>
      </w:r>
      <w:r w:rsidRPr="003F63DB">
        <w:t>betet, dnr 500-01662-1998</w:t>
      </w:r>
    </w:p>
    <w:p w:rsidR="00905B3E" w:rsidRPr="003F63DB" w:rsidRDefault="00905B3E">
      <w:pPr>
        <w:spacing w:before="0" w:after="240"/>
      </w:pPr>
      <w:r w:rsidRPr="003F63DB">
        <w:t>Överklagande av länsstyrelsebeslut, dnr 321-2965-2001</w:t>
      </w:r>
    </w:p>
    <w:p w:rsidR="00905B3E" w:rsidRPr="003F63DB" w:rsidRDefault="00905B3E">
      <w:pPr>
        <w:spacing w:before="0" w:after="80"/>
      </w:pPr>
      <w:r w:rsidRPr="003F63DB">
        <w:t xml:space="preserve">Riksdagens revisorer (2000), </w:t>
      </w:r>
      <w:r w:rsidRPr="003F63DB">
        <w:rPr>
          <w:i/>
        </w:rPr>
        <w:t>Länsstyrelsernas tillämpning av kulturmi</w:t>
      </w:r>
      <w:r w:rsidRPr="003F63DB">
        <w:rPr>
          <w:i/>
        </w:rPr>
        <w:t>n</w:t>
      </w:r>
      <w:r w:rsidRPr="003F63DB">
        <w:rPr>
          <w:i/>
        </w:rPr>
        <w:t xml:space="preserve">neslagens bestämmelser om uppdragsarkeologi och länsstyrelsernas beslut enligt kulturminneslagen, </w:t>
      </w:r>
      <w:r w:rsidRPr="003F63DB">
        <w:t>Information</w:t>
      </w:r>
      <w:r w:rsidRPr="003F63DB">
        <w:t>s</w:t>
      </w:r>
      <w:r w:rsidRPr="003F63DB">
        <w:t>rapport 1999/2000:3</w:t>
      </w:r>
    </w:p>
    <w:p w:rsidR="00905B3E" w:rsidRPr="003F63DB" w:rsidRDefault="00905B3E">
      <w:pPr>
        <w:spacing w:before="0" w:after="80"/>
      </w:pPr>
      <w:r w:rsidRPr="003F63DB">
        <w:t xml:space="preserve">Riksdagens revisorer (2001), </w:t>
      </w:r>
      <w:r w:rsidRPr="003F63DB">
        <w:rPr>
          <w:i/>
        </w:rPr>
        <w:t>Myndigheter på marknaden</w:t>
      </w:r>
      <w:r w:rsidRPr="003F63DB">
        <w:t>, Förstudie 2001/02:9</w:t>
      </w:r>
    </w:p>
    <w:p w:rsidR="00905B3E" w:rsidRPr="003F63DB" w:rsidRDefault="00905B3E">
      <w:pPr>
        <w:spacing w:before="0" w:after="80"/>
      </w:pPr>
      <w:r w:rsidRPr="003F63DB">
        <w:t>Riksskatteverket, skrivelse, dnr 6432-99/100</w:t>
      </w:r>
    </w:p>
    <w:p w:rsidR="00905B3E" w:rsidRPr="003F63DB" w:rsidRDefault="00905B3E">
      <w:pPr>
        <w:spacing w:before="0" w:after="80"/>
      </w:pPr>
      <w:r w:rsidRPr="003F63DB">
        <w:t xml:space="preserve">SOU 1992:137, </w:t>
      </w:r>
      <w:r w:rsidRPr="003F63DB">
        <w:rPr>
          <w:i/>
        </w:rPr>
        <w:t>Arkeologi och exploatering</w:t>
      </w:r>
    </w:p>
    <w:p w:rsidR="00905B3E" w:rsidRPr="003F63DB" w:rsidRDefault="00905B3E">
      <w:pPr>
        <w:spacing w:before="0" w:after="80"/>
      </w:pPr>
      <w:r w:rsidRPr="003F63DB">
        <w:t xml:space="preserve">SOU 1994:51, </w:t>
      </w:r>
      <w:r w:rsidRPr="003F63DB">
        <w:rPr>
          <w:i/>
        </w:rPr>
        <w:t>Minne och bildning</w:t>
      </w:r>
    </w:p>
    <w:p w:rsidR="00905B3E" w:rsidRPr="003F63DB" w:rsidRDefault="00905B3E">
      <w:pPr>
        <w:spacing w:before="0" w:after="80"/>
      </w:pPr>
      <w:r w:rsidRPr="003F63DB">
        <w:t xml:space="preserve">SOU 1995:84, </w:t>
      </w:r>
      <w:r w:rsidRPr="003F63DB">
        <w:rPr>
          <w:i/>
        </w:rPr>
        <w:t>Kulturpolitikens inriktning</w:t>
      </w:r>
    </w:p>
    <w:p w:rsidR="00905B3E" w:rsidRPr="003F63DB" w:rsidRDefault="00905B3E">
      <w:pPr>
        <w:spacing w:before="0" w:after="80"/>
      </w:pPr>
      <w:r w:rsidRPr="003F63DB">
        <w:t xml:space="preserve">SOU 2000:17, </w:t>
      </w:r>
      <w:r w:rsidRPr="003F63DB">
        <w:rPr>
          <w:i/>
        </w:rPr>
        <w:t>Konkurrens på lika villkor mellan offentlig och privat sektor</w:t>
      </w:r>
    </w:p>
    <w:p w:rsidR="00905B3E" w:rsidRPr="003F63DB" w:rsidRDefault="00905B3E">
      <w:pPr>
        <w:spacing w:before="0" w:after="80"/>
      </w:pPr>
      <w:r w:rsidRPr="003F63DB">
        <w:t xml:space="preserve">SOU 2002:14, </w:t>
      </w:r>
      <w:r w:rsidRPr="003F63DB">
        <w:rPr>
          <w:i/>
        </w:rPr>
        <w:t>Statlig tillsyn – Granskning på medborgarnas up</w:t>
      </w:r>
      <w:r w:rsidRPr="003F63DB">
        <w:rPr>
          <w:i/>
        </w:rPr>
        <w:t>p</w:t>
      </w:r>
      <w:r w:rsidRPr="003F63DB">
        <w:rPr>
          <w:i/>
        </w:rPr>
        <w:t>drag</w:t>
      </w:r>
    </w:p>
    <w:p w:rsidR="00905B3E" w:rsidRPr="003F63DB" w:rsidRDefault="00905B3E">
      <w:pPr>
        <w:spacing w:before="0" w:after="80"/>
      </w:pPr>
      <w:r w:rsidRPr="003F63DB">
        <w:t xml:space="preserve">Statens kulturråd (2002), </w:t>
      </w:r>
      <w:r w:rsidRPr="003F63DB">
        <w:rPr>
          <w:i/>
        </w:rPr>
        <w:t>Redovisning av de centrala museernas återrappo</w:t>
      </w:r>
      <w:r w:rsidRPr="003F63DB">
        <w:rPr>
          <w:i/>
        </w:rPr>
        <w:t>r</w:t>
      </w:r>
      <w:r w:rsidRPr="003F63DB">
        <w:rPr>
          <w:i/>
        </w:rPr>
        <w:t>tering av åtgärder för samlingarnas långsiktiga bevara</w:t>
      </w:r>
      <w:r w:rsidRPr="003F63DB">
        <w:rPr>
          <w:i/>
        </w:rPr>
        <w:t>n</w:t>
      </w:r>
      <w:r w:rsidRPr="003F63DB">
        <w:rPr>
          <w:i/>
        </w:rPr>
        <w:t>de</w:t>
      </w:r>
      <w:r w:rsidRPr="003F63DB">
        <w:t>, dnr S 231/02-511</w:t>
      </w:r>
    </w:p>
    <w:p w:rsidR="00905B3E" w:rsidRPr="003F63DB" w:rsidRDefault="00905B3E">
      <w:pPr>
        <w:spacing w:before="0" w:after="80"/>
      </w:pPr>
      <w:r w:rsidRPr="003F63DB">
        <w:t>Statistiska centralbyrån, www.scb.se, Prisbasbelopp 1996–2002</w:t>
      </w:r>
    </w:p>
    <w:p w:rsidR="00905B3E" w:rsidRPr="003F63DB" w:rsidRDefault="00905B3E">
      <w:pPr>
        <w:spacing w:before="0" w:after="80"/>
      </w:pPr>
      <w:r w:rsidRPr="003F63DB">
        <w:t xml:space="preserve">Statskontoret (1998), </w:t>
      </w:r>
      <w:r w:rsidRPr="003F63DB">
        <w:rPr>
          <w:i/>
        </w:rPr>
        <w:t>Bolagisering av uppdragsverksamheter</w:t>
      </w:r>
      <w:r w:rsidRPr="003F63DB">
        <w:t>, dnr 364/97-5</w:t>
      </w:r>
    </w:p>
    <w:p w:rsidR="00905B3E" w:rsidRPr="003F63DB" w:rsidRDefault="00905B3E">
      <w:pPr>
        <w:spacing w:before="0" w:after="80"/>
      </w:pPr>
      <w:r w:rsidRPr="003F63DB">
        <w:t xml:space="preserve">Statskontoret (2000), </w:t>
      </w:r>
      <w:r w:rsidRPr="003F63DB">
        <w:rPr>
          <w:i/>
        </w:rPr>
        <w:t xml:space="preserve">Staten som kommersiell aktör, </w:t>
      </w:r>
      <w:r w:rsidRPr="003F63DB">
        <w:t>2000:16</w:t>
      </w:r>
    </w:p>
    <w:p w:rsidR="00905B3E" w:rsidRPr="003F63DB" w:rsidRDefault="00905B3E">
      <w:pPr>
        <w:spacing w:before="0" w:after="80"/>
      </w:pPr>
      <w:r w:rsidRPr="003F63DB">
        <w:t>Statsliggaren för år 2002</w:t>
      </w:r>
    </w:p>
    <w:p w:rsidR="00905B3E" w:rsidRPr="003F63DB" w:rsidRDefault="00905B3E">
      <w:pPr>
        <w:spacing w:before="0" w:after="80"/>
      </w:pPr>
      <w:r w:rsidRPr="003F63DB">
        <w:t>Stiftelsen Jönköpings läns museum, Stiftelseurkund och stadgar</w:t>
      </w:r>
    </w:p>
    <w:p w:rsidR="00905B3E" w:rsidRPr="003F63DB" w:rsidRDefault="00905B3E">
      <w:pPr>
        <w:spacing w:before="0" w:after="160"/>
      </w:pPr>
      <w:r w:rsidRPr="003F63DB">
        <w:t>Stiftelsen Kalmar läns museum, Stiftelseurkund och stadgar</w:t>
      </w:r>
    </w:p>
    <w:p w:rsidR="00905B3E" w:rsidRPr="003F63DB" w:rsidRDefault="00905B3E">
      <w:pPr>
        <w:spacing w:before="0" w:after="80"/>
        <w:rPr>
          <w:b/>
        </w:rPr>
      </w:pPr>
      <w:r w:rsidRPr="003F63DB">
        <w:rPr>
          <w:b/>
        </w:rPr>
        <w:t>Utskottsbetänkanden</w:t>
      </w:r>
    </w:p>
    <w:p w:rsidR="00905B3E" w:rsidRPr="003F63DB" w:rsidRDefault="00905B3E">
      <w:pPr>
        <w:spacing w:before="0" w:after="20"/>
      </w:pPr>
      <w:r w:rsidRPr="003F63DB">
        <w:t>Kulturutskottets betänkande 1993/94:KrU25</w:t>
      </w:r>
    </w:p>
    <w:p w:rsidR="00905B3E" w:rsidRPr="003F63DB" w:rsidRDefault="00905B3E">
      <w:pPr>
        <w:spacing w:before="0" w:after="20"/>
      </w:pPr>
      <w:r w:rsidRPr="003F63DB">
        <w:t>Kulturutskottets betänkande 1996/97:KrU1</w:t>
      </w:r>
    </w:p>
    <w:p w:rsidR="00905B3E" w:rsidRPr="003F63DB" w:rsidRDefault="00905B3E">
      <w:pPr>
        <w:spacing w:before="0" w:after="20"/>
      </w:pPr>
      <w:r w:rsidRPr="003F63DB">
        <w:t>Kulturutskottets betänkande 1996/97:KrU12</w:t>
      </w:r>
    </w:p>
    <w:p w:rsidR="00905B3E" w:rsidRPr="003F63DB" w:rsidRDefault="00905B3E">
      <w:pPr>
        <w:spacing w:before="0" w:after="20"/>
      </w:pPr>
      <w:r w:rsidRPr="003F63DB">
        <w:t>Kulturutskottets betänkande 1997/98:KrU12</w:t>
      </w:r>
    </w:p>
    <w:p w:rsidR="00905B3E" w:rsidRPr="003F63DB" w:rsidRDefault="00905B3E">
      <w:pPr>
        <w:spacing w:before="0" w:after="20"/>
      </w:pPr>
      <w:r w:rsidRPr="003F63DB">
        <w:t>Kulturutskottets betänkande 1999/2000:KrU13</w:t>
      </w:r>
    </w:p>
    <w:p w:rsidR="00905B3E" w:rsidRPr="003F63DB" w:rsidRDefault="00905B3E">
      <w:pPr>
        <w:spacing w:before="0" w:after="20"/>
      </w:pPr>
      <w:r w:rsidRPr="003F63DB">
        <w:t>Kulturutskottets betänkande 2001/02:KrU1</w:t>
      </w:r>
    </w:p>
    <w:p w:rsidR="00905B3E" w:rsidRPr="003F63DB" w:rsidRDefault="00905B3E">
      <w:pPr>
        <w:spacing w:before="0" w:after="20"/>
      </w:pPr>
      <w:r w:rsidRPr="003F63DB">
        <w:t>Kulturutskottets betänkande 2001/02:KrU19</w:t>
      </w:r>
    </w:p>
    <w:p w:rsidR="00905B3E" w:rsidRPr="003F63DB" w:rsidRDefault="00905B3E">
      <w:pPr>
        <w:spacing w:before="0" w:after="20"/>
      </w:pPr>
      <w:r w:rsidRPr="003F63DB">
        <w:t>Trafikutskottets betänkande 2001/02:TU2</w:t>
      </w:r>
    </w:p>
    <w:p w:rsidR="00905B3E" w:rsidRPr="003F63DB" w:rsidRDefault="00905B3E">
      <w:pPr>
        <w:spacing w:before="0" w:after="200"/>
      </w:pPr>
      <w:r w:rsidRPr="003F63DB">
        <w:t>Utbildningsutskottets betänkande 1993/94:UbU12</w:t>
      </w:r>
    </w:p>
    <w:p w:rsidR="00905B3E" w:rsidRPr="003F63DB" w:rsidRDefault="00905B3E">
      <w:pPr>
        <w:spacing w:before="0" w:after="80"/>
      </w:pPr>
      <w:r w:rsidRPr="003F63DB">
        <w:t>Vägverket, dnr SA80 A 98:4056</w:t>
      </w:r>
    </w:p>
    <w:p w:rsidR="00905B3E" w:rsidRPr="003F63DB" w:rsidRDefault="00905B3E">
      <w:pPr>
        <w:spacing w:before="0" w:after="80"/>
      </w:pPr>
      <w:r w:rsidRPr="003F63DB">
        <w:t>Vägverket Region Mälardalen, dnr SA80B 94:6205</w:t>
      </w:r>
    </w:p>
    <w:p w:rsidR="00905B3E" w:rsidRPr="003F63DB" w:rsidRDefault="00905B3E">
      <w:pPr>
        <w:spacing w:before="0" w:after="80"/>
      </w:pPr>
      <w:r w:rsidRPr="003F63DB">
        <w:t>Vägverket Region Mälardalen, dnr VMN BY20 2000:2186</w:t>
      </w:r>
    </w:p>
    <w:p w:rsidR="00905B3E" w:rsidRPr="003F63DB" w:rsidRDefault="00905B3E">
      <w:pPr>
        <w:spacing w:before="0" w:after="80"/>
      </w:pPr>
      <w:r w:rsidRPr="003F63DB">
        <w:t>Vägverket Region Stockholm, dnr PP20A 2002:667</w:t>
      </w:r>
    </w:p>
    <w:p w:rsidR="00905B3E" w:rsidRPr="003F63DB" w:rsidRDefault="00905B3E">
      <w:pPr>
        <w:spacing w:before="0" w:after="80"/>
      </w:pPr>
      <w:r w:rsidRPr="003F63DB">
        <w:t>Vägverket Region Stockholm, dnr PP 20 2002:1356</w:t>
      </w:r>
    </w:p>
    <w:p w:rsidR="00905B3E" w:rsidRPr="003F63DB" w:rsidRDefault="00905B3E">
      <w:pPr>
        <w:pStyle w:val="Normaltindrag"/>
        <w:ind w:firstLine="0"/>
      </w:pPr>
    </w:p>
    <w:p w:rsidR="00905B3E" w:rsidRPr="003F63DB" w:rsidRDefault="00905B3E">
      <w:pPr>
        <w:pStyle w:val="Normaltindrag"/>
        <w:ind w:firstLine="0"/>
      </w:pPr>
    </w:p>
    <w:p w:rsidR="00905B3E" w:rsidRPr="003F63DB" w:rsidRDefault="00905B3E">
      <w:pPr>
        <w:pStyle w:val="Normaltindrag"/>
        <w:ind w:firstLine="0"/>
        <w:sectPr w:rsidR="00000000" w:rsidRPr="003F63DB">
          <w:type w:val="oddPage"/>
          <w:pgSz w:w="11906" w:h="16838" w:code="9"/>
          <w:pgMar w:top="567" w:right="4876" w:bottom="4508" w:left="1134" w:header="227" w:footer="227" w:gutter="0"/>
          <w:cols w:space="720"/>
        </w:sectPr>
      </w:pPr>
    </w:p>
    <w:p w:rsidR="00905B3E" w:rsidRPr="003F63DB" w:rsidRDefault="00905B3E">
      <w:pPr>
        <w:pStyle w:val="RubrikUtanNr"/>
        <w:jc w:val="left"/>
      </w:pPr>
      <w:bookmarkStart w:id="167" w:name="_Toc35833468"/>
      <w:bookmarkStart w:id="168" w:name="_Toc36520780"/>
      <w:r w:rsidRPr="003F63DB">
        <w:t>Sammanfattning av remissyttranden över rapport 2002/03:3 Arkeologi på uppdrag</w:t>
      </w:r>
      <w:bookmarkEnd w:id="167"/>
      <w:bookmarkEnd w:id="168"/>
    </w:p>
    <w:p w:rsidR="00905B3E" w:rsidRPr="003F63DB" w:rsidRDefault="00905B3E">
      <w:pPr>
        <w:pStyle w:val="RubrikUtanNr2"/>
        <w:spacing w:before="120"/>
      </w:pPr>
      <w:bookmarkStart w:id="169" w:name="_Toc35833469"/>
      <w:bookmarkStart w:id="170" w:name="_Toc36520781"/>
      <w:r w:rsidRPr="003F63DB">
        <w:t>Remissinstanser</w:t>
      </w:r>
      <w:bookmarkEnd w:id="169"/>
      <w:bookmarkEnd w:id="170"/>
    </w:p>
    <w:p w:rsidR="00905B3E" w:rsidRPr="003F63DB" w:rsidRDefault="00905B3E">
      <w:r w:rsidRPr="003F63DB">
        <w:t>Följande instanser har yttrat sig över rapporten:</w:t>
      </w:r>
    </w:p>
    <w:p w:rsidR="00905B3E" w:rsidRPr="003F63DB" w:rsidRDefault="00905B3E">
      <w:pPr>
        <w:spacing w:before="40"/>
      </w:pPr>
      <w:r w:rsidRPr="003F63DB">
        <w:t>Statskontoret</w:t>
      </w:r>
    </w:p>
    <w:p w:rsidR="00905B3E" w:rsidRPr="003F63DB" w:rsidRDefault="00905B3E">
      <w:pPr>
        <w:spacing w:before="40"/>
      </w:pPr>
      <w:r w:rsidRPr="003F63DB">
        <w:t>Nämnden för offentlig upphandling</w:t>
      </w:r>
    </w:p>
    <w:p w:rsidR="00905B3E" w:rsidRPr="003F63DB" w:rsidRDefault="00905B3E">
      <w:pPr>
        <w:spacing w:before="40"/>
      </w:pPr>
      <w:r w:rsidRPr="003F63DB">
        <w:t>Länsstyrelsen i Stockholms län</w:t>
      </w:r>
    </w:p>
    <w:p w:rsidR="00905B3E" w:rsidRPr="003F63DB" w:rsidRDefault="00905B3E">
      <w:pPr>
        <w:spacing w:before="40"/>
      </w:pPr>
      <w:r w:rsidRPr="003F63DB">
        <w:t>Länsstyrelsen i Uppsala län</w:t>
      </w:r>
    </w:p>
    <w:p w:rsidR="00905B3E" w:rsidRPr="003F63DB" w:rsidRDefault="00905B3E">
      <w:pPr>
        <w:spacing w:before="40"/>
      </w:pPr>
      <w:r w:rsidRPr="003F63DB">
        <w:t>Länsstyrelsen i Södermanlands län</w:t>
      </w:r>
    </w:p>
    <w:p w:rsidR="00905B3E" w:rsidRPr="003F63DB" w:rsidRDefault="00905B3E">
      <w:pPr>
        <w:spacing w:before="40"/>
      </w:pPr>
      <w:r w:rsidRPr="003F63DB">
        <w:t>Länsstyrelsen i Kronobergs län</w:t>
      </w:r>
    </w:p>
    <w:p w:rsidR="00905B3E" w:rsidRPr="003F63DB" w:rsidRDefault="00905B3E">
      <w:pPr>
        <w:spacing w:before="40"/>
      </w:pPr>
      <w:r w:rsidRPr="003F63DB">
        <w:t>Länsstyrelsen i Gotlands län</w:t>
      </w:r>
    </w:p>
    <w:p w:rsidR="00905B3E" w:rsidRPr="003F63DB" w:rsidRDefault="00905B3E">
      <w:pPr>
        <w:spacing w:before="40"/>
      </w:pPr>
      <w:r w:rsidRPr="003F63DB">
        <w:t>Länsstyrelsen i Skåne län</w:t>
      </w:r>
    </w:p>
    <w:p w:rsidR="00905B3E" w:rsidRPr="003F63DB" w:rsidRDefault="00905B3E">
      <w:pPr>
        <w:spacing w:before="40"/>
      </w:pPr>
      <w:r w:rsidRPr="003F63DB">
        <w:t>Länsstyrelsen i Västra Götalands län</w:t>
      </w:r>
    </w:p>
    <w:p w:rsidR="00905B3E" w:rsidRPr="003F63DB" w:rsidRDefault="00905B3E">
      <w:pPr>
        <w:spacing w:before="40"/>
      </w:pPr>
      <w:r w:rsidRPr="003F63DB">
        <w:t>Länsstyrelsen i Västernorrlands län</w:t>
      </w:r>
    </w:p>
    <w:p w:rsidR="00905B3E" w:rsidRPr="003F63DB" w:rsidRDefault="00905B3E">
      <w:pPr>
        <w:spacing w:before="40"/>
      </w:pPr>
      <w:r w:rsidRPr="003F63DB">
        <w:t>Uppsala universitet</w:t>
      </w:r>
    </w:p>
    <w:p w:rsidR="00905B3E" w:rsidRPr="003F63DB" w:rsidRDefault="00905B3E">
      <w:pPr>
        <w:spacing w:before="40"/>
      </w:pPr>
      <w:r w:rsidRPr="003F63DB">
        <w:t>Umeå universitet</w:t>
      </w:r>
    </w:p>
    <w:p w:rsidR="00905B3E" w:rsidRPr="003F63DB" w:rsidRDefault="00905B3E">
      <w:pPr>
        <w:spacing w:before="40"/>
      </w:pPr>
      <w:r w:rsidRPr="003F63DB">
        <w:t>Mitthögskolan</w:t>
      </w:r>
    </w:p>
    <w:p w:rsidR="00905B3E" w:rsidRPr="003F63DB" w:rsidRDefault="00905B3E">
      <w:pPr>
        <w:spacing w:before="40"/>
      </w:pPr>
      <w:r w:rsidRPr="003F63DB">
        <w:t>Riksantikvarieämbetet</w:t>
      </w:r>
    </w:p>
    <w:p w:rsidR="00905B3E" w:rsidRPr="003F63DB" w:rsidRDefault="00905B3E">
      <w:pPr>
        <w:spacing w:before="40"/>
      </w:pPr>
      <w:r w:rsidRPr="003F63DB">
        <w:t>Statens historiska museer</w:t>
      </w:r>
    </w:p>
    <w:p w:rsidR="00905B3E" w:rsidRPr="003F63DB" w:rsidRDefault="00905B3E">
      <w:pPr>
        <w:spacing w:before="40"/>
      </w:pPr>
      <w:r w:rsidRPr="003F63DB">
        <w:t>Banverket</w:t>
      </w:r>
    </w:p>
    <w:p w:rsidR="00905B3E" w:rsidRPr="003F63DB" w:rsidRDefault="00905B3E">
      <w:pPr>
        <w:spacing w:before="40"/>
      </w:pPr>
      <w:r w:rsidRPr="003F63DB">
        <w:t>Vägverket</w:t>
      </w:r>
    </w:p>
    <w:p w:rsidR="00905B3E" w:rsidRPr="003F63DB" w:rsidRDefault="00905B3E">
      <w:pPr>
        <w:spacing w:before="40"/>
      </w:pPr>
      <w:r w:rsidRPr="003F63DB">
        <w:t>Konkurrensverket</w:t>
      </w:r>
    </w:p>
    <w:p w:rsidR="00905B3E" w:rsidRPr="003F63DB" w:rsidRDefault="00905B3E">
      <w:pPr>
        <w:spacing w:before="40"/>
      </w:pPr>
      <w:r w:rsidRPr="003F63DB">
        <w:t>Malmö Kulturmiljö</w:t>
      </w:r>
    </w:p>
    <w:p w:rsidR="00905B3E" w:rsidRPr="003F63DB" w:rsidRDefault="00905B3E">
      <w:pPr>
        <w:spacing w:before="40"/>
      </w:pPr>
      <w:r w:rsidRPr="003F63DB">
        <w:t>Angaria AB</w:t>
      </w:r>
    </w:p>
    <w:p w:rsidR="00905B3E" w:rsidRPr="003F63DB" w:rsidRDefault="00905B3E">
      <w:pPr>
        <w:spacing w:before="40"/>
      </w:pPr>
      <w:r w:rsidRPr="003F63DB">
        <w:t>Arkeologikonsult AB</w:t>
      </w:r>
    </w:p>
    <w:p w:rsidR="00905B3E" w:rsidRPr="003F63DB" w:rsidRDefault="00905B3E">
      <w:pPr>
        <w:spacing w:before="40"/>
      </w:pPr>
      <w:r w:rsidRPr="003F63DB">
        <w:t>Bohusläns museum</w:t>
      </w:r>
    </w:p>
    <w:p w:rsidR="00905B3E" w:rsidRPr="003F63DB" w:rsidRDefault="00905B3E">
      <w:pPr>
        <w:spacing w:before="40"/>
      </w:pPr>
      <w:r w:rsidRPr="003F63DB">
        <w:t>DIK-förbundet (Dokumentation, information och kultur)</w:t>
      </w:r>
    </w:p>
    <w:p w:rsidR="00905B3E" w:rsidRPr="003F63DB" w:rsidRDefault="00905B3E">
      <w:pPr>
        <w:spacing w:before="40"/>
      </w:pPr>
      <w:r w:rsidRPr="003F63DB">
        <w:t>Föreningen Sveriges länsantikvarier</w:t>
      </w:r>
    </w:p>
    <w:p w:rsidR="00905B3E" w:rsidRPr="003F63DB" w:rsidRDefault="00905B3E">
      <w:pPr>
        <w:spacing w:before="40"/>
      </w:pPr>
      <w:r w:rsidRPr="003F63DB">
        <w:t>Jönköpings läns museum</w:t>
      </w:r>
    </w:p>
    <w:p w:rsidR="00905B3E" w:rsidRPr="003F63DB" w:rsidRDefault="00905B3E">
      <w:pPr>
        <w:spacing w:before="40"/>
      </w:pPr>
      <w:r w:rsidRPr="003F63DB">
        <w:t>Professor Kristian Kristiansen vid Göteborgs universitet</w:t>
      </w:r>
    </w:p>
    <w:p w:rsidR="00905B3E" w:rsidRPr="003F63DB" w:rsidRDefault="00905B3E">
      <w:pPr>
        <w:spacing w:before="40"/>
      </w:pPr>
      <w:r w:rsidRPr="003F63DB">
        <w:t>Societas Archaeologica Upsaliensis</w:t>
      </w:r>
    </w:p>
    <w:p w:rsidR="00905B3E" w:rsidRPr="003F63DB" w:rsidRDefault="00905B3E">
      <w:pPr>
        <w:spacing w:before="40"/>
      </w:pPr>
      <w:r w:rsidRPr="003F63DB">
        <w:t>Svenska Arkeologiska Samfundet</w:t>
      </w:r>
    </w:p>
    <w:p w:rsidR="00905B3E" w:rsidRPr="003F63DB" w:rsidRDefault="00905B3E">
      <w:pPr>
        <w:spacing w:before="40"/>
      </w:pPr>
      <w:r w:rsidRPr="003F63DB">
        <w:t>Västerbottens museum</w:t>
      </w:r>
    </w:p>
    <w:p w:rsidR="00905B3E" w:rsidRPr="003F63DB" w:rsidRDefault="00905B3E">
      <w:pPr>
        <w:spacing w:before="40"/>
      </w:pPr>
      <w:r w:rsidRPr="003F63DB">
        <w:t>Västergötlands museum</w:t>
      </w:r>
    </w:p>
    <w:p w:rsidR="00905B3E" w:rsidRPr="003F63DB" w:rsidRDefault="00905B3E">
      <w:pPr>
        <w:spacing w:before="40"/>
      </w:pPr>
      <w:r w:rsidRPr="003F63DB">
        <w:t>Wallin kulturlandskap och arkeologi</w:t>
      </w:r>
    </w:p>
    <w:p w:rsidR="00905B3E" w:rsidRPr="003F63DB" w:rsidRDefault="00905B3E">
      <w:r w:rsidRPr="003F63DB">
        <w:t>Borlänge kommun har lämnat kommentarer om uppdragsarkeologin och bifogat utdrag ur kommunens kulturmiljöprogram.</w:t>
      </w:r>
    </w:p>
    <w:p w:rsidR="00905B3E" w:rsidRPr="003F63DB" w:rsidRDefault="00905B3E">
      <w:pPr>
        <w:pStyle w:val="Normaltindrag"/>
      </w:pPr>
      <w:r w:rsidRPr="003F63DB">
        <w:t>Regeringskansliet, Svenska Kommunförbundet och Länsmuseet i Gävl</w:t>
      </w:r>
      <w:r w:rsidRPr="003F63DB">
        <w:t>e</w:t>
      </w:r>
      <w:r w:rsidRPr="003F63DB">
        <w:t>borg har beretts tillfälle att yttra sig, men har avstått.</w:t>
      </w:r>
    </w:p>
    <w:p w:rsidR="00905B3E" w:rsidRPr="003F63DB" w:rsidRDefault="00905B3E">
      <w:pPr>
        <w:pStyle w:val="Rubrik2-Utannumrering"/>
      </w:pPr>
      <w:bookmarkStart w:id="171" w:name="_Toc35833470"/>
      <w:bookmarkStart w:id="172" w:name="_Toc36520782"/>
      <w:r w:rsidRPr="003F63DB">
        <w:t>Remissinstansernas allmänna synpunkter</w:t>
      </w:r>
      <w:bookmarkEnd w:id="171"/>
      <w:bookmarkEnd w:id="172"/>
    </w:p>
    <w:p w:rsidR="00905B3E" w:rsidRPr="003F63DB" w:rsidRDefault="00905B3E">
      <w:r w:rsidRPr="003F63DB">
        <w:rPr>
          <w:i/>
        </w:rPr>
        <w:t xml:space="preserve">Statskontoret </w:t>
      </w:r>
      <w:r w:rsidRPr="003F63DB">
        <w:t>anser det viktigt att det skapas förutsättningar för bättre hu</w:t>
      </w:r>
      <w:r w:rsidRPr="003F63DB">
        <w:t>s</w:t>
      </w:r>
      <w:r w:rsidRPr="003F63DB">
        <w:t xml:space="preserve">hållning med offentliga medel inom uppdragsarkeologin. </w:t>
      </w:r>
    </w:p>
    <w:p w:rsidR="00905B3E" w:rsidRPr="003F63DB" w:rsidRDefault="00905B3E">
      <w:pPr>
        <w:pStyle w:val="Normaltindrag"/>
      </w:pPr>
      <w:r w:rsidRPr="003F63DB">
        <w:rPr>
          <w:i/>
        </w:rPr>
        <w:t>Länsstyrelsen i Stockholms län</w:t>
      </w:r>
      <w:r w:rsidRPr="003F63DB">
        <w:t xml:space="preserve"> anser att revisorerna gjort en värdefull genomgång av tillämpningen av kulturminneslagen, verkställighetsför</w:t>
      </w:r>
      <w:r w:rsidRPr="003F63DB">
        <w:t>e</w:t>
      </w:r>
      <w:r w:rsidRPr="003F63DB">
        <w:t>skrifterna och effekterna av det upphandlingsliknande förfarandet. Länsst</w:t>
      </w:r>
      <w:r w:rsidRPr="003F63DB">
        <w:t>y</w:t>
      </w:r>
      <w:r w:rsidRPr="003F63DB">
        <w:t>relsen konstaterar att de uppdragsarkeologiska frågorna har hanterats med ambivalens inom departement, statliga verk och tillämpande myndigheter. Trots flera utredningar i ämnet fungerar inte systemet tillfredsstä</w:t>
      </w:r>
      <w:r w:rsidRPr="003F63DB">
        <w:t>l</w:t>
      </w:r>
      <w:r w:rsidRPr="003F63DB">
        <w:t>lande.</w:t>
      </w:r>
    </w:p>
    <w:p w:rsidR="00905B3E" w:rsidRPr="003F63DB" w:rsidRDefault="00905B3E">
      <w:pPr>
        <w:pStyle w:val="Normaltindrag"/>
      </w:pPr>
      <w:r w:rsidRPr="003F63DB">
        <w:rPr>
          <w:i/>
        </w:rPr>
        <w:t>Länsstyrelsen i Uppsala län</w:t>
      </w:r>
      <w:r w:rsidRPr="003F63DB">
        <w:t xml:space="preserve"> menar att revisorerna har uppmärksammat viktiga problem inom uppdragsarkeologin, vilka kräver en lösning. Konse</w:t>
      </w:r>
      <w:r w:rsidRPr="003F63DB">
        <w:softHyphen/>
        <w:t>kvenserna av länsstyrelsernas resursbrist har dock inte behandlats på ett tillfredsställande sätt. Uppfattningen om de verkliga förhållandena blir dä</w:t>
      </w:r>
      <w:r w:rsidRPr="003F63DB">
        <w:t>r</w:t>
      </w:r>
      <w:r w:rsidRPr="003F63DB">
        <w:t>med skev och slutsatserna oklara. Länsstyrelsen föreslår att revisorernas granskning breddas och fördjupas. Detta kan lämpligen göras av den sedan länge aviserade departementsutredningen.</w:t>
      </w:r>
    </w:p>
    <w:p w:rsidR="00905B3E" w:rsidRPr="003F63DB" w:rsidRDefault="00905B3E">
      <w:pPr>
        <w:pStyle w:val="Normaltindrag"/>
      </w:pPr>
      <w:r w:rsidRPr="003F63DB">
        <w:rPr>
          <w:i/>
        </w:rPr>
        <w:t>Länsstyrelsen i Södermanlands län</w:t>
      </w:r>
      <w:r w:rsidRPr="003F63DB">
        <w:t xml:space="preserve"> kritiserar revisorerna för att ge en ob</w:t>
      </w:r>
      <w:r w:rsidRPr="003F63DB">
        <w:t>a</w:t>
      </w:r>
      <w:r w:rsidRPr="003F63DB">
        <w:t>lanserad beskrivning av olika aktörers intressen i den uppdragsarkeologiska verksamheten. En större kunskap om arkeologi skulle ha gett en mer nyans</w:t>
      </w:r>
      <w:r w:rsidRPr="003F63DB">
        <w:t>e</w:t>
      </w:r>
      <w:r w:rsidRPr="003F63DB">
        <w:t>rad framställning. Nu präglas rapporten av en ekonomisk framtoning.</w:t>
      </w:r>
    </w:p>
    <w:p w:rsidR="00905B3E" w:rsidRPr="003F63DB" w:rsidRDefault="00905B3E">
      <w:pPr>
        <w:pStyle w:val="Normaltindrag"/>
      </w:pPr>
      <w:r w:rsidRPr="003F63DB">
        <w:rPr>
          <w:i/>
        </w:rPr>
        <w:t>Länsstyrelsen i Kronobergs län</w:t>
      </w:r>
      <w:r w:rsidRPr="003F63DB">
        <w:t xml:space="preserve"> delar i stort revisorernas uppfattning om tillståndet för svensk uppdragsarkeologi och finner revisorernas kritik mot länsstyrelsernas handläggning av arkeologiärenden befogad. Höga arkeol</w:t>
      </w:r>
      <w:r w:rsidRPr="003F63DB">
        <w:t>o</w:t>
      </w:r>
      <w:r w:rsidRPr="003F63DB">
        <w:t>giska kostnader och uteblivna eller banala resultat leder till att förtroendet för den arkeologiska verksamheten minskar.</w:t>
      </w:r>
    </w:p>
    <w:p w:rsidR="00905B3E" w:rsidRPr="003F63DB" w:rsidRDefault="00905B3E">
      <w:pPr>
        <w:pStyle w:val="Normaltindrag"/>
      </w:pPr>
      <w:r w:rsidRPr="003F63DB">
        <w:rPr>
          <w:i/>
        </w:rPr>
        <w:t>Länsstyrelsen i Gotlands län</w:t>
      </w:r>
      <w:r w:rsidRPr="003F63DB">
        <w:t xml:space="preserve"> anser att rapporten är väl genomarbetad och beskriver organisation och beslutsprocess kring arkeologiska uppdrag på ett bra sätt. Den visar på uppenbara svagheter och oklarheter i den nuvarande hanteringen.</w:t>
      </w:r>
    </w:p>
    <w:p w:rsidR="00905B3E" w:rsidRPr="003F63DB" w:rsidRDefault="00905B3E">
      <w:pPr>
        <w:pStyle w:val="Normaltindrag"/>
      </w:pPr>
      <w:r w:rsidRPr="003F63DB">
        <w:rPr>
          <w:i/>
        </w:rPr>
        <w:t>Länsstyrelsen i Skåne län</w:t>
      </w:r>
      <w:r w:rsidRPr="003F63DB">
        <w:t xml:space="preserve"> ser rapporten som en bra och översiktlig sa</w:t>
      </w:r>
      <w:r w:rsidRPr="003F63DB">
        <w:t>m</w:t>
      </w:r>
      <w:r w:rsidRPr="003F63DB">
        <w:t>manfattning av uppdragsarkeologins förutsättningar, där svårigheter och svagheter i beslutsgången och i besluten påtalas. Länsstyrelsen anser dock att uppdragsarkeologin har genomgått förändringar i positiv riktning under de senaste åren. De skäl som anförs för att förändra systemet är varken väl genomtänkta eller grundligt motiver</w:t>
      </w:r>
      <w:r w:rsidRPr="003F63DB">
        <w:t>a</w:t>
      </w:r>
      <w:r w:rsidRPr="003F63DB">
        <w:t>de.</w:t>
      </w:r>
    </w:p>
    <w:p w:rsidR="00905B3E" w:rsidRPr="003F63DB" w:rsidRDefault="00905B3E">
      <w:pPr>
        <w:pStyle w:val="Normaltindrag"/>
      </w:pPr>
      <w:r w:rsidRPr="003F63DB">
        <w:rPr>
          <w:i/>
        </w:rPr>
        <w:t>Länsstyrelsen i Västra Götalands län</w:t>
      </w:r>
      <w:r w:rsidRPr="003F63DB">
        <w:t xml:space="preserve"> anser att rapporten belyser flera vi</w:t>
      </w:r>
      <w:r w:rsidRPr="003F63DB">
        <w:t>k</w:t>
      </w:r>
      <w:r w:rsidRPr="003F63DB">
        <w:t>tiga problemområden inom den uppdragsarkeologiska verksamheten; i sy</w:t>
      </w:r>
      <w:r w:rsidRPr="003F63DB">
        <w:t>n</w:t>
      </w:r>
      <w:r w:rsidRPr="003F63DB">
        <w:t>nerhet beslutsprocessen. Länsstyrelsen har föga att erinra mot revisorernas redovisning av rådande förhållanden, men anser att revisorernas överväga</w:t>
      </w:r>
      <w:r w:rsidRPr="003F63DB">
        <w:t>n</w:t>
      </w:r>
      <w:r w:rsidRPr="003F63DB">
        <w:t xml:space="preserve">den är alltför generaliserande. </w:t>
      </w:r>
    </w:p>
    <w:p w:rsidR="00905B3E" w:rsidRPr="003F63DB" w:rsidRDefault="00905B3E">
      <w:pPr>
        <w:pStyle w:val="Normaltindrag"/>
      </w:pPr>
      <w:r w:rsidRPr="003F63DB">
        <w:rPr>
          <w:i/>
        </w:rPr>
        <w:t>Umeå universitet</w:t>
      </w:r>
      <w:r w:rsidRPr="003F63DB">
        <w:t xml:space="preserve"> menar att uppdragsarkeologin och dess organisation inte fungerar bra. Förändringar och nya rutiner har inte fungerat som det var tänkt. Slutresultatet motsvarar i många fall inte vad som förespeglats i unde</w:t>
      </w:r>
      <w:r w:rsidRPr="003F63DB">
        <w:t>r</w:t>
      </w:r>
      <w:r w:rsidRPr="003F63DB">
        <w:t>sökarnas vetenskapliga program. Den nya kunskap som kommer arkeologin och samhället till godo motsvarar inte på något sätt kostnaderna. Universit</w:t>
      </w:r>
      <w:r w:rsidRPr="003F63DB">
        <w:t>e</w:t>
      </w:r>
      <w:r w:rsidRPr="003F63DB">
        <w:t>tet betonar att fornlämningar i första hand ska skyddas och befarar att for</w:t>
      </w:r>
      <w:r w:rsidRPr="003F63DB">
        <w:t>n</w:t>
      </w:r>
      <w:r w:rsidRPr="003F63DB">
        <w:t>lämningar kommer att bli en bristvara för framtida forskning och kunskap</w:t>
      </w:r>
      <w:r w:rsidRPr="003F63DB">
        <w:t>s</w:t>
      </w:r>
      <w:r w:rsidRPr="003F63DB">
        <w:t>utvinning</w:t>
      </w:r>
      <w:r w:rsidRPr="003F63DB">
        <w:t xml:space="preserve"> i områden med hög exploat</w:t>
      </w:r>
      <w:r w:rsidRPr="003F63DB">
        <w:t>e</w:t>
      </w:r>
      <w:r w:rsidRPr="003F63DB">
        <w:t>ring.</w:t>
      </w:r>
    </w:p>
    <w:p w:rsidR="00905B3E" w:rsidRPr="003F63DB" w:rsidRDefault="00905B3E">
      <w:pPr>
        <w:pStyle w:val="Normaltindrag"/>
      </w:pPr>
      <w:r w:rsidRPr="003F63DB">
        <w:t xml:space="preserve">Enligt </w:t>
      </w:r>
      <w:r w:rsidRPr="003F63DB">
        <w:rPr>
          <w:i/>
        </w:rPr>
        <w:t>Mitthögskolan</w:t>
      </w:r>
      <w:r w:rsidRPr="003F63DB">
        <w:t xml:space="preserve"> har branschen länge känt till de förhållanden och problem som revisorerna pekar på. Mitthögskolan välkomnar flera av försl</w:t>
      </w:r>
      <w:r w:rsidRPr="003F63DB">
        <w:t>a</w:t>
      </w:r>
      <w:r w:rsidRPr="003F63DB">
        <w:t>gen, men menar att revisorerna också lämnat förslag som visar att de inte riktigt förstår sig på branschens inre struktur och villkor.</w:t>
      </w:r>
    </w:p>
    <w:p w:rsidR="00905B3E" w:rsidRPr="003F63DB" w:rsidRDefault="00905B3E">
      <w:pPr>
        <w:pStyle w:val="Normaltindrag"/>
      </w:pPr>
      <w:r w:rsidRPr="003F63DB">
        <w:rPr>
          <w:i/>
        </w:rPr>
        <w:t>Riksantikvarieämbetet</w:t>
      </w:r>
      <w:r w:rsidRPr="003F63DB">
        <w:t xml:space="preserve"> (RAÄ) anser att revisorerna i flera avseenden up</w:t>
      </w:r>
      <w:r w:rsidRPr="003F63DB">
        <w:t>p</w:t>
      </w:r>
      <w:r w:rsidRPr="003F63DB">
        <w:t>märksammat viktiga problem i den uppdragsarkeologiska verksamheten, men att kritiken avser förhållanden och brister som RAÄ i många fall redan har kommit till rätta med eller för närvarande avhjälper. Myndigheten hävdar att kvaliteten inom verksamheten höjts betydligt under senare år. RAÄ e</w:t>
      </w:r>
      <w:r w:rsidRPr="003F63DB">
        <w:t>f</w:t>
      </w:r>
      <w:r w:rsidRPr="003F63DB">
        <w:t xml:space="preserve">terlyser en konsekvensanalys av revisorernas förslag för fortsatt diskussion. Fokus bör då riktas mot länsstyrelsernas bristande resurser och förhållandet mellan kostnad </w:t>
      </w:r>
      <w:r w:rsidRPr="003F63DB">
        <w:t>och kvalitet i de arkeologiska undersöknin</w:t>
      </w:r>
      <w:r w:rsidRPr="003F63DB">
        <w:t>g</w:t>
      </w:r>
      <w:r w:rsidRPr="003F63DB">
        <w:t xml:space="preserve">arna. </w:t>
      </w:r>
    </w:p>
    <w:p w:rsidR="00905B3E" w:rsidRPr="003F63DB" w:rsidRDefault="00905B3E">
      <w:pPr>
        <w:pStyle w:val="Normaltindrag"/>
      </w:pPr>
      <w:r w:rsidRPr="003F63DB">
        <w:rPr>
          <w:i/>
        </w:rPr>
        <w:t>Statens historiska museer (SHMM)</w:t>
      </w:r>
      <w:r w:rsidRPr="003F63DB">
        <w:t xml:space="preserve"> menar att revisorerna på ett förtjäns</w:t>
      </w:r>
      <w:r w:rsidRPr="003F63DB">
        <w:t>t</w:t>
      </w:r>
      <w:r w:rsidRPr="003F63DB">
        <w:t xml:space="preserve">fullt sätt pekat på betydande brister, framför allt vad gäller länsstyrelsernas handläggning. Myndigheten saknar emellertid en beskrivning av SHMM:s roll och ansvar i anslutning till uppdragsarkeologin. Vidare menar SHMM att revisorerna borde ha uppmärksammat museernas roll som mottagare av resultaten. </w:t>
      </w:r>
    </w:p>
    <w:p w:rsidR="00905B3E" w:rsidRPr="003F63DB" w:rsidRDefault="00905B3E">
      <w:pPr>
        <w:pStyle w:val="Normaltindrag"/>
      </w:pPr>
      <w:r w:rsidRPr="003F63DB">
        <w:t>Enligt</w:t>
      </w:r>
      <w:r w:rsidRPr="003F63DB">
        <w:rPr>
          <w:i/>
        </w:rPr>
        <w:t xml:space="preserve"> Banverkets </w:t>
      </w:r>
      <w:r w:rsidRPr="003F63DB">
        <w:t>uppfattning</w:t>
      </w:r>
      <w:r w:rsidRPr="003F63DB">
        <w:rPr>
          <w:i/>
        </w:rPr>
        <w:t xml:space="preserve"> </w:t>
      </w:r>
      <w:r w:rsidRPr="003F63DB">
        <w:t xml:space="preserve">har formerna och villkoren för upphandling och genomförande av uppdragsarkeologi under lång tid väckt förundran och irritation. </w:t>
      </w:r>
    </w:p>
    <w:p w:rsidR="00905B3E" w:rsidRPr="003F63DB" w:rsidRDefault="00905B3E">
      <w:pPr>
        <w:pStyle w:val="Normaltindrag"/>
      </w:pPr>
      <w:r w:rsidRPr="003F63DB">
        <w:rPr>
          <w:i/>
        </w:rPr>
        <w:t>Vägverket</w:t>
      </w:r>
      <w:r w:rsidRPr="003F63DB">
        <w:t xml:space="preserve"> påtalar att de tre stegen i den arkeologiska processen inte öve</w:t>
      </w:r>
      <w:r w:rsidRPr="003F63DB">
        <w:t>r</w:t>
      </w:r>
      <w:r w:rsidRPr="003F63DB">
        <w:t>ensstämmer med de steg som föreskrivs enligt miljöbalken och väglagen. För att klarlägga Vägverkets kunskapsbehov om arkeologiska förhållanden uta</w:t>
      </w:r>
      <w:r w:rsidRPr="003F63DB">
        <w:t>r</w:t>
      </w:r>
      <w:r w:rsidRPr="003F63DB">
        <w:t>betar verket i mars 2003 en förstudie.</w:t>
      </w:r>
    </w:p>
    <w:p w:rsidR="00905B3E" w:rsidRPr="003F63DB" w:rsidRDefault="00905B3E">
      <w:pPr>
        <w:pStyle w:val="Normaltindrag"/>
      </w:pPr>
      <w:r w:rsidRPr="003F63DB">
        <w:rPr>
          <w:i/>
        </w:rPr>
        <w:t>Konkurrensverket</w:t>
      </w:r>
      <w:r w:rsidRPr="003F63DB">
        <w:t xml:space="preserve"> anser att rapporten väl beskriver problemen inom up</w:t>
      </w:r>
      <w:r w:rsidRPr="003F63DB">
        <w:t>p</w:t>
      </w:r>
      <w:r w:rsidRPr="003F63DB">
        <w:t>dragsarkeologin och på ett bra sätt illustrerar att det inte är särskilt mening</w:t>
      </w:r>
      <w:r w:rsidRPr="003F63DB">
        <w:t>s</w:t>
      </w:r>
      <w:r w:rsidRPr="003F63DB">
        <w:t xml:space="preserve">full att skapa konkurrens om det inte finns ändamålsenliga regler för att vårda konkurrensen. </w:t>
      </w:r>
    </w:p>
    <w:p w:rsidR="00905B3E" w:rsidRPr="003F63DB" w:rsidRDefault="00905B3E">
      <w:pPr>
        <w:pStyle w:val="Normaltindrag"/>
      </w:pPr>
      <w:r w:rsidRPr="003F63DB">
        <w:rPr>
          <w:i/>
        </w:rPr>
        <w:t>Malmö Kulturmiljö</w:t>
      </w:r>
      <w:r w:rsidRPr="003F63DB">
        <w:t xml:space="preserve"> framhåller att revisorerna borde ha beaktat det senaste decenniets förändringar av uppdragsarkeologin i stället för att hålla kvar vid uppfattningen att anbudsförfaranden ska tillämpas på arkeologi. </w:t>
      </w:r>
    </w:p>
    <w:p w:rsidR="00905B3E" w:rsidRPr="003F63DB" w:rsidRDefault="00905B3E">
      <w:pPr>
        <w:pStyle w:val="Normaltindrag"/>
      </w:pPr>
      <w:r w:rsidRPr="003F63DB">
        <w:rPr>
          <w:i/>
        </w:rPr>
        <w:t>Angaria AB</w:t>
      </w:r>
      <w:r w:rsidRPr="003F63DB">
        <w:t xml:space="preserve"> har med stort intresse tagit del av rapporten och menar att det är väl känt att branschen är skeptisk till privata aktörer. Enligt Angaria b</w:t>
      </w:r>
      <w:r w:rsidRPr="003F63DB">
        <w:t>e</w:t>
      </w:r>
      <w:r w:rsidRPr="003F63DB">
        <w:t>hövs en attitydförändring – inte minst från Riksantikvarieämb</w:t>
      </w:r>
      <w:r w:rsidRPr="003F63DB">
        <w:t>e</w:t>
      </w:r>
      <w:r w:rsidRPr="003F63DB">
        <w:t xml:space="preserve">tets sida. </w:t>
      </w:r>
    </w:p>
    <w:p w:rsidR="00905B3E" w:rsidRPr="003F63DB" w:rsidRDefault="00905B3E">
      <w:pPr>
        <w:pStyle w:val="Normaltindrag"/>
      </w:pPr>
      <w:r w:rsidRPr="003F63DB">
        <w:rPr>
          <w:i/>
        </w:rPr>
        <w:t>Arkeologikonsult AB</w:t>
      </w:r>
      <w:r w:rsidRPr="003F63DB">
        <w:t xml:space="preserve"> betonar att uppdragsarkeologin behöver en effektiv fältverksamhet med tydliga mål och vetenskapliga ambitioner. Uppdragsa</w:t>
      </w:r>
      <w:r w:rsidRPr="003F63DB">
        <w:t>r</w:t>
      </w:r>
      <w:r w:rsidRPr="003F63DB">
        <w:t>keologi ska fokusera på kärnverksamheten – att på bästa möjliga sätt finna bättre och mer ändamålsenliga metoder för att lokalisera fornlämningar och ta bort dem som inte kan bevaras för framtiden.</w:t>
      </w:r>
    </w:p>
    <w:p w:rsidR="00905B3E" w:rsidRPr="003F63DB" w:rsidRDefault="00905B3E">
      <w:pPr>
        <w:pStyle w:val="Normaltindrag"/>
      </w:pPr>
      <w:r w:rsidRPr="003F63DB">
        <w:rPr>
          <w:i/>
        </w:rPr>
        <w:t>Jönköpings läns museum</w:t>
      </w:r>
      <w:r w:rsidRPr="003F63DB">
        <w:t xml:space="preserve"> menar att revisorerna belyser flera problematiska förhållanden inom den uppdragsarkeologiska verksamheten. Om länsstyre</w:t>
      </w:r>
      <w:r w:rsidRPr="003F63DB">
        <w:t>l</w:t>
      </w:r>
      <w:r w:rsidRPr="003F63DB">
        <w:t>serna ges utökade resurser och hanterar verksamheten utifrån gällande regler behöver revisore</w:t>
      </w:r>
      <w:r w:rsidRPr="003F63DB">
        <w:t>r</w:t>
      </w:r>
      <w:r w:rsidRPr="003F63DB">
        <w:t>nas förslag inte genomföras.</w:t>
      </w:r>
    </w:p>
    <w:p w:rsidR="00905B3E" w:rsidRPr="003F63DB" w:rsidRDefault="00905B3E">
      <w:pPr>
        <w:pStyle w:val="Normaltindrag"/>
      </w:pPr>
      <w:r w:rsidRPr="003F63DB">
        <w:rPr>
          <w:i/>
        </w:rPr>
        <w:t>Societas Archaeologica Upsaliensis (SAU)</w:t>
      </w:r>
      <w:r w:rsidRPr="003F63DB">
        <w:t xml:space="preserve"> bekräftar att revisorerna red</w:t>
      </w:r>
      <w:r w:rsidRPr="003F63DB">
        <w:t>o</w:t>
      </w:r>
      <w:r w:rsidRPr="003F63DB">
        <w:t>visar en verklighetsbakgrund som i allt väsentligt är korrekt. Den rådande situationen är grundligt och neutralt redovisad och förslagen framstår i många avseenden som välgrundade. SAU anser det viktigt att uppdragsark</w:t>
      </w:r>
      <w:r w:rsidRPr="003F63DB">
        <w:t>e</w:t>
      </w:r>
      <w:r w:rsidRPr="003F63DB">
        <w:t>ologin respekteras av alla sina tre huvudintressenter – exploatör, kulturmi</w:t>
      </w:r>
      <w:r w:rsidRPr="003F63DB">
        <w:t>n</w:t>
      </w:r>
      <w:r w:rsidRPr="003F63DB">
        <w:t xml:space="preserve">nesvård och universitet/högskola. Om revisorernas förslag genomförs skapas en ny och radikalt annorlunda uppdragsarkeologisk struktur, som SAU ser fram emot med glädje. </w:t>
      </w:r>
    </w:p>
    <w:p w:rsidR="00905B3E" w:rsidRPr="003F63DB" w:rsidRDefault="00905B3E">
      <w:pPr>
        <w:pStyle w:val="Normaltindrag"/>
      </w:pPr>
      <w:r w:rsidRPr="003F63DB">
        <w:rPr>
          <w:i/>
        </w:rPr>
        <w:t>Svenska Arkeolog</w:t>
      </w:r>
      <w:r w:rsidRPr="003F63DB">
        <w:rPr>
          <w:i/>
        </w:rPr>
        <w:t>iska Samfundet</w:t>
      </w:r>
      <w:r w:rsidRPr="003F63DB">
        <w:t xml:space="preserve"> menar att revisorerna har välbehövliga kritiska synpunkter på hur uppdragsarkeologin bedrivs, hur länsstyrelserna hanterar ärenden, bristen på konsekvent tillsyn och utvärdering samt Riksa</w:t>
      </w:r>
      <w:r w:rsidRPr="003F63DB">
        <w:t>n</w:t>
      </w:r>
      <w:r w:rsidRPr="003F63DB">
        <w:t>tikvarieämbetets dubbla roller. Samfundet anser att det finns en arkeologisk helhet som i stort fungerar bra, men att regelsystem, praxis och arbetsförde</w:t>
      </w:r>
      <w:r w:rsidRPr="003F63DB">
        <w:t>l</w:t>
      </w:r>
      <w:r w:rsidRPr="003F63DB">
        <w:t>ning behöver ses över. Revisorerna har inte funnit någon bra balans mellan olika aktörers intressen, erfarenheter och önskemål inom uppdragsarkeol</w:t>
      </w:r>
      <w:r w:rsidRPr="003F63DB">
        <w:t>o</w:t>
      </w:r>
      <w:r w:rsidRPr="003F63DB">
        <w:t>gin.</w:t>
      </w:r>
    </w:p>
    <w:p w:rsidR="00905B3E" w:rsidRPr="003F63DB" w:rsidRDefault="00905B3E">
      <w:pPr>
        <w:pStyle w:val="Normaltindrag"/>
      </w:pPr>
      <w:r w:rsidRPr="003F63DB">
        <w:rPr>
          <w:i/>
        </w:rPr>
        <w:t>Vä</w:t>
      </w:r>
      <w:r w:rsidRPr="003F63DB">
        <w:rPr>
          <w:i/>
        </w:rPr>
        <w:t>sterbottens museum</w:t>
      </w:r>
      <w:r w:rsidRPr="003F63DB">
        <w:t xml:space="preserve"> anser att revisorerna gjort en grundlig genomgång av uppdragsarkeologin.</w:t>
      </w:r>
    </w:p>
    <w:p w:rsidR="00905B3E" w:rsidRPr="003F63DB" w:rsidRDefault="00905B3E">
      <w:pPr>
        <w:pStyle w:val="Normaltindrag"/>
      </w:pPr>
      <w:r w:rsidRPr="003F63DB">
        <w:rPr>
          <w:i/>
        </w:rPr>
        <w:t>Bohusläns museum</w:t>
      </w:r>
      <w:r w:rsidRPr="003F63DB">
        <w:t xml:space="preserve"> menar att revisorerna pekar på flera problem i den uppdragsarkeologiska verksamheten och att rapporten bör ses som star</w:t>
      </w:r>
      <w:r w:rsidRPr="003F63DB">
        <w:t>t</w:t>
      </w:r>
      <w:r w:rsidRPr="003F63DB">
        <w:t>punkten för en förbättringsprocess. Revisorerna har enligt museets uppfat</w:t>
      </w:r>
      <w:r w:rsidRPr="003F63DB">
        <w:t>t</w:t>
      </w:r>
      <w:r w:rsidRPr="003F63DB">
        <w:t>ning inte tillräckligt betonat den viktiga uppgift som består i att förmedla nya kunskaper och resultat till medborgarna.</w:t>
      </w:r>
    </w:p>
    <w:p w:rsidR="00905B3E" w:rsidRPr="003F63DB" w:rsidRDefault="00905B3E">
      <w:pPr>
        <w:pStyle w:val="Normaltindrag"/>
      </w:pPr>
      <w:r w:rsidRPr="003F63DB">
        <w:rPr>
          <w:i/>
        </w:rPr>
        <w:t>DIK-förbundet</w:t>
      </w:r>
      <w:r w:rsidRPr="003F63DB">
        <w:t xml:space="preserve"> anser att revisorerna har pekat på många brister inom up</w:t>
      </w:r>
      <w:r w:rsidRPr="003F63DB">
        <w:t>p</w:t>
      </w:r>
      <w:r w:rsidRPr="003F63DB">
        <w:t>dragsarkeologin och att förslagen i många avseenden är bra, men inte til</w:t>
      </w:r>
      <w:r w:rsidRPr="003F63DB">
        <w:t>l</w:t>
      </w:r>
      <w:r w:rsidRPr="003F63DB">
        <w:t>räckliga. Enligt förbundet är det angeläget att regeringen tar ett samlat grepp om uppdragsarkeologin och lägger fast förutsättningarna för verksamheten. Samtliga aktörers roller och ansvar måste enligt DIK-förbundet klargöras. Det handlar om allt från att säkerställa att länsstyrelsernas myndighetsutö</w:t>
      </w:r>
      <w:r w:rsidRPr="003F63DB">
        <w:t>v</w:t>
      </w:r>
      <w:r w:rsidRPr="003F63DB">
        <w:t>ning sker på lika sätt i alla län till att tydliggöra vem som ska bära kostna</w:t>
      </w:r>
      <w:r w:rsidRPr="003F63DB">
        <w:t>d</w:t>
      </w:r>
      <w:r w:rsidRPr="003F63DB">
        <w:t>s</w:t>
      </w:r>
      <w:r w:rsidRPr="003F63DB">
        <w:t xml:space="preserve">ansvaret när det gäller förmedlingen av undersökningarnas resultat. </w:t>
      </w:r>
    </w:p>
    <w:p w:rsidR="00905B3E" w:rsidRPr="003F63DB" w:rsidRDefault="00905B3E">
      <w:pPr>
        <w:pStyle w:val="Normaltindrag"/>
      </w:pPr>
      <w:r w:rsidRPr="003F63DB">
        <w:rPr>
          <w:i/>
        </w:rPr>
        <w:t>Föreningen Sveriges länsantikvarier</w:t>
      </w:r>
      <w:r w:rsidRPr="003F63DB">
        <w:t xml:space="preserve"> anser att flera viktiga problemomr</w:t>
      </w:r>
      <w:r w:rsidRPr="003F63DB">
        <w:t>å</w:t>
      </w:r>
      <w:r w:rsidRPr="003F63DB">
        <w:t>den inom den uppdrags</w:t>
      </w:r>
      <w:r w:rsidRPr="003F63DB">
        <w:softHyphen/>
        <w:t>arkeologiska verksamheten belyses i rapporten och att ett fortsatt utredningsarbete är lämpligt för flertalet frågeställningar. För</w:t>
      </w:r>
      <w:r w:rsidRPr="003F63DB">
        <w:t>e</w:t>
      </w:r>
      <w:r w:rsidRPr="003F63DB">
        <w:t>ningen framhåller att förslagen medför ökade krav på insatser av länsstyre</w:t>
      </w:r>
      <w:r w:rsidRPr="003F63DB">
        <w:t>l</w:t>
      </w:r>
      <w:r w:rsidRPr="003F63DB">
        <w:t>serna och att en utredning bör analysera frågor om resurs- och komp</w:t>
      </w:r>
      <w:r w:rsidRPr="003F63DB">
        <w:t>e</w:t>
      </w:r>
      <w:r w:rsidRPr="003F63DB">
        <w:t>tens</w:t>
      </w:r>
      <w:r w:rsidRPr="003F63DB">
        <w:softHyphen/>
        <w:t>behov samt kostnaderna för dessa.</w:t>
      </w:r>
    </w:p>
    <w:p w:rsidR="00905B3E" w:rsidRPr="003F63DB" w:rsidRDefault="00905B3E">
      <w:pPr>
        <w:pStyle w:val="Normaltindrag"/>
      </w:pPr>
      <w:r w:rsidRPr="003F63DB">
        <w:rPr>
          <w:i/>
        </w:rPr>
        <w:t>Professor Kristian Kristiansen</w:t>
      </w:r>
      <w:r w:rsidRPr="003F63DB">
        <w:t xml:space="preserve"> anser att revisorernas granskning är väl genomförd. Han ansluter sig till huvudprinciperna i förslagen, men menar att förutsättningarna för förslagens genomförande bör utredas närmare och att man då även bör ta del av erfaren</w:t>
      </w:r>
      <w:r w:rsidRPr="003F63DB">
        <w:softHyphen/>
        <w:t>heter från andra länder.</w:t>
      </w:r>
    </w:p>
    <w:p w:rsidR="00905B3E" w:rsidRPr="003F63DB" w:rsidRDefault="00905B3E">
      <w:pPr>
        <w:pStyle w:val="Rubrik2-Utannumrering"/>
      </w:pPr>
      <w:bookmarkStart w:id="173" w:name="_Toc35833471"/>
      <w:bookmarkStart w:id="174" w:name="_Toc36520783"/>
      <w:r w:rsidRPr="003F63DB">
        <w:t>Intressekonflikter i Riksa</w:t>
      </w:r>
      <w:r w:rsidRPr="003F63DB">
        <w:t>n</w:t>
      </w:r>
      <w:r w:rsidRPr="003F63DB">
        <w:t>tikvarieämbetets uppgifter</w:t>
      </w:r>
      <w:bookmarkEnd w:id="173"/>
      <w:bookmarkEnd w:id="174"/>
    </w:p>
    <w:p w:rsidR="00905B3E" w:rsidRPr="003F63DB" w:rsidRDefault="00905B3E">
      <w:pPr>
        <w:numPr>
          <w:ilvl w:val="0"/>
          <w:numId w:val="15"/>
        </w:numPr>
      </w:pPr>
      <w:r w:rsidRPr="003F63DB">
        <w:t>Revisorerna föreslog i rapporten att Riksantikvarieämbetets arkeologi</w:t>
      </w:r>
      <w:r w:rsidRPr="003F63DB">
        <w:t>s</w:t>
      </w:r>
      <w:r w:rsidRPr="003F63DB">
        <w:t>ka uppdragsverksamhet (UV) skiljs från Riksantikvarieämbetet (RAÄ).</w:t>
      </w:r>
    </w:p>
    <w:p w:rsidR="00905B3E" w:rsidRPr="003F63DB" w:rsidRDefault="00905B3E">
      <w:r w:rsidRPr="003F63DB">
        <w:t xml:space="preserve">Två av remissinstanserna är negativa till förslaget. </w:t>
      </w:r>
      <w:r w:rsidRPr="003F63DB">
        <w:rPr>
          <w:i/>
        </w:rPr>
        <w:t>Länsstyrelsen i Söde</w:t>
      </w:r>
      <w:r w:rsidRPr="003F63DB">
        <w:rPr>
          <w:i/>
        </w:rPr>
        <w:t>r</w:t>
      </w:r>
      <w:r w:rsidRPr="003F63DB">
        <w:rPr>
          <w:i/>
        </w:rPr>
        <w:t>manlands län</w:t>
      </w:r>
      <w:r w:rsidRPr="003F63DB">
        <w:t xml:space="preserve"> och </w:t>
      </w:r>
      <w:r w:rsidRPr="003F63DB">
        <w:rPr>
          <w:i/>
        </w:rPr>
        <w:t>Svenska Arkeologiska Samfundet</w:t>
      </w:r>
      <w:r w:rsidRPr="003F63DB">
        <w:t xml:space="preserve"> anser att Riksantikvari</w:t>
      </w:r>
      <w:r w:rsidRPr="003F63DB">
        <w:t>e</w:t>
      </w:r>
      <w:r w:rsidRPr="003F63DB">
        <w:t>ämbetet även i fortsättningen ska ha egen undersökningsverksamhet. RAÄ:s behov av forskning om den antikvariska verksamheten och uppdragsarkeol</w:t>
      </w:r>
      <w:r w:rsidRPr="003F63DB">
        <w:t>o</w:t>
      </w:r>
      <w:r w:rsidRPr="003F63DB">
        <w:t>gins genomförande har inte uppmärksammats tillräckligt. Enligt båda insta</w:t>
      </w:r>
      <w:r w:rsidRPr="003F63DB">
        <w:t>n</w:t>
      </w:r>
      <w:r w:rsidRPr="003F63DB">
        <w:t xml:space="preserve">serna bör regeringen utreda om RAÄ på ett tydligare sätt kan skilja mellan myndighetsuppgifter och uppdragsverksamhet i arkeologiska frågor. </w:t>
      </w:r>
      <w:r w:rsidRPr="003F63DB">
        <w:rPr>
          <w:i/>
        </w:rPr>
        <w:t>Svenska</w:t>
      </w:r>
      <w:r w:rsidRPr="003F63DB">
        <w:t xml:space="preserve"> </w:t>
      </w:r>
      <w:r w:rsidRPr="003F63DB">
        <w:rPr>
          <w:i/>
        </w:rPr>
        <w:t>Arkeologiska</w:t>
      </w:r>
      <w:r w:rsidRPr="003F63DB">
        <w:t xml:space="preserve"> </w:t>
      </w:r>
      <w:r w:rsidRPr="003F63DB">
        <w:rPr>
          <w:i/>
        </w:rPr>
        <w:t>Samfundet</w:t>
      </w:r>
      <w:r w:rsidRPr="003F63DB">
        <w:t xml:space="preserve"> kan dock tänka sig att pröva </w:t>
      </w:r>
      <w:r w:rsidRPr="003F63DB">
        <w:t>en stiftelseform för uppdragsverksamheten om det inte går att hitta en godtagbar lösning för alla parter.</w:t>
      </w:r>
    </w:p>
    <w:p w:rsidR="00905B3E" w:rsidRPr="003F63DB" w:rsidRDefault="00905B3E">
      <w:pPr>
        <w:pStyle w:val="Normaltindrag"/>
      </w:pPr>
      <w:r w:rsidRPr="003F63DB">
        <w:rPr>
          <w:i/>
        </w:rPr>
        <w:t>Malmö Kulturmiljö</w:t>
      </w:r>
      <w:r w:rsidRPr="003F63DB">
        <w:t xml:space="preserve"> anser att förslaget bör utredas närmare. </w:t>
      </w:r>
      <w:r w:rsidRPr="003F63DB">
        <w:rPr>
          <w:i/>
        </w:rPr>
        <w:t>Vägverket</w:t>
      </w:r>
      <w:r w:rsidRPr="003F63DB">
        <w:t xml:space="preserve"> tar inte ställning i frågan. Övriga remissinstanser är positiva till förslaget. </w:t>
      </w:r>
    </w:p>
    <w:p w:rsidR="00905B3E" w:rsidRPr="003F63DB" w:rsidRDefault="00905B3E">
      <w:pPr>
        <w:pStyle w:val="Normaltindrag"/>
      </w:pPr>
      <w:r w:rsidRPr="003F63DB">
        <w:t xml:space="preserve">Enligt </w:t>
      </w:r>
      <w:r w:rsidRPr="003F63DB">
        <w:rPr>
          <w:i/>
        </w:rPr>
        <w:t>Statskontorets</w:t>
      </w:r>
      <w:r w:rsidRPr="003F63DB">
        <w:t xml:space="preserve"> bedömning bidrar förslaget inte bara till en tydligare myndighetsroll, utan också till ökad rättssäkerhet. Statskontoret bedömer att en bolagisering av uppdragsverksamheten är möjlig. En bolagisering föru</w:t>
      </w:r>
      <w:r w:rsidRPr="003F63DB">
        <w:t>t</w:t>
      </w:r>
      <w:r w:rsidRPr="003F63DB">
        <w:t>sätter att upphan</w:t>
      </w:r>
      <w:r w:rsidRPr="003F63DB">
        <w:t>d</w:t>
      </w:r>
      <w:r w:rsidRPr="003F63DB">
        <w:t xml:space="preserve">lingsreglerna ändras enligt revisorernas förslag. </w:t>
      </w:r>
    </w:p>
    <w:p w:rsidR="00905B3E" w:rsidRPr="003F63DB" w:rsidRDefault="00905B3E">
      <w:pPr>
        <w:pStyle w:val="Normaltindrag"/>
      </w:pPr>
      <w:r w:rsidRPr="003F63DB">
        <w:rPr>
          <w:i/>
        </w:rPr>
        <w:t>Länsstyrelsen i Stockholms län</w:t>
      </w:r>
      <w:r w:rsidRPr="003F63DB">
        <w:t xml:space="preserve"> anser att det bör utredas närmare om UV ska bli ett statligt bolag eller kopplas till Statens historiska museum. Även </w:t>
      </w:r>
      <w:r w:rsidRPr="003F63DB">
        <w:rPr>
          <w:i/>
        </w:rPr>
        <w:t>Länsstyrelsen i Uppsala län</w:t>
      </w:r>
      <w:r w:rsidRPr="003F63DB">
        <w:t xml:space="preserve"> anser att UV:s associationsform bör utredas närmare.</w:t>
      </w:r>
    </w:p>
    <w:p w:rsidR="00905B3E" w:rsidRPr="003F63DB" w:rsidRDefault="00905B3E">
      <w:pPr>
        <w:pStyle w:val="Normaltindrag"/>
        <w:rPr>
          <w:sz w:val="20"/>
        </w:rPr>
      </w:pPr>
      <w:r w:rsidRPr="003F63DB">
        <w:rPr>
          <w:i/>
        </w:rPr>
        <w:t>Länsstyrelsen i Kronobergs län</w:t>
      </w:r>
      <w:r w:rsidRPr="003F63DB">
        <w:t xml:space="preserve"> och </w:t>
      </w:r>
      <w:r w:rsidRPr="003F63DB">
        <w:rPr>
          <w:i/>
          <w:sz w:val="20"/>
        </w:rPr>
        <w:t>Föreningen Sveriges länsantikvarier</w:t>
      </w:r>
      <w:r w:rsidRPr="003F63DB">
        <w:rPr>
          <w:sz w:val="20"/>
        </w:rPr>
        <w:t xml:space="preserve"> anser att UV:s nuvarande regionkontor bör bli självständiga enheter. Förutsättningarna för konkurrens ökar om det blir fler undersökare.</w:t>
      </w:r>
    </w:p>
    <w:p w:rsidR="00905B3E" w:rsidRPr="003F63DB" w:rsidRDefault="00905B3E">
      <w:pPr>
        <w:pStyle w:val="Normaltindrag"/>
        <w:rPr>
          <w:sz w:val="20"/>
        </w:rPr>
      </w:pPr>
      <w:r w:rsidRPr="003F63DB">
        <w:rPr>
          <w:i/>
          <w:sz w:val="20"/>
        </w:rPr>
        <w:t>Professor Kristian Kristiansen</w:t>
      </w:r>
      <w:r w:rsidRPr="003F63DB">
        <w:rPr>
          <w:sz w:val="20"/>
        </w:rPr>
        <w:t xml:space="preserve"> framhåller att Sverige i dag är ledande internationellt på grund av UV:s storlek. Kristiansen anser därför att UV inte bör delas i mindre enheter, utan hållas samman i en självständig organisation – t.ex. en stiftelse med universiteten som huvudman. Ett sammanhållet UV är en förutsättning för kvalitet och ackumulering av överskott för bl.a. teknisk utveckling och kompetensutveckling. </w:t>
      </w:r>
    </w:p>
    <w:p w:rsidR="00905B3E" w:rsidRPr="003F63DB" w:rsidRDefault="00905B3E">
      <w:pPr>
        <w:pStyle w:val="Normaltindrag"/>
      </w:pPr>
      <w:r w:rsidRPr="003F63DB">
        <w:rPr>
          <w:i/>
        </w:rPr>
        <w:t>Statens historiska museer</w:t>
      </w:r>
      <w:r w:rsidRPr="003F63DB">
        <w:t xml:space="preserve"> anser det angeläget att den omfattande komp</w:t>
      </w:r>
      <w:r w:rsidRPr="003F63DB">
        <w:t>e</w:t>
      </w:r>
      <w:r w:rsidRPr="003F63DB">
        <w:t>tens som UV besitter säkerställs även för framtiden.</w:t>
      </w:r>
    </w:p>
    <w:p w:rsidR="00905B3E" w:rsidRPr="003F63DB" w:rsidRDefault="00905B3E">
      <w:pPr>
        <w:pStyle w:val="Normaltindrag"/>
        <w:rPr>
          <w:i/>
          <w:sz w:val="20"/>
        </w:rPr>
      </w:pPr>
      <w:r w:rsidRPr="003F63DB">
        <w:rPr>
          <w:i/>
        </w:rPr>
        <w:t>Länsstyrelsen i Gotlands län</w:t>
      </w:r>
      <w:r w:rsidRPr="003F63DB">
        <w:t xml:space="preserve"> tillstyrker förslaget, men menar att RAÄ for</w:t>
      </w:r>
      <w:r w:rsidRPr="003F63DB">
        <w:t>t</w:t>
      </w:r>
      <w:r w:rsidRPr="003F63DB">
        <w:t>satt kan arbeta med ett samlat ansvar för metodutveckling inom den unders</w:t>
      </w:r>
      <w:r w:rsidRPr="003F63DB">
        <w:t>ö</w:t>
      </w:r>
      <w:r w:rsidRPr="003F63DB">
        <w:t xml:space="preserve">kande arkeologin. Även </w:t>
      </w:r>
      <w:r w:rsidRPr="003F63DB">
        <w:rPr>
          <w:i/>
        </w:rPr>
        <w:t>Länsstyrelsen i Skåne län</w:t>
      </w:r>
      <w:r w:rsidRPr="003F63DB">
        <w:t xml:space="preserve"> anser det viktigt att det utvecklingsarbete och kompetenshöjande arbete som UV bedrivit genom sin normgivande roll fortsätter i någon form, även om UV skiljs från RAÄ.</w:t>
      </w:r>
      <w:r w:rsidRPr="003F63DB">
        <w:rPr>
          <w:i/>
          <w:sz w:val="20"/>
        </w:rPr>
        <w:t xml:space="preserve"> </w:t>
      </w:r>
    </w:p>
    <w:p w:rsidR="00905B3E" w:rsidRPr="003F63DB" w:rsidRDefault="00905B3E">
      <w:pPr>
        <w:pStyle w:val="Normaltindrag"/>
        <w:rPr>
          <w:sz w:val="20"/>
        </w:rPr>
      </w:pPr>
      <w:r w:rsidRPr="003F63DB">
        <w:rPr>
          <w:i/>
          <w:sz w:val="20"/>
        </w:rPr>
        <w:t xml:space="preserve">DIK-förbundet </w:t>
      </w:r>
      <w:r w:rsidRPr="003F63DB">
        <w:rPr>
          <w:sz w:val="20"/>
        </w:rPr>
        <w:t>förutsätter att UV kommer att kvarstå under statligt h</w:t>
      </w:r>
      <w:r w:rsidRPr="003F63DB">
        <w:rPr>
          <w:sz w:val="20"/>
        </w:rPr>
        <w:t>u</w:t>
      </w:r>
      <w:r w:rsidRPr="003F63DB">
        <w:rPr>
          <w:sz w:val="20"/>
        </w:rPr>
        <w:t>vudmannaskap, kanske ett Statens arkeologiska museum. Det finns enligt förbundet inget som hindrar att UV har kvar sitt uppdrag att vara för</w:t>
      </w:r>
      <w:r w:rsidRPr="003F63DB">
        <w:rPr>
          <w:sz w:val="20"/>
        </w:rPr>
        <w:t>e</w:t>
      </w:r>
      <w:r w:rsidRPr="003F63DB">
        <w:rPr>
          <w:sz w:val="20"/>
        </w:rPr>
        <w:t>bildlig i fråga om antikvarisk och vetenskaplig kvalitet, relevans och kostnadseffektivitet.</w:t>
      </w:r>
    </w:p>
    <w:p w:rsidR="00905B3E" w:rsidRPr="003F63DB" w:rsidRDefault="00905B3E">
      <w:pPr>
        <w:pStyle w:val="Normaltindrag"/>
      </w:pPr>
      <w:r w:rsidRPr="003F63DB">
        <w:rPr>
          <w:i/>
        </w:rPr>
        <w:t>Uppsala universitet</w:t>
      </w:r>
      <w:r w:rsidRPr="003F63DB">
        <w:t xml:space="preserve"> anser det viktigt att UV skiljs från RAÄ, särskilt om lagen om offentlig upphandling ska införas och om RAÄ ges i uppdrag att auktorisera arkeologer. Renodlade roller för RAÄ skulle enligt </w:t>
      </w:r>
      <w:r w:rsidRPr="003F63DB">
        <w:rPr>
          <w:i/>
        </w:rPr>
        <w:t>Umeå unive</w:t>
      </w:r>
      <w:r w:rsidRPr="003F63DB">
        <w:rPr>
          <w:i/>
        </w:rPr>
        <w:t>r</w:t>
      </w:r>
      <w:r w:rsidRPr="003F63DB">
        <w:rPr>
          <w:i/>
        </w:rPr>
        <w:t>sitet</w:t>
      </w:r>
      <w:r w:rsidRPr="003F63DB">
        <w:t xml:space="preserve"> innebära att myndi</w:t>
      </w:r>
      <w:r w:rsidRPr="003F63DB">
        <w:t>g</w:t>
      </w:r>
      <w:r w:rsidRPr="003F63DB">
        <w:t>hetens tillsyn kan skärpas.</w:t>
      </w:r>
    </w:p>
    <w:p w:rsidR="00905B3E" w:rsidRPr="003F63DB" w:rsidRDefault="00905B3E">
      <w:pPr>
        <w:pStyle w:val="Normaltindrag"/>
      </w:pPr>
      <w:r w:rsidRPr="003F63DB">
        <w:rPr>
          <w:i/>
        </w:rPr>
        <w:t>Riksantikvarieämbetet</w:t>
      </w:r>
      <w:r w:rsidRPr="003F63DB">
        <w:t xml:space="preserve"> anser inte att myndigheten på ett otillbörligt sätt gynnar sin egen utförare. Däremot instämmer RAÄ i att myndighetens dubbla roller i fråga om överinseende och utförande kan leda till otydligh</w:t>
      </w:r>
      <w:r w:rsidRPr="003F63DB">
        <w:t>e</w:t>
      </w:r>
      <w:r w:rsidRPr="003F63DB">
        <w:t>ter. Ett avskiljande av UV skulle dock få konsekvenser för bl.a. metodu</w:t>
      </w:r>
      <w:r w:rsidRPr="003F63DB">
        <w:t>t</w:t>
      </w:r>
      <w:r w:rsidRPr="003F63DB">
        <w:t>veckling, förebildlighet och rapportering. Formerna för UV:s verksamhet bör enligt RAÄ utredas skyndsamt så att man därefter kan koncentrera sig på mer väsentliga problem för uppdragsarkeologin.</w:t>
      </w:r>
    </w:p>
    <w:p w:rsidR="00905B3E" w:rsidRPr="003F63DB" w:rsidRDefault="00905B3E">
      <w:pPr>
        <w:pStyle w:val="Normaltindrag"/>
      </w:pPr>
      <w:r w:rsidRPr="003F63DB">
        <w:rPr>
          <w:i/>
        </w:rPr>
        <w:t>Konkurrensverket</w:t>
      </w:r>
      <w:r w:rsidRPr="003F63DB">
        <w:t xml:space="preserve"> anser det anmärkningsvärt att RAÄ har möjlighet att g</w:t>
      </w:r>
      <w:r w:rsidRPr="003F63DB">
        <w:t>e</w:t>
      </w:r>
      <w:r w:rsidRPr="003F63DB">
        <w:t>nom att överklaga länsstyrelsebeslut kan påverka utgången av en anbudstä</w:t>
      </w:r>
      <w:r w:rsidRPr="003F63DB">
        <w:t>v</w:t>
      </w:r>
      <w:r w:rsidRPr="003F63DB">
        <w:t>lan till egen fördel – trots att myndigheten inte lämnat det förmånligaste anbudet. Konkurrensverket föreslår att statsmakterna utarbetar en plan för vilken roll staten ska ha som undersökare inom uppdragsarkeologin. Verket ställer sig frågan om det är samhällsekonomiskt optimalt att staten ska vara den största aktören och därtill gå med unde</w:t>
      </w:r>
      <w:r w:rsidRPr="003F63DB">
        <w:t>r</w:t>
      </w:r>
      <w:r w:rsidRPr="003F63DB">
        <w:t xml:space="preserve">skott. </w:t>
      </w:r>
    </w:p>
    <w:p w:rsidR="00905B3E" w:rsidRPr="003F63DB" w:rsidRDefault="00905B3E">
      <w:pPr>
        <w:pStyle w:val="Normaltindrag"/>
        <w:rPr>
          <w:sz w:val="20"/>
        </w:rPr>
      </w:pPr>
      <w:r w:rsidRPr="003F63DB">
        <w:t xml:space="preserve">Även </w:t>
      </w:r>
      <w:r w:rsidRPr="003F63DB">
        <w:rPr>
          <w:i/>
          <w:sz w:val="20"/>
        </w:rPr>
        <w:t>Västerbottens museum</w:t>
      </w:r>
      <w:r w:rsidRPr="003F63DB">
        <w:rPr>
          <w:sz w:val="20"/>
        </w:rPr>
        <w:t xml:space="preserve"> anser att UV har konkurrensfördelar ge</w:t>
      </w:r>
      <w:r w:rsidRPr="003F63DB">
        <w:rPr>
          <w:sz w:val="20"/>
        </w:rPr>
        <w:t>n</w:t>
      </w:r>
      <w:r w:rsidRPr="003F63DB">
        <w:rPr>
          <w:sz w:val="20"/>
        </w:rPr>
        <w:t>t</w:t>
      </w:r>
      <w:r w:rsidRPr="003F63DB">
        <w:rPr>
          <w:sz w:val="20"/>
        </w:rPr>
        <w:softHyphen/>
        <w:t xml:space="preserve">emot övriga aktörer bl.a. genom de anbudsgränser som RAÄ har satt. </w:t>
      </w:r>
    </w:p>
    <w:p w:rsidR="00905B3E" w:rsidRPr="003F63DB" w:rsidRDefault="00905B3E">
      <w:pPr>
        <w:pStyle w:val="Normaltindrag"/>
      </w:pPr>
      <w:r w:rsidRPr="003F63DB">
        <w:t xml:space="preserve">Enligt </w:t>
      </w:r>
      <w:r w:rsidRPr="003F63DB">
        <w:rPr>
          <w:i/>
        </w:rPr>
        <w:t>Angaria AB</w:t>
      </w:r>
      <w:r w:rsidRPr="003F63DB">
        <w:t xml:space="preserve"> skulle en uppluckring av monopolet ge förutsättningar för fler aktörer inom uppdragsarkeologin.</w:t>
      </w:r>
    </w:p>
    <w:p w:rsidR="00905B3E" w:rsidRPr="003F63DB" w:rsidRDefault="00905B3E">
      <w:pPr>
        <w:pStyle w:val="Normaltindrag"/>
        <w:rPr>
          <w:sz w:val="20"/>
        </w:rPr>
      </w:pPr>
      <w:r w:rsidRPr="003F63DB">
        <w:rPr>
          <w:i/>
        </w:rPr>
        <w:t>Arkeologikonsult AB</w:t>
      </w:r>
      <w:r w:rsidRPr="003F63DB">
        <w:t xml:space="preserve"> menar att staten vid valet av ny huvudman för UV måste finna en organisatorisk form som möjliggör att verksamheten förnyas. UV:s verksamhet har de senaste åren, menar Arkeologikonsult, präglats av en akademisering. Trots detta har utvecklingen av den uppdragsarkeologiska verksamhetens metodik kommit på undantag. Även</w:t>
      </w:r>
      <w:r w:rsidRPr="003F63DB">
        <w:rPr>
          <w:i/>
        </w:rPr>
        <w:t xml:space="preserve"> S</w:t>
      </w:r>
      <w:r w:rsidRPr="003F63DB">
        <w:rPr>
          <w:i/>
          <w:sz w:val="20"/>
        </w:rPr>
        <w:t>ocietas Archaeologica Upsaliensis (SAU)</w:t>
      </w:r>
      <w:r w:rsidRPr="003F63DB">
        <w:rPr>
          <w:sz w:val="20"/>
        </w:rPr>
        <w:t xml:space="preserve"> menar att kopplingen mellan ämbetsverk och up</w:t>
      </w:r>
      <w:r w:rsidRPr="003F63DB">
        <w:rPr>
          <w:sz w:val="20"/>
        </w:rPr>
        <w:t>p</w:t>
      </w:r>
      <w:r w:rsidRPr="003F63DB">
        <w:rPr>
          <w:sz w:val="20"/>
        </w:rPr>
        <w:t>dragsverksamhet har varit kunskapsmässigt hämmande.</w:t>
      </w:r>
    </w:p>
    <w:p w:rsidR="00905B3E" w:rsidRPr="003F63DB" w:rsidRDefault="00905B3E">
      <w:pPr>
        <w:pStyle w:val="Normaltindrag"/>
      </w:pPr>
      <w:r w:rsidRPr="003F63DB">
        <w:rPr>
          <w:i/>
        </w:rPr>
        <w:t>Jönköpings läns museum</w:t>
      </w:r>
      <w:r w:rsidRPr="003F63DB">
        <w:t xml:space="preserve"> menar att RAÄ:s normgivande roll mycket väl kan fungera hämmande för arkeologins utveckling. Länsstyrelserna bedömer att de dokumentationsmetoder som utvecklats av RAÄ-UV är bättre än andra alternativ. </w:t>
      </w:r>
    </w:p>
    <w:p w:rsidR="00905B3E" w:rsidRPr="003F63DB" w:rsidRDefault="00905B3E">
      <w:pPr>
        <w:pStyle w:val="Normaltindrag"/>
        <w:rPr>
          <w:sz w:val="20"/>
        </w:rPr>
      </w:pPr>
      <w:r w:rsidRPr="003F63DB">
        <w:rPr>
          <w:i/>
          <w:sz w:val="20"/>
        </w:rPr>
        <w:t>Västergötlands museum</w:t>
      </w:r>
      <w:r w:rsidRPr="003F63DB">
        <w:rPr>
          <w:sz w:val="20"/>
        </w:rPr>
        <w:t xml:space="preserve"> menar att UV:s s.k. spetskompetens är en må</w:t>
      </w:r>
      <w:r w:rsidRPr="003F63DB">
        <w:rPr>
          <w:sz w:val="20"/>
        </w:rPr>
        <w:t>l</w:t>
      </w:r>
      <w:r w:rsidRPr="003F63DB">
        <w:rPr>
          <w:sz w:val="20"/>
        </w:rPr>
        <w:t>sättning snarare än ett faktum. Museet anser att RAÄ centralt ska leda utvecklingen, inte UV. Enligt museets mening bör en statlig arkeologisk uppdragsverksamhet kopplas till Statens historiska museum.</w:t>
      </w:r>
    </w:p>
    <w:p w:rsidR="00905B3E" w:rsidRPr="003F63DB" w:rsidRDefault="00905B3E">
      <w:pPr>
        <w:pStyle w:val="Normaltindrag"/>
      </w:pPr>
      <w:r w:rsidRPr="003F63DB">
        <w:t xml:space="preserve">Några remissinstanser kommenterar även museernas olika roller inom uppdragsarkeologin. Enligt </w:t>
      </w:r>
      <w:r w:rsidRPr="003F63DB">
        <w:rPr>
          <w:i/>
        </w:rPr>
        <w:t>Malmö Kulturmiljö</w:t>
      </w:r>
      <w:r w:rsidRPr="003F63DB">
        <w:t xml:space="preserve"> har revisorerna missuppfattat hur roll- och ansvarsfördelningen ser ut inom kulturmiljövården. Genom att museet är remissinstans till kommunerna och arbetar tillsammans med län</w:t>
      </w:r>
      <w:r w:rsidRPr="003F63DB">
        <w:t>s</w:t>
      </w:r>
      <w:r w:rsidRPr="003F63DB">
        <w:t>styrelsen har museet börjat behandla arkeologiska lämningar redan innan ärendet blir ett arkeologiskt uppdrag. En sådan dialog kan leda till att for</w:t>
      </w:r>
      <w:r w:rsidRPr="003F63DB">
        <w:t>n</w:t>
      </w:r>
      <w:r w:rsidRPr="003F63DB">
        <w:t xml:space="preserve">lämningar bevaras i högre grad. </w:t>
      </w:r>
    </w:p>
    <w:p w:rsidR="00905B3E" w:rsidRPr="003F63DB" w:rsidRDefault="00905B3E">
      <w:pPr>
        <w:pStyle w:val="Normaltindrag"/>
      </w:pPr>
      <w:r w:rsidRPr="003F63DB">
        <w:t xml:space="preserve">Även </w:t>
      </w:r>
      <w:r w:rsidRPr="003F63DB">
        <w:rPr>
          <w:i/>
        </w:rPr>
        <w:t>Västergötlands museum</w:t>
      </w:r>
      <w:r w:rsidRPr="003F63DB">
        <w:t xml:space="preserve"> ser det som en fördel att länsmuseet kan medverka både som remissinstans och som undersökande organisation i samband med ett uppdragsarkeologiskt ärende. Museet anser sig inte behöva tänka företagsmässigt, utan strävar tillsammans med länsstyrelsen medvetet mot en samsyn kring ku</w:t>
      </w:r>
      <w:r w:rsidRPr="003F63DB">
        <w:t>l</w:t>
      </w:r>
      <w:r w:rsidRPr="003F63DB">
        <w:t>turmiljön.</w:t>
      </w:r>
      <w:r w:rsidRPr="003F63DB">
        <w:rPr>
          <w:highlight w:val="yellow"/>
        </w:rPr>
        <w:t xml:space="preserve"> </w:t>
      </w:r>
    </w:p>
    <w:p w:rsidR="00905B3E" w:rsidRPr="003F63DB" w:rsidRDefault="00905B3E">
      <w:pPr>
        <w:pStyle w:val="Normaltindrag"/>
      </w:pPr>
      <w:r w:rsidRPr="003F63DB">
        <w:rPr>
          <w:i/>
        </w:rPr>
        <w:t>Länsstyrelsen i Kronobergs län</w:t>
      </w:r>
      <w:r w:rsidRPr="003F63DB">
        <w:t xml:space="preserve"> menar att det finns en risk för att de regi</w:t>
      </w:r>
      <w:r w:rsidRPr="003F63DB">
        <w:t>o</w:t>
      </w:r>
      <w:r w:rsidRPr="003F63DB">
        <w:t>nala museerna sammanblandar den arkeologiska uppdragsverksamheten och den verksamhet som finansieras via statsbidrag – bl.a. att bistå länsstyrelsen i myndighetsarbetet rörande fornlämningar. För att skärpa styrningen av vad som bör utföras för statsbidraget föreslår länsstyrelsen att statsbidraget slu</w:t>
      </w:r>
      <w:r w:rsidRPr="003F63DB">
        <w:t>s</w:t>
      </w:r>
      <w:r w:rsidRPr="003F63DB">
        <w:t>sas via länsstyrelse</w:t>
      </w:r>
      <w:r w:rsidRPr="003F63DB">
        <w:t>r</w:t>
      </w:r>
      <w:r w:rsidRPr="003F63DB">
        <w:t>na.</w:t>
      </w:r>
    </w:p>
    <w:p w:rsidR="00905B3E" w:rsidRPr="003F63DB" w:rsidRDefault="00905B3E">
      <w:pPr>
        <w:pStyle w:val="Rubrik2-Utannumrering"/>
      </w:pPr>
      <w:bookmarkStart w:id="175" w:name="_Toc35833472"/>
      <w:bookmarkStart w:id="176" w:name="_Toc36520784"/>
      <w:r w:rsidRPr="003F63DB">
        <w:t>Begränsad konkurrens och begränsad insyn</w:t>
      </w:r>
      <w:bookmarkEnd w:id="175"/>
      <w:bookmarkEnd w:id="176"/>
    </w:p>
    <w:p w:rsidR="00905B3E" w:rsidRPr="003F63DB" w:rsidRDefault="00905B3E">
      <w:pPr>
        <w:numPr>
          <w:ilvl w:val="0"/>
          <w:numId w:val="14"/>
        </w:numPr>
      </w:pPr>
      <w:r w:rsidRPr="003F63DB">
        <w:t>Revisorerna föreslog i rapporten att beslutet att undanta uppdragsark</w:t>
      </w:r>
      <w:r w:rsidRPr="003F63DB">
        <w:t>e</w:t>
      </w:r>
      <w:r w:rsidRPr="003F63DB">
        <w:t>ologi från lagen om offentlig upphandling (LOU) omprövas.</w:t>
      </w:r>
    </w:p>
    <w:p w:rsidR="00905B3E" w:rsidRPr="003F63DB" w:rsidRDefault="00905B3E">
      <w:r w:rsidRPr="003F63DB">
        <w:rPr>
          <w:i/>
        </w:rPr>
        <w:t>Nämnden för offentlig upphandling (NOU)</w:t>
      </w:r>
      <w:r w:rsidRPr="003F63DB">
        <w:t xml:space="preserve"> anser att länsstyrelsernas beslut om tilldelning av kontrakt (uppdrag) avseende arkeologiska utredningar och undersökningar </w:t>
      </w:r>
      <w:r w:rsidRPr="003F63DB">
        <w:rPr>
          <w:i/>
        </w:rPr>
        <w:t>inte</w:t>
      </w:r>
      <w:r w:rsidRPr="003F63DB">
        <w:t xml:space="preserve"> omfattas av undantaget för tjänster som har samband med utövande av offentlig makt enligt artiklarna 45 och 55 i EG-fördraget. Tilldelningen av kontrakt omfattas därmed av EG:s direktiv 92/50/EEG om upphandling av tjänster. NOU:s uppfattning är att EG-fördragets uttryck ”utövande av offentlig makt” bör tolkas mer restriktivt än begreppet my</w:t>
      </w:r>
      <w:r w:rsidRPr="003F63DB">
        <w:t>n</w:t>
      </w:r>
      <w:r w:rsidRPr="003F63DB">
        <w:t>dighetsutövning i svensk rätt. Den arke</w:t>
      </w:r>
      <w:r w:rsidRPr="003F63DB">
        <w:t>ologiska undersökarens verksamhet är inte förenad med utövande av offentlig makt i den mening uttrycket har i EG-fördraget. Den undersökare länsstyrelsen förordar enligt kulturminnesl</w:t>
      </w:r>
      <w:r w:rsidRPr="003F63DB">
        <w:t>a</w:t>
      </w:r>
      <w:r w:rsidRPr="003F63DB">
        <w:t xml:space="preserve">gen har inte några särskilda befogenheter utöver vad en undersökare skulle ha som engagerats genom ett privaträttsligt avtal. </w:t>
      </w:r>
    </w:p>
    <w:p w:rsidR="00905B3E" w:rsidRPr="003F63DB" w:rsidRDefault="00905B3E">
      <w:pPr>
        <w:pStyle w:val="Normaltindrag"/>
      </w:pPr>
      <w:r w:rsidRPr="003F63DB">
        <w:rPr>
          <w:i/>
        </w:rPr>
        <w:t>Konkurrensverket</w:t>
      </w:r>
      <w:r w:rsidRPr="003F63DB">
        <w:t xml:space="preserve"> framhåller att nuvarande regler inte garanterar en rätt</w:t>
      </w:r>
      <w:r w:rsidRPr="003F63DB">
        <w:t>s</w:t>
      </w:r>
      <w:r w:rsidRPr="003F63DB">
        <w:t xml:space="preserve">säker behandling av undersökarna. Anbudsgivare som förfördelas vid en upphandling har inga möjligheter att få rättelse. Berörda myndigheter kan sätta konkurrensen ur spel utan att riskera någon påföljd. </w:t>
      </w:r>
    </w:p>
    <w:p w:rsidR="00905B3E" w:rsidRPr="003F63DB" w:rsidRDefault="00905B3E">
      <w:pPr>
        <w:pStyle w:val="Normaltindrag"/>
      </w:pPr>
      <w:r w:rsidRPr="003F63DB">
        <w:rPr>
          <w:i/>
        </w:rPr>
        <w:t>Statskontoret</w:t>
      </w:r>
      <w:r w:rsidRPr="003F63DB">
        <w:t xml:space="preserve"> anser</w:t>
      </w:r>
      <w:r w:rsidRPr="003F63DB">
        <w:rPr>
          <w:i/>
        </w:rPr>
        <w:t>,</w:t>
      </w:r>
      <w:r w:rsidRPr="003F63DB">
        <w:t xml:space="preserve"> liksom </w:t>
      </w:r>
      <w:r w:rsidRPr="003F63DB">
        <w:rPr>
          <w:i/>
        </w:rPr>
        <w:t>Konkurrensverket</w:t>
      </w:r>
      <w:r w:rsidRPr="003F63DB">
        <w:t>, att revisorernas förlag bör kompletteras med en bestämmelse om att LOU även ska tillämpas vid köp av arkeologiska tjänster mellan två statliga myndigheter. Statskontoret anser att det i samband med att riksdagsbeslutet omprövas bör göras klart vilka delar av den uppdragsarkeologiska processen som ska betraktas som myndighet</w:t>
      </w:r>
      <w:r w:rsidRPr="003F63DB">
        <w:t>s</w:t>
      </w:r>
      <w:r w:rsidRPr="003F63DB">
        <w:t>utövning.</w:t>
      </w:r>
    </w:p>
    <w:p w:rsidR="00905B3E" w:rsidRPr="003F63DB" w:rsidRDefault="00905B3E">
      <w:pPr>
        <w:pStyle w:val="Normaltindrag"/>
      </w:pPr>
      <w:r w:rsidRPr="003F63DB">
        <w:rPr>
          <w:i/>
        </w:rPr>
        <w:t>Länsstyrelsen i Stockholms län</w:t>
      </w:r>
      <w:r w:rsidRPr="003F63DB">
        <w:t xml:space="preserve"> menar att dagens system inte tillgodoser behovet av en fungerande konkurrens och instämmer i att beslutet bör o</w:t>
      </w:r>
      <w:r w:rsidRPr="003F63DB">
        <w:t>m</w:t>
      </w:r>
      <w:r w:rsidRPr="003F63DB">
        <w:t>prövas mot bakgrund av EG-rätten. I en bilaga till yttrandet framför länsst</w:t>
      </w:r>
      <w:r w:rsidRPr="003F63DB">
        <w:t>y</w:t>
      </w:r>
      <w:r w:rsidRPr="003F63DB">
        <w:t>relsen uppfattningen att det mot bakgrund av EG-domstolens uttalanden är tveksamt om länsstyrelsernas beslut är av sådan art att Sverige har möjlighet att åberopa artikel 66 för att inte behöva tillämpa direktiv 92/50/EEG på upphandling av arkeologiska tjänster. Direktivet tycks ta sikte på situationer där upphandlande en</w:t>
      </w:r>
      <w:r w:rsidRPr="003F63DB">
        <w:t>het (länsstyrelsen) själv sluter kontrakt (med undersök</w:t>
      </w:r>
      <w:r w:rsidRPr="003F63DB">
        <w:t>a</w:t>
      </w:r>
      <w:r w:rsidRPr="003F63DB">
        <w:t xml:space="preserve">ren). Så är inte fallet inom uppdragsarkeologin. Länsstyrelsen menar att det inte finns något hinder mot att ändå tillämpa LOU på uppdragsarkeologi. Enligt länsstyrelsen är det i de medelstora och mindre undersökningarna som det kan bli en bättre samstämmighet mellan ambitionsnivå och kostnader. Även </w:t>
      </w:r>
      <w:r w:rsidRPr="003F63DB">
        <w:rPr>
          <w:i/>
        </w:rPr>
        <w:t>Länsstyrelsen i Västernorrlands län</w:t>
      </w:r>
      <w:r w:rsidRPr="003F63DB">
        <w:t xml:space="preserve"> framhåller att de mellanstora uppdragen är mer lämpade för upphandling än de allra största up</w:t>
      </w:r>
      <w:r w:rsidRPr="003F63DB">
        <w:t>p</w:t>
      </w:r>
      <w:r w:rsidRPr="003F63DB">
        <w:t xml:space="preserve">dragen. </w:t>
      </w:r>
    </w:p>
    <w:p w:rsidR="00905B3E" w:rsidRPr="003F63DB" w:rsidRDefault="00905B3E">
      <w:pPr>
        <w:pStyle w:val="Normaltindrag"/>
      </w:pPr>
      <w:r w:rsidRPr="003F63DB">
        <w:rPr>
          <w:i/>
        </w:rPr>
        <w:t>Länsstyrelsen i</w:t>
      </w:r>
      <w:r w:rsidRPr="003F63DB">
        <w:rPr>
          <w:i/>
        </w:rPr>
        <w:t xml:space="preserve"> Västra Götalands län,</w:t>
      </w:r>
      <w:r w:rsidRPr="003F63DB">
        <w:t xml:space="preserve"> </w:t>
      </w:r>
      <w:r w:rsidRPr="003F63DB">
        <w:rPr>
          <w:i/>
        </w:rPr>
        <w:t>Länsstyrelsen i Gotlands län</w:t>
      </w:r>
      <w:r w:rsidRPr="003F63DB">
        <w:t>,</w:t>
      </w:r>
      <w:r w:rsidRPr="003F63DB">
        <w:rPr>
          <w:i/>
        </w:rPr>
        <w:t xml:space="preserve"> Län</w:t>
      </w:r>
      <w:r w:rsidRPr="003F63DB">
        <w:rPr>
          <w:i/>
        </w:rPr>
        <w:t>s</w:t>
      </w:r>
      <w:r w:rsidRPr="003F63DB">
        <w:rPr>
          <w:i/>
        </w:rPr>
        <w:t>styrelsen i Uppsala län</w:t>
      </w:r>
      <w:r w:rsidRPr="003F63DB">
        <w:t xml:space="preserve"> och </w:t>
      </w:r>
      <w:r w:rsidRPr="003F63DB">
        <w:rPr>
          <w:i/>
        </w:rPr>
        <w:t>Föreningen Sveriges länsantikvarier</w:t>
      </w:r>
      <w:r w:rsidRPr="003F63DB">
        <w:t xml:space="preserve"> delar rev</w:t>
      </w:r>
      <w:r w:rsidRPr="003F63DB">
        <w:t>i</w:t>
      </w:r>
      <w:r w:rsidRPr="003F63DB">
        <w:t xml:space="preserve">sorernas uppfattning att beslutet att undanta uppdragsarkeologi från LOU bör omprövas mot bakgrund av vad som redovisats i rapporten. </w:t>
      </w:r>
      <w:r w:rsidRPr="003F63DB">
        <w:rPr>
          <w:i/>
        </w:rPr>
        <w:t xml:space="preserve">Föreningen Sveriges länsantikvarier </w:t>
      </w:r>
      <w:r w:rsidRPr="003F63DB">
        <w:t xml:space="preserve">anser dock att det bör utredas vilka konsekvenser en fullständig LOU-tillämpning får för länsstyrelserna, särskilt vad gäller behov av kompetens- och resursförstärkning. </w:t>
      </w:r>
      <w:r w:rsidRPr="003F63DB">
        <w:rPr>
          <w:i/>
        </w:rPr>
        <w:t>Länsstyrelsen i Uppsala län</w:t>
      </w:r>
      <w:r w:rsidRPr="003F63DB">
        <w:t xml:space="preserve"> menar att vis</w:t>
      </w:r>
      <w:r w:rsidRPr="003F63DB">
        <w:t>s konkurrens är bra, men att det vore bättre att länsstyrelserna fick mera resurser. En enhetlig och bättre tillämpning av föreskrifterna kan öka möjli</w:t>
      </w:r>
      <w:r w:rsidRPr="003F63DB">
        <w:t>g</w:t>
      </w:r>
      <w:r w:rsidRPr="003F63DB">
        <w:t xml:space="preserve">heter till insyn i den arkeologiska processen. </w:t>
      </w:r>
      <w:r w:rsidRPr="003F63DB">
        <w:rPr>
          <w:i/>
        </w:rPr>
        <w:t>Länsstyrelsen i Västra Göt</w:t>
      </w:r>
      <w:r w:rsidRPr="003F63DB">
        <w:rPr>
          <w:i/>
        </w:rPr>
        <w:t>a</w:t>
      </w:r>
      <w:r w:rsidRPr="003F63DB">
        <w:rPr>
          <w:i/>
        </w:rPr>
        <w:t>lands län</w:t>
      </w:r>
      <w:r w:rsidRPr="003F63DB">
        <w:t xml:space="preserve"> anser att exploat</w:t>
      </w:r>
      <w:r w:rsidRPr="003F63DB">
        <w:t>ö</w:t>
      </w:r>
      <w:r w:rsidRPr="003F63DB">
        <w:t xml:space="preserve">rerna har möjlighet till full insyn. </w:t>
      </w:r>
    </w:p>
    <w:p w:rsidR="00905B3E" w:rsidRPr="003F63DB" w:rsidRDefault="00905B3E">
      <w:pPr>
        <w:pStyle w:val="Normaltindrag"/>
      </w:pPr>
      <w:r w:rsidRPr="003F63DB">
        <w:rPr>
          <w:i/>
        </w:rPr>
        <w:t>Länsstyrelsen i Kronobergs län</w:t>
      </w:r>
      <w:r w:rsidRPr="003F63DB">
        <w:t xml:space="preserve"> menar att upphandling i konkurrens har stor betydelse för kostnader, kvalitet och metodutveckling. I stället för att införa LOU förordar länsstyrelsen att RAÄ:s föreskrifter skärps. Ett oefte</w:t>
      </w:r>
      <w:r w:rsidRPr="003F63DB">
        <w:t>r</w:t>
      </w:r>
      <w:r w:rsidRPr="003F63DB">
        <w:t>givligt krav på att anbudsförfarande bör införas om den beräknade kostnaden överstiger 10 prisbasbelopp. Länsstyrelsen uppger att man under år 2003 ska återuppta arbetet med upphandling i konkurrens.</w:t>
      </w:r>
    </w:p>
    <w:p w:rsidR="00905B3E" w:rsidRPr="003F63DB" w:rsidRDefault="00905B3E">
      <w:pPr>
        <w:pStyle w:val="Normaltindrag"/>
      </w:pPr>
      <w:r w:rsidRPr="003F63DB">
        <w:rPr>
          <w:i/>
        </w:rPr>
        <w:t>Länsstyrelsen i Skåne län</w:t>
      </w:r>
      <w:r w:rsidRPr="003F63DB">
        <w:t xml:space="preserve"> avstyrker förslaget. Länsstyrelsen menar att RAÄ:s föreskrifter och allmänna råd är tydliga och användbara. Vissa expl</w:t>
      </w:r>
      <w:r w:rsidRPr="003F63DB">
        <w:t>o</w:t>
      </w:r>
      <w:r w:rsidRPr="003F63DB">
        <w:t>a</w:t>
      </w:r>
      <w:r w:rsidRPr="003F63DB">
        <w:softHyphen/>
        <w:t>teringsprojekt är hårt tidsbundna och stora ekonomiska värden för exploat</w:t>
      </w:r>
      <w:r w:rsidRPr="003F63DB">
        <w:t>ö</w:t>
      </w:r>
      <w:r w:rsidRPr="003F63DB">
        <w:t xml:space="preserve">ren kan stå på spel vid en utdragen beslutsprocess. </w:t>
      </w:r>
    </w:p>
    <w:p w:rsidR="00905B3E" w:rsidRPr="003F63DB" w:rsidRDefault="00905B3E">
      <w:pPr>
        <w:pStyle w:val="Normaltindrag"/>
      </w:pPr>
      <w:r w:rsidRPr="003F63DB">
        <w:rPr>
          <w:i/>
        </w:rPr>
        <w:t>DIK-förbundet</w:t>
      </w:r>
      <w:r w:rsidRPr="003F63DB">
        <w:t xml:space="preserve"> anser att regeringen måste bestämma sig för om uppdrag</w:t>
      </w:r>
      <w:r w:rsidRPr="003F63DB">
        <w:t>s</w:t>
      </w:r>
      <w:r w:rsidRPr="003F63DB">
        <w:t>arkeologin ska konkurrensutsättas fullt ut eller inte. Om den ska konkurren</w:t>
      </w:r>
      <w:r w:rsidRPr="003F63DB">
        <w:t>s</w:t>
      </w:r>
      <w:r w:rsidRPr="003F63DB">
        <w:t>utsättas måste LOU tillämpas även vid köp mellan myndigheter inom samma rättssubjekt. DIK-förbundet anser det självklart att länsstyrelserna ska skriva tydliga kravspecifikationer och motivera valet av undersökare, men tror inte att LOU kan rätta till det som i grunden är en resur</w:t>
      </w:r>
      <w:r w:rsidRPr="003F63DB">
        <w:t>s</w:t>
      </w:r>
      <w:r w:rsidRPr="003F63DB">
        <w:t>fråga.</w:t>
      </w:r>
    </w:p>
    <w:p w:rsidR="00905B3E" w:rsidRPr="003F63DB" w:rsidRDefault="00905B3E">
      <w:pPr>
        <w:pStyle w:val="Normaltindrag"/>
      </w:pPr>
      <w:r w:rsidRPr="003F63DB">
        <w:rPr>
          <w:i/>
        </w:rPr>
        <w:t>Uppsala universitet</w:t>
      </w:r>
      <w:r w:rsidRPr="003F63DB">
        <w:t xml:space="preserve">, </w:t>
      </w:r>
      <w:r w:rsidRPr="003F63DB">
        <w:rPr>
          <w:i/>
        </w:rPr>
        <w:t xml:space="preserve">Umeå universitet </w:t>
      </w:r>
      <w:r w:rsidRPr="003F63DB">
        <w:t>och</w:t>
      </w:r>
      <w:r w:rsidRPr="003F63DB">
        <w:rPr>
          <w:i/>
        </w:rPr>
        <w:t xml:space="preserve"> Mitthögskolan</w:t>
      </w:r>
      <w:r w:rsidRPr="003F63DB">
        <w:t xml:space="preserve"> är positiva till en omprövning av beslutet. </w:t>
      </w:r>
      <w:r w:rsidRPr="003F63DB">
        <w:rPr>
          <w:i/>
        </w:rPr>
        <w:t>Umeå universitet</w:t>
      </w:r>
      <w:r w:rsidRPr="003F63DB">
        <w:t xml:space="preserve"> anser det väsentligt att universit</w:t>
      </w:r>
      <w:r w:rsidRPr="003F63DB">
        <w:t>e</w:t>
      </w:r>
      <w:r w:rsidRPr="003F63DB">
        <w:t xml:space="preserve">ten ingår i organisationen för uppdragsarkeologi enligt revisorernas förslag om LOU ska införas. Ansvaret för upphandling skulle då inte behöva läggas på exploatörerna. </w:t>
      </w:r>
      <w:r w:rsidRPr="003F63DB">
        <w:rPr>
          <w:i/>
        </w:rPr>
        <w:t>Mitthögskolan</w:t>
      </w:r>
      <w:r w:rsidRPr="003F63DB">
        <w:t xml:space="preserve"> har sett exempel på att upphandlingar i konkurrens driver fram bättre resultat och rapporter till samma eller lägre kostn</w:t>
      </w:r>
      <w:r w:rsidRPr="003F63DB">
        <w:t>a</w:t>
      </w:r>
      <w:r w:rsidRPr="003F63DB">
        <w:t>der.</w:t>
      </w:r>
      <w:r w:rsidRPr="003F63DB">
        <w:rPr>
          <w:i/>
        </w:rPr>
        <w:t xml:space="preserve"> </w:t>
      </w:r>
    </w:p>
    <w:p w:rsidR="00905B3E" w:rsidRPr="003F63DB" w:rsidRDefault="00905B3E">
      <w:pPr>
        <w:pStyle w:val="Normaltindrag"/>
      </w:pPr>
      <w:r w:rsidRPr="003F63DB">
        <w:rPr>
          <w:i/>
        </w:rPr>
        <w:t>Riksantikvarieämbetet (RAÄ)</w:t>
      </w:r>
      <w:r w:rsidRPr="003F63DB">
        <w:t xml:space="preserve"> anser att bristen på konkurrens inte är ett stort problem. RAÄ hänvisar till statsmakternas uttalande att det inte är önskvärt med konkurrens som riskerar att slå ut den uppdragsarkeologiska verksamhet som är knuten till regionala museer. Myndigheten befarar att en tillämpning av LOU medför höjda administrativa kostnader och en onödig tidsutdräkt för exploatörerna. Enligt RAÄ:s uppfattning är det ett större problem att framför allt länsstyrelserna inte får tillräckliga resurser för til</w:t>
      </w:r>
      <w:r w:rsidRPr="003F63DB">
        <w:t>l</w:t>
      </w:r>
      <w:r w:rsidRPr="003F63DB">
        <w:t>syn, uppföljning och</w:t>
      </w:r>
      <w:r w:rsidRPr="003F63DB">
        <w:t xml:space="preserve"> utvä</w:t>
      </w:r>
      <w:r w:rsidRPr="003F63DB">
        <w:t>r</w:t>
      </w:r>
      <w:r w:rsidRPr="003F63DB">
        <w:t xml:space="preserve">dering. </w:t>
      </w:r>
    </w:p>
    <w:p w:rsidR="00905B3E" w:rsidRPr="003F63DB" w:rsidRDefault="00905B3E">
      <w:pPr>
        <w:pStyle w:val="Normaltindrag"/>
      </w:pPr>
      <w:r w:rsidRPr="003F63DB">
        <w:rPr>
          <w:i/>
        </w:rPr>
        <w:t>Statens historiska museer (SHMM)</w:t>
      </w:r>
      <w:r w:rsidRPr="003F63DB">
        <w:t xml:space="preserve"> avstyrker förslaget med hänvisning till att revisorerna inte presenterat några nya uppgifter i sak som motiverar en omprövning. SHMM anser dock att det mot bakgrund av revisorernas analys av RAÄ:s föreskrifter och allmänna råd samt länsstyrelsernas bristande ti</w:t>
      </w:r>
      <w:r w:rsidRPr="003F63DB">
        <w:t>l</w:t>
      </w:r>
      <w:r w:rsidRPr="003F63DB">
        <w:t>lämpning av gällande upphandlingsregler finns skäl att överväga hur rege</w:t>
      </w:r>
      <w:r w:rsidRPr="003F63DB">
        <w:t>r</w:t>
      </w:r>
      <w:r w:rsidRPr="003F63DB">
        <w:t>ingens intentioner bättre kan fö</w:t>
      </w:r>
      <w:r w:rsidRPr="003F63DB">
        <w:t>r</w:t>
      </w:r>
      <w:r w:rsidRPr="003F63DB">
        <w:t xml:space="preserve">verkligas. </w:t>
      </w:r>
    </w:p>
    <w:p w:rsidR="00905B3E" w:rsidRPr="003F63DB" w:rsidRDefault="00905B3E">
      <w:pPr>
        <w:pStyle w:val="Normaltindrag"/>
      </w:pPr>
      <w:r w:rsidRPr="003F63DB">
        <w:rPr>
          <w:i/>
        </w:rPr>
        <w:t>Banverket</w:t>
      </w:r>
      <w:r w:rsidRPr="003F63DB">
        <w:t xml:space="preserve"> framhåller att revisorernas iakttagelser av bl.a. begränsade mö</w:t>
      </w:r>
      <w:r w:rsidRPr="003F63DB">
        <w:t>j</w:t>
      </w:r>
      <w:r w:rsidRPr="003F63DB">
        <w:t>ligheter till insyn vid upphandling av arkeologi, ofullständiga beslutsunde</w:t>
      </w:r>
      <w:r w:rsidRPr="003F63DB">
        <w:t>r</w:t>
      </w:r>
      <w:r w:rsidRPr="003F63DB">
        <w:t>lag och bristande tillsyn stämmer väl med Banverkets praktiska erfarenheter. Banverket ställer sig bakom revisorernas samtliga förslag, vilka kommer att bidra både till effektivitet i upphandlingen och kvalitet i genomförandet.</w:t>
      </w:r>
    </w:p>
    <w:p w:rsidR="00905B3E" w:rsidRPr="003F63DB" w:rsidRDefault="00905B3E">
      <w:pPr>
        <w:pStyle w:val="Normaltindrag"/>
      </w:pPr>
      <w:r w:rsidRPr="003F63DB">
        <w:rPr>
          <w:i/>
        </w:rPr>
        <w:t>Vägverket</w:t>
      </w:r>
      <w:r w:rsidRPr="003F63DB">
        <w:t xml:space="preserve"> konstaterar att det finns stora brister vid dagens anbudsförfara</w:t>
      </w:r>
      <w:r w:rsidRPr="003F63DB">
        <w:t>n</w:t>
      </w:r>
      <w:r w:rsidRPr="003F63DB">
        <w:t>den. Det är av stor betydelse för Vägverket att kostnader för arkeologi, li</w:t>
      </w:r>
      <w:r w:rsidRPr="003F63DB">
        <w:t>k</w:t>
      </w:r>
      <w:r w:rsidRPr="003F63DB">
        <w:t>som andra kostnader i samband med vägbyggen, reduceras utan att kvaliteten äventyras. Kostnaden för arkeologiprocessens första två steg motiverar oftast inte ett anbudsförfarande enligt nuvarande regler. Samtidigt har den unde</w:t>
      </w:r>
      <w:r w:rsidRPr="003F63DB">
        <w:t>r</w:t>
      </w:r>
      <w:r w:rsidRPr="003F63DB">
        <w:t xml:space="preserve">sökare som anlitats i första steget fått ett försteg inför upphandlingen av slutundersökningen. Oberoende av om revisorernas förslag genomförs </w:t>
      </w:r>
      <w:r w:rsidRPr="003F63DB">
        <w:t>föro</w:t>
      </w:r>
      <w:r w:rsidRPr="003F63DB">
        <w:t>r</w:t>
      </w:r>
      <w:r w:rsidRPr="003F63DB">
        <w:t>dar Vägverket att upphandling i konkurrens görs redan i tidiga skeden av arkeologiproce</w:t>
      </w:r>
      <w:r w:rsidRPr="003F63DB">
        <w:t>s</w:t>
      </w:r>
      <w:r w:rsidRPr="003F63DB">
        <w:t xml:space="preserve">sen. </w:t>
      </w:r>
    </w:p>
    <w:p w:rsidR="00905B3E" w:rsidRPr="003F63DB" w:rsidRDefault="00905B3E">
      <w:pPr>
        <w:pStyle w:val="Normaltindrag"/>
      </w:pPr>
      <w:r w:rsidRPr="003F63DB">
        <w:rPr>
          <w:i/>
        </w:rPr>
        <w:t>Societas Archaeologica Upsaliensis (SAU)</w:t>
      </w:r>
      <w:r w:rsidRPr="003F63DB">
        <w:t xml:space="preserve"> anser att förslaget att införa LOU bör hållas samman med förslaget att ge exploatörer ansvar för up</w:t>
      </w:r>
      <w:r w:rsidRPr="003F63DB">
        <w:t>p</w:t>
      </w:r>
      <w:r w:rsidRPr="003F63DB">
        <w:t>handling. En av de mest angelägna frågorna för ett reformerat system blir att värdera anbud med hänsyn till både ekonomiska och vetenskapliga a</w:t>
      </w:r>
      <w:r w:rsidRPr="003F63DB">
        <w:t>s</w:t>
      </w:r>
      <w:r w:rsidRPr="003F63DB">
        <w:t>pekter.</w:t>
      </w:r>
    </w:p>
    <w:p w:rsidR="00905B3E" w:rsidRPr="003F63DB" w:rsidRDefault="00905B3E">
      <w:pPr>
        <w:pStyle w:val="Normaltindrag"/>
      </w:pPr>
      <w:r w:rsidRPr="003F63DB">
        <w:t xml:space="preserve">Även </w:t>
      </w:r>
      <w:r w:rsidRPr="003F63DB">
        <w:rPr>
          <w:i/>
        </w:rPr>
        <w:t>Angaria AB</w:t>
      </w:r>
      <w:r w:rsidRPr="003F63DB">
        <w:t xml:space="preserve"> och </w:t>
      </w:r>
      <w:r w:rsidRPr="003F63DB">
        <w:rPr>
          <w:i/>
        </w:rPr>
        <w:t>Arkeologikonsult AB</w:t>
      </w:r>
      <w:r w:rsidRPr="003F63DB">
        <w:t xml:space="preserve"> tillstyrker förslaget. Arkeol</w:t>
      </w:r>
      <w:r w:rsidRPr="003F63DB">
        <w:t>o</w:t>
      </w:r>
      <w:r w:rsidRPr="003F63DB">
        <w:t>gikonsult AB menar att det nu finns en möjlighet att rätta till lagändringen 1997, utan att frågan prövas av EG-domstolen. Enligt företagets uppfattning har RAÄ inte haft förmåga att styra länsstyrelsernas verksamhet i enlighet med gällande föreskrifter till kultu</w:t>
      </w:r>
      <w:r w:rsidRPr="003F63DB">
        <w:t>r</w:t>
      </w:r>
      <w:r w:rsidRPr="003F63DB">
        <w:t xml:space="preserve">minneslagen. </w:t>
      </w:r>
    </w:p>
    <w:p w:rsidR="00905B3E" w:rsidRPr="003F63DB" w:rsidRDefault="00905B3E">
      <w:pPr>
        <w:pStyle w:val="Normaltindrag"/>
      </w:pPr>
      <w:r w:rsidRPr="003F63DB">
        <w:rPr>
          <w:i/>
        </w:rPr>
        <w:t>Wallin kulturlandskap och arkeologi</w:t>
      </w:r>
      <w:r w:rsidRPr="003F63DB">
        <w:t xml:space="preserve"> anser att konkurrensen och insynen i den arkeologiska processen måste öka, men att en anpassning till LOU inte är önskvärd. En möjlighet att öka konkurrensen om de mindre uppdragen är att länsstyrelserna rutinmässigt skickar uppdragen på remiss till flera unde</w:t>
      </w:r>
      <w:r w:rsidRPr="003F63DB">
        <w:t>r</w:t>
      </w:r>
      <w:r w:rsidRPr="003F63DB">
        <w:t xml:space="preserve">sökare och på detta sätt får in alternativa undersökningsplaner. </w:t>
      </w:r>
    </w:p>
    <w:p w:rsidR="00905B3E" w:rsidRPr="003F63DB" w:rsidRDefault="00905B3E">
      <w:pPr>
        <w:pStyle w:val="Normaltindrag"/>
      </w:pPr>
      <w:r w:rsidRPr="003F63DB">
        <w:rPr>
          <w:i/>
        </w:rPr>
        <w:t>Bohusläns museum</w:t>
      </w:r>
      <w:r w:rsidRPr="003F63DB">
        <w:t xml:space="preserve"> ifrågasätter förslaget och menar att ett upphandling</w:t>
      </w:r>
      <w:r w:rsidRPr="003F63DB">
        <w:t>s</w:t>
      </w:r>
      <w:r w:rsidRPr="003F63DB">
        <w:t>förfarande enligt LOU kräver mycket tid och resurser eftersom majoriteten av de arkeologiska uppdragen är små (under 25 000 kr). Museet menar också att det är svårt att bedöma hur mycket kunskapsproduktionen får kosta och vem som ska göra denna bedömning.</w:t>
      </w:r>
    </w:p>
    <w:p w:rsidR="00905B3E" w:rsidRPr="003F63DB" w:rsidRDefault="00905B3E">
      <w:pPr>
        <w:pStyle w:val="Normaltindrag"/>
      </w:pPr>
      <w:r w:rsidRPr="003F63DB">
        <w:rPr>
          <w:i/>
        </w:rPr>
        <w:t>Jönköpings läns museum</w:t>
      </w:r>
      <w:r w:rsidRPr="003F63DB">
        <w:t xml:space="preserve"> anser förslaget mindre lämpligt eftersom bra</w:t>
      </w:r>
      <w:r w:rsidRPr="003F63DB">
        <w:t>n</w:t>
      </w:r>
      <w:r w:rsidRPr="003F63DB">
        <w:t>schen skulle behöva förändra hela sitt synsätt. Museet förordar att nuvarande regler tillämpas i högre grad. Samtidigt menar museet att en positiv effekt av revisorernas förslag skulle vara att ”lagt bud ligger”. Länsstyrelsen skulle då inte kunna besluta om en lägre kostnad för det arkeologiska arbetet än vad museet angett i sin undersökningsplan – ett förfarande som i dag ofta a</w:t>
      </w:r>
      <w:r w:rsidRPr="003F63DB">
        <w:t>n</w:t>
      </w:r>
      <w:r w:rsidRPr="003F63DB">
        <w:t>vänds.</w:t>
      </w:r>
    </w:p>
    <w:p w:rsidR="00905B3E" w:rsidRPr="003F63DB" w:rsidRDefault="00905B3E">
      <w:pPr>
        <w:pStyle w:val="Normaltindrag"/>
      </w:pPr>
      <w:r w:rsidRPr="003F63DB">
        <w:rPr>
          <w:i/>
        </w:rPr>
        <w:t xml:space="preserve">Svenska Arkeologiska Samfundet </w:t>
      </w:r>
      <w:r w:rsidRPr="003F63DB">
        <w:t xml:space="preserve">anser, liksom </w:t>
      </w:r>
      <w:r w:rsidRPr="003F63DB">
        <w:rPr>
          <w:i/>
        </w:rPr>
        <w:t>Länsstyrelsen i Söde</w:t>
      </w:r>
      <w:r w:rsidRPr="003F63DB">
        <w:rPr>
          <w:i/>
        </w:rPr>
        <w:t>r</w:t>
      </w:r>
      <w:r w:rsidRPr="003F63DB">
        <w:rPr>
          <w:i/>
        </w:rPr>
        <w:t>manlands län,</w:t>
      </w:r>
      <w:r w:rsidRPr="003F63DB">
        <w:t xml:space="preserve"> att samarbete ger bättre förutsättningar än konkurrens för att bygga upp och sprida kunskap. Upphandling kan möjligen hålla nere de synliga  kostnaderna, men ska vägas mot att länsstyrelsens handläggning är resurs</w:t>
      </w:r>
      <w:r w:rsidRPr="003F63DB">
        <w:softHyphen/>
        <w:t>krävande. Förbättrad insyn och utvidgad kontroll över uppdragsver</w:t>
      </w:r>
      <w:r w:rsidRPr="003F63DB">
        <w:t>k</w:t>
      </w:r>
      <w:r w:rsidRPr="003F63DB">
        <w:t>samheten medför ökade krav på länsstyrelserna, vilket till stor del är en fråga om resurser – både ekon</w:t>
      </w:r>
      <w:r w:rsidRPr="003F63DB">
        <w:t>o</w:t>
      </w:r>
      <w:r w:rsidRPr="003F63DB">
        <w:t>miska och vetenskapliga.</w:t>
      </w:r>
    </w:p>
    <w:p w:rsidR="00905B3E" w:rsidRPr="003F63DB" w:rsidRDefault="00905B3E">
      <w:pPr>
        <w:pStyle w:val="Normaltindrag"/>
      </w:pPr>
      <w:r w:rsidRPr="003F63DB">
        <w:rPr>
          <w:i/>
        </w:rPr>
        <w:t xml:space="preserve">Västergötlands museum </w:t>
      </w:r>
      <w:r w:rsidRPr="003F63DB">
        <w:t xml:space="preserve">anser att det är fel att utsätta kunskapsuppbyggnad för konkurrens. Enligt museet leder konkurrens till sämre kvalitet och högre pris. Med ett upphandlingsförfarande blir det svårt att väga kostnader och vetenskaplig kvalitet mot varandra. </w:t>
      </w:r>
    </w:p>
    <w:p w:rsidR="00905B3E" w:rsidRPr="003F63DB" w:rsidRDefault="00905B3E">
      <w:pPr>
        <w:pStyle w:val="Normaltindrag"/>
      </w:pPr>
      <w:r w:rsidRPr="003F63DB">
        <w:rPr>
          <w:i/>
        </w:rPr>
        <w:t>Malmö Kulturmiljö</w:t>
      </w:r>
      <w:r w:rsidRPr="003F63DB">
        <w:t xml:space="preserve"> ser inte att arkeologin skulle ha något att vinna på konkurrens. Det vetenskapliga värdet av arkeologiska undersökningar måste vara utgångspunkten – även om det är svårt att bedöma och svårt för en uppdragsgivare att få insikt i. Malmö Kulturmiljö menar att undersökarnas kontinuitet i arbetet ger de bästa förutsättningarna för att kunna bedöma tid, kostnader, ambitionsnivå och vetenskapligt värde för en undersökning. B</w:t>
      </w:r>
      <w:r w:rsidRPr="003F63DB">
        <w:t>e</w:t>
      </w:r>
      <w:r w:rsidRPr="003F63DB">
        <w:t>rörda parter får insyn i det arkeologiska arbetet genom de arkeologiska ra</w:t>
      </w:r>
      <w:r w:rsidRPr="003F63DB">
        <w:t>p</w:t>
      </w:r>
      <w:r w:rsidRPr="003F63DB">
        <w:t>porterna. Ins</w:t>
      </w:r>
      <w:r w:rsidRPr="003F63DB">
        <w:t>yn i hur beslut fattas får man genom länsstyrelsernas beslut.</w:t>
      </w:r>
    </w:p>
    <w:p w:rsidR="00905B3E" w:rsidRPr="003F63DB" w:rsidRDefault="00905B3E">
      <w:pPr>
        <w:pStyle w:val="Normaltindrag"/>
      </w:pPr>
      <w:r w:rsidRPr="003F63DB">
        <w:t>Flera remissinstanser framhåller att villkoren för de arkeologiska unders</w:t>
      </w:r>
      <w:r w:rsidRPr="003F63DB">
        <w:t>ö</w:t>
      </w:r>
      <w:r w:rsidRPr="003F63DB">
        <w:t>karna skiljer sig åt och att det är viktigt att detta uppmärksammas och åtgä</w:t>
      </w:r>
      <w:r w:rsidRPr="003F63DB">
        <w:t>r</w:t>
      </w:r>
      <w:r w:rsidRPr="003F63DB">
        <w:t xml:space="preserve">das, om man vill åstadkomma bättre konkurrens. </w:t>
      </w:r>
      <w:r w:rsidRPr="003F63DB">
        <w:rPr>
          <w:i/>
        </w:rPr>
        <w:t>Länsstyrelsen i Vä</w:t>
      </w:r>
      <w:r w:rsidRPr="003F63DB">
        <w:rPr>
          <w:i/>
        </w:rPr>
        <w:t>s</w:t>
      </w:r>
      <w:r w:rsidRPr="003F63DB">
        <w:rPr>
          <w:i/>
        </w:rPr>
        <w:t xml:space="preserve">ternorrlands län, Bohusläns museum, DIK-förbundet </w:t>
      </w:r>
      <w:r w:rsidRPr="003F63DB">
        <w:t>och</w:t>
      </w:r>
      <w:r w:rsidRPr="003F63DB">
        <w:rPr>
          <w:i/>
        </w:rPr>
        <w:t xml:space="preserve"> Wallin kulturlan</w:t>
      </w:r>
      <w:r w:rsidRPr="003F63DB">
        <w:rPr>
          <w:i/>
        </w:rPr>
        <w:t>d</w:t>
      </w:r>
      <w:r w:rsidRPr="003F63DB">
        <w:rPr>
          <w:i/>
        </w:rPr>
        <w:t>skap och arkeologi</w:t>
      </w:r>
      <w:r w:rsidRPr="003F63DB">
        <w:t xml:space="preserve"> nämner i detta sammanhang de olika momsregler som gäller för undersökarna. </w:t>
      </w:r>
      <w:r w:rsidRPr="003F63DB">
        <w:rPr>
          <w:i/>
        </w:rPr>
        <w:t>Länsstyrelsen i Västernorrlands län</w:t>
      </w:r>
      <w:r w:rsidRPr="003F63DB">
        <w:t xml:space="preserve"> beklagar att både momsregler och sekretessregler (skyddande av affärsverksamhet) ens</w:t>
      </w:r>
      <w:r w:rsidRPr="003F63DB">
        <w:t>i</w:t>
      </w:r>
      <w:r w:rsidRPr="003F63DB">
        <w:t xml:space="preserve">digt gynnat RAÄ-UV. </w:t>
      </w:r>
    </w:p>
    <w:p w:rsidR="00905B3E" w:rsidRPr="003F63DB" w:rsidRDefault="00905B3E">
      <w:pPr>
        <w:pStyle w:val="Normaltindrag"/>
      </w:pPr>
      <w:r w:rsidRPr="003F63DB">
        <w:rPr>
          <w:i/>
        </w:rPr>
        <w:t xml:space="preserve">Bohusläns museum </w:t>
      </w:r>
      <w:r w:rsidRPr="003F63DB">
        <w:t>och</w:t>
      </w:r>
      <w:r w:rsidRPr="003F63DB">
        <w:rPr>
          <w:i/>
        </w:rPr>
        <w:t xml:space="preserve"> DIK-förbundet</w:t>
      </w:r>
      <w:r w:rsidRPr="003F63DB">
        <w:t xml:space="preserve"> framhåller att flertalet undersökare begränsas geografiskt antingen av egna stadgar eller kommunallagen. </w:t>
      </w:r>
      <w:r w:rsidRPr="003F63DB">
        <w:rPr>
          <w:i/>
        </w:rPr>
        <w:t>Vä</w:t>
      </w:r>
      <w:r w:rsidRPr="003F63DB">
        <w:rPr>
          <w:i/>
        </w:rPr>
        <w:t>g</w:t>
      </w:r>
      <w:r w:rsidRPr="003F63DB">
        <w:rPr>
          <w:i/>
        </w:rPr>
        <w:t>verket</w:t>
      </w:r>
      <w:r w:rsidRPr="003F63DB">
        <w:t xml:space="preserve"> menar att ett sätt att öka konkurrensen inom uppdragsarkeologin är att ge museerna möjlighet att verka utanför den egna kommunen eller regionen. En annan väg kan vara att stimulera teknikkonsulterna att bredda sitt utbud av tjän</w:t>
      </w:r>
      <w:r w:rsidRPr="003F63DB">
        <w:t>s</w:t>
      </w:r>
      <w:r w:rsidRPr="003F63DB">
        <w:t>ter till att även omfatta arkeologi.</w:t>
      </w:r>
    </w:p>
    <w:p w:rsidR="00905B3E" w:rsidRPr="003F63DB" w:rsidRDefault="00905B3E">
      <w:pPr>
        <w:pStyle w:val="Normaltindrag"/>
      </w:pPr>
      <w:r w:rsidRPr="003F63DB">
        <w:rPr>
          <w:i/>
        </w:rPr>
        <w:t>Konkurrensverket</w:t>
      </w:r>
      <w:r w:rsidRPr="003F63DB">
        <w:t xml:space="preserve"> anser att det saknas riktlinjer för vilken roll universitet och högskolor ska ha inom uppdragsarkeologin. Om universitet och hö</w:t>
      </w:r>
      <w:r w:rsidRPr="003F63DB">
        <w:t>g</w:t>
      </w:r>
      <w:r w:rsidRPr="003F63DB">
        <w:t>skolor ska verka som undersökare bör det ställas krav på särredovisning av kostnader och uppföljning av det ekonomiska utfallet i verksamheten. Vidare menar verket att staten bör ställa krav på att de regionala museer som bedr</w:t>
      </w:r>
      <w:r w:rsidRPr="003F63DB">
        <w:t>i</w:t>
      </w:r>
      <w:r w:rsidRPr="003F63DB">
        <w:t>ver arkeologisk uppdragsverksamhet redovisar hur statsbidraget använts. Varken utbildningsanslag eller statsbidrag ska användas för att subventionera arkeol</w:t>
      </w:r>
      <w:r w:rsidRPr="003F63DB">
        <w:t>ogiuppdrag. Därför måste den uppdragsarkeologiska verksamheten ha egen resultatred</w:t>
      </w:r>
      <w:r w:rsidRPr="003F63DB">
        <w:t>o</w:t>
      </w:r>
      <w:r w:rsidRPr="003F63DB">
        <w:t xml:space="preserve">visning. </w:t>
      </w:r>
    </w:p>
    <w:p w:rsidR="00905B3E" w:rsidRPr="003F63DB" w:rsidRDefault="00905B3E">
      <w:pPr>
        <w:pStyle w:val="Rubrik2-Utannumrering"/>
      </w:pPr>
      <w:bookmarkStart w:id="177" w:name="_Toc35833473"/>
      <w:bookmarkStart w:id="178" w:name="_Toc36520785"/>
      <w:r w:rsidRPr="003F63DB">
        <w:t>Kostnadskontrollen brister</w:t>
      </w:r>
      <w:bookmarkEnd w:id="177"/>
      <w:bookmarkEnd w:id="178"/>
    </w:p>
    <w:p w:rsidR="00905B3E" w:rsidRPr="003F63DB" w:rsidRDefault="00905B3E">
      <w:pPr>
        <w:numPr>
          <w:ilvl w:val="0"/>
          <w:numId w:val="11"/>
        </w:numPr>
      </w:pPr>
      <w:r w:rsidRPr="003F63DB">
        <w:t>Revisorerna föreslog i rapporten att exploatörer ges ansvaret för att upphandla arkeologiska utredningar och undersökningar.</w:t>
      </w:r>
    </w:p>
    <w:p w:rsidR="00905B3E" w:rsidRPr="003F63DB" w:rsidRDefault="00905B3E">
      <w:r w:rsidRPr="003F63DB">
        <w:rPr>
          <w:i/>
        </w:rPr>
        <w:t>Statskontoret, Länsstyrelsen i Stockholms län, Banverket, Vägverket, Ko</w:t>
      </w:r>
      <w:r w:rsidRPr="003F63DB">
        <w:rPr>
          <w:i/>
        </w:rPr>
        <w:t>n</w:t>
      </w:r>
      <w:r w:rsidRPr="003F63DB">
        <w:rPr>
          <w:i/>
        </w:rPr>
        <w:t xml:space="preserve">kurrensverket, Arkeologikonsult AB, Societas Archaeologica Upsaliensis, DIK-förbundet </w:t>
      </w:r>
      <w:r w:rsidRPr="003F63DB">
        <w:t>och</w:t>
      </w:r>
      <w:r w:rsidRPr="003F63DB">
        <w:rPr>
          <w:i/>
        </w:rPr>
        <w:t xml:space="preserve"> professor Kristian Kristiansen</w:t>
      </w:r>
      <w:r w:rsidRPr="003F63DB">
        <w:t xml:space="preserve"> tillstyrker förslaget. </w:t>
      </w:r>
    </w:p>
    <w:p w:rsidR="00905B3E" w:rsidRPr="003F63DB" w:rsidRDefault="00905B3E">
      <w:pPr>
        <w:pStyle w:val="Normaltindrag"/>
      </w:pPr>
      <w:r w:rsidRPr="003F63DB">
        <w:rPr>
          <w:i/>
        </w:rPr>
        <w:t>Länsstyrelsen i Stockholms län</w:t>
      </w:r>
      <w:r w:rsidRPr="003F63DB">
        <w:t xml:space="preserve"> framhåller att exploatörer måste ges sky</w:t>
      </w:r>
      <w:r w:rsidRPr="003F63DB">
        <w:t>l</w:t>
      </w:r>
      <w:r w:rsidRPr="003F63DB">
        <w:t>dighet att tillämpa LOU så att inte undersökare tillhörande samma rättssu</w:t>
      </w:r>
      <w:r w:rsidRPr="003F63DB">
        <w:t>b</w:t>
      </w:r>
      <w:r w:rsidRPr="003F63DB">
        <w:t>jekt gynnas. Länsstyrelserna måste också bli bättre på att sätta en realistisk ambitionsnivå för undersökningar där kunskapspotentialen är begrä</w:t>
      </w:r>
      <w:r w:rsidRPr="003F63DB">
        <w:t>n</w:t>
      </w:r>
      <w:r w:rsidRPr="003F63DB">
        <w:t xml:space="preserve">sad. </w:t>
      </w:r>
    </w:p>
    <w:p w:rsidR="00905B3E" w:rsidRPr="003F63DB" w:rsidRDefault="00905B3E">
      <w:pPr>
        <w:pStyle w:val="Normaltindrag"/>
      </w:pPr>
      <w:r w:rsidRPr="003F63DB">
        <w:rPr>
          <w:i/>
        </w:rPr>
        <w:t>Societas Archaeologica Upsaliensis</w:t>
      </w:r>
      <w:r w:rsidRPr="003F63DB">
        <w:t xml:space="preserve"> anser att exploatörernas roll behöver stärkas och legitimeras. Revisorernas förslag kommer att innebära att up</w:t>
      </w:r>
      <w:r w:rsidRPr="003F63DB">
        <w:t>p</w:t>
      </w:r>
      <w:r w:rsidRPr="003F63DB">
        <w:t>dragsarkeologin respekteras av alla sina tre huvudintressenter – exploatör, kulturminnesvård och universitet/högskola.</w:t>
      </w:r>
    </w:p>
    <w:p w:rsidR="00905B3E" w:rsidRPr="003F63DB" w:rsidRDefault="00905B3E">
      <w:pPr>
        <w:pStyle w:val="Normaltindrag"/>
      </w:pPr>
      <w:r w:rsidRPr="003F63DB">
        <w:rPr>
          <w:i/>
        </w:rPr>
        <w:t>Vägverket</w:t>
      </w:r>
      <w:r w:rsidRPr="003F63DB">
        <w:t xml:space="preserve"> framhåller att verket har en väl utvecklad upphandlingsver</w:t>
      </w:r>
      <w:r w:rsidRPr="003F63DB">
        <w:t>k</w:t>
      </w:r>
      <w:r w:rsidRPr="003F63DB">
        <w:t>samhet. Länsstyrelserna saknar resurser och har även begränsad erfarenhet av upphandling. Vägverket kommenterar även kostnadsansvaret och menar att verket inte bör belastas med kostnader för utgrävningar som görs utanför det område som tas i anspråk för den blivande vägen. Exploatören bör inte heller bekosta det vetenskapliga arbetet för att lägga in en ny pusselbit i det stora historiska pusslet. Vägverket anser det heller inte vara exploatörens a</w:t>
      </w:r>
      <w:r w:rsidRPr="003F63DB">
        <w:t>nsvar att stå för de regionala museernas kunskapsup</w:t>
      </w:r>
      <w:r w:rsidRPr="003F63DB">
        <w:t>p</w:t>
      </w:r>
      <w:r w:rsidRPr="003F63DB">
        <w:t>byggnad.</w:t>
      </w:r>
    </w:p>
    <w:p w:rsidR="00905B3E" w:rsidRPr="003F63DB" w:rsidRDefault="00905B3E">
      <w:pPr>
        <w:pStyle w:val="Normaltindrag"/>
      </w:pPr>
      <w:r w:rsidRPr="003F63DB">
        <w:rPr>
          <w:i/>
        </w:rPr>
        <w:t>Borlänge kommun</w:t>
      </w:r>
      <w:r w:rsidRPr="003F63DB">
        <w:t xml:space="preserve"> framhåller att även kommunerna har bekostat omfatta</w:t>
      </w:r>
      <w:r w:rsidRPr="003F63DB">
        <w:t>n</w:t>
      </w:r>
      <w:r w:rsidRPr="003F63DB">
        <w:t>de arkeologiska undersökningar som i vissa fall aldrig rapporterats och sa</w:t>
      </w:r>
      <w:r w:rsidRPr="003F63DB">
        <w:t>n</w:t>
      </w:r>
      <w:r w:rsidRPr="003F63DB">
        <w:t>nolikt inte heller efterfrågats. Kommunen påtalar att man ännu inte fått til</w:t>
      </w:r>
      <w:r w:rsidRPr="003F63DB">
        <w:t>l</w:t>
      </w:r>
      <w:r w:rsidRPr="003F63DB">
        <w:t>gång till någon förteckning över de fornminnesobjekt som tillkommit efter Riksantikvarieämbetets inventering år 1991. Fornminnesinformation behövs för att man ska kunna ta hänsyn till fornlämningar i planarbeten, bygglov</w:t>
      </w:r>
      <w:r w:rsidRPr="003F63DB">
        <w:t>s</w:t>
      </w:r>
      <w:r w:rsidRPr="003F63DB">
        <w:t>prövningar och fastighetsäre</w:t>
      </w:r>
      <w:r w:rsidRPr="003F63DB">
        <w:t>n</w:t>
      </w:r>
      <w:r w:rsidRPr="003F63DB">
        <w:t>den.</w:t>
      </w:r>
    </w:p>
    <w:p w:rsidR="00905B3E" w:rsidRPr="003F63DB" w:rsidRDefault="00905B3E">
      <w:pPr>
        <w:pStyle w:val="Normaltindrag"/>
      </w:pPr>
      <w:r w:rsidRPr="003F63DB">
        <w:rPr>
          <w:i/>
        </w:rPr>
        <w:t>Arkeologikonsult AB</w:t>
      </w:r>
      <w:r w:rsidRPr="003F63DB">
        <w:t xml:space="preserve"> tror att förslaget kommer att leda till att de arkeol</w:t>
      </w:r>
      <w:r w:rsidRPr="003F63DB">
        <w:t>o</w:t>
      </w:r>
      <w:r w:rsidRPr="003F63DB">
        <w:t>giska uppdragen utsätts för en tydligare prövning i flera led. Länsstyrelserna bör fokusera på sin kärnverksamhet – fatta beslut, utarbeta kravspecifikati</w:t>
      </w:r>
      <w:r w:rsidRPr="003F63DB">
        <w:t>o</w:t>
      </w:r>
      <w:r w:rsidRPr="003F63DB">
        <w:t>ner, svara för uppföljning och kontrollera att uppdragen genomförts och rapporterats. Utifrån kravspecifikationer kan exploatörer genomföra en up</w:t>
      </w:r>
      <w:r w:rsidRPr="003F63DB">
        <w:t>p</w:t>
      </w:r>
      <w:r w:rsidRPr="003F63DB">
        <w:t>handling i samråd med länsstyrelsens expertko</w:t>
      </w:r>
      <w:r w:rsidRPr="003F63DB">
        <w:t>m</w:t>
      </w:r>
      <w:r w:rsidRPr="003F63DB">
        <w:t>petens.</w:t>
      </w:r>
    </w:p>
    <w:p w:rsidR="00905B3E" w:rsidRPr="003F63DB" w:rsidRDefault="00905B3E">
      <w:pPr>
        <w:pStyle w:val="Normaltindrag"/>
      </w:pPr>
      <w:r w:rsidRPr="003F63DB">
        <w:rPr>
          <w:i/>
        </w:rPr>
        <w:t>ProfessorKristian Kristiansen</w:t>
      </w:r>
      <w:r w:rsidRPr="003F63DB">
        <w:t xml:space="preserve"> uppger att exploatörerna upphandlar arke</w:t>
      </w:r>
      <w:r w:rsidRPr="003F63DB">
        <w:t>o</w:t>
      </w:r>
      <w:r w:rsidRPr="003F63DB">
        <w:t>logi i flera stora länder. Detta kräver dock att RAÄ och länsstyrelserna stärks för att säkerställa kvalitet och kompetens i förhållande till pris – bl.a. i form av tydliga upphandlings- och metodkriterier. Kristiansen befarar att endast stora exploatörer kan klara upphandlingskravet, t.ex. genom att anlita arke</w:t>
      </w:r>
      <w:r w:rsidRPr="003F63DB">
        <w:t>o</w:t>
      </w:r>
      <w:r w:rsidRPr="003F63DB">
        <w:t xml:space="preserve">logiska konsulter för uppgiften. </w:t>
      </w:r>
    </w:p>
    <w:p w:rsidR="00905B3E" w:rsidRPr="003F63DB" w:rsidRDefault="00905B3E">
      <w:pPr>
        <w:pStyle w:val="Normaltindrag"/>
      </w:pPr>
      <w:r w:rsidRPr="003F63DB">
        <w:rPr>
          <w:i/>
        </w:rPr>
        <w:t>Länsstyrelserna i Uppsala län, Kronobergs län</w:t>
      </w:r>
      <w:r w:rsidRPr="003F63DB">
        <w:t xml:space="preserve">, </w:t>
      </w:r>
      <w:r w:rsidRPr="003F63DB">
        <w:rPr>
          <w:i/>
        </w:rPr>
        <w:t>Gotlands län</w:t>
      </w:r>
      <w:r w:rsidRPr="003F63DB">
        <w:t xml:space="preserve"> och </w:t>
      </w:r>
      <w:r w:rsidRPr="003F63DB">
        <w:rPr>
          <w:i/>
        </w:rPr>
        <w:t>Skåne län</w:t>
      </w:r>
      <w:r w:rsidRPr="003F63DB">
        <w:t xml:space="preserve"> avstyrker förslaget med hänvisning till att upphandling av arkeologiska tjänster är en del av länsstyrelsernas myndighetsutövning. </w:t>
      </w:r>
      <w:r w:rsidRPr="003F63DB">
        <w:rPr>
          <w:i/>
        </w:rPr>
        <w:t xml:space="preserve">Länsstyrelsen i Uppsala län </w:t>
      </w:r>
      <w:r w:rsidRPr="003F63DB">
        <w:t>menar att en exploatör inte kan fatta beslut som innebär my</w:t>
      </w:r>
      <w:r w:rsidRPr="003F63DB">
        <w:t>n</w:t>
      </w:r>
      <w:r w:rsidRPr="003F63DB">
        <w:t xml:space="preserve">dighetsutövning. </w:t>
      </w:r>
      <w:r w:rsidRPr="003F63DB">
        <w:rPr>
          <w:i/>
        </w:rPr>
        <w:t>Länsstyrelsen i Skåne län</w:t>
      </w:r>
      <w:r w:rsidRPr="003F63DB">
        <w:t xml:space="preserve"> uppger att länsstyrelsen granskar undersökarens förslag till kostnader för projektet och att den kostnad som anges i beslutet är en maximal kostnad. Undersökaren ansvarar sedan för att beslutet följs.</w:t>
      </w:r>
    </w:p>
    <w:p w:rsidR="00905B3E" w:rsidRPr="003F63DB" w:rsidRDefault="00905B3E">
      <w:pPr>
        <w:pStyle w:val="Normaltindrag"/>
      </w:pPr>
      <w:r w:rsidRPr="003F63DB">
        <w:rPr>
          <w:i/>
        </w:rPr>
        <w:t xml:space="preserve">Föreningen Sveriges </w:t>
      </w:r>
      <w:r w:rsidRPr="003F63DB">
        <w:rPr>
          <w:i/>
        </w:rPr>
        <w:t>länsantikvarier</w:t>
      </w:r>
      <w:r w:rsidRPr="003F63DB">
        <w:t xml:space="preserve"> anser att exploatörerna inte ensidigt kan ges ansvaret att upphandla arkeologiska utredningar och undersökningar eftersom upphandlingen är en del av myndighetsutövningen. I stället är ett samarbete mellan exploatör och länsstyrelse i upphandlingsförfarandet att föredra. Detta skulle kunna ske i samråd med arkeologiska rådgivare som länsantikvarierna så gott som enhälligt efterlyser som stöd.</w:t>
      </w:r>
    </w:p>
    <w:p w:rsidR="00905B3E" w:rsidRPr="003F63DB" w:rsidRDefault="00905B3E">
      <w:pPr>
        <w:pStyle w:val="Normaltindrag"/>
      </w:pPr>
      <w:r w:rsidRPr="003F63DB">
        <w:rPr>
          <w:i/>
        </w:rPr>
        <w:t>Länsstyrelsen i Västra Götalands län</w:t>
      </w:r>
      <w:r w:rsidRPr="003F63DB">
        <w:t xml:space="preserve"> menar att förslagets syfte är gott. Länsstyrelsen tror dock inte att fler fornlämningar kommer att bevaras g</w:t>
      </w:r>
      <w:r w:rsidRPr="003F63DB">
        <w:t>e</w:t>
      </w:r>
      <w:r w:rsidRPr="003F63DB">
        <w:t xml:space="preserve">nom att exploatörerna ges ansvaret för upphandling. </w:t>
      </w:r>
    </w:p>
    <w:p w:rsidR="00905B3E" w:rsidRPr="003F63DB" w:rsidRDefault="00905B3E">
      <w:pPr>
        <w:pStyle w:val="Normaltindrag"/>
      </w:pPr>
      <w:r w:rsidRPr="003F63DB">
        <w:rPr>
          <w:i/>
        </w:rPr>
        <w:t>Länsstyrelsen i Västernorrlands län</w:t>
      </w:r>
      <w:r w:rsidRPr="003F63DB">
        <w:t xml:space="preserve"> menar att förslagets fördelar är att länsstyrelsernas tillsynsroll kan renodlas och att exploatörernas förståelse för och delaktighet i kulturmiljöarbetet kan öka. Exploatörerna anses dock redan i dag ha möjlighet att påverka valet av undersökare och lämna synpunkter på kostnadsberäkningar. En nackdel med förslaget är att länsstyrelsens helhe</w:t>
      </w:r>
      <w:r w:rsidRPr="003F63DB">
        <w:t>t</w:t>
      </w:r>
      <w:r w:rsidRPr="003F63DB">
        <w:t>s</w:t>
      </w:r>
      <w:r w:rsidRPr="003F63DB">
        <w:softHyphen/>
        <w:t>perspektiv, kontinuitet och kostnadskontroll riskerar att gå förlorad.</w:t>
      </w:r>
    </w:p>
    <w:p w:rsidR="00905B3E" w:rsidRPr="003F63DB" w:rsidRDefault="00905B3E">
      <w:pPr>
        <w:pStyle w:val="Normaltindrag"/>
      </w:pPr>
      <w:r w:rsidRPr="003F63DB">
        <w:rPr>
          <w:i/>
        </w:rPr>
        <w:t>Mitthögskolan</w:t>
      </w:r>
      <w:r w:rsidRPr="003F63DB">
        <w:t xml:space="preserve"> hävdar att upphandling av större och viktigare undersö</w:t>
      </w:r>
      <w:r w:rsidRPr="003F63DB">
        <w:t>k</w:t>
      </w:r>
      <w:r w:rsidRPr="003F63DB">
        <w:t>ningar bör ske i samråd mellan exploatören, den vetenskapliga ledaren och länsstyrelsen. Den vetenskapliga ledaren ska ha inflytande över kravspecif</w:t>
      </w:r>
      <w:r w:rsidRPr="003F63DB">
        <w:t>i</w:t>
      </w:r>
      <w:r w:rsidRPr="003F63DB">
        <w:t>kationen och upprättandet av undersökningsplaner. Vidare måste den vete</w:t>
      </w:r>
      <w:r w:rsidRPr="003F63DB">
        <w:t>n</w:t>
      </w:r>
      <w:r w:rsidRPr="003F63DB">
        <w:t>skapliga ledaren vara delaktig i urvalsprocessen om de arkeologiska result</w:t>
      </w:r>
      <w:r w:rsidRPr="003F63DB">
        <w:t>a</w:t>
      </w:r>
      <w:r w:rsidRPr="003F63DB">
        <w:t>ten ska kunna användas i fors</w:t>
      </w:r>
      <w:r w:rsidRPr="003F63DB">
        <w:t>k</w:t>
      </w:r>
      <w:r w:rsidRPr="003F63DB">
        <w:t xml:space="preserve">ningen. </w:t>
      </w:r>
    </w:p>
    <w:p w:rsidR="00905B3E" w:rsidRPr="003F63DB" w:rsidRDefault="00905B3E">
      <w:pPr>
        <w:pStyle w:val="Normaltindrag"/>
      </w:pPr>
      <w:r w:rsidRPr="003F63DB">
        <w:rPr>
          <w:i/>
        </w:rPr>
        <w:t>Umeå universitet</w:t>
      </w:r>
      <w:r w:rsidRPr="003F63DB">
        <w:t xml:space="preserve"> menar att uppdragsarkeologin är i behov av effektivis</w:t>
      </w:r>
      <w:r w:rsidRPr="003F63DB">
        <w:t>e</w:t>
      </w:r>
      <w:r w:rsidRPr="003F63DB">
        <w:t>ring och kostnadskontroll, men att detta kan åstadkommas utan att exploat</w:t>
      </w:r>
      <w:r w:rsidRPr="003F63DB">
        <w:t>ö</w:t>
      </w:r>
      <w:r w:rsidRPr="003F63DB">
        <w:t>rerna ges ansvaret för upphandlingen. Länsstyrelsernas kravspecifikationer och tillsyn anses inte vara tillräckliga för att bevaka kvalitetsaspekterna. En positiv effekt av förslaget kan vara att exploatörer får större förståelse för det arkeologiska uppdr</w:t>
      </w:r>
      <w:r w:rsidRPr="003F63DB">
        <w:t>a</w:t>
      </w:r>
      <w:r w:rsidRPr="003F63DB">
        <w:t>get.</w:t>
      </w:r>
    </w:p>
    <w:p w:rsidR="00905B3E" w:rsidRPr="003F63DB" w:rsidRDefault="00905B3E">
      <w:pPr>
        <w:pStyle w:val="Normaltindrag"/>
      </w:pPr>
      <w:r w:rsidRPr="003F63DB">
        <w:rPr>
          <w:i/>
        </w:rPr>
        <w:t>Uppsala universitet</w:t>
      </w:r>
      <w:r w:rsidRPr="003F63DB">
        <w:t xml:space="preserve"> menar att exploatörer sannolikt väljer det ekonomiskt mest fördelaktiga alternativet. Det finns därmed risk för att vetenskapliga och allmänhistoriska intressen inte beaktas tillräckligt. Om förslaget genomförs får universiteten en viktig uppgift. Samtidigt måste de auktoriserade unde</w:t>
      </w:r>
      <w:r w:rsidRPr="003F63DB">
        <w:t>r</w:t>
      </w:r>
      <w:r w:rsidRPr="003F63DB">
        <w:t>sökarna ha hög vetenskaplig komp</w:t>
      </w:r>
      <w:r w:rsidRPr="003F63DB">
        <w:t>e</w:t>
      </w:r>
      <w:r w:rsidRPr="003F63DB">
        <w:t>tens.</w:t>
      </w:r>
    </w:p>
    <w:p w:rsidR="00905B3E" w:rsidRPr="003F63DB" w:rsidRDefault="00905B3E">
      <w:pPr>
        <w:pStyle w:val="Normaltindrag"/>
      </w:pPr>
      <w:r w:rsidRPr="003F63DB">
        <w:rPr>
          <w:i/>
        </w:rPr>
        <w:t>Jönköpings läns museum</w:t>
      </w:r>
      <w:r w:rsidRPr="003F63DB">
        <w:t xml:space="preserve"> ser en risk för att exploatörerna kommer att välja anbuden med de lägsta kostnaderna och att kvaliteten därmed blir lägre. Revisorernas förslag kan dock medföra att länsstyrelsen fråntas sin ofta utnyttjade möjlighet att besluta om lägre kostnader än vad undersökaren angivit i undersökningspl</w:t>
      </w:r>
      <w:r w:rsidRPr="003F63DB">
        <w:t>a</w:t>
      </w:r>
      <w:r w:rsidRPr="003F63DB">
        <w:t>nen.</w:t>
      </w:r>
    </w:p>
    <w:p w:rsidR="00905B3E" w:rsidRPr="003F63DB" w:rsidRDefault="00905B3E">
      <w:pPr>
        <w:pStyle w:val="Normaltindrag"/>
      </w:pPr>
      <w:r w:rsidRPr="003F63DB">
        <w:rPr>
          <w:i/>
        </w:rPr>
        <w:t xml:space="preserve">Riksantikvarieämbetet </w:t>
      </w:r>
      <w:r w:rsidRPr="003F63DB">
        <w:t>befarar</w:t>
      </w:r>
      <w:r w:rsidRPr="003F63DB">
        <w:rPr>
          <w:i/>
        </w:rPr>
        <w:t xml:space="preserve"> </w:t>
      </w:r>
      <w:r w:rsidRPr="003F63DB">
        <w:t>att priskonkurrens prioriteras och att kval</w:t>
      </w:r>
      <w:r w:rsidRPr="003F63DB">
        <w:t>i</w:t>
      </w:r>
      <w:r w:rsidRPr="003F63DB">
        <w:t>teten urholkas, även om länsstyrelsen formulerar kravspecifikationen. Fö</w:t>
      </w:r>
      <w:r w:rsidRPr="003F63DB">
        <w:t>r</w:t>
      </w:r>
      <w:r w:rsidRPr="003F63DB">
        <w:t>slaget skulle kräva att exploatörerna besitter arkeologisk kunskap och att de även får ta ansvar för fördyringar av ett uppdrag utöver beslutade kostnader – något som staten i dag ansvarar för. RAÄ betonar att det är samhället som efterfrågar arkeologiska resultat, varför länsstyrelserna har en stark roll som beställare och granskare av kostnader och kvalitet.</w:t>
      </w:r>
    </w:p>
    <w:p w:rsidR="00905B3E" w:rsidRPr="003F63DB" w:rsidRDefault="00905B3E">
      <w:pPr>
        <w:pStyle w:val="Normaltindrag"/>
      </w:pPr>
      <w:r w:rsidRPr="003F63DB">
        <w:t>Även</w:t>
      </w:r>
      <w:r w:rsidRPr="003F63DB">
        <w:rPr>
          <w:i/>
        </w:rPr>
        <w:t xml:space="preserve"> Statens historiska museer (SHMM)</w:t>
      </w:r>
      <w:r w:rsidRPr="003F63DB">
        <w:t xml:space="preserve"> anser att valet av undersökare fortsatt ska ligga på länsstyrelserna; detta för att säkra en hög vetenskaplig ambitionsnivå. Revisorernas förslag skulle sannolikt innebära en betydande belastning och ökade kostnader för i första hand små och medelstora arbet</w:t>
      </w:r>
      <w:r w:rsidRPr="003F63DB">
        <w:t>s</w:t>
      </w:r>
      <w:r w:rsidRPr="003F63DB">
        <w:t>företag. Enligt SHMM måste dock exploatörernas intresse av kostnader och insyn i beslutsprocessen tillvaratas på ett bättre sätt. Regelverket måste fö</w:t>
      </w:r>
      <w:r w:rsidRPr="003F63DB">
        <w:t>r</w:t>
      </w:r>
      <w:r w:rsidRPr="003F63DB">
        <w:t>bättras och kraven på länsstyrelserna skärpas vad gäller tillämpning</w:t>
      </w:r>
      <w:r w:rsidRPr="003F63DB">
        <w:t xml:space="preserve"> av up</w:t>
      </w:r>
      <w:r w:rsidRPr="003F63DB">
        <w:t>p</w:t>
      </w:r>
      <w:r w:rsidRPr="003F63DB">
        <w:t>handlingsliknande förfarande, up</w:t>
      </w:r>
      <w:r w:rsidRPr="003F63DB">
        <w:t>p</w:t>
      </w:r>
      <w:r w:rsidRPr="003F63DB">
        <w:t>följning och tillsyn.</w:t>
      </w:r>
    </w:p>
    <w:p w:rsidR="00905B3E" w:rsidRPr="003F63DB" w:rsidRDefault="00905B3E">
      <w:pPr>
        <w:pStyle w:val="Normaltindrag"/>
      </w:pPr>
      <w:r w:rsidRPr="003F63DB">
        <w:rPr>
          <w:i/>
        </w:rPr>
        <w:t>Angaria AB</w:t>
      </w:r>
      <w:r w:rsidRPr="003F63DB">
        <w:t xml:space="preserve"> och </w:t>
      </w:r>
      <w:r w:rsidRPr="003F63DB">
        <w:rPr>
          <w:i/>
        </w:rPr>
        <w:t>Malmö Kulturmiljö</w:t>
      </w:r>
      <w:r w:rsidRPr="003F63DB">
        <w:t xml:space="preserve"> avstryker förslaget. </w:t>
      </w:r>
      <w:r w:rsidRPr="003F63DB">
        <w:rPr>
          <w:i/>
        </w:rPr>
        <w:t>Malmö Kultu</w:t>
      </w:r>
      <w:r w:rsidRPr="003F63DB">
        <w:rPr>
          <w:i/>
        </w:rPr>
        <w:t>r</w:t>
      </w:r>
      <w:r w:rsidRPr="003F63DB">
        <w:rPr>
          <w:i/>
        </w:rPr>
        <w:t>miljö</w:t>
      </w:r>
      <w:r w:rsidRPr="003F63DB">
        <w:t xml:space="preserve"> menar dock att det vore en fördel om kostnaderna kan göras tydligare för exploatören. Det vore också positivt om det kan klargöras vilka kostnader som faktiskt ska åvila exploatören. </w:t>
      </w:r>
    </w:p>
    <w:p w:rsidR="00905B3E" w:rsidRPr="003F63DB" w:rsidRDefault="00905B3E">
      <w:pPr>
        <w:pStyle w:val="Normaltindrag"/>
      </w:pPr>
      <w:r w:rsidRPr="003F63DB">
        <w:rPr>
          <w:i/>
        </w:rPr>
        <w:t>Svenska Arkeologiska Samfundet</w:t>
      </w:r>
      <w:r w:rsidRPr="003F63DB">
        <w:t xml:space="preserve"> och </w:t>
      </w:r>
      <w:r w:rsidRPr="003F63DB">
        <w:rPr>
          <w:i/>
        </w:rPr>
        <w:t>Länsstyrelsen i Södermanlands län</w:t>
      </w:r>
      <w:r w:rsidRPr="003F63DB">
        <w:t xml:space="preserve"> anser båda att exploatörerna inte kan bedöma det arkeologiska innehållet i anbuden. De offentliga huvudmännens kulturpolitiska engagemang och målsättningar garanterar att undersökningarna utförs med kulturmiljövårdens och den arkeologiska forskningens bästa för ögonen. För ökad insyn i b</w:t>
      </w:r>
      <w:r w:rsidRPr="003F63DB">
        <w:t>e</w:t>
      </w:r>
      <w:r w:rsidRPr="003F63DB">
        <w:t>slutsprocessen, tydligare kravspecifikationer, tillsyn och utvärdering krävs mer resurser till RAÄ och länsstyrelserna och en strategi för hur personalens vetenskapliga kompetens upprä</w:t>
      </w:r>
      <w:r w:rsidRPr="003F63DB">
        <w:t>t</w:t>
      </w:r>
      <w:r w:rsidRPr="003F63DB">
        <w:t>t</w:t>
      </w:r>
      <w:r w:rsidRPr="003F63DB">
        <w:t xml:space="preserve">hålls. </w:t>
      </w:r>
    </w:p>
    <w:p w:rsidR="00905B3E" w:rsidRPr="003F63DB" w:rsidRDefault="00905B3E">
      <w:pPr>
        <w:pStyle w:val="Normaltindrag"/>
      </w:pPr>
      <w:r w:rsidRPr="003F63DB">
        <w:rPr>
          <w:i/>
        </w:rPr>
        <w:t>Västerbottens museum</w:t>
      </w:r>
      <w:r w:rsidRPr="003F63DB">
        <w:t xml:space="preserve"> anser att kulturarvet inte får bli en handelsvara, där ekonomi misstänks gå före kvalitet. En tidig dialog, kravspecifikationer, utrednings- och undersökningsplaner bör ge exploatörer god insyn.</w:t>
      </w:r>
    </w:p>
    <w:p w:rsidR="00905B3E" w:rsidRPr="003F63DB" w:rsidRDefault="00905B3E">
      <w:pPr>
        <w:pStyle w:val="Normaltindrag"/>
      </w:pPr>
      <w:r w:rsidRPr="003F63DB">
        <w:rPr>
          <w:i/>
        </w:rPr>
        <w:t>Västergötlands museum</w:t>
      </w:r>
      <w:r w:rsidRPr="003F63DB">
        <w:t xml:space="preserve"> menar att exploatörerna redan har incitament att ompröva sina planer i ett tidigt skede, men att det i praktiken inte alltid är möjligt att undvika fornlämningar. Museet anser att länsstyrelserna i stället bör få ökade anslag.</w:t>
      </w:r>
    </w:p>
    <w:p w:rsidR="00905B3E" w:rsidRPr="003F63DB" w:rsidRDefault="00905B3E">
      <w:pPr>
        <w:pStyle w:val="Normaltindrag"/>
      </w:pPr>
      <w:r w:rsidRPr="003F63DB">
        <w:rPr>
          <w:i/>
        </w:rPr>
        <w:t>Bohusläns museum</w:t>
      </w:r>
      <w:r w:rsidRPr="003F63DB">
        <w:t xml:space="preserve"> anser att förslaget kräver att länsstyrelserna tar ett ökat ansvar genom att bättre formulera kraven för de arkeologiska undersöknin</w:t>
      </w:r>
      <w:r w:rsidRPr="003F63DB">
        <w:t>g</w:t>
      </w:r>
      <w:r w:rsidRPr="003F63DB">
        <w:t>arna, gärna i samarbete med universitet och högskolor, samt följa upp resu</w:t>
      </w:r>
      <w:r w:rsidRPr="003F63DB">
        <w:t>l</w:t>
      </w:r>
      <w:r w:rsidRPr="003F63DB">
        <w:t>taten. Detta kräver mer resurser till länsstyrelse</w:t>
      </w:r>
      <w:r w:rsidRPr="003F63DB">
        <w:t>r</w:t>
      </w:r>
      <w:r w:rsidRPr="003F63DB">
        <w:t>na.</w:t>
      </w:r>
    </w:p>
    <w:p w:rsidR="00905B3E" w:rsidRPr="003F63DB" w:rsidRDefault="00905B3E">
      <w:pPr>
        <w:pStyle w:val="Normaltindrag"/>
      </w:pPr>
      <w:r w:rsidRPr="003F63DB">
        <w:rPr>
          <w:i/>
        </w:rPr>
        <w:t>DIK-förbundet</w:t>
      </w:r>
      <w:r w:rsidRPr="003F63DB">
        <w:t xml:space="preserve"> anser förslaget rimligt under förutsättning att länsstyrelse</w:t>
      </w:r>
      <w:r w:rsidRPr="003F63DB">
        <w:t>r</w:t>
      </w:r>
      <w:r w:rsidRPr="003F63DB">
        <w:t>na får ett avgörande inflytande och vetorätt samt tillräckliga resurser för uppgiften. En granskning av anbuden mot kravspecifikationen kan göras innan exploatören utser undersökare eller efter det att exploatören gjort sitt val. I vilken utsträckning små exploatörer kan och vill sköta upphandlingen och om förslaget leder till kostnadsbesparingar bör bli föremål för analys.</w:t>
      </w:r>
    </w:p>
    <w:p w:rsidR="00905B3E" w:rsidRPr="003F63DB" w:rsidRDefault="00905B3E">
      <w:pPr>
        <w:pStyle w:val="Normaltindrag"/>
      </w:pPr>
      <w:r w:rsidRPr="003F63DB">
        <w:rPr>
          <w:i/>
        </w:rPr>
        <w:t xml:space="preserve">Wallin kulturlandskap och arkeologi </w:t>
      </w:r>
      <w:r w:rsidRPr="003F63DB">
        <w:t>anser att exploatörerna varken har kompetens eller motiv att upphandla arkeologi. Samtidigt framhåller Wallin att privata, kommunala och statliga exploatörer har visat ökat intresse för företagets tjänster. Wallin ser gärna att exploatörerna inte godkänner faktur</w:t>
      </w:r>
      <w:r w:rsidRPr="003F63DB">
        <w:t>e</w:t>
      </w:r>
      <w:r w:rsidRPr="003F63DB">
        <w:t>ring av rapportkostnader innan ra</w:t>
      </w:r>
      <w:r w:rsidRPr="003F63DB">
        <w:t>p</w:t>
      </w:r>
      <w:r w:rsidRPr="003F63DB">
        <w:t xml:space="preserve">porten är klar. </w:t>
      </w:r>
    </w:p>
    <w:p w:rsidR="00905B3E" w:rsidRPr="003F63DB" w:rsidRDefault="00905B3E">
      <w:pPr>
        <w:pStyle w:val="RubrikUtanNr2"/>
      </w:pPr>
      <w:bookmarkStart w:id="179" w:name="_Toc35833474"/>
      <w:bookmarkStart w:id="180" w:name="_Toc36520786"/>
      <w:r w:rsidRPr="003F63DB">
        <w:t>Kraven på kompetens är höga</w:t>
      </w:r>
      <w:bookmarkEnd w:id="179"/>
      <w:bookmarkEnd w:id="180"/>
    </w:p>
    <w:p w:rsidR="00905B3E" w:rsidRPr="003F63DB" w:rsidRDefault="00905B3E">
      <w:pPr>
        <w:numPr>
          <w:ilvl w:val="0"/>
          <w:numId w:val="12"/>
        </w:numPr>
      </w:pPr>
      <w:r w:rsidRPr="003F63DB">
        <w:t>Revisorerna föreslog i rapporten att Riksantikvarieämbetet (RAÄ) får i uppdrag att auktorisera arkeologer.</w:t>
      </w:r>
    </w:p>
    <w:p w:rsidR="00905B3E" w:rsidRPr="003F63DB" w:rsidRDefault="00905B3E">
      <w:pPr>
        <w:spacing w:before="80"/>
      </w:pPr>
      <w:r w:rsidRPr="003F63DB">
        <w:rPr>
          <w:i/>
        </w:rPr>
        <w:t>Statskontoret, Uppsala universitet</w:t>
      </w:r>
      <w:r w:rsidRPr="003F63DB">
        <w:t xml:space="preserve">, </w:t>
      </w:r>
      <w:r w:rsidRPr="003F63DB">
        <w:rPr>
          <w:i/>
        </w:rPr>
        <w:t>Banverket</w:t>
      </w:r>
      <w:r w:rsidRPr="003F63DB">
        <w:t>,</w:t>
      </w:r>
      <w:r w:rsidRPr="003F63DB">
        <w:rPr>
          <w:i/>
        </w:rPr>
        <w:t xml:space="preserve"> Konkurrensverket </w:t>
      </w:r>
      <w:r w:rsidRPr="003F63DB">
        <w:t>och</w:t>
      </w:r>
      <w:r w:rsidRPr="003F63DB">
        <w:rPr>
          <w:i/>
        </w:rPr>
        <w:t xml:space="preserve"> profe</w:t>
      </w:r>
      <w:r w:rsidRPr="003F63DB">
        <w:rPr>
          <w:i/>
        </w:rPr>
        <w:t>s</w:t>
      </w:r>
      <w:r w:rsidRPr="003F63DB">
        <w:rPr>
          <w:i/>
        </w:rPr>
        <w:t>sor</w:t>
      </w:r>
      <w:r w:rsidRPr="003F63DB">
        <w:t xml:space="preserve"> </w:t>
      </w:r>
      <w:r w:rsidRPr="003F63DB">
        <w:rPr>
          <w:i/>
        </w:rPr>
        <w:t>Kristian Kristiansen</w:t>
      </w:r>
      <w:r w:rsidRPr="003F63DB">
        <w:t xml:space="preserve"> tillstyrker förslaget utan närmare ko</w:t>
      </w:r>
      <w:r w:rsidRPr="003F63DB">
        <w:t>m</w:t>
      </w:r>
      <w:r w:rsidRPr="003F63DB">
        <w:t>mentarer.</w:t>
      </w:r>
    </w:p>
    <w:p w:rsidR="00905B3E" w:rsidRPr="003F63DB" w:rsidRDefault="00905B3E">
      <w:pPr>
        <w:pStyle w:val="Normaltindrag"/>
      </w:pPr>
      <w:r w:rsidRPr="003F63DB">
        <w:rPr>
          <w:i/>
        </w:rPr>
        <w:t>Vägverket</w:t>
      </w:r>
      <w:r w:rsidRPr="003F63DB">
        <w:t xml:space="preserve"> framhåller att auktorisation av utförare skulle underlätta värd</w:t>
      </w:r>
      <w:r w:rsidRPr="003F63DB">
        <w:t>e</w:t>
      </w:r>
      <w:r w:rsidRPr="003F63DB">
        <w:t>ringen av anbud. En förutsättning är dock att antalet auktoriserade utförare inte blir alltför begränsat.</w:t>
      </w:r>
    </w:p>
    <w:p w:rsidR="00905B3E" w:rsidRPr="003F63DB" w:rsidRDefault="00905B3E">
      <w:pPr>
        <w:pStyle w:val="Normaltindrag"/>
      </w:pPr>
      <w:r w:rsidRPr="003F63DB">
        <w:t>Enligt</w:t>
      </w:r>
      <w:r w:rsidRPr="003F63DB">
        <w:rPr>
          <w:i/>
        </w:rPr>
        <w:t xml:space="preserve"> Länsstyrelsen i Stockholms län </w:t>
      </w:r>
      <w:r w:rsidRPr="003F63DB">
        <w:t xml:space="preserve">kan en auktorisation tydliggöra vilka krav som ska ställas på utbildning och erfarenhet. Länsstyrelsen anser att förslaget bör utredas närmare. </w:t>
      </w:r>
    </w:p>
    <w:p w:rsidR="00905B3E" w:rsidRPr="003F63DB" w:rsidRDefault="00905B3E">
      <w:pPr>
        <w:pStyle w:val="Normaltindrag"/>
      </w:pPr>
      <w:r w:rsidRPr="003F63DB">
        <w:t xml:space="preserve">Även </w:t>
      </w:r>
      <w:r w:rsidRPr="003F63DB">
        <w:rPr>
          <w:i/>
        </w:rPr>
        <w:t>Länsstyrelsen i Kronobergs län</w:t>
      </w:r>
      <w:r w:rsidRPr="003F63DB">
        <w:t xml:space="preserve"> anser att förslagets syfte är bra, men att det bör utredas närmare. Länsstyrelsen ifrågasätter om Riksantikvarieä</w:t>
      </w:r>
      <w:r w:rsidRPr="003F63DB">
        <w:t>m</w:t>
      </w:r>
      <w:r w:rsidRPr="003F63DB">
        <w:t>betet är bäst lämpat att genomföra auktorisationen. Länsstyrelsen förordar en framtida branschorganisation för en sådan up</w:t>
      </w:r>
      <w:r w:rsidRPr="003F63DB">
        <w:t>p</w:t>
      </w:r>
      <w:r w:rsidRPr="003F63DB">
        <w:t>gift.</w:t>
      </w:r>
    </w:p>
    <w:p w:rsidR="00905B3E" w:rsidRPr="003F63DB" w:rsidRDefault="00905B3E">
      <w:pPr>
        <w:pStyle w:val="Normaltindrag"/>
      </w:pPr>
      <w:r w:rsidRPr="003F63DB">
        <w:rPr>
          <w:i/>
        </w:rPr>
        <w:t>Länsstyrelsen i Västra Götalands län</w:t>
      </w:r>
      <w:r w:rsidRPr="003F63DB">
        <w:t xml:space="preserve"> ser endast fördelar med ett system med auktoriserade arkeologer. Länsstyrelsen framhåller dock att kravet på regional kompetens inte kan avfä</w:t>
      </w:r>
      <w:r w:rsidRPr="003F63DB">
        <w:t>r</w:t>
      </w:r>
      <w:r w:rsidRPr="003F63DB">
        <w:t>das på de grunder revisorerna anfört.</w:t>
      </w:r>
    </w:p>
    <w:p w:rsidR="00905B3E" w:rsidRPr="003F63DB" w:rsidRDefault="00905B3E">
      <w:pPr>
        <w:pStyle w:val="Normaltindrag"/>
      </w:pPr>
      <w:r w:rsidRPr="003F63DB">
        <w:rPr>
          <w:i/>
        </w:rPr>
        <w:t>Umeå universitet</w:t>
      </w:r>
      <w:r w:rsidRPr="003F63DB">
        <w:t xml:space="preserve"> menar att ett auktorisationsförfarande förutsätter att det finns detaljerade kriterier och konsensus i arkeologsamhället för hur auktor</w:t>
      </w:r>
      <w:r w:rsidRPr="003F63DB">
        <w:t>i</w:t>
      </w:r>
      <w:r w:rsidRPr="003F63DB">
        <w:t>sationen ska organiseras och följas upp. En bred arkeologisk kompetens bör vara utslagsgivande för auktorisation. Regional kompetens ska tas till vara, men måste balanseras mot behovet av ett övergripande nationellt och kanske även internationellt vetenskapligt perspektiv på förhistorien. Umeå univers</w:t>
      </w:r>
      <w:r w:rsidRPr="003F63DB">
        <w:t>i</w:t>
      </w:r>
      <w:r w:rsidRPr="003F63DB">
        <w:t>tet ifrågasätter om RAÄ har kompetens och förtroende för att ensam utfär</w:t>
      </w:r>
      <w:r w:rsidRPr="003F63DB">
        <w:t xml:space="preserve">da auktorisationen. </w:t>
      </w:r>
    </w:p>
    <w:p w:rsidR="00905B3E" w:rsidRPr="003F63DB" w:rsidRDefault="00905B3E">
      <w:pPr>
        <w:pStyle w:val="Normaltindrag"/>
      </w:pPr>
      <w:r w:rsidRPr="003F63DB">
        <w:t xml:space="preserve">Även </w:t>
      </w:r>
      <w:r w:rsidRPr="003F63DB">
        <w:rPr>
          <w:i/>
        </w:rPr>
        <w:t>Mitthögskolan</w:t>
      </w:r>
      <w:r w:rsidRPr="003F63DB">
        <w:t xml:space="preserve"> invänder mot att RAÄ ensamt ska ansvara för en auktorisation. Myndighetens syn på fältarbete är inte den enda. Mitthögsk</w:t>
      </w:r>
      <w:r w:rsidRPr="003F63DB">
        <w:t>o</w:t>
      </w:r>
      <w:r w:rsidRPr="003F63DB">
        <w:t>lan förordar att en certifieringsgrupp utses med representanter från univers</w:t>
      </w:r>
      <w:r w:rsidRPr="003F63DB">
        <w:t>i</w:t>
      </w:r>
      <w:r w:rsidRPr="003F63DB">
        <w:t>tet och högskolor, RAÄ, länsmuseer och privata företag. Gruppen bör utfärda certifikat till arkeologer med kompetens och erfarenhet av att leda och genomföra arke</w:t>
      </w:r>
      <w:r w:rsidRPr="003F63DB">
        <w:t>o</w:t>
      </w:r>
      <w:r w:rsidRPr="003F63DB">
        <w:t>logiska uppdrag.</w:t>
      </w:r>
    </w:p>
    <w:p w:rsidR="00905B3E" w:rsidRPr="003F63DB" w:rsidRDefault="00905B3E">
      <w:pPr>
        <w:pStyle w:val="Normaltindrag"/>
      </w:pPr>
      <w:r w:rsidRPr="003F63DB">
        <w:rPr>
          <w:i/>
        </w:rPr>
        <w:t>Angaria AB</w:t>
      </w:r>
      <w:r w:rsidRPr="003F63DB">
        <w:t xml:space="preserve"> ser att det kan finnas behov av en auktorisation, men menar att auktorisationen bör utfärdas av företrädare för universitet och högskolor samt de olika aktörer som bedriver uppdragsarkeologi. Angaria AB är tveksamt till att en auktorisation ska gälla arkeologer i allmänhet. Höga krav bör stä</w:t>
      </w:r>
      <w:r w:rsidRPr="003F63DB">
        <w:t>l</w:t>
      </w:r>
      <w:r w:rsidRPr="003F63DB">
        <w:t xml:space="preserve">las särskilt på undersökningsledare. </w:t>
      </w:r>
    </w:p>
    <w:p w:rsidR="00905B3E" w:rsidRPr="003F63DB" w:rsidRDefault="00905B3E">
      <w:pPr>
        <w:pStyle w:val="Normaltindrag"/>
      </w:pPr>
      <w:r w:rsidRPr="003F63DB">
        <w:rPr>
          <w:i/>
        </w:rPr>
        <w:t>Arkeologikonsult AB</w:t>
      </w:r>
      <w:r w:rsidRPr="003F63DB">
        <w:t xml:space="preserve"> påtalar att frågan om auktorisation är komplicerad och förordar att den utreds utifrån ett europeiskt perspektiv. Om europeiska auktorisationsmyndigheter ställer olika krav kan detta komma att hämma den fria rörligheten inom EU. Arkeologikonsult betonar att en auktorisation måste kunna utfärdas snabbt, exempelvis när en undersökare vill anlita en undersökningsledare från ett nordiskt gran</w:t>
      </w:r>
      <w:r w:rsidRPr="003F63DB">
        <w:t>n</w:t>
      </w:r>
      <w:r w:rsidRPr="003F63DB">
        <w:t>land.</w:t>
      </w:r>
    </w:p>
    <w:p w:rsidR="00905B3E" w:rsidRPr="003F63DB" w:rsidRDefault="00905B3E">
      <w:pPr>
        <w:pStyle w:val="Normaltindrag"/>
      </w:pPr>
      <w:r w:rsidRPr="003F63DB">
        <w:rPr>
          <w:i/>
        </w:rPr>
        <w:t>Societas Archaeologica Upsaliensis (SAU)</w:t>
      </w:r>
      <w:r w:rsidRPr="003F63DB">
        <w:t xml:space="preserve"> anser att auktorisation på sikt bör kopplas till en universitetsutbildning – exempelvis en magisterexamen –förenad med praktik- eller AT-tjänst på auktoriserat grävföretag, föremå</w:t>
      </w:r>
      <w:r w:rsidRPr="003F63DB">
        <w:t>l</w:t>
      </w:r>
      <w:r w:rsidRPr="003F63DB">
        <w:t>s</w:t>
      </w:r>
      <w:r w:rsidRPr="003F63DB">
        <w:softHyphen/>
        <w:t>vårdande museum, förmedlande museum och länsstyrelse. Auktorisationen bör ses som en fråga om både utbildnings- och företagskval</w:t>
      </w:r>
      <w:r w:rsidRPr="003F63DB">
        <w:t>i</w:t>
      </w:r>
      <w:r w:rsidRPr="003F63DB">
        <w:t>tet.</w:t>
      </w:r>
    </w:p>
    <w:p w:rsidR="00905B3E" w:rsidRPr="003F63DB" w:rsidRDefault="00905B3E">
      <w:pPr>
        <w:pStyle w:val="Normaltindrag"/>
      </w:pPr>
      <w:r w:rsidRPr="003F63DB">
        <w:rPr>
          <w:i/>
        </w:rPr>
        <w:t>Svenska Arkeologiska Samfundet</w:t>
      </w:r>
      <w:r w:rsidRPr="003F63DB">
        <w:t xml:space="preserve"> instämmer i uppfattningen att det ska ställas höga krav på uppdragsarkeologer, men ser inte att kompetensen nö</w:t>
      </w:r>
      <w:r w:rsidRPr="003F63DB">
        <w:t>d</w:t>
      </w:r>
      <w:r w:rsidRPr="003F63DB">
        <w:t>vändigtvis ökar genom att aktörskretsen vidgas. Samfundet menar att det är oklart om det är fältarkeologerna eller företagen som bör auktoriseras. En utfärdad auktorisation kan behöva omprövas allt eftersom arkeologin u</w:t>
      </w:r>
      <w:r w:rsidRPr="003F63DB">
        <w:t>t</w:t>
      </w:r>
      <w:r w:rsidRPr="003F63DB">
        <w:t>vecklas vetenskapligt, tekniskt och applikationsmä</w:t>
      </w:r>
      <w:r w:rsidRPr="003F63DB">
        <w:t>s</w:t>
      </w:r>
      <w:r w:rsidRPr="003F63DB">
        <w:t>sigt.</w:t>
      </w:r>
    </w:p>
    <w:p w:rsidR="00905B3E" w:rsidRPr="003F63DB" w:rsidRDefault="00905B3E">
      <w:pPr>
        <w:pStyle w:val="Normaltindrag"/>
      </w:pPr>
      <w:r w:rsidRPr="003F63DB">
        <w:rPr>
          <w:i/>
        </w:rPr>
        <w:t>DIK-förbundet</w:t>
      </w:r>
      <w:r w:rsidRPr="003F63DB">
        <w:t xml:space="preserve"> anser att förslaget är intressant och bör utvecklas. Förbu</w:t>
      </w:r>
      <w:r w:rsidRPr="003F63DB">
        <w:t>n</w:t>
      </w:r>
      <w:r w:rsidRPr="003F63DB">
        <w:t>det ser helst att företrädare för branschen tillsammans analyserar och diskut</w:t>
      </w:r>
      <w:r w:rsidRPr="003F63DB">
        <w:t>e</w:t>
      </w:r>
      <w:r w:rsidRPr="003F63DB">
        <w:t>rar förutsättningarna för och finansieringen av en auktorisation. Frågor som bör diskuteras är vilka meriter som ska ligga till grund för en auktorisation och vilka arkeologer som ska auktoriseras – alla arkeologer, arkeologer ver</w:t>
      </w:r>
      <w:r w:rsidRPr="003F63DB">
        <w:t>k</w:t>
      </w:r>
      <w:r w:rsidRPr="003F63DB">
        <w:t>samma inom uppdragsa</w:t>
      </w:r>
      <w:r w:rsidRPr="003F63DB">
        <w:t>r</w:t>
      </w:r>
      <w:r w:rsidRPr="003F63DB">
        <w:t xml:space="preserve">keologin eller endast undersökningsledare. </w:t>
      </w:r>
    </w:p>
    <w:p w:rsidR="00905B3E" w:rsidRPr="003F63DB" w:rsidRDefault="00905B3E">
      <w:pPr>
        <w:pStyle w:val="Normaltindrag"/>
      </w:pPr>
      <w:r w:rsidRPr="003F63DB">
        <w:rPr>
          <w:i/>
        </w:rPr>
        <w:t>Västerbottens museum</w:t>
      </w:r>
      <w:r w:rsidRPr="003F63DB">
        <w:t xml:space="preserve"> är positivt till förslaget, men menar att det måste specificeras. Bedömningen av vilka personer som är lämpliga och komp</w:t>
      </w:r>
      <w:r w:rsidRPr="003F63DB">
        <w:t>e</w:t>
      </w:r>
      <w:r w:rsidRPr="003F63DB">
        <w:t>tenta att utföra arkeologiska uppdrag utförs bäst av de regionala aktörerna inom uppdragsarkeologin.</w:t>
      </w:r>
    </w:p>
    <w:p w:rsidR="00905B3E" w:rsidRPr="003F63DB" w:rsidRDefault="00905B3E">
      <w:pPr>
        <w:pStyle w:val="Normaltindrag"/>
      </w:pPr>
      <w:r w:rsidRPr="003F63DB">
        <w:rPr>
          <w:i/>
        </w:rPr>
        <w:t xml:space="preserve">Föreningen Sveriges länsantikvarier </w:t>
      </w:r>
      <w:r w:rsidRPr="003F63DB">
        <w:t>anser att RAÄ och länsstyrelserna gemensamt bör stå för ett auktorisationsförfarande, vars former bör utredas närmare. Föreningen framhåller att länsstyrelserna redan i dag ska begära en redovisning av undersökarens samlade arkeologiska kompetens och ställa krav på enskilda arkeologers erfarenhet och komp</w:t>
      </w:r>
      <w:r w:rsidRPr="003F63DB">
        <w:t>e</w:t>
      </w:r>
      <w:r w:rsidRPr="003F63DB">
        <w:t>tens.</w:t>
      </w:r>
    </w:p>
    <w:p w:rsidR="00905B3E" w:rsidRPr="003F63DB" w:rsidRDefault="00905B3E">
      <w:pPr>
        <w:pStyle w:val="Normaltindrag"/>
      </w:pPr>
      <w:r w:rsidRPr="003F63DB">
        <w:rPr>
          <w:i/>
        </w:rPr>
        <w:t>Länsstyrelsen i Uppsala län</w:t>
      </w:r>
      <w:r w:rsidRPr="003F63DB">
        <w:t xml:space="preserve"> anser inte att enskilda arkeologer ska auktor</w:t>
      </w:r>
      <w:r w:rsidRPr="003F63DB">
        <w:t>i</w:t>
      </w:r>
      <w:r w:rsidRPr="003F63DB">
        <w:t>seras. RAÄ kan däremot få i uppdrag att auktorisera arkeologiföretag. För</w:t>
      </w:r>
      <w:r w:rsidRPr="003F63DB">
        <w:t>e</w:t>
      </w:r>
      <w:r w:rsidRPr="003F63DB">
        <w:t>tagen kan förändras vad gäller organisation och vetenskaplig kompetens. Vad gäller de institutionsanknutna undersökarna anser länsstyrelsen att det är upp till dessa att fastställa krav för deltagande i undersö</w:t>
      </w:r>
      <w:r w:rsidRPr="003F63DB">
        <w:t>k</w:t>
      </w:r>
      <w:r w:rsidRPr="003F63DB">
        <w:t>ningarna.</w:t>
      </w:r>
    </w:p>
    <w:p w:rsidR="00905B3E" w:rsidRPr="003F63DB" w:rsidRDefault="00905B3E">
      <w:pPr>
        <w:pStyle w:val="Normaltindrag"/>
      </w:pPr>
      <w:r w:rsidRPr="003F63DB">
        <w:rPr>
          <w:i/>
        </w:rPr>
        <w:t>Länsstyrelsen i Gotlands län</w:t>
      </w:r>
      <w:r w:rsidRPr="003F63DB">
        <w:t xml:space="preserve"> avstyrker förslaget och menar att länsstyre</w:t>
      </w:r>
      <w:r w:rsidRPr="003F63DB">
        <w:t>l</w:t>
      </w:r>
      <w:r w:rsidRPr="003F63DB">
        <w:t>serna fortsättningsvis ska pröva undersökarnas lämplighet och kompetens. Om ett nationellt auktorisationsförfarande införs bör detta riktas mot unde</w:t>
      </w:r>
      <w:r w:rsidRPr="003F63DB">
        <w:t>r</w:t>
      </w:r>
      <w:r w:rsidRPr="003F63DB">
        <w:t>sökande organisationer, inte mot enskilda arkeologer. Länsstyrelsen menar att det är viktigt att då även utreda om ett nationellt auktorisationsförfarande är ko</w:t>
      </w:r>
      <w:r w:rsidRPr="003F63DB">
        <w:t>n</w:t>
      </w:r>
      <w:r w:rsidRPr="003F63DB">
        <w:t>kurrens</w:t>
      </w:r>
      <w:r w:rsidRPr="003F63DB">
        <w:softHyphen/>
        <w:t xml:space="preserve">hämmande och strider mot EU-regler. </w:t>
      </w:r>
    </w:p>
    <w:p w:rsidR="00905B3E" w:rsidRPr="003F63DB" w:rsidRDefault="00905B3E">
      <w:pPr>
        <w:pStyle w:val="Normaltindrag"/>
      </w:pPr>
      <w:r w:rsidRPr="003F63DB">
        <w:rPr>
          <w:i/>
        </w:rPr>
        <w:t>Länsstyrelsen i Skåne län</w:t>
      </w:r>
      <w:r w:rsidRPr="003F63DB">
        <w:t xml:space="preserve"> ifrågasätter behovet av auktorisation. Om aukt</w:t>
      </w:r>
      <w:r w:rsidRPr="003F63DB">
        <w:t>o</w:t>
      </w:r>
      <w:r w:rsidRPr="003F63DB">
        <w:t>risation införs bör den utfärdas för de undersökande organisationerna.</w:t>
      </w:r>
    </w:p>
    <w:p w:rsidR="00905B3E" w:rsidRPr="003F63DB" w:rsidRDefault="00905B3E">
      <w:pPr>
        <w:pStyle w:val="Normaltindrag"/>
      </w:pPr>
      <w:r w:rsidRPr="003F63DB">
        <w:rPr>
          <w:i/>
        </w:rPr>
        <w:t>Länsstyrelsen i Västernorrlands län</w:t>
      </w:r>
      <w:r w:rsidRPr="003F63DB">
        <w:t xml:space="preserve"> gör bedömningen att inte bara enski</w:t>
      </w:r>
      <w:r w:rsidRPr="003F63DB">
        <w:t>l</w:t>
      </w:r>
      <w:r w:rsidRPr="003F63DB">
        <w:t>da arkeologer, utan också de undersökande institutionernas kompetens, org</w:t>
      </w:r>
      <w:r w:rsidRPr="003F63DB">
        <w:t>a</w:t>
      </w:r>
      <w:r w:rsidRPr="003F63DB">
        <w:t>nisation och erfarenhet är av betydelse. I dag gör länsstyrelsen en sådan prövning i samband med val av undersök</w:t>
      </w:r>
      <w:r w:rsidRPr="003F63DB">
        <w:t>a</w:t>
      </w:r>
      <w:r w:rsidRPr="003F63DB">
        <w:t>re.</w:t>
      </w:r>
    </w:p>
    <w:p w:rsidR="00905B3E" w:rsidRPr="003F63DB" w:rsidRDefault="00905B3E">
      <w:pPr>
        <w:pStyle w:val="Normaltindrag"/>
      </w:pPr>
      <w:r w:rsidRPr="003F63DB">
        <w:rPr>
          <w:i/>
        </w:rPr>
        <w:t>Västergötlands museum</w:t>
      </w:r>
      <w:r w:rsidRPr="003F63DB">
        <w:t xml:space="preserve"> och </w:t>
      </w:r>
      <w:r w:rsidRPr="003F63DB">
        <w:rPr>
          <w:i/>
        </w:rPr>
        <w:t>Bohusläns museum</w:t>
      </w:r>
      <w:r w:rsidRPr="003F63DB">
        <w:t xml:space="preserve"> förordar auktorisation av undersökande organisationer framför enskilda personer. </w:t>
      </w:r>
      <w:r w:rsidRPr="003F63DB">
        <w:rPr>
          <w:i/>
        </w:rPr>
        <w:t>Bohusläns museum</w:t>
      </w:r>
      <w:r w:rsidRPr="003F63DB">
        <w:t xml:space="preserve"> framhåller att det utöver arkeologernas skicklighet krävs institutionell ko</w:t>
      </w:r>
      <w:r w:rsidRPr="003F63DB">
        <w:t>m</w:t>
      </w:r>
      <w:r w:rsidRPr="003F63DB">
        <w:t>petens för att hantera stora undersökningar organisatoriskt och administrativt. Fältarkeologer i arbetsledande ställning bör ha arbetat länge på samma inst</w:t>
      </w:r>
      <w:r w:rsidRPr="003F63DB">
        <w:t>i</w:t>
      </w:r>
      <w:r w:rsidRPr="003F63DB">
        <w:t>tution och vara förtrogna med regi</w:t>
      </w:r>
      <w:r w:rsidRPr="003F63DB">
        <w:t>o</w:t>
      </w:r>
      <w:r w:rsidRPr="003F63DB">
        <w:t>nen.</w:t>
      </w:r>
    </w:p>
    <w:p w:rsidR="00905B3E" w:rsidRPr="003F63DB" w:rsidRDefault="00905B3E">
      <w:pPr>
        <w:pStyle w:val="Normaltindrag"/>
      </w:pPr>
      <w:r w:rsidRPr="003F63DB">
        <w:t>Enligt</w:t>
      </w:r>
      <w:r w:rsidRPr="003F63DB">
        <w:rPr>
          <w:i/>
        </w:rPr>
        <w:t xml:space="preserve"> Jönköpings läns museum </w:t>
      </w:r>
      <w:r w:rsidRPr="003F63DB">
        <w:t>skulle ett auktorisations</w:t>
      </w:r>
      <w:r w:rsidRPr="003F63DB">
        <w:softHyphen/>
        <w:t>system medföra kostnader för RAÄ. Bättre vore att länsstyrelserna får stöd i sina bedömnin</w:t>
      </w:r>
      <w:r w:rsidRPr="003F63DB">
        <w:t>g</w:t>
      </w:r>
      <w:r w:rsidRPr="003F63DB">
        <w:t>ar av undersökarnas lämplighet och kompetens. Om auktorisation införs vore det enligt museets mening lämpligare att auktorisera undersökande organis</w:t>
      </w:r>
      <w:r w:rsidRPr="003F63DB">
        <w:t>a</w:t>
      </w:r>
      <w:r w:rsidRPr="003F63DB">
        <w:t>tioner och företag än enskilda arkeol</w:t>
      </w:r>
      <w:r w:rsidRPr="003F63DB">
        <w:t>o</w:t>
      </w:r>
      <w:r w:rsidRPr="003F63DB">
        <w:t xml:space="preserve">ger. </w:t>
      </w:r>
    </w:p>
    <w:p w:rsidR="00905B3E" w:rsidRPr="003F63DB" w:rsidRDefault="00905B3E">
      <w:pPr>
        <w:pStyle w:val="Normaltindrag"/>
      </w:pPr>
      <w:r w:rsidRPr="003F63DB">
        <w:rPr>
          <w:i/>
        </w:rPr>
        <w:t>Riksantikvarieämbetet</w:t>
      </w:r>
      <w:r w:rsidRPr="003F63DB">
        <w:t xml:space="preserve"> förordar nuvarande ordning där länsstyrelserna i varje enskilt ärende bedömer en undersökares lämplighet med hjälp av RAÄ:s föreskrifter och allmänna råd. En enskild arkeologs specifika ko</w:t>
      </w:r>
      <w:r w:rsidRPr="003F63DB">
        <w:t>m</w:t>
      </w:r>
      <w:r w:rsidRPr="003F63DB">
        <w:t>petens garanterar inte att ett arkeologiföretag uppfyller kraven på lämplighet och kompetens för ett visst up</w:t>
      </w:r>
      <w:r w:rsidRPr="003F63DB">
        <w:t>p</w:t>
      </w:r>
      <w:r w:rsidRPr="003F63DB">
        <w:t>drag.</w:t>
      </w:r>
    </w:p>
    <w:p w:rsidR="00905B3E" w:rsidRPr="003F63DB" w:rsidRDefault="00905B3E">
      <w:pPr>
        <w:pStyle w:val="Normaltindrag"/>
      </w:pPr>
      <w:r w:rsidRPr="003F63DB">
        <w:rPr>
          <w:i/>
        </w:rPr>
        <w:t xml:space="preserve">Statens historiska museer (SHMM) </w:t>
      </w:r>
      <w:r w:rsidRPr="003F63DB">
        <w:t>avstyrker förslaget och menar att ett auktorisationssystem skulle innebära ökade kostnader och administration. Länsstyrelserna har ändå det avgörande inflytandet över hur och av vem en undersökning ska genomföras. Krav på ekonomi och adekvat utrustning kan enligt SHMM knappast beaktas vid ett auktorisationsförf</w:t>
      </w:r>
      <w:r w:rsidRPr="003F63DB">
        <w:t>a</w:t>
      </w:r>
      <w:r w:rsidRPr="003F63DB">
        <w:t>rande.</w:t>
      </w:r>
    </w:p>
    <w:p w:rsidR="00905B3E" w:rsidRPr="003F63DB" w:rsidRDefault="00905B3E">
      <w:pPr>
        <w:pStyle w:val="Normaltindrag"/>
      </w:pPr>
      <w:r w:rsidRPr="003F63DB">
        <w:rPr>
          <w:i/>
        </w:rPr>
        <w:t>Malmö Kulturmiljö</w:t>
      </w:r>
      <w:r w:rsidRPr="003F63DB">
        <w:t xml:space="preserve"> anser att förslaget är oklart och menar att revisorerna inte har beaktat relationen mellan den enskilde arkeologens anställning och arbetsgivarens ansvar. Förslaget bör enligt Malmö Kulturmiljö utredas.</w:t>
      </w:r>
    </w:p>
    <w:p w:rsidR="00905B3E" w:rsidRPr="003F63DB" w:rsidRDefault="00905B3E">
      <w:pPr>
        <w:pStyle w:val="Normaltindrag"/>
      </w:pPr>
      <w:r w:rsidRPr="003F63DB">
        <w:rPr>
          <w:i/>
        </w:rPr>
        <w:t>Wallin kulturlandskap och arkeologi</w:t>
      </w:r>
      <w:r w:rsidRPr="003F63DB">
        <w:t xml:space="preserve"> anser att länsstyrelsernas erfarenheter av de olika undersökarna bör vara tillräckligt. Wallin menar att det med hänsyn till Riksantikvarieämbetets skeptiska inställning till privata unders</w:t>
      </w:r>
      <w:r w:rsidRPr="003F63DB">
        <w:t>ö</w:t>
      </w:r>
      <w:r w:rsidRPr="003F63DB">
        <w:t xml:space="preserve">kare är tveksamt om myndigheten är lämpad att utfärda auktorisation. </w:t>
      </w:r>
    </w:p>
    <w:p w:rsidR="00905B3E" w:rsidRPr="003F63DB" w:rsidRDefault="00905B3E">
      <w:pPr>
        <w:pStyle w:val="Rubrik2-Utannumrering"/>
      </w:pPr>
      <w:bookmarkStart w:id="181" w:name="_Toc35833475"/>
      <w:bookmarkStart w:id="182" w:name="_Toc36520787"/>
      <w:r w:rsidRPr="003F63DB">
        <w:t>Det saknas aktiva mottagare av resultaten</w:t>
      </w:r>
      <w:bookmarkEnd w:id="181"/>
      <w:bookmarkEnd w:id="182"/>
    </w:p>
    <w:p w:rsidR="00905B3E" w:rsidRPr="003F63DB" w:rsidRDefault="00905B3E">
      <w:pPr>
        <w:numPr>
          <w:ilvl w:val="0"/>
          <w:numId w:val="13"/>
        </w:numPr>
      </w:pPr>
      <w:r w:rsidRPr="003F63DB">
        <w:t>Revisorerna föreslog i rapporten att stora eller viktiga uppdragsarkeol</w:t>
      </w:r>
      <w:r w:rsidRPr="003F63DB">
        <w:t>o</w:t>
      </w:r>
      <w:r w:rsidRPr="003F63DB">
        <w:t>giska undersökningar leds av universitet och högskolor.</w:t>
      </w:r>
    </w:p>
    <w:p w:rsidR="00905B3E" w:rsidRPr="003F63DB" w:rsidRDefault="00905B3E">
      <w:r w:rsidRPr="003F63DB">
        <w:rPr>
          <w:i/>
        </w:rPr>
        <w:t xml:space="preserve">Statskontoret, Konkurrensverket </w:t>
      </w:r>
      <w:r w:rsidRPr="003F63DB">
        <w:t>och</w:t>
      </w:r>
      <w:r w:rsidRPr="003F63DB">
        <w:rPr>
          <w:i/>
        </w:rPr>
        <w:t xml:space="preserve"> Banverket</w:t>
      </w:r>
      <w:r w:rsidRPr="003F63DB">
        <w:t xml:space="preserve"> tillstyrker förslaget, men har inte kommenterat det närmare.</w:t>
      </w:r>
    </w:p>
    <w:p w:rsidR="00905B3E" w:rsidRPr="003F63DB" w:rsidRDefault="00905B3E">
      <w:pPr>
        <w:pStyle w:val="Normaltindrag"/>
      </w:pPr>
      <w:r w:rsidRPr="003F63DB">
        <w:rPr>
          <w:i/>
        </w:rPr>
        <w:t>Länsstyrelsen i Stockholms län</w:t>
      </w:r>
      <w:r w:rsidRPr="003F63DB">
        <w:t xml:space="preserve"> är positiv till förslaget och har i större pr</w:t>
      </w:r>
      <w:r w:rsidRPr="003F63DB">
        <w:t>o</w:t>
      </w:r>
      <w:r w:rsidRPr="003F63DB">
        <w:t>jekt även sökt stöd från universiteten. Om kostnaderna för universitetens medverkan ska rymmas inom ramen för universitetens ordinarie verksamhet  eller belasta exploatörerna bör utredas närmare.</w:t>
      </w:r>
    </w:p>
    <w:p w:rsidR="00905B3E" w:rsidRPr="003F63DB" w:rsidRDefault="00905B3E">
      <w:pPr>
        <w:pStyle w:val="Normaltindrag"/>
      </w:pPr>
      <w:r w:rsidRPr="003F63DB">
        <w:rPr>
          <w:i/>
        </w:rPr>
        <w:t>Länsstyrelsen i Västra Götalands län</w:t>
      </w:r>
      <w:r w:rsidRPr="003F63DB">
        <w:t xml:space="preserve"> är positiv till grundtanken i förslaget och menar att relationen mellan parterna i den ”nya” organisationen för up</w:t>
      </w:r>
      <w:r w:rsidRPr="003F63DB">
        <w:t>p</w:t>
      </w:r>
      <w:r w:rsidRPr="003F63DB">
        <w:t>dragsarkeologi måste klargöras genom fortsatt utredningsarbete. Till exe</w:t>
      </w:r>
      <w:r w:rsidRPr="003F63DB">
        <w:t>m</w:t>
      </w:r>
      <w:r w:rsidRPr="003F63DB">
        <w:t>pel bör frågor om ansvar, huvudmannaskap, kostnader och resurser klarg</w:t>
      </w:r>
      <w:r w:rsidRPr="003F63DB">
        <w:t>ö</w:t>
      </w:r>
      <w:r w:rsidRPr="003F63DB">
        <w:t>ras. Länsstyrelsen framhåller att även den antikvariska sektorn är en huvu</w:t>
      </w:r>
      <w:r w:rsidRPr="003F63DB">
        <w:t>d</w:t>
      </w:r>
      <w:r w:rsidRPr="003F63DB">
        <w:t>mottagare av resultaten, vid sidan av universitet och högskolor. Exempelvis producerar länsstyrelsen kunskapssammanställningar, tematiska foldrar och informationsskyltar, vilket</w:t>
      </w:r>
      <w:r w:rsidRPr="003F63DB">
        <w:t xml:space="preserve"> kan ses som en form av bearbetning och förme</w:t>
      </w:r>
      <w:r w:rsidRPr="003F63DB">
        <w:t>d</w:t>
      </w:r>
      <w:r w:rsidRPr="003F63DB">
        <w:t>ling av de arkeologiska r</w:t>
      </w:r>
      <w:r w:rsidRPr="003F63DB">
        <w:t>e</w:t>
      </w:r>
      <w:r w:rsidRPr="003F63DB">
        <w:t>sultaten.</w:t>
      </w:r>
    </w:p>
    <w:p w:rsidR="00905B3E" w:rsidRPr="003F63DB" w:rsidRDefault="00905B3E">
      <w:pPr>
        <w:pStyle w:val="Normaltindrag"/>
      </w:pPr>
      <w:r w:rsidRPr="003F63DB">
        <w:rPr>
          <w:i/>
        </w:rPr>
        <w:t>Länsstyrelsen i Kronobergs län</w:t>
      </w:r>
      <w:r w:rsidRPr="003F63DB">
        <w:t xml:space="preserve"> ser gärna att referensgrupper med unive</w:t>
      </w:r>
      <w:r w:rsidRPr="003F63DB">
        <w:t>r</w:t>
      </w:r>
      <w:r w:rsidRPr="003F63DB">
        <w:t>sitetsforskare knyts till och bekostas av projekten i högre grad än för närv</w:t>
      </w:r>
      <w:r w:rsidRPr="003F63DB">
        <w:t>a</w:t>
      </w:r>
      <w:r w:rsidRPr="003F63DB">
        <w:t>rande, men att universiteten inte nödvändigtvis måste leda projekten. Län</w:t>
      </w:r>
      <w:r w:rsidRPr="003F63DB">
        <w:t>s</w:t>
      </w:r>
      <w:r w:rsidRPr="003F63DB">
        <w:t xml:space="preserve">styrelsen framhåller att de arkeologiska undersökarna ofta hänvisar till att undersökningarna har hög vetenskaplig potential, men att resultaten inte alltid motsvarar förväntningarna. </w:t>
      </w:r>
    </w:p>
    <w:p w:rsidR="00905B3E" w:rsidRPr="003F63DB" w:rsidRDefault="00905B3E">
      <w:pPr>
        <w:pStyle w:val="Normaltindrag"/>
      </w:pPr>
      <w:r w:rsidRPr="003F63DB">
        <w:rPr>
          <w:i/>
        </w:rPr>
        <w:t>Länsstyrelsen i Västernorrlands län</w:t>
      </w:r>
      <w:r w:rsidRPr="003F63DB">
        <w:t xml:space="preserve"> har svårt att se hur en formellt styra</w:t>
      </w:r>
      <w:r w:rsidRPr="003F63DB">
        <w:t>n</w:t>
      </w:r>
      <w:r w:rsidRPr="003F63DB">
        <w:t>de och ledande roll för universitet och högskolor ska fungera. Redan i dag använder länsstyrelsen vetenskapliga rådgivare, diskussions- och samarbet</w:t>
      </w:r>
      <w:r w:rsidRPr="003F63DB">
        <w:t>s</w:t>
      </w:r>
      <w:r w:rsidRPr="003F63DB">
        <w:t>partner som stöd i arbetet med arkeologiska uppdrag. En sådan samverkan skulle enligt länsstyrelsen kunna utvecklas.</w:t>
      </w:r>
    </w:p>
    <w:p w:rsidR="00905B3E" w:rsidRPr="003F63DB" w:rsidRDefault="00905B3E">
      <w:pPr>
        <w:pStyle w:val="Normaltindrag"/>
      </w:pPr>
      <w:r w:rsidRPr="003F63DB">
        <w:rPr>
          <w:i/>
        </w:rPr>
        <w:t>Länsstyrelsen i Uppsala län</w:t>
      </w:r>
      <w:r w:rsidRPr="003F63DB">
        <w:t xml:space="preserve"> anser att förslaget är otydligt. Länsstyrelsen förordar en utveckling av RAÄ:s tidigare projekt ”Uppdragsarkeologi och forskning”. Enligt länsstyrelsen är forskarsamhället, inte bara universitet och högskolor, huvudmottagare av uppdragsarkeologins resultat. De uppdragsa</w:t>
      </w:r>
      <w:r w:rsidRPr="003F63DB">
        <w:t>r</w:t>
      </w:r>
      <w:r w:rsidRPr="003F63DB">
        <w:t>keologiska resultaten är inte så dåligt utnyttjade av universiteten som revis</w:t>
      </w:r>
      <w:r w:rsidRPr="003F63DB">
        <w:t>o</w:t>
      </w:r>
      <w:r w:rsidRPr="003F63DB">
        <w:t>rerna framhåller.</w:t>
      </w:r>
    </w:p>
    <w:p w:rsidR="00905B3E" w:rsidRPr="003F63DB" w:rsidRDefault="00905B3E">
      <w:pPr>
        <w:pStyle w:val="Normaltindrag"/>
      </w:pPr>
      <w:r w:rsidRPr="003F63DB">
        <w:rPr>
          <w:i/>
        </w:rPr>
        <w:t xml:space="preserve">Länsstyrelsen i Gotlands län </w:t>
      </w:r>
      <w:r w:rsidRPr="003F63DB">
        <w:t>avstyrker revisorernas förslag, men menar att forskare från universitet och högskolor ska beredas möjlighet att mera aktivt ingå i uppdragsarkeologiska projekt. Detta kan åstadkommas genom att förbättra förutsättningarna för samarbete, liknande RAÄ:s tidigare projekt ”Uppdragsarkeologi och fors</w:t>
      </w:r>
      <w:r w:rsidRPr="003F63DB">
        <w:t>k</w:t>
      </w:r>
      <w:r w:rsidRPr="003F63DB">
        <w:t>ning”.</w:t>
      </w:r>
    </w:p>
    <w:p w:rsidR="00905B3E" w:rsidRPr="003F63DB" w:rsidRDefault="00905B3E">
      <w:pPr>
        <w:pStyle w:val="Normaltindrag"/>
      </w:pPr>
      <w:r w:rsidRPr="003F63DB">
        <w:rPr>
          <w:i/>
        </w:rPr>
        <w:t xml:space="preserve">Länsstyrelsen i Skåne län </w:t>
      </w:r>
      <w:r w:rsidRPr="003F63DB">
        <w:t>avstyrker förslaget och anser att det är de up</w:t>
      </w:r>
      <w:r w:rsidRPr="003F63DB">
        <w:t>p</w:t>
      </w:r>
      <w:r w:rsidRPr="003F63DB">
        <w:t>drags</w:t>
      </w:r>
      <w:r w:rsidRPr="003F63DB">
        <w:softHyphen/>
        <w:t>arkeologiska undersökarna som genom egen forskning ska producera ny kunskap. Universitetens forskare är i huvudsak lärare med begränsad tid till egen forskning. Länsstyrelsen förordar att tillfälliga referensgrupper även fortsättningsvis ska tillsättas.</w:t>
      </w:r>
    </w:p>
    <w:p w:rsidR="00905B3E" w:rsidRPr="003F63DB" w:rsidRDefault="00905B3E">
      <w:pPr>
        <w:pStyle w:val="Normaltindrag"/>
      </w:pPr>
      <w:r w:rsidRPr="003F63DB">
        <w:rPr>
          <w:i/>
        </w:rPr>
        <w:t>Uppsala universitet</w:t>
      </w:r>
      <w:r w:rsidRPr="003F63DB">
        <w:t xml:space="preserve"> tillstyrker förslaget, men anser att det bör kompletteras och utredas närmare. Bland annat anser Uppsala universitet att universiteten ska bestämma vilka forskare som ska utses som vetenskapliga ledare, att ledare ska utses till alla exploateringsgrävningar och att ersättning ska utgå. Forskare bör delta i upphandlingsprocessen och i arkeologiska fältprojekt  från start. Även forskare från andra länder bör ges möjlighet att medverka på samma villkor. Medel till verksamheten bör omfördelas från RAÄ och län</w:t>
      </w:r>
      <w:r w:rsidRPr="003F63DB">
        <w:t>s</w:t>
      </w:r>
      <w:r w:rsidRPr="003F63DB">
        <w:t>styrelserna till universiteten.</w:t>
      </w:r>
    </w:p>
    <w:p w:rsidR="00905B3E" w:rsidRPr="003F63DB" w:rsidRDefault="00905B3E">
      <w:pPr>
        <w:pStyle w:val="Normaltindrag"/>
      </w:pPr>
      <w:r w:rsidRPr="003F63DB">
        <w:rPr>
          <w:i/>
        </w:rPr>
        <w:t>Umeå universitet</w:t>
      </w:r>
      <w:r w:rsidRPr="003F63DB">
        <w:t xml:space="preserve"> instämmer i revisorernas analys och menar att förslaget är helt i linje med verksamheten och ambitionerna för ämnet arkeologi vid Umeå universitet. Förslaget förutsätter dock att medel skjuts till då det i dag inte finns någon koppling mellan universitetens samverkansuppdrag och ett deltagande i uppdragsarkeologin. Universitetet tror att permanenta tjänster, liknande forskningskoordinatorerna i projektet ”Uppdragsarkeologi och forskning”, vore det bästa för uppdragsarkeologin. </w:t>
      </w:r>
    </w:p>
    <w:p w:rsidR="00905B3E" w:rsidRPr="003F63DB" w:rsidRDefault="00905B3E">
      <w:pPr>
        <w:pStyle w:val="Normaltindrag"/>
        <w:rPr>
          <w:i/>
        </w:rPr>
      </w:pPr>
      <w:r w:rsidRPr="003F63DB">
        <w:rPr>
          <w:i/>
        </w:rPr>
        <w:t>Mitthögskolan</w:t>
      </w:r>
      <w:r w:rsidRPr="003F63DB">
        <w:t xml:space="preserve"> anser att förslaget är bra. Förslaget kräver dock att de ark</w:t>
      </w:r>
      <w:r w:rsidRPr="003F63DB">
        <w:t>e</w:t>
      </w:r>
      <w:r w:rsidRPr="003F63DB">
        <w:t>ologiska institutionerna prioriterar samverkansuppdraget. Mitthögskolan påtalar att vissa regler som omgärdar uppdragsarkeologin, t.ex. vad gäller exploatörens kostnadsansvar, leder till kunskapsförstörelse. Exploatörerna kan inte debiteras för undersökningar som ligger utanför den exploaterade ytan, även om det finns starka vetenskapliga motiv för att utvidga undersö</w:t>
      </w:r>
      <w:r w:rsidRPr="003F63DB">
        <w:t>k</w:t>
      </w:r>
      <w:r w:rsidRPr="003F63DB">
        <w:t>ningsområdet. Undersökningar som begränsas på detta sätt är oftast helt menings</w:t>
      </w:r>
      <w:r w:rsidRPr="003F63DB">
        <w:t>lösa och kan ses som en av förklaringarna till att uppdragsarkeologin inte blir attraktiv för for</w:t>
      </w:r>
      <w:r w:rsidRPr="003F63DB">
        <w:t>s</w:t>
      </w:r>
      <w:r w:rsidRPr="003F63DB">
        <w:t>karvärlden.</w:t>
      </w:r>
      <w:r w:rsidRPr="003F63DB">
        <w:rPr>
          <w:i/>
        </w:rPr>
        <w:t xml:space="preserve"> </w:t>
      </w:r>
    </w:p>
    <w:p w:rsidR="00905B3E" w:rsidRPr="003F63DB" w:rsidRDefault="00905B3E">
      <w:pPr>
        <w:pStyle w:val="Normaltindrag"/>
      </w:pPr>
      <w:r w:rsidRPr="003F63DB">
        <w:rPr>
          <w:i/>
        </w:rPr>
        <w:t>Riksantikvarieämbetet</w:t>
      </w:r>
      <w:r w:rsidRPr="003F63DB">
        <w:t xml:space="preserve"> menar att förhållandet mellan uppdragsarkeologin och forskningen är en nyckelfråga i verksamheten. RAÄ delar revisorernas uppfattning att uppdragsarkeologin bör knytas närmare forskningen, men anser att man inte kan göra en åtskillnad mellan universiteten och unders</w:t>
      </w:r>
      <w:r w:rsidRPr="003F63DB">
        <w:t>ö</w:t>
      </w:r>
      <w:r w:rsidRPr="003F63DB">
        <w:t>karna i vetenskapligt hänseende. Undersökarnas vetenskapliga kompetens har höjts det senaste decenniet. Den huvudsakliga metodiska och vetenska</w:t>
      </w:r>
      <w:r w:rsidRPr="003F63DB">
        <w:t>p</w:t>
      </w:r>
      <w:r w:rsidRPr="003F63DB">
        <w:t>liga kompetensen vad gäller genomförande av stora undersökningar finns hos undersökarna. RAÄ framhål</w:t>
      </w:r>
      <w:r w:rsidRPr="003F63DB">
        <w:t>ler att forskningen inte är den enda målgruppen för uppdragsarkeologiska resultat. Verksamheten ska leda till en kunskaps</w:t>
      </w:r>
      <w:r w:rsidRPr="003F63DB">
        <w:softHyphen/>
        <w:t>uppbyggnad som ytterst ska komma medborgarna till del. Resultatredovi</w:t>
      </w:r>
      <w:r w:rsidRPr="003F63DB">
        <w:t>s</w:t>
      </w:r>
      <w:r w:rsidRPr="003F63DB">
        <w:t>ningen måste därför anpassas till detta övergripande syfte. De grundläggande orsakerna till eftersläpningar i rapporte</w:t>
      </w:r>
      <w:r w:rsidRPr="003F63DB">
        <w:softHyphen/>
        <w:t>ringen har enligt RAÄ avhjälpts under 1990-talet.</w:t>
      </w:r>
    </w:p>
    <w:p w:rsidR="00905B3E" w:rsidRPr="003F63DB" w:rsidRDefault="00905B3E">
      <w:pPr>
        <w:pStyle w:val="Normaltindrag"/>
      </w:pPr>
      <w:r w:rsidRPr="003F63DB">
        <w:rPr>
          <w:i/>
        </w:rPr>
        <w:t>Statens historiska museer (SHMM)</w:t>
      </w:r>
      <w:r w:rsidRPr="003F63DB">
        <w:t xml:space="preserve"> avstyrker förslaget med hänvisning till att det är oklart formulerat. Att leda den vetenskapliga inriktningen på det arkeologiska fältarbetet och samtidigt vara rådgivare och ett stöd åt länsst</w:t>
      </w:r>
      <w:r w:rsidRPr="003F63DB">
        <w:t>y</w:t>
      </w:r>
      <w:r w:rsidRPr="003F63DB">
        <w:t>relsen anser SHMM vara oförenliga uppgifter. Deltagan</w:t>
      </w:r>
      <w:r w:rsidRPr="003F63DB">
        <w:softHyphen/>
        <w:t>det från universitet och högskolor sker lämpligen genom representation i olika styr- eller ref</w:t>
      </w:r>
      <w:r w:rsidRPr="003F63DB">
        <w:t>e</w:t>
      </w:r>
      <w:r w:rsidRPr="003F63DB">
        <w:t>rensgrupper, som stöd för länsstyrelsens beslut om kravspecifikation eller i sam</w:t>
      </w:r>
      <w:r w:rsidRPr="003F63DB">
        <w:softHyphen/>
        <w:t>band med utvärderingar av undersökningsplaner och rappo</w:t>
      </w:r>
      <w:r w:rsidRPr="003F63DB">
        <w:t>r</w:t>
      </w:r>
      <w:r w:rsidRPr="003F63DB">
        <w:t>ter.</w:t>
      </w:r>
    </w:p>
    <w:p w:rsidR="00905B3E" w:rsidRPr="003F63DB" w:rsidRDefault="00905B3E">
      <w:pPr>
        <w:pStyle w:val="Normaltindrag"/>
      </w:pPr>
      <w:r w:rsidRPr="003F63DB">
        <w:rPr>
          <w:i/>
        </w:rPr>
        <w:t>Vägverket</w:t>
      </w:r>
      <w:r w:rsidRPr="003F63DB">
        <w:t xml:space="preserve"> begär en ordentlig genomlysning av förslaget innan det förver</w:t>
      </w:r>
      <w:r w:rsidRPr="003F63DB">
        <w:t>k</w:t>
      </w:r>
      <w:r w:rsidRPr="003F63DB">
        <w:t>ligas. Verket anser det oklart vad som avses med vetenskaplig ledning och vilka konsekvenser, i form av tid och kostnader, förslaget får för expl</w:t>
      </w:r>
      <w:r w:rsidRPr="003F63DB">
        <w:t>o</w:t>
      </w:r>
      <w:r w:rsidRPr="003F63DB">
        <w:t xml:space="preserve">atören. </w:t>
      </w:r>
    </w:p>
    <w:p w:rsidR="00905B3E" w:rsidRPr="003F63DB" w:rsidRDefault="00905B3E">
      <w:pPr>
        <w:pStyle w:val="Normaltindrag"/>
      </w:pPr>
      <w:r w:rsidRPr="003F63DB">
        <w:rPr>
          <w:i/>
        </w:rPr>
        <w:t>Borlänge kommun</w:t>
      </w:r>
      <w:r w:rsidRPr="003F63DB">
        <w:t xml:space="preserve"> anser att den arkeologiska dokumentationen varken är lättillgänglig eller överblickbar för kommunala organ och kommunens inv</w:t>
      </w:r>
      <w:r w:rsidRPr="003F63DB">
        <w:t>å</w:t>
      </w:r>
      <w:r w:rsidRPr="003F63DB">
        <w:t>nare. Därför borde staten avsätta resurser till vetenskapliga analyser och sammanställningar för att utveckla och klargöra vad utgrävningarna har tillfört de kulturhistoriska kunskaperna.</w:t>
      </w:r>
    </w:p>
    <w:p w:rsidR="00905B3E" w:rsidRPr="003F63DB" w:rsidRDefault="00905B3E">
      <w:pPr>
        <w:pStyle w:val="Normaltindrag"/>
      </w:pPr>
      <w:r w:rsidRPr="003F63DB">
        <w:rPr>
          <w:i/>
        </w:rPr>
        <w:t>Malmö Kulturmiljö</w:t>
      </w:r>
      <w:r w:rsidRPr="003F63DB">
        <w:t xml:space="preserve"> ifrågasätter om en vetenskaplig ledare både kan utfo</w:t>
      </w:r>
      <w:r w:rsidRPr="003F63DB">
        <w:t>r</w:t>
      </w:r>
      <w:r w:rsidRPr="003F63DB">
        <w:t>ma de vetenskapliga frågeställningarna och utvärdera desamma. Forskning</w:t>
      </w:r>
      <w:r w:rsidRPr="003F63DB">
        <w:t>s</w:t>
      </w:r>
      <w:r w:rsidRPr="003F63DB">
        <w:t>kompetensen är god hos de större undersökarna, som måste bedriva fors</w:t>
      </w:r>
      <w:r w:rsidRPr="003F63DB">
        <w:t>k</w:t>
      </w:r>
      <w:r w:rsidRPr="003F63DB">
        <w:t>ning för att kunna utföra sitt uppdrag. Undersökarna har även till uppgift att bearbeta resultaten vidare eller förmedla dem till andra. Detta görs genom rapporter och andra skrifter samt genom utställningar och föredrag. Enligt Malmö Kulturmiljö finns aktiva mottagare av resultaten bland doktorander vid universite</w:t>
      </w:r>
      <w:r w:rsidRPr="003F63DB">
        <w:t>tens arkeologiska institutioner eller anställda hos någon up</w:t>
      </w:r>
      <w:r w:rsidRPr="003F63DB">
        <w:t>p</w:t>
      </w:r>
      <w:r w:rsidRPr="003F63DB">
        <w:t>dragsarkeologisk unde</w:t>
      </w:r>
      <w:r w:rsidRPr="003F63DB">
        <w:t>r</w:t>
      </w:r>
      <w:r w:rsidRPr="003F63DB">
        <w:t xml:space="preserve">sökare. </w:t>
      </w:r>
    </w:p>
    <w:p w:rsidR="00905B3E" w:rsidRPr="003F63DB" w:rsidRDefault="00905B3E">
      <w:pPr>
        <w:pStyle w:val="Normaltindrag"/>
      </w:pPr>
      <w:r w:rsidRPr="003F63DB">
        <w:rPr>
          <w:i/>
        </w:rPr>
        <w:t>Angaria AB</w:t>
      </w:r>
      <w:r w:rsidRPr="003F63DB">
        <w:t xml:space="preserve"> anser det självklart att infoga pågående forskning i uppdrag</w:t>
      </w:r>
      <w:r w:rsidRPr="003F63DB">
        <w:t>s</w:t>
      </w:r>
      <w:r w:rsidRPr="003F63DB">
        <w:t>arkeologin, särskilt när det gäller länsstyrelsernas formulering av kravspec</w:t>
      </w:r>
      <w:r w:rsidRPr="003F63DB">
        <w:t>i</w:t>
      </w:r>
      <w:r w:rsidRPr="003F63DB">
        <w:t>fikationen. Universitet och högskolor bör i högre grad aktivt bidra med v</w:t>
      </w:r>
      <w:r w:rsidRPr="003F63DB">
        <w:t>e</w:t>
      </w:r>
      <w:r w:rsidRPr="003F63DB">
        <w:t xml:space="preserve">tenskaplig kompetens och beredas möjlighet att delta i processen på ett tidigt stadium. </w:t>
      </w:r>
    </w:p>
    <w:p w:rsidR="00905B3E" w:rsidRPr="003F63DB" w:rsidRDefault="00905B3E">
      <w:pPr>
        <w:pStyle w:val="Normaltindrag"/>
      </w:pPr>
      <w:r w:rsidRPr="003F63DB">
        <w:rPr>
          <w:i/>
        </w:rPr>
        <w:t>Arkeologikonsult AB</w:t>
      </w:r>
      <w:r w:rsidRPr="003F63DB">
        <w:t xml:space="preserve"> tillstyrker i princip förslaget, men menar att unive</w:t>
      </w:r>
      <w:r w:rsidRPr="003F63DB">
        <w:t>r</w:t>
      </w:r>
      <w:r w:rsidRPr="003F63DB">
        <w:t>sitetens ledaransvar inte behöver regleras. Nya nätverk och mer ändamålse</w:t>
      </w:r>
      <w:r w:rsidRPr="003F63DB">
        <w:t>n</w:t>
      </w:r>
      <w:r w:rsidRPr="003F63DB">
        <w:t>liga relationer mellan arkeologins olika företrädare och universitet och hö</w:t>
      </w:r>
      <w:r w:rsidRPr="003F63DB">
        <w:t>g</w:t>
      </w:r>
      <w:r w:rsidRPr="003F63DB">
        <w:t>skolor kan uppstå om revisorernas övriga förslag genomförs. Arkeologiko</w:t>
      </w:r>
      <w:r w:rsidRPr="003F63DB">
        <w:t>n</w:t>
      </w:r>
      <w:r w:rsidRPr="003F63DB">
        <w:t>sult menar att det finns ekonomiska och organisatoriska oklarheter i försl</w:t>
      </w:r>
      <w:r w:rsidRPr="003F63DB">
        <w:t>a</w:t>
      </w:r>
      <w:r w:rsidRPr="003F63DB">
        <w:t xml:space="preserve">get. </w:t>
      </w:r>
    </w:p>
    <w:p w:rsidR="00905B3E" w:rsidRPr="003F63DB" w:rsidRDefault="00905B3E">
      <w:pPr>
        <w:pStyle w:val="Normaltindrag"/>
      </w:pPr>
      <w:r w:rsidRPr="003F63DB">
        <w:rPr>
          <w:i/>
        </w:rPr>
        <w:t>Jönköpings läns museum</w:t>
      </w:r>
      <w:r w:rsidRPr="003F63DB">
        <w:t xml:space="preserve"> är positivt till att forskare från universiteten ska fungera som stöd åt länsstyrelserna. Det nedlagda projektet med forskning</w:t>
      </w:r>
      <w:r w:rsidRPr="003F63DB">
        <w:t>s</w:t>
      </w:r>
      <w:r w:rsidRPr="003F63DB">
        <w:t>koordinatorer kan permanentas. Däremot menar museet att universitet och högskolor saknar erfarenhet, kapacitet och organisation för att klara av större uppdragsarkeologiska undersökningar. Museet betonar att forskning även bedrivs utanför universitet och högskolor och att åtskilliga undersökare b</w:t>
      </w:r>
      <w:r w:rsidRPr="003F63DB">
        <w:t>e</w:t>
      </w:r>
      <w:r w:rsidRPr="003F63DB">
        <w:t>sitter hög vetenskaplig kompetens. Vidare vänder museet sig mot att revis</w:t>
      </w:r>
      <w:r w:rsidRPr="003F63DB">
        <w:t>o</w:t>
      </w:r>
      <w:r w:rsidRPr="003F63DB">
        <w:t>rerna inte b</w:t>
      </w:r>
      <w:r w:rsidRPr="003F63DB">
        <w:t>etraktar allmänheten som en målgrupp för arkeologiska resultat annat än i form av utställda fynd.</w:t>
      </w:r>
    </w:p>
    <w:p w:rsidR="00905B3E" w:rsidRPr="003F63DB" w:rsidRDefault="00905B3E">
      <w:pPr>
        <w:pStyle w:val="Normaltindrag"/>
      </w:pPr>
      <w:r w:rsidRPr="003F63DB">
        <w:rPr>
          <w:i/>
        </w:rPr>
        <w:t xml:space="preserve">DIK-förbundet </w:t>
      </w:r>
      <w:r w:rsidRPr="003F63DB">
        <w:t>jämför revisorernas förslag med det nedlagda projektet med forskningskoordinatorer och anser att förslaget kan vara värt att pröva. Det bör klargöras hur universitetens medverkan ska finansieras. DIK avvisar dock förslaget om det innebär att universiteten ska leda undersökningarna. Förbundet understryker att de arkeologer som är verksamma inom uppdrag</w:t>
      </w:r>
      <w:r w:rsidRPr="003F63DB">
        <w:t>s</w:t>
      </w:r>
      <w:r w:rsidRPr="003F63DB">
        <w:t>arkeologin har hög vetenskaplig kompetens. DIK förespråkar ett utökat sa</w:t>
      </w:r>
      <w:r w:rsidRPr="003F63DB">
        <w:t>m</w:t>
      </w:r>
      <w:r w:rsidRPr="003F63DB">
        <w:t>arbete mellan universitet/högskolor och mus</w:t>
      </w:r>
      <w:r w:rsidRPr="003F63DB">
        <w:t>e</w:t>
      </w:r>
      <w:r w:rsidRPr="003F63DB">
        <w:t xml:space="preserve">er/institutioner. </w:t>
      </w:r>
    </w:p>
    <w:p w:rsidR="00905B3E" w:rsidRPr="003F63DB" w:rsidRDefault="00905B3E">
      <w:pPr>
        <w:pStyle w:val="Normaltindrag"/>
      </w:pPr>
      <w:r w:rsidRPr="003F63DB">
        <w:rPr>
          <w:i/>
        </w:rPr>
        <w:t>Föreningen Sveriges lä</w:t>
      </w:r>
      <w:r w:rsidRPr="003F63DB">
        <w:rPr>
          <w:i/>
        </w:rPr>
        <w:t>nsantikvarier</w:t>
      </w:r>
      <w:r w:rsidRPr="003F63DB">
        <w:t xml:space="preserve"> anser att forskare vid högskolor och universitet i högre utsträckning än tidigare bör delta i uppdragsarkeologiska projekt. Arkeologiska rådgivare samt ett återinförande av forskningskoord</w:t>
      </w:r>
      <w:r w:rsidRPr="003F63DB">
        <w:t>i</w:t>
      </w:r>
      <w:r w:rsidRPr="003F63DB">
        <w:t>natorer vore viktiga länkar mellan universitetsvärlden och övriga aktörer. Utvecklade samarbetsformer är dock viktigare än olika former av huvu</w:t>
      </w:r>
      <w:r w:rsidRPr="003F63DB">
        <w:t>d</w:t>
      </w:r>
      <w:r w:rsidRPr="003F63DB">
        <w:t xml:space="preserve">mannaskap. </w:t>
      </w:r>
    </w:p>
    <w:p w:rsidR="00905B3E" w:rsidRPr="003F63DB" w:rsidRDefault="00905B3E">
      <w:pPr>
        <w:pStyle w:val="Normaltindrag"/>
      </w:pPr>
      <w:r w:rsidRPr="003F63DB">
        <w:rPr>
          <w:i/>
        </w:rPr>
        <w:t>Societas Archaeologica Upsaliensis (SAU)</w:t>
      </w:r>
      <w:r w:rsidRPr="003F63DB">
        <w:t xml:space="preserve"> tror att ett system enligt revis</w:t>
      </w:r>
      <w:r w:rsidRPr="003F63DB">
        <w:t>o</w:t>
      </w:r>
      <w:r w:rsidRPr="003F63DB">
        <w:t>rernas förslag skulle kräva noggrant samråd mellan universitet/högskola, länsstyrelse och RAÄ. SAU påtalar att det inte är möjligt att ålägga en un</w:t>
      </w:r>
      <w:r w:rsidRPr="003F63DB">
        <w:t>i</w:t>
      </w:r>
      <w:r w:rsidRPr="003F63DB">
        <w:t>versitetsanställd forskare att inom sin tjänst utföra sådana uppdrag ens om man ger universitetet lönekompensation. Det är också tveksamt om uppdr</w:t>
      </w:r>
      <w:r w:rsidRPr="003F63DB">
        <w:t>a</w:t>
      </w:r>
      <w:r w:rsidRPr="003F63DB">
        <w:t xml:space="preserve">gen skulle bli tillfredsställande genomförda under sådana förutsättningar. </w:t>
      </w:r>
    </w:p>
    <w:p w:rsidR="00905B3E" w:rsidRPr="003F63DB" w:rsidRDefault="00905B3E">
      <w:pPr>
        <w:pStyle w:val="Normaltindrag"/>
      </w:pPr>
      <w:r w:rsidRPr="003F63DB">
        <w:rPr>
          <w:i/>
        </w:rPr>
        <w:t>Professor Kristian Kristiansen</w:t>
      </w:r>
      <w:r w:rsidRPr="003F63DB">
        <w:t xml:space="preserve"> menar att universiteten och de arkeologiska institutionerna bör ha en vetenskaplig roll, men att det inte är förenligt med deras uppdrag att ha direkt ansvar för uppdragsarkeologi – ekonomiskt och organisatoriskt – på institutionsn</w:t>
      </w:r>
      <w:r w:rsidRPr="003F63DB">
        <w:t>i</w:t>
      </w:r>
      <w:r w:rsidRPr="003F63DB">
        <w:t>vå.</w:t>
      </w:r>
    </w:p>
    <w:p w:rsidR="00905B3E" w:rsidRPr="003F63DB" w:rsidRDefault="00905B3E">
      <w:pPr>
        <w:pStyle w:val="Normaltindrag"/>
      </w:pPr>
      <w:r w:rsidRPr="003F63DB">
        <w:rPr>
          <w:i/>
        </w:rPr>
        <w:t>Västerbottens museum</w:t>
      </w:r>
      <w:r w:rsidRPr="003F63DB">
        <w:t xml:space="preserve"> ser positivt på ett vetenskapligt samarbete med forskarinstitutioner i den mening att länsstyrelsen informerar och rådgör med universiteten. Däremot anser museet att formuleringen ”leds av” kan skapa konflikter mellan en vetenskaplig ledare och en fältarbetsledare om båda har hög forskarkompetens. </w:t>
      </w:r>
    </w:p>
    <w:p w:rsidR="00905B3E" w:rsidRPr="003F63DB" w:rsidRDefault="00905B3E">
      <w:pPr>
        <w:pStyle w:val="Normaltindrag"/>
      </w:pPr>
      <w:r w:rsidRPr="003F63DB">
        <w:rPr>
          <w:i/>
        </w:rPr>
        <w:t>Bohusläns museum</w:t>
      </w:r>
      <w:r w:rsidRPr="003F63DB">
        <w:t xml:space="preserve"> är positivt till att länsstyrelserna i samarbete med un</w:t>
      </w:r>
      <w:r w:rsidRPr="003F63DB">
        <w:t>i</w:t>
      </w:r>
      <w:r w:rsidRPr="003F63DB">
        <w:t xml:space="preserve">versitet och högskolor formulerar krav för de arkeologiska undersökningarna samt utvärderar resultaten. Även </w:t>
      </w:r>
      <w:r w:rsidRPr="003F63DB">
        <w:rPr>
          <w:i/>
        </w:rPr>
        <w:t xml:space="preserve">Västergötlands museum </w:t>
      </w:r>
      <w:r w:rsidRPr="003F63DB">
        <w:t>menar att förslaget är bra om ledningen eller styrningen från universiteten knyts till länsstyre</w:t>
      </w:r>
      <w:r w:rsidRPr="003F63DB">
        <w:t>l</w:t>
      </w:r>
      <w:r w:rsidRPr="003F63DB">
        <w:t>sen. Att göra forskningsprojekt av exploateringsundersökningarna kommer dock att innebära att insynen minskar och tillgängligheten till fynden begrä</w:t>
      </w:r>
      <w:r w:rsidRPr="003F63DB">
        <w:t>n</w:t>
      </w:r>
      <w:r w:rsidRPr="003F63DB">
        <w:t>sas innan rapporterna publicerats. Museet poängterar att personal som är knute</w:t>
      </w:r>
      <w:r w:rsidRPr="003F63DB">
        <w:t>n till länsmuseernas uppdrags</w:t>
      </w:r>
      <w:r w:rsidRPr="003F63DB">
        <w:softHyphen/>
        <w:t>verksamhet i många fall har en egen pågående forskning. Genom att en stor del av den arkeologiska kunska</w:t>
      </w:r>
      <w:r w:rsidRPr="003F63DB">
        <w:t>p</w:t>
      </w:r>
      <w:r w:rsidRPr="003F63DB">
        <w:t>s</w:t>
      </w:r>
      <w:r w:rsidRPr="003F63DB">
        <w:softHyphen/>
        <w:t>uppbyggnaden är slumpmässig är det ofta svårt att peka på en aktiv mottag</w:t>
      </w:r>
      <w:r w:rsidRPr="003F63DB">
        <w:t>a</w:t>
      </w:r>
      <w:r w:rsidRPr="003F63DB">
        <w:t>re av de enskilda resultaten. Det betyder emellertid inte att det inte finns ett intresse från allmänheten och universiteten. Västergötlands museum menar vidare att en gallring av det arkeologiska materialet kommer att försvåra för framtida forskning. Arkeologiskt massmaterial har stor forskningspote</w:t>
      </w:r>
      <w:r w:rsidRPr="003F63DB">
        <w:t>ntial och utnyttjas av forskningen. Att det finns tusentals yxor av samma typ är inte detsamma som att det finns tusentals kopior av arkivhan</w:t>
      </w:r>
      <w:r w:rsidRPr="003F63DB">
        <w:t>d</w:t>
      </w:r>
      <w:r w:rsidRPr="003F63DB">
        <w:t>lingar.</w:t>
      </w:r>
    </w:p>
    <w:p w:rsidR="00905B3E" w:rsidRPr="003F63DB" w:rsidRDefault="00905B3E">
      <w:pPr>
        <w:pStyle w:val="Normaltindrag"/>
      </w:pPr>
      <w:r w:rsidRPr="003F63DB">
        <w:rPr>
          <w:i/>
        </w:rPr>
        <w:t>Svenska Arkeologiska Samfundet</w:t>
      </w:r>
      <w:r w:rsidRPr="003F63DB">
        <w:t xml:space="preserve"> menar att revisorerna uttrycker en öve</w:t>
      </w:r>
      <w:r w:rsidRPr="003F63DB">
        <w:t>r</w:t>
      </w:r>
      <w:r w:rsidRPr="003F63DB">
        <w:t>tro på universitetsforskares generella kompetens och samtidigt nedvärderar uppdragsarkeologers. Samfundet menar att stora externa uppdragsarkeol</w:t>
      </w:r>
      <w:r w:rsidRPr="003F63DB">
        <w:t>o</w:t>
      </w:r>
      <w:r w:rsidRPr="003F63DB">
        <w:t>giska projekt inte kan förläggas till universiteten och att de knappast är lä</w:t>
      </w:r>
      <w:r w:rsidRPr="003F63DB">
        <w:t>m</w:t>
      </w:r>
      <w:r w:rsidRPr="003F63DB">
        <w:t xml:space="preserve">pade som prispressare. Samfundet och </w:t>
      </w:r>
      <w:r w:rsidRPr="003F63DB">
        <w:rPr>
          <w:i/>
        </w:rPr>
        <w:t>Länsstyrelsen i Södermanlands län</w:t>
      </w:r>
      <w:r w:rsidRPr="003F63DB">
        <w:t xml:space="preserve"> anser att det i praktiken är undersökarna som kan ses som mottagare av r</w:t>
      </w:r>
      <w:r w:rsidRPr="003F63DB">
        <w:t>e</w:t>
      </w:r>
      <w:r w:rsidRPr="003F63DB">
        <w:t>sultaten, men att det är ett problem att resultaten inte når ut till forskarna tillräckligt snabbt. Länss</w:t>
      </w:r>
      <w:r w:rsidRPr="003F63DB">
        <w:t>tyrelsen i Södermanlands län</w:t>
      </w:r>
      <w:r w:rsidRPr="003F63DB">
        <w:rPr>
          <w:i/>
        </w:rPr>
        <w:t xml:space="preserve"> </w:t>
      </w:r>
      <w:r w:rsidRPr="003F63DB">
        <w:t>menar också att det behövs en strategi för hur man upprätthåller personalens vetenskapliga ko</w:t>
      </w:r>
      <w:r w:rsidRPr="003F63DB">
        <w:t>m</w:t>
      </w:r>
      <w:r w:rsidRPr="003F63DB">
        <w:t>petens vid länsstyre</w:t>
      </w:r>
      <w:r w:rsidRPr="003F63DB">
        <w:t>l</w:t>
      </w:r>
      <w:r w:rsidRPr="003F63DB">
        <w:t xml:space="preserve">serna. </w:t>
      </w:r>
    </w:p>
    <w:p w:rsidR="00905B3E" w:rsidRPr="003F63DB" w:rsidRDefault="00905B3E">
      <w:r w:rsidRPr="003F63DB">
        <w:rPr>
          <w:i/>
        </w:rPr>
        <w:t>Wallin kulturlandskap och arkeologi</w:t>
      </w:r>
      <w:r w:rsidRPr="003F63DB">
        <w:t xml:space="preserve"> ser gärna ett ökat samarbete mellan forskningsarkeologi och uppdragsarkeologi. Wallin anser det däremot inte bra att dela upp ledningen av stora projekt i två delar där universitet och högskolor har ansvar för den vetenskapliga delen och uppdragsarkeologin har ansvar för det praktiska grävandet.</w:t>
      </w:r>
    </w:p>
    <w:p w:rsidR="00905B3E" w:rsidRPr="003F63DB" w:rsidRDefault="00905B3E">
      <w:pPr>
        <w:pStyle w:val="Normaltindrag"/>
        <w:sectPr w:rsidR="00000000" w:rsidRPr="003F63DB">
          <w:headerReference w:type="default" r:id="rId21"/>
          <w:footerReference w:type="default" r:id="rId22"/>
          <w:type w:val="oddPage"/>
          <w:pgSz w:w="11906" w:h="16838" w:code="9"/>
          <w:pgMar w:top="567" w:right="4876" w:bottom="4508" w:left="1134" w:header="227" w:footer="227" w:gutter="0"/>
          <w:cols w:space="720"/>
        </w:sectPr>
      </w:pPr>
    </w:p>
    <w:p w:rsidR="00905B3E" w:rsidRPr="003F63DB" w:rsidRDefault="00905B3E">
      <w:pPr>
        <w:pStyle w:val="Rubrik1"/>
        <w:numPr>
          <w:ilvl w:val="0"/>
          <w:numId w:val="0"/>
        </w:numPr>
        <w:spacing w:before="0" w:after="240"/>
      </w:pPr>
      <w:bookmarkStart w:id="183" w:name="_Toc36520788"/>
      <w:r w:rsidRPr="003F63DB">
        <w:t>Innehållsförteckning</w:t>
      </w:r>
      <w:bookmarkEnd w:id="183"/>
    </w:p>
    <w:p w:rsidR="00905B3E" w:rsidRPr="003F63DB" w:rsidRDefault="00905B3E">
      <w:pPr>
        <w:pStyle w:val="Innehll1"/>
        <w:rPr>
          <w:noProof w:val="0"/>
        </w:rPr>
      </w:pPr>
      <w:r w:rsidRPr="003F63DB">
        <w:rPr>
          <w:noProof w:val="0"/>
        </w:rPr>
        <w:t>1</w:t>
      </w:r>
      <w:r w:rsidRPr="003F63DB">
        <w:rPr>
          <w:noProof w:val="0"/>
        </w:rPr>
        <w:tab/>
        <w:t>Revisorernas granskning</w:t>
      </w:r>
      <w:r w:rsidRPr="003F63DB">
        <w:rPr>
          <w:noProof w:val="0"/>
        </w:rPr>
        <w:tab/>
        <w:t>1</w:t>
      </w:r>
    </w:p>
    <w:p w:rsidR="00905B3E" w:rsidRPr="003F63DB" w:rsidRDefault="00905B3E">
      <w:pPr>
        <w:pStyle w:val="Innehll2"/>
        <w:rPr>
          <w:noProof w:val="0"/>
        </w:rPr>
      </w:pPr>
      <w:r w:rsidRPr="003F63DB">
        <w:rPr>
          <w:noProof w:val="0"/>
        </w:rPr>
        <w:t>1.1</w:t>
      </w:r>
      <w:r w:rsidRPr="003F63DB">
        <w:rPr>
          <w:noProof w:val="0"/>
        </w:rPr>
        <w:tab/>
        <w:t>Uppdragsarkeologi</w:t>
      </w:r>
      <w:r w:rsidRPr="003F63DB">
        <w:rPr>
          <w:noProof w:val="0"/>
        </w:rPr>
        <w:tab/>
        <w:t>1</w:t>
      </w:r>
    </w:p>
    <w:p w:rsidR="00905B3E" w:rsidRPr="003F63DB" w:rsidRDefault="00905B3E">
      <w:pPr>
        <w:pStyle w:val="Innehll2"/>
        <w:rPr>
          <w:noProof w:val="0"/>
        </w:rPr>
      </w:pPr>
      <w:r w:rsidRPr="003F63DB">
        <w:rPr>
          <w:noProof w:val="0"/>
        </w:rPr>
        <w:t>1.2</w:t>
      </w:r>
      <w:r w:rsidRPr="003F63DB">
        <w:rPr>
          <w:noProof w:val="0"/>
        </w:rPr>
        <w:tab/>
        <w:t>Revisorernas utgångspunkter och förslag</w:t>
      </w:r>
      <w:r w:rsidRPr="003F63DB">
        <w:rPr>
          <w:noProof w:val="0"/>
        </w:rPr>
        <w:tab/>
        <w:t>2</w:t>
      </w:r>
    </w:p>
    <w:p w:rsidR="00905B3E" w:rsidRPr="003F63DB" w:rsidRDefault="00905B3E">
      <w:pPr>
        <w:pStyle w:val="Innehll2"/>
        <w:rPr>
          <w:noProof w:val="0"/>
        </w:rPr>
      </w:pPr>
      <w:r w:rsidRPr="003F63DB">
        <w:rPr>
          <w:noProof w:val="0"/>
        </w:rPr>
        <w:t>1.3</w:t>
      </w:r>
      <w:r w:rsidRPr="003F63DB">
        <w:rPr>
          <w:noProof w:val="0"/>
        </w:rPr>
        <w:tab/>
        <w:t>Aviserad översyn</w:t>
      </w:r>
      <w:r w:rsidRPr="003F63DB">
        <w:rPr>
          <w:noProof w:val="0"/>
        </w:rPr>
        <w:tab/>
        <w:t>2</w:t>
      </w:r>
    </w:p>
    <w:p w:rsidR="00905B3E" w:rsidRPr="003F63DB" w:rsidRDefault="00905B3E">
      <w:pPr>
        <w:pStyle w:val="Innehll2"/>
        <w:rPr>
          <w:noProof w:val="0"/>
        </w:rPr>
      </w:pPr>
      <w:r w:rsidRPr="003F63DB">
        <w:rPr>
          <w:noProof w:val="0"/>
        </w:rPr>
        <w:t>1.4</w:t>
      </w:r>
      <w:r w:rsidRPr="003F63DB">
        <w:rPr>
          <w:noProof w:val="0"/>
        </w:rPr>
        <w:tab/>
        <w:t>Remissinstansernas allmänna synpunkter</w:t>
      </w:r>
      <w:r w:rsidRPr="003F63DB">
        <w:rPr>
          <w:noProof w:val="0"/>
        </w:rPr>
        <w:tab/>
        <w:t>3</w:t>
      </w:r>
    </w:p>
    <w:p w:rsidR="00905B3E" w:rsidRPr="003F63DB" w:rsidRDefault="00905B3E">
      <w:pPr>
        <w:pStyle w:val="Innehll1"/>
        <w:rPr>
          <w:noProof w:val="0"/>
        </w:rPr>
      </w:pPr>
      <w:r w:rsidRPr="003F63DB">
        <w:rPr>
          <w:noProof w:val="0"/>
        </w:rPr>
        <w:t>2</w:t>
      </w:r>
      <w:r w:rsidRPr="003F63DB">
        <w:rPr>
          <w:noProof w:val="0"/>
        </w:rPr>
        <w:tab/>
        <w:t>Revisorernas överväganden</w:t>
      </w:r>
      <w:r w:rsidRPr="003F63DB">
        <w:rPr>
          <w:noProof w:val="0"/>
        </w:rPr>
        <w:tab/>
        <w:t>4</w:t>
      </w:r>
    </w:p>
    <w:p w:rsidR="00905B3E" w:rsidRPr="003F63DB" w:rsidRDefault="00905B3E">
      <w:pPr>
        <w:pStyle w:val="Innehll2"/>
        <w:rPr>
          <w:noProof w:val="0"/>
        </w:rPr>
      </w:pPr>
      <w:r w:rsidRPr="003F63DB">
        <w:rPr>
          <w:noProof w:val="0"/>
        </w:rPr>
        <w:t>2.1</w:t>
      </w:r>
      <w:r w:rsidRPr="003F63DB">
        <w:rPr>
          <w:noProof w:val="0"/>
        </w:rPr>
        <w:tab/>
        <w:t>Riksantikvarieämbetets uppgifter</w:t>
      </w:r>
      <w:r w:rsidRPr="003F63DB">
        <w:rPr>
          <w:noProof w:val="0"/>
        </w:rPr>
        <w:tab/>
        <w:t>4</w:t>
      </w:r>
    </w:p>
    <w:p w:rsidR="00905B3E" w:rsidRPr="003F63DB" w:rsidRDefault="00905B3E">
      <w:pPr>
        <w:pStyle w:val="Innehll2"/>
        <w:rPr>
          <w:noProof w:val="0"/>
        </w:rPr>
      </w:pPr>
      <w:r w:rsidRPr="003F63DB">
        <w:rPr>
          <w:noProof w:val="0"/>
        </w:rPr>
        <w:t>2.2</w:t>
      </w:r>
      <w:r w:rsidRPr="003F63DB">
        <w:rPr>
          <w:noProof w:val="0"/>
        </w:rPr>
        <w:tab/>
        <w:t>Staten som beställare av arkeologi</w:t>
      </w:r>
      <w:r w:rsidRPr="003F63DB">
        <w:rPr>
          <w:noProof w:val="0"/>
        </w:rPr>
        <w:tab/>
        <w:t>6</w:t>
      </w:r>
    </w:p>
    <w:p w:rsidR="00905B3E" w:rsidRPr="003F63DB" w:rsidRDefault="00905B3E">
      <w:pPr>
        <w:pStyle w:val="Innehll2"/>
        <w:rPr>
          <w:noProof w:val="0"/>
        </w:rPr>
      </w:pPr>
      <w:r w:rsidRPr="003F63DB">
        <w:rPr>
          <w:noProof w:val="0"/>
        </w:rPr>
        <w:t>2.3</w:t>
      </w:r>
      <w:r w:rsidRPr="003F63DB">
        <w:rPr>
          <w:noProof w:val="0"/>
        </w:rPr>
        <w:tab/>
        <w:t>Konkurrens och insyn</w:t>
      </w:r>
      <w:r w:rsidRPr="003F63DB">
        <w:rPr>
          <w:noProof w:val="0"/>
        </w:rPr>
        <w:tab/>
        <w:t>10</w:t>
      </w:r>
    </w:p>
    <w:p w:rsidR="00905B3E" w:rsidRPr="003F63DB" w:rsidRDefault="00905B3E">
      <w:pPr>
        <w:pStyle w:val="Innehll2"/>
        <w:rPr>
          <w:noProof w:val="0"/>
        </w:rPr>
      </w:pPr>
      <w:r w:rsidRPr="003F63DB">
        <w:rPr>
          <w:noProof w:val="0"/>
        </w:rPr>
        <w:t>2.4</w:t>
      </w:r>
      <w:r w:rsidRPr="003F63DB">
        <w:rPr>
          <w:noProof w:val="0"/>
        </w:rPr>
        <w:tab/>
        <w:t>Kostnader för uppdragsarkeologi</w:t>
      </w:r>
      <w:r w:rsidRPr="003F63DB">
        <w:rPr>
          <w:noProof w:val="0"/>
        </w:rPr>
        <w:tab/>
        <w:t>13</w:t>
      </w:r>
    </w:p>
    <w:p w:rsidR="00905B3E" w:rsidRPr="003F63DB" w:rsidRDefault="00905B3E">
      <w:pPr>
        <w:pStyle w:val="Innehll2"/>
        <w:rPr>
          <w:noProof w:val="0"/>
        </w:rPr>
      </w:pPr>
      <w:r w:rsidRPr="003F63DB">
        <w:rPr>
          <w:noProof w:val="0"/>
        </w:rPr>
        <w:t>2.5</w:t>
      </w:r>
      <w:r w:rsidRPr="003F63DB">
        <w:rPr>
          <w:noProof w:val="0"/>
        </w:rPr>
        <w:tab/>
        <w:t>Kompetenskrav och auktorisation</w:t>
      </w:r>
      <w:r w:rsidRPr="003F63DB">
        <w:rPr>
          <w:noProof w:val="0"/>
        </w:rPr>
        <w:tab/>
        <w:t>16</w:t>
      </w:r>
    </w:p>
    <w:p w:rsidR="00905B3E" w:rsidRPr="003F63DB" w:rsidRDefault="00905B3E">
      <w:pPr>
        <w:pStyle w:val="Innehll1"/>
        <w:rPr>
          <w:noProof w:val="0"/>
        </w:rPr>
      </w:pPr>
      <w:r w:rsidRPr="003F63DB">
        <w:rPr>
          <w:noProof w:val="0"/>
        </w:rPr>
        <w:t>3</w:t>
      </w:r>
      <w:r w:rsidRPr="003F63DB">
        <w:rPr>
          <w:noProof w:val="0"/>
        </w:rPr>
        <w:tab/>
        <w:t>Revisorernas förslag</w:t>
      </w:r>
      <w:r w:rsidRPr="003F63DB">
        <w:rPr>
          <w:noProof w:val="0"/>
        </w:rPr>
        <w:tab/>
      </w:r>
      <w:bookmarkStart w:id="184" w:name="_Hlt36538872"/>
      <w:r w:rsidRPr="003F63DB">
        <w:rPr>
          <w:noProof w:val="0"/>
        </w:rPr>
        <w:t>20</w:t>
      </w:r>
      <w:bookmarkEnd w:id="184"/>
    </w:p>
    <w:p w:rsidR="00905B3E" w:rsidRPr="003F63DB" w:rsidRDefault="00905B3E">
      <w:pPr>
        <w:pStyle w:val="Innehll1"/>
        <w:rPr>
          <w:i/>
          <w:noProof w:val="0"/>
        </w:rPr>
      </w:pPr>
      <w:r w:rsidRPr="003F63DB">
        <w:rPr>
          <w:i/>
          <w:noProof w:val="0"/>
        </w:rPr>
        <w:t>Bilaga 1</w:t>
      </w:r>
    </w:p>
    <w:p w:rsidR="00905B3E" w:rsidRPr="003F63DB" w:rsidRDefault="00905B3E">
      <w:pPr>
        <w:pStyle w:val="Innehll1"/>
        <w:rPr>
          <w:noProof w:val="0"/>
        </w:rPr>
      </w:pPr>
      <w:r w:rsidRPr="003F63DB">
        <w:rPr>
          <w:noProof w:val="0"/>
        </w:rPr>
        <w:t>Rapport 2002/03:3 Arkeologi på uppdrag</w:t>
      </w:r>
      <w:r w:rsidRPr="003F63DB">
        <w:rPr>
          <w:noProof w:val="0"/>
        </w:rPr>
        <w:tab/>
        <w:t>21</w:t>
      </w:r>
    </w:p>
    <w:p w:rsidR="00905B3E" w:rsidRPr="003F63DB" w:rsidRDefault="00905B3E">
      <w:pPr>
        <w:pStyle w:val="Innehll1"/>
        <w:rPr>
          <w:noProof w:val="0"/>
        </w:rPr>
      </w:pPr>
      <w:r w:rsidRPr="003F63DB">
        <w:rPr>
          <w:noProof w:val="0"/>
        </w:rPr>
        <w:t>Förord</w:t>
      </w:r>
      <w:r w:rsidRPr="003F63DB">
        <w:rPr>
          <w:noProof w:val="0"/>
        </w:rPr>
        <w:tab/>
      </w:r>
      <w:bookmarkStart w:id="185" w:name="_Hlt36525406"/>
      <w:r w:rsidRPr="003F63DB">
        <w:rPr>
          <w:noProof w:val="0"/>
        </w:rPr>
        <w:t>23</w:t>
      </w:r>
      <w:bookmarkEnd w:id="185"/>
    </w:p>
    <w:p w:rsidR="00905B3E" w:rsidRPr="003F63DB" w:rsidRDefault="00905B3E">
      <w:pPr>
        <w:pStyle w:val="Innehll1"/>
        <w:rPr>
          <w:noProof w:val="0"/>
        </w:rPr>
      </w:pPr>
      <w:r w:rsidRPr="003F63DB">
        <w:rPr>
          <w:noProof w:val="0"/>
        </w:rPr>
        <w:t>Sammanfattning</w:t>
      </w:r>
      <w:r w:rsidRPr="003F63DB">
        <w:rPr>
          <w:noProof w:val="0"/>
        </w:rPr>
        <w:tab/>
        <w:t>25</w:t>
      </w:r>
    </w:p>
    <w:p w:rsidR="00905B3E" w:rsidRPr="003F63DB" w:rsidRDefault="00905B3E">
      <w:pPr>
        <w:pStyle w:val="Innehll2"/>
        <w:rPr>
          <w:noProof w:val="0"/>
        </w:rPr>
      </w:pPr>
      <w:r w:rsidRPr="003F63DB">
        <w:rPr>
          <w:noProof w:val="0"/>
        </w:rPr>
        <w:t>Riksantikvarieämbetets uppgifter</w:t>
      </w:r>
      <w:r w:rsidRPr="003F63DB">
        <w:rPr>
          <w:noProof w:val="0"/>
        </w:rPr>
        <w:tab/>
        <w:t>25</w:t>
      </w:r>
    </w:p>
    <w:p w:rsidR="00905B3E" w:rsidRPr="003F63DB" w:rsidRDefault="00905B3E">
      <w:pPr>
        <w:pStyle w:val="Innehll2"/>
        <w:rPr>
          <w:noProof w:val="0"/>
        </w:rPr>
      </w:pPr>
      <w:r w:rsidRPr="003F63DB">
        <w:rPr>
          <w:noProof w:val="0"/>
        </w:rPr>
        <w:t>Konkurrens och insyn</w:t>
      </w:r>
      <w:r w:rsidRPr="003F63DB">
        <w:rPr>
          <w:noProof w:val="0"/>
        </w:rPr>
        <w:tab/>
        <w:t>26</w:t>
      </w:r>
    </w:p>
    <w:p w:rsidR="00905B3E" w:rsidRPr="003F63DB" w:rsidRDefault="00905B3E">
      <w:pPr>
        <w:pStyle w:val="Innehll2"/>
        <w:rPr>
          <w:noProof w:val="0"/>
        </w:rPr>
      </w:pPr>
      <w:r w:rsidRPr="003F63DB">
        <w:rPr>
          <w:noProof w:val="0"/>
        </w:rPr>
        <w:t>Kostnader för uppdragsarkeologi</w:t>
      </w:r>
      <w:r w:rsidRPr="003F63DB">
        <w:rPr>
          <w:noProof w:val="0"/>
        </w:rPr>
        <w:tab/>
        <w:t>28</w:t>
      </w:r>
    </w:p>
    <w:p w:rsidR="00905B3E" w:rsidRPr="003F63DB" w:rsidRDefault="00905B3E">
      <w:pPr>
        <w:pStyle w:val="Innehll2"/>
        <w:rPr>
          <w:noProof w:val="0"/>
        </w:rPr>
      </w:pPr>
      <w:r w:rsidRPr="003F63DB">
        <w:rPr>
          <w:noProof w:val="0"/>
        </w:rPr>
        <w:t>De arkeologiska resultaten</w:t>
      </w:r>
      <w:r w:rsidRPr="003F63DB">
        <w:rPr>
          <w:noProof w:val="0"/>
        </w:rPr>
        <w:tab/>
        <w:t>28</w:t>
      </w:r>
    </w:p>
    <w:p w:rsidR="00905B3E" w:rsidRPr="003F63DB" w:rsidRDefault="00905B3E">
      <w:pPr>
        <w:pStyle w:val="Innehll1"/>
        <w:rPr>
          <w:noProof w:val="0"/>
        </w:rPr>
      </w:pPr>
      <w:r w:rsidRPr="003F63DB">
        <w:rPr>
          <w:noProof w:val="0"/>
        </w:rPr>
        <w:t>1</w:t>
      </w:r>
      <w:r w:rsidRPr="003F63DB">
        <w:rPr>
          <w:noProof w:val="0"/>
        </w:rPr>
        <w:tab/>
        <w:t>Marken är full av fornlämningar</w:t>
      </w:r>
      <w:r w:rsidRPr="003F63DB">
        <w:rPr>
          <w:noProof w:val="0"/>
        </w:rPr>
        <w:tab/>
        <w:t>30</w:t>
      </w:r>
    </w:p>
    <w:p w:rsidR="00905B3E" w:rsidRPr="003F63DB" w:rsidRDefault="00905B3E">
      <w:pPr>
        <w:pStyle w:val="Innehll2"/>
        <w:rPr>
          <w:noProof w:val="0"/>
        </w:rPr>
      </w:pPr>
      <w:r w:rsidRPr="003F63DB">
        <w:rPr>
          <w:noProof w:val="0"/>
        </w:rPr>
        <w:t>1.1</w:t>
      </w:r>
      <w:r w:rsidRPr="003F63DB">
        <w:rPr>
          <w:noProof w:val="0"/>
        </w:rPr>
        <w:tab/>
        <w:t>Fasta fornlämningar ska skyddas</w:t>
      </w:r>
      <w:r w:rsidRPr="003F63DB">
        <w:rPr>
          <w:noProof w:val="0"/>
        </w:rPr>
        <w:tab/>
        <w:t>30</w:t>
      </w:r>
    </w:p>
    <w:p w:rsidR="00905B3E" w:rsidRPr="003F63DB" w:rsidRDefault="00905B3E">
      <w:pPr>
        <w:pStyle w:val="Innehll2"/>
        <w:rPr>
          <w:noProof w:val="0"/>
        </w:rPr>
      </w:pPr>
      <w:r w:rsidRPr="003F63DB">
        <w:rPr>
          <w:noProof w:val="0"/>
        </w:rPr>
        <w:t>1.2</w:t>
      </w:r>
      <w:r w:rsidRPr="003F63DB">
        <w:rPr>
          <w:noProof w:val="0"/>
        </w:rPr>
        <w:tab/>
        <w:t>Ingrepp i fornlämning kräver tillstånd</w:t>
      </w:r>
      <w:r w:rsidRPr="003F63DB">
        <w:rPr>
          <w:noProof w:val="0"/>
        </w:rPr>
        <w:tab/>
        <w:t>31</w:t>
      </w:r>
    </w:p>
    <w:p w:rsidR="00905B3E" w:rsidRPr="003F63DB" w:rsidRDefault="00905B3E">
      <w:pPr>
        <w:pStyle w:val="Innehll2"/>
        <w:rPr>
          <w:noProof w:val="0"/>
        </w:rPr>
      </w:pPr>
      <w:r w:rsidRPr="003F63DB">
        <w:rPr>
          <w:noProof w:val="0"/>
        </w:rPr>
        <w:t>1.3</w:t>
      </w:r>
      <w:r w:rsidRPr="003F63DB">
        <w:rPr>
          <w:noProof w:val="0"/>
        </w:rPr>
        <w:tab/>
        <w:t>Ingreppen är oåterkalleliga</w:t>
      </w:r>
      <w:r w:rsidRPr="003F63DB">
        <w:rPr>
          <w:noProof w:val="0"/>
        </w:rPr>
        <w:tab/>
        <w:t>32</w:t>
      </w:r>
    </w:p>
    <w:p w:rsidR="00905B3E" w:rsidRPr="003F63DB" w:rsidRDefault="00905B3E">
      <w:pPr>
        <w:pStyle w:val="Innehll2"/>
        <w:rPr>
          <w:noProof w:val="0"/>
        </w:rPr>
      </w:pPr>
      <w:r w:rsidRPr="003F63DB">
        <w:rPr>
          <w:noProof w:val="0"/>
        </w:rPr>
        <w:t>1.4</w:t>
      </w:r>
      <w:r w:rsidRPr="003F63DB">
        <w:rPr>
          <w:noProof w:val="0"/>
        </w:rPr>
        <w:tab/>
        <w:t>En beslutsprocess i tre steg</w:t>
      </w:r>
      <w:r w:rsidRPr="003F63DB">
        <w:rPr>
          <w:noProof w:val="0"/>
        </w:rPr>
        <w:tab/>
        <w:t>33</w:t>
      </w:r>
    </w:p>
    <w:p w:rsidR="00905B3E" w:rsidRPr="003F63DB" w:rsidRDefault="00905B3E">
      <w:pPr>
        <w:pStyle w:val="Innehll2"/>
        <w:rPr>
          <w:noProof w:val="0"/>
        </w:rPr>
      </w:pPr>
      <w:r w:rsidRPr="003F63DB">
        <w:rPr>
          <w:noProof w:val="0"/>
        </w:rPr>
        <w:t>1.5</w:t>
      </w:r>
      <w:r w:rsidRPr="003F63DB">
        <w:rPr>
          <w:noProof w:val="0"/>
        </w:rPr>
        <w:tab/>
        <w:t>Många är inblandade i uppdragsarkeologin</w:t>
      </w:r>
      <w:r w:rsidRPr="003F63DB">
        <w:rPr>
          <w:noProof w:val="0"/>
        </w:rPr>
        <w:tab/>
        <w:t>35</w:t>
      </w:r>
    </w:p>
    <w:p w:rsidR="00905B3E" w:rsidRPr="003F63DB" w:rsidRDefault="00905B3E">
      <w:pPr>
        <w:pStyle w:val="Innehll2"/>
        <w:rPr>
          <w:noProof w:val="0"/>
        </w:rPr>
      </w:pPr>
      <w:r w:rsidRPr="003F63DB">
        <w:rPr>
          <w:noProof w:val="0"/>
        </w:rPr>
        <w:t>1.6</w:t>
      </w:r>
      <w:r w:rsidRPr="003F63DB">
        <w:rPr>
          <w:noProof w:val="0"/>
        </w:rPr>
        <w:tab/>
        <w:t>Arkeologerna är en rörlig yrkeskår</w:t>
      </w:r>
      <w:r w:rsidRPr="003F63DB">
        <w:rPr>
          <w:noProof w:val="0"/>
        </w:rPr>
        <w:tab/>
        <w:t>39</w:t>
      </w:r>
    </w:p>
    <w:p w:rsidR="00905B3E" w:rsidRPr="003F63DB" w:rsidRDefault="00905B3E">
      <w:pPr>
        <w:pStyle w:val="Innehll2"/>
        <w:rPr>
          <w:noProof w:val="0"/>
        </w:rPr>
      </w:pPr>
      <w:r w:rsidRPr="003F63DB">
        <w:rPr>
          <w:noProof w:val="0"/>
        </w:rPr>
        <w:t>1.7</w:t>
      </w:r>
      <w:r w:rsidRPr="003F63DB">
        <w:rPr>
          <w:noProof w:val="0"/>
        </w:rPr>
        <w:tab/>
        <w:t>Sammanfattande iakttagelser</w:t>
      </w:r>
      <w:r w:rsidRPr="003F63DB">
        <w:rPr>
          <w:noProof w:val="0"/>
        </w:rPr>
        <w:tab/>
        <w:t>40</w:t>
      </w:r>
    </w:p>
    <w:p w:rsidR="00905B3E" w:rsidRPr="003F63DB" w:rsidRDefault="00905B3E">
      <w:pPr>
        <w:pStyle w:val="Innehll1"/>
        <w:rPr>
          <w:noProof w:val="0"/>
        </w:rPr>
      </w:pPr>
      <w:r w:rsidRPr="003F63DB">
        <w:rPr>
          <w:noProof w:val="0"/>
        </w:rPr>
        <w:t>2</w:t>
      </w:r>
      <w:r w:rsidRPr="003F63DB">
        <w:rPr>
          <w:noProof w:val="0"/>
        </w:rPr>
        <w:tab/>
        <w:t>Ingrepp ska ge ny kunskap</w:t>
      </w:r>
      <w:r w:rsidRPr="003F63DB">
        <w:rPr>
          <w:noProof w:val="0"/>
        </w:rPr>
        <w:tab/>
        <w:t>42</w:t>
      </w:r>
    </w:p>
    <w:p w:rsidR="00905B3E" w:rsidRPr="003F63DB" w:rsidRDefault="00905B3E">
      <w:pPr>
        <w:pStyle w:val="Innehll2"/>
        <w:rPr>
          <w:noProof w:val="0"/>
        </w:rPr>
      </w:pPr>
      <w:r w:rsidRPr="003F63DB">
        <w:rPr>
          <w:noProof w:val="0"/>
        </w:rPr>
        <w:t>2.1</w:t>
      </w:r>
      <w:r w:rsidRPr="003F63DB">
        <w:rPr>
          <w:noProof w:val="0"/>
        </w:rPr>
        <w:tab/>
        <w:t>Universiteten som mottagare och medverkande</w:t>
      </w:r>
      <w:r w:rsidRPr="003F63DB">
        <w:rPr>
          <w:noProof w:val="0"/>
        </w:rPr>
        <w:tab/>
        <w:t>42</w:t>
      </w:r>
    </w:p>
    <w:p w:rsidR="00905B3E" w:rsidRPr="003F63DB" w:rsidRDefault="00905B3E">
      <w:pPr>
        <w:pStyle w:val="Innehll2"/>
        <w:rPr>
          <w:noProof w:val="0"/>
        </w:rPr>
      </w:pPr>
      <w:r w:rsidRPr="003F63DB">
        <w:rPr>
          <w:noProof w:val="0"/>
        </w:rPr>
        <w:t>2.2</w:t>
      </w:r>
      <w:r w:rsidRPr="003F63DB">
        <w:rPr>
          <w:noProof w:val="0"/>
        </w:rPr>
        <w:tab/>
        <w:t>Rapporterna och fynden</w:t>
      </w:r>
      <w:r w:rsidRPr="003F63DB">
        <w:rPr>
          <w:noProof w:val="0"/>
        </w:rPr>
        <w:tab/>
        <w:t>47</w:t>
      </w:r>
    </w:p>
    <w:p w:rsidR="00905B3E" w:rsidRPr="003F63DB" w:rsidRDefault="00905B3E">
      <w:pPr>
        <w:pStyle w:val="Innehll2"/>
        <w:rPr>
          <w:noProof w:val="0"/>
        </w:rPr>
      </w:pPr>
      <w:r w:rsidRPr="003F63DB">
        <w:rPr>
          <w:noProof w:val="0"/>
        </w:rPr>
        <w:t>2.3</w:t>
      </w:r>
      <w:r w:rsidRPr="003F63DB">
        <w:rPr>
          <w:noProof w:val="0"/>
        </w:rPr>
        <w:tab/>
        <w:t>Försenade rapporter</w:t>
      </w:r>
      <w:r w:rsidRPr="003F63DB">
        <w:rPr>
          <w:noProof w:val="0"/>
        </w:rPr>
        <w:tab/>
        <w:t>50</w:t>
      </w:r>
    </w:p>
    <w:p w:rsidR="00905B3E" w:rsidRPr="003F63DB" w:rsidRDefault="00905B3E">
      <w:pPr>
        <w:pStyle w:val="Innehll2"/>
        <w:rPr>
          <w:noProof w:val="0"/>
        </w:rPr>
      </w:pPr>
      <w:r w:rsidRPr="003F63DB">
        <w:rPr>
          <w:noProof w:val="0"/>
        </w:rPr>
        <w:t>2.4</w:t>
      </w:r>
      <w:r w:rsidRPr="003F63DB">
        <w:rPr>
          <w:noProof w:val="0"/>
        </w:rPr>
        <w:tab/>
        <w:t>Sammanfattande iakttagelser</w:t>
      </w:r>
      <w:r w:rsidRPr="003F63DB">
        <w:rPr>
          <w:noProof w:val="0"/>
        </w:rPr>
        <w:tab/>
        <w:t>52</w:t>
      </w:r>
    </w:p>
    <w:p w:rsidR="00905B3E" w:rsidRPr="003F63DB" w:rsidRDefault="00905B3E">
      <w:pPr>
        <w:pStyle w:val="Innehll1"/>
        <w:rPr>
          <w:noProof w:val="0"/>
        </w:rPr>
      </w:pPr>
      <w:r w:rsidRPr="003F63DB">
        <w:rPr>
          <w:noProof w:val="0"/>
        </w:rPr>
        <w:t>3</w:t>
      </w:r>
      <w:r w:rsidRPr="003F63DB">
        <w:rPr>
          <w:noProof w:val="0"/>
        </w:rPr>
        <w:tab/>
        <w:t>Reglerade konkurrensvillkor</w:t>
      </w:r>
      <w:r w:rsidRPr="003F63DB">
        <w:rPr>
          <w:noProof w:val="0"/>
        </w:rPr>
        <w:tab/>
        <w:t>54</w:t>
      </w:r>
    </w:p>
    <w:p w:rsidR="00905B3E" w:rsidRPr="003F63DB" w:rsidRDefault="00905B3E">
      <w:pPr>
        <w:pStyle w:val="Innehll2"/>
        <w:rPr>
          <w:noProof w:val="0"/>
        </w:rPr>
      </w:pPr>
      <w:r w:rsidRPr="003F63DB">
        <w:rPr>
          <w:noProof w:val="0"/>
        </w:rPr>
        <w:t>3.1</w:t>
      </w:r>
      <w:r w:rsidRPr="003F63DB">
        <w:rPr>
          <w:noProof w:val="0"/>
        </w:rPr>
        <w:tab/>
        <w:t>Konkurrens och offentlig upphandling</w:t>
      </w:r>
      <w:r w:rsidRPr="003F63DB">
        <w:rPr>
          <w:noProof w:val="0"/>
        </w:rPr>
        <w:tab/>
        <w:t>54</w:t>
      </w:r>
    </w:p>
    <w:p w:rsidR="00905B3E" w:rsidRPr="003F63DB" w:rsidRDefault="00905B3E">
      <w:pPr>
        <w:pStyle w:val="Innehll2"/>
        <w:rPr>
          <w:noProof w:val="0"/>
        </w:rPr>
      </w:pPr>
      <w:r w:rsidRPr="003F63DB">
        <w:rPr>
          <w:noProof w:val="0"/>
        </w:rPr>
        <w:t>3.2</w:t>
      </w:r>
      <w:r w:rsidRPr="003F63DB">
        <w:rPr>
          <w:noProof w:val="0"/>
        </w:rPr>
        <w:tab/>
        <w:t>Önskemål om konkurrens i uppdragsarkeologi</w:t>
      </w:r>
      <w:r w:rsidRPr="003F63DB">
        <w:rPr>
          <w:noProof w:val="0"/>
        </w:rPr>
        <w:tab/>
        <w:t>54</w:t>
      </w:r>
    </w:p>
    <w:p w:rsidR="00905B3E" w:rsidRPr="003F63DB" w:rsidRDefault="00905B3E">
      <w:pPr>
        <w:pStyle w:val="Innehll2"/>
        <w:rPr>
          <w:noProof w:val="0"/>
        </w:rPr>
      </w:pPr>
      <w:r w:rsidRPr="003F63DB">
        <w:rPr>
          <w:noProof w:val="0"/>
        </w:rPr>
        <w:t>3.3</w:t>
      </w:r>
      <w:r w:rsidRPr="003F63DB">
        <w:rPr>
          <w:noProof w:val="0"/>
        </w:rPr>
        <w:tab/>
        <w:t>Anbudsliknande förfarande</w:t>
      </w:r>
      <w:r w:rsidRPr="003F63DB">
        <w:rPr>
          <w:noProof w:val="0"/>
        </w:rPr>
        <w:tab/>
        <w:t>55</w:t>
      </w:r>
    </w:p>
    <w:p w:rsidR="00905B3E" w:rsidRPr="003F63DB" w:rsidRDefault="00905B3E">
      <w:pPr>
        <w:pStyle w:val="Innehll2"/>
        <w:rPr>
          <w:noProof w:val="0"/>
        </w:rPr>
      </w:pPr>
      <w:r w:rsidRPr="003F63DB">
        <w:rPr>
          <w:noProof w:val="0"/>
        </w:rPr>
        <w:t>3.4</w:t>
      </w:r>
      <w:r w:rsidRPr="003F63DB">
        <w:rPr>
          <w:noProof w:val="0"/>
        </w:rPr>
        <w:tab/>
        <w:t>Tjänster som ska upphandlas</w:t>
      </w:r>
      <w:r w:rsidRPr="003F63DB">
        <w:rPr>
          <w:noProof w:val="0"/>
        </w:rPr>
        <w:tab/>
        <w:t>59</w:t>
      </w:r>
    </w:p>
    <w:p w:rsidR="00905B3E" w:rsidRPr="003F63DB" w:rsidRDefault="00905B3E">
      <w:pPr>
        <w:pStyle w:val="Innehll2"/>
        <w:rPr>
          <w:noProof w:val="0"/>
        </w:rPr>
      </w:pPr>
      <w:r w:rsidRPr="003F63DB">
        <w:rPr>
          <w:noProof w:val="0"/>
        </w:rPr>
        <w:t>3.5</w:t>
      </w:r>
      <w:r w:rsidRPr="003F63DB">
        <w:rPr>
          <w:noProof w:val="0"/>
        </w:rPr>
        <w:tab/>
        <w:t>Sammanfattande iakttagelser</w:t>
      </w:r>
      <w:r w:rsidRPr="003F63DB">
        <w:rPr>
          <w:noProof w:val="0"/>
        </w:rPr>
        <w:tab/>
        <w:t>59</w:t>
      </w:r>
    </w:p>
    <w:p w:rsidR="00905B3E" w:rsidRPr="003F63DB" w:rsidRDefault="00905B3E">
      <w:pPr>
        <w:pStyle w:val="Innehll1"/>
        <w:rPr>
          <w:noProof w:val="0"/>
        </w:rPr>
      </w:pPr>
      <w:r w:rsidRPr="003F63DB">
        <w:rPr>
          <w:noProof w:val="0"/>
        </w:rPr>
        <w:t>4</w:t>
      </w:r>
      <w:r w:rsidRPr="003F63DB">
        <w:rPr>
          <w:noProof w:val="0"/>
        </w:rPr>
        <w:tab/>
        <w:t>Ny kunskap till rimlig kostnad</w:t>
      </w:r>
      <w:r w:rsidRPr="003F63DB">
        <w:rPr>
          <w:noProof w:val="0"/>
        </w:rPr>
        <w:tab/>
        <w:t>61</w:t>
      </w:r>
    </w:p>
    <w:p w:rsidR="00905B3E" w:rsidRPr="003F63DB" w:rsidRDefault="00905B3E">
      <w:pPr>
        <w:pStyle w:val="Innehll2"/>
        <w:rPr>
          <w:noProof w:val="0"/>
        </w:rPr>
      </w:pPr>
      <w:r w:rsidRPr="003F63DB">
        <w:rPr>
          <w:noProof w:val="0"/>
        </w:rPr>
        <w:t>4.1</w:t>
      </w:r>
      <w:r w:rsidRPr="003F63DB">
        <w:rPr>
          <w:noProof w:val="0"/>
        </w:rPr>
        <w:tab/>
        <w:t>Exploatörerna betalar</w:t>
      </w:r>
      <w:r w:rsidRPr="003F63DB">
        <w:rPr>
          <w:noProof w:val="0"/>
        </w:rPr>
        <w:tab/>
        <w:t>61</w:t>
      </w:r>
    </w:p>
    <w:p w:rsidR="00905B3E" w:rsidRPr="003F63DB" w:rsidRDefault="00905B3E">
      <w:pPr>
        <w:pStyle w:val="Innehll2"/>
        <w:rPr>
          <w:noProof w:val="0"/>
        </w:rPr>
      </w:pPr>
      <w:r w:rsidRPr="003F63DB">
        <w:rPr>
          <w:noProof w:val="0"/>
        </w:rPr>
        <w:t>4.2</w:t>
      </w:r>
      <w:r w:rsidRPr="003F63DB">
        <w:rPr>
          <w:noProof w:val="0"/>
        </w:rPr>
        <w:tab/>
        <w:t>Exploatörernas frivilliga ekonomiska åtaganden</w:t>
      </w:r>
      <w:r w:rsidRPr="003F63DB">
        <w:rPr>
          <w:noProof w:val="0"/>
        </w:rPr>
        <w:tab/>
        <w:t>63</w:t>
      </w:r>
    </w:p>
    <w:p w:rsidR="00905B3E" w:rsidRPr="003F63DB" w:rsidRDefault="00905B3E">
      <w:pPr>
        <w:pStyle w:val="Innehll2"/>
        <w:rPr>
          <w:noProof w:val="0"/>
        </w:rPr>
      </w:pPr>
      <w:r w:rsidRPr="003F63DB">
        <w:rPr>
          <w:noProof w:val="0"/>
        </w:rPr>
        <w:t>4.3</w:t>
      </w:r>
      <w:r w:rsidRPr="003F63DB">
        <w:rPr>
          <w:noProof w:val="0"/>
        </w:rPr>
        <w:tab/>
        <w:t>Kostnader för arkeologiska undersökningar</w:t>
      </w:r>
      <w:r w:rsidRPr="003F63DB">
        <w:rPr>
          <w:noProof w:val="0"/>
        </w:rPr>
        <w:tab/>
        <w:t>64</w:t>
      </w:r>
    </w:p>
    <w:p w:rsidR="00905B3E" w:rsidRPr="003F63DB" w:rsidRDefault="00905B3E">
      <w:pPr>
        <w:pStyle w:val="Innehll2"/>
        <w:rPr>
          <w:noProof w:val="0"/>
        </w:rPr>
      </w:pPr>
      <w:r w:rsidRPr="003F63DB">
        <w:rPr>
          <w:noProof w:val="0"/>
        </w:rPr>
        <w:t>4.4</w:t>
      </w:r>
      <w:r w:rsidRPr="003F63DB">
        <w:rPr>
          <w:noProof w:val="0"/>
        </w:rPr>
        <w:tab/>
        <w:t>Bestämning av ambitionsnivå och kostnader</w:t>
      </w:r>
      <w:r w:rsidRPr="003F63DB">
        <w:rPr>
          <w:noProof w:val="0"/>
        </w:rPr>
        <w:tab/>
        <w:t>65</w:t>
      </w:r>
    </w:p>
    <w:p w:rsidR="00905B3E" w:rsidRPr="003F63DB" w:rsidRDefault="00905B3E">
      <w:pPr>
        <w:pStyle w:val="Innehll2"/>
        <w:rPr>
          <w:noProof w:val="0"/>
        </w:rPr>
      </w:pPr>
      <w:r w:rsidRPr="003F63DB">
        <w:rPr>
          <w:noProof w:val="0"/>
        </w:rPr>
        <w:t>4.5</w:t>
      </w:r>
      <w:r w:rsidRPr="003F63DB">
        <w:rPr>
          <w:noProof w:val="0"/>
        </w:rPr>
        <w:tab/>
        <w:t>Prövningen i praktiken</w:t>
      </w:r>
      <w:r w:rsidRPr="003F63DB">
        <w:rPr>
          <w:noProof w:val="0"/>
        </w:rPr>
        <w:tab/>
        <w:t>66</w:t>
      </w:r>
    </w:p>
    <w:p w:rsidR="00905B3E" w:rsidRPr="003F63DB" w:rsidRDefault="00905B3E">
      <w:pPr>
        <w:pStyle w:val="Innehll2"/>
        <w:rPr>
          <w:noProof w:val="0"/>
        </w:rPr>
      </w:pPr>
      <w:r w:rsidRPr="003F63DB">
        <w:rPr>
          <w:noProof w:val="0"/>
        </w:rPr>
        <w:t>4.6</w:t>
      </w:r>
      <w:r w:rsidRPr="003F63DB">
        <w:rPr>
          <w:noProof w:val="0"/>
        </w:rPr>
        <w:tab/>
        <w:t>Beräkning och redovisning av kostnader</w:t>
      </w:r>
      <w:r w:rsidRPr="003F63DB">
        <w:rPr>
          <w:noProof w:val="0"/>
        </w:rPr>
        <w:tab/>
        <w:t>68</w:t>
      </w:r>
    </w:p>
    <w:p w:rsidR="00905B3E" w:rsidRPr="003F63DB" w:rsidRDefault="00905B3E">
      <w:pPr>
        <w:pStyle w:val="Innehll2"/>
        <w:rPr>
          <w:noProof w:val="0"/>
        </w:rPr>
      </w:pPr>
      <w:r w:rsidRPr="003F63DB">
        <w:rPr>
          <w:noProof w:val="0"/>
        </w:rPr>
        <w:t>4.7</w:t>
      </w:r>
      <w:r w:rsidRPr="003F63DB">
        <w:rPr>
          <w:noProof w:val="0"/>
        </w:rPr>
        <w:tab/>
        <w:t>Länsstyrelsernas tillsyn</w:t>
      </w:r>
      <w:r w:rsidRPr="003F63DB">
        <w:rPr>
          <w:noProof w:val="0"/>
        </w:rPr>
        <w:tab/>
        <w:t>69</w:t>
      </w:r>
    </w:p>
    <w:p w:rsidR="00905B3E" w:rsidRPr="003F63DB" w:rsidRDefault="00905B3E">
      <w:pPr>
        <w:pStyle w:val="Innehll2"/>
        <w:rPr>
          <w:noProof w:val="0"/>
        </w:rPr>
      </w:pPr>
      <w:r w:rsidRPr="003F63DB">
        <w:rPr>
          <w:noProof w:val="0"/>
        </w:rPr>
        <w:t>4.8</w:t>
      </w:r>
      <w:r w:rsidRPr="003F63DB">
        <w:rPr>
          <w:noProof w:val="0"/>
        </w:rPr>
        <w:tab/>
        <w:t>Exploatörernas kontroll</w:t>
      </w:r>
      <w:r w:rsidRPr="003F63DB">
        <w:rPr>
          <w:noProof w:val="0"/>
        </w:rPr>
        <w:tab/>
        <w:t>72</w:t>
      </w:r>
    </w:p>
    <w:p w:rsidR="00905B3E" w:rsidRPr="003F63DB" w:rsidRDefault="00905B3E">
      <w:pPr>
        <w:pStyle w:val="Innehll2"/>
        <w:rPr>
          <w:noProof w:val="0"/>
        </w:rPr>
      </w:pPr>
      <w:r w:rsidRPr="003F63DB">
        <w:rPr>
          <w:noProof w:val="0"/>
        </w:rPr>
        <w:t>4.9</w:t>
      </w:r>
      <w:r w:rsidRPr="003F63DB">
        <w:rPr>
          <w:noProof w:val="0"/>
        </w:rPr>
        <w:tab/>
        <w:t>Sammanfattande iakttagelser</w:t>
      </w:r>
      <w:r w:rsidRPr="003F63DB">
        <w:rPr>
          <w:noProof w:val="0"/>
        </w:rPr>
        <w:tab/>
        <w:t>73</w:t>
      </w:r>
    </w:p>
    <w:p w:rsidR="00905B3E" w:rsidRPr="003F63DB" w:rsidRDefault="00905B3E">
      <w:pPr>
        <w:pStyle w:val="Innehll1"/>
        <w:rPr>
          <w:noProof w:val="0"/>
        </w:rPr>
      </w:pPr>
      <w:r w:rsidRPr="003F63DB">
        <w:rPr>
          <w:noProof w:val="0"/>
        </w:rPr>
        <w:t>5</w:t>
      </w:r>
      <w:r w:rsidRPr="003F63DB">
        <w:rPr>
          <w:noProof w:val="0"/>
        </w:rPr>
        <w:tab/>
        <w:t>Undersökarna och uppdragen</w:t>
      </w:r>
      <w:r w:rsidRPr="003F63DB">
        <w:rPr>
          <w:noProof w:val="0"/>
        </w:rPr>
        <w:tab/>
        <w:t>75</w:t>
      </w:r>
    </w:p>
    <w:p w:rsidR="00905B3E" w:rsidRPr="003F63DB" w:rsidRDefault="00905B3E">
      <w:pPr>
        <w:pStyle w:val="Innehll2"/>
        <w:rPr>
          <w:noProof w:val="0"/>
        </w:rPr>
      </w:pPr>
      <w:r w:rsidRPr="003F63DB">
        <w:rPr>
          <w:noProof w:val="0"/>
        </w:rPr>
        <w:t>5.1</w:t>
      </w:r>
      <w:r w:rsidRPr="003F63DB">
        <w:rPr>
          <w:noProof w:val="0"/>
        </w:rPr>
        <w:tab/>
        <w:t>Uppdragens antal och storlek</w:t>
      </w:r>
      <w:r w:rsidRPr="003F63DB">
        <w:rPr>
          <w:noProof w:val="0"/>
        </w:rPr>
        <w:tab/>
        <w:t>75</w:t>
      </w:r>
    </w:p>
    <w:p w:rsidR="00905B3E" w:rsidRPr="003F63DB" w:rsidRDefault="00905B3E">
      <w:pPr>
        <w:pStyle w:val="Innehll2"/>
        <w:rPr>
          <w:noProof w:val="0"/>
        </w:rPr>
      </w:pPr>
      <w:r w:rsidRPr="003F63DB">
        <w:rPr>
          <w:noProof w:val="0"/>
        </w:rPr>
        <w:t>5.2</w:t>
      </w:r>
      <w:r w:rsidRPr="003F63DB">
        <w:rPr>
          <w:noProof w:val="0"/>
        </w:rPr>
        <w:tab/>
        <w:t>Uppdragens geografiska fördelning</w:t>
      </w:r>
      <w:r w:rsidRPr="003F63DB">
        <w:rPr>
          <w:noProof w:val="0"/>
        </w:rPr>
        <w:tab/>
        <w:t>76</w:t>
      </w:r>
    </w:p>
    <w:p w:rsidR="00905B3E" w:rsidRPr="003F63DB" w:rsidRDefault="00905B3E">
      <w:pPr>
        <w:pStyle w:val="Innehll2"/>
        <w:rPr>
          <w:noProof w:val="0"/>
        </w:rPr>
      </w:pPr>
      <w:r w:rsidRPr="003F63DB">
        <w:rPr>
          <w:noProof w:val="0"/>
        </w:rPr>
        <w:t>5.3</w:t>
      </w:r>
      <w:r w:rsidRPr="003F63DB">
        <w:rPr>
          <w:noProof w:val="0"/>
        </w:rPr>
        <w:tab/>
        <w:t>De arkeologiska undersökarna</w:t>
      </w:r>
      <w:r w:rsidRPr="003F63DB">
        <w:rPr>
          <w:noProof w:val="0"/>
        </w:rPr>
        <w:tab/>
        <w:t>78</w:t>
      </w:r>
    </w:p>
    <w:p w:rsidR="00905B3E" w:rsidRPr="003F63DB" w:rsidRDefault="00905B3E">
      <w:pPr>
        <w:pStyle w:val="Innehll2"/>
        <w:rPr>
          <w:noProof w:val="0"/>
        </w:rPr>
      </w:pPr>
      <w:r w:rsidRPr="003F63DB">
        <w:rPr>
          <w:noProof w:val="0"/>
        </w:rPr>
        <w:t>5.4</w:t>
      </w:r>
      <w:r w:rsidRPr="003F63DB">
        <w:rPr>
          <w:noProof w:val="0"/>
        </w:rPr>
        <w:tab/>
        <w:t>Undersökarnas marknadsandelar</w:t>
      </w:r>
      <w:r w:rsidRPr="003F63DB">
        <w:rPr>
          <w:noProof w:val="0"/>
        </w:rPr>
        <w:tab/>
        <w:t>78</w:t>
      </w:r>
    </w:p>
    <w:p w:rsidR="00905B3E" w:rsidRPr="003F63DB" w:rsidRDefault="00905B3E">
      <w:pPr>
        <w:pStyle w:val="Innehll2"/>
        <w:rPr>
          <w:noProof w:val="0"/>
        </w:rPr>
      </w:pPr>
      <w:r w:rsidRPr="003F63DB">
        <w:rPr>
          <w:noProof w:val="0"/>
        </w:rPr>
        <w:t>5.5</w:t>
      </w:r>
      <w:r w:rsidRPr="003F63DB">
        <w:rPr>
          <w:noProof w:val="0"/>
        </w:rPr>
        <w:tab/>
        <w:t>Undersökarnas olika förutsättningar</w:t>
      </w:r>
      <w:r w:rsidRPr="003F63DB">
        <w:rPr>
          <w:noProof w:val="0"/>
        </w:rPr>
        <w:tab/>
        <w:t>80</w:t>
      </w:r>
    </w:p>
    <w:p w:rsidR="00905B3E" w:rsidRPr="003F63DB" w:rsidRDefault="00905B3E">
      <w:pPr>
        <w:pStyle w:val="Innehll2"/>
        <w:rPr>
          <w:noProof w:val="0"/>
        </w:rPr>
      </w:pPr>
      <w:r w:rsidRPr="003F63DB">
        <w:rPr>
          <w:noProof w:val="0"/>
        </w:rPr>
        <w:t>5.6</w:t>
      </w:r>
      <w:r w:rsidRPr="003F63DB">
        <w:rPr>
          <w:noProof w:val="0"/>
        </w:rPr>
        <w:tab/>
        <w:t>Taxor och prissättning</w:t>
      </w:r>
      <w:r w:rsidRPr="003F63DB">
        <w:rPr>
          <w:noProof w:val="0"/>
        </w:rPr>
        <w:tab/>
        <w:t>83</w:t>
      </w:r>
    </w:p>
    <w:p w:rsidR="00905B3E" w:rsidRPr="003F63DB" w:rsidRDefault="00905B3E">
      <w:pPr>
        <w:pStyle w:val="Innehll2"/>
        <w:rPr>
          <w:noProof w:val="0"/>
        </w:rPr>
      </w:pPr>
      <w:r w:rsidRPr="003F63DB">
        <w:rPr>
          <w:noProof w:val="0"/>
        </w:rPr>
        <w:t>5.7</w:t>
      </w:r>
      <w:r w:rsidRPr="003F63DB">
        <w:rPr>
          <w:noProof w:val="0"/>
        </w:rPr>
        <w:tab/>
        <w:t>Sammanfattande iakttagelser</w:t>
      </w:r>
      <w:r w:rsidRPr="003F63DB">
        <w:rPr>
          <w:noProof w:val="0"/>
        </w:rPr>
        <w:tab/>
        <w:t>85</w:t>
      </w:r>
    </w:p>
    <w:p w:rsidR="00905B3E" w:rsidRPr="003F63DB" w:rsidRDefault="00905B3E">
      <w:pPr>
        <w:pStyle w:val="Innehll1"/>
        <w:rPr>
          <w:noProof w:val="0"/>
        </w:rPr>
      </w:pPr>
      <w:r w:rsidRPr="003F63DB">
        <w:rPr>
          <w:noProof w:val="0"/>
        </w:rPr>
        <w:t>6</w:t>
      </w:r>
      <w:r w:rsidRPr="003F63DB">
        <w:rPr>
          <w:noProof w:val="0"/>
        </w:rPr>
        <w:tab/>
        <w:t>Länsstyrelserna väljer undersökare</w:t>
      </w:r>
      <w:r w:rsidRPr="003F63DB">
        <w:rPr>
          <w:noProof w:val="0"/>
        </w:rPr>
        <w:tab/>
        <w:t>87</w:t>
      </w:r>
    </w:p>
    <w:p w:rsidR="00905B3E" w:rsidRPr="003F63DB" w:rsidRDefault="00905B3E">
      <w:pPr>
        <w:pStyle w:val="Innehll2"/>
        <w:rPr>
          <w:noProof w:val="0"/>
        </w:rPr>
      </w:pPr>
      <w:r w:rsidRPr="003F63DB">
        <w:rPr>
          <w:noProof w:val="0"/>
        </w:rPr>
        <w:t>6.1</w:t>
      </w:r>
      <w:r w:rsidRPr="003F63DB">
        <w:rPr>
          <w:noProof w:val="0"/>
        </w:rPr>
        <w:tab/>
        <w:t>Undersökare som anlitats för uppdrag</w:t>
      </w:r>
      <w:r w:rsidRPr="003F63DB">
        <w:rPr>
          <w:noProof w:val="0"/>
        </w:rPr>
        <w:tab/>
        <w:t>87</w:t>
      </w:r>
    </w:p>
    <w:p w:rsidR="00905B3E" w:rsidRPr="003F63DB" w:rsidRDefault="00905B3E">
      <w:pPr>
        <w:pStyle w:val="Innehll2"/>
        <w:rPr>
          <w:noProof w:val="0"/>
        </w:rPr>
      </w:pPr>
      <w:r w:rsidRPr="003F63DB">
        <w:rPr>
          <w:noProof w:val="0"/>
        </w:rPr>
        <w:t>6.2</w:t>
      </w:r>
      <w:r w:rsidRPr="003F63DB">
        <w:rPr>
          <w:noProof w:val="0"/>
        </w:rPr>
        <w:tab/>
        <w:t>Urvalsförfarandets omfattning</w:t>
      </w:r>
      <w:r w:rsidRPr="003F63DB">
        <w:rPr>
          <w:noProof w:val="0"/>
        </w:rPr>
        <w:tab/>
        <w:t>88</w:t>
      </w:r>
    </w:p>
    <w:p w:rsidR="00905B3E" w:rsidRPr="003F63DB" w:rsidRDefault="00905B3E">
      <w:pPr>
        <w:pStyle w:val="Innehll2"/>
        <w:rPr>
          <w:noProof w:val="0"/>
        </w:rPr>
      </w:pPr>
      <w:r w:rsidRPr="003F63DB">
        <w:rPr>
          <w:noProof w:val="0"/>
        </w:rPr>
        <w:t>6.3</w:t>
      </w:r>
      <w:r w:rsidRPr="003F63DB">
        <w:rPr>
          <w:noProof w:val="0"/>
        </w:rPr>
        <w:tab/>
        <w:t>Undersökningar med kostnader över 30 prisbasbelopp</w:t>
      </w:r>
      <w:r w:rsidRPr="003F63DB">
        <w:rPr>
          <w:noProof w:val="0"/>
        </w:rPr>
        <w:tab/>
        <w:t>90</w:t>
      </w:r>
    </w:p>
    <w:p w:rsidR="00905B3E" w:rsidRPr="003F63DB" w:rsidRDefault="00905B3E">
      <w:pPr>
        <w:pStyle w:val="Innehll2"/>
        <w:rPr>
          <w:noProof w:val="0"/>
        </w:rPr>
      </w:pPr>
      <w:r w:rsidRPr="003F63DB">
        <w:rPr>
          <w:noProof w:val="0"/>
        </w:rPr>
        <w:t>6.4</w:t>
      </w:r>
      <w:r w:rsidRPr="003F63DB">
        <w:rPr>
          <w:noProof w:val="0"/>
        </w:rPr>
        <w:tab/>
        <w:t>Motiv för direktval då urval borde ha tillämpats</w:t>
      </w:r>
      <w:r w:rsidRPr="003F63DB">
        <w:rPr>
          <w:noProof w:val="0"/>
        </w:rPr>
        <w:tab/>
        <w:t>92</w:t>
      </w:r>
    </w:p>
    <w:p w:rsidR="00905B3E" w:rsidRPr="003F63DB" w:rsidRDefault="00905B3E">
      <w:pPr>
        <w:pStyle w:val="Innehll2"/>
        <w:rPr>
          <w:noProof w:val="0"/>
        </w:rPr>
      </w:pPr>
      <w:r w:rsidRPr="003F63DB">
        <w:rPr>
          <w:noProof w:val="0"/>
        </w:rPr>
        <w:t>6.5</w:t>
      </w:r>
      <w:r w:rsidRPr="003F63DB">
        <w:rPr>
          <w:noProof w:val="0"/>
        </w:rPr>
        <w:tab/>
        <w:t>Motiv för valet av undersökare</w:t>
      </w:r>
      <w:r w:rsidRPr="003F63DB">
        <w:rPr>
          <w:noProof w:val="0"/>
        </w:rPr>
        <w:tab/>
        <w:t>93</w:t>
      </w:r>
    </w:p>
    <w:p w:rsidR="00905B3E" w:rsidRPr="003F63DB" w:rsidRDefault="00905B3E">
      <w:pPr>
        <w:pStyle w:val="Innehll2"/>
        <w:rPr>
          <w:noProof w:val="0"/>
        </w:rPr>
      </w:pPr>
      <w:r w:rsidRPr="003F63DB">
        <w:rPr>
          <w:noProof w:val="0"/>
        </w:rPr>
        <w:t>6.6</w:t>
      </w:r>
      <w:r w:rsidRPr="003F63DB">
        <w:rPr>
          <w:noProof w:val="0"/>
        </w:rPr>
        <w:tab/>
        <w:t>Kompetenskrav</w:t>
      </w:r>
      <w:r w:rsidRPr="003F63DB">
        <w:rPr>
          <w:noProof w:val="0"/>
        </w:rPr>
        <w:tab/>
        <w:t>94</w:t>
      </w:r>
    </w:p>
    <w:p w:rsidR="00905B3E" w:rsidRPr="003F63DB" w:rsidRDefault="00905B3E">
      <w:pPr>
        <w:pStyle w:val="Innehll2"/>
        <w:rPr>
          <w:noProof w:val="0"/>
        </w:rPr>
      </w:pPr>
      <w:r w:rsidRPr="003F63DB">
        <w:rPr>
          <w:noProof w:val="0"/>
        </w:rPr>
        <w:t>6.7</w:t>
      </w:r>
      <w:r w:rsidRPr="003F63DB">
        <w:rPr>
          <w:noProof w:val="0"/>
        </w:rPr>
        <w:tab/>
        <w:t>Konkurrens, samarbete eller marknadsuppdelning</w:t>
      </w:r>
      <w:r w:rsidRPr="003F63DB">
        <w:rPr>
          <w:noProof w:val="0"/>
        </w:rPr>
        <w:tab/>
        <w:t>95</w:t>
      </w:r>
    </w:p>
    <w:p w:rsidR="00905B3E" w:rsidRPr="003F63DB" w:rsidRDefault="00905B3E">
      <w:pPr>
        <w:pStyle w:val="Innehll2"/>
        <w:rPr>
          <w:noProof w:val="0"/>
        </w:rPr>
      </w:pPr>
      <w:r w:rsidRPr="003F63DB">
        <w:rPr>
          <w:noProof w:val="0"/>
        </w:rPr>
        <w:t>6.8</w:t>
      </w:r>
      <w:r w:rsidRPr="003F63DB">
        <w:rPr>
          <w:noProof w:val="0"/>
        </w:rPr>
        <w:tab/>
        <w:t>Effekter av konkurrens</w:t>
      </w:r>
      <w:r w:rsidRPr="003F63DB">
        <w:rPr>
          <w:noProof w:val="0"/>
        </w:rPr>
        <w:tab/>
        <w:t>97</w:t>
      </w:r>
    </w:p>
    <w:p w:rsidR="00905B3E" w:rsidRPr="003F63DB" w:rsidRDefault="00905B3E">
      <w:pPr>
        <w:pStyle w:val="Innehll2"/>
        <w:rPr>
          <w:noProof w:val="0"/>
        </w:rPr>
      </w:pPr>
      <w:r w:rsidRPr="003F63DB">
        <w:rPr>
          <w:noProof w:val="0"/>
        </w:rPr>
        <w:t>6.9</w:t>
      </w:r>
      <w:r w:rsidRPr="003F63DB">
        <w:rPr>
          <w:noProof w:val="0"/>
        </w:rPr>
        <w:tab/>
        <w:t>Sammanfattande iakttagelser</w:t>
      </w:r>
      <w:r w:rsidRPr="003F63DB">
        <w:rPr>
          <w:noProof w:val="0"/>
        </w:rPr>
        <w:tab/>
        <w:t>98</w:t>
      </w:r>
    </w:p>
    <w:p w:rsidR="00905B3E" w:rsidRPr="003F63DB" w:rsidRDefault="00905B3E">
      <w:pPr>
        <w:pStyle w:val="Innehll1"/>
        <w:rPr>
          <w:noProof w:val="0"/>
        </w:rPr>
      </w:pPr>
      <w:r w:rsidRPr="003F63DB">
        <w:rPr>
          <w:noProof w:val="0"/>
        </w:rPr>
        <w:t>7</w:t>
      </w:r>
      <w:r w:rsidRPr="003F63DB">
        <w:rPr>
          <w:noProof w:val="0"/>
        </w:rPr>
        <w:tab/>
        <w:t>Intressekonflikter i Riksantikvarieämbetets uppgifter</w:t>
      </w:r>
      <w:r w:rsidRPr="003F63DB">
        <w:rPr>
          <w:noProof w:val="0"/>
        </w:rPr>
        <w:tab/>
        <w:t>100</w:t>
      </w:r>
    </w:p>
    <w:p w:rsidR="00905B3E" w:rsidRPr="003F63DB" w:rsidRDefault="00905B3E">
      <w:pPr>
        <w:pStyle w:val="Innehll2"/>
        <w:rPr>
          <w:noProof w:val="0"/>
        </w:rPr>
      </w:pPr>
      <w:r w:rsidRPr="003F63DB">
        <w:rPr>
          <w:noProof w:val="0"/>
        </w:rPr>
        <w:t>7.1</w:t>
      </w:r>
      <w:r w:rsidRPr="003F63DB">
        <w:rPr>
          <w:noProof w:val="0"/>
        </w:rPr>
        <w:tab/>
        <w:t>Styrning och tillsyn av egen verksamhet</w:t>
      </w:r>
      <w:r w:rsidRPr="003F63DB">
        <w:rPr>
          <w:noProof w:val="0"/>
        </w:rPr>
        <w:tab/>
        <w:t>100</w:t>
      </w:r>
    </w:p>
    <w:p w:rsidR="00905B3E" w:rsidRPr="003F63DB" w:rsidRDefault="00905B3E">
      <w:pPr>
        <w:pStyle w:val="Innehll2"/>
        <w:rPr>
          <w:noProof w:val="0"/>
        </w:rPr>
      </w:pPr>
      <w:r w:rsidRPr="003F63DB">
        <w:rPr>
          <w:noProof w:val="0"/>
        </w:rPr>
        <w:t>7.2</w:t>
      </w:r>
      <w:r w:rsidRPr="003F63DB">
        <w:rPr>
          <w:noProof w:val="0"/>
        </w:rPr>
        <w:tab/>
        <w:t>Diskussionen om att skilja UV från Riksantikvarieämbetet</w:t>
      </w:r>
      <w:r w:rsidRPr="003F63DB">
        <w:rPr>
          <w:noProof w:val="0"/>
        </w:rPr>
        <w:tab/>
        <w:t>102</w:t>
      </w:r>
    </w:p>
    <w:p w:rsidR="00905B3E" w:rsidRPr="003F63DB" w:rsidRDefault="00905B3E">
      <w:pPr>
        <w:pStyle w:val="Innehll2"/>
        <w:rPr>
          <w:noProof w:val="0"/>
        </w:rPr>
      </w:pPr>
      <w:r w:rsidRPr="003F63DB">
        <w:rPr>
          <w:noProof w:val="0"/>
        </w:rPr>
        <w:t>7.3</w:t>
      </w:r>
      <w:r w:rsidRPr="003F63DB">
        <w:rPr>
          <w:noProof w:val="0"/>
        </w:rPr>
        <w:tab/>
        <w:t>Sammanfattande iakttagelser</w:t>
      </w:r>
      <w:r w:rsidRPr="003F63DB">
        <w:rPr>
          <w:noProof w:val="0"/>
        </w:rPr>
        <w:tab/>
        <w:t>104</w:t>
      </w:r>
    </w:p>
    <w:p w:rsidR="00905B3E" w:rsidRPr="003F63DB" w:rsidRDefault="00905B3E">
      <w:pPr>
        <w:pStyle w:val="Innehll1"/>
        <w:rPr>
          <w:noProof w:val="0"/>
        </w:rPr>
      </w:pPr>
      <w:r w:rsidRPr="003F63DB">
        <w:rPr>
          <w:noProof w:val="0"/>
        </w:rPr>
        <w:t>8</w:t>
      </w:r>
      <w:r w:rsidRPr="003F63DB">
        <w:rPr>
          <w:noProof w:val="0"/>
        </w:rPr>
        <w:tab/>
        <w:t>Revisorernas överväganden och förslag</w:t>
      </w:r>
      <w:r w:rsidRPr="003F63DB">
        <w:rPr>
          <w:noProof w:val="0"/>
        </w:rPr>
        <w:tab/>
        <w:t>106</w:t>
      </w:r>
    </w:p>
    <w:p w:rsidR="00905B3E" w:rsidRPr="003F63DB" w:rsidRDefault="00905B3E">
      <w:pPr>
        <w:pStyle w:val="Innehll2"/>
        <w:rPr>
          <w:noProof w:val="0"/>
        </w:rPr>
      </w:pPr>
      <w:r w:rsidRPr="003F63DB">
        <w:rPr>
          <w:noProof w:val="0"/>
        </w:rPr>
        <w:t>8.1</w:t>
      </w:r>
      <w:r w:rsidRPr="003F63DB">
        <w:rPr>
          <w:noProof w:val="0"/>
        </w:rPr>
        <w:tab/>
        <w:t>Det saknas aktiva mottagare av resultaten</w:t>
      </w:r>
      <w:r w:rsidRPr="003F63DB">
        <w:rPr>
          <w:noProof w:val="0"/>
        </w:rPr>
        <w:tab/>
        <w:t>106</w:t>
      </w:r>
    </w:p>
    <w:p w:rsidR="00905B3E" w:rsidRPr="003F63DB" w:rsidRDefault="00905B3E">
      <w:pPr>
        <w:pStyle w:val="Innehll2"/>
        <w:rPr>
          <w:noProof w:val="0"/>
        </w:rPr>
      </w:pPr>
      <w:r w:rsidRPr="003F63DB">
        <w:rPr>
          <w:noProof w:val="0"/>
        </w:rPr>
        <w:t>8.2</w:t>
      </w:r>
      <w:r w:rsidRPr="003F63DB">
        <w:rPr>
          <w:noProof w:val="0"/>
        </w:rPr>
        <w:tab/>
        <w:t>Begränsad konkurrens och begränsad insyn</w:t>
      </w:r>
      <w:r w:rsidRPr="003F63DB">
        <w:rPr>
          <w:noProof w:val="0"/>
        </w:rPr>
        <w:tab/>
        <w:t>108</w:t>
      </w:r>
    </w:p>
    <w:p w:rsidR="00905B3E" w:rsidRPr="003F63DB" w:rsidRDefault="00905B3E">
      <w:pPr>
        <w:pStyle w:val="Innehll2"/>
        <w:rPr>
          <w:noProof w:val="0"/>
        </w:rPr>
      </w:pPr>
      <w:r w:rsidRPr="003F63DB">
        <w:rPr>
          <w:noProof w:val="0"/>
        </w:rPr>
        <w:t>8.3</w:t>
      </w:r>
      <w:r w:rsidRPr="003F63DB">
        <w:rPr>
          <w:noProof w:val="0"/>
        </w:rPr>
        <w:tab/>
        <w:t>Kostnadskontrollen brister</w:t>
      </w:r>
      <w:r w:rsidRPr="003F63DB">
        <w:rPr>
          <w:noProof w:val="0"/>
        </w:rPr>
        <w:tab/>
      </w:r>
      <w:bookmarkStart w:id="186" w:name="_Hlt36538822"/>
      <w:r w:rsidRPr="003F63DB">
        <w:rPr>
          <w:noProof w:val="0"/>
        </w:rPr>
        <w:t>110</w:t>
      </w:r>
      <w:bookmarkEnd w:id="186"/>
    </w:p>
    <w:p w:rsidR="00905B3E" w:rsidRPr="003F63DB" w:rsidRDefault="00905B3E">
      <w:pPr>
        <w:pStyle w:val="Innehll2"/>
        <w:rPr>
          <w:noProof w:val="0"/>
        </w:rPr>
      </w:pPr>
      <w:r w:rsidRPr="003F63DB">
        <w:rPr>
          <w:noProof w:val="0"/>
        </w:rPr>
        <w:t>8.4</w:t>
      </w:r>
      <w:r w:rsidRPr="003F63DB">
        <w:rPr>
          <w:noProof w:val="0"/>
        </w:rPr>
        <w:tab/>
        <w:t>Kraven på kompetens är höga</w:t>
      </w:r>
      <w:r w:rsidRPr="003F63DB">
        <w:rPr>
          <w:noProof w:val="0"/>
        </w:rPr>
        <w:tab/>
        <w:t>112</w:t>
      </w:r>
    </w:p>
    <w:p w:rsidR="00905B3E" w:rsidRPr="003F63DB" w:rsidRDefault="00905B3E">
      <w:pPr>
        <w:pStyle w:val="Innehll2"/>
        <w:rPr>
          <w:noProof w:val="0"/>
        </w:rPr>
      </w:pPr>
      <w:r w:rsidRPr="003F63DB">
        <w:rPr>
          <w:noProof w:val="0"/>
        </w:rPr>
        <w:t>8.5</w:t>
      </w:r>
      <w:r w:rsidRPr="003F63DB">
        <w:rPr>
          <w:noProof w:val="0"/>
        </w:rPr>
        <w:tab/>
        <w:t>Riksantikvarieämbetet dominerar</w:t>
      </w:r>
      <w:r w:rsidRPr="003F63DB">
        <w:rPr>
          <w:noProof w:val="0"/>
        </w:rPr>
        <w:tab/>
        <w:t>114</w:t>
      </w:r>
    </w:p>
    <w:p w:rsidR="00905B3E" w:rsidRPr="003F63DB" w:rsidRDefault="00905B3E">
      <w:pPr>
        <w:pStyle w:val="Innehll2"/>
        <w:rPr>
          <w:noProof w:val="0"/>
        </w:rPr>
      </w:pPr>
      <w:r w:rsidRPr="003F63DB">
        <w:rPr>
          <w:noProof w:val="0"/>
        </w:rPr>
        <w:t>Referenser</w:t>
      </w:r>
      <w:r w:rsidRPr="003F63DB">
        <w:rPr>
          <w:noProof w:val="0"/>
        </w:rPr>
        <w:tab/>
        <w:t>116</w:t>
      </w:r>
    </w:p>
    <w:p w:rsidR="00905B3E" w:rsidRPr="003F63DB" w:rsidRDefault="00905B3E">
      <w:pPr>
        <w:pStyle w:val="Innehll1"/>
        <w:rPr>
          <w:i/>
          <w:noProof w:val="0"/>
        </w:rPr>
      </w:pPr>
      <w:r w:rsidRPr="003F63DB">
        <w:rPr>
          <w:i/>
          <w:noProof w:val="0"/>
        </w:rPr>
        <w:t>Bilaga 2</w:t>
      </w:r>
    </w:p>
    <w:p w:rsidR="00905B3E" w:rsidRPr="003F63DB" w:rsidRDefault="00905B3E">
      <w:pPr>
        <w:pStyle w:val="Innehll1"/>
        <w:ind w:left="0" w:firstLine="0"/>
        <w:rPr>
          <w:noProof w:val="0"/>
        </w:rPr>
      </w:pPr>
      <w:r w:rsidRPr="003F63DB">
        <w:rPr>
          <w:noProof w:val="0"/>
        </w:rPr>
        <w:t xml:space="preserve">Sammanfattning av remissyttranden över rapport 2002/03:3 Arkeologi </w:t>
      </w:r>
      <w:r w:rsidRPr="003F63DB">
        <w:rPr>
          <w:noProof w:val="0"/>
        </w:rPr>
        <w:br/>
        <w:t>på uppdrag</w:t>
      </w:r>
      <w:r w:rsidRPr="003F63DB">
        <w:rPr>
          <w:noProof w:val="0"/>
        </w:rPr>
        <w:tab/>
      </w:r>
      <w:bookmarkStart w:id="187" w:name="_Hlt36538816"/>
      <w:r w:rsidRPr="003F63DB">
        <w:rPr>
          <w:noProof w:val="0"/>
        </w:rPr>
        <w:t>121</w:t>
      </w:r>
      <w:bookmarkEnd w:id="187"/>
    </w:p>
    <w:p w:rsidR="00905B3E" w:rsidRPr="003F63DB" w:rsidRDefault="00905B3E">
      <w:pPr>
        <w:pStyle w:val="Innehll2"/>
        <w:rPr>
          <w:noProof w:val="0"/>
        </w:rPr>
      </w:pPr>
      <w:r w:rsidRPr="003F63DB">
        <w:rPr>
          <w:noProof w:val="0"/>
        </w:rPr>
        <w:t>Remissinstanser</w:t>
      </w:r>
      <w:r w:rsidRPr="003F63DB">
        <w:rPr>
          <w:noProof w:val="0"/>
        </w:rPr>
        <w:tab/>
        <w:t>121</w:t>
      </w:r>
    </w:p>
    <w:p w:rsidR="00905B3E" w:rsidRPr="003F63DB" w:rsidRDefault="00905B3E">
      <w:pPr>
        <w:pStyle w:val="Innehll2"/>
        <w:rPr>
          <w:noProof w:val="0"/>
        </w:rPr>
      </w:pPr>
      <w:r w:rsidRPr="003F63DB">
        <w:rPr>
          <w:noProof w:val="0"/>
        </w:rPr>
        <w:t>Remissinstansernas allmänna synpunkter</w:t>
      </w:r>
      <w:r w:rsidRPr="003F63DB">
        <w:rPr>
          <w:noProof w:val="0"/>
        </w:rPr>
        <w:tab/>
        <w:t>122</w:t>
      </w:r>
    </w:p>
    <w:p w:rsidR="00905B3E" w:rsidRPr="003F63DB" w:rsidRDefault="00905B3E">
      <w:pPr>
        <w:pStyle w:val="Innehll2"/>
        <w:rPr>
          <w:noProof w:val="0"/>
        </w:rPr>
      </w:pPr>
      <w:r w:rsidRPr="003F63DB">
        <w:rPr>
          <w:noProof w:val="0"/>
        </w:rPr>
        <w:t>Intressekonflikter i Riksantikvarieämbetets uppgifter</w:t>
      </w:r>
      <w:r w:rsidRPr="003F63DB">
        <w:rPr>
          <w:noProof w:val="0"/>
        </w:rPr>
        <w:tab/>
        <w:t>124</w:t>
      </w:r>
    </w:p>
    <w:p w:rsidR="00905B3E" w:rsidRPr="003F63DB" w:rsidRDefault="00905B3E">
      <w:pPr>
        <w:pStyle w:val="Innehll2"/>
        <w:rPr>
          <w:noProof w:val="0"/>
        </w:rPr>
      </w:pPr>
      <w:r w:rsidRPr="003F63DB">
        <w:rPr>
          <w:noProof w:val="0"/>
        </w:rPr>
        <w:t>Begränsad konkurrens och begränsad insyn</w:t>
      </w:r>
      <w:r w:rsidRPr="003F63DB">
        <w:rPr>
          <w:noProof w:val="0"/>
        </w:rPr>
        <w:tab/>
        <w:t>127</w:t>
      </w:r>
    </w:p>
    <w:p w:rsidR="00905B3E" w:rsidRPr="003F63DB" w:rsidRDefault="00905B3E">
      <w:pPr>
        <w:pStyle w:val="Innehll2"/>
        <w:rPr>
          <w:noProof w:val="0"/>
        </w:rPr>
      </w:pPr>
      <w:r w:rsidRPr="003F63DB">
        <w:rPr>
          <w:noProof w:val="0"/>
        </w:rPr>
        <w:t>Kostnadskontrollen brister</w:t>
      </w:r>
      <w:r w:rsidRPr="003F63DB">
        <w:rPr>
          <w:noProof w:val="0"/>
        </w:rPr>
        <w:tab/>
        <w:t>130</w:t>
      </w:r>
    </w:p>
    <w:p w:rsidR="00905B3E" w:rsidRPr="003F63DB" w:rsidRDefault="00905B3E">
      <w:pPr>
        <w:pStyle w:val="Innehll2"/>
        <w:rPr>
          <w:noProof w:val="0"/>
        </w:rPr>
      </w:pPr>
      <w:r w:rsidRPr="003F63DB">
        <w:rPr>
          <w:noProof w:val="0"/>
        </w:rPr>
        <w:t>Kraven på kompetens är höga</w:t>
      </w:r>
      <w:r w:rsidRPr="003F63DB">
        <w:rPr>
          <w:noProof w:val="0"/>
        </w:rPr>
        <w:tab/>
        <w:t>133</w:t>
      </w:r>
    </w:p>
    <w:p w:rsidR="00905B3E" w:rsidRPr="003F63DB" w:rsidRDefault="00905B3E">
      <w:pPr>
        <w:pStyle w:val="Innehll2"/>
        <w:rPr>
          <w:noProof w:val="0"/>
        </w:rPr>
      </w:pPr>
      <w:r w:rsidRPr="003F63DB">
        <w:rPr>
          <w:noProof w:val="0"/>
        </w:rPr>
        <w:t>Det saknas aktiva mottagare av resultaten</w:t>
      </w:r>
      <w:r w:rsidRPr="003F63DB">
        <w:rPr>
          <w:noProof w:val="0"/>
        </w:rPr>
        <w:tab/>
      </w:r>
      <w:bookmarkStart w:id="188" w:name="_Hlt36538810"/>
      <w:r w:rsidRPr="003F63DB">
        <w:rPr>
          <w:noProof w:val="0"/>
        </w:rPr>
        <w:t>136</w:t>
      </w:r>
      <w:bookmarkEnd w:id="188"/>
    </w:p>
    <w:p w:rsidR="00905B3E" w:rsidRPr="003F63DB" w:rsidRDefault="00905B3E">
      <w:pPr>
        <w:pStyle w:val="Innehll2"/>
        <w:rPr>
          <w:noProof w:val="0"/>
        </w:rPr>
      </w:pPr>
    </w:p>
    <w:p w:rsidR="00905B3E" w:rsidRPr="003F63DB" w:rsidRDefault="00905B3E">
      <w:pPr>
        <w:pStyle w:val="Normaltindrag"/>
      </w:pPr>
    </w:p>
    <w:p w:rsidR="00905B3E" w:rsidRPr="003F63DB" w:rsidRDefault="00905B3E">
      <w:pPr>
        <w:pStyle w:val="Tryckort"/>
        <w:framePr w:wrap="around"/>
      </w:pPr>
      <w:r w:rsidRPr="003F63DB">
        <w:t>Elanders Gotab, Stockholm  2003</w:t>
      </w:r>
    </w:p>
    <w:p w:rsidR="00905B3E" w:rsidRPr="003F63DB" w:rsidRDefault="00905B3E">
      <w:pPr>
        <w:pStyle w:val="Normaltindrag"/>
      </w:pPr>
    </w:p>
    <w:sectPr w:rsidR="00905B3E" w:rsidRPr="003F63DB">
      <w:headerReference w:type="default" r:id="rId23"/>
      <w:footerReference w:type="default" r:id="rId2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B3E" w:rsidRPr="003F63DB" w:rsidRDefault="00905B3E">
      <w:pPr>
        <w:spacing w:before="0" w:line="240" w:lineRule="auto"/>
      </w:pPr>
      <w:r w:rsidRPr="003F63DB">
        <w:separator/>
      </w:r>
    </w:p>
  </w:endnote>
  <w:endnote w:type="continuationSeparator" w:id="0">
    <w:p w:rsidR="00905B3E" w:rsidRPr="003F63DB" w:rsidRDefault="00905B3E">
      <w:pPr>
        <w:spacing w:before="0" w:line="240" w:lineRule="auto"/>
      </w:pPr>
      <w:r w:rsidRPr="003F63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fotH"/>
      <w:framePr w:wrap="around"/>
    </w:pPr>
    <w:r w:rsidRPr="003F63DB">
      <w:fldChar w:fldCharType="begin" w:fldLock="1"/>
    </w:r>
    <w:r w:rsidRPr="003F63DB">
      <w:instrText xml:space="preserve"> PAGE </w:instrText>
    </w:r>
    <w:r w:rsidRPr="003F63DB">
      <w:fldChar w:fldCharType="separate"/>
    </w:r>
    <w:r w:rsidRPr="003F63DB">
      <w:t>1</w:t>
    </w:r>
    <w:r w:rsidRPr="003F63DB">
      <w:fldChar w:fldCharType="end"/>
    </w:r>
  </w:p>
  <w:p w:rsidR="00905B3E" w:rsidRPr="003F63DB" w:rsidRDefault="00905B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fotH"/>
      <w:framePr w:wrap="around"/>
    </w:pPr>
    <w:r w:rsidRPr="003F63DB">
      <w:fldChar w:fldCharType="begin" w:fldLock="1"/>
    </w:r>
    <w:r w:rsidRPr="003F63DB">
      <w:instrText xml:space="preserve"> if </w:instrText>
    </w:r>
    <w:r w:rsidRPr="003F63DB">
      <w:fldChar w:fldCharType="begin" w:fldLock="1"/>
    </w:r>
    <w:r w:rsidRPr="003F63DB">
      <w:instrText xml:space="preserve"> page</w:instrText>
    </w:r>
    <w:r w:rsidRPr="003F63DB">
      <w:fldChar w:fldCharType="separate"/>
    </w:r>
    <w:r w:rsidRPr="003F63DB">
      <w:instrText>21</w:instrText>
    </w:r>
    <w:r w:rsidRPr="003F63DB">
      <w:fldChar w:fldCharType="end"/>
    </w:r>
    <w:r w:rsidRPr="003F63DB">
      <w:instrText xml:space="preserve"> &gt; 1 "</w:instrText>
    </w:r>
    <w:r w:rsidRPr="003F63DB">
      <w:fldChar w:fldCharType="begin" w:fldLock="1"/>
    </w:r>
    <w:r w:rsidRPr="003F63DB">
      <w:instrText xml:space="preserve"> PAGE </w:instrText>
    </w:r>
    <w:r w:rsidRPr="003F63DB">
      <w:fldChar w:fldCharType="separate"/>
    </w:r>
    <w:r w:rsidRPr="003F63DB">
      <w:instrText>21</w:instrText>
    </w:r>
    <w:r w:rsidRPr="003F63DB">
      <w:fldChar w:fldCharType="end"/>
    </w:r>
    <w:r w:rsidRPr="003F63DB">
      <w:instrText>"</w:instrText>
    </w:r>
    <w:r w:rsidRPr="003F63DB">
      <w:fldChar w:fldCharType="separate"/>
    </w:r>
    <w:r w:rsidRPr="003F63DB">
      <w:t>21</w:t>
    </w:r>
    <w:r w:rsidRPr="003F63DB">
      <w:fldChar w:fldCharType="end"/>
    </w:r>
  </w:p>
  <w:p w:rsidR="00905B3E" w:rsidRPr="003F63DB" w:rsidRDefault="00905B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fotH"/>
      <w:framePr w:wrap="around"/>
    </w:pPr>
    <w:r w:rsidRPr="003F63DB">
      <w:fldChar w:fldCharType="begin" w:fldLock="1"/>
    </w:r>
    <w:r w:rsidRPr="003F63DB">
      <w:instrText xml:space="preserve"> PAGE </w:instrText>
    </w:r>
    <w:r w:rsidRPr="003F63DB">
      <w:fldChar w:fldCharType="separate"/>
    </w:r>
    <w:r w:rsidRPr="003F63DB">
      <w:t>25</w:t>
    </w:r>
    <w:r w:rsidRPr="003F63DB">
      <w:fldChar w:fldCharType="end"/>
    </w:r>
  </w:p>
  <w:p w:rsidR="00905B3E" w:rsidRPr="003F63DB" w:rsidRDefault="00905B3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fotH"/>
      <w:framePr w:wrap="around"/>
    </w:pPr>
    <w:r w:rsidRPr="003F63DB">
      <w:fldChar w:fldCharType="begin" w:fldLock="1"/>
    </w:r>
    <w:r w:rsidRPr="003F63DB">
      <w:instrText xml:space="preserve"> PAGE </w:instrText>
    </w:r>
    <w:r w:rsidRPr="003F63DB">
      <w:fldChar w:fldCharType="separate"/>
    </w:r>
    <w:r w:rsidRPr="003F63DB">
      <w:t>140</w:t>
    </w:r>
    <w:r w:rsidRPr="003F63DB">
      <w:fldChar w:fldCharType="end"/>
    </w:r>
  </w:p>
  <w:p w:rsidR="00905B3E" w:rsidRPr="003F63DB" w:rsidRDefault="00905B3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fotH"/>
      <w:framePr w:wrap="around"/>
    </w:pPr>
    <w:r w:rsidRPr="003F63DB">
      <w:fldChar w:fldCharType="begin" w:fldLock="1"/>
    </w:r>
    <w:r w:rsidRPr="003F63DB">
      <w:instrText xml:space="preserve"> PAGE </w:instrText>
    </w:r>
    <w:r w:rsidRPr="003F63DB">
      <w:fldChar w:fldCharType="separate"/>
    </w:r>
    <w:r w:rsidRPr="003F63DB">
      <w:t>142</w:t>
    </w:r>
    <w:r w:rsidRPr="003F63DB">
      <w:fldChar w:fldCharType="end"/>
    </w:r>
  </w:p>
  <w:p w:rsidR="00905B3E" w:rsidRPr="003F63DB" w:rsidRDefault="00905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B3E" w:rsidRPr="003F63DB" w:rsidRDefault="00905B3E">
      <w:pPr>
        <w:pStyle w:val="Sidfot"/>
      </w:pPr>
    </w:p>
  </w:footnote>
  <w:footnote w:type="continuationSeparator" w:id="0">
    <w:p w:rsidR="00905B3E" w:rsidRPr="003F63DB" w:rsidRDefault="00905B3E">
      <w:pPr>
        <w:spacing w:before="0" w:line="240" w:lineRule="auto"/>
      </w:pPr>
      <w:r w:rsidRPr="003F63DB">
        <w:continuationSeparator/>
      </w:r>
    </w:p>
  </w:footnote>
  <w:footnote w:id="1">
    <w:p w:rsidR="00905B3E" w:rsidRPr="003F63DB" w:rsidRDefault="00905B3E">
      <w:pPr>
        <w:pStyle w:val="Fotnotstext"/>
        <w:spacing w:before="0"/>
      </w:pPr>
      <w:r w:rsidRPr="003F63DB">
        <w:rPr>
          <w:rStyle w:val="Fotnotsreferens"/>
        </w:rPr>
        <w:footnoteRef/>
      </w:r>
      <w:r w:rsidRPr="003F63DB">
        <w:t xml:space="preserve"> 2 kap. 6 § KML.</w:t>
      </w:r>
    </w:p>
  </w:footnote>
  <w:footnote w:id="2">
    <w:p w:rsidR="00905B3E" w:rsidRPr="003F63DB" w:rsidRDefault="00905B3E">
      <w:pPr>
        <w:pStyle w:val="Fotnotstext"/>
        <w:spacing w:before="0"/>
      </w:pPr>
      <w:r w:rsidRPr="003F63DB">
        <w:rPr>
          <w:rStyle w:val="Fotnotsreferens"/>
        </w:rPr>
        <w:footnoteRef/>
      </w:r>
      <w:r w:rsidRPr="003F63DB">
        <w:t xml:space="preserve"> I 2 kap. 10–13 §§ kulturminneslagen finns bestämmelser om vad som krävs för att få tillstånd att göra ingrepp i fast fornlämning i samband med markexploatering.</w:t>
      </w:r>
    </w:p>
  </w:footnote>
  <w:footnote w:id="3">
    <w:p w:rsidR="00905B3E" w:rsidRPr="003F63DB" w:rsidRDefault="00905B3E">
      <w:pPr>
        <w:pStyle w:val="Fotnotstext"/>
        <w:spacing w:before="0"/>
      </w:pPr>
      <w:r w:rsidRPr="003F63DB">
        <w:rPr>
          <w:rStyle w:val="Fotnotsreferens"/>
        </w:rPr>
        <w:footnoteRef/>
      </w:r>
      <w:r w:rsidRPr="003F63DB">
        <w:t xml:space="preserve"> Detta får göras utan hinder av 2 kap. 6 § KML.</w:t>
      </w:r>
    </w:p>
  </w:footnote>
  <w:footnote w:id="4">
    <w:p w:rsidR="00905B3E" w:rsidRPr="003F63DB" w:rsidRDefault="00905B3E">
      <w:pPr>
        <w:pStyle w:val="Fotnotstext"/>
        <w:spacing w:before="0"/>
      </w:pPr>
      <w:r w:rsidRPr="003F63DB">
        <w:rPr>
          <w:rStyle w:val="Fotnotsreferens"/>
        </w:rPr>
        <w:footnoteRef/>
      </w:r>
      <w:r w:rsidRPr="003F63DB">
        <w:t xml:space="preserve"> Länsstyrelsen i Gotlands län dnr 220-3554-01.</w:t>
      </w:r>
    </w:p>
  </w:footnote>
  <w:footnote w:id="5">
    <w:p w:rsidR="00905B3E" w:rsidRPr="003F63DB" w:rsidRDefault="00905B3E">
      <w:pPr>
        <w:pStyle w:val="Fotnotstext"/>
        <w:spacing w:before="0"/>
      </w:pPr>
      <w:r w:rsidRPr="003F63DB">
        <w:rPr>
          <w:rStyle w:val="Fotnotsreferens"/>
        </w:rPr>
        <w:footnoteRef/>
      </w:r>
      <w:r w:rsidRPr="003F63DB">
        <w:t xml:space="preserve"> Länsstyrelsen i Gotlands län dnr 220-3077-01.</w:t>
      </w:r>
    </w:p>
  </w:footnote>
  <w:footnote w:id="6">
    <w:p w:rsidR="00905B3E" w:rsidRPr="003F63DB" w:rsidRDefault="00905B3E">
      <w:pPr>
        <w:pStyle w:val="Fotnotstext"/>
        <w:spacing w:before="0"/>
      </w:pPr>
      <w:r w:rsidRPr="003F63DB">
        <w:rPr>
          <w:rStyle w:val="Fotnotsreferens"/>
        </w:rPr>
        <w:footnoteRef/>
      </w:r>
      <w:r w:rsidRPr="003F63DB">
        <w:t xml:space="preserve"> Riksantikvarieämbetet, Nyhetsmagasinet Tidevarv nr 4 2002, s. 9–11.</w:t>
      </w:r>
    </w:p>
  </w:footnote>
  <w:footnote w:id="7">
    <w:p w:rsidR="00905B3E" w:rsidRPr="003F63DB" w:rsidRDefault="00905B3E">
      <w:pPr>
        <w:pStyle w:val="Fotnotstext"/>
        <w:spacing w:before="0"/>
      </w:pPr>
      <w:r w:rsidRPr="003F63DB">
        <w:rPr>
          <w:rStyle w:val="Fotnotsreferens"/>
        </w:rPr>
        <w:footnoteRef/>
      </w:r>
      <w:r w:rsidRPr="003F63DB">
        <w:t xml:space="preserve"> Arkeologiskt forskningsprogram 1999–2003, Regionmuseet i Skåne, rapport 1999:30.</w:t>
      </w:r>
    </w:p>
  </w:footnote>
  <w:footnote w:id="8">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 xml:space="preserve"> 2 kap. 11–13 §§ KML.</w:t>
      </w:r>
    </w:p>
  </w:footnote>
  <w:footnote w:id="9">
    <w:p w:rsidR="00905B3E" w:rsidRPr="003F63DB" w:rsidRDefault="00905B3E">
      <w:pPr>
        <w:pStyle w:val="Fotnotstext"/>
        <w:spacing w:before="0"/>
      </w:pPr>
      <w:r w:rsidRPr="003F63DB">
        <w:rPr>
          <w:rStyle w:val="Fotnotsreferens"/>
        </w:rPr>
        <w:footnoteRef/>
      </w:r>
      <w:r w:rsidRPr="003F63DB">
        <w:t xml:space="preserve"> Med uppdragsarkeologiska ärenden avses beslut om särskild utredning, arkeologisk förundersökning eller särskild undersökning enligt kulturminneslagen.</w:t>
      </w:r>
    </w:p>
  </w:footnote>
  <w:footnote w:id="10">
    <w:p w:rsidR="00905B3E" w:rsidRPr="003F63DB" w:rsidRDefault="00905B3E">
      <w:pPr>
        <w:pStyle w:val="Fotnotstext"/>
        <w:spacing w:before="0"/>
      </w:pPr>
      <w:r w:rsidRPr="003F63DB">
        <w:rPr>
          <w:rStyle w:val="Fotnotsreferens"/>
        </w:rPr>
        <w:footnoteRef/>
      </w:r>
      <w:r w:rsidRPr="003F63DB">
        <w:t xml:space="preserve"> Underrättelser från RAÄ 1999:1, Beslut om ingrepp m.m. i fornlämning och for</w:t>
      </w:r>
      <w:r w:rsidRPr="003F63DB">
        <w:t>n</w:t>
      </w:r>
      <w:r w:rsidRPr="003F63DB">
        <w:t>lämningsområde.</w:t>
      </w:r>
    </w:p>
  </w:footnote>
  <w:footnote w:id="11">
    <w:p w:rsidR="00905B3E" w:rsidRPr="003F63DB" w:rsidRDefault="00905B3E">
      <w:pPr>
        <w:pStyle w:val="Fotnotstext"/>
        <w:spacing w:before="0"/>
      </w:pPr>
      <w:r w:rsidRPr="003F63DB">
        <w:rPr>
          <w:rStyle w:val="Fotnotsreferens"/>
        </w:rPr>
        <w:footnoteRef/>
      </w:r>
      <w:r w:rsidRPr="003F63DB">
        <w:t xml:space="preserve"> Prop. 1996/97:99 s. 14.</w:t>
      </w:r>
    </w:p>
  </w:footnote>
  <w:footnote w:id="12">
    <w:p w:rsidR="00905B3E" w:rsidRPr="003F63DB" w:rsidRDefault="00905B3E">
      <w:pPr>
        <w:pStyle w:val="Fotnotstext"/>
        <w:spacing w:before="0"/>
      </w:pPr>
      <w:r w:rsidRPr="003F63DB">
        <w:rPr>
          <w:rStyle w:val="Fotnotsreferens"/>
        </w:rPr>
        <w:footnoteRef/>
      </w:r>
      <w:r w:rsidRPr="003F63DB">
        <w:t xml:space="preserve"> Prop. 1996/97:99, bet. 1996/97:KrU12, rskr. 1996/97:230.</w:t>
      </w:r>
    </w:p>
  </w:footnote>
  <w:footnote w:id="13">
    <w:p w:rsidR="00905B3E" w:rsidRPr="003F63DB" w:rsidRDefault="00905B3E">
      <w:pPr>
        <w:pStyle w:val="Fotnotstext"/>
        <w:spacing w:before="0"/>
      </w:pPr>
      <w:r w:rsidRPr="003F63DB">
        <w:rPr>
          <w:rStyle w:val="Fotnotsreferens"/>
        </w:rPr>
        <w:footnoteRef/>
      </w:r>
      <w:r w:rsidRPr="003F63DB">
        <w:t xml:space="preserve"> KRFS 1998:1.</w:t>
      </w:r>
    </w:p>
  </w:footnote>
  <w:footnote w:id="14">
    <w:p w:rsidR="00905B3E" w:rsidRPr="003F63DB" w:rsidRDefault="00905B3E">
      <w:pPr>
        <w:pStyle w:val="Fotnotstext"/>
        <w:spacing w:before="0"/>
      </w:pPr>
      <w:r w:rsidRPr="003F63DB">
        <w:rPr>
          <w:rStyle w:val="Fotnotsreferens"/>
        </w:rPr>
        <w:footnoteRef/>
      </w:r>
      <w:r w:rsidRPr="003F63DB">
        <w:t xml:space="preserve"> Prop. 1996/97:99 s. 11-12.</w:t>
      </w:r>
    </w:p>
  </w:footnote>
  <w:footnote w:id="15">
    <w:p w:rsidR="00905B3E" w:rsidRPr="003F63DB" w:rsidRDefault="00905B3E">
      <w:pPr>
        <w:pStyle w:val="Fotnotstext"/>
        <w:spacing w:before="0"/>
      </w:pPr>
      <w:r w:rsidRPr="003F63DB">
        <w:rPr>
          <w:rStyle w:val="Fotnotsreferens"/>
        </w:rPr>
        <w:footnoteRef/>
      </w:r>
      <w:r w:rsidRPr="003F63DB">
        <w:t xml:space="preserve"> Länsstyrelsen i Kronobergs län, promemoria 2000-03-31.</w:t>
      </w:r>
    </w:p>
  </w:footnote>
  <w:footnote w:id="16">
    <w:p w:rsidR="00905B3E" w:rsidRPr="003F63DB" w:rsidRDefault="00905B3E">
      <w:pPr>
        <w:pStyle w:val="Fotnotstext"/>
        <w:spacing w:before="0"/>
      </w:pPr>
      <w:r w:rsidRPr="003F63DB">
        <w:rPr>
          <w:rStyle w:val="Fotnotsreferens"/>
        </w:rPr>
        <w:footnoteRef/>
      </w:r>
      <w:r w:rsidRPr="003F63DB">
        <w:t xml:space="preserve"> 2 kap. 14 § KML.</w:t>
      </w:r>
    </w:p>
  </w:footnote>
  <w:footnote w:id="17">
    <w:p w:rsidR="00905B3E" w:rsidRPr="003F63DB" w:rsidRDefault="00905B3E">
      <w:pPr>
        <w:pStyle w:val="Fotnotstext"/>
      </w:pPr>
      <w:r w:rsidRPr="003F63DB">
        <w:rPr>
          <w:rStyle w:val="Fotnotsreferens"/>
        </w:rPr>
        <w:footnoteRef/>
      </w:r>
      <w:r w:rsidRPr="003F63DB">
        <w:t xml:space="preserve"> Förfarandet vid vissa beslut m.m. enligt 2 kap. 10–13 §§ lagen (1988:950) om kulturminnen m.m. Verkställighetsföreskrifter av Riksantikvarieämbetet KRFS 1998:1.</w:t>
      </w:r>
    </w:p>
  </w:footnote>
  <w:footnote w:id="18">
    <w:p w:rsidR="00905B3E" w:rsidRPr="003F63DB" w:rsidRDefault="00905B3E">
      <w:pPr>
        <w:pStyle w:val="Fotnotstext"/>
        <w:spacing w:before="0"/>
      </w:pPr>
      <w:r w:rsidRPr="003F63DB">
        <w:rPr>
          <w:rStyle w:val="Fotnotsreferens"/>
        </w:rPr>
        <w:footnoteRef/>
      </w:r>
      <w:r w:rsidRPr="003F63DB">
        <w:t xml:space="preserve"> Tillsynsutredningen har i betänkandet SOU 2002:14 kap. 6 konstaterat att begreppet ”tillsyn” används på olika sätt i såväl författningstexter som myndighetsinterna dok</w:t>
      </w:r>
      <w:r w:rsidRPr="003F63DB">
        <w:t>u</w:t>
      </w:r>
      <w:r w:rsidRPr="003F63DB">
        <w:t>ment. Riksantikvarieämbetet har genom sitt ”överinseende” en tillsyn över en annan myndighets tillsyn – nämligen länsstyrelsens. Utredningen betraktar detta som en nivåskiktad tillsyn eller en systemtil</w:t>
      </w:r>
      <w:r w:rsidRPr="003F63DB">
        <w:t>l</w:t>
      </w:r>
      <w:r w:rsidRPr="003F63DB">
        <w:t>syn.</w:t>
      </w:r>
    </w:p>
  </w:footnote>
  <w:footnote w:id="19">
    <w:p w:rsidR="00905B3E" w:rsidRPr="003F63DB" w:rsidRDefault="00905B3E">
      <w:pPr>
        <w:pStyle w:val="Fotnotstext"/>
        <w:spacing w:before="0"/>
      </w:pPr>
      <w:r w:rsidRPr="003F63DB">
        <w:rPr>
          <w:rStyle w:val="Fotnotsreferens"/>
        </w:rPr>
        <w:footnoteRef/>
      </w:r>
      <w:r w:rsidRPr="003F63DB">
        <w:t xml:space="preserve"> Anslag 28:37 Forskning och utvecklingsinsatser inom kulturområdet, anslagspost 4.</w:t>
      </w:r>
    </w:p>
  </w:footnote>
  <w:footnote w:id="20">
    <w:p w:rsidR="00905B3E" w:rsidRPr="003F63DB" w:rsidRDefault="00905B3E">
      <w:pPr>
        <w:pStyle w:val="Fotnotstext"/>
        <w:spacing w:before="0"/>
      </w:pPr>
      <w:r w:rsidRPr="003F63DB">
        <w:rPr>
          <w:rStyle w:val="Fotnotsreferens"/>
        </w:rPr>
        <w:footnoteRef/>
      </w:r>
      <w:r w:rsidRPr="003F63DB">
        <w:t xml:space="preserve"> 1 kap. 2 § KML.</w:t>
      </w:r>
    </w:p>
  </w:footnote>
  <w:footnote w:id="21">
    <w:p w:rsidR="00905B3E" w:rsidRPr="003F63DB" w:rsidRDefault="00905B3E">
      <w:pPr>
        <w:pStyle w:val="Fotnotstext"/>
        <w:spacing w:before="0"/>
      </w:pPr>
      <w:r w:rsidRPr="003F63DB">
        <w:rPr>
          <w:rStyle w:val="Fotnotsreferens"/>
        </w:rPr>
        <w:footnoteRef/>
      </w:r>
      <w:r w:rsidRPr="003F63DB">
        <w:t xml:space="preserve"> 1 § förordning (1988:1188) om kulturminnen m.m.</w:t>
      </w:r>
    </w:p>
  </w:footnote>
  <w:footnote w:id="22">
    <w:p w:rsidR="00905B3E" w:rsidRPr="003F63DB" w:rsidRDefault="00905B3E">
      <w:pPr>
        <w:pStyle w:val="Fotnotstext"/>
        <w:spacing w:before="0"/>
      </w:pPr>
      <w:r w:rsidRPr="003F63DB">
        <w:rPr>
          <w:rStyle w:val="Fotnotsreferens"/>
        </w:rPr>
        <w:footnoteRef/>
      </w:r>
      <w:r w:rsidRPr="003F63DB">
        <w:t xml:space="preserve"> 2 § förordning (1988:1188) om kulturminnen m.m.</w:t>
      </w:r>
    </w:p>
  </w:footnote>
  <w:footnote w:id="23">
    <w:p w:rsidR="00905B3E" w:rsidRPr="003F63DB" w:rsidRDefault="00905B3E">
      <w:pPr>
        <w:pStyle w:val="Fotnotstext"/>
        <w:spacing w:before="0"/>
      </w:pPr>
      <w:r w:rsidRPr="003F63DB">
        <w:rPr>
          <w:rStyle w:val="Fotnotsreferens"/>
        </w:rPr>
        <w:footnoteRef/>
      </w:r>
      <w:r w:rsidRPr="003F63DB">
        <w:t xml:space="preserve"> Förordning (1997:1258) med länsstyrelseinstruktion.</w:t>
      </w:r>
    </w:p>
  </w:footnote>
  <w:footnote w:id="24">
    <w:p w:rsidR="00905B3E" w:rsidRPr="003F63DB" w:rsidRDefault="00905B3E">
      <w:pPr>
        <w:pStyle w:val="Fotnotstext"/>
        <w:spacing w:before="0"/>
      </w:pPr>
      <w:r w:rsidRPr="003F63DB">
        <w:rPr>
          <w:rStyle w:val="Fotnotsreferens"/>
        </w:rPr>
        <w:footnoteRef/>
      </w:r>
      <w:r w:rsidRPr="003F63DB">
        <w:t xml:space="preserve"> Konkurrensförordning (1993:173)</w:t>
      </w:r>
    </w:p>
  </w:footnote>
  <w:footnote w:id="25">
    <w:p w:rsidR="00905B3E" w:rsidRPr="003F63DB" w:rsidRDefault="00905B3E">
      <w:pPr>
        <w:pStyle w:val="Fotnotstext"/>
        <w:spacing w:before="0"/>
      </w:pPr>
      <w:r w:rsidRPr="003F63DB">
        <w:rPr>
          <w:rStyle w:val="Fotnotsreferens"/>
        </w:rPr>
        <w:footnoteRef/>
      </w:r>
      <w:r w:rsidRPr="003F63DB">
        <w:t xml:space="preserve"> Förordning (1996:1598) om statsbidrag till regional kulturverksamhet.</w:t>
      </w:r>
    </w:p>
  </w:footnote>
  <w:footnote w:id="26">
    <w:p w:rsidR="00905B3E" w:rsidRPr="003F63DB" w:rsidRDefault="00905B3E">
      <w:pPr>
        <w:pStyle w:val="Fotnotstext"/>
        <w:spacing w:before="0"/>
      </w:pPr>
      <w:r w:rsidRPr="003F63DB">
        <w:rPr>
          <w:rStyle w:val="Fotnotsreferens"/>
        </w:rPr>
        <w:footnoteRef/>
      </w:r>
      <w:r w:rsidRPr="003F63DB">
        <w:t xml:space="preserve"> Prop. 2001/02:1, utg.omr. 17, bet. 2001/02:KrU1, rskr. 2001/02:72.</w:t>
      </w:r>
    </w:p>
  </w:footnote>
  <w:footnote w:id="27">
    <w:p w:rsidR="00905B3E" w:rsidRPr="003F63DB" w:rsidRDefault="00905B3E">
      <w:pPr>
        <w:pStyle w:val="Fotnotstext"/>
        <w:spacing w:before="0"/>
      </w:pPr>
      <w:r w:rsidRPr="003F63DB">
        <w:rPr>
          <w:rStyle w:val="Fotnotsreferens"/>
        </w:rPr>
        <w:footnoteRef/>
      </w:r>
      <w:r w:rsidRPr="003F63DB">
        <w:t xml:space="preserve"> Förordning (1998:305) om försöksverksamhet med ändrad fördelning av statsbidrag till regional kulturverksamhet.</w:t>
      </w:r>
    </w:p>
  </w:footnote>
  <w:footnote w:id="28">
    <w:p w:rsidR="00905B3E" w:rsidRPr="003F63DB" w:rsidRDefault="00905B3E">
      <w:pPr>
        <w:pStyle w:val="Fotnotstext"/>
        <w:spacing w:before="0"/>
      </w:pPr>
      <w:r w:rsidRPr="003F63DB">
        <w:rPr>
          <w:rStyle w:val="Fotnotsreferens"/>
        </w:rPr>
        <w:footnoteRef/>
      </w:r>
      <w:r w:rsidRPr="003F63DB">
        <w:t xml:space="preserve"> Se t.ex. RAÄ, dnr 344-2691-1999, Överenskommelse om ansvarsområden för de skånska museernas kulturmiljöarbete.</w:t>
      </w:r>
    </w:p>
  </w:footnote>
  <w:footnote w:id="29">
    <w:p w:rsidR="00905B3E" w:rsidRPr="003F63DB" w:rsidRDefault="00905B3E">
      <w:pPr>
        <w:pStyle w:val="Fotnotstext"/>
        <w:spacing w:before="0"/>
      </w:pPr>
      <w:r w:rsidRPr="003F63DB">
        <w:rPr>
          <w:rStyle w:val="Fotnotsreferens"/>
        </w:rPr>
        <w:footnoteRef/>
      </w:r>
      <w:r w:rsidRPr="003F63DB">
        <w:t xml:space="preserve"> Riksantikvarieämbetet, Kapacitetsförsörjning och konkurrensförutsättningar i up</w:t>
      </w:r>
      <w:r w:rsidRPr="003F63DB">
        <w:t>p</w:t>
      </w:r>
      <w:r w:rsidRPr="003F63DB">
        <w:t>dragsarkeologin, utkast till PM 2000-09-15.</w:t>
      </w:r>
    </w:p>
  </w:footnote>
  <w:footnote w:id="30">
    <w:p w:rsidR="00905B3E" w:rsidRPr="003F63DB" w:rsidRDefault="00905B3E">
      <w:pPr>
        <w:pStyle w:val="Fotnotstext"/>
        <w:spacing w:before="0"/>
      </w:pPr>
      <w:r w:rsidRPr="003F63DB">
        <w:rPr>
          <w:rStyle w:val="Fotnotsreferens"/>
        </w:rPr>
        <w:footnoteRef/>
      </w:r>
      <w:r w:rsidRPr="003F63DB">
        <w:t xml:space="preserve"> Underrättelser från RAÄ 1998:1. </w:t>
      </w:r>
    </w:p>
  </w:footnote>
  <w:footnote w:id="31">
    <w:p w:rsidR="00905B3E" w:rsidRPr="003F63DB" w:rsidRDefault="00905B3E">
      <w:pPr>
        <w:pStyle w:val="Fotnotstext"/>
        <w:spacing w:before="0"/>
      </w:pPr>
      <w:r w:rsidRPr="003F63DB">
        <w:rPr>
          <w:rStyle w:val="Fotnotsreferens"/>
        </w:rPr>
        <w:footnoteRef/>
      </w:r>
      <w:r w:rsidRPr="003F63DB">
        <w:t xml:space="preserve"> Högskolelag (1992:1434).</w:t>
      </w:r>
    </w:p>
  </w:footnote>
  <w:footnote w:id="32">
    <w:p w:rsidR="00905B3E" w:rsidRPr="003F63DB" w:rsidRDefault="00905B3E">
      <w:pPr>
        <w:pStyle w:val="Fotnotstext"/>
        <w:spacing w:before="0"/>
      </w:pPr>
      <w:r w:rsidRPr="003F63DB">
        <w:rPr>
          <w:rStyle w:val="Fotnotsreferens"/>
        </w:rPr>
        <w:footnoteRef/>
      </w:r>
      <w:r w:rsidRPr="003F63DB">
        <w:t xml:space="preserve"> Prop. 1996/97:1, bet. 1996/97:UbU1, rskr. 1996/97:100.</w:t>
      </w:r>
    </w:p>
  </w:footnote>
  <w:footnote w:id="33">
    <w:p w:rsidR="00905B3E" w:rsidRPr="003F63DB" w:rsidRDefault="00905B3E">
      <w:pPr>
        <w:pStyle w:val="Fotnotstext"/>
        <w:spacing w:before="0"/>
      </w:pPr>
      <w:r w:rsidRPr="003F63DB">
        <w:rPr>
          <w:rStyle w:val="Fotnotsreferens"/>
        </w:rPr>
        <w:footnoteRef/>
      </w:r>
      <w:r w:rsidRPr="003F63DB">
        <w:t xml:space="preserve"> Statsliggaren för år 2002. Utgiftsområde 16 Utbildning och universitetsforskning. Gemensamma bestämmelser för universitet och högskolor m.m. s. 75.</w:t>
      </w:r>
    </w:p>
  </w:footnote>
  <w:footnote w:id="34">
    <w:p w:rsidR="00905B3E" w:rsidRPr="003F63DB" w:rsidRDefault="00905B3E">
      <w:pPr>
        <w:pStyle w:val="Fotnotstext"/>
        <w:spacing w:before="0"/>
      </w:pPr>
      <w:r w:rsidRPr="003F63DB">
        <w:rPr>
          <w:rStyle w:val="Fotnotsreferens"/>
        </w:rPr>
        <w:footnoteRef/>
      </w:r>
      <w:r w:rsidRPr="003F63DB">
        <w:t xml:space="preserve"> Högskoleverket 2001:24 R. Utvecklingen av högskolans samverkansuppdrag.</w:t>
      </w:r>
    </w:p>
  </w:footnote>
  <w:footnote w:id="35">
    <w:p w:rsidR="00905B3E" w:rsidRPr="003F63DB" w:rsidRDefault="00905B3E">
      <w:pPr>
        <w:pStyle w:val="Fotnotstext"/>
        <w:spacing w:before="0"/>
      </w:pPr>
      <w:r w:rsidRPr="003F63DB">
        <w:rPr>
          <w:rStyle w:val="Fotnotsreferens"/>
        </w:rPr>
        <w:footnoteRef/>
      </w:r>
      <w:r w:rsidRPr="003F63DB">
        <w:t xml:space="preserve"> Riksantikvarieämbetet (UV) använder olika anställningsformer såsom viss säsong resp. visst arbete/projekt (5 § 1 LAS), vikariat (5 § 2 LAS), tillfällig arbetsbelastning (5 § 3 LAS) och överenskommen visstidsanställning (5 a § LAS).</w:t>
      </w:r>
    </w:p>
  </w:footnote>
  <w:footnote w:id="36">
    <w:p w:rsidR="00905B3E" w:rsidRPr="003F63DB" w:rsidRDefault="00905B3E">
      <w:pPr>
        <w:pStyle w:val="Fotnotstext"/>
        <w:spacing w:before="0"/>
      </w:pPr>
      <w:r w:rsidRPr="003F63DB">
        <w:rPr>
          <w:rStyle w:val="Fotnotsreferens"/>
        </w:rPr>
        <w:footnoteRef/>
      </w:r>
      <w:r w:rsidRPr="003F63DB">
        <w:t xml:space="preserve"> DIK står för dokumentation, information och kultur. Inom förbundet totalt är den genomsnittliga arbetslösheten bland medlemma</w:t>
      </w:r>
      <w:r w:rsidRPr="003F63DB">
        <w:t>r</w:t>
      </w:r>
      <w:r w:rsidRPr="003F63DB">
        <w:t>na ca 4 %.</w:t>
      </w:r>
    </w:p>
  </w:footnote>
  <w:footnote w:id="37">
    <w:p w:rsidR="00905B3E" w:rsidRPr="003F63DB" w:rsidRDefault="00905B3E">
      <w:pPr>
        <w:pStyle w:val="Fotnotstext"/>
        <w:spacing w:before="0"/>
      </w:pPr>
      <w:r w:rsidRPr="003F63DB">
        <w:rPr>
          <w:rStyle w:val="Fotnotsreferens"/>
        </w:rPr>
        <w:footnoteRef/>
      </w:r>
      <w:r w:rsidRPr="003F63DB">
        <w:t xml:space="preserve"> Prop. 1993/94:177 s. 146–147.</w:t>
      </w:r>
    </w:p>
  </w:footnote>
  <w:footnote w:id="38">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Prop. 1996/97:99 s. 11.</w:t>
      </w:r>
    </w:p>
  </w:footnote>
  <w:footnote w:id="39">
    <w:p w:rsidR="00905B3E" w:rsidRPr="003F63DB" w:rsidRDefault="00905B3E">
      <w:pPr>
        <w:pStyle w:val="Fotnotstext"/>
        <w:spacing w:before="0"/>
      </w:pPr>
      <w:r w:rsidRPr="003F63DB">
        <w:rPr>
          <w:rStyle w:val="Fotnotsreferens"/>
        </w:rPr>
        <w:footnoteRef/>
      </w:r>
      <w:r w:rsidRPr="003F63DB">
        <w:t xml:space="preserve"> Prop. 1996/97:99 s. 24 (Vår kursivering).</w:t>
      </w:r>
    </w:p>
  </w:footnote>
  <w:footnote w:id="40">
    <w:p w:rsidR="00905B3E" w:rsidRPr="003F63DB" w:rsidRDefault="00905B3E">
      <w:pPr>
        <w:pStyle w:val="Fotnotstext"/>
        <w:spacing w:before="0"/>
      </w:pPr>
      <w:r w:rsidRPr="003F63DB">
        <w:rPr>
          <w:rStyle w:val="Fotnotsreferens"/>
        </w:rPr>
        <w:footnoteRef/>
      </w:r>
      <w:r w:rsidRPr="003F63DB">
        <w:t xml:space="preserve"> Prop. 1993/94:177 s. 146–147 (Vår kursivering).</w:t>
      </w:r>
    </w:p>
  </w:footnote>
  <w:footnote w:id="41">
    <w:p w:rsidR="00905B3E" w:rsidRPr="003F63DB" w:rsidRDefault="00905B3E">
      <w:pPr>
        <w:pStyle w:val="Fotnotstext"/>
        <w:spacing w:before="0"/>
      </w:pPr>
      <w:r w:rsidRPr="003F63DB">
        <w:rPr>
          <w:rStyle w:val="Fotnotsreferens"/>
        </w:rPr>
        <w:footnoteRef/>
      </w:r>
      <w:r w:rsidRPr="003F63DB">
        <w:t xml:space="preserve"> Bet. 1993/94:UbU12 s. 45, rskr. 1993/94:399.</w:t>
      </w:r>
    </w:p>
  </w:footnote>
  <w:footnote w:id="42">
    <w:p w:rsidR="00905B3E" w:rsidRPr="003F63DB" w:rsidRDefault="00905B3E">
      <w:pPr>
        <w:pStyle w:val="Fotnotstext"/>
        <w:spacing w:before="0"/>
      </w:pPr>
      <w:r w:rsidRPr="003F63DB">
        <w:rPr>
          <w:rStyle w:val="Fotnotsreferens"/>
        </w:rPr>
        <w:footnoteRef/>
      </w:r>
      <w:r w:rsidRPr="003F63DB">
        <w:t xml:space="preserve"> Länsstyrelsen i Uppsala län, PM, dnr 220-7589-96.</w:t>
      </w:r>
    </w:p>
  </w:footnote>
  <w:footnote w:id="43">
    <w:p w:rsidR="00905B3E" w:rsidRPr="003F63DB" w:rsidRDefault="00905B3E">
      <w:pPr>
        <w:pStyle w:val="Fotnotstext"/>
        <w:spacing w:before="0"/>
      </w:pPr>
      <w:r w:rsidRPr="003F63DB">
        <w:rPr>
          <w:rStyle w:val="Fotnotsreferens"/>
        </w:rPr>
        <w:footnoteRef/>
      </w:r>
      <w:r w:rsidRPr="003F63DB">
        <w:t xml:space="preserve"> Riksantikvarieämbetet, rapport 2001:3, s. 8.</w:t>
      </w:r>
    </w:p>
  </w:footnote>
  <w:footnote w:id="44">
    <w:p w:rsidR="00905B3E" w:rsidRPr="003F63DB" w:rsidRDefault="00905B3E">
      <w:pPr>
        <w:pStyle w:val="Fotnotstext"/>
        <w:spacing w:before="0"/>
      </w:pPr>
      <w:r w:rsidRPr="003F63DB">
        <w:rPr>
          <w:rStyle w:val="Fotnotsreferens"/>
        </w:rPr>
        <w:footnoteRef/>
      </w:r>
      <w:r w:rsidRPr="003F63DB">
        <w:t xml:space="preserve"> Riksantikvarieämbetet, Slutrapport till regeringens uppdrag nr. 12 i regleringsbrevet för budgetåret 1998, dnr 124-832-1998.</w:t>
      </w:r>
    </w:p>
  </w:footnote>
  <w:footnote w:id="45">
    <w:p w:rsidR="00905B3E" w:rsidRPr="003F63DB" w:rsidRDefault="00905B3E">
      <w:pPr>
        <w:pStyle w:val="Fotnotstext"/>
        <w:spacing w:before="0"/>
      </w:pPr>
      <w:r w:rsidRPr="003F63DB">
        <w:rPr>
          <w:rStyle w:val="Fotnotsreferens"/>
        </w:rPr>
        <w:footnoteRef/>
      </w:r>
      <w:r w:rsidRPr="003F63DB">
        <w:t xml:space="preserve"> Riksantikvarieämbetet (1995), Svensk uppdragsarkeologi Del A Program för up</w:t>
      </w:r>
      <w:r w:rsidRPr="003F63DB">
        <w:t>p</w:t>
      </w:r>
      <w:r w:rsidRPr="003F63DB">
        <w:t>följning och Del B Översikt och diskussion.</w:t>
      </w:r>
    </w:p>
  </w:footnote>
  <w:footnote w:id="46">
    <w:p w:rsidR="00905B3E" w:rsidRPr="003F63DB" w:rsidRDefault="00905B3E">
      <w:pPr>
        <w:pStyle w:val="Fotnotstext"/>
        <w:spacing w:before="0"/>
      </w:pPr>
      <w:r w:rsidRPr="003F63DB">
        <w:rPr>
          <w:rStyle w:val="Fotnotsreferens"/>
        </w:rPr>
        <w:footnoteRef/>
      </w:r>
      <w:r w:rsidRPr="003F63DB">
        <w:t xml:space="preserve"> Riksdagens revisorers enkät till länsstyrelserna.</w:t>
      </w:r>
    </w:p>
  </w:footnote>
  <w:footnote w:id="47">
    <w:p w:rsidR="00905B3E" w:rsidRPr="003F63DB" w:rsidRDefault="00905B3E">
      <w:pPr>
        <w:pStyle w:val="Fotnotstext"/>
        <w:spacing w:before="0"/>
      </w:pPr>
      <w:r w:rsidRPr="003F63DB">
        <w:rPr>
          <w:rStyle w:val="Fotnotsreferens"/>
        </w:rPr>
        <w:footnoteRef/>
      </w:r>
      <w:r w:rsidRPr="003F63DB">
        <w:t xml:space="preserve"> Riksantikvarieämbetets webbplats 2001-11-26</w:t>
      </w:r>
    </w:p>
  </w:footnote>
  <w:footnote w:id="48">
    <w:p w:rsidR="00905B3E" w:rsidRPr="003F63DB" w:rsidRDefault="00905B3E">
      <w:pPr>
        <w:pStyle w:val="Fotnotstext"/>
        <w:spacing w:before="0"/>
      </w:pPr>
      <w:r w:rsidRPr="003F63DB">
        <w:rPr>
          <w:rStyle w:val="Fotnotsreferens"/>
        </w:rPr>
        <w:footnoteRef/>
      </w:r>
      <w:r w:rsidRPr="003F63DB">
        <w:t xml:space="preserve"> Stiftelsen för naturforskning och kulturminnesforskning (NIKA-NIKU) 2000: Evaluering av op</w:t>
      </w:r>
      <w:r w:rsidRPr="003F63DB">
        <w:t>p</w:t>
      </w:r>
      <w:r w:rsidRPr="003F63DB">
        <w:t>dragsarkeologi og forskningskoordinatorer 2000,</w:t>
      </w:r>
    </w:p>
    <w:p w:rsidR="00905B3E" w:rsidRPr="003F63DB" w:rsidRDefault="00905B3E">
      <w:pPr>
        <w:pStyle w:val="Fotnotstext"/>
        <w:spacing w:before="0"/>
      </w:pPr>
      <w:r w:rsidRPr="003F63DB">
        <w:t>Dr Sally Foster, Senior Inspector of Ancient Monuments, Historic Scotland: External evaluation of Riksantikvarieämbetet contract archaeology projects.</w:t>
      </w:r>
    </w:p>
  </w:footnote>
  <w:footnote w:id="49">
    <w:p w:rsidR="00905B3E" w:rsidRPr="003F63DB" w:rsidRDefault="00905B3E">
      <w:pPr>
        <w:pStyle w:val="Fotnotstext"/>
        <w:spacing w:before="0"/>
      </w:pPr>
      <w:r w:rsidRPr="003F63DB">
        <w:rPr>
          <w:rStyle w:val="Fotnotsreferens"/>
        </w:rPr>
        <w:footnoteRef/>
      </w:r>
      <w:r w:rsidRPr="003F63DB">
        <w:t xml:space="preserve"> Riksantikvarieämbetet, dnr 353-1389-1999, Projekt ”Uppdragsarkeologi och fors</w:t>
      </w:r>
      <w:r w:rsidRPr="003F63DB">
        <w:t>k</w:t>
      </w:r>
      <w:r w:rsidRPr="003F63DB">
        <w:t>ning” (1995/96) 1999–2000, delrapport.</w:t>
      </w:r>
    </w:p>
  </w:footnote>
  <w:footnote w:id="50">
    <w:p w:rsidR="00905B3E" w:rsidRPr="003F63DB" w:rsidRDefault="00905B3E">
      <w:pPr>
        <w:pStyle w:val="Fotnotstext"/>
        <w:spacing w:before="0"/>
      </w:pPr>
      <w:r w:rsidRPr="003F63DB">
        <w:rPr>
          <w:rStyle w:val="Fotnotsreferens"/>
        </w:rPr>
        <w:footnoteRef/>
      </w:r>
      <w:r w:rsidRPr="003F63DB">
        <w:t xml:space="preserve"> KRFS 1998:01.</w:t>
      </w:r>
    </w:p>
  </w:footnote>
  <w:footnote w:id="51">
    <w:p w:rsidR="00905B3E" w:rsidRPr="003F63DB" w:rsidRDefault="00905B3E">
      <w:pPr>
        <w:pStyle w:val="Fotnotstext"/>
        <w:spacing w:before="0"/>
      </w:pPr>
      <w:r w:rsidRPr="003F63DB">
        <w:rPr>
          <w:rStyle w:val="Fotnotsreferens"/>
        </w:rPr>
        <w:footnoteRef/>
      </w:r>
      <w:r w:rsidRPr="003F63DB">
        <w:t xml:space="preserve"> Riksantikvarieämbetet, dnr 321-2965-2001, Länsrätten i Stockholms län, dom i mål nr 17869-01. </w:t>
      </w:r>
    </w:p>
  </w:footnote>
  <w:footnote w:id="52">
    <w:p w:rsidR="00905B3E" w:rsidRPr="003F63DB" w:rsidRDefault="00905B3E">
      <w:pPr>
        <w:pStyle w:val="Fotnotstext"/>
        <w:spacing w:before="0"/>
      </w:pPr>
      <w:r w:rsidRPr="003F63DB">
        <w:rPr>
          <w:rStyle w:val="Fotnotsreferens"/>
        </w:rPr>
        <w:footnoteRef/>
      </w:r>
      <w:r w:rsidRPr="003F63DB">
        <w:t xml:space="preserve"> Vetenskapligt program för Malmö Kulturmiljö, 2001, s. 21.</w:t>
      </w:r>
    </w:p>
  </w:footnote>
  <w:footnote w:id="53">
    <w:p w:rsidR="00905B3E" w:rsidRPr="003F63DB" w:rsidRDefault="00905B3E">
      <w:pPr>
        <w:pStyle w:val="Fotnotstext"/>
        <w:spacing w:before="0"/>
      </w:pPr>
      <w:r w:rsidRPr="003F63DB">
        <w:rPr>
          <w:rStyle w:val="Fotnotsreferens"/>
        </w:rPr>
        <w:footnoteRef/>
      </w:r>
      <w:r w:rsidRPr="003F63DB">
        <w:t xml:space="preserve"> Arkeologiskt forskningsprogram 1999–2003, Regionmuseet i Skåne, Rapport 1999:30.</w:t>
      </w:r>
    </w:p>
  </w:footnote>
  <w:footnote w:id="54">
    <w:p w:rsidR="00905B3E" w:rsidRPr="003F63DB" w:rsidRDefault="00905B3E">
      <w:pPr>
        <w:pStyle w:val="Fotnotstext"/>
        <w:spacing w:before="0"/>
      </w:pPr>
      <w:r w:rsidRPr="003F63DB">
        <w:rPr>
          <w:rStyle w:val="Fotnotsreferens"/>
        </w:rPr>
        <w:footnoteRef/>
      </w:r>
      <w:r w:rsidRPr="003F63DB">
        <w:t xml:space="preserve"> Vetenskapligt program för UV Syd 1999–2002, Rapport UV Syd 1999:35.</w:t>
      </w:r>
    </w:p>
  </w:footnote>
  <w:footnote w:id="55">
    <w:p w:rsidR="00905B3E" w:rsidRPr="003F63DB" w:rsidRDefault="00905B3E">
      <w:pPr>
        <w:pStyle w:val="Fotnotstext"/>
        <w:spacing w:before="0"/>
      </w:pPr>
      <w:r w:rsidRPr="003F63DB">
        <w:rPr>
          <w:rStyle w:val="Fotnotsreferens"/>
        </w:rPr>
        <w:footnoteRef/>
      </w:r>
      <w:r w:rsidRPr="003F63DB">
        <w:t xml:space="preserve"> Verksamhetsplan 2002 för Rikantikvarieämbetets avdelning för arkeologiska unde</w:t>
      </w:r>
      <w:r w:rsidRPr="003F63DB">
        <w:t>r</w:t>
      </w:r>
      <w:r w:rsidRPr="003F63DB">
        <w:t>sökningar, UV.</w:t>
      </w:r>
    </w:p>
  </w:footnote>
  <w:footnote w:id="56">
    <w:p w:rsidR="00905B3E" w:rsidRPr="003F63DB" w:rsidRDefault="00905B3E">
      <w:pPr>
        <w:pStyle w:val="Fotnotstext"/>
        <w:spacing w:before="0"/>
      </w:pPr>
      <w:r w:rsidRPr="003F63DB">
        <w:rPr>
          <w:rStyle w:val="Fotnotsreferens"/>
        </w:rPr>
        <w:footnoteRef/>
      </w:r>
      <w:r w:rsidRPr="003F63DB">
        <w:t xml:space="preserve"> Prop. 1996/97:99 s. 24.</w:t>
      </w:r>
    </w:p>
  </w:footnote>
  <w:footnote w:id="57">
    <w:p w:rsidR="00905B3E" w:rsidRPr="003F63DB" w:rsidRDefault="00905B3E">
      <w:pPr>
        <w:pStyle w:val="Fotnotstext"/>
        <w:spacing w:before="0"/>
      </w:pPr>
      <w:r w:rsidRPr="003F63DB">
        <w:rPr>
          <w:rStyle w:val="Fotnotsreferens"/>
        </w:rPr>
        <w:footnoteRef/>
      </w:r>
      <w:r w:rsidRPr="003F63DB">
        <w:t xml:space="preserve"> Riksantikvarieämbetet, Underrättelser 1998:1.</w:t>
      </w:r>
    </w:p>
  </w:footnote>
  <w:footnote w:id="58">
    <w:p w:rsidR="00905B3E" w:rsidRPr="003F63DB" w:rsidRDefault="00905B3E">
      <w:pPr>
        <w:pStyle w:val="Fotnotstext"/>
        <w:spacing w:before="0"/>
      </w:pPr>
      <w:r w:rsidRPr="003F63DB">
        <w:rPr>
          <w:rStyle w:val="Fotnotsreferens"/>
        </w:rPr>
        <w:footnoteRef/>
      </w:r>
      <w:r w:rsidRPr="003F63DB">
        <w:t xml:space="preserve"> Se t.ex. Riksantikvarieämbetets verksamhetsplan för år 2001.</w:t>
      </w:r>
    </w:p>
  </w:footnote>
  <w:footnote w:id="59">
    <w:p w:rsidR="00905B3E" w:rsidRPr="003F63DB" w:rsidRDefault="00905B3E">
      <w:pPr>
        <w:pStyle w:val="Fotnotstext"/>
        <w:spacing w:before="0"/>
      </w:pPr>
      <w:r w:rsidRPr="003F63DB">
        <w:rPr>
          <w:rStyle w:val="Fotnotsreferens"/>
        </w:rPr>
        <w:footnoteRef/>
      </w:r>
      <w:r w:rsidRPr="003F63DB">
        <w:t xml:space="preserve"> Populärvetenskapliga trycksaker publiceras därutöver.</w:t>
      </w:r>
    </w:p>
  </w:footnote>
  <w:footnote w:id="60">
    <w:p w:rsidR="00905B3E" w:rsidRPr="003F63DB" w:rsidRDefault="00905B3E">
      <w:pPr>
        <w:pStyle w:val="Fotnotstext"/>
        <w:spacing w:before="0"/>
      </w:pPr>
      <w:r w:rsidRPr="003F63DB">
        <w:rPr>
          <w:rStyle w:val="Fotnotsreferens"/>
        </w:rPr>
        <w:footnoteRef/>
      </w:r>
      <w:r w:rsidRPr="003F63DB">
        <w:t xml:space="preserve"> 2 kap. 17 § KML.</w:t>
      </w:r>
    </w:p>
  </w:footnote>
  <w:footnote w:id="61">
    <w:p w:rsidR="00905B3E" w:rsidRPr="003F63DB" w:rsidRDefault="00905B3E">
      <w:pPr>
        <w:pStyle w:val="Fotnotstext"/>
        <w:spacing w:before="0"/>
      </w:pPr>
      <w:r w:rsidRPr="003F63DB">
        <w:rPr>
          <w:rStyle w:val="Fotnotsreferens"/>
        </w:rPr>
        <w:footnoteRef/>
      </w:r>
      <w:r w:rsidRPr="003F63DB">
        <w:t xml:space="preserve"> Prop. 1996/97:99 s. 15.</w:t>
      </w:r>
    </w:p>
  </w:footnote>
  <w:footnote w:id="62">
    <w:p w:rsidR="00905B3E" w:rsidRPr="003F63DB" w:rsidRDefault="00905B3E">
      <w:pPr>
        <w:pStyle w:val="Fotnotstext"/>
        <w:spacing w:before="0"/>
      </w:pPr>
      <w:r w:rsidRPr="003F63DB">
        <w:rPr>
          <w:rStyle w:val="Fotnotsreferens"/>
        </w:rPr>
        <w:footnoteRef/>
      </w:r>
      <w:r w:rsidRPr="003F63DB">
        <w:t xml:space="preserve"> I regel talar man om fynd, föremål och prover. Ett fynd är det som ansvarig fälta</w:t>
      </w:r>
      <w:r w:rsidRPr="003F63DB">
        <w:t>r</w:t>
      </w:r>
      <w:r w:rsidRPr="003F63DB">
        <w:t>keolog i en utgrävningssituation beslutat ta om hand och dokumentera i den fyndlista som biläggs den arkeologiska rapporten. Arkeologiska föremål inkluderas i begreppet fynd, men även t.ex. benmaterial och byggnadsrester (lerklining, tegel m.m.). Det förekommer också olika typer av prover på t.ex. jord, trä eller kol. Måttenheterna skiljer sig åt beroende på led i fyndhanteringskedjan. Vid en utgrävning talar man om olika fyn</w:t>
      </w:r>
      <w:r w:rsidRPr="003F63DB">
        <w:t>dkategorier såsom keramik, ben, enskilda föremål av t.ex. sten och metall osv. I andra sammanhang, t.ex. i museernas magasin, kan det ibland vara befogat att tala om antalet fyndbackar. För vissa ändamål är en indelning efter material befogad – t.ex. kilo/ton ben, backar järn eller lerkl</w:t>
      </w:r>
      <w:r w:rsidRPr="003F63DB">
        <w:t>i</w:t>
      </w:r>
      <w:r w:rsidRPr="003F63DB">
        <w:t xml:space="preserve">ning. </w:t>
      </w:r>
    </w:p>
  </w:footnote>
  <w:footnote w:id="63">
    <w:p w:rsidR="00905B3E" w:rsidRPr="003F63DB" w:rsidRDefault="00905B3E">
      <w:pPr>
        <w:pStyle w:val="Fotnotstext"/>
        <w:spacing w:before="0"/>
      </w:pPr>
      <w:r w:rsidRPr="003F63DB">
        <w:rPr>
          <w:rStyle w:val="Fotnotsreferens"/>
        </w:rPr>
        <w:footnoteRef/>
      </w:r>
      <w:r w:rsidRPr="003F63DB">
        <w:t xml:space="preserve"> Statens kulturråd 2002, dnr S 231/02-511.</w:t>
      </w:r>
    </w:p>
  </w:footnote>
  <w:footnote w:id="64">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Prop. 2002/03:1, volym 9, s. 27.</w:t>
      </w:r>
    </w:p>
  </w:footnote>
  <w:footnote w:id="65">
    <w:p w:rsidR="00905B3E" w:rsidRPr="003F63DB" w:rsidRDefault="00905B3E">
      <w:pPr>
        <w:pStyle w:val="Fotnotstext"/>
        <w:spacing w:before="0"/>
      </w:pPr>
      <w:r w:rsidRPr="003F63DB">
        <w:rPr>
          <w:rStyle w:val="Fotnotsreferens"/>
        </w:rPr>
        <w:footnoteRef/>
      </w:r>
      <w:r w:rsidRPr="003F63DB">
        <w:t xml:space="preserve"> Bet. 2001/02:KrU19.</w:t>
      </w:r>
    </w:p>
  </w:footnote>
  <w:footnote w:id="66">
    <w:p w:rsidR="00905B3E" w:rsidRPr="003F63DB" w:rsidRDefault="00905B3E">
      <w:pPr>
        <w:pStyle w:val="Fotnotstext"/>
        <w:spacing w:before="0"/>
      </w:pPr>
      <w:r w:rsidRPr="003F63DB">
        <w:rPr>
          <w:rStyle w:val="Fotnotsreferens"/>
        </w:rPr>
        <w:footnoteRef/>
      </w:r>
      <w:r w:rsidRPr="003F63DB">
        <w:t xml:space="preserve"> SOU 1994:51, Minne och bildning.</w:t>
      </w:r>
    </w:p>
  </w:footnote>
  <w:footnote w:id="67">
    <w:p w:rsidR="00905B3E" w:rsidRPr="003F63DB" w:rsidRDefault="00905B3E">
      <w:pPr>
        <w:pStyle w:val="Fotnotstext"/>
        <w:spacing w:before="0"/>
      </w:pPr>
      <w:r w:rsidRPr="003F63DB">
        <w:rPr>
          <w:rStyle w:val="Fotnotsreferens"/>
        </w:rPr>
        <w:footnoteRef/>
      </w:r>
      <w:r w:rsidRPr="003F63DB">
        <w:t xml:space="preserve"> SOU 1995:84, Kulturpolitikens inriktning.</w:t>
      </w:r>
    </w:p>
  </w:footnote>
  <w:footnote w:id="68">
    <w:p w:rsidR="00905B3E" w:rsidRPr="003F63DB" w:rsidRDefault="00905B3E">
      <w:pPr>
        <w:pStyle w:val="Fotnotstext"/>
        <w:spacing w:before="0"/>
      </w:pPr>
      <w:r w:rsidRPr="003F63DB">
        <w:rPr>
          <w:rStyle w:val="Fotnotsreferens"/>
        </w:rPr>
        <w:footnoteRef/>
      </w:r>
      <w:r w:rsidRPr="003F63DB">
        <w:t xml:space="preserve"> Därutöver finns ca 1 000 orapporterade undersökningar som inte har karaktären av uppdragsundersökningar. I vissa fall rör det sig om undersökningar som genomfördes för mycket länge sedan. </w:t>
      </w:r>
    </w:p>
  </w:footnote>
  <w:footnote w:id="69">
    <w:p w:rsidR="00905B3E" w:rsidRPr="003F63DB" w:rsidRDefault="00905B3E">
      <w:pPr>
        <w:pStyle w:val="Fotnotstext"/>
        <w:spacing w:before="0"/>
      </w:pPr>
      <w:r w:rsidRPr="003F63DB">
        <w:rPr>
          <w:rStyle w:val="Fotnotsreferens"/>
        </w:rPr>
        <w:footnoteRef/>
      </w:r>
      <w:r w:rsidRPr="003F63DB">
        <w:t xml:space="preserve"> Se t.ex. Riksantikvarieämbetet dnr 124-832-1998, Åtgärder för att balansera unde</w:t>
      </w:r>
      <w:r w:rsidRPr="003F63DB">
        <w:t>r</w:t>
      </w:r>
      <w:r w:rsidRPr="003F63DB">
        <w:t>skottet för avdelningen för arkeologiska undersökningar. Slutrapport till regeringens uppdrag nr 12 i regleringsbrevet för budgetåret 1998.</w:t>
      </w:r>
    </w:p>
  </w:footnote>
  <w:footnote w:id="70">
    <w:p w:rsidR="00905B3E" w:rsidRPr="003F63DB" w:rsidRDefault="00905B3E">
      <w:pPr>
        <w:pStyle w:val="Fotnotstext"/>
        <w:spacing w:before="0"/>
      </w:pPr>
      <w:r w:rsidRPr="003F63DB">
        <w:rPr>
          <w:rStyle w:val="Fotnotsreferens"/>
        </w:rPr>
        <w:footnoteRef/>
      </w:r>
      <w:r w:rsidRPr="003F63DB">
        <w:t xml:space="preserve"> Riksantikvarieämbetet, Bidrag till kulturmiljövård 1999 s. 12 resp. 2000, bilaga 1. Under år 1999 använde Riksantikvarieämbetet 979 000 kronor och år 2000 998 000 kronor för ä</w:t>
      </w:r>
      <w:r w:rsidRPr="003F63DB">
        <w:t>n</w:t>
      </w:r>
      <w:r w:rsidRPr="003F63DB">
        <w:t>damålet.</w:t>
      </w:r>
    </w:p>
  </w:footnote>
  <w:footnote w:id="71">
    <w:p w:rsidR="00905B3E" w:rsidRPr="003F63DB" w:rsidRDefault="00905B3E">
      <w:pPr>
        <w:pStyle w:val="Fotnotstext"/>
        <w:spacing w:before="0"/>
      </w:pPr>
      <w:r w:rsidRPr="003F63DB">
        <w:rPr>
          <w:rStyle w:val="Fotnotsreferens"/>
        </w:rPr>
        <w:footnoteRef/>
      </w:r>
      <w:r w:rsidRPr="003F63DB">
        <w:t xml:space="preserve"> Riksantikvarieämbetet dnr 124-832-1998.</w:t>
      </w:r>
    </w:p>
  </w:footnote>
  <w:footnote w:id="72">
    <w:p w:rsidR="00905B3E" w:rsidRPr="003F63DB" w:rsidRDefault="00905B3E">
      <w:pPr>
        <w:pStyle w:val="Fotnotstext"/>
        <w:spacing w:before="0"/>
      </w:pPr>
      <w:r w:rsidRPr="003F63DB">
        <w:rPr>
          <w:rStyle w:val="Fotnotsreferens"/>
        </w:rPr>
        <w:footnoteRef/>
      </w:r>
      <w:r w:rsidRPr="003F63DB">
        <w:t xml:space="preserve"> Ungefär hälften av dessa oavslutade undersökningar uppges härröra från undersö</w:t>
      </w:r>
      <w:r w:rsidRPr="003F63DB">
        <w:t>k</w:t>
      </w:r>
      <w:r w:rsidRPr="003F63DB">
        <w:t>ningar på Gotland under 1970- och 1980-talen. Dessa undersökningar var inte alltid orsakade av exploatering, utan bedrevs som sysselsättningsprojekt med delvis okval</w:t>
      </w:r>
      <w:r w:rsidRPr="003F63DB">
        <w:t>i</w:t>
      </w:r>
      <w:r w:rsidRPr="003F63DB">
        <w:t>ficerad arbetskraft och med begränsade medel för rapportering.</w:t>
      </w:r>
    </w:p>
  </w:footnote>
  <w:footnote w:id="73">
    <w:p w:rsidR="00905B3E" w:rsidRPr="003F63DB" w:rsidRDefault="00905B3E">
      <w:pPr>
        <w:pStyle w:val="Fotnotstext"/>
        <w:spacing w:before="0"/>
      </w:pPr>
      <w:r w:rsidRPr="003F63DB">
        <w:rPr>
          <w:rStyle w:val="Fotnotsreferens"/>
        </w:rPr>
        <w:footnoteRef/>
      </w:r>
      <w:r w:rsidRPr="003F63DB">
        <w:t xml:space="preserve"> Uppgifterna för UV avser juni 2002.</w:t>
      </w:r>
    </w:p>
  </w:footnote>
  <w:footnote w:id="74">
    <w:p w:rsidR="00905B3E" w:rsidRPr="003F63DB" w:rsidRDefault="00905B3E">
      <w:pPr>
        <w:pStyle w:val="Fotnotstext"/>
        <w:spacing w:before="0"/>
      </w:pPr>
      <w:r w:rsidRPr="003F63DB">
        <w:rPr>
          <w:rStyle w:val="Fotnotsreferens"/>
        </w:rPr>
        <w:footnoteRef/>
      </w:r>
      <w:r w:rsidRPr="003F63DB">
        <w:t xml:space="preserve"> Rent fysiskt finns fynden i magasin i Tumba, Visby och Lund. </w:t>
      </w:r>
    </w:p>
  </w:footnote>
  <w:footnote w:id="75">
    <w:p w:rsidR="00905B3E" w:rsidRPr="003F63DB" w:rsidRDefault="00905B3E">
      <w:pPr>
        <w:pStyle w:val="Fotnotstext"/>
        <w:spacing w:before="0"/>
      </w:pPr>
      <w:r w:rsidRPr="003F63DB">
        <w:rPr>
          <w:rStyle w:val="Fotnotsreferens"/>
        </w:rPr>
        <w:footnoteRef/>
      </w:r>
      <w:r w:rsidRPr="003F63DB">
        <w:t xml:space="preserve"> Riksantikvarieämbetet 2002-10-15, Förslag till en nationell plan för rapportering av äldre arkeologiska undersökningar.</w:t>
      </w:r>
    </w:p>
  </w:footnote>
  <w:footnote w:id="76">
    <w:p w:rsidR="00905B3E" w:rsidRPr="003F63DB" w:rsidRDefault="00905B3E">
      <w:pPr>
        <w:pStyle w:val="Fotnotstext"/>
        <w:spacing w:before="0"/>
      </w:pPr>
      <w:r w:rsidRPr="003F63DB">
        <w:rPr>
          <w:rStyle w:val="Fotnotsreferens"/>
        </w:rPr>
        <w:footnoteRef/>
      </w:r>
      <w:r w:rsidRPr="003F63DB">
        <w:t xml:space="preserve"> KRFS 1998:1 13 §.</w:t>
      </w:r>
    </w:p>
  </w:footnote>
  <w:footnote w:id="77">
    <w:p w:rsidR="00905B3E" w:rsidRPr="003F63DB" w:rsidRDefault="00905B3E">
      <w:pPr>
        <w:pStyle w:val="Fotnotstext"/>
        <w:spacing w:before="0"/>
      </w:pPr>
      <w:r w:rsidRPr="003F63DB">
        <w:rPr>
          <w:rStyle w:val="Fotnotsreferens"/>
        </w:rPr>
        <w:footnoteRef/>
      </w:r>
      <w:r w:rsidRPr="003F63DB">
        <w:t xml:space="preserve"> Med intellektuella tjänster menar NOU kvalificerade konsultarbeten som utförs av särskilt sakkunniga konsulter. Exempel på sådana tjänster kan vara konstruktions-, arkitekt-, data-, organisations-, utbildnings- eller forsknings- och utvecklingstjänster. Enligt lag (2002:594) ska den upphandlande enheten vid behov fastställa riktlinjer för användning av direktupphandling.</w:t>
      </w:r>
    </w:p>
  </w:footnote>
  <w:footnote w:id="78">
    <w:p w:rsidR="00905B3E" w:rsidRPr="003F63DB" w:rsidRDefault="00905B3E">
      <w:pPr>
        <w:pStyle w:val="Fotnotstext"/>
        <w:spacing w:before="0"/>
      </w:pPr>
      <w:r w:rsidRPr="003F63DB">
        <w:rPr>
          <w:rStyle w:val="Fotnotsreferens"/>
        </w:rPr>
        <w:footnoteRef/>
      </w:r>
      <w:r w:rsidRPr="003F63DB">
        <w:t xml:space="preserve"> HUR var en förkortning för uppdraget att utreda huvudmannaskapet för Riksanti</w:t>
      </w:r>
      <w:r w:rsidRPr="003F63DB">
        <w:t>k</w:t>
      </w:r>
      <w:r w:rsidRPr="003F63DB">
        <w:t>varieämbetets arkeologiska undersökningsverksamhet m.m.</w:t>
      </w:r>
    </w:p>
  </w:footnote>
  <w:footnote w:id="79">
    <w:p w:rsidR="00905B3E" w:rsidRPr="003F63DB" w:rsidRDefault="00905B3E">
      <w:pPr>
        <w:pStyle w:val="Fotnotstext"/>
        <w:spacing w:before="0"/>
      </w:pPr>
      <w:r w:rsidRPr="003F63DB">
        <w:rPr>
          <w:rStyle w:val="Fotnotsreferens"/>
        </w:rPr>
        <w:footnoteRef/>
      </w:r>
      <w:r w:rsidRPr="003F63DB">
        <w:t xml:space="preserve"> Lagen om offentlig upphandling trädde i kraft den 1 januari 1994.</w:t>
      </w:r>
    </w:p>
  </w:footnote>
  <w:footnote w:id="80">
    <w:p w:rsidR="00905B3E" w:rsidRPr="003F63DB" w:rsidRDefault="00905B3E">
      <w:pPr>
        <w:pStyle w:val="Fotnotstext"/>
        <w:spacing w:before="0"/>
      </w:pPr>
      <w:r w:rsidRPr="003F63DB">
        <w:rPr>
          <w:rStyle w:val="Fotnotsreferens"/>
        </w:rPr>
        <w:footnoteRef/>
      </w:r>
      <w:r w:rsidRPr="003F63DB">
        <w:t xml:space="preserve"> prop. 1993/94:100 bil. 12, bet. 1993/94:KrU25, rskr.1993/94:195.</w:t>
      </w:r>
    </w:p>
  </w:footnote>
  <w:footnote w:id="81">
    <w:p w:rsidR="00905B3E" w:rsidRPr="003F63DB" w:rsidRDefault="00905B3E">
      <w:pPr>
        <w:pStyle w:val="Fotnotstext"/>
        <w:spacing w:before="0"/>
      </w:pPr>
      <w:r w:rsidRPr="003F63DB">
        <w:rPr>
          <w:rStyle w:val="Fotnotsreferens"/>
        </w:rPr>
        <w:footnoteRef/>
      </w:r>
      <w:r w:rsidRPr="003F63DB">
        <w:t>Riksantikvarieämbetet, dnr 103-2430-1995.</w:t>
      </w:r>
    </w:p>
  </w:footnote>
  <w:footnote w:id="82">
    <w:p w:rsidR="00905B3E" w:rsidRPr="003F63DB" w:rsidRDefault="00905B3E">
      <w:pPr>
        <w:pStyle w:val="Fotnotstext"/>
        <w:spacing w:before="0"/>
      </w:pPr>
      <w:r w:rsidRPr="003F63DB">
        <w:rPr>
          <w:rStyle w:val="Fotnotsreferens"/>
        </w:rPr>
        <w:footnoteRef/>
      </w:r>
      <w:r w:rsidRPr="003F63DB">
        <w:t xml:space="preserve"> Ds 1996:48 Uppdragsarkeologi.</w:t>
      </w:r>
    </w:p>
  </w:footnote>
  <w:footnote w:id="83">
    <w:p w:rsidR="00905B3E" w:rsidRPr="003F63DB" w:rsidRDefault="00905B3E">
      <w:pPr>
        <w:pStyle w:val="Fotnotstext"/>
        <w:spacing w:before="0"/>
      </w:pPr>
      <w:r w:rsidRPr="003F63DB">
        <w:rPr>
          <w:rStyle w:val="Fotnotsreferens"/>
        </w:rPr>
        <w:footnoteRef/>
      </w:r>
      <w:r w:rsidRPr="003F63DB">
        <w:t xml:space="preserve"> Prop. 1996/97:99.</w:t>
      </w:r>
    </w:p>
  </w:footnote>
  <w:footnote w:id="84">
    <w:p w:rsidR="00905B3E" w:rsidRPr="003F63DB" w:rsidRDefault="00905B3E">
      <w:pPr>
        <w:pStyle w:val="Fotnotstext"/>
        <w:spacing w:before="0"/>
      </w:pPr>
      <w:r w:rsidRPr="003F63DB">
        <w:rPr>
          <w:rStyle w:val="Fotnotsreferens"/>
        </w:rPr>
        <w:footnoteRef/>
      </w:r>
      <w:r w:rsidRPr="003F63DB">
        <w:t xml:space="preserve"> artikel 66 och 55 (dess lydelse före Maastricht), se Ds 1996:48 Uppdragsarkeologi , prop. 1996/97:99 .</w:t>
      </w:r>
    </w:p>
  </w:footnote>
  <w:footnote w:id="85">
    <w:p w:rsidR="00905B3E" w:rsidRPr="003F63DB" w:rsidRDefault="00905B3E">
      <w:pPr>
        <w:pStyle w:val="Fotnotstext"/>
        <w:spacing w:before="0"/>
      </w:pPr>
      <w:r w:rsidRPr="003F63DB">
        <w:rPr>
          <w:rStyle w:val="Fotnotsreferens"/>
        </w:rPr>
        <w:footnoteRef/>
      </w:r>
      <w:r w:rsidRPr="003F63DB">
        <w:t xml:space="preserve"> Ds 1996:48, s. 28–31.</w:t>
      </w:r>
    </w:p>
  </w:footnote>
  <w:footnote w:id="86">
    <w:p w:rsidR="00905B3E" w:rsidRPr="003F63DB" w:rsidRDefault="00905B3E">
      <w:pPr>
        <w:pStyle w:val="Fotnotstext"/>
        <w:spacing w:before="0"/>
      </w:pPr>
      <w:r w:rsidRPr="003F63DB">
        <w:rPr>
          <w:rStyle w:val="Fotnotsreferens"/>
        </w:rPr>
        <w:footnoteRef/>
      </w:r>
      <w:r w:rsidRPr="003F63DB">
        <w:t xml:space="preserve"> Prop. 1996/97:99, s. 10.</w:t>
      </w:r>
    </w:p>
  </w:footnote>
  <w:footnote w:id="87">
    <w:p w:rsidR="00905B3E" w:rsidRPr="003F63DB" w:rsidRDefault="00905B3E">
      <w:pPr>
        <w:pStyle w:val="Fotnotstext"/>
        <w:spacing w:before="0"/>
      </w:pPr>
      <w:r w:rsidRPr="003F63DB">
        <w:rPr>
          <w:rStyle w:val="Fotnotsreferens"/>
        </w:rPr>
        <w:footnoteRef/>
      </w:r>
      <w:r w:rsidRPr="003F63DB">
        <w:t xml:space="preserve"> Regeringsrättens dom 1993-03-03 i mål nr 3521-1992 (RÅ 1993 ref 38).</w:t>
      </w:r>
    </w:p>
  </w:footnote>
  <w:footnote w:id="88">
    <w:p w:rsidR="00905B3E" w:rsidRPr="003F63DB" w:rsidRDefault="00905B3E">
      <w:pPr>
        <w:pStyle w:val="Fotnotstext"/>
        <w:spacing w:before="0"/>
      </w:pPr>
      <w:r w:rsidRPr="003F63DB">
        <w:rPr>
          <w:rStyle w:val="Fotnotsreferens"/>
        </w:rPr>
        <w:footnoteRef/>
      </w:r>
      <w:r w:rsidRPr="003F63DB">
        <w:t xml:space="preserve"> 2 kap. 11 och 13 §§ KML, prop. 1996/97:99, bet. 1996/97:KrU12, rskr. 1996/97:230.</w:t>
      </w:r>
    </w:p>
  </w:footnote>
  <w:footnote w:id="89">
    <w:p w:rsidR="00905B3E" w:rsidRPr="003F63DB" w:rsidRDefault="00905B3E">
      <w:pPr>
        <w:pStyle w:val="Fotnotstext"/>
        <w:spacing w:before="0"/>
      </w:pPr>
      <w:r w:rsidRPr="003F63DB">
        <w:rPr>
          <w:rStyle w:val="Fotnotsreferens"/>
        </w:rPr>
        <w:footnoteRef/>
      </w:r>
      <w:r w:rsidRPr="003F63DB">
        <w:t xml:space="preserve"> Lagrådets yttrande över Ds. 1996:48 finns i prop. 1996/97:99 bilaga 8.</w:t>
      </w:r>
    </w:p>
  </w:footnote>
  <w:footnote w:id="90">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Prop. 1996/97:99, bet. 1996/97:KrU12, rskr. 1996/97:230.</w:t>
      </w:r>
    </w:p>
  </w:footnote>
  <w:footnote w:id="91">
    <w:p w:rsidR="00905B3E" w:rsidRPr="003F63DB" w:rsidRDefault="00905B3E">
      <w:pPr>
        <w:pStyle w:val="Fotnotstext"/>
        <w:spacing w:before="0"/>
      </w:pPr>
      <w:r w:rsidRPr="003F63DB">
        <w:rPr>
          <w:rStyle w:val="Fotnotsreferens"/>
        </w:rPr>
        <w:footnoteRef/>
      </w:r>
      <w:r w:rsidRPr="003F63DB">
        <w:t xml:space="preserve"> Verkställighetsföreskrifterna utfärdades med stöd av 10 § förordningen (1988:1188) om kulturminnen m.m.</w:t>
      </w:r>
    </w:p>
  </w:footnote>
  <w:footnote w:id="92">
    <w:p w:rsidR="00905B3E" w:rsidRPr="003F63DB" w:rsidRDefault="00905B3E">
      <w:pPr>
        <w:pStyle w:val="Fotnotstext"/>
        <w:spacing w:before="0"/>
      </w:pPr>
      <w:r w:rsidRPr="003F63DB">
        <w:rPr>
          <w:rStyle w:val="Fotnotsreferens"/>
        </w:rPr>
        <w:footnoteRef/>
      </w:r>
      <w:r w:rsidRPr="003F63DB">
        <w:t xml:space="preserve"> Allmänna råd från RAÄ 1998:1. Uppdragsarkeologi. Allmänna råd till verkställi</w:t>
      </w:r>
      <w:r w:rsidRPr="003F63DB">
        <w:t>g</w:t>
      </w:r>
      <w:r w:rsidRPr="003F63DB">
        <w:t>hetsföreskrifter angående förfarande vid vissa beslut m.m. enligt 2 kap. 10–13 §§ lagen (1988:950) om kulturminnen m.m. (KRFS 1998:1).</w:t>
      </w:r>
    </w:p>
  </w:footnote>
  <w:footnote w:id="93">
    <w:p w:rsidR="00905B3E" w:rsidRPr="003F63DB" w:rsidRDefault="00905B3E">
      <w:pPr>
        <w:pStyle w:val="Fotnotstext"/>
        <w:spacing w:before="0"/>
      </w:pPr>
      <w:r w:rsidRPr="003F63DB">
        <w:rPr>
          <w:rStyle w:val="Fotnotsreferens"/>
        </w:rPr>
        <w:footnoteRef/>
      </w:r>
      <w:r w:rsidRPr="003F63DB">
        <w:t xml:space="preserve"> Underrättelser från RAÄ 1999:1. Beslut om ingrepp m.m. i fornlämning och for</w:t>
      </w:r>
      <w:r w:rsidRPr="003F63DB">
        <w:t>n</w:t>
      </w:r>
      <w:r w:rsidRPr="003F63DB">
        <w:t>lämningsområde. Rekommendationer för tillämpning av bestämmelser i 2 kap. 10–14 §§ KML.</w:t>
      </w:r>
    </w:p>
    <w:p w:rsidR="00905B3E" w:rsidRPr="003F63DB" w:rsidRDefault="00905B3E">
      <w:pPr>
        <w:pStyle w:val="Fotnotstext"/>
        <w:spacing w:before="0"/>
      </w:pPr>
      <w:r w:rsidRPr="003F63DB">
        <w:t>Underrättelser från RAÄ 1998:1. Uppdragsarkeologi. Rekommendationer vid up</w:t>
      </w:r>
      <w:r w:rsidRPr="003F63DB">
        <w:t>p</w:t>
      </w:r>
      <w:r w:rsidRPr="003F63DB">
        <w:t>rättande av undersökningsplaner, utarbetande av rapporter, uppföljning, bedömning av lämplighet och kompetens samt konservering.</w:t>
      </w:r>
    </w:p>
  </w:footnote>
  <w:footnote w:id="94">
    <w:p w:rsidR="00905B3E" w:rsidRPr="003F63DB" w:rsidRDefault="00905B3E">
      <w:pPr>
        <w:pStyle w:val="Fotnotstext"/>
        <w:spacing w:before="0"/>
      </w:pPr>
      <w:r w:rsidRPr="003F63DB">
        <w:rPr>
          <w:rStyle w:val="Fotnotsreferens"/>
        </w:rPr>
        <w:footnoteRef/>
      </w:r>
      <w:r w:rsidRPr="003F63DB">
        <w:t xml:space="preserve"> Ds 1996:48.</w:t>
      </w:r>
    </w:p>
  </w:footnote>
  <w:footnote w:id="95">
    <w:p w:rsidR="00905B3E" w:rsidRPr="003F63DB" w:rsidRDefault="00905B3E">
      <w:pPr>
        <w:pStyle w:val="Fotnotstext"/>
        <w:spacing w:before="0"/>
      </w:pPr>
      <w:r w:rsidRPr="003F63DB">
        <w:rPr>
          <w:rStyle w:val="Fotnotsreferens"/>
        </w:rPr>
        <w:footnoteRef/>
      </w:r>
      <w:r w:rsidRPr="003F63DB">
        <w:t xml:space="preserve"> NOU, dnr 174/96-22.</w:t>
      </w:r>
    </w:p>
  </w:footnote>
  <w:footnote w:id="96">
    <w:p w:rsidR="00905B3E" w:rsidRPr="003F63DB" w:rsidRDefault="00905B3E">
      <w:pPr>
        <w:pStyle w:val="Fotnotstext"/>
        <w:spacing w:before="0"/>
      </w:pPr>
      <w:r w:rsidRPr="003F63DB">
        <w:rPr>
          <w:rStyle w:val="Fotnotsreferens"/>
        </w:rPr>
        <w:footnoteRef/>
      </w:r>
      <w:r w:rsidRPr="003F63DB">
        <w:t xml:space="preserve"> NOU, dnr 2000/0003. Ingrepp i kyrkliga kulturminnen regleras i 4 kap. 3 § KML.</w:t>
      </w:r>
    </w:p>
  </w:footnote>
  <w:footnote w:id="97">
    <w:p w:rsidR="00905B3E" w:rsidRPr="003F63DB" w:rsidRDefault="00905B3E">
      <w:pPr>
        <w:pStyle w:val="Fotnotstext"/>
        <w:spacing w:before="0"/>
      </w:pPr>
      <w:r w:rsidRPr="003F63DB">
        <w:rPr>
          <w:rStyle w:val="Fotnotsreferens"/>
        </w:rPr>
        <w:footnoteRef/>
      </w:r>
      <w:r w:rsidRPr="003F63DB">
        <w:t xml:space="preserve"> NOU, dnr 2000/0003.</w:t>
      </w:r>
    </w:p>
  </w:footnote>
  <w:footnote w:id="98">
    <w:p w:rsidR="00905B3E" w:rsidRPr="003F63DB" w:rsidRDefault="00905B3E">
      <w:pPr>
        <w:pStyle w:val="Fotnotstext"/>
        <w:spacing w:before="0"/>
      </w:pPr>
      <w:r w:rsidRPr="003F63DB">
        <w:rPr>
          <w:rStyle w:val="Fotnotsreferens"/>
        </w:rPr>
        <w:footnoteRef/>
      </w:r>
      <w:r w:rsidRPr="003F63DB">
        <w:t xml:space="preserve"> EG-domstolens uttalande i målet C-323/96, EG-kommissionen mot Belgien, punkt 42. (Se bl.a. dom den 12/2 1998 i mål C-144/97, kommissionen mot Frankrike, REG 1998, s. I-163, punkt 8).</w:t>
      </w:r>
    </w:p>
  </w:footnote>
  <w:footnote w:id="99">
    <w:p w:rsidR="00905B3E" w:rsidRPr="003F63DB" w:rsidRDefault="00905B3E">
      <w:pPr>
        <w:pStyle w:val="Fotnotstext"/>
        <w:spacing w:before="0"/>
      </w:pPr>
      <w:r w:rsidRPr="003F63DB">
        <w:rPr>
          <w:rStyle w:val="Fotnotsreferens"/>
        </w:rPr>
        <w:footnoteRef/>
      </w:r>
      <w:r w:rsidRPr="003F63DB">
        <w:t xml:space="preserve"> Prop. 1996/97:99, bilaga 3. </w:t>
      </w:r>
    </w:p>
    <w:p w:rsidR="00905B3E" w:rsidRPr="003F63DB" w:rsidRDefault="00905B3E">
      <w:pPr>
        <w:pStyle w:val="Fotnotstext"/>
        <w:spacing w:before="0"/>
      </w:pPr>
      <w:r w:rsidRPr="003F63DB">
        <w:t>Vägverket Region Stockholm föreslog rutiner för upphandling av arkeologiska unde</w:t>
      </w:r>
      <w:r w:rsidRPr="003F63DB">
        <w:t>r</w:t>
      </w:r>
      <w:r w:rsidRPr="003F63DB">
        <w:t>sökningar för länsstyrelsen i Stockholms län redan hösten 1994, dnr SA80B 94:6205.</w:t>
      </w:r>
    </w:p>
  </w:footnote>
  <w:footnote w:id="100">
    <w:p w:rsidR="00905B3E" w:rsidRPr="003F63DB" w:rsidRDefault="00905B3E">
      <w:pPr>
        <w:pStyle w:val="Fotnotstext"/>
        <w:spacing w:before="0"/>
      </w:pPr>
      <w:r w:rsidRPr="003F63DB">
        <w:rPr>
          <w:rStyle w:val="Fotnotsreferens"/>
        </w:rPr>
        <w:footnoteRef/>
      </w:r>
      <w:r w:rsidRPr="003F63DB">
        <w:t xml:space="preserve"> Vägverket Region Stockholm, dnr PP20A 2002:667.</w:t>
      </w:r>
    </w:p>
  </w:footnote>
  <w:footnote w:id="101">
    <w:p w:rsidR="00905B3E" w:rsidRPr="003F63DB" w:rsidRDefault="00905B3E">
      <w:pPr>
        <w:pStyle w:val="Fotnotstext"/>
        <w:spacing w:before="0"/>
      </w:pPr>
      <w:r w:rsidRPr="003F63DB">
        <w:rPr>
          <w:rStyle w:val="Fotnotsreferens"/>
        </w:rPr>
        <w:footnoteRef/>
      </w:r>
      <w:r w:rsidRPr="003F63DB">
        <w:t xml:space="preserve"> Arkeologi längs Norrortsleden 2002.</w:t>
      </w:r>
    </w:p>
  </w:footnote>
  <w:footnote w:id="102">
    <w:p w:rsidR="00905B3E" w:rsidRPr="003F63DB" w:rsidRDefault="00905B3E">
      <w:pPr>
        <w:pStyle w:val="Fotnotstext"/>
        <w:spacing w:before="0"/>
      </w:pPr>
      <w:r w:rsidRPr="003F63DB">
        <w:rPr>
          <w:rStyle w:val="Fotnotsreferens"/>
        </w:rPr>
        <w:footnoteRef/>
      </w:r>
      <w:r w:rsidRPr="003F63DB">
        <w:t xml:space="preserve"> Prop. 1996/97:99 s. 20.</w:t>
      </w:r>
    </w:p>
  </w:footnote>
  <w:footnote w:id="103">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2 kap. 11 och 13 §§ KML.</w:t>
      </w:r>
    </w:p>
  </w:footnote>
  <w:footnote w:id="104">
    <w:p w:rsidR="00905B3E" w:rsidRPr="003F63DB" w:rsidRDefault="00905B3E">
      <w:pPr>
        <w:pStyle w:val="Fotnotstext"/>
        <w:spacing w:before="0"/>
      </w:pPr>
      <w:r w:rsidRPr="003F63DB">
        <w:rPr>
          <w:rStyle w:val="Fotnotsreferens"/>
        </w:rPr>
        <w:footnoteRef/>
      </w:r>
      <w:r w:rsidRPr="003F63DB">
        <w:t xml:space="preserve"> 2 kap. 11 och 13 §§ KML.</w:t>
      </w:r>
    </w:p>
  </w:footnote>
  <w:footnote w:id="105">
    <w:p w:rsidR="00905B3E" w:rsidRPr="003F63DB" w:rsidRDefault="00905B3E">
      <w:pPr>
        <w:pStyle w:val="Fotnotstext"/>
        <w:spacing w:before="0"/>
      </w:pPr>
      <w:r w:rsidRPr="003F63DB">
        <w:rPr>
          <w:rStyle w:val="Fotnotsreferens"/>
        </w:rPr>
        <w:footnoteRef/>
      </w:r>
      <w:r w:rsidRPr="003F63DB">
        <w:t xml:space="preserve"> SOU 1992:137 s. 68.</w:t>
      </w:r>
    </w:p>
  </w:footnote>
  <w:footnote w:id="106">
    <w:p w:rsidR="00905B3E" w:rsidRPr="003F63DB" w:rsidRDefault="00905B3E">
      <w:pPr>
        <w:pStyle w:val="Fotnotstext"/>
        <w:spacing w:before="0"/>
      </w:pPr>
      <w:r w:rsidRPr="003F63DB">
        <w:rPr>
          <w:rStyle w:val="Fotnotsreferens"/>
        </w:rPr>
        <w:footnoteRef/>
      </w:r>
      <w:r w:rsidRPr="003F63DB">
        <w:t xml:space="preserve"> Prop. 1996/97:99, bet. 1996/97:KrU12, rskr. 1996/97:230.</w:t>
      </w:r>
    </w:p>
  </w:footnote>
  <w:footnote w:id="107">
    <w:p w:rsidR="00905B3E" w:rsidRPr="003F63DB" w:rsidRDefault="00905B3E">
      <w:pPr>
        <w:pStyle w:val="Fotnotstext"/>
        <w:spacing w:before="0"/>
      </w:pPr>
      <w:r w:rsidRPr="003F63DB">
        <w:rPr>
          <w:rStyle w:val="Fotnotsreferens"/>
        </w:rPr>
        <w:footnoteRef/>
      </w:r>
      <w:r w:rsidRPr="003F63DB">
        <w:t xml:space="preserve"> Prop. 1996/97:99 s. 24.</w:t>
      </w:r>
    </w:p>
  </w:footnote>
  <w:footnote w:id="108">
    <w:p w:rsidR="00905B3E" w:rsidRPr="003F63DB" w:rsidRDefault="00905B3E">
      <w:pPr>
        <w:pStyle w:val="Fotnotstext"/>
        <w:spacing w:before="0"/>
      </w:pPr>
      <w:r w:rsidRPr="003F63DB">
        <w:rPr>
          <w:rStyle w:val="Fotnotsreferens"/>
        </w:rPr>
        <w:footnoteRef/>
      </w:r>
      <w:r w:rsidRPr="003F63DB">
        <w:t xml:space="preserve"> 2 kap. 14–15 §§ KML. Exploatören befrias från kostnader då exempelvis en for</w:t>
      </w:r>
      <w:r w:rsidRPr="003F63DB">
        <w:t>n</w:t>
      </w:r>
      <w:r w:rsidRPr="003F63DB">
        <w:t>lämning påträffas som inte förut var känd eller om kostnaderna väsentligt överstiger vad länsstyrelsen angivit i beslutet om tillstånd.</w:t>
      </w:r>
    </w:p>
  </w:footnote>
  <w:footnote w:id="109">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Förordningen (1993:379) om bidrag till kulturmiljövård.</w:t>
      </w:r>
    </w:p>
  </w:footnote>
  <w:footnote w:id="110">
    <w:p w:rsidR="00905B3E" w:rsidRPr="003F63DB" w:rsidRDefault="00905B3E">
      <w:pPr>
        <w:pStyle w:val="Fotnotstext"/>
        <w:spacing w:before="0"/>
      </w:pPr>
      <w:r w:rsidRPr="003F63DB">
        <w:rPr>
          <w:rStyle w:val="Fotnotsreferens"/>
        </w:rPr>
        <w:footnoteRef/>
      </w:r>
      <w:r w:rsidRPr="003F63DB">
        <w:t xml:space="preserve"> Vägverket Region Stockholm, dnr PP 20 2002:1356.</w:t>
      </w:r>
    </w:p>
  </w:footnote>
  <w:footnote w:id="111">
    <w:p w:rsidR="00905B3E" w:rsidRPr="003F63DB" w:rsidRDefault="00905B3E">
      <w:pPr>
        <w:pStyle w:val="Fotnotstext"/>
        <w:spacing w:before="0"/>
      </w:pPr>
      <w:r w:rsidRPr="003F63DB">
        <w:rPr>
          <w:rStyle w:val="Fotnotsreferens"/>
        </w:rPr>
        <w:footnoteRef/>
      </w:r>
      <w:r w:rsidRPr="003F63DB">
        <w:t xml:space="preserve"> Riksantikvarieämbetet, Rapport 2001:3, Projekt Uppdragsarkeologi, Rapport om rapporter, s. 11.</w:t>
      </w:r>
    </w:p>
  </w:footnote>
  <w:footnote w:id="112">
    <w:p w:rsidR="00905B3E" w:rsidRPr="003F63DB" w:rsidRDefault="00905B3E">
      <w:pPr>
        <w:pStyle w:val="Fotnotstext"/>
        <w:spacing w:before="0"/>
      </w:pPr>
      <w:r w:rsidRPr="003F63DB">
        <w:rPr>
          <w:rStyle w:val="Fotnotsreferens"/>
        </w:rPr>
        <w:footnoteRef/>
      </w:r>
      <w:r w:rsidRPr="003F63DB">
        <w:t xml:space="preserve"> Skrivelse från Länsstyrelsen i Uppsala län till Vägverket Region Mälardalen 2000-06-09, dnr 220-5467-00.</w:t>
      </w:r>
    </w:p>
  </w:footnote>
  <w:footnote w:id="113">
    <w:p w:rsidR="00905B3E" w:rsidRPr="003F63DB" w:rsidRDefault="00905B3E">
      <w:pPr>
        <w:pStyle w:val="Fotnotstext"/>
        <w:spacing w:before="0"/>
      </w:pPr>
      <w:r w:rsidRPr="003F63DB">
        <w:rPr>
          <w:rStyle w:val="Fotnotsreferens"/>
        </w:rPr>
        <w:footnoteRef/>
      </w:r>
      <w:r w:rsidRPr="003F63DB">
        <w:t xml:space="preserve"> Vägverket Region Mälardalen, 2000-09-14, dnr VMN BY20 2000:2186.</w:t>
      </w:r>
    </w:p>
  </w:footnote>
  <w:footnote w:id="114">
    <w:p w:rsidR="00905B3E" w:rsidRPr="003F63DB" w:rsidRDefault="00905B3E">
      <w:pPr>
        <w:pStyle w:val="Fotnotstext"/>
        <w:spacing w:before="0"/>
      </w:pPr>
      <w:r w:rsidRPr="003F63DB">
        <w:rPr>
          <w:rStyle w:val="Fotnotsreferens"/>
        </w:rPr>
        <w:footnoteRef/>
      </w:r>
      <w:r w:rsidRPr="003F63DB">
        <w:t xml:space="preserve"> Vägverket Region Mälardalen, 2002-03-18, dnr VMN BY20 2000:2186.</w:t>
      </w:r>
    </w:p>
  </w:footnote>
  <w:footnote w:id="115">
    <w:p w:rsidR="00905B3E" w:rsidRPr="003F63DB" w:rsidRDefault="00905B3E">
      <w:pPr>
        <w:pStyle w:val="Fotnotstext"/>
        <w:spacing w:before="0"/>
      </w:pPr>
      <w:r w:rsidRPr="003F63DB">
        <w:rPr>
          <w:rStyle w:val="Fotnotsreferens"/>
        </w:rPr>
        <w:footnoteRef/>
      </w:r>
      <w:r w:rsidRPr="003F63DB">
        <w:t xml:space="preserve"> Länsstyrelsen i Uppsala län, 2002-02-18, dnr 229-2025-02.</w:t>
      </w:r>
    </w:p>
  </w:footnote>
  <w:footnote w:id="116">
    <w:p w:rsidR="00905B3E" w:rsidRPr="003F63DB" w:rsidRDefault="00905B3E">
      <w:pPr>
        <w:pStyle w:val="Fotnotstext"/>
        <w:spacing w:before="0"/>
      </w:pPr>
      <w:r w:rsidRPr="003F63DB">
        <w:rPr>
          <w:rStyle w:val="Fotnotsreferens"/>
        </w:rPr>
        <w:footnoteRef/>
      </w:r>
      <w:r w:rsidRPr="003F63DB">
        <w:t xml:space="preserve"> En kopia av länsstyrelsens beslut om utredning, förundersökning och särskild undersökning sänds till Riksantikvarieämbetet enligt 3 § förordning (1988:1188) om kultu</w:t>
      </w:r>
      <w:r w:rsidRPr="003F63DB">
        <w:t>r</w:t>
      </w:r>
      <w:r w:rsidRPr="003F63DB">
        <w:t>minnen m.m.</w:t>
      </w:r>
    </w:p>
  </w:footnote>
  <w:footnote w:id="117">
    <w:p w:rsidR="00905B3E" w:rsidRPr="003F63DB" w:rsidRDefault="00905B3E">
      <w:pPr>
        <w:pStyle w:val="Fotnotstext"/>
        <w:spacing w:before="0"/>
      </w:pPr>
      <w:r w:rsidRPr="003F63DB">
        <w:rPr>
          <w:rStyle w:val="Fotnotsreferens"/>
        </w:rPr>
        <w:footnoteRef/>
      </w:r>
      <w:r w:rsidRPr="003F63DB">
        <w:t xml:space="preserve"> Registret utgör ett internt stöd för Riksantikvarieämbetet i arbetet med uppföljning och tillsyn av länsstyrelsernas beslut enligt kulturminneslagen. </w:t>
      </w:r>
    </w:p>
  </w:footnote>
  <w:footnote w:id="118">
    <w:p w:rsidR="00905B3E" w:rsidRPr="003F63DB" w:rsidRDefault="00905B3E">
      <w:pPr>
        <w:pStyle w:val="Fotnotstext"/>
        <w:spacing w:before="0"/>
      </w:pPr>
      <w:r w:rsidRPr="003F63DB">
        <w:rPr>
          <w:rStyle w:val="Fotnotsreferens"/>
        </w:rPr>
        <w:footnoteRef/>
      </w:r>
      <w:r w:rsidRPr="003F63DB">
        <w:t xml:space="preserve"> Uppdragsarkeologin. Redovisning av uppdrag 4 i 2000 års regleringsbrev.</w:t>
      </w:r>
    </w:p>
  </w:footnote>
  <w:footnote w:id="119">
    <w:p w:rsidR="00905B3E" w:rsidRPr="003F63DB" w:rsidRDefault="00905B3E">
      <w:pPr>
        <w:pStyle w:val="Fotnotstext"/>
        <w:spacing w:before="0"/>
      </w:pPr>
      <w:r w:rsidRPr="003F63DB">
        <w:rPr>
          <w:rStyle w:val="Fotnotsreferens"/>
        </w:rPr>
        <w:footnoteRef/>
      </w:r>
      <w:r w:rsidRPr="003F63DB">
        <w:t xml:space="preserve"> Riksantikvarieämbetet menar att en felregistrering av kostnader för en omfattande undersökning under 1998 kan förklara en del av skillnaderna. En annan förklaring är att registret överfördes till ett nytt system inför årsskiftet 1999/2000, vilket sägs ha påverkat registrerade uppgifter för beslut avseende åren före 2000. Uttaget av statistik ur registret som levererades till regeringen gjordes dock under under 2001. Uppgifte</w:t>
      </w:r>
      <w:r w:rsidRPr="003F63DB">
        <w:t>r</w:t>
      </w:r>
      <w:r w:rsidRPr="003F63DB">
        <w:t xml:space="preserve">na som revisorerna fått för år 2000 resp. 2001 uppges vara tillförlitliga. </w:t>
      </w:r>
    </w:p>
  </w:footnote>
  <w:footnote w:id="120">
    <w:p w:rsidR="00905B3E" w:rsidRPr="003F63DB" w:rsidRDefault="00905B3E">
      <w:pPr>
        <w:pStyle w:val="Fotnotstext"/>
        <w:spacing w:before="0"/>
      </w:pPr>
      <w:r w:rsidRPr="003F63DB">
        <w:rPr>
          <w:rStyle w:val="Fotnotsreferens"/>
        </w:rPr>
        <w:footnoteRef/>
      </w:r>
      <w:r w:rsidRPr="003F63DB">
        <w:t xml:space="preserve"> Prop. 1996/97:99 s. 21.</w:t>
      </w:r>
    </w:p>
  </w:footnote>
  <w:footnote w:id="121">
    <w:p w:rsidR="00905B3E" w:rsidRPr="003F63DB" w:rsidRDefault="00905B3E">
      <w:pPr>
        <w:pStyle w:val="Fotnotstext"/>
        <w:spacing w:before="0"/>
      </w:pPr>
      <w:r w:rsidRPr="003F63DB">
        <w:rPr>
          <w:rStyle w:val="Fotnotsreferens"/>
        </w:rPr>
        <w:footnoteRef/>
      </w:r>
      <w:r w:rsidRPr="003F63DB">
        <w:t xml:space="preserve"> KRFS 1998:1 6–7 §§.</w:t>
      </w:r>
    </w:p>
  </w:footnote>
  <w:footnote w:id="122">
    <w:p w:rsidR="00905B3E" w:rsidRPr="003F63DB" w:rsidRDefault="00905B3E">
      <w:pPr>
        <w:pStyle w:val="Fotnotstext"/>
        <w:spacing w:before="0"/>
      </w:pPr>
      <w:r w:rsidRPr="003F63DB">
        <w:rPr>
          <w:rStyle w:val="Fotnotsreferens"/>
        </w:rPr>
        <w:footnoteRef/>
      </w:r>
      <w:r w:rsidRPr="003F63DB">
        <w:t xml:space="preserve"> Prop. 1996/97:99 s. 14.</w:t>
      </w:r>
    </w:p>
  </w:footnote>
  <w:footnote w:id="123">
    <w:p w:rsidR="00905B3E" w:rsidRPr="003F63DB" w:rsidRDefault="00905B3E">
      <w:pPr>
        <w:pStyle w:val="Fotnotstext"/>
        <w:spacing w:before="0"/>
      </w:pPr>
      <w:r w:rsidRPr="003F63DB">
        <w:rPr>
          <w:rStyle w:val="Fotnotsreferens"/>
        </w:rPr>
        <w:footnoteRef/>
      </w:r>
      <w:r w:rsidRPr="003F63DB">
        <w:t xml:space="preserve"> Riksantikvarieämbetets allmänna råd till KRFS 1998:1.</w:t>
      </w:r>
    </w:p>
  </w:footnote>
  <w:footnote w:id="124">
    <w:p w:rsidR="00905B3E" w:rsidRPr="003F63DB" w:rsidRDefault="00905B3E">
      <w:pPr>
        <w:pStyle w:val="Fotnotstext"/>
        <w:spacing w:before="0"/>
      </w:pPr>
      <w:r w:rsidRPr="003F63DB">
        <w:rPr>
          <w:rStyle w:val="Fotnotsreferens"/>
        </w:rPr>
        <w:footnoteRef/>
      </w:r>
      <w:r w:rsidRPr="003F63DB">
        <w:t xml:space="preserve"> Underrättelser från RAÄ 1998:1, s. 13. </w:t>
      </w:r>
    </w:p>
  </w:footnote>
  <w:footnote w:id="125">
    <w:p w:rsidR="00905B3E" w:rsidRPr="003F63DB" w:rsidRDefault="00905B3E">
      <w:pPr>
        <w:pStyle w:val="Fotnotstext"/>
        <w:spacing w:before="0"/>
      </w:pPr>
      <w:r w:rsidRPr="003F63DB">
        <w:rPr>
          <w:rStyle w:val="Fotnotsreferens"/>
        </w:rPr>
        <w:footnoteRef/>
      </w:r>
      <w:r w:rsidRPr="003F63DB">
        <w:t xml:space="preserve"> Redovisning till regeringen den 1 mars 2001 enligt uppdrag i 2000 års reglering</w:t>
      </w:r>
      <w:r w:rsidRPr="003F63DB">
        <w:t>s</w:t>
      </w:r>
      <w:r w:rsidRPr="003F63DB">
        <w:t>brev.</w:t>
      </w:r>
    </w:p>
  </w:footnote>
  <w:footnote w:id="126">
    <w:p w:rsidR="00905B3E" w:rsidRPr="003F63DB" w:rsidRDefault="00905B3E">
      <w:pPr>
        <w:pStyle w:val="Fotnotstext"/>
        <w:spacing w:before="0"/>
      </w:pPr>
      <w:r w:rsidRPr="003F63DB">
        <w:rPr>
          <w:rStyle w:val="Fotnotsreferens"/>
        </w:rPr>
        <w:footnoteRef/>
      </w:r>
      <w:r w:rsidRPr="003F63DB">
        <w:t xml:space="preserve"> Riksdagens revisorers enkät till samtliga länsstyrelser, våren 2002.</w:t>
      </w:r>
    </w:p>
  </w:footnote>
  <w:footnote w:id="127">
    <w:p w:rsidR="00905B3E" w:rsidRPr="003F63DB" w:rsidRDefault="00905B3E">
      <w:pPr>
        <w:pStyle w:val="Fotnotstext"/>
        <w:spacing w:before="0"/>
      </w:pPr>
      <w:r w:rsidRPr="003F63DB">
        <w:rPr>
          <w:rStyle w:val="Fotnotsreferens"/>
        </w:rPr>
        <w:footnoteRef/>
      </w:r>
      <w:r w:rsidRPr="003F63DB">
        <w:t xml:space="preserve"> Redovisning till regeringen den 1 mars 2001 enligt uppdrag i 2000 års reglering</w:t>
      </w:r>
      <w:r w:rsidRPr="003F63DB">
        <w:t>s</w:t>
      </w:r>
      <w:r w:rsidRPr="003F63DB">
        <w:t>brev.</w:t>
      </w:r>
    </w:p>
  </w:footnote>
  <w:footnote w:id="128">
    <w:p w:rsidR="00905B3E" w:rsidRPr="003F63DB" w:rsidRDefault="00905B3E">
      <w:pPr>
        <w:pStyle w:val="Fotnotstext"/>
        <w:spacing w:before="0"/>
      </w:pPr>
      <w:r w:rsidRPr="003F63DB">
        <w:rPr>
          <w:rStyle w:val="Fotnotsreferens"/>
        </w:rPr>
        <w:footnoteRef/>
      </w:r>
      <w:r w:rsidRPr="003F63DB">
        <w:t xml:space="preserve"> 2 kap. 13 § KML.</w:t>
      </w:r>
    </w:p>
  </w:footnote>
  <w:footnote w:id="129">
    <w:p w:rsidR="00905B3E" w:rsidRPr="003F63DB" w:rsidRDefault="00905B3E">
      <w:pPr>
        <w:pStyle w:val="Fotnotstext"/>
        <w:spacing w:before="0"/>
      </w:pPr>
      <w:r w:rsidRPr="003F63DB">
        <w:rPr>
          <w:rStyle w:val="Fotnotsreferens"/>
        </w:rPr>
        <w:footnoteRef/>
      </w:r>
      <w:r w:rsidRPr="003F63DB">
        <w:t xml:space="preserve"> Riksantikvarieämbetet. Underrättelser från RAÄ 1999:1, s. 24–25. </w:t>
      </w:r>
    </w:p>
  </w:footnote>
  <w:footnote w:id="130">
    <w:p w:rsidR="00905B3E" w:rsidRPr="003F63DB" w:rsidRDefault="00905B3E">
      <w:pPr>
        <w:pStyle w:val="Fotnotstext"/>
        <w:spacing w:before="0"/>
      </w:pPr>
      <w:r w:rsidRPr="003F63DB">
        <w:rPr>
          <w:rStyle w:val="Fotnotsreferens"/>
        </w:rPr>
        <w:footnoteRef/>
      </w:r>
      <w:r w:rsidRPr="003F63DB">
        <w:t xml:space="preserve"> Enligt Riksantikvarieämbetets rekommendationer (Underrättelser från RAÄ 1999:1) som baseras på regeringens uttalanden (prop. 1987/88:104 s. 81) torde denna gräns få anses nådd när överskridandet uppgår till bortåt 15 %.</w:t>
      </w:r>
    </w:p>
  </w:footnote>
  <w:footnote w:id="131">
    <w:p w:rsidR="00905B3E" w:rsidRPr="003F63DB" w:rsidRDefault="00905B3E">
      <w:pPr>
        <w:pStyle w:val="Fotnotstext"/>
        <w:spacing w:before="0"/>
      </w:pPr>
      <w:r w:rsidRPr="003F63DB">
        <w:rPr>
          <w:rStyle w:val="Fotnotsreferens"/>
        </w:rPr>
        <w:footnoteRef/>
      </w:r>
      <w:r w:rsidRPr="003F63DB">
        <w:t xml:space="preserve"> Riksantikvarieämbetet. Allmänna råd till KRFS 1998:1.</w:t>
      </w:r>
    </w:p>
  </w:footnote>
  <w:footnote w:id="132">
    <w:p w:rsidR="00905B3E" w:rsidRPr="003F63DB" w:rsidRDefault="00905B3E">
      <w:pPr>
        <w:pStyle w:val="Fotnotstext"/>
        <w:spacing w:before="0"/>
      </w:pPr>
      <w:r w:rsidRPr="003F63DB">
        <w:rPr>
          <w:rStyle w:val="Fotnotsreferens"/>
        </w:rPr>
        <w:footnoteRef/>
      </w:r>
      <w:r w:rsidRPr="003F63DB">
        <w:t xml:space="preserve"> Länsstyrelsen i Östergötlands län, dnr 220-12601-00.</w:t>
      </w:r>
    </w:p>
  </w:footnote>
  <w:footnote w:id="133">
    <w:p w:rsidR="00905B3E" w:rsidRPr="003F63DB" w:rsidRDefault="00905B3E">
      <w:pPr>
        <w:pStyle w:val="Fotnotstext"/>
        <w:spacing w:before="0"/>
      </w:pPr>
      <w:r w:rsidRPr="003F63DB">
        <w:rPr>
          <w:rStyle w:val="Fotnotsreferens"/>
        </w:rPr>
        <w:footnoteRef/>
      </w:r>
      <w:r w:rsidRPr="003F63DB">
        <w:t xml:space="preserve"> Länsstyrelsen i Örebro län, dnr 220-01414-2000.</w:t>
      </w:r>
    </w:p>
  </w:footnote>
  <w:footnote w:id="134">
    <w:p w:rsidR="00905B3E" w:rsidRPr="003F63DB" w:rsidRDefault="00905B3E">
      <w:pPr>
        <w:pStyle w:val="Fotnotstext"/>
        <w:spacing w:before="0"/>
      </w:pPr>
      <w:r w:rsidRPr="003F63DB">
        <w:rPr>
          <w:rStyle w:val="Fotnotsreferens"/>
        </w:rPr>
        <w:footnoteRef/>
      </w:r>
      <w:r w:rsidRPr="003F63DB">
        <w:t xml:space="preserve"> KRFS 1998:1, 15 §.</w:t>
      </w:r>
    </w:p>
  </w:footnote>
  <w:footnote w:id="135">
    <w:p w:rsidR="00905B3E" w:rsidRPr="003F63DB" w:rsidRDefault="00905B3E">
      <w:pPr>
        <w:pStyle w:val="Fotnotstext"/>
        <w:spacing w:before="0"/>
      </w:pPr>
      <w:r w:rsidRPr="003F63DB">
        <w:rPr>
          <w:rStyle w:val="Fotnotsreferens"/>
        </w:rPr>
        <w:footnoteRef/>
      </w:r>
      <w:r w:rsidRPr="003F63DB">
        <w:t xml:space="preserve"> KRFS 1998:1, 18 §.</w:t>
      </w:r>
    </w:p>
  </w:footnote>
  <w:footnote w:id="136">
    <w:p w:rsidR="00905B3E" w:rsidRPr="003F63DB" w:rsidRDefault="00905B3E">
      <w:pPr>
        <w:pStyle w:val="Fotnotstext"/>
        <w:spacing w:before="0"/>
      </w:pPr>
      <w:r w:rsidRPr="003F63DB">
        <w:rPr>
          <w:rStyle w:val="Fotnotsreferens"/>
        </w:rPr>
        <w:footnoteRef/>
      </w:r>
      <w:r w:rsidRPr="003F63DB">
        <w:t xml:space="preserve"> Riksantikvarieämbetet, Underrättelser från RAÄ 1998:1.</w:t>
      </w:r>
    </w:p>
  </w:footnote>
  <w:footnote w:id="137">
    <w:p w:rsidR="00905B3E" w:rsidRPr="003F63DB" w:rsidRDefault="00905B3E">
      <w:pPr>
        <w:pStyle w:val="Fotnotstext"/>
        <w:spacing w:before="0"/>
      </w:pPr>
      <w:r w:rsidRPr="003F63DB">
        <w:rPr>
          <w:rStyle w:val="Fotnotsreferens"/>
        </w:rPr>
        <w:footnoteRef/>
      </w:r>
      <w:r w:rsidRPr="003F63DB">
        <w:t xml:space="preserve"> Riksantikvarieämbetet, Allmänna råd till KRFS 1998:1.</w:t>
      </w:r>
    </w:p>
  </w:footnote>
  <w:footnote w:id="138">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Prop. 1996/97:99 s. 22, bet. 1996/97:KrU12, rskr. 1996/97:230.</w:t>
      </w:r>
    </w:p>
  </w:footnote>
  <w:footnote w:id="139">
    <w:p w:rsidR="00905B3E" w:rsidRPr="003F63DB" w:rsidRDefault="00905B3E">
      <w:pPr>
        <w:pStyle w:val="Fotnotstext"/>
        <w:spacing w:before="0"/>
      </w:pPr>
      <w:r w:rsidRPr="003F63DB">
        <w:rPr>
          <w:rStyle w:val="Fotnotsreferens"/>
        </w:rPr>
        <w:footnoteRef/>
      </w:r>
      <w:r w:rsidRPr="003F63DB">
        <w:t xml:space="preserve"> Prop. 1999/2000:1, utgiftsområde 17, s. 109–110.</w:t>
      </w:r>
    </w:p>
  </w:footnote>
  <w:footnote w:id="140">
    <w:p w:rsidR="00905B3E" w:rsidRPr="003F63DB" w:rsidRDefault="00905B3E">
      <w:pPr>
        <w:pStyle w:val="Fotnotstext"/>
        <w:spacing w:before="0"/>
      </w:pPr>
      <w:r w:rsidRPr="003F63DB">
        <w:rPr>
          <w:rStyle w:val="Fotnotsreferens"/>
        </w:rPr>
        <w:footnoteRef/>
      </w:r>
      <w:r w:rsidRPr="003F63DB">
        <w:t xml:space="preserve"> Riksantikvarieämbetet, Uppdragsarkeologi, Redovisning av uppdrag nr. 4 i 2000 års regleringsbrev.</w:t>
      </w:r>
    </w:p>
  </w:footnote>
  <w:footnote w:id="141">
    <w:p w:rsidR="00905B3E" w:rsidRPr="003F63DB" w:rsidRDefault="00905B3E">
      <w:pPr>
        <w:pStyle w:val="Fotnotstext"/>
        <w:spacing w:before="0"/>
      </w:pPr>
      <w:r w:rsidRPr="003F63DB">
        <w:rPr>
          <w:rStyle w:val="Fotnotsreferens"/>
        </w:rPr>
        <w:footnoteRef/>
      </w:r>
      <w:r w:rsidRPr="003F63DB">
        <w:t xml:space="preserve"> Underrättelser från RAÄ 1998:1, s. 14.</w:t>
      </w:r>
    </w:p>
  </w:footnote>
  <w:footnote w:id="142">
    <w:p w:rsidR="00905B3E" w:rsidRPr="003F63DB" w:rsidRDefault="00905B3E">
      <w:pPr>
        <w:pStyle w:val="Fotnotstext"/>
        <w:spacing w:before="0"/>
      </w:pPr>
      <w:r w:rsidRPr="003F63DB">
        <w:rPr>
          <w:rStyle w:val="Fotnotsreferens"/>
        </w:rPr>
        <w:footnoteRef/>
      </w:r>
      <w:r w:rsidRPr="003F63DB">
        <w:t xml:space="preserve"> Riksantikvarieämbetet, Uppdragsarkeologi, Redovisning av uppdrag nr. 4 i 2000 års regleringsbrev.</w:t>
      </w:r>
    </w:p>
  </w:footnote>
  <w:footnote w:id="143">
    <w:p w:rsidR="00905B3E" w:rsidRPr="003F63DB" w:rsidRDefault="00905B3E">
      <w:pPr>
        <w:pStyle w:val="Fotnotstext"/>
        <w:spacing w:before="0"/>
      </w:pPr>
      <w:r w:rsidRPr="003F63DB">
        <w:rPr>
          <w:rStyle w:val="Fotnotsreferens"/>
        </w:rPr>
        <w:footnoteRef/>
      </w:r>
      <w:r w:rsidRPr="003F63DB">
        <w:t xml:space="preserve"> KRFS 1998:1, 18 §.</w:t>
      </w:r>
    </w:p>
  </w:footnote>
  <w:footnote w:id="144">
    <w:p w:rsidR="00905B3E" w:rsidRPr="003F63DB" w:rsidRDefault="00905B3E">
      <w:pPr>
        <w:pStyle w:val="Fotnotstext"/>
        <w:spacing w:before="0"/>
      </w:pPr>
      <w:r w:rsidRPr="003F63DB">
        <w:rPr>
          <w:rStyle w:val="Fotnotsreferens"/>
        </w:rPr>
        <w:footnoteRef/>
      </w:r>
      <w:r w:rsidRPr="003F63DB">
        <w:t xml:space="preserve"> Riksantikvarieämbetet, Allmänna råd till KRFS 1998:1, 18 §.</w:t>
      </w:r>
    </w:p>
  </w:footnote>
  <w:footnote w:id="145">
    <w:p w:rsidR="00905B3E" w:rsidRPr="003F63DB" w:rsidRDefault="00905B3E">
      <w:pPr>
        <w:pStyle w:val="Fotnotstext"/>
        <w:spacing w:before="0"/>
      </w:pPr>
      <w:r w:rsidRPr="003F63DB">
        <w:rPr>
          <w:rStyle w:val="Fotnotsreferens"/>
        </w:rPr>
        <w:footnoteRef/>
      </w:r>
      <w:r w:rsidRPr="003F63DB">
        <w:t xml:space="preserve"> Länsstyrelsernas svar på revisorernas enkät.</w:t>
      </w:r>
    </w:p>
  </w:footnote>
  <w:footnote w:id="146">
    <w:p w:rsidR="00905B3E" w:rsidRPr="003F63DB" w:rsidRDefault="00905B3E">
      <w:pPr>
        <w:pStyle w:val="Fotnotstext"/>
        <w:spacing w:before="0"/>
      </w:pPr>
      <w:r w:rsidRPr="003F63DB">
        <w:rPr>
          <w:rStyle w:val="Fotnotsreferens"/>
        </w:rPr>
        <w:footnoteRef/>
      </w:r>
      <w:r w:rsidRPr="003F63DB">
        <w:t xml:space="preserve"> Riksantikvarieämbetet dnr 124-00368-2001, Budgetunderlag för år 2002.</w:t>
      </w:r>
    </w:p>
  </w:footnote>
  <w:footnote w:id="147">
    <w:p w:rsidR="00905B3E" w:rsidRPr="003F63DB" w:rsidRDefault="00905B3E">
      <w:pPr>
        <w:pStyle w:val="Fotnotstext"/>
        <w:spacing w:before="0"/>
      </w:pPr>
      <w:r w:rsidRPr="003F63DB">
        <w:rPr>
          <w:rStyle w:val="Fotnotsreferens"/>
        </w:rPr>
        <w:footnoteRef/>
      </w:r>
      <w:r w:rsidRPr="003F63DB">
        <w:t xml:space="preserve"> Vägverket dnr. SA80 A 98:4056 VV, Riksantikvarieämbetet dnr 500-01662-1998</w:t>
      </w:r>
    </w:p>
  </w:footnote>
  <w:footnote w:id="148">
    <w:p w:rsidR="00905B3E" w:rsidRPr="003F63DB" w:rsidRDefault="00905B3E">
      <w:pPr>
        <w:pStyle w:val="Fotnotstext"/>
        <w:spacing w:before="0"/>
      </w:pPr>
      <w:r w:rsidRPr="003F63DB">
        <w:rPr>
          <w:rStyle w:val="Fotnotsreferens"/>
        </w:rPr>
        <w:footnoteRef/>
      </w:r>
      <w:r w:rsidRPr="003F63DB">
        <w:t xml:space="preserve"> Riksantikvarieämbetet dnr 332-1160-2002</w:t>
      </w:r>
    </w:p>
  </w:footnote>
  <w:footnote w:id="149">
    <w:p w:rsidR="00905B3E" w:rsidRPr="003F63DB" w:rsidRDefault="00905B3E">
      <w:pPr>
        <w:pStyle w:val="Fotnotstext"/>
        <w:spacing w:before="0"/>
      </w:pPr>
      <w:r w:rsidRPr="003F63DB">
        <w:rPr>
          <w:rStyle w:val="Fotnotsreferens"/>
        </w:rPr>
        <w:footnoteRef/>
      </w:r>
      <w:r w:rsidRPr="003F63DB">
        <w:t xml:space="preserve"> 2 kap. 11–13 §§ KML.</w:t>
      </w:r>
    </w:p>
  </w:footnote>
  <w:footnote w:id="150">
    <w:p w:rsidR="00905B3E" w:rsidRPr="003F63DB" w:rsidRDefault="00905B3E">
      <w:pPr>
        <w:pStyle w:val="Fotnotstext"/>
        <w:spacing w:before="0"/>
      </w:pPr>
      <w:r w:rsidRPr="003F63DB">
        <w:rPr>
          <w:rStyle w:val="Fotnotsreferens"/>
        </w:rPr>
        <w:footnoteRef/>
      </w:r>
      <w:r w:rsidRPr="003F63DB">
        <w:t xml:space="preserve"> Prop. 2001/02:20, bet. 2001/02:TU2, rskr. 2001/02:126.</w:t>
      </w:r>
    </w:p>
  </w:footnote>
  <w:footnote w:id="151">
    <w:p w:rsidR="00905B3E" w:rsidRPr="003F63DB" w:rsidRDefault="00905B3E">
      <w:pPr>
        <w:pStyle w:val="Fotnotstext"/>
        <w:spacing w:before="0"/>
      </w:pPr>
      <w:r w:rsidRPr="003F63DB">
        <w:rPr>
          <w:rStyle w:val="Fotnotsreferens"/>
        </w:rPr>
        <w:footnoteRef/>
      </w:r>
      <w:r w:rsidRPr="003F63DB">
        <w:t xml:space="preserve"> Dessa är länsstyrelserna i Stockholms, Östergötlands, Jönköpings och Skåne län. Det är oklart för vilka uppgifter de har anlitats. Länsstyrelsen i Skåne län anger t.ex. att Lunds universitet anlitats för forskning.</w:t>
      </w:r>
    </w:p>
  </w:footnote>
  <w:footnote w:id="152">
    <w:p w:rsidR="00905B3E" w:rsidRPr="003F63DB" w:rsidRDefault="00905B3E">
      <w:pPr>
        <w:pStyle w:val="Fotnotstext"/>
        <w:spacing w:before="0"/>
      </w:pPr>
      <w:r w:rsidRPr="003F63DB">
        <w:rPr>
          <w:rStyle w:val="Fotnotsreferens"/>
        </w:rPr>
        <w:footnoteRef/>
      </w:r>
      <w:r w:rsidRPr="003F63DB">
        <w:t xml:space="preserve"> Riksantikvarieämbetet. Verksamhetsplan 2002 för avdelningen för arkeologiska undersökningar, 2002-02-02, s. 1.</w:t>
      </w:r>
    </w:p>
  </w:footnote>
  <w:footnote w:id="153">
    <w:p w:rsidR="00905B3E" w:rsidRPr="003F63DB" w:rsidRDefault="00905B3E">
      <w:pPr>
        <w:pStyle w:val="Fotnotstext"/>
        <w:spacing w:before="0"/>
      </w:pPr>
      <w:r w:rsidRPr="003F63DB">
        <w:rPr>
          <w:rStyle w:val="Fotnotsreferens"/>
        </w:rPr>
        <w:footnoteRef/>
      </w:r>
      <w:r w:rsidRPr="003F63DB">
        <w:t xml:space="preserve"> Annons i ti</w:t>
      </w:r>
      <w:r w:rsidRPr="003F63DB">
        <w:t>d</w:t>
      </w:r>
      <w:r w:rsidRPr="003F63DB">
        <w:t>skriften Nordisk infrastruktur.</w:t>
      </w:r>
    </w:p>
  </w:footnote>
  <w:footnote w:id="154">
    <w:p w:rsidR="00905B3E" w:rsidRPr="003F63DB" w:rsidRDefault="00905B3E">
      <w:pPr>
        <w:pStyle w:val="Fotnotstext"/>
        <w:spacing w:before="0"/>
      </w:pPr>
      <w:r w:rsidRPr="003F63DB">
        <w:rPr>
          <w:rStyle w:val="Fotnotsreferens"/>
        </w:rPr>
        <w:footnoteRef/>
      </w:r>
      <w:r w:rsidRPr="003F63DB">
        <w:t xml:space="preserve"> Riksantikvarieämbetets webbplats 2002-03-05.</w:t>
      </w:r>
    </w:p>
  </w:footnote>
  <w:footnote w:id="155">
    <w:p w:rsidR="00905B3E" w:rsidRPr="003F63DB" w:rsidRDefault="00905B3E">
      <w:pPr>
        <w:pStyle w:val="Fotnotstext"/>
        <w:spacing w:before="0"/>
      </w:pPr>
      <w:r w:rsidRPr="003F63DB">
        <w:rPr>
          <w:rStyle w:val="Fotnotsreferens"/>
        </w:rPr>
        <w:footnoteRef/>
      </w:r>
      <w:r w:rsidRPr="003F63DB">
        <w:t xml:space="preserve"> Riksantikvarieämbetets webbplats 2002-01-31 samt Föreslagna avgifter 2002, dnr 122-3192-2001.</w:t>
      </w:r>
    </w:p>
  </w:footnote>
  <w:footnote w:id="156">
    <w:p w:rsidR="00905B3E" w:rsidRPr="003F63DB" w:rsidRDefault="00905B3E">
      <w:pPr>
        <w:pStyle w:val="Fotnotstext"/>
        <w:spacing w:before="0"/>
      </w:pPr>
      <w:r w:rsidRPr="003F63DB">
        <w:rPr>
          <w:rStyle w:val="Fotnotsreferens"/>
        </w:rPr>
        <w:footnoteRef/>
      </w:r>
      <w:r w:rsidRPr="003F63DB">
        <w:t xml:space="preserve"> Riksantikvarieämbetet. Verksamhetsplan 2002 för avdelningen för arkeologiska undersökningar, 2002-02-02, s. 1. </w:t>
      </w:r>
    </w:p>
  </w:footnote>
  <w:footnote w:id="157">
    <w:p w:rsidR="00905B3E" w:rsidRPr="003F63DB" w:rsidRDefault="00905B3E">
      <w:pPr>
        <w:pStyle w:val="Fotnotstext"/>
        <w:spacing w:before="0"/>
      </w:pPr>
      <w:r w:rsidRPr="003F63DB">
        <w:rPr>
          <w:rStyle w:val="Fotnotsreferens"/>
        </w:rPr>
        <w:footnoteRef/>
      </w:r>
      <w:r w:rsidRPr="003F63DB">
        <w:t xml:space="preserve"> Bearbetade uppgifter ur Riksantikvarieämbetets beslutsregister.</w:t>
      </w:r>
    </w:p>
  </w:footnote>
  <w:footnote w:id="158">
    <w:p w:rsidR="00905B3E" w:rsidRPr="003F63DB" w:rsidRDefault="00905B3E">
      <w:pPr>
        <w:pStyle w:val="Fotnotstext"/>
        <w:spacing w:before="0"/>
      </w:pPr>
      <w:r w:rsidRPr="003F63DB">
        <w:rPr>
          <w:rStyle w:val="Fotnotsreferens"/>
        </w:rPr>
        <w:footnoteRef/>
      </w:r>
      <w:r w:rsidRPr="003F63DB">
        <w:t xml:space="preserve"> Rådet för konkurrens på lika villkor mellan privat och offentlig sektor (N 1997:08).</w:t>
      </w:r>
    </w:p>
  </w:footnote>
  <w:footnote w:id="159">
    <w:p w:rsidR="00905B3E" w:rsidRPr="003F63DB" w:rsidRDefault="00905B3E">
      <w:pPr>
        <w:pStyle w:val="Fotnotstext"/>
        <w:spacing w:before="0"/>
      </w:pPr>
      <w:r w:rsidRPr="003F63DB">
        <w:rPr>
          <w:rStyle w:val="Fotnotsreferens"/>
        </w:rPr>
        <w:footnoteRef/>
      </w:r>
      <w:r w:rsidRPr="003F63DB">
        <w:t xml:space="preserve"> Riksantikvarieämbetet 2001-12-21, dnr 301-3631-2001.</w:t>
      </w:r>
    </w:p>
  </w:footnote>
  <w:footnote w:id="160">
    <w:p w:rsidR="00905B3E" w:rsidRPr="003F63DB" w:rsidRDefault="00905B3E">
      <w:pPr>
        <w:pStyle w:val="Fotnotstext"/>
        <w:spacing w:before="0"/>
      </w:pPr>
      <w:r w:rsidRPr="003F63DB">
        <w:rPr>
          <w:rStyle w:val="Fotnotsreferens"/>
        </w:rPr>
        <w:footnoteRef/>
      </w:r>
      <w:r w:rsidRPr="003F63DB">
        <w:t xml:space="preserve"> 2 kap. 7 § kommunallagen (1991:900).</w:t>
      </w:r>
    </w:p>
  </w:footnote>
  <w:footnote w:id="161">
    <w:p w:rsidR="00905B3E" w:rsidRPr="003F63DB" w:rsidRDefault="00905B3E">
      <w:pPr>
        <w:pStyle w:val="Fotnotstext"/>
        <w:spacing w:before="0"/>
      </w:pPr>
      <w:r w:rsidRPr="003F63DB">
        <w:rPr>
          <w:rStyle w:val="Fotnotsreferens"/>
        </w:rPr>
        <w:footnoteRef/>
      </w:r>
      <w:r w:rsidRPr="003F63DB">
        <w:t xml:space="preserve"> Ett exempel är ellagen (1997:857) där kommunala elbolag får sälja el till kunder i andra ko</w:t>
      </w:r>
      <w:r w:rsidRPr="003F63DB">
        <w:t>m</w:t>
      </w:r>
      <w:r w:rsidRPr="003F63DB">
        <w:t>muner.</w:t>
      </w:r>
    </w:p>
  </w:footnote>
  <w:footnote w:id="162">
    <w:p w:rsidR="00905B3E" w:rsidRPr="003F63DB" w:rsidRDefault="00905B3E">
      <w:pPr>
        <w:pStyle w:val="Fotnotstext"/>
        <w:spacing w:before="0"/>
      </w:pPr>
      <w:r w:rsidRPr="003F63DB">
        <w:rPr>
          <w:rStyle w:val="Fotnotsreferens"/>
        </w:rPr>
        <w:footnoteRef/>
      </w:r>
      <w:r w:rsidRPr="003F63DB">
        <w:t xml:space="preserve"> SOU 2000:117 Konkurrens på lika villkor, s. 109–111.</w:t>
      </w:r>
    </w:p>
  </w:footnote>
  <w:footnote w:id="163">
    <w:p w:rsidR="00905B3E" w:rsidRPr="003F63DB" w:rsidRDefault="00905B3E">
      <w:pPr>
        <w:pStyle w:val="Fotnotstext"/>
        <w:spacing w:before="0"/>
      </w:pPr>
      <w:r w:rsidRPr="003F63DB">
        <w:rPr>
          <w:rStyle w:val="Fotnotsreferens"/>
        </w:rPr>
        <w:footnoteRef/>
      </w:r>
      <w:r w:rsidRPr="003F63DB">
        <w:t xml:space="preserve"> Se t.ex. </w:t>
      </w:r>
      <w:r w:rsidRPr="003F63DB">
        <w:rPr>
          <w:i/>
        </w:rPr>
        <w:t>Staten som kommersiell aktör</w:t>
      </w:r>
      <w:r w:rsidRPr="003F63DB">
        <w:t>, Statskontoret 2000:16.</w:t>
      </w:r>
    </w:p>
  </w:footnote>
  <w:footnote w:id="164">
    <w:p w:rsidR="00905B3E" w:rsidRPr="003F63DB" w:rsidRDefault="00905B3E">
      <w:pPr>
        <w:pStyle w:val="Fotnotstext"/>
        <w:spacing w:before="0"/>
      </w:pPr>
      <w:r w:rsidRPr="003F63DB">
        <w:rPr>
          <w:rStyle w:val="Fotnotsreferens"/>
        </w:rPr>
        <w:footnoteRef/>
      </w:r>
      <w:r w:rsidRPr="003F63DB">
        <w:t xml:space="preserve"> Riksantikvarieämbetet, Underrättelser 1998:1 s. 28.</w:t>
      </w:r>
    </w:p>
  </w:footnote>
  <w:footnote w:id="165">
    <w:p w:rsidR="00905B3E" w:rsidRPr="003F63DB" w:rsidRDefault="00905B3E">
      <w:pPr>
        <w:pStyle w:val="Fotnotstext"/>
        <w:spacing w:before="0"/>
      </w:pPr>
      <w:r w:rsidRPr="003F63DB">
        <w:rPr>
          <w:rStyle w:val="Fotnotsreferens"/>
        </w:rPr>
        <w:footnoteRef/>
      </w:r>
      <w:r w:rsidRPr="003F63DB">
        <w:t xml:space="preserve"> Riksantikvarieämbetet dnr 124-832-1998. Åtgärder för att balansera underskottet för avdelningen för arkeologiska undersöknin</w:t>
      </w:r>
      <w:r w:rsidRPr="003F63DB">
        <w:t>g</w:t>
      </w:r>
      <w:r w:rsidRPr="003F63DB">
        <w:t>ar.</w:t>
      </w:r>
    </w:p>
  </w:footnote>
  <w:footnote w:id="166">
    <w:p w:rsidR="00905B3E" w:rsidRPr="003F63DB" w:rsidRDefault="00905B3E">
      <w:pPr>
        <w:pStyle w:val="Fotnotstext"/>
        <w:spacing w:before="0"/>
      </w:pPr>
      <w:r w:rsidRPr="003F63DB">
        <w:rPr>
          <w:rStyle w:val="Fotnotsreferens"/>
        </w:rPr>
        <w:footnoteRef/>
      </w:r>
      <w:r w:rsidRPr="003F63DB">
        <w:t xml:space="preserve"> Riksantikvarieämbetet, verksamhetsplan för avdelningen för arkeologiska unde</w:t>
      </w:r>
      <w:r w:rsidRPr="003F63DB">
        <w:t>r</w:t>
      </w:r>
      <w:r w:rsidRPr="003F63DB">
        <w:t>sökningar 2002.</w:t>
      </w:r>
    </w:p>
  </w:footnote>
  <w:footnote w:id="167">
    <w:p w:rsidR="00905B3E" w:rsidRPr="003F63DB" w:rsidRDefault="00905B3E">
      <w:pPr>
        <w:pStyle w:val="Fotnotstext"/>
        <w:spacing w:before="0"/>
      </w:pPr>
      <w:r w:rsidRPr="003F63DB">
        <w:rPr>
          <w:rStyle w:val="Fotnotsreferens"/>
        </w:rPr>
        <w:footnoteRef/>
      </w:r>
      <w:r w:rsidRPr="003F63DB">
        <w:t xml:space="preserve"> Riksantikvarieämbetet dnr 124-1998-2000, Budgetunderlag för år 2001.</w:t>
      </w:r>
    </w:p>
  </w:footnote>
  <w:footnote w:id="168">
    <w:p w:rsidR="00905B3E" w:rsidRPr="003F63DB" w:rsidRDefault="00905B3E">
      <w:pPr>
        <w:pStyle w:val="Fotnotstext"/>
        <w:spacing w:before="0"/>
      </w:pPr>
      <w:r w:rsidRPr="003F63DB">
        <w:rPr>
          <w:rStyle w:val="Fotnotsreferens"/>
        </w:rPr>
        <w:footnoteRef/>
      </w:r>
      <w:r w:rsidRPr="003F63DB">
        <w:t xml:space="preserve"> Riksantikvarieämbetet dnr 124-00368-2001, Budgetunderlag för år 2002.</w:t>
      </w:r>
    </w:p>
  </w:footnote>
  <w:footnote w:id="169">
    <w:p w:rsidR="00905B3E" w:rsidRPr="003F63DB" w:rsidRDefault="00905B3E">
      <w:pPr>
        <w:pStyle w:val="Fotnotstext"/>
        <w:spacing w:before="0"/>
      </w:pPr>
      <w:r w:rsidRPr="003F63DB">
        <w:rPr>
          <w:rStyle w:val="Fotnotsreferens"/>
        </w:rPr>
        <w:footnoteRef/>
      </w:r>
      <w:r w:rsidRPr="003F63DB">
        <w:t xml:space="preserve"> Statskontoret 2000:16 </w:t>
      </w:r>
      <w:r w:rsidRPr="003F63DB">
        <w:rPr>
          <w:i/>
        </w:rPr>
        <w:t xml:space="preserve">Staten som kommersiell aktör </w:t>
      </w:r>
      <w:r w:rsidRPr="003F63DB">
        <w:t xml:space="preserve">och Konkurrensverket 2000 </w:t>
      </w:r>
      <w:r w:rsidRPr="003F63DB">
        <w:rPr>
          <w:i/>
        </w:rPr>
        <w:t>Konkurrensen i Sverige under 90-talet</w:t>
      </w:r>
      <w:r w:rsidRPr="003F63DB">
        <w:t xml:space="preserve">. </w:t>
      </w:r>
    </w:p>
  </w:footnote>
  <w:footnote w:id="170">
    <w:p w:rsidR="00905B3E" w:rsidRPr="003F63DB" w:rsidRDefault="00905B3E">
      <w:pPr>
        <w:pStyle w:val="Fotnotstext"/>
        <w:spacing w:before="0"/>
      </w:pPr>
      <w:r w:rsidRPr="003F63DB">
        <w:rPr>
          <w:rStyle w:val="Fotnotsreferens"/>
        </w:rPr>
        <w:footnoteRef/>
      </w:r>
      <w:r w:rsidRPr="003F63DB">
        <w:t xml:space="preserve"> Riksskatteverkets skrivelse 1999-06-30, dnr 6432-99/100.</w:t>
      </w:r>
    </w:p>
  </w:footnote>
  <w:footnote w:id="171">
    <w:p w:rsidR="00905B3E" w:rsidRPr="003F63DB" w:rsidRDefault="00905B3E">
      <w:pPr>
        <w:pStyle w:val="Fotnotstext"/>
        <w:spacing w:before="0"/>
      </w:pPr>
      <w:r w:rsidRPr="003F63DB">
        <w:rPr>
          <w:rStyle w:val="Fotnotsreferens"/>
        </w:rPr>
        <w:footnoteRef/>
      </w:r>
      <w:r w:rsidRPr="003F63DB">
        <w:t xml:space="preserve"> Regeringsrättens dom 1993-03-03 i mål nr 3521-1992 (RÅ 1993 ref 38).</w:t>
      </w:r>
    </w:p>
  </w:footnote>
  <w:footnote w:id="172">
    <w:p w:rsidR="00905B3E" w:rsidRPr="003F63DB" w:rsidRDefault="00905B3E">
      <w:pPr>
        <w:pStyle w:val="Fotnotstext"/>
        <w:spacing w:before="0"/>
      </w:pPr>
      <w:r w:rsidRPr="003F63DB">
        <w:rPr>
          <w:rStyle w:val="Fotnotsreferens"/>
        </w:rPr>
        <w:footnoteRef/>
      </w:r>
      <w:r w:rsidRPr="003F63DB">
        <w:t xml:space="preserve"> </w:t>
      </w:r>
      <w:r w:rsidRPr="003F63DB">
        <w:rPr>
          <w:snapToGrid w:val="0"/>
          <w:lang w:eastAsia="sv-SE"/>
        </w:rPr>
        <w:t>Av 4 kap. mervärdesskattelagen (1994:200) framgår att en verksamhet som my</w:t>
      </w:r>
      <w:r w:rsidRPr="003F63DB">
        <w:rPr>
          <w:snapToGrid w:val="0"/>
          <w:lang w:eastAsia="sv-SE"/>
        </w:rPr>
        <w:t>n</w:t>
      </w:r>
      <w:r w:rsidRPr="003F63DB">
        <w:rPr>
          <w:snapToGrid w:val="0"/>
          <w:lang w:eastAsia="sv-SE"/>
        </w:rPr>
        <w:t>digheter bedriver som ett led i myndighetsutövning inte anses vara yrkesmässig i lagens mening. Den som utför verksamheten är då inte skyldig att lägga på utgående moms när varan eller tjänsten säljs.</w:t>
      </w:r>
    </w:p>
  </w:footnote>
  <w:footnote w:id="173">
    <w:p w:rsidR="00905B3E" w:rsidRPr="003F63DB" w:rsidRDefault="00905B3E">
      <w:pPr>
        <w:pStyle w:val="Fotnotstext"/>
        <w:spacing w:before="0"/>
        <w:rPr>
          <w:snapToGrid w:val="0"/>
          <w:lang w:eastAsia="sv-SE"/>
        </w:rPr>
      </w:pPr>
      <w:r w:rsidRPr="003F63DB">
        <w:rPr>
          <w:rStyle w:val="Fotnotsreferens"/>
        </w:rPr>
        <w:footnoteRef/>
      </w:r>
      <w:r w:rsidRPr="003F63DB">
        <w:rPr>
          <w:snapToGrid w:val="0"/>
          <w:lang w:eastAsia="sv-SE"/>
        </w:rPr>
        <w:t xml:space="preserve"> Riksantikvarieämbetet 2000. Återrapportering enligt 1999 års regleringsbrev. Redovis</w:t>
      </w:r>
      <w:r w:rsidRPr="003F63DB">
        <w:rPr>
          <w:snapToGrid w:val="0"/>
          <w:lang w:eastAsia="sv-SE"/>
        </w:rPr>
        <w:t>a</w:t>
      </w:r>
      <w:r w:rsidRPr="003F63DB">
        <w:rPr>
          <w:snapToGrid w:val="0"/>
          <w:lang w:eastAsia="sv-SE"/>
        </w:rPr>
        <w:t>des till regeringen den 1 mars 2000.</w:t>
      </w:r>
    </w:p>
  </w:footnote>
  <w:footnote w:id="174">
    <w:p w:rsidR="00905B3E" w:rsidRPr="003F63DB" w:rsidRDefault="00905B3E">
      <w:pPr>
        <w:pStyle w:val="Fotnotstext"/>
        <w:spacing w:before="0"/>
        <w:rPr>
          <w:snapToGrid w:val="0"/>
          <w:lang w:eastAsia="sv-SE"/>
        </w:rPr>
      </w:pPr>
      <w:r w:rsidRPr="003F63DB">
        <w:rPr>
          <w:rStyle w:val="Fotnotsreferens"/>
        </w:rPr>
        <w:footnoteRef/>
      </w:r>
      <w:r w:rsidRPr="003F63DB">
        <w:rPr>
          <w:rStyle w:val="Fotnotsreferens"/>
        </w:rPr>
        <w:t xml:space="preserve"> </w:t>
      </w:r>
      <w:r w:rsidRPr="003F63DB">
        <w:rPr>
          <w:snapToGrid w:val="0"/>
          <w:lang w:eastAsia="sv-SE"/>
        </w:rPr>
        <w:t>Riksantikvarieämbetet, Underrättelser från RAÄ 1998:1.</w:t>
      </w:r>
    </w:p>
  </w:footnote>
  <w:footnote w:id="175">
    <w:p w:rsidR="00905B3E" w:rsidRPr="003F63DB" w:rsidRDefault="00905B3E">
      <w:pPr>
        <w:pStyle w:val="Fotnotstext"/>
        <w:spacing w:before="0"/>
        <w:rPr>
          <w:snapToGrid w:val="0"/>
          <w:lang w:eastAsia="sv-SE"/>
        </w:rPr>
      </w:pPr>
      <w:r w:rsidRPr="003F63DB">
        <w:rPr>
          <w:rStyle w:val="Fotnotsreferens"/>
        </w:rPr>
        <w:footnoteRef/>
      </w:r>
      <w:r w:rsidRPr="003F63DB">
        <w:rPr>
          <w:snapToGrid w:val="0"/>
          <w:lang w:eastAsia="sv-SE"/>
        </w:rPr>
        <w:t xml:space="preserve"> Riksantikvarieämbetet, Avgiftspolicy, 2001-03-27.</w:t>
      </w:r>
    </w:p>
  </w:footnote>
  <w:footnote w:id="176">
    <w:p w:rsidR="00905B3E" w:rsidRPr="003F63DB" w:rsidRDefault="00905B3E">
      <w:pPr>
        <w:pStyle w:val="Fotnotstext"/>
        <w:spacing w:before="0"/>
        <w:rPr>
          <w:snapToGrid w:val="0"/>
          <w:lang w:eastAsia="sv-SE"/>
        </w:rPr>
      </w:pPr>
      <w:r w:rsidRPr="003F63DB">
        <w:rPr>
          <w:rStyle w:val="Fotnotsreferens"/>
        </w:rPr>
        <w:footnoteRef/>
      </w:r>
      <w:r w:rsidRPr="003F63DB">
        <w:rPr>
          <w:snapToGrid w:val="0"/>
          <w:lang w:eastAsia="sv-SE"/>
        </w:rPr>
        <w:t xml:space="preserve"> Riksantikvarieämbetet dnr 122-3192-2001, Föreslagna avgifter 2002.</w:t>
      </w:r>
    </w:p>
  </w:footnote>
  <w:footnote w:id="177">
    <w:p w:rsidR="00905B3E" w:rsidRPr="003F63DB" w:rsidRDefault="00905B3E">
      <w:pPr>
        <w:pStyle w:val="Fotnotstext"/>
        <w:spacing w:before="0"/>
        <w:rPr>
          <w:snapToGrid w:val="0"/>
          <w:lang w:eastAsia="sv-SE"/>
        </w:rPr>
      </w:pPr>
      <w:r w:rsidRPr="003F63DB">
        <w:rPr>
          <w:rStyle w:val="Fotnotsreferens"/>
        </w:rPr>
        <w:footnoteRef/>
      </w:r>
      <w:r w:rsidRPr="003F63DB">
        <w:rPr>
          <w:snapToGrid w:val="0"/>
          <w:lang w:eastAsia="sv-SE"/>
        </w:rPr>
        <w:t xml:space="preserve"> Ekonomistyrningsverket dnr 74-1024/2001, Samråd avseende avgifter vid Riks</w:t>
      </w:r>
      <w:r w:rsidRPr="003F63DB">
        <w:rPr>
          <w:snapToGrid w:val="0"/>
          <w:lang w:eastAsia="sv-SE"/>
        </w:rPr>
        <w:softHyphen/>
        <w:t>antik</w:t>
      </w:r>
      <w:r w:rsidRPr="003F63DB">
        <w:rPr>
          <w:snapToGrid w:val="0"/>
          <w:lang w:eastAsia="sv-SE"/>
        </w:rPr>
        <w:softHyphen/>
        <w:t>varieämbetet.</w:t>
      </w:r>
    </w:p>
  </w:footnote>
  <w:footnote w:id="178">
    <w:p w:rsidR="00905B3E" w:rsidRPr="003F63DB" w:rsidRDefault="00905B3E">
      <w:pPr>
        <w:pStyle w:val="Fotnotstext"/>
        <w:spacing w:before="0"/>
        <w:rPr>
          <w:snapToGrid w:val="0"/>
          <w:lang w:eastAsia="sv-SE"/>
        </w:rPr>
      </w:pPr>
      <w:r w:rsidRPr="003F63DB">
        <w:rPr>
          <w:rStyle w:val="Fotnotsreferens"/>
        </w:rPr>
        <w:footnoteRef/>
      </w:r>
      <w:r w:rsidRPr="003F63DB">
        <w:rPr>
          <w:snapToGrid w:val="0"/>
          <w:lang w:eastAsia="sv-SE"/>
        </w:rPr>
        <w:t xml:space="preserve"> ESV dnr 74-1024/2001.</w:t>
      </w:r>
    </w:p>
  </w:footnote>
  <w:footnote w:id="179">
    <w:p w:rsidR="00905B3E" w:rsidRPr="003F63DB" w:rsidRDefault="00905B3E">
      <w:pPr>
        <w:pStyle w:val="Fotnotstext"/>
        <w:spacing w:before="0"/>
        <w:rPr>
          <w:snapToGrid w:val="0"/>
          <w:lang w:eastAsia="sv-SE"/>
        </w:rPr>
      </w:pPr>
      <w:r w:rsidRPr="003F63DB">
        <w:rPr>
          <w:rStyle w:val="Fotnotsreferens"/>
        </w:rPr>
        <w:footnoteRef/>
      </w:r>
      <w:r w:rsidRPr="003F63DB">
        <w:rPr>
          <w:snapToGrid w:val="0"/>
          <w:lang w:eastAsia="sv-SE"/>
        </w:rPr>
        <w:t xml:space="preserve"> 2 kap. 11 och 13 §§ KML.</w:t>
      </w:r>
    </w:p>
  </w:footnote>
  <w:footnote w:id="180">
    <w:p w:rsidR="00905B3E" w:rsidRPr="003F63DB" w:rsidRDefault="00905B3E">
      <w:pPr>
        <w:pStyle w:val="Fotnotstext"/>
        <w:spacing w:before="0"/>
        <w:rPr>
          <w:snapToGrid w:val="0"/>
          <w:lang w:eastAsia="sv-SE"/>
        </w:rPr>
      </w:pPr>
      <w:r w:rsidRPr="003F63DB">
        <w:rPr>
          <w:rStyle w:val="Fotnotsreferens"/>
        </w:rPr>
        <w:footnoteRef/>
      </w:r>
      <w:r w:rsidRPr="003F63DB">
        <w:rPr>
          <w:snapToGrid w:val="0"/>
          <w:lang w:eastAsia="sv-SE"/>
        </w:rPr>
        <w:t xml:space="preserve"> Länsstyrelsen i Jönköpings län har för en förundersökning som sträckte sig över länsgränsen till Kalmar län även anlitat länsmuseet i Kalmar. Länsmuseet i Jönköping utsågs dock som ansvarig för uppdraget.</w:t>
      </w:r>
    </w:p>
  </w:footnote>
  <w:footnote w:id="181">
    <w:p w:rsidR="00905B3E" w:rsidRPr="003F63DB" w:rsidRDefault="00905B3E">
      <w:pPr>
        <w:pStyle w:val="Fotnotstext"/>
        <w:spacing w:before="0"/>
        <w:rPr>
          <w:snapToGrid w:val="0"/>
          <w:lang w:eastAsia="sv-SE"/>
        </w:rPr>
      </w:pPr>
      <w:r w:rsidRPr="003F63DB">
        <w:rPr>
          <w:rStyle w:val="Fotnotsreferens"/>
        </w:rPr>
        <w:footnoteRef/>
      </w:r>
      <w:r w:rsidRPr="003F63DB">
        <w:rPr>
          <w:snapToGrid w:val="0"/>
          <w:lang w:eastAsia="sv-SE"/>
        </w:rPr>
        <w:t xml:space="preserve"> Förkortningarna SAU och KMV AB står för Societas Archaeologica Upsaliensis och Kulturmiljövårdarna i Härnösand AB.</w:t>
      </w:r>
    </w:p>
  </w:footnote>
  <w:footnote w:id="182">
    <w:p w:rsidR="00905B3E" w:rsidRPr="003F63DB" w:rsidRDefault="00905B3E">
      <w:pPr>
        <w:pStyle w:val="Fotnotstext"/>
        <w:spacing w:before="0"/>
      </w:pPr>
      <w:r w:rsidRPr="003F63DB">
        <w:rPr>
          <w:rStyle w:val="Fotnotsreferens"/>
        </w:rPr>
        <w:footnoteRef/>
      </w:r>
      <w:r w:rsidRPr="003F63DB">
        <w:t xml:space="preserve"> </w:t>
      </w:r>
      <w:r w:rsidRPr="003F63DB">
        <w:rPr>
          <w:snapToGrid w:val="0"/>
          <w:lang w:eastAsia="sv-SE"/>
        </w:rPr>
        <w:t>Riksantikvarieämbetet</w:t>
      </w:r>
      <w:r w:rsidRPr="003F63DB">
        <w:t xml:space="preserve"> 2000. Återrapportering enligt 1999 års regleringsbrev. </w:t>
      </w:r>
    </w:p>
  </w:footnote>
  <w:footnote w:id="183">
    <w:p w:rsidR="00905B3E" w:rsidRPr="003F63DB" w:rsidRDefault="00905B3E">
      <w:pPr>
        <w:pStyle w:val="Fotnotstext"/>
        <w:spacing w:before="0"/>
      </w:pPr>
      <w:r w:rsidRPr="003F63DB">
        <w:rPr>
          <w:rStyle w:val="Fotnotsreferens"/>
        </w:rPr>
        <w:footnoteRef/>
      </w:r>
      <w:r w:rsidRPr="003F63DB">
        <w:t xml:space="preserve"> Länsstyrelsen i Skåne län, dnr 431-6753-01</w:t>
      </w:r>
    </w:p>
  </w:footnote>
  <w:footnote w:id="184">
    <w:p w:rsidR="00905B3E" w:rsidRPr="003F63DB" w:rsidRDefault="00905B3E">
      <w:pPr>
        <w:pStyle w:val="Fotnotstext"/>
        <w:spacing w:before="0"/>
      </w:pPr>
      <w:r w:rsidRPr="003F63DB">
        <w:rPr>
          <w:rStyle w:val="Fotnotsreferens"/>
        </w:rPr>
        <w:footnoteRef/>
      </w:r>
      <w:r w:rsidRPr="003F63DB">
        <w:t xml:space="preserve"> Länsstyrelsen i Västernorrlands län, dnr 220-1883-01</w:t>
      </w:r>
    </w:p>
  </w:footnote>
  <w:footnote w:id="185">
    <w:p w:rsidR="00905B3E" w:rsidRPr="003F63DB" w:rsidRDefault="00905B3E">
      <w:pPr>
        <w:pStyle w:val="Fotnotstext"/>
        <w:spacing w:before="0"/>
      </w:pPr>
      <w:r w:rsidRPr="003F63DB">
        <w:rPr>
          <w:rStyle w:val="Fotnotsreferens"/>
        </w:rPr>
        <w:footnoteRef/>
      </w:r>
      <w:r w:rsidRPr="003F63DB">
        <w:t xml:space="preserve"> Länsrätten i Stockholms län 2002, mål nr 17869-01. </w:t>
      </w:r>
    </w:p>
  </w:footnote>
  <w:footnote w:id="186">
    <w:p w:rsidR="00905B3E" w:rsidRPr="003F63DB" w:rsidRDefault="00905B3E">
      <w:pPr>
        <w:pStyle w:val="Fotnotstext"/>
      </w:pPr>
      <w:r w:rsidRPr="003F63DB">
        <w:rPr>
          <w:rStyle w:val="Fotnotsreferens"/>
        </w:rPr>
        <w:footnoteRef/>
      </w:r>
      <w:r w:rsidRPr="003F63DB">
        <w:t xml:space="preserve"> Allmänna råd till KRFS 1998:1, 4 §.</w:t>
      </w:r>
    </w:p>
  </w:footnote>
  <w:footnote w:id="187">
    <w:p w:rsidR="00905B3E" w:rsidRPr="003F63DB" w:rsidRDefault="00905B3E">
      <w:pPr>
        <w:pStyle w:val="Fotnotstext"/>
        <w:spacing w:before="0"/>
      </w:pPr>
      <w:r w:rsidRPr="003F63DB">
        <w:rPr>
          <w:rStyle w:val="Fotnotsreferens"/>
        </w:rPr>
        <w:footnoteRef/>
      </w:r>
      <w:r w:rsidRPr="003F63DB">
        <w:t xml:space="preserve"> KRFS 1998:1, 13 §.</w:t>
      </w:r>
    </w:p>
  </w:footnote>
  <w:footnote w:id="188">
    <w:p w:rsidR="00905B3E" w:rsidRPr="003F63DB" w:rsidRDefault="00905B3E">
      <w:pPr>
        <w:pStyle w:val="Fotnotstext"/>
        <w:spacing w:before="0"/>
      </w:pPr>
      <w:r w:rsidRPr="003F63DB">
        <w:rPr>
          <w:rStyle w:val="Fotnotsreferens"/>
        </w:rPr>
        <w:footnoteRef/>
      </w:r>
      <w:r w:rsidRPr="003F63DB">
        <w:t xml:space="preserve"> Länsstyrelsen i Örebro län, dnr 220-03621-2000. Promemoria bifogad beslutet.</w:t>
      </w:r>
    </w:p>
  </w:footnote>
  <w:footnote w:id="189">
    <w:p w:rsidR="00905B3E" w:rsidRPr="003F63DB" w:rsidRDefault="00905B3E">
      <w:pPr>
        <w:pStyle w:val="Fotnotstext"/>
        <w:spacing w:before="0"/>
      </w:pPr>
      <w:r w:rsidRPr="003F63DB">
        <w:rPr>
          <w:rStyle w:val="Fotnotsreferens"/>
        </w:rPr>
        <w:footnoteRef/>
      </w:r>
      <w:r w:rsidRPr="003F63DB">
        <w:t xml:space="preserve"> 7 § förordning (1988:1188) om kulturminnen m.m.</w:t>
      </w:r>
    </w:p>
  </w:footnote>
  <w:footnote w:id="190">
    <w:p w:rsidR="00905B3E" w:rsidRPr="003F63DB" w:rsidRDefault="00905B3E">
      <w:pPr>
        <w:pStyle w:val="Fotnotstext"/>
        <w:spacing w:before="0"/>
      </w:pPr>
      <w:r w:rsidRPr="003F63DB">
        <w:rPr>
          <w:rStyle w:val="Fotnotsreferens"/>
        </w:rPr>
        <w:footnoteRef/>
      </w:r>
      <w:r w:rsidRPr="003F63DB">
        <w:t xml:space="preserve"> KRFS 1998:1 4–5 §§.</w:t>
      </w:r>
    </w:p>
  </w:footnote>
  <w:footnote w:id="191">
    <w:p w:rsidR="00905B3E" w:rsidRPr="003F63DB" w:rsidRDefault="00905B3E">
      <w:pPr>
        <w:pStyle w:val="Fotnotstext"/>
        <w:spacing w:before="0"/>
      </w:pPr>
      <w:r w:rsidRPr="003F63DB">
        <w:rPr>
          <w:rStyle w:val="Fotnotsreferens"/>
        </w:rPr>
        <w:footnoteRef/>
      </w:r>
      <w:r w:rsidRPr="003F63DB">
        <w:t xml:space="preserve"> Allmänna råd till KRFS 1998:1, 5 §.</w:t>
      </w:r>
    </w:p>
  </w:footnote>
  <w:footnote w:id="192">
    <w:p w:rsidR="00905B3E" w:rsidRPr="003F63DB" w:rsidRDefault="00905B3E">
      <w:pPr>
        <w:pStyle w:val="Fotnotstext"/>
        <w:spacing w:before="0"/>
      </w:pPr>
      <w:r w:rsidRPr="003F63DB">
        <w:rPr>
          <w:rStyle w:val="Fotnotsreferens"/>
        </w:rPr>
        <w:footnoteRef/>
      </w:r>
      <w:r w:rsidRPr="003F63DB">
        <w:t xml:space="preserve"> Allmänna råd till KRFS 1998:1, 5 §.</w:t>
      </w:r>
    </w:p>
  </w:footnote>
  <w:footnote w:id="193">
    <w:p w:rsidR="00905B3E" w:rsidRPr="003F63DB" w:rsidRDefault="00905B3E">
      <w:pPr>
        <w:pStyle w:val="Fotnotstext"/>
        <w:spacing w:before="0"/>
      </w:pPr>
      <w:r w:rsidRPr="003F63DB">
        <w:rPr>
          <w:rStyle w:val="Fotnotsreferens"/>
        </w:rPr>
        <w:footnoteRef/>
      </w:r>
      <w:r w:rsidRPr="003F63DB">
        <w:t xml:space="preserve"> RAÄ Underrättelser 1998:1.</w:t>
      </w:r>
    </w:p>
  </w:footnote>
  <w:footnote w:id="194">
    <w:p w:rsidR="00905B3E" w:rsidRPr="003F63DB" w:rsidRDefault="00905B3E">
      <w:pPr>
        <w:pStyle w:val="Fotnotstext"/>
        <w:spacing w:before="0"/>
      </w:pPr>
      <w:r w:rsidRPr="003F63DB">
        <w:rPr>
          <w:rStyle w:val="Fotnotsreferens"/>
        </w:rPr>
        <w:footnoteRef/>
      </w:r>
      <w:r w:rsidRPr="003F63DB">
        <w:t xml:space="preserve"> Riksantikvarieämbetet, Allmänna råd till KRFS 1998:1</w:t>
      </w:r>
    </w:p>
  </w:footnote>
  <w:footnote w:id="195">
    <w:p w:rsidR="00905B3E" w:rsidRPr="003F63DB" w:rsidRDefault="00905B3E">
      <w:pPr>
        <w:pStyle w:val="Fotnotstext"/>
        <w:spacing w:before="0"/>
      </w:pPr>
      <w:r w:rsidRPr="003F63DB">
        <w:rPr>
          <w:rStyle w:val="Fotnotsreferens"/>
        </w:rPr>
        <w:footnoteRef/>
      </w:r>
      <w:r w:rsidRPr="003F63DB">
        <w:t xml:space="preserve"> Verksamhetsplan 2001 för Riksantikvarieämbetets avdelning för arkeologiska undersökningar </w:t>
      </w:r>
    </w:p>
  </w:footnote>
  <w:footnote w:id="196">
    <w:p w:rsidR="00905B3E" w:rsidRPr="003F63DB" w:rsidRDefault="00905B3E">
      <w:pPr>
        <w:pStyle w:val="Fotnotstext"/>
        <w:spacing w:before="0"/>
      </w:pPr>
      <w:r w:rsidRPr="003F63DB">
        <w:rPr>
          <w:rStyle w:val="Fotnotsreferens"/>
        </w:rPr>
        <w:footnoteRef/>
      </w:r>
      <w:r w:rsidRPr="003F63DB">
        <w:t xml:space="preserve"> Länsstyrelsernas svar på revisorernas enkät.</w:t>
      </w:r>
    </w:p>
  </w:footnote>
  <w:footnote w:id="197">
    <w:p w:rsidR="00905B3E" w:rsidRPr="003F63DB" w:rsidRDefault="00905B3E">
      <w:pPr>
        <w:pStyle w:val="Fotnotstext"/>
        <w:spacing w:before="0"/>
      </w:pPr>
      <w:r w:rsidRPr="003F63DB">
        <w:rPr>
          <w:rStyle w:val="Fotnotsreferens"/>
        </w:rPr>
        <w:footnoteRef/>
      </w:r>
      <w:r w:rsidRPr="003F63DB">
        <w:t xml:space="preserve"> Prop. 1996/97:99, s. 13.</w:t>
      </w:r>
    </w:p>
  </w:footnote>
  <w:footnote w:id="198">
    <w:p w:rsidR="00905B3E" w:rsidRPr="003F63DB" w:rsidRDefault="00905B3E">
      <w:pPr>
        <w:pStyle w:val="Fotnotstext"/>
        <w:spacing w:before="0"/>
      </w:pPr>
      <w:r w:rsidRPr="003F63DB">
        <w:rPr>
          <w:rStyle w:val="Fotnotsreferens"/>
        </w:rPr>
        <w:footnoteRef/>
      </w:r>
      <w:r w:rsidRPr="003F63DB">
        <w:t xml:space="preserve"> Riksantikvarieämbetets allmänna råd till KRFS 1998:1, 6 §.</w:t>
      </w:r>
    </w:p>
  </w:footnote>
  <w:footnote w:id="199">
    <w:p w:rsidR="00905B3E" w:rsidRPr="003F63DB" w:rsidRDefault="00905B3E">
      <w:pPr>
        <w:pStyle w:val="Fotnotstext"/>
        <w:spacing w:before="0"/>
      </w:pPr>
      <w:r w:rsidRPr="003F63DB">
        <w:rPr>
          <w:rStyle w:val="Fotnotsreferens"/>
        </w:rPr>
        <w:footnoteRef/>
      </w:r>
      <w:r w:rsidRPr="003F63DB">
        <w:t xml:space="preserve"> Se t.ex. Riksantikvarieämbetet dnr 421-2332-1999.</w:t>
      </w:r>
    </w:p>
  </w:footnote>
  <w:footnote w:id="200">
    <w:p w:rsidR="00905B3E" w:rsidRPr="003F63DB" w:rsidRDefault="00905B3E">
      <w:pPr>
        <w:pStyle w:val="Fotnotstext"/>
        <w:spacing w:before="0"/>
      </w:pPr>
      <w:r w:rsidRPr="003F63DB">
        <w:rPr>
          <w:rStyle w:val="Fotnotsreferens"/>
        </w:rPr>
        <w:footnoteRef/>
      </w:r>
      <w:r w:rsidRPr="003F63DB">
        <w:t xml:space="preserve"> Riksdagens revisorers enkät till länsstyrelserna.</w:t>
      </w:r>
    </w:p>
  </w:footnote>
  <w:footnote w:id="201">
    <w:p w:rsidR="00905B3E" w:rsidRPr="003F63DB" w:rsidRDefault="00905B3E">
      <w:pPr>
        <w:pStyle w:val="Fotnotstext"/>
        <w:spacing w:before="0"/>
      </w:pPr>
      <w:r w:rsidRPr="003F63DB">
        <w:rPr>
          <w:rStyle w:val="Fotnotsreferens"/>
        </w:rPr>
        <w:footnoteRef/>
      </w:r>
      <w:r w:rsidRPr="003F63DB">
        <w:t xml:space="preserve"> Innan konkurrensregleringen infördes i kulturminneslagen (den 1 juli 1997) hade länsstyrelsen möjlighet att tillämpa lagen om offentlig upphandling.</w:t>
      </w:r>
    </w:p>
  </w:footnote>
  <w:footnote w:id="202">
    <w:p w:rsidR="00905B3E" w:rsidRPr="003F63DB" w:rsidRDefault="00905B3E">
      <w:pPr>
        <w:pStyle w:val="Fotnotstext"/>
        <w:spacing w:before="0"/>
      </w:pPr>
      <w:r w:rsidRPr="003F63DB">
        <w:rPr>
          <w:vertAlign w:val="superscript"/>
        </w:rPr>
        <w:footnoteRef/>
      </w:r>
      <w:r w:rsidRPr="003F63DB">
        <w:t xml:space="preserve"> Riksantikvarieämbetet dnr 344-2691-1999. Överenskommelsen gäller fr.o.m. den 1 juli 1998 t.o.m. den 31 december 2002. Utifrån överenskommelsen tecknar Riksanti</w:t>
      </w:r>
      <w:r w:rsidRPr="003F63DB">
        <w:t>k</w:t>
      </w:r>
      <w:r w:rsidRPr="003F63DB">
        <w:t>varieämbetet sedan årliga avtal med respektive museum för specifika insatser under året. Riksantikvarieämbetet dnr 344-1475-2001, 1107/2001-732, 344-1478-2001, 344-1477-2001, 344-1474-2001. En uppgift som åvilar nära samtliga museer är att vara kunskaps</w:t>
      </w:r>
      <w:r w:rsidRPr="003F63DB">
        <w:softHyphen/>
        <w:t>partner, att utföra besiktningar och att vara remissinstans i ärenden till län</w:t>
      </w:r>
      <w:r w:rsidRPr="003F63DB">
        <w:t>s</w:t>
      </w:r>
      <w:r w:rsidRPr="003F63DB">
        <w:t xml:space="preserve">styrelsen. Bidrag </w:t>
      </w:r>
      <w:r w:rsidRPr="003F63DB">
        <w:t>till regionala museer lämnas enligt förordningen (1996:1598) om statsbidrag till regional kulturverksamhet.</w:t>
      </w:r>
    </w:p>
  </w:footnote>
  <w:footnote w:id="203">
    <w:p w:rsidR="00905B3E" w:rsidRPr="003F63DB" w:rsidRDefault="00905B3E">
      <w:pPr>
        <w:pStyle w:val="Fotnotstext"/>
        <w:spacing w:before="0"/>
      </w:pPr>
      <w:r w:rsidRPr="003F63DB">
        <w:rPr>
          <w:rStyle w:val="Fotnotsreferens"/>
        </w:rPr>
        <w:footnoteRef/>
      </w:r>
      <w:r w:rsidRPr="003F63DB">
        <w:t xml:space="preserve"> Riksantikvarieämbetet 2000. Återrapportering enligt 1999 års regleringsbrev. Redovis</w:t>
      </w:r>
      <w:r w:rsidRPr="003F63DB">
        <w:t>a</w:t>
      </w:r>
      <w:r w:rsidRPr="003F63DB">
        <w:t>des till regeringen den 1 mars 2000.</w:t>
      </w:r>
    </w:p>
  </w:footnote>
  <w:footnote w:id="204">
    <w:p w:rsidR="00905B3E" w:rsidRPr="003F63DB" w:rsidRDefault="00905B3E">
      <w:pPr>
        <w:pStyle w:val="Fotnotstext"/>
        <w:spacing w:before="0"/>
      </w:pPr>
      <w:r w:rsidRPr="003F63DB">
        <w:rPr>
          <w:rStyle w:val="Fotnotsreferens"/>
        </w:rPr>
        <w:footnoteRef/>
      </w:r>
      <w:r w:rsidRPr="003F63DB">
        <w:t xml:space="preserve"> Länsstyrelsen i Västernorrlands län dnr 422-3358-2000 samt dnr 423-1944-2001.</w:t>
      </w:r>
    </w:p>
  </w:footnote>
  <w:footnote w:id="205">
    <w:p w:rsidR="00905B3E" w:rsidRPr="003F63DB" w:rsidRDefault="00905B3E">
      <w:pPr>
        <w:pStyle w:val="Fotnotstext"/>
        <w:spacing w:before="0"/>
      </w:pPr>
      <w:r w:rsidRPr="003F63DB">
        <w:rPr>
          <w:rStyle w:val="Fotnotsreferens"/>
        </w:rPr>
        <w:footnoteRef/>
      </w:r>
      <w:r w:rsidRPr="003F63DB">
        <w:t xml:space="preserve"> Länsstyrelsen i Västernorrlands län dnr 09-10997-01. Enligt 6 kap. 1 § första stycket gäller sekretess i myndighets affärsverksamhet för uppgift om myndighetens affärs- eller driftförhållanden, om det kan antas att någon som driver likartad rörelse blir gynnad på myndighetens bekostnad om uppgiften röjs.</w:t>
      </w:r>
    </w:p>
  </w:footnote>
  <w:footnote w:id="206">
    <w:p w:rsidR="00905B3E" w:rsidRPr="003F63DB" w:rsidRDefault="00905B3E">
      <w:pPr>
        <w:pStyle w:val="Fotnotstext"/>
        <w:spacing w:before="0"/>
      </w:pPr>
      <w:r w:rsidRPr="003F63DB">
        <w:rPr>
          <w:rStyle w:val="Fotnotsreferens"/>
        </w:rPr>
        <w:footnoteRef/>
      </w:r>
      <w:r w:rsidRPr="003F63DB">
        <w:t xml:space="preserve"> Kammarrätten i Sundsvall, dom i mål 143-2002. </w:t>
      </w:r>
    </w:p>
  </w:footnote>
  <w:footnote w:id="207">
    <w:p w:rsidR="00905B3E" w:rsidRPr="003F63DB" w:rsidRDefault="00905B3E">
      <w:pPr>
        <w:pStyle w:val="Fotnotstext"/>
        <w:spacing w:before="0"/>
      </w:pPr>
      <w:r w:rsidRPr="003F63DB">
        <w:rPr>
          <w:rStyle w:val="Fotnotsreferens"/>
        </w:rPr>
        <w:footnoteRef/>
      </w:r>
      <w:r w:rsidRPr="003F63DB">
        <w:t xml:space="preserve"> Regeringsrätten, mål 4733-2002.</w:t>
      </w:r>
    </w:p>
  </w:footnote>
  <w:footnote w:id="208">
    <w:p w:rsidR="00905B3E" w:rsidRPr="003F63DB" w:rsidRDefault="00905B3E">
      <w:pPr>
        <w:pStyle w:val="Fotnotstext"/>
        <w:spacing w:before="0"/>
      </w:pPr>
      <w:r w:rsidRPr="003F63DB">
        <w:rPr>
          <w:rStyle w:val="Fotnotsreferens"/>
        </w:rPr>
        <w:footnoteRef/>
      </w:r>
      <w:r w:rsidRPr="003F63DB">
        <w:t xml:space="preserve"> Verkställighetsföreskrifter (KRFS 1998:1) till 2 kap. 10–13 §§ KML.</w:t>
      </w:r>
    </w:p>
  </w:footnote>
  <w:footnote w:id="209">
    <w:p w:rsidR="00905B3E" w:rsidRPr="003F63DB" w:rsidRDefault="00905B3E">
      <w:pPr>
        <w:pStyle w:val="Fotnotstext"/>
        <w:spacing w:before="0"/>
      </w:pPr>
      <w:r w:rsidRPr="003F63DB">
        <w:rPr>
          <w:rStyle w:val="Fotnotsreferens"/>
        </w:rPr>
        <w:footnoteRef/>
      </w:r>
      <w:r w:rsidRPr="003F63DB">
        <w:t xml:space="preserve"> 1 kap. 2 § KML.</w:t>
      </w:r>
    </w:p>
  </w:footnote>
  <w:footnote w:id="210">
    <w:p w:rsidR="00905B3E" w:rsidRPr="003F63DB" w:rsidRDefault="00905B3E">
      <w:pPr>
        <w:pStyle w:val="Fotnotstext"/>
        <w:spacing w:before="0"/>
      </w:pPr>
      <w:r w:rsidRPr="003F63DB">
        <w:rPr>
          <w:rStyle w:val="Fotnotsreferens"/>
        </w:rPr>
        <w:footnoteRef/>
      </w:r>
      <w:r w:rsidRPr="003F63DB">
        <w:t xml:space="preserve"> Prop. 1996/97:99 s. 22.</w:t>
      </w:r>
    </w:p>
  </w:footnote>
  <w:footnote w:id="211">
    <w:p w:rsidR="00905B3E" w:rsidRPr="003F63DB" w:rsidRDefault="00905B3E">
      <w:pPr>
        <w:pStyle w:val="Fotnotstext"/>
        <w:spacing w:before="0"/>
      </w:pPr>
      <w:r w:rsidRPr="003F63DB">
        <w:rPr>
          <w:rStyle w:val="Fotnotsreferens"/>
        </w:rPr>
        <w:footnoteRef/>
      </w:r>
      <w:r w:rsidRPr="003F63DB">
        <w:t xml:space="preserve"> Länsrätten i Stockholms län 2002, mål nr 17869-01. Den arkeologiska förunde</w:t>
      </w:r>
      <w:r w:rsidRPr="003F63DB">
        <w:t>r</w:t>
      </w:r>
      <w:r w:rsidRPr="003F63DB">
        <w:t>sökningen avser ett moment av utbyggnaden av Norrortsleden.</w:t>
      </w:r>
    </w:p>
  </w:footnote>
  <w:footnote w:id="212">
    <w:p w:rsidR="00905B3E" w:rsidRPr="003F63DB" w:rsidRDefault="00905B3E">
      <w:pPr>
        <w:pStyle w:val="Fotnotstext"/>
        <w:spacing w:before="0"/>
      </w:pPr>
      <w:r w:rsidRPr="003F63DB">
        <w:rPr>
          <w:rStyle w:val="Fotnotsreferens"/>
        </w:rPr>
        <w:footnoteRef/>
      </w:r>
      <w:r w:rsidRPr="003F63DB">
        <w:t xml:space="preserve"> Prop. 1993/94:100 bil. 12.</w:t>
      </w:r>
    </w:p>
  </w:footnote>
  <w:footnote w:id="213">
    <w:p w:rsidR="00905B3E" w:rsidRPr="003F63DB" w:rsidRDefault="00905B3E">
      <w:pPr>
        <w:pStyle w:val="Fotnotstext"/>
        <w:spacing w:before="0"/>
      </w:pPr>
      <w:r w:rsidRPr="003F63DB">
        <w:rPr>
          <w:rStyle w:val="Fotnotsreferens"/>
        </w:rPr>
        <w:footnoteRef/>
      </w:r>
      <w:r w:rsidRPr="003F63DB">
        <w:t xml:space="preserve"> SOU 1994:51.</w:t>
      </w:r>
    </w:p>
  </w:footnote>
  <w:footnote w:id="214">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 xml:space="preserve"> Prop. 1996/97:3, bet. 1996/97:KrU1, rskr. 1996/97:129–132. Den 1 januari 1998 inrättades Statens historiska museer som en ny myndighet.</w:t>
      </w:r>
    </w:p>
  </w:footnote>
  <w:footnote w:id="215">
    <w:p w:rsidR="00905B3E" w:rsidRPr="003F63DB" w:rsidRDefault="00905B3E">
      <w:pPr>
        <w:pStyle w:val="Fotnotstext"/>
        <w:spacing w:before="0"/>
      </w:pPr>
      <w:r w:rsidRPr="003F63DB">
        <w:rPr>
          <w:rStyle w:val="Fotnotsreferens"/>
        </w:rPr>
        <w:footnoteRef/>
      </w:r>
      <w:r w:rsidRPr="003F63DB">
        <w:t xml:space="preserve"> Prop. 1996/97: 99, bet. 1996/97:KrU12, rskr. 1996/97:230.</w:t>
      </w:r>
    </w:p>
  </w:footnote>
  <w:footnote w:id="216">
    <w:p w:rsidR="00905B3E" w:rsidRPr="003F63DB" w:rsidRDefault="00905B3E">
      <w:pPr>
        <w:pStyle w:val="Fotnotstext"/>
        <w:spacing w:before="0"/>
      </w:pPr>
      <w:r w:rsidRPr="003F63DB">
        <w:rPr>
          <w:rStyle w:val="Fotnotsreferens"/>
        </w:rPr>
        <w:footnoteRef/>
      </w:r>
      <w:r w:rsidRPr="003F63DB">
        <w:t xml:space="preserve"> Statskontoret 2000:16, Staten som kommersiell aktör, del I s. 112–115.</w:t>
      </w:r>
    </w:p>
  </w:footnote>
  <w:footnote w:id="217">
    <w:p w:rsidR="00905B3E" w:rsidRPr="003F63DB" w:rsidRDefault="00905B3E">
      <w:pPr>
        <w:pStyle w:val="Fotnotstext"/>
        <w:spacing w:before="0"/>
      </w:pPr>
      <w:r w:rsidRPr="003F63DB">
        <w:rPr>
          <w:rStyle w:val="Fotnotsreferens"/>
        </w:rPr>
        <w:footnoteRef/>
      </w:r>
      <w:r w:rsidRPr="003F63DB">
        <w:t xml:space="preserve"> Konkurrensverket, dnr 790/96. Yttrande över Ds 1996:48.</w:t>
      </w:r>
    </w:p>
  </w:footnote>
  <w:footnote w:id="218">
    <w:p w:rsidR="00905B3E" w:rsidRPr="003F63DB" w:rsidRDefault="00905B3E">
      <w:pPr>
        <w:pStyle w:val="Fotnotstext"/>
        <w:spacing w:before="0"/>
      </w:pPr>
      <w:r w:rsidRPr="003F63DB">
        <w:rPr>
          <w:rStyle w:val="Fotnotsreferens"/>
        </w:rPr>
        <w:footnoteRef/>
      </w:r>
      <w:r w:rsidRPr="003F63DB">
        <w:t xml:space="preserve"> Riksantikvarieämbetet, dnr 124-1998-2000. Budgetunderlag för år 2001.</w:t>
      </w:r>
    </w:p>
  </w:footnote>
  <w:footnote w:id="219">
    <w:p w:rsidR="00905B3E" w:rsidRPr="003F63DB" w:rsidRDefault="00905B3E">
      <w:pPr>
        <w:pStyle w:val="Fotnotstext"/>
        <w:spacing w:before="0"/>
      </w:pPr>
      <w:r w:rsidRPr="003F63DB">
        <w:rPr>
          <w:rStyle w:val="Fotnotsreferens"/>
        </w:rPr>
        <w:footnoteRef/>
      </w:r>
      <w:r w:rsidRPr="003F63DB">
        <w:t xml:space="preserve"> Bet. 1999/2000:KrU13.</w:t>
      </w:r>
    </w:p>
  </w:footnote>
  <w:footnote w:id="220">
    <w:p w:rsidR="00905B3E" w:rsidRPr="003F63DB" w:rsidRDefault="00905B3E">
      <w:pPr>
        <w:pStyle w:val="Fotnotstext"/>
        <w:spacing w:before="0"/>
      </w:pPr>
      <w:r w:rsidRPr="003F63DB">
        <w:rPr>
          <w:rStyle w:val="Fotnotsreferens"/>
        </w:rPr>
        <w:footnoteRef/>
      </w:r>
      <w:r w:rsidRPr="003F63DB">
        <w:rPr>
          <w:rStyle w:val="Fotnotsreferens"/>
        </w:rPr>
        <w:t xml:space="preserve"> </w:t>
      </w:r>
      <w:r w:rsidRPr="003F63DB">
        <w:t>Prop. 2000/2001:1, utgiftsområde 17, s. 30.</w:t>
      </w:r>
    </w:p>
  </w:footnote>
  <w:footnote w:id="221">
    <w:p w:rsidR="00905B3E" w:rsidRPr="003F63DB" w:rsidRDefault="00905B3E">
      <w:pPr>
        <w:pStyle w:val="Fotnotstext"/>
        <w:spacing w:before="0"/>
      </w:pPr>
      <w:r w:rsidRPr="003F63DB">
        <w:rPr>
          <w:rStyle w:val="Fotnotsreferens"/>
        </w:rPr>
        <w:footnoteRef/>
      </w:r>
      <w:r w:rsidRPr="003F63DB">
        <w:t xml:space="preserve"> Svar på fråga 2001/02:1086.</w:t>
      </w:r>
    </w:p>
  </w:footnote>
  <w:footnote w:id="222">
    <w:p w:rsidR="00905B3E" w:rsidRPr="003F63DB" w:rsidRDefault="00905B3E">
      <w:pPr>
        <w:pStyle w:val="Fotnotstext"/>
        <w:spacing w:before="0"/>
      </w:pPr>
      <w:r w:rsidRPr="003F63DB">
        <w:rPr>
          <w:rStyle w:val="Fotnotsreferens"/>
        </w:rPr>
        <w:footnoteRef/>
      </w:r>
      <w:r w:rsidRPr="003F63DB">
        <w:t xml:space="preserve"> Bet. 2001/02:KrU19, rskr. 2001/02:264.</w:t>
      </w:r>
    </w:p>
  </w:footnote>
  <w:footnote w:id="223">
    <w:p w:rsidR="00905B3E" w:rsidRPr="003F63DB" w:rsidRDefault="00905B3E">
      <w:pPr>
        <w:pStyle w:val="Fotnotstext"/>
        <w:spacing w:before="0"/>
      </w:pPr>
      <w:r w:rsidRPr="003F63DB">
        <w:rPr>
          <w:rStyle w:val="Fotnotsreferens"/>
        </w:rPr>
        <w:footnoteRef/>
      </w:r>
      <w:r w:rsidRPr="003F63DB">
        <w:t xml:space="preserve"> Prop. 2002/03:1, utgiftsområde 17, volym 9, s.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huvudKant"/>
      <w:framePr w:w="1758" w:h="2744" w:hRule="exact" w:wrap="around" w:vAnchor="page" w:hAnchor="page" w:x="7372" w:y="568" w:anchorLock="0"/>
    </w:pPr>
    <w:r w:rsidRPr="003F63DB">
      <w:t>2002/03:RR11</w:t>
    </w:r>
  </w:p>
  <w:p w:rsidR="00905B3E" w:rsidRPr="003F63DB" w:rsidRDefault="00905B3E">
    <w:pPr>
      <w:pStyle w:val="SidhuvudKantBilaga"/>
      <w:framePr w:w="1758" w:h="2744" w:hRule="exact" w:wrap="around" w:vAnchor="page" w:hAnchor="page" w:x="7372" w:y="568" w:anchorLock="0"/>
    </w:pPr>
  </w:p>
  <w:p w:rsidR="00905B3E" w:rsidRPr="003F63DB" w:rsidRDefault="00905B3E">
    <w:pPr>
      <w:pStyle w:val="SidhuvudKant"/>
      <w:framePr w:w="1758" w:h="2744" w:hRule="exact" w:wrap="around" w:vAnchor="page" w:hAnchor="page" w:x="7372" w:y="568" w:anchorLock="0"/>
    </w:pPr>
  </w:p>
  <w:p w:rsidR="00905B3E" w:rsidRPr="003F63DB" w:rsidRDefault="00905B3E">
    <w:pPr>
      <w:pStyle w:val="Sidhuvud"/>
    </w:pPr>
  </w:p>
  <w:p w:rsidR="00905B3E" w:rsidRPr="003F63DB" w:rsidRDefault="00905B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huvudKant"/>
      <w:framePr w:w="1758" w:h="2744" w:hRule="exact" w:wrap="around" w:vAnchor="page" w:hAnchor="page" w:x="7372" w:y="568" w:anchorLock="0"/>
    </w:pPr>
    <w:r w:rsidRPr="003F63DB">
      <w:t>2002/03:RR11</w:t>
    </w:r>
  </w:p>
  <w:p w:rsidR="00905B3E" w:rsidRPr="003F63DB" w:rsidRDefault="00905B3E">
    <w:pPr>
      <w:pStyle w:val="SidhuvudKantBilaga"/>
      <w:framePr w:w="1758" w:h="2744" w:hRule="exact" w:wrap="around" w:vAnchor="page" w:hAnchor="page" w:x="7372" w:y="568" w:anchorLock="0"/>
    </w:pPr>
    <w:r w:rsidRPr="003F63DB">
      <w:t>Bilaga 1</w:t>
    </w:r>
  </w:p>
  <w:p w:rsidR="00905B3E" w:rsidRPr="003F63DB" w:rsidRDefault="00905B3E">
    <w:pPr>
      <w:pStyle w:val="SidhuvudKant"/>
      <w:framePr w:w="1758" w:h="2744" w:hRule="exact" w:wrap="around" w:vAnchor="page" w:hAnchor="page" w:x="7372" w:y="568" w:anchorLock="0"/>
    </w:pPr>
  </w:p>
  <w:p w:rsidR="00905B3E" w:rsidRPr="003F63DB" w:rsidRDefault="00905B3E">
    <w:pPr>
      <w:pStyle w:val="Sidhuvud"/>
    </w:pPr>
  </w:p>
  <w:p w:rsidR="00905B3E" w:rsidRPr="003F63DB" w:rsidRDefault="00905B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huvudKant"/>
      <w:framePr w:w="1758" w:h="2744" w:hRule="exact" w:wrap="around" w:vAnchor="page" w:hAnchor="page" w:x="7372" w:y="568" w:anchorLock="0"/>
    </w:pPr>
    <w:r w:rsidRPr="003F63DB">
      <w:t>2002/03:RR11</w:t>
    </w:r>
  </w:p>
  <w:p w:rsidR="00905B3E" w:rsidRPr="003F63DB" w:rsidRDefault="00905B3E">
    <w:pPr>
      <w:pStyle w:val="SidhuvudKantBilaga"/>
      <w:framePr w:w="1758" w:h="2744" w:hRule="exact" w:wrap="around" w:vAnchor="page" w:hAnchor="page" w:x="7372" w:y="568" w:anchorLock="0"/>
    </w:pPr>
    <w:r w:rsidRPr="003F63DB">
      <w:t>Bilaga 1</w:t>
    </w:r>
  </w:p>
  <w:p w:rsidR="00905B3E" w:rsidRPr="003F63DB" w:rsidRDefault="00905B3E">
    <w:pPr>
      <w:pStyle w:val="SidhuvudKant"/>
      <w:framePr w:w="1758" w:h="2744" w:hRule="exact" w:wrap="around" w:vAnchor="page" w:hAnchor="page" w:x="7372" w:y="568" w:anchorLock="0"/>
    </w:pPr>
  </w:p>
  <w:p w:rsidR="00905B3E" w:rsidRPr="003F63DB" w:rsidRDefault="00905B3E">
    <w:pPr>
      <w:pStyle w:val="Sidhuvud"/>
    </w:pPr>
  </w:p>
  <w:p w:rsidR="00905B3E" w:rsidRPr="003F63DB" w:rsidRDefault="00905B3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huvudKant"/>
      <w:framePr w:w="1758" w:h="2744" w:hRule="exact" w:wrap="around" w:vAnchor="page" w:hAnchor="page" w:x="7372" w:y="568" w:anchorLock="0"/>
    </w:pPr>
    <w:r w:rsidRPr="003F63DB">
      <w:fldChar w:fldCharType="begin" w:fldLock="1"/>
    </w:r>
    <w:r w:rsidRPr="003F63DB">
      <w:instrText xml:space="preserve"> if </w:instrText>
    </w:r>
    <w:r w:rsidRPr="003F63DB">
      <w:fldChar w:fldCharType="begin" w:fldLock="1"/>
    </w:r>
    <w:r w:rsidRPr="003F63DB">
      <w:instrText xml:space="preserve"> page</w:instrText>
    </w:r>
    <w:r w:rsidRPr="003F63DB">
      <w:fldChar w:fldCharType="separate"/>
    </w:r>
    <w:r w:rsidRPr="003F63DB">
      <w:instrText>140</w:instrText>
    </w:r>
    <w:r w:rsidRPr="003F63DB">
      <w:fldChar w:fldCharType="end"/>
    </w:r>
    <w:r w:rsidRPr="003F63DB">
      <w:instrText xml:space="preserve"> &gt; 1 "</w:instrText>
    </w:r>
    <w:r w:rsidRPr="003F63DB">
      <w:fldChar w:fldCharType="begin" w:fldLock="1"/>
    </w:r>
    <w:r w:rsidRPr="003F63DB">
      <w:instrText xml:space="preserve"> DOCPROPERTY BetänkandeÅr</w:instrText>
    </w:r>
    <w:r w:rsidRPr="003F63DB">
      <w:fldChar w:fldCharType="separate"/>
    </w:r>
    <w:r w:rsidRPr="003F63DB">
      <w:instrText>2002/03</w:instrText>
    </w:r>
    <w:r w:rsidRPr="003F63DB">
      <w:fldChar w:fldCharType="end"/>
    </w:r>
    <w:r w:rsidRPr="003F63DB">
      <w:instrText>:</w:instrText>
    </w:r>
    <w:r w:rsidRPr="003F63DB">
      <w:fldChar w:fldCharType="begin" w:fldLock="1"/>
    </w:r>
    <w:r w:rsidRPr="003F63DB">
      <w:instrText xml:space="preserve"> DOCPROPERTY Betä</w:instrText>
    </w:r>
    <w:r w:rsidRPr="003F63DB">
      <w:instrText>n</w:instrText>
    </w:r>
    <w:r w:rsidRPr="003F63DB">
      <w:instrText>kandeNr</w:instrText>
    </w:r>
    <w:r w:rsidRPr="003F63DB">
      <w:fldChar w:fldCharType="separate"/>
    </w:r>
    <w:r w:rsidRPr="003F63DB">
      <w:instrText>RR11</w:instrText>
    </w:r>
    <w:r w:rsidRPr="003F63DB">
      <w:fldChar w:fldCharType="end"/>
    </w:r>
  </w:p>
  <w:p w:rsidR="00905B3E" w:rsidRPr="003F63DB" w:rsidRDefault="00905B3E">
    <w:pPr>
      <w:pStyle w:val="SidhuvudKantBilaga"/>
      <w:framePr w:w="1758" w:h="2744" w:hRule="exact" w:wrap="around" w:vAnchor="page" w:hAnchor="page" w:x="7372" w:y="568" w:anchorLock="0"/>
    </w:pPr>
    <w:r w:rsidRPr="003F63DB">
      <w:instrText>Bilaga 2</w:instrText>
    </w:r>
  </w:p>
  <w:p w:rsidR="00905B3E" w:rsidRPr="003F63DB" w:rsidRDefault="00905B3E">
    <w:pPr>
      <w:pStyle w:val="SidhuvudKant"/>
      <w:framePr w:w="1758" w:h="2744" w:hRule="exact" w:wrap="around" w:vAnchor="page" w:hAnchor="page" w:x="7372" w:y="568" w:anchorLock="0"/>
    </w:pPr>
    <w:r w:rsidRPr="003F63DB">
      <w:instrText>"</w:instrText>
    </w:r>
    <w:r w:rsidRPr="003F63DB">
      <w:fldChar w:fldCharType="separate"/>
    </w:r>
    <w:r w:rsidRPr="003F63DB">
      <w:fldChar w:fldCharType="begin" w:fldLock="1"/>
    </w:r>
    <w:r w:rsidRPr="003F63DB">
      <w:instrText xml:space="preserve"> DOCPROPERTY BetänkandeÅr</w:instrText>
    </w:r>
    <w:r w:rsidRPr="003F63DB">
      <w:fldChar w:fldCharType="separate"/>
    </w:r>
    <w:r w:rsidRPr="003F63DB">
      <w:t>2002/03</w:t>
    </w:r>
    <w:r w:rsidRPr="003F63DB">
      <w:fldChar w:fldCharType="end"/>
    </w:r>
    <w:r w:rsidRPr="003F63DB">
      <w:t>:</w:t>
    </w:r>
    <w:r w:rsidRPr="003F63DB">
      <w:fldChar w:fldCharType="begin" w:fldLock="1"/>
    </w:r>
    <w:r w:rsidRPr="003F63DB">
      <w:instrText xml:space="preserve"> DOCPROPERTY Betä</w:instrText>
    </w:r>
    <w:r w:rsidRPr="003F63DB">
      <w:instrText>n</w:instrText>
    </w:r>
    <w:r w:rsidRPr="003F63DB">
      <w:instrText>kandeNr</w:instrText>
    </w:r>
    <w:r w:rsidRPr="003F63DB">
      <w:fldChar w:fldCharType="separate"/>
    </w:r>
    <w:r w:rsidRPr="003F63DB">
      <w:t>RR11</w:t>
    </w:r>
    <w:r w:rsidRPr="003F63DB">
      <w:fldChar w:fldCharType="end"/>
    </w:r>
  </w:p>
  <w:p w:rsidR="00905B3E" w:rsidRPr="003F63DB" w:rsidRDefault="00905B3E">
    <w:pPr>
      <w:pStyle w:val="SidhuvudKantBilaga"/>
      <w:framePr w:w="1758" w:h="2744" w:hRule="exact" w:wrap="around" w:vAnchor="page" w:hAnchor="page" w:x="7372" w:y="568" w:anchorLock="0"/>
    </w:pPr>
    <w:r w:rsidRPr="003F63DB">
      <w:t>Bilaga 2</w:t>
    </w:r>
  </w:p>
  <w:p w:rsidR="00905B3E" w:rsidRPr="003F63DB" w:rsidRDefault="00905B3E">
    <w:pPr>
      <w:pStyle w:val="SidhuvudKant"/>
      <w:framePr w:w="1758" w:h="2744" w:hRule="exact" w:wrap="around" w:vAnchor="page" w:hAnchor="page" w:x="7372" w:y="568" w:anchorLock="0"/>
    </w:pPr>
    <w:r w:rsidRPr="003F63DB">
      <w:fldChar w:fldCharType="end"/>
    </w:r>
  </w:p>
  <w:p w:rsidR="00905B3E" w:rsidRPr="003F63DB" w:rsidRDefault="00905B3E">
    <w:pPr>
      <w:pStyle w:val="Sidhuvud"/>
    </w:pPr>
  </w:p>
  <w:p w:rsidR="00905B3E" w:rsidRPr="003F63DB" w:rsidRDefault="00905B3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B3E" w:rsidRPr="003F63DB" w:rsidRDefault="00905B3E">
    <w:pPr>
      <w:pStyle w:val="SidhuvudKant"/>
      <w:framePr w:w="1758" w:h="2744" w:hRule="exact" w:wrap="around" w:vAnchor="page" w:hAnchor="page" w:x="7372" w:y="568" w:anchorLock="0"/>
    </w:pPr>
    <w:r w:rsidRPr="003F63DB">
      <w:fldChar w:fldCharType="begin" w:fldLock="1"/>
    </w:r>
    <w:r w:rsidRPr="003F63DB">
      <w:instrText xml:space="preserve"> if </w:instrText>
    </w:r>
    <w:r w:rsidRPr="003F63DB">
      <w:fldChar w:fldCharType="begin" w:fldLock="1"/>
    </w:r>
    <w:r w:rsidRPr="003F63DB">
      <w:instrText xml:space="preserve"> page</w:instrText>
    </w:r>
    <w:r w:rsidRPr="003F63DB">
      <w:fldChar w:fldCharType="separate"/>
    </w:r>
    <w:r w:rsidRPr="003F63DB">
      <w:instrText>142</w:instrText>
    </w:r>
    <w:r w:rsidRPr="003F63DB">
      <w:fldChar w:fldCharType="end"/>
    </w:r>
    <w:r w:rsidRPr="003F63DB">
      <w:instrText xml:space="preserve"> &gt; 1 "</w:instrText>
    </w:r>
    <w:r w:rsidRPr="003F63DB">
      <w:fldChar w:fldCharType="begin" w:fldLock="1"/>
    </w:r>
    <w:r w:rsidRPr="003F63DB">
      <w:instrText xml:space="preserve"> DOCPROPERTY BetänkandeÅr</w:instrText>
    </w:r>
    <w:r w:rsidRPr="003F63DB">
      <w:fldChar w:fldCharType="separate"/>
    </w:r>
    <w:r w:rsidRPr="003F63DB">
      <w:instrText>2002/03</w:instrText>
    </w:r>
    <w:r w:rsidRPr="003F63DB">
      <w:fldChar w:fldCharType="end"/>
    </w:r>
    <w:r w:rsidRPr="003F63DB">
      <w:instrText>:</w:instrText>
    </w:r>
    <w:r w:rsidRPr="003F63DB">
      <w:fldChar w:fldCharType="begin" w:fldLock="1"/>
    </w:r>
    <w:r w:rsidRPr="003F63DB">
      <w:instrText xml:space="preserve"> DOCPROPERTY Betä</w:instrText>
    </w:r>
    <w:r w:rsidRPr="003F63DB">
      <w:instrText>n</w:instrText>
    </w:r>
    <w:r w:rsidRPr="003F63DB">
      <w:instrText>kandeNr</w:instrText>
    </w:r>
    <w:r w:rsidRPr="003F63DB">
      <w:fldChar w:fldCharType="separate"/>
    </w:r>
    <w:r w:rsidRPr="003F63DB">
      <w:instrText>RR11</w:instrText>
    </w:r>
    <w:r w:rsidRPr="003F63DB">
      <w:fldChar w:fldCharType="end"/>
    </w:r>
  </w:p>
  <w:p w:rsidR="00905B3E" w:rsidRPr="003F63DB" w:rsidRDefault="00905B3E">
    <w:pPr>
      <w:pStyle w:val="SidhuvudKantBilaga"/>
      <w:framePr w:w="1758" w:h="2744" w:hRule="exact" w:wrap="around" w:vAnchor="page" w:hAnchor="page" w:x="7372" w:y="568" w:anchorLock="0"/>
    </w:pPr>
  </w:p>
  <w:p w:rsidR="00905B3E" w:rsidRPr="003F63DB" w:rsidRDefault="00905B3E">
    <w:pPr>
      <w:pStyle w:val="SidhuvudKant"/>
      <w:framePr w:w="1758" w:h="2744" w:hRule="exact" w:wrap="around" w:vAnchor="page" w:hAnchor="page" w:x="7372" w:y="568" w:anchorLock="0"/>
    </w:pPr>
    <w:r w:rsidRPr="003F63DB">
      <w:instrText>"</w:instrText>
    </w:r>
    <w:r w:rsidRPr="003F63DB">
      <w:fldChar w:fldCharType="separate"/>
    </w:r>
    <w:r w:rsidRPr="003F63DB">
      <w:fldChar w:fldCharType="begin" w:fldLock="1"/>
    </w:r>
    <w:r w:rsidRPr="003F63DB">
      <w:instrText xml:space="preserve"> DOCPROPERTY BetänkandeÅr</w:instrText>
    </w:r>
    <w:r w:rsidRPr="003F63DB">
      <w:fldChar w:fldCharType="separate"/>
    </w:r>
    <w:r w:rsidRPr="003F63DB">
      <w:t>2002/03</w:t>
    </w:r>
    <w:r w:rsidRPr="003F63DB">
      <w:fldChar w:fldCharType="end"/>
    </w:r>
    <w:r w:rsidRPr="003F63DB">
      <w:t>:</w:t>
    </w:r>
    <w:r w:rsidRPr="003F63DB">
      <w:fldChar w:fldCharType="begin" w:fldLock="1"/>
    </w:r>
    <w:r w:rsidRPr="003F63DB">
      <w:instrText xml:space="preserve"> DOCPROPERTY Betä</w:instrText>
    </w:r>
    <w:r w:rsidRPr="003F63DB">
      <w:instrText>n</w:instrText>
    </w:r>
    <w:r w:rsidRPr="003F63DB">
      <w:instrText>kandeNr</w:instrText>
    </w:r>
    <w:r w:rsidRPr="003F63DB">
      <w:fldChar w:fldCharType="separate"/>
    </w:r>
    <w:r w:rsidRPr="003F63DB">
      <w:t>RR11</w:t>
    </w:r>
    <w:r w:rsidRPr="003F63DB">
      <w:fldChar w:fldCharType="end"/>
    </w:r>
  </w:p>
  <w:p w:rsidR="00905B3E" w:rsidRPr="003F63DB" w:rsidRDefault="00905B3E">
    <w:pPr>
      <w:pStyle w:val="SidhuvudKantBilaga"/>
      <w:framePr w:w="1758" w:h="2744" w:hRule="exact" w:wrap="around" w:vAnchor="page" w:hAnchor="page" w:x="7372" w:y="568" w:anchorLock="0"/>
    </w:pPr>
  </w:p>
  <w:p w:rsidR="00905B3E" w:rsidRPr="003F63DB" w:rsidRDefault="00905B3E">
    <w:pPr>
      <w:pStyle w:val="SidhuvudKant"/>
      <w:framePr w:w="1758" w:h="2744" w:hRule="exact" w:wrap="around" w:vAnchor="page" w:hAnchor="page" w:x="7372" w:y="568" w:anchorLock="0"/>
    </w:pPr>
    <w:r w:rsidRPr="003F63DB">
      <w:fldChar w:fldCharType="end"/>
    </w:r>
  </w:p>
  <w:p w:rsidR="00905B3E" w:rsidRPr="003F63DB" w:rsidRDefault="00905B3E">
    <w:pPr>
      <w:pStyle w:val="Sidhuvud"/>
    </w:pPr>
  </w:p>
  <w:p w:rsidR="00905B3E" w:rsidRPr="003F63DB" w:rsidRDefault="00905B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2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305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371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F354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3929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9E3F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2104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7632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2F68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B212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225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77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5D10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8764B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8748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8C92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8DB69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94A7C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95235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9AC473D"/>
    <w:multiLevelType w:val="singleLevel"/>
    <w:tmpl w:val="48B0E6A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9FC3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9FF39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A551C94"/>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0D3D01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E3A0B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E4D5A40"/>
    <w:multiLevelType w:val="singleLevel"/>
    <w:tmpl w:val="F44C97A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E975A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1E82A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2AE63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3375C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34738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46056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47457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54645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35" w15:restartNumberingAfterBreak="0">
    <w:nsid w:val="161D0BDF"/>
    <w:multiLevelType w:val="singleLevel"/>
    <w:tmpl w:val="F44C97A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6381F01"/>
    <w:multiLevelType w:val="singleLevel"/>
    <w:tmpl w:val="B6A4669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65437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71B1ECB"/>
    <w:multiLevelType w:val="singleLevel"/>
    <w:tmpl w:val="B6A4669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87C0F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87F64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90517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92C60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A1C6A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A265E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B0261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B827B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BB35D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BD272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1BEE39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CDF53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D336A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D7005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1DE214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E6665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1E6A71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F037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1F5E11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F861F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60" w15:restartNumberingAfterBreak="0">
    <w:nsid w:val="1FE251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0FE69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1E17E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1E46F7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22345B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27C31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2DD3D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38B48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3E119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54866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5636E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69B2F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26A54F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274B0F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282D0B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28F02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29C829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29E325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2A3904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2A8E4F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2B273D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2BC13D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2C1A18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2C4F12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2CAE3A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2CBA1F5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6" w15:restartNumberingAfterBreak="0">
    <w:nsid w:val="2CD36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2DAA0B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2FDA69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320E6F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320F35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32E372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2FF20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37E2E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33934279"/>
    <w:multiLevelType w:val="singleLevel"/>
    <w:tmpl w:val="B6A46694"/>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34A018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34C35E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351517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35DA33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36727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369D7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38BA67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38FE35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39AB0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39B105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39DD12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39E66E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3B7704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3BAE47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3C3D37F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1" w15:restartNumberingAfterBreak="0">
    <w:nsid w:val="3D326690"/>
    <w:multiLevelType w:val="singleLevel"/>
    <w:tmpl w:val="B6A46694"/>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3D9300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3E9D3DB7"/>
    <w:multiLevelType w:val="singleLevel"/>
    <w:tmpl w:val="041D000F"/>
    <w:lvl w:ilvl="0">
      <w:start w:val="1"/>
      <w:numFmt w:val="decimal"/>
      <w:lvlText w:val="%1."/>
      <w:lvlJc w:val="left"/>
      <w:pPr>
        <w:tabs>
          <w:tab w:val="num" w:pos="360"/>
        </w:tabs>
        <w:ind w:left="360" w:hanging="360"/>
      </w:pPr>
    </w:lvl>
  </w:abstractNum>
  <w:abstractNum w:abstractNumId="114" w15:restartNumberingAfterBreak="0">
    <w:nsid w:val="3EA339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3EC977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3F235E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3F822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402E74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16F7A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41E94A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20F68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443027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44B50D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453C61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45BE4B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47205A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7FB2A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48757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48F366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48FC2D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49BE50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49F33C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49FD431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4" w15:restartNumberingAfterBreak="0">
    <w:nsid w:val="4A4570C3"/>
    <w:multiLevelType w:val="singleLevel"/>
    <w:tmpl w:val="041D000F"/>
    <w:lvl w:ilvl="0">
      <w:start w:val="1"/>
      <w:numFmt w:val="decimal"/>
      <w:lvlText w:val="%1."/>
      <w:lvlJc w:val="left"/>
      <w:pPr>
        <w:tabs>
          <w:tab w:val="num" w:pos="360"/>
        </w:tabs>
        <w:ind w:left="360" w:hanging="360"/>
      </w:pPr>
    </w:lvl>
  </w:abstractNum>
  <w:abstractNum w:abstractNumId="135" w15:restartNumberingAfterBreak="0">
    <w:nsid w:val="4A7113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4ABE28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4BE253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4D271C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4D4102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4D697BF8"/>
    <w:multiLevelType w:val="singleLevel"/>
    <w:tmpl w:val="B6A46694"/>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4E1832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4E2B0F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4EF55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4F000C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4F786FC8"/>
    <w:multiLevelType w:val="singleLevel"/>
    <w:tmpl w:val="F44C97A0"/>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4F8F6F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0534A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506737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518223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52FC60D5"/>
    <w:multiLevelType w:val="singleLevel"/>
    <w:tmpl w:val="041D000F"/>
    <w:lvl w:ilvl="0">
      <w:start w:val="1"/>
      <w:numFmt w:val="decimal"/>
      <w:lvlText w:val="%1."/>
      <w:lvlJc w:val="left"/>
      <w:pPr>
        <w:tabs>
          <w:tab w:val="num" w:pos="360"/>
        </w:tabs>
        <w:ind w:left="360" w:hanging="360"/>
      </w:pPr>
    </w:lvl>
  </w:abstractNum>
  <w:abstractNum w:abstractNumId="151" w15:restartNumberingAfterBreak="0">
    <w:nsid w:val="53C31583"/>
    <w:multiLevelType w:val="singleLevel"/>
    <w:tmpl w:val="F44C97A0"/>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54017D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55795BD5"/>
    <w:multiLevelType w:val="singleLevel"/>
    <w:tmpl w:val="B6A46694"/>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56AA04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5A007767"/>
    <w:multiLevelType w:val="singleLevel"/>
    <w:tmpl w:val="F44C97A0"/>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5A763AF5"/>
    <w:multiLevelType w:val="singleLevel"/>
    <w:tmpl w:val="041D000F"/>
    <w:lvl w:ilvl="0">
      <w:start w:val="1"/>
      <w:numFmt w:val="decimal"/>
      <w:lvlText w:val="%1."/>
      <w:lvlJc w:val="left"/>
      <w:pPr>
        <w:tabs>
          <w:tab w:val="num" w:pos="360"/>
        </w:tabs>
        <w:ind w:left="360" w:hanging="360"/>
      </w:pPr>
    </w:lvl>
  </w:abstractNum>
  <w:abstractNum w:abstractNumId="157" w15:restartNumberingAfterBreak="0">
    <w:nsid w:val="5B8D6D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5D9324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5E9D74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0EE5E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61177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61844D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4" w15:restartNumberingAfterBreak="0">
    <w:nsid w:val="63CB3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63F735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64C93E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64F716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650715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655A7A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67A030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67D64E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67E344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688915D7"/>
    <w:multiLevelType w:val="multilevel"/>
    <w:tmpl w:val="4C1AE9D4"/>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4" w15:restartNumberingAfterBreak="0">
    <w:nsid w:val="68B41FA4"/>
    <w:multiLevelType w:val="singleLevel"/>
    <w:tmpl w:val="B6A46694"/>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6A0521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6AB31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6C234F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6E080A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6F0A33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02B72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70F93F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71A170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720A3B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722305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72987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72A042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72A74847"/>
    <w:multiLevelType w:val="singleLevel"/>
    <w:tmpl w:val="B6A46694"/>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72B15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738B70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74134E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74A663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77F66E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78F057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795C0F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7AFE39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7CA22D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7DFB5D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7FA24D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7FB106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7FDC01D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15182063">
    <w:abstractNumId w:val="173"/>
  </w:num>
  <w:num w:numId="2" w16cid:durableId="1744642610">
    <w:abstractNumId w:val="173"/>
  </w:num>
  <w:num w:numId="3" w16cid:durableId="529418704">
    <w:abstractNumId w:val="173"/>
  </w:num>
  <w:num w:numId="4" w16cid:durableId="1887905796">
    <w:abstractNumId w:val="173"/>
  </w:num>
  <w:num w:numId="5" w16cid:durableId="1614096702">
    <w:abstractNumId w:val="173"/>
  </w:num>
  <w:num w:numId="6" w16cid:durableId="2070957248">
    <w:abstractNumId w:val="173"/>
  </w:num>
  <w:num w:numId="7" w16cid:durableId="768355725">
    <w:abstractNumId w:val="173"/>
  </w:num>
  <w:num w:numId="8" w16cid:durableId="1117138121">
    <w:abstractNumId w:val="173"/>
  </w:num>
  <w:num w:numId="9" w16cid:durableId="1551646942">
    <w:abstractNumId w:val="69"/>
  </w:num>
  <w:num w:numId="10" w16cid:durableId="866866968">
    <w:abstractNumId w:val="12"/>
  </w:num>
  <w:num w:numId="11" w16cid:durableId="2050913531">
    <w:abstractNumId w:val="148"/>
  </w:num>
  <w:num w:numId="12" w16cid:durableId="524951085">
    <w:abstractNumId w:val="154"/>
  </w:num>
  <w:num w:numId="13" w16cid:durableId="1270821612">
    <w:abstractNumId w:val="152"/>
  </w:num>
  <w:num w:numId="14" w16cid:durableId="1407530497">
    <w:abstractNumId w:val="7"/>
  </w:num>
  <w:num w:numId="15" w16cid:durableId="2058122961">
    <w:abstractNumId w:val="20"/>
  </w:num>
  <w:num w:numId="16" w16cid:durableId="2040011094">
    <w:abstractNumId w:val="91"/>
  </w:num>
  <w:num w:numId="17" w16cid:durableId="878785302">
    <w:abstractNumId w:val="8"/>
  </w:num>
  <w:num w:numId="18" w16cid:durableId="185943668">
    <w:abstractNumId w:val="87"/>
  </w:num>
  <w:num w:numId="19" w16cid:durableId="461004799">
    <w:abstractNumId w:val="75"/>
  </w:num>
  <w:num w:numId="20" w16cid:durableId="98373656">
    <w:abstractNumId w:val="136"/>
  </w:num>
  <w:num w:numId="21" w16cid:durableId="255486339">
    <w:abstractNumId w:val="190"/>
  </w:num>
  <w:num w:numId="22" w16cid:durableId="527573433">
    <w:abstractNumId w:val="182"/>
  </w:num>
  <w:num w:numId="23" w16cid:durableId="1899782600">
    <w:abstractNumId w:val="146"/>
  </w:num>
  <w:num w:numId="24" w16cid:durableId="280452541">
    <w:abstractNumId w:val="149"/>
  </w:num>
  <w:num w:numId="25" w16cid:durableId="1995330342">
    <w:abstractNumId w:val="43"/>
  </w:num>
  <w:num w:numId="26" w16cid:durableId="669255985">
    <w:abstractNumId w:val="81"/>
  </w:num>
  <w:num w:numId="27" w16cid:durableId="1281566873">
    <w:abstractNumId w:val="141"/>
  </w:num>
  <w:num w:numId="28" w16cid:durableId="642348735">
    <w:abstractNumId w:val="153"/>
  </w:num>
  <w:num w:numId="29" w16cid:durableId="1444811169">
    <w:abstractNumId w:val="140"/>
  </w:num>
  <w:num w:numId="30" w16cid:durableId="122508229">
    <w:abstractNumId w:val="111"/>
  </w:num>
  <w:num w:numId="31" w16cid:durableId="1952128075">
    <w:abstractNumId w:val="187"/>
  </w:num>
  <w:num w:numId="32" w16cid:durableId="262421160">
    <w:abstractNumId w:val="36"/>
  </w:num>
  <w:num w:numId="33" w16cid:durableId="2120299334">
    <w:abstractNumId w:val="95"/>
  </w:num>
  <w:num w:numId="34" w16cid:durableId="1094934038">
    <w:abstractNumId w:val="174"/>
  </w:num>
  <w:num w:numId="35" w16cid:durableId="836119225">
    <w:abstractNumId w:val="38"/>
  </w:num>
  <w:num w:numId="36" w16cid:durableId="1024332747">
    <w:abstractNumId w:val="163"/>
  </w:num>
  <w:num w:numId="37" w16cid:durableId="382100078">
    <w:abstractNumId w:val="59"/>
  </w:num>
  <w:num w:numId="38" w16cid:durableId="1367364408">
    <w:abstractNumId w:val="34"/>
  </w:num>
  <w:num w:numId="39" w16cid:durableId="1429231072">
    <w:abstractNumId w:val="89"/>
  </w:num>
  <w:num w:numId="40" w16cid:durableId="770928622">
    <w:abstractNumId w:val="134"/>
  </w:num>
  <w:num w:numId="41" w16cid:durableId="1494837390">
    <w:abstractNumId w:val="84"/>
  </w:num>
  <w:num w:numId="42" w16cid:durableId="1791972818">
    <w:abstractNumId w:val="142"/>
  </w:num>
  <w:num w:numId="43" w16cid:durableId="458572905">
    <w:abstractNumId w:val="109"/>
  </w:num>
  <w:num w:numId="44" w16cid:durableId="1089541304">
    <w:abstractNumId w:val="126"/>
  </w:num>
  <w:num w:numId="45" w16cid:durableId="489441422">
    <w:abstractNumId w:val="49"/>
  </w:num>
  <w:num w:numId="46" w16cid:durableId="981229475">
    <w:abstractNumId w:val="96"/>
  </w:num>
  <w:num w:numId="47" w16cid:durableId="714893300">
    <w:abstractNumId w:val="184"/>
  </w:num>
  <w:num w:numId="48" w16cid:durableId="1234241862">
    <w:abstractNumId w:val="102"/>
  </w:num>
  <w:num w:numId="49" w16cid:durableId="3674424">
    <w:abstractNumId w:val="157"/>
  </w:num>
  <w:num w:numId="50" w16cid:durableId="1410541404">
    <w:abstractNumId w:val="18"/>
  </w:num>
  <w:num w:numId="51" w16cid:durableId="983972190">
    <w:abstractNumId w:val="147"/>
  </w:num>
  <w:num w:numId="52" w16cid:durableId="263079419">
    <w:abstractNumId w:val="156"/>
  </w:num>
  <w:num w:numId="53" w16cid:durableId="2027562435">
    <w:abstractNumId w:val="22"/>
  </w:num>
  <w:num w:numId="54" w16cid:durableId="1726830026">
    <w:abstractNumId w:val="51"/>
  </w:num>
  <w:num w:numId="55" w16cid:durableId="1861770999">
    <w:abstractNumId w:val="44"/>
  </w:num>
  <w:num w:numId="56" w16cid:durableId="1684088295">
    <w:abstractNumId w:val="105"/>
  </w:num>
  <w:num w:numId="57" w16cid:durableId="1015889936">
    <w:abstractNumId w:val="165"/>
  </w:num>
  <w:num w:numId="58" w16cid:durableId="1598562300">
    <w:abstractNumId w:val="15"/>
  </w:num>
  <w:num w:numId="59" w16cid:durableId="1064185866">
    <w:abstractNumId w:val="113"/>
  </w:num>
  <w:num w:numId="60" w16cid:durableId="504786573">
    <w:abstractNumId w:val="86"/>
  </w:num>
  <w:num w:numId="61" w16cid:durableId="1864396759">
    <w:abstractNumId w:val="66"/>
  </w:num>
  <w:num w:numId="62" w16cid:durableId="1844277512">
    <w:abstractNumId w:val="26"/>
  </w:num>
  <w:num w:numId="63" w16cid:durableId="402992293">
    <w:abstractNumId w:val="32"/>
  </w:num>
  <w:num w:numId="64" w16cid:durableId="1966622946">
    <w:abstractNumId w:val="33"/>
  </w:num>
  <w:num w:numId="65" w16cid:durableId="1100569019">
    <w:abstractNumId w:val="39"/>
  </w:num>
  <w:num w:numId="66" w16cid:durableId="573200707">
    <w:abstractNumId w:val="71"/>
  </w:num>
  <w:num w:numId="67" w16cid:durableId="699403798">
    <w:abstractNumId w:val="54"/>
  </w:num>
  <w:num w:numId="68" w16cid:durableId="392823298">
    <w:abstractNumId w:val="181"/>
  </w:num>
  <w:num w:numId="69" w16cid:durableId="1083835560">
    <w:abstractNumId w:val="61"/>
  </w:num>
  <w:num w:numId="70" w16cid:durableId="1528758448">
    <w:abstractNumId w:val="67"/>
  </w:num>
  <w:num w:numId="71" w16cid:durableId="2068260892">
    <w:abstractNumId w:val="160"/>
  </w:num>
  <w:num w:numId="72" w16cid:durableId="1682510038">
    <w:abstractNumId w:val="58"/>
  </w:num>
  <w:num w:numId="73" w16cid:durableId="241184394">
    <w:abstractNumId w:val="193"/>
  </w:num>
  <w:num w:numId="74" w16cid:durableId="604459912">
    <w:abstractNumId w:val="127"/>
  </w:num>
  <w:num w:numId="75" w16cid:durableId="1204975944">
    <w:abstractNumId w:val="128"/>
  </w:num>
  <w:num w:numId="76" w16cid:durableId="563102440">
    <w:abstractNumId w:val="23"/>
  </w:num>
  <w:num w:numId="77" w16cid:durableId="215165911">
    <w:abstractNumId w:val="19"/>
  </w:num>
  <w:num w:numId="78" w16cid:durableId="521675249">
    <w:abstractNumId w:val="151"/>
  </w:num>
  <w:num w:numId="79" w16cid:durableId="1668481435">
    <w:abstractNumId w:val="35"/>
  </w:num>
  <w:num w:numId="80" w16cid:durableId="1103112214">
    <w:abstractNumId w:val="155"/>
  </w:num>
  <w:num w:numId="81" w16cid:durableId="464470115">
    <w:abstractNumId w:val="198"/>
  </w:num>
  <w:num w:numId="82" w16cid:durableId="1558739877">
    <w:abstractNumId w:val="145"/>
  </w:num>
  <w:num w:numId="83" w16cid:durableId="971638161">
    <w:abstractNumId w:val="25"/>
  </w:num>
  <w:num w:numId="84" w16cid:durableId="862868298">
    <w:abstractNumId w:val="170"/>
  </w:num>
  <w:num w:numId="85" w16cid:durableId="248122638">
    <w:abstractNumId w:val="16"/>
  </w:num>
  <w:num w:numId="86" w16cid:durableId="1942101453">
    <w:abstractNumId w:val="57"/>
  </w:num>
  <w:num w:numId="87" w16cid:durableId="2079202835">
    <w:abstractNumId w:val="56"/>
  </w:num>
  <w:num w:numId="88" w16cid:durableId="2146578316">
    <w:abstractNumId w:val="123"/>
  </w:num>
  <w:num w:numId="89" w16cid:durableId="1028483115">
    <w:abstractNumId w:val="125"/>
  </w:num>
  <w:num w:numId="90" w16cid:durableId="71704582">
    <w:abstractNumId w:val="37"/>
  </w:num>
  <w:num w:numId="91" w16cid:durableId="1204051007">
    <w:abstractNumId w:val="10"/>
  </w:num>
  <w:num w:numId="92" w16cid:durableId="916598339">
    <w:abstractNumId w:val="82"/>
  </w:num>
  <w:num w:numId="93" w16cid:durableId="62988402">
    <w:abstractNumId w:val="1"/>
  </w:num>
  <w:num w:numId="94" w16cid:durableId="1543399886">
    <w:abstractNumId w:val="164"/>
  </w:num>
  <w:num w:numId="95" w16cid:durableId="1364088068">
    <w:abstractNumId w:val="90"/>
  </w:num>
  <w:num w:numId="96" w16cid:durableId="942032338">
    <w:abstractNumId w:val="48"/>
  </w:num>
  <w:num w:numId="97" w16cid:durableId="1270704079">
    <w:abstractNumId w:val="191"/>
  </w:num>
  <w:num w:numId="98" w16cid:durableId="874200411">
    <w:abstractNumId w:val="178"/>
  </w:num>
  <w:num w:numId="99" w16cid:durableId="487139401">
    <w:abstractNumId w:val="114"/>
  </w:num>
  <w:num w:numId="100" w16cid:durableId="1174221469">
    <w:abstractNumId w:val="98"/>
  </w:num>
  <w:num w:numId="101" w16cid:durableId="1696156630">
    <w:abstractNumId w:val="13"/>
  </w:num>
  <w:num w:numId="102" w16cid:durableId="81724063">
    <w:abstractNumId w:val="42"/>
  </w:num>
  <w:num w:numId="103" w16cid:durableId="1063020245">
    <w:abstractNumId w:val="72"/>
  </w:num>
  <w:num w:numId="104" w16cid:durableId="1473402086">
    <w:abstractNumId w:val="40"/>
  </w:num>
  <w:num w:numId="105" w16cid:durableId="1268468519">
    <w:abstractNumId w:val="150"/>
  </w:num>
  <w:num w:numId="106" w16cid:durableId="1465545282">
    <w:abstractNumId w:val="116"/>
  </w:num>
  <w:num w:numId="107" w16cid:durableId="463349243">
    <w:abstractNumId w:val="17"/>
  </w:num>
  <w:num w:numId="108" w16cid:durableId="1476412711">
    <w:abstractNumId w:val="119"/>
  </w:num>
  <w:num w:numId="109" w16cid:durableId="629243304">
    <w:abstractNumId w:val="171"/>
  </w:num>
  <w:num w:numId="110" w16cid:durableId="1459641775">
    <w:abstractNumId w:val="197"/>
  </w:num>
  <w:num w:numId="111" w16cid:durableId="1281301572">
    <w:abstractNumId w:val="24"/>
  </w:num>
  <w:num w:numId="112" w16cid:durableId="454100398">
    <w:abstractNumId w:val="135"/>
  </w:num>
  <w:num w:numId="113" w16cid:durableId="499128312">
    <w:abstractNumId w:val="161"/>
  </w:num>
  <w:num w:numId="114" w16cid:durableId="1033068194">
    <w:abstractNumId w:val="94"/>
  </w:num>
  <w:num w:numId="115" w16cid:durableId="1082528599">
    <w:abstractNumId w:val="3"/>
  </w:num>
  <w:num w:numId="116" w16cid:durableId="731974278">
    <w:abstractNumId w:val="68"/>
  </w:num>
  <w:num w:numId="117" w16cid:durableId="2051569395">
    <w:abstractNumId w:val="180"/>
  </w:num>
  <w:num w:numId="118" w16cid:durableId="685442463">
    <w:abstractNumId w:val="118"/>
  </w:num>
  <w:num w:numId="119" w16cid:durableId="1139499455">
    <w:abstractNumId w:val="65"/>
  </w:num>
  <w:num w:numId="120" w16cid:durableId="778330391">
    <w:abstractNumId w:val="83"/>
  </w:num>
  <w:num w:numId="121" w16cid:durableId="97606997">
    <w:abstractNumId w:val="78"/>
  </w:num>
  <w:num w:numId="122" w16cid:durableId="1462579730">
    <w:abstractNumId w:val="80"/>
  </w:num>
  <w:num w:numId="123" w16cid:durableId="223295745">
    <w:abstractNumId w:val="77"/>
  </w:num>
  <w:num w:numId="124" w16cid:durableId="362095978">
    <w:abstractNumId w:val="131"/>
  </w:num>
  <w:num w:numId="125" w16cid:durableId="393312454">
    <w:abstractNumId w:val="70"/>
  </w:num>
  <w:num w:numId="126" w16cid:durableId="305664225">
    <w:abstractNumId w:val="31"/>
  </w:num>
  <w:num w:numId="127" w16cid:durableId="1240753211">
    <w:abstractNumId w:val="9"/>
  </w:num>
  <w:num w:numId="128" w16cid:durableId="58286316">
    <w:abstractNumId w:val="185"/>
  </w:num>
  <w:num w:numId="129" w16cid:durableId="2095667338">
    <w:abstractNumId w:val="188"/>
  </w:num>
  <w:num w:numId="130" w16cid:durableId="1766606454">
    <w:abstractNumId w:val="117"/>
  </w:num>
  <w:num w:numId="131" w16cid:durableId="1614626096">
    <w:abstractNumId w:val="5"/>
  </w:num>
  <w:num w:numId="132" w16cid:durableId="171460712">
    <w:abstractNumId w:val="158"/>
  </w:num>
  <w:num w:numId="133" w16cid:durableId="1973319325">
    <w:abstractNumId w:val="100"/>
  </w:num>
  <w:num w:numId="134" w16cid:durableId="787430319">
    <w:abstractNumId w:val="107"/>
  </w:num>
  <w:num w:numId="135" w16cid:durableId="1514301541">
    <w:abstractNumId w:val="130"/>
  </w:num>
  <w:num w:numId="136" w16cid:durableId="630407282">
    <w:abstractNumId w:val="168"/>
  </w:num>
  <w:num w:numId="137" w16cid:durableId="593821833">
    <w:abstractNumId w:val="120"/>
  </w:num>
  <w:num w:numId="138" w16cid:durableId="700210466">
    <w:abstractNumId w:val="29"/>
  </w:num>
  <w:num w:numId="139" w16cid:durableId="442385397">
    <w:abstractNumId w:val="176"/>
  </w:num>
  <w:num w:numId="140" w16cid:durableId="1632393430">
    <w:abstractNumId w:val="41"/>
  </w:num>
  <w:num w:numId="141" w16cid:durableId="1530800014">
    <w:abstractNumId w:val="6"/>
  </w:num>
  <w:num w:numId="142" w16cid:durableId="499388072">
    <w:abstractNumId w:val="55"/>
  </w:num>
  <w:num w:numId="143" w16cid:durableId="52050357">
    <w:abstractNumId w:val="64"/>
  </w:num>
  <w:num w:numId="144" w16cid:durableId="414322262">
    <w:abstractNumId w:val="73"/>
  </w:num>
  <w:num w:numId="145" w16cid:durableId="550193489">
    <w:abstractNumId w:val="45"/>
  </w:num>
  <w:num w:numId="146" w16cid:durableId="1614484387">
    <w:abstractNumId w:val="50"/>
  </w:num>
  <w:num w:numId="147" w16cid:durableId="2030830737">
    <w:abstractNumId w:val="28"/>
  </w:num>
  <w:num w:numId="148" w16cid:durableId="1422799597">
    <w:abstractNumId w:val="112"/>
  </w:num>
  <w:num w:numId="149" w16cid:durableId="2066251566">
    <w:abstractNumId w:val="79"/>
  </w:num>
  <w:num w:numId="150" w16cid:durableId="1686469574">
    <w:abstractNumId w:val="194"/>
  </w:num>
  <w:num w:numId="151" w16cid:durableId="694161191">
    <w:abstractNumId w:val="93"/>
  </w:num>
  <w:num w:numId="152" w16cid:durableId="1926113789">
    <w:abstractNumId w:val="175"/>
  </w:num>
  <w:num w:numId="153" w16cid:durableId="2052458124">
    <w:abstractNumId w:val="14"/>
  </w:num>
  <w:num w:numId="154" w16cid:durableId="1492916083">
    <w:abstractNumId w:val="88"/>
  </w:num>
  <w:num w:numId="155" w16cid:durableId="1125809492">
    <w:abstractNumId w:val="199"/>
  </w:num>
  <w:num w:numId="156" w16cid:durableId="1610117725">
    <w:abstractNumId w:val="122"/>
  </w:num>
  <w:num w:numId="157" w16cid:durableId="427164092">
    <w:abstractNumId w:val="27"/>
  </w:num>
  <w:num w:numId="158" w16cid:durableId="764224694">
    <w:abstractNumId w:val="92"/>
  </w:num>
  <w:num w:numId="159" w16cid:durableId="525095402">
    <w:abstractNumId w:val="103"/>
  </w:num>
  <w:num w:numId="160" w16cid:durableId="1078164657">
    <w:abstractNumId w:val="196"/>
  </w:num>
  <w:num w:numId="161" w16cid:durableId="1549491301">
    <w:abstractNumId w:val="52"/>
  </w:num>
  <w:num w:numId="162" w16cid:durableId="1311058932">
    <w:abstractNumId w:val="97"/>
  </w:num>
  <w:num w:numId="163" w16cid:durableId="1608392398">
    <w:abstractNumId w:val="62"/>
  </w:num>
  <w:num w:numId="164" w16cid:durableId="2035375322">
    <w:abstractNumId w:val="167"/>
  </w:num>
  <w:num w:numId="165" w16cid:durableId="1902712128">
    <w:abstractNumId w:val="2"/>
  </w:num>
  <w:num w:numId="166" w16cid:durableId="1919751591">
    <w:abstractNumId w:val="172"/>
  </w:num>
  <w:num w:numId="167" w16cid:durableId="1587496854">
    <w:abstractNumId w:val="186"/>
  </w:num>
  <w:num w:numId="168" w16cid:durableId="465783951">
    <w:abstractNumId w:val="76"/>
  </w:num>
  <w:num w:numId="169" w16cid:durableId="1521122251">
    <w:abstractNumId w:val="115"/>
  </w:num>
  <w:num w:numId="170" w16cid:durableId="1549494163">
    <w:abstractNumId w:val="53"/>
  </w:num>
  <w:num w:numId="171" w16cid:durableId="1382746543">
    <w:abstractNumId w:val="144"/>
  </w:num>
  <w:num w:numId="172" w16cid:durableId="617493184">
    <w:abstractNumId w:val="106"/>
  </w:num>
  <w:num w:numId="173" w16cid:durableId="1005330132">
    <w:abstractNumId w:val="99"/>
  </w:num>
  <w:num w:numId="174" w16cid:durableId="1574662342">
    <w:abstractNumId w:val="104"/>
  </w:num>
  <w:num w:numId="175" w16cid:durableId="662398182">
    <w:abstractNumId w:val="138"/>
  </w:num>
  <w:num w:numId="176" w16cid:durableId="129396747">
    <w:abstractNumId w:val="139"/>
  </w:num>
  <w:num w:numId="177" w16cid:durableId="877352250">
    <w:abstractNumId w:val="200"/>
  </w:num>
  <w:num w:numId="178" w16cid:durableId="1630161020">
    <w:abstractNumId w:val="124"/>
  </w:num>
  <w:num w:numId="179" w16cid:durableId="57553524">
    <w:abstractNumId w:val="21"/>
  </w:num>
  <w:num w:numId="180" w16cid:durableId="1508210171">
    <w:abstractNumId w:val="47"/>
  </w:num>
  <w:num w:numId="181" w16cid:durableId="1568883143">
    <w:abstractNumId w:val="101"/>
  </w:num>
  <w:num w:numId="182" w16cid:durableId="1115447137">
    <w:abstractNumId w:val="195"/>
  </w:num>
  <w:num w:numId="183" w16cid:durableId="1197086286">
    <w:abstractNumId w:val="129"/>
  </w:num>
  <w:num w:numId="184" w16cid:durableId="1680739613">
    <w:abstractNumId w:val="179"/>
  </w:num>
  <w:num w:numId="185" w16cid:durableId="1105612762">
    <w:abstractNumId w:val="159"/>
  </w:num>
  <w:num w:numId="186" w16cid:durableId="534465970">
    <w:abstractNumId w:val="162"/>
  </w:num>
  <w:num w:numId="187" w16cid:durableId="1823505106">
    <w:abstractNumId w:val="189"/>
  </w:num>
  <w:num w:numId="188" w16cid:durableId="457993077">
    <w:abstractNumId w:val="108"/>
  </w:num>
  <w:num w:numId="189" w16cid:durableId="750204494">
    <w:abstractNumId w:val="46"/>
  </w:num>
  <w:num w:numId="190" w16cid:durableId="126824823">
    <w:abstractNumId w:val="30"/>
  </w:num>
  <w:num w:numId="191" w16cid:durableId="1880386722">
    <w:abstractNumId w:val="11"/>
  </w:num>
  <w:num w:numId="192" w16cid:durableId="1531800797">
    <w:abstractNumId w:val="143"/>
  </w:num>
  <w:num w:numId="193" w16cid:durableId="375471084">
    <w:abstractNumId w:val="74"/>
  </w:num>
  <w:num w:numId="194" w16cid:durableId="488785223">
    <w:abstractNumId w:val="166"/>
  </w:num>
  <w:num w:numId="195" w16cid:durableId="1931888184">
    <w:abstractNumId w:val="121"/>
  </w:num>
  <w:num w:numId="196" w16cid:durableId="444812879">
    <w:abstractNumId w:val="60"/>
  </w:num>
  <w:num w:numId="197" w16cid:durableId="1810047909">
    <w:abstractNumId w:val="192"/>
  </w:num>
  <w:num w:numId="198" w16cid:durableId="529221273">
    <w:abstractNumId w:val="169"/>
  </w:num>
  <w:num w:numId="199" w16cid:durableId="231694190">
    <w:abstractNumId w:val="177"/>
  </w:num>
  <w:num w:numId="200" w16cid:durableId="1243755525">
    <w:abstractNumId w:val="0"/>
  </w:num>
  <w:num w:numId="201" w16cid:durableId="1504517466">
    <w:abstractNumId w:val="183"/>
  </w:num>
  <w:num w:numId="202" w16cid:durableId="1165322948">
    <w:abstractNumId w:val="132"/>
  </w:num>
  <w:num w:numId="203" w16cid:durableId="1076055148">
    <w:abstractNumId w:val="4"/>
  </w:num>
  <w:num w:numId="204" w16cid:durableId="364910016">
    <w:abstractNumId w:val="133"/>
  </w:num>
  <w:num w:numId="205" w16cid:durableId="365640984">
    <w:abstractNumId w:val="85"/>
  </w:num>
  <w:num w:numId="206" w16cid:durableId="139736923">
    <w:abstractNumId w:val="110"/>
  </w:num>
  <w:num w:numId="207" w16cid:durableId="1327397452">
    <w:abstractNumId w:val="63"/>
  </w:num>
  <w:num w:numId="208" w16cid:durableId="454180984">
    <w:abstractNumId w:val="137"/>
  </w:num>
  <w:num w:numId="209" w16cid:durableId="202559121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34593553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5128947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1A4F00"/>
    <w:rsid w:val="001A4F00"/>
    <w:rsid w:val="003F63DB"/>
    <w:rsid w:val="00905B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FB29225-6C49-4762-9749-0742A800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autoRedefine/>
    <w:qFormat/>
    <w:pPr>
      <w:keepNext/>
      <w:keepLines/>
      <w:numPr>
        <w:numId w:val="8"/>
      </w:numPr>
      <w:tabs>
        <w:tab w:val="left" w:pos="227"/>
      </w:tabs>
      <w:suppressAutoHyphens/>
      <w:spacing w:before="313" w:line="300" w:lineRule="exact"/>
      <w:ind w:left="227" w:hanging="227"/>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semiHidden/>
    <w:pPr>
      <w:tabs>
        <w:tab w:val="right" w:leader="dot" w:pos="5953"/>
      </w:tabs>
      <w:spacing w:before="0"/>
      <w:ind w:left="227" w:right="284" w:hanging="227"/>
      <w:jc w:val="left"/>
    </w:pPr>
    <w:rPr>
      <w:noProof/>
    </w:rPr>
  </w:style>
  <w:style w:type="paragraph" w:styleId="Innehll2">
    <w:name w:val="toc 2"/>
    <w:basedOn w:val="Normal"/>
    <w:next w:val="Normal"/>
    <w:semiHidden/>
    <w:pPr>
      <w:tabs>
        <w:tab w:val="right" w:leader="dot" w:pos="5953"/>
      </w:tabs>
      <w:spacing w:before="0"/>
      <w:ind w:left="681" w:right="284" w:hanging="454"/>
      <w:jc w:val="left"/>
    </w:pPr>
    <w:rPr>
      <w:noProof/>
    </w:r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Rubrik2-Utannumrering">
    <w:name w:val="Rubrik 2 - Utan numrering"/>
    <w:basedOn w:val="Rubrik2"/>
    <w:next w:val="Normal"/>
    <w:pPr>
      <w:numPr>
        <w:ilvl w:val="0"/>
        <w:numId w:val="0"/>
      </w:numPr>
      <w:tabs>
        <w:tab w:val="clear" w:pos="227"/>
        <w:tab w:val="clear" w:pos="340"/>
      </w:tabs>
      <w:spacing w:before="440" w:line="300" w:lineRule="atLeast"/>
    </w:pPr>
  </w:style>
  <w:style w:type="paragraph" w:customStyle="1" w:styleId="Rubrik3-Utannumrering">
    <w:name w:val="Rubrik 3 - Utan numrering"/>
    <w:basedOn w:val="Rubrik3"/>
    <w:next w:val="Normal"/>
    <w:pPr>
      <w:numPr>
        <w:ilvl w:val="0"/>
        <w:numId w:val="0"/>
      </w:numPr>
      <w:tabs>
        <w:tab w:val="clear" w:pos="227"/>
        <w:tab w:val="clear" w:pos="578"/>
      </w:tabs>
      <w:spacing w:before="360" w:line="300" w:lineRule="atLeast"/>
    </w:pPr>
    <w:rPr>
      <w:sz w:val="22"/>
    </w:rPr>
  </w:style>
  <w:style w:type="character" w:styleId="Fotnotsreferens">
    <w:name w:val="footnote reference"/>
    <w:basedOn w:val="Standardstycketeckensnitt"/>
    <w:semiHidden/>
    <w:rPr>
      <w:vertAlign w:val="superscript"/>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43354</Words>
  <Characters>291346</Characters>
  <Application>Microsoft Office Word</Application>
  <DocSecurity>4</DocSecurity>
  <Lines>5602</Lines>
  <Paragraphs>1901</Paragraphs>
  <ScaleCrop>false</ScaleCrop>
  <HeadingPairs>
    <vt:vector size="4" baseType="variant">
      <vt:variant>
        <vt:lpstr>Title</vt:lpstr>
      </vt:variant>
      <vt:variant>
        <vt:i4>1</vt:i4>
      </vt:variant>
      <vt:variant>
        <vt:lpstr>Rubriker</vt:lpstr>
      </vt:variant>
      <vt:variant>
        <vt:i4>54</vt:i4>
      </vt:variant>
    </vt:vector>
  </HeadingPairs>
  <TitlesOfParts>
    <vt:vector size="55" baseType="lpstr">
      <vt:lpstr>Förslag till riksdagen</vt:lpstr>
      <vt:lpstr>Revisorernas granskning</vt:lpstr>
      <vt:lpstr>    Uppdragsarkeologi</vt:lpstr>
      <vt:lpstr>    Revisorernas utgångspunkter och förslag</vt:lpstr>
      <vt:lpstr>    Aviserad översyn</vt:lpstr>
      <vt:lpstr>    Remissinstansernas allmänna synpunkter</vt:lpstr>
      <vt:lpstr>Revisorernas överväganden</vt:lpstr>
      <vt:lpstr>    Riksantikvarieämbetets uppgifter</vt:lpstr>
      <vt:lpstr>    Staten som beställare av arkeologi</vt:lpstr>
      <vt:lpstr>    Konkurrens och insyn</vt:lpstr>
      <vt:lpstr>    Kostnader för uppdragsarkeologi</vt:lpstr>
      <vt:lpstr>    Kompetenskrav och auktorisation</vt:lpstr>
      <vt:lpstr>Revisorernas förslag</vt:lpstr>
      <vt:lpstr/>
      <vt:lpstr>Förord</vt:lpstr>
      <vt:lpstr/>
      <vt:lpstr>Sammanfattning</vt:lpstr>
      <vt:lpstr>    Riksantikvarieämbetets uppgifter</vt:lpstr>
      <vt:lpstr>        Riksantikvarieämbetet dominerar</vt:lpstr>
      <vt:lpstr>        Intressekonflikter </vt:lpstr>
      <vt:lpstr>    Konkurrens och insyn</vt:lpstr>
      <vt:lpstr>        Få uppdrag har utsatts för konkurrens </vt:lpstr>
      <vt:lpstr>        Länsgränserna är styrande för valet av undersökare</vt:lpstr>
      <vt:lpstr>        Insynen är begränsad</vt:lpstr>
      <vt:lpstr>    Kostnader för uppdragsarkeologi</vt:lpstr>
      <vt:lpstr>        Exploatörerna ska betala</vt:lpstr>
      <vt:lpstr>        Exploatörernas ansvar utvidgas</vt:lpstr>
      <vt:lpstr>    De arkeologiska resultaten</vt:lpstr>
      <vt:lpstr>        Åtskilliga undersökningar har inte slutredovisats</vt:lpstr>
      <vt:lpstr>        Revisorerna föreslår </vt:lpstr>
      <vt:lpstr>Marken är full av fornlämningar</vt:lpstr>
      <vt:lpstr>    Fasta fornlämningar ska skyddas</vt:lpstr>
      <vt:lpstr>    Ingrepp i fornlämning kräver tillstånd</vt:lpstr>
      <vt:lpstr>        Tillstånd vid markexploatering</vt:lpstr>
      <vt:lpstr>        Tillstånd i forskningssyfte</vt:lpstr>
      <vt:lpstr>    Ingreppen är oåterkalleliga</vt:lpstr>
      <vt:lpstr>    En beslutsprocess i tre steg</vt:lpstr>
      <vt:lpstr>        Särskild utredning</vt:lpstr>
      <vt:lpstr>        Arkeologisk förundersökning</vt:lpstr>
      <vt:lpstr>        Särskild undersökning</vt:lpstr>
      <vt:lpstr>        Länsstyrelsen väljer undersökare och svarar för tillsyn</vt:lpstr>
      <vt:lpstr>        Ej tillståndspliktiga arkeologiska förstudier och utredningar</vt:lpstr>
      <vt:lpstr>    Många är inblandade i uppdragsarkeologin</vt:lpstr>
      <vt:lpstr>        Riksantikvarieämbetet </vt:lpstr>
      <vt:lpstr>        Länsstyrelserna</vt:lpstr>
      <vt:lpstr>        Regionala museer</vt:lpstr>
      <vt:lpstr>        Exploatörerna</vt:lpstr>
      <vt:lpstr>        Undersökarna</vt:lpstr>
      <vt:lpstr>        Universitet och högskolor</vt:lpstr>
      <vt:lpstr>    Arkeologerna är en rörlig yrkeskår</vt:lpstr>
      <vt:lpstr>    Sammanfattande iakttagelser</vt:lpstr>
      <vt:lpstr>Ingrepp ska ge ny kunskap</vt:lpstr>
      <vt:lpstr>    Universiteten som mottagare och medverkande</vt:lpstr>
      <vt:lpstr>        Regeringens och riksdagens uttalanden</vt:lpstr>
      <vt:lpstr>        Samspelet mellan forskningen och uppdragsarkeologin</vt:lpstr>
    </vt:vector>
  </TitlesOfParts>
  <Company>Riksdagen</Company>
  <LinksUpToDate>false</LinksUpToDate>
  <CharactersWithSpaces>332799</CharactersWithSpaces>
  <SharedDoc>false</SharedDoc>
  <HLinks>
    <vt:vector size="12" baseType="variant">
      <vt:variant>
        <vt:i4>3342451</vt:i4>
      </vt:variant>
      <vt:variant>
        <vt:i4>176674</vt:i4>
      </vt:variant>
      <vt:variant>
        <vt:i4>1026</vt:i4>
      </vt:variant>
      <vt:variant>
        <vt:i4>1</vt:i4>
      </vt:variant>
      <vt:variant>
        <vt:lpwstr>Uppvarde021011.wmf</vt:lpwstr>
      </vt:variant>
      <vt:variant>
        <vt:lpwstr/>
      </vt:variant>
      <vt:variant>
        <vt:i4>5242973</vt:i4>
      </vt:variant>
      <vt:variant>
        <vt:i4>199467</vt:i4>
      </vt:variant>
      <vt:variant>
        <vt:i4>1027</vt:i4>
      </vt:variant>
      <vt:variant>
        <vt:i4>1</vt:i4>
      </vt:variant>
      <vt:variant>
        <vt:lpwstr>Mus4.wmf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2003-03-27T15:31:00Z</cp:lastPrinted>
  <dcterms:created xsi:type="dcterms:W3CDTF">2025-12-16T01:51:00Z</dcterms:created>
  <dcterms:modified xsi:type="dcterms:W3CDTF">2025-12-16T01:51:00Z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RR11</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