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32056" w:rsidRPr="00005077">
        <w:tc>
          <w:tcPr>
            <w:tcW w:w="2268" w:type="dxa"/>
          </w:tcPr>
          <w:p w:rsidR="00B32056" w:rsidRPr="00005077" w:rsidRDefault="00B32056" w:rsidP="007242A3">
            <w:pPr>
              <w:framePr w:w="5035" w:h="1644" w:wrap="notBeside" w:vAnchor="page" w:hAnchor="page" w:x="6573" w:y="721"/>
              <w:rPr>
                <w:rFonts w:ascii="TradeGothic" w:hAnsi="TradeGothic"/>
                <w:i/>
                <w:sz w:val="18"/>
              </w:rPr>
            </w:pPr>
          </w:p>
        </w:tc>
        <w:tc>
          <w:tcPr>
            <w:tcW w:w="2999" w:type="dxa"/>
            <w:gridSpan w:val="2"/>
          </w:tcPr>
          <w:p w:rsidR="00B32056" w:rsidRPr="00F03743" w:rsidRDefault="00B32056" w:rsidP="007242A3">
            <w:pPr>
              <w:framePr w:w="5035" w:h="1644" w:wrap="notBeside" w:vAnchor="page" w:hAnchor="page" w:x="6573" w:y="721"/>
              <w:rPr>
                <w:rFonts w:ascii="TradeGothic" w:hAnsi="TradeGothic"/>
                <w:sz w:val="18"/>
              </w:rPr>
            </w:pPr>
            <w:r>
              <w:rPr>
                <w:rFonts w:ascii="TradeGothic" w:hAnsi="TradeGothic"/>
                <w:sz w:val="18"/>
              </w:rPr>
              <w:t>Ekofin</w:t>
            </w:r>
          </w:p>
        </w:tc>
      </w:tr>
      <w:tr w:rsidR="00B32056" w:rsidRPr="00005077">
        <w:tc>
          <w:tcPr>
            <w:tcW w:w="2268" w:type="dxa"/>
          </w:tcPr>
          <w:p w:rsidR="00B32056" w:rsidRPr="00005077" w:rsidRDefault="00B32056" w:rsidP="007242A3">
            <w:pPr>
              <w:framePr w:w="5035" w:h="1644" w:wrap="notBeside" w:vAnchor="page" w:hAnchor="page" w:x="6573" w:y="721"/>
              <w:rPr>
                <w:rFonts w:ascii="TradeGothic" w:hAnsi="TradeGothic"/>
                <w:b/>
                <w:sz w:val="22"/>
              </w:rPr>
            </w:pPr>
            <w:r>
              <w:rPr>
                <w:rFonts w:ascii="TradeGothic" w:hAnsi="TradeGothic"/>
                <w:b/>
                <w:sz w:val="22"/>
              </w:rPr>
              <w:t>Annotering</w:t>
            </w:r>
          </w:p>
        </w:tc>
        <w:tc>
          <w:tcPr>
            <w:tcW w:w="2999" w:type="dxa"/>
            <w:gridSpan w:val="2"/>
          </w:tcPr>
          <w:p w:rsidR="00B32056" w:rsidRPr="00005077" w:rsidRDefault="00B32056" w:rsidP="007C14A6">
            <w:pPr>
              <w:framePr w:w="5035" w:h="1644" w:wrap="notBeside" w:vAnchor="page" w:hAnchor="page" w:x="6573" w:y="721"/>
              <w:rPr>
                <w:rFonts w:ascii="TradeGothic" w:hAnsi="TradeGothic"/>
                <w:b/>
                <w:sz w:val="22"/>
              </w:rPr>
            </w:pPr>
          </w:p>
        </w:tc>
      </w:tr>
      <w:tr w:rsidR="00B32056" w:rsidRPr="00005077">
        <w:tc>
          <w:tcPr>
            <w:tcW w:w="3402" w:type="dxa"/>
            <w:gridSpan w:val="2"/>
          </w:tcPr>
          <w:p w:rsidR="00B32056" w:rsidRPr="00005077" w:rsidRDefault="00B32056" w:rsidP="007242A3">
            <w:pPr>
              <w:framePr w:w="5035" w:h="1644" w:wrap="notBeside" w:vAnchor="page" w:hAnchor="page" w:x="6573" w:y="721"/>
            </w:pPr>
          </w:p>
        </w:tc>
        <w:tc>
          <w:tcPr>
            <w:tcW w:w="1865" w:type="dxa"/>
          </w:tcPr>
          <w:p w:rsidR="00B32056" w:rsidRPr="00005077" w:rsidRDefault="00B32056" w:rsidP="007242A3">
            <w:pPr>
              <w:framePr w:w="5035" w:h="1644" w:wrap="notBeside" w:vAnchor="page" w:hAnchor="page" w:x="6573" w:y="721"/>
            </w:pPr>
          </w:p>
        </w:tc>
      </w:tr>
      <w:tr w:rsidR="00B32056" w:rsidRPr="00005077">
        <w:tc>
          <w:tcPr>
            <w:tcW w:w="2268" w:type="dxa"/>
          </w:tcPr>
          <w:p w:rsidR="00B32056" w:rsidRPr="00005077" w:rsidRDefault="00B32056" w:rsidP="00BC50DF">
            <w:pPr>
              <w:framePr w:w="5035" w:h="1644" w:wrap="notBeside" w:vAnchor="page" w:hAnchor="page" w:x="6573" w:y="721"/>
            </w:pPr>
            <w:r>
              <w:t>2013-11-07</w:t>
            </w:r>
          </w:p>
        </w:tc>
        <w:tc>
          <w:tcPr>
            <w:tcW w:w="2999" w:type="dxa"/>
            <w:gridSpan w:val="2"/>
          </w:tcPr>
          <w:p w:rsidR="00B32056" w:rsidRPr="00AD1C07" w:rsidRDefault="00B32056" w:rsidP="003E582C">
            <w:pPr>
              <w:framePr w:w="5035" w:h="1644" w:wrap="notBeside" w:vAnchor="page" w:hAnchor="page" w:x="6573" w:y="721"/>
              <w:rPr>
                <w:sz w:val="20"/>
              </w:rPr>
            </w:pPr>
          </w:p>
        </w:tc>
      </w:tr>
      <w:tr w:rsidR="00B32056" w:rsidRPr="00005077">
        <w:tc>
          <w:tcPr>
            <w:tcW w:w="2268" w:type="dxa"/>
          </w:tcPr>
          <w:p w:rsidR="00B32056" w:rsidRPr="00005077" w:rsidRDefault="00B32056" w:rsidP="007242A3">
            <w:pPr>
              <w:framePr w:w="5035" w:h="1644" w:wrap="notBeside" w:vAnchor="page" w:hAnchor="page" w:x="6573" w:y="721"/>
            </w:pPr>
          </w:p>
        </w:tc>
        <w:tc>
          <w:tcPr>
            <w:tcW w:w="2999" w:type="dxa"/>
            <w:gridSpan w:val="2"/>
          </w:tcPr>
          <w:p w:rsidR="00B32056" w:rsidRPr="00005077" w:rsidRDefault="00B32056" w:rsidP="007242A3">
            <w:pPr>
              <w:framePr w:w="5035" w:h="1644" w:wrap="notBeside" w:vAnchor="page" w:hAnchor="page" w:x="6573" w:y="721"/>
            </w:pPr>
          </w:p>
        </w:tc>
      </w:tr>
    </w:tbl>
    <w:p w:rsidR="00B32056" w:rsidRPr="00F31507" w:rsidRDefault="00B32056" w:rsidP="00F31507">
      <w:pPr>
        <w:rPr>
          <w:vanish/>
        </w:rPr>
      </w:pPr>
    </w:p>
    <w:tbl>
      <w:tblPr>
        <w:tblW w:w="4928" w:type="dxa"/>
        <w:tblLayout w:type="fixed"/>
        <w:tblLook w:val="0000"/>
      </w:tblPr>
      <w:tblGrid>
        <w:gridCol w:w="4928"/>
      </w:tblGrid>
      <w:tr w:rsidR="00B32056" w:rsidRPr="00005077" w:rsidTr="00D50C6A">
        <w:trPr>
          <w:trHeight w:val="284"/>
        </w:trPr>
        <w:tc>
          <w:tcPr>
            <w:tcW w:w="4928" w:type="dxa"/>
          </w:tcPr>
          <w:p w:rsidR="00B32056" w:rsidRPr="00005077" w:rsidRDefault="00B32056">
            <w:pPr>
              <w:pStyle w:val="Avsndare"/>
              <w:framePr w:h="2483" w:wrap="notBeside" w:x="1504"/>
              <w:rPr>
                <w:b/>
                <w:i w:val="0"/>
                <w:sz w:val="22"/>
              </w:rPr>
            </w:pPr>
            <w:r>
              <w:rPr>
                <w:b/>
                <w:i w:val="0"/>
                <w:sz w:val="22"/>
              </w:rPr>
              <w:t>Finansdepartementet</w:t>
            </w: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r w:rsidR="00B32056" w:rsidRPr="00005077" w:rsidTr="00D50C6A">
        <w:trPr>
          <w:trHeight w:val="284"/>
        </w:trPr>
        <w:tc>
          <w:tcPr>
            <w:tcW w:w="4928" w:type="dxa"/>
          </w:tcPr>
          <w:p w:rsidR="00B32056" w:rsidRPr="00005077" w:rsidRDefault="00B32056">
            <w:pPr>
              <w:pStyle w:val="Avsndare"/>
              <w:framePr w:h="2483" w:wrap="notBeside" w:x="1504"/>
              <w:rPr>
                <w:bCs/>
                <w:iCs/>
              </w:rPr>
            </w:pPr>
          </w:p>
        </w:tc>
      </w:tr>
    </w:tbl>
    <w:p w:rsidR="00B32056" w:rsidRDefault="00B32056">
      <w:pPr>
        <w:framePr w:w="4400" w:h="2523" w:wrap="notBeside" w:vAnchor="page" w:hAnchor="page" w:x="6453" w:y="2445"/>
        <w:ind w:left="142"/>
      </w:pPr>
      <w:r>
        <w:t>Till: Riksdagen</w:t>
      </w:r>
    </w:p>
    <w:p w:rsidR="00B32056" w:rsidRDefault="00B32056">
      <w:pPr>
        <w:framePr w:w="4400" w:h="2523" w:wrap="notBeside" w:vAnchor="page" w:hAnchor="page" w:x="6453" w:y="2445"/>
        <w:ind w:left="142"/>
      </w:pPr>
    </w:p>
    <w:p w:rsidR="00B32056" w:rsidRDefault="00B32056">
      <w:pPr>
        <w:framePr w:w="4400" w:h="2523" w:wrap="notBeside" w:vAnchor="page" w:hAnchor="page" w:x="6453" w:y="2445"/>
        <w:ind w:left="142"/>
      </w:pPr>
      <w:r>
        <w:t xml:space="preserve">Ekofinrådets möte den </w:t>
      </w:r>
    </w:p>
    <w:p w:rsidR="00B32056" w:rsidRPr="00005077" w:rsidRDefault="00B32056">
      <w:pPr>
        <w:framePr w:w="4400" w:h="2523" w:wrap="notBeside" w:vAnchor="page" w:hAnchor="page" w:x="6453" w:y="2445"/>
        <w:ind w:left="142"/>
      </w:pPr>
      <w:r>
        <w:t>15 november i Bryssel</w:t>
      </w:r>
    </w:p>
    <w:p w:rsidR="00B32056" w:rsidRDefault="00B32056" w:rsidP="00005077">
      <w:pPr>
        <w:pStyle w:val="RKrubrik"/>
        <w:pBdr>
          <w:bottom w:val="single" w:sz="4" w:space="1" w:color="000000"/>
        </w:pBdr>
        <w:spacing w:before="0" w:after="0"/>
      </w:pPr>
      <w:r>
        <w:t>Kommenterad dagordning</w:t>
      </w:r>
    </w:p>
    <w:p w:rsidR="00B32056" w:rsidRPr="003E582C" w:rsidRDefault="00B32056" w:rsidP="003E582C">
      <w:pPr>
        <w:pStyle w:val="RKnormal"/>
        <w:rPr>
          <w:sz w:val="20"/>
        </w:rPr>
      </w:pPr>
      <w:r w:rsidRPr="003E582C">
        <w:rPr>
          <w:sz w:val="20"/>
        </w:rPr>
        <w:t xml:space="preserve">- enligt den preliminära dagordning som framkom i Coreper den </w:t>
      </w:r>
      <w:r>
        <w:rPr>
          <w:sz w:val="20"/>
        </w:rPr>
        <w:t>31oktober</w:t>
      </w:r>
    </w:p>
    <w:p w:rsidR="00B32056" w:rsidRDefault="00B32056" w:rsidP="005735E9">
      <w:pPr>
        <w:pStyle w:val="Heading2"/>
        <w:numPr>
          <w:ilvl w:val="0"/>
          <w:numId w:val="1"/>
        </w:numPr>
        <w:rPr>
          <w:lang w:eastAsia="sv-SE"/>
        </w:rPr>
      </w:pPr>
      <w:r>
        <w:rPr>
          <w:lang w:eastAsia="sv-SE"/>
        </w:rPr>
        <w:t>Godkännande av den preliminära dagordningen</w:t>
      </w:r>
    </w:p>
    <w:p w:rsidR="00B32056" w:rsidRDefault="00B32056" w:rsidP="00196DDE">
      <w:pPr>
        <w:pStyle w:val="Heading2"/>
        <w:rPr>
          <w:u w:val="single"/>
        </w:rPr>
      </w:pPr>
      <w:r>
        <w:rPr>
          <w:u w:val="single"/>
        </w:rPr>
        <w:t>Lagstiftande verksamhet</w:t>
      </w:r>
    </w:p>
    <w:p w:rsidR="00B32056" w:rsidRDefault="00B32056" w:rsidP="005735E9">
      <w:pPr>
        <w:pStyle w:val="Heading2"/>
        <w:numPr>
          <w:ilvl w:val="0"/>
          <w:numId w:val="1"/>
        </w:numPr>
        <w:rPr>
          <w:rStyle w:val="Strong"/>
          <w:b/>
        </w:rPr>
      </w:pPr>
      <w:r w:rsidRPr="0028134B">
        <w:rPr>
          <w:rStyle w:val="Strong"/>
          <w:b/>
        </w:rPr>
        <w:t xml:space="preserve">Godkännande av </w:t>
      </w:r>
      <w:r>
        <w:rPr>
          <w:rStyle w:val="Strong"/>
          <w:b/>
        </w:rPr>
        <w:t>A-punktslistan</w:t>
      </w:r>
    </w:p>
    <w:p w:rsidR="00B32056" w:rsidRPr="00045E00" w:rsidRDefault="00B32056" w:rsidP="00045E00">
      <w:pPr>
        <w:pStyle w:val="Heading2"/>
        <w:numPr>
          <w:ilvl w:val="0"/>
          <w:numId w:val="1"/>
        </w:numPr>
        <w:rPr>
          <w:bCs/>
          <w:lang w:eastAsia="sv-SE"/>
        </w:rPr>
      </w:pPr>
      <w:r w:rsidRPr="00045E00">
        <w:rPr>
          <w:bCs/>
          <w:lang w:eastAsia="sv-SE"/>
        </w:rPr>
        <w:t>Sparandedirektivet</w:t>
      </w:r>
    </w:p>
    <w:p w:rsidR="00B32056" w:rsidRDefault="00B32056" w:rsidP="00045E00">
      <w:pPr>
        <w:pStyle w:val="RKnormal"/>
        <w:numPr>
          <w:ilvl w:val="3"/>
          <w:numId w:val="1"/>
        </w:numPr>
      </w:pPr>
      <w:r>
        <w:t>Politisk överenskommelse</w:t>
      </w:r>
    </w:p>
    <w:p w:rsidR="00B32056" w:rsidRDefault="00B32056" w:rsidP="006E2749">
      <w:pPr>
        <w:pStyle w:val="RKnormal"/>
        <w:ind w:left="2880"/>
      </w:pPr>
    </w:p>
    <w:p w:rsidR="00B32056" w:rsidRDefault="00B32056" w:rsidP="00115D0B">
      <w:pPr>
        <w:pStyle w:val="RKnormal"/>
      </w:pPr>
      <w:r>
        <w:t xml:space="preserve">Ordförandeskapet har ambitionen att rådet ska träffa en politisk överenskommelse om ett reviderat sparandedirektiv. </w:t>
      </w:r>
    </w:p>
    <w:p w:rsidR="00B32056" w:rsidRDefault="00B32056" w:rsidP="00115D0B">
      <w:pPr>
        <w:pStyle w:val="RKnormal"/>
      </w:pPr>
    </w:p>
    <w:p w:rsidR="00B32056" w:rsidRDefault="00B32056" w:rsidP="00115D0B">
      <w:pPr>
        <w:pStyle w:val="RKnormal"/>
      </w:pPr>
      <w:r>
        <w:t>Samråd med EU-nämnden har liksom information och överläggning med skatteutskottet ägt rum vid ett antal tillfällen de senaste åren där det reviderade direktivet har berörts indirekt i samband med diskussioner om ett förhandlingsmandat för kommissionen att förhandla om ändringar i avtalen med vissa tredjeländer om beskattning av sparande. Senast skedde samråd med EU-nämnden inför Ekofin den 14 maj 2013. Även den gången var ambitionen hos ordförandeskapet en politisk överenskommelse gällande sparandedirektivet.</w:t>
      </w:r>
    </w:p>
    <w:p w:rsidR="00B32056" w:rsidRDefault="00B32056" w:rsidP="00115D0B">
      <w:pPr>
        <w:pStyle w:val="RKnormal"/>
      </w:pPr>
    </w:p>
    <w:p w:rsidR="00B32056" w:rsidRDefault="00B32056" w:rsidP="00115D0B">
      <w:pPr>
        <w:pStyle w:val="RKnormal"/>
      </w:pPr>
      <w:r w:rsidRPr="00CC2D7F">
        <w:t>Den nu föreliggande kompromisstexten är i allt väsentligt identisk med den kompromisstext som det svenska ordförandeskapet lade fram 2009.</w:t>
      </w:r>
    </w:p>
    <w:p w:rsidR="00B32056" w:rsidRDefault="00B32056" w:rsidP="00115D0B">
      <w:pPr>
        <w:pStyle w:val="RKnormal"/>
      </w:pPr>
      <w:r w:rsidRPr="00161096">
        <w:t>Mer information om direktivet finns i</w:t>
      </w:r>
      <w:r>
        <w:t xml:space="preserve"> faktapromemoria </w:t>
      </w:r>
      <w:r w:rsidRPr="00161096">
        <w:t>2008/09</w:t>
      </w:r>
      <w:r>
        <w:t>:</w:t>
      </w:r>
      <w:r w:rsidRPr="00161096">
        <w:t>FPM71.</w:t>
      </w:r>
    </w:p>
    <w:p w:rsidR="00B32056" w:rsidRDefault="00B32056" w:rsidP="00115D0B">
      <w:pPr>
        <w:pStyle w:val="RKnormal"/>
      </w:pPr>
    </w:p>
    <w:p w:rsidR="00B32056" w:rsidRDefault="00B32056" w:rsidP="00115D0B">
      <w:pPr>
        <w:pStyle w:val="RKnormal"/>
      </w:pPr>
      <w:r>
        <w:t xml:space="preserve">Det pågår sedan en tid ett intensivt arbete med att få till stånd ett brett automatiskt informationsutbyte om kapitalinkomster. Inom OECD arbetar man bl.a. med en global standard för formatet för sådant utbyte, liksom en modell för bilaterala eller multilaterala överenskommelser om utbytet. Inom EU behandlas ett förslag om att bygga ut det automatiska utbytet enligt direktivet om administrativt samarbete till att omfatta alla slags kapitalinkomster. Det råder enighet om att arbetet måste bedrivas samordnat, med inriktning på en enda, global standard för det bredare informationsutbytet. </w:t>
      </w:r>
    </w:p>
    <w:p w:rsidR="00B32056" w:rsidRDefault="00B32056" w:rsidP="00115D0B">
      <w:pPr>
        <w:pStyle w:val="RKnormal"/>
      </w:pPr>
    </w:p>
    <w:p w:rsidR="00B32056" w:rsidRPr="00045E00" w:rsidRDefault="00B32056" w:rsidP="00045E00">
      <w:pPr>
        <w:pStyle w:val="RKnormal"/>
      </w:pPr>
      <w:r>
        <w:t xml:space="preserve">Regeringen stödjer arbetet med ett brett automatiskt informationsutbyte. Regeringen anser samtidigt det vara angeläget att det reviderade sparandedirektivet antas snarast möjligt för att täppa till de kryphål som det nuvarande direktivet är behäftat med. </w:t>
      </w:r>
    </w:p>
    <w:p w:rsidR="00B32056" w:rsidRPr="00A04D07" w:rsidRDefault="00B32056" w:rsidP="00045E00">
      <w:pPr>
        <w:pStyle w:val="Heading2"/>
        <w:numPr>
          <w:ilvl w:val="0"/>
          <w:numId w:val="1"/>
        </w:numPr>
        <w:rPr>
          <w:bCs/>
          <w:lang w:eastAsia="sv-SE"/>
        </w:rPr>
      </w:pPr>
      <w:r w:rsidRPr="00A04D07">
        <w:rPr>
          <w:bCs/>
          <w:lang w:eastAsia="sv-SE"/>
        </w:rPr>
        <w:t xml:space="preserve">Standardiserad mervärdesskattedeklaration </w:t>
      </w:r>
    </w:p>
    <w:p w:rsidR="00B32056" w:rsidRDefault="00B32056" w:rsidP="006E2749">
      <w:pPr>
        <w:pStyle w:val="RKnormal"/>
        <w:ind w:left="1800"/>
      </w:pPr>
      <w:r>
        <w:t>- Föredragning</w:t>
      </w:r>
    </w:p>
    <w:p w:rsidR="00B32056" w:rsidRDefault="00B32056" w:rsidP="006E2749">
      <w:pPr>
        <w:pStyle w:val="RKnormal"/>
        <w:ind w:left="1800"/>
      </w:pPr>
      <w:bookmarkStart w:id="0" w:name="_GoBack"/>
      <w:bookmarkEnd w:id="0"/>
    </w:p>
    <w:p w:rsidR="00B32056" w:rsidRPr="00F42802" w:rsidRDefault="00B32056" w:rsidP="00F42802">
      <w:pPr>
        <w:tabs>
          <w:tab w:val="left" w:pos="2835"/>
        </w:tabs>
        <w:spacing w:line="240" w:lineRule="atLeast"/>
      </w:pPr>
      <w:r w:rsidRPr="00F42802">
        <w:t>Kommissionen ska presentera förslaget. Ingen diskussion förväntas.</w:t>
      </w:r>
    </w:p>
    <w:p w:rsidR="00B32056" w:rsidRPr="00F42802" w:rsidRDefault="00B32056" w:rsidP="00F42802">
      <w:pPr>
        <w:tabs>
          <w:tab w:val="left" w:pos="2835"/>
        </w:tabs>
        <w:spacing w:line="240" w:lineRule="atLeast"/>
      </w:pPr>
    </w:p>
    <w:p w:rsidR="00B32056" w:rsidRPr="00F42802" w:rsidRDefault="00B32056" w:rsidP="00F42802">
      <w:pPr>
        <w:tabs>
          <w:tab w:val="left" w:pos="2835"/>
        </w:tabs>
        <w:spacing w:line="240" w:lineRule="auto"/>
      </w:pPr>
      <w:r w:rsidRPr="00F42802">
        <w:t xml:space="preserve">Kommissionens förslag om standardiserad </w:t>
      </w:r>
      <w:r w:rsidRPr="00A04D07">
        <w:t>mervärdesskatte</w:t>
      </w:r>
      <w:r w:rsidRPr="00A04D07">
        <w:softHyphen/>
        <w:t>deklaration</w:t>
      </w:r>
      <w:r>
        <w:t xml:space="preserve"> som kom 23 oktober 2013 i</w:t>
      </w:r>
      <w:r w:rsidRPr="00A04D07">
        <w:t>nnebär att företagen ska tillhandahålla skattemyndigheterna</w:t>
      </w:r>
      <w:r w:rsidRPr="00F42802">
        <w:t xml:space="preserve"> standardiserade mervärdesskatteuppgifter i ett gemensamt format. Ett företag ska som mest behöva fylla i 26 uppgiftsfält, men medlemsstaterna kan välja att göra undantag för alla utom 5 fält. Även förfarandet för inlämnandet ska standardiseras. Syftet med förslaget är att minska den administrativa bördan för företagen och underlätta informations</w:t>
      </w:r>
      <w:r w:rsidRPr="00F42802">
        <w:softHyphen/>
        <w:t xml:space="preserve">utbyte mellan medlemsstaterna. </w:t>
      </w:r>
    </w:p>
    <w:p w:rsidR="00B32056" w:rsidRDefault="00B32056" w:rsidP="00F42802">
      <w:pPr>
        <w:rPr>
          <w:rFonts w:ascii="TradeGothic" w:hAnsi="TradeGothic"/>
          <w:b/>
          <w:kern w:val="28"/>
          <w:sz w:val="22"/>
        </w:rPr>
      </w:pPr>
    </w:p>
    <w:p w:rsidR="00B32056" w:rsidRPr="00045E00" w:rsidRDefault="00B32056" w:rsidP="00045E00">
      <w:pPr>
        <w:rPr>
          <w:color w:val="000000"/>
          <w:sz w:val="28"/>
          <w:szCs w:val="28"/>
        </w:rPr>
      </w:pPr>
      <w:r w:rsidRPr="00F42802">
        <w:t>F</w:t>
      </w:r>
      <w:r>
        <w:t xml:space="preserve">akta-PM </w:t>
      </w:r>
      <w:r w:rsidRPr="00F42802">
        <w:t xml:space="preserve">bereds för närvarande i regeringskansliet och regeringen återkommer till riksdagen </w:t>
      </w:r>
      <w:r>
        <w:t>med detta</w:t>
      </w:r>
      <w:r w:rsidRPr="00F42802">
        <w:t>.</w:t>
      </w:r>
    </w:p>
    <w:p w:rsidR="00B32056" w:rsidRDefault="00B32056" w:rsidP="00045E00">
      <w:pPr>
        <w:pStyle w:val="Heading2"/>
        <w:numPr>
          <w:ilvl w:val="0"/>
          <w:numId w:val="1"/>
        </w:numPr>
      </w:pPr>
      <w:r>
        <w:rPr>
          <w:bCs/>
          <w:lang w:eastAsia="sv-SE"/>
        </w:rPr>
        <w:t>Bekämpning av penningtvätt</w:t>
      </w:r>
    </w:p>
    <w:p w:rsidR="00B32056" w:rsidRDefault="00B32056" w:rsidP="006E2749">
      <w:pPr>
        <w:pStyle w:val="RKnormal"/>
        <w:numPr>
          <w:ilvl w:val="3"/>
          <w:numId w:val="1"/>
        </w:numPr>
      </w:pPr>
      <w:r>
        <w:t>Lägesrapport</w:t>
      </w:r>
    </w:p>
    <w:p w:rsidR="00B32056" w:rsidRDefault="00B32056" w:rsidP="00115D0B">
      <w:pPr>
        <w:pStyle w:val="RKnormal"/>
      </w:pPr>
    </w:p>
    <w:p w:rsidR="00B32056" w:rsidRDefault="00B32056" w:rsidP="00115D0B">
      <w:pPr>
        <w:pStyle w:val="RKnormal"/>
      </w:pPr>
      <w:r>
        <w:t xml:space="preserve">Avsikten med behandlingen är att ha en orienteringsdiskussion med fokus på fyra frågor där syftet är att ge politisk vägledning för det fortsatta arbetet med sikte på att nå en allmän inriktning så snart som möjligt. </w:t>
      </w:r>
    </w:p>
    <w:p w:rsidR="00B32056" w:rsidRDefault="00B32056" w:rsidP="00115D0B">
      <w:pPr>
        <w:pStyle w:val="RKnormal"/>
      </w:pPr>
    </w:p>
    <w:p w:rsidR="00B32056" w:rsidRDefault="00B32056" w:rsidP="00115D0B">
      <w:pPr>
        <w:pStyle w:val="RKnormal"/>
      </w:pPr>
      <w:r>
        <w:t>Finansutskottet har informerats 21 mars 2013 och EU-nämnden den 8 maj 2013.</w:t>
      </w:r>
    </w:p>
    <w:p w:rsidR="00B32056" w:rsidRDefault="00B32056" w:rsidP="00115D0B">
      <w:pPr>
        <w:pStyle w:val="RKnormal"/>
      </w:pPr>
    </w:p>
    <w:p w:rsidR="00B32056" w:rsidRDefault="00B32056" w:rsidP="00115D0B">
      <w:pPr>
        <w:pStyle w:val="RKnormal"/>
      </w:pPr>
      <w:r>
        <w:t xml:space="preserve">Direktivet har hittills förhandlats i en rådsarbetsgrupp.  Det finns framför allt fyra utestående frågor: register för information om verklig huvudman, riskbedömning på EU-nivå, övervakning på EU-nivå av regimer för bekämpning av penningtvätt och terrorismfinansiering samt tredjelandsekvivalens. Mer information om direktivet finns i faktapromemoria 2012/13:FPM72. </w:t>
      </w:r>
    </w:p>
    <w:p w:rsidR="00B32056" w:rsidRDefault="00B32056" w:rsidP="00115D0B">
      <w:pPr>
        <w:pStyle w:val="RKnormal"/>
      </w:pPr>
    </w:p>
    <w:p w:rsidR="00B32056" w:rsidRDefault="00B32056" w:rsidP="00115D0B">
      <w:pPr>
        <w:pStyle w:val="RKnormal"/>
      </w:pPr>
      <w:r>
        <w:t>Regeringen vill inte ha krav på register med uppgifter om ägandeförhållanden/ verklig huvudman i juridiska personer. Regeringen ser flera problem med register, inte minst kan de innebära integritetsproblem men även medföra ansenliga administrativa bördor. Regeringen kan godta en flexiblare skrivning som lämnar utrymme också åt andra nationella lösningar än register. Regeringen anser vidare att en riskbedömning framför allt är en nationell angelägenhet. Regeringen kan dock godta att kommissionen samordnar en riskbedömning som tar sikte på specifika gränsöverskridande fenomen. Regeringen motsätter sig att utfallet av riskbedömningen hanteras i bindande rättsakter. Vissa medlemsstater har föreslagit att kommissionen, utöver den gängse skyldigheten som följer av EU-fördraget, specifikt ska utvärdera hur effektivt medlemsstaterna har implementerat åtgärderna mot penningtvätt och finansiering av terrorism, eller att medlemsstaterna ska utvärdera varandra genom s.k. ”peer reviews”. Regeringen ser inte några fördelar med förslagen och stödjer därför inte dessa. Frågan om tredjelandsekvivalens gäller om det ska finnas en gemensam ansats när det gäller riskbedömning av länder utanför EU.  Regeringen stödjer kommissionens ursprungliga förslag där geografisk risk ska vara en faktor att beakta vid riskbedömningar som görs nationellt. Regeringen kan dock acceptera ett system motsvarande det nuvarande med en vit lista.</w:t>
      </w:r>
    </w:p>
    <w:p w:rsidR="00B32056" w:rsidRPr="00045E00" w:rsidRDefault="00B32056" w:rsidP="00045E00">
      <w:pPr>
        <w:pStyle w:val="Heading2"/>
        <w:numPr>
          <w:ilvl w:val="0"/>
          <w:numId w:val="1"/>
        </w:numPr>
        <w:rPr>
          <w:bCs/>
          <w:lang w:eastAsia="sv-SE"/>
        </w:rPr>
      </w:pPr>
      <w:r>
        <w:rPr>
          <w:bCs/>
          <w:lang w:eastAsia="sv-SE"/>
        </w:rPr>
        <w:t>Gemensam a</w:t>
      </w:r>
      <w:r w:rsidRPr="00045E00">
        <w:rPr>
          <w:bCs/>
          <w:lang w:eastAsia="sv-SE"/>
        </w:rPr>
        <w:t>vvecklingsmekanism</w:t>
      </w:r>
    </w:p>
    <w:p w:rsidR="00B32056" w:rsidRDefault="00B32056" w:rsidP="006E2749">
      <w:pPr>
        <w:pStyle w:val="RKnormal"/>
        <w:numPr>
          <w:ilvl w:val="3"/>
          <w:numId w:val="1"/>
        </w:numPr>
      </w:pPr>
      <w:r>
        <w:t xml:space="preserve">Allmän inriktning </w:t>
      </w:r>
    </w:p>
    <w:p w:rsidR="00B32056" w:rsidRDefault="00B32056" w:rsidP="00867A26">
      <w:pPr>
        <w:pStyle w:val="RKnormal"/>
      </w:pPr>
    </w:p>
    <w:p w:rsidR="00B32056" w:rsidRDefault="00B32056" w:rsidP="00867A26">
      <w:pPr>
        <w:pStyle w:val="RKnormal"/>
      </w:pPr>
      <w:r>
        <w:t>Avsikten är att rådet ska enas om en allmän inriktning gällande en förordning om en gemensam avvecklingsmekanism för de medlemsstater som deltar i bankunionen.Finansutskottet har informerats vid ett flertal tillfällen hösten 2013.</w:t>
      </w:r>
    </w:p>
    <w:p w:rsidR="00B32056" w:rsidRDefault="00B32056" w:rsidP="00867A26">
      <w:pPr>
        <w:pStyle w:val="RKnormal"/>
      </w:pPr>
    </w:p>
    <w:p w:rsidR="00B32056" w:rsidRDefault="00B32056" w:rsidP="00867A26">
      <w:pPr>
        <w:pStyle w:val="RKnormal"/>
      </w:pPr>
      <w:r>
        <w:t>Förslaget om en gemensam avvecklingsmekanism är en komponent i bankunionen. Det skulle innebära att bankavveckling i de medlemsstater som ingår i bankunionen – i nuläget euroländerna – sker centralt och att kommissionen får befogenhet att besluta om avveckling av enskilda banker. Det skapas också en gemensam avvecklingsfond för att täcka avvecklingskostnader. Mer information om förslaget finns i faktapromemoria 2012/13:FPM148.</w:t>
      </w:r>
    </w:p>
    <w:p w:rsidR="00B32056" w:rsidRDefault="00B32056" w:rsidP="00867A26">
      <w:pPr>
        <w:pStyle w:val="RKnormal"/>
      </w:pPr>
    </w:p>
    <w:p w:rsidR="00B32056" w:rsidRDefault="00B32056" w:rsidP="00867A26">
      <w:pPr>
        <w:pStyle w:val="RKnormal"/>
      </w:pPr>
      <w:r>
        <w:t>Regeringen anser att den nya mekanismen inte får leda till att medlemsstater som inte deltar i bankunionen diskrimineras. Det är också viktigt att de nationella avvecklingsmyndigheterna från de deltagande medlemsstaterna ges så stort inflytande som möjligt i beslutsfattandet inom mekanismen.</w:t>
      </w:r>
    </w:p>
    <w:p w:rsidR="00B32056" w:rsidRPr="006E2749" w:rsidRDefault="00B32056" w:rsidP="006E2749">
      <w:pPr>
        <w:pStyle w:val="Heading2"/>
        <w:numPr>
          <w:ilvl w:val="0"/>
          <w:numId w:val="1"/>
        </w:numPr>
      </w:pPr>
      <w:r>
        <w:t>Övriga frågor</w:t>
      </w:r>
    </w:p>
    <w:p w:rsidR="00B32056" w:rsidRPr="00E31D70" w:rsidRDefault="00B32056" w:rsidP="00E31D70">
      <w:pPr>
        <w:pStyle w:val="RKnormal"/>
      </w:pPr>
    </w:p>
    <w:p w:rsidR="00B32056" w:rsidRDefault="00B32056" w:rsidP="00E31D70">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 A</w:t>
      </w:r>
      <w:r w:rsidRPr="0082588D">
        <w:rPr>
          <w:rFonts w:ascii="TradeGothic" w:hAnsi="TradeGothic"/>
          <w:b/>
          <w:kern w:val="28"/>
          <w:sz w:val="22"/>
          <w:lang w:eastAsia="sv-SE"/>
        </w:rPr>
        <w:t>ktuella lagstiftningsförslag</w:t>
      </w:r>
    </w:p>
    <w:p w:rsidR="00B32056" w:rsidRPr="00F35F2F" w:rsidRDefault="00B32056" w:rsidP="00F35F2F">
      <w:pPr>
        <w:pStyle w:val="RKnormal"/>
        <w:numPr>
          <w:ilvl w:val="3"/>
          <w:numId w:val="1"/>
        </w:numPr>
      </w:pPr>
      <w:r w:rsidRPr="00F35F2F">
        <w:t>Information från ordförandeskapet</w:t>
      </w:r>
    </w:p>
    <w:p w:rsidR="00B32056" w:rsidRDefault="00B32056" w:rsidP="001178E3">
      <w:pPr>
        <w:pStyle w:val="RKnormal"/>
        <w:tabs>
          <w:tab w:val="clear" w:pos="2835"/>
          <w:tab w:val="left" w:pos="1276"/>
        </w:tabs>
        <w:ind w:left="1134"/>
        <w:rPr>
          <w:b/>
          <w:i/>
          <w:kern w:val="28"/>
          <w:sz w:val="22"/>
          <w:lang w:eastAsia="sv-SE"/>
        </w:rPr>
      </w:pPr>
    </w:p>
    <w:p w:rsidR="00B32056" w:rsidRDefault="00B32056" w:rsidP="001178E3">
      <w:pPr>
        <w:pStyle w:val="RKnormal"/>
        <w:tabs>
          <w:tab w:val="clear" w:pos="2835"/>
          <w:tab w:val="left" w:pos="1276"/>
        </w:tabs>
      </w:pPr>
      <w:r>
        <w:t>O</w:t>
      </w:r>
      <w:r w:rsidRPr="001178E3">
        <w:t>rdförandeskapet avser att informera om aktuella lagstiftningsförslag.</w:t>
      </w:r>
      <w:r>
        <w:t xml:space="preserve"> Det är i dagsläget ej känt vilka lagförslag detta gäller.</w:t>
      </w:r>
    </w:p>
    <w:p w:rsidR="00B32056" w:rsidRPr="00B44D04" w:rsidRDefault="00B32056" w:rsidP="00B44D04">
      <w:pPr>
        <w:pStyle w:val="Heading2"/>
        <w:rPr>
          <w:u w:val="single"/>
        </w:rPr>
      </w:pPr>
      <w:r>
        <w:rPr>
          <w:u w:val="single"/>
        </w:rPr>
        <w:t>Icke lagstiftande verksamhet</w:t>
      </w:r>
    </w:p>
    <w:p w:rsidR="00B32056" w:rsidRPr="00EF07F1" w:rsidRDefault="00B32056" w:rsidP="005735E9">
      <w:pPr>
        <w:pStyle w:val="Heading2"/>
        <w:numPr>
          <w:ilvl w:val="0"/>
          <w:numId w:val="1"/>
        </w:numPr>
      </w:pPr>
      <w:r>
        <w:t>Godkännande av A-punktslistan</w:t>
      </w:r>
    </w:p>
    <w:p w:rsidR="00B32056" w:rsidRDefault="00B32056" w:rsidP="00F17ABC">
      <w:pPr>
        <w:pStyle w:val="Heading2"/>
        <w:keepLines/>
        <w:numPr>
          <w:ilvl w:val="0"/>
          <w:numId w:val="1"/>
        </w:numPr>
      </w:pPr>
      <w:r>
        <w:t>Rapport från särskilda rådgivaren Philippe Maystadt om EU:s bidrag till internationella redovisningsstandarder</w:t>
      </w:r>
    </w:p>
    <w:p w:rsidR="00B32056" w:rsidRDefault="00B32056" w:rsidP="006E2749">
      <w:pPr>
        <w:pStyle w:val="RKnormal"/>
        <w:numPr>
          <w:ilvl w:val="3"/>
          <w:numId w:val="1"/>
        </w:numPr>
      </w:pPr>
      <w:r>
        <w:t>Föredragning och diskussion</w:t>
      </w:r>
    </w:p>
    <w:p w:rsidR="00B32056" w:rsidRDefault="00B32056" w:rsidP="00B322DD">
      <w:pPr>
        <w:pStyle w:val="RKnormal"/>
      </w:pPr>
    </w:p>
    <w:p w:rsidR="00B32056" w:rsidRDefault="00B32056" w:rsidP="00B322DD">
      <w:r>
        <w:t xml:space="preserve">Rådet kommer att få en presentation av den rapport om EU:s roll i utvecklingen och antagandet av internationella redovisningsstandarder (IFRS) som en särskild rådgivare tagit fram, samt ges möjlighet att lämna synpunkter på rapporten. </w:t>
      </w:r>
    </w:p>
    <w:p w:rsidR="00B32056" w:rsidRDefault="00B32056" w:rsidP="00B322DD"/>
    <w:p w:rsidR="00B32056" w:rsidRDefault="00B32056" w:rsidP="00B322DD">
      <w:r>
        <w:t xml:space="preserve">Sedan 2005 ska de internationella redovisningsstandarderna IFRS användas av noterade bolag inom EU. Det är därför viktigt för EU att ha en roll och ett inflytande i </w:t>
      </w:r>
      <w:r w:rsidRPr="009B185A">
        <w:t>processen när standarderna utvecklas.</w:t>
      </w:r>
      <w:r>
        <w:t xml:space="preserve"> EU har hittills inte haft något enhetligt sätt att uttrycka sin position i utvecklingsarbetet.</w:t>
      </w:r>
      <w:r w:rsidRPr="009B185A">
        <w:t xml:space="preserve"> Antagandet av IFRS</w:t>
      </w:r>
      <w:r>
        <w:t>-</w:t>
      </w:r>
      <w:r w:rsidRPr="009B185A">
        <w:t xml:space="preserve">standarder i EU sker genom att en </w:t>
      </w:r>
      <w:r>
        <w:t xml:space="preserve">färdig </w:t>
      </w:r>
      <w:r w:rsidRPr="009B185A">
        <w:t>standard antas eller förkastas efter en konsultation med EFRAG (European Financial Reporting Advisory Group)</w:t>
      </w:r>
      <w:r>
        <w:t>,</w:t>
      </w:r>
      <w:r w:rsidRPr="009B185A">
        <w:t xml:space="preserve"> som består av exp</w:t>
      </w:r>
      <w:r>
        <w:t>e</w:t>
      </w:r>
      <w:r w:rsidRPr="009B185A">
        <w:t>rter från privata sektorn</w:t>
      </w:r>
      <w:r>
        <w:t>,</w:t>
      </w:r>
      <w:r w:rsidRPr="009B185A">
        <w:t xml:space="preserve"> och en om</w:t>
      </w:r>
      <w:r>
        <w:t xml:space="preserve">röstning i </w:t>
      </w:r>
      <w:r w:rsidRPr="009B185A">
        <w:t>EU:s föreskrivande kommitté för redovisningsfrågor (ARC)</w:t>
      </w:r>
      <w:r>
        <w:t>, som består av representanter för medlemsstaterna.</w:t>
      </w:r>
    </w:p>
    <w:p w:rsidR="00B32056" w:rsidRPr="00425952" w:rsidRDefault="00B32056" w:rsidP="00B322DD"/>
    <w:p w:rsidR="00B32056" w:rsidRPr="006E2749" w:rsidRDefault="00B32056" w:rsidP="00045E00">
      <w:r w:rsidRPr="00E136EA">
        <w:t>Regeringen är positiv till att EU:s arbete kring utvecklingen och antagandet av internationella redovisningsstandarder ses över</w:t>
      </w:r>
      <w:r>
        <w:t xml:space="preserve">. </w:t>
      </w:r>
      <w:r w:rsidRPr="00E136EA">
        <w:t>Ett fortsatt starkt inflytande för alla medlemsstater i utvecklingen av redovisningsstandarder är dock viktigt att säkerställa.</w:t>
      </w:r>
    </w:p>
    <w:p w:rsidR="00B32056" w:rsidRDefault="00B32056" w:rsidP="00F17ABC">
      <w:pPr>
        <w:pStyle w:val="Heading2"/>
        <w:keepLines/>
        <w:numPr>
          <w:ilvl w:val="0"/>
          <w:numId w:val="1"/>
        </w:numPr>
      </w:pPr>
      <w:r>
        <w:t>Bankunionen</w:t>
      </w:r>
    </w:p>
    <w:p w:rsidR="00B32056" w:rsidRDefault="00B32056" w:rsidP="006E2749">
      <w:pPr>
        <w:pStyle w:val="RKnormal"/>
        <w:numPr>
          <w:ilvl w:val="3"/>
          <w:numId w:val="1"/>
        </w:numPr>
      </w:pPr>
      <w:r>
        <w:t>Lägesrapport</w:t>
      </w:r>
    </w:p>
    <w:p w:rsidR="00B32056" w:rsidRDefault="00B32056" w:rsidP="00F42802">
      <w:pPr>
        <w:pStyle w:val="RKnormal"/>
      </w:pPr>
    </w:p>
    <w:p w:rsidR="00B32056" w:rsidRDefault="00B32056" w:rsidP="00F42802">
      <w:pPr>
        <w:pStyle w:val="RKnormal"/>
      </w:pPr>
      <w:r>
        <w:t>Rådet ska diskutera frågor om bankunionen, särskilt Europeiska centralbankens kommande utvärdering av läget i de banker som man ska börja utöva tillsyn över hösten 2014. Även de stresstester av banker som ska genomföras under 2014 kommer sannolikt diskuteras. I detta sammanhang förutses också ett yttrande om hur resultatet av utvärderingen samt stresstester ska hanteras.</w:t>
      </w:r>
    </w:p>
    <w:p w:rsidR="00B32056" w:rsidRDefault="00B32056" w:rsidP="00F42802">
      <w:pPr>
        <w:pStyle w:val="RKnormal"/>
      </w:pPr>
    </w:p>
    <w:p w:rsidR="00B32056" w:rsidRDefault="00B32056" w:rsidP="00F42802">
      <w:pPr>
        <w:pStyle w:val="RKnormal"/>
      </w:pPr>
      <w:r>
        <w:t>Reglerna om den gemensamma tillsynsmekanismen antogs i oktober 2013. Europeiska centralbanken (ECB) ska överta tillsynen över ett antal, främst större banker i bankunionsländerna från hösten 2014. Inför detta kommer ECB att genomföra en utvärdering av läget i de berörda bankerna. Europeiska bankmyndigheten (EBA) i samarbete med ECB kommer också att göra stresstester som omfattar banker i alla EU-länder under 2014. En viktig fråga i detta sammanhang är att det finns möjligheter att hantera resultatet av övningarna, till exempel genom kapitaltillskott till banker som visar sig ha problem. Här har såväl nationella som europeiska så kallade ”backstops” diskuterats.</w:t>
      </w:r>
    </w:p>
    <w:p w:rsidR="00B32056" w:rsidRDefault="00B32056" w:rsidP="00F42802">
      <w:pPr>
        <w:pStyle w:val="RKnormal"/>
      </w:pPr>
    </w:p>
    <w:p w:rsidR="00B32056" w:rsidRPr="006E2749" w:rsidRDefault="00B32056" w:rsidP="00F42802">
      <w:pPr>
        <w:pStyle w:val="RKnormal"/>
      </w:pPr>
      <w:r>
        <w:t>Regeringen anser att det bör ske en samlad och tydlig kommunikation av resultaten av utvärderingarna. Det är viktigt att det i förväg tydligt kommuniceras hur resultatet av utvärderingen samt stresstester ska hanteras för att skapa förtroende för de utvärderingar som görs.</w:t>
      </w:r>
    </w:p>
    <w:p w:rsidR="00B32056" w:rsidRDefault="00B32056" w:rsidP="00320369">
      <w:pPr>
        <w:pStyle w:val="Heading2"/>
        <w:keepLines/>
        <w:numPr>
          <w:ilvl w:val="0"/>
          <w:numId w:val="1"/>
        </w:numPr>
      </w:pPr>
      <w:r>
        <w:t>EU-statistik</w:t>
      </w:r>
    </w:p>
    <w:p w:rsidR="00B32056" w:rsidRDefault="00B32056" w:rsidP="00A04D07">
      <w:pPr>
        <w:pStyle w:val="RKnormal"/>
        <w:numPr>
          <w:ilvl w:val="3"/>
          <w:numId w:val="1"/>
        </w:numPr>
      </w:pPr>
      <w:r>
        <w:t>Utkast till rådsslutsatser</w:t>
      </w:r>
    </w:p>
    <w:p w:rsidR="00B32056" w:rsidRDefault="00B32056" w:rsidP="0020297B"/>
    <w:p w:rsidR="00B32056" w:rsidRPr="00BB0211" w:rsidRDefault="00B32056" w:rsidP="0020297B">
      <w:pPr>
        <w:tabs>
          <w:tab w:val="left" w:pos="2835"/>
        </w:tabs>
        <w:spacing w:line="240" w:lineRule="atLeast"/>
      </w:pPr>
      <w:r w:rsidRPr="0020297B">
        <w:t xml:space="preserve">Avsikten är att </w:t>
      </w:r>
      <w:r>
        <w:t>r</w:t>
      </w:r>
      <w:r w:rsidRPr="0020297B">
        <w:t xml:space="preserve">ådet ska anta slutsatser om EU-statistik. </w:t>
      </w:r>
    </w:p>
    <w:p w:rsidR="00B32056" w:rsidRDefault="00B32056" w:rsidP="0020297B"/>
    <w:p w:rsidR="00B32056" w:rsidRDefault="00B32056" w:rsidP="0020297B">
      <w:r w:rsidRPr="00C437FC">
        <w:t xml:space="preserve">Slutsatserna innehåller en bedömning av utvecklingen inom de </w:t>
      </w:r>
      <w:r>
        <w:t>statistik</w:t>
      </w:r>
      <w:r w:rsidRPr="00C437FC">
        <w:t xml:space="preserve">områden som Ekofinrådet tidigare pekat ut som prioriterade. </w:t>
      </w:r>
      <w:r w:rsidRPr="006D2D94">
        <w:t xml:space="preserve">Det handlar om </w:t>
      </w:r>
      <w:r>
        <w:t xml:space="preserve">styrning av europeisk statistik, modernisering av det europeiska statistiksystemet, kvalitet och tillgänglighet beträffande ett antal centrala ekonomiska indikatorer samt pågående utvecklingsarbete av strukturstatistik. </w:t>
      </w:r>
    </w:p>
    <w:p w:rsidR="00B32056" w:rsidRDefault="00B32056" w:rsidP="0020297B">
      <w:pPr>
        <w:tabs>
          <w:tab w:val="left" w:pos="2835"/>
        </w:tabs>
        <w:spacing w:line="240" w:lineRule="auto"/>
        <w:rPr>
          <w:i/>
          <w:color w:val="000000"/>
        </w:rPr>
      </w:pPr>
    </w:p>
    <w:p w:rsidR="00B32056" w:rsidRDefault="00B32056" w:rsidP="003E0182">
      <w:pPr>
        <w:tabs>
          <w:tab w:val="left" w:pos="2835"/>
        </w:tabs>
        <w:spacing w:line="240" w:lineRule="auto"/>
        <w:rPr>
          <w:color w:val="000000"/>
        </w:rPr>
      </w:pPr>
      <w:r w:rsidRPr="00045E00">
        <w:rPr>
          <w:color w:val="000000"/>
        </w:rPr>
        <w:t xml:space="preserve">Regeringen kan ställa sig bakom utkastet till slutsatser. </w:t>
      </w:r>
    </w:p>
    <w:p w:rsidR="00B32056" w:rsidRPr="003E0182" w:rsidRDefault="00B32056" w:rsidP="003E0182">
      <w:pPr>
        <w:tabs>
          <w:tab w:val="left" w:pos="2835"/>
        </w:tabs>
        <w:spacing w:line="240" w:lineRule="auto"/>
        <w:rPr>
          <w:color w:val="000000"/>
        </w:rPr>
      </w:pPr>
    </w:p>
    <w:p w:rsidR="00B32056" w:rsidRDefault="00B32056" w:rsidP="00C1636D">
      <w:pPr>
        <w:pStyle w:val="Heading2"/>
        <w:numPr>
          <w:ilvl w:val="0"/>
          <w:numId w:val="1"/>
        </w:numPr>
      </w:pPr>
      <w:r>
        <w:t>Övriga frågor</w:t>
      </w:r>
    </w:p>
    <w:p w:rsidR="00B32056" w:rsidRDefault="00B32056" w:rsidP="00B44D04"/>
    <w:p w:rsidR="00B32056" w:rsidRPr="004D091D" w:rsidRDefault="00B32056" w:rsidP="00B44D04">
      <w:pPr>
        <w:rPr>
          <w:lang w:eastAsia="sv-SE"/>
        </w:rPr>
      </w:pPr>
      <w:r>
        <w:rPr>
          <w:lang w:eastAsia="sv-SE"/>
        </w:rPr>
        <w:t xml:space="preserve">Det har i skrivande stund inte inkommit några övriga frågor. </w:t>
      </w:r>
    </w:p>
    <w:sectPr w:rsidR="00B32056" w:rsidRPr="004D091D"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056" w:rsidRDefault="00B32056">
      <w:r>
        <w:separator/>
      </w:r>
    </w:p>
  </w:endnote>
  <w:endnote w:type="continuationSeparator" w:id="1">
    <w:p w:rsidR="00B32056" w:rsidRDefault="00B32056">
      <w:r>
        <w:continuationSeparator/>
      </w:r>
    </w:p>
  </w:endnote>
  <w:endnote w:type="continuationNotice" w:id="2">
    <w:p w:rsidR="00B32056" w:rsidRDefault="00B32056">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056" w:rsidRDefault="00B32056">
      <w:r>
        <w:separator/>
      </w:r>
    </w:p>
  </w:footnote>
  <w:footnote w:type="continuationSeparator" w:id="1">
    <w:p w:rsidR="00B32056" w:rsidRDefault="00B32056">
      <w:r>
        <w:continuationSeparator/>
      </w:r>
    </w:p>
  </w:footnote>
  <w:footnote w:type="continuationNotice" w:id="2">
    <w:p w:rsidR="00B32056" w:rsidRDefault="00B3205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56" w:rsidRDefault="00B3205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32056">
      <w:trPr>
        <w:cantSplit/>
      </w:trPr>
      <w:tc>
        <w:tcPr>
          <w:tcW w:w="3119" w:type="dxa"/>
        </w:tcPr>
        <w:p w:rsidR="00B32056" w:rsidRDefault="00B32056" w:rsidP="00005077">
          <w:pPr>
            <w:pStyle w:val="Header"/>
            <w:spacing w:line="200" w:lineRule="atLeast"/>
            <w:ind w:right="360" w:firstLine="360"/>
            <w:rPr>
              <w:rFonts w:ascii="TradeGothic" w:hAnsi="TradeGothic"/>
              <w:b/>
              <w:bCs/>
              <w:sz w:val="16"/>
            </w:rPr>
          </w:pPr>
        </w:p>
      </w:tc>
      <w:tc>
        <w:tcPr>
          <w:tcW w:w="4111" w:type="dxa"/>
          <w:tcMar>
            <w:left w:w="567" w:type="dxa"/>
          </w:tcMar>
        </w:tcPr>
        <w:p w:rsidR="00B32056" w:rsidRDefault="00B32056">
          <w:pPr>
            <w:pStyle w:val="Header"/>
            <w:ind w:right="360"/>
          </w:pPr>
        </w:p>
      </w:tc>
      <w:tc>
        <w:tcPr>
          <w:tcW w:w="1525" w:type="dxa"/>
        </w:tcPr>
        <w:p w:rsidR="00B32056" w:rsidRDefault="00B32056">
          <w:pPr>
            <w:pStyle w:val="Header"/>
            <w:ind w:right="360"/>
          </w:pPr>
        </w:p>
      </w:tc>
    </w:tr>
  </w:tbl>
  <w:p w:rsidR="00B32056" w:rsidRDefault="00B3205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56" w:rsidRDefault="00B3205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B32056">
      <w:trPr>
        <w:cantSplit/>
      </w:trPr>
      <w:tc>
        <w:tcPr>
          <w:tcW w:w="3119" w:type="dxa"/>
        </w:tcPr>
        <w:p w:rsidR="00B32056" w:rsidRDefault="00B32056" w:rsidP="00005077">
          <w:pPr>
            <w:pStyle w:val="Header"/>
            <w:spacing w:line="200" w:lineRule="atLeast"/>
            <w:ind w:right="360" w:firstLine="360"/>
            <w:rPr>
              <w:rFonts w:ascii="TradeGothic" w:hAnsi="TradeGothic"/>
              <w:b/>
              <w:bCs/>
              <w:sz w:val="16"/>
            </w:rPr>
          </w:pPr>
        </w:p>
      </w:tc>
      <w:tc>
        <w:tcPr>
          <w:tcW w:w="4111" w:type="dxa"/>
          <w:tcMar>
            <w:left w:w="567" w:type="dxa"/>
          </w:tcMar>
        </w:tcPr>
        <w:p w:rsidR="00B32056" w:rsidRDefault="00B32056">
          <w:pPr>
            <w:pStyle w:val="Header"/>
            <w:ind w:right="360"/>
          </w:pPr>
        </w:p>
      </w:tc>
      <w:tc>
        <w:tcPr>
          <w:tcW w:w="1525" w:type="dxa"/>
        </w:tcPr>
        <w:p w:rsidR="00B32056" w:rsidRDefault="00B32056">
          <w:pPr>
            <w:pStyle w:val="Header"/>
            <w:ind w:right="360"/>
          </w:pPr>
        </w:p>
      </w:tc>
    </w:tr>
  </w:tbl>
  <w:p w:rsidR="00B32056" w:rsidRDefault="00B3205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56" w:rsidRDefault="00B32056">
    <w:pPr>
      <w:framePr w:w="2948" w:h="1321" w:hRule="exact" w:wrap="notBeside" w:vAnchor="page" w:hAnchor="page" w:x="1362" w:y="653"/>
    </w:pPr>
    <w:r w:rsidRPr="00CF3D5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32056" w:rsidRPr="00005077" w:rsidRDefault="00B32056">
    <w:pPr>
      <w:pStyle w:val="RKrubrik"/>
      <w:keepNext w:val="0"/>
      <w:tabs>
        <w:tab w:val="clear" w:pos="1134"/>
        <w:tab w:val="clear" w:pos="2835"/>
      </w:tabs>
      <w:spacing w:before="0" w:after="0" w:line="320" w:lineRule="atLeast"/>
      <w:rPr>
        <w:bCs/>
      </w:rPr>
    </w:pPr>
  </w:p>
  <w:p w:rsidR="00B32056" w:rsidRPr="00005077" w:rsidRDefault="00B32056">
    <w:pPr>
      <w:rPr>
        <w:rFonts w:ascii="TradeGothic" w:hAnsi="TradeGothic"/>
        <w:b/>
        <w:bCs/>
        <w:spacing w:val="12"/>
        <w:sz w:val="22"/>
      </w:rPr>
    </w:pPr>
  </w:p>
  <w:p w:rsidR="00B32056" w:rsidRPr="00005077" w:rsidRDefault="00B32056">
    <w:pPr>
      <w:pStyle w:val="RKrubrik"/>
      <w:keepNext w:val="0"/>
      <w:tabs>
        <w:tab w:val="clear" w:pos="1134"/>
        <w:tab w:val="clear" w:pos="2835"/>
      </w:tabs>
      <w:spacing w:before="0" w:after="0" w:line="320" w:lineRule="atLeast"/>
      <w:rPr>
        <w:bCs/>
      </w:rPr>
    </w:pPr>
  </w:p>
  <w:p w:rsidR="00B32056" w:rsidRPr="00005077" w:rsidRDefault="00B3205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83D2F"/>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613A4529"/>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14415"/>
    <w:rsid w:val="000251B2"/>
    <w:rsid w:val="00026A46"/>
    <w:rsid w:val="0003327D"/>
    <w:rsid w:val="000362AE"/>
    <w:rsid w:val="000403A6"/>
    <w:rsid w:val="0004439B"/>
    <w:rsid w:val="000459C7"/>
    <w:rsid w:val="00045E00"/>
    <w:rsid w:val="000562D3"/>
    <w:rsid w:val="00070394"/>
    <w:rsid w:val="00075F57"/>
    <w:rsid w:val="00080C52"/>
    <w:rsid w:val="000843AC"/>
    <w:rsid w:val="00096342"/>
    <w:rsid w:val="000A2239"/>
    <w:rsid w:val="000A58C1"/>
    <w:rsid w:val="000A6536"/>
    <w:rsid w:val="000B0F49"/>
    <w:rsid w:val="000B312F"/>
    <w:rsid w:val="000D333D"/>
    <w:rsid w:val="000D6877"/>
    <w:rsid w:val="000F701D"/>
    <w:rsid w:val="000F7C04"/>
    <w:rsid w:val="001116E5"/>
    <w:rsid w:val="00111D68"/>
    <w:rsid w:val="0011491A"/>
    <w:rsid w:val="00115D0B"/>
    <w:rsid w:val="001178E3"/>
    <w:rsid w:val="00123975"/>
    <w:rsid w:val="00125C5F"/>
    <w:rsid w:val="0013719B"/>
    <w:rsid w:val="00140629"/>
    <w:rsid w:val="00150384"/>
    <w:rsid w:val="00153F04"/>
    <w:rsid w:val="001562A5"/>
    <w:rsid w:val="001566AF"/>
    <w:rsid w:val="00161096"/>
    <w:rsid w:val="001726CF"/>
    <w:rsid w:val="001728EF"/>
    <w:rsid w:val="0017371B"/>
    <w:rsid w:val="001805B7"/>
    <w:rsid w:val="001817AC"/>
    <w:rsid w:val="00183B6C"/>
    <w:rsid w:val="00191ED5"/>
    <w:rsid w:val="00196DDE"/>
    <w:rsid w:val="001A6FA0"/>
    <w:rsid w:val="001B210B"/>
    <w:rsid w:val="001C2767"/>
    <w:rsid w:val="001C4B4C"/>
    <w:rsid w:val="001D09F8"/>
    <w:rsid w:val="001D317A"/>
    <w:rsid w:val="001E2621"/>
    <w:rsid w:val="001F02EE"/>
    <w:rsid w:val="001F2C5E"/>
    <w:rsid w:val="001F3926"/>
    <w:rsid w:val="001F58B4"/>
    <w:rsid w:val="0020297B"/>
    <w:rsid w:val="002079DC"/>
    <w:rsid w:val="00220B6F"/>
    <w:rsid w:val="00225012"/>
    <w:rsid w:val="002361F7"/>
    <w:rsid w:val="002429A0"/>
    <w:rsid w:val="00243653"/>
    <w:rsid w:val="002468C8"/>
    <w:rsid w:val="00246F8D"/>
    <w:rsid w:val="002500E3"/>
    <w:rsid w:val="00257840"/>
    <w:rsid w:val="0026525F"/>
    <w:rsid w:val="00265730"/>
    <w:rsid w:val="0028134B"/>
    <w:rsid w:val="002822B6"/>
    <w:rsid w:val="00286732"/>
    <w:rsid w:val="00292A2E"/>
    <w:rsid w:val="002A0135"/>
    <w:rsid w:val="002B5512"/>
    <w:rsid w:val="002B6963"/>
    <w:rsid w:val="002C547E"/>
    <w:rsid w:val="002D42AD"/>
    <w:rsid w:val="002D4587"/>
    <w:rsid w:val="002D7584"/>
    <w:rsid w:val="002E3D35"/>
    <w:rsid w:val="00307F86"/>
    <w:rsid w:val="00320369"/>
    <w:rsid w:val="00322355"/>
    <w:rsid w:val="003254EA"/>
    <w:rsid w:val="003267C2"/>
    <w:rsid w:val="00330D12"/>
    <w:rsid w:val="00333217"/>
    <w:rsid w:val="00335167"/>
    <w:rsid w:val="00341667"/>
    <w:rsid w:val="003455C7"/>
    <w:rsid w:val="00353163"/>
    <w:rsid w:val="00354D5D"/>
    <w:rsid w:val="003572DE"/>
    <w:rsid w:val="003635C7"/>
    <w:rsid w:val="00373614"/>
    <w:rsid w:val="00377DAF"/>
    <w:rsid w:val="00382152"/>
    <w:rsid w:val="0039691E"/>
    <w:rsid w:val="003A3986"/>
    <w:rsid w:val="003A4B5D"/>
    <w:rsid w:val="003A4DFF"/>
    <w:rsid w:val="003E0182"/>
    <w:rsid w:val="003E253E"/>
    <w:rsid w:val="003E2C4C"/>
    <w:rsid w:val="003E3C52"/>
    <w:rsid w:val="003E582C"/>
    <w:rsid w:val="003F6A21"/>
    <w:rsid w:val="003F6BFA"/>
    <w:rsid w:val="00400998"/>
    <w:rsid w:val="00425952"/>
    <w:rsid w:val="00426180"/>
    <w:rsid w:val="004261AA"/>
    <w:rsid w:val="004277D2"/>
    <w:rsid w:val="00440086"/>
    <w:rsid w:val="00441071"/>
    <w:rsid w:val="00447717"/>
    <w:rsid w:val="00447D44"/>
    <w:rsid w:val="00452748"/>
    <w:rsid w:val="00455C56"/>
    <w:rsid w:val="00470DBA"/>
    <w:rsid w:val="0047291E"/>
    <w:rsid w:val="00472995"/>
    <w:rsid w:val="00487A33"/>
    <w:rsid w:val="00487E2F"/>
    <w:rsid w:val="004A110E"/>
    <w:rsid w:val="004A328D"/>
    <w:rsid w:val="004A7757"/>
    <w:rsid w:val="004D091D"/>
    <w:rsid w:val="004D35CA"/>
    <w:rsid w:val="004D3631"/>
    <w:rsid w:val="004D51C2"/>
    <w:rsid w:val="004E09A7"/>
    <w:rsid w:val="004E2A76"/>
    <w:rsid w:val="004E729C"/>
    <w:rsid w:val="004F1CCC"/>
    <w:rsid w:val="005016D5"/>
    <w:rsid w:val="00517371"/>
    <w:rsid w:val="0052446B"/>
    <w:rsid w:val="005251BD"/>
    <w:rsid w:val="005326B0"/>
    <w:rsid w:val="005351D5"/>
    <w:rsid w:val="00535371"/>
    <w:rsid w:val="00536242"/>
    <w:rsid w:val="00545C07"/>
    <w:rsid w:val="00555BC8"/>
    <w:rsid w:val="005719D3"/>
    <w:rsid w:val="00572980"/>
    <w:rsid w:val="005735E9"/>
    <w:rsid w:val="005740D7"/>
    <w:rsid w:val="0058762B"/>
    <w:rsid w:val="005877A0"/>
    <w:rsid w:val="00590AB7"/>
    <w:rsid w:val="005933C5"/>
    <w:rsid w:val="0059726E"/>
    <w:rsid w:val="00597871"/>
    <w:rsid w:val="005A049A"/>
    <w:rsid w:val="005A065B"/>
    <w:rsid w:val="005B2D57"/>
    <w:rsid w:val="005B6466"/>
    <w:rsid w:val="005B6BE7"/>
    <w:rsid w:val="005C081F"/>
    <w:rsid w:val="005E0FBB"/>
    <w:rsid w:val="005E2214"/>
    <w:rsid w:val="005E281B"/>
    <w:rsid w:val="005E3E96"/>
    <w:rsid w:val="005F33FE"/>
    <w:rsid w:val="005F570E"/>
    <w:rsid w:val="00601A62"/>
    <w:rsid w:val="00602A99"/>
    <w:rsid w:val="00603ADD"/>
    <w:rsid w:val="00603DD1"/>
    <w:rsid w:val="00607E42"/>
    <w:rsid w:val="00611D83"/>
    <w:rsid w:val="006145BD"/>
    <w:rsid w:val="00617AE5"/>
    <w:rsid w:val="00635229"/>
    <w:rsid w:val="006362F3"/>
    <w:rsid w:val="00636DD0"/>
    <w:rsid w:val="00650E7B"/>
    <w:rsid w:val="00653027"/>
    <w:rsid w:val="006610CF"/>
    <w:rsid w:val="00664A41"/>
    <w:rsid w:val="00670E1E"/>
    <w:rsid w:val="00681EAC"/>
    <w:rsid w:val="00683342"/>
    <w:rsid w:val="00690219"/>
    <w:rsid w:val="00697ED7"/>
    <w:rsid w:val="006B65BB"/>
    <w:rsid w:val="006C4B59"/>
    <w:rsid w:val="006C6C0D"/>
    <w:rsid w:val="006D2D94"/>
    <w:rsid w:val="006D60CE"/>
    <w:rsid w:val="006E2749"/>
    <w:rsid w:val="006E4E11"/>
    <w:rsid w:val="0071019A"/>
    <w:rsid w:val="00720A87"/>
    <w:rsid w:val="007218DD"/>
    <w:rsid w:val="007242A3"/>
    <w:rsid w:val="007249F1"/>
    <w:rsid w:val="00726DBE"/>
    <w:rsid w:val="007364B8"/>
    <w:rsid w:val="007434C2"/>
    <w:rsid w:val="00746D23"/>
    <w:rsid w:val="00747CCE"/>
    <w:rsid w:val="00761BFC"/>
    <w:rsid w:val="00762E8A"/>
    <w:rsid w:val="00771597"/>
    <w:rsid w:val="00771AE9"/>
    <w:rsid w:val="00782F4A"/>
    <w:rsid w:val="00795888"/>
    <w:rsid w:val="007A6855"/>
    <w:rsid w:val="007B3C64"/>
    <w:rsid w:val="007B4155"/>
    <w:rsid w:val="007B7ED9"/>
    <w:rsid w:val="007C14A6"/>
    <w:rsid w:val="007D1D4E"/>
    <w:rsid w:val="007F2B30"/>
    <w:rsid w:val="008020D5"/>
    <w:rsid w:val="008046B3"/>
    <w:rsid w:val="008100B2"/>
    <w:rsid w:val="0081047B"/>
    <w:rsid w:val="00815EC6"/>
    <w:rsid w:val="0082588D"/>
    <w:rsid w:val="00845621"/>
    <w:rsid w:val="008540CD"/>
    <w:rsid w:val="00855524"/>
    <w:rsid w:val="00856A83"/>
    <w:rsid w:val="008649AC"/>
    <w:rsid w:val="00867A26"/>
    <w:rsid w:val="00870E01"/>
    <w:rsid w:val="0087470A"/>
    <w:rsid w:val="00876077"/>
    <w:rsid w:val="008832D7"/>
    <w:rsid w:val="00883D19"/>
    <w:rsid w:val="0088557B"/>
    <w:rsid w:val="00885E70"/>
    <w:rsid w:val="0089288D"/>
    <w:rsid w:val="008944B4"/>
    <w:rsid w:val="008A66B1"/>
    <w:rsid w:val="008B3257"/>
    <w:rsid w:val="008E6A10"/>
    <w:rsid w:val="008F7C96"/>
    <w:rsid w:val="00907CC4"/>
    <w:rsid w:val="009108FA"/>
    <w:rsid w:val="00931DFF"/>
    <w:rsid w:val="00934C2A"/>
    <w:rsid w:val="00951E71"/>
    <w:rsid w:val="009524A3"/>
    <w:rsid w:val="00952FB7"/>
    <w:rsid w:val="0095715B"/>
    <w:rsid w:val="00962A5A"/>
    <w:rsid w:val="00971052"/>
    <w:rsid w:val="00971AFC"/>
    <w:rsid w:val="009801F9"/>
    <w:rsid w:val="00985860"/>
    <w:rsid w:val="0099679A"/>
    <w:rsid w:val="009972E5"/>
    <w:rsid w:val="009A4090"/>
    <w:rsid w:val="009B185A"/>
    <w:rsid w:val="009B2EC4"/>
    <w:rsid w:val="009B4B9F"/>
    <w:rsid w:val="009C63EB"/>
    <w:rsid w:val="009D219D"/>
    <w:rsid w:val="009E4025"/>
    <w:rsid w:val="009E7A94"/>
    <w:rsid w:val="009F1201"/>
    <w:rsid w:val="009F30F2"/>
    <w:rsid w:val="009F3311"/>
    <w:rsid w:val="00A041E9"/>
    <w:rsid w:val="00A04D07"/>
    <w:rsid w:val="00A14F25"/>
    <w:rsid w:val="00A232AF"/>
    <w:rsid w:val="00A3043B"/>
    <w:rsid w:val="00A30BDF"/>
    <w:rsid w:val="00A32909"/>
    <w:rsid w:val="00A33BCE"/>
    <w:rsid w:val="00A554D6"/>
    <w:rsid w:val="00A575F3"/>
    <w:rsid w:val="00A60DFF"/>
    <w:rsid w:val="00A8087D"/>
    <w:rsid w:val="00A92F0F"/>
    <w:rsid w:val="00A9303B"/>
    <w:rsid w:val="00A93C5B"/>
    <w:rsid w:val="00AA34FA"/>
    <w:rsid w:val="00AB11E5"/>
    <w:rsid w:val="00AC662D"/>
    <w:rsid w:val="00AD1C07"/>
    <w:rsid w:val="00AD2976"/>
    <w:rsid w:val="00AD65EC"/>
    <w:rsid w:val="00AF339B"/>
    <w:rsid w:val="00AF473C"/>
    <w:rsid w:val="00B03484"/>
    <w:rsid w:val="00B06D13"/>
    <w:rsid w:val="00B07A3B"/>
    <w:rsid w:val="00B12F8D"/>
    <w:rsid w:val="00B145B9"/>
    <w:rsid w:val="00B26A9B"/>
    <w:rsid w:val="00B30D63"/>
    <w:rsid w:val="00B32056"/>
    <w:rsid w:val="00B322DD"/>
    <w:rsid w:val="00B40850"/>
    <w:rsid w:val="00B40D7C"/>
    <w:rsid w:val="00B44D04"/>
    <w:rsid w:val="00B52320"/>
    <w:rsid w:val="00B575E5"/>
    <w:rsid w:val="00B666CD"/>
    <w:rsid w:val="00B71CAE"/>
    <w:rsid w:val="00B74EEB"/>
    <w:rsid w:val="00B8409A"/>
    <w:rsid w:val="00B85BB6"/>
    <w:rsid w:val="00B87574"/>
    <w:rsid w:val="00B94E6A"/>
    <w:rsid w:val="00B963E4"/>
    <w:rsid w:val="00BA173A"/>
    <w:rsid w:val="00BB0211"/>
    <w:rsid w:val="00BB1BE0"/>
    <w:rsid w:val="00BC50DF"/>
    <w:rsid w:val="00BC554D"/>
    <w:rsid w:val="00BD261E"/>
    <w:rsid w:val="00BD2B38"/>
    <w:rsid w:val="00BD4387"/>
    <w:rsid w:val="00BE0992"/>
    <w:rsid w:val="00BE1C32"/>
    <w:rsid w:val="00BE44B4"/>
    <w:rsid w:val="00C017B9"/>
    <w:rsid w:val="00C01B31"/>
    <w:rsid w:val="00C15C29"/>
    <w:rsid w:val="00C1636D"/>
    <w:rsid w:val="00C1707D"/>
    <w:rsid w:val="00C23F38"/>
    <w:rsid w:val="00C24F68"/>
    <w:rsid w:val="00C340A1"/>
    <w:rsid w:val="00C36E32"/>
    <w:rsid w:val="00C37B1A"/>
    <w:rsid w:val="00C423DB"/>
    <w:rsid w:val="00C437FC"/>
    <w:rsid w:val="00C44696"/>
    <w:rsid w:val="00C45D0B"/>
    <w:rsid w:val="00C47ECF"/>
    <w:rsid w:val="00C507BC"/>
    <w:rsid w:val="00C522B9"/>
    <w:rsid w:val="00C524EA"/>
    <w:rsid w:val="00C73B64"/>
    <w:rsid w:val="00C77F80"/>
    <w:rsid w:val="00C806CE"/>
    <w:rsid w:val="00C923D4"/>
    <w:rsid w:val="00C92E67"/>
    <w:rsid w:val="00CA0272"/>
    <w:rsid w:val="00CA13C2"/>
    <w:rsid w:val="00CA39BD"/>
    <w:rsid w:val="00CA3B36"/>
    <w:rsid w:val="00CB42EA"/>
    <w:rsid w:val="00CB7489"/>
    <w:rsid w:val="00CC2D7F"/>
    <w:rsid w:val="00CC5D3C"/>
    <w:rsid w:val="00CD299C"/>
    <w:rsid w:val="00CD45B3"/>
    <w:rsid w:val="00CE2C56"/>
    <w:rsid w:val="00CF2334"/>
    <w:rsid w:val="00CF3D54"/>
    <w:rsid w:val="00CF3E29"/>
    <w:rsid w:val="00CF5630"/>
    <w:rsid w:val="00D0720A"/>
    <w:rsid w:val="00D07EE7"/>
    <w:rsid w:val="00D133D7"/>
    <w:rsid w:val="00D24B9E"/>
    <w:rsid w:val="00D2677F"/>
    <w:rsid w:val="00D37857"/>
    <w:rsid w:val="00D43E05"/>
    <w:rsid w:val="00D50C6A"/>
    <w:rsid w:val="00D50EAB"/>
    <w:rsid w:val="00D514B8"/>
    <w:rsid w:val="00D61636"/>
    <w:rsid w:val="00D62E4F"/>
    <w:rsid w:val="00D6783C"/>
    <w:rsid w:val="00D67B51"/>
    <w:rsid w:val="00D72A61"/>
    <w:rsid w:val="00D75113"/>
    <w:rsid w:val="00D77670"/>
    <w:rsid w:val="00D92D5F"/>
    <w:rsid w:val="00DA458F"/>
    <w:rsid w:val="00DB2570"/>
    <w:rsid w:val="00DC1EA4"/>
    <w:rsid w:val="00DC42F2"/>
    <w:rsid w:val="00DD4A74"/>
    <w:rsid w:val="00DE2E09"/>
    <w:rsid w:val="00DE312C"/>
    <w:rsid w:val="00DF6C01"/>
    <w:rsid w:val="00DF6F52"/>
    <w:rsid w:val="00E03A91"/>
    <w:rsid w:val="00E03B01"/>
    <w:rsid w:val="00E12752"/>
    <w:rsid w:val="00E136EA"/>
    <w:rsid w:val="00E31D70"/>
    <w:rsid w:val="00E36D3B"/>
    <w:rsid w:val="00E474BF"/>
    <w:rsid w:val="00E5536D"/>
    <w:rsid w:val="00E570E0"/>
    <w:rsid w:val="00E5717E"/>
    <w:rsid w:val="00E63B87"/>
    <w:rsid w:val="00E76601"/>
    <w:rsid w:val="00E83A49"/>
    <w:rsid w:val="00E86BD0"/>
    <w:rsid w:val="00E95958"/>
    <w:rsid w:val="00E96541"/>
    <w:rsid w:val="00E96F11"/>
    <w:rsid w:val="00EA377B"/>
    <w:rsid w:val="00EB0EAE"/>
    <w:rsid w:val="00EB157F"/>
    <w:rsid w:val="00EB1596"/>
    <w:rsid w:val="00EB4539"/>
    <w:rsid w:val="00EB650E"/>
    <w:rsid w:val="00EB7D5A"/>
    <w:rsid w:val="00EC25F9"/>
    <w:rsid w:val="00EC3B36"/>
    <w:rsid w:val="00EC4927"/>
    <w:rsid w:val="00EC5A21"/>
    <w:rsid w:val="00EC64FF"/>
    <w:rsid w:val="00ED583F"/>
    <w:rsid w:val="00EE1C2B"/>
    <w:rsid w:val="00EF07F1"/>
    <w:rsid w:val="00EF2669"/>
    <w:rsid w:val="00EF6D83"/>
    <w:rsid w:val="00F0048B"/>
    <w:rsid w:val="00F01AB7"/>
    <w:rsid w:val="00F03743"/>
    <w:rsid w:val="00F0716B"/>
    <w:rsid w:val="00F17ABC"/>
    <w:rsid w:val="00F22EAE"/>
    <w:rsid w:val="00F31507"/>
    <w:rsid w:val="00F34FAF"/>
    <w:rsid w:val="00F35F2F"/>
    <w:rsid w:val="00F37B50"/>
    <w:rsid w:val="00F40D90"/>
    <w:rsid w:val="00F42802"/>
    <w:rsid w:val="00F509B6"/>
    <w:rsid w:val="00F70EDB"/>
    <w:rsid w:val="00F74453"/>
    <w:rsid w:val="00F7497F"/>
    <w:rsid w:val="00F82D0B"/>
    <w:rsid w:val="00F84391"/>
    <w:rsid w:val="00F9115C"/>
    <w:rsid w:val="00F97A7A"/>
    <w:rsid w:val="00FA0665"/>
    <w:rsid w:val="00FA2C5E"/>
    <w:rsid w:val="00FB1B95"/>
    <w:rsid w:val="00FC0E29"/>
    <w:rsid w:val="00FC2E07"/>
    <w:rsid w:val="00FC6512"/>
    <w:rsid w:val="00FC6FDF"/>
    <w:rsid w:val="00FE77F0"/>
    <w:rsid w:val="00FF045F"/>
    <w:rsid w:val="00FF0B74"/>
    <w:rsid w:val="00FF4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7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7767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D77670"/>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167"/>
    <w:rPr>
      <w:rFonts w:ascii="TradeGothic" w:hAnsi="TradeGothic" w:cs="Times New Roman"/>
      <w:b/>
      <w:kern w:val="28"/>
      <w:sz w:val="22"/>
      <w:lang w:eastAsia="en-US"/>
    </w:rPr>
  </w:style>
  <w:style w:type="character" w:customStyle="1" w:styleId="Heading2Char">
    <w:name w:val="Heading 2 Char"/>
    <w:basedOn w:val="DefaultParagraphFont"/>
    <w:link w:val="Heading2"/>
    <w:uiPriority w:val="99"/>
    <w:locked/>
    <w:rsid w:val="000403A6"/>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17271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7271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7767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7767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72717"/>
    <w:rPr>
      <w:rFonts w:ascii="OrigGarmnd BT" w:hAnsi="OrigGarmnd BT"/>
      <w:sz w:val="24"/>
      <w:szCs w:val="20"/>
      <w:lang w:eastAsia="en-US"/>
    </w:rPr>
  </w:style>
  <w:style w:type="paragraph" w:styleId="Header">
    <w:name w:val="header"/>
    <w:basedOn w:val="Normal"/>
    <w:link w:val="HeaderChar"/>
    <w:uiPriority w:val="99"/>
    <w:rsid w:val="00D77670"/>
    <w:pPr>
      <w:tabs>
        <w:tab w:val="center" w:pos="4153"/>
        <w:tab w:val="right" w:pos="8306"/>
      </w:tabs>
    </w:pPr>
  </w:style>
  <w:style w:type="character" w:customStyle="1" w:styleId="HeaderChar">
    <w:name w:val="Header Char"/>
    <w:basedOn w:val="DefaultParagraphFont"/>
    <w:link w:val="Header"/>
    <w:uiPriority w:val="99"/>
    <w:semiHidden/>
    <w:rsid w:val="00172717"/>
    <w:rPr>
      <w:rFonts w:ascii="OrigGarmnd BT" w:hAnsi="OrigGarmnd BT"/>
      <w:sz w:val="24"/>
      <w:szCs w:val="20"/>
      <w:lang w:eastAsia="en-US"/>
    </w:rPr>
  </w:style>
  <w:style w:type="paragraph" w:customStyle="1" w:styleId="RKnormal">
    <w:name w:val="RKnormal"/>
    <w:basedOn w:val="Normal"/>
    <w:link w:val="RKnormalChar"/>
    <w:uiPriority w:val="99"/>
    <w:rsid w:val="00D77670"/>
    <w:pPr>
      <w:tabs>
        <w:tab w:val="left" w:pos="2835"/>
      </w:tabs>
      <w:spacing w:line="240" w:lineRule="atLeast"/>
    </w:pPr>
  </w:style>
  <w:style w:type="paragraph" w:customStyle="1" w:styleId="RKrubrik">
    <w:name w:val="RKrubrik"/>
    <w:basedOn w:val="RKnormal"/>
    <w:next w:val="RKnormal"/>
    <w:uiPriority w:val="99"/>
    <w:rsid w:val="00D7767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77670"/>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 w:type="paragraph" w:styleId="PlainText">
    <w:name w:val="Plain Text"/>
    <w:basedOn w:val="Normal"/>
    <w:link w:val="PlainTextChar"/>
    <w:uiPriority w:val="99"/>
    <w:rsid w:val="00E12752"/>
    <w:pPr>
      <w:overflowPunct/>
      <w:autoSpaceDE/>
      <w:autoSpaceDN/>
      <w:adjustRightInd/>
      <w:spacing w:line="240" w:lineRule="auto"/>
      <w:textAlignment w:val="auto"/>
    </w:pPr>
    <w:rPr>
      <w:rFonts w:ascii="Calibri" w:hAnsi="Calibri"/>
      <w:sz w:val="22"/>
      <w:szCs w:val="21"/>
    </w:rPr>
  </w:style>
  <w:style w:type="character" w:customStyle="1" w:styleId="PlainTextChar">
    <w:name w:val="Plain Text Char"/>
    <w:basedOn w:val="DefaultParagraphFont"/>
    <w:link w:val="PlainText"/>
    <w:uiPriority w:val="99"/>
    <w:locked/>
    <w:rsid w:val="00E12752"/>
    <w:rPr>
      <w:rFonts w:ascii="Calibri" w:eastAsia="Times New Roman" w:hAnsi="Calibri" w:cs="Times New Roman"/>
      <w:sz w:val="21"/>
      <w:szCs w:val="21"/>
      <w:lang w:eastAsia="en-US"/>
    </w:rPr>
  </w:style>
  <w:style w:type="paragraph" w:styleId="Title">
    <w:name w:val="Title"/>
    <w:basedOn w:val="Normal"/>
    <w:link w:val="TitleChar"/>
    <w:uiPriority w:val="99"/>
    <w:qFormat/>
    <w:rsid w:val="00DE312C"/>
    <w:pPr>
      <w:overflowPunct/>
      <w:autoSpaceDE/>
      <w:autoSpaceDN/>
      <w:adjustRightInd/>
      <w:spacing w:before="480" w:after="240" w:line="240" w:lineRule="auto"/>
      <w:jc w:val="center"/>
      <w:textAlignment w:val="auto"/>
    </w:pPr>
    <w:rPr>
      <w:rFonts w:ascii="Times New Roman" w:hAnsi="Times New Roman"/>
      <w:b/>
      <w:bCs/>
      <w:i/>
      <w:szCs w:val="32"/>
      <w:u w:val="single"/>
      <w:lang w:val="en-GB" w:eastAsia="fr-BE"/>
    </w:rPr>
  </w:style>
  <w:style w:type="character" w:customStyle="1" w:styleId="TitleChar">
    <w:name w:val="Title Char"/>
    <w:basedOn w:val="DefaultParagraphFont"/>
    <w:link w:val="Title"/>
    <w:uiPriority w:val="99"/>
    <w:locked/>
    <w:rsid w:val="00DE312C"/>
    <w:rPr>
      <w:rFonts w:cs="Times New Roman"/>
      <w:b/>
      <w:bCs/>
      <w:i/>
      <w:sz w:val="32"/>
      <w:szCs w:val="32"/>
      <w:u w:val="single"/>
      <w:lang w:val="en-GB" w:eastAsia="fr-BE"/>
    </w:rPr>
  </w:style>
  <w:style w:type="paragraph" w:customStyle="1" w:styleId="PointManual">
    <w:name w:val="Point Manual"/>
    <w:basedOn w:val="Normal"/>
    <w:link w:val="PointManualChar"/>
    <w:uiPriority w:val="99"/>
    <w:rsid w:val="00DE312C"/>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paragraph" w:customStyle="1" w:styleId="PointManual1">
    <w:name w:val="Point Manual (1)"/>
    <w:basedOn w:val="Normal"/>
    <w:uiPriority w:val="99"/>
    <w:rsid w:val="00DE312C"/>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PointManual2">
    <w:name w:val="Point Manual (2)"/>
    <w:basedOn w:val="Normal"/>
    <w:uiPriority w:val="99"/>
    <w:rsid w:val="00DE312C"/>
    <w:pPr>
      <w:overflowPunct/>
      <w:autoSpaceDE/>
      <w:autoSpaceDN/>
      <w:adjustRightInd/>
      <w:spacing w:line="240" w:lineRule="auto"/>
      <w:ind w:left="1701" w:hanging="567"/>
      <w:textAlignment w:val="auto"/>
      <w:outlineLvl w:val="1"/>
    </w:pPr>
    <w:rPr>
      <w:rFonts w:ascii="Times New Roman" w:hAnsi="Times New Roman"/>
      <w:szCs w:val="24"/>
      <w:lang w:val="en-GB" w:eastAsia="fr-BE"/>
    </w:rPr>
  </w:style>
  <w:style w:type="character" w:customStyle="1" w:styleId="PointManualChar">
    <w:name w:val="Point Manual Char"/>
    <w:link w:val="PointManual"/>
    <w:uiPriority w:val="99"/>
    <w:locked/>
    <w:rsid w:val="00DE312C"/>
    <w:rPr>
      <w:sz w:val="24"/>
      <w:lang w:val="en-GB" w:eastAsia="fr-BE"/>
    </w:rPr>
  </w:style>
</w:styles>
</file>

<file path=word/webSettings.xml><?xml version="1.0" encoding="utf-8"?>
<w:webSettings xmlns:r="http://schemas.openxmlformats.org/officeDocument/2006/relationships" xmlns:w="http://schemas.openxmlformats.org/wordprocessingml/2006/main">
  <w:divs>
    <w:div w:id="1207908848">
      <w:marLeft w:val="0"/>
      <w:marRight w:val="0"/>
      <w:marTop w:val="0"/>
      <w:marBottom w:val="0"/>
      <w:divBdr>
        <w:top w:val="none" w:sz="0" w:space="0" w:color="auto"/>
        <w:left w:val="none" w:sz="0" w:space="0" w:color="auto"/>
        <w:bottom w:val="none" w:sz="0" w:space="0" w:color="auto"/>
        <w:right w:val="none" w:sz="0" w:space="0" w:color="auto"/>
      </w:divBdr>
    </w:div>
    <w:div w:id="1207908849">
      <w:marLeft w:val="0"/>
      <w:marRight w:val="0"/>
      <w:marTop w:val="0"/>
      <w:marBottom w:val="0"/>
      <w:divBdr>
        <w:top w:val="none" w:sz="0" w:space="0" w:color="auto"/>
        <w:left w:val="none" w:sz="0" w:space="0" w:color="auto"/>
        <w:bottom w:val="none" w:sz="0" w:space="0" w:color="auto"/>
        <w:right w:val="none" w:sz="0" w:space="0" w:color="auto"/>
      </w:divBdr>
    </w:div>
    <w:div w:id="1207908850">
      <w:marLeft w:val="0"/>
      <w:marRight w:val="0"/>
      <w:marTop w:val="0"/>
      <w:marBottom w:val="0"/>
      <w:divBdr>
        <w:top w:val="none" w:sz="0" w:space="0" w:color="auto"/>
        <w:left w:val="none" w:sz="0" w:space="0" w:color="auto"/>
        <w:bottom w:val="none" w:sz="0" w:space="0" w:color="auto"/>
        <w:right w:val="none" w:sz="0" w:space="0" w:color="auto"/>
      </w:divBdr>
    </w:div>
    <w:div w:id="1207908851">
      <w:marLeft w:val="0"/>
      <w:marRight w:val="0"/>
      <w:marTop w:val="0"/>
      <w:marBottom w:val="0"/>
      <w:divBdr>
        <w:top w:val="none" w:sz="0" w:space="0" w:color="auto"/>
        <w:left w:val="none" w:sz="0" w:space="0" w:color="auto"/>
        <w:bottom w:val="none" w:sz="0" w:space="0" w:color="auto"/>
        <w:right w:val="none" w:sz="0" w:space="0" w:color="auto"/>
      </w:divBdr>
    </w:div>
    <w:div w:id="1207908852">
      <w:marLeft w:val="0"/>
      <w:marRight w:val="0"/>
      <w:marTop w:val="0"/>
      <w:marBottom w:val="0"/>
      <w:divBdr>
        <w:top w:val="none" w:sz="0" w:space="0" w:color="auto"/>
        <w:left w:val="none" w:sz="0" w:space="0" w:color="auto"/>
        <w:bottom w:val="none" w:sz="0" w:space="0" w:color="auto"/>
        <w:right w:val="none" w:sz="0" w:space="0" w:color="auto"/>
      </w:divBdr>
    </w:div>
    <w:div w:id="1207908853">
      <w:marLeft w:val="0"/>
      <w:marRight w:val="0"/>
      <w:marTop w:val="0"/>
      <w:marBottom w:val="0"/>
      <w:divBdr>
        <w:top w:val="none" w:sz="0" w:space="0" w:color="auto"/>
        <w:left w:val="none" w:sz="0" w:space="0" w:color="auto"/>
        <w:bottom w:val="none" w:sz="0" w:space="0" w:color="auto"/>
        <w:right w:val="none" w:sz="0" w:space="0" w:color="auto"/>
      </w:divBdr>
    </w:div>
    <w:div w:id="1207908854">
      <w:marLeft w:val="0"/>
      <w:marRight w:val="0"/>
      <w:marTop w:val="0"/>
      <w:marBottom w:val="0"/>
      <w:divBdr>
        <w:top w:val="none" w:sz="0" w:space="0" w:color="auto"/>
        <w:left w:val="none" w:sz="0" w:space="0" w:color="auto"/>
        <w:bottom w:val="none" w:sz="0" w:space="0" w:color="auto"/>
        <w:right w:val="none" w:sz="0" w:space="0" w:color="auto"/>
      </w:divBdr>
    </w:div>
    <w:div w:id="1207908855">
      <w:marLeft w:val="0"/>
      <w:marRight w:val="0"/>
      <w:marTop w:val="0"/>
      <w:marBottom w:val="0"/>
      <w:divBdr>
        <w:top w:val="none" w:sz="0" w:space="0" w:color="auto"/>
        <w:left w:val="none" w:sz="0" w:space="0" w:color="auto"/>
        <w:bottom w:val="none" w:sz="0" w:space="0" w:color="auto"/>
        <w:right w:val="none" w:sz="0" w:space="0" w:color="auto"/>
      </w:divBdr>
    </w:div>
    <w:div w:id="1207908856">
      <w:marLeft w:val="0"/>
      <w:marRight w:val="0"/>
      <w:marTop w:val="0"/>
      <w:marBottom w:val="0"/>
      <w:divBdr>
        <w:top w:val="none" w:sz="0" w:space="0" w:color="auto"/>
        <w:left w:val="none" w:sz="0" w:space="0" w:color="auto"/>
        <w:bottom w:val="none" w:sz="0" w:space="0" w:color="auto"/>
        <w:right w:val="none" w:sz="0" w:space="0" w:color="auto"/>
      </w:divBdr>
    </w:div>
    <w:div w:id="1207908857">
      <w:marLeft w:val="0"/>
      <w:marRight w:val="0"/>
      <w:marTop w:val="0"/>
      <w:marBottom w:val="0"/>
      <w:divBdr>
        <w:top w:val="none" w:sz="0" w:space="0" w:color="auto"/>
        <w:left w:val="none" w:sz="0" w:space="0" w:color="auto"/>
        <w:bottom w:val="none" w:sz="0" w:space="0" w:color="auto"/>
        <w:right w:val="none" w:sz="0" w:space="0" w:color="auto"/>
      </w:divBdr>
    </w:div>
    <w:div w:id="1207908858">
      <w:marLeft w:val="0"/>
      <w:marRight w:val="0"/>
      <w:marTop w:val="0"/>
      <w:marBottom w:val="0"/>
      <w:divBdr>
        <w:top w:val="none" w:sz="0" w:space="0" w:color="auto"/>
        <w:left w:val="none" w:sz="0" w:space="0" w:color="auto"/>
        <w:bottom w:val="none" w:sz="0" w:space="0" w:color="auto"/>
        <w:right w:val="none" w:sz="0" w:space="0" w:color="auto"/>
      </w:divBdr>
    </w:div>
    <w:div w:id="1207908859">
      <w:marLeft w:val="0"/>
      <w:marRight w:val="0"/>
      <w:marTop w:val="0"/>
      <w:marBottom w:val="0"/>
      <w:divBdr>
        <w:top w:val="none" w:sz="0" w:space="0" w:color="auto"/>
        <w:left w:val="none" w:sz="0" w:space="0" w:color="auto"/>
        <w:bottom w:val="none" w:sz="0" w:space="0" w:color="auto"/>
        <w:right w:val="none" w:sz="0" w:space="0" w:color="auto"/>
      </w:divBdr>
    </w:div>
    <w:div w:id="1207908860">
      <w:marLeft w:val="0"/>
      <w:marRight w:val="0"/>
      <w:marTop w:val="0"/>
      <w:marBottom w:val="0"/>
      <w:divBdr>
        <w:top w:val="none" w:sz="0" w:space="0" w:color="auto"/>
        <w:left w:val="none" w:sz="0" w:space="0" w:color="auto"/>
        <w:bottom w:val="none" w:sz="0" w:space="0" w:color="auto"/>
        <w:right w:val="none" w:sz="0" w:space="0" w:color="auto"/>
      </w:divBdr>
    </w:div>
    <w:div w:id="1207908861">
      <w:marLeft w:val="0"/>
      <w:marRight w:val="0"/>
      <w:marTop w:val="0"/>
      <w:marBottom w:val="0"/>
      <w:divBdr>
        <w:top w:val="none" w:sz="0" w:space="0" w:color="auto"/>
        <w:left w:val="none" w:sz="0" w:space="0" w:color="auto"/>
        <w:bottom w:val="none" w:sz="0" w:space="0" w:color="auto"/>
        <w:right w:val="none" w:sz="0" w:space="0" w:color="auto"/>
      </w:divBdr>
    </w:div>
    <w:div w:id="1207908862">
      <w:marLeft w:val="0"/>
      <w:marRight w:val="0"/>
      <w:marTop w:val="0"/>
      <w:marBottom w:val="0"/>
      <w:divBdr>
        <w:top w:val="none" w:sz="0" w:space="0" w:color="auto"/>
        <w:left w:val="none" w:sz="0" w:space="0" w:color="auto"/>
        <w:bottom w:val="none" w:sz="0" w:space="0" w:color="auto"/>
        <w:right w:val="none" w:sz="0" w:space="0" w:color="auto"/>
      </w:divBdr>
    </w:div>
    <w:div w:id="1207908863">
      <w:marLeft w:val="0"/>
      <w:marRight w:val="0"/>
      <w:marTop w:val="0"/>
      <w:marBottom w:val="0"/>
      <w:divBdr>
        <w:top w:val="none" w:sz="0" w:space="0" w:color="auto"/>
        <w:left w:val="none" w:sz="0" w:space="0" w:color="auto"/>
        <w:bottom w:val="none" w:sz="0" w:space="0" w:color="auto"/>
        <w:right w:val="none" w:sz="0" w:space="0" w:color="auto"/>
      </w:divBdr>
    </w:div>
    <w:div w:id="1207908864">
      <w:marLeft w:val="0"/>
      <w:marRight w:val="0"/>
      <w:marTop w:val="0"/>
      <w:marBottom w:val="0"/>
      <w:divBdr>
        <w:top w:val="none" w:sz="0" w:space="0" w:color="auto"/>
        <w:left w:val="none" w:sz="0" w:space="0" w:color="auto"/>
        <w:bottom w:val="none" w:sz="0" w:space="0" w:color="auto"/>
        <w:right w:val="none" w:sz="0" w:space="0" w:color="auto"/>
      </w:divBdr>
    </w:div>
    <w:div w:id="1207908865">
      <w:marLeft w:val="0"/>
      <w:marRight w:val="0"/>
      <w:marTop w:val="0"/>
      <w:marBottom w:val="0"/>
      <w:divBdr>
        <w:top w:val="none" w:sz="0" w:space="0" w:color="auto"/>
        <w:left w:val="none" w:sz="0" w:space="0" w:color="auto"/>
        <w:bottom w:val="none" w:sz="0" w:space="0" w:color="auto"/>
        <w:right w:val="none" w:sz="0" w:space="0" w:color="auto"/>
      </w:divBdr>
    </w:div>
    <w:div w:id="1207908866">
      <w:marLeft w:val="0"/>
      <w:marRight w:val="0"/>
      <w:marTop w:val="0"/>
      <w:marBottom w:val="0"/>
      <w:divBdr>
        <w:top w:val="none" w:sz="0" w:space="0" w:color="auto"/>
        <w:left w:val="none" w:sz="0" w:space="0" w:color="auto"/>
        <w:bottom w:val="none" w:sz="0" w:space="0" w:color="auto"/>
        <w:right w:val="none" w:sz="0" w:space="0" w:color="auto"/>
      </w:divBdr>
    </w:div>
    <w:div w:id="1207908867">
      <w:marLeft w:val="0"/>
      <w:marRight w:val="0"/>
      <w:marTop w:val="0"/>
      <w:marBottom w:val="0"/>
      <w:divBdr>
        <w:top w:val="none" w:sz="0" w:space="0" w:color="auto"/>
        <w:left w:val="none" w:sz="0" w:space="0" w:color="auto"/>
        <w:bottom w:val="none" w:sz="0" w:space="0" w:color="auto"/>
        <w:right w:val="none" w:sz="0" w:space="0" w:color="auto"/>
      </w:divBdr>
    </w:div>
    <w:div w:id="1207908868">
      <w:marLeft w:val="0"/>
      <w:marRight w:val="0"/>
      <w:marTop w:val="0"/>
      <w:marBottom w:val="0"/>
      <w:divBdr>
        <w:top w:val="none" w:sz="0" w:space="0" w:color="auto"/>
        <w:left w:val="none" w:sz="0" w:space="0" w:color="auto"/>
        <w:bottom w:val="none" w:sz="0" w:space="0" w:color="auto"/>
        <w:right w:val="none" w:sz="0" w:space="0" w:color="auto"/>
      </w:divBdr>
    </w:div>
    <w:div w:id="1207908869">
      <w:marLeft w:val="0"/>
      <w:marRight w:val="0"/>
      <w:marTop w:val="0"/>
      <w:marBottom w:val="0"/>
      <w:divBdr>
        <w:top w:val="none" w:sz="0" w:space="0" w:color="auto"/>
        <w:left w:val="none" w:sz="0" w:space="0" w:color="auto"/>
        <w:bottom w:val="none" w:sz="0" w:space="0" w:color="auto"/>
        <w:right w:val="none" w:sz="0" w:space="0" w:color="auto"/>
      </w:divBdr>
    </w:div>
    <w:div w:id="1207908870">
      <w:marLeft w:val="0"/>
      <w:marRight w:val="0"/>
      <w:marTop w:val="0"/>
      <w:marBottom w:val="0"/>
      <w:divBdr>
        <w:top w:val="none" w:sz="0" w:space="0" w:color="auto"/>
        <w:left w:val="none" w:sz="0" w:space="0" w:color="auto"/>
        <w:bottom w:val="none" w:sz="0" w:space="0" w:color="auto"/>
        <w:right w:val="none" w:sz="0" w:space="0" w:color="auto"/>
      </w:divBdr>
    </w:div>
    <w:div w:id="1207908871">
      <w:marLeft w:val="0"/>
      <w:marRight w:val="0"/>
      <w:marTop w:val="0"/>
      <w:marBottom w:val="0"/>
      <w:divBdr>
        <w:top w:val="none" w:sz="0" w:space="0" w:color="auto"/>
        <w:left w:val="none" w:sz="0" w:space="0" w:color="auto"/>
        <w:bottom w:val="none" w:sz="0" w:space="0" w:color="auto"/>
        <w:right w:val="none" w:sz="0" w:space="0" w:color="auto"/>
      </w:divBdr>
    </w:div>
    <w:div w:id="1207908872">
      <w:marLeft w:val="0"/>
      <w:marRight w:val="0"/>
      <w:marTop w:val="0"/>
      <w:marBottom w:val="0"/>
      <w:divBdr>
        <w:top w:val="none" w:sz="0" w:space="0" w:color="auto"/>
        <w:left w:val="none" w:sz="0" w:space="0" w:color="auto"/>
        <w:bottom w:val="none" w:sz="0" w:space="0" w:color="auto"/>
        <w:right w:val="none" w:sz="0" w:space="0" w:color="auto"/>
      </w:divBdr>
    </w:div>
    <w:div w:id="1207908873">
      <w:marLeft w:val="0"/>
      <w:marRight w:val="0"/>
      <w:marTop w:val="0"/>
      <w:marBottom w:val="0"/>
      <w:divBdr>
        <w:top w:val="none" w:sz="0" w:space="0" w:color="auto"/>
        <w:left w:val="none" w:sz="0" w:space="0" w:color="auto"/>
        <w:bottom w:val="none" w:sz="0" w:space="0" w:color="auto"/>
        <w:right w:val="none" w:sz="0" w:space="0" w:color="auto"/>
      </w:divBdr>
    </w:div>
    <w:div w:id="1207908874">
      <w:marLeft w:val="0"/>
      <w:marRight w:val="0"/>
      <w:marTop w:val="0"/>
      <w:marBottom w:val="0"/>
      <w:divBdr>
        <w:top w:val="none" w:sz="0" w:space="0" w:color="auto"/>
        <w:left w:val="none" w:sz="0" w:space="0" w:color="auto"/>
        <w:bottom w:val="none" w:sz="0" w:space="0" w:color="auto"/>
        <w:right w:val="none" w:sz="0" w:space="0" w:color="auto"/>
      </w:divBdr>
    </w:div>
    <w:div w:id="1207908875">
      <w:marLeft w:val="0"/>
      <w:marRight w:val="0"/>
      <w:marTop w:val="0"/>
      <w:marBottom w:val="0"/>
      <w:divBdr>
        <w:top w:val="none" w:sz="0" w:space="0" w:color="auto"/>
        <w:left w:val="none" w:sz="0" w:space="0" w:color="auto"/>
        <w:bottom w:val="none" w:sz="0" w:space="0" w:color="auto"/>
        <w:right w:val="none" w:sz="0" w:space="0" w:color="auto"/>
      </w:divBdr>
    </w:div>
    <w:div w:id="1207908876">
      <w:marLeft w:val="0"/>
      <w:marRight w:val="0"/>
      <w:marTop w:val="0"/>
      <w:marBottom w:val="0"/>
      <w:divBdr>
        <w:top w:val="none" w:sz="0" w:space="0" w:color="auto"/>
        <w:left w:val="none" w:sz="0" w:space="0" w:color="auto"/>
        <w:bottom w:val="none" w:sz="0" w:space="0" w:color="auto"/>
        <w:right w:val="none" w:sz="0" w:space="0" w:color="auto"/>
      </w:divBdr>
    </w:div>
    <w:div w:id="1207908877">
      <w:marLeft w:val="0"/>
      <w:marRight w:val="0"/>
      <w:marTop w:val="0"/>
      <w:marBottom w:val="0"/>
      <w:divBdr>
        <w:top w:val="none" w:sz="0" w:space="0" w:color="auto"/>
        <w:left w:val="none" w:sz="0" w:space="0" w:color="auto"/>
        <w:bottom w:val="none" w:sz="0" w:space="0" w:color="auto"/>
        <w:right w:val="none" w:sz="0" w:space="0" w:color="auto"/>
      </w:divBdr>
    </w:div>
    <w:div w:id="1207908878">
      <w:marLeft w:val="0"/>
      <w:marRight w:val="0"/>
      <w:marTop w:val="0"/>
      <w:marBottom w:val="0"/>
      <w:divBdr>
        <w:top w:val="none" w:sz="0" w:space="0" w:color="auto"/>
        <w:left w:val="none" w:sz="0" w:space="0" w:color="auto"/>
        <w:bottom w:val="none" w:sz="0" w:space="0" w:color="auto"/>
        <w:right w:val="none" w:sz="0" w:space="0" w:color="auto"/>
      </w:divBdr>
    </w:div>
    <w:div w:id="1207908879">
      <w:marLeft w:val="0"/>
      <w:marRight w:val="0"/>
      <w:marTop w:val="0"/>
      <w:marBottom w:val="0"/>
      <w:divBdr>
        <w:top w:val="none" w:sz="0" w:space="0" w:color="auto"/>
        <w:left w:val="none" w:sz="0" w:space="0" w:color="auto"/>
        <w:bottom w:val="none" w:sz="0" w:space="0" w:color="auto"/>
        <w:right w:val="none" w:sz="0" w:space="0" w:color="auto"/>
      </w:divBdr>
    </w:div>
    <w:div w:id="1207908880">
      <w:marLeft w:val="0"/>
      <w:marRight w:val="0"/>
      <w:marTop w:val="0"/>
      <w:marBottom w:val="0"/>
      <w:divBdr>
        <w:top w:val="none" w:sz="0" w:space="0" w:color="auto"/>
        <w:left w:val="none" w:sz="0" w:space="0" w:color="auto"/>
        <w:bottom w:val="none" w:sz="0" w:space="0" w:color="auto"/>
        <w:right w:val="none" w:sz="0" w:space="0" w:color="auto"/>
      </w:divBdr>
    </w:div>
    <w:div w:id="1207908881">
      <w:marLeft w:val="0"/>
      <w:marRight w:val="0"/>
      <w:marTop w:val="0"/>
      <w:marBottom w:val="0"/>
      <w:divBdr>
        <w:top w:val="none" w:sz="0" w:space="0" w:color="auto"/>
        <w:left w:val="none" w:sz="0" w:space="0" w:color="auto"/>
        <w:bottom w:val="none" w:sz="0" w:space="0" w:color="auto"/>
        <w:right w:val="none" w:sz="0" w:space="0" w:color="auto"/>
      </w:divBdr>
    </w:div>
    <w:div w:id="1207908882">
      <w:marLeft w:val="0"/>
      <w:marRight w:val="0"/>
      <w:marTop w:val="0"/>
      <w:marBottom w:val="0"/>
      <w:divBdr>
        <w:top w:val="none" w:sz="0" w:space="0" w:color="auto"/>
        <w:left w:val="none" w:sz="0" w:space="0" w:color="auto"/>
        <w:bottom w:val="none" w:sz="0" w:space="0" w:color="auto"/>
        <w:right w:val="none" w:sz="0" w:space="0" w:color="auto"/>
      </w:divBdr>
    </w:div>
    <w:div w:id="1207908883">
      <w:marLeft w:val="0"/>
      <w:marRight w:val="0"/>
      <w:marTop w:val="0"/>
      <w:marBottom w:val="0"/>
      <w:divBdr>
        <w:top w:val="none" w:sz="0" w:space="0" w:color="auto"/>
        <w:left w:val="none" w:sz="0" w:space="0" w:color="auto"/>
        <w:bottom w:val="none" w:sz="0" w:space="0" w:color="auto"/>
        <w:right w:val="none" w:sz="0" w:space="0" w:color="auto"/>
      </w:divBdr>
    </w:div>
    <w:div w:id="1207908884">
      <w:marLeft w:val="0"/>
      <w:marRight w:val="0"/>
      <w:marTop w:val="0"/>
      <w:marBottom w:val="0"/>
      <w:divBdr>
        <w:top w:val="none" w:sz="0" w:space="0" w:color="auto"/>
        <w:left w:val="none" w:sz="0" w:space="0" w:color="auto"/>
        <w:bottom w:val="none" w:sz="0" w:space="0" w:color="auto"/>
        <w:right w:val="none" w:sz="0" w:space="0" w:color="auto"/>
      </w:divBdr>
    </w:div>
    <w:div w:id="1207908885">
      <w:marLeft w:val="0"/>
      <w:marRight w:val="0"/>
      <w:marTop w:val="0"/>
      <w:marBottom w:val="0"/>
      <w:divBdr>
        <w:top w:val="none" w:sz="0" w:space="0" w:color="auto"/>
        <w:left w:val="none" w:sz="0" w:space="0" w:color="auto"/>
        <w:bottom w:val="none" w:sz="0" w:space="0" w:color="auto"/>
        <w:right w:val="none" w:sz="0" w:space="0" w:color="auto"/>
      </w:divBdr>
    </w:div>
    <w:div w:id="1207908886">
      <w:marLeft w:val="0"/>
      <w:marRight w:val="0"/>
      <w:marTop w:val="0"/>
      <w:marBottom w:val="0"/>
      <w:divBdr>
        <w:top w:val="none" w:sz="0" w:space="0" w:color="auto"/>
        <w:left w:val="none" w:sz="0" w:space="0" w:color="auto"/>
        <w:bottom w:val="none" w:sz="0" w:space="0" w:color="auto"/>
        <w:right w:val="none" w:sz="0" w:space="0" w:color="auto"/>
      </w:divBdr>
    </w:div>
    <w:div w:id="1207908887">
      <w:marLeft w:val="0"/>
      <w:marRight w:val="0"/>
      <w:marTop w:val="0"/>
      <w:marBottom w:val="0"/>
      <w:divBdr>
        <w:top w:val="none" w:sz="0" w:space="0" w:color="auto"/>
        <w:left w:val="none" w:sz="0" w:space="0" w:color="auto"/>
        <w:bottom w:val="none" w:sz="0" w:space="0" w:color="auto"/>
        <w:right w:val="none" w:sz="0" w:space="0" w:color="auto"/>
      </w:divBdr>
    </w:div>
    <w:div w:id="1207908888">
      <w:marLeft w:val="0"/>
      <w:marRight w:val="0"/>
      <w:marTop w:val="0"/>
      <w:marBottom w:val="0"/>
      <w:divBdr>
        <w:top w:val="none" w:sz="0" w:space="0" w:color="auto"/>
        <w:left w:val="none" w:sz="0" w:space="0" w:color="auto"/>
        <w:bottom w:val="none" w:sz="0" w:space="0" w:color="auto"/>
        <w:right w:val="none" w:sz="0" w:space="0" w:color="auto"/>
      </w:divBdr>
    </w:div>
    <w:div w:id="1207908889">
      <w:marLeft w:val="0"/>
      <w:marRight w:val="0"/>
      <w:marTop w:val="0"/>
      <w:marBottom w:val="0"/>
      <w:divBdr>
        <w:top w:val="none" w:sz="0" w:space="0" w:color="auto"/>
        <w:left w:val="none" w:sz="0" w:space="0" w:color="auto"/>
        <w:bottom w:val="none" w:sz="0" w:space="0" w:color="auto"/>
        <w:right w:val="none" w:sz="0" w:space="0" w:color="auto"/>
      </w:divBdr>
    </w:div>
    <w:div w:id="1207908890">
      <w:marLeft w:val="0"/>
      <w:marRight w:val="0"/>
      <w:marTop w:val="0"/>
      <w:marBottom w:val="0"/>
      <w:divBdr>
        <w:top w:val="none" w:sz="0" w:space="0" w:color="auto"/>
        <w:left w:val="none" w:sz="0" w:space="0" w:color="auto"/>
        <w:bottom w:val="none" w:sz="0" w:space="0" w:color="auto"/>
        <w:right w:val="none" w:sz="0" w:space="0" w:color="auto"/>
      </w:divBdr>
    </w:div>
    <w:div w:id="1207908891">
      <w:marLeft w:val="0"/>
      <w:marRight w:val="0"/>
      <w:marTop w:val="0"/>
      <w:marBottom w:val="0"/>
      <w:divBdr>
        <w:top w:val="none" w:sz="0" w:space="0" w:color="auto"/>
        <w:left w:val="none" w:sz="0" w:space="0" w:color="auto"/>
        <w:bottom w:val="none" w:sz="0" w:space="0" w:color="auto"/>
        <w:right w:val="none" w:sz="0" w:space="0" w:color="auto"/>
      </w:divBdr>
    </w:div>
    <w:div w:id="1207908892">
      <w:marLeft w:val="0"/>
      <w:marRight w:val="0"/>
      <w:marTop w:val="0"/>
      <w:marBottom w:val="0"/>
      <w:divBdr>
        <w:top w:val="none" w:sz="0" w:space="0" w:color="auto"/>
        <w:left w:val="none" w:sz="0" w:space="0" w:color="auto"/>
        <w:bottom w:val="none" w:sz="0" w:space="0" w:color="auto"/>
        <w:right w:val="none" w:sz="0" w:space="0" w:color="auto"/>
      </w:divBdr>
    </w:div>
    <w:div w:id="1207908893">
      <w:marLeft w:val="0"/>
      <w:marRight w:val="0"/>
      <w:marTop w:val="0"/>
      <w:marBottom w:val="0"/>
      <w:divBdr>
        <w:top w:val="none" w:sz="0" w:space="0" w:color="auto"/>
        <w:left w:val="none" w:sz="0" w:space="0" w:color="auto"/>
        <w:bottom w:val="none" w:sz="0" w:space="0" w:color="auto"/>
        <w:right w:val="none" w:sz="0" w:space="0" w:color="auto"/>
      </w:divBdr>
    </w:div>
    <w:div w:id="1207908894">
      <w:marLeft w:val="0"/>
      <w:marRight w:val="0"/>
      <w:marTop w:val="0"/>
      <w:marBottom w:val="0"/>
      <w:divBdr>
        <w:top w:val="none" w:sz="0" w:space="0" w:color="auto"/>
        <w:left w:val="none" w:sz="0" w:space="0" w:color="auto"/>
        <w:bottom w:val="none" w:sz="0" w:space="0" w:color="auto"/>
        <w:right w:val="none" w:sz="0" w:space="0" w:color="auto"/>
      </w:divBdr>
    </w:div>
    <w:div w:id="1207908895">
      <w:marLeft w:val="0"/>
      <w:marRight w:val="0"/>
      <w:marTop w:val="0"/>
      <w:marBottom w:val="0"/>
      <w:divBdr>
        <w:top w:val="none" w:sz="0" w:space="0" w:color="auto"/>
        <w:left w:val="none" w:sz="0" w:space="0" w:color="auto"/>
        <w:bottom w:val="none" w:sz="0" w:space="0" w:color="auto"/>
        <w:right w:val="none" w:sz="0" w:space="0" w:color="auto"/>
      </w:divBdr>
    </w:div>
    <w:div w:id="1207908896">
      <w:marLeft w:val="0"/>
      <w:marRight w:val="0"/>
      <w:marTop w:val="0"/>
      <w:marBottom w:val="0"/>
      <w:divBdr>
        <w:top w:val="none" w:sz="0" w:space="0" w:color="auto"/>
        <w:left w:val="none" w:sz="0" w:space="0" w:color="auto"/>
        <w:bottom w:val="none" w:sz="0" w:space="0" w:color="auto"/>
        <w:right w:val="none" w:sz="0" w:space="0" w:color="auto"/>
      </w:divBdr>
    </w:div>
    <w:div w:id="1207908897">
      <w:marLeft w:val="0"/>
      <w:marRight w:val="0"/>
      <w:marTop w:val="0"/>
      <w:marBottom w:val="0"/>
      <w:divBdr>
        <w:top w:val="none" w:sz="0" w:space="0" w:color="auto"/>
        <w:left w:val="none" w:sz="0" w:space="0" w:color="auto"/>
        <w:bottom w:val="none" w:sz="0" w:space="0" w:color="auto"/>
        <w:right w:val="none" w:sz="0" w:space="0" w:color="auto"/>
      </w:divBdr>
    </w:div>
    <w:div w:id="1207908898">
      <w:marLeft w:val="0"/>
      <w:marRight w:val="0"/>
      <w:marTop w:val="0"/>
      <w:marBottom w:val="0"/>
      <w:divBdr>
        <w:top w:val="none" w:sz="0" w:space="0" w:color="auto"/>
        <w:left w:val="none" w:sz="0" w:space="0" w:color="auto"/>
        <w:bottom w:val="none" w:sz="0" w:space="0" w:color="auto"/>
        <w:right w:val="none" w:sz="0" w:space="0" w:color="auto"/>
      </w:divBdr>
    </w:div>
    <w:div w:id="1207908899">
      <w:marLeft w:val="0"/>
      <w:marRight w:val="0"/>
      <w:marTop w:val="0"/>
      <w:marBottom w:val="0"/>
      <w:divBdr>
        <w:top w:val="none" w:sz="0" w:space="0" w:color="auto"/>
        <w:left w:val="none" w:sz="0" w:space="0" w:color="auto"/>
        <w:bottom w:val="none" w:sz="0" w:space="0" w:color="auto"/>
        <w:right w:val="none" w:sz="0" w:space="0" w:color="auto"/>
      </w:divBdr>
    </w:div>
    <w:div w:id="1207908900">
      <w:marLeft w:val="0"/>
      <w:marRight w:val="0"/>
      <w:marTop w:val="0"/>
      <w:marBottom w:val="0"/>
      <w:divBdr>
        <w:top w:val="none" w:sz="0" w:space="0" w:color="auto"/>
        <w:left w:val="none" w:sz="0" w:space="0" w:color="auto"/>
        <w:bottom w:val="none" w:sz="0" w:space="0" w:color="auto"/>
        <w:right w:val="none" w:sz="0" w:space="0" w:color="auto"/>
      </w:divBdr>
    </w:div>
    <w:div w:id="1207908901">
      <w:marLeft w:val="0"/>
      <w:marRight w:val="0"/>
      <w:marTop w:val="0"/>
      <w:marBottom w:val="0"/>
      <w:divBdr>
        <w:top w:val="none" w:sz="0" w:space="0" w:color="auto"/>
        <w:left w:val="none" w:sz="0" w:space="0" w:color="auto"/>
        <w:bottom w:val="none" w:sz="0" w:space="0" w:color="auto"/>
        <w:right w:val="none" w:sz="0" w:space="0" w:color="auto"/>
      </w:divBdr>
    </w:div>
    <w:div w:id="1207908902">
      <w:marLeft w:val="0"/>
      <w:marRight w:val="0"/>
      <w:marTop w:val="0"/>
      <w:marBottom w:val="0"/>
      <w:divBdr>
        <w:top w:val="none" w:sz="0" w:space="0" w:color="auto"/>
        <w:left w:val="none" w:sz="0" w:space="0" w:color="auto"/>
        <w:bottom w:val="none" w:sz="0" w:space="0" w:color="auto"/>
        <w:right w:val="none" w:sz="0" w:space="0" w:color="auto"/>
      </w:divBdr>
    </w:div>
    <w:div w:id="1207908903">
      <w:marLeft w:val="0"/>
      <w:marRight w:val="0"/>
      <w:marTop w:val="0"/>
      <w:marBottom w:val="0"/>
      <w:divBdr>
        <w:top w:val="none" w:sz="0" w:space="0" w:color="auto"/>
        <w:left w:val="none" w:sz="0" w:space="0" w:color="auto"/>
        <w:bottom w:val="none" w:sz="0" w:space="0" w:color="auto"/>
        <w:right w:val="none" w:sz="0" w:space="0" w:color="auto"/>
      </w:divBdr>
    </w:div>
    <w:div w:id="1207908904">
      <w:marLeft w:val="0"/>
      <w:marRight w:val="0"/>
      <w:marTop w:val="0"/>
      <w:marBottom w:val="0"/>
      <w:divBdr>
        <w:top w:val="none" w:sz="0" w:space="0" w:color="auto"/>
        <w:left w:val="none" w:sz="0" w:space="0" w:color="auto"/>
        <w:bottom w:val="none" w:sz="0" w:space="0" w:color="auto"/>
        <w:right w:val="none" w:sz="0" w:space="0" w:color="auto"/>
      </w:divBdr>
    </w:div>
    <w:div w:id="1207908905">
      <w:marLeft w:val="0"/>
      <w:marRight w:val="0"/>
      <w:marTop w:val="0"/>
      <w:marBottom w:val="0"/>
      <w:divBdr>
        <w:top w:val="none" w:sz="0" w:space="0" w:color="auto"/>
        <w:left w:val="none" w:sz="0" w:space="0" w:color="auto"/>
        <w:bottom w:val="none" w:sz="0" w:space="0" w:color="auto"/>
        <w:right w:val="none" w:sz="0" w:space="0" w:color="auto"/>
      </w:divBdr>
    </w:div>
    <w:div w:id="1207908906">
      <w:marLeft w:val="0"/>
      <w:marRight w:val="0"/>
      <w:marTop w:val="0"/>
      <w:marBottom w:val="0"/>
      <w:divBdr>
        <w:top w:val="none" w:sz="0" w:space="0" w:color="auto"/>
        <w:left w:val="none" w:sz="0" w:space="0" w:color="auto"/>
        <w:bottom w:val="none" w:sz="0" w:space="0" w:color="auto"/>
        <w:right w:val="none" w:sz="0" w:space="0" w:color="auto"/>
      </w:divBdr>
    </w:div>
    <w:div w:id="1207908907">
      <w:marLeft w:val="0"/>
      <w:marRight w:val="0"/>
      <w:marTop w:val="0"/>
      <w:marBottom w:val="0"/>
      <w:divBdr>
        <w:top w:val="none" w:sz="0" w:space="0" w:color="auto"/>
        <w:left w:val="none" w:sz="0" w:space="0" w:color="auto"/>
        <w:bottom w:val="none" w:sz="0" w:space="0" w:color="auto"/>
        <w:right w:val="none" w:sz="0" w:space="0" w:color="auto"/>
      </w:divBdr>
    </w:div>
    <w:div w:id="1207908908">
      <w:marLeft w:val="0"/>
      <w:marRight w:val="0"/>
      <w:marTop w:val="0"/>
      <w:marBottom w:val="0"/>
      <w:divBdr>
        <w:top w:val="none" w:sz="0" w:space="0" w:color="auto"/>
        <w:left w:val="none" w:sz="0" w:space="0" w:color="auto"/>
        <w:bottom w:val="none" w:sz="0" w:space="0" w:color="auto"/>
        <w:right w:val="none" w:sz="0" w:space="0" w:color="auto"/>
      </w:divBdr>
    </w:div>
    <w:div w:id="1207908909">
      <w:marLeft w:val="0"/>
      <w:marRight w:val="0"/>
      <w:marTop w:val="0"/>
      <w:marBottom w:val="0"/>
      <w:divBdr>
        <w:top w:val="none" w:sz="0" w:space="0" w:color="auto"/>
        <w:left w:val="none" w:sz="0" w:space="0" w:color="auto"/>
        <w:bottom w:val="none" w:sz="0" w:space="0" w:color="auto"/>
        <w:right w:val="none" w:sz="0" w:space="0" w:color="auto"/>
      </w:divBdr>
    </w:div>
    <w:div w:id="1207908910">
      <w:marLeft w:val="0"/>
      <w:marRight w:val="0"/>
      <w:marTop w:val="0"/>
      <w:marBottom w:val="0"/>
      <w:divBdr>
        <w:top w:val="none" w:sz="0" w:space="0" w:color="auto"/>
        <w:left w:val="none" w:sz="0" w:space="0" w:color="auto"/>
        <w:bottom w:val="none" w:sz="0" w:space="0" w:color="auto"/>
        <w:right w:val="none" w:sz="0" w:space="0" w:color="auto"/>
      </w:divBdr>
    </w:div>
    <w:div w:id="1207908911">
      <w:marLeft w:val="0"/>
      <w:marRight w:val="0"/>
      <w:marTop w:val="0"/>
      <w:marBottom w:val="0"/>
      <w:divBdr>
        <w:top w:val="none" w:sz="0" w:space="0" w:color="auto"/>
        <w:left w:val="none" w:sz="0" w:space="0" w:color="auto"/>
        <w:bottom w:val="none" w:sz="0" w:space="0" w:color="auto"/>
        <w:right w:val="none" w:sz="0" w:space="0" w:color="auto"/>
      </w:divBdr>
    </w:div>
    <w:div w:id="1207908912">
      <w:marLeft w:val="0"/>
      <w:marRight w:val="0"/>
      <w:marTop w:val="0"/>
      <w:marBottom w:val="0"/>
      <w:divBdr>
        <w:top w:val="none" w:sz="0" w:space="0" w:color="auto"/>
        <w:left w:val="none" w:sz="0" w:space="0" w:color="auto"/>
        <w:bottom w:val="none" w:sz="0" w:space="0" w:color="auto"/>
        <w:right w:val="none" w:sz="0" w:space="0" w:color="auto"/>
      </w:divBdr>
    </w:div>
    <w:div w:id="1207908913">
      <w:marLeft w:val="0"/>
      <w:marRight w:val="0"/>
      <w:marTop w:val="0"/>
      <w:marBottom w:val="0"/>
      <w:divBdr>
        <w:top w:val="none" w:sz="0" w:space="0" w:color="auto"/>
        <w:left w:val="none" w:sz="0" w:space="0" w:color="auto"/>
        <w:bottom w:val="none" w:sz="0" w:space="0" w:color="auto"/>
        <w:right w:val="none" w:sz="0" w:space="0" w:color="auto"/>
      </w:divBdr>
    </w:div>
    <w:div w:id="1207908914">
      <w:marLeft w:val="0"/>
      <w:marRight w:val="0"/>
      <w:marTop w:val="0"/>
      <w:marBottom w:val="0"/>
      <w:divBdr>
        <w:top w:val="none" w:sz="0" w:space="0" w:color="auto"/>
        <w:left w:val="none" w:sz="0" w:space="0" w:color="auto"/>
        <w:bottom w:val="none" w:sz="0" w:space="0" w:color="auto"/>
        <w:right w:val="none" w:sz="0" w:space="0" w:color="auto"/>
      </w:divBdr>
    </w:div>
    <w:div w:id="1207908915">
      <w:marLeft w:val="0"/>
      <w:marRight w:val="0"/>
      <w:marTop w:val="0"/>
      <w:marBottom w:val="0"/>
      <w:divBdr>
        <w:top w:val="none" w:sz="0" w:space="0" w:color="auto"/>
        <w:left w:val="none" w:sz="0" w:space="0" w:color="auto"/>
        <w:bottom w:val="none" w:sz="0" w:space="0" w:color="auto"/>
        <w:right w:val="none" w:sz="0" w:space="0" w:color="auto"/>
      </w:divBdr>
    </w:div>
    <w:div w:id="1207908916">
      <w:marLeft w:val="0"/>
      <w:marRight w:val="0"/>
      <w:marTop w:val="0"/>
      <w:marBottom w:val="0"/>
      <w:divBdr>
        <w:top w:val="none" w:sz="0" w:space="0" w:color="auto"/>
        <w:left w:val="none" w:sz="0" w:space="0" w:color="auto"/>
        <w:bottom w:val="none" w:sz="0" w:space="0" w:color="auto"/>
        <w:right w:val="none" w:sz="0" w:space="0" w:color="auto"/>
      </w:divBdr>
    </w:div>
    <w:div w:id="1207908917">
      <w:marLeft w:val="0"/>
      <w:marRight w:val="0"/>
      <w:marTop w:val="0"/>
      <w:marBottom w:val="0"/>
      <w:divBdr>
        <w:top w:val="none" w:sz="0" w:space="0" w:color="auto"/>
        <w:left w:val="none" w:sz="0" w:space="0" w:color="auto"/>
        <w:bottom w:val="none" w:sz="0" w:space="0" w:color="auto"/>
        <w:right w:val="none" w:sz="0" w:space="0" w:color="auto"/>
      </w:divBdr>
    </w:div>
    <w:div w:id="1207908918">
      <w:marLeft w:val="0"/>
      <w:marRight w:val="0"/>
      <w:marTop w:val="0"/>
      <w:marBottom w:val="0"/>
      <w:divBdr>
        <w:top w:val="none" w:sz="0" w:space="0" w:color="auto"/>
        <w:left w:val="none" w:sz="0" w:space="0" w:color="auto"/>
        <w:bottom w:val="none" w:sz="0" w:space="0" w:color="auto"/>
        <w:right w:val="none" w:sz="0" w:space="0" w:color="auto"/>
      </w:divBdr>
    </w:div>
    <w:div w:id="1207908919">
      <w:marLeft w:val="0"/>
      <w:marRight w:val="0"/>
      <w:marTop w:val="0"/>
      <w:marBottom w:val="0"/>
      <w:divBdr>
        <w:top w:val="none" w:sz="0" w:space="0" w:color="auto"/>
        <w:left w:val="none" w:sz="0" w:space="0" w:color="auto"/>
        <w:bottom w:val="none" w:sz="0" w:space="0" w:color="auto"/>
        <w:right w:val="none" w:sz="0" w:space="0" w:color="auto"/>
      </w:divBdr>
    </w:div>
    <w:div w:id="1207908920">
      <w:marLeft w:val="0"/>
      <w:marRight w:val="0"/>
      <w:marTop w:val="0"/>
      <w:marBottom w:val="0"/>
      <w:divBdr>
        <w:top w:val="none" w:sz="0" w:space="0" w:color="auto"/>
        <w:left w:val="none" w:sz="0" w:space="0" w:color="auto"/>
        <w:bottom w:val="none" w:sz="0" w:space="0" w:color="auto"/>
        <w:right w:val="none" w:sz="0" w:space="0" w:color="auto"/>
      </w:divBdr>
    </w:div>
    <w:div w:id="1207908921">
      <w:marLeft w:val="0"/>
      <w:marRight w:val="0"/>
      <w:marTop w:val="0"/>
      <w:marBottom w:val="0"/>
      <w:divBdr>
        <w:top w:val="none" w:sz="0" w:space="0" w:color="auto"/>
        <w:left w:val="none" w:sz="0" w:space="0" w:color="auto"/>
        <w:bottom w:val="none" w:sz="0" w:space="0" w:color="auto"/>
        <w:right w:val="none" w:sz="0" w:space="0" w:color="auto"/>
      </w:divBdr>
    </w:div>
    <w:div w:id="1207908922">
      <w:marLeft w:val="0"/>
      <w:marRight w:val="0"/>
      <w:marTop w:val="0"/>
      <w:marBottom w:val="0"/>
      <w:divBdr>
        <w:top w:val="none" w:sz="0" w:space="0" w:color="auto"/>
        <w:left w:val="none" w:sz="0" w:space="0" w:color="auto"/>
        <w:bottom w:val="none" w:sz="0" w:space="0" w:color="auto"/>
        <w:right w:val="none" w:sz="0" w:space="0" w:color="auto"/>
      </w:divBdr>
    </w:div>
    <w:div w:id="1207908923">
      <w:marLeft w:val="0"/>
      <w:marRight w:val="0"/>
      <w:marTop w:val="0"/>
      <w:marBottom w:val="0"/>
      <w:divBdr>
        <w:top w:val="none" w:sz="0" w:space="0" w:color="auto"/>
        <w:left w:val="none" w:sz="0" w:space="0" w:color="auto"/>
        <w:bottom w:val="none" w:sz="0" w:space="0" w:color="auto"/>
        <w:right w:val="none" w:sz="0" w:space="0" w:color="auto"/>
      </w:divBdr>
    </w:div>
    <w:div w:id="1207908924">
      <w:marLeft w:val="0"/>
      <w:marRight w:val="0"/>
      <w:marTop w:val="0"/>
      <w:marBottom w:val="0"/>
      <w:divBdr>
        <w:top w:val="none" w:sz="0" w:space="0" w:color="auto"/>
        <w:left w:val="none" w:sz="0" w:space="0" w:color="auto"/>
        <w:bottom w:val="none" w:sz="0" w:space="0" w:color="auto"/>
        <w:right w:val="none" w:sz="0" w:space="0" w:color="auto"/>
      </w:divBdr>
    </w:div>
    <w:div w:id="1207908925">
      <w:marLeft w:val="0"/>
      <w:marRight w:val="0"/>
      <w:marTop w:val="0"/>
      <w:marBottom w:val="0"/>
      <w:divBdr>
        <w:top w:val="none" w:sz="0" w:space="0" w:color="auto"/>
        <w:left w:val="none" w:sz="0" w:space="0" w:color="auto"/>
        <w:bottom w:val="none" w:sz="0" w:space="0" w:color="auto"/>
        <w:right w:val="none" w:sz="0" w:space="0" w:color="auto"/>
      </w:divBdr>
    </w:div>
    <w:div w:id="1207908926">
      <w:marLeft w:val="0"/>
      <w:marRight w:val="0"/>
      <w:marTop w:val="0"/>
      <w:marBottom w:val="0"/>
      <w:divBdr>
        <w:top w:val="none" w:sz="0" w:space="0" w:color="auto"/>
        <w:left w:val="none" w:sz="0" w:space="0" w:color="auto"/>
        <w:bottom w:val="none" w:sz="0" w:space="0" w:color="auto"/>
        <w:right w:val="none" w:sz="0" w:space="0" w:color="auto"/>
      </w:divBdr>
    </w:div>
    <w:div w:id="1207908927">
      <w:marLeft w:val="0"/>
      <w:marRight w:val="0"/>
      <w:marTop w:val="0"/>
      <w:marBottom w:val="0"/>
      <w:divBdr>
        <w:top w:val="none" w:sz="0" w:space="0" w:color="auto"/>
        <w:left w:val="none" w:sz="0" w:space="0" w:color="auto"/>
        <w:bottom w:val="none" w:sz="0" w:space="0" w:color="auto"/>
        <w:right w:val="none" w:sz="0" w:space="0" w:color="auto"/>
      </w:divBdr>
    </w:div>
    <w:div w:id="1207908928">
      <w:marLeft w:val="0"/>
      <w:marRight w:val="0"/>
      <w:marTop w:val="0"/>
      <w:marBottom w:val="0"/>
      <w:divBdr>
        <w:top w:val="none" w:sz="0" w:space="0" w:color="auto"/>
        <w:left w:val="none" w:sz="0" w:space="0" w:color="auto"/>
        <w:bottom w:val="none" w:sz="0" w:space="0" w:color="auto"/>
        <w:right w:val="none" w:sz="0" w:space="0" w:color="auto"/>
      </w:divBdr>
    </w:div>
    <w:div w:id="1207908929">
      <w:marLeft w:val="0"/>
      <w:marRight w:val="0"/>
      <w:marTop w:val="0"/>
      <w:marBottom w:val="0"/>
      <w:divBdr>
        <w:top w:val="none" w:sz="0" w:space="0" w:color="auto"/>
        <w:left w:val="none" w:sz="0" w:space="0" w:color="auto"/>
        <w:bottom w:val="none" w:sz="0" w:space="0" w:color="auto"/>
        <w:right w:val="none" w:sz="0" w:space="0" w:color="auto"/>
      </w:divBdr>
    </w:div>
    <w:div w:id="1207908930">
      <w:marLeft w:val="0"/>
      <w:marRight w:val="0"/>
      <w:marTop w:val="0"/>
      <w:marBottom w:val="0"/>
      <w:divBdr>
        <w:top w:val="none" w:sz="0" w:space="0" w:color="auto"/>
        <w:left w:val="none" w:sz="0" w:space="0" w:color="auto"/>
        <w:bottom w:val="none" w:sz="0" w:space="0" w:color="auto"/>
        <w:right w:val="none" w:sz="0" w:space="0" w:color="auto"/>
      </w:divBdr>
    </w:div>
    <w:div w:id="1207908931">
      <w:marLeft w:val="0"/>
      <w:marRight w:val="0"/>
      <w:marTop w:val="0"/>
      <w:marBottom w:val="0"/>
      <w:divBdr>
        <w:top w:val="none" w:sz="0" w:space="0" w:color="auto"/>
        <w:left w:val="none" w:sz="0" w:space="0" w:color="auto"/>
        <w:bottom w:val="none" w:sz="0" w:space="0" w:color="auto"/>
        <w:right w:val="none" w:sz="0" w:space="0" w:color="auto"/>
      </w:divBdr>
    </w:div>
    <w:div w:id="1207908932">
      <w:marLeft w:val="0"/>
      <w:marRight w:val="0"/>
      <w:marTop w:val="0"/>
      <w:marBottom w:val="0"/>
      <w:divBdr>
        <w:top w:val="none" w:sz="0" w:space="0" w:color="auto"/>
        <w:left w:val="none" w:sz="0" w:space="0" w:color="auto"/>
        <w:bottom w:val="none" w:sz="0" w:space="0" w:color="auto"/>
        <w:right w:val="none" w:sz="0" w:space="0" w:color="auto"/>
      </w:divBdr>
    </w:div>
    <w:div w:id="1207908933">
      <w:marLeft w:val="0"/>
      <w:marRight w:val="0"/>
      <w:marTop w:val="0"/>
      <w:marBottom w:val="0"/>
      <w:divBdr>
        <w:top w:val="none" w:sz="0" w:space="0" w:color="auto"/>
        <w:left w:val="none" w:sz="0" w:space="0" w:color="auto"/>
        <w:bottom w:val="none" w:sz="0" w:space="0" w:color="auto"/>
        <w:right w:val="none" w:sz="0" w:space="0" w:color="auto"/>
      </w:divBdr>
    </w:div>
    <w:div w:id="1207908934">
      <w:marLeft w:val="0"/>
      <w:marRight w:val="0"/>
      <w:marTop w:val="0"/>
      <w:marBottom w:val="0"/>
      <w:divBdr>
        <w:top w:val="none" w:sz="0" w:space="0" w:color="auto"/>
        <w:left w:val="none" w:sz="0" w:space="0" w:color="auto"/>
        <w:bottom w:val="none" w:sz="0" w:space="0" w:color="auto"/>
        <w:right w:val="none" w:sz="0" w:space="0" w:color="auto"/>
      </w:divBdr>
    </w:div>
    <w:div w:id="1207908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1328</Words>
  <Characters>8142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KON0211A</dc:creator>
  <cp:keywords/>
  <dc:description/>
  <cp:lastModifiedBy>jn0806ab</cp:lastModifiedBy>
  <cp:revision>2</cp:revision>
  <cp:lastPrinted>2013-11-08T12:00:00Z</cp:lastPrinted>
  <dcterms:created xsi:type="dcterms:W3CDTF">2013-11-08T12:03:00Z</dcterms:created>
  <dcterms:modified xsi:type="dcterms:W3CDTF">2013-11-08T12:03:00Z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0d293f84-f9bf-48eb-9779-85df87c803c9</vt:lpwstr>
  </property>
  <property fmtid="{D5CDD505-2E9C-101B-9397-08002B2CF9AE}" pid="9" name="_dlc_DocId">
    <vt:lpwstr>M623RS5WZCRU-223-1529</vt:lpwstr>
  </property>
  <property fmtid="{D5CDD505-2E9C-101B-9397-08002B2CF9AE}" pid="10" name="_dlc_DocIdUrl">
    <vt:lpwstr>http://rkdhs-fi/ECOFIN/_layouts/DocIdRedir.aspx?ID=M623RS5WZCRU-223-1529, M623RS5WZCRU-223-1529</vt:lpwstr>
  </property>
  <property fmtid="{D5CDD505-2E9C-101B-9397-08002B2CF9AE}" pid="11" name="TaxCatchAll">
    <vt:lpwstr>17;#;#1;#</vt:lpwstr>
  </property>
  <property fmtid="{D5CDD505-2E9C-101B-9397-08002B2CF9AE}" pid="12" name="Nyckelord">
    <vt:lpwstr/>
  </property>
  <property fmtid="{D5CDD505-2E9C-101B-9397-08002B2CF9AE}" pid="13" name="Diarienummer">
    <vt:lpwstr/>
  </property>
  <property fmtid="{D5CDD505-2E9C-101B-9397-08002B2CF9AE}" pid="14" name="p9288b129226400383b88cd27048369c">
    <vt:lpwstr>4.1.2. Rådsarbete1af30613-4dfb-4481-b80b-5c962e3e508b</vt:lpwstr>
  </property>
  <property fmtid="{D5CDD505-2E9C-101B-9397-08002B2CF9AE}" pid="15" name="ja01b8bc4bea4d6683c0d8279d494392">
    <vt:lpwstr>Finansdepartementet0b2f41b1-db50-472c-80a1-d21b0254fb2b</vt:lpwstr>
  </property>
  <property fmtid="{D5CDD505-2E9C-101B-9397-08002B2CF9AE}" pid="16" name="Sekretess m.m.">
    <vt:lpwstr/>
  </property>
</Properties>
</file>