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7750A0">
        <w:tblPrEx>
          <w:tblCellMar>
            <w:top w:w="0" w:type="dxa"/>
            <w:left w:w="0" w:type="dxa"/>
            <w:bottom w:w="0" w:type="dxa"/>
            <w:right w:w="0" w:type="dxa"/>
          </w:tblCellMar>
        </w:tblPrEx>
        <w:trPr>
          <w:gridAfter w:val="2"/>
          <w:wAfter w:w="1758" w:type="dxa"/>
          <w:cantSplit/>
          <w:trHeight w:val="1320"/>
        </w:trPr>
        <w:tc>
          <w:tcPr>
            <w:tcW w:w="5897" w:type="dxa"/>
          </w:tcPr>
          <w:p w:rsidR="0045429F" w:rsidRPr="007750A0" w:rsidRDefault="0045429F">
            <w:pPr>
              <w:pStyle w:val="HuvudRubrik"/>
            </w:pPr>
            <w:r w:rsidRPr="007750A0">
              <w:t>Regeringskansliet</w:t>
            </w:r>
          </w:p>
          <w:p w:rsidR="0045429F" w:rsidRPr="007750A0" w:rsidRDefault="0045429F">
            <w:pPr>
              <w:pStyle w:val="HuvudRubrik"/>
            </w:pPr>
            <w:r w:rsidRPr="007750A0">
              <w:t>Faktapromemoria 2003/04:FPM46</w:t>
            </w:r>
          </w:p>
        </w:tc>
      </w:tr>
      <w:tr w:rsidR="00000000" w:rsidRPr="007750A0">
        <w:tblPrEx>
          <w:tblCellMar>
            <w:top w:w="0" w:type="dxa"/>
            <w:left w:w="0" w:type="dxa"/>
            <w:bottom w:w="0" w:type="dxa"/>
            <w:right w:w="0" w:type="dxa"/>
          </w:tblCellMar>
        </w:tblPrEx>
        <w:trPr>
          <w:gridAfter w:val="2"/>
          <w:wAfter w:w="1758" w:type="dxa"/>
          <w:cantSplit/>
          <w:trHeight w:val="240"/>
        </w:trPr>
        <w:tc>
          <w:tcPr>
            <w:tcW w:w="5897" w:type="dxa"/>
          </w:tcPr>
          <w:p w:rsidR="0045429F" w:rsidRPr="007750A0" w:rsidRDefault="0045429F">
            <w:pPr>
              <w:pStyle w:val="HuvudRubrik"/>
              <w:rPr>
                <w:sz w:val="28"/>
              </w:rPr>
            </w:pPr>
            <w:r w:rsidRPr="007750A0">
              <w:t>Nytt förslag för material och produkter i kontakt med livsmedel</w:t>
            </w:r>
          </w:p>
        </w:tc>
      </w:tr>
      <w:tr w:rsidR="00000000" w:rsidRPr="007750A0">
        <w:tblPrEx>
          <w:tblCellMar>
            <w:top w:w="0" w:type="dxa"/>
            <w:left w:w="0" w:type="dxa"/>
            <w:bottom w:w="0" w:type="dxa"/>
            <w:right w:w="0" w:type="dxa"/>
          </w:tblCellMar>
        </w:tblPrEx>
        <w:trPr>
          <w:cantSplit/>
          <w:trHeight w:val="285"/>
        </w:trPr>
        <w:tc>
          <w:tcPr>
            <w:tcW w:w="7655" w:type="dxa"/>
            <w:gridSpan w:val="3"/>
          </w:tcPr>
          <w:p w:rsidR="0045429F" w:rsidRPr="007750A0" w:rsidRDefault="0045429F">
            <w:pPr>
              <w:pStyle w:val="Departement"/>
              <w:rPr>
                <w:sz w:val="28"/>
              </w:rPr>
            </w:pPr>
            <w:r w:rsidRPr="007750A0">
              <w:t>Jordbruksdepartementet</w:t>
            </w:r>
          </w:p>
        </w:tc>
      </w:tr>
      <w:tr w:rsidR="00000000" w:rsidRPr="007750A0">
        <w:tblPrEx>
          <w:tblCellMar>
            <w:top w:w="0" w:type="dxa"/>
            <w:left w:w="0" w:type="dxa"/>
            <w:bottom w:w="0" w:type="dxa"/>
            <w:right w:w="0" w:type="dxa"/>
          </w:tblCellMar>
        </w:tblPrEx>
        <w:trPr>
          <w:cantSplit/>
          <w:trHeight w:val="240"/>
        </w:trPr>
        <w:tc>
          <w:tcPr>
            <w:tcW w:w="7655" w:type="dxa"/>
            <w:gridSpan w:val="3"/>
          </w:tcPr>
          <w:p w:rsidR="0045429F" w:rsidRPr="007750A0" w:rsidRDefault="0045429F">
            <w:pPr>
              <w:pStyle w:val="Dokumentdatum"/>
            </w:pPr>
            <w:r w:rsidRPr="007750A0">
              <w:t>2003-12-18</w:t>
            </w:r>
          </w:p>
        </w:tc>
      </w:tr>
      <w:tr w:rsidR="00000000" w:rsidRPr="007750A0">
        <w:tblPrEx>
          <w:tblCellMar>
            <w:top w:w="0" w:type="dxa"/>
            <w:left w:w="0" w:type="dxa"/>
            <w:bottom w:w="0" w:type="dxa"/>
            <w:right w:w="0" w:type="dxa"/>
          </w:tblCellMar>
        </w:tblPrEx>
        <w:trPr>
          <w:cantSplit/>
          <w:trHeight w:val="726"/>
        </w:trPr>
        <w:tc>
          <w:tcPr>
            <w:tcW w:w="7655" w:type="dxa"/>
            <w:gridSpan w:val="3"/>
            <w:vAlign w:val="bottom"/>
          </w:tcPr>
          <w:p w:rsidR="0045429F" w:rsidRPr="007750A0" w:rsidRDefault="0045429F">
            <w:pPr>
              <w:pStyle w:val="Dokumentbeteckning"/>
            </w:pPr>
            <w:r w:rsidRPr="007750A0">
              <w:t>Dokumentbeteckning</w:t>
            </w:r>
          </w:p>
        </w:tc>
      </w:tr>
      <w:tr w:rsidR="00000000" w:rsidRPr="007750A0">
        <w:tblPrEx>
          <w:tblCellMar>
            <w:top w:w="0" w:type="dxa"/>
            <w:left w:w="0" w:type="dxa"/>
            <w:bottom w:w="0" w:type="dxa"/>
            <w:right w:w="0" w:type="dxa"/>
          </w:tblCellMar>
        </w:tblPrEx>
        <w:trPr>
          <w:gridAfter w:val="1"/>
          <w:wAfter w:w="1560" w:type="dxa"/>
          <w:trHeight w:val="120"/>
        </w:trPr>
        <w:tc>
          <w:tcPr>
            <w:tcW w:w="6095" w:type="dxa"/>
            <w:gridSpan w:val="2"/>
          </w:tcPr>
          <w:p w:rsidR="0045429F" w:rsidRPr="007750A0" w:rsidRDefault="0045429F">
            <w:bookmarkStart w:id="0" w:name="KomNr"/>
            <w:bookmarkEnd w:id="0"/>
            <w:r w:rsidRPr="007750A0">
              <w:t>KOM(2003)689 slutlig</w:t>
            </w:r>
          </w:p>
        </w:tc>
      </w:tr>
      <w:tr w:rsidR="00000000" w:rsidRPr="007750A0">
        <w:tblPrEx>
          <w:tblCellMar>
            <w:top w:w="0" w:type="dxa"/>
            <w:left w:w="0" w:type="dxa"/>
            <w:bottom w:w="0" w:type="dxa"/>
            <w:right w:w="0" w:type="dxa"/>
          </w:tblCellMar>
        </w:tblPrEx>
        <w:trPr>
          <w:gridAfter w:val="1"/>
          <w:wAfter w:w="1560" w:type="dxa"/>
          <w:trHeight w:val="120"/>
        </w:trPr>
        <w:tc>
          <w:tcPr>
            <w:tcW w:w="6095" w:type="dxa"/>
            <w:gridSpan w:val="2"/>
          </w:tcPr>
          <w:p w:rsidR="0045429F" w:rsidRPr="007750A0" w:rsidRDefault="0045429F">
            <w:pPr>
              <w:pStyle w:val="Dokumentbeteckning-titel"/>
            </w:pPr>
            <w:r w:rsidRPr="007750A0">
              <w:t>Förslag till Europaparlamentets och rådets förordning om material och produkter avsedda att komma i kontakt med livsmedel</w:t>
            </w:r>
          </w:p>
        </w:tc>
      </w:tr>
    </w:tbl>
    <w:p w:rsidR="0045429F" w:rsidRPr="007750A0" w:rsidRDefault="0045429F">
      <w:pPr>
        <w:pStyle w:val="Rubrik1"/>
        <w:numPr>
          <w:ilvl w:val="0"/>
          <w:numId w:val="0"/>
        </w:numPr>
      </w:pPr>
      <w:r w:rsidRPr="007750A0">
        <w:t>Sammanfattning</w:t>
      </w:r>
    </w:p>
    <w:p w:rsidR="0045429F" w:rsidRPr="007750A0" w:rsidRDefault="0045429F"/>
    <w:p w:rsidR="0045429F" w:rsidRPr="007750A0" w:rsidRDefault="0045429F">
      <w:r w:rsidRPr="007750A0">
        <w:t>Förordningsförslaget avser att ersätta nu gällande gemenskapsdirektiv och ökar tydligheten, överskådligheten och effektiviteten av nuvarande bestämmelser. Nya bestämmelser som införs i förordningen är bl.a. spårbarhetskrav och utökade märkningskrav, den Europeiska livsmedelssäkerhetsmyndigheten (EFSA) involveras vid godkännandeförfarandet och att aktiva och intelligenta förpackningsmaterial införs som begrepp.</w:t>
      </w:r>
    </w:p>
    <w:p w:rsidR="0045429F" w:rsidRPr="007750A0" w:rsidRDefault="0045429F">
      <w:pPr>
        <w:pStyle w:val="Rubrik1"/>
      </w:pPr>
      <w:r w:rsidRPr="007750A0">
        <w:t>Förslaget</w:t>
      </w:r>
    </w:p>
    <w:p w:rsidR="0045429F" w:rsidRPr="007750A0" w:rsidRDefault="0045429F">
      <w:pPr>
        <w:pStyle w:val="Rubrik2"/>
      </w:pPr>
      <w:r w:rsidRPr="007750A0">
        <w:t>Innehåll</w:t>
      </w:r>
    </w:p>
    <w:p w:rsidR="0045429F" w:rsidRPr="007750A0" w:rsidRDefault="0045429F">
      <w:r w:rsidRPr="007750A0">
        <w:t>Det huvudsakliga syftet med att förpacka livsmedel är att skydda dem från fysiska, biologiska och kemiska risker. De material som används i livsmedelsförpackningar har av tradition utvecklats för att undvika att de reagerar med livsmedlet och särskilt för att minimera överföring av förpackningens beståndsdelar till livsmedlet i fråga. I den nuvarande gemenskapslagstiftningen föreskrivs följaktligen minimal påverkan och förorening av livsmedel. Förpackningsmaterialen får inte heller orsaka oacceptabla förän</w:t>
      </w:r>
      <w:r w:rsidRPr="007750A0">
        <w:t>dringar av livsmedlens sammansättning eller deras sensoriska egenskaper.</w:t>
      </w:r>
    </w:p>
    <w:p w:rsidR="0045429F" w:rsidRPr="007750A0" w:rsidRDefault="0045429F">
      <w:r w:rsidRPr="007750A0">
        <w:t xml:space="preserve">På grundval av de skillnader i nationell lagstiftning som hindrade fri rörlighet för material och produkter avsedda att komma i kontakt med livsmedel antogs år 1988 ett ramdirektiv (89/109/EEG), vilket innebar en tillnärmning av </w:t>
      </w:r>
      <w:r w:rsidRPr="007750A0">
        <w:lastRenderedPageBreak/>
        <w:t xml:space="preserve">medlemsstaternas lagstiftning på området samtidigt som konsumenternas hälsa och intressen skyddas. I direktivet fastställdes vissa principer som gäller alla material avsedda för att komma i kontakt med livsmedel och det upprättades också en lista över material och produkter som kan omfattas av särdirektiv. </w:t>
      </w:r>
    </w:p>
    <w:p w:rsidR="0045429F" w:rsidRPr="007750A0" w:rsidRDefault="0045429F">
      <w:r w:rsidRPr="007750A0">
        <w:t>Sedan direktivet antogs har flera nya aspekter uppstått som måste beaktas i lagstiftningen, vilket har lett till omfattande och frekventa antaganden av särdirektiv. Ett behov av att revidera nuvarande la</w:t>
      </w:r>
      <w:r w:rsidRPr="007750A0">
        <w:t>gstiftning har uppstått varför ett förslag till ny rättsakt i form av en förordning arbetats fram och antagits som förslag av kommissionen den 17 november 2003. Att kommissionen nu presenterar bestämmelser i en förordning, i stället för ett direktiv motiveras av att de föreslagna bestämmelserna direkt kan tillämpas i hela gemenskapen.</w:t>
      </w:r>
      <w:r w:rsidRPr="007750A0">
        <w:rPr>
          <w:color w:val="000000"/>
        </w:rPr>
        <w:t xml:space="preserve"> </w:t>
      </w:r>
      <w:r w:rsidRPr="007750A0">
        <w:t>Detta är viktigt mot bakgrund av den utvidgade gemenskap som snart kommer att omfatta 25 medlemsstater och som verkligen kommer att dra nytta av enhetliga och direkt tillämpli</w:t>
      </w:r>
      <w:r w:rsidRPr="007750A0">
        <w:t>ga bestämmelser inom sitt territorium.</w:t>
      </w:r>
    </w:p>
    <w:p w:rsidR="0045429F" w:rsidRPr="007750A0" w:rsidRDefault="0045429F">
      <w:pPr>
        <w:keepNext/>
        <w:keepLines/>
      </w:pPr>
      <w:r w:rsidRPr="007750A0">
        <w:t xml:space="preserve">Syftet med förordningsförslaget är att: </w:t>
      </w:r>
    </w:p>
    <w:p w:rsidR="0045429F" w:rsidRPr="007750A0" w:rsidRDefault="0045429F">
      <w:pPr>
        <w:ind w:left="284" w:hanging="284"/>
        <w:jc w:val="left"/>
      </w:pPr>
      <w:r w:rsidRPr="007750A0">
        <w:t xml:space="preserve">– </w:t>
      </w:r>
      <w:r w:rsidRPr="007750A0">
        <w:tab/>
        <w:t>säkerställa en hög nivå av skydd för människors hälsa och konsumenternas intressen,</w:t>
      </w:r>
    </w:p>
    <w:p w:rsidR="0045429F" w:rsidRPr="007750A0" w:rsidRDefault="0045429F">
      <w:pPr>
        <w:ind w:left="284" w:hanging="284"/>
        <w:jc w:val="left"/>
      </w:pPr>
      <w:r w:rsidRPr="007750A0">
        <w:t xml:space="preserve">– </w:t>
      </w:r>
      <w:r w:rsidRPr="007750A0">
        <w:tab/>
        <w:t>säkerställa fri rörlighet för material och produkter avsedda att komma i kontakt med livsmedel,</w:t>
      </w:r>
    </w:p>
    <w:p w:rsidR="0045429F" w:rsidRPr="007750A0" w:rsidRDefault="0045429F">
      <w:pPr>
        <w:ind w:left="284" w:hanging="284"/>
        <w:jc w:val="left"/>
      </w:pPr>
      <w:r w:rsidRPr="007750A0">
        <w:t xml:space="preserve">– </w:t>
      </w:r>
      <w:r w:rsidRPr="007750A0">
        <w:tab/>
        <w:t>beakta viktig teknisk utveckling gällande livsmedelsförpackningar,</w:t>
      </w:r>
    </w:p>
    <w:p w:rsidR="0045429F" w:rsidRPr="007750A0" w:rsidRDefault="0045429F">
      <w:pPr>
        <w:ind w:left="284" w:hanging="284"/>
        <w:jc w:val="left"/>
      </w:pPr>
      <w:r w:rsidRPr="007750A0">
        <w:t xml:space="preserve">– </w:t>
      </w:r>
      <w:r w:rsidRPr="007750A0">
        <w:tab/>
        <w:t>säkerställa bättre spårbarhet hos och märkning av material och produkter avsedda att komma i kontakt med livsmedel,</w:t>
      </w:r>
    </w:p>
    <w:p w:rsidR="0045429F" w:rsidRPr="007750A0" w:rsidRDefault="0045429F">
      <w:pPr>
        <w:ind w:left="284" w:hanging="284"/>
        <w:jc w:val="left"/>
      </w:pPr>
      <w:r w:rsidRPr="007750A0">
        <w:t xml:space="preserve">– </w:t>
      </w:r>
      <w:r w:rsidRPr="007750A0">
        <w:tab/>
        <w:t>förbättra insynen i godkännandeförfarandet genom att specificera förfarandets olika faser och</w:t>
      </w:r>
    </w:p>
    <w:p w:rsidR="0045429F" w:rsidRPr="007750A0" w:rsidRDefault="0045429F">
      <w:pPr>
        <w:ind w:left="284" w:hanging="284"/>
        <w:jc w:val="left"/>
      </w:pPr>
      <w:r w:rsidRPr="007750A0">
        <w:t xml:space="preserve">– </w:t>
      </w:r>
      <w:r w:rsidRPr="007750A0">
        <w:tab/>
        <w:t>säkerställa att bestämmelserna efterlevs, vilket kan ske genom att det inrättas ett referenslaboratorium på gemenskapsnivå med samarbete med nationella referenslaboratorier.</w:t>
      </w:r>
    </w:p>
    <w:p w:rsidR="0045429F" w:rsidRPr="007750A0" w:rsidRDefault="0045429F">
      <w:r w:rsidRPr="007750A0">
        <w:t>De viktigaste ändringarna som förordningen innebär är att:</w:t>
      </w:r>
    </w:p>
    <w:p w:rsidR="0045429F" w:rsidRPr="007750A0" w:rsidRDefault="0045429F">
      <w:pPr>
        <w:ind w:left="284" w:hanging="284"/>
        <w:jc w:val="left"/>
      </w:pPr>
      <w:r w:rsidRPr="007750A0">
        <w:t xml:space="preserve">– </w:t>
      </w:r>
      <w:r w:rsidRPr="007750A0">
        <w:tab/>
        <w:t>kommissionen ges utökade möjligheter att välja lämpliga genomförandeåtgärder och inte bara anta direktiv utan också beslut och förordningar, då de senare är mer lämpade för bestämmelser som ”positivlistor”,</w:t>
      </w:r>
    </w:p>
    <w:p w:rsidR="0045429F" w:rsidRPr="007750A0" w:rsidRDefault="0045429F">
      <w:pPr>
        <w:ind w:left="284" w:hanging="284"/>
        <w:jc w:val="left"/>
      </w:pPr>
      <w:r w:rsidRPr="007750A0">
        <w:t xml:space="preserve">– </w:t>
      </w:r>
      <w:r w:rsidRPr="007750A0">
        <w:tab/>
        <w:t>bestämmelser om aktiva och intelligenta material och produkter införs i gemenskapen,</w:t>
      </w:r>
    </w:p>
    <w:p w:rsidR="0045429F" w:rsidRPr="007750A0" w:rsidRDefault="0045429F">
      <w:pPr>
        <w:ind w:left="284" w:hanging="284"/>
        <w:jc w:val="left"/>
      </w:pPr>
      <w:r w:rsidRPr="007750A0">
        <w:t xml:space="preserve">– </w:t>
      </w:r>
      <w:r w:rsidRPr="007750A0">
        <w:tab/>
        <w:t>spårbarhetskrav för material avsedda att komma i kontakt med livsmedel införs, vilket innebär fördelar för konsumenten om problem uppstår och gör det möjligt för företag att begränsa återkallandet till defekta produkter samt</w:t>
      </w:r>
    </w:p>
    <w:p w:rsidR="0045429F" w:rsidRPr="007750A0" w:rsidRDefault="0045429F"/>
    <w:p w:rsidR="0045429F" w:rsidRPr="007750A0" w:rsidRDefault="0045429F">
      <w:r w:rsidRPr="007750A0">
        <w:t xml:space="preserve">– </w:t>
      </w:r>
      <w:r w:rsidRPr="007750A0">
        <w:tab/>
        <w:t>godkännandeförfarandet för nya material och inrättandet av ”positivlistor” för godkända ämnen förtydligas, vilket bl.a. innebär att EFSA ska lämna vetenskapliga yttranden.</w:t>
      </w:r>
    </w:p>
    <w:p w:rsidR="0045429F" w:rsidRPr="007750A0" w:rsidRDefault="0045429F"/>
    <w:p w:rsidR="0045429F" w:rsidRPr="007750A0" w:rsidRDefault="0045429F">
      <w:r w:rsidRPr="007750A0">
        <w:t>Aktiva material och produkter är nya begrepp som införs i bestämmelserna och avser material utformade för att interagera med livsmedlen i syfte att bevara eller förbättra deras tillstånd i samband med förvaring eller för att t.ex. förlänga dess hållbarhet. Detta innebär att den traditionella användningen av livsmedelsförpackningar modifieras. Exempel på aktiva material är radikalfångare, konserveringsmedel, material som avger antioxidanter eller etylenabsorberare för färskvaror. En annan typ av ny förpackni</w:t>
      </w:r>
      <w:r w:rsidRPr="007750A0">
        <w:t>ng kallas intelligent och kan ge information om livsmedlets faktiska tillstånd.</w:t>
      </w:r>
    </w:p>
    <w:p w:rsidR="0045429F" w:rsidRPr="007750A0" w:rsidRDefault="0045429F"/>
    <w:p w:rsidR="0045429F" w:rsidRPr="007750A0" w:rsidRDefault="0045429F">
      <w:r w:rsidRPr="007750A0">
        <w:t xml:space="preserve">I förslaget införs även krav på märkning av alla produkter och material avsedda att komma i kontakt med livsmedel. Den symbol som definieras i direktiv 80/590/EEG (se figur 1) integreras i förordningen och alla produkter eller material skall märkas med orden ”lämplig för till livsmedel” eller med symbolen. </w:t>
      </w:r>
    </w:p>
    <w:p w:rsidR="0045429F" w:rsidRPr="007750A0" w:rsidRDefault="0045429F"/>
    <w:p w:rsidR="0045429F" w:rsidRPr="007750A0" w:rsidRDefault="007750A0">
      <w:r w:rsidRPr="007750A0">
        <w:rPr>
          <w:noProof/>
        </w:rPr>
        <w:drawing>
          <wp:anchor distT="0" distB="0" distL="114300" distR="114300" simplePos="0" relativeHeight="251657728" behindDoc="0" locked="0" layoutInCell="0" allowOverlap="1">
            <wp:simplePos x="0" y="0"/>
            <wp:positionH relativeFrom="column">
              <wp:posOffset>245745</wp:posOffset>
            </wp:positionH>
            <wp:positionV relativeFrom="paragraph">
              <wp:posOffset>36195</wp:posOffset>
            </wp:positionV>
            <wp:extent cx="809625" cy="733425"/>
            <wp:effectExtent l="0" t="0" r="0" b="0"/>
            <wp:wrapNone/>
            <wp:docPr id="11" name="Bild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9625" cy="7334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5429F" w:rsidRPr="007750A0" w:rsidRDefault="0045429F"/>
    <w:p w:rsidR="0045429F" w:rsidRPr="007750A0" w:rsidRDefault="0045429F"/>
    <w:p w:rsidR="0045429F" w:rsidRPr="007750A0" w:rsidRDefault="0045429F"/>
    <w:p w:rsidR="0045429F" w:rsidRPr="007750A0" w:rsidRDefault="0045429F"/>
    <w:p w:rsidR="0045429F" w:rsidRPr="007750A0" w:rsidRDefault="0045429F">
      <w:r w:rsidRPr="007750A0">
        <w:t>Figur 1. Symbolen i direktiv 80/590/EEG</w:t>
      </w:r>
    </w:p>
    <w:p w:rsidR="0045429F" w:rsidRPr="007750A0" w:rsidRDefault="0045429F"/>
    <w:p w:rsidR="0045429F" w:rsidRPr="007750A0" w:rsidRDefault="0045429F">
      <w:r w:rsidRPr="007750A0">
        <w:t xml:space="preserve">I direktivet 89/109/EEG upprättades en lista över material och produkter som kan omfattas av särdirektiv. Detta har visat sig vara ändamålsenligt och i bilaga 1 till förordningen finns en lista med 16 grupper med material som kan regleras genom särskilda åtgärder. Utöver aktiva och intelligenta material och produkter föreslås att ytterligare tre materialgrupper läggs till i listan; jonbyteshartser, lim och klister samt tryckfärger. </w:t>
      </w:r>
    </w:p>
    <w:p w:rsidR="0045429F" w:rsidRPr="007750A0" w:rsidRDefault="0045429F">
      <w:pPr>
        <w:pStyle w:val="Rubrik2"/>
      </w:pPr>
      <w:r w:rsidRPr="007750A0">
        <w:t>Gällande svenska regler och förslagets effekt på dessa</w:t>
      </w:r>
    </w:p>
    <w:p w:rsidR="0045429F" w:rsidRPr="007750A0" w:rsidRDefault="0045429F">
      <w:r w:rsidRPr="007750A0">
        <w:t>Nuvarande svenska föreskrifter (LIVSFS 2003:2) är baserade på rådets direktiv 89/109/EEG och 80/590/EEG.</w:t>
      </w:r>
      <w:r w:rsidRPr="007750A0">
        <w:rPr>
          <w:rStyle w:val="Fotnotsreferens"/>
        </w:rPr>
        <w:footnoteReference w:id="1"/>
      </w:r>
      <w:r w:rsidRPr="007750A0">
        <w:t xml:space="preserve"> Förslaget till förordning ersätter de båda direktiven 89/109/EEG och 80/590/EEG vilka upphör att gälla. Förordningen är direkt tillämplig i alla medlemsstater varför de delar av de svenska föreskrifterna som genomför dessa direktiv kommer att upphöra.</w:t>
      </w:r>
    </w:p>
    <w:p w:rsidR="0045429F" w:rsidRPr="007750A0" w:rsidRDefault="0045429F">
      <w:pPr>
        <w:pStyle w:val="Rubrik2"/>
      </w:pPr>
      <w:r w:rsidRPr="007750A0">
        <w:t>Budgetära konsekvenser</w:t>
      </w:r>
    </w:p>
    <w:p w:rsidR="0045429F" w:rsidRPr="007750A0" w:rsidRDefault="0045429F">
      <w:r w:rsidRPr="007750A0">
        <w:t>Förslaget förväntas att för svenskt vidkommande inte få några budgetära konsekvenser. Förslaget förväntas inte heller medföra några sociala konsekvenser eller miljökonsekvenser.</w:t>
      </w:r>
    </w:p>
    <w:p w:rsidR="0045429F" w:rsidRPr="007750A0" w:rsidRDefault="0045429F">
      <w:r w:rsidRPr="007750A0">
        <w:t>Införandet av spårbarhetsbestämmelser, liknande de som gäller för livsmedel enligt artikel 18 i förordning 178/2002 (Livsmedelslagen), kommer att medföra vissa kostnader för branschen. Det bör dock påpekas att de flesta företag redan har rutiner för spårbarhet då detta redan är ett krav i många kvalitetsledningssystem.</w:t>
      </w:r>
    </w:p>
    <w:p w:rsidR="0045429F" w:rsidRPr="007750A0" w:rsidRDefault="0045429F">
      <w:pPr>
        <w:pStyle w:val="Rubrik1"/>
      </w:pPr>
      <w:r w:rsidRPr="007750A0">
        <w:t>Ståndpunkter</w:t>
      </w:r>
    </w:p>
    <w:p w:rsidR="0045429F" w:rsidRPr="007750A0" w:rsidRDefault="0045429F">
      <w:r w:rsidRPr="007750A0">
        <w:t xml:space="preserve">Innan kommissionen antog sitt förslag har preliminära versioner, genom kommissionens försorg, varit föremål för samråd mellan medlemsstaterna och berörda parter och branscher. Branschen uttryckte farhågor om bestämmelserna om spårbarhet men efter inrättandet av en sambandskommitté vars uppgift var att undersöka de föreslagna bestämmelserna, godtogs till sist kraven på spårbarhet av de olika involverade branscherna. </w:t>
      </w:r>
    </w:p>
    <w:p w:rsidR="0045429F" w:rsidRPr="007750A0" w:rsidRDefault="0045429F">
      <w:pPr>
        <w:pStyle w:val="Rubrik2"/>
      </w:pPr>
      <w:r w:rsidRPr="007750A0">
        <w:t>Svensk ståndpunkt</w:t>
      </w:r>
    </w:p>
    <w:p w:rsidR="0045429F" w:rsidRPr="007750A0" w:rsidRDefault="0045429F">
      <w:r w:rsidRPr="007750A0">
        <w:t>Den preliminära svenska ståndpunkten är att Sverige välkomnar förslaget. Förslaget ökar tydligheten, överskådligheten och effektiviteten. Slutlig svensk ståndpunkt har ännu inte fastlagts då förslaget fortfarande analyseras.</w:t>
      </w:r>
    </w:p>
    <w:p w:rsidR="0045429F" w:rsidRPr="007750A0" w:rsidRDefault="0045429F">
      <w:pPr>
        <w:pStyle w:val="Rubrik2"/>
      </w:pPr>
      <w:r w:rsidRPr="007750A0">
        <w:t>Medlemsstaternas ståndpunkter</w:t>
      </w:r>
    </w:p>
    <w:p w:rsidR="0045429F" w:rsidRPr="007750A0" w:rsidRDefault="0045429F">
      <w:r w:rsidRPr="007750A0">
        <w:t>Medlemsstaternas ståndpunkter är ännu inte kända.</w:t>
      </w:r>
    </w:p>
    <w:p w:rsidR="0045429F" w:rsidRPr="007750A0" w:rsidRDefault="0045429F">
      <w:pPr>
        <w:pStyle w:val="Rubrik2"/>
      </w:pPr>
      <w:r w:rsidRPr="007750A0">
        <w:t>Institutionernas ståndpunkter</w:t>
      </w:r>
    </w:p>
    <w:p w:rsidR="0045429F" w:rsidRPr="007750A0" w:rsidRDefault="0045429F">
      <w:r w:rsidRPr="007750A0">
        <w:t xml:space="preserve">Förslaget är skickat till Europaparlamentet och till Europeiska ekonomiska och sociala kommittén. Deras ståndpunkter är ännu inte kända. </w:t>
      </w:r>
    </w:p>
    <w:p w:rsidR="0045429F" w:rsidRPr="007750A0" w:rsidRDefault="0045429F">
      <w:pPr>
        <w:pStyle w:val="Rubrik2"/>
      </w:pPr>
      <w:r w:rsidRPr="007750A0">
        <w:t>Remissinstansernas ståndpunkter</w:t>
      </w:r>
    </w:p>
    <w:p w:rsidR="0045429F" w:rsidRPr="007750A0" w:rsidRDefault="0045429F">
      <w:r w:rsidRPr="007750A0">
        <w:t>Förslaget är sänt på remiss från Livsmedelsverket till de svenska intressenterna. Sista svarsdatum är den 12 januari 2004 varför remissinstansernas ståndpunkter ännu inte är kända.</w:t>
      </w:r>
    </w:p>
    <w:p w:rsidR="0045429F" w:rsidRPr="007750A0" w:rsidRDefault="0045429F">
      <w:pPr>
        <w:pStyle w:val="Rubrik1"/>
      </w:pPr>
      <w:r w:rsidRPr="007750A0">
        <w:t>Övrigt</w:t>
      </w:r>
    </w:p>
    <w:p w:rsidR="0045429F" w:rsidRPr="007750A0" w:rsidRDefault="0045429F">
      <w:pPr>
        <w:pStyle w:val="Rubrik2"/>
      </w:pPr>
      <w:r w:rsidRPr="007750A0">
        <w:t>Fortsatt behandling av ärendet</w:t>
      </w:r>
    </w:p>
    <w:p w:rsidR="0045429F" w:rsidRPr="007750A0" w:rsidRDefault="0045429F">
      <w:r w:rsidRPr="007750A0">
        <w:t>Arbetet i en rådsarbetsgrupp för behandling av förslaget förväntas starta under våren 2004 under ledning av det irländska ordförandeskapet. En gemensam ståndpunkt från rådet kommer troligen under sommaren 2004.</w:t>
      </w:r>
    </w:p>
    <w:p w:rsidR="0045429F" w:rsidRPr="007750A0" w:rsidRDefault="0045429F">
      <w:r w:rsidRPr="007750A0">
        <w:t>Astrid Thors är ansvarig rapportör från Europaparlamentets utskott för miljö, folkhälsa och konsumentfrågor. Skuggrapportör är ännu inte utsedd. Europaparlamentets första läsning är aviserad till april 2004.</w:t>
      </w:r>
    </w:p>
    <w:p w:rsidR="0045429F" w:rsidRPr="007750A0" w:rsidRDefault="0045429F">
      <w:pPr>
        <w:pStyle w:val="Rubrik2"/>
      </w:pPr>
      <w:r w:rsidRPr="007750A0">
        <w:t>Rättslig grund och beslutsförfarande</w:t>
      </w:r>
    </w:p>
    <w:p w:rsidR="0045429F" w:rsidRPr="007750A0" w:rsidRDefault="0045429F">
      <w:r w:rsidRPr="007750A0">
        <w:rPr>
          <w:rFonts w:ascii="TimesNewRoman" w:hAnsi="TimesNewRoman"/>
        </w:rPr>
        <w:t>Rättslig grund är artikel 95 i EG-fördraget och beslutet fattas i enlighet med medbeslutandeförfarandet i artikel 251 i EG-fördraget.</w:t>
      </w:r>
    </w:p>
    <w:p w:rsidR="0045429F" w:rsidRPr="007750A0" w:rsidRDefault="0045429F">
      <w:pPr>
        <w:pStyle w:val="Rubrik2"/>
      </w:pPr>
      <w:r w:rsidRPr="007750A0">
        <w:t>Fackuttryck/termer</w:t>
      </w:r>
    </w:p>
    <w:p w:rsidR="0045429F" w:rsidRPr="007750A0" w:rsidRDefault="0045429F">
      <w:r w:rsidRPr="007750A0">
        <w:t>I förslaget införs följande två nya begrepp;</w:t>
      </w:r>
    </w:p>
    <w:p w:rsidR="0045429F" w:rsidRPr="007750A0" w:rsidRDefault="0045429F">
      <w:r w:rsidRPr="007750A0">
        <w:rPr>
          <w:i/>
        </w:rPr>
        <w:t>Aktiva material och produkter avsedda att komma i kontakt med livsmedel</w:t>
      </w:r>
      <w:r w:rsidRPr="007750A0">
        <w:t>: Material och produkter som är avsedda att öka ett livsmedels hållbarhet eller bevara eller förbättra förpackade livsmedels skick. De är utformade så att de avsiktligt skall innehålla komponenter som frigör eller absorberar ämnen i eller från förpackade livsmedel eller livsmedlets omgivning.</w:t>
      </w:r>
    </w:p>
    <w:p w:rsidR="0045429F" w:rsidRPr="007750A0" w:rsidRDefault="0045429F">
      <w:pPr>
        <w:rPr>
          <w:color w:val="000000"/>
        </w:rPr>
      </w:pPr>
      <w:r w:rsidRPr="007750A0">
        <w:rPr>
          <w:i/>
        </w:rPr>
        <w:t>Intelligenta material och produkter avsedda att komma i kontakt med livsmedel:</w:t>
      </w:r>
      <w:r w:rsidRPr="007750A0">
        <w:t xml:space="preserve"> material och produkter som övervakar ett förpackat livsmedels skick eller omgivning och därmed kan ge (konsumenten) upplysning/information om förpackningsinnehållets beskaffenhet.</w:t>
      </w:r>
    </w:p>
    <w:p w:rsidR="0045429F" w:rsidRPr="007750A0" w:rsidRDefault="0045429F"/>
    <w:p w:rsidR="0045429F" w:rsidRPr="007750A0" w:rsidRDefault="0045429F"/>
    <w:sectPr w:rsidR="0045429F" w:rsidRPr="007750A0">
      <w:headerReference w:type="default" r:id="rId8"/>
      <w:footerReference w:type="default" r:id="rId9"/>
      <w:headerReference w:type="first" r:id="rId10"/>
      <w:footerReference w:type="first" r:id="rId11"/>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5429F" w:rsidRPr="007750A0" w:rsidRDefault="0045429F">
      <w:pPr>
        <w:spacing w:before="0" w:line="240" w:lineRule="auto"/>
      </w:pPr>
      <w:r w:rsidRPr="007750A0">
        <w:separator/>
      </w:r>
    </w:p>
  </w:endnote>
  <w:endnote w:type="continuationSeparator" w:id="0">
    <w:p w:rsidR="0045429F" w:rsidRPr="007750A0" w:rsidRDefault="0045429F">
      <w:pPr>
        <w:spacing w:before="0" w:line="240" w:lineRule="auto"/>
      </w:pPr>
      <w:r w:rsidRPr="007750A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429F" w:rsidRPr="007750A0" w:rsidRDefault="0045429F">
    <w:pPr>
      <w:pStyle w:val="SidfotH"/>
      <w:framePr w:wrap="around"/>
    </w:pPr>
    <w:r w:rsidRPr="007750A0">
      <w:t>2</w:t>
    </w:r>
  </w:p>
  <w:p w:rsidR="0045429F" w:rsidRPr="007750A0" w:rsidRDefault="0045429F">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429F" w:rsidRPr="007750A0" w:rsidRDefault="0045429F">
    <w:pPr>
      <w:pStyle w:val="SidfotH"/>
      <w:framePr w:wrap="around"/>
    </w:pPr>
    <w:r w:rsidRPr="007750A0">
      <w:t>1</w:t>
    </w:r>
  </w:p>
  <w:p w:rsidR="0045429F" w:rsidRPr="007750A0" w:rsidRDefault="0045429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5429F" w:rsidRPr="007750A0" w:rsidRDefault="0045429F">
      <w:pPr>
        <w:spacing w:before="0" w:line="240" w:lineRule="auto"/>
      </w:pPr>
      <w:r w:rsidRPr="007750A0">
        <w:separator/>
      </w:r>
    </w:p>
  </w:footnote>
  <w:footnote w:type="continuationSeparator" w:id="0">
    <w:p w:rsidR="0045429F" w:rsidRPr="007750A0" w:rsidRDefault="0045429F">
      <w:pPr>
        <w:spacing w:before="0" w:line="240" w:lineRule="auto"/>
      </w:pPr>
      <w:r w:rsidRPr="007750A0">
        <w:continuationSeparator/>
      </w:r>
    </w:p>
  </w:footnote>
  <w:footnote w:id="1">
    <w:p w:rsidR="0045429F" w:rsidRPr="007750A0" w:rsidRDefault="0045429F">
      <w:pPr>
        <w:pStyle w:val="Fotnotstext"/>
      </w:pPr>
      <w:r w:rsidRPr="007750A0">
        <w:rPr>
          <w:rStyle w:val="Fotnotsreferens"/>
        </w:rPr>
        <w:footnoteRef/>
      </w:r>
      <w:r w:rsidRPr="007750A0">
        <w:t xml:space="preserve"> Föreskrifterna genomför även direktiven 2002/72/EG, 82/711/EEG, 85/572/EEG, 2002/16/EG, 78/142/EEG, 80/766/EEG, 93/10/EEG, 84/500/EEG samt 93/11/EEG.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429F" w:rsidRPr="007750A0" w:rsidRDefault="0045429F">
    <w:pPr>
      <w:pStyle w:val="Kantrubrik"/>
      <w:framePr w:h="1157" w:hRule="exact" w:wrap="around" w:y="738"/>
    </w:pPr>
    <w:r w:rsidRPr="007750A0">
      <w:t>2003/04:FPM46</w:t>
    </w:r>
  </w:p>
  <w:p w:rsidR="0045429F" w:rsidRPr="007750A0" w:rsidRDefault="0045429F">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429F" w:rsidRPr="007750A0" w:rsidRDefault="007750A0">
    <w:pPr>
      <w:pStyle w:val="Sidhuvud"/>
    </w:pPr>
    <w:r w:rsidRPr="007750A0">
      <w:rPr>
        <w:noProof/>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64515" cy="981075"/>
              <wp:effectExtent l="0" t="0" r="0" b="0"/>
              <wp:wrapNone/>
              <wp:docPr id="179841078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515"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Start w:id="9" w:name="_MON_1055331669"/>
                        <w:bookmarkStart w:id="10" w:name="_MON_1064755490"/>
                        <w:bookmarkStart w:id="11" w:name="_MON_1064755633"/>
                        <w:bookmarkStart w:id="12" w:name="_MON_1064755717"/>
                        <w:bookmarkStart w:id="13" w:name="_MON_1060519202"/>
                        <w:bookmarkEnd w:id="1"/>
                        <w:bookmarkEnd w:id="2"/>
                        <w:bookmarkEnd w:id="3"/>
                        <w:bookmarkEnd w:id="4"/>
                        <w:bookmarkEnd w:id="5"/>
                        <w:bookmarkEnd w:id="6"/>
                        <w:bookmarkEnd w:id="7"/>
                        <w:bookmarkEnd w:id="8"/>
                        <w:bookmarkEnd w:id="9"/>
                        <w:bookmarkEnd w:id="10"/>
                        <w:bookmarkEnd w:id="11"/>
                        <w:bookmarkEnd w:id="12"/>
                        <w:bookmarkEnd w:id="13"/>
                        <w:p w:rsidR="0045429F" w:rsidRDefault="0045429F">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color="window">
                                <v:imagedata r:id="rId1" o:title=""/>
                              </v:shape>
                              <o:OLEObject Type="Embed" ProgID="Word.Picture.8" ShapeID="_x0000_i1025" DrawAspect="Content" ObjectID="_1827418241"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351.55pt;margin-top:21.6pt;width:44.45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" o:allowincell="f" stroked="f">
              <v:textbox inset="0,0,0,0">
                <w:txbxContent>
                  <w:bookmarkStart w:id="14" w:name="_MON_929452563"/>
                  <w:bookmarkStart w:id="15" w:name="_MON_929529912"/>
                  <w:bookmarkStart w:id="16" w:name="_MON_932818888"/>
                  <w:bookmarkStart w:id="17" w:name="_MON_947076358"/>
                  <w:bookmarkStart w:id="18" w:name="_MON_947165881"/>
                  <w:bookmarkStart w:id="19" w:name="_MON_968067888"/>
                  <w:bookmarkStart w:id="20" w:name="_MON_968068624"/>
                  <w:bookmarkStart w:id="21" w:name="_MON_973953492"/>
                  <w:bookmarkStart w:id="22" w:name="_MON_1055331669"/>
                  <w:bookmarkStart w:id="23" w:name="_MON_1064755490"/>
                  <w:bookmarkStart w:id="24" w:name="_MON_1064755633"/>
                  <w:bookmarkStart w:id="25" w:name="_MON_1064755717"/>
                  <w:bookmarkStart w:id="26" w:name="_MON_1060519202"/>
                  <w:bookmarkEnd w:id="14"/>
                  <w:bookmarkEnd w:id="15"/>
                  <w:bookmarkEnd w:id="16"/>
                  <w:bookmarkEnd w:id="17"/>
                  <w:bookmarkEnd w:id="18"/>
                  <w:bookmarkEnd w:id="19"/>
                  <w:bookmarkEnd w:id="20"/>
                  <w:bookmarkEnd w:id="21"/>
                  <w:bookmarkEnd w:id="22"/>
                  <w:bookmarkEnd w:id="23"/>
                  <w:bookmarkEnd w:id="24"/>
                  <w:bookmarkEnd w:id="25"/>
                  <w:bookmarkEnd w:id="26"/>
                  <w:p w:rsidR="0045429F" w:rsidRDefault="0045429F">
                    <w:pPr>
                      <w:pStyle w:val="Logo"/>
                    </w:pPr>
                    <w:r>
                      <w:object w:dxaOrig="840" w:dyaOrig="1545">
                        <v:shape id="_x0000_i1025" type="#_x0000_t75" style="width:42pt;height:77.15pt" fillcolor="window">
                          <v:imagedata r:id="rId1" o:title=""/>
                        </v:shape>
                        <o:OLEObject Type="Embed" ProgID="Word.Picture.8" ShapeID="_x0000_i1025" DrawAspect="Content" ObjectID="_1827418241"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1A2124A2"/>
    <w:multiLevelType w:val="singleLevel"/>
    <w:tmpl w:val="0D2A7EF2"/>
    <w:name w:val="Tiret 0"/>
    <w:lvl w:ilvl="0">
      <w:start w:val="1"/>
      <w:numFmt w:val="bullet"/>
      <w:lvlRestart w:val="0"/>
      <w:pStyle w:val="Tiret0"/>
      <w:lvlText w:val="–"/>
      <w:lvlJc w:val="left"/>
      <w:pPr>
        <w:tabs>
          <w:tab w:val="num" w:pos="850"/>
        </w:tabs>
        <w:ind w:left="850" w:hanging="850"/>
      </w:pPr>
    </w:lvl>
  </w:abstractNum>
  <w:abstractNum w:abstractNumId="2"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3" w15:restartNumberingAfterBreak="0">
    <w:nsid w:val="4244662A"/>
    <w:multiLevelType w:val="hybridMultilevel"/>
    <w:tmpl w:val="3ED031B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5" w15:restartNumberingAfterBreak="0">
    <w:nsid w:val="5FE64FC8"/>
    <w:multiLevelType w:val="hybridMultilevel"/>
    <w:tmpl w:val="CB16A8D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7" w15:restartNumberingAfterBreak="0">
    <w:nsid w:val="65F4185B"/>
    <w:multiLevelType w:val="hybridMultilevel"/>
    <w:tmpl w:val="2AB0100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9E420BE"/>
    <w:multiLevelType w:val="hybridMultilevel"/>
    <w:tmpl w:val="3ED031B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10"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567454390">
    <w:abstractNumId w:val="9"/>
  </w:num>
  <w:num w:numId="2" w16cid:durableId="1279022611">
    <w:abstractNumId w:val="2"/>
  </w:num>
  <w:num w:numId="3" w16cid:durableId="1617175985">
    <w:abstractNumId w:val="4"/>
  </w:num>
  <w:num w:numId="4" w16cid:durableId="643704813">
    <w:abstractNumId w:val="6"/>
  </w:num>
  <w:num w:numId="5" w16cid:durableId="1987516120">
    <w:abstractNumId w:val="10"/>
  </w:num>
  <w:num w:numId="6" w16cid:durableId="537475279">
    <w:abstractNumId w:val="0"/>
  </w:num>
  <w:num w:numId="7" w16cid:durableId="319038855">
    <w:abstractNumId w:val="1"/>
  </w:num>
  <w:num w:numId="8" w16cid:durableId="1927575385">
    <w:abstractNumId w:val="3"/>
  </w:num>
  <w:num w:numId="9" w16cid:durableId="1895120673">
    <w:abstractNumId w:val="7"/>
  </w:num>
  <w:num w:numId="10" w16cid:durableId="387070134">
    <w:abstractNumId w:val="8"/>
  </w:num>
  <w:num w:numId="11" w16cid:durableId="143682286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3-12-19"/>
    <w:docVar w:name="Ar" w:val="2003/04"/>
    <w:docVar w:name="Dep" w:val="Jordbruksdepartementet"/>
    <w:docVar w:name="DepWeb" w:val="Jordbruksdepartementet"/>
    <w:docVar w:name="GDB1" w:val="KOM(2003)689 slutlig"/>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Förslag till Europaparlamentets och rådets förordning om material och produkter avsedda att komma i kontakt med livsmedel"/>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2003)689 slutlig"/>
    <w:docVar w:name="Nr" w:val="46"/>
    <w:docVar w:name="Rub" w:val="Nytt förslag för material och produkter i kontakt med livsmedel"/>
    <w:docVar w:name="UppDat" w:val="2003-12-18"/>
    <w:docVar w:name="Utsk" w:val="Miljö- och jordbruksutskottet"/>
  </w:docVars>
  <w:rsids>
    <w:rsidRoot w:val="00AC35D0"/>
    <w:rsid w:val="0045429F"/>
    <w:rsid w:val="007750A0"/>
    <w:rsid w:val="00AC35D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988D4C7-84F9-4383-9D2B-6CFB8C195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eastAsia="en-US"/>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en-US"/>
    </w:rPr>
  </w:style>
  <w:style w:type="paragraph" w:customStyle="1" w:styleId="NormalRam">
    <w:name w:val="NormalRam"/>
    <w:basedOn w:val="Normal"/>
    <w:pPr>
      <w:framePr w:hSpace="142" w:wrap="around" w:vAnchor="page" w:hAnchor="text" w:y="1" w:anchorLock="1"/>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ManualNumPar1">
    <w:name w:val="Manual NumPar 1"/>
    <w:basedOn w:val="Normal"/>
    <w:next w:val="Normal"/>
    <w:pPr>
      <w:spacing w:before="120" w:after="120" w:line="240" w:lineRule="auto"/>
      <w:ind w:left="850" w:hanging="850"/>
    </w:pPr>
    <w:rPr>
      <w:sz w:val="24"/>
    </w:rPr>
  </w:style>
  <w:style w:type="paragraph" w:customStyle="1" w:styleId="Tiret0">
    <w:name w:val="Tiret 0"/>
    <w:basedOn w:val="Normal"/>
    <w:pPr>
      <w:numPr>
        <w:numId w:val="7"/>
      </w:numPr>
      <w:spacing w:before="120" w:after="120" w:line="240" w:lineRule="auto"/>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NC1_VOL11_SERVER\VOL11\NTPROGRA\MSOffice\Mallar\_Kk\FAKTAPM-NY.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FAKTAPM-NY.DOT</Template>
  <TotalTime>0</TotalTime>
  <Pages>2</Pages>
  <Words>1176</Words>
  <Characters>7693</Characters>
  <Application>Microsoft Office Word</Application>
  <DocSecurity>4</DocSecurity>
  <Lines>163</Lines>
  <Paragraphs>64</Paragraphs>
  <ScaleCrop>false</ScaleCrop>
  <HeadingPairs>
    <vt:vector size="6" baseType="variant">
      <vt:variant>
        <vt:lpstr>Titel</vt:lpstr>
      </vt:variant>
      <vt:variant>
        <vt:i4>1</vt:i4>
      </vt:variant>
      <vt:variant>
        <vt:lpstr>Rubrik</vt:lpstr>
      </vt:variant>
      <vt:variant>
        <vt:i4>1</vt:i4>
      </vt:variant>
      <vt:variant>
        <vt:lpstr>Title</vt:lpstr>
      </vt:variant>
      <vt:variant>
        <vt:i4>1</vt:i4>
      </vt:variant>
    </vt:vector>
  </HeadingPairs>
  <TitlesOfParts>
    <vt:vector size="3" baseType="lpstr">
      <vt:lpstr>Regeringskansliet</vt:lpstr>
      <vt:lpstr>Regeringskansliet</vt:lpstr>
      <vt:lpstr>Regeringskansliet</vt:lpstr>
    </vt:vector>
  </TitlesOfParts>
  <Company>RD-DTSL</Company>
  <LinksUpToDate>false</LinksUpToDate>
  <CharactersWithSpaces>8805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Regeringskansliet</dc:title>
  <dc:subject>Regeringskansliet</dc:subject>
  <dc:creator>Riksdagen</dc:creator>
  <cp:keywords>Riksdagen</cp:keywords>
  <cp:lastModifiedBy>Lars Brink</cp:lastModifiedBy>
  <cp:revision>2</cp:revision>
  <cp:lastPrinted>2003-12-19T13:01:00Z</cp:lastPrinted>
  <dcterms:created xsi:type="dcterms:W3CDTF">2025-12-16T18:17:00Z</dcterms:created>
  <dcterms:modified xsi:type="dcterms:W3CDTF">2025-12-16T18:17:00Z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46</vt:lpwstr>
  </property>
  <property fmtid="{D5CDD505-2E9C-101B-9397-08002B2CF9AE}" pid="4" name="GDB1">
    <vt:lpwstr>KOM(2003)689 slutlig</vt:lpwstr>
  </property>
  <property fmtid="{D5CDD505-2E9C-101B-9397-08002B2CF9AE}" pid="5" name="GDT1">
    <vt:lpwstr> </vt:lpwstr>
  </property>
  <property fmtid="{D5CDD505-2E9C-101B-9397-08002B2CF9AE}" pid="6" name="Dep">
    <vt:lpwstr>Jordbruksdepartementet</vt:lpwstr>
  </property>
  <property fmtid="{D5CDD505-2E9C-101B-9397-08002B2CF9AE}" pid="7" name="Rub">
    <vt:lpwstr>Nytt förslag för material och produkter i kontakt med livsmedel</vt:lpwstr>
  </property>
  <property fmtid="{D5CDD505-2E9C-101B-9397-08002B2CF9AE}" pid="8" name="UppDat">
    <vt:lpwstr>2003-12-18</vt:lpwstr>
  </property>
  <property fmtid="{D5CDD505-2E9C-101B-9397-08002B2CF9AE}" pid="9" name="AnkDat">
    <vt:lpwstr>2003-12-19</vt:lpwstr>
  </property>
  <property fmtid="{D5CDD505-2E9C-101B-9397-08002B2CF9AE}" pid="10" name="Utsk">
    <vt:lpwstr>Miljö- och jordbruksutskottet</vt:lpwstr>
  </property>
  <property fmtid="{D5CDD505-2E9C-101B-9397-08002B2CF9AE}" pid="11" name="Ar">
    <vt:lpwstr>2003/04</vt:lpwstr>
  </property>
  <property fmtid="{D5CDD505-2E9C-101B-9397-08002B2CF9AE}" pid="12" name="DepID">
    <vt:lpwstr>8;0;0;277</vt:lpwstr>
  </property>
  <property fmtid="{D5CDD505-2E9C-101B-9397-08002B2CF9AE}" pid="13" name="Sprak">
    <vt:lpwstr>Svenska</vt:lpwstr>
  </property>
  <property fmtid="{D5CDD505-2E9C-101B-9397-08002B2CF9AE}" pid="14" name="DokID">
    <vt:i4>80</vt:i4>
  </property>
  <property fmtid="{D5CDD505-2E9C-101B-9397-08002B2CF9AE}" pid="15" name="GDB2">
    <vt:lpwstr> </vt:lpwstr>
  </property>
  <property fmtid="{D5CDD505-2E9C-101B-9397-08002B2CF9AE}" pid="16" name="GDB3">
    <vt:lpwstr> </vt:lpwstr>
  </property>
  <property fmtid="{D5CDD505-2E9C-101B-9397-08002B2CF9AE}" pid="17" name="GDB4">
    <vt:lpwstr> </vt:lpwstr>
  </property>
  <property fmtid="{D5CDD505-2E9C-101B-9397-08002B2CF9AE}" pid="18" name="GDB5">
    <vt:lpwstr> </vt:lpwstr>
  </property>
  <property fmtid="{D5CDD505-2E9C-101B-9397-08002B2CF9AE}" pid="19" name="GDB6">
    <vt:lpwstr> </vt:lpwstr>
  </property>
  <property fmtid="{D5CDD505-2E9C-101B-9397-08002B2CF9AE}" pid="20" name="GDB7">
    <vt:lpwstr> </vt:lpwstr>
  </property>
  <property fmtid="{D5CDD505-2E9C-101B-9397-08002B2CF9AE}" pid="21" name="GDB8">
    <vt:lpwstr> </vt:lpwstr>
  </property>
  <property fmtid="{D5CDD505-2E9C-101B-9397-08002B2CF9AE}" pid="22" name="GDB9">
    <vt:lpwstr> </vt:lpwstr>
  </property>
  <property fmtid="{D5CDD505-2E9C-101B-9397-08002B2CF9AE}" pid="23" name="GDB10">
    <vt:lpwstr> </vt:lpwstr>
  </property>
  <property fmtid="{D5CDD505-2E9C-101B-9397-08002B2CF9AE}" pid="24" name="GDB11">
    <vt:lpwstr> </vt:lpwstr>
  </property>
  <property fmtid="{D5CDD505-2E9C-101B-9397-08002B2CF9AE}" pid="25" name="GDB12">
    <vt:lpwstr> </vt:lpwstr>
  </property>
  <property fmtid="{D5CDD505-2E9C-101B-9397-08002B2CF9AE}" pid="26" name="GDB13">
    <vt:lpwstr> </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Jordbruksdepartementet">
    <vt:lpwstr>JA</vt:lpwstr>
  </property>
  <property fmtid="{D5CDD505-2E9C-101B-9397-08002B2CF9AE}" pid="34" name="Kulturdepartementet">
    <vt:lpwstr>NEJ</vt:lpwstr>
  </property>
  <property fmtid="{D5CDD505-2E9C-101B-9397-08002B2CF9AE}" pid="35" name="Näringsdepartementet">
    <vt:lpwstr>NEJ</vt:lpwstr>
  </property>
  <property fmtid="{D5CDD505-2E9C-101B-9397-08002B2CF9AE}" pid="36" name="Miljödepartementet">
    <vt:lpwstr>NEJ</vt:lpwstr>
  </property>
  <property fmtid="{D5CDD505-2E9C-101B-9397-08002B2CF9AE}" pid="37" name="NUID">
    <vt:lpwstr> </vt:lpwstr>
  </property>
</Properties>
</file>