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587968">
        <w:tblPrEx>
          <w:tblCellMar>
            <w:top w:w="0" w:type="dxa"/>
            <w:bottom w:w="0" w:type="dxa"/>
          </w:tblCellMar>
        </w:tblPrEx>
        <w:trPr>
          <w:cantSplit/>
          <w:trHeight w:hRule="exact" w:val="1260"/>
        </w:trPr>
        <w:tc>
          <w:tcPr>
            <w:tcW w:w="6024" w:type="dxa"/>
            <w:gridSpan w:val="2"/>
            <w:vMerge w:val="restart"/>
          </w:tcPr>
          <w:p w:rsidR="00613CFF" w:rsidRPr="00587968" w:rsidRDefault="00613CFF">
            <w:pPr>
              <w:pStyle w:val="HuvudRubrik"/>
            </w:pPr>
            <w:bookmarkStart w:id="0" w:name="BetänkandeRubrik"/>
            <w:bookmarkEnd w:id="0"/>
            <w:r w:rsidRPr="00587968">
              <w:t>Bostadsutskottets betänkande</w:t>
            </w:r>
            <w:r w:rsidR="00587968" w:rsidRPr="00587968">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7069292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613CFF" w:rsidRDefault="00613CFF">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658"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613CFF" w:rsidRDefault="00613CFF">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658" r:id="rId8"/>
                              </w:object>
                            </w:r>
                          </w:p>
                        </w:txbxContent>
                      </v:textbox>
                      <w10:wrap anchorx="page" anchory="page"/>
                    </v:shape>
                  </w:pict>
                </mc:Fallback>
              </mc:AlternateContent>
            </w:r>
          </w:p>
          <w:p w:rsidR="00613CFF" w:rsidRPr="00587968" w:rsidRDefault="00613CFF">
            <w:pPr>
              <w:pStyle w:val="HuvudRubrikRad2"/>
            </w:pPr>
            <w:bookmarkStart w:id="17" w:name="BetänkandeNr"/>
            <w:bookmarkEnd w:id="17"/>
            <w:r w:rsidRPr="00587968">
              <w:t>1999/2000:BoU6</w:t>
            </w:r>
          </w:p>
          <w:p w:rsidR="00613CFF" w:rsidRPr="00587968" w:rsidRDefault="00613CFF">
            <w:pPr>
              <w:pStyle w:val="BetnkandeRubrik"/>
            </w:pPr>
            <w:bookmarkStart w:id="18" w:name="Huvudrubrik"/>
            <w:bookmarkEnd w:id="18"/>
            <w:r w:rsidRPr="00587968">
              <w:t>Vissa fastighetsrättsliga frågor</w:t>
            </w:r>
          </w:p>
        </w:tc>
        <w:tc>
          <w:tcPr>
            <w:tcW w:w="1559" w:type="dxa"/>
            <w:tcBorders>
              <w:bottom w:val="nil"/>
            </w:tcBorders>
          </w:tcPr>
          <w:p w:rsidR="00613CFF" w:rsidRPr="00587968" w:rsidRDefault="00613CFF">
            <w:pPr>
              <w:spacing w:before="0" w:line="230" w:lineRule="auto"/>
              <w:rPr>
                <w:sz w:val="24"/>
              </w:rPr>
            </w:pPr>
          </w:p>
        </w:tc>
      </w:tr>
      <w:tr w:rsidR="00000000" w:rsidRPr="00587968">
        <w:tblPrEx>
          <w:tblCellMar>
            <w:top w:w="0" w:type="dxa"/>
            <w:bottom w:w="0" w:type="dxa"/>
          </w:tblCellMar>
        </w:tblPrEx>
        <w:trPr>
          <w:cantSplit/>
          <w:trHeight w:hRule="exact" w:val="240"/>
        </w:trPr>
        <w:tc>
          <w:tcPr>
            <w:tcW w:w="6024" w:type="dxa"/>
            <w:gridSpan w:val="2"/>
            <w:vMerge/>
            <w:tcBorders>
              <w:top w:val="nil"/>
              <w:bottom w:val="nil"/>
            </w:tcBorders>
          </w:tcPr>
          <w:p w:rsidR="00613CFF" w:rsidRPr="00587968" w:rsidRDefault="00613CFF">
            <w:pPr>
              <w:spacing w:before="40" w:after="900" w:line="280" w:lineRule="exact"/>
              <w:jc w:val="left"/>
              <w:rPr>
                <w:sz w:val="28"/>
              </w:rPr>
            </w:pPr>
          </w:p>
        </w:tc>
        <w:tc>
          <w:tcPr>
            <w:tcW w:w="1559" w:type="dxa"/>
          </w:tcPr>
          <w:p w:rsidR="00613CFF" w:rsidRPr="00587968" w:rsidRDefault="00613CFF">
            <w:pPr>
              <w:pStyle w:val="rtal"/>
            </w:pPr>
            <w:r w:rsidRPr="00587968">
              <w:t>1999/2000</w:t>
            </w:r>
          </w:p>
        </w:tc>
      </w:tr>
      <w:tr w:rsidR="00000000" w:rsidRPr="00587968">
        <w:tblPrEx>
          <w:tblCellMar>
            <w:top w:w="0" w:type="dxa"/>
            <w:bottom w:w="0" w:type="dxa"/>
          </w:tblCellMar>
        </w:tblPrEx>
        <w:trPr>
          <w:cantSplit/>
          <w:trHeight w:val="560"/>
        </w:trPr>
        <w:tc>
          <w:tcPr>
            <w:tcW w:w="6024" w:type="dxa"/>
            <w:gridSpan w:val="2"/>
            <w:vMerge/>
            <w:tcBorders>
              <w:top w:val="nil"/>
              <w:bottom w:val="single" w:sz="6" w:space="0" w:color="auto"/>
            </w:tcBorders>
          </w:tcPr>
          <w:p w:rsidR="00613CFF" w:rsidRPr="00587968" w:rsidRDefault="00613CFF">
            <w:pPr>
              <w:spacing w:before="40" w:after="900" w:line="280" w:lineRule="exact"/>
              <w:jc w:val="left"/>
              <w:rPr>
                <w:sz w:val="28"/>
              </w:rPr>
            </w:pPr>
          </w:p>
        </w:tc>
        <w:tc>
          <w:tcPr>
            <w:tcW w:w="1559" w:type="dxa"/>
            <w:tcBorders>
              <w:bottom w:val="single" w:sz="6" w:space="0" w:color="auto"/>
            </w:tcBorders>
          </w:tcPr>
          <w:p w:rsidR="00613CFF" w:rsidRPr="00587968" w:rsidRDefault="00613CFF">
            <w:pPr>
              <w:pStyle w:val="rtal"/>
            </w:pPr>
            <w:r w:rsidRPr="00587968">
              <w:t>BoU6</w:t>
            </w:r>
          </w:p>
        </w:tc>
      </w:tr>
      <w:tr w:rsidR="00000000" w:rsidRPr="00587968">
        <w:tblPrEx>
          <w:tblCellMar>
            <w:top w:w="0" w:type="dxa"/>
            <w:bottom w:w="0" w:type="dxa"/>
          </w:tblCellMar>
        </w:tblPrEx>
        <w:trPr>
          <w:cantSplit/>
          <w:trHeight w:hRule="exact" w:val="660"/>
        </w:trPr>
        <w:tc>
          <w:tcPr>
            <w:tcW w:w="3012" w:type="dxa"/>
          </w:tcPr>
          <w:p w:rsidR="00613CFF" w:rsidRPr="00587968" w:rsidRDefault="00613CFF">
            <w:pPr>
              <w:pStyle w:val="StatusSida1"/>
            </w:pPr>
          </w:p>
        </w:tc>
        <w:tc>
          <w:tcPr>
            <w:tcW w:w="3012" w:type="dxa"/>
          </w:tcPr>
          <w:p w:rsidR="00613CFF" w:rsidRPr="00587968" w:rsidRDefault="00613CFF">
            <w:pPr>
              <w:pStyle w:val="UtskriftsdatumSida1"/>
              <w:rPr>
                <w:b/>
                <w:sz w:val="28"/>
              </w:rPr>
            </w:pPr>
          </w:p>
        </w:tc>
        <w:tc>
          <w:tcPr>
            <w:tcW w:w="1559" w:type="dxa"/>
          </w:tcPr>
          <w:p w:rsidR="00613CFF" w:rsidRPr="00587968" w:rsidRDefault="00613CFF"/>
        </w:tc>
      </w:tr>
    </w:tbl>
    <w:p w:rsidR="00613CFF" w:rsidRPr="00587968" w:rsidRDefault="00613CFF">
      <w:pPr>
        <w:pStyle w:val="Rubrik1"/>
        <w:spacing w:before="0"/>
      </w:pPr>
      <w:bookmarkStart w:id="19" w:name="_Toc476043888"/>
      <w:r w:rsidRPr="00587968">
        <w:t>Sammanfattning</w:t>
      </w:r>
      <w:bookmarkEnd w:id="19"/>
    </w:p>
    <w:p w:rsidR="00613CFF" w:rsidRPr="00587968" w:rsidRDefault="00613CFF">
      <w:bookmarkStart w:id="20" w:name="Textstart"/>
      <w:bookmarkEnd w:id="20"/>
      <w:r w:rsidRPr="00587968">
        <w:t>I detta betänkande behandlar bostadsutskottet under den allmänna motionst</w:t>
      </w:r>
      <w:r w:rsidRPr="00587968">
        <w:t>i</w:t>
      </w:r>
      <w:r w:rsidRPr="00587968">
        <w:t>den 1999 väckta motioner gällande bl.a. fastighetsförvärv, expropriation, kommunala förköp och tomträtt. Också en motion avseende tomträtt som väckts under den allmänna motionstiden år 1998 tas upp till behandling.</w:t>
      </w:r>
    </w:p>
    <w:p w:rsidR="00613CFF" w:rsidRPr="00587968" w:rsidRDefault="00613CFF">
      <w:pPr>
        <w:pStyle w:val="Normaltindrag"/>
      </w:pPr>
      <w:r w:rsidRPr="00587968">
        <w:t xml:space="preserve">Utskottet avstyrker samtliga motionsyrkanden. </w:t>
      </w:r>
    </w:p>
    <w:p w:rsidR="00613CFF" w:rsidRPr="00587968" w:rsidRDefault="00613CFF">
      <w:pPr>
        <w:pStyle w:val="Normaltindrag"/>
      </w:pPr>
      <w:r w:rsidRPr="00587968">
        <w:t>Till betänkandet har fogats sju reservationer och fyra särskilda yttranden.</w:t>
      </w:r>
    </w:p>
    <w:p w:rsidR="00613CFF" w:rsidRPr="00587968" w:rsidRDefault="00613CFF">
      <w:pPr>
        <w:pStyle w:val="Rubrik1"/>
      </w:pPr>
      <w:bookmarkStart w:id="21" w:name="_Toc476043889"/>
      <w:r w:rsidRPr="00587968">
        <w:t>Motionerna</w:t>
      </w:r>
      <w:bookmarkEnd w:id="21"/>
    </w:p>
    <w:p w:rsidR="00613CFF" w:rsidRPr="00587968" w:rsidRDefault="00613CFF">
      <w:r w:rsidRPr="00587968">
        <w:t>1998/99:Bo209 av Knut Billing m.fl. (m) vari yrkas</w:t>
      </w:r>
    </w:p>
    <w:p w:rsidR="00613CFF" w:rsidRPr="00587968" w:rsidRDefault="00613CFF">
      <w:pPr>
        <w:pStyle w:val="Normaltindrag"/>
      </w:pPr>
      <w:r w:rsidRPr="00587968">
        <w:t>14. att riksdagen som sin mening ger regeringen till känna vad i motionen anförts om tomträ</w:t>
      </w:r>
      <w:r w:rsidRPr="00587968">
        <w:t>t</w:t>
      </w:r>
      <w:r w:rsidRPr="00587968">
        <w:t xml:space="preserve">ten. </w:t>
      </w:r>
    </w:p>
    <w:p w:rsidR="00613CFF" w:rsidRPr="00587968" w:rsidRDefault="00613CFF">
      <w:r w:rsidRPr="00587968">
        <w:t>1999/2000:Bo221 av Barbro Hietala Nordlund m.fl. (s) vari yrkas att riksd</w:t>
      </w:r>
      <w:r w:rsidRPr="00587968">
        <w:t>a</w:t>
      </w:r>
      <w:r w:rsidRPr="00587968">
        <w:t xml:space="preserve">gen som sin mening ger regeringen till känna vad i motionen anförts om förutsättningarna för fortsatt omarrondering i Dalarna. </w:t>
      </w:r>
    </w:p>
    <w:p w:rsidR="00613CFF" w:rsidRPr="00587968" w:rsidRDefault="00613CFF">
      <w:r w:rsidRPr="00587968">
        <w:t>1999/2000:Bo401 av Kenneth Johansson (c) vari yrkas</w:t>
      </w:r>
    </w:p>
    <w:p w:rsidR="00613CFF" w:rsidRPr="00587968" w:rsidRDefault="00613CFF">
      <w:pPr>
        <w:pStyle w:val="Normaltindrag"/>
      </w:pPr>
      <w:r w:rsidRPr="00587968">
        <w:t>3. att riksdagen som sin mening ger regeringen till känna vad i motionen anförts om jordfö</w:t>
      </w:r>
      <w:r w:rsidRPr="00587968">
        <w:t>r</w:t>
      </w:r>
      <w:r w:rsidRPr="00587968">
        <w:t xml:space="preserve">värvslagen. </w:t>
      </w:r>
    </w:p>
    <w:p w:rsidR="00613CFF" w:rsidRPr="00587968" w:rsidRDefault="00613CFF">
      <w:r w:rsidRPr="00587968">
        <w:t>1999/2000:Bo402 av Eskil Erlandsson (c) vari yrkas att riksdagen hos reg</w:t>
      </w:r>
      <w:r w:rsidRPr="00587968">
        <w:t>e</w:t>
      </w:r>
      <w:r w:rsidRPr="00587968">
        <w:t>ringen begär förslag till skydd för ortnamn i lagstiftning rörande fastighet</w:t>
      </w:r>
      <w:r w:rsidRPr="00587968">
        <w:t>s</w:t>
      </w:r>
      <w:r w:rsidRPr="00587968">
        <w:t xml:space="preserve">bildning och fastighetsreglering. </w:t>
      </w:r>
    </w:p>
    <w:p w:rsidR="00613CFF" w:rsidRPr="00587968" w:rsidRDefault="00613CFF">
      <w:r w:rsidRPr="00587968">
        <w:t>1999/2000:Bo403 av Inger Strömbom (kd) vari yrkas att riksdagen hos reg</w:t>
      </w:r>
      <w:r w:rsidRPr="00587968">
        <w:t>e</w:t>
      </w:r>
      <w:r w:rsidRPr="00587968">
        <w:t>ringen begär en översyn av 5 § jordförvärvslagen om juridiska personers förvärvsprövning i syfte att förbättra förutsättningarna för en striktare ti</w:t>
      </w:r>
      <w:r w:rsidRPr="00587968">
        <w:t>l</w:t>
      </w:r>
      <w:r w:rsidRPr="00587968">
        <w:t xml:space="preserve">lämpning av lagen. </w:t>
      </w:r>
    </w:p>
    <w:p w:rsidR="00613CFF" w:rsidRPr="00587968" w:rsidRDefault="00613CFF">
      <w:r w:rsidRPr="00587968">
        <w:t xml:space="preserve">1999/2000:Bo404 av Carl-Erik Skårman (m) vari yrkas att riksdagen beslutar att tomträtter inte längre skall kunna nyupplåtas. </w:t>
      </w:r>
    </w:p>
    <w:p w:rsidR="00613CFF" w:rsidRPr="00587968" w:rsidRDefault="00613CFF">
      <w:r w:rsidRPr="00587968">
        <w:t>1999/2000:Bo405 av Erik Arthur Egervärn (c) vari yrkas att riksdagen som sin mening ger regeringen till känna vad i motionen anförts om behovet av att det i fastighetsbildningslagen införs ett krav på hänsynstagande till ku</w:t>
      </w:r>
      <w:r w:rsidRPr="00587968">
        <w:t>l</w:t>
      </w:r>
      <w:r w:rsidRPr="00587968">
        <w:t xml:space="preserve">turarvet enligt kulturminneslagen. </w:t>
      </w:r>
    </w:p>
    <w:p w:rsidR="00613CFF" w:rsidRPr="00587968" w:rsidRDefault="00613CFF">
      <w:r w:rsidRPr="00587968">
        <w:lastRenderedPageBreak/>
        <w:t xml:space="preserve">1999/2000:Bo408 av Henrik S Järrel (m) vari yrkas att riksdagen som sin mening ger regeringen till känna vad i motionen anförts om behovet av en översyn av jordförvärvslagen. </w:t>
      </w:r>
    </w:p>
    <w:p w:rsidR="00613CFF" w:rsidRPr="00587968" w:rsidRDefault="00613CFF">
      <w:r w:rsidRPr="00587968">
        <w:t xml:space="preserve">1999/2000:Bo410 av Lars Wegendal (s) vari yrkas att riksdagen som sin mening ger regeringen till känna vad i motionen anförts om att inom ramen för EU-samarbetet verka för förändrade regler inom området. </w:t>
      </w:r>
    </w:p>
    <w:p w:rsidR="00613CFF" w:rsidRPr="00587968" w:rsidRDefault="00613CFF">
      <w:r w:rsidRPr="00587968">
        <w:t>1999/2000:Bo413 av Kerstin Kristiansson m.fl. (s) vari yrkas att riksdagen som sin mening ger regeringen till känna vad i motionen anförts om en öve</w:t>
      </w:r>
      <w:r w:rsidRPr="00587968">
        <w:t>r</w:t>
      </w:r>
      <w:r w:rsidRPr="00587968">
        <w:t xml:space="preserve">syn av lagstiftningen i syfte att undvika problem av det slag som beskrivits i motionen. </w:t>
      </w:r>
    </w:p>
    <w:p w:rsidR="00613CFF" w:rsidRPr="00587968" w:rsidRDefault="00613CFF">
      <w:r w:rsidRPr="00587968">
        <w:t>1999/2000:Bo414 av Rosita Runegrund och Åke Carnerö (kd) vari yrkas att riksdagen hos regeringen begär förslag till sådan ändring av lagstiftningen att kommunerna i sin revidering av befintliga planer och vid ny detaljplanering ges möjlighet att avgränsa områden för åretruntboende och där införa boe</w:t>
      </w:r>
      <w:r w:rsidRPr="00587968">
        <w:t>n</w:t>
      </w:r>
      <w:r w:rsidRPr="00587968">
        <w:t xml:space="preserve">deplikt. </w:t>
      </w:r>
    </w:p>
    <w:p w:rsidR="00613CFF" w:rsidRPr="00587968" w:rsidRDefault="00613CFF">
      <w:r w:rsidRPr="00587968">
        <w:t>1999/2000:Bo416 av Sofia Jonsson (c) vari yrkas att riksdagen som sin m</w:t>
      </w:r>
      <w:r w:rsidRPr="00587968">
        <w:t>e</w:t>
      </w:r>
      <w:r w:rsidRPr="00587968">
        <w:t>ning ger regeringen till känna vad i motionen anförts om en översyn av jor</w:t>
      </w:r>
      <w:r w:rsidRPr="00587968">
        <w:t>d</w:t>
      </w:r>
      <w:r w:rsidRPr="00587968">
        <w:t xml:space="preserve">förvärvslagen. </w:t>
      </w:r>
    </w:p>
    <w:p w:rsidR="00613CFF" w:rsidRPr="00587968" w:rsidRDefault="00613CFF">
      <w:r w:rsidRPr="00587968">
        <w:t>1999/2000:Bo418 av Agneta Brendt (s) vari yrkas att riksdagen som sin mening ger regeringen till känna vad i motionen anförts om att det i fasti</w:t>
      </w:r>
      <w:r w:rsidRPr="00587968">
        <w:t>g</w:t>
      </w:r>
      <w:r w:rsidRPr="00587968">
        <w:t>hetsbildningslagen införs ett krav på hänsyn till kulturarvet enligt kulturmi</w:t>
      </w:r>
      <w:r w:rsidRPr="00587968">
        <w:t>n</w:t>
      </w:r>
      <w:r w:rsidRPr="00587968">
        <w:t xml:space="preserve">neslagen. </w:t>
      </w:r>
    </w:p>
    <w:p w:rsidR="00613CFF" w:rsidRPr="00587968" w:rsidRDefault="00613CFF">
      <w:r w:rsidRPr="00587968">
        <w:t>1999/2000:Bo419 av Knut Billing m.fl. (m) vari yrkas</w:t>
      </w:r>
    </w:p>
    <w:p w:rsidR="00613CFF" w:rsidRPr="00587968" w:rsidRDefault="00613CFF">
      <w:pPr>
        <w:pStyle w:val="Normaltindrag"/>
      </w:pPr>
      <w:r w:rsidRPr="00587968">
        <w:t>1. att riksdagen som sin mening ger regeringen till känna vad i motionen anförts om expropri</w:t>
      </w:r>
      <w:r w:rsidRPr="00587968">
        <w:t>a</w:t>
      </w:r>
      <w:r w:rsidRPr="00587968">
        <w:t xml:space="preserve">tion, </w:t>
      </w:r>
    </w:p>
    <w:p w:rsidR="00613CFF" w:rsidRPr="00587968" w:rsidRDefault="00613CFF">
      <w:pPr>
        <w:pStyle w:val="Normaltindrag"/>
      </w:pPr>
      <w:r w:rsidRPr="00587968">
        <w:t xml:space="preserve">2. att riksdagen beslutar avskaffa presumtionsregeln vid expropriation i enlighet med vad som anförts i motionen, </w:t>
      </w:r>
    </w:p>
    <w:p w:rsidR="00613CFF" w:rsidRPr="00587968" w:rsidRDefault="00613CFF">
      <w:pPr>
        <w:pStyle w:val="Normaltindrag"/>
      </w:pPr>
      <w:r w:rsidRPr="00587968">
        <w:t xml:space="preserve">4. att riksdagen som sin mening ger regeringen till känna vad i motionen anförts om tomträtten, </w:t>
      </w:r>
    </w:p>
    <w:p w:rsidR="00613CFF" w:rsidRPr="00587968" w:rsidRDefault="00613CFF">
      <w:pPr>
        <w:pStyle w:val="Normaltindrag"/>
      </w:pPr>
      <w:r w:rsidRPr="00587968">
        <w:t>5. att riksdagen som sin mening ger regeringen till känna vad i motionen anförts om tredime</w:t>
      </w:r>
      <w:r w:rsidRPr="00587968">
        <w:t>n</w:t>
      </w:r>
      <w:r w:rsidRPr="00587968">
        <w:t xml:space="preserve">sionell fastighetsindelning, </w:t>
      </w:r>
    </w:p>
    <w:p w:rsidR="00613CFF" w:rsidRPr="00587968" w:rsidRDefault="00613CFF">
      <w:pPr>
        <w:pStyle w:val="Normaltindrag"/>
      </w:pPr>
      <w:r w:rsidRPr="00587968">
        <w:t>9. att riksdagen beslutar avskaffa den kommunala förköpsrätten i enlighet med vad som a</w:t>
      </w:r>
      <w:r w:rsidRPr="00587968">
        <w:t>n</w:t>
      </w:r>
      <w:r w:rsidRPr="00587968">
        <w:t xml:space="preserve">förts i motionen. </w:t>
      </w:r>
    </w:p>
    <w:p w:rsidR="00613CFF" w:rsidRPr="00587968" w:rsidRDefault="00613CFF">
      <w:r w:rsidRPr="00587968">
        <w:t>1999/2000:MJ222 av Lennart Daléus m.fl. (c) vari yrkas</w:t>
      </w:r>
    </w:p>
    <w:p w:rsidR="00613CFF" w:rsidRPr="00587968" w:rsidRDefault="00613CFF">
      <w:pPr>
        <w:pStyle w:val="Normaltindrag"/>
      </w:pPr>
      <w:r w:rsidRPr="00587968">
        <w:t>20. att riksdagen som sin mening ger regeringen till känna vad i motionen anförts om en utre</w:t>
      </w:r>
      <w:r w:rsidRPr="00587968">
        <w:t>d</w:t>
      </w:r>
      <w:r w:rsidRPr="00587968">
        <w:t xml:space="preserve">ning av jordförvärvslagen. </w:t>
      </w:r>
    </w:p>
    <w:p w:rsidR="00613CFF" w:rsidRPr="00587968" w:rsidRDefault="00613CFF">
      <w:r w:rsidRPr="00587968">
        <w:t>1999/2000:N279 av Ulf Björklund m.fl. (kd) vari yrkas</w:t>
      </w:r>
    </w:p>
    <w:p w:rsidR="00613CFF" w:rsidRPr="00587968" w:rsidRDefault="00613CFF">
      <w:pPr>
        <w:pStyle w:val="Normaltindrag"/>
      </w:pPr>
      <w:r w:rsidRPr="00587968">
        <w:t>1. att riksdagen som sin mening ger regeringen till känna vad i motionen anförts om behovet av förändrad jordförvärvslagstiftning för att stärka mö</w:t>
      </w:r>
      <w:r w:rsidRPr="00587968">
        <w:t>j</w:t>
      </w:r>
      <w:r w:rsidRPr="00587968">
        <w:t xml:space="preserve">ligheter till boende på landsbygden. </w:t>
      </w:r>
    </w:p>
    <w:p w:rsidR="00613CFF" w:rsidRPr="00587968" w:rsidRDefault="00613CFF">
      <w:r w:rsidRPr="00587968">
        <w:t>1999/2000:N388 av Ingegerd Saarinen m.fl. (mp) vari yrkas</w:t>
      </w:r>
    </w:p>
    <w:p w:rsidR="00613CFF" w:rsidRPr="00587968" w:rsidRDefault="00613CFF">
      <w:pPr>
        <w:pStyle w:val="Normaltindrag"/>
      </w:pPr>
      <w:r w:rsidRPr="00587968">
        <w:t>19. att riksdagen som sin mening ger regeringen till känna vad i motionen anförts om markla</w:t>
      </w:r>
      <w:r w:rsidRPr="00587968">
        <w:t>g</w:t>
      </w:r>
      <w:r w:rsidRPr="00587968">
        <w:t xml:space="preserve">stiftningen. </w:t>
      </w:r>
    </w:p>
    <w:p w:rsidR="00613CFF" w:rsidRPr="00587968" w:rsidRDefault="00613CFF">
      <w:pPr>
        <w:pStyle w:val="Rubrik1"/>
      </w:pPr>
      <w:bookmarkStart w:id="22" w:name="_Toc476043890"/>
      <w:r w:rsidRPr="00587968">
        <w:t>Utskottet</w:t>
      </w:r>
      <w:bookmarkEnd w:id="22"/>
    </w:p>
    <w:p w:rsidR="00613CFF" w:rsidRPr="00587968" w:rsidRDefault="00613CFF">
      <w:pPr>
        <w:pStyle w:val="Rubrik3"/>
        <w:spacing w:before="123"/>
      </w:pPr>
      <w:bookmarkStart w:id="23" w:name="_Toc476043891"/>
      <w:r w:rsidRPr="00587968">
        <w:t>Fastighetsförvärv</w:t>
      </w:r>
      <w:bookmarkEnd w:id="23"/>
      <w:r w:rsidRPr="00587968">
        <w:t xml:space="preserve"> </w:t>
      </w:r>
    </w:p>
    <w:p w:rsidR="00613CFF" w:rsidRPr="00587968" w:rsidRDefault="00613CFF">
      <w:pPr>
        <w:pStyle w:val="Rubrik4"/>
        <w:spacing w:before="123"/>
      </w:pPr>
      <w:bookmarkStart w:id="24" w:name="_Toc476043892"/>
      <w:r w:rsidRPr="00587968">
        <w:t>Jordförvärvslagen</w:t>
      </w:r>
      <w:bookmarkEnd w:id="24"/>
    </w:p>
    <w:p w:rsidR="00613CFF" w:rsidRPr="00587968" w:rsidRDefault="00613CFF">
      <w:r w:rsidRPr="00587968">
        <w:t>Jordförvärvslagens (1979:230) syfte var tidigare att medverka till att jor</w:t>
      </w:r>
      <w:r w:rsidRPr="00587968">
        <w:t>d</w:t>
      </w:r>
      <w:r w:rsidRPr="00587968">
        <w:t>bruket rationaliserades och effektiviserades. Fram till halvårsskiftet 1991 gällde som huvudregel att lantbruksegendom inte kunde förvärvas utan til</w:t>
      </w:r>
      <w:r w:rsidRPr="00587968">
        <w:t>l</w:t>
      </w:r>
      <w:r w:rsidRPr="00587968">
        <w:t>stånd. Förvärvsprövningen slopades därefter i stor utsträckning, men en förvärvsreglering ansågs emellertid inte helt kunna avvaras. De nu gällande reglerna innebär en långtgående avreglering och uppbärs huvudsakligen av regionalpolitiska motiv. Lagen ansågs ha varit effektiv när det gäller juridi</w:t>
      </w:r>
      <w:r w:rsidRPr="00587968">
        <w:t>s</w:t>
      </w:r>
      <w:r w:rsidRPr="00587968">
        <w:t>ka personers förvärv, förvärv i glesbygd och förvärv i särskilt</w:t>
      </w:r>
      <w:r w:rsidRPr="00587968">
        <w:t xml:space="preserve"> ägosplittrade områden. I dessa fall behölls en reglering. Kortfattat kan denna reglering beskrivas i följande ordalag. </w:t>
      </w:r>
    </w:p>
    <w:p w:rsidR="00613CFF" w:rsidRPr="00587968" w:rsidRDefault="00613CFF">
      <w:pPr>
        <w:pStyle w:val="Normaltindrag"/>
      </w:pPr>
      <w:r w:rsidRPr="00587968">
        <w:t>Fysiska personers förvärv prövas endast inom glesbygd eller omarrond</w:t>
      </w:r>
      <w:r w:rsidRPr="00587968">
        <w:t>e</w:t>
      </w:r>
      <w:r w:rsidRPr="00587968">
        <w:t xml:space="preserve">ringsområde. </w:t>
      </w:r>
    </w:p>
    <w:p w:rsidR="00613CFF" w:rsidRPr="00587968" w:rsidRDefault="00613CFF">
      <w:pPr>
        <w:pStyle w:val="Normaltindrag"/>
      </w:pPr>
      <w:r w:rsidRPr="00587968">
        <w:t>Inom glesbygd krävs förvärvstillstånd såvida inte förvärvaren varit bosatt i glesbygd inom den aktuella kommunen minst ett halvår innan förvärvet eller åtagit sig att bo på den förvärvade egendomen. I sådana fall skall i stället en anmälan om förvärvet göras. Tillstånd får vägras om egendomen behövs för att främja sysselsättningen eller b</w:t>
      </w:r>
      <w:r w:rsidRPr="00587968">
        <w:t>o</w:t>
      </w:r>
      <w:r w:rsidRPr="00587968">
        <w:t>sättningen på orten.</w:t>
      </w:r>
    </w:p>
    <w:p w:rsidR="00613CFF" w:rsidRPr="00587968" w:rsidRDefault="00613CFF">
      <w:pPr>
        <w:pStyle w:val="Normaltindrag"/>
      </w:pPr>
      <w:r w:rsidRPr="00587968">
        <w:t>Inom omarronderingsområde krävs alltid tillstånd. Tillstånd får vägras om förvärvet skulle göra det svårare att genomföra en rationalisering av ägostrukturen.</w:t>
      </w:r>
    </w:p>
    <w:p w:rsidR="00613CFF" w:rsidRPr="00587968" w:rsidRDefault="00613CFF">
      <w:pPr>
        <w:pStyle w:val="Normaltindrag"/>
      </w:pPr>
      <w:r w:rsidRPr="00587968">
        <w:t>För juridiska personers förvärv krävs alltid tillstånd. De begränsade föru</w:t>
      </w:r>
      <w:r w:rsidRPr="00587968">
        <w:t>t</w:t>
      </w:r>
      <w:r w:rsidRPr="00587968">
        <w:t>sättningarna för att ge sådana personer tillstånd behandlas nedan.</w:t>
      </w:r>
    </w:p>
    <w:p w:rsidR="00613CFF" w:rsidRPr="00587968" w:rsidRDefault="00613CFF">
      <w:pPr>
        <w:pStyle w:val="Normaltindrag"/>
      </w:pPr>
      <w:r w:rsidRPr="00587968">
        <w:t>Staten har möjligheter att lösa in egendom om förvärvaren inte uppfyller ett åtagande att bosätta sig på fastigheten. Staten är i vissa fall skyldig att lösa in fastighet för vilken förvärvstillstånd vägrats.</w:t>
      </w:r>
    </w:p>
    <w:p w:rsidR="00613CFF" w:rsidRPr="00587968" w:rsidRDefault="00613CFF">
      <w:pPr>
        <w:pStyle w:val="Normaltindrag"/>
      </w:pPr>
      <w:r w:rsidRPr="00587968">
        <w:t>Jordbruksverket har genomfört en utvärdering av jordförvärvslagstiftnin</w:t>
      </w:r>
      <w:r w:rsidRPr="00587968">
        <w:t>g</w:t>
      </w:r>
      <w:r w:rsidRPr="00587968">
        <w:t>en (rapport 1995:3). Verket anser att de ändrade förutsättningarna för jor</w:t>
      </w:r>
      <w:r w:rsidRPr="00587968">
        <w:t>d</w:t>
      </w:r>
      <w:r w:rsidRPr="00587968">
        <w:t>bruket i sig inte bör föranleda några omfattande ändringar av jordförvärvsl</w:t>
      </w:r>
      <w:r w:rsidRPr="00587968">
        <w:t>a</w:t>
      </w:r>
      <w:r w:rsidRPr="00587968">
        <w:t>gen. Lagen hävdar fortfarande angelägna samhällsintressen. Verket anser dock att lagens effekter för sysselsättning och bosättning varit små i förhå</w:t>
      </w:r>
      <w:r w:rsidRPr="00587968">
        <w:t>l</w:t>
      </w:r>
      <w:r w:rsidRPr="00587968">
        <w:t>lande till de resurser som lagtillämpningen krävt. Jordbruksverkets slutsats är att lagen bör förändras. Det anses inte självklart att den bör innehålla regi</w:t>
      </w:r>
      <w:r w:rsidRPr="00587968">
        <w:t>o</w:t>
      </w:r>
      <w:r w:rsidRPr="00587968">
        <w:t>nalpolitiskt betingade bestämmelser, men om lagen ska</w:t>
      </w:r>
      <w:r w:rsidRPr="00587968">
        <w:t>ll ha ett sådant syfte är det enligt verket nödvändigt att skärpa bestämmelserna. Verket berör också vissa andra frågeställningar. Bl.a. anses att reglerna om juridiska pe</w:t>
      </w:r>
      <w:r w:rsidRPr="00587968">
        <w:t>r</w:t>
      </w:r>
      <w:r w:rsidRPr="00587968">
        <w:t>soners förvärv i huvudsak bör kvarstå oförändrade. I anledning av den gjorda utvärderingen gav regeringen den 25 januari 1996 verket ett uppdrag att komplettera och precisera sina slutsatser. I uppdraget ingick bl.a. att verket närmare skall belysa i vad mån och på vilket sätt jordförvärvslagen kan skä</w:t>
      </w:r>
      <w:r w:rsidRPr="00587968">
        <w:t>r</w:t>
      </w:r>
      <w:r w:rsidRPr="00587968">
        <w:t>pas för att motverka att lagens regl</w:t>
      </w:r>
      <w:r w:rsidRPr="00587968">
        <w:t>er om bosättning kringgås. Jordbruksve</w:t>
      </w:r>
      <w:r w:rsidRPr="00587968">
        <w:t>r</w:t>
      </w:r>
      <w:r w:rsidRPr="00587968">
        <w:t>ket har i maj 1996 avlämnat en kompletterande rapport till regeringen i a</w:t>
      </w:r>
      <w:r w:rsidRPr="00587968">
        <w:t>n</w:t>
      </w:r>
      <w:r w:rsidRPr="00587968">
        <w:t xml:space="preserve">ledning av uppdraget. </w:t>
      </w:r>
    </w:p>
    <w:p w:rsidR="00613CFF" w:rsidRPr="00587968" w:rsidRDefault="00613CFF">
      <w:pPr>
        <w:pStyle w:val="Normaltindrag"/>
      </w:pPr>
      <w:r w:rsidRPr="00587968">
        <w:t xml:space="preserve">Enligt 5 § jordförvärvslagen får juridisk person lämnas förvärvstillstånd endast om kompensationsmark avstås, om förvärvet medför att egendom som redan tillhör förvärvaren blir mer ändamålsenlig, om egendomen är avsedd för annat ändamål än jordbruk och skogsbruk, eller om annat särskilt skäl föreligger. Enligt samma paragrafs andra stycke kan tillstånd lämnas även om de nu </w:t>
      </w:r>
      <w:r w:rsidRPr="00587968">
        <w:t>nämnda förutsättningarna inte är uppfyllda. Avser ett förvärv h</w:t>
      </w:r>
      <w:r w:rsidRPr="00587968">
        <w:t>u</w:t>
      </w:r>
      <w:r w:rsidRPr="00587968">
        <w:t>vudsakligen skogsmark och bedriver förvärvaren skogsindustriell verksa</w:t>
      </w:r>
      <w:r w:rsidRPr="00587968">
        <w:t>m</w:t>
      </w:r>
      <w:r w:rsidRPr="00587968">
        <w:t>het i vilken egendomens virkesavkastning behövs, får tillstånd lämnas under förutsättning att egendomen inte bör ägas eller brukas av någon annan jur</w:t>
      </w:r>
      <w:r w:rsidRPr="00587968">
        <w:t>i</w:t>
      </w:r>
      <w:r w:rsidRPr="00587968">
        <w:t>disk person som redan bedriver skogsindustriell verksamhet på orten av betydelse för sysselsättningen där.</w:t>
      </w:r>
    </w:p>
    <w:p w:rsidR="00613CFF" w:rsidRPr="00587968" w:rsidRDefault="00613CFF">
      <w:pPr>
        <w:pStyle w:val="Normaltindrag"/>
      </w:pPr>
      <w:r w:rsidRPr="00587968">
        <w:t>En särskild utredare (dir. 1999:40) skall utvärdera vilken verkan bestä</w:t>
      </w:r>
      <w:r w:rsidRPr="00587968">
        <w:t>m</w:t>
      </w:r>
      <w:r w:rsidRPr="00587968">
        <w:t>melserna i jordförvärvslagen har när det gäller effekterna för både fysiska och juridiska personers möjligheter att förvärva skogsmark. Framför allt avser utvärderingen bestämmelserna om förvärvarens anknytning till den ort där den förvärvade egendomen finns och om förvärv mellan juridiska pers</w:t>
      </w:r>
      <w:r w:rsidRPr="00587968">
        <w:t>o</w:t>
      </w:r>
      <w:r w:rsidRPr="00587968">
        <w:t>ner. Utredaren skall vidare utröna om nuvarande regler i fastighetsbildnin</w:t>
      </w:r>
      <w:r w:rsidRPr="00587968">
        <w:t>g</w:t>
      </w:r>
      <w:r w:rsidRPr="00587968">
        <w:t>slagen bidragit till från skogsvårdssynpunkt oönskade förvärv av skogsmark. Uppdraget omfattar att uppdatera och precisera de frågeställning</w:t>
      </w:r>
      <w:r w:rsidRPr="00587968">
        <w:t>ar som red</w:t>
      </w:r>
      <w:r w:rsidRPr="00587968">
        <w:t>o</w:t>
      </w:r>
      <w:r w:rsidRPr="00587968">
        <w:t>visats av Jordbruksverket (se ovan). Dessutom omfattar det att i ett vidare perspektiv överväga och redogöra för eventuella konsekvenser om jordfö</w:t>
      </w:r>
      <w:r w:rsidRPr="00587968">
        <w:t>r</w:t>
      </w:r>
      <w:r w:rsidRPr="00587968">
        <w:t>värvslagen skulle upphävas alternativt justeras beträffande fysiska men också juridiska personers möjligheter till förvärv. I uppdraget ingår även att utvä</w:t>
      </w:r>
      <w:r w:rsidRPr="00587968">
        <w:t>r</w:t>
      </w:r>
      <w:r w:rsidRPr="00587968">
        <w:t>dera behovet av förtydliganden i lagstiftningen avseende sådana förvärv och byten mellan juridiska personer som görs i rationaliseringssyfte och om möjligt redovisa alternativa lösningar, m.m. Utred</w:t>
      </w:r>
      <w:r w:rsidRPr="00587968">
        <w:t>aren skall vara klar senast den 1 juni 2000.</w:t>
      </w:r>
    </w:p>
    <w:p w:rsidR="00613CFF" w:rsidRPr="00587968" w:rsidRDefault="00613CFF">
      <w:pPr>
        <w:pStyle w:val="Normaltindrag"/>
      </w:pPr>
      <w:r w:rsidRPr="00587968">
        <w:t>Förslag i fyra motioner avseende jordförvärvslagen tar sikte på att sa</w:t>
      </w:r>
      <w:r w:rsidRPr="00587968">
        <w:t>m</w:t>
      </w:r>
      <w:r w:rsidRPr="00587968">
        <w:t>bandet mellan ägandet, brukandet och boendet i bygderna skall stärkas. Det gäller motion</w:t>
      </w:r>
      <w:r w:rsidRPr="00587968">
        <w:rPr>
          <w:b/>
          <w:sz w:val="22"/>
        </w:rPr>
        <w:t xml:space="preserve"> </w:t>
      </w:r>
      <w:r w:rsidRPr="00587968">
        <w:t>1999/2000:N279 (kd) yrkande 1, Centerpartiets partimotion</w:t>
      </w:r>
      <w:r w:rsidRPr="00587968">
        <w:rPr>
          <w:b/>
        </w:rPr>
        <w:t xml:space="preserve"> </w:t>
      </w:r>
      <w:r w:rsidRPr="00587968">
        <w:t>1999/2000:MJ222</w:t>
      </w:r>
      <w:r w:rsidRPr="00587968">
        <w:rPr>
          <w:sz w:val="22"/>
        </w:rPr>
        <w:t xml:space="preserve"> </w:t>
      </w:r>
      <w:r w:rsidRPr="00587968">
        <w:t>yrkande 20 samt motionerna 1999/2000:Bo416 (c) och 1999/2000:N388 (mp) yrkande 19. I kd-motionen poängteras särskilt att reglerna om förvärvstillstånd skall skärpas, omfattande bl.a. att det skall bli svårare att kringgå boplikten. Motionärerna bakom c- och mp-motionerna uppmärksammar bl.a. uppköp som görs med kortsiktiga vinstintressen samt anse</w:t>
      </w:r>
      <w:r w:rsidRPr="00587968">
        <w:t>r att den pågående översynen är för begränsad och bör ha en klarare inriktning på att stärka det nämnda samba</w:t>
      </w:r>
      <w:r w:rsidRPr="00587968">
        <w:t>n</w:t>
      </w:r>
      <w:r w:rsidRPr="00587968">
        <w:t xml:space="preserve">det. </w:t>
      </w:r>
    </w:p>
    <w:p w:rsidR="00613CFF" w:rsidRPr="00587968" w:rsidRDefault="00613CFF">
      <w:pPr>
        <w:pStyle w:val="Normaltindrag"/>
      </w:pPr>
      <w:r w:rsidRPr="00587968">
        <w:t xml:space="preserve">Tre motioner behandlar juridiska personers rätt till förvärv. I motion 1999/2000:Bo408 (m) föreslås att översynen av jordförvärvslagen och dess tillämpning bör avse åtgärder som syftar till att balansera utvecklingen mot en synbarligen ökad prioritering av bolagsförvärv i attraktiva områden nära skogsindustrierna. Särskilt anges att rollfördelningen mellan myndigheterna bör ges uppmärksamhet. </w:t>
      </w:r>
      <w:r w:rsidRPr="00587968">
        <w:t>Förslaget i motion 1999/2000:Bo403 (kd) omfattar en översyn av 5 § jordförvärvslagen om förvärvsprövningen för juridiska personer i syfte att förbättra förutsättningarna för en striktare tillämpning av lagen. Enligt motionärerna ger kompensationsregeln och den tillämpning den fått avseende bl.a. uppföljningen av förvärven inte den fördel för enskildas skogsinnehav som varit ändamålet. Motionären bakom förslaget i motion 1999/2000:Bo401 (c) yrkande 3 anser att reglerna om villkor för juridiska personers förv</w:t>
      </w:r>
      <w:r w:rsidRPr="00587968">
        <w:t>ärv (kompensationsregeln) bör ändras och utformas så att familjejordbruk ges företräde och blir den dominerande ägark</w:t>
      </w:r>
      <w:r w:rsidRPr="00587968">
        <w:t>a</w:t>
      </w:r>
      <w:r w:rsidRPr="00587968">
        <w:t>tegorin.</w:t>
      </w:r>
    </w:p>
    <w:p w:rsidR="00613CFF" w:rsidRPr="00587968" w:rsidRDefault="00613CFF">
      <w:pPr>
        <w:pStyle w:val="Normaltindrag"/>
      </w:pPr>
      <w:r w:rsidRPr="00587968">
        <w:t>Den utredning som nu pågår initierades av riksdagen på förslag av miljö- och jordbruksutskottet (bet. 1998/99:MjU3). Även om detta förslag till u</w:t>
      </w:r>
      <w:r w:rsidRPr="00587968">
        <w:t>t</w:t>
      </w:r>
      <w:r w:rsidRPr="00587968">
        <w:t>värdering tog sin utgångspunkt i frågor om förvärv av skogsfastigheter kommer den nu pågående utredningen att få betydelse för bedömningen av förvärvsregleringen också beträffande andra slag av lantbruksegendomar. Det saknas därför anledning för riksdagen att nu närmare i sak ta ställning till de framförda motionsförslagen.</w:t>
      </w:r>
    </w:p>
    <w:p w:rsidR="00613CFF" w:rsidRPr="00587968" w:rsidRDefault="00613CFF">
      <w:pPr>
        <w:pStyle w:val="Normaltindrag"/>
      </w:pPr>
      <w:r w:rsidRPr="00587968">
        <w:t>Med hänvisning till det anförda avstyrker utskottet motionerna 1999/2000:Bo408 (m), 1999/2000:Bo403 (kd), 1999/2000:N279 (kd) yrka</w:t>
      </w:r>
      <w:r w:rsidRPr="00587968">
        <w:t>n</w:t>
      </w:r>
      <w:r w:rsidRPr="00587968">
        <w:t>de 1, 1999/2000:Bo401 (c) yrkande 3, 1999/2000:Bo416 (c), 1999/2000: MJ222 (c)</w:t>
      </w:r>
      <w:r w:rsidRPr="00587968">
        <w:rPr>
          <w:sz w:val="22"/>
        </w:rPr>
        <w:t xml:space="preserve"> </w:t>
      </w:r>
      <w:r w:rsidRPr="00587968">
        <w:t xml:space="preserve">yrkande 20 och 1999/2000:N388 (mp) yrkande 19 om </w:t>
      </w:r>
      <w:r w:rsidRPr="00587968">
        <w:rPr>
          <w:i/>
        </w:rPr>
        <w:t>jordfö</w:t>
      </w:r>
      <w:r w:rsidRPr="00587968">
        <w:rPr>
          <w:i/>
        </w:rPr>
        <w:t>r</w:t>
      </w:r>
      <w:r w:rsidRPr="00587968">
        <w:rPr>
          <w:i/>
        </w:rPr>
        <w:t>värvsl</w:t>
      </w:r>
      <w:r w:rsidRPr="00587968">
        <w:rPr>
          <w:i/>
        </w:rPr>
        <w:t>a</w:t>
      </w:r>
      <w:r w:rsidRPr="00587968">
        <w:rPr>
          <w:i/>
        </w:rPr>
        <w:t>gen</w:t>
      </w:r>
      <w:r w:rsidRPr="00587968">
        <w:t>.</w:t>
      </w:r>
    </w:p>
    <w:p w:rsidR="00613CFF" w:rsidRPr="00587968" w:rsidRDefault="00613CFF">
      <w:pPr>
        <w:pStyle w:val="Rubrik4"/>
      </w:pPr>
      <w:bookmarkStart w:id="25" w:name="_Toc476043893"/>
      <w:r w:rsidRPr="00587968">
        <w:t>Förvärv av permanentbostäder för fritidsändamål</w:t>
      </w:r>
      <w:bookmarkEnd w:id="25"/>
    </w:p>
    <w:p w:rsidR="00613CFF" w:rsidRPr="00587968" w:rsidRDefault="00613CFF">
      <w:r w:rsidRPr="00587968">
        <w:t>I ett par motioner uppmärksammas problemen med att i vissa områden all</w:t>
      </w:r>
      <w:r w:rsidRPr="00587968">
        <w:t>t</w:t>
      </w:r>
      <w:r w:rsidRPr="00587968">
        <w:t>fler permanenthus förvärvas för fritidsändamål och de verkningar denna utveckling får för bygden. Fram till årsskiftet 1999/2000 gällde lagen (1992:1368) om tillstånd till vissa förvärv av fast egendom. Den innebar vissa restriktioner när det gällde förvärv av fritidsfastigheter. Tillståndspli</w:t>
      </w:r>
      <w:r w:rsidRPr="00587968">
        <w:t>k</w:t>
      </w:r>
      <w:r w:rsidRPr="00587968">
        <w:t>ten omfattade som huvudregel förvärvare som var bosatta utomlands och utländska juridiska personer. I samband med Sveriges förhandlingar om medlemskap i EU bedömdes lagen inte stå i överensstä</w:t>
      </w:r>
      <w:r w:rsidRPr="00587968">
        <w:t>m</w:t>
      </w:r>
      <w:r w:rsidRPr="00587968">
        <w:t>melse med EG-rättens re</w:t>
      </w:r>
      <w:r w:rsidRPr="00587968">
        <w:t>gler om fri rörlighet för kapital. Lagen upphävdes med anledning av att Sverige enligt anslutningsfördraget endast fick ha kvar sina restriktioner i fråga om fritidsfastigheter under en tid av fem år, dvs. till u</w:t>
      </w:r>
      <w:r w:rsidRPr="00587968">
        <w:t>t</w:t>
      </w:r>
      <w:r w:rsidRPr="00587968">
        <w:t>gången av 1999.</w:t>
      </w:r>
    </w:p>
    <w:p w:rsidR="00613CFF" w:rsidRPr="00587968" w:rsidRDefault="00613CFF">
      <w:pPr>
        <w:pStyle w:val="Normaltindrag"/>
      </w:pPr>
      <w:r w:rsidRPr="00587968">
        <w:t>I motion 1999/2000:Bo410 (s) framförs att regeringen inom ramen för EU-samarbetet bör verka för ändrade regler med målsättning att gemensamma EU-regler införs för förvärv av permanentbostäder för fritidsändamål. M</w:t>
      </w:r>
      <w:r w:rsidRPr="00587968">
        <w:t>o</w:t>
      </w:r>
      <w:r w:rsidRPr="00587968">
        <w:t>tionären anser att en lösning kan vara att det skall nekas förvärvstillstånd vid köp av fastighet inom detaljplanelagt område eller motsvarande, om fasti</w:t>
      </w:r>
      <w:r w:rsidRPr="00587968">
        <w:t>g</w:t>
      </w:r>
      <w:r w:rsidRPr="00587968">
        <w:t>heten tidigare användes för permanentboende och det finns anledning att anta att förvärvaren skall använda den enbart för fritidsboende.</w:t>
      </w:r>
      <w:r w:rsidRPr="00587968">
        <w:rPr>
          <w:b/>
        </w:rPr>
        <w:t xml:space="preserve"> </w:t>
      </w:r>
      <w:r w:rsidRPr="00587968">
        <w:t>Enligt förslaget i motion 1999/2000:Bo414 (kd) bör kommunerna vid sin revidering av befin</w:t>
      </w:r>
      <w:r w:rsidRPr="00587968">
        <w:t>t</w:t>
      </w:r>
      <w:r w:rsidRPr="00587968">
        <w:t>liga planer och vid ny detaljplanering ges möjligheter att avgränsa områden för åretruntboende och där införa boplikt. Motionärern</w:t>
      </w:r>
      <w:r w:rsidRPr="00587968">
        <w:t>a är kritiska till reg</w:t>
      </w:r>
      <w:r w:rsidRPr="00587968">
        <w:t>e</w:t>
      </w:r>
      <w:r w:rsidRPr="00587968">
        <w:t>ringens förslag om upphävande av 1992 års lag och till att några kompens</w:t>
      </w:r>
      <w:r w:rsidRPr="00587968">
        <w:t>e</w:t>
      </w:r>
      <w:r w:rsidRPr="00587968">
        <w:t>rande regler inte föreslagits i dess ställe. I motionen anges att inriktningen för framtiden bör vara att utländska förvärv av fritidsfastigheter skall kunna begränsas i särskilt utsatta områden för att de levande skärgårdssamhällena skall try</w:t>
      </w:r>
      <w:r w:rsidRPr="00587968">
        <w:t>g</w:t>
      </w:r>
      <w:r w:rsidRPr="00587968">
        <w:t>gas.</w:t>
      </w:r>
    </w:p>
    <w:p w:rsidR="00613CFF" w:rsidRPr="00587968" w:rsidRDefault="00613CFF">
      <w:pPr>
        <w:pStyle w:val="Normaltindrag"/>
      </w:pPr>
      <w:r w:rsidRPr="00587968">
        <w:t>Regeringen har ansett att det inte framstod som ändamålsenligt att försöka få till stånd en förlängning av undantaget (prop. 1998/99:126 om upphäva</w:t>
      </w:r>
      <w:r w:rsidRPr="00587968">
        <w:t>n</w:t>
      </w:r>
      <w:r w:rsidRPr="00587968">
        <w:t>det av 1992 års lag). Erfarenheterna hade visat att man inom EU ser mycket restriktivt på försök till ensidiga undantag från centrala gemenskapsrättsliga bestämmelser. Härtill kom att en eventuell förlängning av det svenska u</w:t>
      </w:r>
      <w:r w:rsidRPr="00587968">
        <w:t>n</w:t>
      </w:r>
      <w:r w:rsidRPr="00587968">
        <w:t>dantaget skulle förutsätta ändringar i EU:s grundfördrag, som efter en g</w:t>
      </w:r>
      <w:r w:rsidRPr="00587968">
        <w:t>e</w:t>
      </w:r>
      <w:r w:rsidRPr="00587968">
        <w:t xml:space="preserve">nomförd regeringskonferens skulle fordra ratifikation av samtliga EU:s medlemsstater. Regeringen ansåg att 1992 års lag inte heller borde tillämpas gentemot medborgare i länder utanför EU och föreslog därför att </w:t>
      </w:r>
      <w:r w:rsidRPr="00587968">
        <w:t>lagen skulle upphävas. Några nya regler för att kompensera upphävandet av lagen borde, enligt regeringen, inte införas. Riksdagen har beslutat i enlighet med reg</w:t>
      </w:r>
      <w:r w:rsidRPr="00587968">
        <w:t>e</w:t>
      </w:r>
      <w:r w:rsidRPr="00587968">
        <w:t>ringens förslag.</w:t>
      </w:r>
    </w:p>
    <w:p w:rsidR="00613CFF" w:rsidRPr="00587968" w:rsidRDefault="00613CFF">
      <w:pPr>
        <w:pStyle w:val="Normaltindrag"/>
      </w:pPr>
      <w:r w:rsidRPr="00587968">
        <w:t>Regeringens överväganden i den nämnda propositionen omfattade bl.a. frågan om planinstrumenten kan användas för att reglera fritidsboendet. Regeringen sade sig för närvarande inte vara beredd att föreslå regler av detta slag (prop. 126). Bl.a. redogjordes därvid för tidigare överväganden vid vilka konstaterats att en ordning av det</w:t>
      </w:r>
      <w:r w:rsidRPr="00587968">
        <w:t>ta slag skulle vara en omständlig och kostsam pr</w:t>
      </w:r>
      <w:r w:rsidRPr="00587968">
        <w:t>o</w:t>
      </w:r>
      <w:r w:rsidRPr="00587968">
        <w:t>cess inte minst avseende beståndet (Ds 1988:73 och 1989:78).</w:t>
      </w:r>
    </w:p>
    <w:p w:rsidR="00613CFF" w:rsidRPr="00587968" w:rsidRDefault="00613CFF">
      <w:pPr>
        <w:pStyle w:val="Normaltindrag"/>
      </w:pPr>
      <w:r w:rsidRPr="00587968">
        <w:t>Lagutskottet (bet. 1999/2000:LU1) anförde vid sin behandling av reg</w:t>
      </w:r>
      <w:r w:rsidRPr="00587968">
        <w:t>e</w:t>
      </w:r>
      <w:r w:rsidRPr="00587968">
        <w:t>ringsförslaget i anledning av motioner om att Sverige borde ta upp förhan</w:t>
      </w:r>
      <w:r w:rsidRPr="00587968">
        <w:t>d</w:t>
      </w:r>
      <w:r w:rsidRPr="00587968">
        <w:t>lingar om ett fortsatt undantag att det inte fanns skäl för ett sådant agerande, främst av den anledningen att förvärvsbegränsningarna i 1992 års lag i pra</w:t>
      </w:r>
      <w:r w:rsidRPr="00587968">
        <w:t>k</w:t>
      </w:r>
      <w:r w:rsidRPr="00587968">
        <w:t>tiken torde ha haft tämligen liten betydelse. Därtill kom bl.a. att sådana fö</w:t>
      </w:r>
      <w:r w:rsidRPr="00587968">
        <w:t>r</w:t>
      </w:r>
      <w:r w:rsidRPr="00587968">
        <w:t>sök b</w:t>
      </w:r>
      <w:r w:rsidRPr="00587968">
        <w:t>e</w:t>
      </w:r>
      <w:r w:rsidRPr="00587968">
        <w:t>dömdes som utsiktslösa.</w:t>
      </w:r>
    </w:p>
    <w:p w:rsidR="00613CFF" w:rsidRPr="00587968" w:rsidRDefault="00613CFF">
      <w:pPr>
        <w:pStyle w:val="Normaltindrag"/>
      </w:pPr>
      <w:r w:rsidRPr="00587968">
        <w:t>Lagutskottet behandlade också frågan om regler som skulle kompensera den upphävda lagen. Utskottet erinrade om icke-diskrimineringsprincipen och anförde – med hänvisning til</w:t>
      </w:r>
      <w:r w:rsidRPr="00587968">
        <w:t>l en dom från EG-domstolen avseende en österrikisk förvärvstillståndslag – bl.a. att även en icke-diskriminerande förvärvslagstiftning, som genom själva sitt syfte innebär en begränsning av de fria kapitalrörelserna, måste kunna motiveras av ett tillräckligt allmäni</w:t>
      </w:r>
      <w:r w:rsidRPr="00587968">
        <w:t>n</w:t>
      </w:r>
      <w:r w:rsidRPr="00587968">
        <w:t>tresse för att godtas av EG-domstolen.</w:t>
      </w:r>
    </w:p>
    <w:p w:rsidR="00613CFF" w:rsidRPr="00587968" w:rsidRDefault="00613CFF">
      <w:pPr>
        <w:pStyle w:val="Normaltindrag"/>
      </w:pPr>
      <w:r w:rsidRPr="00587968">
        <w:t>Därutöver anförde lagutskottet följande. Frågan om införande av generella regler som kompensation för 1992 års lag måste dessutom vägas mot behovet av sådana regler. Liksom regeringen kan utskottet konstate</w:t>
      </w:r>
      <w:r w:rsidRPr="00587968">
        <w:t>ra att 1992 års lag har ett snävt tillämpningsområde, varför ett upphävande av lagen inte kan antas få några större effekter för den svenska fritidshusmarknaden. Även om vissa negativa effekter inte helt kan uteslutas, torde dessa emellertid till viss del kunna avhjälpas genom annan befintlig lagstiftning och i övrigt balans</w:t>
      </w:r>
      <w:r w:rsidRPr="00587968">
        <w:t>e</w:t>
      </w:r>
      <w:r w:rsidRPr="00587968">
        <w:t>ras av de positiva effekter som utlänningars fritidsboende kan få för Sverige. Utskottet ansåg sig inte för närvarande vara berett att föreslå några nya regler för att kompensera upphäv</w:t>
      </w:r>
      <w:r w:rsidRPr="00587968">
        <w:t>andet av 1992 års lag.</w:t>
      </w:r>
    </w:p>
    <w:p w:rsidR="00613CFF" w:rsidRPr="00587968" w:rsidRDefault="00613CFF">
      <w:pPr>
        <w:pStyle w:val="Normaltindrag"/>
      </w:pPr>
      <w:r w:rsidRPr="00587968">
        <w:t>När 1992 års lag upphävdes tog regering och riksdag ställning till flera frågor som gäller en begränsande reglering av fritidsboendet. Utskottet stä</w:t>
      </w:r>
      <w:r w:rsidRPr="00587968">
        <w:t>l</w:t>
      </w:r>
      <w:r w:rsidRPr="00587968">
        <w:t>ler sig bakom de överväganden som då gjordes och avstyrker med hänvi</w:t>
      </w:r>
      <w:r w:rsidRPr="00587968">
        <w:t>s</w:t>
      </w:r>
      <w:r w:rsidRPr="00587968">
        <w:t xml:space="preserve">ning till dessa motionerna 1999/2000:Bo410 (s) och 1999/2000:Bo414 (kd) i fråga om </w:t>
      </w:r>
      <w:r w:rsidRPr="00587968">
        <w:rPr>
          <w:i/>
        </w:rPr>
        <w:t>förvärv av</w:t>
      </w:r>
      <w:r w:rsidRPr="00587968">
        <w:t xml:space="preserve"> </w:t>
      </w:r>
      <w:r w:rsidRPr="00587968">
        <w:rPr>
          <w:i/>
        </w:rPr>
        <w:t>permanentbostäder för</w:t>
      </w:r>
      <w:r w:rsidRPr="00587968">
        <w:t xml:space="preserve"> </w:t>
      </w:r>
      <w:r w:rsidRPr="00587968">
        <w:rPr>
          <w:i/>
        </w:rPr>
        <w:t>fritidsänd</w:t>
      </w:r>
      <w:r w:rsidRPr="00587968">
        <w:rPr>
          <w:i/>
        </w:rPr>
        <w:t>a</w:t>
      </w:r>
      <w:r w:rsidRPr="00587968">
        <w:rPr>
          <w:i/>
        </w:rPr>
        <w:t>mål</w:t>
      </w:r>
      <w:r w:rsidRPr="00587968">
        <w:t>.</w:t>
      </w:r>
    </w:p>
    <w:p w:rsidR="00613CFF" w:rsidRPr="00587968" w:rsidRDefault="00613CFF">
      <w:pPr>
        <w:pStyle w:val="Rubrik4"/>
        <w:rPr>
          <w:sz w:val="22"/>
        </w:rPr>
      </w:pPr>
      <w:bookmarkStart w:id="26" w:name="_Toc476043894"/>
      <w:r w:rsidRPr="00587968">
        <w:t>S.k. herrelösa hus</w:t>
      </w:r>
      <w:bookmarkEnd w:id="26"/>
      <w:r w:rsidRPr="00587968">
        <w:rPr>
          <w:sz w:val="22"/>
        </w:rPr>
        <w:t xml:space="preserve"> </w:t>
      </w:r>
    </w:p>
    <w:p w:rsidR="00613CFF" w:rsidRPr="00587968" w:rsidRDefault="00613CFF">
      <w:r w:rsidRPr="00587968">
        <w:t>I motion 1999/2000:Bo413 (s) berörs vad man ibland något oegentligt kallar problematiken med herrelösa hus. Det gäller fastigheter som ingår i konkur</w:t>
      </w:r>
      <w:r w:rsidRPr="00587968">
        <w:t>s</w:t>
      </w:r>
      <w:r w:rsidRPr="00587968">
        <w:t>bon efter juridiska personer men som konkursbona av någon anledning inte kan realisera. Genom konkursen upphör den juridiska personen att existera och det råder en del juridiska oklarheter om den efterlämnande egendomen. Fastigheterna upplevs vara herrelösa. I vissa fall har fastigheterna inte kunnat överlåtas därför att de på grund av sin tidigare användning måste saneras till så höga kostnader att ingen vill förvärva dem. Också andra orsaker kan ligga bakom att fastigheten saknar värde eller t.o.m. har e</w:t>
      </w:r>
      <w:r w:rsidRPr="00587968">
        <w:t>tt negativt värde. I m</w:t>
      </w:r>
      <w:r w:rsidRPr="00587968">
        <w:t>o</w:t>
      </w:r>
      <w:r w:rsidRPr="00587968">
        <w:t>tionen föreslås en översyn av lagstiftningen så att husen på sådana fastigheter får den tillsyn och det underhåll de behöver. Enligt motionären handlar det inte sällan om hyresfastigheter belägna i centrala delar av en kommun.</w:t>
      </w:r>
    </w:p>
    <w:p w:rsidR="00613CFF" w:rsidRPr="00587968" w:rsidRDefault="00613CFF">
      <w:pPr>
        <w:pStyle w:val="Normaltindrag"/>
      </w:pPr>
      <w:r w:rsidRPr="00587968">
        <w:t>Enligt vad utskottet erfarit har det till Justitiedepartementet inkommit en del skrivelser avseende den i motionen behandlade problemställningen som gäller orealiserbar egendom vid konkurs. Man avser att inom departementet arbeta fram ett underlag för vidare stä</w:t>
      </w:r>
      <w:r w:rsidRPr="00587968">
        <w:t xml:space="preserve">llningstaganden. Med hänsyn till detta finns inte anledning för riksdagen att nu närmare överväga de aktualiserade frågorna. Utskottet avstyrker därför motion 1999/2000:Bo413 (s) om </w:t>
      </w:r>
      <w:r w:rsidRPr="00587968">
        <w:rPr>
          <w:i/>
        </w:rPr>
        <w:t>s.k.</w:t>
      </w:r>
      <w:r w:rsidRPr="00587968">
        <w:t xml:space="preserve"> </w:t>
      </w:r>
      <w:r w:rsidRPr="00587968">
        <w:rPr>
          <w:i/>
        </w:rPr>
        <w:t>herrelösa hus.</w:t>
      </w:r>
    </w:p>
    <w:p w:rsidR="00613CFF" w:rsidRPr="00587968" w:rsidRDefault="00613CFF">
      <w:pPr>
        <w:pStyle w:val="Rubrik3"/>
      </w:pPr>
      <w:bookmarkStart w:id="27" w:name="_Toc476043895"/>
      <w:r w:rsidRPr="00587968">
        <w:t>Fastighetsbildning</w:t>
      </w:r>
      <w:bookmarkEnd w:id="27"/>
    </w:p>
    <w:p w:rsidR="00613CFF" w:rsidRPr="00587968" w:rsidRDefault="00613CFF">
      <w:pPr>
        <w:pStyle w:val="Rubrik4"/>
        <w:spacing w:before="123"/>
        <w:rPr>
          <w:b/>
          <w:sz w:val="22"/>
        </w:rPr>
      </w:pPr>
      <w:bookmarkStart w:id="28" w:name="_Toc476043896"/>
      <w:r w:rsidRPr="00587968">
        <w:t>Tredimensionell fastighetsbildning</w:t>
      </w:r>
      <w:bookmarkEnd w:id="28"/>
      <w:r w:rsidRPr="00587968">
        <w:rPr>
          <w:b/>
          <w:sz w:val="22"/>
        </w:rPr>
        <w:t xml:space="preserve"> </w:t>
      </w:r>
    </w:p>
    <w:p w:rsidR="00613CFF" w:rsidRPr="00587968" w:rsidRDefault="00613CFF">
      <w:r w:rsidRPr="00587968">
        <w:t>Fastighetsindelningen är enligt svensk rätt tvådimensionell. Fastigheterna avgränsas mot varandra genom vertikala gränser i markplanet. Fast egendom under markytan och i luftrummet ovanför denna ingår alltså i den fastighet till vilken markytan hör.</w:t>
      </w:r>
    </w:p>
    <w:p w:rsidR="00613CFF" w:rsidRPr="00587968" w:rsidRDefault="00613CFF">
      <w:pPr>
        <w:pStyle w:val="Normaltindrag"/>
      </w:pPr>
      <w:r w:rsidRPr="00587968">
        <w:t>I motion 1999/2000:Bo419 (m)</w:t>
      </w:r>
      <w:r w:rsidRPr="00587968">
        <w:rPr>
          <w:sz w:val="22"/>
        </w:rPr>
        <w:t xml:space="preserve"> </w:t>
      </w:r>
      <w:r w:rsidRPr="00587968">
        <w:t>yrkande 5 lämnas förslag om att tredime</w:t>
      </w:r>
      <w:r w:rsidRPr="00587968">
        <w:t>n</w:t>
      </w:r>
      <w:r w:rsidRPr="00587968">
        <w:t>sionell fastighetsindelning skall införas i syfte att få ett enklare och effektiv</w:t>
      </w:r>
      <w:r w:rsidRPr="00587968">
        <w:t>a</w:t>
      </w:r>
      <w:r w:rsidRPr="00587968">
        <w:t>re markutnyttjande genom att bl.a. samverkan mellan olika byggherrar u</w:t>
      </w:r>
      <w:r w:rsidRPr="00587968">
        <w:t>n</w:t>
      </w:r>
      <w:r w:rsidRPr="00587968">
        <w:t>derlättas. Förslaget motiveras dessutom med att det möjliggör införandet av ägarläge</w:t>
      </w:r>
      <w:r w:rsidRPr="00587968">
        <w:t>n</w:t>
      </w:r>
      <w:r w:rsidRPr="00587968">
        <w:t>heter.</w:t>
      </w:r>
    </w:p>
    <w:p w:rsidR="00613CFF" w:rsidRPr="00587968" w:rsidRDefault="00613CFF">
      <w:pPr>
        <w:pStyle w:val="Normaltindrag"/>
      </w:pPr>
      <w:r w:rsidRPr="00587968">
        <w:t>Betänkandet Tredimensionell fastighetsindelning (SOU 1996:87) bereds inom Regeringskansliet. Likaså bereds där frågan om direktiv för en utre</w:t>
      </w:r>
      <w:r w:rsidRPr="00587968">
        <w:t>d</w:t>
      </w:r>
      <w:r w:rsidRPr="00587968">
        <w:t xml:space="preserve">ning om ägarlägenheter. </w:t>
      </w:r>
    </w:p>
    <w:p w:rsidR="00613CFF" w:rsidRPr="00587968" w:rsidRDefault="00613CFF">
      <w:pPr>
        <w:pStyle w:val="Normaltindrag"/>
      </w:pPr>
      <w:r w:rsidRPr="00587968">
        <w:t xml:space="preserve">Med hänvisning till den nu pågående beredningen av frågan </w:t>
      </w:r>
      <w:r w:rsidRPr="00587968">
        <w:rPr>
          <w:i/>
        </w:rPr>
        <w:t>om tredime</w:t>
      </w:r>
      <w:r w:rsidRPr="00587968">
        <w:rPr>
          <w:i/>
        </w:rPr>
        <w:t>n</w:t>
      </w:r>
      <w:r w:rsidRPr="00587968">
        <w:rPr>
          <w:i/>
        </w:rPr>
        <w:t>sionell fastighetsbildning</w:t>
      </w:r>
      <w:r w:rsidRPr="00587968">
        <w:t xml:space="preserve"> avstyrker utskottet motion 1999/2000:Bo419 (m)</w:t>
      </w:r>
      <w:r w:rsidRPr="00587968">
        <w:rPr>
          <w:sz w:val="22"/>
        </w:rPr>
        <w:t xml:space="preserve"> </w:t>
      </w:r>
      <w:r w:rsidRPr="00587968">
        <w:t>yrkande 5.</w:t>
      </w:r>
    </w:p>
    <w:p w:rsidR="00613CFF" w:rsidRPr="00587968" w:rsidRDefault="00613CFF">
      <w:pPr>
        <w:pStyle w:val="Rubrik4"/>
        <w:rPr>
          <w:b/>
          <w:sz w:val="22"/>
        </w:rPr>
      </w:pPr>
      <w:bookmarkStart w:id="29" w:name="_Toc476043897"/>
      <w:r w:rsidRPr="00587968">
        <w:t>Omarrondering</w:t>
      </w:r>
      <w:bookmarkEnd w:id="29"/>
      <w:r w:rsidRPr="00587968">
        <w:rPr>
          <w:b/>
          <w:sz w:val="22"/>
        </w:rPr>
        <w:t xml:space="preserve"> </w:t>
      </w:r>
    </w:p>
    <w:p w:rsidR="00613CFF" w:rsidRPr="00587968" w:rsidRDefault="00613CFF">
      <w:r w:rsidRPr="00587968">
        <w:t>I motion 1999/2000:Bo221 (s) föreslås att det statliga bidraget för yttre rati</w:t>
      </w:r>
      <w:r w:rsidRPr="00587968">
        <w:t>o</w:t>
      </w:r>
      <w:r w:rsidRPr="00587968">
        <w:t>nalisering bör få användas också till nya omarronderingsprojekt, vilket skulle innebära möjligheter till en delfinansiering med medel från EU:s struktu</w:t>
      </w:r>
      <w:r w:rsidRPr="00587968">
        <w:t>r</w:t>
      </w:r>
      <w:r w:rsidRPr="00587968">
        <w:t xml:space="preserve">fond. </w:t>
      </w:r>
    </w:p>
    <w:p w:rsidR="00613CFF" w:rsidRPr="00587968" w:rsidRDefault="00613CFF">
      <w:pPr>
        <w:pStyle w:val="Normaltindrag"/>
      </w:pPr>
      <w:r w:rsidRPr="00587968">
        <w:t>Enligt förordningen (1978:250) om statligt stöd till jordbrukets rationalis</w:t>
      </w:r>
      <w:r w:rsidRPr="00587968">
        <w:t>e</w:t>
      </w:r>
      <w:r w:rsidRPr="00587968">
        <w:t>ring lämnas stöd till vissa omarronderingsprojekt framför allt i Dalarnas län. Stödet finansieras genom anslaget Stöd till jordbrukets rationalisering m.m. (utg.omr. 23 anslag B2). Från anslaget görs utbetalningar endast för tidigare beslutade stödåtgä</w:t>
      </w:r>
      <w:r w:rsidRPr="00587968">
        <w:t>r</w:t>
      </w:r>
      <w:r w:rsidRPr="00587968">
        <w:t xml:space="preserve">der. </w:t>
      </w:r>
    </w:p>
    <w:p w:rsidR="00613CFF" w:rsidRPr="00587968" w:rsidRDefault="00613CFF">
      <w:pPr>
        <w:pStyle w:val="Normaltindrag"/>
      </w:pPr>
      <w:r w:rsidRPr="00587968">
        <w:t>I sammanhanget bör uppmärksammas att enligt förordningen om avgifter vid lantmäteriförrättning (1995:1459) kan nedsättning av sådan avgift bevi</w:t>
      </w:r>
      <w:r w:rsidRPr="00587968">
        <w:t>l</w:t>
      </w:r>
      <w:r w:rsidRPr="00587968">
        <w:t>jas om fastighetsregistreringen effektiviseras genom en förrättning. Det finns för närvarande inte medel för att bevilja nedsättning beträffande nya oma</w:t>
      </w:r>
      <w:r w:rsidRPr="00587968">
        <w:t>r</w:t>
      </w:r>
      <w:r w:rsidRPr="00587968">
        <w:t>ronderingsprojekt. Enligt en utvärdering som gjorts av Lantmäteriverket (1999-06-29) har rationaliseringen av fastighetsindelningen sådana effekter att det är angeläget att det finns medel till denna, framför allt vad gäller D</w:t>
      </w:r>
      <w:r w:rsidRPr="00587968">
        <w:t>a</w:t>
      </w:r>
      <w:r w:rsidRPr="00587968">
        <w:t>larnas län. Verket anger att statliga rationaliseringsmedel också kan fungera som delfinansiering av projekt med EU-bidrag. Det kan</w:t>
      </w:r>
      <w:r w:rsidRPr="00587968">
        <w:t xml:space="preserve"> enligt verket finnas skäl att återkomma om nedsättningsreglernas framtida utformning. Verket har till regeringen sagt sig vara beredd att göra en sådan översyn.</w:t>
      </w:r>
    </w:p>
    <w:p w:rsidR="00613CFF" w:rsidRPr="00587968" w:rsidRDefault="00613CFF">
      <w:pPr>
        <w:pStyle w:val="Normaltindrag"/>
      </w:pPr>
      <w:r w:rsidRPr="00587968">
        <w:t>Enligt utskottets mening är det angeläget att omarronderingsverksamheten bedrivs fortlöpande. Det främsta motivet är naturligtvis att nå de positiva effekter för enskilda och samhället som en rationalisering av fastighetsinde</w:t>
      </w:r>
      <w:r w:rsidRPr="00587968">
        <w:t>l</w:t>
      </w:r>
      <w:r w:rsidRPr="00587968">
        <w:t>ningen ger, särskilt vad gäller jord- och skogsbruk. En kontinuerligt bedriven verksamhet är också en förutsättning för att lantmäteriet skall kunna bevara och utveckla sin kompetens på området. Regeringen har bl.a. genom den av Lantmäteriverket gjorda utvärderingen uppmärksammats på omarronderin</w:t>
      </w:r>
      <w:r w:rsidRPr="00587968">
        <w:t>g</w:t>
      </w:r>
      <w:r w:rsidRPr="00587968">
        <w:t>ens betydelse. Det kan därför förutsättas att regeringen håller sig underrättad om hur omarronderingen fortskrider och överväger behovet av ekonomiskt stöd och andra åtgärder. Det finns mot denna bakgrund inte anl</w:t>
      </w:r>
      <w:r w:rsidRPr="00587968">
        <w:t xml:space="preserve">edning för riksdagen att nu ta något initiativ i frågan. Med hänvisning till det anförda avstyrker utskottet motion 1999/2000:Bo221 (s) om </w:t>
      </w:r>
      <w:r w:rsidRPr="00587968">
        <w:rPr>
          <w:i/>
        </w:rPr>
        <w:t>omarrond</w:t>
      </w:r>
      <w:r w:rsidRPr="00587968">
        <w:rPr>
          <w:i/>
        </w:rPr>
        <w:t>e</w:t>
      </w:r>
      <w:r w:rsidRPr="00587968">
        <w:rPr>
          <w:i/>
        </w:rPr>
        <w:t>ring</w:t>
      </w:r>
      <w:r w:rsidRPr="00587968">
        <w:t xml:space="preserve">. </w:t>
      </w:r>
    </w:p>
    <w:p w:rsidR="00613CFF" w:rsidRPr="00587968" w:rsidRDefault="00613CFF">
      <w:pPr>
        <w:pStyle w:val="Rubrik4"/>
        <w:rPr>
          <w:sz w:val="22"/>
        </w:rPr>
      </w:pPr>
      <w:bookmarkStart w:id="30" w:name="_Toc476043898"/>
      <w:r w:rsidRPr="00587968">
        <w:t>Ortnamn</w:t>
      </w:r>
      <w:bookmarkEnd w:id="30"/>
    </w:p>
    <w:p w:rsidR="00613CFF" w:rsidRPr="00587968" w:rsidRDefault="00613CFF">
      <w:r w:rsidRPr="00587968">
        <w:t>I tre motioner föreslås att det i fastighetsbildningslagen skall införas krav på hänsyn till kulturarvet vad gäller ortnamnen. Det gäller motionerna 1999/2000:Bo418 (s), 1999/2000:Bo402 (c) och 1999/2000:Bo405 (c). M</w:t>
      </w:r>
      <w:r w:rsidRPr="00587968">
        <w:t>o</w:t>
      </w:r>
      <w:r w:rsidRPr="00587968">
        <w:t>tionerna tar främst sikte på att förhindra att ortnamn försvinner vid fasti</w:t>
      </w:r>
      <w:r w:rsidRPr="00587968">
        <w:t>g</w:t>
      </w:r>
      <w:r w:rsidRPr="00587968">
        <w:t>hetsreglering och att begreppsförvirring uppstår om i vilken by en fastighet hör hemma.</w:t>
      </w:r>
    </w:p>
    <w:p w:rsidR="00613CFF" w:rsidRPr="00587968" w:rsidRDefault="00613CFF">
      <w:pPr>
        <w:pStyle w:val="Normaltindrag"/>
      </w:pPr>
      <w:r w:rsidRPr="00587968">
        <w:t>Det av motionärerna uppmärksammade problemet har åtminstone delvis som orsak att stämpelskatt inte utgår vid ett förvärv av en fastighet om ma</w:t>
      </w:r>
      <w:r w:rsidRPr="00587968">
        <w:t>r</w:t>
      </w:r>
      <w:r w:rsidRPr="00587968">
        <w:t>ken genom fastighetsreglering förs över till en annan fastighet. I en av Lan</w:t>
      </w:r>
      <w:r w:rsidRPr="00587968">
        <w:t>t</w:t>
      </w:r>
      <w:r w:rsidRPr="00587968">
        <w:t>mäteriutredningen (SOU 1994:90) citerad undersökning har dragits slutsa</w:t>
      </w:r>
      <w:r w:rsidRPr="00587968">
        <w:t>t</w:t>
      </w:r>
      <w:r w:rsidRPr="00587968">
        <w:t>sen att fastighetsreglering används för att undkomma stämpe</w:t>
      </w:r>
      <w:r w:rsidRPr="00587968">
        <w:t>l</w:t>
      </w:r>
      <w:r w:rsidRPr="00587968">
        <w:t>skatt.</w:t>
      </w:r>
    </w:p>
    <w:p w:rsidR="00613CFF" w:rsidRPr="00587968" w:rsidRDefault="00613CFF">
      <w:pPr>
        <w:pStyle w:val="Normaltindrag"/>
      </w:pPr>
      <w:r w:rsidRPr="00587968">
        <w:t>Både Lantmäteriverket i sig och den regionala organisationen inom Lan</w:t>
      </w:r>
      <w:r w:rsidRPr="00587968">
        <w:t>t</w:t>
      </w:r>
      <w:r w:rsidRPr="00587968">
        <w:t>mäteriet bedriver namnvårdande verksamhet. Verket meddelar föreskrifter och råd och har bl.a. beskrivit hur den löpande verksamheten kan bedrivas praktiskt för att vara skonsam mot ortnamnen (i skriftserien Ortnamn och namnvård). En handbok i ortnamnsfrågor är under utarbetande. Det bör uppmärksammas att vid en fastighetsreglering det är möjligt att ändra den mottagande fastighetens namn.</w:t>
      </w:r>
    </w:p>
    <w:p w:rsidR="00613CFF" w:rsidRPr="00587968" w:rsidRDefault="00613CFF">
      <w:pPr>
        <w:pStyle w:val="Normaltindrag"/>
      </w:pPr>
      <w:r w:rsidRPr="00587968">
        <w:t>Kulturarvsutredningen (SOU 1996:128) konstaterade att tidigare disku</w:t>
      </w:r>
      <w:r w:rsidRPr="00587968">
        <w:t>s</w:t>
      </w:r>
      <w:r w:rsidRPr="00587968">
        <w:t>sioner skärpt uppmärksamheten hos alla inblandade på namnfrågorna. Utre</w:t>
      </w:r>
      <w:r w:rsidRPr="00587968">
        <w:t>d</w:t>
      </w:r>
      <w:r w:rsidRPr="00587968">
        <w:t>ningen tog upp den inte ovanliga kritiken mot att namn försvinner ur fasti</w:t>
      </w:r>
      <w:r w:rsidRPr="00587968">
        <w:t>g</w:t>
      </w:r>
      <w:r w:rsidRPr="00587968">
        <w:t>hetsregistret. Utredningen anförde bl.a. följande synpunkter. Systemet med ett särskilt namn i registret (utan registerbetydelse) som infördes 1972 gör det möjligt att ändå behålla ett kulturhistoriskt värdefullt namn som identif</w:t>
      </w:r>
      <w:r w:rsidRPr="00587968">
        <w:t>i</w:t>
      </w:r>
      <w:r w:rsidRPr="00587968">
        <w:t>kation på en gård eller fastighet. Förändringar blir emellertid ofrånkomliga då registrets syfte är att registrera den aktuella fastig</w:t>
      </w:r>
      <w:r w:rsidRPr="00587968">
        <w:t>hetsindelningen med förändringar i form av fastighetsreglering, sammanläggningar och avstyc</w:t>
      </w:r>
      <w:r w:rsidRPr="00587968">
        <w:t>k</w:t>
      </w:r>
      <w:r w:rsidRPr="00587968">
        <w:t>ningar. Om fastighetsstrukturen förändras måste detta också komma att inn</w:t>
      </w:r>
      <w:r w:rsidRPr="00587968">
        <w:t>e</w:t>
      </w:r>
      <w:r w:rsidRPr="00587968">
        <w:t>bära förändringar i registrets ortnamn, och vilka markområden namnen avser. Antalet förändringar i förhållande till hela registret är mycket litet. Fasti</w:t>
      </w:r>
      <w:r w:rsidRPr="00587968">
        <w:t>g</w:t>
      </w:r>
      <w:r w:rsidRPr="00587968">
        <w:t>hetsregistrets betydelse i sig för bevarande av namn förefaller inte avgöra</w:t>
      </w:r>
      <w:r w:rsidRPr="00587968">
        <w:t>n</w:t>
      </w:r>
      <w:r w:rsidRPr="00587968">
        <w:t xml:space="preserve">de. </w:t>
      </w:r>
    </w:p>
    <w:p w:rsidR="00613CFF" w:rsidRPr="00587968" w:rsidRDefault="00613CFF">
      <w:pPr>
        <w:pStyle w:val="Normaltindrag"/>
      </w:pPr>
      <w:r w:rsidRPr="00587968">
        <w:t>Utredningen fann inte tillräckliga skäl för att det i fastighetsbildningslagen skulle tas in särskilda regler r</w:t>
      </w:r>
      <w:r w:rsidRPr="00587968">
        <w:t>örande ortnamn. Mot en reglering talade att fastighetsbildningen styrs av allmänna lämplighets- och planvillkor som inte utan risk för målkonflikter kan förenas med ett krav på att bevara ortnamn. Om en viss fastighetsindelning framstår som olämplig är det enligt utre</w:t>
      </w:r>
      <w:r w:rsidRPr="00587968">
        <w:t>d</w:t>
      </w:r>
      <w:r w:rsidRPr="00587968">
        <w:t>ningen svårt att hävda att indelningen bör behållas därför att fastighetsb</w:t>
      </w:r>
      <w:r w:rsidRPr="00587968">
        <w:t>e</w:t>
      </w:r>
      <w:r w:rsidRPr="00587968">
        <w:t>teckningen utgör ett ortnamn som måhända inte skulle användas fortsät</w:t>
      </w:r>
      <w:r w:rsidRPr="00587968">
        <w:t>t</w:t>
      </w:r>
      <w:r w:rsidRPr="00587968">
        <w:t>ningsvis om indelningen ändras. Det sagda utesluter inte att hänsyn tas till vilken inverkan på or</w:t>
      </w:r>
      <w:r w:rsidRPr="00587968">
        <w:t>tnamnen en begärd fastighetsbildning kan ha så att inte marginell eller kortsiktig nytta tillåts slå ut kulturhistoriska värden. Ett utt</w:t>
      </w:r>
      <w:r w:rsidRPr="00587968">
        <w:t>a</w:t>
      </w:r>
      <w:r w:rsidRPr="00587968">
        <w:t>lande som gjordes i riksdagen år 1974 ansåg utredningen fortfarande ha giltighet: ”Fastighetsägarens synpunkter bör dock enligt utskottets mening inte tillgodoses i strid mot ett markerat kulturhistoriskt intresse. Detta bör enligt utskottets mening gälla även vid sammanläggning” (bet. 1974:CU30). Några systematiska problem av detta slag som kräver ändringar i författnin</w:t>
      </w:r>
      <w:r w:rsidRPr="00587968">
        <w:t>g</w:t>
      </w:r>
      <w:r w:rsidRPr="00587968">
        <w:t>a</w:t>
      </w:r>
      <w:r w:rsidRPr="00587968">
        <w:t>r syntes enligt utredningen inte vara aktuella för närvarande.</w:t>
      </w:r>
    </w:p>
    <w:p w:rsidR="00613CFF" w:rsidRPr="00587968" w:rsidRDefault="00613CFF">
      <w:pPr>
        <w:pStyle w:val="Normaltindrag"/>
      </w:pPr>
      <w:r w:rsidRPr="00587968">
        <w:t>I proposition 1998/99:114 föreslår regeringen att en bestämmelse skall i</w:t>
      </w:r>
      <w:r w:rsidRPr="00587968">
        <w:t>n</w:t>
      </w:r>
      <w:r w:rsidRPr="00587968">
        <w:t>föras i kulturminneslagen om att god ortnamnssed skall iakttas vid statlig och kommunal verksamhet. Propositionen kommer senare i vår att behandlas av kulturutskottet. Regeringen har såvitt gäller fastighetsbildning och fastighet</w:t>
      </w:r>
      <w:r w:rsidRPr="00587968">
        <w:t>s</w:t>
      </w:r>
      <w:r w:rsidRPr="00587968">
        <w:t>registrering i propositionen konstaterat att fastighetsbildningsreformen inte medfört att ortnamn tagits ur bruk i någon större utsträckning. I stället är det avgörande för namnens fortsatta liv om fastigheterna är bebyggda och na</w:t>
      </w:r>
      <w:r w:rsidRPr="00587968">
        <w:t>m</w:t>
      </w:r>
      <w:r w:rsidRPr="00587968">
        <w:t xml:space="preserve">nen redovisas på kartor. Regeringen delade därför </w:t>
      </w:r>
      <w:r w:rsidRPr="00587968">
        <w:t>utredningens uppfattning att det med nuvarande regelverk för fastighetsindelning och fastighetsb</w:t>
      </w:r>
      <w:r w:rsidRPr="00587968">
        <w:t>e</w:t>
      </w:r>
      <w:r w:rsidRPr="00587968">
        <w:t>teckning går att få en ur or</w:t>
      </w:r>
      <w:r w:rsidRPr="00587968">
        <w:t>t</w:t>
      </w:r>
      <w:r w:rsidRPr="00587968">
        <w:t>namnssynpunkt bra tillämpning.</w:t>
      </w:r>
    </w:p>
    <w:p w:rsidR="00613CFF" w:rsidRPr="00587968" w:rsidRDefault="00613CFF">
      <w:pPr>
        <w:pStyle w:val="Normaltindrag"/>
      </w:pPr>
      <w:r w:rsidRPr="00587968">
        <w:t>Utskottet har erfarit att en av Lantmäteriverket genomförd men ännu inte publicerad undersökning av fastighetsregistrets betydelse för ortnamnens bevarande bekräftar slutsatsen om de faktorer som är avgörande för ortna</w:t>
      </w:r>
      <w:r w:rsidRPr="00587968">
        <w:t>m</w:t>
      </w:r>
      <w:r w:rsidRPr="00587968">
        <w:t xml:space="preserve">nens fortsatta liv. </w:t>
      </w:r>
    </w:p>
    <w:p w:rsidR="00613CFF" w:rsidRPr="00587968" w:rsidRDefault="00613CFF">
      <w:pPr>
        <w:pStyle w:val="Normaltindrag"/>
      </w:pPr>
      <w:r w:rsidRPr="00587968">
        <w:t>För att en skyddsbestämmelse av det slag motionärerna efterlyser skall bli effektiv måste den innebära ett större eller mindre hinder mot fastighetsbil</w:t>
      </w:r>
      <w:r w:rsidRPr="00587968">
        <w:t>d</w:t>
      </w:r>
      <w:r w:rsidRPr="00587968">
        <w:t>ning när en sådan av andra skäl framstår som lämplig. Även om utskottet bedömer ortnamnsfrågorna som viktiga kan de inte ges en avgörande tyngd i förhållande till de viktiga ändamål som fastighetsbildningsreglerna syftar att tillgodose. Med hänvisning till det anförda avstyrker utskottet motionerna 1999/2000:Bo418 (s), 1999/2000:Bo402 (c) och 1999/2000:Bo405 (c) om</w:t>
      </w:r>
      <w:r w:rsidRPr="00587968">
        <w:rPr>
          <w:i/>
        </w:rPr>
        <w:t xml:space="preserve"> ortnamnsskydd i fastighetsbildningsl</w:t>
      </w:r>
      <w:r w:rsidRPr="00587968">
        <w:rPr>
          <w:i/>
        </w:rPr>
        <w:t>a</w:t>
      </w:r>
      <w:r w:rsidRPr="00587968">
        <w:rPr>
          <w:i/>
        </w:rPr>
        <w:t>gen</w:t>
      </w:r>
      <w:r w:rsidRPr="00587968">
        <w:t xml:space="preserve">. </w:t>
      </w:r>
    </w:p>
    <w:p w:rsidR="00613CFF" w:rsidRPr="00587968" w:rsidRDefault="00613CFF">
      <w:pPr>
        <w:pStyle w:val="Rubrik3"/>
      </w:pPr>
      <w:bookmarkStart w:id="31" w:name="_Toc476043899"/>
      <w:r w:rsidRPr="00587968">
        <w:t>Tomträtt</w:t>
      </w:r>
      <w:bookmarkEnd w:id="31"/>
      <w:r w:rsidRPr="00587968">
        <w:t xml:space="preserve"> </w:t>
      </w:r>
    </w:p>
    <w:p w:rsidR="00613CFF" w:rsidRPr="00587968" w:rsidRDefault="00613CFF">
      <w:r w:rsidRPr="00587968">
        <w:t>Tre motioner innehåller förslag om att inga nya tomträtter skall få upplåtas. Förslagen framförs i motionerna 1999/2000:Bo419 (m) yrkande 4, 1998/99: Bo209 (m) yrkande 14 och 1999/2000:Bo404 (m). Yrkandena i de två förs</w:t>
      </w:r>
      <w:r w:rsidRPr="00587968">
        <w:t>t</w:t>
      </w:r>
      <w:r w:rsidRPr="00587968">
        <w:t>nämnda motionerna omfattar också att man samtidigt i kommunerna bör börja avveckla tomträ</w:t>
      </w:r>
      <w:r w:rsidRPr="00587968">
        <w:t>t</w:t>
      </w:r>
      <w:r w:rsidRPr="00587968">
        <w:t xml:space="preserve">terna genom att erbjuda dem till försäljning. </w:t>
      </w:r>
    </w:p>
    <w:p w:rsidR="00613CFF" w:rsidRPr="00587968" w:rsidRDefault="00613CFF">
      <w:pPr>
        <w:pStyle w:val="Normaltindrag"/>
      </w:pPr>
      <w:r w:rsidRPr="00587968">
        <w:t>Utskottet har behandlat begränsningar av tomträttsinstitutet flera gånger tidigare, och då bl.a. erinrat om följande. Tomträttsinstitutet infördes år 1907 som ett komplement till äganderätten. Byggnadsverksamheten skulle up</w:t>
      </w:r>
      <w:r w:rsidRPr="00587968">
        <w:t>p</w:t>
      </w:r>
      <w:r w:rsidRPr="00587968">
        <w:t>muntras genom att man gjorde det möjligt för kommunerna att tillhandahålla mark för bostäder till ett lägre pris än om den skulle säljas. Införandet av tomträttsinstitutet hade följaktligen en tydlig bostadssocial prägel. Dessutom eftersträvades möjligheter att förhindra en kapitalisering av markvärdesste</w:t>
      </w:r>
      <w:r w:rsidRPr="00587968">
        <w:t>g</w:t>
      </w:r>
      <w:r w:rsidRPr="00587968">
        <w:t>ringen hos enskilda fastighet</w:t>
      </w:r>
      <w:r w:rsidRPr="00587968">
        <w:t>s</w:t>
      </w:r>
      <w:r w:rsidRPr="00587968">
        <w:t xml:space="preserve">ägare. </w:t>
      </w:r>
    </w:p>
    <w:p w:rsidR="00613CFF" w:rsidRPr="00587968" w:rsidRDefault="00613CFF">
      <w:pPr>
        <w:pStyle w:val="Normaltindrag"/>
      </w:pPr>
      <w:r w:rsidRPr="00587968">
        <w:t xml:space="preserve">Utskottet anser nu liksom när frågan senast behandlades (bet. 1997/98: BoU2) att ovan angivna motiv har fortsatt relevans, varför inga åtgärder bör vidtas som syftar </w:t>
      </w:r>
      <w:r w:rsidRPr="00587968">
        <w:t>till en begränsning av upplåtelserätten avseende tomträtter. Utskottet anser mot denna bakgrund det inte heller vara motiverat att genom lagstiftning framtvinga en kommunal utförsäljning av de fastigheter som upplåts med tomträtt. Således bör det, enligt utskottets uppfattning, även i fortsättningen vara kommunernas eget val att avgöra omfattningen av tom</w:t>
      </w:r>
      <w:r w:rsidRPr="00587968">
        <w:t>t</w:t>
      </w:r>
      <w:r w:rsidRPr="00587968">
        <w:t>rättsinstitutets användning. Utskottet avstyrker med hänvisning till detta motionerna 1998/99:Bo209 (m) yrkande 14, 1999/2000:Bo419 (m) yrkande 4 och 1999</w:t>
      </w:r>
      <w:r w:rsidRPr="00587968">
        <w:t xml:space="preserve">/2000:Bo404 (m) om </w:t>
      </w:r>
      <w:r w:rsidRPr="00587968">
        <w:rPr>
          <w:i/>
        </w:rPr>
        <w:t>avskaffande av tomträttsinst</w:t>
      </w:r>
      <w:r w:rsidRPr="00587968">
        <w:rPr>
          <w:i/>
        </w:rPr>
        <w:t>i</w:t>
      </w:r>
      <w:r w:rsidRPr="00587968">
        <w:rPr>
          <w:i/>
        </w:rPr>
        <w:t>tutet</w:t>
      </w:r>
      <w:r w:rsidRPr="00587968">
        <w:t>.</w:t>
      </w:r>
    </w:p>
    <w:p w:rsidR="00613CFF" w:rsidRPr="00587968" w:rsidRDefault="00613CFF">
      <w:pPr>
        <w:pStyle w:val="Rubrik3"/>
      </w:pPr>
      <w:bookmarkStart w:id="32" w:name="_Toc476043900"/>
      <w:r w:rsidRPr="00587968">
        <w:t>Kommunala förköp</w:t>
      </w:r>
      <w:bookmarkEnd w:id="32"/>
    </w:p>
    <w:p w:rsidR="00613CFF" w:rsidRPr="00587968" w:rsidRDefault="00613CFF">
      <w:r w:rsidRPr="00587968">
        <w:t>I motion 1999/2000:Bo419 (m)</w:t>
      </w:r>
      <w:r w:rsidRPr="00587968">
        <w:rPr>
          <w:sz w:val="22"/>
        </w:rPr>
        <w:t xml:space="preserve"> </w:t>
      </w:r>
      <w:r w:rsidRPr="00587968">
        <w:t>yrkande 9 lämnas förslag om att den ko</w:t>
      </w:r>
      <w:r w:rsidRPr="00587968">
        <w:t>m</w:t>
      </w:r>
      <w:r w:rsidRPr="00587968">
        <w:t xml:space="preserve">munala förköpsrätten skall avskaffas. Motionärerna anser att kommunerna genom det kommunala planmonopolet, expropriationslagen och överlägsna resurser har möjligheter att genomföra sina planer utan att ta till förköpsrätt. </w:t>
      </w:r>
    </w:p>
    <w:p w:rsidR="00613CFF" w:rsidRPr="00587968" w:rsidRDefault="00613CFF">
      <w:pPr>
        <w:pStyle w:val="Normaltindrag"/>
      </w:pPr>
      <w:r w:rsidRPr="00587968">
        <w:t>Motionsyrkanden om upphävande av förköpslagen har framställts vid ett flertal tillfällen. Bostadsutskottet har i dessa sammanhang och senast under</w:t>
      </w:r>
      <w:r w:rsidRPr="00587968">
        <w:rPr>
          <w:i/>
        </w:rPr>
        <w:t xml:space="preserve"> </w:t>
      </w:r>
      <w:r w:rsidRPr="00587968">
        <w:t>förra riksmötet (bet. 1998/99:BoU5 och BoU8) ställt sig bakom förköpsl</w:t>
      </w:r>
      <w:r w:rsidRPr="00587968">
        <w:t>a</w:t>
      </w:r>
      <w:r w:rsidRPr="00587968">
        <w:t>gens huvudprinciper och ansett att lagen bör behållas. Utskottet anser nu liksom tidigare att den kommunala förköpsrätten utgör ett viktigt kompl</w:t>
      </w:r>
      <w:r w:rsidRPr="00587968">
        <w:t>e</w:t>
      </w:r>
      <w:r w:rsidRPr="00587968">
        <w:t xml:space="preserve">ment till expropriationslagen och innebär i vissa fall att ett ofta tids- och kostnadskrävande expropriationsförfarande kan undvikas. Förköpslagen bör således ses som ett av flera instrument som tillsammans ger kommunerna möjlighet att planera bebyggelseutvecklingen och i övrigt ta ansvar för </w:t>
      </w:r>
      <w:r w:rsidRPr="00587968">
        <w:t>den fysiska samhällsutvecklingen. Med hänvisning till det anförda avstyrker utskottet motion 1999/2000:Bo419 (m)</w:t>
      </w:r>
      <w:r w:rsidRPr="00587968">
        <w:rPr>
          <w:sz w:val="22"/>
        </w:rPr>
        <w:t xml:space="preserve"> </w:t>
      </w:r>
      <w:r w:rsidRPr="00587968">
        <w:t xml:space="preserve">yrkande 9 om </w:t>
      </w:r>
      <w:r w:rsidRPr="00587968">
        <w:rPr>
          <w:i/>
        </w:rPr>
        <w:t>avskaffande</w:t>
      </w:r>
      <w:r w:rsidRPr="00587968">
        <w:t xml:space="preserve"> </w:t>
      </w:r>
      <w:r w:rsidRPr="00587968">
        <w:rPr>
          <w:i/>
        </w:rPr>
        <w:t>av</w:t>
      </w:r>
      <w:r w:rsidRPr="00587968">
        <w:t xml:space="preserve"> </w:t>
      </w:r>
      <w:r w:rsidRPr="00587968">
        <w:rPr>
          <w:i/>
        </w:rPr>
        <w:t>den kommunala förköpsrätten</w:t>
      </w:r>
      <w:r w:rsidRPr="00587968">
        <w:t>.</w:t>
      </w:r>
    </w:p>
    <w:p w:rsidR="00613CFF" w:rsidRPr="00587968" w:rsidRDefault="00613CFF">
      <w:pPr>
        <w:pStyle w:val="Rubrik3"/>
        <w:rPr>
          <w:sz w:val="22"/>
        </w:rPr>
      </w:pPr>
      <w:bookmarkStart w:id="33" w:name="_Toc476043901"/>
      <w:r w:rsidRPr="00587968">
        <w:t>Expropriation</w:t>
      </w:r>
      <w:bookmarkEnd w:id="33"/>
    </w:p>
    <w:p w:rsidR="00613CFF" w:rsidRPr="00587968" w:rsidRDefault="00613CFF">
      <w:r w:rsidRPr="00587968">
        <w:t>Motion 1999/2000:Bo419 (m) yrkande 1 i motsvarande del behandlar expr</w:t>
      </w:r>
      <w:r w:rsidRPr="00587968">
        <w:t>o</w:t>
      </w:r>
      <w:r w:rsidRPr="00587968">
        <w:t>priationsgrunderna. Enligt motionsförslaget bör det allmänna få inskränka enskilda markägares rätt endast med syfte att skydda människors liv, hälsa och säkerhet, att skydda miljön och naturen samt för att kunna genomföra för landet och kommunen ytterst angelägna uppgi</w:t>
      </w:r>
      <w:r w:rsidRPr="00587968">
        <w:t>f</w:t>
      </w:r>
      <w:r w:rsidRPr="00587968">
        <w:t>ter.</w:t>
      </w:r>
    </w:p>
    <w:p w:rsidR="00613CFF" w:rsidRPr="00587968" w:rsidRDefault="00613CFF">
      <w:pPr>
        <w:pStyle w:val="Normaltindrag"/>
      </w:pPr>
      <w:r w:rsidRPr="00587968">
        <w:t>Expropriation innebär att enskildas egendom tas i anspråk av det allmänna för att tillgodose olika samhällsnyttiga ändamål. De s.k. expropriationsänd</w:t>
      </w:r>
      <w:r w:rsidRPr="00587968">
        <w:t>a</w:t>
      </w:r>
      <w:r w:rsidRPr="00587968">
        <w:t>målen anges i 2 kap. expropriationslagen (1972:719). Kommunen är berätt</w:t>
      </w:r>
      <w:r w:rsidRPr="00587968">
        <w:t>i</w:t>
      </w:r>
      <w:r w:rsidRPr="00587968">
        <w:t>gad till expropriation av mark som skall användas för tätbebyggelse. Expr</w:t>
      </w:r>
      <w:r w:rsidRPr="00587968">
        <w:t>o</w:t>
      </w:r>
      <w:r w:rsidRPr="00587968">
        <w:t>priation kan också ske för att tillgodose ändamål som avser kommunikati</w:t>
      </w:r>
      <w:r w:rsidRPr="00587968">
        <w:t>o</w:t>
      </w:r>
      <w:r w:rsidRPr="00587968">
        <w:t>ner, drivkraft, vatten och avlopp, näringsverksamhet, skydds- och säkerhet</w:t>
      </w:r>
      <w:r w:rsidRPr="00587968">
        <w:t>s</w:t>
      </w:r>
      <w:r w:rsidRPr="00587968">
        <w:t>områden, försvarsändamål, kultur samt natur- och friluftsliv. Även vanvå</w:t>
      </w:r>
      <w:r w:rsidRPr="00587968">
        <w:t>r</w:t>
      </w:r>
      <w:r w:rsidRPr="00587968">
        <w:t>dade fastigheter kan exproprieras. Dessutom finns en allmän bestämmelse om expropriation av mark som behövs för verksamhet som staten eller ko</w:t>
      </w:r>
      <w:r w:rsidRPr="00587968">
        <w:t>m</w:t>
      </w:r>
      <w:r w:rsidRPr="00587968">
        <w:t>mu</w:t>
      </w:r>
      <w:r w:rsidRPr="00587968">
        <w:t>nen har att tillgodose eller som är av väsentlig betydelse för riket, orten eller en viss befolkningsgrupp. Något av en särställning har regeln om s.k. värdestegringsexpr</w:t>
      </w:r>
      <w:r w:rsidRPr="00587968">
        <w:t>o</w:t>
      </w:r>
      <w:r w:rsidRPr="00587968">
        <w:t>priation. Dess innebörd är att förhindra oförtjänt värde-stegring hos fastigheter som inte direkt berörs av ett expropriationsförfarande men som förväntas öka i värde genom ett expropriationsföretag. Regeln bygger på likhetsprincipen och syftar till att eliminera sådan markvärdesste</w:t>
      </w:r>
      <w:r w:rsidRPr="00587968">
        <w:t>g</w:t>
      </w:r>
      <w:r w:rsidRPr="00587968">
        <w:t>ring som ställer icke exproprierade markägare i en bättre</w:t>
      </w:r>
      <w:r w:rsidRPr="00587968">
        <w:t xml:space="preserve"> situation än de vars mark exproprieras.</w:t>
      </w:r>
    </w:p>
    <w:p w:rsidR="00613CFF" w:rsidRPr="00587968" w:rsidRDefault="00613CFF">
      <w:pPr>
        <w:pStyle w:val="Normaltindrag"/>
      </w:pPr>
      <w:r w:rsidRPr="00587968">
        <w:t>Utskottet anser i likhet med när utskottet tidigare behandlat liknande m</w:t>
      </w:r>
      <w:r w:rsidRPr="00587968">
        <w:t>o</w:t>
      </w:r>
      <w:r w:rsidRPr="00587968">
        <w:t>tionsyrkanden (se t.ex. bet. 1998/99:BoU5) att rådande reglering av de ä</w:t>
      </w:r>
      <w:r w:rsidRPr="00587968">
        <w:t>n</w:t>
      </w:r>
      <w:r w:rsidRPr="00587968">
        <w:t>damål för vilka expropriation får ske innebär en sådan avvägning mellan olika intressen att en ändamålsenlig hushållning av markresurser främjas. Det kommer även fortsättningsvis att vara nödvändigt för det allmänna att kontrollera samhällsutvecklingen genom att tillämpa expropriation. En i</w:t>
      </w:r>
      <w:r w:rsidRPr="00587968">
        <w:t>n</w:t>
      </w:r>
      <w:r w:rsidRPr="00587968">
        <w:t>skränkning av ändamålen, såsom motionärerna föreslår, skulle medföra svårigheter för samhället att göra erforderliga avvägningar mellan skilda ber</w:t>
      </w:r>
      <w:r w:rsidRPr="00587968">
        <w:t>ättigade intressen som kan göra anspråk på ett specifikt markområde. Vid tillståndsprövningen skall hänsyn inte bara tas till det allmännas intresse utan även till motstående intressen. Tillstånd får exempelvis inte meddelas om ändamålet lämpligen bör tillgodoses på annat sätt eller om olägenheterna av expropriationen från allmän eller enskild synpunkt överväger de fördelar som kan vinnas genom den. Kraven på rättssäkerhet får därmed anses vara tillg</w:t>
      </w:r>
      <w:r w:rsidRPr="00587968">
        <w:t>o</w:t>
      </w:r>
      <w:r w:rsidRPr="00587968">
        <w:t>dosedda. Utskottet avstyrker på anförda skäl motion 1999/</w:t>
      </w:r>
      <w:r w:rsidRPr="00587968">
        <w:t xml:space="preserve">2000:Bo419 (m) yrkande 1 i motsvarande del om </w:t>
      </w:r>
      <w:r w:rsidRPr="00587968">
        <w:rPr>
          <w:i/>
        </w:rPr>
        <w:t>expropriationsändamålen</w:t>
      </w:r>
      <w:r w:rsidRPr="00587968">
        <w:t>.</w:t>
      </w:r>
    </w:p>
    <w:p w:rsidR="00613CFF" w:rsidRPr="00587968" w:rsidRDefault="00613CFF">
      <w:pPr>
        <w:pStyle w:val="Normaltindrag"/>
      </w:pPr>
      <w:r w:rsidRPr="00587968">
        <w:t>I motion 1999/2000:Bo419 (m) yrkandena 1 i motsvarande del och 2 för</w:t>
      </w:r>
      <w:r w:rsidRPr="00587968">
        <w:t>e</w:t>
      </w:r>
      <w:r w:rsidRPr="00587968">
        <w:t>slås att markägaren vid expropriation skall få ersättning för fastighetens fulla marknadsvärde samt för de kostnader och intäktsbortfall som inte kan åte</w:t>
      </w:r>
      <w:r w:rsidRPr="00587968">
        <w:t>r</w:t>
      </w:r>
      <w:r w:rsidRPr="00587968">
        <w:t>vinnas och som eventuellt uppkommer genom åtgärden. Förslaget omfattar också att presumtionsregeln skall avskaffas och att i stället exproprianten skall ha bevi</w:t>
      </w:r>
      <w:r w:rsidRPr="00587968">
        <w:t>s</w:t>
      </w:r>
      <w:r w:rsidRPr="00587968">
        <w:t>bördan.</w:t>
      </w:r>
    </w:p>
    <w:p w:rsidR="00613CFF" w:rsidRPr="00587968" w:rsidRDefault="00613CFF">
      <w:pPr>
        <w:pStyle w:val="Normaltindrag"/>
      </w:pPr>
      <w:r w:rsidRPr="00587968">
        <w:t>Bestämmelserna i expropriationslagen skiljer mellan tre olika slag av e</w:t>
      </w:r>
      <w:r w:rsidRPr="00587968">
        <w:t>r</w:t>
      </w:r>
      <w:r w:rsidRPr="00587968">
        <w:t>sättning. Löseskilling utgår då en hel fastighet exproprieras medan i</w:t>
      </w:r>
      <w:r w:rsidRPr="00587968">
        <w:t>n</w:t>
      </w:r>
      <w:r w:rsidRPr="00587968">
        <w:t>trångsersättning utbetalas när endast del av fastighet inlöses. Därutöver utgår ersättning för personlig skada, vilken innefattar andra förluster som ägaren m.fl. kan göra genom expropriationen. Ersättningen för personlig skada kan avse exempelvis flyttkostnader, förlust genom nedläggning av rörelse och har således inget att göra med själva fastighetens värde. Den expro</w:t>
      </w:r>
      <w:r w:rsidRPr="00587968">
        <w:softHyphen/>
        <w:t>prierande står dessutom i allmänhet för motpartens kostnader för hel</w:t>
      </w:r>
      <w:r w:rsidRPr="00587968">
        <w:t>a expropriation</w:t>
      </w:r>
      <w:r w:rsidRPr="00587968">
        <w:t>s</w:t>
      </w:r>
      <w:r w:rsidRPr="00587968">
        <w:t>förfarandet. Undantag gäller för kostnader som uppkommit genom försu</w:t>
      </w:r>
      <w:r w:rsidRPr="00587968">
        <w:t>m</w:t>
      </w:r>
      <w:r w:rsidRPr="00587968">
        <w:t>melse eller kan betraktas som onödiga. Dessutom gäller vid prövning i högre rätt än fastighetsdomstol att den exproprierande oavsett utgången svarar för rättighetshavarens kos</w:t>
      </w:r>
      <w:r w:rsidRPr="00587968">
        <w:t>t</w:t>
      </w:r>
      <w:r w:rsidRPr="00587968">
        <w:t>nader då endast den förre överklagat.</w:t>
      </w:r>
    </w:p>
    <w:p w:rsidR="00613CFF" w:rsidRPr="00587968" w:rsidRDefault="00613CFF">
      <w:pPr>
        <w:pStyle w:val="Normaltindrag"/>
      </w:pPr>
      <w:r w:rsidRPr="00587968">
        <w:t>Grundprincipen om att den enskilde skall ersättas för sin förlust begränsas genom den s.k. presumtionsregeln. Denna regel innebär att den ökning av fastighetens marknadsvärde som ägt rum tio år före expropriations</w:t>
      </w:r>
      <w:r w:rsidRPr="00587968">
        <w:t>ansökan räknas fastighetsägaren till godo endast om det konstateras att ökningen beror på annat än förväntningar om ändring i markens tillåtna användnings</w:t>
      </w:r>
      <w:r w:rsidRPr="00587968">
        <w:softHyphen/>
        <w:t>sätt. Fastighetsägaren har bevisbördan för att så är fallet.</w:t>
      </w:r>
    </w:p>
    <w:p w:rsidR="00613CFF" w:rsidRPr="00587968" w:rsidRDefault="00613CFF">
      <w:pPr>
        <w:pStyle w:val="Normaltindrag"/>
      </w:pPr>
      <w:r w:rsidRPr="00587968">
        <w:t>Bostadsutskottet har tidigare (se t.ex. bet. 1998/99:BoU5) avstyrkt m</w:t>
      </w:r>
      <w:r w:rsidRPr="00587968">
        <w:t>o</w:t>
      </w:r>
      <w:r w:rsidRPr="00587968">
        <w:t>tionsförslag om expropriationslagens ersättningsregler motsvarande de nu aktuella och bl.a. anfört att gällande regler i grunden är väl avfattade när det gäller fastighetsäg</w:t>
      </w:r>
      <w:r w:rsidRPr="00587968">
        <w:t>a</w:t>
      </w:r>
      <w:r w:rsidRPr="00587968">
        <w:t xml:space="preserve">rens rätt till ersättning. </w:t>
      </w:r>
    </w:p>
    <w:p w:rsidR="00613CFF" w:rsidRPr="00587968" w:rsidRDefault="00613CFF">
      <w:pPr>
        <w:pStyle w:val="Normaltindrag"/>
      </w:pPr>
      <w:r w:rsidRPr="00587968">
        <w:t>Utskottet vidhåller sin ovan angivna bedömning. Tillräckliga skäl saknas därför för riksdagen att initiera en översyn av ersättningsreglerna med den inriktning som motionärerna förordar. Utskottet har emellertid erfarit att det inom Justitiedepartementet finns planer på att genomföra en analys av beh</w:t>
      </w:r>
      <w:r w:rsidRPr="00587968">
        <w:t>o</w:t>
      </w:r>
      <w:r w:rsidRPr="00587968">
        <w:t>vet av vissa förändringar i expropriationslagens ersättningsregler. Avsikten är att analysera om det skett några förskjutningar av lagens tillämpningso</w:t>
      </w:r>
      <w:r w:rsidRPr="00587968">
        <w:t>m</w:t>
      </w:r>
      <w:r w:rsidRPr="00587968">
        <w:t>råde under senare år som bör föranleda att ersättningsreglerna revideras. Med hänvisning till det anförda anser utskottet att ersättningsreglerna i vart fall tills vidare bör kvarstå oförändrade. Det förutsättes att regeringen återko</w:t>
      </w:r>
      <w:r w:rsidRPr="00587968">
        <w:t>m</w:t>
      </w:r>
      <w:r w:rsidRPr="00587968">
        <w:t>mer till riksdagen i frågan, om den analys som skall genomföras ger anle</w:t>
      </w:r>
      <w:r w:rsidRPr="00587968">
        <w:t>d</w:t>
      </w:r>
      <w:r w:rsidRPr="00587968">
        <w:t>ning till detta.</w:t>
      </w:r>
    </w:p>
    <w:p w:rsidR="00613CFF" w:rsidRPr="00587968" w:rsidRDefault="00613CFF">
      <w:pPr>
        <w:pStyle w:val="Normaltindrag"/>
      </w:pPr>
      <w:r w:rsidRPr="00587968">
        <w:t>Med hänvisning till det anförda avs</w:t>
      </w:r>
      <w:r w:rsidRPr="00587968">
        <w:t>tyrker utskottet motion 1999/2000: Bo419 (m) yrkandena 1 i motsvarande del och 2 om</w:t>
      </w:r>
      <w:r w:rsidRPr="00587968">
        <w:rPr>
          <w:i/>
        </w:rPr>
        <w:t xml:space="preserve"> expropriationslagens ersättningsregler</w:t>
      </w:r>
      <w:r w:rsidRPr="00587968">
        <w:t>.</w:t>
      </w:r>
    </w:p>
    <w:p w:rsidR="00613CFF" w:rsidRPr="00587968" w:rsidRDefault="00613CFF">
      <w:pPr>
        <w:pStyle w:val="Rubrik2"/>
      </w:pPr>
      <w:bookmarkStart w:id="34" w:name="_Toc476043902"/>
      <w:r w:rsidRPr="00587968">
        <w:t>Hemställan</w:t>
      </w:r>
      <w:bookmarkEnd w:id="34"/>
      <w:r w:rsidRPr="00587968">
        <w:rPr>
          <w:b/>
          <w:sz w:val="22"/>
        </w:rPr>
        <w:t xml:space="preserve"> </w:t>
      </w:r>
    </w:p>
    <w:p w:rsidR="00613CFF" w:rsidRPr="00587968" w:rsidRDefault="00613CFF">
      <w:r w:rsidRPr="00587968">
        <w:t>Utskottet hemställer</w:t>
      </w:r>
    </w:p>
    <w:p w:rsidR="00613CFF" w:rsidRPr="00587968" w:rsidRDefault="00613CFF">
      <w:pPr>
        <w:pStyle w:val="hembetr"/>
      </w:pPr>
      <w:r w:rsidRPr="00587968">
        <w:t xml:space="preserve">1. beträffande </w:t>
      </w:r>
      <w:r w:rsidRPr="00587968">
        <w:rPr>
          <w:i/>
        </w:rPr>
        <w:t>jordförvärvslagen</w:t>
      </w:r>
    </w:p>
    <w:p w:rsidR="00613CFF" w:rsidRPr="00587968" w:rsidRDefault="00613CFF">
      <w:pPr>
        <w:pStyle w:val="hemtext"/>
      </w:pPr>
      <w:r w:rsidRPr="00587968">
        <w:t>att riksdagen avslår motionerna 1999/2000:Bo401 yrkande 3, 1999/2000:Bo403, 1999/2000:Bo408, 1999/2000:Bo416, 1999/2000: MJ222</w:t>
      </w:r>
      <w:r w:rsidRPr="00587968">
        <w:rPr>
          <w:sz w:val="22"/>
        </w:rPr>
        <w:t xml:space="preserve"> </w:t>
      </w:r>
      <w:r w:rsidRPr="00587968">
        <w:t>yrkande 20, 1999/2000:N279 yrkande 1 och 1999/2000:N388 yrkande 19,</w:t>
      </w:r>
    </w:p>
    <w:p w:rsidR="00613CFF" w:rsidRPr="00587968" w:rsidRDefault="00613CFF">
      <w:pPr>
        <w:pStyle w:val="Reseftermom"/>
      </w:pPr>
      <w:r w:rsidRPr="00587968">
        <w:t>res. 1 (kd, c, fp, mp)</w:t>
      </w:r>
      <w:bookmarkStart w:id="35" w:name="RESPARTI001"/>
      <w:bookmarkEnd w:id="35"/>
      <w:r w:rsidRPr="00587968">
        <w:t>,</w:t>
      </w:r>
    </w:p>
    <w:p w:rsidR="00613CFF" w:rsidRPr="00587968" w:rsidRDefault="00613CFF">
      <w:pPr>
        <w:pStyle w:val="hembetr"/>
      </w:pPr>
      <w:r w:rsidRPr="00587968">
        <w:t xml:space="preserve">2. beträffande </w:t>
      </w:r>
      <w:r w:rsidRPr="00587968">
        <w:rPr>
          <w:i/>
        </w:rPr>
        <w:t>förvärv av permanentbostäder för fritidsändamål</w:t>
      </w:r>
    </w:p>
    <w:p w:rsidR="00613CFF" w:rsidRPr="00587968" w:rsidRDefault="00613CFF">
      <w:pPr>
        <w:pStyle w:val="hemtext"/>
      </w:pPr>
      <w:r w:rsidRPr="00587968">
        <w:t xml:space="preserve">att riksdagen avslår motionerna 1999/2000:Bo410 och 1999/2000: Bo414,   </w:t>
      </w:r>
      <w:bookmarkStart w:id="36" w:name="RESPARTI002"/>
      <w:bookmarkEnd w:id="36"/>
    </w:p>
    <w:p w:rsidR="00613CFF" w:rsidRPr="00587968" w:rsidRDefault="00613CFF">
      <w:pPr>
        <w:pStyle w:val="hembetr"/>
      </w:pPr>
      <w:r w:rsidRPr="00587968">
        <w:br w:type="page"/>
        <w:t xml:space="preserve">3. beträffande </w:t>
      </w:r>
      <w:r w:rsidRPr="00587968">
        <w:rPr>
          <w:i/>
        </w:rPr>
        <w:t>s.k. herrelösa hus</w:t>
      </w:r>
    </w:p>
    <w:p w:rsidR="00613CFF" w:rsidRPr="00587968" w:rsidRDefault="00613CFF">
      <w:pPr>
        <w:pStyle w:val="hemtext"/>
      </w:pPr>
      <w:r w:rsidRPr="00587968">
        <w:t xml:space="preserve">att riksdagen avslår motion 1999/2000:Bo413,    </w:t>
      </w:r>
      <w:bookmarkStart w:id="37" w:name="RESPARTI003"/>
      <w:bookmarkEnd w:id="37"/>
    </w:p>
    <w:p w:rsidR="00613CFF" w:rsidRPr="00587968" w:rsidRDefault="00613CFF">
      <w:pPr>
        <w:pStyle w:val="hembetr"/>
      </w:pPr>
      <w:r w:rsidRPr="00587968">
        <w:t xml:space="preserve">4. beträffande </w:t>
      </w:r>
      <w:r w:rsidRPr="00587968">
        <w:rPr>
          <w:i/>
        </w:rPr>
        <w:t>tredimensionell fastighetsbildning</w:t>
      </w:r>
    </w:p>
    <w:p w:rsidR="00613CFF" w:rsidRPr="00587968" w:rsidRDefault="00613CFF">
      <w:pPr>
        <w:pStyle w:val="hemtext"/>
      </w:pPr>
      <w:r w:rsidRPr="00587968">
        <w:t xml:space="preserve">att riksdagen avslår motion 1999/2000:Bo419 yrkande 5, </w:t>
      </w:r>
    </w:p>
    <w:p w:rsidR="00613CFF" w:rsidRPr="00587968" w:rsidRDefault="00613CFF">
      <w:pPr>
        <w:pStyle w:val="Reseftermom"/>
      </w:pPr>
      <w:r w:rsidRPr="00587968">
        <w:t>res. 2 (m, kd, c, fp)</w:t>
      </w:r>
      <w:bookmarkStart w:id="38" w:name="RESPARTI004"/>
      <w:bookmarkEnd w:id="38"/>
    </w:p>
    <w:p w:rsidR="00613CFF" w:rsidRPr="00587968" w:rsidRDefault="00613CFF">
      <w:pPr>
        <w:pStyle w:val="hembetr"/>
      </w:pPr>
      <w:r w:rsidRPr="00587968">
        <w:t xml:space="preserve">5. beträffande </w:t>
      </w:r>
      <w:r w:rsidRPr="00587968">
        <w:rPr>
          <w:i/>
        </w:rPr>
        <w:t>omarrondering</w:t>
      </w:r>
    </w:p>
    <w:p w:rsidR="00613CFF" w:rsidRPr="00587968" w:rsidRDefault="00613CFF">
      <w:pPr>
        <w:pStyle w:val="hemtext"/>
      </w:pPr>
      <w:r w:rsidRPr="00587968">
        <w:t xml:space="preserve">att riksdagen avslår motion 1999/2000:Bo221, </w:t>
      </w:r>
      <w:bookmarkStart w:id="39" w:name="RESPARTI005"/>
      <w:bookmarkEnd w:id="39"/>
    </w:p>
    <w:p w:rsidR="00613CFF" w:rsidRPr="00587968" w:rsidRDefault="00613CFF">
      <w:pPr>
        <w:pStyle w:val="hembetr"/>
      </w:pPr>
      <w:r w:rsidRPr="00587968">
        <w:t xml:space="preserve">6. beträffande </w:t>
      </w:r>
      <w:r w:rsidRPr="00587968">
        <w:rPr>
          <w:i/>
        </w:rPr>
        <w:t>ortnamnsskydd i fastighetsbildningslagen</w:t>
      </w:r>
    </w:p>
    <w:p w:rsidR="00613CFF" w:rsidRPr="00587968" w:rsidRDefault="00613CFF">
      <w:pPr>
        <w:pStyle w:val="hemtext"/>
      </w:pPr>
      <w:r w:rsidRPr="00587968">
        <w:t xml:space="preserve">att riksdagen avslår motionerna 1999/2000:Bo402, 1999/2000:Bo405 och 1999/2000:Bo418,   </w:t>
      </w:r>
    </w:p>
    <w:p w:rsidR="00613CFF" w:rsidRPr="00587968" w:rsidRDefault="00613CFF">
      <w:pPr>
        <w:pStyle w:val="Reseftermom"/>
      </w:pPr>
      <w:r w:rsidRPr="00587968">
        <w:t>res. 3 (c)</w:t>
      </w:r>
      <w:bookmarkStart w:id="40" w:name="RESPARTI006"/>
      <w:bookmarkEnd w:id="40"/>
    </w:p>
    <w:p w:rsidR="00613CFF" w:rsidRPr="00587968" w:rsidRDefault="00613CFF">
      <w:pPr>
        <w:pStyle w:val="hembetr"/>
      </w:pPr>
      <w:r w:rsidRPr="00587968">
        <w:t xml:space="preserve">7. beträffande </w:t>
      </w:r>
      <w:r w:rsidRPr="00587968">
        <w:rPr>
          <w:i/>
        </w:rPr>
        <w:t>avskaffande av tomträttsinstitutet</w:t>
      </w:r>
    </w:p>
    <w:p w:rsidR="00613CFF" w:rsidRPr="00587968" w:rsidRDefault="00613CFF">
      <w:pPr>
        <w:pStyle w:val="hemtext"/>
      </w:pPr>
      <w:r w:rsidRPr="00587968">
        <w:t xml:space="preserve">att riksdagen avslår motionerna 1998/99:Bo209 yrkande 14, 1999/2000:Bo419 yrkande 4 och 1999/2000:Bo404,     </w:t>
      </w:r>
    </w:p>
    <w:p w:rsidR="00613CFF" w:rsidRPr="00587968" w:rsidRDefault="00613CFF">
      <w:pPr>
        <w:pStyle w:val="Reseftermom"/>
      </w:pPr>
      <w:r w:rsidRPr="00587968">
        <w:t>res. 4 (m, kd, c, fp)</w:t>
      </w:r>
      <w:bookmarkStart w:id="41" w:name="RESPARTI007"/>
      <w:bookmarkEnd w:id="41"/>
    </w:p>
    <w:p w:rsidR="00613CFF" w:rsidRPr="00587968" w:rsidRDefault="00613CFF">
      <w:pPr>
        <w:pStyle w:val="hembetr"/>
      </w:pPr>
      <w:r w:rsidRPr="00587968">
        <w:t xml:space="preserve">8. beträffande </w:t>
      </w:r>
      <w:r w:rsidRPr="00587968">
        <w:rPr>
          <w:i/>
        </w:rPr>
        <w:t>avskaffande av den kommunala förköpsrätten</w:t>
      </w:r>
    </w:p>
    <w:p w:rsidR="00613CFF" w:rsidRPr="00587968" w:rsidRDefault="00613CFF">
      <w:pPr>
        <w:pStyle w:val="hemtext"/>
      </w:pPr>
      <w:r w:rsidRPr="00587968">
        <w:t xml:space="preserve">att riksdagen avslår motion 1999/2000:Bo419 yrkande 9,   </w:t>
      </w:r>
    </w:p>
    <w:p w:rsidR="00613CFF" w:rsidRPr="00587968" w:rsidRDefault="00613CFF">
      <w:pPr>
        <w:pStyle w:val="Reseftermom"/>
      </w:pPr>
      <w:r w:rsidRPr="00587968">
        <w:t>res. 5 (m)</w:t>
      </w:r>
      <w:bookmarkStart w:id="42" w:name="RESPARTI008"/>
      <w:bookmarkEnd w:id="42"/>
    </w:p>
    <w:p w:rsidR="00613CFF" w:rsidRPr="00587968" w:rsidRDefault="00613CFF">
      <w:pPr>
        <w:pStyle w:val="hembetr"/>
      </w:pPr>
      <w:r w:rsidRPr="00587968">
        <w:t xml:space="preserve">9. beträffande </w:t>
      </w:r>
      <w:r w:rsidRPr="00587968">
        <w:rPr>
          <w:i/>
        </w:rPr>
        <w:t>expropriationsändamålen</w:t>
      </w:r>
    </w:p>
    <w:p w:rsidR="00613CFF" w:rsidRPr="00587968" w:rsidRDefault="00613CFF">
      <w:pPr>
        <w:pStyle w:val="hemtext"/>
      </w:pPr>
      <w:r w:rsidRPr="00587968">
        <w:t>att riksdagen avslår motion 1999/2000:Bo419 yrkande 1 i motsvara</w:t>
      </w:r>
      <w:r w:rsidRPr="00587968">
        <w:t>n</w:t>
      </w:r>
      <w:r w:rsidRPr="00587968">
        <w:t xml:space="preserve">de del, </w:t>
      </w:r>
    </w:p>
    <w:p w:rsidR="00613CFF" w:rsidRPr="00587968" w:rsidRDefault="00613CFF">
      <w:pPr>
        <w:pStyle w:val="Reseftermom"/>
      </w:pPr>
      <w:r w:rsidRPr="00587968">
        <w:t>res. 6 (m)</w:t>
      </w:r>
      <w:bookmarkStart w:id="43" w:name="RESPARTI009"/>
      <w:bookmarkEnd w:id="43"/>
    </w:p>
    <w:p w:rsidR="00613CFF" w:rsidRPr="00587968" w:rsidRDefault="00613CFF">
      <w:pPr>
        <w:pStyle w:val="hembetr"/>
      </w:pPr>
      <w:r w:rsidRPr="00587968">
        <w:t xml:space="preserve">10. beträffande </w:t>
      </w:r>
      <w:r w:rsidRPr="00587968">
        <w:rPr>
          <w:i/>
        </w:rPr>
        <w:t>expropriationslagens ersättningsregler</w:t>
      </w:r>
    </w:p>
    <w:p w:rsidR="00613CFF" w:rsidRPr="00587968" w:rsidRDefault="00613CFF">
      <w:pPr>
        <w:pStyle w:val="hemtext"/>
      </w:pPr>
      <w:r w:rsidRPr="00587968">
        <w:t>att riksdagen avslår motion 1999/2000:Bo419 yrkandena 1 i motsv</w:t>
      </w:r>
      <w:r w:rsidRPr="00587968">
        <w:t>a</w:t>
      </w:r>
      <w:r w:rsidRPr="00587968">
        <w:t xml:space="preserve">rande del och 2.  </w:t>
      </w:r>
    </w:p>
    <w:p w:rsidR="00613CFF" w:rsidRPr="00587968" w:rsidRDefault="00613CFF">
      <w:pPr>
        <w:pStyle w:val="Reseftermom"/>
      </w:pPr>
      <w:r w:rsidRPr="00587968">
        <w:t>res. 7 (m)</w:t>
      </w:r>
      <w:bookmarkStart w:id="44" w:name="RESPARTI010"/>
      <w:bookmarkEnd w:id="44"/>
    </w:p>
    <w:p w:rsidR="00613CFF" w:rsidRPr="00587968" w:rsidRDefault="00613CFF">
      <w:pPr>
        <w:pStyle w:val="Stockholm"/>
      </w:pPr>
      <w:bookmarkStart w:id="45" w:name="Nästa_Hpunkt"/>
      <w:bookmarkEnd w:id="45"/>
      <w:r w:rsidRPr="00587968">
        <w:t xml:space="preserve">Stockholm den 24 februari 2000 </w:t>
      </w:r>
    </w:p>
    <w:p w:rsidR="00613CFF" w:rsidRPr="00587968" w:rsidRDefault="00613CFF">
      <w:pPr>
        <w:pStyle w:val="Vgnar"/>
      </w:pPr>
      <w:r w:rsidRPr="00587968">
        <w:t>På bostadsutskottets vägnar</w:t>
      </w:r>
    </w:p>
    <w:p w:rsidR="00613CFF" w:rsidRPr="00587968" w:rsidRDefault="00613CFF">
      <w:pPr>
        <w:pStyle w:val="Ordfnamn"/>
      </w:pPr>
      <w:bookmarkStart w:id="46" w:name="Ordförande"/>
      <w:bookmarkEnd w:id="46"/>
      <w:r w:rsidRPr="00587968">
        <w:t xml:space="preserve">Knut Billing </w:t>
      </w:r>
    </w:p>
    <w:p w:rsidR="00613CFF" w:rsidRPr="00587968" w:rsidRDefault="00613CFF">
      <w:pPr>
        <w:pStyle w:val="Deltagare"/>
      </w:pPr>
      <w:bookmarkStart w:id="47" w:name="Deltagare"/>
      <w:bookmarkEnd w:id="47"/>
      <w:r w:rsidRPr="00587968">
        <w:t>I beslutet har deltagit: Knut Billing (m), Lennart Nilsson (s), Lilian Virgin (s), Owe Hellberg (v), Ulf Björklund (kd), Sten Andersson (m), Carina M</w:t>
      </w:r>
      <w:r w:rsidRPr="00587968">
        <w:t>o</w:t>
      </w:r>
      <w:r w:rsidRPr="00587968">
        <w:t>berg (s), Inga Berggren (m), Siw Wittgren-Ahl (s), Sten Lundström (v), Ulla-Britt Hagström (kd), Carl-Erik Skårman (m), Helena Hillar Rosenqvist (mp), Rigmor Stenmark (c), Yvonne Ångström (fp), Carina Adolfsson (s) och Leif Jakobsson (s).</w:t>
      </w:r>
    </w:p>
    <w:p w:rsidR="00613CFF" w:rsidRPr="00587968" w:rsidRDefault="00613CFF">
      <w:pPr>
        <w:pStyle w:val="Rubrik1"/>
      </w:pPr>
      <w:r w:rsidRPr="00587968">
        <w:br w:type="page"/>
      </w:r>
      <w:bookmarkStart w:id="48" w:name="_Toc476043903"/>
      <w:r w:rsidRPr="00587968">
        <w:t>Reservationer</w:t>
      </w:r>
      <w:bookmarkEnd w:id="48"/>
    </w:p>
    <w:p w:rsidR="00613CFF" w:rsidRPr="00587968" w:rsidRDefault="00613CFF">
      <w:pPr>
        <w:pStyle w:val="Rubrik2"/>
      </w:pPr>
      <w:bookmarkStart w:id="49" w:name="_Toc476043904"/>
      <w:r w:rsidRPr="00587968">
        <w:t>1. Jordförvärvslagen (mom. 1)</w:t>
      </w:r>
      <w:bookmarkEnd w:id="49"/>
    </w:p>
    <w:p w:rsidR="00613CFF" w:rsidRPr="00587968" w:rsidRDefault="00613CFF">
      <w:r w:rsidRPr="00587968">
        <w:t xml:space="preserve">Ulf Björklund (kd), Ulla-Britt Hagström (kd), Helena Hillar Rosenqvist (mp), Rigmor Stenmark (c) och Yvonne Ångström (fp) anser </w:t>
      </w:r>
    </w:p>
    <w:p w:rsidR="00613CFF" w:rsidRPr="00587968" w:rsidRDefault="00613CFF">
      <w:r w:rsidRPr="00587968">
        <w:rPr>
          <w:i/>
        </w:rPr>
        <w:t>dels</w:t>
      </w:r>
      <w:r w:rsidRPr="00587968">
        <w:t xml:space="preserve"> att den del av utskottets yttrande som på s. 5 börjar med ”Den utre</w:t>
      </w:r>
      <w:r w:rsidRPr="00587968">
        <w:t>d</w:t>
      </w:r>
      <w:r w:rsidRPr="00587968">
        <w:t xml:space="preserve">ning” och slutar med ”om </w:t>
      </w:r>
      <w:r w:rsidRPr="00587968">
        <w:rPr>
          <w:i/>
        </w:rPr>
        <w:t>jordförvärvslagen</w:t>
      </w:r>
      <w:r w:rsidRPr="00587968">
        <w:t>” bort ha följande lydelse:</w:t>
      </w:r>
    </w:p>
    <w:p w:rsidR="00613CFF" w:rsidRPr="00587968" w:rsidRDefault="00613CFF">
      <w:pPr>
        <w:pStyle w:val="Normaltindrag"/>
      </w:pPr>
      <w:r w:rsidRPr="00587968">
        <w:t>Enligt utskottets mening är det av väsentlig betydelse att lagstiftningen om förvärv av lantbruksegendom skärps. Det gäller att värna om jord- och skogsbruk av den typ vi har i Sverige. Landsbygden måste hållas levande. Sysselsättningen i glesbygd måste stärkas och familjejordbruken skyddas. Detta har betydelse ur ett flertal synvinklar, inte minst vad gäller möjligh</w:t>
      </w:r>
      <w:r w:rsidRPr="00587968">
        <w:t>e</w:t>
      </w:r>
      <w:r w:rsidRPr="00587968">
        <w:t>terna att nå en ur miljösynpunkt hållbar utveckling. Problemet skall ses mot bakgrund av att köptrycket från svenska och utländska företag kan förväntas öka. Uppköp och exploatering med endast kortsiktiga vinstintressen som mål måste effektivt motarbetas.</w:t>
      </w:r>
    </w:p>
    <w:p w:rsidR="00613CFF" w:rsidRPr="00587968" w:rsidRDefault="00613CFF">
      <w:pPr>
        <w:pStyle w:val="Normaltindrag"/>
      </w:pPr>
      <w:r w:rsidRPr="00587968">
        <w:t>Främst gäller det att stärka sambandet mellan ägande, brukande och boe</w:t>
      </w:r>
      <w:r w:rsidRPr="00587968">
        <w:t>n</w:t>
      </w:r>
      <w:r w:rsidRPr="00587968">
        <w:t>de. Det måste utrönas hur lagen i sig skall ge uttryck för detta men minst lika viktigt är att tillämpningen blir effektiv. Ett särskilt problemkomplex är de juridiska personernas möjligheter till förvärv. Den nuvarande lagstiftningen ger uttryck för en restriktivitet som i grunden är bra. Emellertid har myndi</w:t>
      </w:r>
      <w:r w:rsidRPr="00587968">
        <w:t>g</w:t>
      </w:r>
      <w:r w:rsidRPr="00587968">
        <w:t>heternas tillämpning av den s.k. kompensationsregeln, som utskottet berört ovan, lett till att balansen mellan enskilt ägande och bolagsägande i många bygder ändrats. Särskilt svårt har det blivit fö</w:t>
      </w:r>
      <w:r w:rsidRPr="00587968">
        <w:t>r privatskogsbruket att konku</w:t>
      </w:r>
      <w:r w:rsidRPr="00587968">
        <w:t>r</w:t>
      </w:r>
      <w:r w:rsidRPr="00587968">
        <w:t>rera med bolagen om skogsmarken i regioner där bolagen bedriver en offe</w:t>
      </w:r>
      <w:r w:rsidRPr="00587968">
        <w:t>n</w:t>
      </w:r>
      <w:r w:rsidRPr="00587968">
        <w:t>siv markpolitik. Reglerna måste få en utformning och tillämpning så att familjejordbruken blir den dominerande ägarkategorin och så att gener</w:t>
      </w:r>
      <w:r w:rsidRPr="00587968">
        <w:t>a</w:t>
      </w:r>
      <w:r w:rsidRPr="00587968">
        <w:t>tionsskiftena underlättas. Det finns också ett behov av att se över lagens geografiska tillämpningso</w:t>
      </w:r>
      <w:r w:rsidRPr="00587968">
        <w:t>m</w:t>
      </w:r>
      <w:r w:rsidRPr="00587968">
        <w:t>råden.</w:t>
      </w:r>
    </w:p>
    <w:p w:rsidR="00613CFF" w:rsidRPr="00587968" w:rsidRDefault="00613CFF">
      <w:pPr>
        <w:pStyle w:val="Normaltindrag"/>
      </w:pPr>
      <w:r w:rsidRPr="00587968">
        <w:t>Den utredning som nu tillsatts bör få ett otvetydigt uppdrag att lämna fö</w:t>
      </w:r>
      <w:r w:rsidRPr="00587968">
        <w:t>r</w:t>
      </w:r>
      <w:r w:rsidRPr="00587968">
        <w:t>slag med den av utskottet förordade inriktnin</w:t>
      </w:r>
      <w:r w:rsidRPr="00587968">
        <w:t>g</w:t>
      </w:r>
      <w:r w:rsidRPr="00587968">
        <w:t>en.</w:t>
      </w:r>
    </w:p>
    <w:p w:rsidR="00613CFF" w:rsidRPr="00587968" w:rsidRDefault="00613CFF">
      <w:pPr>
        <w:pStyle w:val="Normaltindrag"/>
      </w:pPr>
      <w:r w:rsidRPr="00587968">
        <w:t xml:space="preserve">Enligt utskottets mening bör riksdagen med anledning av motionerna 1999/2000:Bo403 (kd), 1999/2000:N279 (kd) yrkande 1, 1999/2000:MJ222 (c) yrkande 20, 1999/2000:Bo416 (c), 1999/2000:Bo401 (c) yrkande 3 och 1999/2000:N388 (mp) yrkande 19 samt med avslag på motion 1999/2000:Bo408 (m) som sin mening ge regeringen till känna vad utskottet anfört om </w:t>
      </w:r>
      <w:r w:rsidRPr="00587968">
        <w:rPr>
          <w:i/>
        </w:rPr>
        <w:t>jordförvärvslagen</w:t>
      </w:r>
      <w:r w:rsidRPr="00587968">
        <w:t>.</w:t>
      </w:r>
    </w:p>
    <w:p w:rsidR="00613CFF" w:rsidRPr="00587968" w:rsidRDefault="00613CFF">
      <w:r w:rsidRPr="00587968">
        <w:rPr>
          <w:i/>
        </w:rPr>
        <w:t>dels</w:t>
      </w:r>
      <w:r w:rsidRPr="00587968">
        <w:t xml:space="preserve"> att utskottets hemställan under 1 bort ha följande lydelse:</w:t>
      </w:r>
    </w:p>
    <w:p w:rsidR="00613CFF" w:rsidRPr="00587968" w:rsidRDefault="00613CFF">
      <w:pPr>
        <w:pStyle w:val="Resklmb"/>
      </w:pPr>
      <w:r w:rsidRPr="00587968">
        <w:t xml:space="preserve">1. beträffande </w:t>
      </w:r>
      <w:r w:rsidRPr="00587968">
        <w:rPr>
          <w:i/>
        </w:rPr>
        <w:t>jordförvärvslagen</w:t>
      </w:r>
    </w:p>
    <w:p w:rsidR="00613CFF" w:rsidRPr="00587968" w:rsidRDefault="00613CFF">
      <w:pPr>
        <w:pStyle w:val="Resklm"/>
      </w:pPr>
      <w:r w:rsidRPr="00587968">
        <w:t>att riksdagen med anledning av motionerna 1999/2000:Bo401 yrkande 3, 1999/2000:Bo403, 1999/2000:Bo416, 1999/2000:MJ222</w:t>
      </w:r>
      <w:r w:rsidRPr="00587968">
        <w:rPr>
          <w:sz w:val="22"/>
        </w:rPr>
        <w:t xml:space="preserve"> </w:t>
      </w:r>
      <w:r w:rsidRPr="00587968">
        <w:t>yrkande 20, 1999/2000:N279 yrkande 1 och 1999/2000:N388 yrkande 19 samt med avslag på motion 1999/2000:Bo408 som sin mening ger reg</w:t>
      </w:r>
      <w:r w:rsidRPr="00587968">
        <w:t>e</w:t>
      </w:r>
      <w:r w:rsidRPr="00587968">
        <w:t>ringen till känna vad utskottet a</w:t>
      </w:r>
      <w:r w:rsidRPr="00587968">
        <w:t>n</w:t>
      </w:r>
      <w:r w:rsidRPr="00587968">
        <w:t>fört,</w:t>
      </w:r>
    </w:p>
    <w:p w:rsidR="00613CFF" w:rsidRPr="00587968" w:rsidRDefault="00613CFF">
      <w:pPr>
        <w:pStyle w:val="Rubrik2"/>
      </w:pPr>
      <w:bookmarkStart w:id="50" w:name="_Toc476043905"/>
      <w:r w:rsidRPr="00587968">
        <w:t>2. Tredimensionell fastighetsbildning (mom. 4)</w:t>
      </w:r>
      <w:bookmarkEnd w:id="50"/>
    </w:p>
    <w:p w:rsidR="00613CFF" w:rsidRPr="00587968" w:rsidRDefault="00613CFF">
      <w:r w:rsidRPr="00587968">
        <w:t xml:space="preserve">Knut Billing (m), Ulf Björklund (kd), Sten Andersson (m), Inga Berggren (m), Ulla-Britt Hagström (kd), Carl-Erik Skårman (m), Rigmor Stenmark (c) och Yvonne Ångström (fp) anser </w:t>
      </w:r>
    </w:p>
    <w:p w:rsidR="00613CFF" w:rsidRPr="00587968" w:rsidRDefault="00613CFF">
      <w:r w:rsidRPr="00587968">
        <w:rPr>
          <w:i/>
        </w:rPr>
        <w:t>dels</w:t>
      </w:r>
      <w:r w:rsidRPr="00587968">
        <w:t xml:space="preserve"> att den del av utskottets yttrande som på s. 7 börjar med ”Med hänvi</w:t>
      </w:r>
      <w:r w:rsidRPr="00587968">
        <w:t>s</w:t>
      </w:r>
      <w:r w:rsidRPr="00587968">
        <w:t>ning” och slutar med ”yrkande 5” bort ha följande lydelse:</w:t>
      </w:r>
    </w:p>
    <w:p w:rsidR="00613CFF" w:rsidRPr="00587968" w:rsidRDefault="00613CFF">
      <w:pPr>
        <w:pStyle w:val="Normaltindrag"/>
      </w:pPr>
      <w:r w:rsidRPr="00587968">
        <w:t>Det moderna samhället visar upp exempel på sammansatta byggnader med mycket skilda användningssätt och olika användare. Därför uppkommer berättigade krav på möjligheten att äga en eller flera delar av en byggnad. För att tillgodose dessa krav måste det gå att avgränsa äganderätten inne i en byggnad. Det finns även behov av att kunna avgränsa äganderätten till ett visst utrymme und</w:t>
      </w:r>
      <w:r w:rsidRPr="00587968">
        <w:t>er jord oavsett äganderätten till fastigheten i övrigt eller till en på denna befintlig byggnad. I Sverige finns inte denna typ av tred</w:t>
      </w:r>
      <w:r w:rsidRPr="00587968">
        <w:t>i</w:t>
      </w:r>
      <w:r w:rsidRPr="00587968">
        <w:t>mensionell fastighetsbildning – som representerar ett nytänkande vad gäller fastighetsbegreppet – vilket skulle medverka till ett enklare och effektivare fastighetsutnyttjande. Genom sådan fastighetsbildning förbättras möjligh</w:t>
      </w:r>
      <w:r w:rsidRPr="00587968">
        <w:t>e</w:t>
      </w:r>
      <w:r w:rsidRPr="00587968">
        <w:t>terna för olika byggherrar till samverkan särskilt då de vill bygga med helt skilda syften. Också för boendet har denna typ av fastighetsbildning bet</w:t>
      </w:r>
      <w:r w:rsidRPr="00587968">
        <w:t>yde</w:t>
      </w:r>
      <w:r w:rsidRPr="00587968">
        <w:t>l</w:t>
      </w:r>
      <w:r w:rsidRPr="00587968">
        <w:t>se. Ägarlägenheter görs möjliga som upplåtelseform, vilket skulle ge de boende i flerfamiljshus ett ökat inflytande över den egna bostaden och större möjli</w:t>
      </w:r>
      <w:r w:rsidRPr="00587968">
        <w:t>g</w:t>
      </w:r>
      <w:r w:rsidRPr="00587968">
        <w:t xml:space="preserve">heter att tryggt finansiera den. </w:t>
      </w:r>
    </w:p>
    <w:p w:rsidR="00613CFF" w:rsidRPr="00587968" w:rsidRDefault="00613CFF">
      <w:pPr>
        <w:pStyle w:val="Normaltindrag"/>
      </w:pPr>
      <w:r w:rsidRPr="00587968">
        <w:t>Ett förslag till lagstiftning som möjliggör fastighetsbildning av det slag u</w:t>
      </w:r>
      <w:r w:rsidRPr="00587968">
        <w:t>t</w:t>
      </w:r>
      <w:r w:rsidRPr="00587968">
        <w:t>skottet beskrivit återfinns i betänkandet Tredimensionell fastighetsindelning (SOU 1996:87). Enligt utskottets mening bör regeringen på riksdagens bord snarast lägga en proposition grundad på utredningsförslaget. Utredningsfö</w:t>
      </w:r>
      <w:r w:rsidRPr="00587968">
        <w:t>r</w:t>
      </w:r>
      <w:r w:rsidRPr="00587968">
        <w:t>slagets direktivstyrda förbud mot ägarlägenheter bör dock mönstras ut. Rik</w:t>
      </w:r>
      <w:r w:rsidRPr="00587968">
        <w:t>s</w:t>
      </w:r>
      <w:r w:rsidRPr="00587968">
        <w:t>dagen bör med anledning av motion 1999/2000:Bo419 (m)</w:t>
      </w:r>
      <w:r w:rsidRPr="00587968">
        <w:rPr>
          <w:sz w:val="22"/>
        </w:rPr>
        <w:t xml:space="preserve"> </w:t>
      </w:r>
      <w:r w:rsidRPr="00587968">
        <w:t xml:space="preserve">yrkande 5 som sin mening ge regeringen till känna vad utskottet anfört. </w:t>
      </w:r>
    </w:p>
    <w:p w:rsidR="00613CFF" w:rsidRPr="00587968" w:rsidRDefault="00613CFF">
      <w:r w:rsidRPr="00587968">
        <w:rPr>
          <w:i/>
        </w:rPr>
        <w:t>dels</w:t>
      </w:r>
      <w:r w:rsidRPr="00587968">
        <w:t xml:space="preserve"> att utskottets hemställan under 4 bort ha följande lydelse:</w:t>
      </w:r>
    </w:p>
    <w:p w:rsidR="00613CFF" w:rsidRPr="00587968" w:rsidRDefault="00613CFF">
      <w:pPr>
        <w:pStyle w:val="Resklmb"/>
      </w:pPr>
      <w:r w:rsidRPr="00587968">
        <w:t xml:space="preserve">4. beträffande </w:t>
      </w:r>
      <w:r w:rsidRPr="00587968">
        <w:rPr>
          <w:i/>
        </w:rPr>
        <w:t>tredimensionell fastighetsbildning</w:t>
      </w:r>
    </w:p>
    <w:p w:rsidR="00613CFF" w:rsidRPr="00587968" w:rsidRDefault="00613CFF">
      <w:pPr>
        <w:pStyle w:val="Resklm"/>
      </w:pPr>
      <w:r w:rsidRPr="00587968">
        <w:t>att riksdagen med anledning av motion 1999/2000:Bo419</w:t>
      </w:r>
      <w:r w:rsidRPr="00587968">
        <w:rPr>
          <w:sz w:val="22"/>
        </w:rPr>
        <w:t xml:space="preserve"> </w:t>
      </w:r>
      <w:r w:rsidRPr="00587968">
        <w:t>yrkande 5 som sin mening ger regeringen till känna vad utskottet anfört,</w:t>
      </w:r>
    </w:p>
    <w:p w:rsidR="00613CFF" w:rsidRPr="00587968" w:rsidRDefault="00613CFF">
      <w:pPr>
        <w:pStyle w:val="Rubrik2"/>
      </w:pPr>
      <w:bookmarkStart w:id="51" w:name="_Toc476043906"/>
      <w:r w:rsidRPr="00587968">
        <w:t>3. Ortnamnsskydd i fastighetsbildningslagen (mom. 6)</w:t>
      </w:r>
      <w:bookmarkEnd w:id="51"/>
    </w:p>
    <w:p w:rsidR="00613CFF" w:rsidRPr="00587968" w:rsidRDefault="00613CFF">
      <w:pPr>
        <w:pStyle w:val="Odefinierat"/>
      </w:pPr>
      <w:r w:rsidRPr="00587968">
        <w:t xml:space="preserve">Rigmor Stenmark (c) anser </w:t>
      </w:r>
    </w:p>
    <w:p w:rsidR="00613CFF" w:rsidRPr="00587968" w:rsidRDefault="00613CFF">
      <w:r w:rsidRPr="00587968">
        <w:rPr>
          <w:i/>
        </w:rPr>
        <w:t>dels</w:t>
      </w:r>
      <w:r w:rsidRPr="00587968">
        <w:t xml:space="preserve"> att den del av utskottets yttrande som på s. 9 börjar med ”För att” och slutar med ”</w:t>
      </w:r>
      <w:r w:rsidRPr="00587968">
        <w:rPr>
          <w:i/>
        </w:rPr>
        <w:t>i fa</w:t>
      </w:r>
      <w:r w:rsidRPr="00587968">
        <w:rPr>
          <w:i/>
        </w:rPr>
        <w:t>s</w:t>
      </w:r>
      <w:r w:rsidRPr="00587968">
        <w:rPr>
          <w:i/>
        </w:rPr>
        <w:t>tighetsbildningslagen</w:t>
      </w:r>
      <w:r w:rsidRPr="00587968">
        <w:t>” bort ha följande lydelse:</w:t>
      </w:r>
    </w:p>
    <w:p w:rsidR="00613CFF" w:rsidRPr="00587968" w:rsidRDefault="00613CFF">
      <w:pPr>
        <w:pStyle w:val="Normaltindrag"/>
      </w:pPr>
      <w:r w:rsidRPr="00587968">
        <w:t>Regeringens förslag omfattar inte någon särskild bestämmelse till skydd för ortnamn i den lagstiftning som reglerar fastighetsbildning och fastighet</w:t>
      </w:r>
      <w:r w:rsidRPr="00587968">
        <w:t>s</w:t>
      </w:r>
      <w:r w:rsidRPr="00587968">
        <w:t>registrering. Utredning och regering har konstaterat att ortnamn inte tagits ur bruk i någon större utsträckning. Under de mer än tre år som gått sedan u</w:t>
      </w:r>
      <w:r w:rsidRPr="00587968">
        <w:t>t</w:t>
      </w:r>
      <w:r w:rsidRPr="00587968">
        <w:t>redningen lade fram sitt betänkande kan konstateras att alltfler fastighetsfö</w:t>
      </w:r>
      <w:r w:rsidRPr="00587968">
        <w:t>r</w:t>
      </w:r>
      <w:r w:rsidRPr="00587968">
        <w:t>värv föranleder fastighetsreglering i stället för att leda till lagfart. Anlednin</w:t>
      </w:r>
      <w:r w:rsidRPr="00587968">
        <w:t>g</w:t>
      </w:r>
      <w:r w:rsidRPr="00587968">
        <w:t>en till det synes vara ekonomisk eftersom avgiften vid fastighetsreglering är mindre än den avgift och stämpelskatt som utgår när lagfart beviljas. En del av vår kulturhistoria riskerar att försvin</w:t>
      </w:r>
      <w:r w:rsidRPr="00587968">
        <w:t>na genom att många fastigheter up</w:t>
      </w:r>
      <w:r w:rsidRPr="00587968">
        <w:t>p</w:t>
      </w:r>
      <w:r w:rsidRPr="00587968">
        <w:t>hör att existera genom fastighetsreglering. I motionerna ges exempel på hur flera fastigheter på olika platser inom en socken genom fastighetsreglering kommit att utgöra en fastighet med följd att samma bynamn finns på flera olika ställen. Det kan ifrågasättas om fastighetsreglering varit tänkt att ko</w:t>
      </w:r>
      <w:r w:rsidRPr="00587968">
        <w:t>m</w:t>
      </w:r>
      <w:r w:rsidRPr="00587968">
        <w:t>ma till användning för hela fastigheter på detta sätt. I vart fall visar exemplet att det finns all anledning att införa skyddsbestämmelser för ortnamnen i fastighetsbildnings</w:t>
      </w:r>
      <w:r w:rsidRPr="00587968">
        <w:t xml:space="preserve">lagstiftningen. Regeringen bör återkomma till riksdagen med ett sådant förslag. Vad utskottet nu anfört om </w:t>
      </w:r>
      <w:r w:rsidRPr="00587968">
        <w:rPr>
          <w:i/>
        </w:rPr>
        <w:t>ortnamnsskydd i fasti</w:t>
      </w:r>
      <w:r w:rsidRPr="00587968">
        <w:rPr>
          <w:i/>
        </w:rPr>
        <w:t>g</w:t>
      </w:r>
      <w:r w:rsidRPr="00587968">
        <w:rPr>
          <w:i/>
        </w:rPr>
        <w:t>hetsbildningslagen</w:t>
      </w:r>
      <w:r w:rsidRPr="00587968">
        <w:t xml:space="preserve"> bör riksdagen med anledning av motionerna 1999/2000:Bo402 (c), 1999/2000:Bo405 (c) och 1999/2000: Bo418 (s) som sin mening ge reg</w:t>
      </w:r>
      <w:r w:rsidRPr="00587968">
        <w:t>e</w:t>
      </w:r>
      <w:r w:rsidRPr="00587968">
        <w:t>ringen till känna,</w:t>
      </w:r>
    </w:p>
    <w:p w:rsidR="00613CFF" w:rsidRPr="00587968" w:rsidRDefault="00613CFF">
      <w:r w:rsidRPr="00587968">
        <w:rPr>
          <w:i/>
        </w:rPr>
        <w:t>dels</w:t>
      </w:r>
      <w:r w:rsidRPr="00587968">
        <w:t xml:space="preserve"> att utskottets hemställan under 6 bort ha följande lydelse:</w:t>
      </w:r>
    </w:p>
    <w:p w:rsidR="00613CFF" w:rsidRPr="00587968" w:rsidRDefault="00613CFF">
      <w:pPr>
        <w:pStyle w:val="Resklmb"/>
      </w:pPr>
      <w:r w:rsidRPr="00587968">
        <w:t xml:space="preserve">6. beträffande </w:t>
      </w:r>
      <w:r w:rsidRPr="00587968">
        <w:rPr>
          <w:i/>
        </w:rPr>
        <w:t>ortnamnsskydd i fastighetsbildningslagen</w:t>
      </w:r>
    </w:p>
    <w:p w:rsidR="00613CFF" w:rsidRPr="00587968" w:rsidRDefault="00613CFF">
      <w:pPr>
        <w:pStyle w:val="Resklm"/>
      </w:pPr>
      <w:r w:rsidRPr="00587968">
        <w:t>att riksdagen med anledning av motionerna 1999/2000:Bo402, 1999/2000:Bo405 och 1999/2000:Bo418 som sin mening ger reg</w:t>
      </w:r>
      <w:r w:rsidRPr="00587968">
        <w:t>e</w:t>
      </w:r>
      <w:r w:rsidRPr="00587968">
        <w:t>ringen till känna vad utskottet anfört,</w:t>
      </w:r>
    </w:p>
    <w:p w:rsidR="00613CFF" w:rsidRPr="00587968" w:rsidRDefault="00613CFF">
      <w:pPr>
        <w:pStyle w:val="Rubrik2"/>
      </w:pPr>
      <w:bookmarkStart w:id="52" w:name="_Toc476043907"/>
      <w:r w:rsidRPr="00587968">
        <w:t>4. Avskaffande av tomträttsinstitutet (mom. 7)</w:t>
      </w:r>
      <w:bookmarkEnd w:id="52"/>
    </w:p>
    <w:p w:rsidR="00613CFF" w:rsidRPr="00587968" w:rsidRDefault="00613CFF">
      <w:r w:rsidRPr="00587968">
        <w:t xml:space="preserve">Knut Billing (m), Ulf Björklund (kd), Sten Andersson (m), Inga Berggren (m), Ulla-Britt Hagström (kd), Carl-Erik Skårman (m), Rigmor Stenmark (c) och Yvonne Ångström (fp) anser </w:t>
      </w:r>
    </w:p>
    <w:p w:rsidR="00613CFF" w:rsidRPr="00587968" w:rsidRDefault="00613CFF">
      <w:r w:rsidRPr="00587968">
        <w:rPr>
          <w:i/>
        </w:rPr>
        <w:t>dels</w:t>
      </w:r>
      <w:r w:rsidRPr="00587968">
        <w:t xml:space="preserve"> att den del av utskottets yttrande som på s. 10 börjar med ”Utskottet anser” och slutar med ”</w:t>
      </w:r>
      <w:r w:rsidRPr="00587968">
        <w:rPr>
          <w:i/>
        </w:rPr>
        <w:t>av</w:t>
      </w:r>
      <w:r w:rsidRPr="00587968">
        <w:t xml:space="preserve"> </w:t>
      </w:r>
      <w:r w:rsidRPr="00587968">
        <w:rPr>
          <w:i/>
        </w:rPr>
        <w:t>tomträttsinstitutet</w:t>
      </w:r>
      <w:r w:rsidRPr="00587968">
        <w:t>” bort ha följande lydelse:</w:t>
      </w:r>
    </w:p>
    <w:p w:rsidR="00613CFF" w:rsidRPr="00587968" w:rsidRDefault="00613CFF">
      <w:pPr>
        <w:pStyle w:val="Normaltindrag"/>
      </w:pPr>
      <w:r w:rsidRPr="00587968">
        <w:t>Det är utskottets uppfattning att tomträttsinstitutet är en förlegad form av reglering som försätter den enskilde fastighetsägaren i ett beroendeförhålla</w:t>
      </w:r>
      <w:r w:rsidRPr="00587968">
        <w:t>n</w:t>
      </w:r>
      <w:r w:rsidRPr="00587968">
        <w:t>de till kommunen. Ur den enskildes perspektiv kan markkostnaden vid en omreglering av avgälden påverkas av okontrollerbara faktorer på ett sådant oförutsägbart sätt att rena rättssäkerhetsargument talar för ett avskaffande av tomträttsinstitutet. Utan att närmare gå in på frågan kan konstateras att pr</w:t>
      </w:r>
      <w:r w:rsidRPr="00587968">
        <w:t>o</w:t>
      </w:r>
      <w:r w:rsidRPr="00587968">
        <w:t xml:space="preserve">blemet kring hur avgälderna skall omregleras visar på en avgörande svaghet med hela systemet. </w:t>
      </w:r>
    </w:p>
    <w:p w:rsidR="00613CFF" w:rsidRPr="00587968" w:rsidRDefault="00613CFF">
      <w:pPr>
        <w:pStyle w:val="Normaltindrag"/>
      </w:pPr>
      <w:r w:rsidRPr="00587968">
        <w:t xml:space="preserve">De motiv som en gång angavs som skäl till tomträttsinstitutets införande har i dag spelat ut sin roll. Utskottet </w:t>
      </w:r>
      <w:r w:rsidRPr="00587968">
        <w:t>anser att regeringen bör inrikta sitt a</w:t>
      </w:r>
      <w:r w:rsidRPr="00587968">
        <w:t>r</w:t>
      </w:r>
      <w:r w:rsidRPr="00587968">
        <w:t>bete på att skapa en fastighetsmarknad där det allmännas roll i möjligaste mån är begränsad till att formulera erforderliga riktlinjer. Att kommunerna genom tomträttsinstitutet tillåts spela rollen som marknadsaktör medför en osund försvagning av en konkurrens som på sikt gagnar samhällsutvecklin</w:t>
      </w:r>
      <w:r w:rsidRPr="00587968">
        <w:t>g</w:t>
      </w:r>
      <w:r w:rsidRPr="00587968">
        <w:t>en. Utskottet anser det oförsvarbart att på rent ideologiska grunder behålla ett markpolitiskt instrument vars konsekvenser förhindrar ett spritt enskilt äga</w:t>
      </w:r>
      <w:r w:rsidRPr="00587968">
        <w:t>n</w:t>
      </w:r>
      <w:r w:rsidRPr="00587968">
        <w:t>de. Tomträttsins</w:t>
      </w:r>
      <w:r w:rsidRPr="00587968">
        <w:t xml:space="preserve">titutet har dessutom, på ett sätt som lagstiftaren inte tänkt sig, kommit att användas som ett styrinstrument i frågor som plan- och bygglagens normer skall reglera. </w:t>
      </w:r>
    </w:p>
    <w:p w:rsidR="00613CFF" w:rsidRPr="00587968" w:rsidRDefault="00613CFF">
      <w:pPr>
        <w:pStyle w:val="Normaltindrag"/>
      </w:pPr>
      <w:r w:rsidRPr="00587968">
        <w:t>Inom Justitiedepartementet övervägs för närvarande frågor om tom</w:t>
      </w:r>
      <w:r w:rsidRPr="00587968">
        <w:t>t</w:t>
      </w:r>
      <w:r w:rsidRPr="00587968">
        <w:t>rättsavgälden. Regeringens förslag förväntas innebära att avgälden knyts till fastighetens taxeringsvärde och resultera i avsevärda höjningar av tom</w:t>
      </w:r>
      <w:r w:rsidRPr="00587968">
        <w:t>t</w:t>
      </w:r>
      <w:r w:rsidRPr="00587968">
        <w:t>rättsavgälden i många områden. Tomträttsinstitutets berättigande som boe</w:t>
      </w:r>
      <w:r w:rsidRPr="00587968">
        <w:t>n</w:t>
      </w:r>
      <w:r w:rsidRPr="00587968">
        <w:t>desocialt instrument skulle i och med detta helt ha spelat ut sin roll och a</w:t>
      </w:r>
      <w:r w:rsidRPr="00587968">
        <w:t>v</w:t>
      </w:r>
      <w:r w:rsidRPr="00587968">
        <w:t>gälderna skulle snarast bli ett kostnadshinder för den som vill äga sin bostad. Den fastighetsskatt som även tomträttsinnehavare tvingas betala förstärker denna problematik ytterligare. Vissa innehavare av tomträ</w:t>
      </w:r>
      <w:r w:rsidRPr="00587968">
        <w:t>tter i attraktiva lägen eller köpare av sådana tomträtter åsamkas orimliga kostnader genom att såväl tomträttsavgäld som fastighetsskatt grundas på fastighetens tax</w:t>
      </w:r>
      <w:r w:rsidRPr="00587968">
        <w:t>e</w:t>
      </w:r>
      <w:r w:rsidRPr="00587968">
        <w:t>ringsvärde. Pålagornas storlek bestäms dessutom oberoende av tomträttsi</w:t>
      </w:r>
      <w:r w:rsidRPr="00587968">
        <w:t>n</w:t>
      </w:r>
      <w:r w:rsidRPr="00587968">
        <w:t>nehavarens skatteförmåga. Utskottet anser att höga taxeringsvärden up</w:t>
      </w:r>
      <w:r w:rsidRPr="00587968">
        <w:t>p</w:t>
      </w:r>
      <w:r w:rsidRPr="00587968">
        <w:t>komna genom en stark efterfrågan inte skall tillåtas påverka varken tom</w:t>
      </w:r>
      <w:r w:rsidRPr="00587968">
        <w:t>t</w:t>
      </w:r>
      <w:r w:rsidRPr="00587968">
        <w:t>rättsavgäldens eller fastighetsskattens storlek på ett sådant sätt att människor tvingas lämna hus och hem. En avveckling av tomträtt</w:t>
      </w:r>
      <w:r w:rsidRPr="00587968">
        <w:t>sinstitutet är en rimlig väg för att undvika sådana effekter. Om en fastighet stiger i värde skall den boende genom sitt ägande kunna säkerställa sig mot utgiftsöknin</w:t>
      </w:r>
      <w:r w:rsidRPr="00587968">
        <w:t>g</w:t>
      </w:r>
      <w:r w:rsidRPr="00587968">
        <w:t>ar.</w:t>
      </w:r>
    </w:p>
    <w:p w:rsidR="00613CFF" w:rsidRPr="00587968" w:rsidRDefault="00613CFF">
      <w:pPr>
        <w:pStyle w:val="Normaltindrag"/>
      </w:pPr>
      <w:r w:rsidRPr="00587968">
        <w:t>Regeringen bör enligt utskottets uppfattning snarast lägga fram ett förslag för riksdagen om att nya tomträtter inte skall kunna bildas. Förslaget bör även innehålla riktlinjer för en utförsäljning av befintliga tomträtter. Riksd</w:t>
      </w:r>
      <w:r w:rsidRPr="00587968">
        <w:t>a</w:t>
      </w:r>
      <w:r w:rsidRPr="00587968">
        <w:t xml:space="preserve">gen bör således med anledning av motionerna 1999/2000:Bo419 (m) yrkande 4, 1998/99:Bo209 (m) yrkande 14 och 1999/2000:Bo404 (m) om </w:t>
      </w:r>
      <w:r w:rsidRPr="00587968">
        <w:rPr>
          <w:i/>
        </w:rPr>
        <w:t>avskaffa</w:t>
      </w:r>
      <w:r w:rsidRPr="00587968">
        <w:rPr>
          <w:i/>
        </w:rPr>
        <w:t>n</w:t>
      </w:r>
      <w:r w:rsidRPr="00587968">
        <w:rPr>
          <w:i/>
        </w:rPr>
        <w:t>de av tomträttsinstitutet</w:t>
      </w:r>
      <w:r w:rsidRPr="00587968">
        <w:t xml:space="preserve"> som sin mening ge regeringen till känna vad utsko</w:t>
      </w:r>
      <w:r w:rsidRPr="00587968">
        <w:t>t</w:t>
      </w:r>
      <w:r w:rsidRPr="00587968">
        <w:t>tet nu a</w:t>
      </w:r>
      <w:r w:rsidRPr="00587968">
        <w:t>n</w:t>
      </w:r>
      <w:r w:rsidRPr="00587968">
        <w:t>fört.</w:t>
      </w:r>
    </w:p>
    <w:p w:rsidR="00613CFF" w:rsidRPr="00587968" w:rsidRDefault="00613CFF">
      <w:r w:rsidRPr="00587968">
        <w:rPr>
          <w:i/>
        </w:rPr>
        <w:t>dels</w:t>
      </w:r>
      <w:r w:rsidRPr="00587968">
        <w:t xml:space="preserve"> att utskottets hemställan under 7 bort ha följande lydelse:</w:t>
      </w:r>
    </w:p>
    <w:p w:rsidR="00613CFF" w:rsidRPr="00587968" w:rsidRDefault="00613CFF">
      <w:pPr>
        <w:pStyle w:val="Resklmb"/>
      </w:pPr>
      <w:r w:rsidRPr="00587968">
        <w:t xml:space="preserve">7. beträffande </w:t>
      </w:r>
      <w:r w:rsidRPr="00587968">
        <w:rPr>
          <w:i/>
        </w:rPr>
        <w:t>avskaffande av tomträttsinstitutet</w:t>
      </w:r>
    </w:p>
    <w:p w:rsidR="00613CFF" w:rsidRPr="00587968" w:rsidRDefault="00613CFF">
      <w:pPr>
        <w:pStyle w:val="Resklm"/>
      </w:pPr>
      <w:r w:rsidRPr="00587968">
        <w:t>att riksdagen med anledning av motionerna 1998/99:Bo209 yrkande 14, 1999/2000:Bo404 och 1999/2000:Bo419 yrkande 4 som sin m</w:t>
      </w:r>
      <w:r w:rsidRPr="00587968">
        <w:t>e</w:t>
      </w:r>
      <w:r w:rsidRPr="00587968">
        <w:t>ning ger regeringen till känna vad utskottet anfört,</w:t>
      </w:r>
    </w:p>
    <w:p w:rsidR="00613CFF" w:rsidRPr="00587968" w:rsidRDefault="00613CFF">
      <w:pPr>
        <w:pStyle w:val="Rubrik2"/>
      </w:pPr>
      <w:bookmarkStart w:id="53" w:name="_Toc476043908"/>
      <w:r w:rsidRPr="00587968">
        <w:t>5. Avskaffande av den kommunala förköpsrätten (mom. 8)</w:t>
      </w:r>
      <w:bookmarkEnd w:id="53"/>
    </w:p>
    <w:p w:rsidR="00613CFF" w:rsidRPr="00587968" w:rsidRDefault="00613CFF">
      <w:r w:rsidRPr="00587968">
        <w:t xml:space="preserve">Knut Billing (m), Sten Andersson (m), Inga Berggren (m) och Carl-Erik Skårman (m) anser </w:t>
      </w:r>
    </w:p>
    <w:p w:rsidR="00613CFF" w:rsidRPr="00587968" w:rsidRDefault="00613CFF">
      <w:r w:rsidRPr="00587968">
        <w:rPr>
          <w:i/>
        </w:rPr>
        <w:t>dels</w:t>
      </w:r>
      <w:r w:rsidRPr="00587968">
        <w:t xml:space="preserve"> att den del av utskottets yttrande som på s. 10 börjar med ”Motionsyrkanden om” och slutar med ”</w:t>
      </w:r>
      <w:r w:rsidRPr="00587968">
        <w:rPr>
          <w:i/>
        </w:rPr>
        <w:t>kommunala förköpsrätten</w:t>
      </w:r>
      <w:r w:rsidRPr="00587968">
        <w:t>” bort ha följande lydelse:</w:t>
      </w:r>
    </w:p>
    <w:p w:rsidR="00613CFF" w:rsidRPr="00587968" w:rsidRDefault="00613CFF">
      <w:pPr>
        <w:pStyle w:val="Normaltindrag"/>
      </w:pPr>
      <w:r w:rsidRPr="00587968">
        <w:t>Enligt bostadsutskottets uppfattning bör den kommunala förköpsrätten a</w:t>
      </w:r>
      <w:r w:rsidRPr="00587968">
        <w:t>v</w:t>
      </w:r>
      <w:r w:rsidRPr="00587968">
        <w:t>skaffas. Det främsta skälet till detta ställningstagande är att förköpsrätten inte fyller någon funktion i den kommunala markplaneringen. Det är även av vikt att framhålla att förköpsrätten gör att enskilda markägare hamnar i en ori</w:t>
      </w:r>
      <w:r w:rsidRPr="00587968">
        <w:t>m</w:t>
      </w:r>
      <w:r w:rsidRPr="00587968">
        <w:t>ligt svag position i förhållande till kommunerna. Detta skall ses mot ba</w:t>
      </w:r>
      <w:r w:rsidRPr="00587968">
        <w:t>k</w:t>
      </w:r>
      <w:r w:rsidRPr="00587968">
        <w:t>grund av att det kommunala planmonopolet, expropriationslagen och öve</w:t>
      </w:r>
      <w:r w:rsidRPr="00587968">
        <w:t>r</w:t>
      </w:r>
      <w:r w:rsidRPr="00587968">
        <w:t xml:space="preserve">lägsna ekonomiska och personella resurser ger kommunerna en mycket stark maktställning. Ett avskaffande av den kommunala förköpsrätten </w:t>
      </w:r>
      <w:r w:rsidRPr="00587968">
        <w:t>skulle bidra till en sundare fastighetsmarknad. Vidare kan det ifrågasättas om det är ri</w:t>
      </w:r>
      <w:r w:rsidRPr="00587968">
        <w:t>m</w:t>
      </w:r>
      <w:r w:rsidRPr="00587968">
        <w:t>ligt att spendera skattemedel på en kommunalisering av mark för bebyggelse samtidigt som resurserna inte förslår att tillgodose mer angelägna komm</w:t>
      </w:r>
      <w:r w:rsidRPr="00587968">
        <w:t>u</w:t>
      </w:r>
      <w:r w:rsidRPr="00587968">
        <w:t>nala verksamheter. Regeringen bör snarast för riksdagen lägga fram förslag till nödvändig lagstiftning avseende ett avskaffande av den kommunala förköpsrätten. Vad utskottet nu med anledning av motion 1999/2000:Bo419 (m)</w:t>
      </w:r>
      <w:r w:rsidRPr="00587968">
        <w:rPr>
          <w:sz w:val="22"/>
        </w:rPr>
        <w:t xml:space="preserve"> </w:t>
      </w:r>
      <w:r w:rsidRPr="00587968">
        <w:t xml:space="preserve">yrkande 9 anfört om </w:t>
      </w:r>
      <w:r w:rsidRPr="00587968">
        <w:rPr>
          <w:i/>
        </w:rPr>
        <w:t>avskaffande av</w:t>
      </w:r>
      <w:r w:rsidRPr="00587968">
        <w:t xml:space="preserve"> </w:t>
      </w:r>
      <w:r w:rsidRPr="00587968">
        <w:rPr>
          <w:i/>
        </w:rPr>
        <w:t>den kommunala förköp</w:t>
      </w:r>
      <w:r w:rsidRPr="00587968">
        <w:rPr>
          <w:i/>
        </w:rPr>
        <w:t>srätten</w:t>
      </w:r>
      <w:r w:rsidRPr="00587968">
        <w:t xml:space="preserve"> bör riksdagen som sin mening ge regeringen till känna.</w:t>
      </w:r>
    </w:p>
    <w:p w:rsidR="00613CFF" w:rsidRPr="00587968" w:rsidRDefault="00613CFF">
      <w:r w:rsidRPr="00587968">
        <w:rPr>
          <w:i/>
        </w:rPr>
        <w:t>dels</w:t>
      </w:r>
      <w:r w:rsidRPr="00587968">
        <w:t xml:space="preserve"> att utskottets hemställan under 8 bort ha följande lydelse:</w:t>
      </w:r>
    </w:p>
    <w:p w:rsidR="00613CFF" w:rsidRPr="00587968" w:rsidRDefault="00613CFF">
      <w:pPr>
        <w:pStyle w:val="Resklmb"/>
      </w:pPr>
      <w:r w:rsidRPr="00587968">
        <w:t xml:space="preserve">8. beträffande </w:t>
      </w:r>
      <w:r w:rsidRPr="00587968">
        <w:rPr>
          <w:i/>
        </w:rPr>
        <w:t>avskaffande av den kommunala förköpsrätten</w:t>
      </w:r>
    </w:p>
    <w:p w:rsidR="00613CFF" w:rsidRPr="00587968" w:rsidRDefault="00613CFF">
      <w:pPr>
        <w:pStyle w:val="Resklm"/>
      </w:pPr>
      <w:r w:rsidRPr="00587968">
        <w:t>att riksdagen med anledning av motion 1999/2000:Bo419 yrkande 9 som sin mening ger regeringen till känna vad utskottet anfört,</w:t>
      </w:r>
    </w:p>
    <w:p w:rsidR="00613CFF" w:rsidRPr="00587968" w:rsidRDefault="00613CFF">
      <w:pPr>
        <w:pStyle w:val="Rubrik2"/>
      </w:pPr>
      <w:bookmarkStart w:id="54" w:name="_Toc476043909"/>
      <w:r w:rsidRPr="00587968">
        <w:t>6. Expropriationsändamålen (mom. 9)</w:t>
      </w:r>
      <w:bookmarkEnd w:id="54"/>
    </w:p>
    <w:p w:rsidR="00613CFF" w:rsidRPr="00587968" w:rsidRDefault="00613CFF">
      <w:r w:rsidRPr="00587968">
        <w:t xml:space="preserve">Knut Billing (m), Sten Andersson (m), Inga Berggren (m) och Carl-Erik Skårman (m) anser </w:t>
      </w:r>
    </w:p>
    <w:p w:rsidR="00613CFF" w:rsidRPr="00587968" w:rsidRDefault="00613CFF">
      <w:r w:rsidRPr="00587968">
        <w:rPr>
          <w:i/>
        </w:rPr>
        <w:t>dels</w:t>
      </w:r>
      <w:r w:rsidRPr="00587968">
        <w:t xml:space="preserve"> att den del av utskottets yttrande som på s. 11 börjar med ”Utskottet anser” och slutar med ”om </w:t>
      </w:r>
      <w:r w:rsidRPr="00587968">
        <w:rPr>
          <w:i/>
        </w:rPr>
        <w:t>expropriationsändamålen</w:t>
      </w:r>
      <w:r w:rsidRPr="00587968">
        <w:t>” bort ha följande lyde</w:t>
      </w:r>
      <w:r w:rsidRPr="00587968">
        <w:t>l</w:t>
      </w:r>
      <w:r w:rsidRPr="00587968">
        <w:t>se:</w:t>
      </w:r>
    </w:p>
    <w:p w:rsidR="00613CFF" w:rsidRPr="00587968" w:rsidRDefault="00613CFF">
      <w:pPr>
        <w:pStyle w:val="Normaltindrag"/>
      </w:pPr>
      <w:r w:rsidRPr="00587968">
        <w:t>Det är utskottets uppfattning att bestämmelserna om expropriationsänd</w:t>
      </w:r>
      <w:r w:rsidRPr="00587968">
        <w:t>a</w:t>
      </w:r>
      <w:r w:rsidRPr="00587968">
        <w:t>målen medger ett alltför stort utrymme för godtycke. Den enskilde fasti</w:t>
      </w:r>
      <w:r w:rsidRPr="00587968">
        <w:t>g</w:t>
      </w:r>
      <w:r w:rsidRPr="00587968">
        <w:t>hetsägaren riskerar att utsättas för expropriation av rent konfiskatorisk k</w:t>
      </w:r>
      <w:r w:rsidRPr="00587968">
        <w:t>a</w:t>
      </w:r>
      <w:r w:rsidRPr="00587968">
        <w:t>raktär utan att sådan är påkallad av att ytterst angelägna samhällsintressen skall tillgodoses. Det är enligt utskottets mening inte värdigt en rättsstat att tillåta tvångsmässiga ingrepp i den enskilda äganderätten på de grunder som nuvarande expropriationsändamål medger. Expropriation av mark är en kränkning av äganderätten och bör endast komma i fråga när sy</w:t>
      </w:r>
      <w:r w:rsidRPr="00587968">
        <w:t>nnerligen viktiga samhäl</w:t>
      </w:r>
      <w:r w:rsidRPr="00587968">
        <w:t>l</w:t>
      </w:r>
      <w:r w:rsidRPr="00587968">
        <w:t xml:space="preserve">sintressen så påkallar. </w:t>
      </w:r>
    </w:p>
    <w:p w:rsidR="00613CFF" w:rsidRPr="00587968" w:rsidRDefault="00613CFF">
      <w:pPr>
        <w:pStyle w:val="Normaltindrag"/>
      </w:pPr>
      <w:r w:rsidRPr="00587968">
        <w:t>Utskottet föreslår mot bakgrund av detta att en genomgripande översyn av expropriationslagen genomförs. Översynen skall i första hand syfta till att begränsa och tydliggöra de ändamål som kan åberopas vid ett expropri</w:t>
      </w:r>
      <w:r w:rsidRPr="00587968">
        <w:t>e</w:t>
      </w:r>
      <w:r w:rsidRPr="00587968">
        <w:t>ringsföretag. Endast för stat eller kommun ytterst angelägna uppgifter och samhällsåtaganden, däribland värnande om människors liv, hälsa och säke</w:t>
      </w:r>
      <w:r w:rsidRPr="00587968">
        <w:t>r</w:t>
      </w:r>
      <w:r w:rsidRPr="00587968">
        <w:t>het samt skydd av natur och miljö, skall tillåtas som expropriationsgrunder. Expropriation där det allmännas enda motiv till ingreppet är att stävja en marknadsbaserad värdeökning skall exe</w:t>
      </w:r>
      <w:r w:rsidRPr="00587968">
        <w:t>m</w:t>
      </w:r>
      <w:r w:rsidRPr="00587968">
        <w:t xml:space="preserve">pelvis inte medges. </w:t>
      </w:r>
    </w:p>
    <w:p w:rsidR="00613CFF" w:rsidRPr="00587968" w:rsidRDefault="00613CFF">
      <w:pPr>
        <w:pStyle w:val="Normaltindrag"/>
      </w:pPr>
      <w:r w:rsidRPr="00587968">
        <w:t xml:space="preserve">Riksdagen bör med anledning av motion 1999/2000:Bo419 (m) yrkande 1 i motsvarande del som sin mening ge regeringen till känna vad utskottet nu anfört om </w:t>
      </w:r>
      <w:r w:rsidRPr="00587968">
        <w:rPr>
          <w:i/>
        </w:rPr>
        <w:t>expropriationsändamålen</w:t>
      </w:r>
      <w:r w:rsidRPr="00587968">
        <w:t>.</w:t>
      </w:r>
    </w:p>
    <w:p w:rsidR="00613CFF" w:rsidRPr="00587968" w:rsidRDefault="00613CFF">
      <w:r w:rsidRPr="00587968">
        <w:rPr>
          <w:i/>
        </w:rPr>
        <w:t>dels</w:t>
      </w:r>
      <w:r w:rsidRPr="00587968">
        <w:t xml:space="preserve"> att utskottets hemställan under 9 bort ha följande lydelse:</w:t>
      </w:r>
    </w:p>
    <w:p w:rsidR="00613CFF" w:rsidRPr="00587968" w:rsidRDefault="00613CFF">
      <w:pPr>
        <w:pStyle w:val="Resklmb"/>
      </w:pPr>
      <w:r w:rsidRPr="00587968">
        <w:t xml:space="preserve">9. beträffande </w:t>
      </w:r>
      <w:r w:rsidRPr="00587968">
        <w:rPr>
          <w:i/>
        </w:rPr>
        <w:t>expropriationsändamålen</w:t>
      </w:r>
    </w:p>
    <w:p w:rsidR="00613CFF" w:rsidRPr="00587968" w:rsidRDefault="00613CFF">
      <w:pPr>
        <w:pStyle w:val="Resklm"/>
      </w:pPr>
      <w:r w:rsidRPr="00587968">
        <w:t>att riksdagen med anledning av motion 1999/2000:Bo419 yrkande 1 i motsvarande del som sin mening ger regeringen till känna vad utsko</w:t>
      </w:r>
      <w:r w:rsidRPr="00587968">
        <w:t>t</w:t>
      </w:r>
      <w:r w:rsidRPr="00587968">
        <w:t>tet anfört,</w:t>
      </w:r>
    </w:p>
    <w:p w:rsidR="00613CFF" w:rsidRPr="00587968" w:rsidRDefault="00613CFF">
      <w:pPr>
        <w:pStyle w:val="Rubrik2"/>
      </w:pPr>
      <w:r w:rsidRPr="00587968">
        <w:br w:type="page"/>
      </w:r>
      <w:bookmarkStart w:id="55" w:name="_Toc476043910"/>
      <w:r w:rsidRPr="00587968">
        <w:t>7. Expropriationslagens ersättningsregler (mom. 10)</w:t>
      </w:r>
      <w:bookmarkEnd w:id="55"/>
    </w:p>
    <w:p w:rsidR="00613CFF" w:rsidRPr="00587968" w:rsidRDefault="00613CFF">
      <w:r w:rsidRPr="00587968">
        <w:t xml:space="preserve">Knut Billing (m), Sten Andersson (m), Inga Berggren (m) och Carl-Erik Skårman (m) anser </w:t>
      </w:r>
    </w:p>
    <w:p w:rsidR="00613CFF" w:rsidRPr="00587968" w:rsidRDefault="00613CFF">
      <w:r w:rsidRPr="00587968">
        <w:rPr>
          <w:i/>
        </w:rPr>
        <w:t>dels</w:t>
      </w:r>
      <w:r w:rsidRPr="00587968">
        <w:t xml:space="preserve"> att den del av utskottets yttrande som på s. 12 börjar med ”Bostads-utskottet har” och slutar med ”</w:t>
      </w:r>
      <w:r w:rsidRPr="00587968">
        <w:rPr>
          <w:i/>
        </w:rPr>
        <w:t xml:space="preserve">expropriationslagens ersättningsregler” </w:t>
      </w:r>
      <w:r w:rsidRPr="00587968">
        <w:t>bort ha följande lydelse:</w:t>
      </w:r>
    </w:p>
    <w:p w:rsidR="00613CFF" w:rsidRPr="00587968" w:rsidRDefault="00613CFF">
      <w:pPr>
        <w:pStyle w:val="Normaltindrag"/>
      </w:pPr>
      <w:r w:rsidRPr="00587968">
        <w:t>Förutom en kraftig begränsning av expropriationsändamålen bör expropr</w:t>
      </w:r>
      <w:r w:rsidRPr="00587968">
        <w:t>i</w:t>
      </w:r>
      <w:r w:rsidRPr="00587968">
        <w:t>ationslagen ändras så att ersättningsreglerna ger markägaren kompensation för fastighetens fulla marknadsvärde samt för de kostnader och det inkoms</w:t>
      </w:r>
      <w:r w:rsidRPr="00587968">
        <w:t>t</w:t>
      </w:r>
      <w:r w:rsidRPr="00587968">
        <w:t>bortfall som inte kan återvinnas. De förändringar av expropriationslagens ersättningsregler som gjordes i början av 1970-talet innebar att den tidigare rådande grundprincipen om full ersättning övergavs. I stället för att på mar</w:t>
      </w:r>
      <w:r w:rsidRPr="00587968">
        <w:t>k</w:t>
      </w:r>
      <w:r w:rsidRPr="00587968">
        <w:t>nadsmässiga grunder kompensera drabbade fastighetsägare antogs en la</w:t>
      </w:r>
      <w:r w:rsidRPr="00587968">
        <w:t>g</w:t>
      </w:r>
      <w:r w:rsidRPr="00587968">
        <w:t>stiftning som inte på ett rimligt sätt avspeglar en fastighets eg</w:t>
      </w:r>
      <w:r w:rsidRPr="00587968">
        <w:t>entliga värde, dvs. ett nuvärde som innefattar framtida förvän</w:t>
      </w:r>
      <w:r w:rsidRPr="00587968">
        <w:t>t</w:t>
      </w:r>
      <w:r w:rsidRPr="00587968">
        <w:t>ningsvärden.</w:t>
      </w:r>
    </w:p>
    <w:p w:rsidR="00613CFF" w:rsidRPr="00587968" w:rsidRDefault="00613CFF">
      <w:pPr>
        <w:pStyle w:val="Normaltindrag"/>
      </w:pPr>
      <w:r w:rsidRPr="00587968">
        <w:t>Den enskilde fastighetsägarens underläge gentemot exproprianten förstärks av den s.k. presumtionsregeln. Att som presumtionsregeln föreskriver ålägga den drabbade fastighetsägaren bevisbördan avseende eventuella förvän</w:t>
      </w:r>
      <w:r w:rsidRPr="00587968">
        <w:t>t</w:t>
      </w:r>
      <w:r w:rsidRPr="00587968">
        <w:t>ningsvärden går på tvärs mot gängse rättssäkerhetsprinciper. Det enda riml</w:t>
      </w:r>
      <w:r w:rsidRPr="00587968">
        <w:t>i</w:t>
      </w:r>
      <w:r w:rsidRPr="00587968">
        <w:t>ga förhållandet är att exproprianten skall ha bevisbördan. Presumtionsregeln bör således avska</w:t>
      </w:r>
      <w:r w:rsidRPr="00587968">
        <w:t>f</w:t>
      </w:r>
      <w:r w:rsidRPr="00587968">
        <w:t>fas.</w:t>
      </w:r>
    </w:p>
    <w:p w:rsidR="00613CFF" w:rsidRPr="00587968" w:rsidRDefault="00613CFF">
      <w:pPr>
        <w:pStyle w:val="Normaltindrag"/>
      </w:pPr>
      <w:r w:rsidRPr="00587968">
        <w:t>Bostadsutskottet anser att regeringen bör anmodas att snarast återkomma med förslag om ändringar i expropriationslagen som innebär att presumtion</w:t>
      </w:r>
      <w:r w:rsidRPr="00587968">
        <w:t>s</w:t>
      </w:r>
      <w:r w:rsidRPr="00587968">
        <w:t>regeln avskaffas och att exproprianten ges bevisbördan i fråga om orsaken till markvärdesökningarna. Förslag med denna inriktning bör kunna förelä</w:t>
      </w:r>
      <w:r w:rsidRPr="00587968">
        <w:t>g</w:t>
      </w:r>
      <w:r w:rsidRPr="00587968">
        <w:t>gas riksdagen utan vidare dröjsmål. Därutöver bör i samband med den av utskottet förordade översynen av expropriationslagen i övrigt utarbetas fö</w:t>
      </w:r>
      <w:r w:rsidRPr="00587968">
        <w:t>r</w:t>
      </w:r>
      <w:r w:rsidRPr="00587968">
        <w:t xml:space="preserve">slag om ändrade ersättningsregler i syfte att stärka markägarens ställning i enlighet med vad utskottet förordat. </w:t>
      </w:r>
    </w:p>
    <w:p w:rsidR="00613CFF" w:rsidRPr="00587968" w:rsidRDefault="00613CFF">
      <w:pPr>
        <w:pStyle w:val="Normaltindrag"/>
      </w:pPr>
      <w:r w:rsidRPr="00587968">
        <w:t>Vad utskottet anfört ovan med anledning av motion 1999/2000:Bo419 (m) yrkandena 1 i motsvarande del och</w:t>
      </w:r>
      <w:r w:rsidRPr="00587968">
        <w:t xml:space="preserve"> 2 om </w:t>
      </w:r>
      <w:r w:rsidRPr="00587968">
        <w:rPr>
          <w:i/>
        </w:rPr>
        <w:t>expropriationslagens ersättning</w:t>
      </w:r>
      <w:r w:rsidRPr="00587968">
        <w:rPr>
          <w:i/>
        </w:rPr>
        <w:t>s</w:t>
      </w:r>
      <w:r w:rsidRPr="00587968">
        <w:rPr>
          <w:i/>
        </w:rPr>
        <w:t xml:space="preserve">regler </w:t>
      </w:r>
      <w:r w:rsidRPr="00587968">
        <w:t>bör riksdagen som sin mening ge reg</w:t>
      </w:r>
      <w:r w:rsidRPr="00587968">
        <w:t>e</w:t>
      </w:r>
      <w:r w:rsidRPr="00587968">
        <w:t>ringen till känna.</w:t>
      </w:r>
    </w:p>
    <w:p w:rsidR="00613CFF" w:rsidRPr="00587968" w:rsidRDefault="00613CFF">
      <w:r w:rsidRPr="00587968">
        <w:rPr>
          <w:i/>
        </w:rPr>
        <w:t>dels</w:t>
      </w:r>
      <w:r w:rsidRPr="00587968">
        <w:t xml:space="preserve"> att utskottets hemställan under 10 bort ha följande lydelse:</w:t>
      </w:r>
    </w:p>
    <w:p w:rsidR="00613CFF" w:rsidRPr="00587968" w:rsidRDefault="00613CFF">
      <w:pPr>
        <w:pStyle w:val="Resklmb"/>
      </w:pPr>
      <w:r w:rsidRPr="00587968">
        <w:t xml:space="preserve">10. beträffande </w:t>
      </w:r>
      <w:r w:rsidRPr="00587968">
        <w:rPr>
          <w:i/>
        </w:rPr>
        <w:t>expropriationslagens ersättningsregler</w:t>
      </w:r>
    </w:p>
    <w:p w:rsidR="00613CFF" w:rsidRPr="00587968" w:rsidRDefault="00613CFF">
      <w:pPr>
        <w:pStyle w:val="Resklm"/>
      </w:pPr>
      <w:r w:rsidRPr="00587968">
        <w:t>att riksdagen med anledning av motion 1999/2000:Bo419 yrkandena 1 i motsvarande del och 2 som sin mening ger regeringen till känna vad utskottet anfört.</w:t>
      </w:r>
    </w:p>
    <w:p w:rsidR="00613CFF" w:rsidRPr="00587968" w:rsidRDefault="00613CFF">
      <w:pPr>
        <w:pStyle w:val="Rubrik1"/>
      </w:pPr>
      <w:r w:rsidRPr="00587968">
        <w:br w:type="page"/>
      </w:r>
      <w:bookmarkStart w:id="56" w:name="_Toc476043911"/>
      <w:r w:rsidRPr="00587968">
        <w:t>Särskilda yttranden</w:t>
      </w:r>
      <w:bookmarkEnd w:id="56"/>
    </w:p>
    <w:p w:rsidR="00613CFF" w:rsidRPr="00587968" w:rsidRDefault="00613CFF">
      <w:pPr>
        <w:pStyle w:val="Rubrik2"/>
      </w:pPr>
      <w:bookmarkStart w:id="57" w:name="Nästa_Reservation"/>
      <w:bookmarkStart w:id="58" w:name="_Toc476043912"/>
      <w:bookmarkEnd w:id="57"/>
      <w:r w:rsidRPr="00587968">
        <w:t>1. Juridiska personers förvärv enligt jordförvärvslagen</w:t>
      </w:r>
      <w:bookmarkEnd w:id="58"/>
    </w:p>
    <w:p w:rsidR="00613CFF" w:rsidRPr="00587968" w:rsidRDefault="00613CFF">
      <w:r w:rsidRPr="00587968">
        <w:t xml:space="preserve">Knut Billing (m), Sten Andersson (m), Inga Berggren (m) och Carl-Erik Skårman (m) anför: </w:t>
      </w:r>
    </w:p>
    <w:p w:rsidR="00613CFF" w:rsidRPr="00587968" w:rsidRDefault="00613CFF">
      <w:r w:rsidRPr="00587968">
        <w:t xml:space="preserve">Vi anser liksom majoriteten att det finns skäl att avvakta resultatet av den pågående utredningen innan riksdagen i sak behandlar de frågor som tas upp i motionerna om förändringar av jordförvärvslagen. Det finns emellertid en frågeställning som vi nu vill uppmärksamma. </w:t>
      </w:r>
    </w:p>
    <w:p w:rsidR="00613CFF" w:rsidRPr="00587968" w:rsidRDefault="00613CFF">
      <w:pPr>
        <w:pStyle w:val="Normaltindrag"/>
      </w:pPr>
      <w:r w:rsidRPr="00587968">
        <w:t>En grundtanke som jordförvärvslagen bygger på innebär att fysiska pers</w:t>
      </w:r>
      <w:r w:rsidRPr="00587968">
        <w:t>o</w:t>
      </w:r>
      <w:r w:rsidRPr="00587968">
        <w:t xml:space="preserve">ner skall ha ett företräde framför juridiska personer när det gäller att förvärva jord- och skogsbruk. Den nuvarande lagen, som är mindre strikt än dess föregångare, har inneburit att skogsbolag i strid med denna grundtanke fått förvärvstillstånd och slagit ut enskilda jord- och skogsbrukare, framför allt i attraktiva områden nära bolagsindustrierna. Som påpekats i m-motionen kan ifrågasättas om bolagsförvärven kommit att behandlas annorlunda än andra juridiska personers förvärv. Vi förutsätter att den nu </w:t>
      </w:r>
      <w:r w:rsidRPr="00587968">
        <w:t>pågående utredningen uppmärksammar frågan hur utvecklingen mot ett ökat bolagsägande kan balanseras. Regelsystemet om juridiska personers förvärv bör dock få en utformning så att familjedrivna jord- och skogsbruk kan bolagiseras i syfte att skapa bättre förutsättningar för en fortsatt drift bl.a. genom att underlätta generationsskiftena. Vi kommer att driva dessa frågor för det fall de inte genom utredningen får en tillfredsstä</w:t>
      </w:r>
      <w:r w:rsidRPr="00587968">
        <w:t>l</w:t>
      </w:r>
      <w:r w:rsidRPr="00587968">
        <w:t>lande lösning.</w:t>
      </w:r>
    </w:p>
    <w:p w:rsidR="00613CFF" w:rsidRPr="00587968" w:rsidRDefault="00613CFF">
      <w:pPr>
        <w:pStyle w:val="Rubrik2"/>
      </w:pPr>
      <w:bookmarkStart w:id="59" w:name="_Toc476043913"/>
      <w:r w:rsidRPr="00587968">
        <w:t>2. Förvärv av permanentbostäder för fritidsändamål</w:t>
      </w:r>
      <w:bookmarkEnd w:id="59"/>
    </w:p>
    <w:p w:rsidR="00613CFF" w:rsidRPr="00587968" w:rsidRDefault="00613CFF">
      <w:r w:rsidRPr="00587968">
        <w:t xml:space="preserve">Knut Billing (m), Sten Andersson (m), Inga Berggren (m) och Carl-Erik Skårman (m) anför: </w:t>
      </w:r>
    </w:p>
    <w:p w:rsidR="00613CFF" w:rsidRPr="00587968" w:rsidRDefault="00613CFF">
      <w:r w:rsidRPr="00587968">
        <w:t>Det är en självklarhet att samma regler måste gälla för svenska och utländska medborgares möjligheter att förvärva fastigheter. Det är också grundlägga</w:t>
      </w:r>
      <w:r w:rsidRPr="00587968">
        <w:t>n</w:t>
      </w:r>
      <w:r w:rsidRPr="00587968">
        <w:t>de att det skall vara upp till var och en som köper ett hus att bestämma om han eller hon vill bebo detta permanent eller använda det för fritidsändamål. Problemets lösning ligger inte alls i regleringar av hur fastigheterna i de utsatta områdena skall få användas. Däremot spelar de helt orimliga konse-kvenser som fastighetsskatten ger en avgörande roll för den negativa utvec</w:t>
      </w:r>
      <w:r w:rsidRPr="00587968">
        <w:t>k</w:t>
      </w:r>
      <w:r w:rsidRPr="00587968">
        <w:t>lingen i dessa områden. Fastighetsskatten är ofta till beloppen så stora att många av de permanentboende inte har råd att bo kvar. S</w:t>
      </w:r>
      <w:r w:rsidRPr="00587968">
        <w:t>katten som skall betalas oberoende av skatteförmåga har blivit en så betungande utgift för många att de inte kan klara sin ekonomi. Enligt vår mening framstår det som självklart att ett avskaffande av fastighetsskatten i enlighet med Moderata samlingspartiets förslag skulle innebära sådana lättnader för många perm</w:t>
      </w:r>
      <w:r w:rsidRPr="00587968">
        <w:t>a</w:t>
      </w:r>
      <w:r w:rsidRPr="00587968">
        <w:t>nentboende i de utsatta områdena att de inte ens skulle överväga försäljning. Därigenom skulle de lokala intressena kunna hävdas på ett helt annat sätt än i dag.</w:t>
      </w:r>
    </w:p>
    <w:p w:rsidR="00613CFF" w:rsidRPr="00587968" w:rsidRDefault="00613CFF">
      <w:pPr>
        <w:pStyle w:val="Rubrik2"/>
      </w:pPr>
      <w:bookmarkStart w:id="60" w:name="_Toc476043914"/>
      <w:r w:rsidRPr="00587968">
        <w:t>3. Förvärv av permanentbostäder fö</w:t>
      </w:r>
      <w:r w:rsidRPr="00587968">
        <w:t>r fritidsändamål</w:t>
      </w:r>
      <w:bookmarkEnd w:id="60"/>
    </w:p>
    <w:p w:rsidR="00613CFF" w:rsidRPr="00587968" w:rsidRDefault="00613CFF">
      <w:r w:rsidRPr="00587968">
        <w:t xml:space="preserve">Ulf Björklund (kd) och Ulla-Britt Hagström (kd) anför: </w:t>
      </w:r>
    </w:p>
    <w:p w:rsidR="00613CFF" w:rsidRPr="00587968" w:rsidRDefault="00613CFF">
      <w:r w:rsidRPr="00587968">
        <w:t>Det måste vara ett riksintresse att Sveriges skärgårdar kan hållas levande. Den höga fastighetsskatten som speciellt drabbar attraktiva områden har lett till att många inte klarar det ekonomiska trycket att bo kvar. Detta försvagar möjligheten att hävda lokala intressen. I och med att 1992 års lag upphävdes försvann också stödet att motverka prisstegringar på fritidsfastigheter i a</w:t>
      </w:r>
      <w:r w:rsidRPr="00587968">
        <w:t>t</w:t>
      </w:r>
      <w:r w:rsidRPr="00587968">
        <w:t>traktiva områden. Förhandlingsresultatet i samband med Sveriges medle</w:t>
      </w:r>
      <w:r w:rsidRPr="00587968">
        <w:t>m</w:t>
      </w:r>
      <w:r w:rsidRPr="00587968">
        <w:t>skap i Europeiska unionen (prop. 1994/95:19) innebar ett rådrum för Sverige att under fem år överväga och vidta behövliga åtgärder i områden som risk</w:t>
      </w:r>
      <w:r w:rsidRPr="00587968">
        <w:t>e</w:t>
      </w:r>
      <w:r w:rsidRPr="00587968">
        <w:t>rar att utsättas för överexploatering och i områden där i första hand den b</w:t>
      </w:r>
      <w:r w:rsidRPr="00587968">
        <w:t>o</w:t>
      </w:r>
      <w:r w:rsidRPr="00587968">
        <w:t>fasta befolkningens intressen bör tillgodoses. Erforderliga medel skulle ku</w:t>
      </w:r>
      <w:r w:rsidRPr="00587968">
        <w:t>n</w:t>
      </w:r>
      <w:r w:rsidRPr="00587968">
        <w:t>na avsättas för att komma till rätta med de problem som en stor efterfrågan på fritidsfastigheter kan föra med sig i bl.a. de kustnära områ</w:t>
      </w:r>
      <w:r w:rsidRPr="00587968">
        <w:t>dena. Några åtgä</w:t>
      </w:r>
      <w:r w:rsidRPr="00587968">
        <w:t>r</w:t>
      </w:r>
      <w:r w:rsidRPr="00587968">
        <w:t xml:space="preserve">der på nationell nivå har inte vidtagits. </w:t>
      </w:r>
    </w:p>
    <w:p w:rsidR="00613CFF" w:rsidRPr="00587968" w:rsidRDefault="00613CFF">
      <w:pPr>
        <w:pStyle w:val="Normaltindrag"/>
      </w:pPr>
      <w:r w:rsidRPr="00587968">
        <w:t>Enligt vår mening kan man inte nöja sig med att konstatera att problemet är svårlöst. De utsatta områdena måste säkerställas som en levande bygd. I Sverige kunde t.ex. en modell för att underlätta för åretruntboende i våra kustsamhällen vara att kommunerna vid sin revidering av befintliga planer och vid ny detaljplanering ges möjlighet att avgränsa områden för åretrun</w:t>
      </w:r>
      <w:r w:rsidRPr="00587968">
        <w:t>t</w:t>
      </w:r>
      <w:r w:rsidRPr="00587968">
        <w:t>boe</w:t>
      </w:r>
      <w:r w:rsidRPr="00587968">
        <w:t>n</w:t>
      </w:r>
      <w:r w:rsidRPr="00587968">
        <w:t xml:space="preserve">de med s.k. boendeplikt. </w:t>
      </w:r>
    </w:p>
    <w:p w:rsidR="00613CFF" w:rsidRPr="00587968" w:rsidRDefault="00613CFF">
      <w:pPr>
        <w:pStyle w:val="Normaltindrag"/>
      </w:pPr>
      <w:r w:rsidRPr="00587968">
        <w:t>Vi avser att återkomma till de åtgärder som bör vidtas.</w:t>
      </w:r>
    </w:p>
    <w:p w:rsidR="00613CFF" w:rsidRPr="00587968" w:rsidRDefault="00613CFF">
      <w:pPr>
        <w:pStyle w:val="Rubrik2"/>
      </w:pPr>
      <w:bookmarkStart w:id="61" w:name="_Toc476043915"/>
      <w:r w:rsidRPr="00587968">
        <w:t>4. Omarrondering</w:t>
      </w:r>
      <w:bookmarkEnd w:id="61"/>
    </w:p>
    <w:p w:rsidR="00613CFF" w:rsidRPr="00587968" w:rsidRDefault="00613CFF">
      <w:r w:rsidRPr="00587968">
        <w:t xml:space="preserve">Ulf Björklund (kd) och Ulla-Britt Hagström (kd) anför: </w:t>
      </w:r>
    </w:p>
    <w:p w:rsidR="00613CFF" w:rsidRPr="00587968" w:rsidRDefault="00613CFF">
      <w:r w:rsidRPr="00587968">
        <w:t>Genom omarrondering får de enskilda fastighetsägarna bättre bärkraft i de företag för vilka de använder sina fastigheter. Genom ett mer bärkraftigt jord- och skogsbruk säkras utkomstmöjligheterna och därmed bygdens fra</w:t>
      </w:r>
      <w:r w:rsidRPr="00587968">
        <w:t>m</w:t>
      </w:r>
      <w:r w:rsidRPr="00587968">
        <w:t>tid. Omarronderingen har också betydelse för en effektiv</w:t>
      </w:r>
      <w:r w:rsidRPr="00587968">
        <w:t>a</w:t>
      </w:r>
      <w:r w:rsidRPr="00587968">
        <w:t>re fastighetsregi-strering. En fortlöpande verksamhet bidrar till att för framtiden vidmakthålla en hög kompetens hos lantmäteriet. Det finns således vinster – av både ek</w:t>
      </w:r>
      <w:r w:rsidRPr="00587968">
        <w:t>o</w:t>
      </w:r>
      <w:r w:rsidRPr="00587968">
        <w:t>nomiskt och icke-ekonomiskt slag – att hämta. Det gäller särskilt i fråga om Dalarna men också andra delar av landet. Opinionsmässigt har omarrond</w:t>
      </w:r>
      <w:r w:rsidRPr="00587968">
        <w:t>e</w:t>
      </w:r>
      <w:r w:rsidRPr="00587968">
        <w:t>ringen mer vind i seglen än tidigare, bl.a. beroende på att myndigheterna tagit större hänsyn till markägarnas krav.</w:t>
      </w:r>
    </w:p>
    <w:p w:rsidR="00613CFF" w:rsidRPr="00587968" w:rsidRDefault="00613CFF">
      <w:pPr>
        <w:pStyle w:val="Normaltindrag"/>
      </w:pPr>
      <w:r w:rsidRPr="00587968">
        <w:t>Mot den angivna bak</w:t>
      </w:r>
      <w:r w:rsidRPr="00587968">
        <w:t>grunden är det väsentligt att omarronderingen kan e</w:t>
      </w:r>
      <w:r w:rsidRPr="00587968">
        <w:t>r</w:t>
      </w:r>
      <w:r w:rsidRPr="00587968">
        <w:t>hålla stöd från samhällets sida. Det är väsentligt att det utformas så att til</w:t>
      </w:r>
      <w:r w:rsidRPr="00587968">
        <w:t>l</w:t>
      </w:r>
      <w:r w:rsidRPr="00587968">
        <w:t>gängliga EU-medel kan utnyttjas. För det fall att regeringen inte visar någon handlingskraft i frågan avser vi att i lämpligt sammanhang åter lägga den på riksdagens bord.</w:t>
      </w:r>
    </w:p>
    <w:p w:rsidR="00613CFF" w:rsidRPr="00587968" w:rsidRDefault="00613CFF">
      <w:pPr>
        <w:pStyle w:val="Normaltindrag"/>
        <w:sectPr w:rsidR="00000000" w:rsidRPr="00587968">
          <w:headerReference w:type="default" r:id="rId9"/>
          <w:footerReference w:type="default" r:id="rId10"/>
          <w:pgSz w:w="11906" w:h="16838" w:code="9"/>
          <w:pgMar w:top="567" w:right="4876" w:bottom="4508" w:left="1134" w:header="227" w:footer="227" w:gutter="0"/>
          <w:cols w:space="720"/>
        </w:sectPr>
      </w:pPr>
    </w:p>
    <w:p w:rsidR="00613CFF" w:rsidRPr="00587968" w:rsidRDefault="00613CFF">
      <w:pPr>
        <w:pStyle w:val="Innehll"/>
        <w:outlineLvl w:val="1"/>
      </w:pPr>
      <w:r w:rsidRPr="00587968">
        <w:t>Innehållsförteckning</w:t>
      </w:r>
    </w:p>
    <w:p w:rsidR="00613CFF" w:rsidRPr="00587968" w:rsidRDefault="00613CFF">
      <w:pPr>
        <w:pStyle w:val="Innehll1"/>
        <w:rPr>
          <w:noProof/>
        </w:rPr>
      </w:pPr>
      <w:r w:rsidRPr="00587968">
        <w:rPr>
          <w:noProof/>
        </w:rPr>
        <w:t>Sammanfattning</w:t>
      </w:r>
      <w:r w:rsidRPr="00587968">
        <w:rPr>
          <w:noProof/>
        </w:rPr>
        <w:tab/>
        <w:t>1</w:t>
      </w:r>
    </w:p>
    <w:p w:rsidR="00613CFF" w:rsidRPr="00587968" w:rsidRDefault="00613CFF">
      <w:pPr>
        <w:pStyle w:val="Innehll1"/>
        <w:rPr>
          <w:noProof/>
        </w:rPr>
      </w:pPr>
      <w:r w:rsidRPr="00587968">
        <w:rPr>
          <w:noProof/>
        </w:rPr>
        <w:t>Motionerna</w:t>
      </w:r>
      <w:r w:rsidRPr="00587968">
        <w:rPr>
          <w:noProof/>
        </w:rPr>
        <w:tab/>
        <w:t>1</w:t>
      </w:r>
    </w:p>
    <w:p w:rsidR="00613CFF" w:rsidRPr="00587968" w:rsidRDefault="00613CFF">
      <w:pPr>
        <w:pStyle w:val="Innehll1"/>
        <w:rPr>
          <w:noProof/>
        </w:rPr>
      </w:pPr>
      <w:r w:rsidRPr="00587968">
        <w:rPr>
          <w:noProof/>
        </w:rPr>
        <w:t>Utskottet</w:t>
      </w:r>
      <w:r w:rsidRPr="00587968">
        <w:rPr>
          <w:noProof/>
        </w:rPr>
        <w:tab/>
        <w:t>3</w:t>
      </w:r>
    </w:p>
    <w:p w:rsidR="00613CFF" w:rsidRPr="00587968" w:rsidRDefault="00613CFF">
      <w:pPr>
        <w:pStyle w:val="Innehll3"/>
        <w:rPr>
          <w:noProof/>
        </w:rPr>
      </w:pPr>
      <w:r w:rsidRPr="00587968">
        <w:rPr>
          <w:noProof/>
        </w:rPr>
        <w:t>Fastighetsförvärv</w:t>
      </w:r>
      <w:r w:rsidRPr="00587968">
        <w:rPr>
          <w:noProof/>
        </w:rPr>
        <w:tab/>
        <w:t>3</w:t>
      </w:r>
    </w:p>
    <w:p w:rsidR="00613CFF" w:rsidRPr="00587968" w:rsidRDefault="00613CFF">
      <w:pPr>
        <w:pStyle w:val="Innehll4"/>
        <w:rPr>
          <w:noProof/>
        </w:rPr>
      </w:pPr>
      <w:r w:rsidRPr="00587968">
        <w:rPr>
          <w:noProof/>
        </w:rPr>
        <w:t>Jordförvärvslagen</w:t>
      </w:r>
      <w:r w:rsidRPr="00587968">
        <w:rPr>
          <w:noProof/>
        </w:rPr>
        <w:tab/>
        <w:t>3</w:t>
      </w:r>
    </w:p>
    <w:p w:rsidR="00613CFF" w:rsidRPr="00587968" w:rsidRDefault="00613CFF">
      <w:pPr>
        <w:pStyle w:val="Innehll4"/>
        <w:rPr>
          <w:noProof/>
        </w:rPr>
      </w:pPr>
      <w:r w:rsidRPr="00587968">
        <w:rPr>
          <w:noProof/>
        </w:rPr>
        <w:t>Förvärv av permanenthus för fritidsändamål</w:t>
      </w:r>
      <w:r w:rsidRPr="00587968">
        <w:rPr>
          <w:noProof/>
        </w:rPr>
        <w:tab/>
        <w:t>5</w:t>
      </w:r>
    </w:p>
    <w:p w:rsidR="00613CFF" w:rsidRPr="00587968" w:rsidRDefault="00613CFF">
      <w:pPr>
        <w:pStyle w:val="Innehll4"/>
        <w:rPr>
          <w:noProof/>
        </w:rPr>
      </w:pPr>
      <w:r w:rsidRPr="00587968">
        <w:rPr>
          <w:noProof/>
        </w:rPr>
        <w:t>S.k. herrelösa hus</w:t>
      </w:r>
      <w:r w:rsidRPr="00587968">
        <w:rPr>
          <w:noProof/>
        </w:rPr>
        <w:tab/>
        <w:t>6</w:t>
      </w:r>
    </w:p>
    <w:p w:rsidR="00613CFF" w:rsidRPr="00587968" w:rsidRDefault="00613CFF">
      <w:pPr>
        <w:pStyle w:val="Innehll3"/>
        <w:rPr>
          <w:noProof/>
        </w:rPr>
      </w:pPr>
      <w:r w:rsidRPr="00587968">
        <w:rPr>
          <w:noProof/>
        </w:rPr>
        <w:t>Fastighetsbildning</w:t>
      </w:r>
      <w:r w:rsidRPr="00587968">
        <w:rPr>
          <w:noProof/>
        </w:rPr>
        <w:tab/>
        <w:t>7</w:t>
      </w:r>
    </w:p>
    <w:p w:rsidR="00613CFF" w:rsidRPr="00587968" w:rsidRDefault="00613CFF">
      <w:pPr>
        <w:pStyle w:val="Innehll4"/>
        <w:rPr>
          <w:noProof/>
        </w:rPr>
      </w:pPr>
      <w:r w:rsidRPr="00587968">
        <w:rPr>
          <w:noProof/>
        </w:rPr>
        <w:t>Tredimensionell fastighetsbildning</w:t>
      </w:r>
      <w:r w:rsidRPr="00587968">
        <w:rPr>
          <w:noProof/>
        </w:rPr>
        <w:tab/>
        <w:t>7</w:t>
      </w:r>
    </w:p>
    <w:p w:rsidR="00613CFF" w:rsidRPr="00587968" w:rsidRDefault="00613CFF">
      <w:pPr>
        <w:pStyle w:val="Innehll4"/>
        <w:rPr>
          <w:noProof/>
        </w:rPr>
      </w:pPr>
      <w:r w:rsidRPr="00587968">
        <w:rPr>
          <w:noProof/>
        </w:rPr>
        <w:t>Omarrondering</w:t>
      </w:r>
      <w:r w:rsidRPr="00587968">
        <w:rPr>
          <w:noProof/>
        </w:rPr>
        <w:tab/>
        <w:t>7</w:t>
      </w:r>
    </w:p>
    <w:p w:rsidR="00613CFF" w:rsidRPr="00587968" w:rsidRDefault="00613CFF">
      <w:pPr>
        <w:pStyle w:val="Innehll4"/>
        <w:rPr>
          <w:noProof/>
        </w:rPr>
      </w:pPr>
      <w:r w:rsidRPr="00587968">
        <w:rPr>
          <w:noProof/>
        </w:rPr>
        <w:t>Ortnamn</w:t>
      </w:r>
      <w:r w:rsidRPr="00587968">
        <w:rPr>
          <w:noProof/>
        </w:rPr>
        <w:tab/>
        <w:t>8</w:t>
      </w:r>
    </w:p>
    <w:p w:rsidR="00613CFF" w:rsidRPr="00587968" w:rsidRDefault="00613CFF">
      <w:pPr>
        <w:pStyle w:val="Innehll3"/>
        <w:rPr>
          <w:noProof/>
        </w:rPr>
      </w:pPr>
      <w:r w:rsidRPr="00587968">
        <w:rPr>
          <w:noProof/>
        </w:rPr>
        <w:t>Tomträtt</w:t>
      </w:r>
      <w:r w:rsidRPr="00587968">
        <w:rPr>
          <w:noProof/>
        </w:rPr>
        <w:tab/>
        <w:t>10</w:t>
      </w:r>
    </w:p>
    <w:p w:rsidR="00613CFF" w:rsidRPr="00587968" w:rsidRDefault="00613CFF">
      <w:pPr>
        <w:pStyle w:val="Innehll3"/>
        <w:rPr>
          <w:noProof/>
        </w:rPr>
      </w:pPr>
      <w:r w:rsidRPr="00587968">
        <w:rPr>
          <w:noProof/>
        </w:rPr>
        <w:t>Kommunala förköp</w:t>
      </w:r>
      <w:r w:rsidRPr="00587968">
        <w:rPr>
          <w:noProof/>
        </w:rPr>
        <w:tab/>
        <w:t>10</w:t>
      </w:r>
    </w:p>
    <w:p w:rsidR="00613CFF" w:rsidRPr="00587968" w:rsidRDefault="00613CFF">
      <w:pPr>
        <w:pStyle w:val="Innehll3"/>
        <w:rPr>
          <w:noProof/>
        </w:rPr>
      </w:pPr>
      <w:r w:rsidRPr="00587968">
        <w:rPr>
          <w:noProof/>
        </w:rPr>
        <w:t>Expropriation</w:t>
      </w:r>
      <w:r w:rsidRPr="00587968">
        <w:rPr>
          <w:noProof/>
        </w:rPr>
        <w:tab/>
        <w:t>11</w:t>
      </w:r>
    </w:p>
    <w:p w:rsidR="00613CFF" w:rsidRPr="00587968" w:rsidRDefault="00613CFF">
      <w:pPr>
        <w:pStyle w:val="Innehll2"/>
        <w:rPr>
          <w:noProof/>
        </w:rPr>
      </w:pPr>
      <w:r w:rsidRPr="00587968">
        <w:rPr>
          <w:noProof/>
        </w:rPr>
        <w:t>Hemställan</w:t>
      </w:r>
      <w:r w:rsidRPr="00587968">
        <w:rPr>
          <w:noProof/>
        </w:rPr>
        <w:tab/>
        <w:t>12</w:t>
      </w:r>
    </w:p>
    <w:p w:rsidR="00613CFF" w:rsidRPr="00587968" w:rsidRDefault="00613CFF">
      <w:pPr>
        <w:pStyle w:val="Innehll1"/>
        <w:rPr>
          <w:noProof/>
        </w:rPr>
      </w:pPr>
      <w:r w:rsidRPr="00587968">
        <w:rPr>
          <w:noProof/>
        </w:rPr>
        <w:t>Reservationer</w:t>
      </w:r>
      <w:r w:rsidRPr="00587968">
        <w:rPr>
          <w:noProof/>
        </w:rPr>
        <w:tab/>
        <w:t>14</w:t>
      </w:r>
    </w:p>
    <w:p w:rsidR="00613CFF" w:rsidRPr="00587968" w:rsidRDefault="00613CFF">
      <w:pPr>
        <w:pStyle w:val="Innehll2"/>
        <w:rPr>
          <w:noProof/>
        </w:rPr>
      </w:pPr>
      <w:r w:rsidRPr="00587968">
        <w:rPr>
          <w:noProof/>
        </w:rPr>
        <w:t>1. Jordförvärvslagen (mom. 1) (kd, c, fp, mp)</w:t>
      </w:r>
      <w:r w:rsidRPr="00587968">
        <w:rPr>
          <w:noProof/>
        </w:rPr>
        <w:tab/>
        <w:t>14</w:t>
      </w:r>
    </w:p>
    <w:p w:rsidR="00613CFF" w:rsidRPr="00587968" w:rsidRDefault="00613CFF">
      <w:pPr>
        <w:pStyle w:val="Innehll2"/>
        <w:rPr>
          <w:noProof/>
        </w:rPr>
      </w:pPr>
      <w:r w:rsidRPr="00587968">
        <w:rPr>
          <w:noProof/>
        </w:rPr>
        <w:t>2. Tredimensionell fastighetsbildning (mom. 4) (m, kd, c, fp)</w:t>
      </w:r>
      <w:r w:rsidRPr="00587968">
        <w:rPr>
          <w:noProof/>
        </w:rPr>
        <w:tab/>
        <w:t>15</w:t>
      </w:r>
    </w:p>
    <w:p w:rsidR="00613CFF" w:rsidRPr="00587968" w:rsidRDefault="00613CFF">
      <w:pPr>
        <w:pStyle w:val="Innehll2"/>
        <w:rPr>
          <w:noProof/>
        </w:rPr>
      </w:pPr>
      <w:r w:rsidRPr="00587968">
        <w:rPr>
          <w:noProof/>
        </w:rPr>
        <w:t>3. Ortnamnsskydd i fastighetsbildningslagen (mom. 6) (c)</w:t>
      </w:r>
      <w:r w:rsidRPr="00587968">
        <w:rPr>
          <w:noProof/>
        </w:rPr>
        <w:tab/>
        <w:t>15</w:t>
      </w:r>
    </w:p>
    <w:p w:rsidR="00613CFF" w:rsidRPr="00587968" w:rsidRDefault="00613CFF">
      <w:pPr>
        <w:pStyle w:val="Innehll2"/>
        <w:rPr>
          <w:noProof/>
        </w:rPr>
      </w:pPr>
      <w:r w:rsidRPr="00587968">
        <w:rPr>
          <w:noProof/>
        </w:rPr>
        <w:t>4. Avskaffande av tomträttsinstitutet (mom. 7) (m, kd, c, fp)</w:t>
      </w:r>
      <w:r w:rsidRPr="00587968">
        <w:rPr>
          <w:noProof/>
        </w:rPr>
        <w:tab/>
        <w:t>16</w:t>
      </w:r>
    </w:p>
    <w:p w:rsidR="00613CFF" w:rsidRPr="00587968" w:rsidRDefault="00613CFF">
      <w:pPr>
        <w:pStyle w:val="Innehll2"/>
        <w:rPr>
          <w:noProof/>
        </w:rPr>
      </w:pPr>
      <w:r w:rsidRPr="00587968">
        <w:rPr>
          <w:noProof/>
        </w:rPr>
        <w:t>5. Avskaffande av den kommunala förköpsrätten (mom. 8) (m)</w:t>
      </w:r>
      <w:r w:rsidRPr="00587968">
        <w:rPr>
          <w:noProof/>
        </w:rPr>
        <w:tab/>
        <w:t>17</w:t>
      </w:r>
    </w:p>
    <w:p w:rsidR="00613CFF" w:rsidRPr="00587968" w:rsidRDefault="00613CFF">
      <w:pPr>
        <w:pStyle w:val="Innehll2"/>
        <w:rPr>
          <w:noProof/>
        </w:rPr>
      </w:pPr>
      <w:r w:rsidRPr="00587968">
        <w:rPr>
          <w:noProof/>
        </w:rPr>
        <w:t>6. Expropriationsändamålen (mom. 9) (m)</w:t>
      </w:r>
      <w:r w:rsidRPr="00587968">
        <w:rPr>
          <w:noProof/>
        </w:rPr>
        <w:tab/>
        <w:t>18</w:t>
      </w:r>
    </w:p>
    <w:p w:rsidR="00613CFF" w:rsidRPr="00587968" w:rsidRDefault="00613CFF">
      <w:pPr>
        <w:pStyle w:val="Innehll2"/>
        <w:rPr>
          <w:noProof/>
        </w:rPr>
      </w:pPr>
      <w:r w:rsidRPr="00587968">
        <w:rPr>
          <w:noProof/>
        </w:rPr>
        <w:t>7. Expropriationslagens ersättningsregler (mom. 10) (m)</w:t>
      </w:r>
      <w:r w:rsidRPr="00587968">
        <w:rPr>
          <w:noProof/>
        </w:rPr>
        <w:tab/>
        <w:t>19</w:t>
      </w:r>
    </w:p>
    <w:p w:rsidR="00613CFF" w:rsidRPr="00587968" w:rsidRDefault="00613CFF">
      <w:pPr>
        <w:pStyle w:val="Innehll1"/>
        <w:rPr>
          <w:noProof/>
        </w:rPr>
      </w:pPr>
      <w:r w:rsidRPr="00587968">
        <w:rPr>
          <w:noProof/>
        </w:rPr>
        <w:t>Särskilda yttranden</w:t>
      </w:r>
      <w:r w:rsidRPr="00587968">
        <w:rPr>
          <w:noProof/>
        </w:rPr>
        <w:tab/>
        <w:t>20</w:t>
      </w:r>
    </w:p>
    <w:p w:rsidR="00613CFF" w:rsidRPr="00587968" w:rsidRDefault="00613CFF">
      <w:pPr>
        <w:pStyle w:val="Innehll2"/>
        <w:rPr>
          <w:noProof/>
        </w:rPr>
      </w:pPr>
      <w:r w:rsidRPr="00587968">
        <w:rPr>
          <w:noProof/>
        </w:rPr>
        <w:t>1. Juridiska personers förvärv enligt jordförvärvslagen (m)</w:t>
      </w:r>
      <w:r w:rsidRPr="00587968">
        <w:rPr>
          <w:noProof/>
        </w:rPr>
        <w:tab/>
        <w:t>20</w:t>
      </w:r>
    </w:p>
    <w:p w:rsidR="00613CFF" w:rsidRPr="00587968" w:rsidRDefault="00613CFF">
      <w:pPr>
        <w:pStyle w:val="Innehll2"/>
        <w:rPr>
          <w:noProof/>
        </w:rPr>
      </w:pPr>
      <w:r w:rsidRPr="00587968">
        <w:rPr>
          <w:noProof/>
        </w:rPr>
        <w:t>2. Förvärv av permanentbostäder för fritidsändamål (m)</w:t>
      </w:r>
      <w:r w:rsidRPr="00587968">
        <w:rPr>
          <w:noProof/>
        </w:rPr>
        <w:tab/>
        <w:t>20</w:t>
      </w:r>
    </w:p>
    <w:p w:rsidR="00613CFF" w:rsidRPr="00587968" w:rsidRDefault="00613CFF">
      <w:pPr>
        <w:pStyle w:val="Innehll2"/>
        <w:rPr>
          <w:noProof/>
        </w:rPr>
      </w:pPr>
      <w:r w:rsidRPr="00587968">
        <w:rPr>
          <w:noProof/>
        </w:rPr>
        <w:t>3. Förvärv av permanentbostäder för fritidsändamål (kd)</w:t>
      </w:r>
      <w:r w:rsidRPr="00587968">
        <w:rPr>
          <w:noProof/>
        </w:rPr>
        <w:tab/>
        <w:t>21</w:t>
      </w:r>
    </w:p>
    <w:p w:rsidR="00613CFF" w:rsidRPr="00587968" w:rsidRDefault="00613CFF">
      <w:pPr>
        <w:pStyle w:val="Innehll2"/>
        <w:rPr>
          <w:noProof/>
        </w:rPr>
      </w:pPr>
      <w:r w:rsidRPr="00587968">
        <w:rPr>
          <w:noProof/>
        </w:rPr>
        <w:t>4. Omarrondering (kd)</w:t>
      </w:r>
      <w:r w:rsidRPr="00587968">
        <w:rPr>
          <w:noProof/>
        </w:rPr>
        <w:tab/>
        <w:t>21</w:t>
      </w:r>
    </w:p>
    <w:p w:rsidR="00613CFF" w:rsidRPr="00587968" w:rsidRDefault="00613CFF"/>
    <w:p w:rsidR="00613CFF" w:rsidRPr="00587968" w:rsidRDefault="00613CFF">
      <w:pPr>
        <w:pStyle w:val="Tryckort"/>
        <w:framePr w:wrap="around"/>
      </w:pPr>
      <w:r w:rsidRPr="00587968">
        <w:t>Elanders Gotab, Stockholm  2000</w:t>
      </w:r>
    </w:p>
    <w:p w:rsidR="00613CFF" w:rsidRPr="00587968" w:rsidRDefault="00613CFF">
      <w:pPr>
        <w:pStyle w:val="Normaltindrag"/>
      </w:pPr>
    </w:p>
    <w:sectPr w:rsidR="00613CFF" w:rsidRPr="00587968">
      <w:headerReference w:type="default" r:id="rId11"/>
      <w:footerReference w:type="default" r:id="rId12"/>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13CFF" w:rsidRDefault="00613CFF">
      <w:pPr>
        <w:spacing w:before="0" w:line="240" w:lineRule="auto"/>
      </w:pPr>
      <w:r>
        <w:separator/>
      </w:r>
    </w:p>
  </w:endnote>
  <w:endnote w:type="continuationSeparator" w:id="0">
    <w:p w:rsidR="00613CFF" w:rsidRDefault="00613CF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FF" w:rsidRDefault="00613CFF">
    <w:pPr>
      <w:pStyle w:val="SidfotH"/>
      <w:framePr w:wrap="around"/>
    </w:pPr>
    <w:r>
      <w:fldChar w:fldCharType="begin" w:fldLock="1"/>
    </w:r>
    <w:r>
      <w:instrText xml:space="preserve"> P</w:instrText>
    </w:r>
    <w:r>
      <w:instrText>A</w:instrText>
    </w:r>
    <w:r>
      <w:instrText xml:space="preserve">GE </w:instrText>
    </w:r>
    <w:r>
      <w:fldChar w:fldCharType="separate"/>
    </w:r>
    <w:r>
      <w:rPr>
        <w:noProof/>
      </w:rPr>
      <w:t>1</w:t>
    </w:r>
    <w:r>
      <w:fldChar w:fldCharType="end"/>
    </w:r>
  </w:p>
  <w:p w:rsidR="00613CFF" w:rsidRDefault="00613CFF">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FF" w:rsidRDefault="00613CFF">
    <w:pPr>
      <w:pStyle w:val="SidfotH"/>
      <w:framePr w:wrap="around"/>
    </w:pPr>
    <w:r>
      <w:fldChar w:fldCharType="begin" w:fldLock="1"/>
    </w:r>
    <w:r>
      <w:instrText xml:space="preserve"> P</w:instrText>
    </w:r>
    <w:r>
      <w:instrText>A</w:instrText>
    </w:r>
    <w:r>
      <w:instrText xml:space="preserve">GE </w:instrText>
    </w:r>
    <w:r>
      <w:fldChar w:fldCharType="separate"/>
    </w:r>
    <w:r>
      <w:rPr>
        <w:noProof/>
      </w:rPr>
      <w:t>22</w:t>
    </w:r>
    <w:r>
      <w:fldChar w:fldCharType="end"/>
    </w:r>
  </w:p>
  <w:p w:rsidR="00613CFF" w:rsidRDefault="00613CF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13CFF" w:rsidRDefault="00613CFF">
      <w:pPr>
        <w:pStyle w:val="Sidfot"/>
      </w:pPr>
    </w:p>
  </w:footnote>
  <w:footnote w:type="continuationSeparator" w:id="0">
    <w:p w:rsidR="00613CFF" w:rsidRDefault="00613CF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FF" w:rsidRDefault="00613CFF">
    <w:pPr>
      <w:pStyle w:val="SidhuvudKant"/>
      <w:framePr w:w="1758" w:h="2744" w:hRule="exact" w:wrap="around" w:vAnchor="page" w:hAnchor="page" w:x="7372" w:y="568" w:anchorLock="0"/>
      <w:rPr>
        <w:noProof/>
      </w:rPr>
    </w:pPr>
    <w:r>
      <w:rPr>
        <w:noProof/>
      </w:rPr>
      <w:t>1999/2000:BoU6</w:t>
    </w:r>
  </w:p>
  <w:p w:rsidR="00613CFF" w:rsidRDefault="00613CFF">
    <w:pPr>
      <w:pStyle w:val="SidhuvudKantBilaga"/>
      <w:framePr w:w="1758" w:h="2744" w:hRule="exact" w:wrap="around" w:vAnchor="page" w:hAnchor="page" w:x="7372" w:y="568" w:anchorLock="0"/>
      <w:rPr>
        <w:noProof/>
      </w:rPr>
    </w:pPr>
  </w:p>
  <w:p w:rsidR="00613CFF" w:rsidRDefault="00613CFF">
    <w:pPr>
      <w:pStyle w:val="SidhuvudKant"/>
      <w:framePr w:w="1758" w:h="2744" w:hRule="exact" w:wrap="around" w:vAnchor="page" w:hAnchor="page" w:x="7372" w:y="568" w:anchorLock="0"/>
    </w:pPr>
  </w:p>
  <w:p w:rsidR="00613CFF" w:rsidRDefault="00613CFF">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13CFF" w:rsidRDefault="00613CFF">
    <w:pPr>
      <w:pStyle w:val="SidhuvudKant"/>
      <w:framePr w:w="1758" w:h="2744" w:hRule="exact" w:wrap="around" w:vAnchor="page" w:hAnchor="page" w:x="7372" w:y="568" w:anchorLock="0"/>
      <w:rPr>
        <w:noProof/>
      </w:rPr>
    </w:pPr>
    <w:r>
      <w:rPr>
        <w:noProof/>
      </w:rPr>
      <w:t>1999/2000:BoU6</w:t>
    </w:r>
  </w:p>
  <w:p w:rsidR="00613CFF" w:rsidRDefault="00613CFF">
    <w:pPr>
      <w:pStyle w:val="SidhuvudKantBilaga"/>
      <w:framePr w:w="1758" w:h="2744" w:hRule="exact" w:wrap="around" w:vAnchor="page" w:hAnchor="page" w:x="7372" w:y="568" w:anchorLock="0"/>
      <w:rPr>
        <w:noProof/>
      </w:rPr>
    </w:pPr>
  </w:p>
  <w:p w:rsidR="00613CFF" w:rsidRDefault="00613CFF">
    <w:pPr>
      <w:pStyle w:val="SidhuvudKant"/>
      <w:framePr w:w="1758" w:h="2744" w:hRule="exact" w:wrap="around" w:vAnchor="page" w:hAnchor="page" w:x="7372" w:y="568" w:anchorLock="0"/>
    </w:pPr>
  </w:p>
  <w:p w:rsidR="00613CFF" w:rsidRDefault="00613CFF">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900"/>
  </w:docVars>
  <w:rsids>
    <w:rsidRoot w:val="007B3CDD"/>
    <w:rsid w:val="00587968"/>
    <w:rsid w:val="00613CFF"/>
    <w:rsid w:val="007B3CD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571A2AA-2D9E-4DA4-A6E7-D8D7A1800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Brdtext2">
    <w:name w:val="Body Text 2"/>
    <w:basedOn w:val="Normal"/>
    <w:semiHidden/>
    <w:pPr>
      <w:spacing w:before="0" w:line="240" w:lineRule="auto"/>
    </w:pPr>
    <w:rPr>
      <w:sz w:val="18"/>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8175</Words>
  <Characters>51671</Characters>
  <Application>Microsoft Office Word</Application>
  <DocSecurity>4</DocSecurity>
  <Lines>956</Lines>
  <Paragraphs>282</Paragraphs>
  <ScaleCrop>false</ScaleCrop>
  <HeadingPairs>
    <vt:vector size="4" baseType="variant">
      <vt:variant>
        <vt:lpstr>Title</vt:lpstr>
      </vt:variant>
      <vt:variant>
        <vt:i4>1</vt:i4>
      </vt:variant>
      <vt:variant>
        <vt:lpstr>Rubriker</vt:lpstr>
      </vt:variant>
      <vt:variant>
        <vt:i4>23</vt:i4>
      </vt:variant>
    </vt:vector>
  </HeadingPairs>
  <TitlesOfParts>
    <vt:vector size="24" baseType="lpstr">
      <vt:lpstr>Bostadsutskottets betänkande</vt:lpstr>
      <vt:lpstr>Sammanfattning</vt:lpstr>
      <vt:lpstr>Motionerna</vt:lpstr>
      <vt:lpstr>Utskottet</vt:lpstr>
      <vt:lpstr>        Fastighetsförvärv </vt:lpstr>
      <vt:lpstr>        Fastighetsbildning</vt:lpstr>
      <vt:lpstr>        Tomträtt </vt:lpstr>
      <vt:lpstr>        Kommunala förköp</vt:lpstr>
      <vt:lpstr>        Expropriation</vt:lpstr>
      <vt:lpstr>    Hemställan </vt:lpstr>
      <vt:lpstr>Reservationer</vt:lpstr>
      <vt:lpstr>    1. Jordförvärvslagen (mom. 1)</vt:lpstr>
      <vt:lpstr>    2. Tredimensionell fastighetsbildning (mom. 4)</vt:lpstr>
      <vt:lpstr>    3. Ortnamnsskydd i fastighetsbildningslagen (mom. 6)</vt:lpstr>
      <vt:lpstr>    4. Avskaffande av tomträttsinstitutet (mom. 7)</vt:lpstr>
      <vt:lpstr>    5. Avskaffande av den kommunala förköpsrätten (mom. 8)</vt:lpstr>
      <vt:lpstr>    6. Expropriationsändamålen (mom. 9)</vt:lpstr>
      <vt:lpstr>    7. Expropriationslagens ersättningsregler (mom. 10)</vt:lpstr>
      <vt:lpstr>Särskilda yttranden</vt:lpstr>
      <vt:lpstr>    1. Juridiska personers förvärv enligt jordförvärvslagen</vt:lpstr>
      <vt:lpstr>    2. Förvärv av permanentbostäder för fritidsändamål</vt:lpstr>
      <vt:lpstr>    3. Förvärv av permanentbostäder för fritidsändamål</vt:lpstr>
      <vt:lpstr>    4. Omarrondering</vt:lpstr>
      <vt:lpstr>    Innehållsförteckning</vt:lpstr>
    </vt:vector>
  </TitlesOfParts>
  <Company>Riksdagen</Company>
  <LinksUpToDate>false</LinksUpToDate>
  <CharactersWithSpaces>59564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dc:title>
  <dc:subject>Bostadsutskottets betänkande</dc:subject>
  <dc:creator>Riksdagen</dc:creator>
  <cp:keywords>Riksdagen</cp:keywords>
  <cp:lastModifiedBy>Lars Brink</cp:lastModifiedBy>
  <cp:revision>2</cp:revision>
  <cp:lastPrinted>2000-03-01T12:05:00Z</cp:lastPrinted>
  <dcterms:created xsi:type="dcterms:W3CDTF">2025-12-15T21:02:00Z</dcterms:created>
  <dcterms:modified xsi:type="dcterms:W3CDTF">2025-12-15T21:02:00Z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vt:lpwstr>
  </property>
  <property fmtid="{D5CDD505-2E9C-101B-9397-08002B2CF9AE}" pid="3" name="Utskott">
    <vt:lpwstr>BoU</vt:lpwstr>
  </property>
  <property fmtid="{D5CDD505-2E9C-101B-9397-08002B2CF9AE}" pid="4" name="BetänkandeÅr">
    <vt:lpwstr>1999/2000</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