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16A24" w14:textId="77777777" w:rsidR="00FB32B9" w:rsidRDefault="00FC593E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7E616A25" w14:textId="77777777" w:rsidR="00FB32B9" w:rsidRDefault="00FC593E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7E616A26" w14:textId="77777777" w:rsidR="00FB32B9" w:rsidRDefault="00FC593E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7E616A27" w14:textId="77777777" w:rsidR="00FB32B9" w:rsidRDefault="00FC593E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7E616A28" w14:textId="20DAD492" w:rsidR="00FB32B9" w:rsidRDefault="000D3BFF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  <w:r>
        <w:rPr>
          <w:rFonts w:cs="Arial"/>
          <w:sz w:val="28"/>
        </w:rPr>
        <w:t xml:space="preserve">Troliga A-punkter inför kommande rådsmöten som förväntas godkännas vid Coreper II vecka </w:t>
      </w:r>
      <w:r w:rsidR="003510B9">
        <w:rPr>
          <w:rFonts w:cs="Arial"/>
          <w:sz w:val="28"/>
        </w:rPr>
        <w:t>7.</w:t>
      </w:r>
    </w:p>
    <w:p w14:paraId="7E616A29" w14:textId="77777777" w:rsidR="00FB32B9" w:rsidRDefault="00FC593E" w:rsidP="00FB32B9">
      <w:pPr>
        <w:pStyle w:val="Brdtext"/>
      </w:pPr>
    </w:p>
    <w:p w14:paraId="7E616A2A" w14:textId="1BF8C484" w:rsidR="00FB32B9" w:rsidRDefault="000D3BFF" w:rsidP="00FB32B9">
      <w:pPr>
        <w:pStyle w:val="Brdtext"/>
      </w:pPr>
      <w:r>
        <w:t xml:space="preserve">Överlämnas för skriftligt samråd till </w:t>
      </w:r>
      <w:r w:rsidR="003510B9">
        <w:t xml:space="preserve">fredagen den 13 februari 2015, </w:t>
      </w:r>
      <w:r w:rsidR="006E0C6A">
        <w:t>kl.</w:t>
      </w:r>
      <w:r w:rsidR="003510B9">
        <w:t xml:space="preserve"> 14.00.</w:t>
      </w:r>
    </w:p>
    <w:p w14:paraId="7E616A2B" w14:textId="77777777" w:rsidR="00FB32B9" w:rsidRDefault="000D3BFF">
      <w:pPr>
        <w:ind w:left="0"/>
      </w:pPr>
      <w:r>
        <w:rPr>
          <w:b/>
          <w:bCs/>
        </w:rPr>
        <w:br w:type="page"/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  <w:lang w:val="sv-SE" w:eastAsia="en-US"/>
        </w:rPr>
        <w:id w:val="178098343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E616A2C" w14:textId="77777777" w:rsidR="00D957FB" w:rsidRPr="00FB32B9" w:rsidRDefault="000D3BFF">
          <w:pPr>
            <w:pStyle w:val="Innehllsfrteckningsrubrik"/>
            <w:rPr>
              <w:color w:val="auto"/>
            </w:rPr>
          </w:pPr>
          <w:proofErr w:type="spellStart"/>
          <w:r w:rsidRPr="00FB32B9">
            <w:rPr>
              <w:color w:val="auto"/>
            </w:rPr>
            <w:t>Innehållsförteckning</w:t>
          </w:r>
          <w:proofErr w:type="spellEnd"/>
        </w:p>
        <w:p w14:paraId="7E616A2D" w14:textId="77777777" w:rsidR="00DA7250" w:rsidRPr="00DA7250" w:rsidRDefault="00FC593E" w:rsidP="00DA7250">
          <w:pPr>
            <w:rPr>
              <w:lang w:val="en-US" w:eastAsia="ja-JP"/>
            </w:rPr>
          </w:pPr>
        </w:p>
        <w:bookmarkStart w:id="0" w:name="_GoBack"/>
        <w:bookmarkEnd w:id="0"/>
        <w:p w14:paraId="6F3E1226" w14:textId="77777777" w:rsidR="00FC593E" w:rsidRDefault="000D3BFF">
          <w:pPr>
            <w:pStyle w:val="Innehll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411515998" w:history="1">
            <w:r w:rsidR="00FC593E" w:rsidRPr="00347696">
              <w:rPr>
                <w:rStyle w:val="Hyperlnk"/>
                <w:noProof/>
              </w:rPr>
              <w:t>1.</w:t>
            </w:r>
            <w:r w:rsidR="00FC593E"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="00FC593E" w:rsidRPr="00347696">
              <w:rPr>
                <w:rStyle w:val="Hyperlnk"/>
                <w:noProof/>
              </w:rPr>
              <w:t>Case before the European Union General Court Case T-798/14 (DenizBank A.S v. Council of the European Union)</w:t>
            </w:r>
            <w:r w:rsidR="00FC593E">
              <w:rPr>
                <w:noProof/>
                <w:webHidden/>
              </w:rPr>
              <w:tab/>
            </w:r>
            <w:r w:rsidR="00FC593E">
              <w:rPr>
                <w:noProof/>
                <w:webHidden/>
              </w:rPr>
              <w:fldChar w:fldCharType="begin"/>
            </w:r>
            <w:r w:rsidR="00FC593E">
              <w:rPr>
                <w:noProof/>
                <w:webHidden/>
              </w:rPr>
              <w:instrText xml:space="preserve"> PAGEREF _Toc411515998 \h </w:instrText>
            </w:r>
            <w:r w:rsidR="00FC593E">
              <w:rPr>
                <w:noProof/>
                <w:webHidden/>
              </w:rPr>
            </w:r>
            <w:r w:rsidR="00FC593E">
              <w:rPr>
                <w:noProof/>
                <w:webHidden/>
              </w:rPr>
              <w:fldChar w:fldCharType="separate"/>
            </w:r>
            <w:r w:rsidR="00FC593E">
              <w:rPr>
                <w:noProof/>
                <w:webHidden/>
              </w:rPr>
              <w:t>3</w:t>
            </w:r>
            <w:r w:rsidR="00FC593E">
              <w:rPr>
                <w:noProof/>
                <w:webHidden/>
              </w:rPr>
              <w:fldChar w:fldCharType="end"/>
            </w:r>
          </w:hyperlink>
        </w:p>
        <w:p w14:paraId="3B4B25D4" w14:textId="77777777" w:rsidR="00FC593E" w:rsidRDefault="00FC593E">
          <w:pPr>
            <w:pStyle w:val="Innehll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hyperlink w:anchor="_Toc411515999" w:history="1">
            <w:r w:rsidRPr="00347696">
              <w:rPr>
                <w:rStyle w:val="Hyperl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Pr="00347696">
              <w:rPr>
                <w:rStyle w:val="Hyperlnk"/>
                <w:noProof/>
              </w:rPr>
              <w:t>Transparency - Public access to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_Toc411515999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F710C1" w14:textId="77777777" w:rsidR="00FC593E" w:rsidRDefault="00FC593E">
          <w:pPr>
            <w:pStyle w:val="Innehll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hyperlink w:anchor="_Toc411516000" w:history="1">
            <w:r w:rsidRPr="00347696">
              <w:rPr>
                <w:rStyle w:val="Hyperln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Pr="00347696">
              <w:rPr>
                <w:rStyle w:val="Hyperlnk"/>
                <w:noProof/>
              </w:rPr>
              <w:t>Council decision appointing a German member of the European Economic and Social Committee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_Toc411516000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4A94AE" w14:textId="77777777" w:rsidR="00FC593E" w:rsidRDefault="00FC593E">
          <w:pPr>
            <w:pStyle w:val="Innehll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hyperlink w:anchor="_Toc411516001" w:history="1">
            <w:r w:rsidRPr="00347696">
              <w:rPr>
                <w:rStyle w:val="Hyperlnk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Pr="00347696">
              <w:rPr>
                <w:rStyle w:val="Hyperlnk"/>
                <w:noProof/>
              </w:rPr>
              <w:t>Council Decision appointing three Irish members of the European Economic and Social Committee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_Toc411516001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36A582" w14:textId="77777777" w:rsidR="00FC593E" w:rsidRDefault="00FC593E">
          <w:pPr>
            <w:pStyle w:val="Innehll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hyperlink w:anchor="_Toc411516002" w:history="1">
            <w:r w:rsidRPr="00347696">
              <w:rPr>
                <w:rStyle w:val="Hyperlnk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Pr="00347696">
              <w:rPr>
                <w:rStyle w:val="Hyperlnk"/>
                <w:noProof/>
              </w:rPr>
              <w:t>Council Decision of …… appointing three members of the European Statistical Governance Advisory Board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_Toc411516002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78654F" w14:textId="77777777" w:rsidR="00FC593E" w:rsidRDefault="00FC593E">
          <w:pPr>
            <w:pStyle w:val="Innehll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hyperlink w:anchor="_Toc411516003" w:history="1">
            <w:r w:rsidRPr="00347696">
              <w:rPr>
                <w:rStyle w:val="Hyperlnk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Pr="00347696">
              <w:rPr>
                <w:rStyle w:val="Hyperlnk"/>
                <w:noProof/>
              </w:rPr>
              <w:t>Council Decision of ….. appointing the Chairperson of the European Statistical Governance Advisory Board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_Toc411516003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D375EC" w14:textId="77777777" w:rsidR="00FC593E" w:rsidRDefault="00FC593E">
          <w:pPr>
            <w:pStyle w:val="Innehll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hyperlink w:anchor="_Toc411516004" w:history="1">
            <w:r w:rsidRPr="00347696">
              <w:rPr>
                <w:rStyle w:val="Hyperlnk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Pr="00347696">
              <w:rPr>
                <w:rStyle w:val="Hyperlnk"/>
                <w:noProof/>
              </w:rPr>
              <w:t>Submission of the new draft national design of Luxembourg commemorative 2 euro coin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_Toc411516004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5F99A1" w14:textId="77777777" w:rsidR="00FC593E" w:rsidRDefault="00FC593E">
          <w:pPr>
            <w:pStyle w:val="Innehll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hyperlink w:anchor="_Toc411516005" w:history="1">
            <w:r w:rsidRPr="00347696">
              <w:rPr>
                <w:rStyle w:val="Hyperlnk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Pr="00347696">
              <w:rPr>
                <w:rStyle w:val="Hyperlnk"/>
                <w:noProof/>
              </w:rPr>
              <w:t>Proposal for a Regulation of the European Parliament and of the Council on indices used as benchmarks in financial instruments and financial contracts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_Toc411516005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95867C" w14:textId="77777777" w:rsidR="00FC593E" w:rsidRDefault="00FC593E">
          <w:pPr>
            <w:pStyle w:val="Innehll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hyperlink w:anchor="_Toc411516006" w:history="1">
            <w:r w:rsidRPr="00347696">
              <w:rPr>
                <w:rStyle w:val="Hyperlnk"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Pr="00347696">
              <w:rPr>
                <w:rStyle w:val="Hyperlnk"/>
                <w:noProof/>
              </w:rPr>
              <w:t>Commission delegated Regulation (EU) No …/.. of 30.1.2015 amending Delegated Regulation (EU) No 241/2014 supplementing Regulation (EU) No 575/2013 of the European Parliament and of the Council with regard to regulatory technical standards for Own Funds requirements for institutions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_Toc411516006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552A72" w14:textId="77777777" w:rsidR="00FC593E" w:rsidRDefault="00FC593E">
          <w:pPr>
            <w:pStyle w:val="Innehll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hyperlink w:anchor="_Toc411516007" w:history="1">
            <w:r w:rsidRPr="00347696">
              <w:rPr>
                <w:rStyle w:val="Hyperlnk"/>
                <w:noProof/>
              </w:rPr>
              <w:t>10.</w:t>
            </w:r>
            <w:r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Pr="00347696">
              <w:rPr>
                <w:rStyle w:val="Hyperlnk"/>
                <w:noProof/>
              </w:rPr>
              <w:t>Policy on security awareness and training for the protection of EU classified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_Toc411516007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4A4ABA" w14:textId="77777777" w:rsidR="00FC593E" w:rsidRDefault="00FC593E">
          <w:pPr>
            <w:pStyle w:val="Innehll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hyperlink w:anchor="_Toc411516008" w:history="1">
            <w:r w:rsidRPr="00347696">
              <w:rPr>
                <w:rStyle w:val="Hyperlnk"/>
                <w:noProof/>
              </w:rPr>
              <w:t>11.</w:t>
            </w:r>
            <w:r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Pr="00347696">
              <w:rPr>
                <w:rStyle w:val="Hyperlnk"/>
                <w:noProof/>
              </w:rPr>
              <w:t>Council Decision extending the mandate of the European Union Special Representative for the Horn of Africa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_Toc411516008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21B063" w14:textId="77777777" w:rsidR="00FC593E" w:rsidRDefault="00FC593E">
          <w:pPr>
            <w:pStyle w:val="Innehll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hyperlink w:anchor="_Toc411516009" w:history="1">
            <w:r w:rsidRPr="00347696">
              <w:rPr>
                <w:rStyle w:val="Hyperlnk"/>
                <w:noProof/>
              </w:rPr>
              <w:t>12.</w:t>
            </w:r>
            <w:r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Pr="00347696">
              <w:rPr>
                <w:rStyle w:val="Hyperlnk"/>
                <w:noProof/>
              </w:rPr>
              <w:t>Council Decision extending the mandate of the European Union Special Representative for Human Rights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_Toc411516009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78B8AE" w14:textId="77777777" w:rsidR="00FC593E" w:rsidRDefault="00FC593E">
          <w:pPr>
            <w:pStyle w:val="Innehll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hyperlink w:anchor="_Toc411516010" w:history="1">
            <w:r w:rsidRPr="00347696">
              <w:rPr>
                <w:rStyle w:val="Hyperlnk"/>
                <w:noProof/>
              </w:rPr>
              <w:t>13.</w:t>
            </w:r>
            <w:r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Pr="00347696">
              <w:rPr>
                <w:rStyle w:val="Hyperlnk"/>
                <w:noProof/>
              </w:rPr>
              <w:t>Council Decision extending the mandate of the European Union Special Representative for the Sahel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_Toc411516010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616A3C" w14:textId="77777777" w:rsidR="00D957FB" w:rsidRDefault="000D3BFF">
          <w:r>
            <w:rPr>
              <w:b/>
              <w:bCs/>
              <w:noProof/>
            </w:rPr>
            <w:fldChar w:fldCharType="end"/>
          </w:r>
        </w:p>
      </w:sdtContent>
    </w:sdt>
    <w:p w14:paraId="7E616A3D" w14:textId="77777777" w:rsidR="00D957FB" w:rsidRDefault="000D3BFF">
      <w:pPr>
        <w:ind w:left="0"/>
      </w:pPr>
      <w:r>
        <w:br w:type="page"/>
      </w:r>
    </w:p>
    <w:p w14:paraId="7E616A3E" w14:textId="77777777" w:rsidR="00643D86" w:rsidRDefault="00FC593E" w:rsidP="00643D86">
      <w:pPr>
        <w:pStyle w:val="Rubrik1"/>
        <w:numPr>
          <w:ilvl w:val="0"/>
          <w:numId w:val="0"/>
        </w:numPr>
      </w:pPr>
      <w:bookmarkStart w:id="1" w:name="_Toc364854645"/>
    </w:p>
    <w:p w14:paraId="7E616A3F" w14:textId="77777777" w:rsidR="00643D86" w:rsidRDefault="000D3BFF" w:rsidP="00643D86">
      <w:pPr>
        <w:pStyle w:val="Rubrik1"/>
      </w:pPr>
      <w:bookmarkStart w:id="2" w:name="_Toc411515998"/>
      <w:r>
        <w:rPr>
          <w:noProof/>
        </w:rPr>
        <w:t>Case before the European Union General Court</w:t>
      </w:r>
      <w:r>
        <w:rPr>
          <w:noProof/>
        </w:rPr>
        <w:br/>
        <w:t>Case T-798/14 (DenizBank A.S v. Council of the European Union)</w:t>
      </w:r>
      <w:bookmarkEnd w:id="2"/>
    </w:p>
    <w:p w14:paraId="7E616A40" w14:textId="2A3BFF0D" w:rsidR="00643D86" w:rsidRDefault="000D3BFF" w:rsidP="00643D86">
      <w:pPr>
        <w:rPr>
          <w:lang w:val="en-US"/>
        </w:rPr>
      </w:pPr>
      <w:r>
        <w:rPr>
          <w:noProof/>
          <w:lang w:val="en-US"/>
        </w:rPr>
        <w:t>6016</w:t>
      </w:r>
      <w:r>
        <w:rPr>
          <w:lang w:val="en-US"/>
        </w:rPr>
        <w:t>/15 JUR 100 RELEX 103 PESC 147 COEST 56</w:t>
      </w:r>
    </w:p>
    <w:p w14:paraId="7E616A41" w14:textId="77777777" w:rsidR="00643D86" w:rsidRDefault="000D3BFF" w:rsidP="00643D86">
      <w:r>
        <w:rPr>
          <w:b/>
        </w:rPr>
        <w:t>Ansvarigt statsråd</w:t>
      </w:r>
      <w:r>
        <w:rPr>
          <w:b/>
        </w:rPr>
        <w:br/>
      </w:r>
      <w:r>
        <w:rPr>
          <w:noProof/>
        </w:rPr>
        <w:t>Margot Wallström</w:t>
      </w:r>
    </w:p>
    <w:p w14:paraId="7E616A44" w14:textId="77777777" w:rsidR="00643D86" w:rsidRDefault="000D3BFF" w:rsidP="00643D86">
      <w:r w:rsidRPr="00B44CE2">
        <w:rPr>
          <w:b/>
        </w:rPr>
        <w:t>Annotering</w:t>
      </w:r>
      <w:r>
        <w:rPr>
          <w:b/>
        </w:rPr>
        <w:br/>
      </w:r>
      <w:r>
        <w:rPr>
          <w:b/>
          <w:bCs/>
        </w:rPr>
        <w:t>Avsikt med behandlingen i rådet:</w:t>
      </w:r>
      <w:r>
        <w:t xml:space="preserve"> Information om mål vid tribunalen där rådet har utsett ombud. </w:t>
      </w:r>
    </w:p>
    <w:p w14:paraId="7E616A45" w14:textId="77777777" w:rsidR="005D664D" w:rsidRDefault="000D3BFF">
      <w:pPr>
        <w:spacing w:after="280" w:afterAutospacing="1"/>
      </w:pPr>
      <w:r>
        <w:rPr>
          <w:b/>
          <w:bCs/>
        </w:rPr>
        <w:t>Hur regeringen ställer sig till den blivande A-punkten:</w:t>
      </w:r>
      <w:r>
        <w:t xml:space="preserve"> Regeringen har ingen </w:t>
      </w:r>
      <w:proofErr w:type="gramStart"/>
      <w:r>
        <w:t>erinran</w:t>
      </w:r>
      <w:proofErr w:type="gramEnd"/>
      <w:r>
        <w:t xml:space="preserve"> mot denna informationspunkt. </w:t>
      </w:r>
    </w:p>
    <w:p w14:paraId="7E616A49" w14:textId="27C9B8C7" w:rsidR="00FB32B9" w:rsidRDefault="000D3BFF">
      <w:pPr>
        <w:spacing w:after="280" w:afterAutospacing="1"/>
        <w:rPr>
          <w:noProof/>
        </w:rPr>
      </w:pPr>
      <w:r>
        <w:rPr>
          <w:b/>
          <w:bCs/>
        </w:rPr>
        <w:t xml:space="preserve">Bakgrund: </w:t>
      </w:r>
      <w:r>
        <w:t>Målet rör ogiltigförklaring av vissa bestämmelser i rådets beslut 2014/512/</w:t>
      </w:r>
      <w:proofErr w:type="spellStart"/>
      <w:r>
        <w:t>Gusp</w:t>
      </w:r>
      <w:proofErr w:type="spellEnd"/>
      <w:r>
        <w:t xml:space="preserve"> av den 31 juli 2014, rådets beslut 2014/659/</w:t>
      </w:r>
      <w:proofErr w:type="spellStart"/>
      <w:r>
        <w:t>Gusp</w:t>
      </w:r>
      <w:proofErr w:type="spellEnd"/>
      <w:r>
        <w:t xml:space="preserve"> av den 8 september 2014 och rådets förordning (EU) nr 960/2014 av den 8 september 2014 om restriktiva åtgärder mot bakgrund av Rysslands åtgärder som destabiliserar situationen i Ukraina, i de avseenden dessa berör sökanden.</w:t>
      </w:r>
    </w:p>
    <w:p w14:paraId="3D1585FD" w14:textId="77777777" w:rsidR="003510B9" w:rsidRDefault="000D3BFF" w:rsidP="00643D86">
      <w:pPr>
        <w:pStyle w:val="Rubrik1"/>
      </w:pPr>
      <w:bookmarkStart w:id="3" w:name="_Toc411515999"/>
      <w:r>
        <w:rPr>
          <w:noProof/>
        </w:rPr>
        <w:t>Transparency - Public access to documents</w:t>
      </w:r>
      <w:bookmarkEnd w:id="3"/>
      <w:r w:rsidR="003510B9">
        <w:rPr>
          <w:noProof/>
        </w:rPr>
        <w:t xml:space="preserve"> </w:t>
      </w:r>
    </w:p>
    <w:p w14:paraId="7E616A4B" w14:textId="3AE6EA27" w:rsidR="00643D86" w:rsidRDefault="003510B9" w:rsidP="003510B9">
      <w:r>
        <w:rPr>
          <w:noProof/>
        </w:rPr>
        <w:t xml:space="preserve">- </w:t>
      </w:r>
      <w:r w:rsidR="000D3BFF">
        <w:rPr>
          <w:noProof/>
        </w:rPr>
        <w:t xml:space="preserve">Confirmatory application n° 22/c/01:09 - New reply following the judgment of the </w:t>
      </w:r>
      <w:r>
        <w:rPr>
          <w:noProof/>
        </w:rPr>
        <w:br/>
        <w:t xml:space="preserve">- </w:t>
      </w:r>
      <w:r w:rsidR="000D3BFF">
        <w:rPr>
          <w:noProof/>
        </w:rPr>
        <w:t>Court of Justice in case C-350/12 P</w:t>
      </w:r>
    </w:p>
    <w:p w14:paraId="7E616A4C" w14:textId="7B9EE85E" w:rsidR="00643D86" w:rsidRDefault="000D3BFF" w:rsidP="003510B9">
      <w:pPr>
        <w:rPr>
          <w:lang w:val="en-US"/>
        </w:rPr>
      </w:pPr>
      <w:r>
        <w:rPr>
          <w:noProof/>
          <w:lang w:val="en-US"/>
        </w:rPr>
        <w:t>5675</w:t>
      </w:r>
      <w:r>
        <w:rPr>
          <w:lang w:val="en-US"/>
        </w:rPr>
        <w:t>/15 INF 20 API 18</w:t>
      </w:r>
    </w:p>
    <w:p w14:paraId="7E616A4D" w14:textId="2D180338" w:rsidR="00643D86" w:rsidRDefault="000D3BFF" w:rsidP="00643D86">
      <w:r>
        <w:rPr>
          <w:b/>
        </w:rPr>
        <w:t>Ansvarigt statsråd</w:t>
      </w:r>
      <w:r>
        <w:rPr>
          <w:b/>
        </w:rPr>
        <w:br/>
      </w:r>
      <w:r w:rsidR="00D50EC8">
        <w:t>Morgan Johansson</w:t>
      </w:r>
    </w:p>
    <w:p w14:paraId="7E616A50" w14:textId="77777777" w:rsidR="00643D86" w:rsidRDefault="000D3BFF" w:rsidP="00643D86">
      <w:r w:rsidRPr="00B44CE2">
        <w:rPr>
          <w:b/>
        </w:rPr>
        <w:t>Annotering</w:t>
      </w:r>
      <w:r>
        <w:rPr>
          <w:b/>
        </w:rPr>
        <w:br/>
      </w:r>
      <w:r>
        <w:t>Föranleder ingen annotering.</w:t>
      </w:r>
    </w:p>
    <w:p w14:paraId="7E616A51" w14:textId="77777777" w:rsidR="00643D86" w:rsidRDefault="000D3BFF" w:rsidP="00643D86">
      <w:pPr>
        <w:pStyle w:val="Rubrik1"/>
      </w:pPr>
      <w:bookmarkStart w:id="4" w:name="_Toc411516000"/>
      <w:r>
        <w:rPr>
          <w:noProof/>
        </w:rPr>
        <w:t>Council decision appointing a German member of the European Economic and Social Committee</w:t>
      </w:r>
      <w:bookmarkEnd w:id="4"/>
    </w:p>
    <w:p w14:paraId="7E616A53" w14:textId="442F623B" w:rsidR="00643D86" w:rsidRDefault="000D3BFF" w:rsidP="00643D86">
      <w:pPr>
        <w:rPr>
          <w:lang w:val="en-US"/>
        </w:rPr>
      </w:pPr>
      <w:r>
        <w:rPr>
          <w:noProof/>
          <w:lang w:val="en-US"/>
        </w:rPr>
        <w:t>6006</w:t>
      </w:r>
      <w:r>
        <w:rPr>
          <w:lang w:val="en-US"/>
        </w:rPr>
        <w:t>/15 CES 6</w:t>
      </w:r>
      <w:r w:rsidR="003510B9">
        <w:rPr>
          <w:lang w:val="en-US"/>
        </w:rPr>
        <w:t xml:space="preserve"> </w:t>
      </w:r>
      <w:r>
        <w:rPr>
          <w:lang w:val="en-US"/>
        </w:rPr>
        <w:t>5991/15 CES 5</w:t>
      </w:r>
    </w:p>
    <w:p w14:paraId="7E616A54" w14:textId="77777777" w:rsidR="00643D86" w:rsidRDefault="000D3BFF" w:rsidP="00643D86">
      <w:r>
        <w:rPr>
          <w:b/>
        </w:rPr>
        <w:t>Ansvarigt statsråd</w:t>
      </w:r>
      <w:r>
        <w:rPr>
          <w:b/>
        </w:rPr>
        <w:br/>
      </w:r>
      <w:r>
        <w:rPr>
          <w:noProof/>
        </w:rPr>
        <w:t>Ylva Johansson</w:t>
      </w:r>
    </w:p>
    <w:p w14:paraId="7E616A57" w14:textId="77777777" w:rsidR="00643D86" w:rsidRDefault="000D3BFF" w:rsidP="00643D86">
      <w:r w:rsidRPr="00B44CE2">
        <w:rPr>
          <w:b/>
        </w:rPr>
        <w:t>Annotering</w:t>
      </w:r>
      <w:r>
        <w:rPr>
          <w:b/>
        </w:rPr>
        <w:br/>
      </w:r>
      <w:r>
        <w:t>Föranleder ingen annotering.</w:t>
      </w:r>
    </w:p>
    <w:p w14:paraId="7E616A58" w14:textId="77777777" w:rsidR="00643D86" w:rsidRDefault="000D3BFF" w:rsidP="00643D86">
      <w:pPr>
        <w:pStyle w:val="Rubrik1"/>
      </w:pPr>
      <w:bookmarkStart w:id="5" w:name="_Toc411516001"/>
      <w:r>
        <w:rPr>
          <w:noProof/>
        </w:rPr>
        <w:t>Council Decision appointing three Irish members of the European Economic and Social Committee</w:t>
      </w:r>
      <w:bookmarkEnd w:id="5"/>
    </w:p>
    <w:p w14:paraId="7E616A5A" w14:textId="68026971" w:rsidR="00643D86" w:rsidRDefault="000D3BFF" w:rsidP="00643D86">
      <w:pPr>
        <w:rPr>
          <w:lang w:val="en-US"/>
        </w:rPr>
      </w:pPr>
      <w:r>
        <w:rPr>
          <w:noProof/>
          <w:lang w:val="en-US"/>
        </w:rPr>
        <w:t>6017</w:t>
      </w:r>
      <w:r>
        <w:rPr>
          <w:lang w:val="en-US"/>
        </w:rPr>
        <w:t>/15 CES 8</w:t>
      </w:r>
      <w:r w:rsidR="003510B9">
        <w:rPr>
          <w:lang w:val="en-US"/>
        </w:rPr>
        <w:t xml:space="preserve"> </w:t>
      </w:r>
      <w:r>
        <w:rPr>
          <w:lang w:val="en-US"/>
        </w:rPr>
        <w:t>6013/15 CES 7</w:t>
      </w:r>
    </w:p>
    <w:p w14:paraId="7E616A5B" w14:textId="77777777" w:rsidR="00643D86" w:rsidRDefault="000D3BFF" w:rsidP="00643D86">
      <w:r>
        <w:rPr>
          <w:b/>
        </w:rPr>
        <w:lastRenderedPageBreak/>
        <w:t>Ansvarigt statsråd</w:t>
      </w:r>
      <w:r>
        <w:rPr>
          <w:b/>
        </w:rPr>
        <w:br/>
      </w:r>
      <w:r>
        <w:rPr>
          <w:noProof/>
        </w:rPr>
        <w:t>Ylva Johansson</w:t>
      </w:r>
    </w:p>
    <w:p w14:paraId="7E616A5E" w14:textId="77777777" w:rsidR="00643D86" w:rsidRDefault="000D3BFF" w:rsidP="00643D86">
      <w:r w:rsidRPr="00B44CE2">
        <w:rPr>
          <w:b/>
        </w:rPr>
        <w:t>Annotering</w:t>
      </w:r>
      <w:r>
        <w:rPr>
          <w:b/>
        </w:rPr>
        <w:br/>
      </w:r>
      <w:r>
        <w:t>Föranleder ingen annotering.</w:t>
      </w:r>
    </w:p>
    <w:p w14:paraId="7E616A5F" w14:textId="77777777" w:rsidR="00643D86" w:rsidRDefault="000D3BFF" w:rsidP="00643D86">
      <w:pPr>
        <w:pStyle w:val="Rubrik1"/>
      </w:pPr>
      <w:bookmarkStart w:id="6" w:name="_Toc411516002"/>
      <w:r>
        <w:rPr>
          <w:noProof/>
        </w:rPr>
        <w:t>Council Decision of …… appointing three members of the European Statistical Governance Advisory Board</w:t>
      </w:r>
      <w:bookmarkEnd w:id="6"/>
    </w:p>
    <w:p w14:paraId="7E616A60" w14:textId="41054A10" w:rsidR="00643D86" w:rsidRDefault="000D3BFF" w:rsidP="00643D86">
      <w:pPr>
        <w:rPr>
          <w:lang w:val="en-US"/>
        </w:rPr>
      </w:pPr>
      <w:r>
        <w:rPr>
          <w:noProof/>
          <w:lang w:val="en-US"/>
        </w:rPr>
        <w:t>5290</w:t>
      </w:r>
      <w:r>
        <w:rPr>
          <w:lang w:val="en-US"/>
        </w:rPr>
        <w:t>/15 ECOFIN 27 UEM 7 STATIS 4</w:t>
      </w:r>
    </w:p>
    <w:p w14:paraId="7E616A61" w14:textId="77777777" w:rsidR="00643D86" w:rsidRDefault="000D3BFF" w:rsidP="00643D86">
      <w:r>
        <w:rPr>
          <w:b/>
        </w:rPr>
        <w:t>Ansvarigt statsråd</w:t>
      </w:r>
      <w:r>
        <w:rPr>
          <w:b/>
        </w:rPr>
        <w:br/>
      </w:r>
      <w:r>
        <w:rPr>
          <w:noProof/>
        </w:rPr>
        <w:t>Ardalan Shekarabi</w:t>
      </w:r>
    </w:p>
    <w:p w14:paraId="7E616A65" w14:textId="353C4CD5" w:rsidR="005D664D" w:rsidRDefault="000D3BFF" w:rsidP="003510B9">
      <w:r w:rsidRPr="00B44CE2">
        <w:rPr>
          <w:b/>
        </w:rPr>
        <w:t>Annotering</w:t>
      </w:r>
      <w:r>
        <w:rPr>
          <w:b/>
        </w:rPr>
        <w:br/>
      </w:r>
      <w:r>
        <w:rPr>
          <w:b/>
          <w:bCs/>
        </w:rPr>
        <w:t>Avsikt med behandlingen i rådet:</w:t>
      </w:r>
      <w:r>
        <w:t xml:space="preserve"> Rådet ska godkänna beslutet om utnämning av tre ledamöter till Europeiska rådgivande organet för statistikstyrning.</w:t>
      </w:r>
    </w:p>
    <w:p w14:paraId="7E616A66" w14:textId="77777777" w:rsidR="005D664D" w:rsidRDefault="000D3BFF">
      <w:pPr>
        <w:spacing w:after="280" w:afterAutospacing="1"/>
      </w:pPr>
      <w:r>
        <w:rPr>
          <w:b/>
          <w:bCs/>
        </w:rPr>
        <w:t>Hur regeringen ställer sig till den blivande A-punkten:</w:t>
      </w:r>
      <w:r>
        <w:t xml:space="preserve"> Regeringen godkänner A-punkten.</w:t>
      </w:r>
    </w:p>
    <w:p w14:paraId="7E616A67" w14:textId="77777777" w:rsidR="005D664D" w:rsidRDefault="000D3BFF">
      <w:pPr>
        <w:spacing w:after="280" w:afterAutospacing="1"/>
      </w:pPr>
      <w:r>
        <w:rPr>
          <w:b/>
          <w:bCs/>
        </w:rPr>
        <w:t xml:space="preserve">Bakgrund: </w:t>
      </w:r>
      <w:r>
        <w:t xml:space="preserve">I enlighet med beslut nr 2008/235 om inrättande av Europeiska rådgivande organet för statistikstyrning (ESGAB), ska rådet </w:t>
      </w:r>
      <w:proofErr w:type="spellStart"/>
      <w:r>
        <w:t>use</w:t>
      </w:r>
      <w:proofErr w:type="spellEnd"/>
      <w:r>
        <w:t xml:space="preserve"> tre medlemmar av kommittén efter att ha hört kommissionen.</w:t>
      </w:r>
    </w:p>
    <w:p w14:paraId="7E616A68" w14:textId="77777777" w:rsidR="005D664D" w:rsidRDefault="000D3BFF">
      <w:pPr>
        <w:spacing w:after="280" w:afterAutospacing="1"/>
      </w:pPr>
      <w:r>
        <w:t xml:space="preserve">Efter att ha hört Ekonomiska och finansiella kommittén (EFK), beslutade rådet att föreslå Mr. Günter KOPSCH, Ms. Pilar MARTÍN-GUZMÁN och Mr. Enrico GIOVANNINI som medlemmar av ESGAB. </w:t>
      </w:r>
    </w:p>
    <w:p w14:paraId="7E616A6A" w14:textId="224EF020" w:rsidR="00FB32B9" w:rsidRDefault="000D3BFF">
      <w:pPr>
        <w:spacing w:after="280" w:afterAutospacing="1"/>
        <w:rPr>
          <w:noProof/>
        </w:rPr>
      </w:pPr>
      <w:r>
        <w:t xml:space="preserve">Den 2 december 2014 gav kommissionen sitt samtycke till de nomineringar som rådet föreslagit. </w:t>
      </w:r>
    </w:p>
    <w:p w14:paraId="7E616A6B" w14:textId="77777777" w:rsidR="00643D86" w:rsidRDefault="000D3BFF" w:rsidP="00643D86">
      <w:pPr>
        <w:pStyle w:val="Rubrik1"/>
      </w:pPr>
      <w:bookmarkStart w:id="7" w:name="_Toc411516003"/>
      <w:r>
        <w:rPr>
          <w:noProof/>
        </w:rPr>
        <w:t>Council Decision of ….. appointing the Chairperson of the European Statistical Governance Advisory Board</w:t>
      </w:r>
      <w:bookmarkEnd w:id="7"/>
    </w:p>
    <w:p w14:paraId="7E616A6C" w14:textId="2026483B" w:rsidR="00643D86" w:rsidRDefault="000D3BFF" w:rsidP="00643D86">
      <w:pPr>
        <w:rPr>
          <w:lang w:val="en-US"/>
        </w:rPr>
      </w:pPr>
      <w:r>
        <w:rPr>
          <w:noProof/>
          <w:lang w:val="en-US"/>
        </w:rPr>
        <w:t>5299</w:t>
      </w:r>
      <w:r>
        <w:rPr>
          <w:lang w:val="en-US"/>
        </w:rPr>
        <w:t>/15 ECOFIN 28 UEM 8 STATIS 5</w:t>
      </w:r>
    </w:p>
    <w:p w14:paraId="7E616A6D" w14:textId="77777777" w:rsidR="00643D86" w:rsidRDefault="000D3BFF" w:rsidP="00643D86">
      <w:r>
        <w:rPr>
          <w:b/>
        </w:rPr>
        <w:t>Ansvarigt statsråd</w:t>
      </w:r>
      <w:r>
        <w:rPr>
          <w:b/>
        </w:rPr>
        <w:br/>
      </w:r>
      <w:r>
        <w:rPr>
          <w:noProof/>
        </w:rPr>
        <w:t>Ardalan Shekarabi</w:t>
      </w:r>
    </w:p>
    <w:p w14:paraId="7E616A71" w14:textId="2D006974" w:rsidR="005D664D" w:rsidRDefault="000D3BFF" w:rsidP="003510B9">
      <w:r w:rsidRPr="00B44CE2">
        <w:rPr>
          <w:b/>
        </w:rPr>
        <w:t>Annotering</w:t>
      </w:r>
      <w:r>
        <w:rPr>
          <w:b/>
        </w:rPr>
        <w:br/>
      </w:r>
      <w:r>
        <w:rPr>
          <w:b/>
          <w:bCs/>
        </w:rPr>
        <w:t>Avsikt med behandlingen i rådet:</w:t>
      </w:r>
      <w:r>
        <w:t xml:space="preserve"> Rådet ska godkänna beslutet om utnämning av ordförande för Europeiska rådgivande organet för statistikstyrning.</w:t>
      </w:r>
    </w:p>
    <w:p w14:paraId="7E616A72" w14:textId="77777777" w:rsidR="005D664D" w:rsidRDefault="000D3BFF">
      <w:pPr>
        <w:spacing w:after="280" w:afterAutospacing="1"/>
      </w:pPr>
      <w:r>
        <w:rPr>
          <w:b/>
          <w:bCs/>
        </w:rPr>
        <w:t>Hur regeringen ställer sig till den blivande A-punkten:</w:t>
      </w:r>
      <w:r>
        <w:t xml:space="preserve"> Regeringen godkänner A-punkten.</w:t>
      </w:r>
    </w:p>
    <w:p w14:paraId="7E616A73" w14:textId="77777777" w:rsidR="005D664D" w:rsidRDefault="000D3BFF">
      <w:pPr>
        <w:spacing w:after="280" w:afterAutospacing="1"/>
      </w:pPr>
      <w:r>
        <w:rPr>
          <w:b/>
          <w:bCs/>
        </w:rPr>
        <w:t xml:space="preserve">Bakgrund: </w:t>
      </w:r>
      <w:r>
        <w:t xml:space="preserve">I enlighet med beslut nr 2008/235 om inrättande av Europeiska rådgivande organet för statistikstyrning (ESGAB), ska rådet </w:t>
      </w:r>
      <w:proofErr w:type="spellStart"/>
      <w:r>
        <w:t>use</w:t>
      </w:r>
      <w:proofErr w:type="spellEnd"/>
      <w:r>
        <w:t xml:space="preserve"> ordförande för kommittén, med godkännande av Europaparlamentet och efter att ha hört kommissionen.</w:t>
      </w:r>
    </w:p>
    <w:p w14:paraId="7E616A74" w14:textId="77777777" w:rsidR="005D664D" w:rsidRDefault="000D3BFF">
      <w:pPr>
        <w:spacing w:after="280" w:afterAutospacing="1"/>
      </w:pPr>
      <w:r>
        <w:t xml:space="preserve">Efter att ha hört Ekonomiska och finansiella kommittén (EFK), beslutade rådet att föreslå Mr. Martti HETEMÄKI som ordförande för ESGAB. </w:t>
      </w:r>
    </w:p>
    <w:p w14:paraId="7E616A75" w14:textId="77777777" w:rsidR="005D664D" w:rsidRDefault="000D3BFF">
      <w:pPr>
        <w:spacing w:after="280" w:afterAutospacing="1"/>
      </w:pPr>
      <w:r>
        <w:lastRenderedPageBreak/>
        <w:t xml:space="preserve">Den 2 december 2014 gav kommissionen sitt samtycke till nomineringen av ordförande som rådet föreslagit. </w:t>
      </w:r>
    </w:p>
    <w:p w14:paraId="7E616A7A" w14:textId="35570DBE" w:rsidR="00FB32B9" w:rsidRDefault="000D3BFF">
      <w:pPr>
        <w:spacing w:after="280" w:afterAutospacing="1"/>
        <w:rPr>
          <w:noProof/>
        </w:rPr>
      </w:pPr>
      <w:r>
        <w:t xml:space="preserve">Den 3 februari 2015 godkände Europaparlamentet Mr. Martti HETEMÄKI som ordförande för ESGAB. </w:t>
      </w:r>
    </w:p>
    <w:p w14:paraId="7E616A7B" w14:textId="77777777" w:rsidR="00643D86" w:rsidRDefault="000D3BFF" w:rsidP="00643D86">
      <w:pPr>
        <w:pStyle w:val="Rubrik1"/>
      </w:pPr>
      <w:bookmarkStart w:id="8" w:name="_Toc411516004"/>
      <w:r>
        <w:rPr>
          <w:noProof/>
        </w:rPr>
        <w:t>Submission of the new draft national design of Luxembourg commemorative 2 euro coin</w:t>
      </w:r>
      <w:bookmarkEnd w:id="8"/>
    </w:p>
    <w:p w14:paraId="7E616A7C" w14:textId="13320665" w:rsidR="00643D86" w:rsidRDefault="000D3BFF" w:rsidP="00643D86">
      <w:pPr>
        <w:rPr>
          <w:lang w:val="en-US"/>
        </w:rPr>
      </w:pPr>
      <w:r>
        <w:rPr>
          <w:noProof/>
          <w:lang w:val="en-US"/>
        </w:rPr>
        <w:t>5885</w:t>
      </w:r>
      <w:r>
        <w:rPr>
          <w:lang w:val="en-US"/>
        </w:rPr>
        <w:t>/15 ECOFIN 65 UEM 21</w:t>
      </w:r>
    </w:p>
    <w:p w14:paraId="7E616A7D" w14:textId="77777777" w:rsidR="00643D86" w:rsidRDefault="000D3BFF" w:rsidP="00643D86">
      <w:r>
        <w:rPr>
          <w:b/>
        </w:rPr>
        <w:t>Ansvarigt statsråd</w:t>
      </w:r>
      <w:r>
        <w:rPr>
          <w:b/>
        </w:rPr>
        <w:br/>
      </w:r>
      <w:r>
        <w:rPr>
          <w:noProof/>
        </w:rPr>
        <w:t>Per Bolund</w:t>
      </w:r>
    </w:p>
    <w:p w14:paraId="7E616A80" w14:textId="77777777" w:rsidR="00643D86" w:rsidRDefault="000D3BFF" w:rsidP="00643D86">
      <w:r w:rsidRPr="00B44CE2">
        <w:rPr>
          <w:b/>
        </w:rPr>
        <w:t>Annotering</w:t>
      </w:r>
      <w:r>
        <w:rPr>
          <w:b/>
        </w:rPr>
        <w:br/>
      </w:r>
      <w:r>
        <w:t>Föranleder ingen annotering.</w:t>
      </w:r>
    </w:p>
    <w:p w14:paraId="7E616A81" w14:textId="77777777" w:rsidR="00643D86" w:rsidRDefault="000D3BFF" w:rsidP="00643D86">
      <w:pPr>
        <w:pStyle w:val="Rubrik1"/>
      </w:pPr>
      <w:bookmarkStart w:id="9" w:name="_Toc411516005"/>
      <w:r>
        <w:rPr>
          <w:noProof/>
        </w:rPr>
        <w:t>Proposal for a Regulation of the European Parliament and of the Council on indices used as benchmarks in financial instruments and financial contracts</w:t>
      </w:r>
      <w:bookmarkEnd w:id="9"/>
      <w:r>
        <w:rPr>
          <w:noProof/>
        </w:rPr>
        <w:t xml:space="preserve"> </w:t>
      </w:r>
    </w:p>
    <w:p w14:paraId="1E74DF47" w14:textId="77777777" w:rsidR="003510B9" w:rsidRDefault="000D3BFF" w:rsidP="00643D86">
      <w:pPr>
        <w:rPr>
          <w:lang w:val="en-US"/>
        </w:rPr>
      </w:pPr>
      <w:r>
        <w:rPr>
          <w:noProof/>
          <w:lang w:val="en-US"/>
        </w:rPr>
        <w:t>–</w:t>
      </w:r>
      <w:r>
        <w:rPr>
          <w:lang w:val="en-US"/>
        </w:rPr>
        <w:t>Negotiating mandate</w:t>
      </w:r>
    </w:p>
    <w:p w14:paraId="7E616A82" w14:textId="5E477B48" w:rsidR="00643D86" w:rsidRDefault="000D3BFF" w:rsidP="00643D86">
      <w:pPr>
        <w:rPr>
          <w:lang w:val="en-US"/>
        </w:rPr>
      </w:pPr>
      <w:r>
        <w:rPr>
          <w:noProof/>
          <w:lang w:val="en-US"/>
        </w:rPr>
        <w:t>5921</w:t>
      </w:r>
      <w:r>
        <w:rPr>
          <w:lang w:val="en-US"/>
        </w:rPr>
        <w:t>/15 EF 23 ECOFIN 66 CODEC 140+ ADD 1</w:t>
      </w:r>
    </w:p>
    <w:p w14:paraId="7E616A83" w14:textId="77777777" w:rsidR="00643D86" w:rsidRDefault="000D3BFF" w:rsidP="00643D86">
      <w:r>
        <w:rPr>
          <w:b/>
        </w:rPr>
        <w:t>Ansvarigt statsråd</w:t>
      </w:r>
      <w:r>
        <w:rPr>
          <w:b/>
        </w:rPr>
        <w:br/>
      </w:r>
      <w:r>
        <w:rPr>
          <w:noProof/>
        </w:rPr>
        <w:t>Per Bolund</w:t>
      </w:r>
    </w:p>
    <w:p w14:paraId="7E616A86" w14:textId="77777777" w:rsidR="00643D86" w:rsidRDefault="000D3BFF" w:rsidP="00643D86">
      <w:r w:rsidRPr="00B44CE2">
        <w:rPr>
          <w:b/>
        </w:rPr>
        <w:t>Annotering</w:t>
      </w:r>
      <w:r>
        <w:rPr>
          <w:b/>
        </w:rPr>
        <w:br/>
      </w:r>
      <w:r>
        <w:t>Föranleder ingen annotering.</w:t>
      </w:r>
    </w:p>
    <w:p w14:paraId="7E616A87" w14:textId="77777777" w:rsidR="00643D86" w:rsidRDefault="000D3BFF" w:rsidP="00643D86">
      <w:pPr>
        <w:pStyle w:val="Rubrik1"/>
      </w:pPr>
      <w:bookmarkStart w:id="10" w:name="_Toc411516006"/>
      <w:r>
        <w:rPr>
          <w:noProof/>
        </w:rPr>
        <w:t>Commission delegated Regulation (EU) No …/.. of 30.1.2015 amending Delegated Regulation (EU) No 241/2014 supplementing Regulation (EU) No 575/2013 of the European Parliament and of the Council with regard to regulatory technical standards for Own Funds requirements for institutions</w:t>
      </w:r>
      <w:bookmarkEnd w:id="10"/>
    </w:p>
    <w:p w14:paraId="7E616A8A" w14:textId="73EB0408" w:rsidR="00643D86" w:rsidRDefault="000D3BFF" w:rsidP="00643D86">
      <w:pPr>
        <w:rPr>
          <w:lang w:val="en-US"/>
        </w:rPr>
      </w:pPr>
      <w:r>
        <w:rPr>
          <w:noProof/>
          <w:lang w:val="en-US"/>
        </w:rPr>
        <w:t>-</w:t>
      </w:r>
      <w:r>
        <w:rPr>
          <w:lang w:val="en-US"/>
        </w:rPr>
        <w:t xml:space="preserve"> Intention not to raise objections to a delegated act</w:t>
      </w:r>
      <w:r>
        <w:rPr>
          <w:lang w:val="en-US"/>
        </w:rPr>
        <w:br/>
      </w:r>
      <w:r>
        <w:rPr>
          <w:noProof/>
          <w:lang w:val="en-US"/>
        </w:rPr>
        <w:t>6088</w:t>
      </w:r>
      <w:r>
        <w:rPr>
          <w:lang w:val="en-US"/>
        </w:rPr>
        <w:t>/15 EF 30 ECOFIN 88 DELACT 15</w:t>
      </w:r>
      <w:r w:rsidR="003510B9">
        <w:rPr>
          <w:lang w:val="en-US"/>
        </w:rPr>
        <w:t xml:space="preserve"> </w:t>
      </w:r>
      <w:r>
        <w:rPr>
          <w:lang w:val="en-US"/>
        </w:rPr>
        <w:t>+ ADD 1</w:t>
      </w:r>
      <w:r w:rsidR="003510B9">
        <w:rPr>
          <w:lang w:val="en-US"/>
        </w:rPr>
        <w:t xml:space="preserve"> </w:t>
      </w:r>
      <w:r>
        <w:rPr>
          <w:lang w:val="en-US"/>
        </w:rPr>
        <w:t>5839/15 EF 22 ECOFIN 62 DELACT 10</w:t>
      </w:r>
    </w:p>
    <w:p w14:paraId="7E616A8B" w14:textId="77777777" w:rsidR="00643D86" w:rsidRDefault="000D3BFF" w:rsidP="00643D86">
      <w:r>
        <w:rPr>
          <w:b/>
        </w:rPr>
        <w:t>Ansvarigt statsråd</w:t>
      </w:r>
      <w:r>
        <w:rPr>
          <w:b/>
        </w:rPr>
        <w:br/>
      </w:r>
      <w:r>
        <w:rPr>
          <w:noProof/>
        </w:rPr>
        <w:t>Per Bolund</w:t>
      </w:r>
    </w:p>
    <w:p w14:paraId="7E616A8F" w14:textId="12E1C347" w:rsidR="005D664D" w:rsidRDefault="000D3BFF" w:rsidP="003510B9">
      <w:r w:rsidRPr="00B44CE2">
        <w:rPr>
          <w:b/>
        </w:rPr>
        <w:t>Annotering</w:t>
      </w:r>
      <w:r>
        <w:rPr>
          <w:b/>
        </w:rPr>
        <w:br/>
      </w:r>
      <w:r>
        <w:rPr>
          <w:b/>
          <w:bCs/>
        </w:rPr>
        <w:t>Avsikt med behandlingen i rådet:</w:t>
      </w:r>
      <w:r>
        <w:t xml:space="preserve"> Rådet föreslås inte motsätta sig att kommissionen antar den delegerade akten. </w:t>
      </w:r>
    </w:p>
    <w:p w14:paraId="7E616A91" w14:textId="5CA3DCC2" w:rsidR="005D664D" w:rsidRDefault="000D3BFF">
      <w:pPr>
        <w:spacing w:after="280" w:afterAutospacing="1"/>
      </w:pPr>
      <w:r>
        <w:rPr>
          <w:b/>
          <w:bCs/>
        </w:rPr>
        <w:t>Hur regeringen ställer sig till den blivande A-punkten:</w:t>
      </w:r>
      <w:r>
        <w:t xml:space="preserve"> Regeringen avser inte motsätta sig förslaget. </w:t>
      </w:r>
    </w:p>
    <w:p w14:paraId="7E616A93" w14:textId="2569AD05" w:rsidR="005D664D" w:rsidRDefault="000D3BFF">
      <w:pPr>
        <w:spacing w:after="280" w:afterAutospacing="1"/>
      </w:pPr>
      <w:r>
        <w:rPr>
          <w:b/>
          <w:bCs/>
        </w:rPr>
        <w:t>Bakgrund:</w:t>
      </w:r>
      <w:r w:rsidR="003510B9">
        <w:rPr>
          <w:b/>
          <w:bCs/>
        </w:rPr>
        <w:t xml:space="preserve"> </w:t>
      </w:r>
      <w:r>
        <w:t>Enligt tillsynsförordningen 575/2013 av 26 juni 2013 och kapitaltäckningsdirektivet 2013/36/EU av den 26 juni ska den Europeiska bankmyndigheten (</w:t>
      </w:r>
      <w:proofErr w:type="spellStart"/>
      <w:r>
        <w:t>Eba</w:t>
      </w:r>
      <w:proofErr w:type="spellEnd"/>
      <w:r>
        <w:t xml:space="preserve">) lägga fram förslag till tekniska standarder för att närmare precisera innehållet i vissa av </w:t>
      </w:r>
      <w:r>
        <w:lastRenderedPageBreak/>
        <w:t>förordningens och direktivets artiklar. Kommissionen har delegerats befogenhet att anta dessa tekniska standarder.</w:t>
      </w:r>
    </w:p>
    <w:p w14:paraId="7E616A95" w14:textId="62006356" w:rsidR="00FB32B9" w:rsidRDefault="000D3BFF">
      <w:pPr>
        <w:spacing w:after="280" w:afterAutospacing="1"/>
        <w:rPr>
          <w:noProof/>
        </w:rPr>
      </w:pPr>
      <w:r>
        <w:t xml:space="preserve">Enligt tillsynsförordningens artikel 28.5 ska </w:t>
      </w:r>
      <w:proofErr w:type="spellStart"/>
      <w:r>
        <w:t>Eba</w:t>
      </w:r>
      <w:proofErr w:type="spellEnd"/>
      <w:r>
        <w:t xml:space="preserve"> lägga fram förslag till bindande tekniska standarder (BTS) för tillsyn som specificerar: tillämplig form och art för indirekt finansiering av kapitalbasinstrument, om och när flerfaldiga utdelningar skulle utgöra en illa avvägd broms på egna medel samt innebörden av preferensutdelningar. </w:t>
      </w:r>
      <w:proofErr w:type="spellStart"/>
      <w:r>
        <w:t>Eba</w:t>
      </w:r>
      <w:proofErr w:type="spellEnd"/>
      <w:r>
        <w:t xml:space="preserve"> har publicerat och skickat sitt slutliga förslag av dessa BTS till kommissionen för antagande och medlemsstaterna har möjlighet att motsätta sig att kommissionen antar förslaget.</w:t>
      </w:r>
    </w:p>
    <w:p w14:paraId="7E616A96" w14:textId="77777777" w:rsidR="00643D86" w:rsidRDefault="000D3BFF" w:rsidP="00643D86">
      <w:pPr>
        <w:pStyle w:val="Rubrik1"/>
      </w:pPr>
      <w:bookmarkStart w:id="11" w:name="_Toc411516007"/>
      <w:r>
        <w:rPr>
          <w:noProof/>
        </w:rPr>
        <w:t>Policy on security awareness and training for the protection of EU classified information</w:t>
      </w:r>
      <w:bookmarkEnd w:id="11"/>
    </w:p>
    <w:p w14:paraId="7E616A97" w14:textId="6112F940" w:rsidR="00643D86" w:rsidRDefault="000D3BFF" w:rsidP="00643D86">
      <w:pPr>
        <w:rPr>
          <w:lang w:val="en-US"/>
        </w:rPr>
      </w:pPr>
      <w:r>
        <w:rPr>
          <w:noProof/>
          <w:lang w:val="en-US"/>
        </w:rPr>
        <w:t>5998</w:t>
      </w:r>
      <w:r>
        <w:rPr>
          <w:lang w:val="en-US"/>
        </w:rPr>
        <w:t>/15 CSC 27</w:t>
      </w:r>
    </w:p>
    <w:p w14:paraId="7E616A98" w14:textId="77777777" w:rsidR="00643D86" w:rsidRDefault="000D3BFF" w:rsidP="00643D86">
      <w:r>
        <w:rPr>
          <w:b/>
        </w:rPr>
        <w:t>Ansvarigt statsråd</w:t>
      </w:r>
      <w:r>
        <w:rPr>
          <w:b/>
        </w:rPr>
        <w:br/>
      </w:r>
      <w:r>
        <w:rPr>
          <w:noProof/>
        </w:rPr>
        <w:t>Margot Wallström</w:t>
      </w:r>
    </w:p>
    <w:p w14:paraId="7E616A9C" w14:textId="211384D4" w:rsidR="005D664D" w:rsidRDefault="000D3BFF" w:rsidP="003510B9">
      <w:r w:rsidRPr="00B44CE2">
        <w:rPr>
          <w:b/>
        </w:rPr>
        <w:t>Annotering</w:t>
      </w:r>
      <w:r>
        <w:rPr>
          <w:b/>
        </w:rPr>
        <w:br/>
      </w:r>
      <w:r>
        <w:rPr>
          <w:b/>
          <w:bCs/>
        </w:rPr>
        <w:t>Avsikt med behandlingen i rådet.</w:t>
      </w:r>
      <w:r>
        <w:t xml:space="preserve"> Rådet föreslås på rekommendation av dess säkerhetskommitté (5998/15) att godkänna policyn ” Policy on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awareness</w:t>
      </w:r>
      <w:proofErr w:type="spellEnd"/>
      <w:r>
        <w:t xml:space="preserve"> and </w:t>
      </w:r>
      <w:proofErr w:type="spellStart"/>
      <w:r>
        <w:t>training</w:t>
      </w:r>
      <w:proofErr w:type="spellEnd"/>
      <w:r>
        <w:t xml:space="preserve"> for the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EU </w:t>
      </w:r>
      <w:proofErr w:type="spellStart"/>
      <w:r>
        <w:t>classified</w:t>
      </w:r>
      <w:proofErr w:type="spellEnd"/>
      <w:r>
        <w:t xml:space="preserve"> information”.</w:t>
      </w:r>
    </w:p>
    <w:p w14:paraId="7E616A9D" w14:textId="00ED0CDF" w:rsidR="005D664D" w:rsidRDefault="000D3BFF">
      <w:pPr>
        <w:spacing w:after="280" w:afterAutospacing="1"/>
      </w:pPr>
      <w:r>
        <w:rPr>
          <w:b/>
          <w:bCs/>
        </w:rPr>
        <w:t xml:space="preserve">Hur regeringen ställer sig till den blivande A-punkten: </w:t>
      </w:r>
      <w:r>
        <w:t>Regeringen avser rösta ja</w:t>
      </w:r>
      <w:r w:rsidR="00EA1D0C">
        <w:t>.</w:t>
      </w:r>
      <w:r>
        <w:t xml:space="preserve"> </w:t>
      </w:r>
    </w:p>
    <w:p w14:paraId="7E616A9E" w14:textId="7E7BCC4B" w:rsidR="005D664D" w:rsidRDefault="000D3BFF">
      <w:pPr>
        <w:spacing w:after="280" w:afterAutospacing="1"/>
      </w:pPr>
      <w:r>
        <w:rPr>
          <w:b/>
          <w:bCs/>
        </w:rPr>
        <w:t xml:space="preserve">Bakgrund: </w:t>
      </w:r>
      <w:r w:rsidR="006E0C6A">
        <w:t xml:space="preserve">I rådets säkerhetsbestämmelser </w:t>
      </w:r>
      <w:r>
        <w:t xml:space="preserve">artikel 7(5) står följande att läsa: "Alla ska, innan de ges tillgång till säkerhetsskyddsklassificerade EU-uppgifter och därefter regelbundet, upplysas och vara medvetna om sitt ansvar att skydda säkerhetsskyddsklassificerade EU-uppgifter i enlighet med detta beslut”. Detta utvecklas i annex I (kapitel IV). </w:t>
      </w:r>
    </w:p>
    <w:p w14:paraId="7E616AA0" w14:textId="4A78E1E3" w:rsidR="00FB32B9" w:rsidRDefault="000D3BFF">
      <w:pPr>
        <w:spacing w:after="280" w:afterAutospacing="1"/>
        <w:rPr>
          <w:noProof/>
        </w:rPr>
      </w:pPr>
      <w:r>
        <w:t xml:space="preserve">För att stödja implementeringen av artikel 7(5) och Annex 1 (kapitel IV) har Rådets säkerhetskommitté tagit fram en policy gällande ”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awareness</w:t>
      </w:r>
      <w:proofErr w:type="spellEnd"/>
      <w:r>
        <w:t xml:space="preserve"> and </w:t>
      </w:r>
      <w:proofErr w:type="spellStart"/>
      <w:r>
        <w:t>training</w:t>
      </w:r>
      <w:proofErr w:type="spellEnd"/>
      <w:r>
        <w:t xml:space="preserve"> for the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EU </w:t>
      </w:r>
      <w:proofErr w:type="spellStart"/>
      <w:r>
        <w:t>classified</w:t>
      </w:r>
      <w:proofErr w:type="spellEnd"/>
      <w:r>
        <w:t xml:space="preserve"> information”. </w:t>
      </w:r>
    </w:p>
    <w:p w14:paraId="7E616AA1" w14:textId="77777777" w:rsidR="00643D86" w:rsidRDefault="000D3BFF" w:rsidP="00643D86">
      <w:pPr>
        <w:pStyle w:val="Rubrik1"/>
      </w:pPr>
      <w:bookmarkStart w:id="12" w:name="_Toc411516008"/>
      <w:r>
        <w:rPr>
          <w:noProof/>
        </w:rPr>
        <w:t>Council Decision extending the mandate of the European Union Special Representative for the Horn of Africa</w:t>
      </w:r>
      <w:bookmarkEnd w:id="12"/>
    </w:p>
    <w:p w14:paraId="7E616AA3" w14:textId="3A04591B" w:rsidR="00643D86" w:rsidRDefault="000D3BFF" w:rsidP="00643D86">
      <w:pPr>
        <w:rPr>
          <w:lang w:val="en-US"/>
        </w:rPr>
      </w:pPr>
      <w:r>
        <w:rPr>
          <w:noProof/>
          <w:lang w:val="en-US"/>
        </w:rPr>
        <w:t>6160</w:t>
      </w:r>
      <w:r>
        <w:rPr>
          <w:lang w:val="en-US"/>
        </w:rPr>
        <w:t>/15 PESC 171 COAFR 62 CSC 30</w:t>
      </w:r>
      <w:r w:rsidR="003510B9">
        <w:rPr>
          <w:lang w:val="en-US"/>
        </w:rPr>
        <w:t xml:space="preserve"> </w:t>
      </w:r>
      <w:r>
        <w:rPr>
          <w:lang w:val="en-US"/>
        </w:rPr>
        <w:t>5722/15 PESC 96 COAFR 35 CSC 19</w:t>
      </w:r>
    </w:p>
    <w:p w14:paraId="7E616AA4" w14:textId="77777777" w:rsidR="00643D86" w:rsidRDefault="000D3BFF" w:rsidP="00643D86">
      <w:r>
        <w:rPr>
          <w:b/>
        </w:rPr>
        <w:t>Ansvarigt statsråd</w:t>
      </w:r>
      <w:r>
        <w:rPr>
          <w:b/>
        </w:rPr>
        <w:br/>
      </w:r>
      <w:r>
        <w:rPr>
          <w:noProof/>
        </w:rPr>
        <w:t>Margot Wallström</w:t>
      </w:r>
    </w:p>
    <w:p w14:paraId="7E616AA7" w14:textId="77777777" w:rsidR="00643D86" w:rsidRDefault="000D3BFF" w:rsidP="00643D86">
      <w:r w:rsidRPr="00B44CE2">
        <w:rPr>
          <w:b/>
        </w:rPr>
        <w:t>Annotering</w:t>
      </w:r>
      <w:r>
        <w:rPr>
          <w:b/>
        </w:rPr>
        <w:br/>
      </w:r>
      <w:r>
        <w:rPr>
          <w:b/>
          <w:bCs/>
        </w:rPr>
        <w:t>Avsikt med behandlingen i rådet:</w:t>
      </w:r>
      <w:r>
        <w:t xml:space="preserve"> Rådet föreslås anta förlängningen av mandatet för EU:s särskilda sändebud för Afrikas Horn. </w:t>
      </w:r>
    </w:p>
    <w:p w14:paraId="7E616AA8" w14:textId="77777777" w:rsidR="005D664D" w:rsidRDefault="000D3BFF">
      <w:pPr>
        <w:spacing w:after="280" w:afterAutospacing="1"/>
      </w:pPr>
      <w:r>
        <w:rPr>
          <w:b/>
          <w:bCs/>
        </w:rPr>
        <w:t>Hur regeringen ställer sig till den blivande A-punkten:</w:t>
      </w:r>
      <w:r>
        <w:t xml:space="preserve"> Sverige avser rösta ja. </w:t>
      </w:r>
    </w:p>
    <w:p w14:paraId="7E616AAA" w14:textId="6DBF30F9" w:rsidR="005D664D" w:rsidRDefault="000D3BFF">
      <w:pPr>
        <w:spacing w:after="280" w:afterAutospacing="1"/>
      </w:pPr>
      <w:r>
        <w:rPr>
          <w:b/>
          <w:bCs/>
        </w:rPr>
        <w:t xml:space="preserve">Bakgrund: </w:t>
      </w:r>
      <w:r>
        <w:t xml:space="preserve">Mandatet förlängs för en period av åtta månader, under vilken HR </w:t>
      </w:r>
      <w:proofErr w:type="spellStart"/>
      <w:r>
        <w:t>Mogherini</w:t>
      </w:r>
      <w:proofErr w:type="spellEnd"/>
      <w:r>
        <w:t xml:space="preserve"> ska skapa sig en bild av </w:t>
      </w:r>
      <w:proofErr w:type="spellStart"/>
      <w:r>
        <w:t>EUSR:s</w:t>
      </w:r>
      <w:proofErr w:type="spellEnd"/>
      <w:r>
        <w:t xml:space="preserve"> arbete och interaktion med EEAS. Under hösten 2015 ska förslag läggas fram om EUSR-instrumentets framtid.</w:t>
      </w:r>
    </w:p>
    <w:p w14:paraId="7E616AAB" w14:textId="77777777" w:rsidR="00643D86" w:rsidRDefault="000D3BFF" w:rsidP="00643D86">
      <w:pPr>
        <w:pStyle w:val="Rubrik1"/>
      </w:pPr>
      <w:bookmarkStart w:id="13" w:name="_Toc411516009"/>
      <w:r>
        <w:rPr>
          <w:noProof/>
        </w:rPr>
        <w:lastRenderedPageBreak/>
        <w:t>Council Decision extending the mandate of the European Union Special Representative for Human Rights</w:t>
      </w:r>
      <w:bookmarkEnd w:id="13"/>
    </w:p>
    <w:p w14:paraId="7E616AAD" w14:textId="3D194D9A" w:rsidR="00643D86" w:rsidRDefault="000D3BFF" w:rsidP="00643D86">
      <w:pPr>
        <w:rPr>
          <w:lang w:val="en-US"/>
        </w:rPr>
      </w:pPr>
      <w:r>
        <w:rPr>
          <w:noProof/>
          <w:lang w:val="en-US"/>
        </w:rPr>
        <w:t>6162</w:t>
      </w:r>
      <w:r>
        <w:rPr>
          <w:lang w:val="en-US"/>
        </w:rPr>
        <w:t>/15 PESC 173 COHOM 26 CSC 31</w:t>
      </w:r>
      <w:r w:rsidR="003510B9">
        <w:rPr>
          <w:lang w:val="en-US"/>
        </w:rPr>
        <w:t xml:space="preserve"> </w:t>
      </w:r>
      <w:r>
        <w:rPr>
          <w:lang w:val="en-US"/>
        </w:rPr>
        <w:t>5716/15 PESC 94 COHOM 9 CSC 17</w:t>
      </w:r>
    </w:p>
    <w:p w14:paraId="29575FDC" w14:textId="77777777" w:rsidR="00FC593E" w:rsidRDefault="000D3BFF" w:rsidP="00FC593E">
      <w:r>
        <w:rPr>
          <w:b/>
        </w:rPr>
        <w:t>Ansvarigt statsråd</w:t>
      </w:r>
      <w:r w:rsidR="00FC593E">
        <w:rPr>
          <w:b/>
        </w:rPr>
        <w:t>:</w:t>
      </w:r>
      <w:r w:rsidR="00FC593E">
        <w:rPr>
          <w:b/>
        </w:rPr>
        <w:br/>
      </w:r>
      <w:r w:rsidR="00FC593E" w:rsidRPr="00FC593E">
        <w:t>Margot Wallström</w:t>
      </w:r>
    </w:p>
    <w:p w14:paraId="4CE82EF5" w14:textId="36796A88" w:rsidR="00FC593E" w:rsidRPr="00FC593E" w:rsidRDefault="000D3BFF" w:rsidP="00FC593E">
      <w:pPr>
        <w:rPr>
          <w:noProof/>
          <w:lang w:val="en-US"/>
        </w:rPr>
      </w:pPr>
      <w:r w:rsidRPr="00B44CE2">
        <w:rPr>
          <w:b/>
        </w:rPr>
        <w:t>Annotering</w:t>
      </w:r>
      <w:r>
        <w:rPr>
          <w:b/>
        </w:rPr>
        <w:br/>
      </w:r>
      <w:r w:rsidR="00FC593E" w:rsidRPr="00FC593E">
        <w:rPr>
          <w:b/>
          <w:noProof/>
          <w:lang w:val="en-US"/>
        </w:rPr>
        <w:t>Avsikt med behandlingen i rådet</w:t>
      </w:r>
      <w:r w:rsidR="00FC593E" w:rsidRPr="00FC593E">
        <w:rPr>
          <w:noProof/>
          <w:lang w:val="en-US"/>
        </w:rPr>
        <w:t>:</w:t>
      </w:r>
      <w:r w:rsidR="00FC593E" w:rsidRPr="00FC593E">
        <w:rPr>
          <w:b/>
          <w:noProof/>
          <w:lang w:val="en-US"/>
        </w:rPr>
        <w:t xml:space="preserve"> </w:t>
      </w:r>
      <w:r w:rsidR="00FC593E" w:rsidRPr="00FC593E">
        <w:rPr>
          <w:noProof/>
          <w:lang w:val="en-US"/>
        </w:rPr>
        <w:t xml:space="preserve">Förlängning av EUSR MR mandat med 24 månader. </w:t>
      </w:r>
    </w:p>
    <w:p w14:paraId="74A5AB96" w14:textId="2758BD93" w:rsidR="00FC593E" w:rsidRPr="00FC593E" w:rsidRDefault="00FC593E" w:rsidP="00FC593E">
      <w:pPr>
        <w:shd w:val="clear" w:color="auto" w:fill="FFFFFF"/>
        <w:textAlignment w:val="top"/>
        <w:rPr>
          <w:noProof/>
          <w:lang w:val="en-US"/>
        </w:rPr>
      </w:pPr>
      <w:r w:rsidRPr="00FC593E">
        <w:rPr>
          <w:b/>
          <w:noProof/>
          <w:lang w:val="en-US"/>
        </w:rPr>
        <w:t>Hur regeringen ställer sig till den blivande A-punkten</w:t>
      </w:r>
      <w:r w:rsidRPr="00FC593E">
        <w:rPr>
          <w:noProof/>
          <w:lang w:val="en-US"/>
        </w:rPr>
        <w:t>:</w:t>
      </w:r>
      <w:r>
        <w:rPr>
          <w:noProof/>
          <w:lang w:val="en-US"/>
        </w:rPr>
        <w:t xml:space="preserve"> </w:t>
      </w:r>
      <w:r w:rsidRPr="00FC593E">
        <w:rPr>
          <w:noProof/>
          <w:lang w:val="en-US"/>
        </w:rPr>
        <w:t xml:space="preserve">Sverige avser rösta </w:t>
      </w:r>
      <w:proofErr w:type="gramStart"/>
      <w:r w:rsidRPr="00FC593E">
        <w:rPr>
          <w:noProof/>
          <w:lang w:val="en-US"/>
        </w:rPr>
        <w:t>ja</w:t>
      </w:r>
      <w:proofErr w:type="gramEnd"/>
      <w:r w:rsidRPr="00FC593E">
        <w:rPr>
          <w:noProof/>
          <w:lang w:val="en-US"/>
        </w:rPr>
        <w:t xml:space="preserve">. </w:t>
      </w:r>
    </w:p>
    <w:p w14:paraId="3664DFBC" w14:textId="51E59485" w:rsidR="00FC593E" w:rsidRPr="00FC593E" w:rsidRDefault="00FC593E" w:rsidP="00FC593E">
      <w:pPr>
        <w:rPr>
          <w:noProof/>
          <w:lang w:val="en-US"/>
        </w:rPr>
      </w:pPr>
      <w:r w:rsidRPr="00FC593E">
        <w:rPr>
          <w:b/>
          <w:noProof/>
          <w:lang w:val="en-US"/>
        </w:rPr>
        <w:t>Bakgrund:</w:t>
      </w:r>
      <w:r>
        <w:rPr>
          <w:rFonts w:ascii="Arial!important" w:hAnsi="Arial!important"/>
          <w:b/>
          <w:bCs/>
          <w:vanish/>
          <w:color w:val="444444"/>
          <w:sz w:val="18"/>
          <w:szCs w:val="18"/>
        </w:rPr>
        <w:t xml:space="preserve"> </w:t>
      </w:r>
      <w:r w:rsidRPr="00FC593E">
        <w:rPr>
          <w:noProof/>
          <w:lang w:val="en-US"/>
        </w:rPr>
        <w:t xml:space="preserve">Den första september 2012 tillträde EU:s första särskilda representant för mänskliga rättigheter (EUSR MR) Stavros Lambrinidis med ett mandat att öka effektiviteten, samordningen och visibiliteten av mänskliga rättigheter i EU:s utrikes relationer. Lambrinidis har också till uppgift att öka EU:s bidrag till demokratistöd och institutionsbyggande, stärka rättsstatsprincipen och öka koherensen i EU:s agerande på området mänskliga rättigheter och demokrati. </w:t>
      </w:r>
    </w:p>
    <w:p w14:paraId="56E806F6" w14:textId="77777777" w:rsidR="00FC593E" w:rsidRPr="00FC593E" w:rsidRDefault="00FC593E" w:rsidP="00FC593E">
      <w:pPr>
        <w:rPr>
          <w:noProof/>
          <w:lang w:val="en-US"/>
        </w:rPr>
      </w:pPr>
      <w:r w:rsidRPr="00FC593E">
        <w:rPr>
          <w:noProof/>
          <w:lang w:val="en-US"/>
        </w:rPr>
        <w:t xml:space="preserve">SE har hittills gett starkt stöd för EUSR MR:s arbete och anser att hans funktion har stärkt EU:s genomslag och visibilitet på MR-området i externa relationer. </w:t>
      </w:r>
    </w:p>
    <w:p w14:paraId="1E5FF924" w14:textId="77777777" w:rsidR="00FC593E" w:rsidRPr="00FC593E" w:rsidRDefault="00FC593E" w:rsidP="00FC593E">
      <w:pPr>
        <w:rPr>
          <w:noProof/>
          <w:lang w:val="en-US"/>
        </w:rPr>
      </w:pPr>
      <w:r w:rsidRPr="00FC593E">
        <w:rPr>
          <w:noProof/>
          <w:lang w:val="en-US"/>
        </w:rPr>
        <w:t xml:space="preserve">Regeringen har sedan den 1 januari 2013 sekonderat en svensk politisk rådgivare (Caroline Stein) till EUSR:s kontor. </w:t>
      </w:r>
    </w:p>
    <w:p w14:paraId="7E616AB2" w14:textId="77777777" w:rsidR="00643D86" w:rsidRDefault="000D3BFF" w:rsidP="00643D86">
      <w:pPr>
        <w:pStyle w:val="Rubrik1"/>
      </w:pPr>
      <w:bookmarkStart w:id="14" w:name="_Toc411516010"/>
      <w:r>
        <w:rPr>
          <w:noProof/>
        </w:rPr>
        <w:t>Council Decision extending the mandate of the European Union Special Representative for the Sahel</w:t>
      </w:r>
      <w:bookmarkEnd w:id="14"/>
    </w:p>
    <w:p w14:paraId="7E616AB4" w14:textId="2DB494DC" w:rsidR="00643D86" w:rsidRDefault="000D3BFF" w:rsidP="00643D86">
      <w:pPr>
        <w:rPr>
          <w:lang w:val="en-US"/>
        </w:rPr>
      </w:pPr>
      <w:r>
        <w:rPr>
          <w:noProof/>
          <w:lang w:val="en-US"/>
        </w:rPr>
        <w:t>6163</w:t>
      </w:r>
      <w:r>
        <w:rPr>
          <w:lang w:val="en-US"/>
        </w:rPr>
        <w:t>/15 PESC 174 COAFR 64 CSC 32</w:t>
      </w:r>
      <w:r w:rsidR="003510B9">
        <w:rPr>
          <w:lang w:val="en-US"/>
        </w:rPr>
        <w:t xml:space="preserve"> </w:t>
      </w:r>
      <w:r>
        <w:rPr>
          <w:lang w:val="en-US"/>
        </w:rPr>
        <w:t>5717/15 PESC 95 COAFR 34 CSC 18</w:t>
      </w:r>
    </w:p>
    <w:p w14:paraId="7E616AB5" w14:textId="77777777" w:rsidR="00643D86" w:rsidRDefault="000D3BFF" w:rsidP="00643D86">
      <w:r>
        <w:rPr>
          <w:b/>
        </w:rPr>
        <w:t>Ansvarigt statsråd</w:t>
      </w:r>
      <w:r>
        <w:rPr>
          <w:b/>
        </w:rPr>
        <w:br/>
      </w:r>
      <w:r>
        <w:rPr>
          <w:noProof/>
        </w:rPr>
        <w:t>Margot Wallström</w:t>
      </w:r>
    </w:p>
    <w:p w14:paraId="7E616AB9" w14:textId="621F61A0" w:rsidR="005D664D" w:rsidRDefault="000D3BFF" w:rsidP="003510B9">
      <w:r w:rsidRPr="00B44CE2">
        <w:rPr>
          <w:b/>
        </w:rPr>
        <w:t>Annotering</w:t>
      </w:r>
      <w:r>
        <w:rPr>
          <w:b/>
        </w:rPr>
        <w:br/>
      </w:r>
      <w:r>
        <w:rPr>
          <w:b/>
          <w:bCs/>
        </w:rPr>
        <w:t>Avsikt med behandlingen i rådet:</w:t>
      </w:r>
      <w:r>
        <w:t xml:space="preserve"> Rådet föreslås anta förlängningen av mandatet för EU:s särskilda sändebud för </w:t>
      </w:r>
      <w:r w:rsidR="00CB136F">
        <w:t>Sahel</w:t>
      </w:r>
      <w:r>
        <w:rPr>
          <w:color w:val="000000"/>
        </w:rPr>
        <w:t>.</w:t>
      </w:r>
    </w:p>
    <w:p w14:paraId="7E616ABA" w14:textId="2C9586F2" w:rsidR="005D664D" w:rsidRDefault="000D3BFF">
      <w:pPr>
        <w:spacing w:after="280" w:afterAutospacing="1"/>
      </w:pPr>
      <w:r>
        <w:rPr>
          <w:b/>
          <w:bCs/>
        </w:rPr>
        <w:t>Hur regeringen ställer sig till den blivande A-punkten:</w:t>
      </w:r>
      <w:r>
        <w:t xml:space="preserve"> Sverige avser rösta ja.</w:t>
      </w:r>
    </w:p>
    <w:p w14:paraId="7E616ABB" w14:textId="77777777" w:rsidR="005D664D" w:rsidRDefault="000D3BFF">
      <w:pPr>
        <w:spacing w:after="280" w:afterAutospacing="1"/>
      </w:pPr>
      <w:r>
        <w:rPr>
          <w:b/>
          <w:bCs/>
        </w:rPr>
        <w:lastRenderedPageBreak/>
        <w:t xml:space="preserve">Bakgrund: </w:t>
      </w:r>
      <w:r>
        <w:t xml:space="preserve">Mandatet förlängs för en period av åtta månader, under vilken HR </w:t>
      </w:r>
      <w:proofErr w:type="spellStart"/>
      <w:r>
        <w:t>Mogherini</w:t>
      </w:r>
      <w:proofErr w:type="spellEnd"/>
      <w:r>
        <w:t xml:space="preserve"> ska skapa sig en bild av </w:t>
      </w:r>
      <w:proofErr w:type="spellStart"/>
      <w:r>
        <w:t>EUSR:s</w:t>
      </w:r>
      <w:proofErr w:type="spellEnd"/>
      <w:r>
        <w:t xml:space="preserve"> arbete och interaktion med EEAS. Under hösten 2015 ska förslag läggas fram om EUSR-instrumentets framtid.</w:t>
      </w:r>
    </w:p>
    <w:p w14:paraId="7E616ABC" w14:textId="77777777" w:rsidR="00FB32B9" w:rsidRDefault="00FC593E">
      <w:pPr>
        <w:spacing w:after="280" w:afterAutospacing="1"/>
        <w:rPr>
          <w:noProof/>
        </w:rPr>
      </w:pPr>
    </w:p>
    <w:bookmarkEnd w:id="1"/>
    <w:p w14:paraId="7E616ABD" w14:textId="77777777" w:rsidR="00643D86" w:rsidRPr="00643D86" w:rsidRDefault="00FC593E" w:rsidP="00643D86">
      <w:pPr>
        <w:ind w:left="0"/>
        <w:rPr>
          <w:lang w:val="en-US"/>
        </w:rPr>
      </w:pPr>
    </w:p>
    <w:sectPr w:rsidR="00643D86" w:rsidRPr="00643D86" w:rsidSect="006E71D7">
      <w:head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2234EE" w14:textId="77777777" w:rsidR="00F368D3" w:rsidRDefault="00F368D3">
      <w:pPr>
        <w:spacing w:after="0" w:line="240" w:lineRule="auto"/>
      </w:pPr>
      <w:r>
        <w:separator/>
      </w:r>
    </w:p>
  </w:endnote>
  <w:endnote w:type="continuationSeparator" w:id="0">
    <w:p w14:paraId="6F088C40" w14:textId="77777777" w:rsidR="00F368D3" w:rsidRDefault="00F36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!importan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316656" w14:textId="77777777" w:rsidR="00F368D3" w:rsidRDefault="00F368D3">
      <w:pPr>
        <w:spacing w:after="0" w:line="240" w:lineRule="auto"/>
      </w:pPr>
      <w:r>
        <w:separator/>
      </w:r>
    </w:p>
  </w:footnote>
  <w:footnote w:type="continuationSeparator" w:id="0">
    <w:p w14:paraId="3F387A2E" w14:textId="77777777" w:rsidR="00F368D3" w:rsidRDefault="00F36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3841871"/>
      <w:docPartObj>
        <w:docPartGallery w:val="Page Numbers (Top of Page)"/>
        <w:docPartUnique/>
      </w:docPartObj>
    </w:sdtPr>
    <w:sdtEndPr/>
    <w:sdtContent>
      <w:p w14:paraId="2580B790" w14:textId="14D131D1" w:rsidR="003510B9" w:rsidRDefault="003510B9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93E">
          <w:rPr>
            <w:noProof/>
          </w:rPr>
          <w:t>2</w:t>
        </w:r>
        <w:r>
          <w:fldChar w:fldCharType="end"/>
        </w:r>
      </w:p>
    </w:sdtContent>
  </w:sdt>
  <w:p w14:paraId="7E616ABF" w14:textId="77777777" w:rsidR="006F1C0D" w:rsidRDefault="00FC593E" w:rsidP="001237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606"/>
      <w:gridCol w:w="4606"/>
    </w:tblGrid>
    <w:tr w:rsidR="005D664D" w14:paraId="7E616AC5" w14:textId="77777777" w:rsidTr="006E71D7">
      <w:tc>
        <w:tcPr>
          <w:tcW w:w="4606" w:type="dxa"/>
        </w:tcPr>
        <w:p w14:paraId="7E616AC0" w14:textId="77777777" w:rsidR="006E71D7" w:rsidRDefault="000D3BFF" w:rsidP="00752770">
          <w:pPr>
            <w:pStyle w:val="Sidhuvud"/>
            <w:ind w:left="0"/>
          </w:pPr>
          <w:r>
            <w:rPr>
              <w:noProof/>
              <w:lang w:eastAsia="sv-SE"/>
            </w:rPr>
            <w:drawing>
              <wp:inline distT="0" distB="0" distL="0" distR="0" wp14:anchorId="7E616ACB" wp14:editId="7E616ACC">
                <wp:extent cx="1866900" cy="847725"/>
                <wp:effectExtent l="0" t="0" r="0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7E616AC1" w14:textId="77777777" w:rsidR="00FB32B9" w:rsidRDefault="00FC593E" w:rsidP="00FB32B9">
          <w:pPr>
            <w:ind w:right="916"/>
            <w:rPr>
              <w:rFonts w:ascii="TradeGothic" w:hAnsi="TradeGothic"/>
              <w:b/>
            </w:rPr>
          </w:pPr>
        </w:p>
        <w:p w14:paraId="7E616AC2" w14:textId="77777777" w:rsidR="00FB32B9" w:rsidRDefault="000D3BFF" w:rsidP="00FB32B9">
          <w:pPr>
            <w:ind w:right="916"/>
          </w:pPr>
          <w:r>
            <w:rPr>
              <w:rFonts w:ascii="TradeGothic" w:hAnsi="TradeGothic"/>
              <w:b/>
            </w:rPr>
            <w:t>Promemoria</w:t>
          </w:r>
        </w:p>
        <w:p w14:paraId="7E616AC3" w14:textId="77777777" w:rsidR="00FB32B9" w:rsidRDefault="00FC593E" w:rsidP="00FB32B9">
          <w:pPr>
            <w:jc w:val="right"/>
          </w:pPr>
        </w:p>
        <w:p w14:paraId="7E616AC4" w14:textId="77777777" w:rsidR="006E71D7" w:rsidRDefault="000D3BFF" w:rsidP="00FB32B9">
          <w:pPr>
            <w:ind w:right="916"/>
          </w:pPr>
          <w:r>
            <w:rPr>
              <w:rFonts w:ascii="TradeGothic" w:hAnsi="TradeGothic"/>
              <w:b/>
              <w:noProof/>
            </w:rPr>
            <w:t>2015-02-12</w:t>
          </w:r>
          <w:r w:rsidRPr="00934953">
            <w:t xml:space="preserve"> </w:t>
          </w:r>
        </w:p>
      </w:tc>
    </w:tr>
  </w:tbl>
  <w:p w14:paraId="7E616AC6" w14:textId="77777777" w:rsidR="00FB32B9" w:rsidRDefault="00FC593E" w:rsidP="00FB32B9">
    <w:pPr>
      <w:pStyle w:val="Avsndare"/>
      <w:framePr w:w="0" w:hRule="auto" w:hSpace="0" w:wrap="auto" w:vAnchor="margin" w:hAnchor="text" w:xAlign="left" w:yAlign="inline"/>
      <w:rPr>
        <w:b/>
        <w:i w:val="0"/>
        <w:sz w:val="22"/>
      </w:rPr>
    </w:pPr>
  </w:p>
  <w:p w14:paraId="7E616AC7" w14:textId="77777777" w:rsidR="00FB32B9" w:rsidRDefault="000D3BFF" w:rsidP="00FB32B9">
    <w:pPr>
      <w:pStyle w:val="Avsndare"/>
      <w:framePr w:w="0" w:hRule="auto" w:hSpace="0" w:wrap="auto" w:vAnchor="margin" w:hAnchor="text" w:xAlign="left" w:yAlign="inline"/>
      <w:rPr>
        <w:b/>
        <w:i w:val="0"/>
        <w:sz w:val="22"/>
      </w:rPr>
    </w:pPr>
    <w:r>
      <w:rPr>
        <w:b/>
        <w:i w:val="0"/>
        <w:sz w:val="22"/>
      </w:rPr>
      <w:t>Statsrådsberedningen</w:t>
    </w:r>
  </w:p>
  <w:p w14:paraId="7E616AC8" w14:textId="77777777" w:rsidR="00FB32B9" w:rsidRDefault="00FC593E" w:rsidP="00FB32B9">
    <w:pPr>
      <w:pStyle w:val="Avsndare"/>
      <w:framePr w:w="0" w:hRule="auto" w:hSpace="0" w:wrap="auto" w:vAnchor="margin" w:hAnchor="text" w:xAlign="left" w:yAlign="inline"/>
    </w:pPr>
  </w:p>
  <w:p w14:paraId="7E616AC9" w14:textId="77777777" w:rsidR="00FB32B9" w:rsidRDefault="000D3BFF" w:rsidP="00FB32B9">
    <w:pPr>
      <w:pStyle w:val="Avsndare"/>
      <w:framePr w:w="0" w:hRule="auto" w:hSpace="0" w:wrap="auto" w:vAnchor="margin" w:hAnchor="text" w:xAlign="left" w:yAlign="inline"/>
    </w:pPr>
    <w:r>
      <w:t>EU-kansliet</w:t>
    </w:r>
  </w:p>
  <w:p w14:paraId="7E616ACA" w14:textId="77777777" w:rsidR="0012376B" w:rsidRDefault="00FC593E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10AE9"/>
    <w:multiLevelType w:val="hybridMultilevel"/>
    <w:tmpl w:val="5E0C4660"/>
    <w:lvl w:ilvl="0" w:tplc="C52843EE">
      <w:start w:val="1"/>
      <w:numFmt w:val="decimal"/>
      <w:pStyle w:val="Rubrik1"/>
      <w:lvlText w:val="%1."/>
      <w:lvlJc w:val="left"/>
      <w:pPr>
        <w:ind w:left="720" w:hanging="360"/>
      </w:pPr>
    </w:lvl>
    <w:lvl w:ilvl="1" w:tplc="575E13E8" w:tentative="1">
      <w:start w:val="1"/>
      <w:numFmt w:val="lowerLetter"/>
      <w:lvlText w:val="%2."/>
      <w:lvlJc w:val="left"/>
      <w:pPr>
        <w:ind w:left="1440" w:hanging="360"/>
      </w:pPr>
    </w:lvl>
    <w:lvl w:ilvl="2" w:tplc="FACCF0A8" w:tentative="1">
      <w:start w:val="1"/>
      <w:numFmt w:val="lowerRoman"/>
      <w:lvlText w:val="%3."/>
      <w:lvlJc w:val="right"/>
      <w:pPr>
        <w:ind w:left="2160" w:hanging="180"/>
      </w:pPr>
    </w:lvl>
    <w:lvl w:ilvl="3" w:tplc="E042E2C4" w:tentative="1">
      <w:start w:val="1"/>
      <w:numFmt w:val="decimal"/>
      <w:lvlText w:val="%4."/>
      <w:lvlJc w:val="left"/>
      <w:pPr>
        <w:ind w:left="2880" w:hanging="360"/>
      </w:pPr>
    </w:lvl>
    <w:lvl w:ilvl="4" w:tplc="FAA8C194" w:tentative="1">
      <w:start w:val="1"/>
      <w:numFmt w:val="lowerLetter"/>
      <w:lvlText w:val="%5."/>
      <w:lvlJc w:val="left"/>
      <w:pPr>
        <w:ind w:left="3600" w:hanging="360"/>
      </w:pPr>
    </w:lvl>
    <w:lvl w:ilvl="5" w:tplc="CBF61BD0" w:tentative="1">
      <w:start w:val="1"/>
      <w:numFmt w:val="lowerRoman"/>
      <w:lvlText w:val="%6."/>
      <w:lvlJc w:val="right"/>
      <w:pPr>
        <w:ind w:left="4320" w:hanging="180"/>
      </w:pPr>
    </w:lvl>
    <w:lvl w:ilvl="6" w:tplc="52E0BD86" w:tentative="1">
      <w:start w:val="1"/>
      <w:numFmt w:val="decimal"/>
      <w:lvlText w:val="%7."/>
      <w:lvlJc w:val="left"/>
      <w:pPr>
        <w:ind w:left="5040" w:hanging="360"/>
      </w:pPr>
    </w:lvl>
    <w:lvl w:ilvl="7" w:tplc="3F9CBC8C" w:tentative="1">
      <w:start w:val="1"/>
      <w:numFmt w:val="lowerLetter"/>
      <w:lvlText w:val="%8."/>
      <w:lvlJc w:val="left"/>
      <w:pPr>
        <w:ind w:left="5760" w:hanging="360"/>
      </w:pPr>
    </w:lvl>
    <w:lvl w:ilvl="8" w:tplc="BE2E68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90993"/>
    <w:multiLevelType w:val="hybridMultilevel"/>
    <w:tmpl w:val="3BD822EE"/>
    <w:lvl w:ilvl="0" w:tplc="604223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CE41A0" w:tentative="1">
      <w:start w:val="1"/>
      <w:numFmt w:val="lowerLetter"/>
      <w:lvlText w:val="%2."/>
      <w:lvlJc w:val="left"/>
      <w:pPr>
        <w:ind w:left="1080" w:hanging="360"/>
      </w:pPr>
    </w:lvl>
    <w:lvl w:ilvl="2" w:tplc="E5A2FA74" w:tentative="1">
      <w:start w:val="1"/>
      <w:numFmt w:val="lowerRoman"/>
      <w:lvlText w:val="%3."/>
      <w:lvlJc w:val="right"/>
      <w:pPr>
        <w:ind w:left="1800" w:hanging="180"/>
      </w:pPr>
    </w:lvl>
    <w:lvl w:ilvl="3" w:tplc="FAA88526" w:tentative="1">
      <w:start w:val="1"/>
      <w:numFmt w:val="decimal"/>
      <w:lvlText w:val="%4."/>
      <w:lvlJc w:val="left"/>
      <w:pPr>
        <w:ind w:left="2520" w:hanging="360"/>
      </w:pPr>
    </w:lvl>
    <w:lvl w:ilvl="4" w:tplc="624EE33A" w:tentative="1">
      <w:start w:val="1"/>
      <w:numFmt w:val="lowerLetter"/>
      <w:lvlText w:val="%5."/>
      <w:lvlJc w:val="left"/>
      <w:pPr>
        <w:ind w:left="3240" w:hanging="360"/>
      </w:pPr>
    </w:lvl>
    <w:lvl w:ilvl="5" w:tplc="B1E4F27C" w:tentative="1">
      <w:start w:val="1"/>
      <w:numFmt w:val="lowerRoman"/>
      <w:lvlText w:val="%6."/>
      <w:lvlJc w:val="right"/>
      <w:pPr>
        <w:ind w:left="3960" w:hanging="180"/>
      </w:pPr>
    </w:lvl>
    <w:lvl w:ilvl="6" w:tplc="3FA0576A" w:tentative="1">
      <w:start w:val="1"/>
      <w:numFmt w:val="decimal"/>
      <w:lvlText w:val="%7."/>
      <w:lvlJc w:val="left"/>
      <w:pPr>
        <w:ind w:left="4680" w:hanging="360"/>
      </w:pPr>
    </w:lvl>
    <w:lvl w:ilvl="7" w:tplc="D520B8C6" w:tentative="1">
      <w:start w:val="1"/>
      <w:numFmt w:val="lowerLetter"/>
      <w:lvlText w:val="%8."/>
      <w:lvlJc w:val="left"/>
      <w:pPr>
        <w:ind w:left="5400" w:hanging="360"/>
      </w:pPr>
    </w:lvl>
    <w:lvl w:ilvl="8" w:tplc="2F94923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64D"/>
    <w:rsid w:val="000D3BFF"/>
    <w:rsid w:val="00297509"/>
    <w:rsid w:val="003510B9"/>
    <w:rsid w:val="005D664D"/>
    <w:rsid w:val="006E0C6A"/>
    <w:rsid w:val="00854F7D"/>
    <w:rsid w:val="00CB136F"/>
    <w:rsid w:val="00D50EC8"/>
    <w:rsid w:val="00EA1D0C"/>
    <w:rsid w:val="00F368D3"/>
    <w:rsid w:val="00FC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16A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8AA"/>
    <w:pPr>
      <w:ind w:left="714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047FA"/>
    <w:pPr>
      <w:keepNext/>
      <w:keepLines/>
      <w:numPr>
        <w:numId w:val="2"/>
      </w:numPr>
      <w:spacing w:before="480" w:after="0"/>
      <w:outlineLvl w:val="0"/>
    </w:pPr>
    <w:rPr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47FA"/>
    <w:rPr>
      <w:rFonts w:ascii="Times New Roman" w:hAnsi="Times New Roman"/>
      <w:b/>
      <w:bCs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957FB"/>
    <w:pPr>
      <w:numPr>
        <w:numId w:val="0"/>
      </w:numPr>
      <w:outlineLvl w:val="9"/>
    </w:pPr>
    <w:rPr>
      <w:rFonts w:ascii="Cambria" w:hAnsi="Cambria"/>
      <w:color w:val="365F91" w:themeColor="accent1" w:themeShade="BF"/>
      <w:sz w:val="28"/>
      <w:lang w:val="en-US" w:eastAsia="ja-JP"/>
    </w:rPr>
  </w:style>
  <w:style w:type="paragraph" w:styleId="Innehll1">
    <w:name w:val="toc 1"/>
    <w:basedOn w:val="Normal"/>
    <w:next w:val="Normal"/>
    <w:autoRedefine/>
    <w:uiPriority w:val="39"/>
    <w:unhideWhenUsed/>
    <w:rsid w:val="00D957FB"/>
    <w:pPr>
      <w:spacing w:after="100"/>
      <w:ind w:left="0"/>
    </w:pPr>
  </w:style>
  <w:style w:type="character" w:styleId="Hyperlnk">
    <w:name w:val="Hyperlink"/>
    <w:basedOn w:val="Standardstycketeckensnitt"/>
    <w:uiPriority w:val="99"/>
    <w:unhideWhenUsed/>
    <w:rsid w:val="00D957FB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95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957F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1C0D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1C0D"/>
    <w:rPr>
      <w:rFonts w:ascii="Times New Roman" w:hAnsi="Times New Roman"/>
    </w:rPr>
  </w:style>
  <w:style w:type="table" w:styleId="Tabellrutnt">
    <w:name w:val="Table Grid"/>
    <w:basedOn w:val="Normaltabell"/>
    <w:uiPriority w:val="59"/>
    <w:rsid w:val="006E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rsid w:val="00FB32B9"/>
    <w:pPr>
      <w:spacing w:after="0" w:line="320" w:lineRule="exact"/>
      <w:ind w:left="0"/>
    </w:pPr>
    <w:rPr>
      <w:rFonts w:eastAsia="Times New Roman"/>
      <w:sz w:val="24"/>
      <w:szCs w:val="20"/>
    </w:rPr>
  </w:style>
  <w:style w:type="character" w:customStyle="1" w:styleId="BrdtextChar">
    <w:name w:val="Brödtext Char"/>
    <w:basedOn w:val="Standardstycketeckensnitt"/>
    <w:link w:val="Brdtext"/>
    <w:rsid w:val="00FB32B9"/>
    <w:rPr>
      <w:rFonts w:ascii="Times New Roman" w:eastAsia="Times New Roman" w:hAnsi="Times New Roman" w:cs="Times New Roman"/>
      <w:sz w:val="24"/>
      <w:szCs w:val="20"/>
    </w:rPr>
  </w:style>
  <w:style w:type="paragraph" w:customStyle="1" w:styleId="UDrubrik">
    <w:name w:val="UDrubrik"/>
    <w:basedOn w:val="Normal"/>
    <w:next w:val="Brdtext"/>
    <w:rsid w:val="00FB32B9"/>
    <w:pPr>
      <w:spacing w:after="0" w:line="320" w:lineRule="exact"/>
      <w:ind w:left="0"/>
    </w:pPr>
    <w:rPr>
      <w:rFonts w:ascii="Arial" w:eastAsia="Times New Roman" w:hAnsi="Arial"/>
      <w:b/>
      <w:szCs w:val="20"/>
    </w:rPr>
  </w:style>
  <w:style w:type="paragraph" w:customStyle="1" w:styleId="Avsndare">
    <w:name w:val="Avsändare"/>
    <w:basedOn w:val="Normal"/>
    <w:rsid w:val="00FB32B9"/>
    <w:pPr>
      <w:framePr w:w="4695" w:h="2483" w:hRule="exact" w:hSpace="113" w:wrap="notBeside" w:vAnchor="page" w:hAnchor="page" w:x="1475" w:y="2496"/>
      <w:tabs>
        <w:tab w:val="left" w:pos="3260"/>
      </w:tabs>
      <w:spacing w:after="0" w:line="260" w:lineRule="exact"/>
      <w:ind w:left="0"/>
    </w:pPr>
    <w:rPr>
      <w:rFonts w:ascii="TradeGothic" w:eastAsia="Times New Roman" w:hAnsi="TradeGothic"/>
      <w:i/>
      <w:sz w:val="18"/>
      <w:szCs w:val="20"/>
    </w:rPr>
  </w:style>
  <w:style w:type="paragraph" w:styleId="Normalwebb">
    <w:name w:val="Normal (Web)"/>
    <w:basedOn w:val="Normal"/>
    <w:uiPriority w:val="99"/>
    <w:semiHidden/>
    <w:unhideWhenUsed/>
    <w:rsid w:val="00FC593E"/>
    <w:pPr>
      <w:spacing w:before="100" w:beforeAutospacing="1" w:after="100" w:afterAutospacing="1" w:line="240" w:lineRule="auto"/>
      <w:ind w:left="0"/>
    </w:pPr>
    <w:rPr>
      <w:rFonts w:eastAsia="Times New Roman"/>
      <w:sz w:val="24"/>
      <w:szCs w:val="24"/>
      <w:lang w:eastAsia="sv-SE"/>
    </w:rPr>
  </w:style>
  <w:style w:type="character" w:customStyle="1" w:styleId="ng-binding">
    <w:name w:val="ng-binding"/>
    <w:basedOn w:val="Standardstycketeckensnitt"/>
    <w:rsid w:val="00FC593E"/>
  </w:style>
  <w:style w:type="character" w:customStyle="1" w:styleId="ng-scope">
    <w:name w:val="ng-scope"/>
    <w:basedOn w:val="Standardstycketeckensnitt"/>
    <w:rsid w:val="00FC59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8AA"/>
    <w:pPr>
      <w:ind w:left="714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047FA"/>
    <w:pPr>
      <w:keepNext/>
      <w:keepLines/>
      <w:numPr>
        <w:numId w:val="2"/>
      </w:numPr>
      <w:spacing w:before="480" w:after="0"/>
      <w:outlineLvl w:val="0"/>
    </w:pPr>
    <w:rPr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47FA"/>
    <w:rPr>
      <w:rFonts w:ascii="Times New Roman" w:hAnsi="Times New Roman"/>
      <w:b/>
      <w:bCs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957FB"/>
    <w:pPr>
      <w:numPr>
        <w:numId w:val="0"/>
      </w:numPr>
      <w:outlineLvl w:val="9"/>
    </w:pPr>
    <w:rPr>
      <w:rFonts w:ascii="Cambria" w:hAnsi="Cambria"/>
      <w:color w:val="365F91" w:themeColor="accent1" w:themeShade="BF"/>
      <w:sz w:val="28"/>
      <w:lang w:val="en-US" w:eastAsia="ja-JP"/>
    </w:rPr>
  </w:style>
  <w:style w:type="paragraph" w:styleId="Innehll1">
    <w:name w:val="toc 1"/>
    <w:basedOn w:val="Normal"/>
    <w:next w:val="Normal"/>
    <w:autoRedefine/>
    <w:uiPriority w:val="39"/>
    <w:unhideWhenUsed/>
    <w:rsid w:val="00D957FB"/>
    <w:pPr>
      <w:spacing w:after="100"/>
      <w:ind w:left="0"/>
    </w:pPr>
  </w:style>
  <w:style w:type="character" w:styleId="Hyperlnk">
    <w:name w:val="Hyperlink"/>
    <w:basedOn w:val="Standardstycketeckensnitt"/>
    <w:uiPriority w:val="99"/>
    <w:unhideWhenUsed/>
    <w:rsid w:val="00D957FB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95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957F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1C0D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1C0D"/>
    <w:rPr>
      <w:rFonts w:ascii="Times New Roman" w:hAnsi="Times New Roman"/>
    </w:rPr>
  </w:style>
  <w:style w:type="table" w:styleId="Tabellrutnt">
    <w:name w:val="Table Grid"/>
    <w:basedOn w:val="Normaltabell"/>
    <w:uiPriority w:val="59"/>
    <w:rsid w:val="006E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rsid w:val="00FB32B9"/>
    <w:pPr>
      <w:spacing w:after="0" w:line="320" w:lineRule="exact"/>
      <w:ind w:left="0"/>
    </w:pPr>
    <w:rPr>
      <w:rFonts w:eastAsia="Times New Roman"/>
      <w:sz w:val="24"/>
      <w:szCs w:val="20"/>
    </w:rPr>
  </w:style>
  <w:style w:type="character" w:customStyle="1" w:styleId="BrdtextChar">
    <w:name w:val="Brödtext Char"/>
    <w:basedOn w:val="Standardstycketeckensnitt"/>
    <w:link w:val="Brdtext"/>
    <w:rsid w:val="00FB32B9"/>
    <w:rPr>
      <w:rFonts w:ascii="Times New Roman" w:eastAsia="Times New Roman" w:hAnsi="Times New Roman" w:cs="Times New Roman"/>
      <w:sz w:val="24"/>
      <w:szCs w:val="20"/>
    </w:rPr>
  </w:style>
  <w:style w:type="paragraph" w:customStyle="1" w:styleId="UDrubrik">
    <w:name w:val="UDrubrik"/>
    <w:basedOn w:val="Normal"/>
    <w:next w:val="Brdtext"/>
    <w:rsid w:val="00FB32B9"/>
    <w:pPr>
      <w:spacing w:after="0" w:line="320" w:lineRule="exact"/>
      <w:ind w:left="0"/>
    </w:pPr>
    <w:rPr>
      <w:rFonts w:ascii="Arial" w:eastAsia="Times New Roman" w:hAnsi="Arial"/>
      <w:b/>
      <w:szCs w:val="20"/>
    </w:rPr>
  </w:style>
  <w:style w:type="paragraph" w:customStyle="1" w:styleId="Avsndare">
    <w:name w:val="Avsändare"/>
    <w:basedOn w:val="Normal"/>
    <w:rsid w:val="00FB32B9"/>
    <w:pPr>
      <w:framePr w:w="4695" w:h="2483" w:hRule="exact" w:hSpace="113" w:wrap="notBeside" w:vAnchor="page" w:hAnchor="page" w:x="1475" w:y="2496"/>
      <w:tabs>
        <w:tab w:val="left" w:pos="3260"/>
      </w:tabs>
      <w:spacing w:after="0" w:line="260" w:lineRule="exact"/>
      <w:ind w:left="0"/>
    </w:pPr>
    <w:rPr>
      <w:rFonts w:ascii="TradeGothic" w:eastAsia="Times New Roman" w:hAnsi="TradeGothic"/>
      <w:i/>
      <w:sz w:val="18"/>
      <w:szCs w:val="20"/>
    </w:rPr>
  </w:style>
  <w:style w:type="paragraph" w:styleId="Normalwebb">
    <w:name w:val="Normal (Web)"/>
    <w:basedOn w:val="Normal"/>
    <w:uiPriority w:val="99"/>
    <w:semiHidden/>
    <w:unhideWhenUsed/>
    <w:rsid w:val="00FC593E"/>
    <w:pPr>
      <w:spacing w:before="100" w:beforeAutospacing="1" w:after="100" w:afterAutospacing="1" w:line="240" w:lineRule="auto"/>
      <w:ind w:left="0"/>
    </w:pPr>
    <w:rPr>
      <w:rFonts w:eastAsia="Times New Roman"/>
      <w:sz w:val="24"/>
      <w:szCs w:val="24"/>
      <w:lang w:eastAsia="sv-SE"/>
    </w:rPr>
  </w:style>
  <w:style w:type="character" w:customStyle="1" w:styleId="ng-binding">
    <w:name w:val="ng-binding"/>
    <w:basedOn w:val="Standardstycketeckensnitt"/>
    <w:rsid w:val="00FC593E"/>
  </w:style>
  <w:style w:type="character" w:customStyle="1" w:styleId="ng-scope">
    <w:name w:val="ng-scope"/>
    <w:basedOn w:val="Standardstycketeckensnitt"/>
    <w:rsid w:val="00FC5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1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1650">
                          <w:marLeft w:val="23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6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9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17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100236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60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505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704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943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269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127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903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96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248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2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017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4988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66ae41-1ec6-402e-b662-35d1932ca064"/>
    <Sekretess xmlns="8b66ae41-1ec6-402e-b662-35d1932ca064" xsi:nil="true"/>
    <RKOrdnaCheckInComment xmlns="e4c0beb7-0294-4d25-9600-346807c0961e" xsi:nil="true"/>
    <c9cd366cc722410295b9eacffbd73909 xmlns="8b66ae41-1ec6-402e-b662-35d1932ca064">
      <Terms xmlns="http://schemas.microsoft.com/office/infopath/2007/PartnerControls"/>
    </c9cd366cc722410295b9eacffbd73909>
    <RKOrdnaDiarienummer xmlns="8b66ae41-1ec6-402e-b662-35d1932ca064" xsi:nil="true"/>
    <k46d94c0acf84ab9a79866a9d8b1905f xmlns="8b66ae41-1ec6-402e-b662-35d1932ca064">
      <Terms xmlns="http://schemas.microsoft.com/office/infopath/2007/PartnerControls"/>
    </k46d94c0acf84ab9a79866a9d8b1905f>
    <RKOrdnaClass xmlns="e4c0beb7-0294-4d25-9600-346807c0961e" xsi:nil="true"/>
    <_dlc_DocId xmlns="8b66ae41-1ec6-402e-b662-35d1932ca064">JE6N4JFJXNNF-9-66609</_dlc_DocId>
    <_dlc_DocIdUrl xmlns="8b66ae41-1ec6-402e-b662-35d1932ca064">
      <Url>http://rkdhs-sb/enhet/EUKansli/_layouts/DocIdRedir.aspx?ID=JE6N4JFJXNNF-9-66609</Url>
      <Description>JE6N4JFJXNNF-9-66609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C7E30FED4CE7541B6BEEAC5BBDA3952" ma:contentTypeVersion="10" ma:contentTypeDescription="Skapa ett nytt dokument." ma:contentTypeScope="" ma:versionID="971f8798b1b03f47941c8c986cfb8434">
  <xsd:schema xmlns:xsd="http://www.w3.org/2001/XMLSchema" xmlns:xs="http://www.w3.org/2001/XMLSchema" xmlns:p="http://schemas.microsoft.com/office/2006/metadata/properties" xmlns:ns2="8b66ae41-1ec6-402e-b662-35d1932ca064" xmlns:ns4="e4c0beb7-0294-4d25-9600-346807c0961e" targetNamespace="http://schemas.microsoft.com/office/2006/metadata/properties" ma:root="true" ma:fieldsID="1e7f2f661d8bc62945e2883c710755d7" ns2:_="" ns4:_="">
    <xsd:import namespace="8b66ae41-1ec6-402e-b662-35d1932ca064"/>
    <xsd:import namespace="e4c0beb7-0294-4d25-9600-346807c096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RKOrdnaDiarienummer" minOccurs="0"/>
                <xsd:element ref="ns2:Sekretess" minOccurs="0"/>
                <xsd:element ref="ns4:RKOrdnaClass" minOccurs="0"/>
                <xsd:element ref="ns4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ae41-1ec6-402e-b662-35d1932ca0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214e9879-89bb-41f6-84f0-9a957e878cfe}" ma:internalName="TaxCatchAll" ma:showField="CatchAllData" ma:web="8b66ae41-1ec6-402e-b662-35d1932ca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214e9879-89bb-41f6-84f0-9a957e878cfe}" ma:internalName="TaxCatchAllLabel" ma:readOnly="true" ma:showField="CatchAllDataLabel" ma:web="8b66ae41-1ec6-402e-b662-35d1932ca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KOrdnaDiarienummer" ma:index="17" nillable="true" ma:displayName="Diarienummer" ma:internalName="Diarienummer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0beb7-0294-4d25-9600-346807c0961e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 ma:displayName="Nyckelord" ma:readOnly="true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05141-7377-49E4-ACC0-FF3E77AE4276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e4c0beb7-0294-4d25-9600-346807c0961e"/>
    <ds:schemaRef ds:uri="http://schemas.microsoft.com/office/2006/documentManagement/types"/>
    <ds:schemaRef ds:uri="8b66ae41-1ec6-402e-b662-35d1932ca064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0177513-B9DE-40A8-959D-F2350FFE0F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46754B-6903-4819-90D3-17761B5B2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6ae41-1ec6-402e-b662-35d1932ca064"/>
    <ds:schemaRef ds:uri="e4c0beb7-0294-4d25-9600-346807c096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3A16E9-B94D-4517-A954-14142AB2700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332EFDC-488E-4CB6-BCB1-A44D9BC8A404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9575A15B-5AB4-4D37-926F-8AB5BE4EBA44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AB360C6D-43D3-432B-A14F-BABE362FC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1801</Words>
  <Characters>9547</Characters>
  <Application>Microsoft Office Word</Application>
  <DocSecurity>4</DocSecurity>
  <Lines>79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 RK IT</Company>
  <LinksUpToDate>false</LinksUpToDate>
  <CharactersWithSpaces>11326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Pia Johnsen</cp:lastModifiedBy>
  <cp:revision>2</cp:revision>
  <dcterms:created xsi:type="dcterms:W3CDTF">2015-02-12T13:52:00Z</dcterms:created>
  <dcterms:modified xsi:type="dcterms:W3CDTF">2015-02-12T13:52:00Z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0x01010053E1D612BA3F4E21AA250ECD751942B3009C7E30FED4CE7541B6BEEAC5BBDA3952</vt:lpwstr>
  </property>
  <property fmtid="{D5CDD505-2E9C-101B-9397-08002B2CF9AE}" pid="3" name="MCreatorEmail">
    <vt:lpwstr>pia.johnsen@regeringskansliet.se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_dlc_DocIdItemGuid">
    <vt:lpwstr>50fadc50-e35a-4bb1-ac3b-114fc8daa04b</vt:lpwstr>
  </property>
</Properties>
</file>