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43BAE2D6"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AE0DEF">
              <w:rPr>
                <w:b/>
              </w:rPr>
              <w:t>1</w:t>
            </w:r>
            <w:r w:rsidR="00BB21D1">
              <w:rPr>
                <w:b/>
              </w:rPr>
              <w:t>4</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3665877" w:rsidR="00F65DF8" w:rsidRPr="0012669A" w:rsidRDefault="00D46F51" w:rsidP="005F596C">
            <w:r w:rsidRPr="0012669A">
              <w:t>20</w:t>
            </w:r>
            <w:r w:rsidR="00F053F8" w:rsidRPr="0012669A">
              <w:t>2</w:t>
            </w:r>
            <w:r w:rsidR="001B3B27">
              <w:t>3</w:t>
            </w:r>
            <w:r w:rsidRPr="0012669A">
              <w:t>-</w:t>
            </w:r>
            <w:r w:rsidR="007030D7">
              <w:t>1</w:t>
            </w:r>
            <w:r w:rsidR="00F32421">
              <w:t>2</w:t>
            </w:r>
            <w:r w:rsidR="004D2A50">
              <w:t>-</w:t>
            </w:r>
            <w:r w:rsidR="00BB21D1">
              <w:t>14</w:t>
            </w:r>
          </w:p>
        </w:tc>
      </w:tr>
      <w:tr w:rsidR="00617E79" w:rsidRPr="0012669A" w14:paraId="6D496F12" w14:textId="77777777" w:rsidTr="008B7A6E">
        <w:tc>
          <w:tcPr>
            <w:tcW w:w="2057" w:type="dxa"/>
          </w:tcPr>
          <w:p w14:paraId="322CB7CF" w14:textId="1DD775ED" w:rsidR="00F65DF8" w:rsidRPr="0012669A" w:rsidRDefault="00F65DF8" w:rsidP="00F65DF8">
            <w:r w:rsidRPr="0012669A">
              <w:t>TID</w:t>
            </w:r>
          </w:p>
        </w:tc>
        <w:tc>
          <w:tcPr>
            <w:tcW w:w="6391" w:type="dxa"/>
          </w:tcPr>
          <w:p w14:paraId="78945337" w14:textId="4FD1652E" w:rsidR="00134D73" w:rsidRPr="0012669A" w:rsidRDefault="0090760E" w:rsidP="008C57B9">
            <w:r>
              <w:t>1</w:t>
            </w:r>
            <w:r w:rsidR="001925F5">
              <w:t>0</w:t>
            </w:r>
            <w:r w:rsidR="006A30F1">
              <w:t>.</w:t>
            </w:r>
            <w:r w:rsidR="00EC1072">
              <w:t>0</w:t>
            </w:r>
            <w:r w:rsidR="00AC75E3">
              <w:t>0</w:t>
            </w:r>
            <w:r w:rsidR="0073639C">
              <w:t>–</w:t>
            </w:r>
            <w:r w:rsidR="002B0AE2">
              <w:t>10.35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E1552E" w:rsidRPr="0012669A" w14:paraId="3E383414" w14:textId="77777777" w:rsidTr="00BB21D1">
        <w:trPr>
          <w:trHeight w:val="950"/>
        </w:trPr>
        <w:tc>
          <w:tcPr>
            <w:tcW w:w="567" w:type="dxa"/>
          </w:tcPr>
          <w:p w14:paraId="5B3E3192" w14:textId="09CE80DC" w:rsidR="00E1552E" w:rsidRDefault="00E1552E" w:rsidP="00DC0D46">
            <w:pPr>
              <w:tabs>
                <w:tab w:val="left" w:pos="1701"/>
              </w:tabs>
              <w:rPr>
                <w:b/>
                <w:snapToGrid w:val="0"/>
              </w:rPr>
            </w:pPr>
            <w:r>
              <w:rPr>
                <w:b/>
                <w:snapToGrid w:val="0"/>
              </w:rPr>
              <w:t xml:space="preserve">§ </w:t>
            </w:r>
            <w:r w:rsidR="0090760E">
              <w:rPr>
                <w:b/>
                <w:snapToGrid w:val="0"/>
              </w:rPr>
              <w:t>1</w:t>
            </w:r>
          </w:p>
        </w:tc>
        <w:tc>
          <w:tcPr>
            <w:tcW w:w="7020" w:type="dxa"/>
          </w:tcPr>
          <w:p w14:paraId="7647FCC2" w14:textId="77777777" w:rsidR="0090760E" w:rsidRDefault="00BA0945" w:rsidP="0090760E">
            <w:pPr>
              <w:widowControl w:val="0"/>
              <w:tabs>
                <w:tab w:val="left" w:pos="1701"/>
              </w:tabs>
              <w:rPr>
                <w:b/>
                <w:bCs/>
                <w:iCs/>
              </w:rPr>
            </w:pPr>
            <w:r w:rsidRPr="00BA0945">
              <w:rPr>
                <w:b/>
                <w:bCs/>
                <w:iCs/>
              </w:rPr>
              <w:t>Justering av protokoll</w:t>
            </w:r>
          </w:p>
          <w:p w14:paraId="403644C0" w14:textId="77777777" w:rsidR="00BA0945" w:rsidRDefault="00BA0945" w:rsidP="0090760E">
            <w:pPr>
              <w:widowControl w:val="0"/>
              <w:tabs>
                <w:tab w:val="left" w:pos="1701"/>
              </w:tabs>
              <w:rPr>
                <w:b/>
                <w:bCs/>
                <w:iCs/>
              </w:rPr>
            </w:pPr>
          </w:p>
          <w:p w14:paraId="354CC29C" w14:textId="31441F0B" w:rsidR="00BA0945" w:rsidRDefault="00BA0945" w:rsidP="0090760E">
            <w:pPr>
              <w:widowControl w:val="0"/>
              <w:tabs>
                <w:tab w:val="left" w:pos="1701"/>
              </w:tabs>
              <w:rPr>
                <w:iCs/>
              </w:rPr>
            </w:pPr>
            <w:r w:rsidRPr="00BA0945">
              <w:rPr>
                <w:iCs/>
              </w:rPr>
              <w:t>Utskottet justerade protokoll 202</w:t>
            </w:r>
            <w:r>
              <w:rPr>
                <w:iCs/>
              </w:rPr>
              <w:t>3</w:t>
            </w:r>
            <w:r w:rsidRPr="00BA0945">
              <w:rPr>
                <w:iCs/>
              </w:rPr>
              <w:t>/2</w:t>
            </w:r>
            <w:r>
              <w:rPr>
                <w:iCs/>
              </w:rPr>
              <w:t>4</w:t>
            </w:r>
            <w:r w:rsidRPr="00BA0945">
              <w:rPr>
                <w:iCs/>
              </w:rPr>
              <w:t>:</w:t>
            </w:r>
            <w:r w:rsidR="00767C94">
              <w:rPr>
                <w:iCs/>
              </w:rPr>
              <w:t>1</w:t>
            </w:r>
            <w:r w:rsidR="00BB21D1">
              <w:rPr>
                <w:iCs/>
              </w:rPr>
              <w:t>3</w:t>
            </w:r>
            <w:r w:rsidR="00767C94">
              <w:rPr>
                <w:iCs/>
              </w:rPr>
              <w:t>.</w:t>
            </w:r>
          </w:p>
          <w:p w14:paraId="7C009A9B" w14:textId="46653FC8" w:rsidR="00866781" w:rsidRPr="00BA0945" w:rsidRDefault="00866781" w:rsidP="0090760E">
            <w:pPr>
              <w:widowControl w:val="0"/>
              <w:tabs>
                <w:tab w:val="left" w:pos="1701"/>
              </w:tabs>
              <w:rPr>
                <w:iCs/>
              </w:rPr>
            </w:pPr>
          </w:p>
        </w:tc>
      </w:tr>
      <w:tr w:rsidR="00AE0DEF" w:rsidRPr="0012669A" w14:paraId="15680803" w14:textId="77777777" w:rsidTr="00BB21D1">
        <w:trPr>
          <w:trHeight w:val="950"/>
        </w:trPr>
        <w:tc>
          <w:tcPr>
            <w:tcW w:w="567" w:type="dxa"/>
          </w:tcPr>
          <w:p w14:paraId="56E40C4C" w14:textId="577A5A8A" w:rsidR="00AE0DEF" w:rsidRDefault="00AE0DEF" w:rsidP="00DC0D46">
            <w:pPr>
              <w:tabs>
                <w:tab w:val="left" w:pos="1701"/>
              </w:tabs>
              <w:rPr>
                <w:b/>
                <w:snapToGrid w:val="0"/>
              </w:rPr>
            </w:pPr>
            <w:r>
              <w:rPr>
                <w:b/>
                <w:snapToGrid w:val="0"/>
              </w:rPr>
              <w:t xml:space="preserve">§ </w:t>
            </w:r>
            <w:r w:rsidR="007E1600">
              <w:rPr>
                <w:b/>
                <w:snapToGrid w:val="0"/>
              </w:rPr>
              <w:t>2</w:t>
            </w:r>
          </w:p>
        </w:tc>
        <w:tc>
          <w:tcPr>
            <w:tcW w:w="7020" w:type="dxa"/>
          </w:tcPr>
          <w:p w14:paraId="23CDC3A8" w14:textId="77777777" w:rsidR="00486ECA" w:rsidRDefault="00BB21D1" w:rsidP="00486ECA">
            <w:pPr>
              <w:widowControl w:val="0"/>
              <w:tabs>
                <w:tab w:val="left" w:pos="1701"/>
              </w:tabs>
              <w:rPr>
                <w:b/>
                <w:bCs/>
              </w:rPr>
            </w:pPr>
            <w:r w:rsidRPr="008E2F7A">
              <w:rPr>
                <w:b/>
                <w:bCs/>
              </w:rPr>
              <w:t>Förlängning av förordning om marknadskorrigeringsmekanismen</w:t>
            </w:r>
          </w:p>
          <w:p w14:paraId="1CB88498" w14:textId="77777777" w:rsidR="00BB21D1" w:rsidRDefault="00BB21D1" w:rsidP="00486ECA">
            <w:pPr>
              <w:widowControl w:val="0"/>
              <w:tabs>
                <w:tab w:val="left" w:pos="1701"/>
              </w:tabs>
              <w:rPr>
                <w:b/>
                <w:bCs/>
                <w:iCs/>
              </w:rPr>
            </w:pPr>
          </w:p>
          <w:p w14:paraId="3A33D83A" w14:textId="77777777" w:rsidR="00EE2F86" w:rsidRDefault="00EE2F86" w:rsidP="00486ECA">
            <w:pPr>
              <w:widowControl w:val="0"/>
              <w:tabs>
                <w:tab w:val="left" w:pos="1701"/>
              </w:tabs>
              <w:rPr>
                <w:szCs w:val="23"/>
              </w:rPr>
            </w:pPr>
            <w:r>
              <w:rPr>
                <w:szCs w:val="23"/>
              </w:rPr>
              <w:t>Utskottet överlade med s</w:t>
            </w:r>
            <w:r w:rsidR="00BB21D1" w:rsidRPr="00550D16">
              <w:rPr>
                <w:szCs w:val="23"/>
              </w:rPr>
              <w:t xml:space="preserve">tatssekreterare Daniel Liljeberg, </w:t>
            </w:r>
            <w:r>
              <w:rPr>
                <w:szCs w:val="23"/>
              </w:rPr>
              <w:t xml:space="preserve">biträdd av medarbetare från </w:t>
            </w:r>
            <w:r w:rsidR="00BB21D1" w:rsidRPr="00550D16">
              <w:rPr>
                <w:szCs w:val="23"/>
              </w:rPr>
              <w:t>Klimat- och näringslivsdepartementet</w:t>
            </w:r>
            <w:r>
              <w:rPr>
                <w:szCs w:val="23"/>
              </w:rPr>
              <w:t>.</w:t>
            </w:r>
          </w:p>
          <w:p w14:paraId="469FCB53" w14:textId="77777777" w:rsidR="00EE2F86" w:rsidRDefault="00EE2F86" w:rsidP="00486ECA">
            <w:pPr>
              <w:widowControl w:val="0"/>
              <w:tabs>
                <w:tab w:val="left" w:pos="1701"/>
              </w:tabs>
              <w:rPr>
                <w:szCs w:val="23"/>
              </w:rPr>
            </w:pPr>
          </w:p>
          <w:p w14:paraId="07BBC17D" w14:textId="1726C6B4" w:rsidR="00BB21D1" w:rsidRDefault="00EE2F86" w:rsidP="00486ECA">
            <w:pPr>
              <w:widowControl w:val="0"/>
              <w:tabs>
                <w:tab w:val="left" w:pos="1701"/>
              </w:tabs>
              <w:rPr>
                <w:szCs w:val="23"/>
              </w:rPr>
            </w:pPr>
            <w:r>
              <w:rPr>
                <w:szCs w:val="23"/>
              </w:rPr>
              <w:t>Underlaget utgjordes av kommissionens förslag</w:t>
            </w:r>
            <w:bookmarkStart w:id="0" w:name="_Hlk153207530"/>
            <w:r>
              <w:rPr>
                <w:szCs w:val="23"/>
              </w:rPr>
              <w:t xml:space="preserve"> </w:t>
            </w:r>
            <w:r w:rsidR="00BB21D1" w:rsidRPr="00550D16">
              <w:rPr>
                <w:szCs w:val="23"/>
              </w:rPr>
              <w:t>COM (2023) 761</w:t>
            </w:r>
            <w:bookmarkEnd w:id="0"/>
            <w:r>
              <w:rPr>
                <w:szCs w:val="23"/>
              </w:rPr>
              <w:t xml:space="preserve"> och Regeringskansliets överläggningspromemoria (dnr 2023/24:650).</w:t>
            </w:r>
          </w:p>
          <w:p w14:paraId="60632507" w14:textId="56906FCF" w:rsidR="00EE2F86" w:rsidRDefault="00EE2F86" w:rsidP="00486ECA">
            <w:pPr>
              <w:widowControl w:val="0"/>
              <w:tabs>
                <w:tab w:val="left" w:pos="1701"/>
              </w:tabs>
              <w:rPr>
                <w:szCs w:val="23"/>
              </w:rPr>
            </w:pPr>
          </w:p>
          <w:p w14:paraId="7E1E321C" w14:textId="6F6EF6B4" w:rsidR="00EE2F86" w:rsidRDefault="00EE2F86" w:rsidP="00486ECA">
            <w:pPr>
              <w:widowControl w:val="0"/>
              <w:tabs>
                <w:tab w:val="left" w:pos="1701"/>
              </w:tabs>
              <w:rPr>
                <w:szCs w:val="23"/>
              </w:rPr>
            </w:pPr>
            <w:r>
              <w:rPr>
                <w:szCs w:val="23"/>
              </w:rPr>
              <w:t>Statssekreteraren redogjorde för regeringens ståndpunkt i enlighet med överläggningspromemorian:</w:t>
            </w:r>
          </w:p>
          <w:p w14:paraId="0EFB4B4F" w14:textId="5984C92C" w:rsidR="00EE2F86" w:rsidRDefault="00EE2F86" w:rsidP="00486ECA">
            <w:pPr>
              <w:widowControl w:val="0"/>
              <w:tabs>
                <w:tab w:val="left" w:pos="1701"/>
              </w:tabs>
              <w:rPr>
                <w:szCs w:val="23"/>
              </w:rPr>
            </w:pPr>
          </w:p>
          <w:p w14:paraId="10B022A1" w14:textId="6F13ED48" w:rsidR="00EE2F86" w:rsidRDefault="00EE2F86" w:rsidP="00EE2F86">
            <w:pPr>
              <w:ind w:left="287"/>
            </w:pPr>
            <w:r>
              <w:t xml:space="preserve">Regeringen anser att gemensamma EU-åtgärder är det bästa sättet att säkerställa gasförsörjningen inom unionen på sikt. Regeringen anser att det från svensk utgångpunkt är tveksamt om det finns anledning att förlänga tillämpningstiden för rådsförordningen eftersom dess bestämmelser syftade till att hantera 2022–23 års akuta </w:t>
            </w:r>
            <w:proofErr w:type="spellStart"/>
            <w:r>
              <w:t>gaskris</w:t>
            </w:r>
            <w:proofErr w:type="spellEnd"/>
            <w:r>
              <w:t xml:space="preserve"> och konsekvenserna av en förlängning av åtgärderna inte är analyserade. I det fall en förlängning beslutas anser regeringen att den bör begränsas till att förlänga förordningens giltighetstid och några nya bestämmelser bör inte införas. Med hänsyn till att andra medlemsstater är mer berörda av krisförordningen än Sverige är, avser regeringen vara lyhörd till dessa medlemsstaters ståndpunkter i förhandlingarna.</w:t>
            </w:r>
          </w:p>
          <w:p w14:paraId="6A82CC34" w14:textId="36E0DA35" w:rsidR="00133A31" w:rsidRDefault="00133A31" w:rsidP="00EE2F86">
            <w:pPr>
              <w:ind w:left="287"/>
            </w:pPr>
          </w:p>
          <w:p w14:paraId="6B1FEBA2" w14:textId="534A2792" w:rsidR="00133A31" w:rsidRDefault="00133A31" w:rsidP="00133A31">
            <w:pPr>
              <w:ind w:left="4"/>
            </w:pPr>
            <w:r>
              <w:t>Ordföranden konstaterade att det fanns stöd för regeringens ståndpunkt.</w:t>
            </w:r>
          </w:p>
          <w:p w14:paraId="4F7EED81" w14:textId="77777777" w:rsidR="00BB21D1" w:rsidRDefault="00BB21D1" w:rsidP="00486ECA">
            <w:pPr>
              <w:widowControl w:val="0"/>
              <w:tabs>
                <w:tab w:val="left" w:pos="1701"/>
              </w:tabs>
              <w:rPr>
                <w:iCs/>
                <w:szCs w:val="23"/>
              </w:rPr>
            </w:pPr>
          </w:p>
          <w:p w14:paraId="09ACA997" w14:textId="2F237DF0" w:rsidR="00BB21D1" w:rsidRDefault="00EE2F86" w:rsidP="00486ECA">
            <w:pPr>
              <w:widowControl w:val="0"/>
              <w:tabs>
                <w:tab w:val="left" w:pos="1701"/>
              </w:tabs>
            </w:pPr>
            <w:r w:rsidRPr="00EE2F86">
              <w:t xml:space="preserve">Under </w:t>
            </w:r>
            <w:r>
              <w:t xml:space="preserve">överläggningen </w:t>
            </w:r>
            <w:r w:rsidRPr="00EE2F86">
              <w:t>närvarade även en tjänsteman från EU-nämndens kansli.</w:t>
            </w:r>
          </w:p>
          <w:p w14:paraId="7FA32D0F" w14:textId="3204A697" w:rsidR="002B0AE2" w:rsidRDefault="002B0AE2" w:rsidP="00486ECA">
            <w:pPr>
              <w:widowControl w:val="0"/>
              <w:tabs>
                <w:tab w:val="left" w:pos="1701"/>
              </w:tabs>
            </w:pPr>
          </w:p>
          <w:p w14:paraId="7777B85B" w14:textId="7B479EF7" w:rsidR="002B0AE2" w:rsidRDefault="002B0AE2" w:rsidP="00486ECA">
            <w:pPr>
              <w:widowControl w:val="0"/>
              <w:tabs>
                <w:tab w:val="left" w:pos="1701"/>
              </w:tabs>
            </w:pPr>
            <w:r>
              <w:t>Denna paragraf förklarades omedelbart justerad.</w:t>
            </w:r>
          </w:p>
          <w:p w14:paraId="05B8963B" w14:textId="765A84FC" w:rsidR="00EE2F86" w:rsidRPr="00AE0DEF" w:rsidRDefault="00EE2F86" w:rsidP="00486ECA">
            <w:pPr>
              <w:widowControl w:val="0"/>
              <w:tabs>
                <w:tab w:val="left" w:pos="1701"/>
              </w:tabs>
              <w:rPr>
                <w:iCs/>
              </w:rPr>
            </w:pPr>
          </w:p>
        </w:tc>
      </w:tr>
      <w:tr w:rsidR="00486ECA" w:rsidRPr="0012669A" w14:paraId="2E9A3E3E" w14:textId="77777777" w:rsidTr="00BB21D1">
        <w:trPr>
          <w:trHeight w:val="950"/>
        </w:trPr>
        <w:tc>
          <w:tcPr>
            <w:tcW w:w="567" w:type="dxa"/>
          </w:tcPr>
          <w:p w14:paraId="7E7153F3" w14:textId="1E118769" w:rsidR="00486ECA" w:rsidRDefault="00486ECA" w:rsidP="00DC0D46">
            <w:pPr>
              <w:tabs>
                <w:tab w:val="left" w:pos="1701"/>
              </w:tabs>
              <w:rPr>
                <w:b/>
                <w:snapToGrid w:val="0"/>
              </w:rPr>
            </w:pPr>
            <w:r>
              <w:rPr>
                <w:b/>
                <w:snapToGrid w:val="0"/>
              </w:rPr>
              <w:t xml:space="preserve">§ </w:t>
            </w:r>
            <w:r w:rsidR="007E1600">
              <w:rPr>
                <w:b/>
                <w:snapToGrid w:val="0"/>
              </w:rPr>
              <w:t>3</w:t>
            </w:r>
          </w:p>
        </w:tc>
        <w:tc>
          <w:tcPr>
            <w:tcW w:w="7020" w:type="dxa"/>
          </w:tcPr>
          <w:p w14:paraId="4296BFD6" w14:textId="77777777" w:rsidR="005A6173" w:rsidRDefault="00BB21D1" w:rsidP="005A6173">
            <w:pPr>
              <w:widowControl w:val="0"/>
              <w:tabs>
                <w:tab w:val="left" w:pos="1701"/>
              </w:tabs>
              <w:rPr>
                <w:b/>
                <w:bCs/>
                <w:szCs w:val="23"/>
              </w:rPr>
            </w:pPr>
            <w:r w:rsidRPr="008E2F7A">
              <w:rPr>
                <w:b/>
                <w:bCs/>
                <w:szCs w:val="23"/>
              </w:rPr>
              <w:t xml:space="preserve">Förlängning av förordning om </w:t>
            </w:r>
            <w:r>
              <w:rPr>
                <w:b/>
                <w:bCs/>
                <w:szCs w:val="23"/>
              </w:rPr>
              <w:t>g</w:t>
            </w:r>
            <w:r w:rsidRPr="00550D16">
              <w:rPr>
                <w:b/>
                <w:bCs/>
                <w:szCs w:val="23"/>
              </w:rPr>
              <w:t>askrisåtgärder</w:t>
            </w:r>
          </w:p>
          <w:p w14:paraId="3B114C27" w14:textId="77777777" w:rsidR="00EE2F86" w:rsidRDefault="00EE2F86" w:rsidP="005A6173">
            <w:pPr>
              <w:widowControl w:val="0"/>
              <w:tabs>
                <w:tab w:val="left" w:pos="1701"/>
              </w:tabs>
              <w:rPr>
                <w:b/>
                <w:bCs/>
                <w:iCs/>
                <w:szCs w:val="23"/>
              </w:rPr>
            </w:pPr>
          </w:p>
          <w:p w14:paraId="65C234FD" w14:textId="77777777" w:rsidR="00EE2F86" w:rsidRDefault="00EE2F86" w:rsidP="00EE2F86">
            <w:pPr>
              <w:widowControl w:val="0"/>
              <w:tabs>
                <w:tab w:val="left" w:pos="1701"/>
              </w:tabs>
              <w:rPr>
                <w:szCs w:val="23"/>
              </w:rPr>
            </w:pPr>
            <w:r>
              <w:rPr>
                <w:szCs w:val="23"/>
              </w:rPr>
              <w:t>Utskottet överlade med s</w:t>
            </w:r>
            <w:r w:rsidRPr="00550D16">
              <w:rPr>
                <w:szCs w:val="23"/>
              </w:rPr>
              <w:t xml:space="preserve">tatssekreterare Daniel Liljeberg, </w:t>
            </w:r>
            <w:r>
              <w:rPr>
                <w:szCs w:val="23"/>
              </w:rPr>
              <w:t xml:space="preserve">biträdd av medarbetare från </w:t>
            </w:r>
            <w:r w:rsidRPr="00550D16">
              <w:rPr>
                <w:szCs w:val="23"/>
              </w:rPr>
              <w:t>Klimat- och näringslivsdepartementet</w:t>
            </w:r>
            <w:r>
              <w:rPr>
                <w:szCs w:val="23"/>
              </w:rPr>
              <w:t>.</w:t>
            </w:r>
          </w:p>
          <w:p w14:paraId="6677C0A0" w14:textId="77777777" w:rsidR="00EE2F86" w:rsidRDefault="00EE2F86" w:rsidP="00EE2F86">
            <w:pPr>
              <w:widowControl w:val="0"/>
              <w:tabs>
                <w:tab w:val="left" w:pos="1701"/>
              </w:tabs>
              <w:rPr>
                <w:szCs w:val="23"/>
              </w:rPr>
            </w:pPr>
          </w:p>
          <w:p w14:paraId="1B25977D" w14:textId="45A1A941" w:rsidR="00EE2F86" w:rsidRDefault="00EE2F86" w:rsidP="00EE2F86">
            <w:pPr>
              <w:widowControl w:val="0"/>
              <w:tabs>
                <w:tab w:val="left" w:pos="1701"/>
              </w:tabs>
              <w:rPr>
                <w:szCs w:val="23"/>
              </w:rPr>
            </w:pPr>
            <w:r>
              <w:rPr>
                <w:szCs w:val="23"/>
              </w:rPr>
              <w:t xml:space="preserve">Underlaget utgjordes av kommissionens förslag </w:t>
            </w:r>
            <w:r w:rsidRPr="00550D16">
              <w:rPr>
                <w:szCs w:val="23"/>
              </w:rPr>
              <w:t>COM (2023) 76</w:t>
            </w:r>
            <w:r>
              <w:rPr>
                <w:szCs w:val="23"/>
              </w:rPr>
              <w:t xml:space="preserve">2 och </w:t>
            </w:r>
            <w:r>
              <w:rPr>
                <w:szCs w:val="23"/>
              </w:rPr>
              <w:lastRenderedPageBreak/>
              <w:t>Regeringskansliets överläggningspromemoria (dnr 2023/24:648).</w:t>
            </w:r>
          </w:p>
          <w:p w14:paraId="0C315654" w14:textId="77777777" w:rsidR="00EE2F86" w:rsidRDefault="00EE2F86" w:rsidP="00EE2F86">
            <w:pPr>
              <w:widowControl w:val="0"/>
              <w:tabs>
                <w:tab w:val="left" w:pos="1701"/>
              </w:tabs>
              <w:rPr>
                <w:szCs w:val="23"/>
              </w:rPr>
            </w:pPr>
          </w:p>
          <w:p w14:paraId="5BC985AB" w14:textId="6693053B" w:rsidR="00EE2F86" w:rsidRDefault="00EE2F86" w:rsidP="00EE2F86">
            <w:pPr>
              <w:widowControl w:val="0"/>
              <w:tabs>
                <w:tab w:val="left" w:pos="1701"/>
              </w:tabs>
              <w:rPr>
                <w:szCs w:val="23"/>
              </w:rPr>
            </w:pPr>
            <w:r>
              <w:rPr>
                <w:szCs w:val="23"/>
              </w:rPr>
              <w:t>Statssekreteraren redogjorde för regeringens ståndpunkt i enlighet med överläggningspromemorian:</w:t>
            </w:r>
          </w:p>
          <w:p w14:paraId="313C8AF7" w14:textId="7AABFA19" w:rsidR="00EE2F86" w:rsidRDefault="00EE2F86" w:rsidP="00EE2F86">
            <w:pPr>
              <w:widowControl w:val="0"/>
              <w:tabs>
                <w:tab w:val="left" w:pos="1701"/>
              </w:tabs>
              <w:rPr>
                <w:szCs w:val="23"/>
              </w:rPr>
            </w:pPr>
          </w:p>
          <w:p w14:paraId="32A67F27" w14:textId="35D3D6EE" w:rsidR="00EE2F86" w:rsidRDefault="00EE2F86" w:rsidP="00EE2F86">
            <w:pPr>
              <w:widowControl w:val="0"/>
              <w:tabs>
                <w:tab w:val="left" w:pos="1701"/>
              </w:tabs>
              <w:ind w:left="287"/>
              <w:rPr>
                <w:szCs w:val="23"/>
              </w:rPr>
            </w:pPr>
            <w:r w:rsidRPr="00EE2F86">
              <w:rPr>
                <w:szCs w:val="23"/>
              </w:rPr>
              <w:t xml:space="preserve">Regeringen anser att gemensamma EU-åtgärder är det bästa sättet att säkerställa gasförsörjningen inom unionen på sikt. Regeringen anser att det från svensk utgångpunkt är tveksamt om det finns anledning att förlänga tillämpningstiden för rådsförordningen eftersom dess bestämmelser syftade till att hantera 2022–23 års akuta </w:t>
            </w:r>
            <w:proofErr w:type="spellStart"/>
            <w:r w:rsidRPr="00EE2F86">
              <w:rPr>
                <w:szCs w:val="23"/>
              </w:rPr>
              <w:t>gaskris</w:t>
            </w:r>
            <w:proofErr w:type="spellEnd"/>
            <w:r w:rsidRPr="00EE2F86">
              <w:rPr>
                <w:szCs w:val="23"/>
              </w:rPr>
              <w:t xml:space="preserve"> och konsekvenserna av en förlängning av åtgärderna inte är analyserade. I det fall en förlängn</w:t>
            </w:r>
            <w:r>
              <w:rPr>
                <w:szCs w:val="23"/>
              </w:rPr>
              <w:t xml:space="preserve">ing </w:t>
            </w:r>
            <w:r w:rsidRPr="00EE2F86">
              <w:rPr>
                <w:szCs w:val="23"/>
              </w:rPr>
              <w:t>beslutas anser regeringen att den bör begränsas till att förlänga förordningens giltighetstid och några nya bestämmelser bör inte införas. Med hänsyn till att andra medlemsstater är mer berörda av krisförordningen än Sverige är, avser regeringen vara lyhörd till dessa medlemsstaters ståndpunkter i förhandlingarna.</w:t>
            </w:r>
          </w:p>
          <w:p w14:paraId="1AE94A8B" w14:textId="02DD876C" w:rsidR="00133A31" w:rsidRDefault="00133A31" w:rsidP="00EE2F86">
            <w:pPr>
              <w:widowControl w:val="0"/>
              <w:tabs>
                <w:tab w:val="left" w:pos="1701"/>
              </w:tabs>
              <w:ind w:left="287"/>
              <w:rPr>
                <w:szCs w:val="23"/>
              </w:rPr>
            </w:pPr>
          </w:p>
          <w:p w14:paraId="07A0F44F" w14:textId="670127C5" w:rsidR="00133A31" w:rsidRDefault="00133A31" w:rsidP="00133A31">
            <w:pPr>
              <w:widowControl w:val="0"/>
              <w:tabs>
                <w:tab w:val="left" w:pos="1701"/>
              </w:tabs>
              <w:ind w:left="4"/>
              <w:rPr>
                <w:szCs w:val="23"/>
              </w:rPr>
            </w:pPr>
            <w:r w:rsidRPr="00133A31">
              <w:rPr>
                <w:szCs w:val="23"/>
              </w:rPr>
              <w:t>Ordföranden konstaterade att det fanns stöd för regeringens ståndpunkt.</w:t>
            </w:r>
          </w:p>
          <w:p w14:paraId="5D19D0F4" w14:textId="77777777" w:rsidR="00EE2F86" w:rsidRDefault="00EE2F86" w:rsidP="00EE2F86">
            <w:pPr>
              <w:widowControl w:val="0"/>
              <w:tabs>
                <w:tab w:val="left" w:pos="1701"/>
              </w:tabs>
              <w:rPr>
                <w:szCs w:val="23"/>
              </w:rPr>
            </w:pPr>
          </w:p>
          <w:p w14:paraId="26D972A1" w14:textId="76CB5AD7" w:rsidR="00EE2F86" w:rsidRDefault="00EE2F86" w:rsidP="00EE2F86">
            <w:pPr>
              <w:widowControl w:val="0"/>
              <w:tabs>
                <w:tab w:val="left" w:pos="1701"/>
              </w:tabs>
            </w:pPr>
            <w:r w:rsidRPr="00EE2F86">
              <w:t xml:space="preserve">Under </w:t>
            </w:r>
            <w:r>
              <w:t xml:space="preserve">överläggningen </w:t>
            </w:r>
            <w:r w:rsidRPr="00EE2F86">
              <w:t>närvarade även en tjänsteman från EU-nämndens kansli.</w:t>
            </w:r>
          </w:p>
          <w:p w14:paraId="7268DF71" w14:textId="3C50DD46" w:rsidR="002B0AE2" w:rsidRDefault="002B0AE2" w:rsidP="00EE2F86">
            <w:pPr>
              <w:widowControl w:val="0"/>
              <w:tabs>
                <w:tab w:val="left" w:pos="1701"/>
              </w:tabs>
            </w:pPr>
          </w:p>
          <w:p w14:paraId="05459D93" w14:textId="23FB7719" w:rsidR="002B0AE2" w:rsidRDefault="002B0AE2" w:rsidP="00EE2F86">
            <w:pPr>
              <w:widowControl w:val="0"/>
              <w:tabs>
                <w:tab w:val="left" w:pos="1701"/>
              </w:tabs>
            </w:pPr>
            <w:r w:rsidRPr="002B0AE2">
              <w:t>Denna paragraf förklarades omedelbart justerad.</w:t>
            </w:r>
          </w:p>
          <w:p w14:paraId="5CAE87BD" w14:textId="2C4A57A6" w:rsidR="00EE2F86" w:rsidRPr="00486ECA" w:rsidRDefault="00EE2F86" w:rsidP="005A6173">
            <w:pPr>
              <w:widowControl w:val="0"/>
              <w:tabs>
                <w:tab w:val="left" w:pos="1701"/>
              </w:tabs>
              <w:rPr>
                <w:b/>
                <w:bCs/>
                <w:iCs/>
              </w:rPr>
            </w:pPr>
          </w:p>
        </w:tc>
      </w:tr>
      <w:tr w:rsidR="00486ECA" w:rsidRPr="0012669A" w14:paraId="590C6EBF" w14:textId="77777777" w:rsidTr="00BB21D1">
        <w:trPr>
          <w:trHeight w:val="950"/>
        </w:trPr>
        <w:tc>
          <w:tcPr>
            <w:tcW w:w="567" w:type="dxa"/>
          </w:tcPr>
          <w:p w14:paraId="1AB97846" w14:textId="74638048" w:rsidR="00486ECA" w:rsidRDefault="00486ECA" w:rsidP="00DC0D46">
            <w:pPr>
              <w:tabs>
                <w:tab w:val="left" w:pos="1701"/>
              </w:tabs>
              <w:rPr>
                <w:b/>
                <w:snapToGrid w:val="0"/>
              </w:rPr>
            </w:pPr>
            <w:r>
              <w:rPr>
                <w:b/>
                <w:snapToGrid w:val="0"/>
              </w:rPr>
              <w:lastRenderedPageBreak/>
              <w:t xml:space="preserve">§ </w:t>
            </w:r>
            <w:r w:rsidR="007E1600">
              <w:rPr>
                <w:b/>
                <w:snapToGrid w:val="0"/>
              </w:rPr>
              <w:t>4</w:t>
            </w:r>
          </w:p>
        </w:tc>
        <w:tc>
          <w:tcPr>
            <w:tcW w:w="7020" w:type="dxa"/>
          </w:tcPr>
          <w:p w14:paraId="0A33D811" w14:textId="77777777" w:rsidR="00486ECA" w:rsidRDefault="00BB21D1" w:rsidP="00486ECA">
            <w:pPr>
              <w:widowControl w:val="0"/>
              <w:tabs>
                <w:tab w:val="left" w:pos="1701"/>
              </w:tabs>
              <w:rPr>
                <w:b/>
                <w:bCs/>
              </w:rPr>
            </w:pPr>
            <w:r w:rsidRPr="00BB21D1">
              <w:rPr>
                <w:b/>
                <w:bCs/>
              </w:rPr>
              <w:t>Förlängning av förordning om utbyggnad förnybar energi</w:t>
            </w:r>
          </w:p>
          <w:p w14:paraId="24A0C58D" w14:textId="77777777" w:rsidR="00EE2F86" w:rsidRDefault="00EE2F86" w:rsidP="00486ECA">
            <w:pPr>
              <w:widowControl w:val="0"/>
              <w:tabs>
                <w:tab w:val="left" w:pos="1701"/>
              </w:tabs>
              <w:rPr>
                <w:b/>
                <w:bCs/>
              </w:rPr>
            </w:pPr>
          </w:p>
          <w:p w14:paraId="46C77444" w14:textId="77777777" w:rsidR="00EE2F86" w:rsidRDefault="00EE2F86" w:rsidP="00EE2F86">
            <w:pPr>
              <w:widowControl w:val="0"/>
              <w:tabs>
                <w:tab w:val="left" w:pos="1701"/>
              </w:tabs>
              <w:rPr>
                <w:szCs w:val="23"/>
              </w:rPr>
            </w:pPr>
            <w:r>
              <w:rPr>
                <w:szCs w:val="23"/>
              </w:rPr>
              <w:t>Utskottet överlade med s</w:t>
            </w:r>
            <w:r w:rsidRPr="00550D16">
              <w:rPr>
                <w:szCs w:val="23"/>
              </w:rPr>
              <w:t xml:space="preserve">tatssekreterare Daniel Liljeberg, </w:t>
            </w:r>
            <w:r>
              <w:rPr>
                <w:szCs w:val="23"/>
              </w:rPr>
              <w:t xml:space="preserve">biträdd av medarbetare från </w:t>
            </w:r>
            <w:r w:rsidRPr="00550D16">
              <w:rPr>
                <w:szCs w:val="23"/>
              </w:rPr>
              <w:t>Klimat- och näringslivsdepartementet</w:t>
            </w:r>
            <w:r>
              <w:rPr>
                <w:szCs w:val="23"/>
              </w:rPr>
              <w:t>.</w:t>
            </w:r>
          </w:p>
          <w:p w14:paraId="6CC42792" w14:textId="77777777" w:rsidR="00EE2F86" w:rsidRDefault="00EE2F86" w:rsidP="00EE2F86">
            <w:pPr>
              <w:widowControl w:val="0"/>
              <w:tabs>
                <w:tab w:val="left" w:pos="1701"/>
              </w:tabs>
              <w:rPr>
                <w:szCs w:val="23"/>
              </w:rPr>
            </w:pPr>
          </w:p>
          <w:p w14:paraId="3C2F0832" w14:textId="65E6EF7D" w:rsidR="00EE2F86" w:rsidRDefault="00EE2F86" w:rsidP="00EE2F86">
            <w:pPr>
              <w:widowControl w:val="0"/>
              <w:tabs>
                <w:tab w:val="left" w:pos="1701"/>
              </w:tabs>
              <w:rPr>
                <w:szCs w:val="23"/>
              </w:rPr>
            </w:pPr>
            <w:r>
              <w:rPr>
                <w:szCs w:val="23"/>
              </w:rPr>
              <w:t xml:space="preserve">Underlaget utgjordes av kommissionens förslag </w:t>
            </w:r>
            <w:r w:rsidRPr="00550D16">
              <w:rPr>
                <w:szCs w:val="23"/>
              </w:rPr>
              <w:t>COM (2023) 76</w:t>
            </w:r>
            <w:r>
              <w:rPr>
                <w:szCs w:val="23"/>
              </w:rPr>
              <w:t>3 och Regeringskansliets överläggningspromemoria (dnr 2023/24:649).</w:t>
            </w:r>
          </w:p>
          <w:p w14:paraId="735A3F40" w14:textId="77777777" w:rsidR="00EE2F86" w:rsidRDefault="00EE2F86" w:rsidP="00EE2F86">
            <w:pPr>
              <w:widowControl w:val="0"/>
              <w:tabs>
                <w:tab w:val="left" w:pos="1701"/>
              </w:tabs>
              <w:rPr>
                <w:szCs w:val="23"/>
              </w:rPr>
            </w:pPr>
          </w:p>
          <w:p w14:paraId="68397954" w14:textId="5DE66ABA" w:rsidR="00EE2F86" w:rsidRDefault="00EE2F86" w:rsidP="00EE2F86">
            <w:pPr>
              <w:widowControl w:val="0"/>
              <w:tabs>
                <w:tab w:val="left" w:pos="1701"/>
              </w:tabs>
              <w:rPr>
                <w:szCs w:val="23"/>
              </w:rPr>
            </w:pPr>
            <w:r>
              <w:rPr>
                <w:szCs w:val="23"/>
              </w:rPr>
              <w:t>Statssekreteraren redogjorde för regeringens ståndpunkt i enlighet med överläggningspromemorian:</w:t>
            </w:r>
          </w:p>
          <w:p w14:paraId="6B995B67" w14:textId="75546597" w:rsidR="00EE2F86" w:rsidRDefault="00EE2F86" w:rsidP="00EE2F86">
            <w:pPr>
              <w:widowControl w:val="0"/>
              <w:tabs>
                <w:tab w:val="left" w:pos="1701"/>
              </w:tabs>
              <w:rPr>
                <w:szCs w:val="23"/>
              </w:rPr>
            </w:pPr>
          </w:p>
          <w:p w14:paraId="41CA56B4" w14:textId="105F0671" w:rsidR="00EE2F86" w:rsidRDefault="00EE2F86" w:rsidP="00EE2F86">
            <w:pPr>
              <w:widowControl w:val="0"/>
              <w:tabs>
                <w:tab w:val="left" w:pos="1701"/>
              </w:tabs>
              <w:ind w:left="429"/>
              <w:rPr>
                <w:szCs w:val="23"/>
              </w:rPr>
            </w:pPr>
            <w:r w:rsidRPr="00EE2F86">
              <w:rPr>
                <w:szCs w:val="23"/>
              </w:rPr>
              <w:t xml:space="preserve">Regeringen är tveksam till om det finns anledning att förlänga rådsförordningen. De substantiella delarna av den är redan inkorporerade i det reviderade </w:t>
            </w:r>
            <w:proofErr w:type="spellStart"/>
            <w:r w:rsidRPr="00EE2F86">
              <w:rPr>
                <w:szCs w:val="23"/>
              </w:rPr>
              <w:t>förnybartdirektivet</w:t>
            </w:r>
            <w:proofErr w:type="spellEnd"/>
            <w:r w:rsidRPr="00EE2F86">
              <w:rPr>
                <w:szCs w:val="23"/>
              </w:rPr>
              <w:t xml:space="preserve"> (RED III) och ska vara genomförda av medlemsstaterna den 1 juli 2024, det vill säga dagen efter att rådsförordningen upphör att gälla. Det är problematisk för myndigheter och marknadsaktörer att hamna i en situation där två regelverk gäller parallellt under ett års tid vilket kan skapa oklarhet om vilket av dem som gäller. Regeringen är kritisk till att den förlängda förordningen skulle innehålla helt nya bestämmelser. Situationen på energimarknaderna motiverar inte detta eftersom energikrisen denna vinter har en klart mindre omfattning än förra året.</w:t>
            </w:r>
          </w:p>
          <w:p w14:paraId="2886CE21" w14:textId="569EA0DA" w:rsidR="00EE2F86" w:rsidRDefault="00EE2F86" w:rsidP="00EE2F86">
            <w:pPr>
              <w:widowControl w:val="0"/>
              <w:tabs>
                <w:tab w:val="left" w:pos="1701"/>
              </w:tabs>
              <w:ind w:left="429"/>
              <w:rPr>
                <w:szCs w:val="23"/>
              </w:rPr>
            </w:pPr>
          </w:p>
          <w:p w14:paraId="375B70AA" w14:textId="733DE333" w:rsidR="00133A31" w:rsidRDefault="00133A31" w:rsidP="00EE2F86">
            <w:pPr>
              <w:widowControl w:val="0"/>
              <w:tabs>
                <w:tab w:val="left" w:pos="1701"/>
              </w:tabs>
              <w:ind w:left="4"/>
              <w:rPr>
                <w:szCs w:val="23"/>
              </w:rPr>
            </w:pPr>
            <w:r w:rsidRPr="00133A31">
              <w:rPr>
                <w:szCs w:val="23"/>
              </w:rPr>
              <w:t>Ordföranden konstaterade att det fanns stöd för regeringens ståndpunkt.</w:t>
            </w:r>
          </w:p>
          <w:p w14:paraId="2841FE5C" w14:textId="77777777" w:rsidR="00133A31" w:rsidRDefault="00133A31" w:rsidP="00EE2F86">
            <w:pPr>
              <w:widowControl w:val="0"/>
              <w:tabs>
                <w:tab w:val="left" w:pos="1701"/>
              </w:tabs>
              <w:ind w:left="4"/>
              <w:rPr>
                <w:szCs w:val="23"/>
              </w:rPr>
            </w:pPr>
          </w:p>
          <w:p w14:paraId="1E8DB55F" w14:textId="0114CD42" w:rsidR="00EE2F86" w:rsidRDefault="00EE2F86" w:rsidP="00EE2F86">
            <w:pPr>
              <w:widowControl w:val="0"/>
              <w:tabs>
                <w:tab w:val="left" w:pos="1701"/>
              </w:tabs>
              <w:ind w:left="4"/>
              <w:rPr>
                <w:szCs w:val="23"/>
              </w:rPr>
            </w:pPr>
            <w:r w:rsidRPr="00EE2F86">
              <w:rPr>
                <w:szCs w:val="23"/>
              </w:rPr>
              <w:t>Under överläggningen närvarade även en tjänsteman från EU-nämndens kansli.</w:t>
            </w:r>
          </w:p>
          <w:p w14:paraId="161301EB" w14:textId="77777777" w:rsidR="002B0AE2" w:rsidRDefault="002B0AE2" w:rsidP="00EE2F86">
            <w:pPr>
              <w:widowControl w:val="0"/>
              <w:tabs>
                <w:tab w:val="left" w:pos="1701"/>
              </w:tabs>
              <w:ind w:left="4"/>
              <w:rPr>
                <w:szCs w:val="23"/>
              </w:rPr>
            </w:pPr>
          </w:p>
          <w:p w14:paraId="5847E441" w14:textId="6D6274AA" w:rsidR="00EE2F86" w:rsidRPr="00CC6B9B" w:rsidRDefault="002B0AE2" w:rsidP="00486ECA">
            <w:pPr>
              <w:widowControl w:val="0"/>
              <w:tabs>
                <w:tab w:val="left" w:pos="1701"/>
              </w:tabs>
              <w:rPr>
                <w:b/>
                <w:bCs/>
              </w:rPr>
            </w:pPr>
            <w:r w:rsidRPr="002B0AE2">
              <w:t>Denna paragraf förklarades omedelbart justerad.</w:t>
            </w:r>
          </w:p>
        </w:tc>
      </w:tr>
      <w:tr w:rsidR="00486ECA" w:rsidRPr="0012669A" w14:paraId="284E3FB9" w14:textId="77777777" w:rsidTr="00BB21D1">
        <w:trPr>
          <w:trHeight w:val="950"/>
        </w:trPr>
        <w:tc>
          <w:tcPr>
            <w:tcW w:w="567" w:type="dxa"/>
          </w:tcPr>
          <w:p w14:paraId="4EEF7259" w14:textId="50F8ED00" w:rsidR="00486ECA" w:rsidRDefault="00486ECA" w:rsidP="00DC0D46">
            <w:pPr>
              <w:tabs>
                <w:tab w:val="left" w:pos="1701"/>
              </w:tabs>
              <w:rPr>
                <w:b/>
                <w:snapToGrid w:val="0"/>
              </w:rPr>
            </w:pPr>
            <w:r>
              <w:rPr>
                <w:b/>
                <w:snapToGrid w:val="0"/>
              </w:rPr>
              <w:lastRenderedPageBreak/>
              <w:t xml:space="preserve">§ </w:t>
            </w:r>
            <w:r w:rsidR="007E1600">
              <w:rPr>
                <w:b/>
                <w:snapToGrid w:val="0"/>
              </w:rPr>
              <w:t>5</w:t>
            </w:r>
          </w:p>
        </w:tc>
        <w:tc>
          <w:tcPr>
            <w:tcW w:w="7020" w:type="dxa"/>
          </w:tcPr>
          <w:p w14:paraId="12663B85" w14:textId="77777777" w:rsidR="007E1600" w:rsidRDefault="00BB21D1" w:rsidP="00486ECA">
            <w:pPr>
              <w:widowControl w:val="0"/>
              <w:tabs>
                <w:tab w:val="left" w:pos="1701"/>
              </w:tabs>
              <w:rPr>
                <w:b/>
                <w:bCs/>
                <w:szCs w:val="23"/>
              </w:rPr>
            </w:pPr>
            <w:r w:rsidRPr="00550D16">
              <w:rPr>
                <w:b/>
                <w:bCs/>
                <w:szCs w:val="23"/>
              </w:rPr>
              <w:t>Rådet för transport, telekommunikation och energi (TTE-energi)</w:t>
            </w:r>
          </w:p>
          <w:p w14:paraId="357879D4" w14:textId="77777777" w:rsidR="00EE2F86" w:rsidRDefault="00BB21D1" w:rsidP="00486ECA">
            <w:pPr>
              <w:widowControl w:val="0"/>
              <w:tabs>
                <w:tab w:val="left" w:pos="1701"/>
              </w:tabs>
              <w:rPr>
                <w:szCs w:val="23"/>
              </w:rPr>
            </w:pPr>
            <w:r>
              <w:rPr>
                <w:szCs w:val="23"/>
              </w:rPr>
              <w:br/>
            </w:r>
            <w:r w:rsidRPr="00550D16">
              <w:rPr>
                <w:szCs w:val="23"/>
              </w:rPr>
              <w:t xml:space="preserve">Statssekreterare </w:t>
            </w:r>
            <w:r w:rsidRPr="00B4540B">
              <w:rPr>
                <w:szCs w:val="23"/>
              </w:rPr>
              <w:t>Daniel Liljeberg</w:t>
            </w:r>
            <w:r w:rsidRPr="00550D16">
              <w:rPr>
                <w:szCs w:val="23"/>
              </w:rPr>
              <w:t xml:space="preserve">, </w:t>
            </w:r>
            <w:r w:rsidR="00EE2F86">
              <w:rPr>
                <w:szCs w:val="23"/>
              </w:rPr>
              <w:t xml:space="preserve">biträdd av medarbetare från </w:t>
            </w:r>
            <w:r w:rsidRPr="00550D16">
              <w:rPr>
                <w:szCs w:val="23"/>
              </w:rPr>
              <w:t>Klimat- och näringslivsdepartementet</w:t>
            </w:r>
            <w:r w:rsidR="00EE2F86">
              <w:rPr>
                <w:szCs w:val="23"/>
              </w:rPr>
              <w:t xml:space="preserve">, lämnade </w:t>
            </w:r>
            <w:r>
              <w:rPr>
                <w:szCs w:val="23"/>
              </w:rPr>
              <w:br/>
            </w:r>
            <w:r>
              <w:rPr>
                <w:szCs w:val="23"/>
              </w:rPr>
              <w:br/>
              <w:t xml:space="preserve">a) </w:t>
            </w:r>
            <w:r w:rsidR="00EE2F86">
              <w:rPr>
                <w:szCs w:val="23"/>
              </w:rPr>
              <w:t>återra</w:t>
            </w:r>
            <w:r w:rsidR="00EE2F86" w:rsidRPr="00EE2F86">
              <w:rPr>
                <w:szCs w:val="23"/>
              </w:rPr>
              <w:t>pport från TTE Energi den 17 oktober 2023</w:t>
            </w:r>
          </w:p>
          <w:p w14:paraId="09BC2C6E" w14:textId="657FA44F" w:rsidR="00BB21D1" w:rsidRDefault="00BB21D1" w:rsidP="00EE2F86">
            <w:pPr>
              <w:widowControl w:val="0"/>
              <w:tabs>
                <w:tab w:val="left" w:pos="1701"/>
              </w:tabs>
            </w:pPr>
            <w:r>
              <w:rPr>
                <w:szCs w:val="23"/>
              </w:rPr>
              <w:br/>
              <w:t>b) Information i</w:t>
            </w:r>
            <w:r w:rsidRPr="00550D16">
              <w:rPr>
                <w:szCs w:val="23"/>
              </w:rPr>
              <w:t xml:space="preserve">nför </w:t>
            </w:r>
            <w:r>
              <w:rPr>
                <w:szCs w:val="23"/>
              </w:rPr>
              <w:t>rådsmötet</w:t>
            </w:r>
            <w:r w:rsidRPr="00550D16">
              <w:rPr>
                <w:szCs w:val="23"/>
              </w:rPr>
              <w:t xml:space="preserve"> den 19 december 2023</w:t>
            </w:r>
            <w:r w:rsidR="00EE2F86">
              <w:rPr>
                <w:szCs w:val="23"/>
              </w:rPr>
              <w:t>.</w:t>
            </w:r>
            <w:r>
              <w:rPr>
                <w:szCs w:val="23"/>
              </w:rPr>
              <w:br/>
            </w:r>
            <w:r>
              <w:rPr>
                <w:szCs w:val="23"/>
              </w:rPr>
              <w:br/>
            </w:r>
            <w:r w:rsidR="00EE2F86" w:rsidRPr="00EE2F86">
              <w:t xml:space="preserve">Under </w:t>
            </w:r>
            <w:r w:rsidR="00EE2F86">
              <w:t xml:space="preserve">informationen </w:t>
            </w:r>
            <w:r w:rsidR="00EE2F86" w:rsidRPr="00EE2F86">
              <w:t>närvarade även en tjänsteman från EU-nämndens kansli.</w:t>
            </w:r>
          </w:p>
          <w:p w14:paraId="5302AA5B" w14:textId="75B3B1E2" w:rsidR="00EE2F86" w:rsidRPr="00EE2F86" w:rsidRDefault="00EE2F86" w:rsidP="00EE2F86">
            <w:pPr>
              <w:widowControl w:val="0"/>
              <w:tabs>
                <w:tab w:val="left" w:pos="1701"/>
              </w:tabs>
            </w:pPr>
          </w:p>
        </w:tc>
      </w:tr>
      <w:tr w:rsidR="007E1600" w:rsidRPr="0012669A" w14:paraId="2C65E599" w14:textId="77777777" w:rsidTr="00BB21D1">
        <w:trPr>
          <w:trHeight w:val="950"/>
        </w:trPr>
        <w:tc>
          <w:tcPr>
            <w:tcW w:w="567" w:type="dxa"/>
          </w:tcPr>
          <w:p w14:paraId="6F64CD2C" w14:textId="05BAB3FD" w:rsidR="007E1600" w:rsidRDefault="007E1600" w:rsidP="00DC0D46">
            <w:pPr>
              <w:tabs>
                <w:tab w:val="left" w:pos="1701"/>
              </w:tabs>
              <w:rPr>
                <w:b/>
                <w:snapToGrid w:val="0"/>
              </w:rPr>
            </w:pPr>
            <w:r>
              <w:rPr>
                <w:b/>
                <w:snapToGrid w:val="0"/>
              </w:rPr>
              <w:t>§ 6</w:t>
            </w:r>
          </w:p>
        </w:tc>
        <w:tc>
          <w:tcPr>
            <w:tcW w:w="7020" w:type="dxa"/>
          </w:tcPr>
          <w:p w14:paraId="0A0D3658" w14:textId="77777777" w:rsidR="008B36A5" w:rsidRDefault="00BB21D1" w:rsidP="00486ECA">
            <w:pPr>
              <w:widowControl w:val="0"/>
              <w:tabs>
                <w:tab w:val="left" w:pos="1701"/>
              </w:tabs>
              <w:rPr>
                <w:b/>
                <w:bCs/>
              </w:rPr>
            </w:pPr>
            <w:r w:rsidRPr="00550D16">
              <w:rPr>
                <w:b/>
                <w:bCs/>
              </w:rPr>
              <w:t>Riksrevisionens rapport om etablering av myndigheter utanför Stockholm</w:t>
            </w:r>
            <w:r>
              <w:rPr>
                <w:b/>
                <w:bCs/>
              </w:rPr>
              <w:t xml:space="preserve"> (NU6)</w:t>
            </w:r>
          </w:p>
          <w:p w14:paraId="39A2ED87" w14:textId="77777777" w:rsidR="00BB21D1" w:rsidRDefault="00BB21D1" w:rsidP="00486ECA">
            <w:pPr>
              <w:widowControl w:val="0"/>
              <w:tabs>
                <w:tab w:val="left" w:pos="1701"/>
              </w:tabs>
              <w:rPr>
                <w:bCs/>
              </w:rPr>
            </w:pPr>
          </w:p>
          <w:p w14:paraId="0D176300" w14:textId="6F498AA3" w:rsidR="00BB21D1" w:rsidRPr="00BB21D1" w:rsidRDefault="00BB21D1" w:rsidP="00BB21D1">
            <w:pPr>
              <w:widowControl w:val="0"/>
              <w:tabs>
                <w:tab w:val="left" w:pos="1701"/>
              </w:tabs>
              <w:rPr>
                <w:szCs w:val="23"/>
              </w:rPr>
            </w:pPr>
            <w:r w:rsidRPr="00BB21D1">
              <w:rPr>
                <w:szCs w:val="23"/>
              </w:rPr>
              <w:t xml:space="preserve">Utskottet inledde beredningen av </w:t>
            </w:r>
            <w:r>
              <w:rPr>
                <w:szCs w:val="23"/>
              </w:rPr>
              <w:t>skrivelse</w:t>
            </w:r>
            <w:r w:rsidRPr="00BB21D1">
              <w:rPr>
                <w:szCs w:val="23"/>
              </w:rPr>
              <w:t xml:space="preserve"> 202</w:t>
            </w:r>
            <w:r w:rsidR="007F5124">
              <w:rPr>
                <w:szCs w:val="23"/>
              </w:rPr>
              <w:t>2</w:t>
            </w:r>
            <w:r w:rsidRPr="00BB21D1">
              <w:rPr>
                <w:szCs w:val="23"/>
              </w:rPr>
              <w:t>/2</w:t>
            </w:r>
            <w:r w:rsidR="007F5124">
              <w:rPr>
                <w:szCs w:val="23"/>
              </w:rPr>
              <w:t>3</w:t>
            </w:r>
            <w:r w:rsidRPr="00BB21D1">
              <w:rPr>
                <w:szCs w:val="23"/>
              </w:rPr>
              <w:t>:1</w:t>
            </w:r>
            <w:r>
              <w:rPr>
                <w:szCs w:val="23"/>
              </w:rPr>
              <w:t xml:space="preserve">25 </w:t>
            </w:r>
            <w:r w:rsidRPr="00BB21D1">
              <w:rPr>
                <w:szCs w:val="23"/>
              </w:rPr>
              <w:t>och motioner.</w:t>
            </w:r>
          </w:p>
          <w:p w14:paraId="553DB869" w14:textId="77777777" w:rsidR="00BB21D1" w:rsidRPr="00BB21D1" w:rsidRDefault="00BB21D1" w:rsidP="00BB21D1">
            <w:pPr>
              <w:widowControl w:val="0"/>
              <w:tabs>
                <w:tab w:val="left" w:pos="1701"/>
              </w:tabs>
              <w:rPr>
                <w:szCs w:val="23"/>
              </w:rPr>
            </w:pPr>
          </w:p>
          <w:p w14:paraId="189285B8" w14:textId="77777777" w:rsidR="00BB21D1" w:rsidRDefault="00BB21D1" w:rsidP="00BB21D1">
            <w:pPr>
              <w:widowControl w:val="0"/>
              <w:tabs>
                <w:tab w:val="left" w:pos="1701"/>
              </w:tabs>
              <w:rPr>
                <w:szCs w:val="23"/>
              </w:rPr>
            </w:pPr>
            <w:r w:rsidRPr="00BB21D1">
              <w:rPr>
                <w:szCs w:val="23"/>
              </w:rPr>
              <w:t>Ärendet bordlades.</w:t>
            </w:r>
          </w:p>
          <w:p w14:paraId="092004D4" w14:textId="4820A123" w:rsidR="00BB21D1" w:rsidRPr="008B36A5" w:rsidRDefault="00BB21D1" w:rsidP="00BB21D1">
            <w:pPr>
              <w:widowControl w:val="0"/>
              <w:tabs>
                <w:tab w:val="left" w:pos="1701"/>
              </w:tabs>
              <w:rPr>
                <w:szCs w:val="23"/>
              </w:rPr>
            </w:pPr>
          </w:p>
        </w:tc>
      </w:tr>
      <w:tr w:rsidR="00486ECA" w:rsidRPr="0012669A" w14:paraId="640A3660" w14:textId="77777777" w:rsidTr="00BB21D1">
        <w:trPr>
          <w:trHeight w:val="950"/>
        </w:trPr>
        <w:tc>
          <w:tcPr>
            <w:tcW w:w="567" w:type="dxa"/>
          </w:tcPr>
          <w:p w14:paraId="1600E74F" w14:textId="64534712" w:rsidR="00486ECA" w:rsidRDefault="00486ECA" w:rsidP="00DC0D46">
            <w:pPr>
              <w:tabs>
                <w:tab w:val="left" w:pos="1701"/>
              </w:tabs>
              <w:rPr>
                <w:b/>
                <w:snapToGrid w:val="0"/>
              </w:rPr>
            </w:pPr>
            <w:r>
              <w:rPr>
                <w:b/>
                <w:snapToGrid w:val="0"/>
              </w:rPr>
              <w:t xml:space="preserve">§ </w:t>
            </w:r>
            <w:r w:rsidR="007E1600">
              <w:rPr>
                <w:b/>
                <w:snapToGrid w:val="0"/>
              </w:rPr>
              <w:t>7</w:t>
            </w:r>
          </w:p>
        </w:tc>
        <w:tc>
          <w:tcPr>
            <w:tcW w:w="7020" w:type="dxa"/>
          </w:tcPr>
          <w:p w14:paraId="11760D40" w14:textId="77777777" w:rsidR="00486ECA" w:rsidRDefault="00BB21D1" w:rsidP="007E1600">
            <w:pPr>
              <w:widowControl w:val="0"/>
              <w:tabs>
                <w:tab w:val="left" w:pos="1701"/>
              </w:tabs>
              <w:rPr>
                <w:bCs/>
                <w:szCs w:val="23"/>
              </w:rPr>
            </w:pPr>
            <w:r w:rsidRPr="00550D16">
              <w:rPr>
                <w:b/>
                <w:bCs/>
                <w:szCs w:val="23"/>
              </w:rPr>
              <w:t>Immaterialrättsfrågor</w:t>
            </w:r>
            <w:r>
              <w:rPr>
                <w:b/>
                <w:bCs/>
                <w:szCs w:val="23"/>
              </w:rPr>
              <w:t xml:space="preserve"> (NU7)</w:t>
            </w:r>
            <w:r>
              <w:rPr>
                <w:b/>
                <w:bCs/>
                <w:szCs w:val="23"/>
              </w:rPr>
              <w:br/>
            </w:r>
          </w:p>
          <w:p w14:paraId="53C0B820" w14:textId="1CFD109F" w:rsidR="00BB21D1" w:rsidRPr="00BB21D1" w:rsidRDefault="00BB21D1" w:rsidP="00BB21D1">
            <w:pPr>
              <w:widowControl w:val="0"/>
              <w:tabs>
                <w:tab w:val="left" w:pos="1701"/>
              </w:tabs>
              <w:rPr>
                <w:bCs/>
                <w:szCs w:val="23"/>
              </w:rPr>
            </w:pPr>
            <w:r w:rsidRPr="00BB21D1">
              <w:rPr>
                <w:bCs/>
                <w:szCs w:val="23"/>
              </w:rPr>
              <w:t>Utskottet inledde beredningen av motioner.</w:t>
            </w:r>
          </w:p>
          <w:p w14:paraId="236498AA" w14:textId="77777777" w:rsidR="00BB21D1" w:rsidRPr="00BB21D1" w:rsidRDefault="00BB21D1" w:rsidP="00BB21D1">
            <w:pPr>
              <w:widowControl w:val="0"/>
              <w:tabs>
                <w:tab w:val="left" w:pos="1701"/>
              </w:tabs>
              <w:rPr>
                <w:bCs/>
                <w:szCs w:val="23"/>
              </w:rPr>
            </w:pPr>
          </w:p>
          <w:p w14:paraId="6571F579" w14:textId="77777777" w:rsidR="00BB21D1" w:rsidRDefault="00BB21D1" w:rsidP="00BB21D1">
            <w:pPr>
              <w:widowControl w:val="0"/>
              <w:tabs>
                <w:tab w:val="left" w:pos="1701"/>
              </w:tabs>
              <w:rPr>
                <w:bCs/>
                <w:szCs w:val="23"/>
              </w:rPr>
            </w:pPr>
            <w:r w:rsidRPr="00BB21D1">
              <w:rPr>
                <w:bCs/>
                <w:szCs w:val="23"/>
              </w:rPr>
              <w:t>Ärendet bordlades.</w:t>
            </w:r>
          </w:p>
          <w:p w14:paraId="3BB6849C" w14:textId="70B18616" w:rsidR="008C1515" w:rsidRPr="008B36A5" w:rsidRDefault="008C1515" w:rsidP="00BB21D1">
            <w:pPr>
              <w:widowControl w:val="0"/>
              <w:tabs>
                <w:tab w:val="left" w:pos="1701"/>
              </w:tabs>
              <w:rPr>
                <w:bCs/>
                <w:szCs w:val="23"/>
              </w:rPr>
            </w:pPr>
          </w:p>
        </w:tc>
      </w:tr>
      <w:tr w:rsidR="007E1600" w:rsidRPr="0012669A" w14:paraId="1BD07207" w14:textId="77777777" w:rsidTr="00BB21D1">
        <w:trPr>
          <w:trHeight w:val="950"/>
        </w:trPr>
        <w:tc>
          <w:tcPr>
            <w:tcW w:w="567" w:type="dxa"/>
          </w:tcPr>
          <w:p w14:paraId="1CFEFCA7" w14:textId="2E28AB7E" w:rsidR="007E1600" w:rsidRDefault="007E1600" w:rsidP="00DC0D46">
            <w:pPr>
              <w:tabs>
                <w:tab w:val="left" w:pos="1701"/>
              </w:tabs>
              <w:rPr>
                <w:b/>
                <w:snapToGrid w:val="0"/>
              </w:rPr>
            </w:pPr>
            <w:r>
              <w:rPr>
                <w:b/>
                <w:snapToGrid w:val="0"/>
              </w:rPr>
              <w:t>§ 8</w:t>
            </w:r>
          </w:p>
        </w:tc>
        <w:tc>
          <w:tcPr>
            <w:tcW w:w="7020" w:type="dxa"/>
          </w:tcPr>
          <w:p w14:paraId="21F154C2" w14:textId="77777777" w:rsidR="00BB21D1" w:rsidRDefault="00BB21D1" w:rsidP="00BB21D1">
            <w:pPr>
              <w:spacing w:after="200" w:line="280" w:lineRule="exact"/>
              <w:rPr>
                <w:b/>
                <w:szCs w:val="23"/>
              </w:rPr>
            </w:pPr>
            <w:proofErr w:type="spellStart"/>
            <w:r w:rsidRPr="00550D16">
              <w:rPr>
                <w:b/>
                <w:szCs w:val="23"/>
              </w:rPr>
              <w:t>Mineralpolitik</w:t>
            </w:r>
            <w:proofErr w:type="spellEnd"/>
            <w:r>
              <w:rPr>
                <w:b/>
                <w:szCs w:val="23"/>
              </w:rPr>
              <w:t xml:space="preserve"> (NU8)</w:t>
            </w:r>
          </w:p>
          <w:p w14:paraId="1AE2CE00" w14:textId="424D4FA6" w:rsidR="00BB21D1" w:rsidRDefault="00BB21D1" w:rsidP="00BB21D1">
            <w:pPr>
              <w:spacing w:after="200" w:line="280" w:lineRule="exact"/>
              <w:rPr>
                <w:bCs/>
                <w:szCs w:val="23"/>
              </w:rPr>
            </w:pPr>
            <w:r w:rsidRPr="00BB21D1">
              <w:rPr>
                <w:bCs/>
                <w:szCs w:val="23"/>
              </w:rPr>
              <w:t>Utskottet inledde beredningen av motioner.</w:t>
            </w:r>
          </w:p>
          <w:p w14:paraId="7D2F54AD" w14:textId="41A35E11" w:rsidR="00BB21D1" w:rsidRPr="008B36A5" w:rsidRDefault="00BB21D1" w:rsidP="007E1600">
            <w:pPr>
              <w:spacing w:after="200" w:line="280" w:lineRule="exact"/>
              <w:rPr>
                <w:bCs/>
                <w:szCs w:val="23"/>
              </w:rPr>
            </w:pPr>
            <w:r w:rsidRPr="00BB21D1">
              <w:rPr>
                <w:bCs/>
                <w:szCs w:val="23"/>
              </w:rPr>
              <w:t>Ärendet bordlades.</w:t>
            </w:r>
          </w:p>
        </w:tc>
      </w:tr>
      <w:tr w:rsidR="00BB21D1" w:rsidRPr="0012669A" w14:paraId="457E02C1" w14:textId="77777777" w:rsidTr="00BB21D1">
        <w:trPr>
          <w:trHeight w:val="950"/>
        </w:trPr>
        <w:tc>
          <w:tcPr>
            <w:tcW w:w="567" w:type="dxa"/>
          </w:tcPr>
          <w:p w14:paraId="021EE9CE" w14:textId="78A80AB4" w:rsidR="00BB21D1" w:rsidRDefault="00BB21D1" w:rsidP="00DC0D46">
            <w:pPr>
              <w:tabs>
                <w:tab w:val="left" w:pos="1701"/>
              </w:tabs>
              <w:rPr>
                <w:b/>
                <w:snapToGrid w:val="0"/>
              </w:rPr>
            </w:pPr>
            <w:r>
              <w:rPr>
                <w:b/>
                <w:snapToGrid w:val="0"/>
              </w:rPr>
              <w:t>§ 9</w:t>
            </w:r>
          </w:p>
        </w:tc>
        <w:tc>
          <w:tcPr>
            <w:tcW w:w="7020" w:type="dxa"/>
          </w:tcPr>
          <w:p w14:paraId="61094F86" w14:textId="03A85851" w:rsidR="00BB21D1" w:rsidRDefault="00BB21D1" w:rsidP="007E1600">
            <w:pPr>
              <w:spacing w:after="200" w:line="280" w:lineRule="exact"/>
              <w:rPr>
                <w:b/>
                <w:szCs w:val="23"/>
              </w:rPr>
            </w:pPr>
            <w:r w:rsidRPr="00BB21D1">
              <w:rPr>
                <w:b/>
                <w:szCs w:val="23"/>
              </w:rPr>
              <w:t xml:space="preserve">Mottagande </w:t>
            </w:r>
            <w:r>
              <w:rPr>
                <w:b/>
                <w:szCs w:val="23"/>
              </w:rPr>
              <w:t xml:space="preserve">av </w:t>
            </w:r>
            <w:r w:rsidRPr="00BB21D1">
              <w:rPr>
                <w:b/>
                <w:szCs w:val="23"/>
              </w:rPr>
              <w:t>motionsyrkanden</w:t>
            </w:r>
          </w:p>
          <w:p w14:paraId="26047EE5" w14:textId="77777777" w:rsidR="00BB21D1" w:rsidRDefault="00BB21D1" w:rsidP="00BB21D1">
            <w:pPr>
              <w:spacing w:after="200" w:line="280" w:lineRule="exact"/>
              <w:rPr>
                <w:bCs/>
                <w:szCs w:val="23"/>
              </w:rPr>
            </w:pPr>
            <w:r>
              <w:rPr>
                <w:bCs/>
                <w:szCs w:val="23"/>
              </w:rPr>
              <w:t xml:space="preserve">Utskottet beslutade att ta emot </w:t>
            </w:r>
            <w:r w:rsidRPr="00BB21D1">
              <w:rPr>
                <w:bCs/>
                <w:szCs w:val="23"/>
              </w:rPr>
              <w:t>motion 2023/24:1599 av Per-Arne Håkansson m.fl. (S)</w:t>
            </w:r>
            <w:r>
              <w:rPr>
                <w:bCs/>
                <w:szCs w:val="23"/>
              </w:rPr>
              <w:t xml:space="preserve"> och </w:t>
            </w:r>
            <w:r w:rsidRPr="00BB21D1">
              <w:rPr>
                <w:bCs/>
                <w:szCs w:val="23"/>
              </w:rPr>
              <w:t>motion 2023/24:2625 av Gunilla Svantorp m.fl. (S) yrkande 47</w:t>
            </w:r>
            <w:r>
              <w:rPr>
                <w:bCs/>
                <w:szCs w:val="23"/>
              </w:rPr>
              <w:t xml:space="preserve"> från utbildningsutskottet.</w:t>
            </w:r>
          </w:p>
          <w:p w14:paraId="76FC3B5B" w14:textId="318F034F" w:rsidR="007F5124" w:rsidRPr="00BB21D1" w:rsidRDefault="007F5124" w:rsidP="00BB21D1">
            <w:pPr>
              <w:spacing w:after="200" w:line="280" w:lineRule="exact"/>
              <w:rPr>
                <w:bCs/>
                <w:szCs w:val="23"/>
              </w:rPr>
            </w:pPr>
            <w:r>
              <w:rPr>
                <w:bCs/>
                <w:szCs w:val="23"/>
              </w:rPr>
              <w:t>Denna paragraf förklarades omedelbart justerad.</w:t>
            </w:r>
          </w:p>
        </w:tc>
      </w:tr>
      <w:tr w:rsidR="002B0AE2" w:rsidRPr="0012669A" w14:paraId="30A1DD2C" w14:textId="77777777" w:rsidTr="00BB21D1">
        <w:trPr>
          <w:trHeight w:val="950"/>
        </w:trPr>
        <w:tc>
          <w:tcPr>
            <w:tcW w:w="567" w:type="dxa"/>
          </w:tcPr>
          <w:p w14:paraId="7E9FC4E9" w14:textId="04023DE8" w:rsidR="002B0AE2" w:rsidRDefault="002B0AE2" w:rsidP="00DC0D46">
            <w:pPr>
              <w:tabs>
                <w:tab w:val="left" w:pos="1701"/>
              </w:tabs>
              <w:rPr>
                <w:b/>
                <w:snapToGrid w:val="0"/>
              </w:rPr>
            </w:pPr>
            <w:r>
              <w:rPr>
                <w:b/>
                <w:snapToGrid w:val="0"/>
              </w:rPr>
              <w:t>§ 10</w:t>
            </w:r>
          </w:p>
        </w:tc>
        <w:tc>
          <w:tcPr>
            <w:tcW w:w="7020" w:type="dxa"/>
          </w:tcPr>
          <w:p w14:paraId="3E24E0CF" w14:textId="25D16491" w:rsidR="002B0AE2" w:rsidRPr="002B0AE2" w:rsidRDefault="007F5124" w:rsidP="002B0AE2">
            <w:pPr>
              <w:spacing w:after="200" w:line="280" w:lineRule="exact"/>
              <w:rPr>
                <w:b/>
                <w:szCs w:val="23"/>
              </w:rPr>
            </w:pPr>
            <w:r>
              <w:rPr>
                <w:b/>
                <w:szCs w:val="23"/>
              </w:rPr>
              <w:t>Interparlamentarisk konferens i Bryssel</w:t>
            </w:r>
          </w:p>
          <w:p w14:paraId="52520BF7" w14:textId="7CCDBABE" w:rsidR="002B0AE2" w:rsidRPr="002B0AE2" w:rsidRDefault="002B0AE2" w:rsidP="002B0AE2">
            <w:pPr>
              <w:spacing w:after="200" w:line="280" w:lineRule="exact"/>
              <w:rPr>
                <w:bCs/>
                <w:szCs w:val="23"/>
              </w:rPr>
            </w:pPr>
            <w:r w:rsidRPr="002B0AE2">
              <w:rPr>
                <w:bCs/>
                <w:szCs w:val="23"/>
              </w:rPr>
              <w:t xml:space="preserve">Utskottet beslutade att </w:t>
            </w:r>
            <w:r w:rsidR="007F5124">
              <w:rPr>
                <w:bCs/>
                <w:szCs w:val="23"/>
              </w:rPr>
              <w:t>avvakta inbjudan innan beslut om deltagande fattas.</w:t>
            </w:r>
            <w:r w:rsidRPr="002B0AE2">
              <w:rPr>
                <w:bCs/>
                <w:szCs w:val="23"/>
              </w:rPr>
              <w:t xml:space="preserve"> </w:t>
            </w:r>
          </w:p>
        </w:tc>
      </w:tr>
      <w:tr w:rsidR="00BB21D1" w:rsidRPr="0012669A" w14:paraId="46671DBF" w14:textId="77777777" w:rsidTr="00BB21D1">
        <w:trPr>
          <w:trHeight w:val="950"/>
        </w:trPr>
        <w:tc>
          <w:tcPr>
            <w:tcW w:w="567" w:type="dxa"/>
          </w:tcPr>
          <w:p w14:paraId="154068B8" w14:textId="6B00A479" w:rsidR="00BB21D1" w:rsidRDefault="00BB21D1" w:rsidP="00DC0D46">
            <w:pPr>
              <w:tabs>
                <w:tab w:val="left" w:pos="1701"/>
              </w:tabs>
              <w:rPr>
                <w:b/>
                <w:snapToGrid w:val="0"/>
              </w:rPr>
            </w:pPr>
            <w:r>
              <w:rPr>
                <w:b/>
                <w:snapToGrid w:val="0"/>
              </w:rPr>
              <w:t>§ 11</w:t>
            </w:r>
          </w:p>
        </w:tc>
        <w:tc>
          <w:tcPr>
            <w:tcW w:w="7020" w:type="dxa"/>
          </w:tcPr>
          <w:p w14:paraId="620D5026" w14:textId="77777777" w:rsidR="00BB21D1" w:rsidRPr="00486ECA" w:rsidRDefault="00BB21D1" w:rsidP="00BB21D1">
            <w:pPr>
              <w:widowControl w:val="0"/>
              <w:tabs>
                <w:tab w:val="left" w:pos="1701"/>
              </w:tabs>
              <w:rPr>
                <w:b/>
                <w:szCs w:val="23"/>
              </w:rPr>
            </w:pPr>
            <w:r w:rsidRPr="00486ECA">
              <w:rPr>
                <w:b/>
                <w:szCs w:val="23"/>
              </w:rPr>
              <w:t>Inkomna EU-dokument</w:t>
            </w:r>
          </w:p>
          <w:p w14:paraId="33C89FEA" w14:textId="77777777" w:rsidR="00BB21D1" w:rsidRPr="00486ECA" w:rsidRDefault="00BB21D1" w:rsidP="00BB21D1">
            <w:pPr>
              <w:widowControl w:val="0"/>
              <w:tabs>
                <w:tab w:val="left" w:pos="1701"/>
              </w:tabs>
              <w:rPr>
                <w:b/>
                <w:szCs w:val="23"/>
              </w:rPr>
            </w:pPr>
          </w:p>
          <w:p w14:paraId="62FE0733" w14:textId="34E94C4B" w:rsidR="007338B1" w:rsidRPr="00550D16" w:rsidRDefault="00BB21D1" w:rsidP="007338B1">
            <w:pPr>
              <w:widowControl w:val="0"/>
              <w:tabs>
                <w:tab w:val="left" w:pos="1701"/>
              </w:tabs>
              <w:rPr>
                <w:b/>
                <w:szCs w:val="23"/>
              </w:rPr>
            </w:pPr>
            <w:r w:rsidRPr="00486ECA">
              <w:rPr>
                <w:bCs/>
                <w:szCs w:val="23"/>
              </w:rPr>
              <w:t>Anmäldes sammanställning över inkomna EU-dokument.</w:t>
            </w:r>
            <w:r w:rsidR="007338B1">
              <w:rPr>
                <w:bCs/>
                <w:szCs w:val="23"/>
              </w:rPr>
              <w:br/>
            </w:r>
          </w:p>
        </w:tc>
      </w:tr>
      <w:tr w:rsidR="00BB21D1" w:rsidRPr="0012669A" w14:paraId="3860B902" w14:textId="77777777" w:rsidTr="00BB21D1">
        <w:trPr>
          <w:trHeight w:val="950"/>
        </w:trPr>
        <w:tc>
          <w:tcPr>
            <w:tcW w:w="567" w:type="dxa"/>
          </w:tcPr>
          <w:p w14:paraId="18479F51" w14:textId="28A9AF91" w:rsidR="00BB21D1" w:rsidRDefault="00BB21D1" w:rsidP="00DC0D46">
            <w:pPr>
              <w:tabs>
                <w:tab w:val="left" w:pos="1701"/>
              </w:tabs>
              <w:rPr>
                <w:b/>
                <w:snapToGrid w:val="0"/>
              </w:rPr>
            </w:pPr>
            <w:r>
              <w:rPr>
                <w:b/>
                <w:snapToGrid w:val="0"/>
              </w:rPr>
              <w:t>§ 12</w:t>
            </w:r>
          </w:p>
        </w:tc>
        <w:tc>
          <w:tcPr>
            <w:tcW w:w="7020" w:type="dxa"/>
          </w:tcPr>
          <w:p w14:paraId="69A483B0" w14:textId="56D4C96A" w:rsidR="00BB21D1" w:rsidRDefault="00BB21D1" w:rsidP="007E1600">
            <w:pPr>
              <w:spacing w:after="200" w:line="280" w:lineRule="exact"/>
              <w:rPr>
                <w:b/>
                <w:bCs/>
                <w:iCs/>
              </w:rPr>
            </w:pPr>
            <w:r>
              <w:rPr>
                <w:b/>
                <w:bCs/>
                <w:iCs/>
              </w:rPr>
              <w:t>Inkommen skrivelse</w:t>
            </w:r>
          </w:p>
          <w:p w14:paraId="0EB7B328" w14:textId="76415956" w:rsidR="00BB21D1" w:rsidRPr="00BB21D1" w:rsidRDefault="00BB21D1" w:rsidP="007E1600">
            <w:pPr>
              <w:spacing w:after="200" w:line="280" w:lineRule="exact"/>
              <w:rPr>
                <w:bCs/>
                <w:szCs w:val="23"/>
              </w:rPr>
            </w:pPr>
            <w:r>
              <w:rPr>
                <w:bCs/>
                <w:szCs w:val="23"/>
              </w:rPr>
              <w:t>Ink</w:t>
            </w:r>
            <w:r w:rsidRPr="00BB21D1">
              <w:rPr>
                <w:bCs/>
                <w:szCs w:val="23"/>
              </w:rPr>
              <w:t>om</w:t>
            </w:r>
            <w:r>
              <w:rPr>
                <w:bCs/>
                <w:szCs w:val="23"/>
              </w:rPr>
              <w:t>men</w:t>
            </w:r>
            <w:r w:rsidRPr="00BB21D1">
              <w:rPr>
                <w:bCs/>
                <w:szCs w:val="23"/>
              </w:rPr>
              <w:t xml:space="preserve"> skrivelse anmäldes (dnr </w:t>
            </w:r>
            <w:r>
              <w:rPr>
                <w:bCs/>
                <w:szCs w:val="23"/>
              </w:rPr>
              <w:t>646</w:t>
            </w:r>
            <w:r w:rsidRPr="00BB21D1">
              <w:rPr>
                <w:bCs/>
                <w:szCs w:val="23"/>
              </w:rPr>
              <w:t>–2023/24).</w:t>
            </w:r>
          </w:p>
        </w:tc>
      </w:tr>
      <w:tr w:rsidR="00BB21D1" w:rsidRPr="0012669A" w14:paraId="79AB7828" w14:textId="77777777" w:rsidTr="00BB21D1">
        <w:trPr>
          <w:trHeight w:val="950"/>
        </w:trPr>
        <w:tc>
          <w:tcPr>
            <w:tcW w:w="567" w:type="dxa"/>
          </w:tcPr>
          <w:p w14:paraId="5557EBD9" w14:textId="3B7E8A5D" w:rsidR="00BB21D1" w:rsidRDefault="00BB21D1" w:rsidP="00DC0D46">
            <w:pPr>
              <w:tabs>
                <w:tab w:val="left" w:pos="1701"/>
              </w:tabs>
              <w:rPr>
                <w:b/>
                <w:snapToGrid w:val="0"/>
              </w:rPr>
            </w:pPr>
            <w:r>
              <w:rPr>
                <w:b/>
                <w:snapToGrid w:val="0"/>
              </w:rPr>
              <w:lastRenderedPageBreak/>
              <w:t>§ 13</w:t>
            </w:r>
          </w:p>
        </w:tc>
        <w:tc>
          <w:tcPr>
            <w:tcW w:w="7020" w:type="dxa"/>
          </w:tcPr>
          <w:p w14:paraId="634A37A8" w14:textId="77777777" w:rsidR="00BB21D1" w:rsidRDefault="00BB21D1" w:rsidP="007E1600">
            <w:pPr>
              <w:spacing w:after="200" w:line="280" w:lineRule="exact"/>
              <w:rPr>
                <w:b/>
              </w:rPr>
            </w:pPr>
            <w:r w:rsidRPr="00550D16">
              <w:rPr>
                <w:b/>
              </w:rPr>
              <w:t>Utskottets planering våren 2024</w:t>
            </w:r>
          </w:p>
          <w:p w14:paraId="28FFD56D" w14:textId="6EFFD2D2" w:rsidR="00BB21D1" w:rsidRPr="00312470" w:rsidRDefault="00312470" w:rsidP="007E1600">
            <w:pPr>
              <w:spacing w:after="200" w:line="280" w:lineRule="exact"/>
              <w:rPr>
                <w:iCs/>
              </w:rPr>
            </w:pPr>
            <w:r w:rsidRPr="00312470">
              <w:rPr>
                <w:iCs/>
              </w:rPr>
              <w:t xml:space="preserve">Kanslichefen informerade om </w:t>
            </w:r>
            <w:r>
              <w:rPr>
                <w:iCs/>
              </w:rPr>
              <w:t>vårens</w:t>
            </w:r>
            <w:r w:rsidRPr="00312470">
              <w:rPr>
                <w:iCs/>
              </w:rPr>
              <w:t xml:space="preserve"> ärendeplan och sammanträdesplan.</w:t>
            </w:r>
          </w:p>
        </w:tc>
      </w:tr>
      <w:tr w:rsidR="00BB21D1" w:rsidRPr="0012669A" w14:paraId="070153E7" w14:textId="77777777" w:rsidTr="00BB21D1">
        <w:trPr>
          <w:trHeight w:val="950"/>
        </w:trPr>
        <w:tc>
          <w:tcPr>
            <w:tcW w:w="567" w:type="dxa"/>
          </w:tcPr>
          <w:p w14:paraId="7AC00602" w14:textId="754920A8" w:rsidR="00BB21D1" w:rsidRDefault="00BB21D1" w:rsidP="00DC0D46">
            <w:pPr>
              <w:tabs>
                <w:tab w:val="left" w:pos="1701"/>
              </w:tabs>
              <w:rPr>
                <w:b/>
                <w:snapToGrid w:val="0"/>
              </w:rPr>
            </w:pPr>
            <w:r>
              <w:rPr>
                <w:b/>
                <w:snapToGrid w:val="0"/>
              </w:rPr>
              <w:t>§ 14</w:t>
            </w:r>
          </w:p>
        </w:tc>
        <w:tc>
          <w:tcPr>
            <w:tcW w:w="7020" w:type="dxa"/>
          </w:tcPr>
          <w:p w14:paraId="6DA2E5D8" w14:textId="77777777" w:rsidR="00BB21D1" w:rsidRDefault="00BB21D1" w:rsidP="007E1600">
            <w:pPr>
              <w:spacing w:after="200" w:line="280" w:lineRule="exact"/>
              <w:rPr>
                <w:b/>
                <w:bCs/>
              </w:rPr>
            </w:pPr>
            <w:r w:rsidRPr="00550D16">
              <w:rPr>
                <w:b/>
                <w:szCs w:val="23"/>
              </w:rPr>
              <w:t>Bemyndigande</w:t>
            </w:r>
            <w:r>
              <w:rPr>
                <w:b/>
                <w:szCs w:val="23"/>
              </w:rPr>
              <w:t xml:space="preserve"> </w:t>
            </w:r>
            <w:r w:rsidRPr="008E2F7A">
              <w:rPr>
                <w:b/>
                <w:bCs/>
              </w:rPr>
              <w:t xml:space="preserve">att efterhöra regeringens bedömning i subsidiaritetsärenden </w:t>
            </w:r>
          </w:p>
          <w:p w14:paraId="33B377A2" w14:textId="796C2400" w:rsidR="00BB21D1" w:rsidRPr="00550D16" w:rsidRDefault="00BB21D1" w:rsidP="007E1600">
            <w:pPr>
              <w:spacing w:after="200" w:line="280" w:lineRule="exact"/>
              <w:rPr>
                <w:b/>
              </w:rPr>
            </w:pPr>
            <w:r>
              <w:t>Utskottet beslutade att ordföranden, i förekommande fall under juluppehållet 2023, får efterhöra regeringens bedömning av tillämpningen av subsidiaritetsprincipen enligt 10 kap. 10 § riksdagsordningen.</w:t>
            </w:r>
            <w:r w:rsidRPr="008E2F7A">
              <w:rPr>
                <w:b/>
                <w:bCs/>
                <w:szCs w:val="23"/>
              </w:rPr>
              <w:t xml:space="preserve"> </w:t>
            </w:r>
          </w:p>
        </w:tc>
      </w:tr>
      <w:tr w:rsidR="00BB21D1" w:rsidRPr="0012669A" w14:paraId="4B65A9A2" w14:textId="77777777" w:rsidTr="00BB21D1">
        <w:trPr>
          <w:trHeight w:val="950"/>
        </w:trPr>
        <w:tc>
          <w:tcPr>
            <w:tcW w:w="567" w:type="dxa"/>
          </w:tcPr>
          <w:p w14:paraId="0BBF3302" w14:textId="439B21A4" w:rsidR="00BB21D1" w:rsidRDefault="00BB21D1" w:rsidP="00DC0D46">
            <w:pPr>
              <w:tabs>
                <w:tab w:val="left" w:pos="1701"/>
              </w:tabs>
              <w:rPr>
                <w:b/>
                <w:snapToGrid w:val="0"/>
              </w:rPr>
            </w:pPr>
            <w:r>
              <w:rPr>
                <w:b/>
                <w:snapToGrid w:val="0"/>
              </w:rPr>
              <w:t>§ 15</w:t>
            </w:r>
          </w:p>
        </w:tc>
        <w:tc>
          <w:tcPr>
            <w:tcW w:w="7020" w:type="dxa"/>
          </w:tcPr>
          <w:p w14:paraId="175139CF" w14:textId="77777777" w:rsidR="00BB21D1" w:rsidRPr="00BB21D1" w:rsidRDefault="00BB21D1" w:rsidP="00BB21D1">
            <w:pPr>
              <w:spacing w:after="200" w:line="280" w:lineRule="exact"/>
              <w:rPr>
                <w:b/>
                <w:szCs w:val="23"/>
              </w:rPr>
            </w:pPr>
            <w:r w:rsidRPr="00BB21D1">
              <w:rPr>
                <w:b/>
                <w:szCs w:val="23"/>
              </w:rPr>
              <w:t>Bemyndigande att justera protokollet</w:t>
            </w:r>
          </w:p>
          <w:p w14:paraId="41148601" w14:textId="34898DB8" w:rsidR="00BB21D1" w:rsidRPr="00BB21D1" w:rsidRDefault="00BB21D1" w:rsidP="007E1600">
            <w:pPr>
              <w:spacing w:after="200" w:line="280" w:lineRule="exact"/>
              <w:rPr>
                <w:bCs/>
                <w:szCs w:val="23"/>
              </w:rPr>
            </w:pPr>
            <w:r>
              <w:rPr>
                <w:bCs/>
                <w:szCs w:val="23"/>
              </w:rPr>
              <w:t>Utskottet gav i uppdrag åt ordföranden att justera protokollet från dagens sammanträde.</w:t>
            </w:r>
          </w:p>
        </w:tc>
      </w:tr>
      <w:tr w:rsidR="00A74A3A" w:rsidRPr="0012669A" w14:paraId="33046147" w14:textId="77777777" w:rsidTr="00BB21D1">
        <w:trPr>
          <w:trHeight w:val="950"/>
        </w:trPr>
        <w:tc>
          <w:tcPr>
            <w:tcW w:w="567" w:type="dxa"/>
          </w:tcPr>
          <w:p w14:paraId="226051D7" w14:textId="2402D906" w:rsidR="00A74A3A" w:rsidRDefault="00A74A3A" w:rsidP="00DC0D46">
            <w:pPr>
              <w:tabs>
                <w:tab w:val="left" w:pos="1701"/>
              </w:tabs>
              <w:rPr>
                <w:b/>
                <w:snapToGrid w:val="0"/>
              </w:rPr>
            </w:pPr>
            <w:r>
              <w:rPr>
                <w:b/>
                <w:snapToGrid w:val="0"/>
              </w:rPr>
              <w:t xml:space="preserve">§ </w:t>
            </w:r>
            <w:r w:rsidR="008C1515">
              <w:rPr>
                <w:b/>
                <w:snapToGrid w:val="0"/>
              </w:rPr>
              <w:t>16</w:t>
            </w:r>
          </w:p>
        </w:tc>
        <w:tc>
          <w:tcPr>
            <w:tcW w:w="7020"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64307BA5" w14:textId="3EB19085" w:rsidR="00BA0945" w:rsidRPr="0077189E" w:rsidRDefault="00AE0DEF" w:rsidP="00A74A3A">
            <w:pPr>
              <w:widowControl w:val="0"/>
              <w:tabs>
                <w:tab w:val="left" w:pos="1701"/>
              </w:tabs>
              <w:rPr>
                <w:bCs/>
              </w:rPr>
            </w:pPr>
            <w:r w:rsidRPr="00AE0DEF">
              <w:rPr>
                <w:bCs/>
              </w:rPr>
              <w:t xml:space="preserve">Nästa sammanträde äger rum torsdagen den </w:t>
            </w:r>
            <w:r w:rsidR="007E1600">
              <w:rPr>
                <w:bCs/>
              </w:rPr>
              <w:t>1</w:t>
            </w:r>
            <w:r w:rsidR="00BB21D1">
              <w:rPr>
                <w:bCs/>
              </w:rPr>
              <w:t>8</w:t>
            </w:r>
            <w:r w:rsidR="00305ED2">
              <w:rPr>
                <w:bCs/>
              </w:rPr>
              <w:t xml:space="preserve"> </w:t>
            </w:r>
            <w:r w:rsidR="00BB21D1">
              <w:rPr>
                <w:bCs/>
              </w:rPr>
              <w:t>januari</w:t>
            </w:r>
            <w:r w:rsidRPr="00AE0DEF">
              <w:rPr>
                <w:bCs/>
              </w:rPr>
              <w:t xml:space="preserve"> 202</w:t>
            </w:r>
            <w:r w:rsidR="00BB21D1">
              <w:rPr>
                <w:bCs/>
              </w:rPr>
              <w:t>4</w:t>
            </w:r>
            <w:r w:rsidRPr="00AE0DEF">
              <w:rPr>
                <w:bCs/>
              </w:rPr>
              <w:t xml:space="preserve"> kl.10.00.</w:t>
            </w:r>
          </w:p>
        </w:tc>
      </w:tr>
      <w:tr w:rsidR="00DC0D46" w:rsidRPr="0012669A" w14:paraId="448A3638" w14:textId="77777777" w:rsidTr="00BB21D1">
        <w:tc>
          <w:tcPr>
            <w:tcW w:w="7587" w:type="dxa"/>
            <w:gridSpan w:val="2"/>
          </w:tcPr>
          <w:p w14:paraId="2FEDC8BF" w14:textId="7C7FD89B" w:rsidR="00E242DF" w:rsidRDefault="00E242DF" w:rsidP="00DC0D46">
            <w:pPr>
              <w:tabs>
                <w:tab w:val="left" w:pos="1701"/>
              </w:tabs>
            </w:pPr>
          </w:p>
          <w:p w14:paraId="4FA59F8E" w14:textId="1FE6DE22" w:rsidR="00141DEF" w:rsidRDefault="00141DEF" w:rsidP="00DC0D46">
            <w:pPr>
              <w:tabs>
                <w:tab w:val="left" w:pos="1701"/>
              </w:tabs>
            </w:pPr>
          </w:p>
          <w:p w14:paraId="56126E41" w14:textId="2163AC4E" w:rsidR="00DC0D46" w:rsidRDefault="00DC0D46" w:rsidP="00DC0D46">
            <w:pPr>
              <w:tabs>
                <w:tab w:val="left" w:pos="1701"/>
              </w:tabs>
            </w:pPr>
            <w:r w:rsidRPr="0012669A">
              <w:t>Vid protokollet</w:t>
            </w:r>
          </w:p>
          <w:p w14:paraId="07D5F219" w14:textId="71618C23" w:rsidR="00141DEF" w:rsidRDefault="00141DEF" w:rsidP="00DC0D46">
            <w:pPr>
              <w:tabs>
                <w:tab w:val="left" w:pos="1701"/>
              </w:tabs>
            </w:pPr>
          </w:p>
          <w:p w14:paraId="4649FD8C" w14:textId="77777777" w:rsidR="00141DEF" w:rsidRPr="0012669A" w:rsidRDefault="00141DEF" w:rsidP="00DC0D46">
            <w:pPr>
              <w:tabs>
                <w:tab w:val="left" w:pos="1701"/>
              </w:tabs>
            </w:pPr>
          </w:p>
          <w:p w14:paraId="44E0A703" w14:textId="1F90ADD1" w:rsidR="00DC0D46" w:rsidRDefault="00DC0D46" w:rsidP="00DC0D46">
            <w:pPr>
              <w:tabs>
                <w:tab w:val="left" w:pos="1701"/>
              </w:tabs>
            </w:pPr>
          </w:p>
          <w:p w14:paraId="0C68E91F" w14:textId="2FC3F499" w:rsidR="00141DEF" w:rsidRDefault="00141DEF" w:rsidP="00DC0D46">
            <w:pPr>
              <w:tabs>
                <w:tab w:val="left" w:pos="1701"/>
              </w:tabs>
            </w:pPr>
          </w:p>
          <w:p w14:paraId="79740975" w14:textId="58109EEE" w:rsidR="00DC0D46" w:rsidRPr="0012669A" w:rsidRDefault="00DC0D46" w:rsidP="00DC0D46">
            <w:pPr>
              <w:tabs>
                <w:tab w:val="left" w:pos="1701"/>
              </w:tabs>
            </w:pPr>
            <w:r w:rsidRPr="0012669A">
              <w:t xml:space="preserve">Justeras den </w:t>
            </w:r>
            <w:r w:rsidR="007E1600">
              <w:t>14</w:t>
            </w:r>
            <w:r w:rsidR="00305ED2">
              <w:t xml:space="preserve"> december</w:t>
            </w:r>
            <w:r w:rsidR="001B3B27">
              <w:t xml:space="preserve"> 2023</w:t>
            </w:r>
          </w:p>
          <w:p w14:paraId="739BD8DE" w14:textId="6BAB242F" w:rsidR="00DC0D46" w:rsidRDefault="00DC0D46" w:rsidP="00DC0D46">
            <w:pPr>
              <w:tabs>
                <w:tab w:val="left" w:pos="1701"/>
              </w:tabs>
            </w:pPr>
          </w:p>
          <w:p w14:paraId="1F982220" w14:textId="77777777" w:rsidR="00141DEF" w:rsidRPr="0012669A" w:rsidRDefault="00141DEF" w:rsidP="00DC0D46">
            <w:pPr>
              <w:tabs>
                <w:tab w:val="left" w:pos="1701"/>
              </w:tabs>
            </w:pPr>
          </w:p>
          <w:p w14:paraId="540E52C5" w14:textId="0AD59608" w:rsidR="00297ABD" w:rsidRPr="00355D1B" w:rsidRDefault="00297ABD" w:rsidP="00DC0D46">
            <w:pPr>
              <w:tabs>
                <w:tab w:val="left" w:pos="1701"/>
              </w:tabs>
            </w:pPr>
          </w:p>
        </w:tc>
      </w:tr>
    </w:tbl>
    <w:p w14:paraId="141DC0E5" w14:textId="77777777" w:rsidR="00141DEF" w:rsidRDefault="00141DEF">
      <w:bookmarkStart w:id="1" w:name="_Hlk97030853"/>
      <w:bookmarkStart w:id="2" w:name="_Hlk146185070"/>
      <w:r>
        <w:br w:type="page"/>
      </w:r>
    </w:p>
    <w:tbl>
      <w:tblPr>
        <w:tblW w:w="88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0"/>
        <w:gridCol w:w="39"/>
        <w:gridCol w:w="398"/>
        <w:gridCol w:w="426"/>
        <w:gridCol w:w="425"/>
        <w:gridCol w:w="425"/>
        <w:gridCol w:w="425"/>
        <w:gridCol w:w="426"/>
        <w:gridCol w:w="282"/>
        <w:gridCol w:w="285"/>
        <w:gridCol w:w="302"/>
        <w:gridCol w:w="265"/>
        <w:gridCol w:w="19"/>
        <w:gridCol w:w="443"/>
        <w:gridCol w:w="388"/>
        <w:gridCol w:w="37"/>
        <w:gridCol w:w="426"/>
        <w:gridCol w:w="529"/>
        <w:gridCol w:w="19"/>
      </w:tblGrid>
      <w:tr w:rsidR="00B8320F" w14:paraId="66CEFB4D" w14:textId="77777777" w:rsidTr="00141DEF">
        <w:trPr>
          <w:gridAfter w:val="1"/>
          <w:wAfter w:w="19" w:type="dxa"/>
        </w:trPr>
        <w:tc>
          <w:tcPr>
            <w:tcW w:w="3320" w:type="dxa"/>
            <w:tcBorders>
              <w:top w:val="nil"/>
              <w:left w:val="nil"/>
              <w:bottom w:val="nil"/>
              <w:right w:val="nil"/>
            </w:tcBorders>
          </w:tcPr>
          <w:p w14:paraId="6FE6FA2D" w14:textId="2917E0F4" w:rsidR="00B8320F" w:rsidRDefault="00B8320F" w:rsidP="00FD0762">
            <w:pPr>
              <w:tabs>
                <w:tab w:val="left" w:pos="1701"/>
              </w:tabs>
              <w:rPr>
                <w:sz w:val="22"/>
                <w:szCs w:val="22"/>
              </w:rPr>
            </w:pPr>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6"/>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1476C76E" w:rsidR="00B8320F" w:rsidRDefault="00B8320F" w:rsidP="00FD0762">
            <w:pPr>
              <w:tabs>
                <w:tab w:val="left" w:pos="1701"/>
              </w:tabs>
            </w:pPr>
            <w:r>
              <w:rPr>
                <w:sz w:val="20"/>
              </w:rPr>
              <w:t>202</w:t>
            </w:r>
            <w:r w:rsidR="0090760E">
              <w:rPr>
                <w:sz w:val="20"/>
              </w:rPr>
              <w:t>3</w:t>
            </w:r>
            <w:r>
              <w:rPr>
                <w:sz w:val="20"/>
              </w:rPr>
              <w:t>/2</w:t>
            </w:r>
            <w:r w:rsidR="0090760E">
              <w:rPr>
                <w:sz w:val="20"/>
              </w:rPr>
              <w:t>4</w:t>
            </w:r>
            <w:r>
              <w:rPr>
                <w:sz w:val="20"/>
              </w:rPr>
              <w:t>:</w:t>
            </w:r>
            <w:r w:rsidR="00AE0DEF">
              <w:rPr>
                <w:sz w:val="20"/>
              </w:rPr>
              <w:t>1</w:t>
            </w:r>
            <w:r w:rsidR="00BB21D1">
              <w:rPr>
                <w:sz w:val="20"/>
              </w:rPr>
              <w:t>4</w:t>
            </w:r>
          </w:p>
        </w:tc>
      </w:tr>
      <w:tr w:rsidR="00B8320F" w14:paraId="0DF86746" w14:textId="77777777" w:rsidTr="00141DEF">
        <w:trPr>
          <w:gridAfter w:val="1"/>
          <w:wAfter w:w="19" w:type="dxa"/>
        </w:trPr>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650D96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r w:rsidR="004B7D90">
              <w:rPr>
                <w:sz w:val="22"/>
                <w:szCs w:val="22"/>
              </w:rPr>
              <w:t>–</w:t>
            </w:r>
            <w:r w:rsidR="002B0AE2">
              <w:rPr>
                <w:sz w:val="22"/>
                <w:szCs w:val="22"/>
              </w:rPr>
              <w:t>3</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469A8CF3" w:rsidR="00B8320F" w:rsidRDefault="004B7D9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2B0AE2">
              <w:rPr>
                <w:sz w:val="22"/>
                <w:szCs w:val="22"/>
              </w:rPr>
              <w:t>4–16</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209D0A4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5558F59B"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321E2B82"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245501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w:t>
            </w:r>
            <w:proofErr w:type="spellStart"/>
            <w:r w:rsidRPr="008F6BFD">
              <w:rPr>
                <w:sz w:val="20"/>
                <w:lang w:val="en-GB"/>
              </w:rPr>
              <w:t>Thand</w:t>
            </w:r>
            <w:proofErr w:type="spellEnd"/>
            <w:r w:rsidRPr="008F6BFD">
              <w:rPr>
                <w:sz w:val="20"/>
                <w:lang w:val="en-GB"/>
              </w:rPr>
              <w:t xml:space="preserve"> </w:t>
            </w:r>
            <w:proofErr w:type="spellStart"/>
            <w:r w:rsidRPr="008F6BFD">
              <w:rPr>
                <w:sz w:val="20"/>
                <w:lang w:val="en-GB"/>
              </w:rPr>
              <w:t>Ringqvist</w:t>
            </w:r>
            <w:proofErr w:type="spellEnd"/>
            <w:r w:rsidRPr="008F6BFD">
              <w:rPr>
                <w:sz w:val="20"/>
                <w:lang w:val="en-GB"/>
              </w:rPr>
              <w:t xml:space="preserve">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50D327F4" w:rsidR="00B8320F" w:rsidRPr="00772FEE"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4A77DCEA" w:rsidR="00B8320F" w:rsidRPr="00772FEE"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3BF566A9"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4FB0A404"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7362C9CE"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5775166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2"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2"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gridSpan w:val="2"/>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4012310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3A6141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2C168DB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46910844"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2FE4EB02"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78D92D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119454CF" w14:textId="44F6F83D"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7C187946"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64E0FE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52A1B0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4539BA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7CEAEA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519E0657"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51F1728E"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483AF10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36660AB4"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36C4A2CE"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1042C02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3B55FBB"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30A67DEC"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5E17FBA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60262F38"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7E398C57"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3F6622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9DFB4AC" w14:textId="4686B611" w:rsidR="00B8320F" w:rsidRDefault="0064466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 xml:space="preserve">Anna </w:t>
            </w:r>
            <w:proofErr w:type="spellStart"/>
            <w:r>
              <w:rPr>
                <w:snapToGrid w:val="0"/>
                <w:color w:val="000000"/>
                <w:sz w:val="20"/>
                <w:lang w:val="en-US"/>
              </w:rPr>
              <w:t>af</w:t>
            </w:r>
            <w:proofErr w:type="spellEnd"/>
            <w:r>
              <w:rPr>
                <w:snapToGrid w:val="0"/>
                <w:color w:val="000000"/>
                <w:sz w:val="20"/>
                <w:lang w:val="en-US"/>
              </w:rPr>
              <w:t xml:space="preserve"> </w:t>
            </w:r>
            <w:proofErr w:type="spellStart"/>
            <w:r>
              <w:rPr>
                <w:snapToGrid w:val="0"/>
                <w:color w:val="000000"/>
                <w:sz w:val="20"/>
                <w:lang w:val="en-US"/>
              </w:rPr>
              <w:t>Sillén</w:t>
            </w:r>
            <w:proofErr w:type="spellEnd"/>
            <w:r>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162330C2" w14:textId="33EE7094"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00C9DBFF"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5BF24F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5D61B38F"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5B0978D0"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33F1CDA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648D767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123A604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5EBA19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398" w:type="dxa"/>
            <w:tcBorders>
              <w:top w:val="single" w:sz="6" w:space="0" w:color="auto"/>
              <w:left w:val="single" w:sz="6" w:space="0" w:color="auto"/>
              <w:bottom w:val="single" w:sz="6" w:space="0" w:color="auto"/>
              <w:right w:val="single" w:sz="6" w:space="0" w:color="auto"/>
            </w:tcBorders>
          </w:tcPr>
          <w:p w14:paraId="7CA30006" w14:textId="51FBC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2353694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30C3DDC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23AB0A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427528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425A4F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08324DF8"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156C9FBA"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2E617B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3E383F2" w14:textId="1DD39101" w:rsidR="0062608C" w:rsidRDefault="00BA0945" w:rsidP="00FD0762">
            <w:pPr>
              <w:tabs>
                <w:tab w:val="left" w:pos="1985"/>
              </w:tabs>
              <w:rPr>
                <w:snapToGrid w:val="0"/>
                <w:color w:val="000000"/>
                <w:sz w:val="20"/>
              </w:rPr>
            </w:pPr>
            <w:r>
              <w:rPr>
                <w:snapToGrid w:val="0"/>
                <w:color w:val="000000"/>
                <w:sz w:val="20"/>
              </w:rPr>
              <w:t>Johnny Svedin</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0CE5CE7B" w:rsidR="0062608C"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0338718C" w:rsidR="0062608C"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1653A1A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202D0A56" w14:textId="672EFEAD"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2768CC92"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33042BF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F1D078" w14:textId="5AC61FFC"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7A7CC62B"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10ED2351" w:rsidR="009F7E47" w:rsidRPr="00F8082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6B1D73F" w14:textId="1FCB5B41" w:rsidR="00B8320F" w:rsidRPr="00F8082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EE1583" w14:textId="5B137F8D"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2" w:type="dxa"/>
            <w:tcBorders>
              <w:top w:val="single" w:sz="6" w:space="0" w:color="auto"/>
              <w:left w:val="single" w:sz="6" w:space="0" w:color="auto"/>
              <w:bottom w:val="single" w:sz="6" w:space="0" w:color="auto"/>
              <w:right w:val="single" w:sz="6" w:space="0" w:color="auto"/>
            </w:tcBorders>
          </w:tcPr>
          <w:p w14:paraId="2092DA06" w14:textId="4FA9A05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5" w:type="dxa"/>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2"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gridSpan w:val="2"/>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98E3D6" w14:textId="530C979F" w:rsidR="00B8320F" w:rsidRDefault="00B72DB6" w:rsidP="00FD0762">
            <w:pPr>
              <w:tabs>
                <w:tab w:val="left" w:pos="1985"/>
              </w:tabs>
              <w:rPr>
                <w:snapToGrid w:val="0"/>
                <w:color w:val="000000"/>
                <w:sz w:val="20"/>
              </w:rPr>
            </w:pPr>
            <w:r w:rsidRPr="00B72DB6">
              <w:rPr>
                <w:snapToGrid w:val="0"/>
                <w:color w:val="000000"/>
                <w:sz w:val="20"/>
              </w:rPr>
              <w:t>Fredrik Ahlstedt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72DB6" w14:paraId="0992708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6C0F9A1" w14:textId="57F43F55" w:rsidR="00B72DB6" w:rsidRDefault="00DA5A31"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w:t>
            </w:r>
            <w:r w:rsidR="00B72DB6">
              <w:rPr>
                <w:snapToGrid w:val="0"/>
                <w:color w:val="000000"/>
                <w:sz w:val="20"/>
                <w:lang w:val="en-US"/>
              </w:rPr>
              <w:t>(SD)</w:t>
            </w:r>
          </w:p>
        </w:tc>
        <w:tc>
          <w:tcPr>
            <w:tcW w:w="398" w:type="dxa"/>
            <w:tcBorders>
              <w:top w:val="single" w:sz="6" w:space="0" w:color="auto"/>
              <w:left w:val="single" w:sz="6" w:space="0" w:color="auto"/>
              <w:bottom w:val="single" w:sz="6" w:space="0" w:color="auto"/>
              <w:right w:val="single" w:sz="6" w:space="0" w:color="auto"/>
            </w:tcBorders>
          </w:tcPr>
          <w:p w14:paraId="64359E2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8014A5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48E7F7D"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2F28BA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DE3E213"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2A64E864"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7C3416F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756235B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53B3464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1F9C16C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42232D0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A836A17"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7E89DA8E"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6601F88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4A79C7E" w14:textId="29B263C8"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5D2B84FC" w14:textId="411F12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0D955DB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15FC5D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63774B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28A2614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36384B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161139B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30D3C4F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787B64B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C2EEC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0DDDF69F" w14:textId="09689DC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4D439C68" w14:textId="58166FA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5A0DA24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9EB056B" w14:textId="039F04EA" w:rsidR="00B8320F" w:rsidRDefault="00B72DB6" w:rsidP="00FD0762">
            <w:pPr>
              <w:rPr>
                <w:sz w:val="20"/>
              </w:rPr>
            </w:pPr>
            <w:r>
              <w:rPr>
                <w:sz w:val="20"/>
              </w:rPr>
              <w:t xml:space="preserve">Saila </w:t>
            </w:r>
            <w:r w:rsidRPr="00B72DB6">
              <w:rPr>
                <w:sz w:val="20"/>
              </w:rPr>
              <w:t>Quicklund</w:t>
            </w:r>
            <w:r>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783BC6F7" w14:textId="32FF84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228067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4B908F8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2CC98F7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716E3A9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7470A68D"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57789B5D"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20B25E0B"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48ED14F4" w:rsidR="00B8320F" w:rsidRDefault="002B0AE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1970BE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28A7D30B"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148AB754"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141DEF">
        <w:trPr>
          <w:gridAfter w:val="1"/>
          <w:wAfter w:w="19" w:type="dxa"/>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7"/>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141DEF">
        <w:trPr>
          <w:gridAfter w:val="1"/>
          <w:wAfter w:w="19" w:type="dxa"/>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7"/>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bookmarkEnd w:id="2"/>
    </w:tbl>
    <w:p w14:paraId="4174E854" w14:textId="77777777" w:rsidR="00B8320F" w:rsidRDefault="00B8320F" w:rsidP="006D3CF4"/>
    <w:sectPr w:rsidR="00B8320F" w:rsidSect="00C55010">
      <w:pgSz w:w="11906" w:h="16838"/>
      <w:pgMar w:top="794" w:right="119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1034" w14:textId="77777777" w:rsidR="00A27057" w:rsidRDefault="00A27057" w:rsidP="002130F1">
      <w:r>
        <w:separator/>
      </w:r>
    </w:p>
  </w:endnote>
  <w:endnote w:type="continuationSeparator" w:id="0">
    <w:p w14:paraId="771DF565" w14:textId="77777777" w:rsidR="00A27057" w:rsidRDefault="00A2705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DD24" w14:textId="77777777" w:rsidR="00A27057" w:rsidRDefault="00A27057" w:rsidP="002130F1">
      <w:r>
        <w:separator/>
      </w:r>
    </w:p>
  </w:footnote>
  <w:footnote w:type="continuationSeparator" w:id="0">
    <w:p w14:paraId="0722AF77" w14:textId="77777777" w:rsidR="00A27057" w:rsidRDefault="00A2705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7"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00C5"/>
    <w:rsid w:val="001D1340"/>
    <w:rsid w:val="001D18B0"/>
    <w:rsid w:val="001D227C"/>
    <w:rsid w:val="001D2797"/>
    <w:rsid w:val="001D3075"/>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5ED2"/>
    <w:rsid w:val="00306680"/>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3C41"/>
    <w:rsid w:val="00395D3B"/>
    <w:rsid w:val="003977B2"/>
    <w:rsid w:val="00397E10"/>
    <w:rsid w:val="003A0707"/>
    <w:rsid w:val="003A09E2"/>
    <w:rsid w:val="003A0C53"/>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B7D90"/>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173"/>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3EB4"/>
    <w:rsid w:val="006A445E"/>
    <w:rsid w:val="006A4C76"/>
    <w:rsid w:val="006A4CE1"/>
    <w:rsid w:val="006A582F"/>
    <w:rsid w:val="006A6FFC"/>
    <w:rsid w:val="006A7E23"/>
    <w:rsid w:val="006B0BC3"/>
    <w:rsid w:val="006B0C02"/>
    <w:rsid w:val="006B1090"/>
    <w:rsid w:val="006B19ED"/>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06C"/>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77C"/>
    <w:rsid w:val="00A3598F"/>
    <w:rsid w:val="00A35E86"/>
    <w:rsid w:val="00A376B8"/>
    <w:rsid w:val="00A37A2E"/>
    <w:rsid w:val="00A40614"/>
    <w:rsid w:val="00A40931"/>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87EC7"/>
    <w:rsid w:val="00C9305C"/>
    <w:rsid w:val="00C94F91"/>
    <w:rsid w:val="00C9538D"/>
    <w:rsid w:val="00C96555"/>
    <w:rsid w:val="00C97083"/>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315"/>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126"/>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072"/>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2F86"/>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7BEF"/>
    <w:rsid w:val="00FE7E2D"/>
    <w:rsid w:val="00FE7ED5"/>
    <w:rsid w:val="00FF0198"/>
    <w:rsid w:val="00FF04EE"/>
    <w:rsid w:val="00FF0520"/>
    <w:rsid w:val="00FF16FC"/>
    <w:rsid w:val="00FF17DE"/>
    <w:rsid w:val="00FF29CE"/>
    <w:rsid w:val="00FF2D44"/>
    <w:rsid w:val="00FF355E"/>
    <w:rsid w:val="00FF3A01"/>
    <w:rsid w:val="00FF4284"/>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D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7171</Characters>
  <Application>Microsoft Office Word</Application>
  <DocSecurity>0</DocSecurity>
  <Lines>1195</Lines>
  <Paragraphs>227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2023-12-14T10:41:00Z</cp:lastPrinted>
  <dcterms:created xsi:type="dcterms:W3CDTF">2023-12-14T13:14:00Z</dcterms:created>
  <dcterms:modified xsi:type="dcterms:W3CDTF">2023-12-14T13:14:00Z</dcterms:modified>
</cp:coreProperties>
</file>