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549A2">
        <w:tblPrEx>
          <w:tblCellMar>
            <w:top w:w="0" w:type="dxa"/>
            <w:bottom w:w="0" w:type="dxa"/>
          </w:tblCellMar>
        </w:tblPrEx>
        <w:trPr>
          <w:cantSplit/>
          <w:trHeight w:val="1720"/>
        </w:trPr>
        <w:tc>
          <w:tcPr>
            <w:tcW w:w="6024" w:type="dxa"/>
            <w:gridSpan w:val="2"/>
          </w:tcPr>
          <w:p w:rsidR="00A62CAF" w:rsidRPr="00D549A2" w:rsidRDefault="00A62CAF">
            <w:pPr>
              <w:pStyle w:val="HuvudRubrik"/>
            </w:pPr>
            <w:r w:rsidRPr="00D549A2">
              <w:t>Konstitutionsutskottets yttrande</w:t>
            </w:r>
          </w:p>
          <w:p w:rsidR="00A62CAF" w:rsidRPr="00D549A2" w:rsidRDefault="00A62CAF">
            <w:pPr>
              <w:pStyle w:val="HuvudRubrikRad2"/>
            </w:pPr>
            <w:bookmarkStart w:id="0" w:name="BetänkandeNr"/>
            <w:bookmarkEnd w:id="0"/>
            <w:r w:rsidRPr="00D549A2">
              <w:t>2002/03:KU1y</w:t>
            </w:r>
          </w:p>
        </w:tc>
        <w:tc>
          <w:tcPr>
            <w:tcW w:w="1418" w:type="dxa"/>
            <w:tcBorders>
              <w:bottom w:val="nil"/>
            </w:tcBorders>
          </w:tcPr>
          <w:p w:rsidR="00A62CAF" w:rsidRPr="00D549A2" w:rsidRDefault="00D549A2">
            <w:pPr>
              <w:spacing w:line="230" w:lineRule="auto"/>
              <w:jc w:val="center"/>
            </w:pPr>
            <w:r w:rsidRPr="00D549A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62CAF" w:rsidRPr="00D549A2" w:rsidRDefault="00A62CAF">
            <w:pPr>
              <w:pStyle w:val="Normaltindrag"/>
              <w:jc w:val="center"/>
            </w:pPr>
          </w:p>
          <w:p w:rsidR="00A62CAF" w:rsidRPr="00D549A2" w:rsidRDefault="00A62CAF">
            <w:pPr>
              <w:pStyle w:val="StatusSida1"/>
            </w:pPr>
          </w:p>
          <w:p w:rsidR="00A62CAF" w:rsidRPr="00D549A2" w:rsidRDefault="00A62CAF">
            <w:pPr>
              <w:pStyle w:val="UtskriftsdatumSida1"/>
              <w:framePr w:wrap="around"/>
            </w:pPr>
          </w:p>
        </w:tc>
      </w:tr>
      <w:tr w:rsidR="00000000" w:rsidRPr="00D549A2">
        <w:tblPrEx>
          <w:tblCellMar>
            <w:top w:w="0" w:type="dxa"/>
            <w:bottom w:w="0" w:type="dxa"/>
          </w:tblCellMar>
        </w:tblPrEx>
        <w:trPr>
          <w:cantSplit/>
        </w:trPr>
        <w:tc>
          <w:tcPr>
            <w:tcW w:w="6024" w:type="dxa"/>
            <w:gridSpan w:val="2"/>
            <w:tcBorders>
              <w:bottom w:val="single" w:sz="4" w:space="0" w:color="auto"/>
            </w:tcBorders>
          </w:tcPr>
          <w:p w:rsidR="00A62CAF" w:rsidRPr="00D549A2" w:rsidRDefault="00A62CAF">
            <w:pPr>
              <w:pStyle w:val="DokumentRubrik"/>
              <w:rPr>
                <w:noProof w:val="0"/>
              </w:rPr>
            </w:pPr>
            <w:bookmarkStart w:id="1" w:name="Huvudrubrik"/>
            <w:bookmarkEnd w:id="1"/>
            <w:r w:rsidRPr="00D549A2">
              <w:rPr>
                <w:noProof w:val="0"/>
              </w:rPr>
              <w:t>Tilläggsbudget för budgetåret 2002 (prop. 2002/03:1)</w:t>
            </w:r>
          </w:p>
        </w:tc>
        <w:tc>
          <w:tcPr>
            <w:tcW w:w="1418" w:type="dxa"/>
            <w:tcBorders>
              <w:bottom w:val="nil"/>
            </w:tcBorders>
          </w:tcPr>
          <w:p w:rsidR="00A62CAF" w:rsidRPr="00D549A2" w:rsidRDefault="00A62CAF">
            <w:pPr>
              <w:rPr>
                <w:b/>
                <w:i/>
              </w:rPr>
            </w:pPr>
          </w:p>
        </w:tc>
      </w:tr>
      <w:tr w:rsidR="00000000" w:rsidRPr="00D549A2">
        <w:tblPrEx>
          <w:tblCellMar>
            <w:top w:w="0" w:type="dxa"/>
            <w:bottom w:w="0" w:type="dxa"/>
          </w:tblCellMar>
        </w:tblPrEx>
        <w:trPr>
          <w:cantSplit/>
          <w:trHeight w:hRule="exact" w:val="360"/>
        </w:trPr>
        <w:tc>
          <w:tcPr>
            <w:tcW w:w="3012" w:type="dxa"/>
          </w:tcPr>
          <w:p w:rsidR="00A62CAF" w:rsidRPr="00D549A2" w:rsidRDefault="00A62CAF"/>
        </w:tc>
        <w:tc>
          <w:tcPr>
            <w:tcW w:w="3012" w:type="dxa"/>
          </w:tcPr>
          <w:p w:rsidR="00A62CAF" w:rsidRPr="00D549A2" w:rsidRDefault="00A62CAF"/>
        </w:tc>
        <w:tc>
          <w:tcPr>
            <w:tcW w:w="1418" w:type="dxa"/>
          </w:tcPr>
          <w:p w:rsidR="00A62CAF" w:rsidRPr="00D549A2" w:rsidRDefault="00A62CAF"/>
        </w:tc>
      </w:tr>
    </w:tbl>
    <w:p w:rsidR="00A62CAF" w:rsidRPr="00D549A2" w:rsidRDefault="00A62CAF">
      <w:pPr>
        <w:pStyle w:val="R1"/>
        <w:spacing w:after="250"/>
      </w:pPr>
      <w:r w:rsidRPr="00D549A2">
        <w:t>Till finansutskottet</w:t>
      </w:r>
    </w:p>
    <w:p w:rsidR="00A62CAF" w:rsidRPr="00D549A2" w:rsidRDefault="00A62CAF">
      <w:bookmarkStart w:id="2" w:name="TextStart"/>
      <w:bookmarkEnd w:id="2"/>
      <w:r w:rsidRPr="00D549A2">
        <w:t>Finansutskottet har den 10 oktober 2002 beslutat bereda bl.a. konstitutionsu</w:t>
      </w:r>
      <w:r w:rsidRPr="00D549A2">
        <w:t>t</w:t>
      </w:r>
      <w:r w:rsidRPr="00D549A2">
        <w:t>skottet tillfälle att avge yttrande över proposition 2002/03:1 Budgetpropos</w:t>
      </w:r>
      <w:r w:rsidRPr="00D549A2">
        <w:t>i</w:t>
      </w:r>
      <w:r w:rsidRPr="00D549A2">
        <w:t>tionen för 2003 (volym 1) i vad avser tilläggsbudget till statsbudgeten för budgetåret 2002 (yrkandena 16–26) jämte motioner i de delar som berör utskottets b</w:t>
      </w:r>
      <w:r w:rsidRPr="00D549A2">
        <w:t>e</w:t>
      </w:r>
      <w:r w:rsidRPr="00D549A2">
        <w:t>redningsområde.</w:t>
      </w:r>
    </w:p>
    <w:p w:rsidR="00A62CAF" w:rsidRPr="00D549A2" w:rsidRDefault="00A62CAF">
      <w:pPr>
        <w:pStyle w:val="Normaltindrag"/>
      </w:pPr>
      <w:r w:rsidRPr="00D549A2">
        <w:t>Konstitutionsutskottets yttrande avser yrkande 26.</w:t>
      </w:r>
    </w:p>
    <w:p w:rsidR="00A62CAF" w:rsidRPr="00D549A2" w:rsidRDefault="00A62CAF">
      <w:r w:rsidRPr="00D549A2">
        <w:t>I propositionen föreslås förändringar av anslag inom utgiftsområde 1 som sammantaget medför höjningar med 3 974 000 kr.</w:t>
      </w:r>
    </w:p>
    <w:p w:rsidR="00A62CAF" w:rsidRPr="00D549A2" w:rsidRDefault="00A62CAF">
      <w:pPr>
        <w:pStyle w:val="Normaltindrag"/>
      </w:pPr>
      <w:r w:rsidRPr="00D549A2">
        <w:t>Konstitutionsutskottet tillstyrker propositionens förslag.</w:t>
      </w:r>
    </w:p>
    <w:p w:rsidR="00A62CAF" w:rsidRPr="00D549A2" w:rsidRDefault="00A62CAF">
      <w:pPr>
        <w:pStyle w:val="R1"/>
      </w:pPr>
      <w:r w:rsidRPr="00D549A2">
        <w:br w:type="page"/>
      </w:r>
      <w:r w:rsidRPr="00D549A2">
        <w:lastRenderedPageBreak/>
        <w:t>Utskottet</w:t>
      </w:r>
    </w:p>
    <w:p w:rsidR="00A62CAF" w:rsidRPr="00D549A2" w:rsidRDefault="00A62CAF">
      <w:pPr>
        <w:pStyle w:val="R2"/>
        <w:spacing w:before="0"/>
      </w:pPr>
      <w:r w:rsidRPr="00D549A2">
        <w:t>Propositionen</w:t>
      </w:r>
    </w:p>
    <w:p w:rsidR="00A62CAF" w:rsidRPr="00D549A2" w:rsidRDefault="00A62CAF">
      <w:r w:rsidRPr="00D549A2">
        <w:t>För löpande budgetår kan riksdagen, enligt 9 kap. 5 § regeringsformen, på tilläggsbudget göra en ny beräkning av statsinkomster samt ändra anslag och anvisa nya anslag.</w:t>
      </w:r>
    </w:p>
    <w:p w:rsidR="00A62CAF" w:rsidRPr="00D549A2" w:rsidRDefault="00A62CAF">
      <w:pPr>
        <w:pStyle w:val="Normaltindrag"/>
      </w:pPr>
      <w:r w:rsidRPr="00D549A2">
        <w:t>Regeringen föreslår i propositionen (volym 1, yrkande 26) att riksdagen på tilläggsbudget till statsbudgeten för budgetåret 2002 godkänner ändrade ramar för utgiftsområden samt anvisar ändrade och nya anslag i enlighet med spec</w:t>
      </w:r>
      <w:r w:rsidRPr="00D549A2">
        <w:t>i</w:t>
      </w:r>
      <w:r w:rsidRPr="00D549A2">
        <w:t>fikation i tabell 2.1. Beträffande utgiftsområde 1 föreslår regeringen en fö</w:t>
      </w:r>
      <w:r w:rsidRPr="00D549A2">
        <w:t>r</w:t>
      </w:r>
      <w:r w:rsidRPr="00D549A2">
        <w:t>ändring av ramen från 7 410 722 kr till 7 414 696 kr, dvs. en ökning med       3 974 000 kr. Föreslagna anslagsförändringar framgår av följande tabell.</w:t>
      </w:r>
    </w:p>
    <w:p w:rsidR="00A62CAF" w:rsidRPr="00D549A2" w:rsidRDefault="00A62CAF">
      <w:pPr>
        <w:spacing w:before="0"/>
        <w:rPr>
          <w:sz w:val="14"/>
        </w:rPr>
      </w:pPr>
    </w:p>
    <w:p w:rsidR="00A62CAF" w:rsidRPr="00D549A2" w:rsidRDefault="00A62CAF">
      <w:pPr>
        <w:spacing w:before="0"/>
        <w:rPr>
          <w:sz w:val="14"/>
        </w:rPr>
      </w:pPr>
      <w:r w:rsidRPr="00D549A2">
        <w:rPr>
          <w:sz w:val="14"/>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298"/>
        <w:gridCol w:w="567"/>
        <w:gridCol w:w="1843"/>
        <w:gridCol w:w="992"/>
        <w:gridCol w:w="1134"/>
        <w:gridCol w:w="1049"/>
      </w:tblGrid>
      <w:tr w:rsidR="00000000" w:rsidRPr="00D549A2">
        <w:tblPrEx>
          <w:tblCellMar>
            <w:top w:w="0" w:type="dxa"/>
            <w:bottom w:w="0" w:type="dxa"/>
          </w:tblCellMar>
        </w:tblPrEx>
        <w:trPr>
          <w:cantSplit/>
        </w:trPr>
        <w:tc>
          <w:tcPr>
            <w:tcW w:w="298" w:type="dxa"/>
            <w:tcBorders>
              <w:top w:val="single" w:sz="4" w:space="0" w:color="auto"/>
            </w:tcBorders>
          </w:tcPr>
          <w:p w:rsidR="00A62CAF" w:rsidRPr="00D549A2" w:rsidRDefault="00A62CAF">
            <w:pPr>
              <w:pStyle w:val="Tabelltext"/>
            </w:pPr>
          </w:p>
        </w:tc>
        <w:tc>
          <w:tcPr>
            <w:tcW w:w="567" w:type="dxa"/>
            <w:tcBorders>
              <w:top w:val="single" w:sz="4" w:space="0" w:color="auto"/>
            </w:tcBorders>
          </w:tcPr>
          <w:p w:rsidR="00A62CAF" w:rsidRPr="00D549A2" w:rsidRDefault="00A62CAF">
            <w:pPr>
              <w:pStyle w:val="Tabelltext"/>
            </w:pPr>
          </w:p>
        </w:tc>
        <w:tc>
          <w:tcPr>
            <w:tcW w:w="1843" w:type="dxa"/>
            <w:tcBorders>
              <w:top w:val="single" w:sz="4" w:space="0" w:color="auto"/>
            </w:tcBorders>
          </w:tcPr>
          <w:p w:rsidR="00A62CAF" w:rsidRPr="00D549A2" w:rsidRDefault="00A62CAF">
            <w:pPr>
              <w:pStyle w:val="Tabelltext"/>
              <w:rPr>
                <w:b/>
              </w:rPr>
            </w:pPr>
            <w:r w:rsidRPr="00D549A2">
              <w:rPr>
                <w:b/>
              </w:rPr>
              <w:t>Utgif</w:t>
            </w:r>
            <w:r w:rsidRPr="00D549A2">
              <w:rPr>
                <w:b/>
              </w:rPr>
              <w:t>t</w:t>
            </w:r>
            <w:r w:rsidRPr="00D549A2">
              <w:rPr>
                <w:b/>
              </w:rPr>
              <w:t>sområde</w:t>
            </w:r>
          </w:p>
        </w:tc>
        <w:tc>
          <w:tcPr>
            <w:tcW w:w="992" w:type="dxa"/>
            <w:vMerge w:val="restart"/>
            <w:tcBorders>
              <w:top w:val="single" w:sz="4" w:space="0" w:color="auto"/>
            </w:tcBorders>
          </w:tcPr>
          <w:p w:rsidR="00A62CAF" w:rsidRPr="00D549A2" w:rsidRDefault="00A62CAF">
            <w:pPr>
              <w:pStyle w:val="Tabelltext"/>
            </w:pPr>
            <w:r w:rsidRPr="00D549A2">
              <w:t>Belopp enligt stat</w:t>
            </w:r>
            <w:r w:rsidRPr="00D549A2">
              <w:t>s</w:t>
            </w:r>
            <w:r w:rsidRPr="00D549A2">
              <w:t>budget 2002+TB1</w:t>
            </w:r>
          </w:p>
        </w:tc>
        <w:tc>
          <w:tcPr>
            <w:tcW w:w="2183" w:type="dxa"/>
            <w:gridSpan w:val="2"/>
            <w:tcBorders>
              <w:top w:val="single" w:sz="4" w:space="0" w:color="auto"/>
              <w:bottom w:val="single" w:sz="4" w:space="0" w:color="auto"/>
            </w:tcBorders>
          </w:tcPr>
          <w:p w:rsidR="00A62CAF" w:rsidRPr="00D549A2" w:rsidRDefault="00A62CAF">
            <w:pPr>
              <w:pStyle w:val="Tabelltext"/>
            </w:pPr>
            <w:r w:rsidRPr="00D549A2">
              <w:t>Utskottets förslag</w:t>
            </w:r>
          </w:p>
        </w:tc>
      </w:tr>
      <w:tr w:rsidR="00000000" w:rsidRPr="00D549A2">
        <w:tblPrEx>
          <w:tblCellMar>
            <w:top w:w="0" w:type="dxa"/>
            <w:bottom w:w="0" w:type="dxa"/>
          </w:tblCellMar>
        </w:tblPrEx>
        <w:trPr>
          <w:cantSplit/>
        </w:trPr>
        <w:tc>
          <w:tcPr>
            <w:tcW w:w="298" w:type="dxa"/>
            <w:tcBorders>
              <w:bottom w:val="single" w:sz="4" w:space="0" w:color="auto"/>
            </w:tcBorders>
          </w:tcPr>
          <w:p w:rsidR="00A62CAF" w:rsidRPr="00D549A2" w:rsidRDefault="00A62CAF">
            <w:pPr>
              <w:pStyle w:val="Tabelltext"/>
            </w:pPr>
          </w:p>
        </w:tc>
        <w:tc>
          <w:tcPr>
            <w:tcW w:w="567" w:type="dxa"/>
            <w:tcBorders>
              <w:bottom w:val="single" w:sz="4" w:space="0" w:color="auto"/>
            </w:tcBorders>
          </w:tcPr>
          <w:p w:rsidR="00A62CAF" w:rsidRPr="00D549A2" w:rsidRDefault="00A62CAF">
            <w:pPr>
              <w:pStyle w:val="Tabelltext"/>
            </w:pPr>
          </w:p>
        </w:tc>
        <w:tc>
          <w:tcPr>
            <w:tcW w:w="1843" w:type="dxa"/>
            <w:tcBorders>
              <w:bottom w:val="single" w:sz="4" w:space="0" w:color="auto"/>
            </w:tcBorders>
          </w:tcPr>
          <w:p w:rsidR="00A62CAF" w:rsidRPr="00D549A2" w:rsidRDefault="00A62CAF">
            <w:pPr>
              <w:pStyle w:val="Tabelltext"/>
            </w:pPr>
            <w:r w:rsidRPr="00D549A2">
              <w:t>Anslagsnu</w:t>
            </w:r>
            <w:r w:rsidRPr="00D549A2">
              <w:t>m</w:t>
            </w:r>
            <w:r w:rsidRPr="00D549A2">
              <w:t>mer</w:t>
            </w:r>
          </w:p>
        </w:tc>
        <w:tc>
          <w:tcPr>
            <w:tcW w:w="992" w:type="dxa"/>
            <w:vMerge/>
            <w:tcBorders>
              <w:bottom w:val="single" w:sz="4" w:space="0" w:color="auto"/>
            </w:tcBorders>
          </w:tcPr>
          <w:p w:rsidR="00A62CAF" w:rsidRPr="00D549A2" w:rsidRDefault="00A62CAF">
            <w:pPr>
              <w:pStyle w:val="Tabelltext"/>
            </w:pPr>
          </w:p>
        </w:tc>
        <w:tc>
          <w:tcPr>
            <w:tcW w:w="1134" w:type="dxa"/>
            <w:tcBorders>
              <w:top w:val="single" w:sz="4" w:space="0" w:color="auto"/>
              <w:bottom w:val="single" w:sz="4" w:space="0" w:color="auto"/>
            </w:tcBorders>
          </w:tcPr>
          <w:p w:rsidR="00A62CAF" w:rsidRPr="00D549A2" w:rsidRDefault="00A62CAF">
            <w:pPr>
              <w:pStyle w:val="Tabelltext"/>
            </w:pPr>
            <w:r w:rsidRPr="00D549A2">
              <w:t>Förändring av</w:t>
            </w:r>
            <w:r w:rsidRPr="00D549A2">
              <w:br/>
              <w:t>ram/anslag</w:t>
            </w:r>
          </w:p>
        </w:tc>
        <w:tc>
          <w:tcPr>
            <w:tcW w:w="1049" w:type="dxa"/>
            <w:tcBorders>
              <w:top w:val="single" w:sz="4" w:space="0" w:color="auto"/>
              <w:bottom w:val="single" w:sz="4" w:space="0" w:color="auto"/>
            </w:tcBorders>
          </w:tcPr>
          <w:p w:rsidR="00A62CAF" w:rsidRPr="00D549A2" w:rsidRDefault="00A62CAF">
            <w:pPr>
              <w:pStyle w:val="Tabelltext"/>
            </w:pPr>
            <w:r w:rsidRPr="00D549A2">
              <w:t>Ny ram/Ny anslagsn</w:t>
            </w:r>
            <w:r w:rsidRPr="00D549A2">
              <w:t>i</w:t>
            </w:r>
            <w:r w:rsidRPr="00D549A2">
              <w:t>vå</w:t>
            </w:r>
          </w:p>
        </w:tc>
      </w:tr>
      <w:tr w:rsidR="00000000" w:rsidRPr="00D549A2">
        <w:tblPrEx>
          <w:tblCellMar>
            <w:top w:w="0" w:type="dxa"/>
            <w:bottom w:w="0" w:type="dxa"/>
          </w:tblCellMar>
        </w:tblPrEx>
        <w:trPr>
          <w:cantSplit/>
        </w:trPr>
        <w:tc>
          <w:tcPr>
            <w:tcW w:w="298" w:type="dxa"/>
            <w:tcBorders>
              <w:top w:val="single" w:sz="4" w:space="0" w:color="auto"/>
            </w:tcBorders>
          </w:tcPr>
          <w:p w:rsidR="00A62CAF" w:rsidRPr="00D549A2" w:rsidRDefault="00A62CAF">
            <w:pPr>
              <w:pStyle w:val="Tabelltext"/>
              <w:rPr>
                <w:b/>
              </w:rPr>
            </w:pPr>
          </w:p>
        </w:tc>
        <w:tc>
          <w:tcPr>
            <w:tcW w:w="567" w:type="dxa"/>
            <w:tcBorders>
              <w:top w:val="single" w:sz="4" w:space="0" w:color="auto"/>
            </w:tcBorders>
          </w:tcPr>
          <w:p w:rsidR="00A62CAF" w:rsidRPr="00D549A2" w:rsidRDefault="00A62CAF">
            <w:pPr>
              <w:pStyle w:val="Tabelltext"/>
              <w:rPr>
                <w:b/>
              </w:rPr>
            </w:pPr>
          </w:p>
        </w:tc>
        <w:tc>
          <w:tcPr>
            <w:tcW w:w="1843" w:type="dxa"/>
            <w:tcBorders>
              <w:top w:val="single" w:sz="4" w:space="0" w:color="auto"/>
            </w:tcBorders>
            <w:vAlign w:val="bottom"/>
          </w:tcPr>
          <w:p w:rsidR="00A62CAF" w:rsidRPr="00D549A2" w:rsidRDefault="00A62CAF">
            <w:pPr>
              <w:pStyle w:val="Tabelltext"/>
              <w:rPr>
                <w:b/>
              </w:rPr>
            </w:pPr>
          </w:p>
        </w:tc>
        <w:tc>
          <w:tcPr>
            <w:tcW w:w="992" w:type="dxa"/>
            <w:tcBorders>
              <w:top w:val="single" w:sz="4" w:space="0" w:color="auto"/>
            </w:tcBorders>
            <w:vAlign w:val="bottom"/>
          </w:tcPr>
          <w:p w:rsidR="00A62CAF" w:rsidRPr="00D549A2" w:rsidRDefault="00A62CAF">
            <w:pPr>
              <w:pStyle w:val="Tabelltext"/>
              <w:rPr>
                <w:b/>
              </w:rPr>
            </w:pPr>
          </w:p>
        </w:tc>
        <w:tc>
          <w:tcPr>
            <w:tcW w:w="1134" w:type="dxa"/>
            <w:tcBorders>
              <w:top w:val="single" w:sz="4" w:space="0" w:color="auto"/>
            </w:tcBorders>
            <w:vAlign w:val="bottom"/>
          </w:tcPr>
          <w:p w:rsidR="00A62CAF" w:rsidRPr="00D549A2" w:rsidRDefault="00A62CAF">
            <w:pPr>
              <w:pStyle w:val="Tabelltext"/>
              <w:rPr>
                <w:rFonts w:eastAsia="Arial Unicode MS"/>
                <w:b/>
              </w:rPr>
            </w:pPr>
          </w:p>
        </w:tc>
        <w:tc>
          <w:tcPr>
            <w:tcW w:w="1049" w:type="dxa"/>
            <w:tcBorders>
              <w:top w:val="single" w:sz="4" w:space="0" w:color="auto"/>
            </w:tcBorders>
            <w:vAlign w:val="bottom"/>
          </w:tcPr>
          <w:p w:rsidR="00A62CAF" w:rsidRPr="00D549A2" w:rsidRDefault="00A62CAF">
            <w:pPr>
              <w:pStyle w:val="Tabelltext"/>
              <w:rPr>
                <w:rFonts w:eastAsia="Arial Unicode MS"/>
                <w:b/>
              </w:rPr>
            </w:pPr>
          </w:p>
        </w:tc>
      </w:tr>
      <w:tr w:rsidR="00000000" w:rsidRPr="00D549A2">
        <w:tblPrEx>
          <w:tblCellMar>
            <w:top w:w="0" w:type="dxa"/>
            <w:bottom w:w="0" w:type="dxa"/>
          </w:tblCellMar>
        </w:tblPrEx>
        <w:trPr>
          <w:cantSplit/>
        </w:trPr>
        <w:tc>
          <w:tcPr>
            <w:tcW w:w="298" w:type="dxa"/>
          </w:tcPr>
          <w:p w:rsidR="00A62CAF" w:rsidRPr="00D549A2" w:rsidRDefault="00A62CAF">
            <w:pPr>
              <w:pStyle w:val="Tabelltext"/>
              <w:rPr>
                <w:b/>
              </w:rPr>
            </w:pPr>
            <w:r w:rsidRPr="00D549A2">
              <w:rPr>
                <w:b/>
              </w:rPr>
              <w:t>1</w:t>
            </w:r>
          </w:p>
        </w:tc>
        <w:tc>
          <w:tcPr>
            <w:tcW w:w="567" w:type="dxa"/>
          </w:tcPr>
          <w:p w:rsidR="00A62CAF" w:rsidRPr="00D549A2" w:rsidRDefault="00A62CAF">
            <w:pPr>
              <w:pStyle w:val="Tabelltext"/>
              <w:rPr>
                <w:b/>
              </w:rPr>
            </w:pPr>
          </w:p>
        </w:tc>
        <w:tc>
          <w:tcPr>
            <w:tcW w:w="1843" w:type="dxa"/>
            <w:vAlign w:val="bottom"/>
          </w:tcPr>
          <w:p w:rsidR="00A62CAF" w:rsidRPr="00D549A2" w:rsidRDefault="00A62CAF">
            <w:pPr>
              <w:pStyle w:val="Tabelltext"/>
              <w:rPr>
                <w:rFonts w:eastAsia="Arial Unicode MS"/>
                <w:b/>
              </w:rPr>
            </w:pPr>
            <w:r w:rsidRPr="00D549A2">
              <w:rPr>
                <w:b/>
              </w:rPr>
              <w:t>Rikets styrelse</w:t>
            </w:r>
          </w:p>
        </w:tc>
        <w:tc>
          <w:tcPr>
            <w:tcW w:w="992" w:type="dxa"/>
            <w:vAlign w:val="bottom"/>
          </w:tcPr>
          <w:p w:rsidR="00A62CAF" w:rsidRPr="00D549A2" w:rsidRDefault="00A62CAF">
            <w:pPr>
              <w:pStyle w:val="Tabelltext"/>
              <w:jc w:val="right"/>
              <w:rPr>
                <w:rFonts w:eastAsia="Arial Unicode MS"/>
                <w:b/>
              </w:rPr>
            </w:pPr>
            <w:r w:rsidRPr="00D549A2">
              <w:rPr>
                <w:b/>
              </w:rPr>
              <w:t>7 410 722</w:t>
            </w:r>
          </w:p>
        </w:tc>
        <w:tc>
          <w:tcPr>
            <w:tcW w:w="1134" w:type="dxa"/>
            <w:vAlign w:val="bottom"/>
          </w:tcPr>
          <w:p w:rsidR="00A62CAF" w:rsidRPr="00D549A2" w:rsidRDefault="00A62CAF">
            <w:pPr>
              <w:pStyle w:val="Tabelltext"/>
              <w:jc w:val="right"/>
              <w:rPr>
                <w:rFonts w:eastAsia="Arial Unicode MS"/>
                <w:b/>
              </w:rPr>
            </w:pPr>
            <w:r w:rsidRPr="00D549A2">
              <w:rPr>
                <w:rFonts w:eastAsia="Arial Unicode MS"/>
                <w:b/>
              </w:rPr>
              <w:t>3 974</w:t>
            </w:r>
          </w:p>
        </w:tc>
        <w:tc>
          <w:tcPr>
            <w:tcW w:w="1049" w:type="dxa"/>
            <w:vAlign w:val="bottom"/>
          </w:tcPr>
          <w:p w:rsidR="00A62CAF" w:rsidRPr="00D549A2" w:rsidRDefault="00A62CAF">
            <w:pPr>
              <w:pStyle w:val="Tabelltext"/>
              <w:jc w:val="right"/>
              <w:rPr>
                <w:rFonts w:eastAsia="Arial Unicode MS"/>
                <w:b/>
              </w:rPr>
            </w:pPr>
            <w:r w:rsidRPr="00D549A2">
              <w:rPr>
                <w:rFonts w:eastAsia="Arial Unicode MS"/>
                <w:b/>
              </w:rPr>
              <w:t>7 414 696</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27:1</w:t>
            </w:r>
          </w:p>
        </w:tc>
        <w:tc>
          <w:tcPr>
            <w:tcW w:w="1843" w:type="dxa"/>
          </w:tcPr>
          <w:p w:rsidR="00A62CAF" w:rsidRPr="00D549A2" w:rsidRDefault="00A62CAF">
            <w:pPr>
              <w:pStyle w:val="Tabelltext"/>
            </w:pPr>
            <w:r w:rsidRPr="00D549A2">
              <w:t>Presstödsnämnden och Taltidningsnäm</w:t>
            </w:r>
            <w:r w:rsidRPr="00D549A2">
              <w:t>n</w:t>
            </w:r>
            <w:r w:rsidRPr="00D549A2">
              <w:t>den</w:t>
            </w:r>
          </w:p>
        </w:tc>
        <w:tc>
          <w:tcPr>
            <w:tcW w:w="992" w:type="dxa"/>
          </w:tcPr>
          <w:p w:rsidR="00A62CAF" w:rsidRPr="00D549A2" w:rsidRDefault="00A62CAF">
            <w:pPr>
              <w:pStyle w:val="Tabelltext"/>
              <w:jc w:val="right"/>
            </w:pPr>
            <w:r w:rsidRPr="00D549A2">
              <w:t>5 790</w:t>
            </w:r>
          </w:p>
        </w:tc>
        <w:tc>
          <w:tcPr>
            <w:tcW w:w="1134" w:type="dxa"/>
          </w:tcPr>
          <w:p w:rsidR="00A62CAF" w:rsidRPr="00D549A2" w:rsidRDefault="00A62CAF">
            <w:pPr>
              <w:pStyle w:val="Tabelltext"/>
              <w:jc w:val="right"/>
            </w:pPr>
            <w:r w:rsidRPr="00D549A2">
              <w:t>200</w:t>
            </w:r>
          </w:p>
        </w:tc>
        <w:tc>
          <w:tcPr>
            <w:tcW w:w="1049" w:type="dxa"/>
          </w:tcPr>
          <w:p w:rsidR="00A62CAF" w:rsidRPr="00D549A2" w:rsidRDefault="00A62CAF">
            <w:pPr>
              <w:pStyle w:val="Tabelltext"/>
              <w:jc w:val="right"/>
            </w:pPr>
            <w:r w:rsidRPr="00D549A2">
              <w:t>5 990</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27:5</w:t>
            </w:r>
          </w:p>
        </w:tc>
        <w:tc>
          <w:tcPr>
            <w:tcW w:w="1843" w:type="dxa"/>
          </w:tcPr>
          <w:p w:rsidR="00A62CAF" w:rsidRPr="00D549A2" w:rsidRDefault="00A62CAF">
            <w:pPr>
              <w:pStyle w:val="Tabelltext"/>
            </w:pPr>
            <w:r w:rsidRPr="00D549A2">
              <w:t>Granskningsnämnden för radio och TV</w:t>
            </w:r>
          </w:p>
        </w:tc>
        <w:tc>
          <w:tcPr>
            <w:tcW w:w="992" w:type="dxa"/>
          </w:tcPr>
          <w:p w:rsidR="00A62CAF" w:rsidRPr="00D549A2" w:rsidRDefault="00A62CAF">
            <w:pPr>
              <w:pStyle w:val="Tabelltext"/>
              <w:jc w:val="right"/>
            </w:pPr>
            <w:r w:rsidRPr="00D549A2">
              <w:t>8 964</w:t>
            </w:r>
          </w:p>
        </w:tc>
        <w:tc>
          <w:tcPr>
            <w:tcW w:w="1134" w:type="dxa"/>
          </w:tcPr>
          <w:p w:rsidR="00A62CAF" w:rsidRPr="00D549A2" w:rsidRDefault="00A62CAF">
            <w:pPr>
              <w:pStyle w:val="Tabelltext"/>
              <w:jc w:val="right"/>
            </w:pPr>
            <w:r w:rsidRPr="00D549A2">
              <w:t>300</w:t>
            </w:r>
          </w:p>
        </w:tc>
        <w:tc>
          <w:tcPr>
            <w:tcW w:w="1049" w:type="dxa"/>
          </w:tcPr>
          <w:p w:rsidR="00A62CAF" w:rsidRPr="00D549A2" w:rsidRDefault="00A62CAF">
            <w:pPr>
              <w:pStyle w:val="Tabelltext"/>
              <w:jc w:val="right"/>
            </w:pPr>
            <w:r w:rsidRPr="00D549A2">
              <w:t>9 264</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46:1</w:t>
            </w:r>
          </w:p>
        </w:tc>
        <w:tc>
          <w:tcPr>
            <w:tcW w:w="1843" w:type="dxa"/>
          </w:tcPr>
          <w:p w:rsidR="00A62CAF" w:rsidRPr="00D549A2" w:rsidRDefault="00A62CAF">
            <w:pPr>
              <w:pStyle w:val="Tabelltext"/>
            </w:pPr>
            <w:r w:rsidRPr="00D549A2">
              <w:t>Allmänna val</w:t>
            </w:r>
          </w:p>
        </w:tc>
        <w:tc>
          <w:tcPr>
            <w:tcW w:w="992" w:type="dxa"/>
          </w:tcPr>
          <w:p w:rsidR="00A62CAF" w:rsidRPr="00D549A2" w:rsidRDefault="00A62CAF">
            <w:pPr>
              <w:pStyle w:val="Tabelltext"/>
              <w:jc w:val="right"/>
            </w:pPr>
            <w:r w:rsidRPr="00D549A2">
              <w:t>270 000</w:t>
            </w:r>
          </w:p>
        </w:tc>
        <w:tc>
          <w:tcPr>
            <w:tcW w:w="1134" w:type="dxa"/>
          </w:tcPr>
          <w:p w:rsidR="00A62CAF" w:rsidRPr="00D549A2" w:rsidRDefault="00A62CAF">
            <w:pPr>
              <w:pStyle w:val="Tabelltext"/>
              <w:jc w:val="right"/>
            </w:pPr>
            <w:r w:rsidRPr="00D549A2">
              <w:t>25 000</w:t>
            </w:r>
          </w:p>
        </w:tc>
        <w:tc>
          <w:tcPr>
            <w:tcW w:w="1049" w:type="dxa"/>
          </w:tcPr>
          <w:p w:rsidR="00A62CAF" w:rsidRPr="00D549A2" w:rsidRDefault="00A62CAF">
            <w:pPr>
              <w:pStyle w:val="Tabelltext"/>
              <w:jc w:val="right"/>
            </w:pPr>
            <w:r w:rsidRPr="00D549A2">
              <w:t>295 000</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46:2</w:t>
            </w:r>
          </w:p>
        </w:tc>
        <w:tc>
          <w:tcPr>
            <w:tcW w:w="1843" w:type="dxa"/>
          </w:tcPr>
          <w:p w:rsidR="00A62CAF" w:rsidRPr="00D549A2" w:rsidRDefault="00A62CAF">
            <w:pPr>
              <w:pStyle w:val="Tabelltext"/>
            </w:pPr>
            <w:r w:rsidRPr="00D549A2">
              <w:t>Justitiekanslern</w:t>
            </w:r>
          </w:p>
        </w:tc>
        <w:tc>
          <w:tcPr>
            <w:tcW w:w="992" w:type="dxa"/>
          </w:tcPr>
          <w:p w:rsidR="00A62CAF" w:rsidRPr="00D549A2" w:rsidRDefault="00A62CAF">
            <w:pPr>
              <w:pStyle w:val="Tabelltext"/>
              <w:jc w:val="right"/>
            </w:pPr>
            <w:r w:rsidRPr="00D549A2">
              <w:t>16 111</w:t>
            </w:r>
          </w:p>
        </w:tc>
        <w:tc>
          <w:tcPr>
            <w:tcW w:w="1134" w:type="dxa"/>
          </w:tcPr>
          <w:p w:rsidR="00A62CAF" w:rsidRPr="00D549A2" w:rsidRDefault="00A62CAF">
            <w:pPr>
              <w:pStyle w:val="Tabelltext"/>
              <w:jc w:val="right"/>
            </w:pPr>
            <w:r w:rsidRPr="00D549A2">
              <w:t>650</w:t>
            </w:r>
          </w:p>
        </w:tc>
        <w:tc>
          <w:tcPr>
            <w:tcW w:w="1049" w:type="dxa"/>
          </w:tcPr>
          <w:p w:rsidR="00A62CAF" w:rsidRPr="00D549A2" w:rsidRDefault="00A62CAF">
            <w:pPr>
              <w:pStyle w:val="Tabelltext"/>
              <w:jc w:val="right"/>
            </w:pPr>
            <w:r w:rsidRPr="00D549A2">
              <w:t>16 761</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46:4</w:t>
            </w:r>
          </w:p>
        </w:tc>
        <w:tc>
          <w:tcPr>
            <w:tcW w:w="1843" w:type="dxa"/>
          </w:tcPr>
          <w:p w:rsidR="00A62CAF" w:rsidRPr="00D549A2" w:rsidRDefault="00A62CAF">
            <w:pPr>
              <w:pStyle w:val="Tabelltext"/>
            </w:pPr>
            <w:r w:rsidRPr="00D549A2">
              <w:t>Svensk författningssa</w:t>
            </w:r>
            <w:r w:rsidRPr="00D549A2">
              <w:t>m</w:t>
            </w:r>
            <w:r w:rsidRPr="00D549A2">
              <w:t>ling</w:t>
            </w:r>
          </w:p>
        </w:tc>
        <w:tc>
          <w:tcPr>
            <w:tcW w:w="992" w:type="dxa"/>
          </w:tcPr>
          <w:p w:rsidR="00A62CAF" w:rsidRPr="00D549A2" w:rsidRDefault="00A62CAF">
            <w:pPr>
              <w:pStyle w:val="Tabelltext"/>
              <w:jc w:val="right"/>
            </w:pPr>
            <w:r w:rsidRPr="00D549A2">
              <w:t>1 011</w:t>
            </w:r>
          </w:p>
        </w:tc>
        <w:tc>
          <w:tcPr>
            <w:tcW w:w="1134" w:type="dxa"/>
          </w:tcPr>
          <w:p w:rsidR="00A62CAF" w:rsidRPr="00D549A2" w:rsidRDefault="00A62CAF">
            <w:pPr>
              <w:pStyle w:val="Tabelltext"/>
              <w:jc w:val="right"/>
            </w:pPr>
            <w:r w:rsidRPr="00D549A2">
              <w:t>-650</w:t>
            </w:r>
          </w:p>
        </w:tc>
        <w:tc>
          <w:tcPr>
            <w:tcW w:w="1049" w:type="dxa"/>
          </w:tcPr>
          <w:p w:rsidR="00A62CAF" w:rsidRPr="00D549A2" w:rsidRDefault="00A62CAF">
            <w:pPr>
              <w:pStyle w:val="Tabelltext"/>
              <w:jc w:val="right"/>
            </w:pPr>
            <w:r w:rsidRPr="00D549A2">
              <w:t>361</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90:1</w:t>
            </w:r>
          </w:p>
        </w:tc>
        <w:tc>
          <w:tcPr>
            <w:tcW w:w="1843" w:type="dxa"/>
          </w:tcPr>
          <w:p w:rsidR="00A62CAF" w:rsidRPr="00D549A2" w:rsidRDefault="00A62CAF">
            <w:pPr>
              <w:pStyle w:val="Tabelltext"/>
            </w:pPr>
            <w:r w:rsidRPr="00D549A2">
              <w:t>Kungliga hov- och slott</w:t>
            </w:r>
            <w:r w:rsidRPr="00D549A2">
              <w:t>s</w:t>
            </w:r>
            <w:r w:rsidRPr="00D549A2">
              <w:t>staten</w:t>
            </w:r>
          </w:p>
        </w:tc>
        <w:tc>
          <w:tcPr>
            <w:tcW w:w="992" w:type="dxa"/>
          </w:tcPr>
          <w:p w:rsidR="00A62CAF" w:rsidRPr="00D549A2" w:rsidRDefault="00A62CAF">
            <w:pPr>
              <w:pStyle w:val="Tabelltext"/>
              <w:jc w:val="right"/>
            </w:pPr>
            <w:r w:rsidRPr="00D549A2">
              <w:t>83 516</w:t>
            </w:r>
          </w:p>
        </w:tc>
        <w:tc>
          <w:tcPr>
            <w:tcW w:w="1134" w:type="dxa"/>
          </w:tcPr>
          <w:p w:rsidR="00A62CAF" w:rsidRPr="00D549A2" w:rsidRDefault="00A62CAF">
            <w:pPr>
              <w:pStyle w:val="Tabelltext"/>
              <w:jc w:val="right"/>
            </w:pPr>
            <w:r w:rsidRPr="00D549A2">
              <w:t>3 474</w:t>
            </w:r>
          </w:p>
        </w:tc>
        <w:tc>
          <w:tcPr>
            <w:tcW w:w="1049" w:type="dxa"/>
          </w:tcPr>
          <w:p w:rsidR="00A62CAF" w:rsidRPr="00D549A2" w:rsidRDefault="00A62CAF">
            <w:pPr>
              <w:pStyle w:val="Tabelltext"/>
              <w:jc w:val="right"/>
            </w:pPr>
            <w:r w:rsidRPr="00D549A2">
              <w:t>86 990</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90:3</w:t>
            </w:r>
          </w:p>
        </w:tc>
        <w:tc>
          <w:tcPr>
            <w:tcW w:w="1843" w:type="dxa"/>
          </w:tcPr>
          <w:p w:rsidR="00A62CAF" w:rsidRPr="00D549A2" w:rsidRDefault="00A62CAF">
            <w:pPr>
              <w:pStyle w:val="Tabelltext"/>
              <w:rPr>
                <w:vertAlign w:val="superscript"/>
              </w:rPr>
            </w:pPr>
            <w:r w:rsidRPr="00D549A2">
              <w:t>Riksdagens förvaltning</w:t>
            </w:r>
            <w:r w:rsidRPr="00D549A2">
              <w:t>s</w:t>
            </w:r>
            <w:r w:rsidRPr="00D549A2">
              <w:t>kostnader</w:t>
            </w:r>
          </w:p>
        </w:tc>
        <w:tc>
          <w:tcPr>
            <w:tcW w:w="992" w:type="dxa"/>
          </w:tcPr>
          <w:p w:rsidR="00A62CAF" w:rsidRPr="00D549A2" w:rsidRDefault="00A62CAF">
            <w:pPr>
              <w:pStyle w:val="Tabelltext"/>
              <w:jc w:val="right"/>
            </w:pPr>
            <w:r w:rsidRPr="00D549A2">
              <w:t>447 484</w:t>
            </w:r>
          </w:p>
        </w:tc>
        <w:tc>
          <w:tcPr>
            <w:tcW w:w="1134" w:type="dxa"/>
          </w:tcPr>
          <w:p w:rsidR="00A62CAF" w:rsidRPr="00D549A2" w:rsidRDefault="00A62CAF">
            <w:pPr>
              <w:pStyle w:val="Tabelltext"/>
              <w:jc w:val="right"/>
            </w:pPr>
            <w:r w:rsidRPr="00D549A2">
              <w:t>-2 800</w:t>
            </w:r>
          </w:p>
        </w:tc>
        <w:tc>
          <w:tcPr>
            <w:tcW w:w="1049" w:type="dxa"/>
          </w:tcPr>
          <w:p w:rsidR="00A62CAF" w:rsidRPr="00D549A2" w:rsidRDefault="00A62CAF">
            <w:pPr>
              <w:pStyle w:val="Tabelltext"/>
              <w:jc w:val="right"/>
            </w:pPr>
            <w:r w:rsidRPr="00D549A2">
              <w:t>444 684</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90:4</w:t>
            </w:r>
          </w:p>
        </w:tc>
        <w:tc>
          <w:tcPr>
            <w:tcW w:w="1843" w:type="dxa"/>
          </w:tcPr>
          <w:p w:rsidR="00A62CAF" w:rsidRPr="00D549A2" w:rsidRDefault="00A62CAF">
            <w:pPr>
              <w:pStyle w:val="Tabelltext"/>
              <w:rPr>
                <w:vertAlign w:val="superscript"/>
              </w:rPr>
            </w:pPr>
            <w:r w:rsidRPr="00D549A2">
              <w:t>Riksdagens ombudsmän, Justitieombudsmä</w:t>
            </w:r>
            <w:r w:rsidRPr="00D549A2">
              <w:t>n</w:t>
            </w:r>
            <w:r w:rsidRPr="00D549A2">
              <w:t>nen</w:t>
            </w:r>
          </w:p>
        </w:tc>
        <w:tc>
          <w:tcPr>
            <w:tcW w:w="992" w:type="dxa"/>
          </w:tcPr>
          <w:p w:rsidR="00A62CAF" w:rsidRPr="00D549A2" w:rsidRDefault="00A62CAF">
            <w:pPr>
              <w:pStyle w:val="Tabelltext"/>
              <w:jc w:val="right"/>
            </w:pPr>
          </w:p>
          <w:p w:rsidR="00A62CAF" w:rsidRPr="00D549A2" w:rsidRDefault="00A62CAF">
            <w:pPr>
              <w:pStyle w:val="Tabelltext"/>
              <w:jc w:val="right"/>
            </w:pPr>
            <w:r w:rsidRPr="00D549A2">
              <w:t>49 097</w:t>
            </w:r>
          </w:p>
        </w:tc>
        <w:tc>
          <w:tcPr>
            <w:tcW w:w="1134" w:type="dxa"/>
          </w:tcPr>
          <w:p w:rsidR="00A62CAF" w:rsidRPr="00D549A2" w:rsidRDefault="00A62CAF">
            <w:pPr>
              <w:pStyle w:val="Tabelltext"/>
              <w:jc w:val="right"/>
            </w:pPr>
          </w:p>
          <w:p w:rsidR="00A62CAF" w:rsidRPr="00D549A2" w:rsidRDefault="00A62CAF">
            <w:pPr>
              <w:pStyle w:val="Tabelltext"/>
              <w:jc w:val="right"/>
            </w:pPr>
            <w:r w:rsidRPr="00D549A2">
              <w:t>2 800</w:t>
            </w:r>
          </w:p>
        </w:tc>
        <w:tc>
          <w:tcPr>
            <w:tcW w:w="1049" w:type="dxa"/>
          </w:tcPr>
          <w:p w:rsidR="00A62CAF" w:rsidRPr="00D549A2" w:rsidRDefault="00A62CAF">
            <w:pPr>
              <w:pStyle w:val="Tabelltext"/>
              <w:jc w:val="right"/>
            </w:pPr>
          </w:p>
          <w:p w:rsidR="00A62CAF" w:rsidRPr="00D549A2" w:rsidRDefault="00A62CAF">
            <w:pPr>
              <w:pStyle w:val="Tabelltext"/>
              <w:jc w:val="right"/>
            </w:pPr>
            <w:r w:rsidRPr="00D549A2">
              <w:t>51 897</w:t>
            </w:r>
          </w:p>
        </w:tc>
      </w:tr>
      <w:tr w:rsidR="00000000" w:rsidRPr="00D549A2">
        <w:tblPrEx>
          <w:tblCellMar>
            <w:top w:w="0" w:type="dxa"/>
            <w:bottom w:w="0" w:type="dxa"/>
          </w:tblCellMar>
        </w:tblPrEx>
        <w:trPr>
          <w:cantSplit/>
        </w:trPr>
        <w:tc>
          <w:tcPr>
            <w:tcW w:w="298" w:type="dxa"/>
          </w:tcPr>
          <w:p w:rsidR="00A62CAF" w:rsidRPr="00D549A2" w:rsidRDefault="00A62CAF">
            <w:pPr>
              <w:pStyle w:val="Tabelltext"/>
            </w:pPr>
          </w:p>
        </w:tc>
        <w:tc>
          <w:tcPr>
            <w:tcW w:w="567" w:type="dxa"/>
          </w:tcPr>
          <w:p w:rsidR="00A62CAF" w:rsidRPr="00D549A2" w:rsidRDefault="00A62CAF">
            <w:pPr>
              <w:pStyle w:val="Tabelltext"/>
            </w:pPr>
            <w:r w:rsidRPr="00D549A2">
              <w:t>90:5</w:t>
            </w:r>
          </w:p>
        </w:tc>
        <w:tc>
          <w:tcPr>
            <w:tcW w:w="1843" w:type="dxa"/>
          </w:tcPr>
          <w:p w:rsidR="00A62CAF" w:rsidRPr="00D549A2" w:rsidRDefault="00A62CAF">
            <w:pPr>
              <w:pStyle w:val="Tabelltext"/>
            </w:pPr>
            <w:r w:rsidRPr="00D549A2">
              <w:t>Regeringskansliet m.m.</w:t>
            </w:r>
          </w:p>
        </w:tc>
        <w:tc>
          <w:tcPr>
            <w:tcW w:w="992" w:type="dxa"/>
          </w:tcPr>
          <w:p w:rsidR="00A62CAF" w:rsidRPr="00D549A2" w:rsidRDefault="00A62CAF">
            <w:pPr>
              <w:pStyle w:val="Tabelltext"/>
              <w:jc w:val="right"/>
            </w:pPr>
            <w:r w:rsidRPr="00D549A2">
              <w:t>5 073 549</w:t>
            </w:r>
          </w:p>
        </w:tc>
        <w:tc>
          <w:tcPr>
            <w:tcW w:w="1134" w:type="dxa"/>
          </w:tcPr>
          <w:p w:rsidR="00A62CAF" w:rsidRPr="00D549A2" w:rsidRDefault="00A62CAF">
            <w:pPr>
              <w:pStyle w:val="Tabelltext"/>
              <w:jc w:val="right"/>
            </w:pPr>
            <w:r w:rsidRPr="00D549A2">
              <w:t>-25 000</w:t>
            </w:r>
          </w:p>
        </w:tc>
        <w:tc>
          <w:tcPr>
            <w:tcW w:w="1049" w:type="dxa"/>
          </w:tcPr>
          <w:p w:rsidR="00A62CAF" w:rsidRPr="00D549A2" w:rsidRDefault="00A62CAF">
            <w:pPr>
              <w:pStyle w:val="Tabelltext"/>
              <w:jc w:val="right"/>
            </w:pPr>
            <w:r w:rsidRPr="00D549A2">
              <w:t>5 048 549</w:t>
            </w:r>
          </w:p>
        </w:tc>
      </w:tr>
      <w:tr w:rsidR="00000000" w:rsidRPr="00D549A2">
        <w:tblPrEx>
          <w:tblCellMar>
            <w:top w:w="0" w:type="dxa"/>
            <w:bottom w:w="0" w:type="dxa"/>
          </w:tblCellMar>
        </w:tblPrEx>
        <w:trPr>
          <w:cantSplit/>
        </w:trPr>
        <w:tc>
          <w:tcPr>
            <w:tcW w:w="298" w:type="dxa"/>
            <w:tcBorders>
              <w:bottom w:val="single" w:sz="4" w:space="0" w:color="auto"/>
            </w:tcBorders>
          </w:tcPr>
          <w:p w:rsidR="00A62CAF" w:rsidRPr="00D549A2" w:rsidRDefault="00A62CAF">
            <w:pPr>
              <w:pStyle w:val="Tabelltext"/>
              <w:rPr>
                <w:b/>
              </w:rPr>
            </w:pPr>
          </w:p>
        </w:tc>
        <w:tc>
          <w:tcPr>
            <w:tcW w:w="567" w:type="dxa"/>
            <w:tcBorders>
              <w:bottom w:val="single" w:sz="4" w:space="0" w:color="auto"/>
            </w:tcBorders>
          </w:tcPr>
          <w:p w:rsidR="00A62CAF" w:rsidRPr="00D549A2" w:rsidRDefault="00A62CAF">
            <w:pPr>
              <w:pStyle w:val="Tabelltext"/>
              <w:rPr>
                <w:b/>
              </w:rPr>
            </w:pPr>
          </w:p>
        </w:tc>
        <w:tc>
          <w:tcPr>
            <w:tcW w:w="1843" w:type="dxa"/>
            <w:tcBorders>
              <w:bottom w:val="single" w:sz="4" w:space="0" w:color="auto"/>
            </w:tcBorders>
            <w:vAlign w:val="bottom"/>
          </w:tcPr>
          <w:p w:rsidR="00A62CAF" w:rsidRPr="00D549A2" w:rsidRDefault="00A62CAF">
            <w:pPr>
              <w:pStyle w:val="Tabelltext"/>
              <w:rPr>
                <w:b/>
              </w:rPr>
            </w:pPr>
          </w:p>
        </w:tc>
        <w:tc>
          <w:tcPr>
            <w:tcW w:w="992" w:type="dxa"/>
            <w:tcBorders>
              <w:bottom w:val="single" w:sz="4" w:space="0" w:color="auto"/>
            </w:tcBorders>
            <w:vAlign w:val="bottom"/>
          </w:tcPr>
          <w:p w:rsidR="00A62CAF" w:rsidRPr="00D549A2" w:rsidRDefault="00A62CAF">
            <w:pPr>
              <w:pStyle w:val="Tabelltext"/>
              <w:rPr>
                <w:b/>
              </w:rPr>
            </w:pPr>
          </w:p>
        </w:tc>
        <w:tc>
          <w:tcPr>
            <w:tcW w:w="1134" w:type="dxa"/>
            <w:tcBorders>
              <w:bottom w:val="single" w:sz="4" w:space="0" w:color="auto"/>
            </w:tcBorders>
            <w:vAlign w:val="bottom"/>
          </w:tcPr>
          <w:p w:rsidR="00A62CAF" w:rsidRPr="00D549A2" w:rsidRDefault="00A62CAF">
            <w:pPr>
              <w:pStyle w:val="Tabelltext"/>
              <w:rPr>
                <w:rFonts w:eastAsia="Arial Unicode MS"/>
                <w:b/>
              </w:rPr>
            </w:pPr>
          </w:p>
        </w:tc>
        <w:tc>
          <w:tcPr>
            <w:tcW w:w="1049" w:type="dxa"/>
            <w:tcBorders>
              <w:bottom w:val="single" w:sz="4" w:space="0" w:color="auto"/>
            </w:tcBorders>
            <w:vAlign w:val="bottom"/>
          </w:tcPr>
          <w:p w:rsidR="00A62CAF" w:rsidRPr="00D549A2" w:rsidRDefault="00A62CAF">
            <w:pPr>
              <w:pStyle w:val="Tabelltext"/>
              <w:rPr>
                <w:b/>
              </w:rPr>
            </w:pPr>
          </w:p>
        </w:tc>
      </w:tr>
    </w:tbl>
    <w:p w:rsidR="00A62CAF" w:rsidRPr="00D549A2" w:rsidRDefault="00A62CAF">
      <w:pPr>
        <w:pStyle w:val="Rubrik3"/>
        <w:rPr>
          <w:noProof w:val="0"/>
        </w:rPr>
      </w:pPr>
      <w:r w:rsidRPr="00D549A2">
        <w:rPr>
          <w:noProof w:val="0"/>
        </w:rPr>
        <w:t>Presstödsnämnden och Taltidningsnämnden</w:t>
      </w:r>
    </w:p>
    <w:p w:rsidR="00A62CAF" w:rsidRPr="00D549A2" w:rsidRDefault="00A62CAF">
      <w:r w:rsidRPr="00D549A2">
        <w:t xml:space="preserve">Regeringen föreslår att anslaget </w:t>
      </w:r>
      <w:r w:rsidRPr="00D549A2">
        <w:rPr>
          <w:i/>
        </w:rPr>
        <w:t>27:1 Presstödsnämnden och Taltidning</w:t>
      </w:r>
      <w:r w:rsidRPr="00D549A2">
        <w:rPr>
          <w:i/>
        </w:rPr>
        <w:t>s</w:t>
      </w:r>
      <w:r w:rsidRPr="00D549A2">
        <w:rPr>
          <w:i/>
        </w:rPr>
        <w:t>nämnden</w:t>
      </w:r>
      <w:r w:rsidRPr="00D549A2">
        <w:t xml:space="preserve"> skall ökas med 200 000 kr för budgetåret 2002. I statsbudgeten finns för detta ändamål uppfört ett ramanslag på 5 790 000 kr. Ökningen föreslås finansieras genom att det under utgiftsområde 17 Kultur, medier,  trossamfund och fritid uppförda anslaget </w:t>
      </w:r>
      <w:r w:rsidRPr="00D549A2">
        <w:rPr>
          <w:i/>
        </w:rPr>
        <w:t>27:1</w:t>
      </w:r>
      <w:r w:rsidRPr="00D549A2">
        <w:t xml:space="preserve"> </w:t>
      </w:r>
      <w:r w:rsidRPr="00D549A2">
        <w:rPr>
          <w:i/>
        </w:rPr>
        <w:t xml:space="preserve">Statens biografbyrå </w:t>
      </w:r>
      <w:r w:rsidRPr="00D549A2">
        <w:t>minskas.</w:t>
      </w:r>
    </w:p>
    <w:p w:rsidR="00A62CAF" w:rsidRPr="00D549A2" w:rsidRDefault="00A62CAF">
      <w:pPr>
        <w:pStyle w:val="Normaltindrag"/>
        <w:rPr>
          <w:snapToGrid w:val="0"/>
          <w:lang w:eastAsia="sv-SE"/>
        </w:rPr>
      </w:pPr>
      <w:r w:rsidRPr="00D549A2">
        <w:t xml:space="preserve">Som skäl för förslaget anför regeringen att </w:t>
      </w:r>
      <w:r w:rsidRPr="00D549A2">
        <w:rPr>
          <w:snapToGrid w:val="0"/>
          <w:lang w:eastAsia="sv-SE"/>
        </w:rPr>
        <w:t>Presstödsnämnden och Talti</w:t>
      </w:r>
      <w:r w:rsidRPr="00D549A2">
        <w:rPr>
          <w:snapToGrid w:val="0"/>
          <w:lang w:eastAsia="sv-SE"/>
        </w:rPr>
        <w:t>d</w:t>
      </w:r>
      <w:r w:rsidRPr="00D549A2">
        <w:rPr>
          <w:snapToGrid w:val="0"/>
          <w:lang w:eastAsia="sv-SE"/>
        </w:rPr>
        <w:t>ningsnämnden under senare år har fått flera uppdrag av regeringen utan att ytterligare medel tillförts verksamheten. Presstödsnämnden har bl.a. geno</w:t>
      </w:r>
      <w:r w:rsidRPr="00D549A2">
        <w:rPr>
          <w:snapToGrid w:val="0"/>
          <w:lang w:eastAsia="sv-SE"/>
        </w:rPr>
        <w:t>m</w:t>
      </w:r>
      <w:r w:rsidRPr="00D549A2">
        <w:rPr>
          <w:snapToGrid w:val="0"/>
          <w:lang w:eastAsia="sv-SE"/>
        </w:rPr>
        <w:t>fört ett uppdrag att kartlägga och analysera situationen för medier som främst riktar sig till invandr</w:t>
      </w:r>
      <w:r w:rsidRPr="00D549A2">
        <w:rPr>
          <w:snapToGrid w:val="0"/>
          <w:lang w:eastAsia="sv-SE"/>
        </w:rPr>
        <w:t>a</w:t>
      </w:r>
      <w:r w:rsidRPr="00D549A2">
        <w:rPr>
          <w:snapToGrid w:val="0"/>
          <w:lang w:eastAsia="sv-SE"/>
        </w:rPr>
        <w:t>re och nationella minoriteter.</w:t>
      </w:r>
    </w:p>
    <w:p w:rsidR="00A62CAF" w:rsidRPr="00D549A2" w:rsidRDefault="00A62CAF">
      <w:pPr>
        <w:pStyle w:val="Rubrik3"/>
        <w:rPr>
          <w:noProof w:val="0"/>
        </w:rPr>
      </w:pPr>
      <w:r w:rsidRPr="00D549A2">
        <w:rPr>
          <w:noProof w:val="0"/>
        </w:rPr>
        <w:t>Granskningsnämnden för radio och TV</w:t>
      </w:r>
    </w:p>
    <w:p w:rsidR="00A62CAF" w:rsidRPr="00D549A2" w:rsidRDefault="00A62CAF">
      <w:r w:rsidRPr="00D549A2">
        <w:t>Antalet anmälningar till Granskningsnämnden för radio och TV ökade kra</w:t>
      </w:r>
      <w:r w:rsidRPr="00D549A2">
        <w:t>f</w:t>
      </w:r>
      <w:r w:rsidRPr="00D549A2">
        <w:t xml:space="preserve">tigt under 2001 och ökningen har fortsatt under innevarande år. Mot den bakgrunden föreslår regeringen att anslaget </w:t>
      </w:r>
      <w:r w:rsidRPr="00D549A2">
        <w:rPr>
          <w:i/>
        </w:rPr>
        <w:t xml:space="preserve">27:5 Granskningsnämnden för radio och TV </w:t>
      </w:r>
      <w:r w:rsidRPr="00D549A2">
        <w:t xml:space="preserve">skall ökas med 300 000 kr för budgetåret 2002. I statsbudgeten finns för detta ändamål uppfört ett ramanslag på 8 964 000 kr. Ökningen föreslås finansieras genom att det under utgiftsområde 17 Kultur, medier,  trossamfund och fritid uppförda anslaget </w:t>
      </w:r>
      <w:r w:rsidRPr="00D549A2">
        <w:rPr>
          <w:i/>
        </w:rPr>
        <w:t>27:1</w:t>
      </w:r>
      <w:r w:rsidRPr="00D549A2">
        <w:t xml:space="preserve"> </w:t>
      </w:r>
      <w:r w:rsidRPr="00D549A2">
        <w:rPr>
          <w:i/>
        </w:rPr>
        <w:t xml:space="preserve">Statens biografbyrå </w:t>
      </w:r>
      <w:r w:rsidRPr="00D549A2">
        <w:t>minskas.</w:t>
      </w:r>
    </w:p>
    <w:p w:rsidR="00A62CAF" w:rsidRPr="00D549A2" w:rsidRDefault="00A62CAF">
      <w:pPr>
        <w:pStyle w:val="Rubrik3"/>
        <w:rPr>
          <w:noProof w:val="0"/>
        </w:rPr>
      </w:pPr>
      <w:r w:rsidRPr="00D549A2">
        <w:rPr>
          <w:noProof w:val="0"/>
        </w:rPr>
        <w:t>Allmänna val</w:t>
      </w:r>
    </w:p>
    <w:p w:rsidR="00A62CAF" w:rsidRPr="00D549A2" w:rsidRDefault="00A62CAF">
      <w:r w:rsidRPr="00D549A2">
        <w:t xml:space="preserve">Regeringen föreslår att anslaget </w:t>
      </w:r>
      <w:r w:rsidRPr="00D549A2">
        <w:rPr>
          <w:i/>
        </w:rPr>
        <w:t xml:space="preserve">46:1 Allmänna val </w:t>
      </w:r>
      <w:r w:rsidRPr="00D549A2">
        <w:t xml:space="preserve">skall ökas med 25 000 000 kr för budgetåret 2002. I statsbudgeten finns för detta ändamål uppfört ett ramanslag på 270 000 000 kr. </w:t>
      </w:r>
    </w:p>
    <w:p w:rsidR="00A62CAF" w:rsidRPr="00D549A2" w:rsidRDefault="00A62CAF">
      <w:pPr>
        <w:pStyle w:val="Normaltindrag"/>
        <w:rPr>
          <w:snapToGrid w:val="0"/>
          <w:lang w:eastAsia="sv-SE"/>
        </w:rPr>
      </w:pPr>
      <w:r w:rsidRPr="00D549A2">
        <w:rPr>
          <w:snapToGrid w:val="0"/>
          <w:lang w:eastAsia="sv-SE"/>
        </w:rPr>
        <w:t>Från anslaget betalas bl.a. kostnader för administrationen av de allmänna valen. En del i detta är förtidsröstningen på Posten Sverige AB:s postkontor. Regeringen anför att de nu pågående strukturförändringarna inom Posten Sverige AB har medfört att kostnaderna för att bibehålla den höga ambition</w:t>
      </w:r>
      <w:r w:rsidRPr="00D549A2">
        <w:rPr>
          <w:snapToGrid w:val="0"/>
          <w:lang w:eastAsia="sv-SE"/>
        </w:rPr>
        <w:t>s</w:t>
      </w:r>
      <w:r w:rsidRPr="00D549A2">
        <w:rPr>
          <w:snapToGrid w:val="0"/>
          <w:lang w:eastAsia="sv-SE"/>
        </w:rPr>
        <w:t>nivån för poströstningen har blivit högre än tidigare beräknat. På tilläggsbu</w:t>
      </w:r>
      <w:r w:rsidRPr="00D549A2">
        <w:rPr>
          <w:snapToGrid w:val="0"/>
          <w:lang w:eastAsia="sv-SE"/>
        </w:rPr>
        <w:t>d</w:t>
      </w:r>
      <w:r w:rsidRPr="00D549A2">
        <w:rPr>
          <w:snapToGrid w:val="0"/>
          <w:lang w:eastAsia="sv-SE"/>
        </w:rPr>
        <w:t>get i anslutning till den ekonomiska vårpropositionen ökades anslaget med 25 000 000 kr för ändamålet. Efter att 2002 års val genomförts gör regeringen bedömningen att ytterligare medel behöver tillföras för att täcka kostnaderna för förtidsröstningen.</w:t>
      </w:r>
    </w:p>
    <w:p w:rsidR="00A62CAF" w:rsidRPr="00D549A2" w:rsidRDefault="00A62CAF">
      <w:pPr>
        <w:pStyle w:val="Rubrik3"/>
        <w:rPr>
          <w:noProof w:val="0"/>
        </w:rPr>
      </w:pPr>
      <w:r w:rsidRPr="00D549A2">
        <w:rPr>
          <w:noProof w:val="0"/>
        </w:rPr>
        <w:t>Justitiekanslern</w:t>
      </w:r>
    </w:p>
    <w:p w:rsidR="00A62CAF" w:rsidRPr="00D549A2" w:rsidRDefault="00A62CAF">
      <w:r w:rsidRPr="00D549A2">
        <w:t xml:space="preserve">Regeringen föreslår att anslaget </w:t>
      </w:r>
      <w:r w:rsidRPr="00D549A2">
        <w:rPr>
          <w:i/>
        </w:rPr>
        <w:t xml:space="preserve">46:2 Justitiekanslern </w:t>
      </w:r>
      <w:r w:rsidRPr="00D549A2">
        <w:t>skall ökas med 650 000 kr för budgetåret 2002. I statsbudgeten finns för detta ändamål up</w:t>
      </w:r>
      <w:r w:rsidRPr="00D549A2">
        <w:t>p</w:t>
      </w:r>
      <w:r w:rsidRPr="00D549A2">
        <w:t xml:space="preserve">fört ett ramanslag på 16 111 000 kr. Ökningen föreslås finansieras genom att anslaget </w:t>
      </w:r>
      <w:r w:rsidRPr="00D549A2">
        <w:rPr>
          <w:i/>
        </w:rPr>
        <w:t xml:space="preserve">46:4 Svensk författningssamling </w:t>
      </w:r>
      <w:r w:rsidRPr="00D549A2">
        <w:t>minskas.</w:t>
      </w:r>
    </w:p>
    <w:p w:rsidR="00A62CAF" w:rsidRPr="00D549A2" w:rsidRDefault="00A62CAF">
      <w:pPr>
        <w:pStyle w:val="Normaltindrag"/>
      </w:pPr>
      <w:r w:rsidRPr="00D549A2">
        <w:t>Regeringen anför att Justitiekanslern under hösten 2002 bl.a. behöver ku</w:t>
      </w:r>
      <w:r w:rsidRPr="00D549A2">
        <w:t>n</w:t>
      </w:r>
      <w:r w:rsidRPr="00D549A2">
        <w:t>na öka inspektionsverksamheten och göra det möjligt för anställda att delta i Kompetensrådets utvecklingsprogram.</w:t>
      </w:r>
    </w:p>
    <w:p w:rsidR="00A62CAF" w:rsidRPr="00D549A2" w:rsidRDefault="00A62CAF">
      <w:pPr>
        <w:pStyle w:val="Rubrik3"/>
        <w:rPr>
          <w:noProof w:val="0"/>
        </w:rPr>
      </w:pPr>
      <w:r w:rsidRPr="00D549A2">
        <w:rPr>
          <w:noProof w:val="0"/>
        </w:rPr>
        <w:t>Kungliga hov- och slottsstaten</w:t>
      </w:r>
    </w:p>
    <w:p w:rsidR="00A62CAF" w:rsidRPr="00D549A2" w:rsidRDefault="00A62CAF">
      <w:r w:rsidRPr="00D549A2">
        <w:t xml:space="preserve">Regeringen föreslår att anslaget </w:t>
      </w:r>
      <w:r w:rsidRPr="00D549A2">
        <w:rPr>
          <w:i/>
        </w:rPr>
        <w:t xml:space="preserve">90:1 Kungliga hov- och slottsstaten </w:t>
      </w:r>
      <w:r w:rsidRPr="00D549A2">
        <w:t>skall ökas med 3 474 000 kr för budgetåret 2002. I statsbudgeten finns för detta ändamål uppfört ett ramanslag på 83 516 000 kr. Ökningen föreslås finansi</w:t>
      </w:r>
      <w:r w:rsidRPr="00D549A2">
        <w:t>e</w:t>
      </w:r>
      <w:r w:rsidRPr="00D549A2">
        <w:t>ras delvis genom att det under utgiftsområde 2 Samhällsekonomi och finan</w:t>
      </w:r>
      <w:r w:rsidRPr="00D549A2">
        <w:t>s</w:t>
      </w:r>
      <w:r w:rsidRPr="00D549A2">
        <w:t xml:space="preserve">förvaltning uppförda anslaget </w:t>
      </w:r>
      <w:r w:rsidRPr="00D549A2">
        <w:rPr>
          <w:i/>
        </w:rPr>
        <w:t>1:8 Kammarkollegiet</w:t>
      </w:r>
      <w:r w:rsidRPr="00D549A2">
        <w:t xml:space="preserve"> min</w:t>
      </w:r>
      <w:r w:rsidRPr="00D549A2">
        <w:t>s</w:t>
      </w:r>
      <w:r w:rsidRPr="00D549A2">
        <w:t>kas.</w:t>
      </w:r>
    </w:p>
    <w:p w:rsidR="00A62CAF" w:rsidRPr="00D549A2" w:rsidRDefault="00A62CAF">
      <w:pPr>
        <w:pStyle w:val="Normaltindrag"/>
      </w:pPr>
      <w:r w:rsidRPr="00D549A2">
        <w:t>Som skäl för förslaget anför regeringen att d</w:t>
      </w:r>
      <w:r w:rsidRPr="00D549A2">
        <w:rPr>
          <w:snapToGrid w:val="0"/>
          <w:lang w:eastAsia="sv-SE"/>
        </w:rPr>
        <w:t>e investeringar som görs för att förbättra säkerheten på Stockholms slott medför ökade kostnader för drift, övervakning och underhåll. Regeringen anser därför att ytterligare 3 000 000 kr behövs för sådana åtgärder. En teknisk justering för pris- och löneomrä</w:t>
      </w:r>
      <w:r w:rsidRPr="00D549A2">
        <w:rPr>
          <w:snapToGrid w:val="0"/>
          <w:lang w:eastAsia="sv-SE"/>
        </w:rPr>
        <w:t>k</w:t>
      </w:r>
      <w:r w:rsidRPr="00D549A2">
        <w:rPr>
          <w:snapToGrid w:val="0"/>
          <w:lang w:eastAsia="sv-SE"/>
        </w:rPr>
        <w:t xml:space="preserve">ningen med 474 000 kr bör också göras. </w:t>
      </w:r>
    </w:p>
    <w:p w:rsidR="00A62CAF" w:rsidRPr="00D549A2" w:rsidRDefault="00A62CAF">
      <w:pPr>
        <w:pStyle w:val="Rubrik3"/>
        <w:rPr>
          <w:noProof w:val="0"/>
        </w:rPr>
      </w:pPr>
      <w:r w:rsidRPr="00D549A2">
        <w:rPr>
          <w:noProof w:val="0"/>
        </w:rPr>
        <w:t>Riksdagens ombudsmän, justitieombudsmännen</w:t>
      </w:r>
    </w:p>
    <w:p w:rsidR="00A62CAF" w:rsidRPr="00D549A2" w:rsidRDefault="00A62CAF">
      <w:r w:rsidRPr="00D549A2">
        <w:t xml:space="preserve">I propositionen föreslås att anslaget </w:t>
      </w:r>
      <w:r w:rsidRPr="00D549A2">
        <w:rPr>
          <w:i/>
        </w:rPr>
        <w:t>90:4 Riksdagens ombudsmän, justitieo</w:t>
      </w:r>
      <w:r w:rsidRPr="00D549A2">
        <w:rPr>
          <w:i/>
        </w:rPr>
        <w:t>m</w:t>
      </w:r>
      <w:r w:rsidRPr="00D549A2">
        <w:rPr>
          <w:i/>
        </w:rPr>
        <w:t xml:space="preserve">budsmännen </w:t>
      </w:r>
      <w:r w:rsidRPr="00D549A2">
        <w:t xml:space="preserve">skall ökas med 2 800 000 kr för budgetåret 2002. I statsbudgeten finns för detta ändamål uppfört ett ramanslag på 49 097 000 kr. Ökningen föreslås finansieras genom att anslaget </w:t>
      </w:r>
      <w:r w:rsidRPr="00D549A2">
        <w:rPr>
          <w:i/>
        </w:rPr>
        <w:t>90:3 Riksdagens förvaltningskostn</w:t>
      </w:r>
      <w:r w:rsidRPr="00D549A2">
        <w:rPr>
          <w:i/>
        </w:rPr>
        <w:t>a</w:t>
      </w:r>
      <w:r w:rsidRPr="00D549A2">
        <w:rPr>
          <w:i/>
        </w:rPr>
        <w:t xml:space="preserve">der </w:t>
      </w:r>
      <w:r w:rsidRPr="00D549A2">
        <w:t>min</w:t>
      </w:r>
      <w:r w:rsidRPr="00D549A2">
        <w:t>s</w:t>
      </w:r>
      <w:r w:rsidRPr="00D549A2">
        <w:t>kas.</w:t>
      </w:r>
    </w:p>
    <w:p w:rsidR="00A62CAF" w:rsidRPr="00D549A2" w:rsidRDefault="00A62CAF">
      <w:pPr>
        <w:pStyle w:val="Normaltindrag"/>
        <w:rPr>
          <w:snapToGrid w:val="0"/>
          <w:lang w:eastAsia="sv-SE"/>
        </w:rPr>
      </w:pPr>
      <w:r w:rsidRPr="00D549A2">
        <w:t>I propositionen anförs bl.a. att l</w:t>
      </w:r>
      <w:r w:rsidRPr="00D549A2">
        <w:rPr>
          <w:snapToGrid w:val="0"/>
          <w:lang w:eastAsia="sv-SE"/>
        </w:rPr>
        <w:t>önekostnaderna hos myndigheten ökar till följd av ett nytt kollektivavtal mellan Domstolsverket och Jusek rörande löner för chefsdom</w:t>
      </w:r>
      <w:r w:rsidRPr="00D549A2">
        <w:rPr>
          <w:snapToGrid w:val="0"/>
          <w:lang w:eastAsia="sv-SE"/>
        </w:rPr>
        <w:t>a</w:t>
      </w:r>
      <w:r w:rsidRPr="00D549A2">
        <w:rPr>
          <w:snapToGrid w:val="0"/>
          <w:lang w:eastAsia="sv-SE"/>
        </w:rPr>
        <w:t xml:space="preserve">re. </w:t>
      </w:r>
    </w:p>
    <w:p w:rsidR="00A62CAF" w:rsidRPr="00D549A2" w:rsidRDefault="00A62CAF">
      <w:pPr>
        <w:rPr>
          <w:snapToGrid w:val="0"/>
          <w:lang w:eastAsia="sv-SE"/>
        </w:rPr>
      </w:pPr>
      <w:r w:rsidRPr="00D549A2">
        <w:rPr>
          <w:snapToGrid w:val="0"/>
          <w:lang w:eastAsia="sv-SE"/>
        </w:rPr>
        <w:t>Chefsjustitieombudsmannen Claes Eklundh har i en promemoria till riksdag</w:t>
      </w:r>
      <w:r w:rsidRPr="00D549A2">
        <w:rPr>
          <w:snapToGrid w:val="0"/>
          <w:lang w:eastAsia="sv-SE"/>
        </w:rPr>
        <w:t>s</w:t>
      </w:r>
      <w:r w:rsidRPr="00D549A2">
        <w:rPr>
          <w:snapToGrid w:val="0"/>
          <w:lang w:eastAsia="sv-SE"/>
        </w:rPr>
        <w:t>styrelsen och konstitutionsutskottet den 9 februari 2001 framhållit dels beh</w:t>
      </w:r>
      <w:r w:rsidRPr="00D549A2">
        <w:rPr>
          <w:snapToGrid w:val="0"/>
          <w:lang w:eastAsia="sv-SE"/>
        </w:rPr>
        <w:t>o</w:t>
      </w:r>
      <w:r w:rsidRPr="00D549A2">
        <w:rPr>
          <w:snapToGrid w:val="0"/>
          <w:lang w:eastAsia="sv-SE"/>
        </w:rPr>
        <w:t>vet av följsamhet mot avtal inom rättsväsendet, dels behovet av kompensation för ökade lönekostnader till följd härav. Enligt promemorian kommer utebl</w:t>
      </w:r>
      <w:r w:rsidRPr="00D549A2">
        <w:rPr>
          <w:snapToGrid w:val="0"/>
          <w:lang w:eastAsia="sv-SE"/>
        </w:rPr>
        <w:t>i</w:t>
      </w:r>
      <w:r w:rsidRPr="00D549A2">
        <w:rPr>
          <w:snapToGrid w:val="0"/>
          <w:lang w:eastAsia="sv-SE"/>
        </w:rPr>
        <w:t>ven kompensation att ge konsekvenser i form av personalnedskärningar, vilket i sin tur kommer att leda till minskad tillsynsverksamhet och behov av att radikalt ompröva Riksdagens ombudsmäns engagemang på det internati</w:t>
      </w:r>
      <w:r w:rsidRPr="00D549A2">
        <w:rPr>
          <w:snapToGrid w:val="0"/>
          <w:lang w:eastAsia="sv-SE"/>
        </w:rPr>
        <w:t>o</w:t>
      </w:r>
      <w:r w:rsidRPr="00D549A2">
        <w:rPr>
          <w:snapToGrid w:val="0"/>
          <w:lang w:eastAsia="sv-SE"/>
        </w:rPr>
        <w:t>nella planet.</w:t>
      </w:r>
    </w:p>
    <w:p w:rsidR="00A62CAF" w:rsidRPr="00D549A2" w:rsidRDefault="00A62CAF">
      <w:pPr>
        <w:pStyle w:val="Normaltindrag"/>
        <w:rPr>
          <w:snapToGrid w:val="0"/>
          <w:lang w:eastAsia="sv-SE"/>
        </w:rPr>
      </w:pPr>
      <w:r w:rsidRPr="00D549A2">
        <w:rPr>
          <w:snapToGrid w:val="0"/>
          <w:lang w:eastAsia="sv-SE"/>
        </w:rPr>
        <w:t xml:space="preserve">I budgetpropositionen för 2002 behandlades frågan </w:t>
      </w:r>
      <w:r w:rsidRPr="00D549A2">
        <w:rPr>
          <w:snapToGrid w:val="0"/>
          <w:lang w:eastAsia="sv-SE"/>
        </w:rPr>
        <w:t>om tilläggsbudget a</w:t>
      </w:r>
      <w:r w:rsidRPr="00D549A2">
        <w:rPr>
          <w:snapToGrid w:val="0"/>
          <w:lang w:eastAsia="sv-SE"/>
        </w:rPr>
        <w:t>n</w:t>
      </w:r>
      <w:r w:rsidRPr="00D549A2">
        <w:rPr>
          <w:snapToGrid w:val="0"/>
          <w:lang w:eastAsia="sv-SE"/>
        </w:rPr>
        <w:t>gående höjd anslagsnivå 2002 för de aktuella lönekostnadshöjningarna. Dä</w:t>
      </w:r>
      <w:r w:rsidRPr="00D549A2">
        <w:rPr>
          <w:snapToGrid w:val="0"/>
          <w:lang w:eastAsia="sv-SE"/>
        </w:rPr>
        <w:t>r</w:t>
      </w:r>
      <w:r w:rsidRPr="00D549A2">
        <w:rPr>
          <w:snapToGrid w:val="0"/>
          <w:lang w:eastAsia="sv-SE"/>
        </w:rPr>
        <w:t>vid angavs att riksdagsstyrelsen avsåg att återkomma på tilläggsbudget ang</w:t>
      </w:r>
      <w:r w:rsidRPr="00D549A2">
        <w:rPr>
          <w:snapToGrid w:val="0"/>
          <w:lang w:eastAsia="sv-SE"/>
        </w:rPr>
        <w:t>å</w:t>
      </w:r>
      <w:r w:rsidRPr="00D549A2">
        <w:rPr>
          <w:snapToGrid w:val="0"/>
          <w:lang w:eastAsia="sv-SE"/>
        </w:rPr>
        <w:t xml:space="preserve">ende höjd anslagsnivå 2002 för de beräknade lönekostnadsökningarna. </w:t>
      </w:r>
    </w:p>
    <w:p w:rsidR="00A62CAF" w:rsidRPr="00D549A2" w:rsidRDefault="00A62CAF">
      <w:pPr>
        <w:pStyle w:val="Normaltindrag"/>
      </w:pPr>
      <w:r w:rsidRPr="00D549A2">
        <w:rPr>
          <w:snapToGrid w:val="0"/>
          <w:lang w:eastAsia="sv-SE"/>
        </w:rPr>
        <w:t xml:space="preserve">Riksdagsstyrelsen har vid sitt sammanträde den 12 juni 2002 (§ 4) beslutat att för budgetåret 2002 föreslå att anslaget </w:t>
      </w:r>
      <w:r w:rsidRPr="00D549A2">
        <w:rPr>
          <w:i/>
          <w:snapToGrid w:val="0"/>
          <w:lang w:eastAsia="sv-SE"/>
        </w:rPr>
        <w:t>90:4 Riksdagens ombudsmän, justitieombudsmännen</w:t>
      </w:r>
      <w:r w:rsidRPr="00D549A2">
        <w:rPr>
          <w:snapToGrid w:val="0"/>
          <w:lang w:eastAsia="sv-SE"/>
        </w:rPr>
        <w:t xml:space="preserve"> ökas med 2 800 000 kr samt att finansiering sker g</w:t>
      </w:r>
      <w:r w:rsidRPr="00D549A2">
        <w:rPr>
          <w:snapToGrid w:val="0"/>
          <w:lang w:eastAsia="sv-SE"/>
        </w:rPr>
        <w:t>e</w:t>
      </w:r>
      <w:r w:rsidRPr="00D549A2">
        <w:rPr>
          <w:snapToGrid w:val="0"/>
          <w:lang w:eastAsia="sv-SE"/>
        </w:rPr>
        <w:t xml:space="preserve">nom motsvarande minskning av </w:t>
      </w:r>
      <w:r w:rsidRPr="00D549A2">
        <w:t xml:space="preserve">anslaget </w:t>
      </w:r>
      <w:r w:rsidRPr="00D549A2">
        <w:rPr>
          <w:i/>
        </w:rPr>
        <w:t>90:3 Riksdagens förvaltningskos</w:t>
      </w:r>
      <w:r w:rsidRPr="00D549A2">
        <w:rPr>
          <w:i/>
        </w:rPr>
        <w:t>t</w:t>
      </w:r>
      <w:r w:rsidRPr="00D549A2">
        <w:rPr>
          <w:i/>
        </w:rPr>
        <w:t>nader</w:t>
      </w:r>
      <w:r w:rsidRPr="00D549A2">
        <w:t>. I en protokollsanteckning uttalade riksdagsstyrelsen att den vill up</w:t>
      </w:r>
      <w:r w:rsidRPr="00D549A2">
        <w:t>p</w:t>
      </w:r>
      <w:r w:rsidRPr="00D549A2">
        <w:t>märksamma Riksdagens ombudsmän (JO) på vikten av att kommande lön</w:t>
      </w:r>
      <w:r w:rsidRPr="00D549A2">
        <w:t>e</w:t>
      </w:r>
      <w:r w:rsidRPr="00D549A2">
        <w:t>avtal har de befintliga budgetramarna som utgångspunkt. Vidare uttalade styrelsen att den förutsätter att JO löpande till riksdagsförvaltningen lämnar prognoser över den ekonomiska utvecklingen. Styrel</w:t>
      </w:r>
      <w:r w:rsidRPr="00D549A2">
        <w:t>sen uppdrog även åt riksdagsförvaltningen att tillsammans med JO diskutera förutsättningarna för en långsiktighet avseende budgetfrågorna. Slutligen framhöll styrelsen i pr</w:t>
      </w:r>
      <w:r w:rsidRPr="00D549A2">
        <w:t>o</w:t>
      </w:r>
      <w:r w:rsidRPr="00D549A2">
        <w:t>tokollsanteckningen de betydelsefulla insatser JO-ämbetet utför i det intern</w:t>
      </w:r>
      <w:r w:rsidRPr="00D549A2">
        <w:t>a</w:t>
      </w:r>
      <w:r w:rsidRPr="00D549A2">
        <w:t>tionella samarbetet och yttrade att förutsättningarna för ekonomisk ersättning för dessa insatser bör prövas. En ledamot (v) uttalade i ett särskilt yttrande bl.a. att han fann det otillfredsställande att JO hamnat i en situation som fö</w:t>
      </w:r>
      <w:r w:rsidRPr="00D549A2">
        <w:t>r</w:t>
      </w:r>
      <w:r w:rsidRPr="00D549A2">
        <w:t>anleder beslut om såväl ö</w:t>
      </w:r>
      <w:r w:rsidRPr="00D549A2">
        <w:t xml:space="preserve">kade anslag på tilläggsbudget för 2002 som förslag till en kraftig nivåhöjning av anslaget för 2003. </w:t>
      </w:r>
    </w:p>
    <w:p w:rsidR="00A62CAF" w:rsidRPr="00D549A2" w:rsidRDefault="00A62CAF">
      <w:pPr>
        <w:pStyle w:val="Rubrik3"/>
        <w:rPr>
          <w:noProof w:val="0"/>
        </w:rPr>
      </w:pPr>
      <w:r w:rsidRPr="00D549A2">
        <w:rPr>
          <w:noProof w:val="0"/>
        </w:rPr>
        <w:t>Regeringskansliet m.m.</w:t>
      </w:r>
    </w:p>
    <w:p w:rsidR="00A62CAF" w:rsidRPr="00D549A2" w:rsidRDefault="00A62CAF">
      <w:r w:rsidRPr="00D549A2">
        <w:t xml:space="preserve">Regeringen föreslår att anslaget </w:t>
      </w:r>
      <w:r w:rsidRPr="00D549A2">
        <w:rPr>
          <w:i/>
        </w:rPr>
        <w:t xml:space="preserve">90:5 Regeringskansliet m.m. </w:t>
      </w:r>
      <w:r w:rsidRPr="00D549A2">
        <w:t>skall minskas med  25 000 000 kr för budgetåret 2002. I statsbudgeten finns för detta änd</w:t>
      </w:r>
      <w:r w:rsidRPr="00D549A2">
        <w:t>a</w:t>
      </w:r>
      <w:r w:rsidRPr="00D549A2">
        <w:t>mål uppfört ett ramanslag på 5 073 549 000 kr.</w:t>
      </w:r>
    </w:p>
    <w:p w:rsidR="00A62CAF" w:rsidRPr="00D549A2" w:rsidRDefault="00A62CAF">
      <w:pPr>
        <w:pStyle w:val="Normaltindrag"/>
      </w:pPr>
      <w:r w:rsidRPr="00D549A2">
        <w:t xml:space="preserve">Regeringen anför att anslaget kan minskas, eftersom utgifter för räntor, amorteringar och vissa underhållsåtgärder m.m. för statsflygplanen och deras verksamhet skall finansieras från det under utgiftsområde 6 Totalförsvar uppförda anslaget </w:t>
      </w:r>
      <w:r w:rsidRPr="00D549A2">
        <w:rPr>
          <w:i/>
        </w:rPr>
        <w:t>6:1 Förbandsverksamhet, beredskap och fredsfrämjande truppinsa</w:t>
      </w:r>
      <w:r w:rsidRPr="00D549A2">
        <w:rPr>
          <w:i/>
        </w:rPr>
        <w:t>t</w:t>
      </w:r>
      <w:r w:rsidRPr="00D549A2">
        <w:rPr>
          <w:i/>
        </w:rPr>
        <w:t>ser m.m</w:t>
      </w:r>
      <w:r w:rsidRPr="00D549A2">
        <w:t>.</w:t>
      </w:r>
    </w:p>
    <w:p w:rsidR="00A62CAF" w:rsidRPr="00D549A2" w:rsidRDefault="00A62CAF">
      <w:pPr>
        <w:pStyle w:val="R2"/>
      </w:pPr>
      <w:r w:rsidRPr="00D549A2">
        <w:br w:type="page"/>
        <w:t>Utskottets ställningstagande</w:t>
      </w:r>
    </w:p>
    <w:p w:rsidR="00A62CAF" w:rsidRPr="00D549A2" w:rsidRDefault="00A62CAF">
      <w:r w:rsidRPr="00D549A2">
        <w:t>Utskottet tillstyrker att riksdagen på tilläggsbudget till statsbudgeten för bu</w:t>
      </w:r>
      <w:r w:rsidRPr="00D549A2">
        <w:t>d</w:t>
      </w:r>
      <w:r w:rsidRPr="00D549A2">
        <w:t>getåret 2002 beslutar ändra anslagen under utgiftsområde 1 i enlighet med förslagen i propositionen.</w:t>
      </w:r>
    </w:p>
    <w:p w:rsidR="00A62CAF" w:rsidRPr="00D549A2" w:rsidRDefault="00A62CAF"/>
    <w:p w:rsidR="00A62CAF" w:rsidRPr="00D549A2" w:rsidRDefault="00A62CAF">
      <w:pPr>
        <w:pStyle w:val="Utskriftsdatum"/>
      </w:pPr>
      <w:r w:rsidRPr="00D549A2">
        <w:t xml:space="preserve">Stockholm den 12 november 2002 </w:t>
      </w:r>
    </w:p>
    <w:p w:rsidR="00A62CAF" w:rsidRPr="00D549A2" w:rsidRDefault="00A62CAF">
      <w:r w:rsidRPr="00D549A2">
        <w:t>På konstitutionsutskottets vägnar</w:t>
      </w:r>
    </w:p>
    <w:p w:rsidR="00A62CAF" w:rsidRPr="00D549A2" w:rsidRDefault="00A62CAF">
      <w:pPr>
        <w:pStyle w:val="Ordfranden"/>
        <w:rPr>
          <w:noProof w:val="0"/>
        </w:rPr>
      </w:pPr>
      <w:bookmarkStart w:id="3" w:name="Ordförande"/>
      <w:bookmarkEnd w:id="3"/>
      <w:r w:rsidRPr="00D549A2">
        <w:rPr>
          <w:noProof w:val="0"/>
        </w:rPr>
        <w:t xml:space="preserve">Per Unckel </w:t>
      </w:r>
    </w:p>
    <w:p w:rsidR="00A62CAF" w:rsidRPr="00D549A2" w:rsidRDefault="00A62CAF">
      <w:bookmarkStart w:id="4" w:name="Deltagare"/>
      <w:bookmarkEnd w:id="4"/>
    </w:p>
    <w:p w:rsidR="00A62CAF" w:rsidRPr="00D549A2" w:rsidRDefault="00A62CAF">
      <w:pPr>
        <w:pStyle w:val="Deltagare"/>
        <w:rPr>
          <w:noProof w:val="0"/>
        </w:rPr>
      </w:pPr>
      <w:r w:rsidRPr="00D549A2">
        <w:rPr>
          <w:noProof w:val="0"/>
        </w:rPr>
        <w:t>Följande ledamöter har deltagit i beslutet: Per Unckel (m), Göran Magnusson (s), Barbro Hietala Nordlund (s), Helena Bargholtz (fp), Pär Axel Sahlberg (s), Kenth Högström (s), Ingvar Svensson (kd), Mats Einarsson (v), Mats Berglind (s), Anders Bengtsson (s), Tobias Krantz (fp), Kerstin Lundgren (c), Helene Petersson (s), Nils Fredrik Aurelius (m), Billy Gustafsson (s), Gustav Fridolin (mp) och Hillevi Engström (m).</w:t>
      </w:r>
    </w:p>
    <w:p w:rsidR="00A62CAF" w:rsidRPr="00D549A2" w:rsidRDefault="00A62CAF">
      <w:pPr>
        <w:pStyle w:val="Tryckort"/>
        <w:framePr w:wrap="around"/>
        <w:jc w:val="right"/>
      </w:pPr>
      <w:r w:rsidRPr="00D549A2">
        <w:t>Elanders Gotab, Stockholm  2002</w:t>
      </w:r>
    </w:p>
    <w:p w:rsidR="00A62CAF" w:rsidRPr="00D549A2" w:rsidRDefault="00A62CAF">
      <w:pPr>
        <w:pStyle w:val="Normaltindrag"/>
      </w:pPr>
    </w:p>
    <w:p w:rsidR="00A62CAF" w:rsidRPr="00D549A2" w:rsidRDefault="00A62CAF">
      <w:pPr>
        <w:pStyle w:val="Normaltindrag"/>
      </w:pPr>
    </w:p>
    <w:sectPr w:rsidR="00A62CAF" w:rsidRPr="00D549A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CAF" w:rsidRPr="00D549A2" w:rsidRDefault="00A62CAF">
      <w:pPr>
        <w:spacing w:before="0" w:line="240" w:lineRule="auto"/>
      </w:pPr>
      <w:r w:rsidRPr="00D549A2">
        <w:separator/>
      </w:r>
    </w:p>
  </w:endnote>
  <w:endnote w:type="continuationSeparator" w:id="0">
    <w:p w:rsidR="00A62CAF" w:rsidRPr="00D549A2" w:rsidRDefault="00A62CAF">
      <w:pPr>
        <w:spacing w:before="0" w:line="240" w:lineRule="auto"/>
      </w:pPr>
      <w:r w:rsidRPr="00D549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AF" w:rsidRPr="00D549A2" w:rsidRDefault="00A62CAF">
    <w:pPr>
      <w:pStyle w:val="SidfotV"/>
      <w:framePr w:w="8732" w:h="284" w:hRule="exact" w:hSpace="0" w:vSpace="0" w:wrap="around" w:xAlign="inside" w:y="13042" w:anchorLock="0"/>
    </w:pPr>
    <w:r w:rsidRPr="00D549A2">
      <w:fldChar w:fldCharType="begin" w:fldLock="1"/>
    </w:r>
    <w:r w:rsidRPr="00D549A2">
      <w:instrText xml:space="preserve"> P</w:instrText>
    </w:r>
    <w:r w:rsidRPr="00D549A2">
      <w:instrText>A</w:instrText>
    </w:r>
    <w:r w:rsidRPr="00D549A2">
      <w:instrText xml:space="preserve">GE </w:instrText>
    </w:r>
    <w:r w:rsidRPr="00D549A2">
      <w:fldChar w:fldCharType="separate"/>
    </w:r>
    <w:r w:rsidRPr="00D549A2">
      <w:t>2</w:t>
    </w:r>
    <w:r w:rsidRPr="00D549A2">
      <w:fldChar w:fldCharType="end"/>
    </w:r>
  </w:p>
  <w:p w:rsidR="00A62CAF" w:rsidRPr="00D549A2" w:rsidRDefault="00A62CA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AF" w:rsidRPr="00D549A2" w:rsidRDefault="00A62CAF">
    <w:pPr>
      <w:pStyle w:val="SidfotH"/>
      <w:framePr w:w="8732" w:h="284" w:hRule="exact" w:hSpace="0" w:vSpace="0" w:wrap="around" w:xAlign="inside" w:y="13042" w:anchorLock="0"/>
    </w:pPr>
    <w:r w:rsidRPr="00D549A2">
      <w:fldChar w:fldCharType="begin" w:fldLock="1"/>
    </w:r>
    <w:r w:rsidRPr="00D549A2">
      <w:instrText xml:space="preserve"> P</w:instrText>
    </w:r>
    <w:r w:rsidRPr="00D549A2">
      <w:instrText>A</w:instrText>
    </w:r>
    <w:r w:rsidRPr="00D549A2">
      <w:instrText xml:space="preserve">GE </w:instrText>
    </w:r>
    <w:r w:rsidRPr="00D549A2">
      <w:fldChar w:fldCharType="separate"/>
    </w:r>
    <w:r w:rsidRPr="00D549A2">
      <w:t>3</w:t>
    </w:r>
    <w:r w:rsidRPr="00D549A2">
      <w:fldChar w:fldCharType="end"/>
    </w:r>
  </w:p>
  <w:p w:rsidR="00A62CAF" w:rsidRPr="00D549A2" w:rsidRDefault="00A62CA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AF" w:rsidRPr="00D549A2" w:rsidRDefault="00A62CAF">
    <w:pPr>
      <w:pStyle w:val="SidfotV"/>
      <w:framePr w:w="8732" w:h="284" w:hRule="exact" w:hSpace="0" w:vSpace="0" w:wrap="around" w:xAlign="inside" w:y="13042" w:anchorLock="0"/>
    </w:pPr>
    <w:r w:rsidRPr="00D549A2">
      <w:fldChar w:fldCharType="begin" w:fldLock="1"/>
    </w:r>
    <w:r w:rsidRPr="00D549A2">
      <w:instrText xml:space="preserve"> if </w:instrText>
    </w:r>
    <w:r w:rsidRPr="00D549A2">
      <w:fldChar w:fldCharType="begin" w:fldLock="1"/>
    </w:r>
    <w:r w:rsidRPr="00D549A2">
      <w:instrText xml:space="preserve"> = </w:instrText>
    </w:r>
    <w:r w:rsidRPr="00D549A2">
      <w:fldChar w:fldCharType="begin" w:fldLock="1"/>
    </w:r>
    <w:r w:rsidRPr="00D549A2">
      <w:instrText xml:space="preserve"> = </w:instrText>
    </w:r>
    <w:r w:rsidRPr="00D549A2">
      <w:fldChar w:fldCharType="begin" w:fldLock="1"/>
    </w:r>
    <w:r w:rsidRPr="00D549A2">
      <w:instrText xml:space="preserve"> page</w:instrText>
    </w:r>
    <w:r w:rsidRPr="00D549A2">
      <w:fldChar w:fldCharType="separate"/>
    </w:r>
    <w:r w:rsidR="00D549A2">
      <w:rPr>
        <w:noProof/>
      </w:rPr>
      <w:instrText>1</w:instrText>
    </w:r>
    <w:r w:rsidRPr="00D549A2">
      <w:fldChar w:fldCharType="end"/>
    </w:r>
    <w:r w:rsidRPr="00D549A2">
      <w:instrText xml:space="preserve">/2 </w:instrText>
    </w:r>
    <w:r w:rsidRPr="00D549A2">
      <w:fldChar w:fldCharType="separate"/>
    </w:r>
    <w:r w:rsidR="00D549A2">
      <w:rPr>
        <w:noProof/>
      </w:rPr>
      <w:instrText>0,5</w:instrText>
    </w:r>
    <w:r w:rsidRPr="00D549A2">
      <w:fldChar w:fldCharType="end"/>
    </w:r>
    <w:r w:rsidRPr="00D549A2">
      <w:instrText xml:space="preserve"> - </w:instrText>
    </w:r>
    <w:r w:rsidRPr="00D549A2">
      <w:fldChar w:fldCharType="begin" w:fldLock="1"/>
    </w:r>
    <w:r w:rsidRPr="00D549A2">
      <w:instrText xml:space="preserve"> = int(</w:instrText>
    </w:r>
    <w:r w:rsidRPr="00D549A2">
      <w:fldChar w:fldCharType="begin" w:fldLock="1"/>
    </w:r>
    <w:r w:rsidRPr="00D549A2">
      <w:instrText xml:space="preserve"> page</w:instrText>
    </w:r>
    <w:r w:rsidRPr="00D549A2">
      <w:fldChar w:fldCharType="separate"/>
    </w:r>
    <w:r w:rsidR="00D549A2">
      <w:rPr>
        <w:noProof/>
      </w:rPr>
      <w:instrText>1</w:instrText>
    </w:r>
    <w:r w:rsidRPr="00D549A2">
      <w:fldChar w:fldCharType="end"/>
    </w:r>
    <w:r w:rsidRPr="00D549A2">
      <w:instrText xml:space="preserve">/2) </w:instrText>
    </w:r>
    <w:r w:rsidRPr="00D549A2">
      <w:fldChar w:fldCharType="separate"/>
    </w:r>
    <w:r w:rsidR="00D549A2">
      <w:rPr>
        <w:noProof/>
      </w:rPr>
      <w:instrText>0</w:instrText>
    </w:r>
    <w:r w:rsidRPr="00D549A2">
      <w:fldChar w:fldCharType="end"/>
    </w:r>
    <w:r w:rsidRPr="00D549A2">
      <w:fldChar w:fldCharType="separate"/>
    </w:r>
    <w:r w:rsidR="00D549A2">
      <w:rPr>
        <w:noProof/>
      </w:rPr>
      <w:instrText>0,5</w:instrText>
    </w:r>
    <w:r w:rsidRPr="00D549A2">
      <w:fldChar w:fldCharType="end"/>
    </w:r>
    <w:r w:rsidRPr="00D549A2">
      <w:instrText xml:space="preserve"> = 0 "</w:instrText>
    </w:r>
    <w:r w:rsidRPr="00D549A2">
      <w:fldChar w:fldCharType="begin" w:fldLock="1"/>
    </w:r>
    <w:r w:rsidRPr="00D549A2">
      <w:instrText xml:space="preserve"> P</w:instrText>
    </w:r>
    <w:r w:rsidRPr="00D549A2">
      <w:instrText>A</w:instrText>
    </w:r>
    <w:r w:rsidRPr="00D549A2">
      <w:instrText xml:space="preserve">GE </w:instrText>
    </w:r>
    <w:r w:rsidRPr="00D549A2">
      <w:fldChar w:fldCharType="separate"/>
    </w:r>
    <w:r w:rsidRPr="00D549A2">
      <w:instrText>6</w:instrText>
    </w:r>
    <w:r w:rsidRPr="00D549A2">
      <w:fldChar w:fldCharType="end"/>
    </w:r>
  </w:p>
  <w:p w:rsidR="00A62CAF" w:rsidRPr="00D549A2" w:rsidRDefault="00A62CAF">
    <w:pPr>
      <w:pStyle w:val="SidfotH"/>
      <w:framePr w:w="8732" w:h="284" w:hRule="exact" w:hSpace="0" w:vSpace="0" w:wrap="around" w:xAlign="inside" w:y="13042" w:anchorLock="0"/>
    </w:pPr>
    <w:r w:rsidRPr="00D549A2">
      <w:instrText>""</w:instrText>
    </w:r>
    <w:r w:rsidRPr="00D549A2">
      <w:fldChar w:fldCharType="begin" w:fldLock="1"/>
    </w:r>
    <w:r w:rsidRPr="00D549A2">
      <w:instrText xml:space="preserve"> P</w:instrText>
    </w:r>
    <w:r w:rsidRPr="00D549A2">
      <w:instrText>A</w:instrText>
    </w:r>
    <w:r w:rsidRPr="00D549A2">
      <w:instrText xml:space="preserve">GE </w:instrText>
    </w:r>
    <w:r w:rsidRPr="00D549A2">
      <w:fldChar w:fldCharType="separate"/>
    </w:r>
    <w:r w:rsidR="00D549A2">
      <w:rPr>
        <w:noProof/>
      </w:rPr>
      <w:instrText>1</w:instrText>
    </w:r>
    <w:r w:rsidRPr="00D549A2">
      <w:fldChar w:fldCharType="end"/>
    </w:r>
    <w:r w:rsidRPr="00D549A2">
      <w:instrText>"</w:instrText>
    </w:r>
    <w:r w:rsidRPr="00D549A2">
      <w:fldChar w:fldCharType="separate"/>
    </w:r>
    <w:r w:rsidR="00D549A2">
      <w:rPr>
        <w:noProof/>
      </w:rPr>
      <w:t>1</w:t>
    </w:r>
    <w:r w:rsidRPr="00D549A2">
      <w:fldChar w:fldCharType="end"/>
    </w:r>
  </w:p>
  <w:p w:rsidR="00A62CAF" w:rsidRPr="00D549A2" w:rsidRDefault="00A62C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CAF" w:rsidRPr="00D549A2" w:rsidRDefault="00A62CAF">
      <w:pPr>
        <w:pStyle w:val="Sidfot"/>
      </w:pPr>
    </w:p>
  </w:footnote>
  <w:footnote w:type="continuationSeparator" w:id="0">
    <w:p w:rsidR="00A62CAF" w:rsidRPr="00D549A2" w:rsidRDefault="00A62CAF">
      <w:pPr>
        <w:spacing w:before="0" w:line="240" w:lineRule="auto"/>
      </w:pPr>
      <w:r w:rsidRPr="00D549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AF" w:rsidRPr="00D549A2" w:rsidRDefault="00A62CAF">
    <w:pPr>
      <w:pStyle w:val="SidhuvudKantJmn"/>
      <w:framePr w:w="8732" w:h="567" w:hRule="exact" w:vSpace="0" w:wrap="around" w:vAnchor="page" w:y="341" w:anchorLock="0"/>
    </w:pPr>
    <w:r w:rsidRPr="00D549A2">
      <w:rPr>
        <w:rStyle w:val="SidhuvudUtskott"/>
      </w:rPr>
      <w:t>2002/03:KU1y</w:t>
    </w:r>
    <w:r w:rsidRPr="00D549A2">
      <w:t xml:space="preserve">    </w:t>
    </w:r>
  </w:p>
  <w:p w:rsidR="00A62CAF" w:rsidRPr="00D549A2" w:rsidRDefault="00A62CAF">
    <w:pPr>
      <w:pStyle w:val="SidhuvudKantJmn"/>
      <w:framePr w:w="8732" w:h="567" w:hRule="exact" w:vSpace="0" w:wrap="around" w:vAnchor="page" w:y="341" w:anchorLock="0"/>
    </w:pPr>
  </w:p>
  <w:p w:rsidR="00A62CAF" w:rsidRPr="00D549A2" w:rsidRDefault="00A62CAF">
    <w:pPr>
      <w:pStyle w:val="SidhuvudKantUdda"/>
      <w:framePr w:w="8732" w:h="567" w:hRule="exact" w:vSpace="0" w:wrap="around" w:vAnchor="page" w:y="341" w:anchorLock="0"/>
    </w:pPr>
    <w:r w:rsidRPr="00D549A2">
      <w:rPr>
        <w:rStyle w:val="SidhuvudRubrikReferens"/>
        <w:smallCaps w:val="0"/>
        <w:spacing w:val="0"/>
        <w:sz w:val="19"/>
      </w:rPr>
      <w:t xml:space="preserve"> </w:t>
    </w:r>
  </w:p>
  <w:p w:rsidR="00A62CAF" w:rsidRPr="00D549A2" w:rsidRDefault="00A62CA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AF" w:rsidRPr="00D549A2" w:rsidRDefault="00A62CAF">
    <w:pPr>
      <w:pStyle w:val="SidhuvudKantUdda"/>
      <w:framePr w:w="8732" w:h="567" w:hRule="exact" w:vSpace="0" w:wrap="around" w:vAnchor="page" w:y="341" w:anchorLock="0"/>
    </w:pPr>
    <w:r w:rsidRPr="00D549A2">
      <w:t xml:space="preserve">  </w:t>
    </w:r>
    <w:r w:rsidRPr="00D549A2">
      <w:rPr>
        <w:rStyle w:val="SidhuvudUtskott"/>
      </w:rPr>
      <w:t>2002/03:KU1y</w:t>
    </w:r>
  </w:p>
  <w:p w:rsidR="00A62CAF" w:rsidRPr="00D549A2" w:rsidRDefault="00A62CAF">
    <w:pPr>
      <w:pStyle w:val="SidhuvudKantUdda"/>
      <w:framePr w:w="8732" w:h="567" w:hRule="exact" w:vSpace="0" w:wrap="around" w:vAnchor="page" w:y="341" w:anchorLock="0"/>
    </w:pPr>
  </w:p>
  <w:p w:rsidR="00A62CAF" w:rsidRPr="00D549A2" w:rsidRDefault="00A62CA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CAF" w:rsidRPr="00D549A2" w:rsidRDefault="00A62CAF">
    <w:pPr>
      <w:pStyle w:val="SidhuvudKantUdda"/>
      <w:framePr w:w="8732" w:h="567" w:hRule="exact" w:vSpace="0" w:wrap="around" w:vAnchor="page" w:y="341" w:anchorLock="0"/>
    </w:pPr>
    <w:r w:rsidRPr="00D549A2">
      <w:t xml:space="preserve"> </w:t>
    </w:r>
  </w:p>
  <w:p w:rsidR="00A62CAF" w:rsidRPr="00D549A2" w:rsidRDefault="00A62CA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53534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171BBA"/>
    <w:rsid w:val="00171BBA"/>
    <w:rsid w:val="00A62CAF"/>
    <w:rsid w:val="00D549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AE99D2-562B-4398-9195-506F18C6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1278</Words>
  <Characters>7994</Characters>
  <Application>Microsoft Office Word</Application>
  <DocSecurity>4</DocSecurity>
  <Lines>257</Lines>
  <Paragraphs>114</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Konstitutionsutskottets yttrande</vt:lpstr>
      <vt:lpstr>        Presstödsnämnden och Taltidningsnämnden</vt:lpstr>
      <vt:lpstr>        Granskningsnämnden för radio och TV</vt:lpstr>
      <vt:lpstr>        Allmänna val</vt:lpstr>
      <vt:lpstr>        Justitiekanslern</vt:lpstr>
      <vt:lpstr>        Kungliga hov- och slottsstaten</vt:lpstr>
      <vt:lpstr>        Riksdagens ombudsmän, justitieombudsmännen</vt:lpstr>
      <vt:lpstr>        Regeringskansliet m.m.</vt:lpstr>
    </vt:vector>
  </TitlesOfParts>
  <Company>Riksdagen</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2002-11-14T13:32:00Z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