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632"/>
        <w:gridCol w:w="1126"/>
      </w:tblGrid>
      <w:tr w:rsidR="00000000" w:rsidRPr="00EE7A61">
        <w:tblPrEx>
          <w:tblCellMar>
            <w:top w:w="0" w:type="dxa"/>
            <w:left w:w="0" w:type="dxa"/>
            <w:bottom w:w="0" w:type="dxa"/>
            <w:right w:w="0" w:type="dxa"/>
          </w:tblCellMar>
        </w:tblPrEx>
        <w:trPr>
          <w:gridAfter w:val="2"/>
          <w:wAfter w:w="1758" w:type="dxa"/>
          <w:cantSplit/>
          <w:trHeight w:val="1320"/>
        </w:trPr>
        <w:tc>
          <w:tcPr>
            <w:tcW w:w="5897" w:type="dxa"/>
          </w:tcPr>
          <w:p w:rsidR="002B0B32" w:rsidRPr="00EE7A61" w:rsidRDefault="002B0B32">
            <w:pPr>
              <w:pStyle w:val="HuvudRubrik"/>
              <w:spacing w:line="240" w:lineRule="auto"/>
            </w:pPr>
            <w:r w:rsidRPr="00EE7A61">
              <w:t>Regeringskansliet</w:t>
            </w:r>
          </w:p>
          <w:p w:rsidR="002B0B32" w:rsidRPr="00EE7A61" w:rsidRDefault="002B0B32">
            <w:pPr>
              <w:pStyle w:val="HuvudRubrik"/>
              <w:spacing w:line="240" w:lineRule="auto"/>
            </w:pPr>
            <w:r w:rsidRPr="00EE7A61">
              <w:t>Faktapromemoria  2005/06:FPM75</w:t>
            </w:r>
          </w:p>
        </w:tc>
      </w:tr>
      <w:tr w:rsidR="00000000" w:rsidRPr="00EE7A61">
        <w:tblPrEx>
          <w:tblCellMar>
            <w:top w:w="0" w:type="dxa"/>
            <w:left w:w="0" w:type="dxa"/>
            <w:bottom w:w="0" w:type="dxa"/>
            <w:right w:w="0" w:type="dxa"/>
          </w:tblCellMar>
        </w:tblPrEx>
        <w:trPr>
          <w:gridAfter w:val="2"/>
          <w:wAfter w:w="1758" w:type="dxa"/>
          <w:cantSplit/>
          <w:trHeight w:val="240"/>
        </w:trPr>
        <w:tc>
          <w:tcPr>
            <w:tcW w:w="5897" w:type="dxa"/>
          </w:tcPr>
          <w:p w:rsidR="002B0B32" w:rsidRPr="00EE7A61" w:rsidRDefault="002B0B32">
            <w:pPr>
              <w:pStyle w:val="HuvudRubrik"/>
              <w:spacing w:line="240" w:lineRule="auto"/>
              <w:rPr>
                <w:sz w:val="28"/>
              </w:rPr>
            </w:pPr>
            <w:r w:rsidRPr="00EE7A61">
              <w:rPr>
                <w:sz w:val="28"/>
              </w:rPr>
              <w:t>Tematiska program i budgetstrukturen för EU:s yttre åtgärder</w:t>
            </w:r>
          </w:p>
        </w:tc>
      </w:tr>
      <w:tr w:rsidR="00390608" w:rsidRPr="00EE7A61">
        <w:tblPrEx>
          <w:tblCellMar>
            <w:top w:w="0" w:type="dxa"/>
            <w:left w:w="0" w:type="dxa"/>
            <w:bottom w:w="0" w:type="dxa"/>
            <w:right w:w="0" w:type="dxa"/>
          </w:tblCellMar>
        </w:tblPrEx>
        <w:trPr>
          <w:cantSplit/>
          <w:trHeight w:val="285"/>
        </w:trPr>
        <w:tc>
          <w:tcPr>
            <w:tcW w:w="7655" w:type="dxa"/>
            <w:gridSpan w:val="3"/>
          </w:tcPr>
          <w:p w:rsidR="00390608" w:rsidRPr="00EE7A61" w:rsidRDefault="00A903B0">
            <w:pPr>
              <w:pStyle w:val="Departement"/>
              <w:spacing w:before="0"/>
              <w:rPr>
                <w:sz w:val="28"/>
              </w:rPr>
            </w:pPr>
            <w:r w:rsidRPr="00EE7A61">
              <w:t>Utrikesdepartementet</w:t>
            </w:r>
          </w:p>
        </w:tc>
      </w:tr>
      <w:tr w:rsidR="00390608" w:rsidRPr="00EE7A61">
        <w:tblPrEx>
          <w:tblCellMar>
            <w:top w:w="0" w:type="dxa"/>
            <w:left w:w="0" w:type="dxa"/>
            <w:bottom w:w="0" w:type="dxa"/>
            <w:right w:w="0" w:type="dxa"/>
          </w:tblCellMar>
        </w:tblPrEx>
        <w:trPr>
          <w:cantSplit/>
          <w:trHeight w:val="240"/>
        </w:trPr>
        <w:tc>
          <w:tcPr>
            <w:tcW w:w="7655" w:type="dxa"/>
            <w:gridSpan w:val="3"/>
          </w:tcPr>
          <w:p w:rsidR="00390608" w:rsidRPr="00EE7A61" w:rsidRDefault="00A903B0">
            <w:pPr>
              <w:pStyle w:val="Dokumentdatum"/>
              <w:spacing w:before="0"/>
            </w:pPr>
            <w:r w:rsidRPr="00EE7A61">
              <w:t>2006-04-11</w:t>
            </w:r>
          </w:p>
        </w:tc>
      </w:tr>
      <w:tr w:rsidR="00390608" w:rsidRPr="00EE7A61">
        <w:tblPrEx>
          <w:tblCellMar>
            <w:top w:w="0" w:type="dxa"/>
            <w:left w:w="0" w:type="dxa"/>
            <w:bottom w:w="0" w:type="dxa"/>
            <w:right w:w="0" w:type="dxa"/>
          </w:tblCellMar>
        </w:tblPrEx>
        <w:trPr>
          <w:cantSplit/>
          <w:trHeight w:val="726"/>
        </w:trPr>
        <w:tc>
          <w:tcPr>
            <w:tcW w:w="7655" w:type="dxa"/>
            <w:gridSpan w:val="3"/>
            <w:vAlign w:val="bottom"/>
          </w:tcPr>
          <w:p w:rsidR="00390608" w:rsidRPr="00EE7A61" w:rsidRDefault="00390608">
            <w:pPr>
              <w:pStyle w:val="Dokumentbeteckning"/>
              <w:spacing w:line="240" w:lineRule="auto"/>
            </w:pPr>
            <w:r w:rsidRPr="00EE7A61">
              <w:t>Dokumentbeteckning:</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bookmarkStart w:id="0" w:name="KomNr"/>
            <w:bookmarkEnd w:id="0"/>
            <w:r w:rsidRPr="00EE7A61">
              <w:t>Kom (2006)18</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pPr>
              <w:pStyle w:val="Dokumentbeteckning-titel"/>
            </w:pPr>
            <w:r w:rsidRPr="00EE7A61">
              <w:t>Mänsklig och social utveckling, ("Att investera i människor")</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r w:rsidRPr="00EE7A61">
              <w:t>Kom (2006)19</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pPr>
              <w:pStyle w:val="Dokumentbeteckning-titel"/>
            </w:pPr>
            <w:r w:rsidRPr="00EE7A61">
              <w:t>Icke statliga aktörer och lokala myndigheter inom utveckling</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r w:rsidRPr="00EE7A61">
              <w:t>Kom (2006)20</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pPr>
              <w:pStyle w:val="Dokumentbeteckning-titel"/>
            </w:pPr>
            <w:r w:rsidRPr="00EE7A61">
              <w:t>Miljö och hållbar förvaltning av naturresurser, inklusive energi</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r w:rsidRPr="00EE7A61">
              <w:t>Kom (2006)21</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pPr>
              <w:pStyle w:val="Dokumentbeteckning-titel"/>
            </w:pPr>
            <w:r w:rsidRPr="00EE7A61">
              <w:t>Tryggad livsmedelsförsörjning</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r w:rsidRPr="00EE7A61">
              <w:t>Kom (2006)23</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pPr>
              <w:pStyle w:val="Dokumentbeteckning-titel"/>
            </w:pPr>
            <w:r w:rsidRPr="00EE7A61">
              <w:t>Främjande av demokrati och mänskliga rättigheter i världen</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r w:rsidRPr="00EE7A61">
              <w:t>Kom (2006)25</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pPr>
              <w:pStyle w:val="Dokumentbeteckning-titel"/>
            </w:pPr>
            <w:r w:rsidRPr="00EE7A61">
              <w:t>Samarbete med industrialiserade länder och andra höginkomstländer</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r w:rsidRPr="00EE7A61">
              <w:t>Kom (2006)26</w:t>
            </w:r>
          </w:p>
        </w:tc>
      </w:tr>
      <w:tr w:rsidR="00390608" w:rsidRPr="00EE7A61">
        <w:tblPrEx>
          <w:tblCellMar>
            <w:top w:w="0" w:type="dxa"/>
            <w:left w:w="0" w:type="dxa"/>
            <w:bottom w:w="0" w:type="dxa"/>
            <w:right w:w="0" w:type="dxa"/>
          </w:tblCellMar>
        </w:tblPrEx>
        <w:trPr>
          <w:gridAfter w:val="1"/>
          <w:wAfter w:w="1126" w:type="dxa"/>
          <w:trHeight w:val="120"/>
        </w:trPr>
        <w:tc>
          <w:tcPr>
            <w:tcW w:w="6529" w:type="dxa"/>
            <w:gridSpan w:val="2"/>
          </w:tcPr>
          <w:p w:rsidR="00390608" w:rsidRPr="00EE7A61" w:rsidRDefault="00A903B0" w:rsidP="00390608">
            <w:pPr>
              <w:pStyle w:val="Dokumentbeteckning-titel"/>
            </w:pPr>
            <w:r w:rsidRPr="00EE7A61">
              <w:t>Samarbete med tredjeländer om migration och asyl</w:t>
            </w:r>
          </w:p>
        </w:tc>
      </w:tr>
    </w:tbl>
    <w:p w:rsidR="00390608" w:rsidRPr="00EE7A61" w:rsidRDefault="00390608">
      <w:pPr>
        <w:spacing w:before="0" w:line="240" w:lineRule="auto"/>
      </w:pPr>
    </w:p>
    <w:p w:rsidR="00390608" w:rsidRPr="00EE7A61" w:rsidRDefault="00390608" w:rsidP="00390608">
      <w:pPr>
        <w:pStyle w:val="Rubrik1"/>
        <w:numPr>
          <w:ilvl w:val="0"/>
          <w:numId w:val="0"/>
        </w:numPr>
      </w:pPr>
      <w:r w:rsidRPr="00EE7A61">
        <w:t>Sammanfattning</w:t>
      </w:r>
    </w:p>
    <w:p w:rsidR="00390608" w:rsidRPr="00EE7A61" w:rsidRDefault="00390608" w:rsidP="00390608"/>
    <w:p w:rsidR="00390608" w:rsidRPr="00EE7A61" w:rsidRDefault="00390608" w:rsidP="00390608">
      <w:r w:rsidRPr="00EE7A61">
        <w:t>I förslaget till ny långtidsbudget för perioden 2007-2013 (det s.k. finansiella perspektivet) har kommissionen för gemenskapens yttre åtgärder presenterat sju nya tematiska program som utgör en del av en reform av budgetstrukturen.</w:t>
      </w:r>
      <w:r w:rsidRPr="00EE7A61">
        <w:rPr>
          <w:rStyle w:val="Fotnotsreferens"/>
        </w:rPr>
        <w:footnoteReference w:id="1"/>
      </w:r>
      <w:r w:rsidRPr="00EE7A61">
        <w:t xml:space="preserve"> De tematiska programmen syftar till att bättre uppnå utvecklingssamarbetets målsättningar genom att förenkla genomförandet och förbättra resultaten av kommissionens utvecklingssamarbete inom områden som inte är geografiskt definierade. </w:t>
      </w:r>
    </w:p>
    <w:p w:rsidR="00390608" w:rsidRPr="00EE7A61" w:rsidRDefault="00390608" w:rsidP="00390608"/>
    <w:p w:rsidR="00390608" w:rsidRPr="00EE7A61" w:rsidRDefault="00390608" w:rsidP="00390608">
      <w:r w:rsidRPr="00EE7A61">
        <w:t xml:space="preserve">Sverige är generellt positiv till kommissionens ambitioner att förenkla och effektivisera budgetstrukturen så länge övergripande målsättningar om fattigdomsbekämpning, millenniemålen och Parisdeklarationen beaktas. </w:t>
      </w:r>
    </w:p>
    <w:p w:rsidR="00390608" w:rsidRPr="00EE7A61" w:rsidRDefault="00390608" w:rsidP="00390608"/>
    <w:p w:rsidR="00390608" w:rsidRPr="00EE7A61" w:rsidRDefault="00390608" w:rsidP="00390608"/>
    <w:p w:rsidR="00390608" w:rsidRPr="00EE7A61" w:rsidRDefault="00390608">
      <w:pPr>
        <w:pStyle w:val="Rubrik1"/>
        <w:spacing w:before="0" w:line="240" w:lineRule="auto"/>
      </w:pPr>
      <w:r w:rsidRPr="00EE7A61">
        <w:t>Förslaget</w:t>
      </w:r>
    </w:p>
    <w:p w:rsidR="00390608" w:rsidRPr="00EE7A61" w:rsidRDefault="00390608"/>
    <w:p w:rsidR="00390608" w:rsidRPr="00EE7A61" w:rsidRDefault="00390608">
      <w:pPr>
        <w:pStyle w:val="Rubrik2"/>
        <w:spacing w:before="0" w:line="240" w:lineRule="auto"/>
      </w:pPr>
      <w:r w:rsidRPr="00EE7A61">
        <w:t>Innehåll</w:t>
      </w:r>
    </w:p>
    <w:p w:rsidR="00390608" w:rsidRPr="00EE7A61" w:rsidRDefault="00390608" w:rsidP="00390608"/>
    <w:p w:rsidR="00390608" w:rsidRPr="00EE7A61" w:rsidRDefault="00390608" w:rsidP="00ED189A">
      <w:r w:rsidRPr="00EE7A61">
        <w:t xml:space="preserve">I strukturen för EU:s nya långtidsbudget 2007-2013 (det s.k. finansiella perspektivet), föreslås en reducering av antalet budgetinstrument i syfte att förenkla finansieringssystemet. De olika finansieringsinstrument som EU i dag har på området ersätts av sex instrument, varav fyra är nya. De fyra nya instrumenten är: </w:t>
      </w:r>
    </w:p>
    <w:p w:rsidR="00390608" w:rsidRPr="00EE7A61" w:rsidRDefault="00390608" w:rsidP="00ED189A">
      <w:r w:rsidRPr="00EE7A61">
        <w:t>(1) Utvecklingssamarbete och ekonomiskt samarbete (DCECI) som är det huvudsakliga utvecklingsinstrumentet med fattigdomsbekämpning som övergripande målsättning.</w:t>
      </w:r>
    </w:p>
    <w:p w:rsidR="00390608" w:rsidRPr="00EE7A61" w:rsidRDefault="00390608" w:rsidP="00ED189A">
      <w:r w:rsidRPr="00EE7A61">
        <w:t>(2) Europeiska grannskaps- och partnerskapsinstrumentet (ENPI).</w:t>
      </w:r>
    </w:p>
    <w:p w:rsidR="00390608" w:rsidRPr="00EE7A61" w:rsidRDefault="00390608" w:rsidP="00ED189A">
      <w:r w:rsidRPr="00EE7A61">
        <w:t xml:space="preserve">(3) Instrumentet för föranslutningsstöd (IPA). </w:t>
      </w:r>
    </w:p>
    <w:p w:rsidR="00390608" w:rsidRPr="00EE7A61" w:rsidRDefault="00390608" w:rsidP="00ED189A">
      <w:r w:rsidRPr="00EE7A61">
        <w:t xml:space="preserve">(4) Stabilitetsinstrument för hantering av kriser och instabilitet. </w:t>
      </w:r>
    </w:p>
    <w:p w:rsidR="00390608" w:rsidRPr="00EE7A61" w:rsidRDefault="00390608" w:rsidP="00ED189A"/>
    <w:p w:rsidR="00390608" w:rsidRPr="00EE7A61" w:rsidRDefault="00390608" w:rsidP="00ED189A">
      <w:r w:rsidRPr="00EE7A61">
        <w:t>De två övriga instrumenten, instrumentet för humanitärt bistånd och instrumentet för makroekonomiskt bistånd finns kvar i sin nuvarande form.</w:t>
      </w:r>
    </w:p>
    <w:p w:rsidR="00390608" w:rsidRPr="00EE7A61" w:rsidRDefault="00390608" w:rsidP="00390608"/>
    <w:p w:rsidR="00390608" w:rsidRPr="00EE7A61" w:rsidRDefault="00390608" w:rsidP="00390608">
      <w:r w:rsidRPr="00EE7A61">
        <w:t>Därutöver har kommissionen i förslaget till ny struktur av långtidsbudgeten presenterat sju tematiska program som ska integreras i de ovan nämnda instrumenten och finansieras genom allokeringar i respektive instrument, på vilket sätt beror på innehållet i programmet. De sju tematiska programmen som presenterades av kommissionen i januari/februari 2006 har titlarna:</w:t>
      </w:r>
    </w:p>
    <w:p w:rsidR="00390608" w:rsidRPr="00EE7A61" w:rsidRDefault="00390608" w:rsidP="00390608"/>
    <w:p w:rsidR="00390608" w:rsidRPr="00EE7A61" w:rsidRDefault="00390608" w:rsidP="00390608">
      <w:r w:rsidRPr="00EE7A61">
        <w:t xml:space="preserve">(1) Främjande av demokrati och mänskliga rättigheter i världen, </w:t>
      </w:r>
    </w:p>
    <w:p w:rsidR="00390608" w:rsidRPr="00EE7A61" w:rsidRDefault="00390608" w:rsidP="00390608">
      <w:r w:rsidRPr="00EE7A61">
        <w:t xml:space="preserve">(2) Mänsklig och social utveckling, ("Att investera i människor") </w:t>
      </w:r>
    </w:p>
    <w:p w:rsidR="00390608" w:rsidRPr="00EE7A61" w:rsidRDefault="00390608" w:rsidP="00390608">
      <w:r w:rsidRPr="00EE7A61">
        <w:t xml:space="preserve">(3) Miljö och hållbar förvaltning av naturresurser, inklusive energi, </w:t>
      </w:r>
    </w:p>
    <w:p w:rsidR="00390608" w:rsidRPr="00EE7A61" w:rsidRDefault="00390608" w:rsidP="00390608">
      <w:r w:rsidRPr="00EE7A61">
        <w:t xml:space="preserve">(4) Icke statliga aktörer och lokala myndigheter inom utveckling, </w:t>
      </w:r>
    </w:p>
    <w:p w:rsidR="00390608" w:rsidRPr="00EE7A61" w:rsidRDefault="00390608" w:rsidP="00390608">
      <w:r w:rsidRPr="00EE7A61">
        <w:t xml:space="preserve">(5) Tryggad livsmedelsförsörjning. </w:t>
      </w:r>
    </w:p>
    <w:p w:rsidR="00390608" w:rsidRPr="00EE7A61" w:rsidRDefault="00390608" w:rsidP="00390608">
      <w:r w:rsidRPr="00EE7A61">
        <w:t xml:space="preserve">(6) Samarbete med industrialiserade länder och andra höginkomstländer, </w:t>
      </w:r>
    </w:p>
    <w:p w:rsidR="00390608" w:rsidRPr="00EE7A61" w:rsidRDefault="00390608" w:rsidP="00390608">
      <w:r w:rsidRPr="00EE7A61">
        <w:t xml:space="preserve">(7) Samarbete med tredjeländer om migration och asyl. </w:t>
      </w:r>
    </w:p>
    <w:p w:rsidR="00390608" w:rsidRPr="00EE7A61" w:rsidRDefault="00390608" w:rsidP="00390608"/>
    <w:p w:rsidR="00390608" w:rsidRPr="00EE7A61" w:rsidRDefault="00390608" w:rsidP="00390608">
      <w:r w:rsidRPr="00EE7A61">
        <w:t xml:space="preserve">Enligt kommissionens förslag ska de aktiviteter som är aktuella för hantering inom de tematiska programmen vara komplementära och samstämmiga med de geografiska programmen. Det kan handla om situationer där gemenskapens politik inte kan uppnås på ett effektivt sätt genom de geografiska programmen som t.ex. globala initiativ för hållbar utveckling eller globala nyttigheter. Det kan även handla om aktiviteter som är gränsöverskridande eller situationer där det inte finns avtal med regeringen i partnerskapslandet. </w:t>
      </w:r>
    </w:p>
    <w:p w:rsidR="00390608" w:rsidRPr="00EE7A61" w:rsidRDefault="00390608" w:rsidP="00390608"/>
    <w:p w:rsidR="00390608" w:rsidRPr="00EE7A61" w:rsidRDefault="00ED189A" w:rsidP="00390608">
      <w:pPr>
        <w:rPr>
          <w:b/>
        </w:rPr>
      </w:pPr>
      <w:r w:rsidRPr="00EE7A61">
        <w:rPr>
          <w:b/>
        </w:rPr>
        <w:t xml:space="preserve">(1) </w:t>
      </w:r>
      <w:r w:rsidR="00390608" w:rsidRPr="00EE7A61">
        <w:rPr>
          <w:b/>
        </w:rPr>
        <w:t>Främjande av demokrati och mänskliga rättigheter i världen:</w:t>
      </w:r>
    </w:p>
    <w:p w:rsidR="00390608" w:rsidRPr="00EE7A61" w:rsidRDefault="00390608" w:rsidP="00390608">
      <w:r w:rsidRPr="00EE7A61">
        <w:t xml:space="preserve">Det föreslagna tematiska programmet för demokrati och mänskliga rättigheter baseras på EIDHR:s </w:t>
      </w:r>
      <w:r w:rsidRPr="00EE7A61">
        <w:rPr>
          <w:sz w:val="17"/>
        </w:rPr>
        <w:t>(</w:t>
      </w:r>
      <w:r w:rsidRPr="00EE7A61">
        <w:t xml:space="preserve">European Initiative for Democracy and Human Rights) stöd till enskilda organisationer och globala program för demokrati och mänskliga rättigheter. Det nya programmet syftar till att förenkla och rationalisera kommissionens hantering av stöd till enskilda organisationer. Det avser också att ge större handlingsfrihet och flexibilitet i samarbetet med det civila samhällets organisationer på nationell, regional och internationell nivå. Ett tvärgående program förväntas bättre kunna anpassas till de lokala förhållandena och främja initiativtagande. Det skall komplettera de fyra grundinstrumenten ENPI, DCECI, IPA och stabilitetsinstrumentet. </w:t>
      </w:r>
    </w:p>
    <w:p w:rsidR="00390608" w:rsidRPr="00EE7A61" w:rsidRDefault="00390608" w:rsidP="00390608"/>
    <w:p w:rsidR="00390608" w:rsidRPr="00EE7A61" w:rsidRDefault="00390608" w:rsidP="00390608">
      <w:r w:rsidRPr="00EE7A61">
        <w:t xml:space="preserve">Programmet har som målsättning dels att verka för ökad respekt av de mänskliga rättigheterna och de grundläggande friheterna samt ge stöd till offer för förtryck eller våld och, dels att stärka det civila samhällets roll i främjandet av de mänskliga rättigheterna och demokratiska reformer. Därutöver ska programmet även stärka det internationella systemet för skydd av de mänskliga rättigheterna, rättsstatsprincipen och främjande av demokrati. Insatser ska liksom tidigare inte kräva något godkännande från regeringarna i de berörda länderna. Stöd ska inte ges till insatser som kan genomföras på ett lämpligare eller effektivare sätt via andra EG-program. </w:t>
      </w:r>
    </w:p>
    <w:p w:rsidR="00390608" w:rsidRPr="00EE7A61" w:rsidRDefault="00390608" w:rsidP="00390608"/>
    <w:p w:rsidR="00390608" w:rsidRPr="00EE7A61" w:rsidRDefault="00390608" w:rsidP="00390608">
      <w:r w:rsidRPr="00EE7A61">
        <w:t xml:space="preserve">Instrumentet kommer att ingå bland EU: s konfliktförebyggande mekanismer och har en konfliktförebyggande- och konfliktlösningsdimension, som ska integreras med de insatser som föreslås under det nya stabilitetsinstrumentet. Programmet innefattar fortsatt valövervakning. I valfrågor förväntas samordning med OSSE äga rum samt stöd för att bygga regional kapacitet, t.ex. AU. </w:t>
      </w:r>
    </w:p>
    <w:p w:rsidR="00390608" w:rsidRPr="00EE7A61" w:rsidRDefault="00390608" w:rsidP="00390608"/>
    <w:p w:rsidR="00390608" w:rsidRPr="00EE7A61" w:rsidRDefault="00390608" w:rsidP="00390608">
      <w:r w:rsidRPr="00EE7A61">
        <w:t xml:space="preserve">Kommissionen föreslår att löptiden delas upp i två: 2007-2009 och 2011-2013. En extern utvärdering bör ske 2009-2010 och resultatet underställas medlemsstaterna och parlamentet. Kommissionen ska upprätta en årsarbetsplan.  </w:t>
      </w:r>
    </w:p>
    <w:p w:rsidR="00390608" w:rsidRPr="00EE7A61" w:rsidRDefault="00390608" w:rsidP="00390608"/>
    <w:p w:rsidR="00390608" w:rsidRPr="00EE7A61" w:rsidRDefault="00ED189A" w:rsidP="00390608">
      <w:pPr>
        <w:rPr>
          <w:b/>
        </w:rPr>
      </w:pPr>
      <w:r w:rsidRPr="00EE7A61">
        <w:rPr>
          <w:b/>
        </w:rPr>
        <w:t xml:space="preserve">(2) </w:t>
      </w:r>
      <w:r w:rsidR="00390608" w:rsidRPr="00EE7A61">
        <w:rPr>
          <w:b/>
        </w:rPr>
        <w:t>Mänsklig och social utveckling (”Att investera i människor”):</w:t>
      </w:r>
    </w:p>
    <w:p w:rsidR="00390608" w:rsidRPr="00EE7A61" w:rsidRDefault="00390608" w:rsidP="00390608">
      <w:r w:rsidRPr="00EE7A61">
        <w:t>Kommissionens förslag till ett tematiskt program för mänsklig och social utveckling utgår ifrån att människors behov är en viktig drivkraft i utvecklingen och att människors möjligheter och villkor är avgörande för bl.a. tillväxt, säkerhet och fattigdomsminskning. Detta är frågor som uppmärksammas i den nya utvecklingspolicyn men även i EU:s åtaganden i relation till millenniemålen och andra internationella åtaganden.</w:t>
      </w:r>
    </w:p>
    <w:p w:rsidR="00390608" w:rsidRPr="00EE7A61" w:rsidRDefault="00390608" w:rsidP="00390608"/>
    <w:p w:rsidR="00390608" w:rsidRPr="00EE7A61" w:rsidRDefault="00390608" w:rsidP="00390608">
      <w:r w:rsidRPr="00EE7A61">
        <w:t xml:space="preserve">Programmet har sex teman som alla är avsedda att reflektera EU:s interna politik samt att bidra till samstämmigheten i EU:s externa politik. De teman som föreslås är (kort sammanfattning): </w:t>
      </w:r>
    </w:p>
    <w:p w:rsidR="00390608" w:rsidRPr="00EE7A61" w:rsidRDefault="00390608" w:rsidP="00390608"/>
    <w:p w:rsidR="00390608" w:rsidRPr="00EE7A61" w:rsidRDefault="00390608" w:rsidP="00390608">
      <w:r w:rsidRPr="00EE7A61">
        <w:t xml:space="preserve">(1) God hälsa för alla. Syftar till att på ett rättvist och jämlikt sätt förbättra tillgänglighet till allmänna nyttigheter (t.ex. läkemedel till överkomliga priser), bättre kunskap och information om hälsa och kapacitetsuppbyggnad inom hälsoområdet m.m. </w:t>
      </w:r>
    </w:p>
    <w:p w:rsidR="00390608" w:rsidRPr="00EE7A61" w:rsidRDefault="00390608" w:rsidP="00390608">
      <w:r w:rsidRPr="00EE7A61">
        <w:t xml:space="preserve">(2) Kunskap och färdigheter för alla. Innefattar flera aspekter av kunskap och färdigheter som t.ex. läskunnighet, yrkesutbildning och vidareutbildning i utvecklingsländer, som grund för ett aktivt medborgarskap och individens självförverkligande under hela livet </w:t>
      </w:r>
    </w:p>
    <w:p w:rsidR="00390608" w:rsidRPr="00EE7A61" w:rsidRDefault="00390608" w:rsidP="00390608">
      <w:r w:rsidRPr="00EE7A61">
        <w:t xml:space="preserve">(3) Kultur. Syftar till att skapa ömsesidig förståelse, respekt och dialog mellan människor i olika kulturer. Syftar även till att uppmärksamma kulturens betydelse för utveckling och tillväxt. </w:t>
      </w:r>
    </w:p>
    <w:p w:rsidR="00390608" w:rsidRPr="00EE7A61" w:rsidRDefault="00390608" w:rsidP="00390608">
      <w:r w:rsidRPr="00EE7A61">
        <w:t xml:space="preserve">(4) Sysselsättning och social sammanhållning. Syftar till att verka för att ”anständigt arbete för alla” blir ett allmängiltigt mål genom bl.a. genomförandet av internationella arbetsnormer, bedömning av handelns betydelse för anständigt arbete och en rättvis finansiering av sociala trygghetssystem (bl.a. pensionssystem). </w:t>
      </w:r>
    </w:p>
    <w:p w:rsidR="00390608" w:rsidRPr="00EE7A61" w:rsidRDefault="00390608" w:rsidP="00390608">
      <w:r w:rsidRPr="00EE7A61">
        <w:t xml:space="preserve">(5) Jämställdhet. Innefattar bl.a. stöd till program som verkar för att uppnå Pekingdeklarationens mål och åtaganden, stöd till civilsamhälleliga organisationer som arbetar för jämställdhet samt att säkerställa ett genusperspektiv på insamling, bearbetning, analys och redovisning av data och statistik.  </w:t>
      </w:r>
    </w:p>
    <w:p w:rsidR="00390608" w:rsidRPr="00EE7A61" w:rsidRDefault="00390608" w:rsidP="00390608">
      <w:r w:rsidRPr="00EE7A61">
        <w:t>(6) Barn och ungdomar. Syftar till att uppmärksamma barn och ungdomar i utvecklingssammanhang, att motverka barnarbete, trafficking, tvångsäktenskap, sexuella övergrepp m.m, samt återanpassning till samhället av offer för ovanstående. Syftar även till att stödja barn och ungdomar i länder där det bilaterala samarbetet är begränsat.</w:t>
      </w:r>
    </w:p>
    <w:p w:rsidR="00390608" w:rsidRPr="00EE7A61" w:rsidRDefault="00390608" w:rsidP="00390608"/>
    <w:p w:rsidR="00390608" w:rsidRPr="00EE7A61" w:rsidRDefault="00ED189A" w:rsidP="00390608">
      <w:pPr>
        <w:rPr>
          <w:b/>
        </w:rPr>
      </w:pPr>
      <w:r w:rsidRPr="00EE7A61">
        <w:rPr>
          <w:b/>
        </w:rPr>
        <w:t xml:space="preserve">(3) </w:t>
      </w:r>
      <w:r w:rsidR="00390608" w:rsidRPr="00EE7A61">
        <w:rPr>
          <w:b/>
        </w:rPr>
        <w:t>Miljö och hållbar förvaltning av naturresurser, inklusive energi:</w:t>
      </w:r>
    </w:p>
    <w:p w:rsidR="00390608" w:rsidRPr="00EE7A61" w:rsidRDefault="00390608" w:rsidP="00390608">
      <w:r w:rsidRPr="00EE7A61">
        <w:t xml:space="preserve">Miljö och hållbar hantering av naturresurser inklusive energi har etablerats som huvudområden för gemenskapens utvecklingssamarbete. Frågorna är även centrala för millenniemålen i allmänhet och i synnerhet för mål nummer sju, miljömässigt hållbar utveckling.  Kommissionens förslag syftar till att genom ett sammanhållet program uppmärksamma den miljömässiga sidan av utveckling, men även miljöaspekter av EU:s övriga externa politik. Det tematiska programmet är avsett som ett komplement till miljö- och energifrågor inom regionala och nationella program, ett verktyg för mer koordinerade och samstämmiga tillvägagångssätt för gemenskapens miljöpolitik. </w:t>
      </w:r>
    </w:p>
    <w:p w:rsidR="00390608" w:rsidRPr="00EE7A61" w:rsidRDefault="00390608" w:rsidP="00390608"/>
    <w:p w:rsidR="00390608" w:rsidRPr="00EE7A61" w:rsidRDefault="00390608" w:rsidP="00390608">
      <w:r w:rsidRPr="00EE7A61">
        <w:t>Målsättningarna med programmet är: (1) Att bistå utvecklingsländer i arbetet att uppnå millenniemålen, speciellt mål nummer sju om att säkra en miljömässigt hållbar utveckling. (2) Att främja integration av miljö- och hållbarhetsfrågor samt energi i alla delar av EU: s utvecklingspolitik. (3) Att främja samstämmighet i EU:s och utvecklingsländernas politik som påverkar den globala miljön och energiförsörjningssäkerheten. (5) Att möjliggöra för gemenskapen och att bistå EU i att uppnå de åtaganden som gjorts i internationella miljökonventioner och andra åtaganden, speciellt med hänsyn till utvecklingsländer. (6) Att främja en god internationell miljöförvaltning. (7) Att stödja hållbara energikällor i utvecklingsländer.</w:t>
      </w:r>
    </w:p>
    <w:p w:rsidR="00390608" w:rsidRPr="00EE7A61" w:rsidRDefault="00390608" w:rsidP="00390608"/>
    <w:p w:rsidR="00390608" w:rsidRPr="00EE7A61" w:rsidRDefault="00ED189A" w:rsidP="00390608">
      <w:pPr>
        <w:rPr>
          <w:b/>
        </w:rPr>
      </w:pPr>
      <w:r w:rsidRPr="00EE7A61">
        <w:rPr>
          <w:b/>
        </w:rPr>
        <w:t xml:space="preserve">(4) </w:t>
      </w:r>
      <w:r w:rsidR="00390608" w:rsidRPr="00EE7A61">
        <w:rPr>
          <w:b/>
        </w:rPr>
        <w:t>Tematiskt program för icke-statliga aktörer och lokala myndigheter inom utveckling:</w:t>
      </w:r>
    </w:p>
    <w:p w:rsidR="00390608" w:rsidRPr="00EE7A61" w:rsidRDefault="00390608" w:rsidP="00390608">
      <w:r w:rsidRPr="00EE7A61">
        <w:t>Kommissionens förslag till ett tematiskt program för icke-statliga aktörer och lokala myndigheter inom utvecklingsområdet är avsett som en uppföljning av det nuvarande programmet för medfinansiering med NGO:s. Det föreslagna programmet är inte sektorscentrerat som tidigare utan har en aktörscentrerad inriktning som syftar till att finansiera organisationers egna initiativ. Det tematiska programmet inriktas på aktioner i fält, framförallt i utvecklingsländer där de geografiska programmen av olika anledningar inte ger stöd åt eller finansiering till NGO:s. Programmet ska även utgöra ett komplement till de andra tematiska programmens insatser.</w:t>
      </w:r>
    </w:p>
    <w:p w:rsidR="00390608" w:rsidRPr="00EE7A61" w:rsidRDefault="00390608" w:rsidP="00390608"/>
    <w:p w:rsidR="00390608" w:rsidRPr="00EE7A61" w:rsidRDefault="00390608" w:rsidP="00390608">
      <w:r w:rsidRPr="00EE7A61">
        <w:t xml:space="preserve">Förslaget till det tematiska programmet är framför allt ett utvecklingspolitiskt instrument som ska implementeras i linje med EU:s nya utvecklingspolicy. Förslagets målsättningar är att: (1) bistå befolkningsgrupper som inte nås av samhällsservice eller som är exkluderade från politiskt inflytande, (2) stärka civilsamhällets organisationer i partnerskapsländer, (3) underlätta interaktionen mellan stater och NGO:s, i synnerhet där det finns särskilt utsatta grupper (4) höja kunskapsnivån om utvecklingsfrågor i EU, (5) öka samstämmigheten mellan civilsamhälleliga organisationers nätverk och i relation till EU: institutioner för att uppnå effektivare samarbete, skapa synergieffekter samt säkra en strukturerad dialog. </w:t>
      </w:r>
    </w:p>
    <w:p w:rsidR="00390608" w:rsidRPr="00EE7A61" w:rsidRDefault="00390608" w:rsidP="00390608"/>
    <w:p w:rsidR="00390608" w:rsidRPr="00EE7A61" w:rsidRDefault="00ED189A" w:rsidP="00ED189A">
      <w:pPr>
        <w:rPr>
          <w:b/>
        </w:rPr>
      </w:pPr>
      <w:r w:rsidRPr="00EE7A61">
        <w:rPr>
          <w:b/>
        </w:rPr>
        <w:t xml:space="preserve">(5) </w:t>
      </w:r>
      <w:r w:rsidR="00390608" w:rsidRPr="00EE7A61">
        <w:rPr>
          <w:b/>
        </w:rPr>
        <w:t>Tematiskt program för tryggad livsmedelsförsörjning:</w:t>
      </w:r>
    </w:p>
    <w:p w:rsidR="00390608" w:rsidRPr="00EE7A61" w:rsidRDefault="00390608" w:rsidP="00ED189A">
      <w:r w:rsidRPr="00EE7A61">
        <w:t>Kommissionens förslag till ett tematiskt program för livsmedelstrygghet ska ses som ett viktigt redskap att bidra till att uppnå delmålet inom det första millenniemålet som handlar om att halvera andelen människor som lider av hunger fram till år 2015, samt i ljuset av EU:s nya utvecklingspolicy. Det tematiska programmet syftar till att fokusera på olika typer av åtgärder för att åstadkomma en ökad livsmedeltrygghet.</w:t>
      </w:r>
    </w:p>
    <w:p w:rsidR="00390608" w:rsidRPr="00EE7A61" w:rsidRDefault="00390608" w:rsidP="00ED189A"/>
    <w:p w:rsidR="00390608" w:rsidRPr="00EE7A61" w:rsidRDefault="00390608" w:rsidP="00ED189A">
      <w:r w:rsidRPr="00EE7A61">
        <w:t xml:space="preserve">Det strategiska målet med det tematiska programmet är att förbättra effekten av gemenskapens politik för livsmedelstrygghet, speciellt för de mest sårbara. Målen ska enligt förslaget uppnås genom en uppsättning prioriteringar som kompletterar de nationella utvecklingsprogrammen. De geografiska programmen ska dock fortsatt vara de huvudsakliga instrumenten för att implementera politiken för ökad livsmedelstrygghet där samarbete med regeringar i partnerländerna är möjligt. </w:t>
      </w:r>
    </w:p>
    <w:p w:rsidR="00390608" w:rsidRPr="00EE7A61" w:rsidRDefault="00390608" w:rsidP="00390608"/>
    <w:p w:rsidR="00390608" w:rsidRPr="00EE7A61" w:rsidRDefault="00390608" w:rsidP="00ED189A">
      <w:r w:rsidRPr="00EE7A61">
        <w:t xml:space="preserve">Det tematiska programmet inriktas på olika nivåer. Dels i slutet av en akut kris för att bistå i återuppbyggnaden av länders livsmedelsförsörjning, dels i situationer där det finns svårigheter i samarbetet med landets regering, exempelvis i autonoma områden, och dels i stater där samarbetet dragits in eller där ingen landsstrategi utarbetats.  </w:t>
      </w:r>
    </w:p>
    <w:p w:rsidR="00390608" w:rsidRPr="00EE7A61" w:rsidRDefault="00390608" w:rsidP="00390608"/>
    <w:p w:rsidR="00390608" w:rsidRPr="00EE7A61" w:rsidRDefault="00390608" w:rsidP="00ED189A">
      <w:r w:rsidRPr="00EE7A61">
        <w:t>Programmets fokus ligger på global, regional och mellanregional nivå med speciellt fokus på områden där livsmedelstryggheten har förvärrats. Programmet ska även kunna implementeras på nationell eller lokal nivå som ett komplement till de geografiska programmen där det anses vara nödvändigt. En tredje tillämpning av det tematiska programmet utgörs av stöd till innovativa strategier och förhållningssätt oberoende av geografisk täckning.</w:t>
      </w:r>
    </w:p>
    <w:p w:rsidR="00390608" w:rsidRPr="00EE7A61" w:rsidRDefault="00390608" w:rsidP="00390608"/>
    <w:p w:rsidR="00390608" w:rsidRPr="00EE7A61" w:rsidRDefault="00ED189A">
      <w:pPr>
        <w:spacing w:before="0" w:line="240" w:lineRule="auto"/>
        <w:rPr>
          <w:b/>
          <w:bCs/>
        </w:rPr>
      </w:pPr>
      <w:r w:rsidRPr="00EE7A61">
        <w:rPr>
          <w:b/>
          <w:bCs/>
        </w:rPr>
        <w:t xml:space="preserve">(6) </w:t>
      </w:r>
      <w:r w:rsidR="00390608" w:rsidRPr="00EE7A61">
        <w:rPr>
          <w:b/>
          <w:bCs/>
        </w:rPr>
        <w:t>Tematiskt program för samarbete med industriländer och andra höginkomstländer:</w:t>
      </w:r>
    </w:p>
    <w:p w:rsidR="00390608" w:rsidRPr="00EE7A61" w:rsidRDefault="00390608" w:rsidP="00ED189A">
      <w:r w:rsidRPr="00EE7A61">
        <w:t>Syftet med det föreslagna tematiska programmet för samarbete med industriländer är att komplettera och förstärka dialogen mellan EU och regeringarna i ett antal industriländer och andra höginkomstländer. Programmet inriktas huvudsakligen på tre kategorier av länder. Den första kategorin utgörs av viktiga OECD-länder utanför EU (USA, Kanada, Japan, Sydkorea, Australien och Nya Zeeland). Den andra kategorin är länder i Asien som inte är aktuella för offentligt utvecklingsbistånd (Brunei, Hongkong, Macao, Singapore och Taiwan). Den tredje kategorin är länder i gulfstaternas samarbetsråd som inte finns med på förteckningen över mottagare av offentligt utvecklingsbistånd (Kuwait, Qatar, Förenade Arabemiraten, Bahrain och Saudiarabien).</w:t>
      </w:r>
    </w:p>
    <w:p w:rsidR="00390608" w:rsidRPr="00EE7A61" w:rsidRDefault="00390608" w:rsidP="00ED189A"/>
    <w:p w:rsidR="00390608" w:rsidRPr="00EE7A61" w:rsidRDefault="00390608" w:rsidP="00390608">
      <w:r w:rsidRPr="00EE7A61">
        <w:t>Det övergripande målet för det tematiska programmet är enligt förslaget att skapa en enhetlig ram för att ytterligare utveckla förbindelserna mellan Europeiska unionen och partnerländerna, och att främja unionens intressen i dessa länder. Det ekonomiska stödet för samarbete med industriländer inriktas på att stimulera initiativ från, och samverkan mellan, ekonomiska och sociala aktörer och andra privata och offentligrättsliga organ i EU och i partnerländerna, vilket syftar till att stärka de bilaterala förbindelserna.</w:t>
      </w:r>
    </w:p>
    <w:p w:rsidR="00390608" w:rsidRPr="00EE7A61" w:rsidRDefault="00390608" w:rsidP="00ED189A"/>
    <w:p w:rsidR="00390608" w:rsidRPr="00EE7A61" w:rsidRDefault="00390608" w:rsidP="00ED189A">
      <w:r w:rsidRPr="00EE7A61">
        <w:t xml:space="preserve">Samarbetet mellan EU och dessa partnerländer anses inte på lämpligt sätt kunna rymmas inom de geografiska programmen. </w:t>
      </w:r>
    </w:p>
    <w:p w:rsidR="00390608" w:rsidRPr="00EE7A61" w:rsidRDefault="00390608" w:rsidP="00390608"/>
    <w:p w:rsidR="00390608" w:rsidRPr="00EE7A61" w:rsidRDefault="00ED189A">
      <w:pPr>
        <w:spacing w:before="0" w:line="240" w:lineRule="auto"/>
        <w:rPr>
          <w:b/>
          <w:bCs/>
        </w:rPr>
      </w:pPr>
      <w:r w:rsidRPr="00EE7A61">
        <w:rPr>
          <w:b/>
          <w:bCs/>
        </w:rPr>
        <w:t xml:space="preserve">(7) </w:t>
      </w:r>
      <w:r w:rsidR="00390608" w:rsidRPr="00EE7A61">
        <w:rPr>
          <w:b/>
          <w:bCs/>
        </w:rPr>
        <w:t>Tematiskt program för samarbete med tredjeländer om migration och asyl:</w:t>
      </w:r>
    </w:p>
    <w:p w:rsidR="00390608" w:rsidRPr="00EE7A61" w:rsidRDefault="00390608" w:rsidP="00ED189A">
      <w:r w:rsidRPr="00EE7A61">
        <w:t xml:space="preserve">Kommissionens förslag till tematiskt program för migration och asyl motiveras med behovet av en övergripande gemenskapsram för ett fördjupat samarbete mellan EU-aktörer, tredjeländer och internationella aktörer som berörs av migrationsfrågor. Programmet ska ersätta Aeneasprogrammet, dess verksamheter kommer därmed att fortsätta med vissa ändringar i syfte att rationalisera och förenkla. Programmet svarar enligt kommissionen mot behovet att integrera migrations- och asylfrågorna i gemenskapens samarbets- och utvecklingspolitik, vilket även kan bidra till att tillgodose gemenskapens egna intressen på området. </w:t>
      </w:r>
    </w:p>
    <w:p w:rsidR="00390608" w:rsidRPr="00EE7A61" w:rsidRDefault="00390608" w:rsidP="00ED189A">
      <w:r w:rsidRPr="00EE7A61">
        <w:t>Den övergripande målsättningen är att ge tredjeländer specifikt, kompletterande bistånd i deras ansträngningar att säkerställa en bättre hantering av alla aspekter av migrationsströmmarna. De huvudsakliga åtgärdsområdena föreslås vara; stärkande av sambanden mellan migration och utveckling, främjande av en väl organiserad arbetskraftsinvandring, bekämpning av illegal invandring samt underlättande av återtagande av illegala invandrare, skydd av migranter mot exploatering och utanförskap samt främjande av asyl och internationellt skydd, bl.a. genom regionala skyddsprogram.</w:t>
      </w:r>
    </w:p>
    <w:p w:rsidR="00390608" w:rsidRPr="00EE7A61" w:rsidRDefault="00390608" w:rsidP="00ED189A">
      <w:r w:rsidRPr="00EE7A61">
        <w:t xml:space="preserve">Bidragen är inte avsedda att ersätta insatser inom samma områden som finansieras inom ramen för de geografiska instrumenten. </w:t>
      </w:r>
    </w:p>
    <w:p w:rsidR="00390608" w:rsidRPr="00EE7A61" w:rsidRDefault="00390608" w:rsidP="00390608"/>
    <w:p w:rsidR="00390608" w:rsidRPr="00EE7A61" w:rsidRDefault="00390608">
      <w:pPr>
        <w:pStyle w:val="Rubrik2"/>
        <w:spacing w:before="0" w:line="240" w:lineRule="auto"/>
      </w:pPr>
      <w:r w:rsidRPr="00EE7A61">
        <w:t>Gällande svenska regler och förslagets effekt på dessa</w:t>
      </w:r>
    </w:p>
    <w:p w:rsidR="00390608" w:rsidRPr="00EE7A61" w:rsidRDefault="00390608">
      <w:pPr>
        <w:spacing w:before="0" w:line="240" w:lineRule="auto"/>
      </w:pPr>
    </w:p>
    <w:p w:rsidR="00390608" w:rsidRPr="00EE7A61" w:rsidRDefault="00390608">
      <w:pPr>
        <w:spacing w:before="0" w:line="240" w:lineRule="auto"/>
      </w:pPr>
      <w:r w:rsidRPr="00EE7A61">
        <w:t>Förslaget påverkar inte svenska regler.</w:t>
      </w:r>
    </w:p>
    <w:p w:rsidR="00390608" w:rsidRPr="00EE7A61" w:rsidRDefault="00390608" w:rsidP="00390608"/>
    <w:p w:rsidR="00390608" w:rsidRPr="00EE7A61" w:rsidRDefault="00390608">
      <w:pPr>
        <w:pStyle w:val="Rubrik2"/>
        <w:spacing w:before="0" w:line="240" w:lineRule="auto"/>
      </w:pPr>
      <w:r w:rsidRPr="00EE7A61">
        <w:t>Budgetära konsekvenser</w:t>
      </w:r>
    </w:p>
    <w:p w:rsidR="00390608" w:rsidRPr="00EE7A61" w:rsidRDefault="00390608">
      <w:pPr>
        <w:spacing w:before="0" w:line="240" w:lineRule="auto"/>
      </w:pPr>
    </w:p>
    <w:p w:rsidR="00390608" w:rsidRPr="00EE7A61" w:rsidRDefault="00390608" w:rsidP="00ED189A">
      <w:r w:rsidRPr="00EE7A61">
        <w:t xml:space="preserve">Förslaget till tematiska program kommer att belasta EU-budgeten. Finansieringen kommer att täckas av instrumentet för utvecklingssamarbete och ekonomiskt samarbete (DCECI) respektive det europeiska grannskaps- och partnerskapsinstrumentet (ENPI) och instrumentet för föraranslutningsstöd (IPA) och i något fall stabilitetsinstrumentet. </w:t>
      </w:r>
    </w:p>
    <w:p w:rsidR="00390608" w:rsidRPr="00EE7A61" w:rsidRDefault="00390608" w:rsidP="00390608"/>
    <w:p w:rsidR="00390608" w:rsidRPr="00EE7A61" w:rsidRDefault="00390608">
      <w:pPr>
        <w:pStyle w:val="Rubrik1"/>
        <w:spacing w:before="0" w:line="240" w:lineRule="auto"/>
      </w:pPr>
      <w:r w:rsidRPr="00EE7A61">
        <w:t>Ståndpunkter</w:t>
      </w:r>
    </w:p>
    <w:p w:rsidR="00390608" w:rsidRPr="00EE7A61" w:rsidRDefault="00390608">
      <w:pPr>
        <w:spacing w:before="0" w:line="240" w:lineRule="auto"/>
      </w:pPr>
    </w:p>
    <w:p w:rsidR="00390608" w:rsidRPr="00EE7A61" w:rsidRDefault="00390608">
      <w:pPr>
        <w:pStyle w:val="Rubrik2"/>
        <w:spacing w:before="0" w:line="240" w:lineRule="auto"/>
        <w:jc w:val="both"/>
      </w:pPr>
      <w:r w:rsidRPr="00EE7A61">
        <w:t>Svensk ståndpunkt</w:t>
      </w:r>
    </w:p>
    <w:p w:rsidR="00390608" w:rsidRPr="00EE7A61" w:rsidRDefault="00390608" w:rsidP="00390608"/>
    <w:p w:rsidR="00390608" w:rsidRPr="00EE7A61" w:rsidRDefault="00390608" w:rsidP="00ED189A">
      <w:r w:rsidRPr="00EE7A61">
        <w:t>Sverige välkomnar kommissionens intention att minska antalet finansiella instrument, detta under förutsättning att de tematiska programmen utgör ett medel för effektivisering av biståndet och att det sker på ett transparent sätt. För Sverige är det angeläget att de målsättningar och principer som etablerats i EU:s nya utvecklingspolicy efterföljs i de tematiska programmen. Av central betydelse är att det övergripande målet för utvecklingssamarbetet är utrotning av fattigdomen inom ramen för hållbar utveckling, liksom principerna i Parisdeklarationen om effektivare utvecklingssamarbete.</w:t>
      </w:r>
    </w:p>
    <w:p w:rsidR="00390608" w:rsidRPr="00EE7A61" w:rsidRDefault="00390608" w:rsidP="00390608"/>
    <w:p w:rsidR="00390608" w:rsidRPr="00EE7A61" w:rsidRDefault="00390608" w:rsidP="00390608">
      <w:r w:rsidRPr="00EE7A61">
        <w:t>Från svensk sida betonas harmonisering med samarbetslandets egna procedurer och samordning mellan alla givare, inte bara inom EU. Sverige betonar särskilt värdet av att kommissionen samordnar sig med övriga internationella givare och även med FN- och banksystemet i fält.</w:t>
      </w:r>
    </w:p>
    <w:p w:rsidR="00390608" w:rsidRPr="00EE7A61" w:rsidRDefault="00390608" w:rsidP="00390608"/>
    <w:p w:rsidR="00390608" w:rsidRPr="00EE7A61" w:rsidRDefault="00390608" w:rsidP="00390608">
      <w:r w:rsidRPr="00EE7A61">
        <w:t xml:space="preserve">Sverige värnar starkt om att införandet av de tematiska programmen inte får ersätta integreringen av horisontella frågor (mänskliga rättigheter, jämställdhet, demokrati, gott samhällsstyre, barnets rättigheter, ursprungsbefolkningars rättigheter, miljömässig hållbarhet och bekämpande av hiv/aids) i de lands- och regionbaserade programmen. De frågorna måste fortsatt prioriteras i alla aspekter av gemenskapens utvecklingssamarbete. </w:t>
      </w:r>
    </w:p>
    <w:p w:rsidR="00390608" w:rsidRPr="00EE7A61" w:rsidRDefault="00390608" w:rsidP="00390608"/>
    <w:p w:rsidR="00390608" w:rsidRPr="00EE7A61" w:rsidRDefault="00390608" w:rsidP="00ED189A">
      <w:r w:rsidRPr="00EE7A61">
        <w:t>I enlighet med fördraget skall EG:s utvecklingssamarbete vara komplementärt till medlemsstaternas bilaterala arbete. Sverige verkar för att det gemensamma i sin komplementära roll måste finna de områden där EG:s utvecklingssamarbete utgör ett mervärde till medlemsstaternas. Det är svårt att se hur EG-biståndet utgör ett mervärde i en så omfattande lista av insatser som beskrivs i de tematiska programmen. Sverige välkomnar därför en tydligare prioritering och koncentration. Kommissionens exklusiva</w:t>
      </w:r>
      <w:r w:rsidRPr="00EE7A61">
        <w:rPr>
          <w:color w:val="000000"/>
          <w:lang w:eastAsia="en-US"/>
        </w:rPr>
        <w:t xml:space="preserve"> </w:t>
      </w:r>
      <w:r w:rsidRPr="00EE7A61">
        <w:t>kompetens inom handels, fiske och jordbruksområdet kan vara goda grunder för att definiera mervärde i en sådan prioritering.</w:t>
      </w:r>
    </w:p>
    <w:p w:rsidR="00390608" w:rsidRPr="00EE7A61" w:rsidRDefault="00390608" w:rsidP="00390608"/>
    <w:p w:rsidR="00390608" w:rsidRPr="00EE7A61" w:rsidRDefault="00390608" w:rsidP="00390608">
      <w:r w:rsidRPr="00EE7A61">
        <w:t>Sverige ser fördelar med en tydlig delegering av biståndsmedel till EU:s delegationer i fält och till kommissionen. Om detta underlättar anpassning till utvecklingen i ett land utan att nya politiska beslut av medlemsstater krävs är detta lovvärt.</w:t>
      </w:r>
    </w:p>
    <w:p w:rsidR="00390608" w:rsidRPr="00EE7A61" w:rsidRDefault="00390608" w:rsidP="00390608"/>
    <w:p w:rsidR="00390608" w:rsidRPr="00EE7A61" w:rsidRDefault="00ED189A" w:rsidP="00390608">
      <w:pPr>
        <w:rPr>
          <w:b/>
        </w:rPr>
      </w:pPr>
      <w:r w:rsidRPr="00EE7A61">
        <w:rPr>
          <w:b/>
        </w:rPr>
        <w:t xml:space="preserve">(1) </w:t>
      </w:r>
      <w:r w:rsidR="00390608" w:rsidRPr="00EE7A61">
        <w:rPr>
          <w:b/>
        </w:rPr>
        <w:t>Svensk ståndpunkt till det tematiska programmet för främjande av demokrati och mänskliga rättigheter i världen:</w:t>
      </w:r>
    </w:p>
    <w:p w:rsidR="00390608" w:rsidRPr="00EE7A61" w:rsidRDefault="00390608" w:rsidP="00390608">
      <w:r w:rsidRPr="00EE7A61">
        <w:t>Sverige välkomnar en förenkling och rationalisering av dagens EIDHR. Enskilda organisationer och civila samhällspartner anser att det nuvarande systemet är för byråkratiskt och svårt att få bidrag ifrån. Alla åtgärder som syftar till att förenkla NGO:s tillträde och åtnjutande av stöd bör uppmuntras.</w:t>
      </w:r>
    </w:p>
    <w:p w:rsidR="00390608" w:rsidRPr="00EE7A61" w:rsidRDefault="00390608" w:rsidP="00390608"/>
    <w:p w:rsidR="00390608" w:rsidRPr="00EE7A61" w:rsidRDefault="00390608" w:rsidP="00390608">
      <w:r w:rsidRPr="00EE7A61">
        <w:t>Sverige stödjer också kommissionens förslag om att insatser på MR och demokratiområdet bättre integreras i EU:s politiska arbete och i de nationella eller regionala EU-strategierna. Sverige värnar om att EU via kommissionen fortsatt ska kunna stödja FN-systemet.</w:t>
      </w:r>
    </w:p>
    <w:p w:rsidR="00390608" w:rsidRPr="00EE7A61" w:rsidRDefault="00390608" w:rsidP="00390608"/>
    <w:p w:rsidR="00390608" w:rsidRPr="00EE7A61" w:rsidRDefault="00390608" w:rsidP="00390608">
      <w:r w:rsidRPr="00EE7A61">
        <w:t>Det går inte att utesluta att ett generellt politiskt ansvar avkrävs EU: s medlemsstater om kommissionen ger stöd till civila organisationer som mottagarlandet anser är kontroversiella. Medlemsstaterna bör därför informeras i förtid om planerade projekt avseende större belopp eller om det går till organisationer som kan uppfattas som kontroversiella.</w:t>
      </w:r>
    </w:p>
    <w:p w:rsidR="00390608" w:rsidRPr="00EE7A61" w:rsidRDefault="00390608" w:rsidP="00390608"/>
    <w:p w:rsidR="00390608" w:rsidRPr="00EE7A61" w:rsidRDefault="00ED189A" w:rsidP="00390608">
      <w:pPr>
        <w:rPr>
          <w:b/>
        </w:rPr>
      </w:pPr>
      <w:r w:rsidRPr="00EE7A61">
        <w:rPr>
          <w:b/>
        </w:rPr>
        <w:t xml:space="preserve">(2) </w:t>
      </w:r>
      <w:r w:rsidR="00390608" w:rsidRPr="00EE7A61">
        <w:rPr>
          <w:b/>
        </w:rPr>
        <w:t>Svensk ståndpunkt till det tematiska programmet för mänsklig och social utveckling (”Att investera i människor”):</w:t>
      </w:r>
    </w:p>
    <w:p w:rsidR="00390608" w:rsidRPr="00EE7A61" w:rsidRDefault="00390608" w:rsidP="00390608">
      <w:r w:rsidRPr="00EE7A61">
        <w:t xml:space="preserve">Från svensk sida är det viktigt att de områden som omfattas av det tematiska programmet inte minskar i betydelse i de geografiska programmen och i all övrig verksamhet. Jämställdhet, social inkludering och delaktighet ska integreras inom alla politikområden, och inom utvecklingssamarbetets alla områden. Länken mellan brist på jämställdhet och fattigdom är stark och kan påvisas på många olika sätt. </w:t>
      </w:r>
    </w:p>
    <w:p w:rsidR="00390608" w:rsidRPr="00EE7A61" w:rsidRDefault="00390608" w:rsidP="00390608"/>
    <w:p w:rsidR="00390608" w:rsidRPr="00EE7A61" w:rsidRDefault="00390608" w:rsidP="00390608">
      <w:r w:rsidRPr="00EE7A61">
        <w:t>Även hälsa, utbildning, sysselsättning, sociala frågor och barn och ungdomar är prioriterade frågor för Sverige och Sverige betonar därför vikten av att profilen för dessa frågor inte minskar genom att de slås samman i ett tematiskt program för mänsklig och social utveckling.</w:t>
      </w:r>
    </w:p>
    <w:p w:rsidR="00390608" w:rsidRPr="00EE7A61" w:rsidRDefault="00390608" w:rsidP="00390608"/>
    <w:p w:rsidR="00390608" w:rsidRPr="00EE7A61" w:rsidRDefault="00ED189A" w:rsidP="00390608">
      <w:pPr>
        <w:rPr>
          <w:b/>
        </w:rPr>
      </w:pPr>
      <w:r w:rsidRPr="00EE7A61">
        <w:rPr>
          <w:b/>
        </w:rPr>
        <w:t xml:space="preserve">(3) </w:t>
      </w:r>
      <w:r w:rsidR="00390608" w:rsidRPr="00EE7A61">
        <w:rPr>
          <w:b/>
        </w:rPr>
        <w:t>Svensk ståndpunkt till det tematiska programmet för miljö och hållbar förvaltning av naturresurser, inklusive energi:</w:t>
      </w:r>
    </w:p>
    <w:p w:rsidR="00390608" w:rsidRPr="00EE7A61" w:rsidRDefault="00390608" w:rsidP="00390608">
      <w:r w:rsidRPr="00EE7A61">
        <w:t xml:space="preserve">En viktig ståndpunkt från svensk sida är att åtgärder inom ett tematiskt program för miljö inte får ersätta integrering av miljömässig hållbarhet i den övriga utvecklingsfinansieringen. Från svensk sida betonas vikten av att miljöprofilen i land- och regionbaserade stöd inte sjunker vid införandet av ett tematiskt program. </w:t>
      </w:r>
    </w:p>
    <w:p w:rsidR="00390608" w:rsidRPr="00EE7A61" w:rsidRDefault="00390608" w:rsidP="00390608"/>
    <w:p w:rsidR="00390608" w:rsidRPr="00EE7A61" w:rsidRDefault="00390608" w:rsidP="00390608">
      <w:r w:rsidRPr="00EE7A61">
        <w:t>Sverige ställer sig frågande till mervärdet i att EG-biståndet bidrar till vertikala fonder på miljöområdet. Det riskerar att dubblera de administrativa omkostnaderna.</w:t>
      </w:r>
    </w:p>
    <w:p w:rsidR="00390608" w:rsidRPr="00EE7A61" w:rsidRDefault="00390608" w:rsidP="00390608"/>
    <w:p w:rsidR="00390608" w:rsidRPr="00EE7A61" w:rsidRDefault="00ED189A" w:rsidP="00390608">
      <w:pPr>
        <w:rPr>
          <w:b/>
        </w:rPr>
      </w:pPr>
      <w:r w:rsidRPr="00EE7A61">
        <w:rPr>
          <w:b/>
        </w:rPr>
        <w:t xml:space="preserve">(4) </w:t>
      </w:r>
      <w:r w:rsidR="00390608" w:rsidRPr="00EE7A61">
        <w:rPr>
          <w:b/>
        </w:rPr>
        <w:t>Svensk ståndpunkt till det tematiska programmet för icke-statliga aktörer och lokala myndigheter inom utveckling:</w:t>
      </w:r>
    </w:p>
    <w:p w:rsidR="00390608" w:rsidRPr="00EE7A61" w:rsidRDefault="00390608" w:rsidP="00390608">
      <w:r w:rsidRPr="00EE7A61">
        <w:t>Det är positivt att den begränsade budgetlinjen för decentraliserat samarbete försvinner som led i rationaliseringen av biståndsstrukturen. Sverige anser att det är viktigt att stödet till lokala myndigheter inte sammanblandas med, eller tränger ut, stöd till NGO:s.</w:t>
      </w:r>
    </w:p>
    <w:p w:rsidR="00390608" w:rsidRPr="00EE7A61" w:rsidRDefault="00390608" w:rsidP="00390608"/>
    <w:p w:rsidR="00390608" w:rsidRPr="00EE7A61" w:rsidRDefault="00390608" w:rsidP="00390608">
      <w:r w:rsidRPr="00EE7A61">
        <w:t>Sverige anser att det tematiska programmet bör ha tydligt fokus på utveckling av det civila samhället och att aktörerna utgörs av det civila samhällets organisationer. Sverige befarar att kommissionens förslag där lokala myndigheter, universitet m.fl. inkluderas som aktörer skulle göra det tematiska programmet alltför generellt och svårt att hantera. Det gäller att hitta rätt plats för de olika aktörerna. Det är även viktigt att de europeiska enskilda organisationernas roll inom programmet klargörs, liksom hur mycket av hanteringen som decentraliseras till delegationerna och hur mycket som ligger kvar centralt i Bryssel.</w:t>
      </w:r>
    </w:p>
    <w:p w:rsidR="00390608" w:rsidRPr="00EE7A61" w:rsidRDefault="00390608">
      <w:pPr>
        <w:spacing w:before="0" w:line="240" w:lineRule="auto"/>
        <w:rPr>
          <w:b/>
          <w:bCs/>
          <w:i/>
          <w:iCs/>
        </w:rPr>
      </w:pPr>
    </w:p>
    <w:p w:rsidR="00390608" w:rsidRPr="00EE7A61" w:rsidRDefault="00ED189A">
      <w:pPr>
        <w:spacing w:before="0" w:line="240" w:lineRule="auto"/>
        <w:rPr>
          <w:b/>
          <w:bCs/>
          <w:i/>
          <w:iCs/>
        </w:rPr>
      </w:pPr>
      <w:r w:rsidRPr="00EE7A61">
        <w:rPr>
          <w:b/>
          <w:bCs/>
        </w:rPr>
        <w:t xml:space="preserve">(5) </w:t>
      </w:r>
      <w:r w:rsidR="00390608" w:rsidRPr="00EE7A61">
        <w:rPr>
          <w:b/>
          <w:bCs/>
        </w:rPr>
        <w:t>Svensk ståndpunkt till det tematiska programmet för tryggad livsmedelsförsörjning:</w:t>
      </w:r>
    </w:p>
    <w:p w:rsidR="00390608" w:rsidRPr="00EE7A61" w:rsidRDefault="00390608" w:rsidP="00ED189A">
      <w:r w:rsidRPr="00EE7A61">
        <w:t xml:space="preserve">Sverige anser att det är positivt att livsmedelstrygghet prioriteras i den nya utvecklingspolicyn och att den uppmärksammar brist på försörjningsmöjligheter och hunger som de mest basala aspekterna av fattigdom. Livsmedelsförsörjning har tidigare tenderat att ses som en fristående fråga, vilket bör ersättas med ett långsiktigt perspektiv och en integrerad syn på livsmedelsförsörjning som en indikator på ekonomisk och social utveckling. </w:t>
      </w:r>
    </w:p>
    <w:p w:rsidR="00390608" w:rsidRPr="00EE7A61" w:rsidRDefault="00390608">
      <w:pPr>
        <w:spacing w:before="0" w:line="240" w:lineRule="auto"/>
      </w:pPr>
    </w:p>
    <w:p w:rsidR="00390608" w:rsidRPr="00EE7A61" w:rsidRDefault="00390608" w:rsidP="00390608">
      <w:r w:rsidRPr="00EE7A61">
        <w:t xml:space="preserve">Sverige betonar att ett tematiskt program på området måste hantera de aspekter som inte kan hanteras i de geografiska programmen, så som metodutveckling och nyskapande lösningar. Sverige betonar även vikten av att det tematiska programmet utgör ett komplement till nationella fattigdomsstrategier, andra givares stöd och det civila samhället. Målsättningen att använda det tematiska programmet för att stödja en strategisk policyutveckling i ett land med syfte att uppnå tryggad livsmedelsförsörjning är av särskild vikt i många länder i Afrika söder om Sahara. </w:t>
      </w:r>
    </w:p>
    <w:p w:rsidR="00390608" w:rsidRPr="00EE7A61" w:rsidRDefault="00390608" w:rsidP="00390608"/>
    <w:p w:rsidR="00390608" w:rsidRPr="00EE7A61" w:rsidRDefault="00390608" w:rsidP="00ED189A">
      <w:r w:rsidRPr="00EE7A61">
        <w:t>Sverige anser att samstämmighetsfrågan både internt inom kommissionen och externt är mycket central. En fortsatt svaghet i det tematiska programmet är frånvaron av den privata sektorn och avsaknad av marknadsbaserade lösningar.</w:t>
      </w:r>
    </w:p>
    <w:p w:rsidR="00390608" w:rsidRPr="00EE7A61" w:rsidRDefault="00390608" w:rsidP="00390608"/>
    <w:p w:rsidR="00390608" w:rsidRPr="00EE7A61" w:rsidRDefault="00ED189A" w:rsidP="00390608">
      <w:pPr>
        <w:rPr>
          <w:b/>
        </w:rPr>
      </w:pPr>
      <w:r w:rsidRPr="00EE7A61">
        <w:rPr>
          <w:b/>
        </w:rPr>
        <w:t xml:space="preserve">(6) </w:t>
      </w:r>
      <w:r w:rsidR="00390608" w:rsidRPr="00EE7A61">
        <w:rPr>
          <w:b/>
        </w:rPr>
        <w:t>Svensk ståndpunkt till det tematiska programmet samarbete med industriländer och andra höginkomstländer:</w:t>
      </w:r>
    </w:p>
    <w:p w:rsidR="00390608" w:rsidRPr="00EE7A61" w:rsidRDefault="00390608" w:rsidP="00390608">
      <w:r w:rsidRPr="00EE7A61">
        <w:t xml:space="preserve">EU skall söka samarbete och utbyta erfarenheter med etablerade demokratiska marknadsekonomier i syfte att förbättra verksamhet och resultat på olika samhällsområden, inom Unionen och i enskilda medlemsländer. Ett samarbete bör sökas med likasinnade också för att diskutera och främja goda normer och välfungerande spelregler i det internationella samarbetet och för att bidra till lösningar på globala problem. Ett viktigt forum för detta samarbete är OECD som EU bör måna om att utveckla. I lämpliga former bör EU också samarbeta med andra resursstarka länder för att utveckla ekonomiska och andra kontakter i ömsesidigt intresse samt främja dessa länders utveckling och integration i regionalt och globalt samarbete på grundval av respekt för mänskliga rättigheter, demokrati och marknadsekonomiska principer. EU kan göra detta såväl i egen regi som i samverkan med andra aktörer inom ramen för internationella organisationer; i FN, Internationella finansiella institutioner, Europarådet, OECD och andra. </w:t>
      </w:r>
    </w:p>
    <w:p w:rsidR="00390608" w:rsidRPr="00EE7A61" w:rsidRDefault="00390608" w:rsidP="00390608"/>
    <w:p w:rsidR="00390608" w:rsidRPr="00EE7A61" w:rsidRDefault="00ED189A">
      <w:pPr>
        <w:spacing w:before="0" w:line="240" w:lineRule="auto"/>
        <w:rPr>
          <w:b/>
          <w:bCs/>
        </w:rPr>
      </w:pPr>
      <w:r w:rsidRPr="00EE7A61">
        <w:rPr>
          <w:b/>
          <w:bCs/>
        </w:rPr>
        <w:t xml:space="preserve">(7) </w:t>
      </w:r>
      <w:r w:rsidR="00390608" w:rsidRPr="00EE7A61">
        <w:rPr>
          <w:b/>
          <w:bCs/>
        </w:rPr>
        <w:t>Svensk ståndpunkt till det tematiska programmet för samarbete med tredjeländer om migration och asyl:</w:t>
      </w:r>
    </w:p>
    <w:p w:rsidR="00390608" w:rsidRPr="00EE7A61" w:rsidRDefault="00390608" w:rsidP="00390608">
      <w:r w:rsidRPr="00EE7A61">
        <w:t xml:space="preserve">Sverige välkomnar kommissionens förslag om upprättande av ett tematiskt program för samarbete med tredjeländer kring migration och asyl. Sverige anser det vara motiverat att skapa en övergripande gemenskapsram för ett fördjupat samarbete mellan EU-aktörer, tredjeländer och internationella aktörer som berörs av migrationsfrågorna. Förslaget svarar även mot behovet av att integrera migrations- och asylfrågorna i gemenskapens samarbets- och utvecklingspolitik vilket kan bidra till en ökad samstämmighet i politiken. </w:t>
      </w:r>
    </w:p>
    <w:p w:rsidR="00390608" w:rsidRPr="00EE7A61" w:rsidRDefault="00390608" w:rsidP="00390608"/>
    <w:p w:rsidR="00390608" w:rsidRPr="00EE7A61" w:rsidRDefault="00390608" w:rsidP="00390608">
      <w:r w:rsidRPr="00EE7A61">
        <w:t xml:space="preserve">Ett prioriterat område för Sverige är ökade ansträngningar på EU-nivå när det gäller stärkandet av sambanden mellan migration och utveckling samt främjandet av asyl och internationellt skydd, bl.a. genom regionala skyddsprogram.  Sverige vill dock understryka att syftet med de åtgärder som föreslås måste vara att hjälpa tredjeländer och inte på något sätt stjälpa över ett större ansvar på dem. Det är viktigt att i första hand framhålla flyktingars, migranters och tredje länders behov, och EU:s behov först därefter. </w:t>
      </w:r>
    </w:p>
    <w:p w:rsidR="00390608" w:rsidRPr="00EE7A61" w:rsidRDefault="00390608" w:rsidP="00390608"/>
    <w:p w:rsidR="00390608" w:rsidRPr="00EE7A61" w:rsidRDefault="00390608" w:rsidP="00390608">
      <w:r w:rsidRPr="00EE7A61">
        <w:t>Även vidarebosättning är ett särskilt prioriterat område där Sverige stödjer förslag om ett vidarebosättningsprogram på gemenskapsnivå. Vidarebosättning är ett sätt att solidariskt dela det ansvar som det internationella samfundet har att erbjuda världens flyktingar - skydd och varaktiga lösningar.</w:t>
      </w:r>
    </w:p>
    <w:p w:rsidR="00390608" w:rsidRPr="00EE7A61" w:rsidRDefault="00390608" w:rsidP="00390608"/>
    <w:p w:rsidR="00390608" w:rsidRPr="00EE7A61" w:rsidRDefault="00390608">
      <w:pPr>
        <w:pStyle w:val="Rubrik2"/>
        <w:spacing w:before="0" w:line="240" w:lineRule="auto"/>
      </w:pPr>
      <w:r w:rsidRPr="00EE7A61">
        <w:t>Medlemsstaternas ståndpunkter</w:t>
      </w:r>
    </w:p>
    <w:p w:rsidR="00390608" w:rsidRPr="00EE7A61" w:rsidRDefault="00390608">
      <w:pPr>
        <w:spacing w:before="0" w:line="240" w:lineRule="auto"/>
      </w:pPr>
    </w:p>
    <w:p w:rsidR="00390608" w:rsidRPr="00EE7A61" w:rsidRDefault="00390608">
      <w:pPr>
        <w:pStyle w:val="Rubrik2"/>
        <w:spacing w:before="0" w:line="240" w:lineRule="auto"/>
      </w:pPr>
      <w:r w:rsidRPr="00EE7A61">
        <w:t>Institutionernas ståndpunkter</w:t>
      </w:r>
    </w:p>
    <w:p w:rsidR="00390608" w:rsidRPr="00EE7A61" w:rsidRDefault="00390608" w:rsidP="00ED189A"/>
    <w:p w:rsidR="00390608" w:rsidRPr="00EE7A61" w:rsidRDefault="00390608" w:rsidP="00ED189A">
      <w:r w:rsidRPr="00EE7A61">
        <w:t>Europaparlamentet har uttryckt att de tematiska programmen måste bidra till fattigdomsbekämpning och att uppnå millenniemålen och inte till att projicera EU:s interna politik i utvecklingsländer. Europaparlamentet värnar om det inflytande som det haft över de specifika budgetlinjer som är avsedda att ersättas av de nya instrumenten.</w:t>
      </w:r>
    </w:p>
    <w:p w:rsidR="00390608" w:rsidRPr="00EE7A61" w:rsidRDefault="00390608" w:rsidP="00390608"/>
    <w:p w:rsidR="00390608" w:rsidRPr="00EE7A61" w:rsidRDefault="00390608">
      <w:pPr>
        <w:pStyle w:val="Rubrik2"/>
        <w:spacing w:before="0" w:line="240" w:lineRule="auto"/>
      </w:pPr>
      <w:r w:rsidRPr="00EE7A61">
        <w:t>Remissinstansernas ståndpunkter</w:t>
      </w:r>
    </w:p>
    <w:p w:rsidR="00390608" w:rsidRPr="00EE7A61" w:rsidRDefault="00390608" w:rsidP="00390608"/>
    <w:p w:rsidR="00390608" w:rsidRPr="00EE7A61" w:rsidRDefault="00390608">
      <w:pPr>
        <w:pStyle w:val="Rubrik1"/>
        <w:spacing w:before="0" w:line="240" w:lineRule="auto"/>
      </w:pPr>
      <w:r w:rsidRPr="00EE7A61">
        <w:t>Övrigt</w:t>
      </w:r>
    </w:p>
    <w:p w:rsidR="00390608" w:rsidRPr="00EE7A61" w:rsidRDefault="00390608">
      <w:pPr>
        <w:spacing w:before="0" w:line="240" w:lineRule="auto"/>
      </w:pPr>
    </w:p>
    <w:p w:rsidR="00390608" w:rsidRPr="00EE7A61" w:rsidRDefault="00390608">
      <w:pPr>
        <w:pStyle w:val="Rubrik2"/>
        <w:spacing w:before="0" w:line="240" w:lineRule="auto"/>
      </w:pPr>
      <w:r w:rsidRPr="00EE7A61">
        <w:t>Fortsatt behandling av ärendet</w:t>
      </w:r>
    </w:p>
    <w:p w:rsidR="00390608" w:rsidRPr="00EE7A61" w:rsidRDefault="00390608" w:rsidP="00ED189A"/>
    <w:p w:rsidR="00390608" w:rsidRPr="00EE7A61" w:rsidRDefault="00390608" w:rsidP="00ED189A">
      <w:r w:rsidRPr="00EE7A61">
        <w:t>Rådet har påbörjat arbetet med att integrera de tematiska programmen i utvecklingsinstrumentet. Kommissionen har också inlett diskussioner med Europaparlamentet och Rådet kring omfattningen, målen och prioriteringarna för varje program. Denna process kommer att mynna ut i politiska riktlinjer för de därpå följande etapperna med att utarbeta strategidokument för de tematiska programmen inom det nya finansiella perspektivet som vägledning i programmeringen av enskilda insatser.</w:t>
      </w:r>
    </w:p>
    <w:p w:rsidR="00390608" w:rsidRPr="00EE7A61" w:rsidRDefault="00390608" w:rsidP="00390608"/>
    <w:p w:rsidR="00390608" w:rsidRPr="00EE7A61" w:rsidRDefault="00390608">
      <w:pPr>
        <w:pStyle w:val="Rubrik2"/>
        <w:spacing w:before="0" w:line="240" w:lineRule="auto"/>
      </w:pPr>
      <w:r w:rsidRPr="00EE7A61">
        <w:t>Rättslig grund och beslutsförfarande</w:t>
      </w:r>
    </w:p>
    <w:p w:rsidR="00390608" w:rsidRPr="00EE7A61" w:rsidRDefault="00390608" w:rsidP="00ED189A"/>
    <w:p w:rsidR="00390608" w:rsidRPr="00EE7A61" w:rsidRDefault="00390608" w:rsidP="00ED189A">
      <w:r w:rsidRPr="00EE7A61">
        <w:t>Fördragets artiklar 177 och 181a</w:t>
      </w:r>
    </w:p>
    <w:p w:rsidR="00390608" w:rsidRPr="00EE7A61" w:rsidRDefault="00390608" w:rsidP="00390608"/>
    <w:p w:rsidR="00390608" w:rsidRPr="00EE7A61" w:rsidRDefault="00390608">
      <w:pPr>
        <w:pStyle w:val="Rubrik2"/>
        <w:spacing w:before="0" w:line="240" w:lineRule="auto"/>
      </w:pPr>
      <w:r w:rsidRPr="00EE7A61">
        <w:t>Fackuttryck/termer</w:t>
      </w:r>
    </w:p>
    <w:p w:rsidR="00390608" w:rsidRPr="00EE7A61" w:rsidRDefault="00390608">
      <w:pPr>
        <w:spacing w:before="0" w:line="240" w:lineRule="auto"/>
      </w:pPr>
    </w:p>
    <w:p w:rsidR="00390608" w:rsidRPr="00EE7A61" w:rsidRDefault="00390608" w:rsidP="00390608">
      <w:r w:rsidRPr="00EE7A61">
        <w:rPr>
          <w:u w:val="single"/>
        </w:rPr>
        <w:t>AU</w:t>
      </w:r>
      <w:r w:rsidRPr="00EE7A61">
        <w:t xml:space="preserve"> </w:t>
      </w:r>
      <w:r w:rsidRPr="00EE7A61">
        <w:softHyphen/>
        <w:t>- Afrikanska unionen</w:t>
      </w:r>
    </w:p>
    <w:p w:rsidR="00390608" w:rsidRPr="00EE7A61" w:rsidRDefault="00390608" w:rsidP="00390608">
      <w:r w:rsidRPr="00EE7A61">
        <w:rPr>
          <w:u w:val="single"/>
        </w:rPr>
        <w:t>EU:s utvecklingspolicy</w:t>
      </w:r>
      <w:r w:rsidRPr="00EE7A61">
        <w:t xml:space="preserve"> - I november 2005 antogs en ny utvecklingspolicy av</w:t>
      </w:r>
      <w:r w:rsidRPr="00EE7A61">
        <w:rPr>
          <w:u w:val="single"/>
        </w:rPr>
        <w:t xml:space="preserve"> </w:t>
      </w:r>
      <w:r w:rsidRPr="00EE7A61">
        <w:t>Rådet, parlamentet och kommissionen som benämns: The Development Policy Statement (DPS) eller “the European Consensus”.</w:t>
      </w:r>
    </w:p>
    <w:p w:rsidR="00390608" w:rsidRPr="00EE7A61" w:rsidRDefault="00390608" w:rsidP="00390608">
      <w:r w:rsidRPr="00EE7A61">
        <w:rPr>
          <w:u w:val="single"/>
        </w:rPr>
        <w:t xml:space="preserve">OSSE </w:t>
      </w:r>
      <w:r w:rsidRPr="00EE7A61">
        <w:t xml:space="preserve"> - Organisationen för säkerhet och samarbete i Europa.</w:t>
      </w:r>
    </w:p>
    <w:p w:rsidR="00390608" w:rsidRPr="00EE7A61" w:rsidRDefault="00390608" w:rsidP="00390608">
      <w:pPr>
        <w:rPr>
          <w:u w:val="single"/>
        </w:rPr>
      </w:pPr>
      <w:r w:rsidRPr="00EE7A61">
        <w:rPr>
          <w:u w:val="single"/>
        </w:rPr>
        <w:t>Parisdeklarationen:</w:t>
      </w:r>
      <w:r w:rsidRPr="00EE7A61">
        <w:t xml:space="preserve"> Parisdeklarationen antogs 2005 och är en internationell dagordning för fattigdomsbekämpning samt en dokumenterad vilja att öka biståndsvolymerna. Utvecklingssamarbetet ska inte bara öka i volym utan även i kvalitet, effektivitet och förutsägbarhet för att nå millenniemålen. För detta krävs att biståndet koncentreras samt samordnas givarländer emellan. Parisagendan uppmärksammar att alltför många givarländer i ett mottagarland riskerar att reducera och förhindra effektiviteten av biståndet.</w:t>
      </w:r>
    </w:p>
    <w:p w:rsidR="00390608" w:rsidRPr="00EE7A61" w:rsidRDefault="00390608" w:rsidP="00390608">
      <w:pPr>
        <w:rPr>
          <w:u w:val="single"/>
        </w:rPr>
      </w:pPr>
      <w:r w:rsidRPr="00EE7A61">
        <w:rPr>
          <w:u w:val="single"/>
        </w:rPr>
        <w:t>Pekingdeklarationen:</w:t>
      </w:r>
      <w:r w:rsidRPr="00EE7A61">
        <w:t xml:space="preserve"> - Pekingdeklarationen antogs 1995 och fastslår bland annat att kvinnors rättigheter är mänskliga rättigheter och att det är grundläggande för en fredlig utveckling att kvinnor ges möjlighet att fullt ut delta inom alla samhällsområden samt ha tillgång till makten på samma villkor som män. </w:t>
      </w:r>
    </w:p>
    <w:p w:rsidR="00390608" w:rsidRPr="00EE7A61" w:rsidRDefault="00390608" w:rsidP="00390608"/>
    <w:sectPr w:rsidR="00390608" w:rsidRPr="00EE7A6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395"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B32" w:rsidRPr="00EE7A61" w:rsidRDefault="002B0B32">
      <w:r w:rsidRPr="00EE7A61">
        <w:separator/>
      </w:r>
    </w:p>
  </w:endnote>
  <w:endnote w:type="continuationSeparator" w:id="0">
    <w:p w:rsidR="002B0B32" w:rsidRPr="00EE7A61" w:rsidRDefault="002B0B32">
      <w:r w:rsidRPr="00EE7A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608" w:rsidRPr="00EE7A61" w:rsidRDefault="003906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608" w:rsidRPr="00EE7A61" w:rsidRDefault="007661F3">
    <w:pPr>
      <w:pStyle w:val="SidfotH"/>
      <w:framePr w:wrap="around"/>
    </w:pPr>
    <w:r w:rsidRPr="00EE7A61">
      <w:t>13</w:t>
    </w:r>
  </w:p>
  <w:p w:rsidR="00390608" w:rsidRPr="00EE7A61" w:rsidRDefault="003906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608" w:rsidRPr="00EE7A61" w:rsidRDefault="002B0B32">
    <w:pPr>
      <w:pStyle w:val="SidfotH"/>
      <w:framePr w:wrap="around"/>
    </w:pPr>
    <w:r w:rsidRPr="00EE7A61">
      <w:t>1</w:t>
    </w:r>
  </w:p>
  <w:p w:rsidR="00390608" w:rsidRPr="00EE7A61" w:rsidRDefault="003906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B32" w:rsidRPr="00EE7A61" w:rsidRDefault="002B0B32">
      <w:r w:rsidRPr="00EE7A61">
        <w:separator/>
      </w:r>
    </w:p>
  </w:footnote>
  <w:footnote w:type="continuationSeparator" w:id="0">
    <w:p w:rsidR="002B0B32" w:rsidRPr="00EE7A61" w:rsidRDefault="002B0B32">
      <w:r w:rsidRPr="00EE7A61">
        <w:continuationSeparator/>
      </w:r>
    </w:p>
  </w:footnote>
  <w:footnote w:id="1">
    <w:p w:rsidR="00390608" w:rsidRPr="00EE7A61" w:rsidRDefault="00390608">
      <w:pPr>
        <w:pStyle w:val="Fotnotstext"/>
      </w:pPr>
      <w:r w:rsidRPr="00EE7A61">
        <w:rPr>
          <w:rStyle w:val="Fotnotsreferens"/>
        </w:rPr>
        <w:footnoteRef/>
      </w:r>
      <w:r w:rsidRPr="00EE7A61">
        <w:t xml:space="preserve"> Se faktapromemorior 2004/05: FPM42 om EU:s långtidsbudget för perioden 2007-2013 samt 2004/05: FPM46 om DCECI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608" w:rsidRPr="00EE7A61" w:rsidRDefault="003906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608" w:rsidRPr="00EE7A61" w:rsidRDefault="00A903B0">
    <w:pPr>
      <w:pStyle w:val="Kantrubrik"/>
      <w:framePr w:h="1157" w:hRule="exact" w:wrap="around" w:y="738"/>
    </w:pPr>
    <w:r w:rsidRPr="00EE7A61">
      <w:t>2005/06</w:t>
    </w:r>
    <w:r w:rsidR="00390608" w:rsidRPr="00EE7A61">
      <w:t>:</w:t>
    </w:r>
    <w:r w:rsidRPr="00EE7A61">
      <w:t>FPM75</w:t>
    </w:r>
  </w:p>
  <w:p w:rsidR="00390608" w:rsidRPr="00EE7A61" w:rsidRDefault="003906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608" w:rsidRPr="00EE7A61" w:rsidRDefault="00EE7A61">
    <w:pPr>
      <w:pStyle w:val="Sidhuvud"/>
    </w:pPr>
    <w:r w:rsidRPr="00EE7A6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72729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608" w:rsidRDefault="0039060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90608" w:rsidRDefault="00390608">
                    <w:pPr>
                      <w:pStyle w:val="Logo"/>
                    </w:pPr>
                    <w:r>
                      <w:object w:dxaOrig="840" w:dyaOrig="1545">
                        <v:shape id="_x0000_i1025" type="#_x0000_t75" style="width:42pt;height:77.15pt" fillcolor="window">
                          <v:imagedata r:id="rId1" o:title=""/>
                        </v:shape>
                        <o:OLEObject Type="Embed" ProgID="Word.Picture.8" ShapeID="_x0000_i1025" DrawAspect="Content" ObjectID="_18274391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70ED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7B0A0E"/>
    <w:multiLevelType w:val="hybridMultilevel"/>
    <w:tmpl w:val="CA468B00"/>
    <w:lvl w:ilvl="0" w:tplc="0409000D">
      <w:start w:val="1"/>
      <w:numFmt w:val="bullet"/>
      <w:lvlText w:val=""/>
      <w:lvlJc w:val="left"/>
      <w:pPr>
        <w:tabs>
          <w:tab w:val="num" w:pos="1250"/>
        </w:tabs>
        <w:ind w:left="1250" w:hanging="360"/>
      </w:pPr>
      <w:rPr>
        <w:rFonts w:ascii="Wingdings" w:hAnsi="Wingdings" w:hint="default"/>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3" w15:restartNumberingAfterBreak="0">
    <w:nsid w:val="0090504E"/>
    <w:multiLevelType w:val="hybridMultilevel"/>
    <w:tmpl w:val="200CC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93C0D"/>
    <w:multiLevelType w:val="hybridMultilevel"/>
    <w:tmpl w:val="CA468B00"/>
    <w:lvl w:ilvl="0" w:tplc="04090001">
      <w:start w:val="1"/>
      <w:numFmt w:val="bullet"/>
      <w:lvlText w:val=""/>
      <w:lvlJc w:val="left"/>
      <w:pPr>
        <w:tabs>
          <w:tab w:val="num" w:pos="1250"/>
        </w:tabs>
        <w:ind w:left="1250" w:hanging="360"/>
      </w:pPr>
      <w:rPr>
        <w:rFonts w:ascii="Symbol" w:hAnsi="Symbol" w:hint="default"/>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5" w15:restartNumberingAfterBreak="0">
    <w:nsid w:val="1AA8632C"/>
    <w:multiLevelType w:val="singleLevel"/>
    <w:tmpl w:val="69182118"/>
    <w:lvl w:ilvl="0">
      <w:start w:val="1"/>
      <w:numFmt w:val="bullet"/>
      <w:lvlRestart w:val="0"/>
      <w:pStyle w:val="Punktlista"/>
      <w:lvlText w:val=""/>
      <w:lvlJc w:val="left"/>
      <w:pPr>
        <w:tabs>
          <w:tab w:val="num" w:pos="283"/>
        </w:tabs>
        <w:ind w:left="283" w:hanging="283"/>
      </w:pPr>
      <w:rPr>
        <w:rFonts w:ascii="Symbol" w:hAnsi="Symbol"/>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4385757E"/>
    <w:multiLevelType w:val="hybridMultilevel"/>
    <w:tmpl w:val="84DA2934"/>
    <w:lvl w:ilvl="0" w:tplc="0409000D">
      <w:start w:val="1"/>
      <w:numFmt w:val="bullet"/>
      <w:lvlText w:val=""/>
      <w:lvlJc w:val="left"/>
      <w:pPr>
        <w:tabs>
          <w:tab w:val="num" w:pos="890"/>
        </w:tabs>
        <w:ind w:left="890" w:hanging="360"/>
      </w:pPr>
      <w:rPr>
        <w:rFonts w:ascii="Wingdings" w:hAnsi="Wingdings"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989564C"/>
    <w:multiLevelType w:val="hybridMultilevel"/>
    <w:tmpl w:val="F4E22C62"/>
    <w:lvl w:ilvl="0" w:tplc="0409000D">
      <w:start w:val="1"/>
      <w:numFmt w:val="bullet"/>
      <w:lvlText w:val=""/>
      <w:lvlJc w:val="left"/>
      <w:pPr>
        <w:tabs>
          <w:tab w:val="num" w:pos="890"/>
        </w:tabs>
        <w:ind w:left="890" w:hanging="360"/>
      </w:pPr>
      <w:rPr>
        <w:rFonts w:ascii="Wingdings" w:hAnsi="Wingdings"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98161522">
    <w:abstractNumId w:val="10"/>
  </w:num>
  <w:num w:numId="2" w16cid:durableId="1454010613">
    <w:abstractNumId w:val="6"/>
  </w:num>
  <w:num w:numId="3" w16cid:durableId="645204292">
    <w:abstractNumId w:val="8"/>
  </w:num>
  <w:num w:numId="4" w16cid:durableId="922027818">
    <w:abstractNumId w:val="9"/>
  </w:num>
  <w:num w:numId="5" w16cid:durableId="52117681">
    <w:abstractNumId w:val="12"/>
  </w:num>
  <w:num w:numId="6" w16cid:durableId="2100321376">
    <w:abstractNumId w:val="1"/>
  </w:num>
  <w:num w:numId="7" w16cid:durableId="360400718">
    <w:abstractNumId w:val="7"/>
  </w:num>
  <w:num w:numId="8" w16cid:durableId="1005982281">
    <w:abstractNumId w:val="11"/>
  </w:num>
  <w:num w:numId="9" w16cid:durableId="738551400">
    <w:abstractNumId w:val="2"/>
  </w:num>
  <w:num w:numId="10" w16cid:durableId="2095738652">
    <w:abstractNumId w:val="4"/>
  </w:num>
  <w:num w:numId="11" w16cid:durableId="1597522857">
    <w:abstractNumId w:val="3"/>
  </w:num>
  <w:num w:numId="12" w16cid:durableId="1840995168">
    <w:abstractNumId w:val="0"/>
  </w:num>
  <w:num w:numId="13" w16cid:durableId="1211648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11"/>
    <w:docVar w:name="Ar" w:val="2005/06"/>
    <w:docVar w:name="Dep" w:val="Utrikesdepartementet"/>
    <w:docVar w:name="DepWeb" w:val="Utrikesdepartementet"/>
    <w:docVar w:name="GDB1" w:val="Kom (2006)18"/>
    <w:docVar w:name="GDB10" w:val=" "/>
    <w:docVar w:name="GDB11" w:val=" "/>
    <w:docVar w:name="GDB12" w:val=" "/>
    <w:docVar w:name="GDB13" w:val=" "/>
    <w:docVar w:name="GDB2" w:val="Kom (2006)19"/>
    <w:docVar w:name="GDB3" w:val="Kom (2006)20"/>
    <w:docVar w:name="GDB4" w:val="Kom (2006)21"/>
    <w:docVar w:name="GDB5" w:val="Kom (2006)23"/>
    <w:docVar w:name="GDB6" w:val="Kom (2006)25"/>
    <w:docVar w:name="GDB7" w:val="Kom (2006)26"/>
    <w:docVar w:name="GDB8" w:val=" "/>
    <w:docVar w:name="GDB9" w:val=" "/>
    <w:docVar w:name="GDT1" w:val="Mänsklig och social utveckling, (&quot;Att investera i människor&quot;)"/>
    <w:docVar w:name="GDT10" w:val=" "/>
    <w:docVar w:name="GDT11" w:val=" "/>
    <w:docVar w:name="GDT12" w:val=" "/>
    <w:docVar w:name="GDT13" w:val=" "/>
    <w:docVar w:name="GDT2" w:val="Icke statliga aktörer och lokala myndigheter inom utveckling"/>
    <w:docVar w:name="GDT3" w:val="Miljö och hållbar förvaltning av naturresurser, inklusive energi"/>
    <w:docVar w:name="GDT4" w:val="Tryggad livsmedelsförsörjning"/>
    <w:docVar w:name="GDT5" w:val="Främjande av demokrati och mänskliga rättigheter i världen"/>
    <w:docVar w:name="GDT6" w:val="Samarbete med industrialiserade länder och andra höginkomstländer"/>
    <w:docVar w:name="GDT7" w:val="Samarbete med tredjeländer om migration och asyl"/>
    <w:docVar w:name="GDT8" w:val=" "/>
    <w:docVar w:name="GDT9" w:val=" "/>
    <w:docVar w:name="GDTWeb" w:val="Kom (2006)18, Kom (2006)19, Kom (2006)20, Kom (2006)21, Kom (2006)23, Kom (2006)25, Kom (2006)26"/>
    <w:docVar w:name="Nr" w:val="75"/>
    <w:docVar w:name="RD_APPVERSION" w:val="3.00"/>
    <w:docVar w:name="Rub" w:val="Tematiska program i budgetstrukturen för EU:s yttre åtgärder"/>
    <w:docVar w:name="UppDat" w:val="2006-04-11"/>
    <w:docVar w:name="Utsk" w:val="Utrikesutskottet"/>
  </w:docVars>
  <w:rsids>
    <w:rsidRoot w:val="00EE7A61"/>
    <w:rsid w:val="002B0B32"/>
    <w:rsid w:val="00390608"/>
    <w:rsid w:val="007661F3"/>
    <w:rsid w:val="00776AE2"/>
    <w:rsid w:val="00A903B0"/>
    <w:rsid w:val="00BD47EC"/>
    <w:rsid w:val="00DC1A75"/>
    <w:rsid w:val="00ED189A"/>
    <w:rsid w:val="00EE7A61"/>
    <w:rsid w:val="00F514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F277C0-B34C-4DB7-8608-621CFF20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EntEmet">
    <w:name w:val="EntEmet"/>
    <w:basedOn w:val="Normal"/>
    <w:pPr>
      <w:tabs>
        <w:tab w:val="left" w:pos="284"/>
        <w:tab w:val="left" w:pos="567"/>
        <w:tab w:val="left" w:pos="851"/>
        <w:tab w:val="left" w:pos="1134"/>
        <w:tab w:val="left" w:pos="1418"/>
      </w:tabs>
      <w:spacing w:before="40" w:line="240" w:lineRule="auto"/>
      <w:jc w:val="left"/>
    </w:pPr>
    <w:rPr>
      <w:sz w:val="24"/>
      <w:lang w:eastAsia="fr-BE"/>
    </w:rPr>
  </w:style>
  <w:style w:type="paragraph" w:styleId="Brdtext">
    <w:name w:val="Body Text"/>
    <w:basedOn w:val="Normal"/>
    <w:pPr>
      <w:spacing w:before="0" w:after="120" w:line="240" w:lineRule="auto"/>
      <w:jc w:val="left"/>
    </w:pPr>
    <w:rPr>
      <w:rFonts w:ascii="OrigGarmnd BT" w:hAnsi="OrigGarmnd BT"/>
      <w:sz w:val="24"/>
      <w:lang w:eastAsia="en-US"/>
    </w:rPr>
  </w:style>
  <w:style w:type="character" w:customStyle="1" w:styleId="term">
    <w:name w:val="term"/>
    <w:basedOn w:val="Standardstycketeckensnitt"/>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paragraph" w:styleId="Punktlista">
    <w:name w:val="List Bullet"/>
    <w:basedOn w:val="Normal"/>
    <w:pPr>
      <w:numPr>
        <w:numId w:val="13"/>
      </w:numPr>
      <w:spacing w:before="120" w:after="120" w:line="240" w:lineRule="auto"/>
    </w:pPr>
    <w:rPr>
      <w:sz w:val="24"/>
      <w:lang w:eastAsia="en-US"/>
    </w:rPr>
  </w:style>
  <w:style w:type="paragraph" w:customStyle="1" w:styleId="Text2">
    <w:name w:val="Text 2"/>
    <w:basedOn w:val="Normal"/>
    <w:pPr>
      <w:spacing w:before="120" w:after="120" w:line="240" w:lineRule="auto"/>
      <w:ind w:left="850"/>
    </w:pPr>
    <w:rPr>
      <w:snapToGrid w:val="0"/>
      <w:sz w:val="24"/>
      <w:szCs w:val="24"/>
      <w:lang w:eastAsia="en-GB"/>
    </w:rPr>
  </w:style>
  <w:style w:type="character" w:customStyle="1" w:styleId="Heading2Char">
    <w:name w:val="Heading 2 Char"/>
    <w:basedOn w:val="Standardstycketeckensnitt"/>
    <w:rPr>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3693</Words>
  <Characters>23972</Characters>
  <Application>Microsoft Office Word</Application>
  <DocSecurity>4</DocSecurity>
  <Lines>499</Lines>
  <Paragraphs>141</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2006-04-18T14:43:00Z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75</vt:lpwstr>
  </property>
  <property fmtid="{D5CDD505-2E9C-101B-9397-08002B2CF9AE}" pid="4" name="GDB1">
    <vt:lpwstr>Kom (2006)18</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Tematiska program i budgetstrukturen för EU:s yttre åtgärder</vt:lpwstr>
  </property>
  <property fmtid="{D5CDD505-2E9C-101B-9397-08002B2CF9AE}" pid="8" name="UppDat">
    <vt:lpwstr>2006-04-11</vt:lpwstr>
  </property>
  <property fmtid="{D5CDD505-2E9C-101B-9397-08002B2CF9AE}" pid="9" name="AnkDat">
    <vt:lpwstr>2006-04-11</vt:lpwstr>
  </property>
  <property fmtid="{D5CDD505-2E9C-101B-9397-08002B2CF9AE}" pid="10" name="Utsk">
    <vt:lpwstr>Utrikesutskottet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 (2006)19</vt:lpwstr>
  </property>
  <property fmtid="{D5CDD505-2E9C-101B-9397-08002B2CF9AE}" pid="15" name="GDB3">
    <vt:lpwstr>Kom (2006)20</vt:lpwstr>
  </property>
  <property fmtid="{D5CDD505-2E9C-101B-9397-08002B2CF9AE}" pid="16" name="GDB4">
    <vt:lpwstr>Kom (2006)21</vt:lpwstr>
  </property>
  <property fmtid="{D5CDD505-2E9C-101B-9397-08002B2CF9AE}" pid="17" name="GDB5">
    <vt:lpwstr>Kom (2006)23</vt:lpwstr>
  </property>
  <property fmtid="{D5CDD505-2E9C-101B-9397-08002B2CF9AE}" pid="18" name="GDB6">
    <vt:lpwstr>Kom (2006)25</vt:lpwstr>
  </property>
  <property fmtid="{D5CDD505-2E9C-101B-9397-08002B2CF9AE}" pid="19" name="GDB7">
    <vt:lpwstr>Kom (2006)26</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3;0;0;401</vt:lpwstr>
  </property>
  <property fmtid="{D5CDD505-2E9C-101B-9397-08002B2CF9AE}" pid="39" name="Sprak">
    <vt:lpwstr>Svenska</vt:lpwstr>
  </property>
  <property fmtid="{D5CDD505-2E9C-101B-9397-08002B2CF9AE}" pid="40" name="DokID">
    <vt:i4>80</vt:i4>
  </property>
</Properties>
</file>