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26FC2">
        <w:tblPrEx>
          <w:tblCellMar>
            <w:top w:w="0" w:type="dxa"/>
            <w:bottom w:w="0" w:type="dxa"/>
          </w:tblCellMar>
        </w:tblPrEx>
        <w:trPr>
          <w:cantSplit/>
          <w:trHeight w:hRule="exact" w:val="1260"/>
        </w:trPr>
        <w:tc>
          <w:tcPr>
            <w:tcW w:w="6024" w:type="dxa"/>
            <w:gridSpan w:val="2"/>
            <w:vMerge w:val="restart"/>
          </w:tcPr>
          <w:p w:rsidR="00526CE7" w:rsidRPr="00526FC2" w:rsidRDefault="00526CE7">
            <w:pPr>
              <w:pStyle w:val="HuvudRubrik"/>
            </w:pPr>
            <w:r w:rsidRPr="00526FC2">
              <w:t>Näringsutskottets yttrande</w:t>
            </w:r>
            <w:r w:rsidR="00526FC2" w:rsidRPr="00526FC2">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5159317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929452563"/>
                                <w:bookmarkStart w:id="1" w:name="_MON_929529912"/>
                                <w:bookmarkStart w:id="2" w:name="_MON_932818888"/>
                                <w:bookmarkStart w:id="3" w:name="_MON_947076358"/>
                                <w:bookmarkStart w:id="4" w:name="_MON_947165881"/>
                                <w:bookmarkStart w:id="5" w:name="_MON_968067888"/>
                                <w:bookmarkStart w:id="6" w:name="_MON_968068624"/>
                                <w:bookmarkStart w:id="7" w:name="_MON_973953492"/>
                                <w:bookmarkEnd w:id="0"/>
                                <w:bookmarkEnd w:id="1"/>
                                <w:bookmarkEnd w:id="2"/>
                                <w:bookmarkEnd w:id="3"/>
                                <w:bookmarkEnd w:id="4"/>
                                <w:bookmarkEnd w:id="5"/>
                                <w:bookmarkEnd w:id="6"/>
                                <w:bookmarkEnd w:id="7"/>
                                <w:p w:rsidR="00526CE7" w:rsidRPr="00526FC2" w:rsidRDefault="00526CE7">
                                  <w:pPr>
                                    <w:pStyle w:val="Logo"/>
                                  </w:pPr>
                                  <w:r w:rsidRPr="00526FC2">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64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Start w:id="15" w:name="_MON_973953492"/>
                          <w:bookmarkEnd w:id="8"/>
                          <w:bookmarkEnd w:id="9"/>
                          <w:bookmarkEnd w:id="10"/>
                          <w:bookmarkEnd w:id="11"/>
                          <w:bookmarkEnd w:id="12"/>
                          <w:bookmarkEnd w:id="13"/>
                          <w:bookmarkEnd w:id="14"/>
                          <w:bookmarkEnd w:id="15"/>
                          <w:p w:rsidR="00526CE7" w:rsidRPr="00526FC2" w:rsidRDefault="00526CE7">
                            <w:pPr>
                              <w:pStyle w:val="Logo"/>
                            </w:pPr>
                            <w:r w:rsidRPr="00526FC2">
                              <w:object w:dxaOrig="840" w:dyaOrig="1545">
                                <v:shape id="_x0000_i1025" type="#_x0000_t75" style="width:90.45pt;height:77.15pt" fillcolor="window">
                                  <v:imagedata r:id="rId7" o:title="" cropright="-75835f"/>
                                </v:shape>
                                <o:OLEObject Type="Embed" ProgID="Word.Picture.8" ShapeID="_x0000_i1025" DrawAspect="Content" ObjectID="_1827347645" r:id="rId9"/>
                              </w:object>
                            </w:r>
                          </w:p>
                        </w:txbxContent>
                      </v:textbox>
                      <w10:wrap anchorx="page" anchory="page"/>
                    </v:shape>
                  </w:pict>
                </mc:Fallback>
              </mc:AlternateContent>
            </w:r>
          </w:p>
          <w:p w:rsidR="00526CE7" w:rsidRPr="00526FC2" w:rsidRDefault="00526CE7">
            <w:pPr>
              <w:pStyle w:val="HuvudRubrikRad2"/>
            </w:pPr>
            <w:bookmarkStart w:id="16" w:name="BetänkandeNr"/>
            <w:bookmarkEnd w:id="16"/>
            <w:r w:rsidRPr="00526FC2">
              <w:t>1999/2000:NU3y</w:t>
            </w:r>
          </w:p>
          <w:p w:rsidR="00526CE7" w:rsidRPr="00526FC2" w:rsidRDefault="00526CE7">
            <w:pPr>
              <w:pStyle w:val="BetnkandeRubrik"/>
            </w:pPr>
            <w:bookmarkStart w:id="17" w:name="Huvudrubrik"/>
            <w:bookmarkEnd w:id="17"/>
            <w:r w:rsidRPr="00526FC2">
              <w:t>Berättelse om verksamheten i Europeiska unionen under år 1999</w:t>
            </w:r>
          </w:p>
        </w:tc>
        <w:tc>
          <w:tcPr>
            <w:tcW w:w="1559" w:type="dxa"/>
            <w:tcBorders>
              <w:bottom w:val="nil"/>
            </w:tcBorders>
          </w:tcPr>
          <w:p w:rsidR="00526CE7" w:rsidRPr="00526FC2" w:rsidRDefault="00526CE7">
            <w:pPr>
              <w:spacing w:before="0" w:line="230" w:lineRule="auto"/>
              <w:rPr>
                <w:sz w:val="24"/>
              </w:rPr>
            </w:pPr>
          </w:p>
        </w:tc>
      </w:tr>
      <w:tr w:rsidR="00000000" w:rsidRPr="00526FC2">
        <w:tblPrEx>
          <w:tblCellMar>
            <w:top w:w="0" w:type="dxa"/>
            <w:bottom w:w="0" w:type="dxa"/>
          </w:tblCellMar>
        </w:tblPrEx>
        <w:trPr>
          <w:cantSplit/>
          <w:trHeight w:hRule="exact" w:val="240"/>
        </w:trPr>
        <w:tc>
          <w:tcPr>
            <w:tcW w:w="6024" w:type="dxa"/>
            <w:gridSpan w:val="2"/>
            <w:vMerge/>
            <w:tcBorders>
              <w:top w:val="nil"/>
              <w:bottom w:val="nil"/>
            </w:tcBorders>
          </w:tcPr>
          <w:p w:rsidR="00526CE7" w:rsidRPr="00526FC2" w:rsidRDefault="00526CE7">
            <w:pPr>
              <w:spacing w:before="40" w:after="900" w:line="280" w:lineRule="exact"/>
              <w:jc w:val="left"/>
              <w:rPr>
                <w:sz w:val="28"/>
              </w:rPr>
            </w:pPr>
          </w:p>
        </w:tc>
        <w:tc>
          <w:tcPr>
            <w:tcW w:w="1559" w:type="dxa"/>
          </w:tcPr>
          <w:p w:rsidR="00526CE7" w:rsidRPr="00526FC2" w:rsidRDefault="00526CE7">
            <w:pPr>
              <w:pStyle w:val="rtal"/>
            </w:pPr>
            <w:r w:rsidRPr="00526FC2">
              <w:t>1999/2000</w:t>
            </w:r>
          </w:p>
        </w:tc>
      </w:tr>
      <w:tr w:rsidR="00000000" w:rsidRPr="00526FC2">
        <w:tblPrEx>
          <w:tblCellMar>
            <w:top w:w="0" w:type="dxa"/>
            <w:bottom w:w="0" w:type="dxa"/>
          </w:tblCellMar>
        </w:tblPrEx>
        <w:trPr>
          <w:cantSplit/>
          <w:trHeight w:val="560"/>
        </w:trPr>
        <w:tc>
          <w:tcPr>
            <w:tcW w:w="6024" w:type="dxa"/>
            <w:gridSpan w:val="2"/>
            <w:vMerge/>
            <w:tcBorders>
              <w:top w:val="nil"/>
              <w:bottom w:val="single" w:sz="6" w:space="0" w:color="auto"/>
            </w:tcBorders>
          </w:tcPr>
          <w:p w:rsidR="00526CE7" w:rsidRPr="00526FC2" w:rsidRDefault="00526CE7">
            <w:pPr>
              <w:spacing w:before="40" w:after="900" w:line="280" w:lineRule="exact"/>
              <w:jc w:val="left"/>
              <w:rPr>
                <w:sz w:val="28"/>
              </w:rPr>
            </w:pPr>
          </w:p>
        </w:tc>
        <w:tc>
          <w:tcPr>
            <w:tcW w:w="1559" w:type="dxa"/>
            <w:tcBorders>
              <w:bottom w:val="single" w:sz="6" w:space="0" w:color="auto"/>
            </w:tcBorders>
          </w:tcPr>
          <w:p w:rsidR="00526CE7" w:rsidRPr="00526FC2" w:rsidRDefault="00526CE7">
            <w:pPr>
              <w:pStyle w:val="rtal"/>
            </w:pPr>
            <w:r w:rsidRPr="00526FC2">
              <w:t>NU3y</w:t>
            </w:r>
          </w:p>
        </w:tc>
      </w:tr>
      <w:tr w:rsidR="00000000" w:rsidRPr="00526FC2">
        <w:tblPrEx>
          <w:tblCellMar>
            <w:top w:w="0" w:type="dxa"/>
            <w:bottom w:w="0" w:type="dxa"/>
          </w:tblCellMar>
        </w:tblPrEx>
        <w:trPr>
          <w:cantSplit/>
          <w:trHeight w:hRule="exact" w:val="660"/>
        </w:trPr>
        <w:tc>
          <w:tcPr>
            <w:tcW w:w="3012" w:type="dxa"/>
          </w:tcPr>
          <w:p w:rsidR="00526CE7" w:rsidRPr="00526FC2" w:rsidRDefault="00526CE7">
            <w:pPr>
              <w:pStyle w:val="StatusSida1"/>
            </w:pPr>
          </w:p>
        </w:tc>
        <w:tc>
          <w:tcPr>
            <w:tcW w:w="3012" w:type="dxa"/>
          </w:tcPr>
          <w:p w:rsidR="00526CE7" w:rsidRPr="00526FC2" w:rsidRDefault="00526CE7">
            <w:pPr>
              <w:pStyle w:val="UtskriftsdatumSida1"/>
              <w:rPr>
                <w:b/>
                <w:sz w:val="28"/>
              </w:rPr>
            </w:pPr>
          </w:p>
        </w:tc>
        <w:tc>
          <w:tcPr>
            <w:tcW w:w="1559" w:type="dxa"/>
          </w:tcPr>
          <w:p w:rsidR="00526CE7" w:rsidRPr="00526FC2" w:rsidRDefault="00526CE7"/>
        </w:tc>
      </w:tr>
    </w:tbl>
    <w:p w:rsidR="00526CE7" w:rsidRPr="00526FC2" w:rsidRDefault="00526CE7">
      <w:pPr>
        <w:pStyle w:val="Rubrik1"/>
        <w:spacing w:before="0"/>
      </w:pPr>
      <w:bookmarkStart w:id="18" w:name="_Toc479737274"/>
      <w:r w:rsidRPr="00526FC2">
        <w:t>Till utrikesutskottet</w:t>
      </w:r>
      <w:bookmarkEnd w:id="18"/>
    </w:p>
    <w:p w:rsidR="00526CE7" w:rsidRPr="00526FC2" w:rsidRDefault="00526CE7">
      <w:bookmarkStart w:id="19" w:name="Textstart"/>
      <w:bookmarkEnd w:id="19"/>
      <w:r w:rsidRPr="00526FC2">
        <w:t>Utrikesutskottet har berett näringsutskottet tillfälle att avge yttrande över  skrivelse 1999/2000:60 med berättelse om verksamheten i Europeiska uni</w:t>
      </w:r>
      <w:r w:rsidRPr="00526FC2">
        <w:t>o</w:t>
      </w:r>
      <w:r w:rsidRPr="00526FC2">
        <w:t>nen 1999 jämte motioner, i de delar som berör näringsutskottets beredning</w:t>
      </w:r>
      <w:r w:rsidRPr="00526FC2">
        <w:t>s</w:t>
      </w:r>
      <w:r w:rsidRPr="00526FC2">
        <w:t>område. Aktuella yrkanden återfinns i motion 1999/2000:U14 (yrk. 4 och 5), som är väckt med anledning av skrivelsen, samt i motionerna 1999/2000:U503 (yrk. 3, 4 och 6), 1999/2000:U512 (yrk. 12) och 1999/2000:U803 (yrk. 4) från allmänna motionstiden.</w:t>
      </w:r>
    </w:p>
    <w:p w:rsidR="00526CE7" w:rsidRPr="00526FC2" w:rsidRDefault="00526CE7">
      <w:pPr>
        <w:pStyle w:val="Normaltindrag"/>
      </w:pPr>
      <w:r w:rsidRPr="00526FC2">
        <w:t>Näringsutskottets yttrande omfattar även ett antal andra motionsyrkanden från allmänna motionstiden, vilka hänvisats till näringsutskottet. Under fö</w:t>
      </w:r>
      <w:r w:rsidRPr="00526FC2">
        <w:t>r</w:t>
      </w:r>
      <w:r w:rsidRPr="00526FC2">
        <w:t>utsättning av utrikesutskottets medgivande överlämnas dessa yrkanden till utrikesutskottet tillsammans med yttrandet. De berörda yrkandena finns i följande motioner: 1999/2000:U512 (yrk. 13), 1999/2000:U513 (yrk. 7, 8 och 21) och 1999/2000:N254.</w:t>
      </w:r>
    </w:p>
    <w:p w:rsidR="00526CE7" w:rsidRPr="00526FC2" w:rsidRDefault="00526CE7">
      <w:r w:rsidRPr="00526FC2">
        <w:t>Näringsutskottet avstyrker de här aktuella motionsyrkandena, förutom ett yrkande om avveckling av EU:s handelshinder. Tre avvikande meningar (m, kd, fp; c, mp; mp) har avgivits.</w:t>
      </w:r>
    </w:p>
    <w:p w:rsidR="00526CE7" w:rsidRPr="00526FC2" w:rsidRDefault="00526CE7">
      <w:pPr>
        <w:pStyle w:val="Rubrik2"/>
      </w:pPr>
      <w:r w:rsidRPr="00526FC2">
        <w:t>Skrivelsen</w:t>
      </w:r>
    </w:p>
    <w:p w:rsidR="00526CE7" w:rsidRPr="00526FC2" w:rsidRDefault="00526CE7">
      <w:r w:rsidRPr="00526FC2">
        <w:t>I skrivelsen redogör regeringen för verksamheten i Europeiska unionen under år 1999 i enlighet med 10 kap. 1 § riksdagsordningen. Skrivelsen behandlar Europeiska unionens övergripande utveckling, det ekonomiska och sociala samarbetet, unionens förbindelse med omvärlden, det rättsliga och inrikes samarbetet samt unionens institutioner.</w:t>
      </w:r>
    </w:p>
    <w:p w:rsidR="00526CE7" w:rsidRPr="00526FC2" w:rsidRDefault="00526CE7">
      <w:pPr>
        <w:pStyle w:val="Rubrik2"/>
      </w:pPr>
      <w:r w:rsidRPr="00526FC2">
        <w:t>Motionerna</w:t>
      </w:r>
    </w:p>
    <w:p w:rsidR="00526CE7" w:rsidRPr="00526FC2" w:rsidRDefault="00526CE7">
      <w:r w:rsidRPr="00526FC2">
        <w:t xml:space="preserve">Den motion som väckts </w:t>
      </w:r>
      <w:r w:rsidRPr="00526FC2">
        <w:rPr>
          <w:i/>
        </w:rPr>
        <w:t>med anledning av skrivelse 1999/2000:60</w:t>
      </w:r>
      <w:r w:rsidRPr="00526FC2">
        <w:t xml:space="preserve"> och som behandlas här är </w:t>
      </w:r>
    </w:p>
    <w:p w:rsidR="00526CE7" w:rsidRPr="00526FC2" w:rsidRDefault="00526CE7">
      <w:r w:rsidRPr="00526FC2">
        <w:t>1999/2000:U14 av Marianne Samuelsson och Yvonne Rowaida (mp) vari yrkas</w:t>
      </w:r>
    </w:p>
    <w:p w:rsidR="00526CE7" w:rsidRPr="00526FC2" w:rsidRDefault="00526CE7">
      <w:pPr>
        <w:pStyle w:val="Normaltindrag"/>
      </w:pPr>
      <w:r w:rsidRPr="00526FC2">
        <w:lastRenderedPageBreak/>
        <w:t>4. att riksdagen som sin mening ger regeringen till känna vad i motionen anförts om en redogörelse för de satsningar som genomförts för att stärka de förnybara energikällornas ställning på den europeiska marknaden,</w:t>
      </w:r>
    </w:p>
    <w:p w:rsidR="00526CE7" w:rsidRPr="00526FC2" w:rsidRDefault="00526CE7">
      <w:pPr>
        <w:pStyle w:val="Normaltindrag"/>
      </w:pPr>
      <w:r w:rsidRPr="00526FC2">
        <w:t>5. att riksdagen som sin mening ger regeringen till känna vad i motionen anförts om en redogörelse för de satsningar som genomförts i Sverige för energieffektiviseringar fina</w:t>
      </w:r>
      <w:r w:rsidRPr="00526FC2">
        <w:t>n</w:t>
      </w:r>
      <w:r w:rsidRPr="00526FC2">
        <w:t>sierade med EU-medel.</w:t>
      </w:r>
    </w:p>
    <w:p w:rsidR="00526CE7" w:rsidRPr="00526FC2" w:rsidRDefault="00526CE7">
      <w:r w:rsidRPr="00526FC2">
        <w:t xml:space="preserve">De motioner som väckts </w:t>
      </w:r>
      <w:r w:rsidRPr="00526FC2">
        <w:rPr>
          <w:i/>
        </w:rPr>
        <w:t xml:space="preserve">under allmänna motionstiden </w:t>
      </w:r>
      <w:r w:rsidRPr="00526FC2">
        <w:t>och som behandlas här är följande:</w:t>
      </w:r>
    </w:p>
    <w:p w:rsidR="00526CE7" w:rsidRPr="00526FC2" w:rsidRDefault="00526CE7">
      <w:r w:rsidRPr="00526FC2">
        <w:t>1999/2000:U503 av Bo Lundgren m.fl. (m) vari yrkas</w:t>
      </w:r>
    </w:p>
    <w:p w:rsidR="00526CE7" w:rsidRPr="00526FC2" w:rsidRDefault="00526CE7">
      <w:pPr>
        <w:pStyle w:val="Normaltindrag"/>
      </w:pPr>
      <w:r w:rsidRPr="00526FC2">
        <w:t>3. att riksdagen som sin mening ger regeringen till känna vad i motionen anförts om en fortsatt reformering av EU:s gemensamma jordbrukspolitik och riktlinjer för EU:s struktur- och regionalpolitik,</w:t>
      </w:r>
    </w:p>
    <w:p w:rsidR="00526CE7" w:rsidRPr="00526FC2" w:rsidRDefault="00526CE7">
      <w:pPr>
        <w:pStyle w:val="Normaltindrag"/>
      </w:pPr>
      <w:r w:rsidRPr="00526FC2">
        <w:t>4. att riksdagen som sin mening ger regeringen till känna vad i motionen anförts om att Sverige inom EU bör verka för en regelrevision,</w:t>
      </w:r>
    </w:p>
    <w:p w:rsidR="00526CE7" w:rsidRPr="00526FC2" w:rsidRDefault="00526CE7">
      <w:pPr>
        <w:pStyle w:val="Normaltindrag"/>
      </w:pPr>
      <w:r w:rsidRPr="00526FC2">
        <w:t>6. att riksdagen som sin mening ger regeringen till känna vad i motionen anförts om att EU bör verka för en union för företagande och arbete.</w:t>
      </w:r>
    </w:p>
    <w:p w:rsidR="00526CE7" w:rsidRPr="00526FC2" w:rsidRDefault="00526CE7">
      <w:r w:rsidRPr="00526FC2">
        <w:t>1999/2000:U512 av Marianne Andersson m.fl. (c) vari yrkas</w:t>
      </w:r>
    </w:p>
    <w:p w:rsidR="00526CE7" w:rsidRPr="00526FC2" w:rsidRDefault="00526CE7">
      <w:pPr>
        <w:pStyle w:val="Normaltindrag"/>
      </w:pPr>
      <w:r w:rsidRPr="00526FC2">
        <w:t>12. att riksdagen som sin mening ger regeringen till känna vad i motionen anförts om principen om ömsesidigt erkännande,</w:t>
      </w:r>
    </w:p>
    <w:p w:rsidR="00526CE7" w:rsidRPr="00526FC2" w:rsidRDefault="00526CE7">
      <w:pPr>
        <w:pStyle w:val="Normaltindrag"/>
      </w:pPr>
      <w:r w:rsidRPr="00526FC2">
        <w:t>13. att riksdagen som sin mening ger regeringen till känna vad i motionen anförts om en energipolitisk samverkan.</w:t>
      </w:r>
    </w:p>
    <w:p w:rsidR="00526CE7" w:rsidRPr="00526FC2" w:rsidRDefault="00526CE7">
      <w:r w:rsidRPr="00526FC2">
        <w:t>1999/2000:U513 av Yvonne Ruwaida m.fl. (mp) vari yrkas</w:t>
      </w:r>
    </w:p>
    <w:p w:rsidR="00526CE7" w:rsidRPr="00526FC2" w:rsidRDefault="00526CE7">
      <w:pPr>
        <w:pStyle w:val="Normaltindrag"/>
      </w:pPr>
      <w:r w:rsidRPr="00526FC2">
        <w:t>7. att riksdagen som sin mening ger regeringen till känna vad i motionen anförts om att en prioriterad fråga för Sverige skall vara att motverka EU:s detaljreglering av varor,</w:t>
      </w:r>
    </w:p>
    <w:p w:rsidR="00526CE7" w:rsidRPr="00526FC2" w:rsidRDefault="00526CE7">
      <w:pPr>
        <w:pStyle w:val="Normaltindrag"/>
      </w:pPr>
      <w:r w:rsidRPr="00526FC2">
        <w:t>8. att riksdagen som sin mening ger regeringen till känna vad i motionen anförts om att en prioriterad fråga för Sverige skall vara att inom EU driva att den inre marknadens mål om fri rörlighet för varor och ohämmad ekon</w:t>
      </w:r>
      <w:r w:rsidRPr="00526FC2">
        <w:t>o</w:t>
      </w:r>
      <w:r w:rsidRPr="00526FC2">
        <w:t>misk tillväxt ersätts med sociala och miljömässiga mål,</w:t>
      </w:r>
    </w:p>
    <w:p w:rsidR="00526CE7" w:rsidRPr="00526FC2" w:rsidRDefault="00526CE7">
      <w:pPr>
        <w:pStyle w:val="Normaltindrag"/>
      </w:pPr>
      <w:r w:rsidRPr="00526FC2">
        <w:t>21. att riksdagen som sin mening ger regeringen till känna vad i motionen anförts om att en prioriterad fråga för Sverige skall vara att verka för att EU:s forskningsprogram vad gäller energifrågor helt inriktas på forskning och utveckling kring förnybara energikällor i stället för forskning kring kärnkraft.</w:t>
      </w:r>
    </w:p>
    <w:p w:rsidR="00526CE7" w:rsidRPr="00526FC2" w:rsidRDefault="00526CE7">
      <w:r w:rsidRPr="00526FC2">
        <w:t>1999/2000:U803 av Göran Lennmarker m.fl. (m) vari yrkas</w:t>
      </w:r>
    </w:p>
    <w:p w:rsidR="00526CE7" w:rsidRPr="00526FC2" w:rsidRDefault="00526CE7">
      <w:pPr>
        <w:pStyle w:val="Normaltindrag"/>
      </w:pPr>
      <w:r w:rsidRPr="00526FC2">
        <w:t>4. att riksdagen som sin mening ger regeringen till känna vad i motionen anförts om EU:s restriktioner för import av teko- och jordbruksprodukter.</w:t>
      </w:r>
    </w:p>
    <w:p w:rsidR="00526CE7" w:rsidRPr="00526FC2" w:rsidRDefault="00526CE7">
      <w:r w:rsidRPr="00526FC2">
        <w:t>1999/2000:N254 av Jan-Evert Rådhström och Ola Karlsson (m) vari yrkas att riksdagen som sin mening ger regeringen till känna vad i motionen a</w:t>
      </w:r>
      <w:r w:rsidRPr="00526FC2">
        <w:t>n</w:t>
      </w:r>
      <w:r w:rsidRPr="00526FC2">
        <w:t>förts om att skyndsamt vidta åtgärder mot olika typer av handelshinder i EU.</w:t>
      </w:r>
    </w:p>
    <w:p w:rsidR="00526CE7" w:rsidRPr="00526FC2" w:rsidRDefault="00526CE7">
      <w:pPr>
        <w:pStyle w:val="Rubrik1"/>
      </w:pPr>
      <w:r w:rsidRPr="00526FC2">
        <w:t>Näringsutskottet</w:t>
      </w:r>
    </w:p>
    <w:p w:rsidR="00526CE7" w:rsidRPr="00526FC2" w:rsidRDefault="00526CE7">
      <w:pPr>
        <w:pStyle w:val="Rubrik2"/>
        <w:spacing w:before="123"/>
      </w:pPr>
      <w:r w:rsidRPr="00526FC2">
        <w:t>Inledning</w:t>
      </w:r>
    </w:p>
    <w:p w:rsidR="00526CE7" w:rsidRPr="00526FC2" w:rsidRDefault="00526CE7">
      <w:r w:rsidRPr="00526FC2">
        <w:t>Hösten 1999 tillsatte näringsutskottet fyra arbetsgrupper för fördjupad b</w:t>
      </w:r>
      <w:r w:rsidRPr="00526FC2">
        <w:t>e</w:t>
      </w:r>
      <w:r w:rsidRPr="00526FC2">
        <w:t>vakning av EU-frågorna med vardera fem–sex ledamöter från partierna samt en sekreterare från utskottskansliet. Följande bevakningsområden har prior</w:t>
      </w:r>
      <w:r w:rsidRPr="00526FC2">
        <w:t>i</w:t>
      </w:r>
      <w:r w:rsidRPr="00526FC2">
        <w:t>terats: regionalpolitik, energi, industri och inre marknaden. I skrivelsen åte</w:t>
      </w:r>
      <w:r w:rsidRPr="00526FC2">
        <w:t>r</w:t>
      </w:r>
      <w:r w:rsidRPr="00526FC2">
        <w:t>finns under flera avsnitt frågor inom näringsutskottets (och de fyra nämnda gruppernas) beredningsområde: metoder att minska tekniska handelshinder, turism, näringspolitik, energipolitik, EU:s regional- och strukturpolitik och inre marknadens utveckling. Det som sägs i skrivelsen und</w:t>
      </w:r>
      <w:r w:rsidRPr="00526FC2">
        <w:t>er några av dessa avsnitt har alltså varit föremål för en mer omfattande bevakning från n</w:t>
      </w:r>
      <w:r w:rsidRPr="00526FC2">
        <w:t>ä</w:t>
      </w:r>
      <w:r w:rsidRPr="00526FC2">
        <w:t>ringsutskottets sida. Näringsutskottet har dock inte funnit anledning att i detta sammanhang, som en följd av utskottets mer fördjupade bevakning, redovisa några ställningstaganden i dessa delar med utgångspunkt från reg</w:t>
      </w:r>
      <w:r w:rsidRPr="00526FC2">
        <w:t>e</w:t>
      </w:r>
      <w:r w:rsidRPr="00526FC2">
        <w:t>ringens skr</w:t>
      </w:r>
      <w:r w:rsidRPr="00526FC2">
        <w:t>i</w:t>
      </w:r>
      <w:r w:rsidRPr="00526FC2">
        <w:t xml:space="preserve">velse. </w:t>
      </w:r>
    </w:p>
    <w:p w:rsidR="00526CE7" w:rsidRPr="00526FC2" w:rsidRDefault="00526CE7">
      <w:pPr>
        <w:pStyle w:val="Normaltindrag"/>
      </w:pPr>
      <w:r w:rsidRPr="00526FC2">
        <w:t>De sakfrågor som näringsutskottet valt att uppmärksamma i yttrandet är därmed uteslutande föranledda av de aktuella motionsyrkandena. Dessa omfattar frågor om den inre marknadens ut</w:t>
      </w:r>
      <w:r w:rsidRPr="00526FC2">
        <w:t>veckling, EU:s handelshinder, utvecklingen av förnybara energikällor samt struktur- och regionalstöd.</w:t>
      </w:r>
    </w:p>
    <w:p w:rsidR="00526CE7" w:rsidRPr="00526FC2" w:rsidRDefault="00526CE7">
      <w:pPr>
        <w:pStyle w:val="Rubrik2"/>
      </w:pPr>
      <w:r w:rsidRPr="00526FC2">
        <w:t>Den inre marknadens utveckling</w:t>
      </w:r>
    </w:p>
    <w:p w:rsidR="00526CE7" w:rsidRPr="00526FC2" w:rsidRDefault="00526CE7">
      <w:pPr>
        <w:pStyle w:val="Rubrik3"/>
        <w:spacing w:before="123"/>
      </w:pPr>
      <w:r w:rsidRPr="00526FC2">
        <w:t>Motionerna</w:t>
      </w:r>
    </w:p>
    <w:p w:rsidR="00526CE7" w:rsidRPr="00526FC2" w:rsidRDefault="00526CE7">
      <w:pPr>
        <w:rPr>
          <w:snapToGrid w:val="0"/>
          <w:lang w:eastAsia="sv-SE"/>
        </w:rPr>
      </w:pPr>
      <w:r w:rsidRPr="00526FC2">
        <w:rPr>
          <w:snapToGrid w:val="0"/>
          <w:lang w:eastAsia="sv-SE"/>
        </w:rPr>
        <w:t>Moderata samlingspartiet anför i motion 1999/2000:U503 att medlemslä</w:t>
      </w:r>
      <w:r w:rsidRPr="00526FC2">
        <w:rPr>
          <w:snapToGrid w:val="0"/>
          <w:lang w:eastAsia="sv-SE"/>
        </w:rPr>
        <w:t>n</w:t>
      </w:r>
      <w:r w:rsidRPr="00526FC2">
        <w:rPr>
          <w:snapToGrid w:val="0"/>
          <w:lang w:eastAsia="sv-SE"/>
        </w:rPr>
        <w:t>derna bör uppmanas att systematiskt granska sina nationella regelverk för att undanröja hinder för konkurrens. Även EU:s eget regelverk måste genomgå en motsvarande analys. Motionärerna föreslår därför att ett nytt gemenska</w:t>
      </w:r>
      <w:r w:rsidRPr="00526FC2">
        <w:rPr>
          <w:snapToGrid w:val="0"/>
          <w:lang w:eastAsia="sv-SE"/>
        </w:rPr>
        <w:t>p</w:t>
      </w:r>
      <w:r w:rsidRPr="00526FC2">
        <w:rPr>
          <w:snapToGrid w:val="0"/>
          <w:lang w:eastAsia="sv-SE"/>
        </w:rPr>
        <w:t>s</w:t>
      </w:r>
      <w:r w:rsidRPr="00526FC2">
        <w:rPr>
          <w:snapToGrid w:val="0"/>
          <w:lang w:eastAsia="sv-SE"/>
        </w:rPr>
        <w:softHyphen/>
        <w:t>organ, en regelrevision, skall inrättas med uppgift att systematiskt granska och analysera gamla och nya gemensamma och nationella regler. Syftet är främst att undanröja onödiga och ålderdomliga regleringar. Motionärerna framhåller att det är särskilt viktigt att snedvridande regler o</w:t>
      </w:r>
      <w:r w:rsidRPr="00526FC2">
        <w:rPr>
          <w:snapToGrid w:val="0"/>
          <w:lang w:eastAsia="sv-SE"/>
        </w:rPr>
        <w:t>ch subventioner tas bort i samband med att EU får nya medlemmar i Central- och Öste</w:t>
      </w:r>
      <w:r w:rsidRPr="00526FC2">
        <w:rPr>
          <w:snapToGrid w:val="0"/>
          <w:lang w:eastAsia="sv-SE"/>
        </w:rPr>
        <w:t>u</w:t>
      </w:r>
      <w:r w:rsidRPr="00526FC2">
        <w:rPr>
          <w:snapToGrid w:val="0"/>
          <w:lang w:eastAsia="sv-SE"/>
        </w:rPr>
        <w:t xml:space="preserve">ropa. </w:t>
      </w:r>
    </w:p>
    <w:p w:rsidR="00526CE7" w:rsidRPr="00526FC2" w:rsidRDefault="00526CE7">
      <w:pPr>
        <w:pStyle w:val="Normaltindrag"/>
        <w:rPr>
          <w:snapToGrid w:val="0"/>
          <w:lang w:eastAsia="sv-SE"/>
        </w:rPr>
      </w:pPr>
      <w:r w:rsidRPr="00526FC2">
        <w:rPr>
          <w:snapToGrid w:val="0"/>
          <w:lang w:eastAsia="sv-SE"/>
        </w:rPr>
        <w:t>Motionärerna erinrar också om att arbetstagarnas trygghet i den traditi</w:t>
      </w:r>
      <w:r w:rsidRPr="00526FC2">
        <w:rPr>
          <w:snapToGrid w:val="0"/>
          <w:lang w:eastAsia="sv-SE"/>
        </w:rPr>
        <w:t>o</w:t>
      </w:r>
      <w:r w:rsidRPr="00526FC2">
        <w:rPr>
          <w:snapToGrid w:val="0"/>
          <w:lang w:eastAsia="sv-SE"/>
        </w:rPr>
        <w:t>nella europeiska modellen har byggts på regler som styr anställning och friställande. Dessa regler har delvis varit kontraproduktiva. Tryggheten måste i stället, menar motionärerna, komma genom ett rikt utbud av indiv</w:t>
      </w:r>
      <w:r w:rsidRPr="00526FC2">
        <w:rPr>
          <w:snapToGrid w:val="0"/>
          <w:lang w:eastAsia="sv-SE"/>
        </w:rPr>
        <w:t>i</w:t>
      </w:r>
      <w:r w:rsidRPr="00526FC2">
        <w:rPr>
          <w:snapToGrid w:val="0"/>
          <w:lang w:eastAsia="sv-SE"/>
        </w:rPr>
        <w:t>duella anställningsmöjligheter av olika slag. För detta krävs en union där företag kan skapas och växa. Genom att fortsätta fördjupningen av den inre marknaden och genom att avreglera kvarvarande nationella hinder och m</w:t>
      </w:r>
      <w:r w:rsidRPr="00526FC2">
        <w:rPr>
          <w:snapToGrid w:val="0"/>
          <w:lang w:eastAsia="sv-SE"/>
        </w:rPr>
        <w:t>o</w:t>
      </w:r>
      <w:r w:rsidRPr="00526FC2">
        <w:rPr>
          <w:snapToGrid w:val="0"/>
          <w:lang w:eastAsia="sv-SE"/>
        </w:rPr>
        <w:t>nopol kommer svårigheterna att undanröjas för föret</w:t>
      </w:r>
      <w:r w:rsidRPr="00526FC2">
        <w:rPr>
          <w:snapToGrid w:val="0"/>
          <w:lang w:eastAsia="sv-SE"/>
        </w:rPr>
        <w:t>a</w:t>
      </w:r>
      <w:r w:rsidRPr="00526FC2">
        <w:rPr>
          <w:snapToGrid w:val="0"/>
          <w:lang w:eastAsia="sv-SE"/>
        </w:rPr>
        <w:t>gen.</w:t>
      </w:r>
    </w:p>
    <w:p w:rsidR="00526CE7" w:rsidRPr="00526FC2" w:rsidRDefault="00526CE7">
      <w:pPr>
        <w:pStyle w:val="Normaltindrag"/>
      </w:pPr>
      <w:r w:rsidRPr="00526FC2">
        <w:t xml:space="preserve">I motion </w:t>
      </w:r>
      <w:r w:rsidRPr="00526FC2">
        <w:rPr>
          <w:snapToGrid w:val="0"/>
          <w:lang w:eastAsia="sv-SE"/>
        </w:rPr>
        <w:t xml:space="preserve">1999/2000:U512 (c) </w:t>
      </w:r>
      <w:r w:rsidRPr="00526FC2">
        <w:t>anför motionärerna att principen om ömses</w:t>
      </w:r>
      <w:r w:rsidRPr="00526FC2">
        <w:t>i</w:t>
      </w:r>
      <w:r w:rsidRPr="00526FC2">
        <w:t>digt erkännande, dvs. att en vara som är godkänd i ett land fritt skall få e</w:t>
      </w:r>
      <w:r w:rsidRPr="00526FC2">
        <w:t>x</w:t>
      </w:r>
      <w:r w:rsidRPr="00526FC2">
        <w:t>porteras, inte får snedvrida konkurrensen och pressa mer ambitiösa me</w:t>
      </w:r>
      <w:r w:rsidRPr="00526FC2">
        <w:t>d</w:t>
      </w:r>
      <w:r w:rsidRPr="00526FC2">
        <w:t>lemsländer att sänka sina skyddsnivåer.</w:t>
      </w:r>
    </w:p>
    <w:p w:rsidR="00526CE7" w:rsidRPr="00526FC2" w:rsidRDefault="00526CE7">
      <w:pPr>
        <w:pStyle w:val="Normaltindrag"/>
        <w:rPr>
          <w:snapToGrid w:val="0"/>
          <w:lang w:eastAsia="sv-SE"/>
        </w:rPr>
      </w:pPr>
      <w:r w:rsidRPr="00526FC2">
        <w:rPr>
          <w:snapToGrid w:val="0"/>
          <w:lang w:eastAsia="sv-SE"/>
        </w:rPr>
        <w:t xml:space="preserve">I motion </w:t>
      </w:r>
      <w:r w:rsidRPr="00526FC2">
        <w:t>1999/2000:U513</w:t>
      </w:r>
      <w:r w:rsidRPr="00526FC2">
        <w:rPr>
          <w:b/>
        </w:rPr>
        <w:t xml:space="preserve"> </w:t>
      </w:r>
      <w:r w:rsidRPr="00526FC2">
        <w:t xml:space="preserve">(mp) </w:t>
      </w:r>
      <w:r w:rsidRPr="00526FC2">
        <w:rPr>
          <w:snapToGrid w:val="0"/>
          <w:lang w:eastAsia="sv-SE"/>
        </w:rPr>
        <w:t>sägs att den inre marknaden är allt annat än fri. För att underlätta konkurrensen harmoniseras och standardiseras var</w:t>
      </w:r>
      <w:r w:rsidRPr="00526FC2">
        <w:rPr>
          <w:snapToGrid w:val="0"/>
          <w:lang w:eastAsia="sv-SE"/>
        </w:rPr>
        <w:t>u</w:t>
      </w:r>
      <w:r w:rsidRPr="00526FC2">
        <w:rPr>
          <w:snapToGrid w:val="0"/>
          <w:lang w:eastAsia="sv-SE"/>
        </w:rPr>
        <w:t>utbudet. Det innebär att det blir lättare att sälja en och samma produkt inom hela unionen, men det sker till priset av en reducerad mångfald. Motionäre</w:t>
      </w:r>
      <w:r w:rsidRPr="00526FC2">
        <w:rPr>
          <w:snapToGrid w:val="0"/>
          <w:lang w:eastAsia="sv-SE"/>
        </w:rPr>
        <w:t>r</w:t>
      </w:r>
      <w:r w:rsidRPr="00526FC2">
        <w:rPr>
          <w:snapToGrid w:val="0"/>
          <w:lang w:eastAsia="sv-SE"/>
        </w:rPr>
        <w:t>na framhåller därför att EU:s detaljreglering av varor måste motverkas sa</w:t>
      </w:r>
      <w:r w:rsidRPr="00526FC2">
        <w:rPr>
          <w:snapToGrid w:val="0"/>
          <w:lang w:eastAsia="sv-SE"/>
        </w:rPr>
        <w:t>m</w:t>
      </w:r>
      <w:r w:rsidRPr="00526FC2">
        <w:rPr>
          <w:snapToGrid w:val="0"/>
          <w:lang w:eastAsia="sv-SE"/>
        </w:rPr>
        <w:t>tidigt som den inre marknadens mål om fri rörlighet för varor och ohämmad ekonomisk tillväxt ersätts med sociala och miljömä</w:t>
      </w:r>
      <w:r w:rsidRPr="00526FC2">
        <w:rPr>
          <w:snapToGrid w:val="0"/>
          <w:lang w:eastAsia="sv-SE"/>
        </w:rPr>
        <w:t>s</w:t>
      </w:r>
      <w:r w:rsidRPr="00526FC2">
        <w:rPr>
          <w:snapToGrid w:val="0"/>
          <w:lang w:eastAsia="sv-SE"/>
        </w:rPr>
        <w:t>siga mål.</w:t>
      </w:r>
    </w:p>
    <w:p w:rsidR="00526CE7" w:rsidRPr="00526FC2" w:rsidRDefault="00526CE7">
      <w:pPr>
        <w:pStyle w:val="Normaltindrag"/>
      </w:pPr>
      <w:r w:rsidRPr="00526FC2">
        <w:t xml:space="preserve">I motion </w:t>
      </w:r>
      <w:r w:rsidRPr="00526FC2">
        <w:rPr>
          <w:snapToGrid w:val="0"/>
          <w:lang w:eastAsia="sv-SE"/>
        </w:rPr>
        <w:t xml:space="preserve">1999/2000:N254 (m) </w:t>
      </w:r>
      <w:r w:rsidRPr="00526FC2">
        <w:t>är motionärerna kritiska till en bestämmelse i den tyska skattelagen som föreskriver att preliminärskatt skall erläggas vid gränsöverskridande verksamhet. Den svenska regeringen bör, anför motion</w:t>
      </w:r>
      <w:r w:rsidRPr="00526FC2">
        <w:t>ä</w:t>
      </w:r>
      <w:r w:rsidRPr="00526FC2">
        <w:t xml:space="preserve">rerna, med kraft driva frågan om att ta bort olika typer av handelshinder inom EU. </w:t>
      </w:r>
    </w:p>
    <w:p w:rsidR="00526CE7" w:rsidRPr="00526FC2" w:rsidRDefault="00526CE7">
      <w:pPr>
        <w:pStyle w:val="Rubrik3"/>
      </w:pPr>
      <w:r w:rsidRPr="00526FC2">
        <w:t>Skrivelsen</w:t>
      </w:r>
    </w:p>
    <w:p w:rsidR="00526CE7" w:rsidRPr="00526FC2" w:rsidRDefault="00526CE7">
      <w:pPr>
        <w:rPr>
          <w:snapToGrid w:val="0"/>
          <w:lang w:eastAsia="sv-SE"/>
        </w:rPr>
      </w:pPr>
      <w:r w:rsidRPr="00526FC2">
        <w:rPr>
          <w:snapToGrid w:val="0"/>
          <w:lang w:eastAsia="sv-SE"/>
        </w:rPr>
        <w:t>I skrivelsen (s. 63 f.) redovisas den inre marknadens utveckling. Regeringen konstaterar att den nödvändiga lagstiftningen för den inre marknadens fun</w:t>
      </w:r>
      <w:r w:rsidRPr="00526FC2">
        <w:rPr>
          <w:snapToGrid w:val="0"/>
          <w:lang w:eastAsia="sv-SE"/>
        </w:rPr>
        <w:t>k</w:t>
      </w:r>
      <w:r w:rsidRPr="00526FC2">
        <w:rPr>
          <w:snapToGrid w:val="0"/>
          <w:lang w:eastAsia="sv-SE"/>
        </w:rPr>
        <w:t>tion nu till stor del kan sägas vara på plats, varför ansträngningarna alltmer har kommit att riktas mot tillämpningen av de gemensamma reglerna. Att förvalta den inre marknaden och att därigenom åstadkomma en ökad mar</w:t>
      </w:r>
      <w:r w:rsidRPr="00526FC2">
        <w:rPr>
          <w:snapToGrid w:val="0"/>
          <w:lang w:eastAsia="sv-SE"/>
        </w:rPr>
        <w:t>k</w:t>
      </w:r>
      <w:r w:rsidRPr="00526FC2">
        <w:rPr>
          <w:snapToGrid w:val="0"/>
          <w:lang w:eastAsia="sv-SE"/>
        </w:rPr>
        <w:t>nadsintegration samt effektivitet är en ständigt pågående process, sägs det. Med detta nya synsätt som utgångspunkt presenterade EG-kommissionen i november 1999 sin nya strategi för den inre marknaden. Strategin utgör en omfattande förteckning över vad EG-kommissionen avser att arbeta med, d</w:t>
      </w:r>
      <w:r w:rsidRPr="00526FC2">
        <w:rPr>
          <w:snapToGrid w:val="0"/>
          <w:lang w:eastAsia="sv-SE"/>
        </w:rPr>
        <w:t xml:space="preserve">äribland förslag till lagstiftning samt andra initiativ på den inre marknadens område. </w:t>
      </w:r>
    </w:p>
    <w:p w:rsidR="00526CE7" w:rsidRPr="00526FC2" w:rsidRDefault="00526CE7">
      <w:pPr>
        <w:pStyle w:val="Normaltindrag"/>
        <w:rPr>
          <w:snapToGrid w:val="0"/>
          <w:lang w:eastAsia="sv-SE"/>
        </w:rPr>
      </w:pPr>
      <w:r w:rsidRPr="00526FC2">
        <w:rPr>
          <w:snapToGrid w:val="0"/>
          <w:lang w:eastAsia="sv-SE"/>
        </w:rPr>
        <w:t>Till skillnad från handlingsplanen innehåller den nya strategin inte något slutdatum. EU skall i stället förverkliga ett antal långsiktiga målsättningar för den inre marknaden under en period av fem år. De fyra långsiktiga strategi</w:t>
      </w:r>
      <w:r w:rsidRPr="00526FC2">
        <w:rPr>
          <w:snapToGrid w:val="0"/>
          <w:lang w:eastAsia="sv-SE"/>
        </w:rPr>
        <w:t>s</w:t>
      </w:r>
      <w:r w:rsidRPr="00526FC2">
        <w:rPr>
          <w:snapToGrid w:val="0"/>
          <w:lang w:eastAsia="sv-SE"/>
        </w:rPr>
        <w:t>ka målen som identifierats skall bidra till att</w:t>
      </w:r>
    </w:p>
    <w:p w:rsidR="00526CE7" w:rsidRPr="00526FC2" w:rsidRDefault="00526CE7">
      <w:pPr>
        <w:numPr>
          <w:ilvl w:val="0"/>
          <w:numId w:val="4"/>
        </w:numPr>
        <w:spacing w:before="0"/>
        <w:rPr>
          <w:snapToGrid w:val="0"/>
          <w:lang w:eastAsia="sv-SE"/>
        </w:rPr>
      </w:pPr>
      <w:r w:rsidRPr="00526FC2">
        <w:rPr>
          <w:snapToGrid w:val="0"/>
          <w:lang w:eastAsia="sv-SE"/>
        </w:rPr>
        <w:t>öka medborgarnas livskvalitet,</w:t>
      </w:r>
    </w:p>
    <w:p w:rsidR="00526CE7" w:rsidRPr="00526FC2" w:rsidRDefault="00526CE7">
      <w:pPr>
        <w:numPr>
          <w:ilvl w:val="0"/>
          <w:numId w:val="4"/>
        </w:numPr>
        <w:spacing w:before="0"/>
        <w:rPr>
          <w:snapToGrid w:val="0"/>
          <w:lang w:eastAsia="sv-SE"/>
        </w:rPr>
      </w:pPr>
      <w:r w:rsidRPr="00526FC2">
        <w:rPr>
          <w:snapToGrid w:val="0"/>
          <w:lang w:eastAsia="sv-SE"/>
        </w:rPr>
        <w:t>effektivisera produkt- och kapitalmarknaderna,</w:t>
      </w:r>
    </w:p>
    <w:p w:rsidR="00526CE7" w:rsidRPr="00526FC2" w:rsidRDefault="00526CE7">
      <w:pPr>
        <w:numPr>
          <w:ilvl w:val="0"/>
          <w:numId w:val="4"/>
        </w:numPr>
        <w:spacing w:before="0"/>
        <w:rPr>
          <w:snapToGrid w:val="0"/>
          <w:lang w:eastAsia="sv-SE"/>
        </w:rPr>
      </w:pPr>
      <w:r w:rsidRPr="00526FC2">
        <w:rPr>
          <w:snapToGrid w:val="0"/>
          <w:lang w:eastAsia="sv-SE"/>
        </w:rPr>
        <w:t>förbättra villkoren för näringslivet,</w:t>
      </w:r>
    </w:p>
    <w:p w:rsidR="00526CE7" w:rsidRPr="00526FC2" w:rsidRDefault="00526CE7">
      <w:pPr>
        <w:numPr>
          <w:ilvl w:val="0"/>
          <w:numId w:val="4"/>
        </w:numPr>
        <w:spacing w:before="0"/>
        <w:rPr>
          <w:snapToGrid w:val="0"/>
          <w:lang w:eastAsia="sv-SE"/>
        </w:rPr>
      </w:pPr>
      <w:r w:rsidRPr="00526FC2">
        <w:rPr>
          <w:snapToGrid w:val="0"/>
          <w:lang w:eastAsia="sv-SE"/>
        </w:rPr>
        <w:t>tillvarata fördelarna med den inre marknaden ur ett globalt perspektiv.</w:t>
      </w:r>
    </w:p>
    <w:p w:rsidR="00526CE7" w:rsidRPr="00526FC2" w:rsidRDefault="00526CE7">
      <w:pPr>
        <w:rPr>
          <w:snapToGrid w:val="0"/>
          <w:lang w:eastAsia="sv-SE"/>
        </w:rPr>
      </w:pPr>
      <w:r w:rsidRPr="00526FC2">
        <w:rPr>
          <w:snapToGrid w:val="0"/>
          <w:lang w:eastAsia="sv-SE"/>
        </w:rPr>
        <w:t>Åtgärderna har utformats med sikte på de närmaste 18 månaderna, med halvårsvisa angivelser om när varje individuell åtgärd skall vara genomförd. De målinriktade åtgärderna skall revideras genom en årlig ”inremarknads-cykel”, grundad på en övervakning och en årlig översyn av hur långt arbetet kommit.</w:t>
      </w:r>
    </w:p>
    <w:p w:rsidR="00526CE7" w:rsidRPr="00526FC2" w:rsidRDefault="00526CE7">
      <w:pPr>
        <w:pStyle w:val="Normaltindrag"/>
      </w:pPr>
      <w:r w:rsidRPr="00526FC2">
        <w:rPr>
          <w:snapToGrid w:val="0"/>
          <w:lang w:eastAsia="sv-SE"/>
        </w:rPr>
        <w:t>I skrivelsen nämns att arbetet med de ekonomiska reformerna på produkt- och kapitalmarknaderna, den s.k. Cardiffprocessen, utgör ett viktigt instr</w:t>
      </w:r>
      <w:r w:rsidRPr="00526FC2">
        <w:rPr>
          <w:snapToGrid w:val="0"/>
          <w:lang w:eastAsia="sv-SE"/>
        </w:rPr>
        <w:t>u</w:t>
      </w:r>
      <w:r w:rsidRPr="00526FC2">
        <w:rPr>
          <w:snapToGrid w:val="0"/>
          <w:lang w:eastAsia="sv-SE"/>
        </w:rPr>
        <w:t>ment för att belysa brister i den inre marknadens funktionssätt. Den svenska nationella rapporten pekade bl.a. på en ofullständig harmonisering av sta</w:t>
      </w:r>
      <w:r w:rsidRPr="00526FC2">
        <w:rPr>
          <w:snapToGrid w:val="0"/>
          <w:lang w:eastAsia="sv-SE"/>
        </w:rPr>
        <w:t>n</w:t>
      </w:r>
      <w:r w:rsidRPr="00526FC2">
        <w:rPr>
          <w:snapToGrid w:val="0"/>
          <w:lang w:eastAsia="sv-SE"/>
        </w:rPr>
        <w:t>darder och regelverk, krångliga regler för och dålig kunskap om offentlig upphandling samt en bristande tillämpning av principen om ömsesidigt e</w:t>
      </w:r>
      <w:r w:rsidRPr="00526FC2">
        <w:rPr>
          <w:snapToGrid w:val="0"/>
          <w:lang w:eastAsia="sv-SE"/>
        </w:rPr>
        <w:t>r</w:t>
      </w:r>
      <w:r w:rsidRPr="00526FC2">
        <w:rPr>
          <w:snapToGrid w:val="0"/>
          <w:lang w:eastAsia="sv-SE"/>
        </w:rPr>
        <w:t>kännande som faktorer som håller tillbaka den inre marknadens stora pote</w:t>
      </w:r>
      <w:r w:rsidRPr="00526FC2">
        <w:rPr>
          <w:snapToGrid w:val="0"/>
          <w:lang w:eastAsia="sv-SE"/>
        </w:rPr>
        <w:t>n</w:t>
      </w:r>
      <w:r w:rsidRPr="00526FC2">
        <w:rPr>
          <w:snapToGrid w:val="0"/>
          <w:lang w:eastAsia="sv-SE"/>
        </w:rPr>
        <w:t xml:space="preserve">tial. </w:t>
      </w:r>
    </w:p>
    <w:p w:rsidR="00526CE7" w:rsidRPr="00526FC2" w:rsidRDefault="00526CE7">
      <w:pPr>
        <w:pStyle w:val="Normaltindrag"/>
        <w:rPr>
          <w:snapToGrid w:val="0"/>
          <w:lang w:eastAsia="sv-SE"/>
        </w:rPr>
      </w:pPr>
      <w:r w:rsidRPr="00526FC2">
        <w:rPr>
          <w:snapToGrid w:val="0"/>
          <w:lang w:eastAsia="sv-SE"/>
        </w:rPr>
        <w:t>Vidare framhålls det att när medlemsstaterna genomför gemensamma re</w:t>
      </w:r>
      <w:r w:rsidRPr="00526FC2">
        <w:rPr>
          <w:snapToGrid w:val="0"/>
          <w:lang w:eastAsia="sv-SE"/>
        </w:rPr>
        <w:t>g</w:t>
      </w:r>
      <w:r w:rsidRPr="00526FC2">
        <w:rPr>
          <w:snapToGrid w:val="0"/>
          <w:lang w:eastAsia="sv-SE"/>
        </w:rPr>
        <w:t>ler är det viktigt att det sker i tid och på rätt sätt. Väl genomförda skall re</w:t>
      </w:r>
      <w:r w:rsidRPr="00526FC2">
        <w:rPr>
          <w:snapToGrid w:val="0"/>
          <w:lang w:eastAsia="sv-SE"/>
        </w:rPr>
        <w:t>g</w:t>
      </w:r>
      <w:r w:rsidRPr="00526FC2">
        <w:rPr>
          <w:snapToGrid w:val="0"/>
          <w:lang w:eastAsia="sv-SE"/>
        </w:rPr>
        <w:t>lerna tillämpas på ett likartat sätt; först då skapas en effektiv inre marknad där konsumenter och företag fullt ut kan utnyttja sina rättigheter. Mot ba</w:t>
      </w:r>
      <w:r w:rsidRPr="00526FC2">
        <w:rPr>
          <w:snapToGrid w:val="0"/>
          <w:lang w:eastAsia="sv-SE"/>
        </w:rPr>
        <w:t>k</w:t>
      </w:r>
      <w:r w:rsidRPr="00526FC2">
        <w:rPr>
          <w:snapToGrid w:val="0"/>
          <w:lang w:eastAsia="sv-SE"/>
        </w:rPr>
        <w:t>grund av de brister som finns på lagstiftningsområdet i EU bedriver EG-kommissionen sedan en tid tillbaka ett arbete med att effektivisera och fö</w:t>
      </w:r>
      <w:r w:rsidRPr="00526FC2">
        <w:rPr>
          <w:snapToGrid w:val="0"/>
          <w:lang w:eastAsia="sv-SE"/>
        </w:rPr>
        <w:t>r</w:t>
      </w:r>
      <w:r w:rsidRPr="00526FC2">
        <w:rPr>
          <w:snapToGrid w:val="0"/>
          <w:lang w:eastAsia="sv-SE"/>
        </w:rPr>
        <w:t>bättra det gemensamma regelverket. Arbetet skall presenteras i en årlig ra</w:t>
      </w:r>
      <w:r w:rsidRPr="00526FC2">
        <w:rPr>
          <w:snapToGrid w:val="0"/>
          <w:lang w:eastAsia="sv-SE"/>
        </w:rPr>
        <w:t>p</w:t>
      </w:r>
      <w:r w:rsidRPr="00526FC2">
        <w:rPr>
          <w:snapToGrid w:val="0"/>
          <w:lang w:eastAsia="sv-SE"/>
        </w:rPr>
        <w:t>port till Europeiska rådet. Rapporten skall bl.a. ta upp</w:t>
      </w:r>
      <w:r w:rsidRPr="00526FC2">
        <w:rPr>
          <w:snapToGrid w:val="0"/>
          <w:lang w:eastAsia="sv-SE"/>
        </w:rPr>
        <w:t xml:space="preserve"> det ökade politiska intresset för arbetet med att göra lagstiftningen tydligare, enklare och mer tillgänglig. </w:t>
      </w:r>
    </w:p>
    <w:p w:rsidR="00526CE7" w:rsidRPr="00526FC2" w:rsidRDefault="00526CE7">
      <w:pPr>
        <w:pStyle w:val="Normaltindrag"/>
      </w:pPr>
      <w:r w:rsidRPr="00526FC2">
        <w:rPr>
          <w:snapToGrid w:val="0"/>
          <w:lang w:eastAsia="sv-SE"/>
        </w:rPr>
        <w:t>I skrivelsen redovisas också behovet av att utvärdera EU:s regelfören</w:t>
      </w:r>
      <w:r w:rsidRPr="00526FC2">
        <w:rPr>
          <w:snapToGrid w:val="0"/>
          <w:lang w:eastAsia="sv-SE"/>
        </w:rPr>
        <w:t>k</w:t>
      </w:r>
      <w:r w:rsidRPr="00526FC2">
        <w:rPr>
          <w:snapToGrid w:val="0"/>
          <w:lang w:eastAsia="sv-SE"/>
        </w:rPr>
        <w:t>lingsinitiativ, det s.k. SLIM-programmet. EG-kommissionen har under hö</w:t>
      </w:r>
      <w:r w:rsidRPr="00526FC2">
        <w:rPr>
          <w:snapToGrid w:val="0"/>
          <w:lang w:eastAsia="sv-SE"/>
        </w:rPr>
        <w:t>s</w:t>
      </w:r>
      <w:r w:rsidRPr="00526FC2">
        <w:rPr>
          <w:snapToGrid w:val="0"/>
          <w:lang w:eastAsia="sv-SE"/>
        </w:rPr>
        <w:t xml:space="preserve">ten 1999 arbetat med en översyn av de tre första omgångarna av programmet, dvs. SLIM I–SLIM III. </w:t>
      </w:r>
      <w:r w:rsidRPr="00526FC2">
        <w:t>Den fjärde SLIM-omgången, som har granskat la</w:t>
      </w:r>
      <w:r w:rsidRPr="00526FC2">
        <w:t>g</w:t>
      </w:r>
      <w:r w:rsidRPr="00526FC2">
        <w:t xml:space="preserve">stiftningssituationen gällande förpackningars volym och vikt, klassificering, förpackning och märkning av farliga ämnen samt bolagsrätt, avslutades under år 1999. </w:t>
      </w:r>
      <w:r w:rsidRPr="00526FC2">
        <w:rPr>
          <w:snapToGrid w:val="0"/>
          <w:lang w:eastAsia="sv-SE"/>
        </w:rPr>
        <w:t>EG-kommissionen</w:t>
      </w:r>
      <w:r w:rsidRPr="00526FC2">
        <w:t xml:space="preserve"> presenterade vid rådets möte i december 1999 en rapport om resultatet av arbetet inom SLIM IV.</w:t>
      </w:r>
    </w:p>
    <w:p w:rsidR="00526CE7" w:rsidRPr="00526FC2" w:rsidRDefault="00526CE7">
      <w:pPr>
        <w:pStyle w:val="Normaltindrag"/>
      </w:pPr>
      <w:r w:rsidRPr="00526FC2">
        <w:t>Sverige har varit posit</w:t>
      </w:r>
      <w:r w:rsidRPr="00526FC2">
        <w:t>ivt till arbetet i SLIM-grupperna, framhålls det i skrivelsen. Sverige har i samband med översynen av de tre första SLIM-omgångarna vidhållit inställningen att arbetet måste koncentreras på ekon</w:t>
      </w:r>
      <w:r w:rsidRPr="00526FC2">
        <w:t>o</w:t>
      </w:r>
      <w:r w:rsidRPr="00526FC2">
        <w:t xml:space="preserve">miskt viktiga områden samt leda fram till verkligt konkreta resultat. </w:t>
      </w:r>
    </w:p>
    <w:p w:rsidR="00526CE7" w:rsidRPr="00526FC2" w:rsidRDefault="00526CE7">
      <w:pPr>
        <w:pStyle w:val="Normaltindrag"/>
      </w:pPr>
      <w:r w:rsidRPr="00526FC2">
        <w:t>Under år 1999 använde sig EG-kommissionen för tredje gången av s.k. f</w:t>
      </w:r>
      <w:r w:rsidRPr="00526FC2">
        <w:t>ö</w:t>
      </w:r>
      <w:r w:rsidRPr="00526FC2">
        <w:t>retagspaneler för att testa utkast till nya regler. Testpanelerna, som består av företag i medlemsstaterna, skall inom tre veckor svara på ett frågeformulär där de tar ställning till vilka anpassningskostnader och administrativa bördor som kan bli följden av ett lagförslag. Sverige deltog med 117 företag i den tredje förfrågningen som behandlade ett direktiv om elektriskt och elektr</w:t>
      </w:r>
      <w:r w:rsidRPr="00526FC2">
        <w:t>o</w:t>
      </w:r>
      <w:r w:rsidRPr="00526FC2">
        <w:t>niskt avfall. En sammanställning från EG-kommissionen visar att 35 % av företagspanelerna svarade på enkäten. Av de svenska f</w:t>
      </w:r>
      <w:r w:rsidRPr="00526FC2">
        <w:t>öretagen deltog 23 % enligt samma utvärdering.</w:t>
      </w:r>
    </w:p>
    <w:p w:rsidR="00526CE7" w:rsidRPr="00526FC2" w:rsidRDefault="00526CE7">
      <w:pPr>
        <w:pStyle w:val="Normaltindrag"/>
        <w:rPr>
          <w:snapToGrid w:val="0"/>
          <w:lang w:eastAsia="sv-SE"/>
        </w:rPr>
      </w:pPr>
      <w:r w:rsidRPr="00526FC2">
        <w:rPr>
          <w:snapToGrid w:val="0"/>
          <w:lang w:eastAsia="sv-SE"/>
        </w:rPr>
        <w:t xml:space="preserve">Amsterdamfördraget fördragsfäste målet om hållbar utveckling. Miljö och hållbar utveckling skall integreras i unionens alla verksamhetsområden, i syfte att uppnå hållbar utveckling. </w:t>
      </w:r>
    </w:p>
    <w:p w:rsidR="00526CE7" w:rsidRPr="00526FC2" w:rsidRDefault="00526CE7">
      <w:pPr>
        <w:pStyle w:val="Normaltindrag"/>
        <w:rPr>
          <w:snapToGrid w:val="0"/>
          <w:lang w:eastAsia="sv-SE"/>
        </w:rPr>
      </w:pPr>
      <w:r w:rsidRPr="00526FC2">
        <w:rPr>
          <w:snapToGrid w:val="0"/>
          <w:lang w:eastAsia="sv-SE"/>
        </w:rPr>
        <w:t>Vidare sägs det i skrivelsen att stats- och regeringscheferna i Cardiff år 1998 enades om att arbetet med att integrera miljö och hållbar utveckling i unionens samtliga politikområden skall konkretiseras och intensifieras. Sammanlagt har nio politikområden hittills pekats ut där miljöhänsyn och hållbar utveckling skall integreras inom r</w:t>
      </w:r>
      <w:r w:rsidRPr="00526FC2">
        <w:rPr>
          <w:snapToGrid w:val="0"/>
          <w:lang w:eastAsia="sv-SE"/>
        </w:rPr>
        <w:t>e</w:t>
      </w:r>
      <w:r w:rsidRPr="00526FC2">
        <w:rPr>
          <w:snapToGrid w:val="0"/>
          <w:lang w:eastAsia="sv-SE"/>
        </w:rPr>
        <w:t xml:space="preserve">spektive verksamhetsområden. </w:t>
      </w:r>
    </w:p>
    <w:p w:rsidR="00526CE7" w:rsidRPr="00526FC2" w:rsidRDefault="00526CE7">
      <w:pPr>
        <w:pStyle w:val="Normaltindrag"/>
        <w:rPr>
          <w:snapToGrid w:val="0"/>
          <w:lang w:eastAsia="sv-SE"/>
        </w:rPr>
      </w:pPr>
      <w:r w:rsidRPr="00526FC2">
        <w:rPr>
          <w:snapToGrid w:val="0"/>
          <w:lang w:eastAsia="sv-SE"/>
        </w:rPr>
        <w:t>För att nå målet att kunna balansera integreringen av miljö och hållbar u</w:t>
      </w:r>
      <w:r w:rsidRPr="00526FC2">
        <w:rPr>
          <w:snapToGrid w:val="0"/>
          <w:lang w:eastAsia="sv-SE"/>
        </w:rPr>
        <w:t>t</w:t>
      </w:r>
      <w:r w:rsidRPr="00526FC2">
        <w:rPr>
          <w:snapToGrid w:val="0"/>
          <w:lang w:eastAsia="sv-SE"/>
        </w:rPr>
        <w:t>veckling med social och ekonomisk utveckling lyfts de positiva synergierna mellan de olika områdena fram som en viktig förutsättning. Befintliga info</w:t>
      </w:r>
      <w:r w:rsidRPr="00526FC2">
        <w:rPr>
          <w:snapToGrid w:val="0"/>
          <w:lang w:eastAsia="sv-SE"/>
        </w:rPr>
        <w:t>r</w:t>
      </w:r>
      <w:r w:rsidRPr="00526FC2">
        <w:rPr>
          <w:snapToGrid w:val="0"/>
          <w:lang w:eastAsia="sv-SE"/>
        </w:rPr>
        <w:t>mationsprocedurer skall användas i större utsträckning liksom den redan existerande resultattavlan. Särskilt fokuseras de små och medelstora föret</w:t>
      </w:r>
      <w:r w:rsidRPr="00526FC2">
        <w:rPr>
          <w:snapToGrid w:val="0"/>
          <w:lang w:eastAsia="sv-SE"/>
        </w:rPr>
        <w:t>a</w:t>
      </w:r>
      <w:r w:rsidRPr="00526FC2">
        <w:rPr>
          <w:snapToGrid w:val="0"/>
          <w:lang w:eastAsia="sv-SE"/>
        </w:rPr>
        <w:t>gens situation. Rapporten har avgränsats till att omfatta varor och inte tjän</w:t>
      </w:r>
      <w:r w:rsidRPr="00526FC2">
        <w:rPr>
          <w:snapToGrid w:val="0"/>
          <w:lang w:eastAsia="sv-SE"/>
        </w:rPr>
        <w:t>s</w:t>
      </w:r>
      <w:r w:rsidRPr="00526FC2">
        <w:rPr>
          <w:snapToGrid w:val="0"/>
          <w:lang w:eastAsia="sv-SE"/>
        </w:rPr>
        <w:t>ter i detta första steg och att beakta det arbete som pågår i andra råd. Vidare anges i rapporten vilken framgång som hittills uppnåtts,</w:t>
      </w:r>
      <w:r w:rsidRPr="00526FC2">
        <w:rPr>
          <w:snapToGrid w:val="0"/>
          <w:lang w:eastAsia="sv-SE"/>
        </w:rPr>
        <w:t xml:space="preserve"> och vilka steg som tagits beskrivs. Det gäller bl.a. vilka harmoniseringsåtgärder som vidtagits och hur man bör gå vidare med att analysera problemområden där harmon</w:t>
      </w:r>
      <w:r w:rsidRPr="00526FC2">
        <w:rPr>
          <w:snapToGrid w:val="0"/>
          <w:lang w:eastAsia="sv-SE"/>
        </w:rPr>
        <w:t>i</w:t>
      </w:r>
      <w:r w:rsidRPr="00526FC2">
        <w:rPr>
          <w:snapToGrid w:val="0"/>
          <w:lang w:eastAsia="sv-SE"/>
        </w:rPr>
        <w:t>sering kan vara ett sätt att nå framgång. Andra åtgärder som utpekas är i</w:t>
      </w:r>
      <w:r w:rsidRPr="00526FC2">
        <w:rPr>
          <w:snapToGrid w:val="0"/>
          <w:lang w:eastAsia="sv-SE"/>
        </w:rPr>
        <w:t>n</w:t>
      </w:r>
      <w:r w:rsidRPr="00526FC2">
        <w:rPr>
          <w:snapToGrid w:val="0"/>
          <w:lang w:eastAsia="sv-SE"/>
        </w:rPr>
        <w:t>formationsinsatser och frivilliga överenskommelser. De operativa instrument som lyfts fram i rapporten är bl.a. standarder, offentlig upphandling (inklus</w:t>
      </w:r>
      <w:r w:rsidRPr="00526FC2">
        <w:rPr>
          <w:snapToGrid w:val="0"/>
          <w:lang w:eastAsia="sv-SE"/>
        </w:rPr>
        <w:t>i</w:t>
      </w:r>
      <w:r w:rsidRPr="00526FC2">
        <w:rPr>
          <w:snapToGrid w:val="0"/>
          <w:lang w:eastAsia="sv-SE"/>
        </w:rPr>
        <w:t>ve möjligheten att ställa miljökrav), skatteområdet (miljö- och energiskatter) och mi</w:t>
      </w:r>
      <w:r w:rsidRPr="00526FC2">
        <w:rPr>
          <w:snapToGrid w:val="0"/>
          <w:lang w:eastAsia="sv-SE"/>
        </w:rPr>
        <w:t>l</w:t>
      </w:r>
      <w:r w:rsidRPr="00526FC2">
        <w:rPr>
          <w:snapToGrid w:val="0"/>
          <w:lang w:eastAsia="sv-SE"/>
        </w:rPr>
        <w:t xml:space="preserve">jömärkning. </w:t>
      </w:r>
    </w:p>
    <w:p w:rsidR="00526CE7" w:rsidRPr="00526FC2" w:rsidRDefault="00526CE7">
      <w:pPr>
        <w:pStyle w:val="Normaltindrag"/>
        <w:rPr>
          <w:snapToGrid w:val="0"/>
          <w:lang w:eastAsia="sv-SE"/>
        </w:rPr>
      </w:pPr>
      <w:r w:rsidRPr="00526FC2">
        <w:rPr>
          <w:snapToGrid w:val="0"/>
          <w:lang w:eastAsia="sv-SE"/>
        </w:rPr>
        <w:t xml:space="preserve">Bland de framtida </w:t>
      </w:r>
      <w:r w:rsidRPr="00526FC2">
        <w:rPr>
          <w:snapToGrid w:val="0"/>
          <w:lang w:eastAsia="sv-SE"/>
        </w:rPr>
        <w:t>prioriteringarna märks särskilt genomförandet av rättsakter, regelverket (avseende förenkling, statsstöd och användningen av anmälningsprocedurerna) samt marknadsorienterade åtgärder (avseende frivilliga överenskommelser, miljöledningssystem och miljöintegrerad pr</w:t>
      </w:r>
      <w:r w:rsidRPr="00526FC2">
        <w:rPr>
          <w:snapToGrid w:val="0"/>
          <w:lang w:eastAsia="sv-SE"/>
        </w:rPr>
        <w:t>o</w:t>
      </w:r>
      <w:r w:rsidRPr="00526FC2">
        <w:rPr>
          <w:snapToGrid w:val="0"/>
          <w:lang w:eastAsia="sv-SE"/>
        </w:rPr>
        <w:t xml:space="preserve">duktpolitik). </w:t>
      </w:r>
    </w:p>
    <w:p w:rsidR="00526CE7" w:rsidRPr="00526FC2" w:rsidRDefault="00526CE7">
      <w:pPr>
        <w:pStyle w:val="Normaltindrag"/>
        <w:rPr>
          <w:snapToGrid w:val="0"/>
          <w:lang w:eastAsia="sv-SE"/>
        </w:rPr>
      </w:pPr>
      <w:r w:rsidRPr="00526FC2">
        <w:rPr>
          <w:snapToGrid w:val="0"/>
          <w:lang w:eastAsia="sv-SE"/>
        </w:rPr>
        <w:t>Rådet för den inre marknaden skall sedan följa upp de indikatorer som identifierats för områdena transport, energi, jordbruk och industri och som är sä</w:t>
      </w:r>
      <w:r w:rsidRPr="00526FC2">
        <w:rPr>
          <w:snapToGrid w:val="0"/>
          <w:lang w:eastAsia="sv-SE"/>
        </w:rPr>
        <w:t>r</w:t>
      </w:r>
      <w:r w:rsidRPr="00526FC2">
        <w:rPr>
          <w:snapToGrid w:val="0"/>
          <w:lang w:eastAsia="sv-SE"/>
        </w:rPr>
        <w:t>skilt viktiga områden för den inre marknadens funktion. EG-kommissionen skall under hösten 2000 rapportera till rådet vilka områden som enkelt kan följas upp genom statistik m.m. och därmed inkluderas i resultattavlan. De områden som kan ge synbara positiva effekter skall pri</w:t>
      </w:r>
      <w:r w:rsidRPr="00526FC2">
        <w:rPr>
          <w:snapToGrid w:val="0"/>
          <w:lang w:eastAsia="sv-SE"/>
        </w:rPr>
        <w:t>o</w:t>
      </w:r>
      <w:r w:rsidRPr="00526FC2">
        <w:rPr>
          <w:snapToGrid w:val="0"/>
          <w:lang w:eastAsia="sv-SE"/>
        </w:rPr>
        <w:t>riteras särskilt. Inför framtiden skall rådet för den inre marknaden även ta in tjänsteområdet i sitt arbete med att integrera hållbar utveckling. Vid Europ</w:t>
      </w:r>
      <w:r w:rsidRPr="00526FC2">
        <w:rPr>
          <w:snapToGrid w:val="0"/>
          <w:lang w:eastAsia="sv-SE"/>
        </w:rPr>
        <w:t>e</w:t>
      </w:r>
      <w:r w:rsidRPr="00526FC2">
        <w:rPr>
          <w:snapToGrid w:val="0"/>
          <w:lang w:eastAsia="sv-SE"/>
        </w:rPr>
        <w:t>iska rådets möte i Helsingfors år 1999 beslutades att en översyn av integr</w:t>
      </w:r>
      <w:r w:rsidRPr="00526FC2">
        <w:rPr>
          <w:snapToGrid w:val="0"/>
          <w:lang w:eastAsia="sv-SE"/>
        </w:rPr>
        <w:t>e</w:t>
      </w:r>
      <w:r w:rsidRPr="00526FC2">
        <w:rPr>
          <w:snapToGrid w:val="0"/>
          <w:lang w:eastAsia="sv-SE"/>
        </w:rPr>
        <w:t>ri</w:t>
      </w:r>
      <w:r w:rsidRPr="00526FC2">
        <w:rPr>
          <w:snapToGrid w:val="0"/>
          <w:lang w:eastAsia="sv-SE"/>
        </w:rPr>
        <w:t>ngen skall göras till Europeiska rådets möte i Göt</w:t>
      </w:r>
      <w:r w:rsidRPr="00526FC2">
        <w:rPr>
          <w:snapToGrid w:val="0"/>
          <w:lang w:eastAsia="sv-SE"/>
        </w:rPr>
        <w:t>e</w:t>
      </w:r>
      <w:r w:rsidRPr="00526FC2">
        <w:rPr>
          <w:snapToGrid w:val="0"/>
          <w:lang w:eastAsia="sv-SE"/>
        </w:rPr>
        <w:t xml:space="preserve">borg år 2001. </w:t>
      </w:r>
    </w:p>
    <w:p w:rsidR="00526CE7" w:rsidRPr="00526FC2" w:rsidRDefault="00526CE7">
      <w:pPr>
        <w:pStyle w:val="Normaltindrag"/>
      </w:pPr>
      <w:r w:rsidRPr="00526FC2">
        <w:rPr>
          <w:snapToGrid w:val="0"/>
          <w:lang w:eastAsia="sv-SE"/>
        </w:rPr>
        <w:t>I skrivelsen informeras om att EG-kommissionen</w:t>
      </w:r>
      <w:r w:rsidRPr="00526FC2">
        <w:t xml:space="preserve"> och medlemsstaterna fortsatte under år 1999 med arbetet att modernisera och effektivisera tilläm</w:t>
      </w:r>
      <w:r w:rsidRPr="00526FC2">
        <w:t>p</w:t>
      </w:r>
      <w:r w:rsidRPr="00526FC2">
        <w:t>ningen av konkurrensreglerna för att dels inrikta insatserna på bekämpning av allvarliga överträdelser, dels förb</w:t>
      </w:r>
      <w:r w:rsidRPr="00526FC2">
        <w:t>e</w:t>
      </w:r>
      <w:r w:rsidRPr="00526FC2">
        <w:t>reda EU:s förestående utvidgning.</w:t>
      </w:r>
    </w:p>
    <w:p w:rsidR="00526CE7" w:rsidRPr="00526FC2" w:rsidRDefault="00526CE7">
      <w:pPr>
        <w:pStyle w:val="Normaltindrag"/>
      </w:pPr>
      <w:r w:rsidRPr="00526FC2">
        <w:rPr>
          <w:snapToGrid w:val="0"/>
          <w:lang w:eastAsia="sv-SE"/>
        </w:rPr>
        <w:t>EG-kommissionen</w:t>
      </w:r>
      <w:r w:rsidRPr="00526FC2">
        <w:t xml:space="preserve"> offentliggjorde i april 1999 en vitbok om modernis</w:t>
      </w:r>
      <w:r w:rsidRPr="00526FC2">
        <w:t>e</w:t>
      </w:r>
      <w:r w:rsidRPr="00526FC2">
        <w:t>ring av tillämpningen av konkurrensreglerna (KOM/1999/101). I vitboken föreslås att den gällande ordningen, med anmärkningar och prövning av individuella undantag för visst samarbete mellan företag, tas bort och ersätts med ett legalundantag. Klagomål avses få ökad betydelse som grund för ingripanden. En mer aktiv roll för medlemsstaternas konkurrensmyndigheter och domstolar föreslås också vid tillämpningen av EU:s konkurrensregler. Förslaget om decentrali</w:t>
      </w:r>
      <w:r w:rsidRPr="00526FC2">
        <w:t>serad tillämpning innebär att de nationella myndi</w:t>
      </w:r>
      <w:r w:rsidRPr="00526FC2">
        <w:t>g</w:t>
      </w:r>
      <w:r w:rsidRPr="00526FC2">
        <w:t xml:space="preserve">heterna kommer att ta på sig en mer aktiv verkställighetsroll och att EG-kommissionen inriktar sig på principiellt viktiga ärenden eller ärenden av stor betydelse för EU:s inre marknad. </w:t>
      </w:r>
    </w:p>
    <w:p w:rsidR="00526CE7" w:rsidRPr="00526FC2" w:rsidRDefault="00526CE7">
      <w:pPr>
        <w:pStyle w:val="Normaltindrag"/>
      </w:pPr>
      <w:r w:rsidRPr="00526FC2">
        <w:t>Vid tillämpningen av gemenskapsrä</w:t>
      </w:r>
      <w:r w:rsidRPr="00526FC2">
        <w:t>t</w:t>
      </w:r>
      <w:r w:rsidRPr="00526FC2">
        <w:t>tens konkurrensregler har EG-kommissionen en central roll. EG-kommissionen samråder härvid med me</w:t>
      </w:r>
      <w:r w:rsidRPr="00526FC2">
        <w:t>d</w:t>
      </w:r>
      <w:r w:rsidRPr="00526FC2">
        <w:t>lemsstaternas konkurrensvårdande myndigheter. Konkurrensverket mottog under år 1999 drygt 530 nya ärenden från EG-kommissionen inom ramen för nämnda samrådsförfarande. Ett stort antal ärenden rörde samgående mellan företag. Flera av dessa anmälningar om företagskoncentrationer avsåg för</w:t>
      </w:r>
      <w:r w:rsidRPr="00526FC2">
        <w:t>e</w:t>
      </w:r>
      <w:r w:rsidRPr="00526FC2">
        <w:t>tag med global verksamhet. I ett antal fall, bl.a. på telekommunikationso</w:t>
      </w:r>
      <w:r w:rsidRPr="00526FC2">
        <w:t>m</w:t>
      </w:r>
      <w:r w:rsidRPr="00526FC2">
        <w:t>rådet, gjorde EG-kommissionen fördjupade undersökni</w:t>
      </w:r>
      <w:r w:rsidRPr="00526FC2">
        <w:t>ngar för att utröna om samgåendet kunde leda till en dominerande ställning på de berörda markn</w:t>
      </w:r>
      <w:r w:rsidRPr="00526FC2">
        <w:t>a</w:t>
      </w:r>
      <w:r w:rsidRPr="00526FC2">
        <w:t>derna.</w:t>
      </w:r>
    </w:p>
    <w:p w:rsidR="00526CE7" w:rsidRPr="00526FC2" w:rsidRDefault="00526CE7">
      <w:pPr>
        <w:pStyle w:val="Normaltindrag"/>
        <w:ind w:firstLine="0"/>
        <w:rPr>
          <w:snapToGrid w:val="0"/>
          <w:lang w:eastAsia="sv-SE"/>
        </w:rPr>
      </w:pPr>
    </w:p>
    <w:p w:rsidR="00526CE7" w:rsidRPr="00526FC2" w:rsidRDefault="00526CE7">
      <w:pPr>
        <w:pStyle w:val="Rubrik3"/>
        <w:spacing w:before="123"/>
      </w:pPr>
      <w:r w:rsidRPr="00526FC2">
        <w:t>Vissa kompletterande uppgifter</w:t>
      </w:r>
    </w:p>
    <w:p w:rsidR="00526CE7" w:rsidRPr="00526FC2" w:rsidRDefault="00526CE7">
      <w:r w:rsidRPr="00526FC2">
        <w:t>Motioner liknande med de här aktuella har tidigare behandlats i samband med näringsutskottets yttrande över EU:s regeringskonferens år 1996 (yttr. 1995/96:NU4y) och i samband med näringsutskottets betänkande om Sverige och den inre marknaden (bet. 1996/97:NU14). Näringsutskottet instämde då i den övergripande prioriteringen från svensk sida att aktivt verka för att s</w:t>
      </w:r>
      <w:r w:rsidRPr="00526FC2">
        <w:t>ä</w:t>
      </w:r>
      <w:r w:rsidRPr="00526FC2">
        <w:t>kerställa den inre marknadens effektivitet. Utskottet ställde sig också bakom det fortsatta arbetet med att avveckla återstående hinder för en väl fungera</w:t>
      </w:r>
      <w:r w:rsidRPr="00526FC2">
        <w:t>n</w:t>
      </w:r>
      <w:r w:rsidRPr="00526FC2">
        <w:t>de inre marknad.</w:t>
      </w:r>
    </w:p>
    <w:p w:rsidR="00526CE7" w:rsidRPr="00526FC2" w:rsidRDefault="00526CE7">
      <w:pPr>
        <w:pStyle w:val="Normaltindrag"/>
      </w:pPr>
      <w:r w:rsidRPr="00526FC2">
        <w:t>EG-kommissionen har nyligen presenterat ett meddelande (KOM/2000/104) om hur SLIM-arbetet kan förbättras. Bland annat föreslås att en särskild SLIM-kommitté med deltagare från varje medlemsland inrä</w:t>
      </w:r>
      <w:r w:rsidRPr="00526FC2">
        <w:t>t</w:t>
      </w:r>
      <w:r w:rsidRPr="00526FC2">
        <w:t>tas. Denna skulle ha insyn i samtliga SLIM-projekt och på så vis kunna bidra till större öppenhet och kontinuitet i arbetet, t.ex. när det gäller val av omr</w:t>
      </w:r>
      <w:r w:rsidRPr="00526FC2">
        <w:t>å</w:t>
      </w:r>
      <w:r w:rsidRPr="00526FC2">
        <w:t>den som kan komma i fråga för en översyn. Förslaget innebär att ett perm</w:t>
      </w:r>
      <w:r w:rsidRPr="00526FC2">
        <w:t>a</w:t>
      </w:r>
      <w:r w:rsidRPr="00526FC2">
        <w:t>nent forum inrättas för en kontinuerlig översyn av lagstiftningen.</w:t>
      </w:r>
    </w:p>
    <w:p w:rsidR="00526CE7" w:rsidRPr="00526FC2" w:rsidRDefault="00526CE7">
      <w:pPr>
        <w:pStyle w:val="Normaltindrag"/>
      </w:pPr>
      <w:r w:rsidRPr="00526FC2">
        <w:t>I meddelandet konstaterar EG-kommissionen vidare att det finns behov av en starkare koppling till nationellt regelförenklingsarbete. Bland annat för</w:t>
      </w:r>
      <w:r w:rsidRPr="00526FC2">
        <w:t>e</w:t>
      </w:r>
      <w:r w:rsidRPr="00526FC2">
        <w:t>slås att man, för det område som granskas i SLIM, även ser över vilket u</w:t>
      </w:r>
      <w:r w:rsidRPr="00526FC2">
        <w:t>t</w:t>
      </w:r>
      <w:r w:rsidRPr="00526FC2">
        <w:t>rymme som finns för förenklingar av nationell lagstiftning på området. Ett parallellt nationellt SLIM-liknande projekt föreslås kunna genomföras. Vid rådsmötet den 25 maj i år avser rådet anta slutsatser om SLIM-initiativet.</w:t>
      </w:r>
    </w:p>
    <w:p w:rsidR="00526CE7" w:rsidRPr="00526FC2" w:rsidRDefault="00526CE7">
      <w:pPr>
        <w:pStyle w:val="Normaltindrag"/>
      </w:pPr>
      <w:r w:rsidRPr="00526FC2">
        <w:t>Vad beträffar granskning av ny lagstiftning har, som tidigare nämnts, EG-kommissionen startat pilotprojekt om företagspaneler. En fjärde förfrågning till företagspanelerna skall genomföras under våren 2000. Pilotp</w:t>
      </w:r>
      <w:r w:rsidRPr="00526FC2">
        <w:t>rojektet skall dä</w:t>
      </w:r>
      <w:r w:rsidRPr="00526FC2">
        <w:t>r</w:t>
      </w:r>
      <w:r w:rsidRPr="00526FC2">
        <w:t>efter utvärderas.</w:t>
      </w:r>
    </w:p>
    <w:p w:rsidR="00526CE7" w:rsidRPr="00526FC2" w:rsidRDefault="00526CE7">
      <w:pPr>
        <w:pStyle w:val="Normaltindrag"/>
      </w:pPr>
      <w:r w:rsidRPr="00526FC2">
        <w:t>I Europeiska rådets slutsatser från Lissabonmötet i mars i år uppmanas EG-kommissionen, rådet och medlemsstaterna bl.a. att anta en strategi för att förenkla regelverket, inbegripet administrativa rutiner på nationell och g</w:t>
      </w:r>
      <w:r w:rsidRPr="00526FC2">
        <w:t>e</w:t>
      </w:r>
      <w:r w:rsidRPr="00526FC2">
        <w:t xml:space="preserve">menskapsnivå, liksom åtgärder för ett förbättrat genomförande av direktiv i nationell rätt. </w:t>
      </w:r>
      <w:r w:rsidRPr="00526FC2">
        <w:rPr>
          <w:color w:val="000000"/>
        </w:rPr>
        <w:t>Vidare uppmanas EG-kommissionen, rådet och medlemslä</w:t>
      </w:r>
      <w:r w:rsidRPr="00526FC2">
        <w:rPr>
          <w:color w:val="000000"/>
        </w:rPr>
        <w:t>n</w:t>
      </w:r>
      <w:r w:rsidRPr="00526FC2">
        <w:rPr>
          <w:color w:val="000000"/>
        </w:rPr>
        <w:t>derna att inrätta en gynnsam miljö för att starta och utveckla innovativa företag, särskilt små och medelstora företag.</w:t>
      </w:r>
    </w:p>
    <w:p w:rsidR="00526CE7" w:rsidRPr="00526FC2" w:rsidRDefault="00526CE7">
      <w:pPr>
        <w:pStyle w:val="Normaltindrag"/>
      </w:pPr>
      <w:r w:rsidRPr="00526FC2">
        <w:t>De områden som inte regleras genom gemensamma regler på den inre marknaden omfattas i praktiken av principen om ömsesidigt erkännande. Detta har bl.a. slagits fast genom en omfattande rättspraxis från EG-domstolen. Syftet med principen är att säk</w:t>
      </w:r>
      <w:r w:rsidRPr="00526FC2">
        <w:t>erställa en fungerande handel mellan medlemsstaterna för att därmed uppnå de grundläggande principerna för EU-samarbetet, varibland en fungerande och sund konkurrens ingår. Principen innebär att en vara eller tjänst som är lagligen tillverkad eller marknadsförd i en medlemsstat inte får stoppas av en annan medlemsstat. EG-fördraget medger dock att en medlemsstat kan stoppa en vara eller en tjänst med hänsyn till personers och djurs liv och hälsa, allmän säkerhet och moral etc. Den medlemsstat som stoppar va</w:t>
      </w:r>
      <w:r w:rsidRPr="00526FC2">
        <w:t xml:space="preserve">ran eller tjänsten måste visa att åtgärden var nödvändig och att åtgärden som vidtagits är avsedd att uppnå skyddshänsynen. Vidare måste åtgärden vara proportionell, dvs. inte inverka mer än nödvändigt på handeln. </w:t>
      </w:r>
    </w:p>
    <w:p w:rsidR="00526CE7" w:rsidRPr="00526FC2" w:rsidRDefault="00526CE7">
      <w:pPr>
        <w:pStyle w:val="Normaltindrag"/>
      </w:pPr>
      <w:r w:rsidRPr="00526FC2">
        <w:t>Strävandena att genomföra den inre marknaden har medfört en omorient</w:t>
      </w:r>
      <w:r w:rsidRPr="00526FC2">
        <w:t>e</w:t>
      </w:r>
      <w:r w:rsidRPr="00526FC2">
        <w:t>ring av arbetet med att harmonisera medlemsstaternas tekniska krav på varor. En ny metod har antagits för harmoniseringen på industrivaruområdet, som innebär att det i direktiv endast kortfattat anges vilka tvingande krav ur hä</w:t>
      </w:r>
      <w:r w:rsidRPr="00526FC2">
        <w:t>l</w:t>
      </w:r>
      <w:r w:rsidRPr="00526FC2">
        <w:t>so-, säkerhets- och miljösynpunkt som måste uppfyllas. Utarbetandet av de tekniska detaljerna överlåts på de europeiska standardiseringsorganen. Sta</w:t>
      </w:r>
      <w:r w:rsidRPr="00526FC2">
        <w:t>n</w:t>
      </w:r>
      <w:r w:rsidRPr="00526FC2">
        <w:t xml:space="preserve">darder är frivilliga, men en vara som uppfyller sådan standard förutsätts uppfylla de tvingande kraven. </w:t>
      </w:r>
    </w:p>
    <w:p w:rsidR="00526CE7" w:rsidRPr="00526FC2" w:rsidRDefault="00526CE7">
      <w:pPr>
        <w:pStyle w:val="Normaltindrag"/>
      </w:pPr>
      <w:r w:rsidRPr="00526FC2">
        <w:t>Den nya harmoniseringsmetoden</w:t>
      </w:r>
      <w:r w:rsidRPr="00526FC2">
        <w:t xml:space="preserve"> innebär att marknaderna har öppnats samtidigt som en rimlig säkerhetsnivå uppnåtts utan detaljreglering. Parallellt med de nämnda direktiven enligt den nya metoden gäller dock de äldre d</w:t>
      </w:r>
      <w:r w:rsidRPr="00526FC2">
        <w:t>i</w:t>
      </w:r>
      <w:r w:rsidRPr="00526FC2">
        <w:t>rektiven med smalt giltighetsområde och detaljerade krav.</w:t>
      </w:r>
    </w:p>
    <w:p w:rsidR="00526CE7" w:rsidRPr="00526FC2" w:rsidRDefault="00526CE7">
      <w:pPr>
        <w:pStyle w:val="Normaltindrag"/>
      </w:pPr>
      <w:r w:rsidRPr="00526FC2">
        <w:t>Efter påtryckningar från ett antal europeiska länder samt kritik från EG-</w:t>
      </w:r>
      <w:r w:rsidRPr="00526FC2">
        <w:rPr>
          <w:color w:val="000000"/>
        </w:rPr>
        <w:t>kommissionen</w:t>
      </w:r>
      <w:r w:rsidRPr="00526FC2">
        <w:t xml:space="preserve"> har den tyska finansministern Hans Eichel nu meddelat att föreskriften i den tyska inkomstskattelagen gällande det tyska avdraget för preliminärskatt vid gränsöverskridande verksamhet, som trädde i kraft den 1 april 1999, har återkallats retroaktivt fr.o.m. samma d</w:t>
      </w:r>
      <w:r w:rsidRPr="00526FC2">
        <w:t>a</w:t>
      </w:r>
      <w:r w:rsidRPr="00526FC2">
        <w:t>tum.</w:t>
      </w:r>
    </w:p>
    <w:p w:rsidR="00526CE7" w:rsidRPr="00526FC2" w:rsidRDefault="00526CE7">
      <w:pPr>
        <w:pStyle w:val="Rubrik3"/>
      </w:pPr>
      <w:r w:rsidRPr="00526FC2">
        <w:t>Näringsutskottets ställningstagande</w:t>
      </w:r>
    </w:p>
    <w:p w:rsidR="00526CE7" w:rsidRPr="00526FC2" w:rsidRDefault="00526CE7">
      <w:r w:rsidRPr="00526FC2">
        <w:t>Enligt näringsutskottets uppfattning utgör den inre marknadens områden fundamenten i EU-samarbetet. Det är därför positivt att en ny strategi har initierats med föresatsen att öka marknadsintegrationen och effektiviteten i medlemsländerna. En väl fungerande marknad leder till ökad konkurrens, ökat utbud och lägre priser för konsumenterna. Följden blir ekonomisk til</w:t>
      </w:r>
      <w:r w:rsidRPr="00526FC2">
        <w:t>l</w:t>
      </w:r>
      <w:r w:rsidRPr="00526FC2">
        <w:t>växt och social utvec</w:t>
      </w:r>
      <w:r w:rsidRPr="00526FC2">
        <w:t>k</w:t>
      </w:r>
      <w:r w:rsidRPr="00526FC2">
        <w:t xml:space="preserve">ling. </w:t>
      </w:r>
    </w:p>
    <w:p w:rsidR="00526CE7" w:rsidRPr="00526FC2" w:rsidRDefault="00526CE7">
      <w:pPr>
        <w:pStyle w:val="Normaltindrag"/>
      </w:pPr>
      <w:r w:rsidRPr="00526FC2">
        <w:t>I likhet med vad regeringen anför i skrivelsen anser näringsutskottet att Sverige bör ge ett starkt stöd åt det fortsatta arbetet med att modernisera och effektivisera tillämpningen av konkurrensreglerna. Näringsutskottet vill framhålla att det är ytterst viktigt med klara och entydiga regler på detta område för att säkerställa att nödvändiga förutsättningar skapas som gynnar såväl företagsutvecklingen som EU:s konsumenter. Utskottet förutsätter vidare att konkurrenslagstiftnin</w:t>
      </w:r>
      <w:r w:rsidRPr="00526FC2">
        <w:t xml:space="preserve">gen kommer att bli föremål för en uppföljning inom Regeringskansliet med hänsyn till EG-kommissionens nej till den planerade fusionen mellan Volvo och Scania. </w:t>
      </w:r>
    </w:p>
    <w:p w:rsidR="00526CE7" w:rsidRPr="00526FC2" w:rsidRDefault="00526CE7">
      <w:pPr>
        <w:pStyle w:val="Normaltindrag"/>
      </w:pPr>
      <w:r w:rsidRPr="00526FC2">
        <w:t>Näringsutskottet finner det lovvärt med det arbete som hittills har geno</w:t>
      </w:r>
      <w:r w:rsidRPr="00526FC2">
        <w:t>m</w:t>
      </w:r>
      <w:r w:rsidRPr="00526FC2">
        <w:t>förts inom ramen för det s.k. SLIM-projektet. Det är också utmärkt att en särskild SLIM-kommitté kommer att inrättas för en kontinuerlig översyn av lagstiftningen. På så vis kan projektet bidra till större öppenhet och konti-</w:t>
      </w:r>
      <w:r w:rsidRPr="00526FC2">
        <w:br/>
        <w:t>nuitet i arbetet. Näringsutskottet anser att det även framgent är av stor bet</w:t>
      </w:r>
      <w:r w:rsidRPr="00526FC2">
        <w:t>y</w:t>
      </w:r>
      <w:r w:rsidRPr="00526FC2">
        <w:t>delse att rege</w:t>
      </w:r>
      <w:r w:rsidRPr="00526FC2">
        <w:t>l</w:t>
      </w:r>
      <w:r w:rsidRPr="00526FC2">
        <w:t>förenklingen inom EU ägnas stor uppmärksamhet.</w:t>
      </w:r>
    </w:p>
    <w:p w:rsidR="00526CE7" w:rsidRPr="00526FC2" w:rsidRDefault="00526CE7">
      <w:pPr>
        <w:pStyle w:val="Normaltindrag"/>
      </w:pPr>
      <w:r w:rsidRPr="00526FC2">
        <w:t>Att inrätta ett nytt gemenskapsorgan i form av en regelrevision – vilket b</w:t>
      </w:r>
      <w:r w:rsidRPr="00526FC2">
        <w:t>e</w:t>
      </w:r>
      <w:r w:rsidRPr="00526FC2">
        <w:t>gärs i motion 1999/2000:U503 (m) – riskerar enligt näringsutskottets mening att leda till ytterligare byråkratisering av Europasamarbetet och till en org</w:t>
      </w:r>
      <w:r w:rsidRPr="00526FC2">
        <w:t>a</w:t>
      </w:r>
      <w:r w:rsidRPr="00526FC2">
        <w:t xml:space="preserve">nisatorisk överlappning både i förhållande till </w:t>
      </w:r>
      <w:r w:rsidRPr="00526FC2">
        <w:rPr>
          <w:color w:val="000000"/>
        </w:rPr>
        <w:t>EG-kommissionen</w:t>
      </w:r>
      <w:r w:rsidRPr="00526FC2">
        <w:t xml:space="preserve">s eget arbete och till Revisionsrättens ansvarsområde. I stället bör det nuvarande arbetet med fördjupade ansträngningar att förenkla regelverket inom ramen för EU:s nuvarande organisation energiskt fullföljas. </w:t>
      </w:r>
    </w:p>
    <w:p w:rsidR="00526CE7" w:rsidRPr="00526FC2" w:rsidRDefault="00526CE7">
      <w:pPr>
        <w:pStyle w:val="Normaltindrag"/>
      </w:pPr>
      <w:r w:rsidRPr="00526FC2">
        <w:t>Beträffande de här aktuella yrkandena i motionerna 1999/2000:U512 (c) och 1999/200</w:t>
      </w:r>
      <w:r w:rsidRPr="00526FC2">
        <w:t>0:U513 (mp) vill näringsutskottet framföra följande. Genom Amsterdamfördraget betonas, som tidigare nämnts, att miljöhänsyn skall integreras i alla gemenskapens politikområden för att en hållbar utveckling skall uppnås. Att begreppet hållbar utveckling införs som en princip i EG-fördraget innebär förbättrade möjligheter att skydda miljön i gemenskapen samtidigt som den inre marknadens funktion bibehålls. Näringsutskottet anser att det är utomordentligt viktigt att försöka uppnå en balans mellan de olika int</w:t>
      </w:r>
      <w:r w:rsidRPr="00526FC2">
        <w:t>resseområden som finns för att därmed kunna utveckla och effektiv</w:t>
      </w:r>
      <w:r w:rsidRPr="00526FC2">
        <w:t>i</w:t>
      </w:r>
      <w:r w:rsidRPr="00526FC2">
        <w:t>sera den inre marknaden till gagn för Europas befolkning och kommande generationer. Ur svensk synpunkt är det därför glädjande att EU avser att verka för en intensifiering av arbetet med att integrera såväl miljöfrågorna som de sociala frågorna i utformningen och genomförandet av gemenskapens politik och verksamhet.</w:t>
      </w:r>
    </w:p>
    <w:p w:rsidR="00526CE7" w:rsidRPr="00526FC2" w:rsidRDefault="00526CE7">
      <w:pPr>
        <w:pStyle w:val="Normaltindrag"/>
      </w:pPr>
      <w:r w:rsidRPr="00526FC2">
        <w:t>Beträffande motion 1999/2000:N254 (m) konstaterar utskottet att för</w:t>
      </w:r>
      <w:r w:rsidRPr="00526FC2">
        <w:t>e</w:t>
      </w:r>
      <w:r w:rsidRPr="00526FC2">
        <w:t>skriften i den tyska skattelagen numera upphävts.</w:t>
      </w:r>
    </w:p>
    <w:p w:rsidR="00526CE7" w:rsidRPr="00526FC2" w:rsidRDefault="00526CE7">
      <w:pPr>
        <w:pStyle w:val="Normaltindrag"/>
      </w:pPr>
      <w:r w:rsidRPr="00526FC2">
        <w:t>Med hänvisning till vad som anförts avstyrks de i detta avsnitt behandlade motionsyrkandena.</w:t>
      </w:r>
    </w:p>
    <w:p w:rsidR="00526CE7" w:rsidRPr="00526FC2" w:rsidRDefault="00526CE7">
      <w:pPr>
        <w:pStyle w:val="Rubrik2"/>
      </w:pPr>
      <w:r w:rsidRPr="00526FC2">
        <w:t>EU:s handelshinder</w:t>
      </w:r>
    </w:p>
    <w:p w:rsidR="00526CE7" w:rsidRPr="00526FC2" w:rsidRDefault="00526CE7">
      <w:pPr>
        <w:pStyle w:val="Rubrik3"/>
        <w:spacing w:before="123"/>
      </w:pPr>
      <w:r w:rsidRPr="00526FC2">
        <w:t>Motionen</w:t>
      </w:r>
    </w:p>
    <w:p w:rsidR="00526CE7" w:rsidRPr="00526FC2" w:rsidRDefault="00526CE7">
      <w:r w:rsidRPr="00526FC2">
        <w:t>I motion 1999/2000:U803 (m) framhålls att ett antal länder har svåra byte</w:t>
      </w:r>
      <w:r w:rsidRPr="00526FC2">
        <w:t>s</w:t>
      </w:r>
      <w:r w:rsidRPr="00526FC2">
        <w:t>balansunderskott, orsakade av import av konsumtionsvaror och maskiner. De nya marknadsekonomierna är beroende av goda villkor för marknadstillträde. EU:s handelshinder, särskilt vad gäller stål och tekoprodukter, bör därför, enligt motionärerna, avvecklas.</w:t>
      </w:r>
    </w:p>
    <w:p w:rsidR="00526CE7" w:rsidRPr="00526FC2" w:rsidRDefault="00526CE7">
      <w:pPr>
        <w:pStyle w:val="Rubrik3"/>
      </w:pPr>
      <w:r w:rsidRPr="00526FC2">
        <w:t>Skrivelsen</w:t>
      </w:r>
    </w:p>
    <w:p w:rsidR="00526CE7" w:rsidRPr="00526FC2" w:rsidRDefault="00526CE7">
      <w:pPr>
        <w:rPr>
          <w:snapToGrid w:val="0"/>
          <w:lang w:eastAsia="sv-SE"/>
        </w:rPr>
      </w:pPr>
      <w:r w:rsidRPr="00526FC2">
        <w:t>I skrivelsen (s. 228 f.) redovisas EU:s tekopolitik, som</w:t>
      </w:r>
      <w:r w:rsidRPr="00526FC2">
        <w:rPr>
          <w:snapToGrid w:val="0"/>
          <w:lang w:eastAsia="sv-SE"/>
        </w:rPr>
        <w:t xml:space="preserve"> innebär att importen av textil och kläder begränsas med kvoter mot ett tjugotal exporterande lä</w:t>
      </w:r>
      <w:r w:rsidRPr="00526FC2">
        <w:rPr>
          <w:snapToGrid w:val="0"/>
          <w:lang w:eastAsia="sv-SE"/>
        </w:rPr>
        <w:t>n</w:t>
      </w:r>
      <w:r w:rsidRPr="00526FC2">
        <w:rPr>
          <w:snapToGrid w:val="0"/>
          <w:lang w:eastAsia="sv-SE"/>
        </w:rPr>
        <w:t>der. Enligt Uruguayrundans textilavtal (Agreement on Textiles and Clothing, ATC), skall alla länder inom Världshandelsorganisationen (WTO) gradvis avveckla de nu gällande tekorestriktionerna. Dessa skall vara helt avskaffade den 1 januari 2005. Tullarna på tek</w:t>
      </w:r>
      <w:r w:rsidRPr="00526FC2">
        <w:rPr>
          <w:snapToGrid w:val="0"/>
          <w:lang w:eastAsia="sv-SE"/>
        </w:rPr>
        <w:t>o</w:t>
      </w:r>
      <w:r w:rsidRPr="00526FC2">
        <w:rPr>
          <w:snapToGrid w:val="0"/>
          <w:lang w:eastAsia="sv-SE"/>
        </w:rPr>
        <w:t>varor berörs inte av detta.</w:t>
      </w:r>
    </w:p>
    <w:p w:rsidR="00526CE7" w:rsidRPr="00526FC2" w:rsidRDefault="00526CE7">
      <w:pPr>
        <w:pStyle w:val="Normaltindrag"/>
        <w:rPr>
          <w:snapToGrid w:val="0"/>
          <w:lang w:eastAsia="sv-SE"/>
        </w:rPr>
      </w:pPr>
      <w:r w:rsidRPr="00526FC2">
        <w:rPr>
          <w:snapToGrid w:val="0"/>
          <w:lang w:eastAsia="sv-SE"/>
        </w:rPr>
        <w:t>Vidare redovisas i skrivelsen ingångna avtal under år 1999. Bland annat kan nämnas avtal med Nepal, Laos, Kambodja, OSS-länder</w:t>
      </w:r>
      <w:r w:rsidRPr="00526FC2">
        <w:rPr>
          <w:snapToGrid w:val="0"/>
          <w:lang w:eastAsia="sv-SE"/>
        </w:rPr>
        <w:t>na, Makedonien och Egypten. De besvärliga förhandlingarna med Ukraina resulterade i ett separat tekoavtal. Förhandlingar med Indien om tekohandeln pågår fortf</w:t>
      </w:r>
      <w:r w:rsidRPr="00526FC2">
        <w:rPr>
          <w:snapToGrid w:val="0"/>
          <w:lang w:eastAsia="sv-SE"/>
        </w:rPr>
        <w:t>a</w:t>
      </w:r>
      <w:r w:rsidRPr="00526FC2">
        <w:rPr>
          <w:snapToGrid w:val="0"/>
          <w:lang w:eastAsia="sv-SE"/>
        </w:rPr>
        <w:t>rande.</w:t>
      </w:r>
    </w:p>
    <w:p w:rsidR="00526CE7" w:rsidRPr="00526FC2" w:rsidRDefault="00526CE7">
      <w:pPr>
        <w:pStyle w:val="Rubrik3"/>
      </w:pPr>
      <w:r w:rsidRPr="00526FC2">
        <w:t>Vissa kompletterande uppgifter</w:t>
      </w:r>
    </w:p>
    <w:p w:rsidR="00526CE7" w:rsidRPr="00526FC2" w:rsidRDefault="00526CE7">
      <w:r w:rsidRPr="00526FC2">
        <w:t>Som tidigare nämnts skall, enligt Uruguayrundans s.k. ATC-avtal, avvec</w:t>
      </w:r>
      <w:r w:rsidRPr="00526FC2">
        <w:t>k</w:t>
      </w:r>
      <w:r w:rsidRPr="00526FC2">
        <w:t>lingen av alla de nuvarande tekorestriktionerna mellan GATT/WTO-länderna vara avslutad år 2005. Detta skall ske genom två parallella processer, näml</w:t>
      </w:r>
      <w:r w:rsidRPr="00526FC2">
        <w:t>i</w:t>
      </w:r>
      <w:r w:rsidRPr="00526FC2">
        <w:t>gen</w:t>
      </w:r>
    </w:p>
    <w:p w:rsidR="00526CE7" w:rsidRPr="00526FC2" w:rsidRDefault="00526CE7">
      <w:pPr>
        <w:numPr>
          <w:ilvl w:val="0"/>
          <w:numId w:val="3"/>
        </w:numPr>
        <w:spacing w:before="0"/>
      </w:pPr>
      <w:r w:rsidRPr="00526FC2">
        <w:t>dels genom att stegvis föra in produkter under GATT/WTO:s normala regler, s.k. inte</w:t>
      </w:r>
      <w:r w:rsidRPr="00526FC2">
        <w:t>g</w:t>
      </w:r>
      <w:r w:rsidRPr="00526FC2">
        <w:t>ration,</w:t>
      </w:r>
    </w:p>
    <w:p w:rsidR="00526CE7" w:rsidRPr="00526FC2" w:rsidRDefault="00526CE7">
      <w:pPr>
        <w:numPr>
          <w:ilvl w:val="0"/>
          <w:numId w:val="3"/>
        </w:numPr>
        <w:spacing w:before="0"/>
      </w:pPr>
      <w:r w:rsidRPr="00526FC2">
        <w:t>dels genom gradvisa ökningar av kvarvarande kvoter.</w:t>
      </w:r>
    </w:p>
    <w:p w:rsidR="00526CE7" w:rsidRPr="00526FC2" w:rsidRDefault="00526CE7">
      <w:r w:rsidRPr="00526FC2">
        <w:t>Integrationsprocessen innebär att en viss procentuell andel av 1990 års i</w:t>
      </w:r>
      <w:r w:rsidRPr="00526FC2">
        <w:t>m</w:t>
      </w:r>
      <w:r w:rsidRPr="00526FC2">
        <w:t>port av de tekoprodukter som ATC-avtalet täcker i fyra steg skall föras in i WTO:s regelverk. Detta regelverk tillåter inte kvantitativa restriktioner rikt</w:t>
      </w:r>
      <w:r w:rsidRPr="00526FC2">
        <w:t>a</w:t>
      </w:r>
      <w:r w:rsidRPr="00526FC2">
        <w:t>de enbart mot vissa länder. Avvecklingen skall ske parallellt inom fyra olika varugrupper: garn, tyger, kläder och andra konfektionsvaror. EU och andra importländer väljer själva vilka tekoprodukter inom varje grupp som skall integreras i de olika stegen.</w:t>
      </w:r>
    </w:p>
    <w:p w:rsidR="00526CE7" w:rsidRPr="00526FC2" w:rsidRDefault="00526CE7">
      <w:pPr>
        <w:pStyle w:val="Normaltindrag"/>
      </w:pPr>
      <w:r w:rsidRPr="00526FC2">
        <w:t>I fas I integrerade EU inga begränsade varor. För fas II, som började gälla år 1998, har EU besluta</w:t>
      </w:r>
      <w:r w:rsidRPr="00526FC2">
        <w:t>t att integrera 18 begränsade varor, men kvoterna för dessa var överlag lågt utnyttjade, och för hälften av dem fanns restriktioner mot endast ett land. Beslutet innebär att EU sparar de känsligaste produkte</w:t>
      </w:r>
      <w:r w:rsidRPr="00526FC2">
        <w:t>r</w:t>
      </w:r>
      <w:r w:rsidRPr="00526FC2">
        <w:t>na till de sista avvecklingsstegen, faserna III och IV, som skall genomföras år 2002 respektive 2005. Det sista steget blir också det största och skall o</w:t>
      </w:r>
      <w:r w:rsidRPr="00526FC2">
        <w:t>m</w:t>
      </w:r>
      <w:r w:rsidRPr="00526FC2">
        <w:t>fatta 49 % av den import som skall integr</w:t>
      </w:r>
      <w:r w:rsidRPr="00526FC2">
        <w:t>e</w:t>
      </w:r>
      <w:r w:rsidRPr="00526FC2">
        <w:t>ras.</w:t>
      </w:r>
    </w:p>
    <w:p w:rsidR="00526CE7" w:rsidRPr="00526FC2" w:rsidRDefault="00526CE7">
      <w:pPr>
        <w:pStyle w:val="Normaltindrag"/>
      </w:pPr>
      <w:r w:rsidRPr="00526FC2">
        <w:t>Statsrådet Leif Pagrotsky initierade i början av år 1998 en forskningsra</w:t>
      </w:r>
      <w:r w:rsidRPr="00526FC2">
        <w:t>p</w:t>
      </w:r>
      <w:r w:rsidRPr="00526FC2">
        <w:t>port, som berör avvecklingen av tekorestriktionerna. Rapporten The Cost of EU Trade Protection in Textiles and Clothing, som utarbetats av professor Joseph F. Francois vid Erasmusuniversitetet i Rotterdam samt Dr. Hans-Hinrich Glismann och Dr. Dean Spinanger vid Institute of World Economics i Kiel, redovisades den 31 mars i år. Rapporten visar att konsumenterna i EU-länderna betalar ca 12,7 miljarder euro eller 106,6 miljarder kronor för mycket per år för textil och kläder. Huvuddelen av kostnaderna, 97 %,</w:t>
      </w:r>
      <w:r w:rsidRPr="00526FC2">
        <w:t xml:space="preserve"> beror på de kvantitativa textilkvoterna, medan tullar står för resten. Slutsatserna i forskningsrapporten stämmer väl överens med tidigare gjorda studier i denna fråga. Den ligger också i linje med OECD-rapporterna Open Markets Matter och The Benefits of Trade and Investment Liberalisation från år 1998.</w:t>
      </w:r>
    </w:p>
    <w:p w:rsidR="00526CE7" w:rsidRPr="00526FC2" w:rsidRDefault="00526CE7">
      <w:pPr>
        <w:pStyle w:val="Rubrik3"/>
      </w:pPr>
      <w:r w:rsidRPr="00526FC2">
        <w:t>Näringsutskottets ställningstagande</w:t>
      </w:r>
    </w:p>
    <w:p w:rsidR="00526CE7" w:rsidRPr="00526FC2" w:rsidRDefault="00526CE7">
      <w:r w:rsidRPr="00526FC2">
        <w:t>Näringsutskottet instämmer i vad som sägs i motion 1999/2000:U803 (m) om vikten av att EU:s handelshinder avvecklas i syfte att vidga världsha</w:t>
      </w:r>
      <w:r w:rsidRPr="00526FC2">
        <w:t>n</w:t>
      </w:r>
      <w:r w:rsidRPr="00526FC2">
        <w:t>deln, särskilt vad gäller teko- och jordbruksprodukter. Näringsutskottet har också noterat att statsrådet Leif Pagrotsky varit mycket aktiv i denna fråga. Enligt näringsutskottets uppfattning finns det anledning att på olika sätt ytterligare uppmärksamma denna fråga för att markera dess betydelse. Ett sätt skulle vara att riksdagen med anledning av det aktuella motionsyrkandet gör ett uttalande till regeringen i saken. Utrikesutskottet bör i sin fortsatta beredning av m</w:t>
      </w:r>
      <w:r w:rsidRPr="00526FC2">
        <w:t>o</w:t>
      </w:r>
      <w:r w:rsidRPr="00526FC2">
        <w:t>tionsyrkandet överväga ett sådant ti</w:t>
      </w:r>
      <w:r w:rsidRPr="00526FC2">
        <w:t>llkännagivande.</w:t>
      </w:r>
    </w:p>
    <w:p w:rsidR="00526CE7" w:rsidRPr="00526FC2" w:rsidRDefault="00526CE7">
      <w:pPr>
        <w:pStyle w:val="Rubrik2"/>
      </w:pPr>
      <w:r w:rsidRPr="00526FC2">
        <w:t>Utveckling av förnybara energikällor</w:t>
      </w:r>
    </w:p>
    <w:p w:rsidR="00526CE7" w:rsidRPr="00526FC2" w:rsidRDefault="00526CE7">
      <w:pPr>
        <w:pStyle w:val="Rubrik3"/>
        <w:spacing w:before="123"/>
      </w:pPr>
      <w:r w:rsidRPr="00526FC2">
        <w:t>Motionerna</w:t>
      </w:r>
    </w:p>
    <w:p w:rsidR="00526CE7" w:rsidRPr="00526FC2" w:rsidRDefault="00526CE7">
      <w:r w:rsidRPr="00526FC2">
        <w:t>I motion 1999/2000:U14 (mp) anförs att EG-kommissionens ovilja eller oförmåga att skapa en tydlig plan för reglering av förnybar energiproduktion är uppseendeväckande och fördröjer arbetet med att minska de icke förnyb</w:t>
      </w:r>
      <w:r w:rsidRPr="00526FC2">
        <w:t>a</w:t>
      </w:r>
      <w:r w:rsidRPr="00526FC2">
        <w:t>ra energikällornas dominans på energimarknaden. Motionärerna framhåller att den kanske mest avgörande faktorn för en hållbar energiförsörjning, nä</w:t>
      </w:r>
      <w:r w:rsidRPr="00526FC2">
        <w:t>m</w:t>
      </w:r>
      <w:r w:rsidRPr="00526FC2">
        <w:t>ligen en minskning av dagens konsumtionsnivåer, inte berörs i skrivelsen. Motionärerna föreslår därför att EU:s åtgärdsprogram för energieffektivis</w:t>
      </w:r>
      <w:r w:rsidRPr="00526FC2">
        <w:t>e</w:t>
      </w:r>
      <w:r w:rsidRPr="00526FC2">
        <w:t>ring (SAVE) samt kostnaderna för programmet i fortsättningen skall redov</w:t>
      </w:r>
      <w:r w:rsidRPr="00526FC2">
        <w:t>i</w:t>
      </w:r>
      <w:r w:rsidRPr="00526FC2">
        <w:t>sas i den årliga skrivelsen samt hur mycket av dessa medel som satsas i Sv</w:t>
      </w:r>
      <w:r w:rsidRPr="00526FC2">
        <w:t>e</w:t>
      </w:r>
      <w:r w:rsidRPr="00526FC2">
        <w:t>rige.</w:t>
      </w:r>
    </w:p>
    <w:p w:rsidR="00526CE7" w:rsidRPr="00526FC2" w:rsidRDefault="00526CE7">
      <w:pPr>
        <w:pStyle w:val="Normaltindrag"/>
        <w:rPr>
          <w:snapToGrid w:val="0"/>
          <w:color w:val="000000"/>
          <w:lang w:eastAsia="sv-SE"/>
        </w:rPr>
      </w:pPr>
      <w:r w:rsidRPr="00526FC2">
        <w:t>I motion 1999/2000:U512 (c) framhålls att kärnkraftsreaktorern</w:t>
      </w:r>
      <w:r w:rsidRPr="00526FC2">
        <w:t>a i EU bör omfattas av stränga miljökrav. Dessutom bör ett gemensamt program uta</w:t>
      </w:r>
      <w:r w:rsidRPr="00526FC2">
        <w:t>r</w:t>
      </w:r>
      <w:r w:rsidRPr="00526FC2">
        <w:t xml:space="preserve">betas för avveckling av kärnkraften i EU:s medlemsstater och i </w:t>
      </w:r>
      <w:r w:rsidRPr="00526FC2">
        <w:rPr>
          <w:snapToGrid w:val="0"/>
          <w:color w:val="000000"/>
          <w:lang w:eastAsia="sv-SE"/>
        </w:rPr>
        <w:t>kandidatlä</w:t>
      </w:r>
      <w:r w:rsidRPr="00526FC2">
        <w:rPr>
          <w:snapToGrid w:val="0"/>
          <w:color w:val="000000"/>
          <w:lang w:eastAsia="sv-SE"/>
        </w:rPr>
        <w:t>n</w:t>
      </w:r>
      <w:r w:rsidRPr="00526FC2">
        <w:rPr>
          <w:snapToGrid w:val="0"/>
          <w:color w:val="000000"/>
          <w:lang w:eastAsia="sv-SE"/>
        </w:rPr>
        <w:t>de</w:t>
      </w:r>
      <w:r w:rsidRPr="00526FC2">
        <w:rPr>
          <w:snapToGrid w:val="0"/>
          <w:color w:val="000000"/>
          <w:lang w:eastAsia="sv-SE"/>
        </w:rPr>
        <w:t>r</w:t>
      </w:r>
      <w:r w:rsidRPr="00526FC2">
        <w:rPr>
          <w:snapToGrid w:val="0"/>
          <w:color w:val="000000"/>
          <w:lang w:eastAsia="sv-SE"/>
        </w:rPr>
        <w:t xml:space="preserve">na. </w:t>
      </w:r>
    </w:p>
    <w:p w:rsidR="00526CE7" w:rsidRPr="00526FC2" w:rsidRDefault="00526CE7">
      <w:pPr>
        <w:pStyle w:val="Normaltindrag"/>
        <w:rPr>
          <w:snapToGrid w:val="0"/>
          <w:color w:val="000000"/>
          <w:lang w:eastAsia="sv-SE"/>
        </w:rPr>
      </w:pPr>
      <w:r w:rsidRPr="00526FC2">
        <w:rPr>
          <w:snapToGrid w:val="0"/>
          <w:color w:val="000000"/>
          <w:lang w:eastAsia="sv-SE"/>
        </w:rPr>
        <w:t>Euratomfördraget bör, menar motionärerna, ersättas av ett program för u</w:t>
      </w:r>
      <w:r w:rsidRPr="00526FC2">
        <w:rPr>
          <w:snapToGrid w:val="0"/>
          <w:color w:val="000000"/>
          <w:lang w:eastAsia="sv-SE"/>
        </w:rPr>
        <w:t>t</w:t>
      </w:r>
      <w:r w:rsidRPr="00526FC2">
        <w:rPr>
          <w:snapToGrid w:val="0"/>
          <w:color w:val="000000"/>
          <w:lang w:eastAsia="sv-SE"/>
        </w:rPr>
        <w:t>veckling av förnybara energikällor och energieffektivisering. Vidare fra</w:t>
      </w:r>
      <w:r w:rsidRPr="00526FC2">
        <w:rPr>
          <w:snapToGrid w:val="0"/>
          <w:color w:val="000000"/>
          <w:lang w:eastAsia="sv-SE"/>
        </w:rPr>
        <w:t>m</w:t>
      </w:r>
      <w:r w:rsidRPr="00526FC2">
        <w:rPr>
          <w:snapToGrid w:val="0"/>
          <w:color w:val="000000"/>
          <w:lang w:eastAsia="sv-SE"/>
        </w:rPr>
        <w:t>hålls det att Sverige bör verka för en energipolitisk samverkan, som syftar till en övergång från kärnkraft och fossilbränslen till förnybara och miljövänliga energ</w:t>
      </w:r>
      <w:r w:rsidRPr="00526FC2">
        <w:rPr>
          <w:snapToGrid w:val="0"/>
          <w:color w:val="000000"/>
          <w:lang w:eastAsia="sv-SE"/>
        </w:rPr>
        <w:t>i</w:t>
      </w:r>
      <w:r w:rsidRPr="00526FC2">
        <w:rPr>
          <w:snapToGrid w:val="0"/>
          <w:color w:val="000000"/>
          <w:lang w:eastAsia="sv-SE"/>
        </w:rPr>
        <w:t xml:space="preserve">källor. </w:t>
      </w:r>
    </w:p>
    <w:p w:rsidR="00526CE7" w:rsidRPr="00526FC2" w:rsidRDefault="00526CE7">
      <w:pPr>
        <w:pStyle w:val="Normaltindrag"/>
        <w:rPr>
          <w:snapToGrid w:val="0"/>
          <w:lang w:eastAsia="sv-SE"/>
        </w:rPr>
      </w:pPr>
      <w:r w:rsidRPr="00526FC2">
        <w:rPr>
          <w:snapToGrid w:val="0"/>
          <w:lang w:eastAsia="sv-SE"/>
        </w:rPr>
        <w:t>I motion 1999/2000:U513 (mp)</w:t>
      </w:r>
      <w:r w:rsidRPr="00526FC2">
        <w:rPr>
          <w:b/>
          <w:snapToGrid w:val="0"/>
          <w:lang w:eastAsia="sv-SE"/>
        </w:rPr>
        <w:t xml:space="preserve"> </w:t>
      </w:r>
      <w:r w:rsidRPr="00526FC2">
        <w:rPr>
          <w:snapToGrid w:val="0"/>
          <w:lang w:eastAsia="sv-SE"/>
        </w:rPr>
        <w:t>betonas att Sverige aktivt och offensivt bör driva att EU:s forskningsprogram vad gäller energifrågor helt inriktas på forskning och utveckling kring förnybara energ</w:t>
      </w:r>
      <w:r w:rsidRPr="00526FC2">
        <w:rPr>
          <w:snapToGrid w:val="0"/>
          <w:lang w:eastAsia="sv-SE"/>
        </w:rPr>
        <w:t>i</w:t>
      </w:r>
      <w:r w:rsidRPr="00526FC2">
        <w:rPr>
          <w:snapToGrid w:val="0"/>
          <w:lang w:eastAsia="sv-SE"/>
        </w:rPr>
        <w:t>källor.</w:t>
      </w:r>
    </w:p>
    <w:p w:rsidR="00526CE7" w:rsidRPr="00526FC2" w:rsidRDefault="00526CE7">
      <w:pPr>
        <w:pStyle w:val="Rubrik3"/>
      </w:pPr>
      <w:r w:rsidRPr="00526FC2">
        <w:t>Skrivelsen</w:t>
      </w:r>
    </w:p>
    <w:p w:rsidR="00526CE7" w:rsidRPr="00526FC2" w:rsidRDefault="00526CE7">
      <w:r w:rsidRPr="00526FC2">
        <w:t>I skrivelsen (s. 138 f.) konstateras att EG-fördraget inte har något speciellt avsnitt som handlar om energi. De gemensamma åtgärderna som finns på energiområdet har framför allt utvecklats inom ramen för reglerna om den inre marknaden och på senare tid på basis av unionsfördragets artiklar om transeuropeiska nät (TEN).</w:t>
      </w:r>
    </w:p>
    <w:p w:rsidR="00526CE7" w:rsidRPr="00526FC2" w:rsidRDefault="00526CE7">
      <w:pPr>
        <w:pStyle w:val="Normaltindrag"/>
      </w:pPr>
      <w:r w:rsidRPr="00526FC2">
        <w:t xml:space="preserve">I skrivelsen nämns att medlemsstaterna skulle ha genomfört direktivet om gemensamma regler för den inre marknaden för el (96/92/EG) i nationell rätt i februari 1999. </w:t>
      </w:r>
      <w:r w:rsidRPr="00526FC2">
        <w:rPr>
          <w:snapToGrid w:val="0"/>
          <w:lang w:eastAsia="sv-SE"/>
        </w:rPr>
        <w:t>Nästan alla medlemsstater kommer att gå längre och snabb</w:t>
      </w:r>
      <w:r w:rsidRPr="00526FC2">
        <w:rPr>
          <w:snapToGrid w:val="0"/>
          <w:lang w:eastAsia="sv-SE"/>
        </w:rPr>
        <w:t>a</w:t>
      </w:r>
      <w:r w:rsidRPr="00526FC2">
        <w:rPr>
          <w:snapToGrid w:val="0"/>
          <w:lang w:eastAsia="sv-SE"/>
        </w:rPr>
        <w:t>re fram med att öppna sina marknader än vad som krävs enligt direktivet. Genomförandet är dock inte det sista steget i arbetet med att skapa en inre marknad för el. Direktivet lägger grunden för avregleringen av 15 nationella elmarknader, men för att åstadkomma en gränsöverskridande marknad för el krävs bl.a. system för handel som är icke-diskriminerande. Hinder mot en gränsöverskridande handel såsom avgifter, standarder, flaskhalsar m.m. har under år</w:t>
      </w:r>
      <w:r w:rsidRPr="00526FC2">
        <w:rPr>
          <w:snapToGrid w:val="0"/>
          <w:lang w:eastAsia="sv-SE"/>
        </w:rPr>
        <w:t>en 1998 och 1999 diskuterats i den s.k. Florensprocessen där nati</w:t>
      </w:r>
      <w:r w:rsidRPr="00526FC2">
        <w:rPr>
          <w:snapToGrid w:val="0"/>
          <w:lang w:eastAsia="sv-SE"/>
        </w:rPr>
        <w:t>o</w:t>
      </w:r>
      <w:r w:rsidRPr="00526FC2">
        <w:rPr>
          <w:snapToGrid w:val="0"/>
          <w:lang w:eastAsia="sv-SE"/>
        </w:rPr>
        <w:t>nella tillsynsmyndigheter och systemoperatörer m.fl. deltar. Vid energim</w:t>
      </w:r>
      <w:r w:rsidRPr="00526FC2">
        <w:rPr>
          <w:snapToGrid w:val="0"/>
          <w:lang w:eastAsia="sv-SE"/>
        </w:rPr>
        <w:t>i</w:t>
      </w:r>
      <w:r w:rsidRPr="00526FC2">
        <w:rPr>
          <w:snapToGrid w:val="0"/>
          <w:lang w:eastAsia="sv-SE"/>
        </w:rPr>
        <w:t>nistrarnas möte i december 1999 antog rådet slutsatser som stöd för EG-kommissionens arbete med genomförandet av den inre marknaden för el. Bland annat skall EG-kommissionen till rådsmötet i maj 2000, om inga bet</w:t>
      </w:r>
      <w:r w:rsidRPr="00526FC2">
        <w:rPr>
          <w:snapToGrid w:val="0"/>
          <w:lang w:eastAsia="sv-SE"/>
        </w:rPr>
        <w:t>y</w:t>
      </w:r>
      <w:r w:rsidRPr="00526FC2">
        <w:rPr>
          <w:snapToGrid w:val="0"/>
          <w:lang w:eastAsia="sv-SE"/>
        </w:rPr>
        <w:t>dande framsteg har gjorts på frivillig väg, lämna förslag på reglering eller andra lämpliga åtgärder.</w:t>
      </w:r>
    </w:p>
    <w:p w:rsidR="00526CE7" w:rsidRPr="00526FC2" w:rsidRDefault="00526CE7">
      <w:pPr>
        <w:pStyle w:val="Normaltindrag"/>
        <w:rPr>
          <w:snapToGrid w:val="0"/>
          <w:lang w:eastAsia="sv-SE"/>
        </w:rPr>
      </w:pPr>
      <w:r w:rsidRPr="00526FC2">
        <w:t>I skrivelsen erinras också om att direktivet om gemensamma</w:t>
      </w:r>
      <w:r w:rsidRPr="00526FC2">
        <w:t xml:space="preserve"> regler för den inre marknaden för naturgas skall genomföras senast den 10 augusti 2000. Direktivet </w:t>
      </w:r>
      <w:r w:rsidRPr="00526FC2">
        <w:rPr>
          <w:snapToGrid w:val="0"/>
          <w:lang w:eastAsia="sv-SE"/>
        </w:rPr>
        <w:t>bygger på samma principer som ligger till grund för elmarknad</w:t>
      </w:r>
      <w:r w:rsidRPr="00526FC2">
        <w:rPr>
          <w:snapToGrid w:val="0"/>
          <w:lang w:eastAsia="sv-SE"/>
        </w:rPr>
        <w:t>s</w:t>
      </w:r>
      <w:r w:rsidRPr="00526FC2">
        <w:rPr>
          <w:snapToGrid w:val="0"/>
          <w:lang w:eastAsia="sv-SE"/>
        </w:rPr>
        <w:t>direktivet (tillgång till nätet, ömsesidighet, subsidiaritet och gradvis öppna</w:t>
      </w:r>
      <w:r w:rsidRPr="00526FC2">
        <w:rPr>
          <w:snapToGrid w:val="0"/>
          <w:lang w:eastAsia="sv-SE"/>
        </w:rPr>
        <w:t>n</w:t>
      </w:r>
      <w:r w:rsidRPr="00526FC2">
        <w:rPr>
          <w:snapToGrid w:val="0"/>
          <w:lang w:eastAsia="sv-SE"/>
        </w:rPr>
        <w:t>de av marknaden), men beaktar samtidigt de särskilda villkoren för natu</w:t>
      </w:r>
      <w:r w:rsidRPr="00526FC2">
        <w:rPr>
          <w:snapToGrid w:val="0"/>
          <w:lang w:eastAsia="sv-SE"/>
        </w:rPr>
        <w:t>r</w:t>
      </w:r>
      <w:r w:rsidRPr="00526FC2">
        <w:rPr>
          <w:snapToGrid w:val="0"/>
          <w:lang w:eastAsia="sv-SE"/>
        </w:rPr>
        <w:t>gasmarknaden. Direktivet innehåller gemensamma regler för överföring, distribution, leverans och lagring av naturgas. Vidare fastställs regler för naturgassektorns organisation och funktion, tillträd</w:t>
      </w:r>
      <w:r w:rsidRPr="00526FC2">
        <w:rPr>
          <w:snapToGrid w:val="0"/>
          <w:lang w:eastAsia="sv-SE"/>
        </w:rPr>
        <w:t>e till marknaden samt drift av systemen.</w:t>
      </w:r>
    </w:p>
    <w:p w:rsidR="00526CE7" w:rsidRPr="00526FC2" w:rsidRDefault="00526CE7">
      <w:pPr>
        <w:pStyle w:val="Normaltindrag"/>
        <w:rPr>
          <w:snapToGrid w:val="0"/>
          <w:lang w:eastAsia="sv-SE"/>
        </w:rPr>
      </w:pPr>
      <w:r w:rsidRPr="00526FC2">
        <w:rPr>
          <w:snapToGrid w:val="0"/>
          <w:lang w:eastAsia="sv-SE"/>
        </w:rPr>
        <w:t>Vidare nämns i skrivelsen att energiministrarna vid rådsmötet i maj 1999 höll en riktlinjedebatt i avsikt att ge politisk vägledning inför sammanstäl</w:t>
      </w:r>
      <w:r w:rsidRPr="00526FC2">
        <w:rPr>
          <w:snapToGrid w:val="0"/>
          <w:lang w:eastAsia="sv-SE"/>
        </w:rPr>
        <w:t>l</w:t>
      </w:r>
      <w:r w:rsidRPr="00526FC2">
        <w:rPr>
          <w:snapToGrid w:val="0"/>
          <w:lang w:eastAsia="sv-SE"/>
        </w:rPr>
        <w:t>ningen av energiministrarnas andra rapport om en strategi för hållbar u</w:t>
      </w:r>
      <w:r w:rsidRPr="00526FC2">
        <w:rPr>
          <w:snapToGrid w:val="0"/>
          <w:lang w:eastAsia="sv-SE"/>
        </w:rPr>
        <w:t>t</w:t>
      </w:r>
      <w:r w:rsidRPr="00526FC2">
        <w:rPr>
          <w:snapToGrid w:val="0"/>
          <w:lang w:eastAsia="sv-SE"/>
        </w:rPr>
        <w:t>veckling. Strategin skall komplettera aktiviteter på nationell och regional nivå. Energiministrarna understryker att arbetet för hållbar utveckling är en pågående process som ställer krav på kontinuerlig utveckling utifrån de erfarenheter som görs.</w:t>
      </w:r>
    </w:p>
    <w:p w:rsidR="00526CE7" w:rsidRPr="00526FC2" w:rsidRDefault="00526CE7">
      <w:pPr>
        <w:pStyle w:val="Normaltindrag"/>
      </w:pPr>
      <w:r w:rsidRPr="00526FC2">
        <w:rPr>
          <w:snapToGrid w:val="0"/>
          <w:lang w:eastAsia="sv-SE"/>
        </w:rPr>
        <w:t>I skrivelsen sägs vidare att EG-kommissionen vid rådsmötet i december 1999 presenterade ett förslag till principer för ett framtida ramverk som kan stimulera utvecklingen av förnybara energi</w:t>
      </w:r>
      <w:r w:rsidRPr="00526FC2">
        <w:rPr>
          <w:snapToGrid w:val="0"/>
          <w:lang w:eastAsia="sv-SE"/>
        </w:rPr>
        <w:t>källor. Utgångspunkten är att ett framtida ramverk måste balansera två separata mål. Det ena målet är att stimulera en ökad användning av förnybara energikällor i alla medlemsstater, vilket är nödvändigt om åtagandena inom ramen för Kyotoprotokollet skall kunna uppfyllas. Det andra målet är att inkludera den förnybara elprodukti</w:t>
      </w:r>
      <w:r w:rsidRPr="00526FC2">
        <w:rPr>
          <w:snapToGrid w:val="0"/>
          <w:lang w:eastAsia="sv-SE"/>
        </w:rPr>
        <w:t>o</w:t>
      </w:r>
      <w:r w:rsidRPr="00526FC2">
        <w:rPr>
          <w:snapToGrid w:val="0"/>
          <w:lang w:eastAsia="sv-SE"/>
        </w:rPr>
        <w:t>nen i den inre marknaden för el. För att nå dessa mål identifieras ett antal åtgärder. EG-kommissionen pekar bl.a. på behovet av regler för anslutning av förnybara energikällor till</w:t>
      </w:r>
      <w:r w:rsidRPr="00526FC2">
        <w:rPr>
          <w:snapToGrid w:val="0"/>
          <w:lang w:eastAsia="sv-SE"/>
        </w:rPr>
        <w:t xml:space="preserve"> nätet, att medlemsstaterna måste avskaffa all diskriminering vad gäller de förnybara energikällornas tillträde till den inre marknaden och vikten av att särskilda certifieringssystem inrättas för förn</w:t>
      </w:r>
      <w:r w:rsidRPr="00526FC2">
        <w:rPr>
          <w:snapToGrid w:val="0"/>
          <w:lang w:eastAsia="sv-SE"/>
        </w:rPr>
        <w:t>y</w:t>
      </w:r>
      <w:r w:rsidRPr="00526FC2">
        <w:rPr>
          <w:snapToGrid w:val="0"/>
          <w:lang w:eastAsia="sv-SE"/>
        </w:rPr>
        <w:t>bara energikällor.</w:t>
      </w:r>
    </w:p>
    <w:p w:rsidR="00526CE7" w:rsidRPr="00526FC2" w:rsidRDefault="00526CE7">
      <w:pPr>
        <w:pStyle w:val="Rubrik3"/>
      </w:pPr>
      <w:r w:rsidRPr="00526FC2">
        <w:t>Vissa kompletterande uppgifter</w:t>
      </w:r>
    </w:p>
    <w:p w:rsidR="00526CE7" w:rsidRPr="00526FC2" w:rsidRDefault="00526CE7">
      <w:r w:rsidRPr="00526FC2">
        <w:t>Näringsutskottet gjorde följande bedömning av frågan om Sveriges priorit</w:t>
      </w:r>
      <w:r w:rsidRPr="00526FC2">
        <w:t>e</w:t>
      </w:r>
      <w:r w:rsidRPr="00526FC2">
        <w:t>ring av utvecklingen av förnybara energikällor i sitt yttrande 1998/99:NU1y till utrikesutskottet över regeringens skrivelse om verksamheten i Europeiska unionen år 1998 (skr. 1998/99:60):</w:t>
      </w:r>
    </w:p>
    <w:p w:rsidR="00526CE7" w:rsidRPr="00526FC2" w:rsidRDefault="00526CE7">
      <w:pPr>
        <w:pStyle w:val="Citat"/>
      </w:pPr>
      <w:r w:rsidRPr="00526FC2">
        <w:t>Näringsutskottet gör i grunden samma bedömning som för ett år sedan, nä</w:t>
      </w:r>
      <w:r w:rsidRPr="00526FC2">
        <w:t>m</w:t>
      </w:r>
      <w:r w:rsidRPr="00526FC2">
        <w:t>ligen att förutsättningarna för att effektivisera resursinsatserna i syfte att öka användningen av förnybara energikällor och att åstadkomma en bättre ene</w:t>
      </w:r>
      <w:r w:rsidRPr="00526FC2">
        <w:t>r</w:t>
      </w:r>
      <w:r w:rsidRPr="00526FC2">
        <w:t>gieffektivitet kan vinna väsentliga framsteg under de närmaste åren. Utsko</w:t>
      </w:r>
      <w:r w:rsidRPr="00526FC2">
        <w:t>t</w:t>
      </w:r>
      <w:r w:rsidRPr="00526FC2">
        <w:t>tet hänvisar i den delen till sitt yttrande 1997/98:NU4y. Vidare utgår utsko</w:t>
      </w:r>
      <w:r w:rsidRPr="00526FC2">
        <w:t>t</w:t>
      </w:r>
      <w:r w:rsidRPr="00526FC2">
        <w:t>tet från att frågor om utredning av förnybar energi kommer att aktualiseras under det svenska ordföra</w:t>
      </w:r>
      <w:r w:rsidRPr="00526FC2">
        <w:t>n</w:t>
      </w:r>
      <w:r w:rsidRPr="00526FC2">
        <w:t xml:space="preserve">deskapet i EU. </w:t>
      </w:r>
    </w:p>
    <w:p w:rsidR="00526CE7" w:rsidRPr="00526FC2" w:rsidRDefault="00526CE7">
      <w:r w:rsidRPr="00526FC2">
        <w:t>Sveriges linje i EU-arbetet på energiområdet utgår från 1997 års energipol</w:t>
      </w:r>
      <w:r w:rsidRPr="00526FC2">
        <w:t>i</w:t>
      </w:r>
      <w:r w:rsidRPr="00526FC2">
        <w:t>tiska beslut (prop. 1996/97:84, bet. 1996/97:NU12). Genom beslutet har riktlinjer och finansiella ramar lagts fast för att på kort och lång sikt stödja och främja teknik för effektivare användning av energi och ny elproduktion från förnybara energikällor. Den gemensamma marknaden är betydelsefull vad gäller förstärkning av marknadsnära utvecklingsinsatser. Det är därför angeläget för Sverige att resultat uppnås på gemenskapsnivå. En svensk utgångspunkt i förhandlingsarbetet är att framväxten av förnybara e</w:t>
      </w:r>
      <w:r w:rsidRPr="00526FC2">
        <w:t>nerg</w:t>
      </w:r>
      <w:r w:rsidRPr="00526FC2">
        <w:t>i</w:t>
      </w:r>
      <w:r w:rsidRPr="00526FC2">
        <w:t>källor och energieffektivisering bör stimuleras, genom forskningsinsatser, men också med ekonomiska styrmedel.</w:t>
      </w:r>
    </w:p>
    <w:p w:rsidR="00526CE7" w:rsidRPr="00526FC2" w:rsidRDefault="00526CE7">
      <w:pPr>
        <w:pStyle w:val="Normaltindrag"/>
      </w:pPr>
      <w:r w:rsidRPr="00526FC2">
        <w:t>I gemenskapens ramprogram för forskning och utveckling finns ett särskilt temaprogram för energi som är inriktat på förnybara energikällor, energie</w:t>
      </w:r>
      <w:r w:rsidRPr="00526FC2">
        <w:t>f</w:t>
      </w:r>
      <w:r w:rsidRPr="00526FC2">
        <w:t>fektivisering och ny ren energiteknik.</w:t>
      </w:r>
    </w:p>
    <w:p w:rsidR="00526CE7" w:rsidRPr="00526FC2" w:rsidRDefault="00526CE7">
      <w:pPr>
        <w:pStyle w:val="Normaltindrag"/>
      </w:pPr>
      <w:r w:rsidRPr="00526FC2">
        <w:t>Sverige har tillsammans med flera andra medlemsstater i skilda samma</w:t>
      </w:r>
      <w:r w:rsidRPr="00526FC2">
        <w:t>n</w:t>
      </w:r>
      <w:r w:rsidRPr="00526FC2">
        <w:t>hang efterlyst en samlad bild av gemenskapens verksamhet inom energio</w:t>
      </w:r>
      <w:r w:rsidRPr="00526FC2">
        <w:t>m</w:t>
      </w:r>
      <w:r w:rsidRPr="00526FC2">
        <w:t>rådet. Rådet antog i december 1998 ett formellt beslut om ett flerårigt pr</w:t>
      </w:r>
      <w:r w:rsidRPr="00526FC2">
        <w:t>o</w:t>
      </w:r>
      <w:r w:rsidRPr="00526FC2">
        <w:t>gram för insatser inom energisektorn åren 1998–2002 och därmed samma</w:t>
      </w:r>
      <w:r w:rsidRPr="00526FC2">
        <w:t>n</w:t>
      </w:r>
      <w:r w:rsidRPr="00526FC2">
        <w:t>hörande åtgärder. Ett av de sex delprogrammen är inriktat på förnybara ene</w:t>
      </w:r>
      <w:r w:rsidRPr="00526FC2">
        <w:t>r</w:t>
      </w:r>
      <w:r w:rsidRPr="00526FC2">
        <w:t>gikällor (ALTENER). För perioden har finansieringsramen för programmet fastställts till 77 miljoner euro. Ett annat av de sex delprogrammen är inriktat på energieffektivisering (SAVE). För perioden har finansieringsramen f</w:t>
      </w:r>
      <w:r w:rsidRPr="00526FC2">
        <w:t>ör detta program fastställts till 66 miljoner euro.</w:t>
      </w:r>
    </w:p>
    <w:p w:rsidR="00526CE7" w:rsidRPr="00526FC2" w:rsidRDefault="00526CE7">
      <w:pPr>
        <w:pStyle w:val="Normaltindrag"/>
      </w:pPr>
      <w:r w:rsidRPr="00526FC2">
        <w:t xml:space="preserve">För år 1999 tilldelades projekt med svenska deltagare 33 % av SAVE-budgeten. Inga svenska ansökningar om regionala energikontor inkom under år 1999. För år 1998 tilldelades projekt med svenska deltagare 20 % av </w:t>
      </w:r>
      <w:r w:rsidRPr="00526FC2">
        <w:br/>
        <w:t>SAVE-budgeten. Därutöver upprättades fyra nya regionala energikontor i Sver</w:t>
      </w:r>
      <w:r w:rsidRPr="00526FC2">
        <w:t>i</w:t>
      </w:r>
      <w:r w:rsidRPr="00526FC2">
        <w:t>ge genom SAVE-finansiering.</w:t>
      </w:r>
    </w:p>
    <w:p w:rsidR="00526CE7" w:rsidRPr="00526FC2" w:rsidRDefault="00526CE7">
      <w:pPr>
        <w:pStyle w:val="Rubrik3"/>
      </w:pPr>
      <w:r w:rsidRPr="00526FC2">
        <w:t>Näringsutskottets ställningstagande</w:t>
      </w:r>
    </w:p>
    <w:p w:rsidR="00526CE7" w:rsidRPr="00526FC2" w:rsidRDefault="00526CE7">
      <w:r w:rsidRPr="00526FC2">
        <w:t>Som framgår av tidigare redovisning förekommer inom EU ett omfattande samarbete på energiområdet rörande bl.a. energieffektivisering och främja</w:t>
      </w:r>
      <w:r w:rsidRPr="00526FC2">
        <w:t>n</w:t>
      </w:r>
      <w:r w:rsidRPr="00526FC2">
        <w:t>de av förnybara energikällor. Näringsutskottet ser mycket positivt på ett sådant samarbete, dock utan att göra någon koppling till Euratomfördraget. Inte heller finner näringsutskottet någon anledning att enbart prioritera u</w:t>
      </w:r>
      <w:r w:rsidRPr="00526FC2">
        <w:t>t</w:t>
      </w:r>
      <w:r w:rsidRPr="00526FC2">
        <w:t>veckling kring förnybara energikällor inom ramen för forskningssamarbetet. Näringsutskottet gör därför i grunden samma bedömning som för ett år s</w:t>
      </w:r>
      <w:r w:rsidRPr="00526FC2">
        <w:t>e</w:t>
      </w:r>
      <w:r w:rsidRPr="00526FC2">
        <w:t>dan, nämligen att förutsättningarna för att effektivisera resursinsatserna i syfte att öka användningen av förnybara energikällor och att ås</w:t>
      </w:r>
      <w:r w:rsidRPr="00526FC2">
        <w:t>tadkomma en bättre energieffektivitet kan vinna väsentliga framsteg under de närmaste åren. Utskottet hänvisar i denna del till sitt yttrande 1998/99:NU1y. De akt</w:t>
      </w:r>
      <w:r w:rsidRPr="00526FC2">
        <w:t>u</w:t>
      </w:r>
      <w:r w:rsidRPr="00526FC2">
        <w:t>ella motio</w:t>
      </w:r>
      <w:r w:rsidRPr="00526FC2">
        <w:t>n</w:t>
      </w:r>
      <w:r w:rsidRPr="00526FC2">
        <w:t>syrkandena avstyrks därmed.</w:t>
      </w:r>
    </w:p>
    <w:p w:rsidR="00526CE7" w:rsidRPr="00526FC2" w:rsidRDefault="00526CE7">
      <w:pPr>
        <w:pStyle w:val="Rubrik2"/>
      </w:pPr>
      <w:r w:rsidRPr="00526FC2">
        <w:t>Struktur- och regionalstöd</w:t>
      </w:r>
    </w:p>
    <w:p w:rsidR="00526CE7" w:rsidRPr="00526FC2" w:rsidRDefault="00526CE7">
      <w:pPr>
        <w:pStyle w:val="Rubrik3"/>
        <w:spacing w:before="123"/>
      </w:pPr>
      <w:r w:rsidRPr="00526FC2">
        <w:t>Motionen</w:t>
      </w:r>
    </w:p>
    <w:p w:rsidR="00526CE7" w:rsidRPr="00526FC2" w:rsidRDefault="00526CE7">
      <w:pPr>
        <w:rPr>
          <w:snapToGrid w:val="0"/>
          <w:lang w:eastAsia="sv-SE"/>
        </w:rPr>
      </w:pPr>
      <w:r w:rsidRPr="00526FC2">
        <w:t>Moderata samlingspartiet anför i motion 1999/2000:U503</w:t>
      </w:r>
      <w:r w:rsidRPr="00526FC2">
        <w:rPr>
          <w:b/>
        </w:rPr>
        <w:t xml:space="preserve"> </w:t>
      </w:r>
      <w:r w:rsidRPr="00526FC2">
        <w:t>att struktur- och regionalstöd bör betraktas som övergångslösningar och inte som permanenta subsidier. Att betala in pengar till EU för att sedan få tillbaka dem i form av strukturstöd är inte rimligt, menar motionärerna. I stället bör, enligt motion</w:t>
      </w:r>
      <w:r w:rsidRPr="00526FC2">
        <w:t>ä</w:t>
      </w:r>
      <w:r w:rsidRPr="00526FC2">
        <w:t xml:space="preserve">rerna, medlemsavgift och stöd kvittas mot varandra. Nationella stöd måste dock överensstämma med EU:s krav på konkurrensneutralitet. Svaga och eftersatta regioner behöver dock övergångsvis stöd från EU. </w:t>
      </w:r>
      <w:r w:rsidRPr="00526FC2">
        <w:rPr>
          <w:snapToGrid w:val="0"/>
          <w:color w:val="000000"/>
          <w:lang w:eastAsia="sv-SE"/>
        </w:rPr>
        <w:t>Stöd till efte</w:t>
      </w:r>
      <w:r w:rsidRPr="00526FC2">
        <w:rPr>
          <w:snapToGrid w:val="0"/>
          <w:color w:val="000000"/>
          <w:lang w:eastAsia="sv-SE"/>
        </w:rPr>
        <w:t>r</w:t>
      </w:r>
      <w:r w:rsidRPr="00526FC2">
        <w:rPr>
          <w:snapToGrid w:val="0"/>
          <w:color w:val="000000"/>
          <w:lang w:eastAsia="sv-SE"/>
        </w:rPr>
        <w:t>satta regioner bör, enligt motionärerna, i</w:t>
      </w:r>
      <w:r w:rsidRPr="00526FC2">
        <w:rPr>
          <w:snapToGrid w:val="0"/>
          <w:color w:val="000000"/>
          <w:lang w:eastAsia="sv-SE"/>
        </w:rPr>
        <w:t xml:space="preserve"> första hand bestå av hjälp att bygga upp och stärka institutioner för en fungerande marknadsekonomi, viss fysisk infrastruktur som inte kan marknadsfinansieras samt hjälp till utbildningsi</w:t>
      </w:r>
      <w:r w:rsidRPr="00526FC2">
        <w:rPr>
          <w:snapToGrid w:val="0"/>
          <w:color w:val="000000"/>
          <w:lang w:eastAsia="sv-SE"/>
        </w:rPr>
        <w:t>n</w:t>
      </w:r>
      <w:r w:rsidRPr="00526FC2">
        <w:rPr>
          <w:snapToGrid w:val="0"/>
          <w:color w:val="000000"/>
          <w:lang w:eastAsia="sv-SE"/>
        </w:rPr>
        <w:t>satser. Sådana stöd har visat sig framgångsrika i Spanien, Portugal och I</w:t>
      </w:r>
      <w:r w:rsidRPr="00526FC2">
        <w:rPr>
          <w:snapToGrid w:val="0"/>
          <w:color w:val="000000"/>
          <w:lang w:eastAsia="sv-SE"/>
        </w:rPr>
        <w:t>r</w:t>
      </w:r>
      <w:r w:rsidRPr="00526FC2">
        <w:rPr>
          <w:snapToGrid w:val="0"/>
          <w:color w:val="000000"/>
          <w:lang w:eastAsia="sv-SE"/>
        </w:rPr>
        <w:t>land. I takt med att stödområdet kommer ikapp bör stöden successivt a</w:t>
      </w:r>
      <w:r w:rsidRPr="00526FC2">
        <w:rPr>
          <w:snapToGrid w:val="0"/>
          <w:color w:val="000000"/>
          <w:lang w:eastAsia="sv-SE"/>
        </w:rPr>
        <w:t>v</w:t>
      </w:r>
      <w:r w:rsidRPr="00526FC2">
        <w:rPr>
          <w:snapToGrid w:val="0"/>
          <w:color w:val="000000"/>
          <w:lang w:eastAsia="sv-SE"/>
        </w:rPr>
        <w:t>vecklas. Att fastna i ett bidragsberoende vore, menar motionärerna, djupt olyckligt. Stöden får därför aldrig vara annat än en öve</w:t>
      </w:r>
      <w:r w:rsidRPr="00526FC2">
        <w:rPr>
          <w:snapToGrid w:val="0"/>
          <w:color w:val="000000"/>
          <w:lang w:eastAsia="sv-SE"/>
        </w:rPr>
        <w:t>r</w:t>
      </w:r>
      <w:r w:rsidRPr="00526FC2">
        <w:rPr>
          <w:snapToGrid w:val="0"/>
          <w:color w:val="000000"/>
          <w:lang w:eastAsia="sv-SE"/>
        </w:rPr>
        <w:t>gångslösning.</w:t>
      </w:r>
    </w:p>
    <w:p w:rsidR="00526CE7" w:rsidRPr="00526FC2" w:rsidRDefault="00526CE7">
      <w:pPr>
        <w:pStyle w:val="Rubrik3"/>
      </w:pPr>
      <w:r w:rsidRPr="00526FC2">
        <w:t>Skrivelsen</w:t>
      </w:r>
    </w:p>
    <w:p w:rsidR="00526CE7" w:rsidRPr="00526FC2" w:rsidRDefault="00526CE7">
      <w:pPr>
        <w:rPr>
          <w:snapToGrid w:val="0"/>
          <w:lang w:eastAsia="sv-SE"/>
        </w:rPr>
      </w:pPr>
      <w:r w:rsidRPr="00526FC2">
        <w:t xml:space="preserve">I skrivelsen (s. 155 f.) redovisas att den </w:t>
      </w:r>
      <w:r w:rsidRPr="00526FC2">
        <w:rPr>
          <w:snapToGrid w:val="0"/>
          <w:lang w:eastAsia="sv-SE"/>
        </w:rPr>
        <w:t>gemensamma regional- och struktu</w:t>
      </w:r>
      <w:r w:rsidRPr="00526FC2">
        <w:rPr>
          <w:snapToGrid w:val="0"/>
          <w:lang w:eastAsia="sv-SE"/>
        </w:rPr>
        <w:t>r</w:t>
      </w:r>
      <w:r w:rsidRPr="00526FC2">
        <w:rPr>
          <w:snapToGrid w:val="0"/>
          <w:lang w:eastAsia="sv-SE"/>
        </w:rPr>
        <w:t>politiken är det viktigaste instrumentet för att minska obalanserna och skil</w:t>
      </w:r>
      <w:r w:rsidRPr="00526FC2">
        <w:rPr>
          <w:snapToGrid w:val="0"/>
          <w:lang w:eastAsia="sv-SE"/>
        </w:rPr>
        <w:t>l</w:t>
      </w:r>
      <w:r w:rsidRPr="00526FC2">
        <w:rPr>
          <w:snapToGrid w:val="0"/>
          <w:lang w:eastAsia="sv-SE"/>
        </w:rPr>
        <w:t>naderna i ekonomisk utveckling mellan regionerna och på så sätt skapa en högre grad av social och ekonomisk sammanhållning inom unionen. Des</w:t>
      </w:r>
      <w:r w:rsidRPr="00526FC2">
        <w:rPr>
          <w:snapToGrid w:val="0"/>
          <w:lang w:eastAsia="sv-SE"/>
        </w:rPr>
        <w:t>s</w:t>
      </w:r>
      <w:r w:rsidRPr="00526FC2">
        <w:rPr>
          <w:snapToGrid w:val="0"/>
          <w:lang w:eastAsia="sv-SE"/>
        </w:rPr>
        <w:t xml:space="preserve">utom är minskade regionala skillnader en nödvändighet om alla regioner inom unionen till fullo skall kunna dra nytta av den inre marknaden och andra tillväxtinriktade åtgärder. </w:t>
      </w:r>
    </w:p>
    <w:p w:rsidR="00526CE7" w:rsidRPr="00526FC2" w:rsidRDefault="00526CE7">
      <w:pPr>
        <w:pStyle w:val="Normaltindrag"/>
        <w:rPr>
          <w:snapToGrid w:val="0"/>
          <w:lang w:eastAsia="sv-SE"/>
        </w:rPr>
      </w:pPr>
      <w:r w:rsidRPr="00526FC2">
        <w:rPr>
          <w:snapToGrid w:val="0"/>
          <w:lang w:eastAsia="sv-SE"/>
        </w:rPr>
        <w:t>Under perioden 1995–1999 har Sverige sammanlagt tagit emot ca 1,4 mi</w:t>
      </w:r>
      <w:r w:rsidRPr="00526FC2">
        <w:rPr>
          <w:snapToGrid w:val="0"/>
          <w:lang w:eastAsia="sv-SE"/>
        </w:rPr>
        <w:t>l</w:t>
      </w:r>
      <w:r w:rsidRPr="00526FC2">
        <w:rPr>
          <w:snapToGrid w:val="0"/>
          <w:lang w:eastAsia="sv-SE"/>
        </w:rPr>
        <w:t>ja</w:t>
      </w:r>
      <w:r w:rsidRPr="00526FC2">
        <w:rPr>
          <w:snapToGrid w:val="0"/>
          <w:lang w:eastAsia="sv-SE"/>
        </w:rPr>
        <w:t>r</w:t>
      </w:r>
      <w:r w:rsidRPr="00526FC2">
        <w:rPr>
          <w:snapToGrid w:val="0"/>
          <w:lang w:eastAsia="sv-SE"/>
        </w:rPr>
        <w:t>der euro från strukturfonderna, vilket motsvarar ca 12 miljarder kronor.</w:t>
      </w:r>
    </w:p>
    <w:p w:rsidR="00526CE7" w:rsidRPr="00526FC2" w:rsidRDefault="00526CE7">
      <w:pPr>
        <w:pStyle w:val="Normaltindrag"/>
        <w:rPr>
          <w:snapToGrid w:val="0"/>
          <w:lang w:eastAsia="sv-SE"/>
        </w:rPr>
      </w:pPr>
      <w:r w:rsidRPr="00526FC2">
        <w:rPr>
          <w:snapToGrid w:val="0"/>
          <w:lang w:eastAsia="sv-SE"/>
        </w:rPr>
        <w:t>Den nya programperioden för strukturfonderna startar år 2000 och pågår t.o.m. år 2006. Rådet beslutade i juni 1999 om de förordningar som skall gälla för den nya programperioden. Antalet målområden skall minska till tre och antalet gemenskapsinitiativ till fyra. Under programperioden kommer Sverige sammanlagt att ta emot ca 2,2 miljarder euro från strukturfonderna, vilket motsvarar ca 19 miljarder kronor.</w:t>
      </w:r>
    </w:p>
    <w:p w:rsidR="00526CE7" w:rsidRPr="00526FC2" w:rsidRDefault="00526CE7">
      <w:pPr>
        <w:pStyle w:val="Rubrik3"/>
      </w:pPr>
      <w:r w:rsidRPr="00526FC2">
        <w:t>Vissa kompletterande uppgifter</w:t>
      </w:r>
    </w:p>
    <w:p w:rsidR="00526CE7" w:rsidRPr="00526FC2" w:rsidRDefault="00526CE7">
      <w:pPr>
        <w:rPr>
          <w:snapToGrid w:val="0"/>
          <w:lang w:eastAsia="sv-SE"/>
        </w:rPr>
      </w:pPr>
      <w:r w:rsidRPr="00526FC2">
        <w:rPr>
          <w:snapToGrid w:val="0"/>
          <w:color w:val="000000"/>
          <w:lang w:eastAsia="sv-SE"/>
        </w:rPr>
        <w:t>EU:s strukturstöd, via strukturfonderna, beslutas för vissa perioder. Den förra perioden varade i sex år, åren 1994–1999, och den innevarande perioden varar i sju år, åren 2000–2006. I samband med en ny period görs en bedö</w:t>
      </w:r>
      <w:r w:rsidRPr="00526FC2">
        <w:rPr>
          <w:snapToGrid w:val="0"/>
          <w:color w:val="000000"/>
          <w:lang w:eastAsia="sv-SE"/>
        </w:rPr>
        <w:t>m</w:t>
      </w:r>
      <w:r w:rsidRPr="00526FC2">
        <w:rPr>
          <w:snapToGrid w:val="0"/>
          <w:color w:val="000000"/>
          <w:lang w:eastAsia="sv-SE"/>
        </w:rPr>
        <w:t>ning av vilka regioner som är i behov av stöd. Inför den nya perioden förän</w:t>
      </w:r>
      <w:r w:rsidRPr="00526FC2">
        <w:rPr>
          <w:snapToGrid w:val="0"/>
          <w:color w:val="000000"/>
          <w:lang w:eastAsia="sv-SE"/>
        </w:rPr>
        <w:t>d</w:t>
      </w:r>
      <w:r w:rsidRPr="00526FC2">
        <w:rPr>
          <w:snapToGrid w:val="0"/>
          <w:color w:val="000000"/>
          <w:lang w:eastAsia="sv-SE"/>
        </w:rPr>
        <w:t xml:space="preserve">rades statusen för bl.a. Dublin- och Lissabonregionerna. Dessutom minskade den befolkning inom hela unionen som omfattas av regioner där det kan lämnas strukturstöd. </w:t>
      </w:r>
    </w:p>
    <w:p w:rsidR="00526CE7" w:rsidRPr="00526FC2" w:rsidRDefault="00526CE7">
      <w:pPr>
        <w:pStyle w:val="Rubrik3"/>
      </w:pPr>
      <w:r w:rsidRPr="00526FC2">
        <w:t>Näringsutskottets ställningstagande</w:t>
      </w:r>
    </w:p>
    <w:p w:rsidR="00526CE7" w:rsidRPr="00526FC2" w:rsidRDefault="00526CE7">
      <w:r w:rsidRPr="00526FC2">
        <w:t xml:space="preserve">Formerna för hur stödet skall lämnas har nyligen lagts fast. </w:t>
      </w:r>
      <w:r w:rsidRPr="00526FC2">
        <w:rPr>
          <w:snapToGrid w:val="0"/>
          <w:lang w:eastAsia="sv-SE"/>
        </w:rPr>
        <w:t xml:space="preserve">En eventuell ny metod för att lämna stöd till vissa regioner kan aktualiseras först inför nästa period. </w:t>
      </w:r>
      <w:r w:rsidRPr="00526FC2">
        <w:t>Enligt näringsutskottets mening finns det därför inte nu anledning att aktualisera denna fråga. Den aktuella motionen avstyrks därmed i här berörd del.</w:t>
      </w:r>
    </w:p>
    <w:p w:rsidR="00526CE7" w:rsidRPr="00526FC2" w:rsidRDefault="00526CE7">
      <w:pPr>
        <w:pStyle w:val="Stockholm"/>
      </w:pPr>
      <w:r w:rsidRPr="00526FC2">
        <w:t>Stockholm den 27 april 2000</w:t>
      </w:r>
    </w:p>
    <w:p w:rsidR="00526CE7" w:rsidRPr="00526FC2" w:rsidRDefault="00526CE7">
      <w:pPr>
        <w:pStyle w:val="Vgnar"/>
      </w:pPr>
      <w:r w:rsidRPr="00526FC2">
        <w:t>På näringsutskottets vägnar</w:t>
      </w:r>
    </w:p>
    <w:p w:rsidR="00526CE7" w:rsidRPr="00526FC2" w:rsidRDefault="00526CE7">
      <w:pPr>
        <w:pStyle w:val="Ordfnamn"/>
      </w:pPr>
      <w:bookmarkStart w:id="20" w:name="Ordförande"/>
      <w:bookmarkEnd w:id="20"/>
      <w:r w:rsidRPr="00526FC2">
        <w:t xml:space="preserve">Per Westerberg </w:t>
      </w:r>
    </w:p>
    <w:p w:rsidR="00526CE7" w:rsidRPr="00526FC2" w:rsidRDefault="00526CE7">
      <w:pPr>
        <w:pStyle w:val="Deltagare"/>
      </w:pPr>
      <w:bookmarkStart w:id="21" w:name="Deltagare"/>
      <w:bookmarkEnd w:id="21"/>
      <w:r w:rsidRPr="00526FC2">
        <w:t>I beslutet har deltagit: Per Westerberg (m), Barbro Andersson Öhrn (s), Reynoldh Furustrand (s), Lennart Beijer (v), Ola Karlsson (m), Nils-Göran Holmqvist (s), Marie Granlund (s), Gunilla Wahlén (v), Inger Strömbom (kd), Ola Sundell (m), Ingegerd Saarinen (mp), Åke Sandström (c), Eva Flyborg (fp), Anne Ludvigsson (s), Stefan Hagfeldt (m), Karl Gustav Abramsson (s) och Harald Bergström (kd).</w:t>
      </w:r>
    </w:p>
    <w:p w:rsidR="00526CE7" w:rsidRPr="00526FC2" w:rsidRDefault="00526CE7">
      <w:pPr>
        <w:pStyle w:val="Rubrik1"/>
      </w:pPr>
      <w:bookmarkStart w:id="22" w:name="_Toc479737275"/>
      <w:r w:rsidRPr="00526FC2">
        <w:t>Avvikande mening</w:t>
      </w:r>
      <w:bookmarkEnd w:id="22"/>
      <w:r w:rsidRPr="00526FC2">
        <w:t>ar</w:t>
      </w:r>
    </w:p>
    <w:p w:rsidR="00526CE7" w:rsidRPr="00526FC2" w:rsidRDefault="00526CE7">
      <w:pPr>
        <w:pStyle w:val="Rubrik2"/>
        <w:spacing w:before="123"/>
      </w:pPr>
      <w:r w:rsidRPr="00526FC2">
        <w:t>1. Den inre marknadens utveckling</w:t>
      </w:r>
    </w:p>
    <w:p w:rsidR="00526CE7" w:rsidRPr="00526FC2" w:rsidRDefault="00526CE7">
      <w:r w:rsidRPr="00526FC2">
        <w:t>Per Westerberg (m), Ola Karlsson (m), Inger Strömbom (kd), Ola Sundell (m), Eva Flyborg (fp), Stefan Hagfeldt (m) och Harald Bergström (kd) anser att näringsutskottets ställningstagande i avsnittet om den inre marknadens utveckling bort ha fö</w:t>
      </w:r>
      <w:r w:rsidRPr="00526FC2">
        <w:t>l</w:t>
      </w:r>
      <w:r w:rsidRPr="00526FC2">
        <w:t>jande lydelse:</w:t>
      </w:r>
    </w:p>
    <w:p w:rsidR="00526CE7" w:rsidRPr="00526FC2" w:rsidRDefault="00526CE7">
      <w:pPr>
        <w:pStyle w:val="Normaltindrag"/>
      </w:pPr>
      <w:r w:rsidRPr="00526FC2">
        <w:t xml:space="preserve">Enligt näringsutskottets uppfattning bör Sverige med större kraft än hittills agera mot </w:t>
      </w:r>
      <w:r w:rsidRPr="00526FC2">
        <w:rPr>
          <w:color w:val="000000"/>
        </w:rPr>
        <w:t>EG-kommissionen</w:t>
      </w:r>
      <w:r w:rsidRPr="00526FC2">
        <w:t xml:space="preserve"> och de enskilda medlemsländerna så att en systematisk genomgång av såväl EU:s eget regelverk som de nationella regelverken kommer till stånd i syfte att undanröja de formella hindren mot en väl fungerande konkurrens på den inre marknaden. Ett sätt att stärka detta vore, anser näringsutskottet med instämmande i vad som föreslås i motion 1999/2000:U503 (m), att inrätta ett nytt gemenskapsorgan, en regelrevision, med uppgift att systematiskt granska både gemensamma och nationella re</w:t>
      </w:r>
      <w:r w:rsidRPr="00526FC2">
        <w:t>g</w:t>
      </w:r>
      <w:r w:rsidRPr="00526FC2">
        <w:t>ler. Result</w:t>
      </w:r>
      <w:r w:rsidRPr="00526FC2">
        <w:t>atet av granskningarna bör offentliggöras, och rådet skall därefter ha i uppgift att rekommendera hur bristerna skall åtgärdas. I samband med utvidgning i Central- och Östeuropa är det särskilt viktigt att snedvridande regler och subve</w:t>
      </w:r>
      <w:r w:rsidRPr="00526FC2">
        <w:t>n</w:t>
      </w:r>
      <w:r w:rsidRPr="00526FC2">
        <w:t xml:space="preserve">tioner tas bort. </w:t>
      </w:r>
    </w:p>
    <w:p w:rsidR="00526CE7" w:rsidRPr="00526FC2" w:rsidRDefault="00526CE7">
      <w:pPr>
        <w:pStyle w:val="Normaltindrag"/>
        <w:rPr>
          <w:snapToGrid w:val="0"/>
          <w:lang w:eastAsia="sv-SE"/>
        </w:rPr>
      </w:pPr>
      <w:r w:rsidRPr="00526FC2">
        <w:t xml:space="preserve">Näringsutskottet anser vidare att arbetstagarnas trygghet bör styras genom ett rikt utbud av individuella anställningsmöjligheter. </w:t>
      </w:r>
      <w:r w:rsidRPr="00526FC2">
        <w:rPr>
          <w:snapToGrid w:val="0"/>
          <w:lang w:eastAsia="sv-SE"/>
        </w:rPr>
        <w:t>För detta krävs en union där företag kan skapas och växa. Genom en fortsatt fördjupning av den inre marknaden och en avreglering av kvarvarande nationella hinder och monopol kommer sv</w:t>
      </w:r>
      <w:r w:rsidRPr="00526FC2">
        <w:rPr>
          <w:snapToGrid w:val="0"/>
          <w:lang w:eastAsia="sv-SE"/>
        </w:rPr>
        <w:t>å</w:t>
      </w:r>
      <w:r w:rsidRPr="00526FC2">
        <w:rPr>
          <w:snapToGrid w:val="0"/>
          <w:lang w:eastAsia="sv-SE"/>
        </w:rPr>
        <w:t>righeterna för företagen att undanröjas.</w:t>
      </w:r>
    </w:p>
    <w:p w:rsidR="00526CE7" w:rsidRPr="00526FC2" w:rsidRDefault="00526CE7">
      <w:pPr>
        <w:pStyle w:val="Normaltindrag"/>
      </w:pPr>
      <w:r w:rsidRPr="00526FC2">
        <w:t>Enligt näringsutskottets uppfattning missgynnar EG-kommissionens syn på konkurrenslagstiftningen de små medlemsstaternas industrier och konku</w:t>
      </w:r>
      <w:r w:rsidRPr="00526FC2">
        <w:t>r</w:t>
      </w:r>
      <w:r w:rsidRPr="00526FC2">
        <w:t>rensmöjligheter. Sverige bör ge ett starkt stöd åt det fortsatta arbetet med att modernisera och effektivisera tillämpningen av konkurrensreglerna. N</w:t>
      </w:r>
      <w:r w:rsidRPr="00526FC2">
        <w:t>ä</w:t>
      </w:r>
      <w:r w:rsidRPr="00526FC2">
        <w:t>ringsutskottet vill framhålla att det är ytterst viktigt med klara och entydiga regler på detta område för att säkerställa att nödvändiga förutsättningar sk</w:t>
      </w:r>
      <w:r w:rsidRPr="00526FC2">
        <w:t>a</w:t>
      </w:r>
      <w:r w:rsidRPr="00526FC2">
        <w:t>pas som gynnar såväl företagsutvecklingen som EU:s konsumenter. Utskottet förutsätter vidare att konkurrenslagstiftningen kommer att bli föremål för en uppföljning inom Regeringskansliet med hänsyn till E</w:t>
      </w:r>
      <w:r w:rsidRPr="00526FC2">
        <w:t xml:space="preserve">G-kommissionens nej till den planerade fusionen mellan Volvo och Scania. </w:t>
      </w:r>
    </w:p>
    <w:p w:rsidR="00526CE7" w:rsidRPr="00526FC2" w:rsidRDefault="00526CE7">
      <w:pPr>
        <w:pStyle w:val="Normaltindrag"/>
      </w:pPr>
      <w:r w:rsidRPr="00526FC2">
        <w:t>Med det anförda tillstyrker näringsutskottet den nämnda motionen i berörd del. Övriga motionsyrkanden bör inte föranleda någon åtgärd från riksdagens sida och avstyrks därmed.</w:t>
      </w:r>
      <w:bookmarkStart w:id="23" w:name="Nästa_Reservation"/>
      <w:bookmarkEnd w:id="23"/>
    </w:p>
    <w:p w:rsidR="00526CE7" w:rsidRPr="00526FC2" w:rsidRDefault="00526CE7">
      <w:pPr>
        <w:pStyle w:val="Rubrik2"/>
      </w:pPr>
      <w:r w:rsidRPr="00526FC2">
        <w:t>2. Den inre marknadens utveckling</w:t>
      </w:r>
    </w:p>
    <w:p w:rsidR="00526CE7" w:rsidRPr="00526FC2" w:rsidRDefault="00526CE7">
      <w:r w:rsidRPr="00526FC2">
        <w:t>Ingegerd Saarinen (mp) anser att näringsutskottets ställningstagande i a</w:t>
      </w:r>
      <w:r w:rsidRPr="00526FC2">
        <w:t>v</w:t>
      </w:r>
      <w:r w:rsidRPr="00526FC2">
        <w:t>snittet om den inre marknadens utveckling bort ha följande lydelse:</w:t>
      </w:r>
    </w:p>
    <w:p w:rsidR="00526CE7" w:rsidRPr="00526FC2" w:rsidRDefault="00526CE7">
      <w:pPr>
        <w:pStyle w:val="Normaltindrag"/>
        <w:rPr>
          <w:snapToGrid w:val="0"/>
          <w:lang w:eastAsia="sv-SE"/>
        </w:rPr>
      </w:pPr>
      <w:r w:rsidRPr="00526FC2">
        <w:t xml:space="preserve">Näringsutskottet kan konstatera – i likhet med vad som sägs i motion 1999/2000:U513 (mp) och med ledning av den beskrivning som lämnas i årsberättelsen – att EU:s inre marknad är allt annat än fri. </w:t>
      </w:r>
      <w:r w:rsidRPr="00526FC2">
        <w:rPr>
          <w:snapToGrid w:val="0"/>
          <w:lang w:eastAsia="sv-SE"/>
        </w:rPr>
        <w:t>För att underlätta konkurrensen harmoniseras och standardiseras varuutbudet. Det innebär att det blir lättare att sälja en och samma produkt inom hela unionen, men det sker till priset av en reducerad mångfald. Utskottet anser att EU:s detaljregl</w:t>
      </w:r>
      <w:r w:rsidRPr="00526FC2">
        <w:rPr>
          <w:snapToGrid w:val="0"/>
          <w:lang w:eastAsia="sv-SE"/>
        </w:rPr>
        <w:t>e</w:t>
      </w:r>
      <w:r w:rsidRPr="00526FC2">
        <w:rPr>
          <w:snapToGrid w:val="0"/>
          <w:lang w:eastAsia="sv-SE"/>
        </w:rPr>
        <w:t>ring av varor måste motverkas samtidigt som den inre marknadens mål om fri rörlighet för varor och ohämmad ekonomisk tillväxt ersätts med sociala och mi</w:t>
      </w:r>
      <w:r w:rsidRPr="00526FC2">
        <w:rPr>
          <w:snapToGrid w:val="0"/>
          <w:lang w:eastAsia="sv-SE"/>
        </w:rPr>
        <w:t>l</w:t>
      </w:r>
      <w:r w:rsidRPr="00526FC2">
        <w:rPr>
          <w:snapToGrid w:val="0"/>
          <w:lang w:eastAsia="sv-SE"/>
        </w:rPr>
        <w:t>jömässiga mål.</w:t>
      </w:r>
    </w:p>
    <w:p w:rsidR="00526CE7" w:rsidRPr="00526FC2" w:rsidRDefault="00526CE7">
      <w:pPr>
        <w:pStyle w:val="Normaltindrag"/>
      </w:pPr>
      <w:r w:rsidRPr="00526FC2">
        <w:t>Näringsutskottet menar vidare – i enlighet med vad som anförs i motion 1999/2000:U512 (c) – att p</w:t>
      </w:r>
      <w:r w:rsidRPr="00526FC2">
        <w:t>rincipen om ömsesidigt erkännande inte får sne</w:t>
      </w:r>
      <w:r w:rsidRPr="00526FC2">
        <w:t>d</w:t>
      </w:r>
      <w:r w:rsidRPr="00526FC2">
        <w:t>vrida konkurrensen och pressa mer ambitiösa medlemsstater att sänka sina skyddsnivåer.</w:t>
      </w:r>
    </w:p>
    <w:p w:rsidR="00526CE7" w:rsidRPr="00526FC2" w:rsidRDefault="00526CE7">
      <w:pPr>
        <w:pStyle w:val="Normaltindrag"/>
      </w:pPr>
      <w:r w:rsidRPr="00526FC2">
        <w:t>Med hänvisning till vad som anförts tillstyrker näringsutskottet motionerna 1999/2000:U512 (c) och 1999/2000:U513 (mp) i aktuella delar. Övriga m</w:t>
      </w:r>
      <w:r w:rsidRPr="00526FC2">
        <w:t>o</w:t>
      </w:r>
      <w:r w:rsidRPr="00526FC2">
        <w:t>tionsyrkanden bör inte föranleda någon åtgärd från riksdagens sida och a</w:t>
      </w:r>
      <w:r w:rsidRPr="00526FC2">
        <w:t>v</w:t>
      </w:r>
      <w:r w:rsidRPr="00526FC2">
        <w:t>styrks därmed.</w:t>
      </w:r>
    </w:p>
    <w:p w:rsidR="00526CE7" w:rsidRPr="00526FC2" w:rsidRDefault="00526CE7">
      <w:pPr>
        <w:pStyle w:val="Rubrik2"/>
      </w:pPr>
      <w:r w:rsidRPr="00526FC2">
        <w:t>3. Utveckling av förnybara energikällor</w:t>
      </w:r>
    </w:p>
    <w:p w:rsidR="00526CE7" w:rsidRPr="00526FC2" w:rsidRDefault="00526CE7">
      <w:r w:rsidRPr="00526FC2">
        <w:t>Ingegerd Saarinen (mp) och Åke Sandström (c) anser att näringsutskottets ställningstagande i avsnittet om utveckling av förnybara energikällor bort ha fö</w:t>
      </w:r>
      <w:r w:rsidRPr="00526FC2">
        <w:t>l</w:t>
      </w:r>
      <w:r w:rsidRPr="00526FC2">
        <w:t>jande lydelse:</w:t>
      </w:r>
    </w:p>
    <w:p w:rsidR="00526CE7" w:rsidRPr="00526FC2" w:rsidRDefault="00526CE7">
      <w:pPr>
        <w:pStyle w:val="Normaltindrag"/>
      </w:pPr>
      <w:r w:rsidRPr="00526FC2">
        <w:t>Näringsutskottet kan konstatera, i likhet med var som sägs i motion 1999/2000:U14 (mp), att EG-kommissionen har haft svårigheter när det gäller regleringen av förnybar energiproduktion. EG-kommissionens ofö</w:t>
      </w:r>
      <w:r w:rsidRPr="00526FC2">
        <w:t>r</w:t>
      </w:r>
      <w:r w:rsidRPr="00526FC2">
        <w:t>måga att strukturera en plan för regleringen är uppseendeväckande och fö</w:t>
      </w:r>
      <w:r w:rsidRPr="00526FC2">
        <w:t>r</w:t>
      </w:r>
      <w:r w:rsidRPr="00526FC2">
        <w:t>dröjer arbetet ytterligare med att nå en minskning av de icke-förnybara ene</w:t>
      </w:r>
      <w:r w:rsidRPr="00526FC2">
        <w:t>r</w:t>
      </w:r>
      <w:r w:rsidRPr="00526FC2">
        <w:t>gikällornas dominans på energimarknaden. Näringsutskottet vill framhålla att det inte räcker med att skapa ett stödsystem för förnybara energikällor. Strukturfel som finns inbyggt i marknaden måste också åtgärdas. Stöd till den icke-förnybara energisektorn är t.ex. inte acceptabelt om de uppsatta målen för utsläpp av väx</w:t>
      </w:r>
      <w:r w:rsidRPr="00526FC2">
        <w:t>t</w:t>
      </w:r>
      <w:r w:rsidRPr="00526FC2">
        <w:t xml:space="preserve">husgaser skall uppnås. </w:t>
      </w:r>
    </w:p>
    <w:p w:rsidR="00526CE7" w:rsidRPr="00526FC2" w:rsidRDefault="00526CE7">
      <w:pPr>
        <w:pStyle w:val="Normaltindrag"/>
        <w:rPr>
          <w:snapToGrid w:val="0"/>
          <w:color w:val="000000"/>
          <w:lang w:eastAsia="sv-SE"/>
        </w:rPr>
      </w:pPr>
      <w:r w:rsidRPr="00526FC2">
        <w:t>Enligt näringsu</w:t>
      </w:r>
      <w:r w:rsidRPr="00526FC2">
        <w:t xml:space="preserve">tskottets uppfattning och i enlighet med vad som anförs i motion 1999/2000:U512 (c) bör EU:s kärnkraftsreaktorer omfattas av stränga miljökrav. Ett gemensamt program bör, enligt näringsutskottet, utformas för avveckling av kärnkraften både i EU:s medlemsstater och i </w:t>
      </w:r>
      <w:r w:rsidRPr="00526FC2">
        <w:rPr>
          <w:snapToGrid w:val="0"/>
          <w:color w:val="000000"/>
          <w:lang w:eastAsia="sv-SE"/>
        </w:rPr>
        <w:t>kandidatländerna.</w:t>
      </w:r>
      <w:r w:rsidRPr="00526FC2">
        <w:t xml:space="preserve"> </w:t>
      </w:r>
      <w:r w:rsidRPr="00526FC2">
        <w:rPr>
          <w:snapToGrid w:val="0"/>
          <w:color w:val="000000"/>
          <w:lang w:eastAsia="sv-SE"/>
        </w:rPr>
        <w:t>Vidare bör Sverige verka för en energipolitisk samverkan, med målsättnin</w:t>
      </w:r>
      <w:r w:rsidRPr="00526FC2">
        <w:rPr>
          <w:snapToGrid w:val="0"/>
          <w:color w:val="000000"/>
          <w:lang w:eastAsia="sv-SE"/>
        </w:rPr>
        <w:t>g</w:t>
      </w:r>
      <w:r w:rsidRPr="00526FC2">
        <w:rPr>
          <w:snapToGrid w:val="0"/>
          <w:color w:val="000000"/>
          <w:lang w:eastAsia="sv-SE"/>
        </w:rPr>
        <w:t>en att övergå från kärnkraft och fossilbränslen till förnybara och miljövänliga energ</w:t>
      </w:r>
      <w:r w:rsidRPr="00526FC2">
        <w:rPr>
          <w:snapToGrid w:val="0"/>
          <w:color w:val="000000"/>
          <w:lang w:eastAsia="sv-SE"/>
        </w:rPr>
        <w:t>i</w:t>
      </w:r>
      <w:r w:rsidRPr="00526FC2">
        <w:rPr>
          <w:snapToGrid w:val="0"/>
          <w:color w:val="000000"/>
          <w:lang w:eastAsia="sv-SE"/>
        </w:rPr>
        <w:t xml:space="preserve">källor. </w:t>
      </w:r>
    </w:p>
    <w:p w:rsidR="00526CE7" w:rsidRPr="00526FC2" w:rsidRDefault="00526CE7">
      <w:pPr>
        <w:pStyle w:val="Normaltindrag"/>
      </w:pPr>
      <w:r w:rsidRPr="00526FC2">
        <w:t xml:space="preserve">Euratomfördraget bör, enligt </w:t>
      </w:r>
      <w:r w:rsidRPr="00526FC2">
        <w:rPr>
          <w:snapToGrid w:val="0"/>
          <w:color w:val="000000"/>
          <w:lang w:eastAsia="sv-SE"/>
        </w:rPr>
        <w:t>näringsutskottet</w:t>
      </w:r>
      <w:r w:rsidRPr="00526FC2">
        <w:t>, ersättas av ett program för utveckling av fö</w:t>
      </w:r>
      <w:r w:rsidRPr="00526FC2">
        <w:t>r</w:t>
      </w:r>
      <w:r w:rsidRPr="00526FC2">
        <w:t xml:space="preserve">nybara energikällor och energieffektivitet. </w:t>
      </w:r>
    </w:p>
    <w:p w:rsidR="00526CE7" w:rsidRPr="00526FC2" w:rsidRDefault="00526CE7">
      <w:pPr>
        <w:pStyle w:val="Normaltindrag"/>
      </w:pPr>
      <w:r w:rsidRPr="00526FC2">
        <w:t>Näringsutskottet anser vidare att elkonsumtionen bör reduceras. Rampr</w:t>
      </w:r>
      <w:r w:rsidRPr="00526FC2">
        <w:t>o</w:t>
      </w:r>
      <w:r w:rsidRPr="00526FC2">
        <w:t xml:space="preserve">grammet för energieffektivisering (SAVE) skulle kunna spela en positiv roll i detta arbete. En redogörelse för programmet, liksom kostnaderna härför, bör i fortsättningen finnas med i den årliga redogörelsen. </w:t>
      </w:r>
    </w:p>
    <w:p w:rsidR="00526CE7" w:rsidRPr="00526FC2" w:rsidRDefault="00526CE7">
      <w:pPr>
        <w:pStyle w:val="Normaltindrag"/>
      </w:pPr>
      <w:r w:rsidRPr="00526FC2">
        <w:t>Näringsutskottet vill också betona, i enlighet med vad som sägs i motion 1999/2000:U513 (mp), att Sverige aktivt och offensivt bör driva frågan om att EU:s energiforskningsprogram skall inriktas på forskning och utveckling kring förnybara energikällor.</w:t>
      </w:r>
    </w:p>
    <w:p w:rsidR="00526CE7" w:rsidRPr="00526FC2" w:rsidRDefault="00526CE7">
      <w:pPr>
        <w:pStyle w:val="Normaltindrag"/>
      </w:pPr>
      <w:r w:rsidRPr="00526FC2">
        <w:t>Det sagda innebär att näringsutskottet tillstyrker motionerna 1999/2000:U14 (mp), 1999/2000:U512 (c) och 1999/2000:U513 (mp) i här aktuella delar.</w:t>
      </w:r>
    </w:p>
    <w:p w:rsidR="00526CE7" w:rsidRPr="00526FC2" w:rsidRDefault="00526CE7">
      <w:pPr>
        <w:pStyle w:val="Tryckort"/>
        <w:framePr w:wrap="around"/>
      </w:pPr>
      <w:r w:rsidRPr="00526FC2">
        <w:t>Elanders Gotab, Stockholm  2000</w:t>
      </w:r>
    </w:p>
    <w:p w:rsidR="00526CE7" w:rsidRPr="00526FC2" w:rsidRDefault="00526CE7">
      <w:pPr>
        <w:pStyle w:val="Normaltindrag"/>
      </w:pPr>
    </w:p>
    <w:sectPr w:rsidR="00526CE7" w:rsidRPr="00526FC2">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26CE7" w:rsidRPr="00526FC2" w:rsidRDefault="00526CE7">
      <w:pPr>
        <w:spacing w:before="0" w:line="240" w:lineRule="auto"/>
      </w:pPr>
      <w:r w:rsidRPr="00526FC2">
        <w:separator/>
      </w:r>
    </w:p>
  </w:endnote>
  <w:endnote w:type="continuationSeparator" w:id="0">
    <w:p w:rsidR="00526CE7" w:rsidRPr="00526FC2" w:rsidRDefault="00526CE7">
      <w:pPr>
        <w:spacing w:before="0" w:line="240" w:lineRule="auto"/>
      </w:pPr>
      <w:r w:rsidRPr="00526F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CE7" w:rsidRPr="00526FC2" w:rsidRDefault="00526CE7">
    <w:pPr>
      <w:pStyle w:val="SidfotH"/>
      <w:framePr w:wrap="around"/>
    </w:pPr>
    <w:r w:rsidRPr="00526FC2">
      <w:fldChar w:fldCharType="begin" w:fldLock="1"/>
    </w:r>
    <w:r w:rsidRPr="00526FC2">
      <w:instrText xml:space="preserve"> PAGE </w:instrText>
    </w:r>
    <w:r w:rsidRPr="00526FC2">
      <w:fldChar w:fldCharType="separate"/>
    </w:r>
    <w:r w:rsidRPr="00526FC2">
      <w:t>1</w:t>
    </w:r>
    <w:r w:rsidRPr="00526FC2">
      <w:fldChar w:fldCharType="end"/>
    </w:r>
  </w:p>
  <w:p w:rsidR="00526CE7" w:rsidRPr="00526FC2" w:rsidRDefault="00526C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26CE7" w:rsidRPr="00526FC2" w:rsidRDefault="00526CE7">
      <w:pPr>
        <w:pStyle w:val="Sidfot"/>
      </w:pPr>
    </w:p>
  </w:footnote>
  <w:footnote w:type="continuationSeparator" w:id="0">
    <w:p w:rsidR="00526CE7" w:rsidRPr="00526FC2" w:rsidRDefault="00526CE7">
      <w:pPr>
        <w:spacing w:before="0" w:line="240" w:lineRule="auto"/>
      </w:pPr>
      <w:r w:rsidRPr="00526F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CE7" w:rsidRPr="00526FC2" w:rsidRDefault="00526CE7">
    <w:pPr>
      <w:pStyle w:val="SidhuvudKant"/>
      <w:framePr w:w="1758" w:h="2744" w:hRule="exact" w:wrap="around" w:vAnchor="page" w:hAnchor="page" w:x="7372" w:y="568" w:anchorLock="0"/>
    </w:pPr>
  </w:p>
  <w:p w:rsidR="00526CE7" w:rsidRPr="00526FC2" w:rsidRDefault="00526C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C098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35E66A2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4EE26F7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693A16F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734699900">
    <w:abstractNumId w:val="2"/>
  </w:num>
  <w:num w:numId="2" w16cid:durableId="1056322133">
    <w:abstractNumId w:val="0"/>
  </w:num>
  <w:num w:numId="3" w16cid:durableId="374500144">
    <w:abstractNumId w:val="1"/>
  </w:num>
  <w:num w:numId="4" w16cid:durableId="1480415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0330BD"/>
    <w:rsid w:val="000330BD"/>
    <w:rsid w:val="00526CE7"/>
    <w:rsid w:val="00526FC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6916BA-E987-40C3-AF5D-FB40F85D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RKnormal">
    <w:name w:val="RKnormal"/>
    <w:basedOn w:val="Normal"/>
    <w:next w:val="Normal"/>
    <w:pPr>
      <w:spacing w:before="0" w:line="240" w:lineRule="auto"/>
      <w:jc w:val="left"/>
    </w:pPr>
    <w:rPr>
      <w:rFonts w:ascii="Arial" w:hAnsi="Arial"/>
      <w:snapToGrid w:val="0"/>
      <w:sz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6328</Words>
  <Characters>39616</Characters>
  <Application>Microsoft Office Word</Application>
  <DocSecurity>4</DocSecurity>
  <Lines>720</Lines>
  <Paragraphs>177</Paragraphs>
  <ScaleCrop>false</ScaleCrop>
  <HeadingPairs>
    <vt:vector size="4" baseType="variant">
      <vt:variant>
        <vt:lpstr>Title</vt:lpstr>
      </vt:variant>
      <vt:variant>
        <vt:i4>1</vt:i4>
      </vt:variant>
      <vt:variant>
        <vt:lpstr>Rubriker</vt:lpstr>
      </vt:variant>
      <vt:variant>
        <vt:i4>29</vt:i4>
      </vt:variant>
    </vt:vector>
  </HeadingPairs>
  <TitlesOfParts>
    <vt:vector size="30" baseType="lpstr">
      <vt:lpstr>Näringsutskottets yttrande</vt:lpstr>
      <vt:lpstr>Till utrikesutskottet</vt:lpstr>
      <vt:lpstr>    Skrivelsen</vt:lpstr>
      <vt:lpstr>    Motionerna</vt:lpstr>
      <vt:lpstr>Näringsutskottet</vt:lpstr>
      <vt:lpstr>    Inledning</vt:lpstr>
      <vt:lpstr>    Den inre marknadens utveckling</vt:lpstr>
      <vt:lpstr>        Motionerna</vt:lpstr>
      <vt:lpstr>        Skrivelsen</vt:lpstr>
      <vt:lpstr>        Vissa kompletterande uppgifter</vt:lpstr>
      <vt:lpstr>        Näringsutskottets ställningstagande</vt:lpstr>
      <vt:lpstr>    EU:s handelshinder</vt:lpstr>
      <vt:lpstr>        Motionen</vt:lpstr>
      <vt:lpstr>        Skrivelsen</vt:lpstr>
      <vt:lpstr>        Vissa kompletterande uppgifter</vt:lpstr>
      <vt:lpstr>        Näringsutskottets ställningstagande</vt:lpstr>
      <vt:lpstr>    Utveckling av förnybara energikällor</vt:lpstr>
      <vt:lpstr>        Motionerna</vt:lpstr>
      <vt:lpstr>        Skrivelsen</vt:lpstr>
      <vt:lpstr>        Vissa kompletterande uppgifter</vt:lpstr>
      <vt:lpstr>        Näringsutskottets ställningstagande</vt:lpstr>
      <vt:lpstr>    Struktur- och regionalstöd</vt:lpstr>
      <vt:lpstr>        Motionen</vt:lpstr>
      <vt:lpstr>        Skrivelsen</vt:lpstr>
      <vt:lpstr>        Vissa kompletterande uppgifter</vt:lpstr>
      <vt:lpstr>        Näringsutskottets ställningstagande</vt:lpstr>
      <vt:lpstr>Avvikande meningar</vt:lpstr>
      <vt:lpstr>    1. Den inre marknadens utveckling</vt:lpstr>
      <vt:lpstr>    2. Den inre marknadens utveckling</vt:lpstr>
      <vt:lpstr>    3. Utveckling av förnybara energikällor</vt:lpstr>
    </vt:vector>
  </TitlesOfParts>
  <Company>Riksdagen</Company>
  <LinksUpToDate>false</LinksUpToDate>
  <CharactersWithSpaces>45767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yttrande</dc:title>
  <dc:subject>Näringsutskottets yttrande</dc:subject>
  <dc:creator>Riksdagen</dc:creator>
  <cp:keywords>Riksdagen</cp:keywords>
  <cp:lastModifiedBy>Lars Brink</cp:lastModifiedBy>
  <cp:revision>2</cp:revision>
  <cp:lastPrinted>2000-05-15T14:04:00Z</cp:lastPrinted>
  <dcterms:created xsi:type="dcterms:W3CDTF">2025-12-15T22:30:00Z</dcterms:created>
  <dcterms:modified xsi:type="dcterms:W3CDTF">2025-12-15T22:30:00Z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