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80C49">
        <w:tblPrEx>
          <w:tblCellMar>
            <w:top w:w="0" w:type="dxa"/>
            <w:left w:w="0" w:type="dxa"/>
            <w:bottom w:w="0" w:type="dxa"/>
            <w:right w:w="0" w:type="dxa"/>
          </w:tblCellMar>
        </w:tblPrEx>
        <w:trPr>
          <w:gridAfter w:val="2"/>
          <w:wAfter w:w="1758" w:type="dxa"/>
          <w:cantSplit/>
          <w:trHeight w:val="1320"/>
        </w:trPr>
        <w:tc>
          <w:tcPr>
            <w:tcW w:w="5897" w:type="dxa"/>
          </w:tcPr>
          <w:p w:rsidR="009D227C" w:rsidRPr="00680C49" w:rsidRDefault="009D227C">
            <w:pPr>
              <w:pStyle w:val="HuvudRubrik"/>
            </w:pPr>
            <w:r w:rsidRPr="00680C49">
              <w:t>Regeringskansliet</w:t>
            </w:r>
          </w:p>
          <w:p w:rsidR="009D227C" w:rsidRPr="00680C49" w:rsidRDefault="009D227C">
            <w:pPr>
              <w:pStyle w:val="HuvudRubrik"/>
            </w:pPr>
            <w:r w:rsidRPr="00680C49">
              <w:t>Faktapromemoria 2003/04:FPM36</w:t>
            </w:r>
          </w:p>
        </w:tc>
      </w:tr>
      <w:tr w:rsidR="00000000" w:rsidRPr="00680C49">
        <w:tblPrEx>
          <w:tblCellMar>
            <w:top w:w="0" w:type="dxa"/>
            <w:left w:w="0" w:type="dxa"/>
            <w:bottom w:w="0" w:type="dxa"/>
            <w:right w:w="0" w:type="dxa"/>
          </w:tblCellMar>
        </w:tblPrEx>
        <w:trPr>
          <w:gridAfter w:val="2"/>
          <w:wAfter w:w="1758" w:type="dxa"/>
          <w:cantSplit/>
          <w:trHeight w:val="240"/>
        </w:trPr>
        <w:tc>
          <w:tcPr>
            <w:tcW w:w="5897" w:type="dxa"/>
          </w:tcPr>
          <w:p w:rsidR="009D227C" w:rsidRPr="00680C49" w:rsidRDefault="009D227C">
            <w:pPr>
              <w:pStyle w:val="HuvudRubrik"/>
              <w:rPr>
                <w:sz w:val="28"/>
              </w:rPr>
            </w:pPr>
            <w:r w:rsidRPr="00680C49">
              <w:t>Antalet domare i Europeiska gemenskapernas domstols stora avdelning m m efter utvidgningen av unionen</w:t>
            </w:r>
          </w:p>
        </w:tc>
      </w:tr>
      <w:tr w:rsidR="00000000" w:rsidRPr="00680C49">
        <w:tblPrEx>
          <w:tblCellMar>
            <w:top w:w="0" w:type="dxa"/>
            <w:left w:w="0" w:type="dxa"/>
            <w:bottom w:w="0" w:type="dxa"/>
            <w:right w:w="0" w:type="dxa"/>
          </w:tblCellMar>
        </w:tblPrEx>
        <w:trPr>
          <w:cantSplit/>
          <w:trHeight w:val="285"/>
        </w:trPr>
        <w:tc>
          <w:tcPr>
            <w:tcW w:w="7655" w:type="dxa"/>
            <w:gridSpan w:val="3"/>
          </w:tcPr>
          <w:p w:rsidR="009D227C" w:rsidRPr="00680C49" w:rsidRDefault="009D227C">
            <w:pPr>
              <w:pStyle w:val="Departement"/>
              <w:rPr>
                <w:sz w:val="28"/>
              </w:rPr>
            </w:pPr>
            <w:r w:rsidRPr="00680C49">
              <w:t>Utrikesdepartementet</w:t>
            </w:r>
          </w:p>
        </w:tc>
      </w:tr>
      <w:tr w:rsidR="00000000" w:rsidRPr="00680C49">
        <w:tblPrEx>
          <w:tblCellMar>
            <w:top w:w="0" w:type="dxa"/>
            <w:left w:w="0" w:type="dxa"/>
            <w:bottom w:w="0" w:type="dxa"/>
            <w:right w:w="0" w:type="dxa"/>
          </w:tblCellMar>
        </w:tblPrEx>
        <w:trPr>
          <w:cantSplit/>
          <w:trHeight w:val="240"/>
        </w:trPr>
        <w:tc>
          <w:tcPr>
            <w:tcW w:w="7655" w:type="dxa"/>
            <w:gridSpan w:val="3"/>
          </w:tcPr>
          <w:p w:rsidR="009D227C" w:rsidRPr="00680C49" w:rsidRDefault="009D227C">
            <w:pPr>
              <w:pStyle w:val="Dokumentdatum"/>
            </w:pPr>
            <w:r w:rsidRPr="00680C49">
              <w:t>2003-12-11</w:t>
            </w:r>
          </w:p>
        </w:tc>
      </w:tr>
      <w:tr w:rsidR="00000000" w:rsidRPr="00680C49">
        <w:tblPrEx>
          <w:tblCellMar>
            <w:top w:w="0" w:type="dxa"/>
            <w:left w:w="0" w:type="dxa"/>
            <w:bottom w:w="0" w:type="dxa"/>
            <w:right w:w="0" w:type="dxa"/>
          </w:tblCellMar>
        </w:tblPrEx>
        <w:trPr>
          <w:cantSplit/>
          <w:trHeight w:val="726"/>
        </w:trPr>
        <w:tc>
          <w:tcPr>
            <w:tcW w:w="7655" w:type="dxa"/>
            <w:gridSpan w:val="3"/>
            <w:vAlign w:val="bottom"/>
          </w:tcPr>
          <w:p w:rsidR="009D227C" w:rsidRPr="00680C49" w:rsidRDefault="009D227C">
            <w:pPr>
              <w:pStyle w:val="Dokumentbeteckning"/>
            </w:pPr>
            <w:r w:rsidRPr="00680C49">
              <w:t>Dokumentbeteckning</w:t>
            </w:r>
          </w:p>
        </w:tc>
      </w:tr>
      <w:tr w:rsidR="00000000" w:rsidRPr="00680C49">
        <w:tblPrEx>
          <w:tblCellMar>
            <w:top w:w="0" w:type="dxa"/>
            <w:left w:w="0" w:type="dxa"/>
            <w:bottom w:w="0" w:type="dxa"/>
            <w:right w:w="0" w:type="dxa"/>
          </w:tblCellMar>
        </w:tblPrEx>
        <w:trPr>
          <w:gridAfter w:val="1"/>
          <w:wAfter w:w="1560" w:type="dxa"/>
          <w:trHeight w:val="120"/>
        </w:trPr>
        <w:tc>
          <w:tcPr>
            <w:tcW w:w="6095" w:type="dxa"/>
            <w:gridSpan w:val="2"/>
          </w:tcPr>
          <w:p w:rsidR="009D227C" w:rsidRPr="00680C49" w:rsidRDefault="009D227C">
            <w:bookmarkStart w:id="0" w:name="KomNr"/>
            <w:bookmarkEnd w:id="0"/>
            <w:r w:rsidRPr="00680C49">
              <w:t>14617/03 JUR 441 COUR 28</w:t>
            </w:r>
          </w:p>
        </w:tc>
      </w:tr>
      <w:tr w:rsidR="00000000" w:rsidRPr="00680C49">
        <w:tblPrEx>
          <w:tblCellMar>
            <w:top w:w="0" w:type="dxa"/>
            <w:left w:w="0" w:type="dxa"/>
            <w:bottom w:w="0" w:type="dxa"/>
            <w:right w:w="0" w:type="dxa"/>
          </w:tblCellMar>
        </w:tblPrEx>
        <w:trPr>
          <w:gridAfter w:val="1"/>
          <w:wAfter w:w="1560" w:type="dxa"/>
          <w:trHeight w:val="120"/>
        </w:trPr>
        <w:tc>
          <w:tcPr>
            <w:tcW w:w="6095" w:type="dxa"/>
            <w:gridSpan w:val="2"/>
          </w:tcPr>
          <w:p w:rsidR="009D227C" w:rsidRPr="00680C49" w:rsidRDefault="009D227C">
            <w:pPr>
              <w:pStyle w:val="Dokumentbeteckning-titel"/>
            </w:pPr>
            <w:r w:rsidRPr="00680C49">
              <w:t>Utkast till rådets beslut om ändring av artiklarna 16 och 17 i Protokollet om domstolens stadga</w:t>
            </w:r>
          </w:p>
        </w:tc>
      </w:tr>
    </w:tbl>
    <w:p w:rsidR="009D227C" w:rsidRPr="00680C49" w:rsidRDefault="009D227C">
      <w:pPr>
        <w:pStyle w:val="Rubrik1"/>
        <w:numPr>
          <w:ilvl w:val="0"/>
          <w:numId w:val="0"/>
        </w:numPr>
      </w:pPr>
      <w:r w:rsidRPr="00680C49">
        <w:t xml:space="preserve">Sammanfattning </w:t>
      </w:r>
    </w:p>
    <w:p w:rsidR="009D227C" w:rsidRPr="00680C49" w:rsidRDefault="009D227C">
      <w:r w:rsidRPr="00680C49">
        <w:t>I samband med att Anslutningsfördraget mellan de nuvarande 15 med</w:t>
      </w:r>
      <w:r w:rsidRPr="00680C49">
        <w:softHyphen/>
        <w:t>lems</w:t>
      </w:r>
      <w:r w:rsidRPr="00680C49">
        <w:softHyphen/>
        <w:t>stat</w:t>
      </w:r>
      <w:r w:rsidRPr="00680C49">
        <w:softHyphen/>
        <w:t>erna i EU och de tio nya medlemsstaterna Tjeckien, Estland, Cypern, Lettland, Litauen, Ungern, Malta, Polen, Slovenien och Slovakien träder i kraft den 1 maj 2004 kommer Europeiska gemenskapernas domstol att ut</w:t>
      </w:r>
      <w:r w:rsidRPr="00680C49">
        <w:softHyphen/>
        <w:t>ökas med tio domare från nuvarande 15 till 25 domare. I sam</w:t>
      </w:r>
      <w:r w:rsidRPr="00680C49">
        <w:softHyphen/>
        <w:t>band med detta måste reglerna om domstolens sammansättning ses över. Domstolen sam</w:t>
      </w:r>
      <w:r w:rsidRPr="00680C49">
        <w:softHyphen/>
        <w:t>man</w:t>
      </w:r>
      <w:r w:rsidRPr="00680C49">
        <w:softHyphen/>
      </w:r>
      <w:r w:rsidRPr="00680C49">
        <w:softHyphen/>
      </w:r>
      <w:r w:rsidRPr="00680C49">
        <w:softHyphen/>
      </w:r>
      <w:r w:rsidRPr="00680C49">
        <w:softHyphen/>
        <w:t>träder antingen i plen</w:t>
      </w:r>
      <w:r w:rsidRPr="00680C49">
        <w:softHyphen/>
        <w:t>um, stor avdelning eller i fem- respektive tre</w:t>
      </w:r>
      <w:r w:rsidRPr="00680C49">
        <w:softHyphen/>
        <w:t>manna</w:t>
      </w:r>
      <w:r w:rsidRPr="00680C49">
        <w:softHyphen/>
      </w:r>
      <w:r w:rsidRPr="00680C49">
        <w:softHyphen/>
      </w:r>
      <w:r w:rsidRPr="00680C49">
        <w:softHyphen/>
      </w:r>
      <w:r w:rsidRPr="00680C49">
        <w:softHyphen/>
        <w:t>av</w:t>
      </w:r>
      <w:r w:rsidRPr="00680C49">
        <w:softHyphen/>
        <w:t>del</w:t>
      </w:r>
      <w:r w:rsidRPr="00680C49">
        <w:softHyphen/>
      </w:r>
      <w:r w:rsidRPr="00680C49">
        <w:softHyphen/>
        <w:t>ning. Enligt nu gällande bestämmelser består plenum a</w:t>
      </w:r>
      <w:r w:rsidRPr="00680C49">
        <w:t>v samtliga 15 domare och är beslutsfört med elva av dessa. Den stora av</w:t>
      </w:r>
      <w:r w:rsidRPr="00680C49">
        <w:softHyphen/>
        <w:t>del</w:t>
      </w:r>
      <w:r w:rsidRPr="00680C49">
        <w:softHyphen/>
        <w:t>ning</w:t>
      </w:r>
      <w:r w:rsidRPr="00680C49">
        <w:softHyphen/>
        <w:t>en be</w:t>
      </w:r>
      <w:r w:rsidRPr="00680C49">
        <w:softHyphen/>
        <w:t>står av elva domare och är beslutsför med nio. Vid avgörande på fem- eller tre</w:t>
      </w:r>
      <w:r w:rsidRPr="00680C49">
        <w:softHyphen/>
      </w:r>
      <w:r w:rsidRPr="00680C49">
        <w:softHyphen/>
      </w:r>
      <w:r w:rsidRPr="00680C49">
        <w:softHyphen/>
      </w:r>
      <w:r w:rsidRPr="00680C49">
        <w:softHyphen/>
        <w:t>mannaavdelning måste alltid tre domare delta. Domstolen lade i november 2003 fram ett förslag till ändring av stadgan som inne</w:t>
      </w:r>
      <w:r w:rsidRPr="00680C49">
        <w:softHyphen/>
        <w:t>bär att besluts</w:t>
      </w:r>
      <w:r w:rsidRPr="00680C49">
        <w:softHyphen/>
        <w:t>för</w:t>
      </w:r>
      <w:r w:rsidRPr="00680C49">
        <w:softHyphen/>
        <w:t>hets</w:t>
      </w:r>
      <w:r w:rsidRPr="00680C49">
        <w:softHyphen/>
        <w:t>regeln i plenum skall ändras till 15 domare. Den stora av</w:t>
      </w:r>
      <w:r w:rsidRPr="00680C49">
        <w:softHyphen/>
        <w:t>del</w:t>
      </w:r>
      <w:r w:rsidRPr="00680C49">
        <w:softHyphen/>
      </w:r>
      <w:r w:rsidRPr="00680C49">
        <w:softHyphen/>
        <w:t>ningen skall en</w:t>
      </w:r>
      <w:r w:rsidRPr="00680C49">
        <w:softHyphen/>
        <w:t>ligt förslaget utökas med två domare till samman</w:t>
      </w:r>
      <w:r w:rsidRPr="00680C49">
        <w:softHyphen/>
        <w:t>lagt 13 dom</w:t>
      </w:r>
      <w:r w:rsidRPr="00680C49">
        <w:softHyphen/>
      </w:r>
      <w:r w:rsidRPr="00680C49">
        <w:softHyphen/>
        <w:t>are. Den stora av</w:t>
      </w:r>
      <w:r w:rsidRPr="00680C49">
        <w:softHyphen/>
      </w:r>
      <w:r w:rsidRPr="00680C49">
        <w:softHyphen/>
        <w:t>del</w:t>
      </w:r>
      <w:r w:rsidRPr="00680C49">
        <w:softHyphen/>
        <w:t>ningens beslut skall även f</w:t>
      </w:r>
      <w:r w:rsidRPr="00680C49">
        <w:t>ortsättningsvis vara giltiga om minst nio dom</w:t>
      </w:r>
      <w:r w:rsidRPr="00680C49">
        <w:softHyphen/>
        <w:t>are deltar.</w:t>
      </w:r>
    </w:p>
    <w:p w:rsidR="009D227C" w:rsidRPr="00680C49" w:rsidRDefault="009D227C">
      <w:pPr>
        <w:pStyle w:val="Rubrik1"/>
      </w:pPr>
      <w:r w:rsidRPr="00680C49">
        <w:lastRenderedPageBreak/>
        <w:t>Förslaget</w:t>
      </w:r>
    </w:p>
    <w:p w:rsidR="009D227C" w:rsidRPr="00680C49" w:rsidRDefault="009D227C">
      <w:pPr>
        <w:pStyle w:val="Rubrik2"/>
      </w:pPr>
      <w:r w:rsidRPr="00680C49">
        <w:t>Innehåll</w:t>
      </w:r>
    </w:p>
    <w:p w:rsidR="009D227C" w:rsidRPr="00680C49" w:rsidRDefault="009D227C">
      <w:pPr>
        <w:rPr>
          <w:i/>
        </w:rPr>
      </w:pPr>
    </w:p>
    <w:p w:rsidR="009D227C" w:rsidRPr="00680C49" w:rsidRDefault="009D227C">
      <w:pPr>
        <w:rPr>
          <w:i/>
        </w:rPr>
      </w:pPr>
      <w:r w:rsidRPr="00680C49">
        <w:rPr>
          <w:i/>
        </w:rPr>
        <w:t>Bakgrund</w:t>
      </w:r>
    </w:p>
    <w:p w:rsidR="009D227C" w:rsidRPr="00680C49" w:rsidRDefault="009D227C">
      <w:r w:rsidRPr="00680C49">
        <w:t>EG-domstolen består enligt artikel 221 EG av en domare per medlemsstat, dvs idag 15 stycken.  Domstolen skall sammanträda i olika avdelningar eller i stor avdelning i enlig</w:t>
      </w:r>
      <w:r w:rsidRPr="00680C49">
        <w:softHyphen/>
        <w:t>het med föreskrifter i domstolens stadga. När så före</w:t>
      </w:r>
      <w:r w:rsidRPr="00680C49">
        <w:softHyphen/>
        <w:t>skrivs i stadgan kan domstolen även sammanträda i plenum. Den stora avdelningen till</w:t>
      </w:r>
      <w:r w:rsidRPr="00680C49">
        <w:softHyphen/>
        <w:t xml:space="preserve">kom i samband med Nicefördraget och avses ersätta plenum i framtiden. Enligt artikel 223 tredje stycket EG skall domarna bland sig välja domstolens ordförande för en tid av tre år. Ordföranden kan återväljas. </w:t>
      </w:r>
    </w:p>
    <w:p w:rsidR="009D227C" w:rsidRPr="00680C49" w:rsidRDefault="009D227C">
      <w:pPr>
        <w:ind w:firstLine="142"/>
      </w:pPr>
      <w:r w:rsidRPr="00680C49">
        <w:t>Enligt artikel 16 i domstolens stadga skall domstolen inom sig upprätta avdelningar med tre eller fem domare. Idag finns två fem</w:t>
      </w:r>
      <w:r w:rsidRPr="00680C49">
        <w:softHyphen/>
        <w:t>manna</w:t>
      </w:r>
      <w:r w:rsidRPr="00680C49">
        <w:softHyphen/>
        <w:t>avdel</w:t>
      </w:r>
      <w:r w:rsidRPr="00680C49">
        <w:softHyphen/>
        <w:t>ningar. Domarna skall bland sig välja avdel</w:t>
      </w:r>
      <w:r w:rsidRPr="00680C49">
        <w:softHyphen/>
        <w:t>ning</w:t>
      </w:r>
      <w:r w:rsidRPr="00680C49">
        <w:softHyphen/>
        <w:t>arnas ordförande. Ord</w:t>
      </w:r>
      <w:r w:rsidRPr="00680C49">
        <w:softHyphen/>
        <w:t>för</w:t>
      </w:r>
      <w:r w:rsidRPr="00680C49">
        <w:softHyphen/>
        <w:t>andena på avdel</w:t>
      </w:r>
      <w:r w:rsidRPr="00680C49">
        <w:softHyphen/>
        <w:t>ning</w:t>
      </w:r>
      <w:r w:rsidRPr="00680C49">
        <w:softHyphen/>
        <w:t>ar med fem domare skall väljas för en tid av tre år och kan åter</w:t>
      </w:r>
      <w:r w:rsidRPr="00680C49">
        <w:softHyphen/>
        <w:t>väljas en gång. Den stora avdelningen skall ha elva domare (artikel 16 andra stycket). Ord</w:t>
      </w:r>
      <w:r w:rsidRPr="00680C49">
        <w:softHyphen/>
        <w:t>förande</w:t>
      </w:r>
      <w:r w:rsidRPr="00680C49">
        <w:softHyphen/>
        <w:t>skapet för den stora avdelningen skall innehas av dom</w:t>
      </w:r>
      <w:r w:rsidRPr="00680C49">
        <w:softHyphen/>
        <w:t>stolens ord</w:t>
      </w:r>
      <w:r w:rsidRPr="00680C49">
        <w:softHyphen/>
        <w:t>förande och i den stora avdelningen skall även ordförandena på avdelningar med fem domare ingå. Övriga domare utses enligt domstolens rätte</w:t>
      </w:r>
      <w:r w:rsidRPr="00680C49">
        <w:softHyphen/>
        <w:t>gångs</w:t>
      </w:r>
      <w:r w:rsidRPr="00680C49">
        <w:softHyphen/>
        <w:t>regler. I rätte</w:t>
      </w:r>
      <w:r w:rsidRPr="00680C49">
        <w:softHyphen/>
        <w:t>gångsregler</w:t>
      </w:r>
      <w:r w:rsidRPr="00680C49">
        <w:t>na anges i denna del att resterande domare utses enligt en lista som upprättas efter ålder i ämbetet där den äldste respek</w:t>
      </w:r>
      <w:r w:rsidRPr="00680C49">
        <w:softHyphen/>
        <w:t>tive yngste förs upp växelvis.</w:t>
      </w:r>
    </w:p>
    <w:p w:rsidR="009D227C" w:rsidRPr="00680C49" w:rsidRDefault="009D227C">
      <w:pPr>
        <w:ind w:firstLine="142"/>
      </w:pPr>
      <w:r w:rsidRPr="00680C49">
        <w:t>Enligt artikel 17 i stadgan är domstolens beslut giltiga endast om ett ojämnt antal domare är närvarande. Om en avdelning består av tre eller fem domare är avdelningens beslut giltiga endast om tre domare är närvarande. Den stora avdelningens beslut är giltiga endast om nio domare är närvarande (artikel 17 tredje stycket). Vid sammanträde i plenum måste mi</w:t>
      </w:r>
      <w:r w:rsidRPr="00680C49">
        <w:t>nst elva domare delta (artikel 17 fjärde stycket).</w:t>
      </w:r>
    </w:p>
    <w:p w:rsidR="009D227C" w:rsidRPr="00680C49" w:rsidRDefault="009D227C">
      <w:pPr>
        <w:ind w:firstLine="142"/>
      </w:pPr>
      <w:r w:rsidRPr="00680C49">
        <w:t>I samband med utvidgningen av unionen kommer domstolen att utökas med tio domare från 15 till sammanlagt 25 domare. Det förutses att dom</w:t>
      </w:r>
      <w:r w:rsidRPr="00680C49">
        <w:softHyphen/>
        <w:t>stolen då kom</w:t>
      </w:r>
      <w:r w:rsidRPr="00680C49">
        <w:softHyphen/>
        <w:t>mer att inrätta minst fyra femmannaavdelningar. Antalet dom</w:t>
      </w:r>
      <w:r w:rsidRPr="00680C49">
        <w:softHyphen/>
        <w:t>are i den stora avdelningen och beslutsförhetsregeln för denna och för plen</w:t>
      </w:r>
      <w:r w:rsidRPr="00680C49">
        <w:softHyphen/>
        <w:t>um måste där</w:t>
      </w:r>
      <w:r w:rsidRPr="00680C49">
        <w:softHyphen/>
        <w:t xml:space="preserve">med ses över. </w:t>
      </w:r>
    </w:p>
    <w:p w:rsidR="009D227C" w:rsidRPr="00680C49" w:rsidRDefault="009D227C"/>
    <w:p w:rsidR="009D227C" w:rsidRPr="00680C49" w:rsidRDefault="009D227C">
      <w:r w:rsidRPr="00680C49">
        <w:t>Förslaget</w:t>
      </w:r>
    </w:p>
    <w:p w:rsidR="009D227C" w:rsidRPr="00680C49" w:rsidRDefault="009D227C">
      <w:r w:rsidRPr="00680C49">
        <w:t>Domstolens förslag innebär att artikel 16 andra stycket i stadgan ändras så att den stora avdelningen utökas med två domare till sammanlagt 13 domare. Enligt förslaget skall dock inte beslutsförhetsregeln för den stora av</w:t>
      </w:r>
      <w:r w:rsidRPr="00680C49">
        <w:softHyphen/>
        <w:t>del</w:t>
      </w:r>
      <w:r w:rsidRPr="00680C49">
        <w:softHyphen/>
        <w:t>ningen i artikel 17 tredje stycket i stadgan ändras och den stora av</w:t>
      </w:r>
      <w:r w:rsidRPr="00680C49">
        <w:softHyphen/>
        <w:t>del</w:t>
      </w:r>
      <w:r w:rsidRPr="00680C49">
        <w:softHyphen/>
        <w:t>ningens beslut skall alltså även fortsättningsvis vara giltiga när åtmin</w:t>
      </w:r>
      <w:r w:rsidRPr="00680C49">
        <w:softHyphen/>
        <w:t xml:space="preserve">stone nio domare deltar. Domstolen föreslår vidare att bestämmelsen i artikel 17 fjärde stycket i stadgan skall ändras så att minst 15 domare måste delta vid sammanträde i plenum. </w:t>
      </w:r>
    </w:p>
    <w:p w:rsidR="009D227C" w:rsidRPr="00680C49" w:rsidRDefault="009D227C">
      <w:pPr>
        <w:pStyle w:val="Rubrik2"/>
      </w:pPr>
      <w:r w:rsidRPr="00680C49">
        <w:t>Gällande svenska regler och förslagets effekt på dessa</w:t>
      </w:r>
    </w:p>
    <w:p w:rsidR="009D227C" w:rsidRPr="00680C49" w:rsidRDefault="009D227C">
      <w:r w:rsidRPr="00680C49">
        <w:t>---</w:t>
      </w:r>
    </w:p>
    <w:p w:rsidR="009D227C" w:rsidRPr="00680C49" w:rsidRDefault="009D227C">
      <w:pPr>
        <w:pStyle w:val="Rubrik2"/>
      </w:pPr>
      <w:r w:rsidRPr="00680C49">
        <w:t>Budgetära konsekvenser</w:t>
      </w:r>
    </w:p>
    <w:p w:rsidR="009D227C" w:rsidRPr="00680C49" w:rsidRDefault="009D227C">
      <w:r w:rsidRPr="00680C49">
        <w:t>---</w:t>
      </w:r>
    </w:p>
    <w:p w:rsidR="009D227C" w:rsidRPr="00680C49" w:rsidRDefault="009D227C">
      <w:pPr>
        <w:pStyle w:val="Rubrik1"/>
      </w:pPr>
      <w:r w:rsidRPr="00680C49">
        <w:t>Ståndpunkter</w:t>
      </w:r>
    </w:p>
    <w:p w:rsidR="009D227C" w:rsidRPr="00680C49" w:rsidRDefault="009D227C">
      <w:pPr>
        <w:pStyle w:val="Rubrik2"/>
      </w:pPr>
      <w:r w:rsidRPr="00680C49">
        <w:t>Svensk ståndpunkt</w:t>
      </w:r>
    </w:p>
    <w:p w:rsidR="009D227C" w:rsidRPr="00680C49" w:rsidRDefault="009D227C">
      <w:r w:rsidRPr="00680C49">
        <w:t>Sverige ser det som angeläget att bestämmelserna om antalet domare i den stora avdelningen och reglerna om beslutsförhet för denna och för plenum anpassas med hänsyn utökningen av antalet domare i samband med utvidg</w:t>
      </w:r>
      <w:r w:rsidRPr="00680C49">
        <w:softHyphen/>
        <w:t>ningen. Reglerna om den stora avdelningen och plenum får bedömas vara av betyd</w:t>
      </w:r>
      <w:r w:rsidRPr="00680C49">
        <w:softHyphen/>
        <w:t>else för balansen i domstolen och stabiliteten i praxisutvecklingen. Vid bedöm</w:t>
      </w:r>
      <w:r w:rsidRPr="00680C49">
        <w:softHyphen/>
        <w:t>ning</w:t>
      </w:r>
      <w:r w:rsidRPr="00680C49">
        <w:softHyphen/>
        <w:t>en av den stora avdelningens storlek och beslutsförhetsreglerna måste även effektivitetshänsyn vägas in. Frågan måste övervägas noga med be</w:t>
      </w:r>
      <w:r w:rsidRPr="00680C49">
        <w:softHyphen/>
        <w:t>aktande av övriga medlemsstaters och kommande medlemsstaters upp</w:t>
      </w:r>
      <w:r w:rsidRPr="00680C49">
        <w:softHyphen/>
        <w:t>fatt</w:t>
      </w:r>
      <w:r w:rsidRPr="00680C49">
        <w:softHyphen/>
        <w:t>ningar innan Sverige tar slutlig ställning till om förslaget kan accepter</w:t>
      </w:r>
      <w:r w:rsidRPr="00680C49">
        <w:softHyphen/>
        <w:t xml:space="preserve">as.   </w:t>
      </w:r>
    </w:p>
    <w:p w:rsidR="009D227C" w:rsidRPr="00680C49" w:rsidRDefault="009D227C"/>
    <w:p w:rsidR="009D227C" w:rsidRPr="00680C49" w:rsidRDefault="009D227C">
      <w:pPr>
        <w:pStyle w:val="Rubrik2"/>
      </w:pPr>
      <w:r w:rsidRPr="00680C49">
        <w:t>Medlemsstaternas ståndpunkter</w:t>
      </w:r>
    </w:p>
    <w:p w:rsidR="009D227C" w:rsidRPr="00680C49" w:rsidRDefault="009D227C">
      <w:r w:rsidRPr="00680C49">
        <w:t>---</w:t>
      </w:r>
    </w:p>
    <w:p w:rsidR="009D227C" w:rsidRPr="00680C49" w:rsidRDefault="009D227C">
      <w:pPr>
        <w:pStyle w:val="Rubrik2"/>
      </w:pPr>
      <w:r w:rsidRPr="00680C49">
        <w:t>Institutionernas ståndpunkter</w:t>
      </w:r>
    </w:p>
    <w:p w:rsidR="009D227C" w:rsidRPr="00680C49" w:rsidRDefault="009D227C">
      <w:r w:rsidRPr="00680C49">
        <w:t>---</w:t>
      </w:r>
    </w:p>
    <w:p w:rsidR="009D227C" w:rsidRPr="00680C49" w:rsidRDefault="009D227C">
      <w:pPr>
        <w:pStyle w:val="Rubrik2"/>
      </w:pPr>
      <w:r w:rsidRPr="00680C49">
        <w:t>Remissinstansernas ståndpunkter</w:t>
      </w:r>
    </w:p>
    <w:p w:rsidR="009D227C" w:rsidRPr="00680C49" w:rsidRDefault="009D227C">
      <w:r w:rsidRPr="00680C49">
        <w:t>---</w:t>
      </w:r>
    </w:p>
    <w:p w:rsidR="009D227C" w:rsidRPr="00680C49" w:rsidRDefault="009D227C">
      <w:pPr>
        <w:pStyle w:val="Rubrik1"/>
      </w:pPr>
      <w:r w:rsidRPr="00680C49">
        <w:t>Övrigt</w:t>
      </w:r>
    </w:p>
    <w:p w:rsidR="009D227C" w:rsidRPr="00680C49" w:rsidRDefault="009D227C">
      <w:pPr>
        <w:pStyle w:val="Rubrik2"/>
      </w:pPr>
      <w:r w:rsidRPr="00680C49">
        <w:t>Fortsatt behandling av ärendet</w:t>
      </w:r>
    </w:p>
    <w:p w:rsidR="009D227C" w:rsidRPr="00680C49" w:rsidRDefault="009D227C">
      <w:r w:rsidRPr="00680C49">
        <w:t>Förslaget presenterades översiktligt av domstolen vid möte i råds</w:t>
      </w:r>
      <w:r w:rsidRPr="00680C49">
        <w:softHyphen/>
        <w:t>arbets</w:t>
      </w:r>
      <w:r w:rsidRPr="00680C49">
        <w:softHyphen/>
        <w:t>grupp</w:t>
      </w:r>
      <w:r w:rsidRPr="00680C49">
        <w:softHyphen/>
      </w:r>
      <w:r w:rsidRPr="00680C49">
        <w:softHyphen/>
        <w:t>en för domstolen den 24 november 2003. Förslaget kommer att be</w:t>
      </w:r>
      <w:r w:rsidRPr="00680C49">
        <w:softHyphen/>
        <w:t>hand</w:t>
      </w:r>
      <w:r w:rsidRPr="00680C49">
        <w:softHyphen/>
      </w:r>
      <w:r w:rsidRPr="00680C49">
        <w:softHyphen/>
        <w:t>las i sak för första gången vid arbetsgruppens möte den 15 december 2003.</w:t>
      </w:r>
    </w:p>
    <w:p w:rsidR="009D227C" w:rsidRPr="00680C49" w:rsidRDefault="009D227C">
      <w:pPr>
        <w:pStyle w:val="Rubrik2"/>
      </w:pPr>
      <w:r w:rsidRPr="00680C49">
        <w:t>Rättslig grund och beslutsförfarande</w:t>
      </w:r>
    </w:p>
    <w:p w:rsidR="009D227C" w:rsidRPr="00680C49" w:rsidRDefault="009D227C">
      <w:r w:rsidRPr="00680C49">
        <w:t>Enligt artikel 245 EG fast</w:t>
      </w:r>
      <w:r w:rsidRPr="00680C49">
        <w:softHyphen/>
        <w:t>ställs dom</w:t>
      </w:r>
      <w:r w:rsidRPr="00680C49">
        <w:softHyphen/>
        <w:t>stolens stadga i ett särskilt protokoll. En</w:t>
      </w:r>
      <w:r w:rsidRPr="00680C49">
        <w:softHyphen/>
        <w:t>ligt samma artikel ändras be</w:t>
      </w:r>
      <w:r w:rsidRPr="00680C49">
        <w:softHyphen/>
        <w:t>stämmelserna i stadgan – med undantag för av</w:t>
      </w:r>
      <w:r w:rsidRPr="00680C49">
        <w:softHyphen/>
        <w:t>delning I – gen</w:t>
      </w:r>
      <w:r w:rsidRPr="00680C49">
        <w:softHyphen/>
        <w:t>om enhälligt be</w:t>
      </w:r>
      <w:r w:rsidRPr="00680C49">
        <w:softHyphen/>
      </w:r>
      <w:r w:rsidRPr="00680C49">
        <w:softHyphen/>
        <w:t>slut i rådet, på begäran av domstolen och efter att ha hört Europa</w:t>
      </w:r>
      <w:r w:rsidRPr="00680C49">
        <w:softHyphen/>
        <w:t>parla</w:t>
      </w:r>
      <w:r w:rsidRPr="00680C49">
        <w:softHyphen/>
        <w:t>ment</w:t>
      </w:r>
      <w:r w:rsidRPr="00680C49">
        <w:softHyphen/>
        <w:t>et och kommissionen, eller på begäran av kom</w:t>
      </w:r>
      <w:r w:rsidRPr="00680C49">
        <w:softHyphen/>
        <w:t>mis</w:t>
      </w:r>
      <w:r w:rsidRPr="00680C49">
        <w:softHyphen/>
        <w:t>sionen och efter att ha hört Europaparlamentet och domstolen.</w:t>
      </w:r>
    </w:p>
    <w:p w:rsidR="009D227C" w:rsidRPr="00680C49" w:rsidRDefault="009D227C">
      <w:pPr>
        <w:pStyle w:val="Rubrik2"/>
      </w:pPr>
      <w:r w:rsidRPr="00680C49">
        <w:t>Fackuttryck/termer</w:t>
      </w:r>
    </w:p>
    <w:p w:rsidR="009D227C" w:rsidRPr="00680C49" w:rsidRDefault="009D227C">
      <w:r w:rsidRPr="00680C49">
        <w:t>---</w:t>
      </w:r>
    </w:p>
    <w:sectPr w:rsidR="009D227C" w:rsidRPr="00680C49">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27C" w:rsidRPr="00680C49" w:rsidRDefault="009D227C">
      <w:pPr>
        <w:spacing w:before="0" w:line="240" w:lineRule="auto"/>
      </w:pPr>
      <w:r w:rsidRPr="00680C49">
        <w:separator/>
      </w:r>
    </w:p>
  </w:endnote>
  <w:endnote w:type="continuationSeparator" w:id="0">
    <w:p w:rsidR="009D227C" w:rsidRPr="00680C49" w:rsidRDefault="009D227C">
      <w:pPr>
        <w:spacing w:before="0" w:line="240" w:lineRule="auto"/>
      </w:pPr>
      <w:r w:rsidRPr="00680C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27C" w:rsidRPr="00680C49" w:rsidRDefault="009D227C">
    <w:pPr>
      <w:pStyle w:val="SidfotH"/>
      <w:framePr w:wrap="around"/>
    </w:pPr>
    <w:r w:rsidRPr="00680C49">
      <w:t>2</w:t>
    </w:r>
  </w:p>
  <w:p w:rsidR="009D227C" w:rsidRPr="00680C49" w:rsidRDefault="009D22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27C" w:rsidRPr="00680C49" w:rsidRDefault="009D227C">
    <w:pPr>
      <w:pStyle w:val="SidfotH"/>
      <w:framePr w:wrap="around"/>
    </w:pPr>
    <w:r w:rsidRPr="00680C49">
      <w:t>1</w:t>
    </w:r>
  </w:p>
  <w:p w:rsidR="009D227C" w:rsidRPr="00680C49" w:rsidRDefault="009D22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27C" w:rsidRPr="00680C49" w:rsidRDefault="009D227C">
      <w:pPr>
        <w:spacing w:before="0" w:line="240" w:lineRule="auto"/>
      </w:pPr>
      <w:r w:rsidRPr="00680C49">
        <w:separator/>
      </w:r>
    </w:p>
  </w:footnote>
  <w:footnote w:type="continuationSeparator" w:id="0">
    <w:p w:rsidR="009D227C" w:rsidRPr="00680C49" w:rsidRDefault="009D227C">
      <w:pPr>
        <w:spacing w:before="0" w:line="240" w:lineRule="auto"/>
      </w:pPr>
      <w:r w:rsidRPr="00680C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27C" w:rsidRPr="00680C49" w:rsidRDefault="009D227C">
    <w:pPr>
      <w:pStyle w:val="Kantrubrik"/>
      <w:framePr w:h="1157" w:hRule="exact" w:wrap="around" w:y="738"/>
    </w:pPr>
    <w:r w:rsidRPr="00680C49">
      <w:t>2003/04:FPM36</w:t>
    </w:r>
  </w:p>
  <w:p w:rsidR="009D227C" w:rsidRPr="00680C49" w:rsidRDefault="009D22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27C" w:rsidRPr="00680C49" w:rsidRDefault="00680C49">
    <w:pPr>
      <w:pStyle w:val="Sidhuvud"/>
    </w:pPr>
    <w:r w:rsidRPr="00680C4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795048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9D227C" w:rsidRDefault="009D227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13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9D227C" w:rsidRDefault="009D227C">
                    <w:pPr>
                      <w:pStyle w:val="Logo"/>
                    </w:pPr>
                    <w:r>
                      <w:object w:dxaOrig="840" w:dyaOrig="1545">
                        <v:shape id="_x0000_i1025" type="#_x0000_t75" style="width:42pt;height:77.15pt" fillcolor="window">
                          <v:imagedata r:id="rId1" o:title=""/>
                        </v:shape>
                        <o:OLEObject Type="Embed" ProgID="Word.Picture.8" ShapeID="_x0000_i1025" DrawAspect="Content" ObjectID="_182741813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10202422">
    <w:abstractNumId w:val="4"/>
  </w:num>
  <w:num w:numId="2" w16cid:durableId="176310390">
    <w:abstractNumId w:val="1"/>
  </w:num>
  <w:num w:numId="3" w16cid:durableId="630136834">
    <w:abstractNumId w:val="2"/>
  </w:num>
  <w:num w:numId="4" w16cid:durableId="368452749">
    <w:abstractNumId w:val="3"/>
  </w:num>
  <w:num w:numId="5" w16cid:durableId="1924601598">
    <w:abstractNumId w:val="5"/>
  </w:num>
  <w:num w:numId="6" w16cid:durableId="98397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2-11"/>
    <w:docVar w:name="Ar" w:val="2003/04"/>
    <w:docVar w:name="Dep" w:val="Utrikesdepartementet"/>
    <w:docVar w:name="DepWeb" w:val="Utrikesdepartementet"/>
    <w:docVar w:name="GDB1" w:val="14617/03 JUR 441 COUR 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Utkast till rådets beslut om ändring av artiklarna 16 och 17 i Protokollet om domstolens stadg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4617/03 JUR 441 COUR 28"/>
    <w:docVar w:name="Nr" w:val="36"/>
    <w:docVar w:name="Rub" w:val="Antalet domare i Europeiska gemenskapernas domstols stora avdelning m m efter utvidgningen av unionen"/>
    <w:docVar w:name="UppDat" w:val="2003-12-11"/>
    <w:docVar w:name="Utsk" w:val="Justitieutskottet"/>
  </w:docVars>
  <w:rsids>
    <w:rsidRoot w:val="004E03D7"/>
    <w:rsid w:val="004E03D7"/>
    <w:rsid w:val="00680C49"/>
    <w:rsid w:val="009D22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540153-2CBE-43AE-A27E-1FD9FBA7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830</Words>
  <Characters>4886</Characters>
  <Application>Microsoft Office Word</Application>
  <DocSecurity>4</DocSecurity>
  <Lines>111</Lines>
  <Paragraphs>45</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2003-12-11T10:28:00Z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36</vt:lpwstr>
  </property>
  <property fmtid="{D5CDD505-2E9C-101B-9397-08002B2CF9AE}" pid="4" name="GDB1">
    <vt:lpwstr>14617/03 JUR 441 COUR 28</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Antalet domare i Europeiska gemenskapernas domstols stora avdelning m m efter utvidgningen av unionen</vt:lpwstr>
  </property>
  <property fmtid="{D5CDD505-2E9C-101B-9397-08002B2CF9AE}" pid="8" name="UppDat">
    <vt:lpwstr>2003-12-11</vt:lpwstr>
  </property>
  <property fmtid="{D5CDD505-2E9C-101B-9397-08002B2CF9AE}" pid="9" name="AnkDat">
    <vt:lpwstr>2003-12-11</vt:lpwstr>
  </property>
  <property fmtid="{D5CDD505-2E9C-101B-9397-08002B2CF9AE}" pid="10" name="Utsk">
    <vt:lpwstr>Justitieutskottet</vt:lpwstr>
  </property>
  <property fmtid="{D5CDD505-2E9C-101B-9397-08002B2CF9AE}" pid="11" name="Ar">
    <vt:lpwstr>2003/04</vt:lpwstr>
  </property>
  <property fmtid="{D5CDD505-2E9C-101B-9397-08002B2CF9AE}" pid="12" name="DepID">
    <vt:lpwstr>3;0;0;234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