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18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promemoria om regeringsskiftet efter valet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 Torsdagen den 13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2014/15:93 av Catharina Elmsäter-Svärd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Frysning av projektet 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2014/15:99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2014/15:101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Saklig prövning av svenskt medlemskap i Nato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2014/15:103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Effekterna av att stoppa Förbifart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2014/15:113 av Maj Karlsson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2014/15:KU3 Några ändringar på tryck- och yttrandefrihetens område (vilande grundlagsbeslut)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2014/15:KU4 Förstärkt skydd mot främmande makts underrättelseverksamhet (vilande grundlagsbeslut)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2014/15:FiU12 Tilläggsavtal om lån till Irland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2014/15:FiU7 Godkännande av rådets beslut om systemet för EU-budgetens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2014/15:FiU6 AP-fondernas verksamhet t.o.m.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2014/15:FiU9 Riksrevisorernas årliga rapport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2014/15:SkU5 Inkomstbeskattning, redovisning och revision av Eric-konsortier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2014/15:SkU8 Informationsutbytesavtal med Hongkong 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2014/15:FöU2 Grönbok om säkerhet i logitjänster för turister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2014/15:JuU4 En nationell strategi för en effektiv regim för bekämpning av penningtvätt och av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2014/15:JuU5 Riksrevisionens rapport om förvaltningsrätternas hantering av överklagade 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 av Anna Kinberg Batra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regeringens skatteförslag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2014/15:46 av Aron Modig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marginalskatters effekter på den svenska ekonomins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2014/15:50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unga på arbetsmarknaden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Hanif Bali (M) tar svaret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2014/15:67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Politik för fler jobb i besöksnäringen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2014/15:76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slopad nedsättning av socialavgifterna för unga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2014/15:104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sociala avgifter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personer som fyllt 65 år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Hanif Bali (M) tar svaret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2014/15:55 av Erik Ullenhag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att höja skatten för äldre som jobbar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 av Mats Persson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marginalskatter på arbete och förväntade intäkter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2014/15:85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Osäkerheten i om höjda marginalskatter leder till ökade skatteintäkter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2014/15:78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begränsning av uppräkningen av gränsen för statlig inkomstskatt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2014/15:81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Sysselsättningseffekter av avtrappning av jobbskatteavdraget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2014/15:94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2014/15:96 av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för borttagandet av den bortre tidsgränsen i sjukförsäkringen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2014/15:102 av Finn Bengtsson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Syftet med borttagandet av den bortre tidsgränsen i sjukförsäkringen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18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2014-11-18</SAFIR_Sammantradesdatum_Doc>
    <SAFIR_SammantradeID xmlns="C07A1A6C-0B19-41D9-BDF8-F523BA3921EB">3d75d18b-ef57-407b-b18a-d524763b0d5d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334C6-386C-44F7-BF26-DF73353D868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