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886FD2">
        <w:tc>
          <w:tcPr>
            <w:tcW w:w="2268" w:type="dxa"/>
          </w:tcPr>
          <w:p w:rsidR="00886FD2" w:rsidRDefault="00886FD2">
            <w:pPr>
              <w:framePr w:w="4400" w:h="1644" w:wrap="notBeside" w:vAnchor="page" w:hAnchor="page" w:x="6573" w:y="721"/>
              <w:rPr>
                <w:rFonts w:ascii="TradeGothic" w:hAnsi="TradeGothic"/>
                <w:i/>
                <w:sz w:val="18"/>
              </w:rPr>
            </w:pPr>
          </w:p>
        </w:tc>
        <w:tc>
          <w:tcPr>
            <w:tcW w:w="2347" w:type="dxa"/>
            <w:gridSpan w:val="2"/>
          </w:tcPr>
          <w:p w:rsidR="00886FD2" w:rsidRDefault="00886FD2">
            <w:pPr>
              <w:framePr w:w="4400" w:h="1644" w:wrap="notBeside" w:vAnchor="page" w:hAnchor="page" w:x="6573" w:y="721"/>
              <w:rPr>
                <w:rFonts w:ascii="TradeGothic" w:hAnsi="TradeGothic"/>
                <w:i/>
                <w:sz w:val="18"/>
              </w:rPr>
            </w:pPr>
          </w:p>
        </w:tc>
      </w:tr>
      <w:tr w:rsidR="00886FD2">
        <w:tc>
          <w:tcPr>
            <w:tcW w:w="2268" w:type="dxa"/>
          </w:tcPr>
          <w:p w:rsidR="00886FD2" w:rsidRDefault="00886FD2">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886FD2" w:rsidRDefault="00886FD2">
            <w:pPr>
              <w:framePr w:w="4400" w:h="1644" w:wrap="notBeside" w:vAnchor="page" w:hAnchor="page" w:x="6573" w:y="721"/>
              <w:rPr>
                <w:rFonts w:ascii="TradeGothic" w:hAnsi="TradeGothic"/>
                <w:b/>
                <w:sz w:val="22"/>
              </w:rPr>
            </w:pPr>
          </w:p>
        </w:tc>
      </w:tr>
      <w:tr w:rsidR="00886FD2">
        <w:trPr>
          <w:trHeight w:val="343"/>
        </w:trPr>
        <w:tc>
          <w:tcPr>
            <w:tcW w:w="3402" w:type="dxa"/>
            <w:gridSpan w:val="2"/>
          </w:tcPr>
          <w:p w:rsidR="00886FD2" w:rsidRDefault="00886FD2">
            <w:pPr>
              <w:framePr w:w="4400" w:h="1644" w:wrap="notBeside" w:vAnchor="page" w:hAnchor="page" w:x="6573" w:y="721"/>
            </w:pPr>
          </w:p>
        </w:tc>
        <w:tc>
          <w:tcPr>
            <w:tcW w:w="1213" w:type="dxa"/>
          </w:tcPr>
          <w:p w:rsidR="00886FD2" w:rsidRDefault="00886FD2">
            <w:pPr>
              <w:framePr w:w="4400" w:h="1644" w:wrap="notBeside" w:vAnchor="page" w:hAnchor="page" w:x="6573" w:y="721"/>
            </w:pPr>
          </w:p>
        </w:tc>
      </w:tr>
      <w:tr w:rsidR="00886FD2">
        <w:tc>
          <w:tcPr>
            <w:tcW w:w="2268" w:type="dxa"/>
          </w:tcPr>
          <w:p w:rsidR="00886FD2" w:rsidRDefault="00886FD2">
            <w:pPr>
              <w:framePr w:w="4400" w:h="1644" w:wrap="notBeside" w:vAnchor="page" w:hAnchor="page" w:x="6573" w:y="721"/>
            </w:pPr>
            <w:fldSimple w:instr=" CREATEDATE  \@ &quot;yyyy-MM-dd&quot;  \* MERGEFORMAT ">
              <w:r>
                <w:rPr>
                  <w:noProof/>
                </w:rPr>
                <w:t>2012-02-29</w:t>
              </w:r>
            </w:fldSimple>
          </w:p>
        </w:tc>
        <w:tc>
          <w:tcPr>
            <w:tcW w:w="2347" w:type="dxa"/>
            <w:gridSpan w:val="2"/>
          </w:tcPr>
          <w:p w:rsidR="00886FD2" w:rsidRDefault="00886FD2">
            <w:pPr>
              <w:framePr w:w="4400" w:h="1644" w:wrap="notBeside" w:vAnchor="page" w:hAnchor="page" w:x="6573" w:y="721"/>
            </w:pPr>
          </w:p>
        </w:tc>
      </w:tr>
      <w:tr w:rsidR="00886FD2">
        <w:tc>
          <w:tcPr>
            <w:tcW w:w="2268" w:type="dxa"/>
          </w:tcPr>
          <w:p w:rsidR="00886FD2" w:rsidRDefault="00886FD2">
            <w:pPr>
              <w:framePr w:w="4400" w:h="1644" w:wrap="notBeside" w:vAnchor="page" w:hAnchor="page" w:x="6573" w:y="721"/>
            </w:pPr>
          </w:p>
        </w:tc>
        <w:tc>
          <w:tcPr>
            <w:tcW w:w="2347" w:type="dxa"/>
            <w:gridSpan w:val="2"/>
          </w:tcPr>
          <w:p w:rsidR="00886FD2" w:rsidRDefault="00886FD2">
            <w:pPr>
              <w:framePr w:w="4400" w:h="1644" w:wrap="notBeside" w:vAnchor="page" w:hAnchor="page" w:x="6573" w:y="721"/>
            </w:pPr>
          </w:p>
        </w:tc>
      </w:tr>
    </w:tbl>
    <w:tbl>
      <w:tblPr>
        <w:tblW w:w="0" w:type="auto"/>
        <w:tblLayout w:type="fixed"/>
        <w:tblLook w:val="0000"/>
      </w:tblPr>
      <w:tblGrid>
        <w:gridCol w:w="4911"/>
      </w:tblGrid>
      <w:tr w:rsidR="00886FD2">
        <w:trPr>
          <w:trHeight w:val="2400"/>
        </w:trPr>
        <w:tc>
          <w:tcPr>
            <w:tcW w:w="4911" w:type="dxa"/>
          </w:tcPr>
          <w:p w:rsidR="00886FD2" w:rsidRDefault="00886FD2">
            <w:pPr>
              <w:pStyle w:val="Avsndare"/>
              <w:framePr w:h="2483" w:wrap="notBeside" w:x="1504"/>
              <w:rPr>
                <w:b/>
                <w:i w:val="0"/>
                <w:sz w:val="22"/>
              </w:rPr>
            </w:pPr>
            <w:r>
              <w:rPr>
                <w:b/>
                <w:i w:val="0"/>
                <w:sz w:val="22"/>
              </w:rPr>
              <w:t>Statsrådsberedningen</w:t>
            </w:r>
          </w:p>
          <w:p w:rsidR="00886FD2" w:rsidRDefault="00886FD2">
            <w:pPr>
              <w:pStyle w:val="Avsndare"/>
              <w:framePr w:h="2483" w:wrap="notBeside" w:x="1504"/>
            </w:pPr>
          </w:p>
          <w:p w:rsidR="00886FD2" w:rsidRDefault="00886FD2">
            <w:pPr>
              <w:pStyle w:val="Avsndare"/>
              <w:framePr w:h="2483" w:wrap="notBeside" w:x="1504"/>
            </w:pPr>
            <w:r>
              <w:t>EU-kansliet</w:t>
            </w:r>
          </w:p>
          <w:p w:rsidR="00886FD2" w:rsidRDefault="00886FD2">
            <w:pPr>
              <w:pStyle w:val="Avsndare"/>
              <w:framePr w:h="2483" w:wrap="notBeside" w:x="1504"/>
            </w:pPr>
          </w:p>
          <w:p w:rsidR="00886FD2" w:rsidRDefault="00886FD2">
            <w:pPr>
              <w:pStyle w:val="Avsndare"/>
              <w:framePr w:h="2483" w:wrap="notBeside" w:x="1504"/>
            </w:pPr>
          </w:p>
          <w:p w:rsidR="00886FD2" w:rsidRDefault="00886FD2">
            <w:pPr>
              <w:pStyle w:val="Avsndare"/>
              <w:framePr w:h="2483" w:wrap="notBeside" w:x="1504"/>
            </w:pPr>
          </w:p>
          <w:p w:rsidR="00886FD2" w:rsidRDefault="00886FD2">
            <w:pPr>
              <w:pStyle w:val="Avsndare"/>
              <w:framePr w:h="2483" w:wrap="notBeside" w:x="1504"/>
              <w:rPr>
                <w:b/>
                <w:i w:val="0"/>
                <w:sz w:val="22"/>
              </w:rPr>
            </w:pPr>
          </w:p>
        </w:tc>
      </w:tr>
    </w:tbl>
    <w:p w:rsidR="00886FD2" w:rsidRDefault="00886FD2">
      <w:pPr>
        <w:framePr w:w="4400" w:h="2523" w:wrap="notBeside" w:vAnchor="page" w:hAnchor="page" w:x="6453" w:y="2445"/>
        <w:ind w:left="142"/>
      </w:pPr>
    </w:p>
    <w:p w:rsidR="00886FD2" w:rsidRDefault="00886FD2">
      <w:pPr>
        <w:pStyle w:val="UDrubrik"/>
        <w:tabs>
          <w:tab w:val="left" w:pos="1701"/>
          <w:tab w:val="left" w:pos="1985"/>
        </w:tabs>
        <w:rPr>
          <w:rFonts w:cs="Arial"/>
          <w:sz w:val="28"/>
        </w:rPr>
      </w:pPr>
      <w:bookmarkStart w:id="0" w:name="_Toc67391946"/>
      <w:bookmarkStart w:id="1" w:name="_Toc70473239"/>
      <w:r>
        <w:rPr>
          <w:rFonts w:cs="Arial"/>
          <w:sz w:val="28"/>
        </w:rPr>
        <w:t xml:space="preserve">Troliga A-punkter inför kommande rådsmöten som godkändes vid Coreper I </w:t>
      </w:r>
      <w:bookmarkEnd w:id="0"/>
      <w:bookmarkEnd w:id="1"/>
      <w:r>
        <w:rPr>
          <w:rFonts w:cs="Arial"/>
          <w:sz w:val="28"/>
        </w:rPr>
        <w:t>vecka 9 samt f</w:t>
      </w:r>
      <w:r w:rsidRPr="005465B2">
        <w:rPr>
          <w:rFonts w:cs="Arial"/>
          <w:sz w:val="28"/>
        </w:rPr>
        <w:t>ärdigförhandlad II-punkt från möte i Coreper II 2012-02-23</w:t>
      </w:r>
      <w:r>
        <w:rPr>
          <w:rFonts w:cs="Arial"/>
          <w:sz w:val="28"/>
        </w:rPr>
        <w:t>.</w:t>
      </w:r>
    </w:p>
    <w:p w:rsidR="00886FD2" w:rsidRPr="005465B2" w:rsidRDefault="00886FD2" w:rsidP="00C70770">
      <w:pPr>
        <w:pStyle w:val="BodyText"/>
        <w:rPr>
          <w:rFonts w:ascii="Arial" w:hAnsi="Arial" w:cs="Arial"/>
          <w:b/>
          <w:sz w:val="28"/>
        </w:rPr>
      </w:pPr>
    </w:p>
    <w:p w:rsidR="00886FD2" w:rsidRDefault="00886FD2" w:rsidP="00C70770">
      <w:pPr>
        <w:pStyle w:val="BodyText"/>
      </w:pPr>
      <w:r>
        <w:t>Översänds för skriftligt samråd vecka 9.</w:t>
      </w:r>
    </w:p>
    <w:p w:rsidR="00886FD2" w:rsidRPr="00C70770" w:rsidRDefault="00886FD2" w:rsidP="00C70770">
      <w:pPr>
        <w:pStyle w:val="BodyText"/>
      </w:pPr>
      <w:r>
        <w:br w:type="page"/>
        <w:t xml:space="preserve"> </w:t>
      </w:r>
    </w:p>
    <w:p w:rsidR="00886FD2" w:rsidRDefault="00886FD2">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886FD2" w:rsidRDefault="00886FD2">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8362785" w:history="1">
        <w:r w:rsidRPr="00DD59EE">
          <w:rPr>
            <w:rStyle w:val="Hyperlink"/>
            <w:noProof/>
          </w:rPr>
          <w:t>Frågor som lösts i förberedande instanser</w:t>
        </w:r>
        <w:r>
          <w:rPr>
            <w:noProof/>
            <w:webHidden/>
          </w:rPr>
          <w:tab/>
        </w:r>
        <w:r>
          <w:rPr>
            <w:noProof/>
            <w:webHidden/>
          </w:rPr>
          <w:fldChar w:fldCharType="begin"/>
        </w:r>
        <w:r>
          <w:rPr>
            <w:noProof/>
            <w:webHidden/>
          </w:rPr>
          <w:instrText xml:space="preserve"> PAGEREF _Toc318362785 \h </w:instrText>
        </w:r>
        <w:r>
          <w:rPr>
            <w:noProof/>
            <w:webHidden/>
          </w:rPr>
        </w:r>
        <w:r>
          <w:rPr>
            <w:noProof/>
            <w:webHidden/>
          </w:rPr>
          <w:fldChar w:fldCharType="separate"/>
        </w:r>
        <w:r>
          <w:rPr>
            <w:noProof/>
            <w:webHidden/>
          </w:rPr>
          <w:t>4</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86" w:history="1">
        <w:r w:rsidRPr="00DD59EE">
          <w:rPr>
            <w:rStyle w:val="Hyperlink"/>
            <w:noProof/>
            <w:lang w:val="en-US"/>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_Toc318362786 \h </w:instrText>
        </w:r>
        <w:r>
          <w:rPr>
            <w:noProof/>
            <w:webHidden/>
          </w:rPr>
        </w:r>
        <w:r>
          <w:rPr>
            <w:noProof/>
            <w:webHidden/>
          </w:rPr>
          <w:fldChar w:fldCharType="separate"/>
        </w:r>
        <w:r>
          <w:rPr>
            <w:noProof/>
            <w:webHidden/>
          </w:rPr>
          <w:t>4</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87" w:history="1">
        <w:r w:rsidRPr="00DD59EE">
          <w:rPr>
            <w:rStyle w:val="Hyperlink"/>
            <w:noProof/>
          </w:rPr>
          <w:t xml:space="preserve">2. Commission delegated Regulation (EU) Nº .../... </w:t>
        </w:r>
        <w:r w:rsidRPr="00DD59EE">
          <w:rPr>
            <w:rStyle w:val="Hyperlink"/>
            <w:noProof/>
            <w:lang w:val="en-US"/>
          </w:rPr>
          <w:t>of 16.1.2012 supplementing Directive 2010/31/EU of the European Parliament and of the Council on the energy performance of buildings (recast) by establishing a comparative methodology framework for calculating cost-optimum levels of minimum energy performance for buildings and building elements = Decision not to oppose a delegated act</w:t>
        </w:r>
        <w:r>
          <w:rPr>
            <w:noProof/>
            <w:webHidden/>
          </w:rPr>
          <w:tab/>
        </w:r>
        <w:r>
          <w:rPr>
            <w:noProof/>
            <w:webHidden/>
          </w:rPr>
          <w:fldChar w:fldCharType="begin"/>
        </w:r>
        <w:r>
          <w:rPr>
            <w:noProof/>
            <w:webHidden/>
          </w:rPr>
          <w:instrText xml:space="preserve"> PAGEREF _Toc318362787 \h </w:instrText>
        </w:r>
        <w:r>
          <w:rPr>
            <w:noProof/>
            <w:webHidden/>
          </w:rPr>
        </w:r>
        <w:r>
          <w:rPr>
            <w:noProof/>
            <w:webHidden/>
          </w:rPr>
          <w:fldChar w:fldCharType="separate"/>
        </w:r>
        <w:r>
          <w:rPr>
            <w:noProof/>
            <w:webHidden/>
          </w:rPr>
          <w:t>5</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88" w:history="1">
        <w:r w:rsidRPr="00DD59EE">
          <w:rPr>
            <w:rStyle w:val="Hyperlink"/>
            <w:noProof/>
            <w:lang w:val="en-US"/>
          </w:rPr>
          <w:t>3. Proposal for a Regulation of the European Parliament and of the Council amending Regulation (EC) No 1185/2003 on the removal of fins of sharks on board vessels (First reading) (Legislative deliberation) = Endorsement of the working party agreement</w:t>
        </w:r>
        <w:r>
          <w:rPr>
            <w:noProof/>
            <w:webHidden/>
          </w:rPr>
          <w:tab/>
        </w:r>
        <w:r>
          <w:rPr>
            <w:noProof/>
            <w:webHidden/>
          </w:rPr>
          <w:fldChar w:fldCharType="begin"/>
        </w:r>
        <w:r>
          <w:rPr>
            <w:noProof/>
            <w:webHidden/>
          </w:rPr>
          <w:instrText xml:space="preserve"> PAGEREF _Toc318362788 \h </w:instrText>
        </w:r>
        <w:r>
          <w:rPr>
            <w:noProof/>
            <w:webHidden/>
          </w:rPr>
        </w:r>
        <w:r>
          <w:rPr>
            <w:noProof/>
            <w:webHidden/>
          </w:rPr>
          <w:fldChar w:fldCharType="separate"/>
        </w:r>
        <w:r>
          <w:rPr>
            <w:noProof/>
            <w:webHidden/>
          </w:rPr>
          <w:t>6</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89" w:history="1">
        <w:r w:rsidRPr="00DD59EE">
          <w:rPr>
            <w:rStyle w:val="Hyperlink"/>
            <w:noProof/>
            <w:lang w:val="en-US"/>
          </w:rPr>
          <w:t>4. Governing Board of the European Foundation for the Improvement of Living and Working Conditions Appointment of Mr Ivan KOKALOV, Bulgarian member, in place of Ms Keti KOYNAKOVA, who has resigned = Adoption</w:t>
        </w:r>
        <w:r>
          <w:rPr>
            <w:noProof/>
            <w:webHidden/>
          </w:rPr>
          <w:tab/>
        </w:r>
        <w:r>
          <w:rPr>
            <w:noProof/>
            <w:webHidden/>
          </w:rPr>
          <w:fldChar w:fldCharType="begin"/>
        </w:r>
        <w:r>
          <w:rPr>
            <w:noProof/>
            <w:webHidden/>
          </w:rPr>
          <w:instrText xml:space="preserve"> PAGEREF _Toc318362789 \h </w:instrText>
        </w:r>
        <w:r>
          <w:rPr>
            <w:noProof/>
            <w:webHidden/>
          </w:rPr>
        </w:r>
        <w:r>
          <w:rPr>
            <w:noProof/>
            <w:webHidden/>
          </w:rPr>
          <w:fldChar w:fldCharType="separate"/>
        </w:r>
        <w:r>
          <w:rPr>
            <w:noProof/>
            <w:webHidden/>
          </w:rPr>
          <w:t>7</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90" w:history="1">
        <w:r w:rsidRPr="00DD59EE">
          <w:rPr>
            <w:rStyle w:val="Hyperlink"/>
            <w:noProof/>
            <w:lang w:val="en-US"/>
          </w:rPr>
          <w:t>5. Governing Board of the European Foundation for the Improvement of Living and Working Conditions Appointment of Mr Oleg CHULEV, Bulgarian alternate member, in place of Mr Ivan KOKALOV, who has resigned = Adoption</w:t>
        </w:r>
        <w:r>
          <w:rPr>
            <w:noProof/>
            <w:webHidden/>
          </w:rPr>
          <w:tab/>
        </w:r>
        <w:r>
          <w:rPr>
            <w:noProof/>
            <w:webHidden/>
          </w:rPr>
          <w:fldChar w:fldCharType="begin"/>
        </w:r>
        <w:r>
          <w:rPr>
            <w:noProof/>
            <w:webHidden/>
          </w:rPr>
          <w:instrText xml:space="preserve"> PAGEREF _Toc318362790 \h </w:instrText>
        </w:r>
        <w:r>
          <w:rPr>
            <w:noProof/>
            <w:webHidden/>
          </w:rPr>
        </w:r>
        <w:r>
          <w:rPr>
            <w:noProof/>
            <w:webHidden/>
          </w:rPr>
          <w:fldChar w:fldCharType="separate"/>
        </w:r>
        <w:r>
          <w:rPr>
            <w:noProof/>
            <w:webHidden/>
          </w:rPr>
          <w:t>7</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91" w:history="1">
        <w:r w:rsidRPr="00DD59EE">
          <w:rPr>
            <w:rStyle w:val="Hyperlink"/>
            <w:noProof/>
            <w:lang w:val="en-US"/>
          </w:rPr>
          <w:t>6. Governing Board of the European Centre for the Development of Vocational Training (CEDEFOP) Appointment of Mr Jean-Marc HUART (FR), member in the category of Government representatives = Adoption</w:t>
        </w:r>
        <w:r>
          <w:rPr>
            <w:noProof/>
            <w:webHidden/>
          </w:rPr>
          <w:tab/>
        </w:r>
        <w:r>
          <w:rPr>
            <w:noProof/>
            <w:webHidden/>
          </w:rPr>
          <w:fldChar w:fldCharType="begin"/>
        </w:r>
        <w:r>
          <w:rPr>
            <w:noProof/>
            <w:webHidden/>
          </w:rPr>
          <w:instrText xml:space="preserve"> PAGEREF _Toc318362791 \h </w:instrText>
        </w:r>
        <w:r>
          <w:rPr>
            <w:noProof/>
            <w:webHidden/>
          </w:rPr>
        </w:r>
        <w:r>
          <w:rPr>
            <w:noProof/>
            <w:webHidden/>
          </w:rPr>
          <w:fldChar w:fldCharType="separate"/>
        </w:r>
        <w:r>
          <w:rPr>
            <w:noProof/>
            <w:webHidden/>
          </w:rPr>
          <w:t>8</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92" w:history="1">
        <w:r w:rsidRPr="00DD59EE">
          <w:rPr>
            <w:rStyle w:val="Hyperlink"/>
            <w:noProof/>
            <w:lang w:val="en-US"/>
          </w:rPr>
          <w:t>7. Draft Council Decision No .../2012 renewing the term of office of the Vice-President of the Community Plant Variety Office = Adoption</w:t>
        </w:r>
        <w:r>
          <w:rPr>
            <w:noProof/>
            <w:webHidden/>
          </w:rPr>
          <w:tab/>
        </w:r>
        <w:r>
          <w:rPr>
            <w:noProof/>
            <w:webHidden/>
          </w:rPr>
          <w:fldChar w:fldCharType="begin"/>
        </w:r>
        <w:r>
          <w:rPr>
            <w:noProof/>
            <w:webHidden/>
          </w:rPr>
          <w:instrText xml:space="preserve"> PAGEREF _Toc318362792 \h </w:instrText>
        </w:r>
        <w:r>
          <w:rPr>
            <w:noProof/>
            <w:webHidden/>
          </w:rPr>
        </w:r>
        <w:r>
          <w:rPr>
            <w:noProof/>
            <w:webHidden/>
          </w:rPr>
          <w:fldChar w:fldCharType="separate"/>
        </w:r>
        <w:r>
          <w:rPr>
            <w:noProof/>
            <w:webHidden/>
          </w:rPr>
          <w:t>8</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93" w:history="1">
        <w:r w:rsidRPr="00DD59EE">
          <w:rPr>
            <w:rStyle w:val="Hyperlink"/>
            <w:noProof/>
            <w:lang w:val="en-US"/>
          </w:rPr>
          <w:t>8.  Draft Council Decision on the conclusion of a Memorandum of Cooperation between the European Union and the International Civil Aviation Organisation providing a framework for enhanced cooperation, and laying down procedural arrangements related thereto = Adoption</w:t>
        </w:r>
        <w:r>
          <w:rPr>
            <w:noProof/>
            <w:webHidden/>
          </w:rPr>
          <w:tab/>
        </w:r>
        <w:r>
          <w:rPr>
            <w:noProof/>
            <w:webHidden/>
          </w:rPr>
          <w:fldChar w:fldCharType="begin"/>
        </w:r>
        <w:r>
          <w:rPr>
            <w:noProof/>
            <w:webHidden/>
          </w:rPr>
          <w:instrText xml:space="preserve"> PAGEREF _Toc318362793 \h </w:instrText>
        </w:r>
        <w:r>
          <w:rPr>
            <w:noProof/>
            <w:webHidden/>
          </w:rPr>
        </w:r>
        <w:r>
          <w:rPr>
            <w:noProof/>
            <w:webHidden/>
          </w:rPr>
          <w:fldChar w:fldCharType="separate"/>
        </w:r>
        <w:r>
          <w:rPr>
            <w:noProof/>
            <w:webHidden/>
          </w:rPr>
          <w:t>9</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94" w:history="1">
        <w:r w:rsidRPr="00DD59EE">
          <w:rPr>
            <w:rStyle w:val="Hyperlink"/>
            <w:noProof/>
            <w:lang w:val="en-US"/>
          </w:rPr>
          <w:t>9. Draft Council Decision to authorise the Commission to negotiate an agreement between the European Union, Norway and Switzerland in the form of revised exchanges of letters concerning products manufactured in beneficiary countries of the Generalised System of Preferences (GSP) incorporating materials originating in Norway, Switzerland or Turkey, providing that these products shall be treated upon their arrival on the customs territory of the Community as products originating in the GSP beneficiary countries, and concerning the mutual acceptance of replacement proofs of origin (certificates of origin Form A and statements on origin) = Adoption</w:t>
        </w:r>
        <w:r>
          <w:rPr>
            <w:noProof/>
            <w:webHidden/>
          </w:rPr>
          <w:tab/>
        </w:r>
        <w:r>
          <w:rPr>
            <w:noProof/>
            <w:webHidden/>
          </w:rPr>
          <w:fldChar w:fldCharType="begin"/>
        </w:r>
        <w:r>
          <w:rPr>
            <w:noProof/>
            <w:webHidden/>
          </w:rPr>
          <w:instrText xml:space="preserve"> PAGEREF _Toc318362794 \h </w:instrText>
        </w:r>
        <w:r>
          <w:rPr>
            <w:noProof/>
            <w:webHidden/>
          </w:rPr>
        </w:r>
        <w:r>
          <w:rPr>
            <w:noProof/>
            <w:webHidden/>
          </w:rPr>
          <w:fldChar w:fldCharType="separate"/>
        </w:r>
        <w:r>
          <w:rPr>
            <w:noProof/>
            <w:webHidden/>
          </w:rPr>
          <w:t>10</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95" w:history="1">
        <w:r w:rsidRPr="00DD59EE">
          <w:rPr>
            <w:rStyle w:val="Hyperlink"/>
            <w:noProof/>
            <w:lang w:val="en-US"/>
          </w:rPr>
          <w:t>10. EU contribution to the revision of the World Anti-Doping Code = Approval of the text</w:t>
        </w:r>
        <w:r>
          <w:rPr>
            <w:noProof/>
            <w:webHidden/>
          </w:rPr>
          <w:tab/>
        </w:r>
        <w:r>
          <w:rPr>
            <w:noProof/>
            <w:webHidden/>
          </w:rPr>
          <w:fldChar w:fldCharType="begin"/>
        </w:r>
        <w:r>
          <w:rPr>
            <w:noProof/>
            <w:webHidden/>
          </w:rPr>
          <w:instrText xml:space="preserve"> PAGEREF _Toc318362795 \h </w:instrText>
        </w:r>
        <w:r>
          <w:rPr>
            <w:noProof/>
            <w:webHidden/>
          </w:rPr>
        </w:r>
        <w:r>
          <w:rPr>
            <w:noProof/>
            <w:webHidden/>
          </w:rPr>
          <w:fldChar w:fldCharType="separate"/>
        </w:r>
        <w:r>
          <w:rPr>
            <w:noProof/>
            <w:webHidden/>
          </w:rPr>
          <w:t>10</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96" w:history="1">
        <w:r w:rsidRPr="00DD59EE">
          <w:rPr>
            <w:rStyle w:val="Hyperlink"/>
            <w:noProof/>
            <w:lang w:val="en-US"/>
          </w:rPr>
          <w:t>11. Proposal for a Regulation of the European Parliament and of the Council concerning the export and import of hazardous chemicals (Recast) (First reading) (Legislative deliberation) = Approval of the final compromise text with a view to agreement</w:t>
        </w:r>
        <w:r>
          <w:rPr>
            <w:noProof/>
            <w:webHidden/>
          </w:rPr>
          <w:tab/>
        </w:r>
        <w:r>
          <w:rPr>
            <w:noProof/>
            <w:webHidden/>
          </w:rPr>
          <w:fldChar w:fldCharType="begin"/>
        </w:r>
        <w:r>
          <w:rPr>
            <w:noProof/>
            <w:webHidden/>
          </w:rPr>
          <w:instrText xml:space="preserve"> PAGEREF _Toc318362796 \h </w:instrText>
        </w:r>
        <w:r>
          <w:rPr>
            <w:noProof/>
            <w:webHidden/>
          </w:rPr>
        </w:r>
        <w:r>
          <w:rPr>
            <w:noProof/>
            <w:webHidden/>
          </w:rPr>
          <w:fldChar w:fldCharType="separate"/>
        </w:r>
        <w:r>
          <w:rPr>
            <w:noProof/>
            <w:webHidden/>
          </w:rPr>
          <w:t>11</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97" w:history="1">
        <w:r w:rsidRPr="00DD59EE">
          <w:rPr>
            <w:rStyle w:val="Hyperlink"/>
            <w:noProof/>
            <w:lang w:val="en-US"/>
          </w:rPr>
          <w:t>12. Proposal for a Directive of the European Parliament and of the Council establishing a single European railway area (Recast) (First reading) (Legislative deliberation) (a) Adoption of the position of the Council in first reading (b) Adoption of the statement of the Council's reasons</w:t>
        </w:r>
        <w:r>
          <w:rPr>
            <w:noProof/>
            <w:webHidden/>
          </w:rPr>
          <w:tab/>
        </w:r>
        <w:r>
          <w:rPr>
            <w:noProof/>
            <w:webHidden/>
          </w:rPr>
          <w:fldChar w:fldCharType="begin"/>
        </w:r>
        <w:r>
          <w:rPr>
            <w:noProof/>
            <w:webHidden/>
          </w:rPr>
          <w:instrText xml:space="preserve"> PAGEREF _Toc318362797 \h </w:instrText>
        </w:r>
        <w:r>
          <w:rPr>
            <w:noProof/>
            <w:webHidden/>
          </w:rPr>
        </w:r>
        <w:r>
          <w:rPr>
            <w:noProof/>
            <w:webHidden/>
          </w:rPr>
          <w:fldChar w:fldCharType="separate"/>
        </w:r>
        <w:r>
          <w:rPr>
            <w:noProof/>
            <w:webHidden/>
          </w:rPr>
          <w:t>12</w:t>
        </w:r>
        <w:r>
          <w:rPr>
            <w:noProof/>
            <w:webHidden/>
          </w:rPr>
          <w:fldChar w:fldCharType="end"/>
        </w:r>
      </w:hyperlink>
    </w:p>
    <w:p w:rsidR="00886FD2" w:rsidRDefault="00886FD2">
      <w:pPr>
        <w:pStyle w:val="TOC1"/>
        <w:tabs>
          <w:tab w:val="right" w:leader="dot" w:pos="7644"/>
        </w:tabs>
        <w:rPr>
          <w:rFonts w:ascii="Calibri" w:hAnsi="Calibri"/>
          <w:b w:val="0"/>
          <w:bCs w:val="0"/>
          <w:caps w:val="0"/>
          <w:noProof/>
          <w:sz w:val="22"/>
          <w:szCs w:val="22"/>
          <w:lang w:eastAsia="sv-SE"/>
        </w:rPr>
      </w:pPr>
      <w:hyperlink w:anchor="_Toc318362798" w:history="1">
        <w:r w:rsidRPr="00DD59EE">
          <w:rPr>
            <w:rStyle w:val="Hyperlink"/>
            <w:noProof/>
          </w:rPr>
          <w:t>Färdigförhandlad II-punkt från möte i Coreper II 2012-02-23 som kan tas som A-punkt vid kommande rådsmöte</w:t>
        </w:r>
        <w:r>
          <w:rPr>
            <w:noProof/>
            <w:webHidden/>
          </w:rPr>
          <w:tab/>
        </w:r>
        <w:r>
          <w:rPr>
            <w:noProof/>
            <w:webHidden/>
          </w:rPr>
          <w:fldChar w:fldCharType="begin"/>
        </w:r>
        <w:r>
          <w:rPr>
            <w:noProof/>
            <w:webHidden/>
          </w:rPr>
          <w:instrText xml:space="preserve"> PAGEREF _Toc318362798 \h </w:instrText>
        </w:r>
        <w:r>
          <w:rPr>
            <w:noProof/>
            <w:webHidden/>
          </w:rPr>
        </w:r>
        <w:r>
          <w:rPr>
            <w:noProof/>
            <w:webHidden/>
          </w:rPr>
          <w:fldChar w:fldCharType="separate"/>
        </w:r>
        <w:r>
          <w:rPr>
            <w:noProof/>
            <w:webHidden/>
          </w:rPr>
          <w:t>14</w:t>
        </w:r>
        <w:r>
          <w:rPr>
            <w:noProof/>
            <w:webHidden/>
          </w:rPr>
          <w:fldChar w:fldCharType="end"/>
        </w:r>
      </w:hyperlink>
    </w:p>
    <w:p w:rsidR="00886FD2" w:rsidRDefault="00886FD2">
      <w:pPr>
        <w:pStyle w:val="TOC2"/>
        <w:tabs>
          <w:tab w:val="right" w:leader="dot" w:pos="7644"/>
        </w:tabs>
        <w:rPr>
          <w:rFonts w:ascii="Calibri" w:hAnsi="Calibri"/>
          <w:b w:val="0"/>
          <w:bCs w:val="0"/>
          <w:noProof/>
          <w:sz w:val="22"/>
          <w:szCs w:val="22"/>
          <w:lang w:eastAsia="sv-SE"/>
        </w:rPr>
      </w:pPr>
      <w:hyperlink w:anchor="_Toc318362799" w:history="1">
        <w:r w:rsidRPr="00DD59EE">
          <w:rPr>
            <w:rStyle w:val="Hyperlink"/>
            <w:noProof/>
          </w:rPr>
          <w:t>13. Förslag (KOM(2009) 456) till Europaparlamentets och rådets beslut om ändring av beslut nr 573/2007/EG om inrättande av Europeiska flyktingfonden för perioden 2008–2013 som en del av det allmänna programmet ”Solidaritet och hantering av migrationsströmmar” och om upphävande av rådets beslut 2004/904/EG - ett gemensamt vidarebosättningsprogram för EU (första läsningen)</w:t>
        </w:r>
        <w:r>
          <w:rPr>
            <w:noProof/>
            <w:webHidden/>
          </w:rPr>
          <w:tab/>
        </w:r>
        <w:r>
          <w:rPr>
            <w:noProof/>
            <w:webHidden/>
          </w:rPr>
          <w:fldChar w:fldCharType="begin"/>
        </w:r>
        <w:r>
          <w:rPr>
            <w:noProof/>
            <w:webHidden/>
          </w:rPr>
          <w:instrText xml:space="preserve"> PAGEREF _Toc318362799 \h </w:instrText>
        </w:r>
        <w:r>
          <w:rPr>
            <w:noProof/>
            <w:webHidden/>
          </w:rPr>
        </w:r>
        <w:r>
          <w:rPr>
            <w:noProof/>
            <w:webHidden/>
          </w:rPr>
          <w:fldChar w:fldCharType="separate"/>
        </w:r>
        <w:r>
          <w:rPr>
            <w:noProof/>
            <w:webHidden/>
          </w:rPr>
          <w:t>14</w:t>
        </w:r>
        <w:r>
          <w:rPr>
            <w:noProof/>
            <w:webHidden/>
          </w:rPr>
          <w:fldChar w:fldCharType="end"/>
        </w:r>
      </w:hyperlink>
    </w:p>
    <w:p w:rsidR="00886FD2" w:rsidRDefault="00886FD2">
      <w:pPr>
        <w:pStyle w:val="RKnormal"/>
        <w:ind w:left="0"/>
        <w:rPr>
          <w:b/>
          <w:bCs/>
        </w:rPr>
      </w:pPr>
      <w:r>
        <w:rPr>
          <w:b/>
          <w:bCs/>
        </w:rPr>
        <w:fldChar w:fldCharType="end"/>
      </w:r>
    </w:p>
    <w:p w:rsidR="00886FD2" w:rsidRDefault="00886FD2">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8362785"/>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886FD2" w:rsidRPr="003B7FBA" w:rsidRDefault="00886FD2">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3B7FBA">
        <w:t xml:space="preserve">Vissa A-punkter föranleder inga annoteringar. </w:t>
      </w:r>
    </w:p>
    <w:p w:rsidR="00886FD2" w:rsidRPr="003B7FBA" w:rsidRDefault="00886FD2">
      <w:pPr>
        <w:pStyle w:val="Heading1"/>
        <w:spacing w:before="0" w:after="0"/>
      </w:pPr>
      <w:r w:rsidRPr="003B7FBA">
        <w:t xml:space="preserve"> </w:t>
      </w:r>
      <w:bookmarkStart w:id="55" w:name="Punkt"/>
      <w:bookmarkEnd w:id="55"/>
    </w:p>
    <w:p w:rsidR="00886FD2" w:rsidRPr="003B7FBA" w:rsidRDefault="00886FD2" w:rsidP="00C70770">
      <w:pPr>
        <w:pStyle w:val="RKnormal"/>
      </w:pPr>
    </w:p>
    <w:p w:rsidR="00886FD2" w:rsidRDefault="00886FD2" w:rsidP="00C70770">
      <w:pPr>
        <w:pStyle w:val="UDrubrik"/>
        <w:tabs>
          <w:tab w:val="left" w:pos="1701"/>
          <w:tab w:val="left" w:pos="1985"/>
        </w:tabs>
        <w:rPr>
          <w:rFonts w:cs="Arial"/>
          <w:sz w:val="28"/>
        </w:rPr>
      </w:pPr>
      <w:r>
        <w:rPr>
          <w:rFonts w:cs="Arial"/>
          <w:sz w:val="28"/>
        </w:rPr>
        <w:t>Troliga A-punkter inför kommande rådsmöten som godkändes vid Coreper I 2012-02-29</w:t>
      </w:r>
    </w:p>
    <w:p w:rsidR="00886FD2" w:rsidRPr="00C70770" w:rsidRDefault="00886FD2">
      <w:pPr>
        <w:pStyle w:val="RKnormal"/>
        <w:tabs>
          <w:tab w:val="clear" w:pos="1843"/>
          <w:tab w:val="left" w:pos="0"/>
        </w:tabs>
        <w:ind w:left="0"/>
      </w:pPr>
      <w:r w:rsidRPr="00C70770">
        <w:t xml:space="preserve">  </w:t>
      </w:r>
    </w:p>
    <w:p w:rsidR="00886FD2" w:rsidRDefault="00886FD2" w:rsidP="00341DDE">
      <w:pPr>
        <w:pStyle w:val="Heading2"/>
        <w:rPr>
          <w:lang w:val="en-US"/>
        </w:rPr>
      </w:pPr>
      <w:bookmarkStart w:id="56" w:name="_Toc318362786"/>
      <w:r w:rsidRPr="00C70770">
        <w:rPr>
          <w:lang w:val="en-US"/>
        </w:rPr>
        <w:t>1. Replies to written questions put to the Council by Members of the European Parliament (+)</w:t>
      </w:r>
      <w:bookmarkEnd w:id="56"/>
    </w:p>
    <w:p w:rsidR="00886FD2" w:rsidRPr="00C70770" w:rsidRDefault="00886FD2" w:rsidP="00C70770">
      <w:pPr>
        <w:rPr>
          <w:lang w:val="en-US"/>
        </w:rPr>
      </w:pPr>
      <w:r w:rsidRPr="00C70770">
        <w:rPr>
          <w:lang w:val="en-US"/>
        </w:rPr>
        <w:t>(a) n° E-012490/2011 put by Sophia in 't Veld, Baroness Sarah Ludford and Marietje Schaake "Impact of the US National Defense Authorization Act (NDAA) on the EU legal order" (b) n° E-012598/2011 put by Adrian Severin "PCE/PEC - EU's failure to sign the Association Agreement with Ukraine" (c) n° E-000054/2012 put by Rodi Kratsa-Tsagaropoulou "Balanced development and coordination of country policies in the euro area and out of it" (d) n° P-000174/2012 put by Silvia-Adriana Ticau "Danish EU Presidency- Lifting labour market barriers to Bulgarians and Romanians" (e) n° E-000339/2012 put by Vilija Blinkeviciute "Prospects for the directive on maternity leave"</w:t>
      </w:r>
    </w:p>
    <w:p w:rsidR="00886FD2" w:rsidRPr="00C70770" w:rsidRDefault="00886FD2">
      <w:pPr>
        <w:pStyle w:val="RKnormal"/>
        <w:tabs>
          <w:tab w:val="clear" w:pos="1843"/>
          <w:tab w:val="left" w:pos="0"/>
        </w:tabs>
        <w:ind w:left="0"/>
        <w:rPr>
          <w:lang w:val="en-US"/>
        </w:rPr>
      </w:pPr>
    </w:p>
    <w:p w:rsidR="00886FD2" w:rsidRPr="00341DDE" w:rsidRDefault="00886FD2" w:rsidP="00341DDE">
      <w:r>
        <w:t>5953/12, 6024/12, 6186/12, 6171/12, 6178/12</w:t>
      </w:r>
    </w:p>
    <w:p w:rsidR="00886FD2" w:rsidRDefault="00886FD2">
      <w:pPr>
        <w:pStyle w:val="RKnormal"/>
        <w:tabs>
          <w:tab w:val="clear" w:pos="1843"/>
          <w:tab w:val="left" w:pos="0"/>
        </w:tabs>
        <w:ind w:left="0"/>
      </w:pPr>
    </w:p>
    <w:p w:rsidR="00886FD2" w:rsidRPr="00341DDE" w:rsidRDefault="00886FD2" w:rsidP="00341DDE">
      <w:r>
        <w:t>Ansvarigt departement: Statsrådsberedningen</w:t>
      </w:r>
    </w:p>
    <w:p w:rsidR="00886FD2" w:rsidRDefault="00886FD2">
      <w:pPr>
        <w:pStyle w:val="RKnormal"/>
        <w:tabs>
          <w:tab w:val="clear" w:pos="1843"/>
          <w:tab w:val="left" w:pos="0"/>
        </w:tabs>
        <w:ind w:left="0"/>
      </w:pPr>
    </w:p>
    <w:p w:rsidR="00886FD2" w:rsidRPr="00341DDE" w:rsidRDefault="00886FD2" w:rsidP="00341DDE">
      <w:r>
        <w:t>Ansvarigt statsråd: Birgitta Ohlsson</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Pr="00341DDE" w:rsidRDefault="00886FD2" w:rsidP="00341DDE">
      <w:r>
        <w:t>Föranleder ingen annotering.</w:t>
      </w:r>
    </w:p>
    <w:p w:rsidR="00886FD2" w:rsidRDefault="00886FD2">
      <w:pPr>
        <w:pStyle w:val="RKnormal"/>
        <w:tabs>
          <w:tab w:val="clear" w:pos="1843"/>
          <w:tab w:val="left" w:pos="0"/>
        </w:tabs>
        <w:ind w:left="0"/>
      </w:pPr>
      <w:r>
        <w:t xml:space="preserve"> </w:t>
      </w:r>
    </w:p>
    <w:p w:rsidR="00886FD2" w:rsidRPr="00C70770" w:rsidRDefault="00886FD2" w:rsidP="00341DDE">
      <w:pPr>
        <w:pStyle w:val="Heading2"/>
        <w:rPr>
          <w:lang w:val="en-US"/>
        </w:rPr>
      </w:pPr>
      <w:bookmarkStart w:id="57" w:name="_Toc318362787"/>
      <w:r>
        <w:t xml:space="preserve">2. Commission delegated Regulation (EU) Nº .../... </w:t>
      </w:r>
      <w:r w:rsidRPr="00C70770">
        <w:rPr>
          <w:lang w:val="en-US"/>
        </w:rPr>
        <w:t>of 16.1.2012 supplementing Directive 2010/31/EU of the European Parliament and of the Council on the energy performance of buildings (recast) by establishing a comparative methodology framework for calculating cost-optimum levels of minimum energy performance for buildings and building elements</w:t>
      </w:r>
      <w:r>
        <w:rPr>
          <w:lang w:val="en-US"/>
        </w:rPr>
        <w:t xml:space="preserve"> </w:t>
      </w:r>
      <w:r w:rsidRPr="00C70770">
        <w:rPr>
          <w:lang w:val="en-US"/>
        </w:rPr>
        <w:t>= Decision not to oppose a delegated act</w:t>
      </w:r>
      <w:bookmarkEnd w:id="57"/>
    </w:p>
    <w:p w:rsidR="00886FD2" w:rsidRPr="00341DDE" w:rsidRDefault="00886FD2" w:rsidP="00341DDE">
      <w:r>
        <w:t>5441/12, 5931/12</w:t>
      </w:r>
    </w:p>
    <w:p w:rsidR="00886FD2" w:rsidRDefault="00886FD2">
      <w:pPr>
        <w:pStyle w:val="RKnormal"/>
        <w:tabs>
          <w:tab w:val="clear" w:pos="1843"/>
          <w:tab w:val="left" w:pos="0"/>
        </w:tabs>
        <w:ind w:left="0"/>
      </w:pPr>
    </w:p>
    <w:p w:rsidR="00886FD2" w:rsidRPr="00341DDE" w:rsidRDefault="00886FD2" w:rsidP="00341DDE">
      <w:r>
        <w:t>Ansvarigt departement: Näringsdepartementet</w:t>
      </w:r>
    </w:p>
    <w:p w:rsidR="00886FD2" w:rsidRDefault="00886FD2">
      <w:pPr>
        <w:pStyle w:val="RKnormal"/>
        <w:tabs>
          <w:tab w:val="clear" w:pos="1843"/>
          <w:tab w:val="left" w:pos="0"/>
        </w:tabs>
        <w:ind w:left="0"/>
      </w:pPr>
    </w:p>
    <w:p w:rsidR="00886FD2" w:rsidRPr="00341DDE" w:rsidRDefault="00886FD2" w:rsidP="00341DDE">
      <w:r>
        <w:t>Ansvarigt statsråd: Anna-Karin Hatt</w:t>
      </w:r>
    </w:p>
    <w:p w:rsidR="00886FD2" w:rsidRDefault="00886FD2">
      <w:pPr>
        <w:pStyle w:val="RKnormal"/>
        <w:tabs>
          <w:tab w:val="clear" w:pos="1843"/>
          <w:tab w:val="left" w:pos="0"/>
        </w:tabs>
        <w:ind w:left="0"/>
      </w:pPr>
    </w:p>
    <w:p w:rsidR="00886FD2" w:rsidRDefault="00886FD2" w:rsidP="00341DDE">
      <w:r>
        <w:t>Godkänd av Coreper I den 29 februari 2012</w:t>
      </w:r>
    </w:p>
    <w:p w:rsidR="00886FD2" w:rsidRPr="00341DDE" w:rsidRDefault="00886FD2" w:rsidP="00341DDE"/>
    <w:p w:rsidR="00886FD2" w:rsidRDefault="00886FD2" w:rsidP="00341DDE">
      <w:r>
        <w:t>Avsikten med behandlingen i rådet är att avgöra om rådet ska acceptera eller motsätta sig den delegerade akten.</w:t>
      </w:r>
    </w:p>
    <w:p w:rsidR="00886FD2" w:rsidRDefault="00886FD2" w:rsidP="00341DDE"/>
    <w:p w:rsidR="00886FD2" w:rsidRDefault="00886FD2" w:rsidP="00341DDE">
      <w:r>
        <w:t>Sverige avser stödja att den delegerade akten antas.</w:t>
      </w:r>
    </w:p>
    <w:p w:rsidR="00886FD2" w:rsidRDefault="00886FD2" w:rsidP="00341DDE"/>
    <w:p w:rsidR="00886FD2" w:rsidRDefault="00886FD2" w:rsidP="00341DDE">
      <w:r>
        <w:t>Enligt direktiv 2010/31/EU om byggnaders energiprestanda ska EU-kommissionen genom delegerade akter fastställa en ram för jämförbara metoder för beräkning av kostnadsoptimala nivåer för minimiktav avseende energiprestanda för byggnader och byggnadselement. Medlemsstater ska sedan göra beräkningar enligt ramen och jämföra de kravnivåer man får enligt ramen för kostnadsoptimala krav med de nationellt fastställda minimikraven på energiprestanda samt rapportera vad jämförelsen visar till kommissionen. Om jämförelsen visar att de gällande nationella minimikraven är avsevärt mindre energieffektiva än kostnadsoptimala krav ska medlemsstaterna motivera skillnaden. Om skillnaden inte kan motiveras av medlemsstaten ska medlemsstaten redovisa en plan för att betydligt minska skillnaden. Eftersom det rör sig om en delegerad akt finns inga formella möjligheter för medlemsstater att påverka innehållet i detalj utan beslutet gäller att anta eller förkasta akten som helhet. Informell förankring har emellertid tidigare skett genom expertmöten och presentation och viss diskussion i rådsarbetsgruppen för energi. Sammantaget finns inte skäl för Sverige att motsätta sig att akten antas.</w:t>
      </w:r>
    </w:p>
    <w:p w:rsidR="00886FD2" w:rsidRDefault="00886FD2" w:rsidP="00341DDE"/>
    <w:p w:rsidR="00886FD2" w:rsidRDefault="00886FD2" w:rsidP="00341DDE"/>
    <w:p w:rsidR="00886FD2" w:rsidRPr="00341DDE" w:rsidRDefault="00886FD2" w:rsidP="00341DDE"/>
    <w:p w:rsidR="00886FD2" w:rsidRDefault="00886FD2">
      <w:pPr>
        <w:pStyle w:val="RKnormal"/>
        <w:tabs>
          <w:tab w:val="clear" w:pos="1843"/>
          <w:tab w:val="left" w:pos="0"/>
        </w:tabs>
        <w:ind w:left="0"/>
      </w:pPr>
      <w:r>
        <w:t xml:space="preserve"> </w:t>
      </w:r>
    </w:p>
    <w:p w:rsidR="00886FD2" w:rsidRPr="00C70770" w:rsidRDefault="00886FD2" w:rsidP="00341DDE">
      <w:pPr>
        <w:pStyle w:val="Heading2"/>
        <w:rPr>
          <w:lang w:val="en-US"/>
        </w:rPr>
      </w:pPr>
      <w:bookmarkStart w:id="58" w:name="_Toc318362788"/>
      <w:r w:rsidRPr="00C70770">
        <w:rPr>
          <w:lang w:val="en-US"/>
        </w:rPr>
        <w:t>3. Proposal for a Regulation of the European Parliament and of the Council amending Regulation (EC) No 1185/2003 on the removal of fins of sharks on board vessels (First reading) (Legislative deliberation)</w:t>
      </w:r>
      <w:r>
        <w:rPr>
          <w:lang w:val="en-US"/>
        </w:rPr>
        <w:t xml:space="preserve"> </w:t>
      </w:r>
      <w:r w:rsidRPr="00C70770">
        <w:rPr>
          <w:lang w:val="en-US"/>
        </w:rPr>
        <w:t>= Endorsement of the working party agreement</w:t>
      </w:r>
      <w:bookmarkEnd w:id="58"/>
    </w:p>
    <w:p w:rsidR="00886FD2" w:rsidRPr="00341DDE" w:rsidRDefault="00886FD2" w:rsidP="00341DDE">
      <w:r>
        <w:t>6719/12, 6904/12</w:t>
      </w:r>
    </w:p>
    <w:p w:rsidR="00886FD2" w:rsidRDefault="00886FD2">
      <w:pPr>
        <w:pStyle w:val="RKnormal"/>
        <w:tabs>
          <w:tab w:val="clear" w:pos="1843"/>
          <w:tab w:val="left" w:pos="0"/>
        </w:tabs>
        <w:ind w:left="0"/>
      </w:pPr>
    </w:p>
    <w:p w:rsidR="00886FD2" w:rsidRPr="00341DDE" w:rsidRDefault="00886FD2" w:rsidP="00341DDE">
      <w:r>
        <w:t>Ansvarigt departement: Landsbygdsdepartementet</w:t>
      </w:r>
    </w:p>
    <w:p w:rsidR="00886FD2" w:rsidRDefault="00886FD2">
      <w:pPr>
        <w:pStyle w:val="RKnormal"/>
        <w:tabs>
          <w:tab w:val="clear" w:pos="1843"/>
          <w:tab w:val="left" w:pos="0"/>
        </w:tabs>
        <w:ind w:left="0"/>
      </w:pPr>
    </w:p>
    <w:p w:rsidR="00886FD2" w:rsidRPr="00341DDE" w:rsidRDefault="00886FD2" w:rsidP="00341DDE">
      <w:r>
        <w:t>Ansvarigt statsråd: Eskil Erlandsson</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Default="00886FD2" w:rsidP="00341DDE">
      <w:r>
        <w:t xml:space="preserve">År 2003 antog rådet en förordning ((EG) nr 1185/2003) om avlägsnande av hajfenor ombord på fartyg. Förordningen gäller alla typer av fiske i EU-vatten och för alla EU-fartyg som fiskar utanför EU:s vatten. </w:t>
      </w:r>
    </w:p>
    <w:p w:rsidR="00886FD2" w:rsidRDefault="00886FD2" w:rsidP="00341DDE"/>
    <w:p w:rsidR="00886FD2" w:rsidRDefault="00886FD2" w:rsidP="00341DDE">
      <w:r>
        <w:t xml:space="preserve">Förordningen ger medlemsstaterna möjlighet att utfärda särskilda fisketillstånd som tillåter bearbetning ombord då hajfenor avlägsnas från kropparna. Tillsynen av bland annat viktförhållandet mellan fenor och kroppar är dock svår. Den vetenskapliga, tekniska och ekonomiska kommittén för fiskerinäringen (STECF) har erkänt problem med hajfensfiske och rekommenderar att alla hajar och rockor ska landas med fenorna kvar. För att säkerställa en korrekt förvaltning och bevarandet av hajbeståndet är det därför lämpligt att ändra förordningen. Syftet med detta ändringsförslag är att bevarandet av hajbestånden ska förbättras. Kommissionen anser att det finns flera brister i den nuvarande förordningen. Bland annat föreslås en ändring om innebär att det inte längre ska gå att utfärda tillstånd med undantag att landa endast hajfenor. Endast hela hajar ska landas och fenorna ska skäras på sådant vis att de kan vikas in under hajen för att på detta sätt ta mindre plats på fartyget. </w:t>
      </w:r>
    </w:p>
    <w:p w:rsidR="00886FD2" w:rsidRDefault="00886FD2" w:rsidP="00341DDE"/>
    <w:p w:rsidR="00886FD2" w:rsidRDefault="00886FD2" w:rsidP="00341DDE">
      <w:r>
        <w:t>Hajfensfiske är ett fiske på ett mycket sårbart artkomplex. De flesta hajarter har ett mycket tillbakapressat tillstånd och tål inte ett riktat fiske. Regeringen är kritisk till det fiske som bedrivs idag och anser också att EU ur ett bevarandeperspektiv bör ifrågasätta nyttjandet av denna resurs, dvs. att det alls fiskas hajar för mänsklig konsumtion. Regeringen anser generellt att allt fiske ska bedrivas utifrån rådande beståndssituation. Det är positivt att de föreslagna ändringarna innebär skärpta regler och förbättrade kontrollmöjligheter, även om det hade varit önskvärt med ett ännu mer långtgående förslag i bevarandehänseende. Regeringen anser emellertid att kommissionens förslag om ändring av förordningen går i rätt riktning och att Sverige därför bör stödja förslaget.</w:t>
      </w:r>
    </w:p>
    <w:p w:rsidR="00886FD2" w:rsidRPr="00341DDE" w:rsidRDefault="00886FD2" w:rsidP="00341DDE"/>
    <w:p w:rsidR="00886FD2" w:rsidRDefault="00886FD2">
      <w:pPr>
        <w:pStyle w:val="RKnormal"/>
        <w:tabs>
          <w:tab w:val="clear" w:pos="1843"/>
          <w:tab w:val="left" w:pos="0"/>
        </w:tabs>
        <w:ind w:left="0"/>
      </w:pPr>
      <w:r>
        <w:t xml:space="preserve"> </w:t>
      </w:r>
    </w:p>
    <w:p w:rsidR="00886FD2" w:rsidRPr="00C70770" w:rsidRDefault="00886FD2" w:rsidP="00341DDE">
      <w:pPr>
        <w:pStyle w:val="Heading2"/>
        <w:rPr>
          <w:lang w:val="en-US"/>
        </w:rPr>
      </w:pPr>
      <w:bookmarkStart w:id="59" w:name="_Toc318362789"/>
      <w:r w:rsidRPr="00C70770">
        <w:rPr>
          <w:lang w:val="en-US"/>
        </w:rPr>
        <w:t>4. Governing Board of the European Foundation for the Improvement of Living and Working Conditions Appointment of Mr Ivan KOKALOV, Bulgarian member, in place of Ms Keti KOYNAKOVA, who has resigned</w:t>
      </w:r>
      <w:r>
        <w:rPr>
          <w:lang w:val="en-US"/>
        </w:rPr>
        <w:t xml:space="preserve"> </w:t>
      </w:r>
      <w:r w:rsidRPr="00C70770">
        <w:rPr>
          <w:lang w:val="en-US"/>
        </w:rPr>
        <w:t>= Adoption</w:t>
      </w:r>
      <w:bookmarkEnd w:id="59"/>
    </w:p>
    <w:p w:rsidR="00886FD2" w:rsidRPr="00341DDE" w:rsidRDefault="00886FD2" w:rsidP="00341DDE">
      <w:r>
        <w:t>6234/12</w:t>
      </w:r>
    </w:p>
    <w:p w:rsidR="00886FD2" w:rsidRDefault="00886FD2">
      <w:pPr>
        <w:pStyle w:val="RKnormal"/>
        <w:tabs>
          <w:tab w:val="clear" w:pos="1843"/>
          <w:tab w:val="left" w:pos="0"/>
        </w:tabs>
        <w:ind w:left="0"/>
      </w:pPr>
    </w:p>
    <w:p w:rsidR="00886FD2" w:rsidRPr="00341DDE" w:rsidRDefault="00886FD2" w:rsidP="00341DDE">
      <w:r>
        <w:t>Ansvarigt departement: Arbetsmarknadsdepartementet</w:t>
      </w:r>
    </w:p>
    <w:p w:rsidR="00886FD2" w:rsidRDefault="00886FD2">
      <w:pPr>
        <w:pStyle w:val="RKnormal"/>
        <w:tabs>
          <w:tab w:val="clear" w:pos="1843"/>
          <w:tab w:val="left" w:pos="0"/>
        </w:tabs>
        <w:ind w:left="0"/>
      </w:pPr>
    </w:p>
    <w:p w:rsidR="00886FD2" w:rsidRPr="00341DDE" w:rsidRDefault="00886FD2" w:rsidP="00341DDE">
      <w:r>
        <w:t>Ansvarigt statsråd: Hillevi Engström</w:t>
      </w:r>
    </w:p>
    <w:p w:rsidR="00886FD2" w:rsidRDefault="00886FD2">
      <w:pPr>
        <w:pStyle w:val="RKnormal"/>
        <w:tabs>
          <w:tab w:val="clear" w:pos="1843"/>
          <w:tab w:val="left" w:pos="0"/>
        </w:tabs>
        <w:ind w:left="0"/>
      </w:pPr>
    </w:p>
    <w:p w:rsidR="00886FD2" w:rsidRPr="00341DDE" w:rsidRDefault="00886FD2" w:rsidP="00341DDE">
      <w:r>
        <w:t>Tidigare behandling vid rådsmöte: EPSCO-rådet</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Pr="00C70770" w:rsidRDefault="00886FD2" w:rsidP="005465B2">
      <w:pPr>
        <w:rPr>
          <w:lang w:val="en-US"/>
        </w:rPr>
      </w:pPr>
      <w:r w:rsidRPr="00C70770">
        <w:rPr>
          <w:lang w:val="en-US"/>
        </w:rPr>
        <w:t xml:space="preserve">Föranleder ingen annotering. </w:t>
      </w:r>
    </w:p>
    <w:p w:rsidR="00886FD2" w:rsidRPr="00C70770" w:rsidRDefault="00886FD2" w:rsidP="00341DDE">
      <w:pPr>
        <w:pStyle w:val="Heading2"/>
        <w:rPr>
          <w:lang w:val="en-US"/>
        </w:rPr>
      </w:pPr>
      <w:bookmarkStart w:id="60" w:name="_Toc318362790"/>
      <w:r w:rsidRPr="00C70770">
        <w:rPr>
          <w:lang w:val="en-US"/>
        </w:rPr>
        <w:t>5. Governing Board of the European Foundation for the Improvement of Living and Working Conditions Appointment of Mr Oleg CHULEV, Bulgarian alternate member, in place of Mr Ivan KOKALOV, who has resigned</w:t>
      </w:r>
      <w:r>
        <w:rPr>
          <w:lang w:val="en-US"/>
        </w:rPr>
        <w:t xml:space="preserve"> </w:t>
      </w:r>
      <w:r w:rsidRPr="00C70770">
        <w:rPr>
          <w:lang w:val="en-US"/>
        </w:rPr>
        <w:t>= Adoption</w:t>
      </w:r>
      <w:bookmarkEnd w:id="60"/>
    </w:p>
    <w:p w:rsidR="00886FD2" w:rsidRPr="00341DDE" w:rsidRDefault="00886FD2" w:rsidP="00341DDE">
      <w:r>
        <w:t>6235/12</w:t>
      </w:r>
    </w:p>
    <w:p w:rsidR="00886FD2" w:rsidRDefault="00886FD2">
      <w:pPr>
        <w:pStyle w:val="RKnormal"/>
        <w:tabs>
          <w:tab w:val="clear" w:pos="1843"/>
          <w:tab w:val="left" w:pos="0"/>
        </w:tabs>
        <w:ind w:left="0"/>
      </w:pPr>
    </w:p>
    <w:p w:rsidR="00886FD2" w:rsidRPr="00341DDE" w:rsidRDefault="00886FD2" w:rsidP="00341DDE">
      <w:r>
        <w:t>Ansvarigt departement: Arbetsmarknadsdepartementet</w:t>
      </w:r>
    </w:p>
    <w:p w:rsidR="00886FD2" w:rsidRDefault="00886FD2">
      <w:pPr>
        <w:pStyle w:val="RKnormal"/>
        <w:tabs>
          <w:tab w:val="clear" w:pos="1843"/>
          <w:tab w:val="left" w:pos="0"/>
        </w:tabs>
        <w:ind w:left="0"/>
      </w:pPr>
    </w:p>
    <w:p w:rsidR="00886FD2" w:rsidRPr="00341DDE" w:rsidRDefault="00886FD2" w:rsidP="00341DDE">
      <w:r>
        <w:t>Ansvarigt statsråd: Hillevi Engström</w:t>
      </w:r>
    </w:p>
    <w:p w:rsidR="00886FD2" w:rsidRDefault="00886FD2">
      <w:pPr>
        <w:pStyle w:val="RKnormal"/>
        <w:tabs>
          <w:tab w:val="clear" w:pos="1843"/>
          <w:tab w:val="left" w:pos="0"/>
        </w:tabs>
        <w:ind w:left="0"/>
      </w:pPr>
    </w:p>
    <w:p w:rsidR="00886FD2" w:rsidRPr="00341DDE" w:rsidRDefault="00886FD2" w:rsidP="00341DDE">
      <w:r>
        <w:t>Tidigare behandling vid rådsmöte: EPSCO-rådet</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Pr="00C70770" w:rsidRDefault="00886FD2" w:rsidP="005465B2">
      <w:pPr>
        <w:rPr>
          <w:lang w:val="en-US"/>
        </w:rPr>
      </w:pPr>
      <w:r w:rsidRPr="00C70770">
        <w:rPr>
          <w:lang w:val="en-US"/>
        </w:rPr>
        <w:t xml:space="preserve">Föranleder ingen annotering. </w:t>
      </w:r>
    </w:p>
    <w:p w:rsidR="00886FD2" w:rsidRPr="00C70770" w:rsidRDefault="00886FD2" w:rsidP="00341DDE">
      <w:pPr>
        <w:pStyle w:val="Heading2"/>
        <w:rPr>
          <w:lang w:val="en-US"/>
        </w:rPr>
      </w:pPr>
      <w:r>
        <w:rPr>
          <w:lang w:val="en-US"/>
        </w:rPr>
        <w:br w:type="page"/>
      </w:r>
      <w:bookmarkStart w:id="61" w:name="_Toc318362791"/>
      <w:r w:rsidRPr="00C70770">
        <w:rPr>
          <w:lang w:val="en-US"/>
        </w:rPr>
        <w:t>6. Governing Board of the European Centre for the Development of Vocational Training (CEDEFOP) Appointment of Mr Jean-Marc HUART (FR), member in the category of Government representatives</w:t>
      </w:r>
      <w:r>
        <w:rPr>
          <w:lang w:val="en-US"/>
        </w:rPr>
        <w:t xml:space="preserve"> </w:t>
      </w:r>
      <w:r w:rsidRPr="00C70770">
        <w:rPr>
          <w:lang w:val="en-US"/>
        </w:rPr>
        <w:t>= Adoption</w:t>
      </w:r>
      <w:bookmarkEnd w:id="61"/>
    </w:p>
    <w:p w:rsidR="00886FD2" w:rsidRPr="00341DDE" w:rsidRDefault="00886FD2" w:rsidP="00341DDE">
      <w:r>
        <w:t>6859/12</w:t>
      </w:r>
    </w:p>
    <w:p w:rsidR="00886FD2" w:rsidRDefault="00886FD2">
      <w:pPr>
        <w:pStyle w:val="RKnormal"/>
        <w:tabs>
          <w:tab w:val="clear" w:pos="1843"/>
          <w:tab w:val="left" w:pos="0"/>
        </w:tabs>
        <w:ind w:left="0"/>
      </w:pPr>
    </w:p>
    <w:p w:rsidR="00886FD2" w:rsidRPr="00341DDE" w:rsidRDefault="00886FD2" w:rsidP="00341DDE">
      <w:r>
        <w:t>Ansvarigt departement: Utbildningsdepartementet</w:t>
      </w:r>
    </w:p>
    <w:p w:rsidR="00886FD2" w:rsidRDefault="00886FD2">
      <w:pPr>
        <w:pStyle w:val="RKnormal"/>
        <w:tabs>
          <w:tab w:val="clear" w:pos="1843"/>
          <w:tab w:val="left" w:pos="0"/>
        </w:tabs>
        <w:ind w:left="0"/>
      </w:pPr>
    </w:p>
    <w:p w:rsidR="00886FD2" w:rsidRPr="00341DDE" w:rsidRDefault="00886FD2" w:rsidP="00341DDE">
      <w:r>
        <w:t>Ansvarigt statsråd: Nyamko Sabuni</w:t>
      </w:r>
    </w:p>
    <w:p w:rsidR="00886FD2" w:rsidRDefault="00886FD2">
      <w:pPr>
        <w:pStyle w:val="RKnormal"/>
        <w:tabs>
          <w:tab w:val="clear" w:pos="1843"/>
          <w:tab w:val="left" w:pos="0"/>
        </w:tabs>
        <w:ind w:left="0"/>
      </w:pPr>
    </w:p>
    <w:p w:rsidR="00886FD2" w:rsidRPr="00341DDE" w:rsidRDefault="00886FD2" w:rsidP="00341DDE">
      <w:r>
        <w:t>Tidigare behandling vid rådsmöte: Utbildning, ungdom och kulturrådet</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Pr="00C70770" w:rsidRDefault="00886FD2" w:rsidP="005465B2">
      <w:pPr>
        <w:rPr>
          <w:lang w:val="en-US"/>
        </w:rPr>
      </w:pPr>
      <w:r w:rsidRPr="00C70770">
        <w:rPr>
          <w:lang w:val="en-US"/>
        </w:rPr>
        <w:t xml:space="preserve">Föranleder ingen annnotering </w:t>
      </w:r>
    </w:p>
    <w:p w:rsidR="00886FD2" w:rsidRPr="00C70770" w:rsidRDefault="00886FD2" w:rsidP="00341DDE">
      <w:pPr>
        <w:pStyle w:val="Heading2"/>
        <w:rPr>
          <w:lang w:val="en-US"/>
        </w:rPr>
      </w:pPr>
      <w:bookmarkStart w:id="62" w:name="_Toc318362792"/>
      <w:r w:rsidRPr="00C70770">
        <w:rPr>
          <w:lang w:val="en-US"/>
        </w:rPr>
        <w:t>7. Draft Council Decision No .../2012 renewing the term of office of the Vice-President of the Community Plant Variety Office</w:t>
      </w:r>
      <w:r>
        <w:rPr>
          <w:lang w:val="en-US"/>
        </w:rPr>
        <w:t xml:space="preserve"> </w:t>
      </w:r>
      <w:r w:rsidRPr="00C70770">
        <w:rPr>
          <w:lang w:val="en-US"/>
        </w:rPr>
        <w:t>= Adoption</w:t>
      </w:r>
      <w:bookmarkEnd w:id="62"/>
    </w:p>
    <w:p w:rsidR="00886FD2" w:rsidRPr="00341DDE" w:rsidRDefault="00886FD2" w:rsidP="00341DDE">
      <w:r>
        <w:t>6613/12</w:t>
      </w:r>
    </w:p>
    <w:p w:rsidR="00886FD2" w:rsidRDefault="00886FD2">
      <w:pPr>
        <w:pStyle w:val="RKnormal"/>
        <w:tabs>
          <w:tab w:val="clear" w:pos="1843"/>
          <w:tab w:val="left" w:pos="0"/>
        </w:tabs>
        <w:ind w:left="0"/>
      </w:pPr>
    </w:p>
    <w:p w:rsidR="00886FD2" w:rsidRPr="00341DDE" w:rsidRDefault="00886FD2" w:rsidP="00341DDE">
      <w:r>
        <w:t>Ansvarigt departement: Landsbygdsdepartementet</w:t>
      </w:r>
    </w:p>
    <w:p w:rsidR="00886FD2" w:rsidRDefault="00886FD2">
      <w:pPr>
        <w:pStyle w:val="RKnormal"/>
        <w:tabs>
          <w:tab w:val="clear" w:pos="1843"/>
          <w:tab w:val="left" w:pos="0"/>
        </w:tabs>
        <w:ind w:left="0"/>
      </w:pPr>
    </w:p>
    <w:p w:rsidR="00886FD2" w:rsidRPr="00341DDE" w:rsidRDefault="00886FD2" w:rsidP="00341DDE">
      <w:r>
        <w:t>Ansvarigt statsråd: Eskil Erlandsson</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Default="00886FD2" w:rsidP="00341DDE">
      <w:r>
        <w:t xml:space="preserve">Mandatperioden för den nuvarande vice ordföranden, Carlos Godinho, löper ut den 31 mars 2012. Kommissionen föreslår att mandatperioden förlängs. </w:t>
      </w:r>
    </w:p>
    <w:p w:rsidR="00886FD2" w:rsidRDefault="00886FD2" w:rsidP="00341DDE">
      <w:r>
        <w:t>Förslaget innebär i korthet följande:</w:t>
      </w:r>
    </w:p>
    <w:p w:rsidR="00886FD2" w:rsidRDefault="00886FD2" w:rsidP="00341DDE">
      <w:r>
        <w:t>•</w:t>
      </w:r>
      <w:r>
        <w:tab/>
        <w:t>Förnyad mandatperiod för Carlos Godinho som vice ordförande i för Gemenskapens växtsortmyndighet förnyas med en period av fem år.</w:t>
      </w:r>
    </w:p>
    <w:p w:rsidR="00886FD2" w:rsidRDefault="00886FD2" w:rsidP="00341DDE">
      <w:r>
        <w:t>•</w:t>
      </w:r>
      <w:r>
        <w:tab/>
        <w:t>Ordföranden i växtsortsmyndighetens förvaltningsråd ska vara bemyndigad att underteckna anställningsavtalet med Carlos Godinho.</w:t>
      </w:r>
    </w:p>
    <w:p w:rsidR="00886FD2" w:rsidRDefault="00886FD2" w:rsidP="00341DDE"/>
    <w:p w:rsidR="00886FD2" w:rsidRDefault="00886FD2" w:rsidP="005465B2">
      <w:r>
        <w:t xml:space="preserve">Regeringen har inget att invända mot förslaget.  </w:t>
      </w:r>
    </w:p>
    <w:p w:rsidR="00886FD2" w:rsidRPr="00C70770" w:rsidRDefault="00886FD2" w:rsidP="00341DDE">
      <w:pPr>
        <w:pStyle w:val="Heading2"/>
        <w:rPr>
          <w:lang w:val="en-US"/>
        </w:rPr>
      </w:pPr>
      <w:bookmarkStart w:id="63" w:name="_Toc318362793"/>
      <w:r>
        <w:rPr>
          <w:lang w:val="en-US"/>
        </w:rPr>
        <w:t xml:space="preserve">8. </w:t>
      </w:r>
      <w:r w:rsidRPr="00C70770">
        <w:rPr>
          <w:lang w:val="en-US"/>
        </w:rPr>
        <w:t xml:space="preserve"> Draft Council Decision on the conclusion of a Memorandum of Cooperation between the European Union and the International Civil Aviation Organisation providing a framework for enhanced cooperation, and laying down procedural arrangements related thereto</w:t>
      </w:r>
      <w:r>
        <w:rPr>
          <w:lang w:val="en-US"/>
        </w:rPr>
        <w:t xml:space="preserve"> </w:t>
      </w:r>
      <w:r w:rsidRPr="00C70770">
        <w:rPr>
          <w:lang w:val="en-US"/>
        </w:rPr>
        <w:t>= Adoption</w:t>
      </w:r>
      <w:bookmarkEnd w:id="63"/>
    </w:p>
    <w:p w:rsidR="00886FD2" w:rsidRPr="003B7FBA" w:rsidRDefault="00886FD2" w:rsidP="00341DDE">
      <w:r w:rsidRPr="003B7FBA">
        <w:t>7702/11, 9138/11, 5560/11</w:t>
      </w:r>
    </w:p>
    <w:p w:rsidR="00886FD2" w:rsidRPr="003B7FBA" w:rsidRDefault="00886FD2">
      <w:pPr>
        <w:pStyle w:val="RKnormal"/>
        <w:tabs>
          <w:tab w:val="clear" w:pos="1843"/>
          <w:tab w:val="left" w:pos="0"/>
        </w:tabs>
        <w:ind w:left="0"/>
      </w:pPr>
    </w:p>
    <w:p w:rsidR="00886FD2" w:rsidRPr="003B7FBA" w:rsidRDefault="00886FD2" w:rsidP="00341DDE">
      <w:r w:rsidRPr="003B7FBA">
        <w:t>Ansvarigt departement: Näringsdepartementet</w:t>
      </w:r>
    </w:p>
    <w:p w:rsidR="00886FD2" w:rsidRPr="003B7FBA" w:rsidRDefault="00886FD2">
      <w:pPr>
        <w:pStyle w:val="RKnormal"/>
        <w:tabs>
          <w:tab w:val="clear" w:pos="1843"/>
          <w:tab w:val="left" w:pos="0"/>
        </w:tabs>
        <w:ind w:left="0"/>
      </w:pPr>
    </w:p>
    <w:p w:rsidR="00886FD2" w:rsidRPr="003B7FBA" w:rsidRDefault="00886FD2" w:rsidP="00341DDE">
      <w:r w:rsidRPr="003B7FBA">
        <w:t>Ansvarigt statsråd: Catharina Elmsäter-Svärd</w:t>
      </w:r>
    </w:p>
    <w:p w:rsidR="00886FD2" w:rsidRPr="003B7FBA" w:rsidRDefault="00886FD2">
      <w:pPr>
        <w:pStyle w:val="RKnormal"/>
        <w:tabs>
          <w:tab w:val="clear" w:pos="1843"/>
          <w:tab w:val="left" w:pos="0"/>
        </w:tabs>
        <w:ind w:left="0"/>
      </w:pPr>
    </w:p>
    <w:p w:rsidR="00886FD2" w:rsidRPr="00341DDE" w:rsidRDefault="00886FD2" w:rsidP="00341DDE">
      <w:r>
        <w:t>Tidigare behandling i EU-nämnden: 2009-12-12</w:t>
      </w:r>
    </w:p>
    <w:p w:rsidR="00886FD2" w:rsidRDefault="00886FD2">
      <w:pPr>
        <w:pStyle w:val="RKnormal"/>
        <w:tabs>
          <w:tab w:val="clear" w:pos="1843"/>
          <w:tab w:val="left" w:pos="0"/>
        </w:tabs>
        <w:ind w:left="0"/>
      </w:pPr>
    </w:p>
    <w:p w:rsidR="00886FD2" w:rsidRPr="00341DDE" w:rsidRDefault="00886FD2" w:rsidP="00341DDE">
      <w:r>
        <w:t>Tidigare behandling vid rådsmöte: Transport-, telekom- och energifrågor</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Default="00886FD2" w:rsidP="00341DDE">
      <w:r>
        <w:t xml:space="preserve">Rådet föreslås anta samarbetsavtalet. </w:t>
      </w:r>
    </w:p>
    <w:p w:rsidR="00886FD2" w:rsidRDefault="00886FD2" w:rsidP="00341DDE"/>
    <w:p w:rsidR="00886FD2" w:rsidRDefault="00886FD2" w:rsidP="00341DDE">
      <w:r>
        <w:t>Regeringen avser rösta ja till att rådet antar samarbetsavtalet mellan EU och FN:s civila luftfartsorgan, ICAO.</w:t>
      </w:r>
    </w:p>
    <w:p w:rsidR="00886FD2" w:rsidRDefault="00886FD2" w:rsidP="00341DDE"/>
    <w:p w:rsidR="00886FD2" w:rsidRDefault="00886FD2" w:rsidP="00341DDE">
      <w:r>
        <w:t xml:space="preserve">Kommissionen presenterade i juni 2009 ett förslag mandat för att förhandla med FN:s civila luftfartsorgan, ICAO om ett fördjupat samarbete. Både ICAO och EU tar fram regelverk för civil luftfart och en mer formell samordning var syftet med mandatförslaget. </w:t>
      </w:r>
    </w:p>
    <w:p w:rsidR="00886FD2" w:rsidRDefault="00886FD2" w:rsidP="00341DDE"/>
    <w:p w:rsidR="00886FD2" w:rsidRPr="00C70770" w:rsidRDefault="00886FD2" w:rsidP="005465B2">
      <w:pPr>
        <w:rPr>
          <w:lang w:val="en-US"/>
        </w:rPr>
      </w:pPr>
      <w:r>
        <w:t xml:space="preserve">Vid rådets möte (transport, telekommunikation och energi) den 17 december 2009 enades man om att bemyndiga kommissionen att påbörja förhandlingar med ICAO inom fyra områden, nämligen luftfartsskydd, luftfartssäkerhet, flygtrafikledning och miljöskydd. Kommissionen har för EU förhandlat med ICAO utifrån mandatet beslutat av rådet under 2010 och 2011. </w:t>
      </w:r>
      <w:r w:rsidRPr="00C70770">
        <w:rPr>
          <w:lang w:val="en-US"/>
        </w:rPr>
        <w:t xml:space="preserve">Ett överenskommet samarbetsavtal kan nu ingås.  </w:t>
      </w:r>
    </w:p>
    <w:p w:rsidR="00886FD2" w:rsidRPr="00C70770" w:rsidRDefault="00886FD2" w:rsidP="00341DDE">
      <w:pPr>
        <w:pStyle w:val="Heading2"/>
        <w:rPr>
          <w:lang w:val="en-US"/>
        </w:rPr>
      </w:pPr>
      <w:r>
        <w:rPr>
          <w:lang w:val="en-US"/>
        </w:rPr>
        <w:br w:type="page"/>
      </w:r>
      <w:bookmarkStart w:id="64" w:name="_Toc318362794"/>
      <w:r w:rsidRPr="00C70770">
        <w:rPr>
          <w:lang w:val="en-US"/>
        </w:rPr>
        <w:t>9. Draft Council Decision to authorise the Commission to negotiate an agreement between the European Union, Norway and Switzerland in the form of revised exchanges of letters concerning products manufactured in beneficiary countries of the Generalised System of Preferences (GSP) incorporating materials originating in Norway, Switzerland or Turkey, providing that these products shall be treated upon their arrival on the customs territory of the Community as products originating in the GSP beneficiary countries, and concerning the mutual acceptance of replacement proofs of origin (certificates of origin Form A and statements on origin)</w:t>
      </w:r>
      <w:r>
        <w:rPr>
          <w:lang w:val="en-US"/>
        </w:rPr>
        <w:t xml:space="preserve"> </w:t>
      </w:r>
      <w:r w:rsidRPr="00C70770">
        <w:rPr>
          <w:lang w:val="en-US"/>
        </w:rPr>
        <w:t>= Adoption</w:t>
      </w:r>
      <w:bookmarkEnd w:id="64"/>
    </w:p>
    <w:p w:rsidR="00886FD2" w:rsidRPr="00341DDE" w:rsidRDefault="00886FD2" w:rsidP="00341DDE">
      <w:r>
        <w:t>6295/1/12, 16365/12</w:t>
      </w:r>
    </w:p>
    <w:p w:rsidR="00886FD2" w:rsidRDefault="00886FD2">
      <w:pPr>
        <w:pStyle w:val="RKnormal"/>
        <w:tabs>
          <w:tab w:val="clear" w:pos="1843"/>
          <w:tab w:val="left" w:pos="0"/>
        </w:tabs>
        <w:ind w:left="0"/>
      </w:pPr>
    </w:p>
    <w:p w:rsidR="00886FD2" w:rsidRPr="00341DDE" w:rsidRDefault="00886FD2" w:rsidP="00341DDE">
      <w:r>
        <w:t>Ansvarigt departement: Utrikesdepartementet</w:t>
      </w:r>
    </w:p>
    <w:p w:rsidR="00886FD2" w:rsidRDefault="00886FD2">
      <w:pPr>
        <w:pStyle w:val="RKnormal"/>
        <w:tabs>
          <w:tab w:val="clear" w:pos="1843"/>
          <w:tab w:val="left" w:pos="0"/>
        </w:tabs>
        <w:ind w:left="0"/>
      </w:pPr>
    </w:p>
    <w:p w:rsidR="00886FD2" w:rsidRPr="00341DDE" w:rsidRDefault="00886FD2" w:rsidP="00341DDE">
      <w:r>
        <w:t>Ansvarigt statsråd: Ewa Björling</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Default="00886FD2" w:rsidP="00341DDE">
      <w:r>
        <w:t xml:space="preserve">Avtal finns mellan EU och Schweiz och Norge (EFTA) för att bestämma regler för en varas ursprung i handel mellan länderna/handelsområdena. Förändringar behöver göras i de gällande avtalen med Schweiz och Norge för att material med ursprung i Schweiz, Norge och Turkiet ska kunna ingå i en produkt samt att bestämmelserna omfattar kumulation så att varorna kan medges ursprungsstatus. Detta för att tull inte ska debiteras i denna handel. Detta är en teknisk anpassning men betydelsefullt för företag som har handel över gränserna. </w:t>
      </w:r>
    </w:p>
    <w:p w:rsidR="00886FD2" w:rsidRDefault="00886FD2" w:rsidP="00341DDE"/>
    <w:p w:rsidR="00886FD2" w:rsidRDefault="00886FD2" w:rsidP="00341DDE">
      <w:r>
        <w:t>Även vid utfärdande av dokument, ersättningscertifikat (ursprungscertifikat och formulär A) och vid försäkran om ursprung behövs justering göras för ömsesidigt godkännande av ursprung.</w:t>
      </w:r>
    </w:p>
    <w:p w:rsidR="00886FD2" w:rsidRDefault="00886FD2" w:rsidP="005465B2">
      <w:r>
        <w:t xml:space="preserve">KOM bör ges mandat för att kunna genomföra nödvändiga uppdateringar. </w:t>
      </w:r>
    </w:p>
    <w:p w:rsidR="00886FD2" w:rsidRPr="00C70770" w:rsidRDefault="00886FD2" w:rsidP="00341DDE">
      <w:pPr>
        <w:pStyle w:val="Heading2"/>
        <w:rPr>
          <w:lang w:val="en-US"/>
        </w:rPr>
      </w:pPr>
      <w:bookmarkStart w:id="65" w:name="_Toc318362795"/>
      <w:r w:rsidRPr="00C70770">
        <w:rPr>
          <w:lang w:val="en-US"/>
        </w:rPr>
        <w:t>10. EU contribution to the revision of the World Anti-Doping Code</w:t>
      </w:r>
      <w:r>
        <w:rPr>
          <w:lang w:val="en-US"/>
        </w:rPr>
        <w:t xml:space="preserve"> </w:t>
      </w:r>
      <w:r w:rsidRPr="00C70770">
        <w:rPr>
          <w:lang w:val="en-US"/>
        </w:rPr>
        <w:t>= Approval of the text</w:t>
      </w:r>
      <w:bookmarkEnd w:id="65"/>
    </w:p>
    <w:p w:rsidR="00886FD2" w:rsidRPr="00341DDE" w:rsidRDefault="00886FD2" w:rsidP="00341DDE">
      <w:r>
        <w:t>6846/12</w:t>
      </w:r>
    </w:p>
    <w:p w:rsidR="00886FD2" w:rsidRDefault="00886FD2">
      <w:pPr>
        <w:pStyle w:val="RKnormal"/>
        <w:tabs>
          <w:tab w:val="clear" w:pos="1843"/>
          <w:tab w:val="left" w:pos="0"/>
        </w:tabs>
        <w:ind w:left="0"/>
      </w:pPr>
    </w:p>
    <w:p w:rsidR="00886FD2" w:rsidRPr="00341DDE" w:rsidRDefault="00886FD2" w:rsidP="00341DDE">
      <w:r>
        <w:t>Ansvarigt departement: Kulturdepartementet</w:t>
      </w:r>
    </w:p>
    <w:p w:rsidR="00886FD2" w:rsidRDefault="00886FD2">
      <w:pPr>
        <w:pStyle w:val="RKnormal"/>
        <w:tabs>
          <w:tab w:val="clear" w:pos="1843"/>
          <w:tab w:val="left" w:pos="0"/>
        </w:tabs>
        <w:ind w:left="0"/>
      </w:pPr>
    </w:p>
    <w:p w:rsidR="00886FD2" w:rsidRPr="00341DDE" w:rsidRDefault="00886FD2" w:rsidP="00341DDE">
      <w:r>
        <w:t>Ansvarigt statsråd: Lena Adelsohn Liljeroth</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Default="00886FD2" w:rsidP="005465B2">
      <w:r>
        <w:t xml:space="preserve">Världsantidopningskoden (koden) är det internationella regelverk som styr antidopningsarbetet inom idrotten på olika nivåer. WADA (World Anti-Doping Agency) har inlett en process för att revidera den nu gällande koden. WADA ska anta en ny kod i november 2013. Ett förslag till yttrande över koden och dess förenlighet med EU-rätten har utarbetats. Yttrandet ska vara WADA tillhanda senast den 15 mars 2012. I sista stund har ORDF upptäckt behov av några mindre tekniska justeringar som inte påverkar innehållet. SE bör ställa sig bakom förslaget till yttrande med eventuella mindre tekniska justeringar. </w:t>
      </w:r>
    </w:p>
    <w:p w:rsidR="00886FD2" w:rsidRPr="00C70770" w:rsidRDefault="00886FD2" w:rsidP="00341DDE">
      <w:pPr>
        <w:pStyle w:val="Heading2"/>
        <w:rPr>
          <w:lang w:val="en-US"/>
        </w:rPr>
      </w:pPr>
      <w:bookmarkStart w:id="66" w:name="_Toc318362796"/>
      <w:r w:rsidRPr="00C70770">
        <w:rPr>
          <w:lang w:val="en-US"/>
        </w:rPr>
        <w:t>11. Proposal for a Regulation of the European Parliament and of the Council concerning the export and import of hazardous chemicals (Recast) (First reading) (Legislative deliberation)</w:t>
      </w:r>
      <w:r>
        <w:rPr>
          <w:lang w:val="en-US"/>
        </w:rPr>
        <w:t xml:space="preserve"> </w:t>
      </w:r>
      <w:r w:rsidRPr="00C70770">
        <w:rPr>
          <w:lang w:val="en-US"/>
        </w:rPr>
        <w:t>= Approval of the final compromise text with a view to agreement</w:t>
      </w:r>
      <w:bookmarkEnd w:id="66"/>
    </w:p>
    <w:p w:rsidR="00886FD2" w:rsidRPr="00341DDE" w:rsidRDefault="00886FD2" w:rsidP="00341DDE">
      <w:r>
        <w:t>6576/12</w:t>
      </w:r>
    </w:p>
    <w:p w:rsidR="00886FD2" w:rsidRDefault="00886FD2">
      <w:pPr>
        <w:pStyle w:val="RKnormal"/>
        <w:tabs>
          <w:tab w:val="clear" w:pos="1843"/>
          <w:tab w:val="left" w:pos="0"/>
        </w:tabs>
        <w:ind w:left="0"/>
      </w:pPr>
    </w:p>
    <w:p w:rsidR="00886FD2" w:rsidRPr="00341DDE" w:rsidRDefault="00886FD2" w:rsidP="00341DDE">
      <w:r>
        <w:t>Ansvarigt departement: Miljödepartementet</w:t>
      </w:r>
    </w:p>
    <w:p w:rsidR="00886FD2" w:rsidRDefault="00886FD2">
      <w:pPr>
        <w:pStyle w:val="RKnormal"/>
        <w:tabs>
          <w:tab w:val="clear" w:pos="1843"/>
          <w:tab w:val="left" w:pos="0"/>
        </w:tabs>
        <w:ind w:left="0"/>
      </w:pPr>
    </w:p>
    <w:p w:rsidR="00886FD2" w:rsidRPr="00341DDE" w:rsidRDefault="00886FD2" w:rsidP="00341DDE">
      <w:r>
        <w:t>Ansvarigt statsråd: Lena Ek</w:t>
      </w:r>
    </w:p>
    <w:p w:rsidR="00886FD2" w:rsidRDefault="00886FD2">
      <w:pPr>
        <w:pStyle w:val="RKnormal"/>
        <w:tabs>
          <w:tab w:val="clear" w:pos="1843"/>
          <w:tab w:val="left" w:pos="0"/>
        </w:tabs>
        <w:ind w:left="0"/>
      </w:pPr>
    </w:p>
    <w:p w:rsidR="00886FD2" w:rsidRPr="00341DDE" w:rsidRDefault="00886FD2" w:rsidP="00341DDE">
      <w:r>
        <w:t>Tidigare behandling i EU -nämnden: 2011-12-16</w:t>
      </w:r>
    </w:p>
    <w:p w:rsidR="00886FD2" w:rsidRDefault="00886FD2">
      <w:pPr>
        <w:pStyle w:val="RKnormal"/>
        <w:tabs>
          <w:tab w:val="clear" w:pos="1843"/>
          <w:tab w:val="left" w:pos="0"/>
        </w:tabs>
        <w:ind w:left="0"/>
      </w:pPr>
    </w:p>
    <w:p w:rsidR="00886FD2" w:rsidRPr="00341DDE" w:rsidRDefault="00886FD2" w:rsidP="00341DDE">
      <w:r>
        <w:t>Tidigare behandling vid rådsmöte: Miljörådet</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Default="00886FD2" w:rsidP="00341DDE">
      <w:r>
        <w:t>Rotterdamkonventionen från 2004 har för syfte är att främja delat ansvar och insatser i samarbete mellan parterna inom internationell handel med vissa farliga kemikalier, för att skydda människors hälsa och miljön. Detta görs genom främjande av informationsutbyte om kemikaliernas egenskaper och ett system där det innan export av de ämnen som är listade i konventionen, krävs att exporterande landets behöriga myndighet erhållit ett uttryckligt medgivande för exporten från motsvarande myndighet i det importerande landet. (det s.k. PIC-förfarandet, Prior Informed Consent).</w:t>
      </w:r>
    </w:p>
    <w:p w:rsidR="00886FD2" w:rsidRDefault="00886FD2" w:rsidP="00341DDE"/>
    <w:p w:rsidR="00886FD2" w:rsidRDefault="00886FD2" w:rsidP="00341DDE">
      <w:r>
        <w:t xml:space="preserve">Genom förordning (EG) nr 689/2008 genomförs Rotterdamkonventionen inom EU. Förordningen är påtagligt mer långtgående än konventionens krav då betydligt fler kemikalier och även export till icke-parter till konventionen omfattas och ger därmed ett högre skydd åt importerande länder. </w:t>
      </w:r>
    </w:p>
    <w:p w:rsidR="00886FD2" w:rsidRDefault="00886FD2" w:rsidP="00341DDE"/>
    <w:p w:rsidR="00886FD2" w:rsidRDefault="00886FD2" w:rsidP="00341DDE">
      <w:r>
        <w:t>I juni 2011 presenterade Kommissionen ett förslag till omarbetning av förordningen i syfte bl.a. att anpassa den till Reach- och CLP-förordningarna, till det nya kommittéförfarandet i EU-fördraget. Vissa arbetsuppgifter föreslås överföras från Joint Research Center (JRC) i Ispra till den Europeiska kemikaliemyndigheten (ECHA). Man såg även ett behov att införa ytterligare villkor som kan göra det möjligt att fortsätta export även om inget svar inkommer från det importerande landet, utan att minska skyddet av importerande länder (art. 14).</w:t>
      </w:r>
    </w:p>
    <w:p w:rsidR="00886FD2" w:rsidRDefault="00886FD2" w:rsidP="00341DDE"/>
    <w:p w:rsidR="00886FD2" w:rsidRDefault="00886FD2" w:rsidP="00341DDE">
      <w:r>
        <w:t>Ärendet har behandlats vid tio tillfällen i rådsarbetsgruppen och togs upp som lägesrapport på miljörådet 19 december (dok. 18371/11). EP-ENVI röstade 20 december (rapportör Dan Jorgensen S&amp;D, DK). Ordförandeskapet fick mandat att påbörja trilogerna med EP vid Coreper den 3 februari och parterna enades om en kompromiss vid första trilogen 14 februari.</w:t>
      </w:r>
    </w:p>
    <w:p w:rsidR="00886FD2" w:rsidRDefault="00886FD2" w:rsidP="00341DDE"/>
    <w:p w:rsidR="00886FD2" w:rsidRDefault="00886FD2" w:rsidP="005465B2">
      <w:r>
        <w:t xml:space="preserve">Sverige stödjer överenskommelsen som innebär bl.a. att export vid icke-svar kan genomföras om uppställda kriterier uppfylls, att art. 5 om EU:s representation revideras, att ECHA:s roll stärks och att KOM åläggs att göra en utredning om avgifter (art. 24§3). </w:t>
      </w:r>
    </w:p>
    <w:p w:rsidR="00886FD2" w:rsidRPr="00C70770" w:rsidRDefault="00886FD2" w:rsidP="00341DDE">
      <w:pPr>
        <w:pStyle w:val="Heading2"/>
        <w:rPr>
          <w:lang w:val="en-US"/>
        </w:rPr>
      </w:pPr>
      <w:bookmarkStart w:id="67" w:name="_Toc318362797"/>
      <w:r w:rsidRPr="00C70770">
        <w:rPr>
          <w:lang w:val="en-US"/>
        </w:rPr>
        <w:t>12. Proposal for a Directive of the European Parliament and of the Council establishing a single European railway area (Recast) (First reading) (Legislative deliberation) (a) Adoption of the position of the Council in first reading (b) Adoption of the statement of the Council's reasons</w:t>
      </w:r>
      <w:bookmarkEnd w:id="67"/>
    </w:p>
    <w:p w:rsidR="00886FD2" w:rsidRPr="00341DDE" w:rsidRDefault="00886FD2" w:rsidP="00341DDE">
      <w:r>
        <w:t>18581/11, 6804/12</w:t>
      </w:r>
    </w:p>
    <w:p w:rsidR="00886FD2" w:rsidRDefault="00886FD2">
      <w:pPr>
        <w:pStyle w:val="RKnormal"/>
        <w:tabs>
          <w:tab w:val="clear" w:pos="1843"/>
          <w:tab w:val="left" w:pos="0"/>
        </w:tabs>
        <w:ind w:left="0"/>
      </w:pPr>
    </w:p>
    <w:p w:rsidR="00886FD2" w:rsidRPr="00341DDE" w:rsidRDefault="00886FD2" w:rsidP="00341DDE">
      <w:r>
        <w:t>Ansvarigt departement: Näringsdepartementet</w:t>
      </w:r>
    </w:p>
    <w:p w:rsidR="00886FD2" w:rsidRDefault="00886FD2">
      <w:pPr>
        <w:pStyle w:val="RKnormal"/>
        <w:tabs>
          <w:tab w:val="clear" w:pos="1843"/>
          <w:tab w:val="left" w:pos="0"/>
        </w:tabs>
        <w:ind w:left="0"/>
      </w:pPr>
    </w:p>
    <w:p w:rsidR="00886FD2" w:rsidRPr="00341DDE" w:rsidRDefault="00886FD2" w:rsidP="00341DDE">
      <w:r>
        <w:t>Ansvarigt statsråd: Catharina Elmsäter-Svärd</w:t>
      </w:r>
    </w:p>
    <w:p w:rsidR="00886FD2" w:rsidRDefault="00886FD2">
      <w:pPr>
        <w:pStyle w:val="RKnormal"/>
        <w:tabs>
          <w:tab w:val="clear" w:pos="1843"/>
          <w:tab w:val="left" w:pos="0"/>
        </w:tabs>
        <w:ind w:left="0"/>
      </w:pPr>
    </w:p>
    <w:p w:rsidR="00886FD2" w:rsidRPr="00341DDE" w:rsidRDefault="00886FD2" w:rsidP="00341DDE">
      <w:r>
        <w:t>Tidigare behandling i EU -nämnden: 2011-12-09</w:t>
      </w:r>
    </w:p>
    <w:p w:rsidR="00886FD2" w:rsidRDefault="00886FD2">
      <w:pPr>
        <w:pStyle w:val="RKnormal"/>
        <w:tabs>
          <w:tab w:val="clear" w:pos="1843"/>
          <w:tab w:val="left" w:pos="0"/>
        </w:tabs>
        <w:ind w:left="0"/>
      </w:pPr>
    </w:p>
    <w:p w:rsidR="00886FD2" w:rsidRPr="00341DDE" w:rsidRDefault="00886FD2" w:rsidP="00341DDE">
      <w:r>
        <w:t>Tidigare behandling vid rådsmöte: Transport-, telekom- och energifrågor</w:t>
      </w:r>
    </w:p>
    <w:p w:rsidR="00886FD2" w:rsidRDefault="00886FD2">
      <w:pPr>
        <w:pStyle w:val="RKnormal"/>
        <w:tabs>
          <w:tab w:val="clear" w:pos="1843"/>
          <w:tab w:val="left" w:pos="0"/>
        </w:tabs>
        <w:ind w:left="0"/>
      </w:pPr>
    </w:p>
    <w:p w:rsidR="00886FD2" w:rsidRPr="00341DDE" w:rsidRDefault="00886FD2" w:rsidP="00341DDE">
      <w:r>
        <w:t>Godkänd av Coreper I den 29 februari 2012</w:t>
      </w:r>
    </w:p>
    <w:p w:rsidR="00886FD2" w:rsidRDefault="00886FD2">
      <w:pPr>
        <w:pStyle w:val="RKnormal"/>
        <w:tabs>
          <w:tab w:val="clear" w:pos="1843"/>
          <w:tab w:val="left" w:pos="0"/>
        </w:tabs>
        <w:ind w:left="0"/>
      </w:pPr>
    </w:p>
    <w:p w:rsidR="00886FD2" w:rsidRDefault="00886FD2" w:rsidP="00341DDE">
      <w:r>
        <w:t xml:space="preserve">Antagande av rådets ståndpunkt i första behandlingen och antagande av rådets motivering. </w:t>
      </w:r>
    </w:p>
    <w:p w:rsidR="00886FD2" w:rsidRDefault="00886FD2" w:rsidP="00341DDE"/>
    <w:p w:rsidR="00886FD2" w:rsidRDefault="00886FD2" w:rsidP="00341DDE">
      <w:r>
        <w:t xml:space="preserve">Regeringen avser rösta ja till rådets föreslagna ståndpunkt i första behandlingen och rådets motivering. </w:t>
      </w:r>
    </w:p>
    <w:p w:rsidR="00886FD2" w:rsidRDefault="00886FD2" w:rsidP="00341DDE"/>
    <w:p w:rsidR="00886FD2" w:rsidRDefault="00886FD2" w:rsidP="00341DDE">
      <w:r>
        <w:t xml:space="preserve">Kommissionen presenterade i september 2010 ett förslag om att bestämmelserna i direktiven 91/440/EEG, 95/18/EG och 2001/14/EG, samt i samtliga direktiv om ändring av dessa, flyttas till ett nytt direktiv. Syftet med förslaget är att förenkla, klargöra och modernisera regelverket för EU:s järnvägssektor. Det nya direktivet innehåller samtliga grundläggande bestämmelser om ansvars- och befogenhetsfördelning inom järnvägssystemet. </w:t>
      </w:r>
    </w:p>
    <w:p w:rsidR="00886FD2" w:rsidRDefault="00886FD2" w:rsidP="00341DDE"/>
    <w:p w:rsidR="00886FD2" w:rsidRDefault="00886FD2" w:rsidP="00341DDE">
      <w:r>
        <w:t>TTE-rådet (transport) enades den 12 december 2011 om en politisk överenskommelse om rådets ståndpunkt vid första behandlingen avseende förslaget till direktiv. För svenskt vidkommande bedöms förslaget i föreliggande utformning inte få särskilt stora direkta konsekvenser. Däremot skulle det sannolikt få större konsekvenser i andra medlemsstater, som införlivat EU-rätten på annat sätt än Sverige gjort. Det gäller främst förslagets krav på tillsynsmyndigheter och tillhandahållare av tjänster till järnvägsföretag i depåer och terminaler. Det skulle i sin tur innebära att svenska järnvägsföretag i framtiden kan få bättre verksamhetsförutsättningar i form av icke-diskriminerande behandling av depåoperatörer och infrastrukturförvaltare när de verkar på andra järnvägsmarknader än den svenska.</w:t>
      </w:r>
    </w:p>
    <w:p w:rsidR="00886FD2" w:rsidRDefault="00886FD2" w:rsidP="00341DDE"/>
    <w:p w:rsidR="00886FD2" w:rsidRDefault="00886FD2" w:rsidP="00341DDE">
      <w:r>
        <w:t xml:space="preserve">Europaparlamentet antog sin ståndpunkt vid första behandlingen den 16 november 2011. Ändringsförslagen avviker på flera viktiga punkter från rådets överenskomna ståndpunkt. </w:t>
      </w:r>
    </w:p>
    <w:p w:rsidR="00886FD2" w:rsidRPr="00341DDE" w:rsidRDefault="00886FD2" w:rsidP="00341DDE"/>
    <w:p w:rsidR="00886FD2" w:rsidRDefault="00886FD2" w:rsidP="00C435EE">
      <w:pPr>
        <w:pStyle w:val="Heading1"/>
        <w:tabs>
          <w:tab w:val="left" w:pos="0"/>
        </w:tabs>
      </w:pPr>
      <w:r>
        <w:br w:type="page"/>
      </w:r>
      <w:bookmarkStart w:id="68" w:name="_Toc318362798"/>
      <w:r>
        <w:t xml:space="preserve">Färdigförhandlad II-punkt från möte i </w:t>
      </w:r>
      <w:r w:rsidRPr="00C435EE">
        <w:t>Coreper II 2012-02-23</w:t>
      </w:r>
      <w:r>
        <w:rPr>
          <w:color w:val="FF0000"/>
        </w:rPr>
        <w:t xml:space="preserve"> </w:t>
      </w:r>
      <w:r>
        <w:t>som kan tas som A-punkt vid kommande rådsmöte</w:t>
      </w:r>
      <w:bookmarkEnd w:id="68"/>
    </w:p>
    <w:p w:rsidR="00886FD2" w:rsidRPr="00C435EE" w:rsidRDefault="00886FD2" w:rsidP="003B7FBA">
      <w:pPr>
        <w:pStyle w:val="Heading2"/>
      </w:pPr>
      <w:bookmarkStart w:id="69" w:name="_Toc318362799"/>
      <w:r>
        <w:t xml:space="preserve">13. </w:t>
      </w:r>
      <w:r w:rsidRPr="00C435EE">
        <w:t>Förslag (KOM(2009) 456) till Europaparlamentets och rådets beslut om ändring av beslut nr 573/2007/EG om inrättande av Europeiska flyktingfonden för perioden 2008–2013 som en del av det allmänna programmet ”Solidaritet och hantering av migrationsströmmar” och om upphävande av rådets beslut 2004/904/EG - ett gemensamt vidarebosättningsprogram för EU (första läsningen)</w:t>
      </w:r>
      <w:bookmarkEnd w:id="69"/>
    </w:p>
    <w:p w:rsidR="00886FD2" w:rsidRPr="00C435EE" w:rsidRDefault="00886FD2" w:rsidP="00463135">
      <w:pPr>
        <w:rPr>
          <w:szCs w:val="24"/>
          <w:lang w:eastAsia="fr-BE"/>
        </w:rPr>
      </w:pPr>
    </w:p>
    <w:p w:rsidR="00886FD2" w:rsidRPr="003B7FBA" w:rsidRDefault="00886FD2" w:rsidP="00463135">
      <w:pPr>
        <w:rPr>
          <w:szCs w:val="24"/>
          <w:lang w:eastAsia="fr-BE"/>
        </w:rPr>
      </w:pPr>
      <w:r w:rsidRPr="003B7FBA">
        <w:rPr>
          <w:szCs w:val="24"/>
          <w:lang w:eastAsia="fr-BE"/>
        </w:rPr>
        <w:t xml:space="preserve">6370/12,  6563/12 </w:t>
      </w:r>
    </w:p>
    <w:p w:rsidR="00886FD2" w:rsidRPr="003B7FBA" w:rsidRDefault="00886FD2" w:rsidP="00463135">
      <w:pPr>
        <w:rPr>
          <w:szCs w:val="24"/>
        </w:rPr>
      </w:pPr>
    </w:p>
    <w:p w:rsidR="00886FD2" w:rsidRPr="00341DDE" w:rsidRDefault="00886FD2" w:rsidP="00463135">
      <w:r>
        <w:t>Ansvarigt departement: Justitiedepartementet</w:t>
      </w:r>
    </w:p>
    <w:p w:rsidR="00886FD2" w:rsidRDefault="00886FD2" w:rsidP="00463135">
      <w:pPr>
        <w:pStyle w:val="RKnormal"/>
        <w:tabs>
          <w:tab w:val="clear" w:pos="1843"/>
          <w:tab w:val="left" w:pos="0"/>
        </w:tabs>
        <w:ind w:left="0"/>
      </w:pPr>
    </w:p>
    <w:p w:rsidR="00886FD2" w:rsidRPr="00341DDE" w:rsidRDefault="00886FD2" w:rsidP="00463135">
      <w:r>
        <w:t>Ansvarigt statsråd: Tobias Billström</w:t>
      </w:r>
    </w:p>
    <w:p w:rsidR="00886FD2" w:rsidRPr="00463135" w:rsidRDefault="00886FD2" w:rsidP="00463135">
      <w:pPr>
        <w:rPr>
          <w:szCs w:val="24"/>
        </w:rPr>
      </w:pPr>
    </w:p>
    <w:p w:rsidR="00886FD2" w:rsidRDefault="00886FD2" w:rsidP="00463135">
      <w:pPr>
        <w:rPr>
          <w:bCs/>
          <w:szCs w:val="24"/>
        </w:rPr>
      </w:pPr>
      <w:r>
        <w:rPr>
          <w:szCs w:val="24"/>
        </w:rPr>
        <w:t>Tidigare behandling i EU-nämnden: 2011-04-08 (information inom ramen för dagordningspunkten om det</w:t>
      </w:r>
      <w:r>
        <w:rPr>
          <w:b/>
        </w:rPr>
        <w:t xml:space="preserve"> </w:t>
      </w:r>
      <w:r>
        <w:rPr>
          <w:szCs w:val="24"/>
        </w:rPr>
        <w:t>gemensamma europeiska asylsystemet)</w:t>
      </w:r>
    </w:p>
    <w:p w:rsidR="00886FD2" w:rsidRDefault="00886FD2" w:rsidP="00463135">
      <w:pPr>
        <w:rPr>
          <w:szCs w:val="24"/>
        </w:rPr>
      </w:pPr>
    </w:p>
    <w:p w:rsidR="00886FD2" w:rsidRDefault="00886FD2" w:rsidP="00463135">
      <w:pPr>
        <w:rPr>
          <w:bCs/>
          <w:szCs w:val="24"/>
        </w:rPr>
      </w:pPr>
      <w:r>
        <w:rPr>
          <w:szCs w:val="24"/>
        </w:rPr>
        <w:t xml:space="preserve">Tidigare behandling vid rådsmöte: - </w:t>
      </w:r>
    </w:p>
    <w:p w:rsidR="00886FD2" w:rsidRDefault="00886FD2" w:rsidP="00463135">
      <w:pPr>
        <w:rPr>
          <w:szCs w:val="24"/>
        </w:rPr>
      </w:pPr>
    </w:p>
    <w:p w:rsidR="00886FD2" w:rsidRDefault="00886FD2" w:rsidP="00463135">
      <w:pPr>
        <w:rPr>
          <w:szCs w:val="24"/>
        </w:rPr>
      </w:pPr>
      <w:r>
        <w:t>Den 2 september 2009 lade kommissionen fram ett meddelande om ett ge</w:t>
      </w:r>
      <w:r>
        <w:softHyphen/>
        <w:t>mensamt vidarebosättningsprogram för EU samt förslag till finansieringsme</w:t>
      </w:r>
      <w:r>
        <w:softHyphen/>
        <w:t xml:space="preserve">kanism för detta genom förändringar i Europeiska flyktingfonden (ERF III). </w:t>
      </w:r>
      <w:r>
        <w:rPr>
          <w:szCs w:val="24"/>
        </w:rPr>
        <w:t xml:space="preserve">Europaparlamentet behandlade förslaget i första läsningen den 18 maj 2010. Rådet föreslås nu anta </w:t>
      </w:r>
    </w:p>
    <w:p w:rsidR="00886FD2" w:rsidRDefault="00886FD2" w:rsidP="00463135">
      <w:pPr>
        <w:rPr>
          <w:szCs w:val="24"/>
        </w:rPr>
      </w:pPr>
      <w:r>
        <w:rPr>
          <w:szCs w:val="24"/>
        </w:rPr>
        <w:t xml:space="preserve">beslutet om gemensam ståndpunkt. </w:t>
      </w:r>
    </w:p>
    <w:p w:rsidR="00886FD2" w:rsidRDefault="00886FD2" w:rsidP="00463135">
      <w:pPr>
        <w:rPr>
          <w:szCs w:val="24"/>
        </w:rPr>
      </w:pPr>
    </w:p>
    <w:p w:rsidR="00886FD2" w:rsidRDefault="00886FD2" w:rsidP="00463135">
      <w:pPr>
        <w:rPr>
          <w:szCs w:val="24"/>
        </w:rPr>
      </w:pPr>
      <w:r>
        <w:rPr>
          <w:szCs w:val="24"/>
        </w:rPr>
        <w:t>Syftet med förslaget är att få fler medlemsstater att engagera sig i vidarebosättning och visa solidaritet med tredje länder som hyser stora flyktingpopulationer samt att använda vidarebosättningsinstrumentet mer strategiskt och därigenom bidra till de internationella ansträngningar som görs för att lösa utdragna flyktingsituationer.</w:t>
      </w:r>
    </w:p>
    <w:p w:rsidR="00886FD2" w:rsidRDefault="00886FD2" w:rsidP="00463135">
      <w:pPr>
        <w:rPr>
          <w:szCs w:val="24"/>
        </w:rPr>
      </w:pPr>
    </w:p>
    <w:p w:rsidR="00886FD2" w:rsidRDefault="00886FD2" w:rsidP="00463135">
      <w:pPr>
        <w:rPr>
          <w:szCs w:val="24"/>
        </w:rPr>
      </w:pPr>
      <w:r>
        <w:rPr>
          <w:szCs w:val="24"/>
        </w:rPr>
        <w:t xml:space="preserve">Förslaget innebär i korthet att det fastställs </w:t>
      </w:r>
      <w:r>
        <w:t>gemensamma årliga priori</w:t>
      </w:r>
      <w:r>
        <w:softHyphen/>
        <w:t xml:space="preserve">teringar för möjliga vidarebosättningsinsatser för EU:s medlemsstater i beslutet. </w:t>
      </w:r>
      <w:r>
        <w:rPr>
          <w:color w:val="000000"/>
        </w:rPr>
        <w:t>De medlemsstater som vidarebosätter i enlighet med de fastslagna prioriteringarna ska kunna erhålla f</w:t>
      </w:r>
      <w:r>
        <w:t xml:space="preserve">inansiellt stöd om 4000 EUR per vidarebosatt person. Förslaget innehåller även ekonomiska incitament för medlemsstater som inte tidigare haft ett vidarebosättningsprogram eller som endast vidarebosatt någon enstaka gång tidigare. En medlemsstat som vidarebosätter för första gången ska kunna erhålla finansiellt stöd om 6000 EUR per vidarebosatt person och en medlemsstat som vidarebosätter för en andra gång ska kunna erhålla finansiellt stöd om 5000 EUR per vidarebosatt person. </w:t>
      </w:r>
    </w:p>
    <w:p w:rsidR="00886FD2" w:rsidRDefault="00886FD2">
      <w:pPr>
        <w:pStyle w:val="RKnormal"/>
        <w:tabs>
          <w:tab w:val="clear" w:pos="1843"/>
          <w:tab w:val="left" w:pos="0"/>
        </w:tabs>
        <w:ind w:left="0"/>
      </w:pPr>
    </w:p>
    <w:sectPr w:rsidR="00886FD2" w:rsidSect="00AE117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FD2" w:rsidRDefault="00886FD2">
      <w:r>
        <w:separator/>
      </w:r>
    </w:p>
  </w:endnote>
  <w:endnote w:type="continuationSeparator" w:id="0">
    <w:p w:rsidR="00886FD2" w:rsidRDefault="00886F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D2" w:rsidRDefault="00886FD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15</w:t>
    </w:r>
    <w:r>
      <w:rPr>
        <w:rStyle w:val="PageNumber"/>
        <w:sz w:val="16"/>
      </w:rPr>
      <w:fldChar w:fldCharType="end"/>
    </w:r>
    <w:r>
      <w:rPr>
        <w:rStyle w:val="PageNumber"/>
        <w:sz w:val="16"/>
      </w:rPr>
      <w:t>)</w:t>
    </w:r>
  </w:p>
  <w:p w:rsidR="00886FD2" w:rsidRDefault="00886F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D2" w:rsidRDefault="00886FD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15</w:t>
    </w:r>
    <w:r>
      <w:rPr>
        <w:rStyle w:val="PageNumber"/>
        <w:sz w:val="16"/>
      </w:rPr>
      <w:fldChar w:fldCharType="end"/>
    </w:r>
    <w:r>
      <w:rPr>
        <w:rStyle w:val="PageNumber"/>
        <w:sz w:val="16"/>
      </w:rPr>
      <w:t>)</w:t>
    </w:r>
  </w:p>
  <w:p w:rsidR="00886FD2" w:rsidRDefault="00886FD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D2" w:rsidRDefault="00886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FD2" w:rsidRDefault="00886FD2">
      <w:r>
        <w:separator/>
      </w:r>
    </w:p>
  </w:footnote>
  <w:footnote w:type="continuationSeparator" w:id="0">
    <w:p w:rsidR="00886FD2" w:rsidRDefault="00886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D2" w:rsidRDefault="00886FD2">
    <w:pPr>
      <w:pStyle w:val="Header"/>
      <w:framePr w:wrap="around" w:vAnchor="text" w:hAnchor="margin" w:xAlign="right" w:y="1"/>
      <w:rPr>
        <w:rStyle w:val="PageNumber"/>
      </w:rPr>
    </w:pPr>
  </w:p>
  <w:p w:rsidR="00886FD2" w:rsidRDefault="00886FD2">
    <w:pPr>
      <w:pStyle w:val="Header"/>
      <w:ind w:right="360"/>
    </w:pPr>
  </w:p>
  <w:p w:rsidR="00886FD2" w:rsidRDefault="00886FD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D2" w:rsidRDefault="00886FD2">
    <w:pPr>
      <w:framePr w:w="2948" w:h="1321" w:hRule="exact" w:wrap="notBeside" w:vAnchor="page" w:hAnchor="page" w:x="1362" w:y="653"/>
    </w:pPr>
    <w:r w:rsidRPr="00D65EE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886FD2" w:rsidRDefault="00886FD2">
    <w:pPr>
      <w:pStyle w:val="Header"/>
    </w:pPr>
  </w:p>
  <w:p w:rsidR="00886FD2" w:rsidRDefault="00886FD2">
    <w:pPr>
      <w:pStyle w:val="Header"/>
      <w:ind w:right="360"/>
    </w:pPr>
  </w:p>
  <w:p w:rsidR="00886FD2" w:rsidRDefault="00886FD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D2" w:rsidRDefault="00886FD2">
    <w:pPr>
      <w:framePr w:w="2948" w:h="1321" w:hRule="exact" w:wrap="notBeside" w:vAnchor="page" w:hAnchor="page" w:x="1362" w:y="653"/>
    </w:pPr>
    <w:r w:rsidRPr="00D65EE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886FD2" w:rsidRDefault="00886F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D880C8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41DDE"/>
    <w:rsid w:val="0029516E"/>
    <w:rsid w:val="00341DDE"/>
    <w:rsid w:val="003B7FBA"/>
    <w:rsid w:val="00463135"/>
    <w:rsid w:val="004968D1"/>
    <w:rsid w:val="005465B2"/>
    <w:rsid w:val="005A23F9"/>
    <w:rsid w:val="005C212F"/>
    <w:rsid w:val="005E002C"/>
    <w:rsid w:val="005F1820"/>
    <w:rsid w:val="00847B54"/>
    <w:rsid w:val="00886FD2"/>
    <w:rsid w:val="00936272"/>
    <w:rsid w:val="00A72123"/>
    <w:rsid w:val="00AE1175"/>
    <w:rsid w:val="00AF0928"/>
    <w:rsid w:val="00B66BAC"/>
    <w:rsid w:val="00BA6B91"/>
    <w:rsid w:val="00C435EE"/>
    <w:rsid w:val="00C70770"/>
    <w:rsid w:val="00CD1EC4"/>
    <w:rsid w:val="00D65EE8"/>
    <w:rsid w:val="00DC772C"/>
    <w:rsid w:val="00DD59EE"/>
    <w:rsid w:val="00EC3C7C"/>
    <w:rsid w:val="00ED5DCC"/>
    <w:rsid w:val="00F056A7"/>
    <w:rsid w:val="00FA75B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7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AE117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AE117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AE1175"/>
    <w:pPr>
      <w:spacing w:after="120" w:line="240" w:lineRule="atLeast"/>
      <w:outlineLvl w:val="2"/>
    </w:pPr>
    <w:rPr>
      <w:b w:val="0"/>
    </w:rPr>
  </w:style>
  <w:style w:type="paragraph" w:styleId="Heading4">
    <w:name w:val="heading 4"/>
    <w:basedOn w:val="Heading3"/>
    <w:next w:val="RKnormal"/>
    <w:link w:val="Heading4Char"/>
    <w:uiPriority w:val="99"/>
    <w:qFormat/>
    <w:rsid w:val="00AE117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AE117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35EE"/>
    <w:rPr>
      <w:rFonts w:ascii="TradeGothic" w:hAnsi="TradeGothic"/>
      <w:b/>
      <w:kern w:val="28"/>
      <w:sz w:val="28"/>
      <w:lang w:eastAsia="en-US"/>
    </w:rPr>
  </w:style>
  <w:style w:type="character" w:customStyle="1" w:styleId="Heading2Char">
    <w:name w:val="Heading 2 Char"/>
    <w:basedOn w:val="DefaultParagraphFont"/>
    <w:link w:val="Heading2"/>
    <w:uiPriority w:val="9"/>
    <w:semiHidden/>
    <w:rsid w:val="00BD5BD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D5BD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D5BD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D5BD9"/>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AE1175"/>
    <w:pPr>
      <w:tabs>
        <w:tab w:val="left" w:pos="1843"/>
        <w:tab w:val="left" w:pos="2835"/>
      </w:tabs>
      <w:spacing w:line="240" w:lineRule="atLeast"/>
      <w:ind w:left="1843"/>
    </w:pPr>
  </w:style>
  <w:style w:type="paragraph" w:customStyle="1" w:styleId="Avsndare">
    <w:name w:val="Avsändare"/>
    <w:basedOn w:val="Normal"/>
    <w:uiPriority w:val="99"/>
    <w:rsid w:val="00AE117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E117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D5BD9"/>
    <w:rPr>
      <w:rFonts w:ascii="OrigGarmnd BT" w:hAnsi="OrigGarmnd BT"/>
      <w:sz w:val="24"/>
      <w:szCs w:val="20"/>
      <w:lang w:eastAsia="en-US"/>
    </w:rPr>
  </w:style>
  <w:style w:type="paragraph" w:styleId="Header">
    <w:name w:val="header"/>
    <w:basedOn w:val="Normal"/>
    <w:link w:val="HeaderChar"/>
    <w:uiPriority w:val="99"/>
    <w:rsid w:val="00AE1175"/>
    <w:pPr>
      <w:tabs>
        <w:tab w:val="center" w:pos="4153"/>
        <w:tab w:val="right" w:pos="8306"/>
      </w:tabs>
    </w:pPr>
  </w:style>
  <w:style w:type="character" w:customStyle="1" w:styleId="HeaderChar">
    <w:name w:val="Header Char"/>
    <w:basedOn w:val="DefaultParagraphFont"/>
    <w:link w:val="Header"/>
    <w:uiPriority w:val="99"/>
    <w:semiHidden/>
    <w:rsid w:val="00BD5BD9"/>
    <w:rPr>
      <w:rFonts w:ascii="OrigGarmnd BT" w:hAnsi="OrigGarmnd BT"/>
      <w:sz w:val="24"/>
      <w:szCs w:val="20"/>
      <w:lang w:eastAsia="en-US"/>
    </w:rPr>
  </w:style>
  <w:style w:type="paragraph" w:customStyle="1" w:styleId="RKrubrik">
    <w:name w:val="RKrubrik"/>
    <w:basedOn w:val="RKnormal"/>
    <w:next w:val="RKnormal"/>
    <w:uiPriority w:val="99"/>
    <w:rsid w:val="00AE117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E1175"/>
    <w:rPr>
      <w:rFonts w:cs="Times New Roman"/>
    </w:rPr>
  </w:style>
  <w:style w:type="paragraph" w:styleId="BodyText">
    <w:name w:val="Body Text"/>
    <w:basedOn w:val="Normal"/>
    <w:link w:val="BodyTextChar"/>
    <w:uiPriority w:val="99"/>
    <w:rsid w:val="00AE117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BD5BD9"/>
    <w:rPr>
      <w:rFonts w:ascii="OrigGarmnd BT" w:hAnsi="OrigGarmnd BT"/>
      <w:sz w:val="24"/>
      <w:szCs w:val="20"/>
      <w:lang w:eastAsia="en-US"/>
    </w:rPr>
  </w:style>
  <w:style w:type="paragraph" w:styleId="FootnoteText">
    <w:name w:val="footnote text"/>
    <w:basedOn w:val="Normal"/>
    <w:link w:val="FootnoteTextChar"/>
    <w:uiPriority w:val="99"/>
    <w:semiHidden/>
    <w:rsid w:val="00AE117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BD5BD9"/>
    <w:rPr>
      <w:rFonts w:ascii="OrigGarmnd BT" w:hAnsi="OrigGarmnd BT"/>
      <w:sz w:val="20"/>
      <w:szCs w:val="20"/>
      <w:lang w:eastAsia="en-US"/>
    </w:rPr>
  </w:style>
  <w:style w:type="paragraph" w:customStyle="1" w:styleId="UDrubrik">
    <w:name w:val="UDrubrik"/>
    <w:basedOn w:val="Normal"/>
    <w:next w:val="BodyText"/>
    <w:uiPriority w:val="99"/>
    <w:rsid w:val="00AE1175"/>
    <w:pPr>
      <w:spacing w:line="320" w:lineRule="exact"/>
    </w:pPr>
    <w:rPr>
      <w:rFonts w:ascii="Arial" w:hAnsi="Arial"/>
      <w:b/>
      <w:sz w:val="22"/>
    </w:rPr>
  </w:style>
  <w:style w:type="paragraph" w:styleId="TOC1">
    <w:name w:val="toc 1"/>
    <w:basedOn w:val="Normal"/>
    <w:next w:val="Normal"/>
    <w:autoRedefine/>
    <w:uiPriority w:val="99"/>
    <w:rsid w:val="00AE1175"/>
    <w:pPr>
      <w:spacing w:before="360"/>
    </w:pPr>
    <w:rPr>
      <w:rFonts w:ascii="Arial" w:hAnsi="Arial"/>
      <w:b/>
      <w:bCs/>
      <w:caps/>
      <w:szCs w:val="28"/>
    </w:rPr>
  </w:style>
  <w:style w:type="paragraph" w:styleId="TOC2">
    <w:name w:val="toc 2"/>
    <w:basedOn w:val="Normal"/>
    <w:next w:val="Normal"/>
    <w:autoRedefine/>
    <w:uiPriority w:val="99"/>
    <w:rsid w:val="00AE1175"/>
    <w:pPr>
      <w:spacing w:before="240"/>
    </w:pPr>
    <w:rPr>
      <w:rFonts w:ascii="Times New Roman" w:hAnsi="Times New Roman"/>
      <w:b/>
      <w:bCs/>
      <w:szCs w:val="24"/>
    </w:rPr>
  </w:style>
  <w:style w:type="paragraph" w:styleId="TOC3">
    <w:name w:val="toc 3"/>
    <w:basedOn w:val="Normal"/>
    <w:next w:val="Normal"/>
    <w:autoRedefine/>
    <w:uiPriority w:val="99"/>
    <w:semiHidden/>
    <w:rsid w:val="00AE1175"/>
    <w:pPr>
      <w:ind w:left="240"/>
    </w:pPr>
    <w:rPr>
      <w:rFonts w:ascii="Times New Roman" w:hAnsi="Times New Roman"/>
      <w:szCs w:val="24"/>
    </w:rPr>
  </w:style>
  <w:style w:type="paragraph" w:styleId="TOC4">
    <w:name w:val="toc 4"/>
    <w:basedOn w:val="Normal"/>
    <w:next w:val="Normal"/>
    <w:autoRedefine/>
    <w:uiPriority w:val="99"/>
    <w:semiHidden/>
    <w:rsid w:val="00AE1175"/>
    <w:pPr>
      <w:ind w:left="480"/>
    </w:pPr>
    <w:rPr>
      <w:rFonts w:ascii="Times New Roman" w:hAnsi="Times New Roman"/>
      <w:szCs w:val="24"/>
    </w:rPr>
  </w:style>
  <w:style w:type="paragraph" w:styleId="TOC5">
    <w:name w:val="toc 5"/>
    <w:basedOn w:val="Normal"/>
    <w:next w:val="Normal"/>
    <w:autoRedefine/>
    <w:uiPriority w:val="99"/>
    <w:semiHidden/>
    <w:rsid w:val="00AE1175"/>
    <w:pPr>
      <w:ind w:left="720"/>
    </w:pPr>
    <w:rPr>
      <w:rFonts w:ascii="Times New Roman" w:hAnsi="Times New Roman"/>
      <w:szCs w:val="24"/>
    </w:rPr>
  </w:style>
  <w:style w:type="paragraph" w:styleId="TOC6">
    <w:name w:val="toc 6"/>
    <w:basedOn w:val="Normal"/>
    <w:next w:val="Normal"/>
    <w:autoRedefine/>
    <w:uiPriority w:val="99"/>
    <w:semiHidden/>
    <w:rsid w:val="00AE1175"/>
    <w:pPr>
      <w:ind w:left="960"/>
    </w:pPr>
    <w:rPr>
      <w:rFonts w:ascii="Times New Roman" w:hAnsi="Times New Roman"/>
      <w:szCs w:val="24"/>
    </w:rPr>
  </w:style>
  <w:style w:type="paragraph" w:styleId="TOC7">
    <w:name w:val="toc 7"/>
    <w:basedOn w:val="Normal"/>
    <w:next w:val="Normal"/>
    <w:autoRedefine/>
    <w:uiPriority w:val="99"/>
    <w:semiHidden/>
    <w:rsid w:val="00AE1175"/>
    <w:pPr>
      <w:ind w:left="1200"/>
    </w:pPr>
    <w:rPr>
      <w:rFonts w:ascii="Times New Roman" w:hAnsi="Times New Roman"/>
      <w:szCs w:val="24"/>
    </w:rPr>
  </w:style>
  <w:style w:type="paragraph" w:styleId="TOC8">
    <w:name w:val="toc 8"/>
    <w:basedOn w:val="Normal"/>
    <w:next w:val="Normal"/>
    <w:autoRedefine/>
    <w:uiPriority w:val="99"/>
    <w:semiHidden/>
    <w:rsid w:val="00AE1175"/>
    <w:pPr>
      <w:ind w:left="1440"/>
    </w:pPr>
    <w:rPr>
      <w:rFonts w:ascii="Times New Roman" w:hAnsi="Times New Roman"/>
      <w:szCs w:val="24"/>
    </w:rPr>
  </w:style>
  <w:style w:type="paragraph" w:styleId="TOC9">
    <w:name w:val="toc 9"/>
    <w:basedOn w:val="Normal"/>
    <w:next w:val="Normal"/>
    <w:autoRedefine/>
    <w:uiPriority w:val="99"/>
    <w:semiHidden/>
    <w:rsid w:val="00AE1175"/>
    <w:pPr>
      <w:ind w:left="1680"/>
    </w:pPr>
    <w:rPr>
      <w:rFonts w:ascii="Times New Roman" w:hAnsi="Times New Roman"/>
      <w:szCs w:val="24"/>
    </w:rPr>
  </w:style>
  <w:style w:type="paragraph" w:customStyle="1" w:styleId="Text1">
    <w:name w:val="Text 1"/>
    <w:basedOn w:val="Normal"/>
    <w:uiPriority w:val="99"/>
    <w:rsid w:val="00AE117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AE1175"/>
    <w:rPr>
      <w:rFonts w:cs="Times New Roman"/>
      <w:vertAlign w:val="superscript"/>
    </w:rPr>
  </w:style>
  <w:style w:type="paragraph" w:styleId="Index1">
    <w:name w:val="index 1"/>
    <w:basedOn w:val="Normal"/>
    <w:next w:val="Normal"/>
    <w:autoRedefine/>
    <w:uiPriority w:val="99"/>
    <w:semiHidden/>
    <w:rsid w:val="00AE1175"/>
    <w:pPr>
      <w:ind w:left="240" w:hanging="240"/>
    </w:pPr>
    <w:rPr>
      <w:rFonts w:ascii="Times New Roman" w:hAnsi="Times New Roman"/>
      <w:szCs w:val="24"/>
    </w:rPr>
  </w:style>
  <w:style w:type="paragraph" w:styleId="Index2">
    <w:name w:val="index 2"/>
    <w:basedOn w:val="Normal"/>
    <w:next w:val="Normal"/>
    <w:autoRedefine/>
    <w:uiPriority w:val="99"/>
    <w:semiHidden/>
    <w:rsid w:val="00AE1175"/>
    <w:pPr>
      <w:ind w:left="480" w:hanging="240"/>
    </w:pPr>
    <w:rPr>
      <w:rFonts w:ascii="Times New Roman" w:hAnsi="Times New Roman"/>
      <w:szCs w:val="24"/>
    </w:rPr>
  </w:style>
  <w:style w:type="paragraph" w:styleId="Index3">
    <w:name w:val="index 3"/>
    <w:basedOn w:val="Normal"/>
    <w:next w:val="Normal"/>
    <w:autoRedefine/>
    <w:uiPriority w:val="99"/>
    <w:semiHidden/>
    <w:rsid w:val="00AE1175"/>
    <w:pPr>
      <w:ind w:left="720" w:hanging="240"/>
    </w:pPr>
    <w:rPr>
      <w:rFonts w:ascii="Times New Roman" w:hAnsi="Times New Roman"/>
      <w:szCs w:val="24"/>
    </w:rPr>
  </w:style>
  <w:style w:type="paragraph" w:styleId="Index4">
    <w:name w:val="index 4"/>
    <w:basedOn w:val="Normal"/>
    <w:next w:val="Normal"/>
    <w:autoRedefine/>
    <w:uiPriority w:val="99"/>
    <w:semiHidden/>
    <w:rsid w:val="00AE1175"/>
    <w:pPr>
      <w:ind w:left="960" w:hanging="240"/>
    </w:pPr>
    <w:rPr>
      <w:rFonts w:ascii="Times New Roman" w:hAnsi="Times New Roman"/>
      <w:szCs w:val="24"/>
    </w:rPr>
  </w:style>
  <w:style w:type="paragraph" w:styleId="Index5">
    <w:name w:val="index 5"/>
    <w:basedOn w:val="Normal"/>
    <w:next w:val="Normal"/>
    <w:autoRedefine/>
    <w:uiPriority w:val="99"/>
    <w:semiHidden/>
    <w:rsid w:val="00AE1175"/>
    <w:pPr>
      <w:ind w:left="1200" w:hanging="240"/>
    </w:pPr>
    <w:rPr>
      <w:rFonts w:ascii="Times New Roman" w:hAnsi="Times New Roman"/>
      <w:szCs w:val="24"/>
    </w:rPr>
  </w:style>
  <w:style w:type="paragraph" w:styleId="Index6">
    <w:name w:val="index 6"/>
    <w:basedOn w:val="Normal"/>
    <w:next w:val="Normal"/>
    <w:autoRedefine/>
    <w:uiPriority w:val="99"/>
    <w:semiHidden/>
    <w:rsid w:val="00AE1175"/>
    <w:pPr>
      <w:ind w:left="1440" w:hanging="240"/>
    </w:pPr>
    <w:rPr>
      <w:rFonts w:ascii="Times New Roman" w:hAnsi="Times New Roman"/>
      <w:szCs w:val="24"/>
    </w:rPr>
  </w:style>
  <w:style w:type="paragraph" w:styleId="Index7">
    <w:name w:val="index 7"/>
    <w:basedOn w:val="Normal"/>
    <w:next w:val="Normal"/>
    <w:autoRedefine/>
    <w:uiPriority w:val="99"/>
    <w:semiHidden/>
    <w:rsid w:val="00AE1175"/>
    <w:pPr>
      <w:ind w:left="1680" w:hanging="240"/>
    </w:pPr>
    <w:rPr>
      <w:rFonts w:ascii="Times New Roman" w:hAnsi="Times New Roman"/>
      <w:szCs w:val="24"/>
    </w:rPr>
  </w:style>
  <w:style w:type="paragraph" w:styleId="Index8">
    <w:name w:val="index 8"/>
    <w:basedOn w:val="Normal"/>
    <w:next w:val="Normal"/>
    <w:autoRedefine/>
    <w:uiPriority w:val="99"/>
    <w:semiHidden/>
    <w:rsid w:val="00AE1175"/>
    <w:pPr>
      <w:ind w:left="1920" w:hanging="240"/>
    </w:pPr>
    <w:rPr>
      <w:rFonts w:ascii="Times New Roman" w:hAnsi="Times New Roman"/>
      <w:szCs w:val="24"/>
    </w:rPr>
  </w:style>
  <w:style w:type="paragraph" w:styleId="Index9">
    <w:name w:val="index 9"/>
    <w:basedOn w:val="Normal"/>
    <w:next w:val="Normal"/>
    <w:autoRedefine/>
    <w:uiPriority w:val="99"/>
    <w:semiHidden/>
    <w:rsid w:val="00AE1175"/>
    <w:pPr>
      <w:ind w:left="2160" w:hanging="240"/>
    </w:pPr>
    <w:rPr>
      <w:rFonts w:ascii="Times New Roman" w:hAnsi="Times New Roman"/>
      <w:szCs w:val="24"/>
    </w:rPr>
  </w:style>
  <w:style w:type="paragraph" w:styleId="IndexHeading">
    <w:name w:val="index heading"/>
    <w:basedOn w:val="Normal"/>
    <w:next w:val="Index1"/>
    <w:uiPriority w:val="99"/>
    <w:semiHidden/>
    <w:rsid w:val="00AE1175"/>
    <w:pPr>
      <w:spacing w:before="120" w:after="120"/>
    </w:pPr>
    <w:rPr>
      <w:rFonts w:ascii="Times New Roman" w:hAnsi="Times New Roman"/>
      <w:b/>
      <w:bCs/>
      <w:i/>
      <w:iCs/>
      <w:szCs w:val="24"/>
    </w:rPr>
  </w:style>
  <w:style w:type="paragraph" w:customStyle="1" w:styleId="EntEmet">
    <w:name w:val="EntEmet"/>
    <w:basedOn w:val="Normal"/>
    <w:uiPriority w:val="99"/>
    <w:rsid w:val="00AE117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AE1175"/>
    <w:pPr>
      <w:spacing w:line="240" w:lineRule="auto"/>
    </w:pPr>
    <w:rPr>
      <w:rFonts w:ascii="Arial" w:hAnsi="Arial"/>
      <w:lang w:val="en-GB"/>
    </w:rPr>
  </w:style>
  <w:style w:type="paragraph" w:customStyle="1" w:styleId="Avsndare0">
    <w:name w:val="Avsndare"/>
    <w:basedOn w:val="Normal"/>
    <w:next w:val="Normal"/>
    <w:uiPriority w:val="99"/>
    <w:rsid w:val="00AE1175"/>
    <w:pPr>
      <w:spacing w:line="240" w:lineRule="auto"/>
    </w:pPr>
    <w:rPr>
      <w:rFonts w:ascii="Arial" w:hAnsi="Arial"/>
      <w:i/>
      <w:lang w:val="en-GB"/>
    </w:rPr>
  </w:style>
  <w:style w:type="character" w:styleId="Hyperlink">
    <w:name w:val="Hyperlink"/>
    <w:basedOn w:val="DefaultParagraphFont"/>
    <w:uiPriority w:val="99"/>
    <w:rsid w:val="00AE1175"/>
    <w:rPr>
      <w:rFonts w:cs="Times New Roman"/>
      <w:color w:val="0000FF"/>
      <w:u w:val="single"/>
    </w:rPr>
  </w:style>
  <w:style w:type="paragraph" w:styleId="DocumentMap">
    <w:name w:val="Document Map"/>
    <w:basedOn w:val="Normal"/>
    <w:link w:val="DocumentMapChar"/>
    <w:uiPriority w:val="99"/>
    <w:semiHidden/>
    <w:rsid w:val="00AE117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BD5BD9"/>
    <w:rPr>
      <w:sz w:val="0"/>
      <w:szCs w:val="0"/>
      <w:lang w:eastAsia="en-US"/>
    </w:rPr>
  </w:style>
  <w:style w:type="character" w:styleId="FollowedHyperlink">
    <w:name w:val="FollowedHyperlink"/>
    <w:basedOn w:val="DefaultParagraphFont"/>
    <w:uiPriority w:val="99"/>
    <w:rsid w:val="00AE1175"/>
    <w:rPr>
      <w:rFonts w:cs="Times New Roman"/>
      <w:color w:val="800080"/>
      <w:u w:val="single"/>
    </w:rPr>
  </w:style>
  <w:style w:type="paragraph" w:customStyle="1" w:styleId="Par-number10">
    <w:name w:val="Par-number 1)"/>
    <w:basedOn w:val="Normal"/>
    <w:next w:val="Normal"/>
    <w:uiPriority w:val="99"/>
    <w:rsid w:val="00AE1175"/>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AE1175"/>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AE1175"/>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AE1175"/>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AE1175"/>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AE1175"/>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AE1175"/>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AE1175"/>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AE1175"/>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AE1175"/>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AE117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AE117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BD5BD9"/>
    <w:rPr>
      <w:rFonts w:ascii="OrigGarmnd BT" w:hAnsi="OrigGarmnd BT"/>
      <w:sz w:val="20"/>
      <w:szCs w:val="20"/>
      <w:lang w:eastAsia="en-US"/>
    </w:rPr>
  </w:style>
  <w:style w:type="paragraph" w:customStyle="1" w:styleId="EntRefer">
    <w:name w:val="EntRefer"/>
    <w:basedOn w:val="Normal"/>
    <w:uiPriority w:val="99"/>
    <w:rsid w:val="00AE117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AE1175"/>
    <w:pPr>
      <w:spacing w:line="240" w:lineRule="auto"/>
    </w:pPr>
    <w:rPr>
      <w:rFonts w:ascii="Times New Roman" w:hAnsi="Times New Roman"/>
      <w:lang w:val="en-GB" w:eastAsia="fr-BE"/>
    </w:rPr>
  </w:style>
  <w:style w:type="paragraph" w:customStyle="1" w:styleId="Tiret1">
    <w:name w:val="Tiret 1"/>
    <w:basedOn w:val="Normal"/>
    <w:uiPriority w:val="99"/>
    <w:rsid w:val="00AE117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AE1175"/>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AE1175"/>
    <w:pPr>
      <w:overflowPunct w:val="0"/>
      <w:autoSpaceDE w:val="0"/>
      <w:autoSpaceDN w:val="0"/>
      <w:adjustRightInd w:val="0"/>
      <w:ind w:left="1843"/>
      <w:textAlignment w:val="baseline"/>
    </w:pPr>
  </w:style>
  <w:style w:type="paragraph" w:customStyle="1" w:styleId="Brdtext0">
    <w:name w:val="Brˆdtext"/>
    <w:basedOn w:val="Normal"/>
    <w:uiPriority w:val="99"/>
    <w:rsid w:val="00AE1175"/>
    <w:pPr>
      <w:spacing w:line="320" w:lineRule="exact"/>
    </w:pPr>
    <w:rPr>
      <w:rFonts w:ascii="Times New Roman" w:hAnsi="Times New Roman"/>
    </w:rPr>
  </w:style>
  <w:style w:type="character" w:customStyle="1" w:styleId="term">
    <w:name w:val="term"/>
    <w:basedOn w:val="DefaultParagraphFont"/>
    <w:uiPriority w:val="99"/>
    <w:rsid w:val="00AE1175"/>
    <w:rPr>
      <w:rFonts w:cs="Times New Roman"/>
    </w:rPr>
  </w:style>
  <w:style w:type="paragraph" w:customStyle="1" w:styleId="Brdtexthuvud">
    <w:name w:val="Brödtext huvud"/>
    <w:basedOn w:val="Normal"/>
    <w:uiPriority w:val="99"/>
    <w:rsid w:val="00AE117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3B7F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7FB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33332979">
      <w:marLeft w:val="0"/>
      <w:marRight w:val="0"/>
      <w:marTop w:val="0"/>
      <w:marBottom w:val="0"/>
      <w:divBdr>
        <w:top w:val="none" w:sz="0" w:space="0" w:color="auto"/>
        <w:left w:val="none" w:sz="0" w:space="0" w:color="auto"/>
        <w:bottom w:val="none" w:sz="0" w:space="0" w:color="auto"/>
        <w:right w:val="none" w:sz="0" w:space="0" w:color="auto"/>
      </w:divBdr>
    </w:div>
    <w:div w:id="1833332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3252</Words>
  <Characters>19907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2006-02-01T09:16:00Z</cp:lastPrinted>
  <dcterms:created xsi:type="dcterms:W3CDTF">2012-03-01T10:12:00Z</dcterms:created>
  <dcterms:modified xsi:type="dcterms:W3CDTF">2012-03-01T10:12:00Z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