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4E285BE4FB4435BB27130C27704CA99"/>
        </w:placeholder>
        <w:text/>
      </w:sdtPr>
      <w:sdtEndPr/>
      <w:sdtContent>
        <w:p w:rsidRPr="009B062B" w:rsidR="00AF30DD" w:rsidP="00CB6442" w:rsidRDefault="00AF30DD" w14:paraId="5DE905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be6081-8c9a-4680-b3b8-9ddc9ea08f85"/>
        <w:id w:val="2117787744"/>
        <w:lock w:val="sdtLocked"/>
      </w:sdtPr>
      <w:sdtEndPr/>
      <w:sdtContent>
        <w:p w:rsidR="001E515A" w:rsidRDefault="00FB31CF" w14:paraId="5DE90516" w14:textId="77777777">
          <w:pPr>
            <w:pStyle w:val="Frslagstext"/>
          </w:pPr>
          <w:r>
            <w:t>Riksdagen avslår propositionen.</w:t>
          </w:r>
        </w:p>
      </w:sdtContent>
    </w:sdt>
    <w:sdt>
      <w:sdtPr>
        <w:alias w:val="Yrkande 2"/>
        <w:tag w:val="211c2921-3840-484e-8112-7949db7e4d74"/>
        <w:id w:val="704607531"/>
        <w:lock w:val="sdtLocked"/>
      </w:sdtPr>
      <w:sdtEndPr/>
      <w:sdtContent>
        <w:p w:rsidR="001E515A" w:rsidRDefault="00FB31CF" w14:paraId="5DE90517" w14:textId="77777777">
          <w:pPr>
            <w:pStyle w:val="Frslagstext"/>
          </w:pPr>
          <w:r>
            <w:t>Riksdagen ställer sig bakom det som anförs i motionen om ett fortsatt beredningsarbete för förstärkta garantier för yttrande- och informationsfriheten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9FD55153B7410DA64289A16B1F23BC"/>
        </w:placeholder>
        <w:text/>
      </w:sdtPr>
      <w:sdtEndPr/>
      <w:sdtContent>
        <w:p w:rsidRPr="009B062B" w:rsidR="006D79C9" w:rsidP="00333E95" w:rsidRDefault="006D79C9" w14:paraId="5DE90518" w14:textId="77777777">
          <w:pPr>
            <w:pStyle w:val="Rubrik1"/>
          </w:pPr>
          <w:r>
            <w:t>Motivering</w:t>
          </w:r>
        </w:p>
      </w:sdtContent>
    </w:sdt>
    <w:p w:rsidR="00DC42DC" w:rsidP="008D0320" w:rsidRDefault="00DC42DC" w14:paraId="5DE90519" w14:textId="66C7D7EE">
      <w:pPr>
        <w:pStyle w:val="Normalutanindragellerluft"/>
      </w:pPr>
      <w:r>
        <w:t xml:space="preserve">Syftet med den lagstiftning som föreslås i propositionen är </w:t>
      </w:r>
      <w:r w:rsidR="00D15886">
        <w:t xml:space="preserve">att förhindra att Sveriges </w:t>
      </w:r>
      <w:r>
        <w:t>vidsträckta tryck</w:t>
      </w:r>
      <w:r w:rsidR="00985C0D">
        <w:noBreakHyphen/>
      </w:r>
      <w:r>
        <w:t xml:space="preserve">, yttrande- och informationsfrihet </w:t>
      </w:r>
      <w:r w:rsidR="00D15886">
        <w:t>utnyttjas av främmande makt och beväpnade sammanslutningar.</w:t>
      </w:r>
      <w:r>
        <w:t xml:space="preserve"> </w:t>
      </w:r>
      <w:r w:rsidR="00D15886">
        <w:t>Regeringen gör bedömningen att det finns starka skäl för en</w:t>
      </w:r>
      <w:r>
        <w:t xml:space="preserve"> </w:t>
      </w:r>
      <w:r w:rsidR="00D15886">
        <w:t>kriminalisering av spioneriliknande gärningar som riktar sig mot uppgifter rörande känsliga förhållanden av betydelse för Sveriges utrikesrelationer.</w:t>
      </w:r>
    </w:p>
    <w:p w:rsidR="00120988" w:rsidP="008D0320" w:rsidRDefault="00120988" w14:paraId="5DE9051A" w14:textId="66295397">
      <w:r>
        <w:t>Det är ett uppenbart samhällsintresse att det ska finnas en ändamålsenlig straffrätts</w:t>
      </w:r>
      <w:r w:rsidR="008D0320">
        <w:softHyphen/>
      </w:r>
      <w:r>
        <w:t xml:space="preserve">lig reglering av spioneriliknande handlingar. Lika uppenbart är att </w:t>
      </w:r>
      <w:r w:rsidR="00A24D04">
        <w:t>regleringen på detta område får tydliga konsekvenser för tryck</w:t>
      </w:r>
      <w:r w:rsidR="00985C0D">
        <w:noBreakHyphen/>
      </w:r>
      <w:r w:rsidR="00A24D04">
        <w:t>, yttrande- och informationsfriheten och där</w:t>
      </w:r>
      <w:r w:rsidR="008D0320">
        <w:softHyphen/>
      </w:r>
      <w:r w:rsidR="00A24D04">
        <w:t xml:space="preserve">med för enskilda medborgares möjligheter </w:t>
      </w:r>
      <w:r w:rsidR="00922B4D">
        <w:t xml:space="preserve">att </w:t>
      </w:r>
      <w:r w:rsidR="00A24D04">
        <w:t xml:space="preserve">– med </w:t>
      </w:r>
      <w:r w:rsidR="00922B4D">
        <w:t xml:space="preserve">formuleringen i </w:t>
      </w:r>
      <w:r w:rsidR="00A24D04">
        <w:t>tryckfrihets</w:t>
      </w:r>
      <w:r w:rsidR="00922B4D">
        <w:t>förord</w:t>
      </w:r>
      <w:r w:rsidR="008D0320">
        <w:softHyphen/>
      </w:r>
      <w:r w:rsidR="00922B4D">
        <w:t>ningens portalparagraf –</w:t>
      </w:r>
      <w:r w:rsidR="00A24D04">
        <w:t xml:space="preserve"> uttrycka tankar </w:t>
      </w:r>
      <w:r w:rsidR="00922B4D">
        <w:t xml:space="preserve">och lämna uppgifter och därmed bidra till en fri och allsidig upplysning, liksom för journalisters möjligheter att bedriva en effektiv och oberoende rapportering. </w:t>
      </w:r>
    </w:p>
    <w:p w:rsidR="00D15886" w:rsidP="008D0320" w:rsidRDefault="00922B4D" w14:paraId="5DE9051B" w14:textId="66DAC272">
      <w:r w:rsidRPr="008D0320">
        <w:rPr>
          <w:spacing w:val="-2"/>
        </w:rPr>
        <w:t xml:space="preserve">På grund av att en utökad kriminalisering riskerar att få </w:t>
      </w:r>
      <w:r w:rsidRPr="008D0320" w:rsidR="00D15886">
        <w:rPr>
          <w:spacing w:val="-2"/>
        </w:rPr>
        <w:t>negativa effekter för yttrande- och informationsfriheten</w:t>
      </w:r>
      <w:r w:rsidRPr="008D0320" w:rsidR="00921988">
        <w:rPr>
          <w:spacing w:val="-2"/>
        </w:rPr>
        <w:t xml:space="preserve"> har frågan om utlandsspioneri utretts i flera omgångar</w:t>
      </w:r>
      <w:r w:rsidRPr="008D0320" w:rsidR="008F6DFE">
        <w:rPr>
          <w:spacing w:val="-2"/>
        </w:rPr>
        <w:t xml:space="preserve">. </w:t>
      </w:r>
      <w:r w:rsidR="008F6DFE">
        <w:t>Försla</w:t>
      </w:r>
      <w:r w:rsidR="008D0320">
        <w:softHyphen/>
      </w:r>
      <w:r w:rsidR="008F6DFE">
        <w:t>gen från Utredningen om förstärkt skydd mot främmande makts underrättelseverksam</w:t>
      </w:r>
      <w:r w:rsidR="008D0320">
        <w:softHyphen/>
      </w:r>
      <w:r w:rsidR="008F6DFE">
        <w:t xml:space="preserve">het (SOU 2012:95) ledde i denna del inte till lagstiftning. Betänkandet från </w:t>
      </w:r>
      <w:r w:rsidRPr="008F6DFE" w:rsidR="008F6DFE">
        <w:t>Utlandsspio</w:t>
      </w:r>
      <w:r w:rsidR="008D0320">
        <w:softHyphen/>
      </w:r>
      <w:r w:rsidRPr="008F6DFE" w:rsidR="008F6DFE">
        <w:t>neriutredningen</w:t>
      </w:r>
      <w:r w:rsidR="008F6DFE">
        <w:t xml:space="preserve"> (SOU 2017:70)</w:t>
      </w:r>
      <w:r w:rsidR="00711680">
        <w:t xml:space="preserve">, som därefter tillsattes, har även det mött kritik för att </w:t>
      </w:r>
      <w:r w:rsidR="00D15886">
        <w:t xml:space="preserve">lagen riskerade att kriminalisera journalistiska granskningar av </w:t>
      </w:r>
      <w:r w:rsidR="00985C0D">
        <w:t>bl.a.</w:t>
      </w:r>
      <w:r w:rsidR="00D15886">
        <w:t xml:space="preserve"> missförhållanden i internationella insatser.</w:t>
      </w:r>
    </w:p>
    <w:p w:rsidRPr="00711680" w:rsidR="00D15886" w:rsidP="008D0320" w:rsidRDefault="00D15886" w14:paraId="5DE9051C" w14:textId="6E611D36">
      <w:r w:rsidRPr="00711680">
        <w:lastRenderedPageBreak/>
        <w:t>Den föreslagna lagen om utlandsspioneri syftar till att motverka att känsliga upp</w:t>
      </w:r>
      <w:r w:rsidR="008D0320">
        <w:softHyphen/>
      </w:r>
      <w:r w:rsidRPr="00711680">
        <w:t xml:space="preserve">gifter om Sveriges internationella samarbeten sprids. </w:t>
      </w:r>
      <w:r w:rsidR="00711680">
        <w:t>Bestämmelsen om spioneri utvid</w:t>
      </w:r>
      <w:r w:rsidR="008D0320">
        <w:softHyphen/>
      </w:r>
      <w:r w:rsidR="00711680">
        <w:t>gas från att ”</w:t>
      </w:r>
      <w:r w:rsidRPr="00711680" w:rsidR="00711680">
        <w:t>gå främmande makt till handa</w:t>
      </w:r>
      <w:r w:rsidR="00711680">
        <w:t>” till att ”</w:t>
      </w:r>
      <w:r w:rsidRPr="00711680" w:rsidR="00711680">
        <w:t>gå en främmande makt eller mot</w:t>
      </w:r>
      <w:r w:rsidR="008D0320">
        <w:softHyphen/>
      </w:r>
      <w:r w:rsidRPr="00711680" w:rsidR="00711680">
        <w:t>svarande tillhanda</w:t>
      </w:r>
      <w:r w:rsidR="00711680">
        <w:t xml:space="preserve">”. </w:t>
      </w:r>
      <w:r w:rsidR="00887C5F">
        <w:t>Den nya bestämmelsen om utlandsspioneri tar sikte på att obehö</w:t>
      </w:r>
      <w:r w:rsidR="008D0320">
        <w:softHyphen/>
      </w:r>
      <w:r w:rsidR="00887C5F">
        <w:t>rigen befordra, lämna eller röja ”en hemlig uppgift som förekommer inom ramen för ett samarbete med en annan stat eller en mellanfolklig organisation eller i en mellanfolklig organisation i vilken Sverige är medlem” och där den obehöriga hanteringen är ägnad att ”</w:t>
      </w:r>
      <w:r w:rsidRPr="00887C5F" w:rsidR="00887C5F">
        <w:t>medföra allvarligt men för Sveriges förhållande till någon annan stat eller en mellanfolklig organisation</w:t>
      </w:r>
      <w:r w:rsidR="00887C5F">
        <w:t>”. Till exempel kan detta v</w:t>
      </w:r>
      <w:r w:rsidR="00C71859">
        <w:t xml:space="preserve">ara aktuellt </w:t>
      </w:r>
      <w:r w:rsidRPr="00711680">
        <w:t xml:space="preserve">i samband med freds- och säkerhetsbevarande insatser. </w:t>
      </w:r>
    </w:p>
    <w:p w:rsidR="008D43D0" w:rsidP="008D0320" w:rsidRDefault="008D43D0" w14:paraId="5DE9051D" w14:textId="4227F51B">
      <w:r>
        <w:t xml:space="preserve">Liberalerna delar i och för sig regeringens bedömning att det behövs ny lagstiftning för att </w:t>
      </w:r>
      <w:r w:rsidRPr="00711680">
        <w:t xml:space="preserve">komma åt </w:t>
      </w:r>
      <w:r>
        <w:t xml:space="preserve">aktörer </w:t>
      </w:r>
      <w:r w:rsidRPr="00711680">
        <w:t xml:space="preserve">som utnyttjar </w:t>
      </w:r>
      <w:r>
        <w:t xml:space="preserve">den svenska yttrande- och informationsfriheten </w:t>
      </w:r>
      <w:r w:rsidRPr="00711680">
        <w:t xml:space="preserve">för att spionera på landets </w:t>
      </w:r>
      <w:r>
        <w:t>samarbets</w:t>
      </w:r>
      <w:r w:rsidRPr="00711680">
        <w:t>partner</w:t>
      </w:r>
      <w:r>
        <w:t xml:space="preserve"> eller gå </w:t>
      </w:r>
      <w:r w:rsidRPr="00711680">
        <w:t xml:space="preserve">väpnade </w:t>
      </w:r>
      <w:r>
        <w:t xml:space="preserve">icke-statliga </w:t>
      </w:r>
      <w:r w:rsidRPr="00711680">
        <w:t>sammanslut</w:t>
      </w:r>
      <w:r w:rsidR="008D0320">
        <w:softHyphen/>
      </w:r>
      <w:r w:rsidRPr="00711680">
        <w:t>ningar</w:t>
      </w:r>
      <w:r>
        <w:t xml:space="preserve"> till</w:t>
      </w:r>
      <w:r w:rsidR="00985C0D">
        <w:t xml:space="preserve"> </w:t>
      </w:r>
      <w:r>
        <w:t>handa</w:t>
      </w:r>
      <w:r w:rsidRPr="00711680">
        <w:t xml:space="preserve">. </w:t>
      </w:r>
      <w:r w:rsidRPr="008D0320">
        <w:rPr>
          <w:spacing w:val="-2"/>
        </w:rPr>
        <w:t xml:space="preserve">Spioner ska inte heller kunna gå fria från straff genom att agera under journalistisk täckmantel. </w:t>
      </w:r>
      <w:r w:rsidRPr="00711680">
        <w:t xml:space="preserve">Men det som är hemligt inom Försvarsmakten är </w:t>
      </w:r>
      <w:r>
        <w:t xml:space="preserve">redan </w:t>
      </w:r>
      <w:r w:rsidRPr="00711680">
        <w:t>hemligt</w:t>
      </w:r>
      <w:r>
        <w:t xml:space="preserve">, och </w:t>
      </w:r>
      <w:r w:rsidRPr="00711680">
        <w:t xml:space="preserve">straffbart att </w:t>
      </w:r>
      <w:r>
        <w:t>röja</w:t>
      </w:r>
      <w:r w:rsidRPr="00711680">
        <w:t>. Det är snarare så att den svenska försvarsmakten är hemligare än andra länder</w:t>
      </w:r>
      <w:r w:rsidR="00985C0D">
        <w:t>s</w:t>
      </w:r>
      <w:r w:rsidRPr="00711680">
        <w:t>. Ett exempel är antal</w:t>
      </w:r>
      <w:r>
        <w:t>et</w:t>
      </w:r>
      <w:r w:rsidRPr="00711680">
        <w:t xml:space="preserve"> soldater i armén</w:t>
      </w:r>
      <w:r>
        <w:t>,</w:t>
      </w:r>
      <w:r w:rsidRPr="00711680">
        <w:t xml:space="preserve"> vilket är hemligt i Sverige men en öppen uppgift i nästan alla andra länder.</w:t>
      </w:r>
      <w:r>
        <w:t xml:space="preserve"> </w:t>
      </w:r>
    </w:p>
    <w:p w:rsidR="00D15886" w:rsidP="008D0320" w:rsidRDefault="00D15886" w14:paraId="5DE9051E" w14:textId="11F2ECCB">
      <w:r w:rsidRPr="008D0320">
        <w:t>Ett argument för lagförslaget är att andra länder måste kunna ha förtroende för Sverige,</w:t>
      </w:r>
      <w:r w:rsidRPr="008D0320">
        <w:rPr>
          <w:spacing w:val="-1"/>
        </w:rPr>
        <w:t xml:space="preserve"> och däri ligger också att hemliga uppgifter inte riskerar att spridas.</w:t>
      </w:r>
      <w:r w:rsidRPr="008D0320" w:rsidR="00C71859">
        <w:rPr>
          <w:spacing w:val="-1"/>
        </w:rPr>
        <w:t xml:space="preserve"> </w:t>
      </w:r>
      <w:r w:rsidRPr="008D0320" w:rsidR="00C1631C">
        <w:rPr>
          <w:spacing w:val="-1"/>
        </w:rPr>
        <w:t>Det har häv</w:t>
      </w:r>
      <w:r w:rsidRPr="008D0320" w:rsidR="008D0320">
        <w:rPr>
          <w:spacing w:val="-1"/>
        </w:rPr>
        <w:softHyphen/>
      </w:r>
      <w:r w:rsidRPr="008D0320" w:rsidR="00C1631C">
        <w:rPr>
          <w:spacing w:val="-1"/>
        </w:rPr>
        <w:t xml:space="preserve">dats att den gällande regleringen kan göra det svårt att </w:t>
      </w:r>
      <w:r w:rsidRPr="008D0320">
        <w:rPr>
          <w:spacing w:val="-1"/>
        </w:rPr>
        <w:t>döma någon för spioner</w:t>
      </w:r>
      <w:r w:rsidRPr="008D0320" w:rsidR="00C1631C">
        <w:rPr>
          <w:spacing w:val="-1"/>
        </w:rPr>
        <w:t>i</w:t>
      </w:r>
      <w:r w:rsidRPr="008D0320">
        <w:rPr>
          <w:spacing w:val="-1"/>
        </w:rPr>
        <w:t xml:space="preserve"> som röjt hemliga uppgifter som visserligen inte skadat Sveriges säkerhet men däremot relationer till länder </w:t>
      </w:r>
      <w:r w:rsidRPr="008D0320" w:rsidR="00C1631C">
        <w:rPr>
          <w:spacing w:val="-1"/>
        </w:rPr>
        <w:t xml:space="preserve">som </w:t>
      </w:r>
      <w:r w:rsidRPr="008D0320">
        <w:rPr>
          <w:spacing w:val="-1"/>
        </w:rPr>
        <w:t>Sverige samarbetar med i en internationell insats.</w:t>
      </w:r>
      <w:r w:rsidR="00E55FF0">
        <w:t xml:space="preserve"> Det är dock mycket oklart i vilken mån denna problembeskrivning har full täckning i form av problem som verkligen inträffat eller riskerat att inträffa. Propositionens beskrivning är i denna del </w:t>
      </w:r>
      <w:r w:rsidR="00D84E90">
        <w:t>inte tillräckligt konkret.</w:t>
      </w:r>
    </w:p>
    <w:p w:rsidR="00D15886" w:rsidP="008D0320" w:rsidRDefault="00EF4BB5" w14:paraId="5DE9051F" w14:textId="50D5FB1F">
      <w:r>
        <w:t xml:space="preserve">Detta argument behöver </w:t>
      </w:r>
      <w:r w:rsidR="00D84E90">
        <w:t xml:space="preserve">dessutom </w:t>
      </w:r>
      <w:r>
        <w:t>sättas i relation till lagförslagets effekter för den fria opinionsbildningen och den journalistiska friheten. Att j</w:t>
      </w:r>
      <w:r w:rsidRPr="00711680" w:rsidR="00D15886">
        <w:t xml:space="preserve">ournalister rapporterar om </w:t>
      </w:r>
      <w:r>
        <w:t xml:space="preserve">eller avslöjar </w:t>
      </w:r>
      <w:r w:rsidRPr="00711680" w:rsidR="00D15886">
        <w:t>missförhållande</w:t>
      </w:r>
      <w:r>
        <w:t>n</w:t>
      </w:r>
      <w:r w:rsidRPr="00711680" w:rsidR="00D15886">
        <w:t xml:space="preserve"> eller övergrepp</w:t>
      </w:r>
      <w:r>
        <w:t xml:space="preserve"> inom internationella insatser skulle tyd</w:t>
      </w:r>
      <w:r w:rsidR="008D0320">
        <w:softHyphen/>
      </w:r>
      <w:r>
        <w:t xml:space="preserve">ligt kunna </w:t>
      </w:r>
      <w:r w:rsidR="00000050">
        <w:t>skapa irritation hos länder som Sverige samarbetar med, och kanske i vissa fall även skada Sveriges relationer till dessa länder</w:t>
      </w:r>
      <w:r w:rsidRPr="00711680" w:rsidR="00D15886">
        <w:t>.</w:t>
      </w:r>
      <w:r w:rsidR="00000050">
        <w:t xml:space="preserve"> Men det fria ordet kan inte vara underordnat sådana statspolitiska hänsyn.</w:t>
      </w:r>
    </w:p>
    <w:p w:rsidR="00D15886" w:rsidP="008D0320" w:rsidRDefault="00000050" w14:paraId="5DE90520" w14:textId="3C0FB6CB">
      <w:r>
        <w:t xml:space="preserve">Regeringen söker hantera detta dilemma genom att lagförslaget innehåller </w:t>
      </w:r>
      <w:r w:rsidRPr="00711680" w:rsidR="00D15886">
        <w:t>ett undan</w:t>
      </w:r>
      <w:r w:rsidR="008D0320">
        <w:softHyphen/>
      </w:r>
      <w:r w:rsidRPr="00711680" w:rsidR="00D15886">
        <w:t>tag från straffansvar om gärningen med hänsyn till syftet är ”försvarlig”. Ändringarna ska medföra att journalister ska kunna slå larm om missförhållanden utan att begå brott.</w:t>
      </w:r>
      <w:r>
        <w:t xml:space="preserve"> </w:t>
      </w:r>
    </w:p>
    <w:p w:rsidR="00D15886" w:rsidP="008D0320" w:rsidRDefault="00D15886" w14:paraId="5DE90521" w14:textId="04DAF68A">
      <w:r w:rsidRPr="00711680">
        <w:t>Problemet</w:t>
      </w:r>
      <w:r w:rsidR="00985C0D">
        <w:t xml:space="preserve"> är</w:t>
      </w:r>
      <w:r w:rsidRPr="00711680">
        <w:t xml:space="preserve"> att begreppet ”försvarlig</w:t>
      </w:r>
      <w:r w:rsidR="00985C0D">
        <w:t>t</w:t>
      </w:r>
      <w:r w:rsidRPr="00711680">
        <w:t xml:space="preserve">” </w:t>
      </w:r>
      <w:r w:rsidR="00000050">
        <w:t xml:space="preserve">har sådana tolkningsmöjligheter </w:t>
      </w:r>
      <w:r w:rsidRPr="00711680">
        <w:t>att det san</w:t>
      </w:r>
      <w:r w:rsidR="008D0320">
        <w:softHyphen/>
      </w:r>
      <w:bookmarkStart w:name="_GoBack" w:id="1"/>
      <w:bookmarkEnd w:id="1"/>
      <w:r w:rsidRPr="00711680">
        <w:t>nolikt kommer att begränsa både reportrar och ansvariga utgivare när det gäller rappor</w:t>
      </w:r>
      <w:r w:rsidR="008D0320">
        <w:softHyphen/>
      </w:r>
      <w:r w:rsidRPr="00711680">
        <w:t xml:space="preserve">teringen. </w:t>
      </w:r>
      <w:r w:rsidRPr="008D0320">
        <w:rPr>
          <w:spacing w:val="-1"/>
        </w:rPr>
        <w:t>Det blir enklare att avstå i de fall som är svåra att avgöra</w:t>
      </w:r>
      <w:r w:rsidRPr="008D0320" w:rsidR="003D243D">
        <w:rPr>
          <w:spacing w:val="-1"/>
        </w:rPr>
        <w:t>, särskilt för en medie</w:t>
      </w:r>
      <w:r w:rsidRPr="008D0320" w:rsidR="008D0320">
        <w:rPr>
          <w:spacing w:val="-1"/>
        </w:rPr>
        <w:softHyphen/>
      </w:r>
      <w:r w:rsidRPr="008D0320" w:rsidR="003D243D">
        <w:rPr>
          <w:spacing w:val="-1"/>
        </w:rPr>
        <w:t>redaktion</w:t>
      </w:r>
      <w:r w:rsidR="003D243D">
        <w:t xml:space="preserve"> som inte har obegränsade resurser. Eftersom det </w:t>
      </w:r>
      <w:r w:rsidR="002C4BAC">
        <w:t xml:space="preserve">i första hand </w:t>
      </w:r>
      <w:r w:rsidR="003D243D">
        <w:t>är regeringen som ansvarar för utr</w:t>
      </w:r>
      <w:r w:rsidR="002C4BAC">
        <w:t xml:space="preserve">ikespolitiken blir det också regeringen som ytterst avgör </w:t>
      </w:r>
      <w:r w:rsidR="00E731B5">
        <w:t>vilken rapportering som kan medföra allvarligt men för Sveriges internationella relationer.</w:t>
      </w:r>
    </w:p>
    <w:p w:rsidR="00D15886" w:rsidP="008D0320" w:rsidRDefault="008D43D0" w14:paraId="5DE90522" w14:textId="2D14BDE9">
      <w:r>
        <w:t xml:space="preserve">Sammanfattningsvis anser därför Liberalerna att regeringens lagförslag inte har den </w:t>
      </w:r>
      <w:r w:rsidRPr="008D0320">
        <w:rPr>
          <w:spacing w:val="-1"/>
        </w:rPr>
        <w:t xml:space="preserve">tydlighet och förutsägbarhet som är nödvändig för att </w:t>
      </w:r>
      <w:r w:rsidRPr="008D0320" w:rsidR="00D84E90">
        <w:rPr>
          <w:spacing w:val="-1"/>
        </w:rPr>
        <w:t xml:space="preserve">inte </w:t>
      </w:r>
      <w:r w:rsidRPr="008D0320" w:rsidR="002D5302">
        <w:rPr>
          <w:spacing w:val="-1"/>
        </w:rPr>
        <w:t xml:space="preserve">enskilda av </w:t>
      </w:r>
      <w:r w:rsidRPr="008D0320" w:rsidR="00D84E90">
        <w:rPr>
          <w:spacing w:val="-1"/>
        </w:rPr>
        <w:t xml:space="preserve">rena </w:t>
      </w:r>
      <w:r w:rsidRPr="008D0320" w:rsidR="002D5302">
        <w:rPr>
          <w:spacing w:val="-1"/>
        </w:rPr>
        <w:t>försiktighets</w:t>
      </w:r>
      <w:r w:rsidRPr="008D0320" w:rsidR="008D0320">
        <w:rPr>
          <w:spacing w:val="-1"/>
        </w:rPr>
        <w:softHyphen/>
      </w:r>
      <w:r w:rsidRPr="008D0320" w:rsidR="002D5302">
        <w:rPr>
          <w:spacing w:val="-1"/>
        </w:rPr>
        <w:t>skäl</w:t>
      </w:r>
      <w:r w:rsidR="002D5302">
        <w:t xml:space="preserve"> </w:t>
      </w:r>
      <w:r w:rsidR="00D84E90">
        <w:t xml:space="preserve">ska </w:t>
      </w:r>
      <w:r w:rsidR="002D5302">
        <w:t>avhål</w:t>
      </w:r>
      <w:r w:rsidR="00D84E90">
        <w:t>la</w:t>
      </w:r>
      <w:r w:rsidR="002D5302">
        <w:t xml:space="preserve"> sig från att utöva sin grundlagsskyddade </w:t>
      </w:r>
      <w:r>
        <w:t>yttrande- och informationsfri</w:t>
      </w:r>
      <w:r w:rsidR="008D0320">
        <w:softHyphen/>
      </w:r>
      <w:r>
        <w:t>het.</w:t>
      </w:r>
      <w:r w:rsidR="00703ED8">
        <w:t xml:space="preserve"> Om inte förslaget kan </w:t>
      </w:r>
      <w:r w:rsidR="00105606">
        <w:t xml:space="preserve">förtydligas </w:t>
      </w:r>
      <w:r w:rsidR="00703ED8">
        <w:t>och revider</w:t>
      </w:r>
      <w:r w:rsidR="00105606">
        <w:t>as</w:t>
      </w:r>
      <w:r w:rsidR="00703ED8">
        <w:t xml:space="preserve"> i utskottet – vilket Liberalerna är beredda att medverka till – bör p</w:t>
      </w:r>
      <w:r w:rsidR="002D5302">
        <w:t>ropositionen därför inte bifallas</w:t>
      </w:r>
      <w:r w:rsidR="00703ED8">
        <w:t xml:space="preserve">. Regeringen bör i så fall i stället </w:t>
      </w:r>
      <w:r w:rsidR="002D5302">
        <w:t>fortsätta beredningen för att återkomma med ett förslag som bättre tillgodo</w:t>
      </w:r>
      <w:r w:rsidR="008D0320">
        <w:softHyphen/>
      </w:r>
      <w:r w:rsidR="002D5302">
        <w:t>ser den intresseavvägning som beskrivs ovan</w:t>
      </w:r>
      <w:r w:rsidR="00D1588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8EBB76A5F0E14142922E77092C4E7FE9"/>
        </w:placeholder>
      </w:sdtPr>
      <w:sdtEndPr/>
      <w:sdtContent>
        <w:p w:rsidR="00CB6442" w:rsidP="00CB6442" w:rsidRDefault="00CB6442" w14:paraId="5DE90525" w14:textId="77777777"/>
        <w:p w:rsidRPr="008E0FE2" w:rsidR="00CB6442" w:rsidP="00CB6442" w:rsidRDefault="008D0320" w14:paraId="5DE905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CB6442" w:rsidRDefault="004801AC" w14:paraId="5DE90536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90539" w14:textId="77777777" w:rsidR="00D15886" w:rsidRDefault="00D15886" w:rsidP="000C1CAD">
      <w:pPr>
        <w:spacing w:line="240" w:lineRule="auto"/>
      </w:pPr>
      <w:r>
        <w:separator/>
      </w:r>
    </w:p>
  </w:endnote>
  <w:endnote w:type="continuationSeparator" w:id="0">
    <w:p w14:paraId="5DE9053A" w14:textId="77777777" w:rsidR="00D15886" w:rsidRDefault="00D158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905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905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90548" w14:textId="77777777" w:rsidR="00262EA3" w:rsidRPr="00CB6442" w:rsidRDefault="00262EA3" w:rsidP="00CB64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0537" w14:textId="77777777" w:rsidR="00D15886" w:rsidRDefault="00D15886" w:rsidP="000C1CAD">
      <w:pPr>
        <w:spacing w:line="240" w:lineRule="auto"/>
      </w:pPr>
      <w:r>
        <w:separator/>
      </w:r>
    </w:p>
  </w:footnote>
  <w:footnote w:type="continuationSeparator" w:id="0">
    <w:p w14:paraId="5DE90538" w14:textId="77777777" w:rsidR="00D15886" w:rsidRDefault="00D158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E905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E9054A" wp14:anchorId="5DE905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0320" w14:paraId="5DE9054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58A51D9F07466291D2526D9DC824C9"/>
                              </w:placeholder>
                              <w:text/>
                            </w:sdtPr>
                            <w:sdtEndPr/>
                            <w:sdtContent>
                              <w:r w:rsidR="00D1588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AD959964F54F6FB0680E408B7DF54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E905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0320" w14:paraId="5DE9054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58A51D9F07466291D2526D9DC824C9"/>
                        </w:placeholder>
                        <w:text/>
                      </w:sdtPr>
                      <w:sdtEndPr/>
                      <w:sdtContent>
                        <w:r w:rsidR="00D1588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AD959964F54F6FB0680E408B7DF54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E905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E9053D" w14:textId="77777777">
    <w:pPr>
      <w:jc w:val="right"/>
    </w:pPr>
  </w:p>
  <w:p w:rsidR="00262EA3" w:rsidP="00776B74" w:rsidRDefault="00262EA3" w14:paraId="5DE905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0320" w14:paraId="5DE9054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E9054C" wp14:anchorId="5DE905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0320" w14:paraId="5DE9054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588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D0320" w14:paraId="5DE905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0320" w14:paraId="5DE905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:4305</w:t>
        </w:r>
      </w:sdtContent>
    </w:sdt>
  </w:p>
  <w:p w:rsidR="00262EA3" w:rsidP="00E03A3D" w:rsidRDefault="008D0320" w14:paraId="5DE905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Tina Acketoft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7EF312CE73E43C183408BBE1CA3CA59"/>
      </w:placeholder>
      <w:text/>
    </w:sdtPr>
    <w:sdtEndPr/>
    <w:sdtContent>
      <w:p w:rsidR="00262EA3" w:rsidP="00283E0F" w:rsidRDefault="00D15886" w14:paraId="5DE90546" w14:textId="77777777">
        <w:pPr>
          <w:pStyle w:val="FSHRub2"/>
        </w:pPr>
        <w:r>
          <w:t>med anledning av prop. 2021/22:55 Utlandsspioneri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E905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15886"/>
    <w:rsid w:val="000000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606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988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15A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8F9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BAC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302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03A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43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74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54D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8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80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B51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5F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20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3D0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DFE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988"/>
    <w:rsid w:val="00922833"/>
    <w:rsid w:val="00922951"/>
    <w:rsid w:val="00922B4D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5C0D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D04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BE9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31C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10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859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442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886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90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350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2DC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FF0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1B5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B5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1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E90514"/>
  <w15:chartTrackingRefBased/>
  <w15:docId w15:val="{DE3AAA7F-3238-475A-965A-ED242B3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285BE4FB4435BB27130C27704C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BC278-C1D1-432B-84A7-B873FDB130AE}"/>
      </w:docPartPr>
      <w:docPartBody>
        <w:p w:rsidR="00CA19CC" w:rsidRDefault="00AF07FB">
          <w:pPr>
            <w:pStyle w:val="44E285BE4FB4435BB27130C27704CA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9FD55153B7410DA64289A16B1F2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566AE-0E4D-4D75-A69D-E67E47D816EB}"/>
      </w:docPartPr>
      <w:docPartBody>
        <w:p w:rsidR="00CA19CC" w:rsidRDefault="00AF07FB">
          <w:pPr>
            <w:pStyle w:val="F29FD55153B7410DA64289A16B1F23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58A51D9F07466291D2526D9DC82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0C222-4D81-448B-8484-8C1E2131C773}"/>
      </w:docPartPr>
      <w:docPartBody>
        <w:p w:rsidR="00CA19CC" w:rsidRDefault="00AF07FB">
          <w:pPr>
            <w:pStyle w:val="6258A51D9F07466291D2526D9DC82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D959964F54F6FB0680E408B7DF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6C8DD-1442-4D01-B688-8BFA1130FC3C}"/>
      </w:docPartPr>
      <w:docPartBody>
        <w:p w:rsidR="00CA19CC" w:rsidRDefault="00AF07FB">
          <w:pPr>
            <w:pStyle w:val="9FAD959964F54F6FB0680E408B7DF54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72ACF-CBCA-47FB-B005-C9AE9ABA2A02}"/>
      </w:docPartPr>
      <w:docPartBody>
        <w:p w:rsidR="00CA19CC" w:rsidRDefault="00AF07FB">
          <w:r w:rsidRPr="00CE06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EF312CE73E43C183408BBE1CA3C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47782-13BC-4232-8D0F-4732A57086AE}"/>
      </w:docPartPr>
      <w:docPartBody>
        <w:p w:rsidR="00CA19CC" w:rsidRDefault="00AF07FB">
          <w:r w:rsidRPr="00CE06F7">
            <w:rPr>
              <w:rStyle w:val="Platshllartext"/>
            </w:rPr>
            <w:t>[ange din text här]</w:t>
          </w:r>
        </w:p>
      </w:docPartBody>
    </w:docPart>
    <w:docPart>
      <w:docPartPr>
        <w:name w:val="8EBB76A5F0E14142922E77092C4E7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DB292-BD24-4ECE-BD73-BE7C0FF57449}"/>
      </w:docPartPr>
      <w:docPartBody>
        <w:p w:rsidR="00A155C6" w:rsidRDefault="00A155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FB"/>
    <w:rsid w:val="00A155C6"/>
    <w:rsid w:val="00AF07FB"/>
    <w:rsid w:val="00C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07FB"/>
    <w:rPr>
      <w:color w:val="F4B083" w:themeColor="accent2" w:themeTint="99"/>
    </w:rPr>
  </w:style>
  <w:style w:type="paragraph" w:customStyle="1" w:styleId="44E285BE4FB4435BB27130C27704CA99">
    <w:name w:val="44E285BE4FB4435BB27130C27704CA99"/>
  </w:style>
  <w:style w:type="paragraph" w:customStyle="1" w:styleId="2F916DEE9B634813B273AB7237887628">
    <w:name w:val="2F916DEE9B634813B273AB72378876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01369E5DF94D849C677A46600F0E0F">
    <w:name w:val="D801369E5DF94D849C677A46600F0E0F"/>
  </w:style>
  <w:style w:type="paragraph" w:customStyle="1" w:styleId="F29FD55153B7410DA64289A16B1F23BC">
    <w:name w:val="F29FD55153B7410DA64289A16B1F23BC"/>
  </w:style>
  <w:style w:type="paragraph" w:customStyle="1" w:styleId="008C582E9E1A427C8A501F31D76C54EA">
    <w:name w:val="008C582E9E1A427C8A501F31D76C54EA"/>
  </w:style>
  <w:style w:type="paragraph" w:customStyle="1" w:styleId="059CF833D1A24B0695221D1B324B9B67">
    <w:name w:val="059CF833D1A24B0695221D1B324B9B67"/>
  </w:style>
  <w:style w:type="paragraph" w:customStyle="1" w:styleId="6258A51D9F07466291D2526D9DC824C9">
    <w:name w:val="6258A51D9F07466291D2526D9DC824C9"/>
  </w:style>
  <w:style w:type="paragraph" w:customStyle="1" w:styleId="9FAD959964F54F6FB0680E408B7DF54A">
    <w:name w:val="9FAD959964F54F6FB0680E408B7DF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7DEF6-D9E6-413A-8C23-E69829694307}"/>
</file>

<file path=customXml/itemProps2.xml><?xml version="1.0" encoding="utf-8"?>
<ds:datastoreItem xmlns:ds="http://schemas.openxmlformats.org/officeDocument/2006/customXml" ds:itemID="{7E420B72-8286-4AC7-BFE8-A609B6D24956}"/>
</file>

<file path=customXml/itemProps3.xml><?xml version="1.0" encoding="utf-8"?>
<ds:datastoreItem xmlns:ds="http://schemas.openxmlformats.org/officeDocument/2006/customXml" ds:itemID="{623515B3-0A2C-45AA-8B9B-6A6C0B28C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819</Words>
  <Characters>5057</Characters>
  <Application>Microsoft Office Word</Application>
  <DocSecurity>0</DocSecurity>
  <Lines>91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55 Utlandsspioneri</vt:lpstr>
      <vt:lpstr>
      </vt:lpstr>
    </vt:vector>
  </TitlesOfParts>
  <Company>Sveriges riksdag</Company>
  <LinksUpToDate>false</LinksUpToDate>
  <CharactersWithSpaces>5851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