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13767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E13767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E13767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1376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E13767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13767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13767" w:rsidRDefault="00DA561C" w:rsidP="004F4E29">
            <w:pPr>
              <w:framePr w:w="5035" w:h="1644" w:wrap="notBeside" w:vAnchor="page" w:hAnchor="page" w:x="6573" w:y="721"/>
            </w:pPr>
            <w:r w:rsidRPr="00E13767">
              <w:t>2012-04-1</w:t>
            </w:r>
            <w:r w:rsidR="004F4E29" w:rsidRPr="00E13767">
              <w:t>6</w:t>
            </w:r>
          </w:p>
        </w:tc>
        <w:tc>
          <w:tcPr>
            <w:tcW w:w="2999" w:type="dxa"/>
            <w:gridSpan w:val="2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E13767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1376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5A102B" w:rsidRPr="00E13767" w:rsidRDefault="005A102B" w:rsidP="005A102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13767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851C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13767">
              <w:rPr>
                <w:bCs/>
                <w:iCs/>
              </w:rPr>
              <w:t>Enheten för migration och asylpolitik</w:t>
            </w: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7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137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E1376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E13767" w:rsidRDefault="006851C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13767">
        <w:t>Rådets möte (RIF</w:t>
      </w:r>
      <w:r w:rsidR="00CD7FE6" w:rsidRPr="00E13767">
        <w:t xml:space="preserve">) den </w:t>
      </w:r>
      <w:r w:rsidRPr="00E13767">
        <w:t>26</w:t>
      </w:r>
      <w:r w:rsidR="00DA561C" w:rsidRPr="00E13767">
        <w:t>-27</w:t>
      </w:r>
      <w:r w:rsidRPr="00E13767">
        <w:t xml:space="preserve"> april 2012</w:t>
      </w:r>
    </w:p>
    <w:p w:rsidR="00CD7FE6" w:rsidRPr="00E13767" w:rsidRDefault="00CD7FE6">
      <w:pPr>
        <w:pStyle w:val="RKnormal"/>
      </w:pPr>
    </w:p>
    <w:p w:rsidR="00CD7FE6" w:rsidRPr="00E13767" w:rsidRDefault="00662214">
      <w:pPr>
        <w:pStyle w:val="RKnormal"/>
        <w:rPr>
          <w:szCs w:val="24"/>
        </w:rPr>
      </w:pPr>
      <w:r w:rsidRPr="00E13767">
        <w:t>Dagordningspunkt</w:t>
      </w:r>
      <w:r w:rsidR="00BB0408" w:rsidRPr="00E13767">
        <w:t>: 11</w:t>
      </w:r>
    </w:p>
    <w:p w:rsidR="00CD7FE6" w:rsidRPr="00E13767" w:rsidRDefault="00CD7FE6">
      <w:pPr>
        <w:pStyle w:val="RKnormal"/>
      </w:pPr>
    </w:p>
    <w:p w:rsidR="00CD7FE6" w:rsidRPr="00E13767" w:rsidRDefault="00CD7FE6">
      <w:pPr>
        <w:pStyle w:val="RKnormal"/>
        <w:rPr>
          <w:szCs w:val="24"/>
        </w:rPr>
      </w:pPr>
      <w:r w:rsidRPr="00E13767">
        <w:rPr>
          <w:szCs w:val="24"/>
        </w:rPr>
        <w:t>Rubrik:</w:t>
      </w:r>
      <w:r w:rsidR="006851C7" w:rsidRPr="00E13767">
        <w:rPr>
          <w:szCs w:val="24"/>
        </w:rPr>
        <w:t xml:space="preserve"> </w:t>
      </w:r>
      <w:r w:rsidR="00BB0408" w:rsidRPr="00E13767">
        <w:rPr>
          <w:szCs w:val="24"/>
        </w:rPr>
        <w:t>Återtagandeavtal</w:t>
      </w:r>
    </w:p>
    <w:p w:rsidR="009D17CB" w:rsidRPr="00E13767" w:rsidRDefault="009D17CB" w:rsidP="009D17CB">
      <w:pPr>
        <w:pStyle w:val="RKnormal"/>
        <w:rPr>
          <w:szCs w:val="24"/>
        </w:rPr>
      </w:pPr>
      <w:r w:rsidRPr="00E13767">
        <w:rPr>
          <w:szCs w:val="24"/>
        </w:rPr>
        <w:t>-Lägesrapport/Rådsslutsatser</w:t>
      </w:r>
    </w:p>
    <w:p w:rsidR="00CD7FE6" w:rsidRPr="00E13767" w:rsidRDefault="00CD7FE6">
      <w:pPr>
        <w:pStyle w:val="RKnormal"/>
      </w:pPr>
    </w:p>
    <w:p w:rsidR="00A96EAD" w:rsidRPr="00E13767" w:rsidRDefault="00CD7FE6">
      <w:pPr>
        <w:pStyle w:val="RKnormal"/>
      </w:pPr>
      <w:r w:rsidRPr="00E13767">
        <w:t>Dokument:</w:t>
      </w:r>
      <w:r w:rsidR="006851C7" w:rsidRPr="00E13767">
        <w:t xml:space="preserve"> </w:t>
      </w:r>
    </w:p>
    <w:p w:rsidR="00CD7FE6" w:rsidRPr="00E13767" w:rsidRDefault="00A96EAD">
      <w:pPr>
        <w:pStyle w:val="RKnormal"/>
        <w:rPr>
          <w:szCs w:val="24"/>
        </w:rPr>
      </w:pPr>
      <w:r w:rsidRPr="00E13767">
        <w:rPr>
          <w:szCs w:val="24"/>
        </w:rPr>
        <w:t>Det har ännu inte presenterats något dokument för behandling i rådet.</w:t>
      </w:r>
    </w:p>
    <w:p w:rsidR="00CD7FE6" w:rsidRPr="00E13767" w:rsidRDefault="00CD7FE6">
      <w:pPr>
        <w:pStyle w:val="RKnormal"/>
      </w:pPr>
    </w:p>
    <w:p w:rsidR="00CD7FE6" w:rsidRPr="00E13767" w:rsidRDefault="006851C7">
      <w:pPr>
        <w:pStyle w:val="RKnormal"/>
      </w:pPr>
      <w:r w:rsidRPr="00E13767">
        <w:t>Tidigare dokument:</w:t>
      </w:r>
      <w:r w:rsidR="006F3B4A" w:rsidRPr="00E13767">
        <w:t xml:space="preserve"> -</w:t>
      </w:r>
    </w:p>
    <w:p w:rsidR="00CD7FE6" w:rsidRPr="00E13767" w:rsidRDefault="00CD7FE6">
      <w:pPr>
        <w:pStyle w:val="RKnormal"/>
      </w:pPr>
    </w:p>
    <w:p w:rsidR="00CD7FE6" w:rsidRPr="00E13767" w:rsidRDefault="00CD7FE6">
      <w:pPr>
        <w:pStyle w:val="RKnormal"/>
      </w:pPr>
      <w:r w:rsidRPr="00E13767">
        <w:t>Tidigare behandlad vid samråd med EU-nämnden:</w:t>
      </w:r>
      <w:r w:rsidR="006F3B4A" w:rsidRPr="00E13767">
        <w:t xml:space="preserve"> -</w:t>
      </w:r>
    </w:p>
    <w:p w:rsidR="00CD7FE6" w:rsidRPr="00E13767" w:rsidRDefault="00CD7FE6">
      <w:pPr>
        <w:pStyle w:val="RKnormal"/>
      </w:pPr>
    </w:p>
    <w:p w:rsidR="00CD7FE6" w:rsidRPr="00E13767" w:rsidRDefault="00CD7FE6">
      <w:pPr>
        <w:pStyle w:val="RKnormal"/>
      </w:pPr>
      <w:r w:rsidRPr="00E13767">
        <w:t>Tidigare behandlad vid överläggning med eller informa</w:t>
      </w:r>
      <w:r w:rsidR="006F3B4A" w:rsidRPr="00E13767">
        <w:t>tion till riksdagsutskott: -</w:t>
      </w:r>
    </w:p>
    <w:p w:rsidR="00F0360A" w:rsidRPr="00E13767" w:rsidRDefault="00E422AC" w:rsidP="00E422AC">
      <w:pPr>
        <w:pStyle w:val="RKrubrik"/>
      </w:pPr>
      <w:r w:rsidRPr="00E13767">
        <w:t>Bakgrund</w:t>
      </w:r>
    </w:p>
    <w:p w:rsidR="0072111E" w:rsidRPr="00E13767" w:rsidRDefault="0072111E" w:rsidP="0072111E">
      <w:r w:rsidRPr="00E13767">
        <w:t>Enligt folkrätten har alla stater en skyldighet att ta tillbaka sina egna medborgare. Enligt artikel 79.3 i fördraget om Europeiska unionens funktionssätt (EUF-fördraget) får EU ingå avtal med tredjeländer ”med syfte att de tredjelandsmedborgare som inte uppfyller eller inte längre uppfyller villkoren för inresa, närvaro, eller vistelse på en medlemsstats territorium ska återtas i sina ursprungsländer eller de länder de kom ifrån”.</w:t>
      </w:r>
    </w:p>
    <w:p w:rsidR="0072111E" w:rsidRPr="00E13767" w:rsidRDefault="0072111E" w:rsidP="0072111E"/>
    <w:p w:rsidR="0072111E" w:rsidRPr="00E13767" w:rsidRDefault="0072111E" w:rsidP="0072111E">
      <w:r w:rsidRPr="00E13767">
        <w:t>Vikten av att ingå återtagandeavtal bekräftas såväl i Haagprogrammet som i dess efterföljare Stockholmsprogrammet, som antogs av Europeiska rådet vid dess möte den 10-11 december 2009.</w:t>
      </w:r>
    </w:p>
    <w:p w:rsidR="0072111E" w:rsidRPr="00E13767" w:rsidRDefault="0072111E" w:rsidP="0072111E"/>
    <w:p w:rsidR="0072111E" w:rsidRPr="00E13767" w:rsidRDefault="0072111E" w:rsidP="0072111E">
      <w:r w:rsidRPr="00E13767">
        <w:t>Hittills har kommissionen fått bemyndigande att förhandla om återtagandeavtal med 21 länder. 13 av dessa avtal har trätt ikraft.</w:t>
      </w:r>
    </w:p>
    <w:p w:rsidR="0072111E" w:rsidRPr="00E13767" w:rsidRDefault="0072111E" w:rsidP="00420923">
      <w:pPr>
        <w:tabs>
          <w:tab w:val="left" w:pos="2835"/>
        </w:tabs>
        <w:spacing w:line="240" w:lineRule="atLeast"/>
      </w:pPr>
    </w:p>
    <w:p w:rsidR="00420923" w:rsidRPr="00E13767" w:rsidRDefault="00BB0408" w:rsidP="00420923">
      <w:pPr>
        <w:tabs>
          <w:tab w:val="left" w:pos="2835"/>
        </w:tabs>
        <w:spacing w:line="240" w:lineRule="atLeast"/>
        <w:rPr>
          <w:szCs w:val="24"/>
        </w:rPr>
      </w:pPr>
      <w:r w:rsidRPr="00E13767">
        <w:lastRenderedPageBreak/>
        <w:t xml:space="preserve">Vid mötet den 26-27 april kommer en lägesrapport ges om pågående förhandlingar om återtagandeavtal. </w:t>
      </w:r>
      <w:r w:rsidR="00420923" w:rsidRPr="00E13767">
        <w:t xml:space="preserve">Som ett led i </w:t>
      </w:r>
      <w:r w:rsidR="00653594" w:rsidRPr="00E13767">
        <w:t>det fortsatta förhandlingsarbetet</w:t>
      </w:r>
      <w:r w:rsidR="00682830" w:rsidRPr="00E13767">
        <w:t xml:space="preserve"> avser det danska or</w:t>
      </w:r>
      <w:r w:rsidR="002224C7" w:rsidRPr="00E13767">
        <w:t>d</w:t>
      </w:r>
      <w:r w:rsidR="00682830" w:rsidRPr="00E13767">
        <w:t>förandeskapet eventuellt att föreslå rådsslutsatser som ska syfta till att underlätta slutförandet av pågående förhandlingar.</w:t>
      </w:r>
    </w:p>
    <w:p w:rsidR="00CD7FE6" w:rsidRPr="00E13767" w:rsidRDefault="00CD7FE6">
      <w:pPr>
        <w:pStyle w:val="RKrubrik"/>
      </w:pPr>
      <w:r w:rsidRPr="00E13767">
        <w:t>Rättslig grund och beslutsförfarande</w:t>
      </w:r>
    </w:p>
    <w:p w:rsidR="00CD7FE6" w:rsidRPr="00E13767" w:rsidRDefault="00420923">
      <w:pPr>
        <w:pStyle w:val="RKnormal"/>
      </w:pPr>
      <w:r w:rsidRPr="00E13767">
        <w:t>Rådsslutsatser</w:t>
      </w:r>
      <w:r w:rsidR="009659B7" w:rsidRPr="00E13767">
        <w:t xml:space="preserve"> </w:t>
      </w:r>
      <w:r w:rsidR="0041623F" w:rsidRPr="00E13767">
        <w:t>fordrar ingen rättslig grund</w:t>
      </w:r>
      <w:r w:rsidRPr="00E13767">
        <w:t xml:space="preserve"> och antas med enhällighet</w:t>
      </w:r>
      <w:r w:rsidR="0041623F" w:rsidRPr="00E13767">
        <w:t>.</w:t>
      </w:r>
    </w:p>
    <w:p w:rsidR="00CD7FE6" w:rsidRPr="00E13767" w:rsidRDefault="00CD7FE6">
      <w:pPr>
        <w:pStyle w:val="RKrubrik"/>
        <w:rPr>
          <w:i/>
          <w:iCs/>
        </w:rPr>
      </w:pPr>
      <w:r w:rsidRPr="00E13767">
        <w:rPr>
          <w:i/>
          <w:iCs/>
        </w:rPr>
        <w:t>Svensk ståndpunkt</w:t>
      </w:r>
    </w:p>
    <w:p w:rsidR="0072111E" w:rsidRPr="00E13767" w:rsidRDefault="00420923" w:rsidP="00004E95">
      <w:r w:rsidRPr="00E13767">
        <w:t xml:space="preserve">Sverige stödjer arbetet med att förhandla och ingå återtagandeavtal mellan EU och tredjeländer. </w:t>
      </w:r>
      <w:r w:rsidR="0072111E" w:rsidRPr="00E13767">
        <w:t>Det finns ett värde i att medlemsstaterna nära samverkar i återtagandefrågor. Den folkrättsliga principen att varje stat är skyldig att återta sina egna medborgare understryks och likartade procedurer kan effektivisera återvändandet genom att den mottagande statens administration underlättas.</w:t>
      </w:r>
      <w:r w:rsidR="00004E95" w:rsidRPr="00E13767">
        <w:t xml:space="preserve"> Återtagandeavtal påverkar inte skyldigheten att respektera principen om non-refoulement.</w:t>
      </w:r>
    </w:p>
    <w:p w:rsidR="0072111E" w:rsidRPr="00E13767" w:rsidRDefault="0072111E">
      <w:pPr>
        <w:pStyle w:val="RKnormal"/>
        <w:rPr>
          <w:rFonts w:ascii="Verdana" w:hAnsi="Verdana"/>
          <w:sz w:val="18"/>
          <w:szCs w:val="18"/>
        </w:rPr>
      </w:pPr>
    </w:p>
    <w:p w:rsidR="00331A09" w:rsidRPr="00E13767" w:rsidRDefault="00331A09">
      <w:pPr>
        <w:pStyle w:val="RKnormal"/>
        <w:rPr>
          <w:rFonts w:ascii="Verdana" w:hAnsi="Verdana"/>
          <w:sz w:val="18"/>
          <w:szCs w:val="18"/>
        </w:rPr>
      </w:pPr>
      <w:r w:rsidRPr="00E13767">
        <w:rPr>
          <w:rFonts w:cs="OrigGarmnd BT"/>
          <w:color w:val="000000"/>
          <w:szCs w:val="24"/>
          <w:lang w:eastAsia="sv-SE"/>
        </w:rPr>
        <w:t>För det fallet att antagande av rådsslutsatser kan bidra till slutförande av utestå</w:t>
      </w:r>
      <w:r w:rsidR="00A90F14" w:rsidRPr="00E13767">
        <w:rPr>
          <w:rFonts w:cs="OrigGarmnd BT"/>
          <w:color w:val="000000"/>
          <w:szCs w:val="24"/>
          <w:lang w:eastAsia="sv-SE"/>
        </w:rPr>
        <w:t>ende förhandlingar är regeringen</w:t>
      </w:r>
      <w:r w:rsidRPr="00E13767">
        <w:rPr>
          <w:rFonts w:cs="OrigGarmnd BT"/>
          <w:color w:val="000000"/>
          <w:szCs w:val="24"/>
          <w:lang w:eastAsia="sv-SE"/>
        </w:rPr>
        <w:t xml:space="preserve"> positiv till en sådan ansats, givet att slutsatserna formuleras på ett för Sverige acceptabelt sätt.</w:t>
      </w:r>
    </w:p>
    <w:p w:rsidR="00CD7FE6" w:rsidRPr="00E13767" w:rsidRDefault="00CD7FE6">
      <w:pPr>
        <w:pStyle w:val="RKrubrik"/>
      </w:pPr>
      <w:r w:rsidRPr="00E13767">
        <w:t>Europaparlamentets inställning</w:t>
      </w:r>
    </w:p>
    <w:p w:rsidR="00CD7FE6" w:rsidRPr="00E13767" w:rsidRDefault="009659B7">
      <w:pPr>
        <w:pStyle w:val="RKnormal"/>
      </w:pPr>
      <w:r w:rsidRPr="00E13767">
        <w:t>Europaparlamentet har inte behandlat förslaget.</w:t>
      </w:r>
    </w:p>
    <w:p w:rsidR="00CD7FE6" w:rsidRPr="00E13767" w:rsidRDefault="00CD7FE6">
      <w:pPr>
        <w:pStyle w:val="RKrubrik"/>
        <w:rPr>
          <w:i/>
          <w:iCs/>
        </w:rPr>
      </w:pPr>
      <w:r w:rsidRPr="00E13767">
        <w:rPr>
          <w:i/>
          <w:iCs/>
        </w:rPr>
        <w:t>Förslaget</w:t>
      </w:r>
    </w:p>
    <w:p w:rsidR="009659B7" w:rsidRPr="00E13767" w:rsidRDefault="00371413" w:rsidP="00E422AC">
      <w:pPr>
        <w:pStyle w:val="RKnormal"/>
        <w:rPr>
          <w:szCs w:val="24"/>
        </w:rPr>
      </w:pPr>
      <w:r w:rsidRPr="00E13767">
        <w:rPr>
          <w:szCs w:val="24"/>
        </w:rPr>
        <w:t>F</w:t>
      </w:r>
      <w:r w:rsidR="00420923" w:rsidRPr="00E13767">
        <w:rPr>
          <w:szCs w:val="24"/>
        </w:rPr>
        <w:t>örslag</w:t>
      </w:r>
      <w:r w:rsidRPr="00E13767">
        <w:rPr>
          <w:szCs w:val="24"/>
        </w:rPr>
        <w:t>et</w:t>
      </w:r>
      <w:r w:rsidR="00420923" w:rsidRPr="00E13767">
        <w:rPr>
          <w:szCs w:val="24"/>
        </w:rPr>
        <w:t xml:space="preserve"> har ännu inte presenterats</w:t>
      </w:r>
      <w:r w:rsidR="009659B7" w:rsidRPr="00E13767">
        <w:rPr>
          <w:szCs w:val="24"/>
        </w:rPr>
        <w:t>.</w:t>
      </w:r>
    </w:p>
    <w:p w:rsidR="00CD7FE6" w:rsidRPr="00E13767" w:rsidRDefault="00CD7FE6">
      <w:pPr>
        <w:pStyle w:val="RKrubrik"/>
        <w:rPr>
          <w:i/>
          <w:iCs/>
        </w:rPr>
      </w:pPr>
      <w:r w:rsidRPr="00E13767">
        <w:rPr>
          <w:i/>
          <w:iCs/>
        </w:rPr>
        <w:t>Gällande svenska regler och förslagets effekter på dessa</w:t>
      </w:r>
    </w:p>
    <w:p w:rsidR="00CD7FE6" w:rsidRPr="00E13767" w:rsidRDefault="00420923">
      <w:pPr>
        <w:pStyle w:val="RKnormal"/>
      </w:pPr>
      <w:r w:rsidRPr="00E13767">
        <w:t xml:space="preserve">Rådsslutsatser får </w:t>
      </w:r>
      <w:r w:rsidR="009659B7" w:rsidRPr="00E13767">
        <w:t>inga konsekvenser för det svenska regelverket.</w:t>
      </w:r>
    </w:p>
    <w:p w:rsidR="00CD7FE6" w:rsidRPr="00E13767" w:rsidRDefault="00CD7FE6">
      <w:pPr>
        <w:pStyle w:val="RKrubrik"/>
      </w:pPr>
      <w:r w:rsidRPr="00E13767">
        <w:t>Ekonomiska konsekvenser</w:t>
      </w:r>
    </w:p>
    <w:p w:rsidR="00420923" w:rsidRPr="00E13767" w:rsidRDefault="006D53C8" w:rsidP="00420923">
      <w:r w:rsidRPr="00E13767">
        <w:t xml:space="preserve">Eventuella ekonomiska konsekvenser kan bedömas först efter det att innehållet i eventuella rådsslutsatser har presenterats. </w:t>
      </w:r>
      <w:r w:rsidR="00420923" w:rsidRPr="00E13767">
        <w:t xml:space="preserve">En sämre effektivitet i återvändandearbetet leder </w:t>
      </w:r>
      <w:r w:rsidRPr="00E13767">
        <w:t xml:space="preserve">dock </w:t>
      </w:r>
      <w:r w:rsidR="00420923" w:rsidRPr="00E13767">
        <w:t>till ökade utgifter för statsbudgeten.</w:t>
      </w:r>
    </w:p>
    <w:p w:rsidR="00CD7FE6" w:rsidRPr="00E13767" w:rsidRDefault="00CD7FE6">
      <w:pPr>
        <w:pStyle w:val="RKrubrik"/>
      </w:pPr>
      <w:r w:rsidRPr="00E13767">
        <w:t>Övrigt</w:t>
      </w:r>
    </w:p>
    <w:p w:rsidR="00CD7FE6" w:rsidRPr="00E13767" w:rsidRDefault="0041623F">
      <w:pPr>
        <w:pStyle w:val="RKnormal"/>
      </w:pPr>
      <w:r w:rsidRPr="00E13767">
        <w:t>-</w:t>
      </w:r>
    </w:p>
    <w:p w:rsidR="00CD7FE6" w:rsidRPr="00E13767" w:rsidRDefault="00CD7FE6">
      <w:pPr>
        <w:pStyle w:val="RKnormal"/>
        <w:rPr>
          <w:i/>
          <w:iCs/>
        </w:rPr>
      </w:pPr>
    </w:p>
    <w:p w:rsidR="00CD7FE6" w:rsidRPr="00E13767" w:rsidRDefault="00CD7FE6">
      <w:pPr>
        <w:pStyle w:val="RKnormal"/>
        <w:ind w:left="-1134"/>
      </w:pPr>
    </w:p>
    <w:p w:rsidR="006E4E11" w:rsidRPr="00E13767" w:rsidRDefault="006E4E11">
      <w:pPr>
        <w:pStyle w:val="RKrubrik"/>
        <w:spacing w:before="0" w:after="0"/>
      </w:pPr>
    </w:p>
    <w:p w:rsidR="006E4E11" w:rsidRPr="00E13767" w:rsidRDefault="006E4E11">
      <w:pPr>
        <w:pStyle w:val="RKnormal"/>
      </w:pPr>
    </w:p>
    <w:p w:rsidR="00CD7FE6" w:rsidRPr="00E13767" w:rsidRDefault="00CD7FE6">
      <w:pPr>
        <w:pStyle w:val="RKnormal"/>
      </w:pPr>
    </w:p>
    <w:sectPr w:rsidR="00CD7FE6" w:rsidRPr="00E1376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A62" w:rsidRPr="00E13767" w:rsidRDefault="00EC2A62">
      <w:r w:rsidRPr="00E13767">
        <w:separator/>
      </w:r>
    </w:p>
  </w:endnote>
  <w:endnote w:type="continuationSeparator" w:id="0">
    <w:p w:rsidR="00EC2A62" w:rsidRPr="00E13767" w:rsidRDefault="00EC2A62">
      <w:r w:rsidRPr="00E137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A62" w:rsidRPr="00E13767" w:rsidRDefault="00EC2A62">
      <w:r w:rsidRPr="00E13767">
        <w:separator/>
      </w:r>
    </w:p>
  </w:footnote>
  <w:footnote w:type="continuationSeparator" w:id="0">
    <w:p w:rsidR="00EC2A62" w:rsidRPr="00E13767" w:rsidRDefault="00EC2A62">
      <w:r w:rsidRPr="00E137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23" w:rsidRPr="00E13767" w:rsidRDefault="00420923">
    <w:pPr>
      <w:pStyle w:val="Sidhuvud"/>
      <w:framePr w:wrap="around" w:vAnchor="text" w:hAnchor="margin" w:xAlign="right" w:y="1"/>
      <w:rPr>
        <w:rStyle w:val="Sidnummer"/>
      </w:rPr>
    </w:pPr>
    <w:r w:rsidRPr="00E13767">
      <w:rPr>
        <w:rStyle w:val="Sidnummer"/>
      </w:rPr>
      <w:fldChar w:fldCharType="begin" w:fldLock="1"/>
    </w:r>
    <w:r w:rsidRPr="00E13767">
      <w:rPr>
        <w:rStyle w:val="Sidnummer"/>
      </w:rPr>
      <w:instrText xml:space="preserve">PAGE  </w:instrText>
    </w:r>
    <w:r w:rsidRPr="00E13767">
      <w:rPr>
        <w:rStyle w:val="Sidnummer"/>
      </w:rPr>
      <w:fldChar w:fldCharType="separate"/>
    </w:r>
    <w:r w:rsidR="00C9434E" w:rsidRPr="00E13767">
      <w:rPr>
        <w:rStyle w:val="Sidnummer"/>
      </w:rPr>
      <w:t>2</w:t>
    </w:r>
    <w:r w:rsidRPr="00E1376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20923" w:rsidRPr="00E1376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20923" w:rsidRPr="00E13767" w:rsidRDefault="0042092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20923" w:rsidRPr="00E13767" w:rsidRDefault="00420923">
          <w:pPr>
            <w:pStyle w:val="Sidhuvud"/>
            <w:ind w:right="360"/>
          </w:pPr>
        </w:p>
      </w:tc>
      <w:tc>
        <w:tcPr>
          <w:tcW w:w="1525" w:type="dxa"/>
        </w:tcPr>
        <w:p w:rsidR="00420923" w:rsidRPr="00E13767" w:rsidRDefault="00420923">
          <w:pPr>
            <w:pStyle w:val="Sidhuvud"/>
            <w:ind w:right="360"/>
          </w:pPr>
        </w:p>
      </w:tc>
    </w:tr>
  </w:tbl>
  <w:p w:rsidR="00420923" w:rsidRPr="00E13767" w:rsidRDefault="0042092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23" w:rsidRPr="00E13767" w:rsidRDefault="00420923">
    <w:pPr>
      <w:pStyle w:val="Sidhuvud"/>
      <w:framePr w:wrap="around" w:vAnchor="text" w:hAnchor="margin" w:xAlign="right" w:y="1"/>
      <w:rPr>
        <w:rStyle w:val="Sidnummer"/>
      </w:rPr>
    </w:pPr>
    <w:r w:rsidRPr="00E13767">
      <w:rPr>
        <w:rStyle w:val="Sidnummer"/>
      </w:rPr>
      <w:fldChar w:fldCharType="begin" w:fldLock="1"/>
    </w:r>
    <w:r w:rsidRPr="00E13767">
      <w:rPr>
        <w:rStyle w:val="Sidnummer"/>
      </w:rPr>
      <w:instrText xml:space="preserve">PAGE  </w:instrText>
    </w:r>
    <w:r w:rsidRPr="00E13767">
      <w:rPr>
        <w:rStyle w:val="Sidnummer"/>
      </w:rPr>
      <w:fldChar w:fldCharType="separate"/>
    </w:r>
    <w:r w:rsidR="00C9434E" w:rsidRPr="00E13767">
      <w:rPr>
        <w:rStyle w:val="Sidnummer"/>
      </w:rPr>
      <w:t>3</w:t>
    </w:r>
    <w:r w:rsidRPr="00E1376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20923" w:rsidRPr="00E1376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20923" w:rsidRPr="00E13767" w:rsidRDefault="0042092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20923" w:rsidRPr="00E13767" w:rsidRDefault="00420923">
          <w:pPr>
            <w:pStyle w:val="Sidhuvud"/>
            <w:ind w:right="360"/>
          </w:pPr>
        </w:p>
      </w:tc>
      <w:tc>
        <w:tcPr>
          <w:tcW w:w="1525" w:type="dxa"/>
        </w:tcPr>
        <w:p w:rsidR="00420923" w:rsidRPr="00E13767" w:rsidRDefault="00420923">
          <w:pPr>
            <w:pStyle w:val="Sidhuvud"/>
            <w:ind w:right="360"/>
          </w:pPr>
        </w:p>
      </w:tc>
    </w:tr>
  </w:tbl>
  <w:p w:rsidR="00420923" w:rsidRPr="00E13767" w:rsidRDefault="0042092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23" w:rsidRPr="00E13767" w:rsidRDefault="00E13767">
    <w:pPr>
      <w:framePr w:w="2948" w:h="1321" w:hRule="exact" w:wrap="notBeside" w:vAnchor="page" w:hAnchor="page" w:x="1362" w:y="653"/>
    </w:pPr>
    <w:r w:rsidRPr="00E1376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923" w:rsidRPr="00E13767" w:rsidRDefault="0042092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20923" w:rsidRPr="00E13767" w:rsidRDefault="00420923">
    <w:pPr>
      <w:rPr>
        <w:rFonts w:ascii="TradeGothic" w:hAnsi="TradeGothic"/>
        <w:b/>
        <w:bCs/>
        <w:spacing w:val="12"/>
        <w:sz w:val="22"/>
      </w:rPr>
    </w:pPr>
  </w:p>
  <w:p w:rsidR="00420923" w:rsidRPr="00E13767" w:rsidRDefault="0042092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20923" w:rsidRPr="00E13767" w:rsidRDefault="0042092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2E81"/>
    <w:multiLevelType w:val="hybridMultilevel"/>
    <w:tmpl w:val="58181A42"/>
    <w:lvl w:ilvl="0" w:tplc="298C4A50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C144C"/>
    <w:multiLevelType w:val="hybridMultilevel"/>
    <w:tmpl w:val="94A4DE22"/>
    <w:lvl w:ilvl="0" w:tplc="FD72AA74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4614">
    <w:abstractNumId w:val="0"/>
  </w:num>
  <w:num w:numId="2" w16cid:durableId="134886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04E95"/>
    <w:rsid w:val="000D6B4F"/>
    <w:rsid w:val="00150384"/>
    <w:rsid w:val="001805B7"/>
    <w:rsid w:val="00187599"/>
    <w:rsid w:val="002224C7"/>
    <w:rsid w:val="00331A09"/>
    <w:rsid w:val="00371413"/>
    <w:rsid w:val="0041623F"/>
    <w:rsid w:val="00420923"/>
    <w:rsid w:val="004A328D"/>
    <w:rsid w:val="004D15C4"/>
    <w:rsid w:val="004F4E29"/>
    <w:rsid w:val="00520171"/>
    <w:rsid w:val="0058762B"/>
    <w:rsid w:val="005A102B"/>
    <w:rsid w:val="00653594"/>
    <w:rsid w:val="00662214"/>
    <w:rsid w:val="00682830"/>
    <w:rsid w:val="006851C7"/>
    <w:rsid w:val="006C1EBE"/>
    <w:rsid w:val="006D53C8"/>
    <w:rsid w:val="006E01BC"/>
    <w:rsid w:val="006E4E11"/>
    <w:rsid w:val="006F3B4A"/>
    <w:rsid w:val="0072111E"/>
    <w:rsid w:val="007242A3"/>
    <w:rsid w:val="00744397"/>
    <w:rsid w:val="007606B4"/>
    <w:rsid w:val="007A6855"/>
    <w:rsid w:val="00801CAF"/>
    <w:rsid w:val="00887E83"/>
    <w:rsid w:val="008D41D8"/>
    <w:rsid w:val="00924988"/>
    <w:rsid w:val="009659B7"/>
    <w:rsid w:val="009D17CB"/>
    <w:rsid w:val="00A02E6B"/>
    <w:rsid w:val="00A038F2"/>
    <w:rsid w:val="00A046F3"/>
    <w:rsid w:val="00A34987"/>
    <w:rsid w:val="00A90F14"/>
    <w:rsid w:val="00A96EAD"/>
    <w:rsid w:val="00AC3F09"/>
    <w:rsid w:val="00B63644"/>
    <w:rsid w:val="00BB0408"/>
    <w:rsid w:val="00BE0840"/>
    <w:rsid w:val="00C12C54"/>
    <w:rsid w:val="00C9434E"/>
    <w:rsid w:val="00CD7FE6"/>
    <w:rsid w:val="00D133D7"/>
    <w:rsid w:val="00DA561C"/>
    <w:rsid w:val="00E13767"/>
    <w:rsid w:val="00E27AF7"/>
    <w:rsid w:val="00E422AC"/>
    <w:rsid w:val="00EC25F9"/>
    <w:rsid w:val="00EC2A62"/>
    <w:rsid w:val="00ED583F"/>
    <w:rsid w:val="00EF4F09"/>
    <w:rsid w:val="00F00BE0"/>
    <w:rsid w:val="00F0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8826-0A51-4DC6-9E22-25C4D4EA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SidhuvudChar">
    <w:name w:val="Sidhuvud Char"/>
    <w:link w:val="Sidhuvud"/>
    <w:uiPriority w:val="99"/>
    <w:rsid w:val="00F0360A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662214"/>
    <w:rPr>
      <w:rFonts w:ascii="OrigGarmnd BT" w:hAnsi="OrigGarmnd BT"/>
      <w:sz w:val="24"/>
      <w:lang w:eastAsia="en-US"/>
    </w:rPr>
  </w:style>
  <w:style w:type="paragraph" w:customStyle="1" w:styleId="normal0">
    <w:name w:val="normal"/>
    <w:basedOn w:val="Normal"/>
    <w:rsid w:val="0072111E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429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05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5944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5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5921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682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64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4323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05406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2482</Characters>
  <Application>Microsoft Office Word</Application>
  <DocSecurity>4</DocSecurity>
  <Lines>85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2012-04-13T07:37:00Z</cp:lastPrinted>
  <dcterms:created xsi:type="dcterms:W3CDTF">2025-12-17T21:42:00Z</dcterms:created>
  <dcterms:modified xsi:type="dcterms:W3CDTF">2025-12-17T21:42:00Z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  <property fmtid="{D5CDD505-2E9C-101B-9397-08002B2CF9AE}" pid="12" name="RKOrdnaClass">
    <vt:lpwstr/>
  </property>
  <property fmtid="{D5CDD505-2E9C-101B-9397-08002B2CF9AE}" pid="13" name="RKOrdnaCheckInComment">
    <vt:lpwstr/>
  </property>
  <property fmtid="{D5CDD505-2E9C-101B-9397-08002B2CF9AE}" pid="14" name="ContentTypeId">
    <vt:lpwstr>0x010100D4E2D80DC721422ABBDF033BB3857F490300843E95EF4A801E43ACB544B780898DD4</vt:lpwstr>
  </property>
  <property fmtid="{D5CDD505-2E9C-101B-9397-08002B2CF9AE}" pid="15" name="RKOrdnaActivityCategory2">
    <vt:lpwstr>4.1. Europeiska unionen</vt:lpwstr>
  </property>
  <property fmtid="{D5CDD505-2E9C-101B-9397-08002B2CF9AE}" pid="16" name="RKOrdnaDepartement2">
    <vt:lpwstr>Justitiedepartementet</vt:lpwstr>
  </property>
</Properties>
</file>