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408B" w:rsidRPr="007D63F4" w:rsidRDefault="00B4408B">
      <w:pPr>
        <w:pStyle w:val="Frslagsrubrik"/>
      </w:pPr>
      <w:r w:rsidRPr="007D63F4">
        <w:t>Förslag till riksdagsbeslut</w:t>
      </w:r>
    </w:p>
    <w:p w:rsidR="00B4408B" w:rsidRPr="007D63F4" w:rsidRDefault="00B4408B">
      <w:pPr>
        <w:pStyle w:val="Hemstlatt"/>
        <w:numPr>
          <w:ilvl w:val="0"/>
          <w:numId w:val="1"/>
        </w:numPr>
      </w:pPr>
      <w:r w:rsidRPr="007D63F4">
        <w:t>Riksdagen tillkännager för regeringen som sin mening vad som anförs i motionen om att regeringen årligen bör lä</w:t>
      </w:r>
      <w:r w:rsidRPr="007D63F4">
        <w:t>g</w:t>
      </w:r>
      <w:r w:rsidRPr="007D63F4">
        <w:t>ga fram för riksdagen en skrivelse om verksamheten i Europar</w:t>
      </w:r>
      <w:r w:rsidRPr="007D63F4">
        <w:t>å</w:t>
      </w:r>
      <w:r w:rsidRPr="007D63F4">
        <w:t>det.</w:t>
      </w:r>
    </w:p>
    <w:p w:rsidR="00B4408B" w:rsidRPr="007D63F4" w:rsidRDefault="00B4408B">
      <w:pPr>
        <w:pStyle w:val="Hemstlatt"/>
        <w:numPr>
          <w:ilvl w:val="0"/>
          <w:numId w:val="1"/>
        </w:numPr>
      </w:pPr>
      <w:r w:rsidRPr="007D63F4">
        <w:t>Riksdagen tillkännager för regeringen som sin mening vad som anförs i motionen om ett utökat stöd för den demokratiska opp</w:t>
      </w:r>
      <w:r w:rsidRPr="007D63F4">
        <w:t>o</w:t>
      </w:r>
      <w:r w:rsidRPr="007D63F4">
        <w:t>sitionen i Vitryssland.</w:t>
      </w:r>
    </w:p>
    <w:p w:rsidR="00B4408B" w:rsidRPr="007D63F4" w:rsidRDefault="00B4408B">
      <w:pPr>
        <w:pStyle w:val="Hemstlatt"/>
        <w:numPr>
          <w:ilvl w:val="0"/>
          <w:numId w:val="1"/>
        </w:numPr>
      </w:pPr>
      <w:r w:rsidRPr="007D63F4">
        <w:t>Riksdagen tillkännager för regeringen som sin mening vad som anförs i motionen om att regeringen bör redovisa för riksdagen hur regeringen avser att för sin del inom Europarådets ministerko</w:t>
      </w:r>
      <w:r w:rsidRPr="007D63F4">
        <w:t>m</w:t>
      </w:r>
      <w:r w:rsidRPr="007D63F4">
        <w:t>mitté genomföra PACE-rekommendation 1922 (2010) och i övrigt bidra till att de värden som Ryssland åtagit sig vid inträdet i Europ</w:t>
      </w:r>
      <w:r w:rsidRPr="007D63F4">
        <w:t>a</w:t>
      </w:r>
      <w:r w:rsidRPr="007D63F4">
        <w:t>rådet fullföljs.</w:t>
      </w:r>
    </w:p>
    <w:p w:rsidR="00B4408B" w:rsidRPr="007D63F4" w:rsidRDefault="00B4408B">
      <w:pPr>
        <w:pStyle w:val="Hemstlatt"/>
        <w:numPr>
          <w:ilvl w:val="0"/>
          <w:numId w:val="1"/>
        </w:numPr>
      </w:pPr>
      <w:r w:rsidRPr="007D63F4">
        <w:t>Riksdagen tillkännager för regeringen som sin mening vad som anförs i motionen om att EU bör ratificera Europarådets konve</w:t>
      </w:r>
      <w:r w:rsidRPr="007D63F4">
        <w:t>n</w:t>
      </w:r>
      <w:r w:rsidRPr="007D63F4">
        <w:t>tion mot människohandel.</w:t>
      </w:r>
    </w:p>
    <w:p w:rsidR="00B4408B" w:rsidRPr="007D63F4" w:rsidRDefault="00B4408B">
      <w:pPr>
        <w:pStyle w:val="Rubrik1"/>
      </w:pPr>
      <w:r w:rsidRPr="007D63F4">
        <w:t>Motivering</w:t>
      </w:r>
    </w:p>
    <w:p w:rsidR="00B4408B" w:rsidRPr="007D63F4" w:rsidRDefault="00B4408B">
      <w:r w:rsidRPr="007D63F4">
        <w:t>Regeringen har givit riksdagen en redogörelse för regeringens arbete i Eur</w:t>
      </w:r>
      <w:r w:rsidRPr="007D63F4">
        <w:t>o</w:t>
      </w:r>
      <w:r w:rsidRPr="007D63F4">
        <w:t>parådets ministerkommitté, långt efter det att de händelser ägt rum, som man nu redovisar för riksdagen. Argumentet att man på detta sätt knyter an till Sveriges ordförandeskap i EU hösten 2009 är ej bärande. Det begränsar mera riksdagens möjligheter att granska och för sin del ge inriktningar på den pol</w:t>
      </w:r>
      <w:r w:rsidRPr="007D63F4">
        <w:t>i</w:t>
      </w:r>
      <w:r w:rsidRPr="007D63F4">
        <w:t>tik som regeringen står för i Europarådet.</w:t>
      </w:r>
    </w:p>
    <w:p w:rsidR="00B4408B" w:rsidRPr="007D63F4" w:rsidRDefault="00B4408B">
      <w:pPr>
        <w:pStyle w:val="Normaltindrag"/>
      </w:pPr>
      <w:r w:rsidRPr="007D63F4">
        <w:lastRenderedPageBreak/>
        <w:t>Regeringen bör fortsättningsvis årligen återkomma med en skrivelse om verksamheten i Europarådet, i likhet med vad Europarådets parlamentariska delegation gör för</w:t>
      </w:r>
      <w:r w:rsidRPr="007D63F4">
        <w:t xml:space="preserve"> sin del till riksdagen. På det sättet blir det framför allt mö</w:t>
      </w:r>
      <w:r w:rsidRPr="007D63F4">
        <w:t>j</w:t>
      </w:r>
      <w:r w:rsidRPr="007D63F4">
        <w:t>ligt att få in tätare, och genom ärendebehandlingen i riksdagen, en tydligare kontakt mellan riksdagen och regeringen i inriktningen av den politik som Sverige bör föra i Europarådets olika institutioner.</w:t>
      </w:r>
    </w:p>
    <w:p w:rsidR="00B4408B" w:rsidRPr="007D63F4" w:rsidRDefault="00B4408B">
      <w:pPr>
        <w:pStyle w:val="Normaltindrag"/>
      </w:pPr>
      <w:r w:rsidRPr="007D63F4">
        <w:t xml:space="preserve">På vissa punkter ser vi socialdemokrater positivt på regeringens agerande under den redovisade tiden. Det gäller det med oss samstämmiga handlandet i syfte att få Thorbjørn Jagland vald som ny generalsekreterare i Europarådet (ER). Likaså det </w:t>
      </w:r>
      <w:r w:rsidRPr="007D63F4">
        <w:t>stöd som regeringen skänker åt dennes reformarbete inom sekretariat i ER. Jagland betonar med all rätt att ER och dess parlamentariska församling, PACE, är den enda verkligt paneuropeiska organisationen i Eur</w:t>
      </w:r>
      <w:r w:rsidRPr="007D63F4">
        <w:t>o</w:t>
      </w:r>
      <w:r w:rsidRPr="007D63F4">
        <w:t>pa. Detsamma gäller inriktningen på att EU ska tillträda den s.k. Europako</w:t>
      </w:r>
      <w:r w:rsidRPr="007D63F4">
        <w:t>n</w:t>
      </w:r>
      <w:r w:rsidRPr="007D63F4">
        <w:t>ventionen samt det uttalade stödet för Europarådets kommissarie för mänskl</w:t>
      </w:r>
      <w:r w:rsidRPr="007D63F4">
        <w:t>i</w:t>
      </w:r>
      <w:r w:rsidRPr="007D63F4">
        <w:t>ga rättigheter, för närvarande Thomas Hammarberg.</w:t>
      </w:r>
    </w:p>
    <w:p w:rsidR="00B4408B" w:rsidRPr="007D63F4" w:rsidRDefault="00B4408B">
      <w:pPr>
        <w:pStyle w:val="Normaltindrag"/>
      </w:pPr>
      <w:r w:rsidRPr="007D63F4">
        <w:t>Områden där det också föreligger samstämmighet mellan regeringen och oss socialdemokrater i den parlame</w:t>
      </w:r>
      <w:r w:rsidRPr="007D63F4">
        <w:t>ntariska församlingen gäller Vitryssland och Kosovo. Utvecklingen i Vitryssland i samband med valet av president i december 2010 visar dock att regimen och dess ledare inte lever upp till de utlovade stegen i demokratiserande riktning. Det är oacceptabelt att Vitrys</w:t>
      </w:r>
      <w:r w:rsidRPr="007D63F4">
        <w:t>s</w:t>
      </w:r>
      <w:r w:rsidRPr="007D63F4">
        <w:t xml:space="preserve">land förblir en diktatur. Sverige bör därför, exempelvis, i EU-samarbetet driva på än mer för ett ökat stöd till den demokratiska oppositionen i Vitryssland. </w:t>
      </w:r>
    </w:p>
    <w:p w:rsidR="00B4408B" w:rsidRPr="007D63F4" w:rsidRDefault="00B4408B">
      <w:pPr>
        <w:pStyle w:val="Normaltindrag"/>
      </w:pPr>
      <w:r w:rsidRPr="007D63F4">
        <w:t>Också när det gäller Kosovo har vi en samstämmig politik – nämligen i</w:t>
      </w:r>
      <w:r w:rsidRPr="007D63F4">
        <w:t>n</w:t>
      </w:r>
      <w:r w:rsidRPr="007D63F4">
        <w:t>satser med utgångspunkt i individens rättigheter på europeisk nivå, oberoende av statusfrågan kring Kosovo. Vi välkomnar också möjligheterna till förhan</w:t>
      </w:r>
      <w:r w:rsidRPr="007D63F4">
        <w:t>d</w:t>
      </w:r>
      <w:r w:rsidRPr="007D63F4">
        <w:t>lingar mellan Kosovo och Serbien under ordförandeskapet av EU.</w:t>
      </w:r>
    </w:p>
    <w:p w:rsidR="00B4408B" w:rsidRPr="007D63F4" w:rsidRDefault="00B4408B">
      <w:pPr>
        <w:pStyle w:val="Normaltindrag"/>
      </w:pPr>
      <w:r w:rsidRPr="007D63F4">
        <w:t>Ett medlemsland som inte blir föremål för en samlad analys i regeringens skrivelse är Ryssland. I skrivelsen behandlas Rysslands länge fördröjda ratif</w:t>
      </w:r>
      <w:r w:rsidRPr="007D63F4">
        <w:t>i</w:t>
      </w:r>
      <w:r w:rsidRPr="007D63F4">
        <w:t>kation av protokoll 14 till Europakonventionen. Likaså finns ett avsnitt – utan politiska bedömningar – av efterarbetet i ER kring kriget mellan Georgien och Ryssland 2008, under Sveriges ordförandeskap i ER:s ministerkommitté. Det finns också ett referat av Europadomstolens domar mot bl.a. Ryssland.</w:t>
      </w:r>
    </w:p>
    <w:p w:rsidR="00B4408B" w:rsidRPr="007D63F4" w:rsidRDefault="00B4408B">
      <w:pPr>
        <w:pStyle w:val="Normaltindrag"/>
      </w:pPr>
      <w:r w:rsidRPr="007D63F4">
        <w:t>I grunden kvarstår, enligt vår bedömning, den auktoritära statsordningen i Ryssland. Regimen under Medvedev och Putin har inte skapat avgörande förbättringar i jämförelse med tiden under Putin, framför allt fr</w:t>
      </w:r>
      <w:r w:rsidRPr="007D63F4">
        <w:t>.o.m. 2003. Problemen sedan dess kvarstår – de mänskliga fri- och rättigheterna, rättss</w:t>
      </w:r>
      <w:r w:rsidRPr="007D63F4">
        <w:t>ä</w:t>
      </w:r>
      <w:r w:rsidRPr="007D63F4">
        <w:t>kerheten, mediernas beroende av statsmakten m.m. I detta ligger att mycket är ovisst och oförutsägbart i Rysslands inre och yttre politik, med säkerhetspol</w:t>
      </w:r>
      <w:r w:rsidRPr="007D63F4">
        <w:t>i</w:t>
      </w:r>
      <w:r w:rsidRPr="007D63F4">
        <w:t>tiska risker.</w:t>
      </w:r>
    </w:p>
    <w:p w:rsidR="00B4408B" w:rsidRPr="007D63F4" w:rsidRDefault="00B4408B">
      <w:pPr>
        <w:pStyle w:val="Normaltindrag"/>
      </w:pPr>
      <w:r w:rsidRPr="007D63F4">
        <w:t>Det är möjligt att Putin låter sig omväljas till Rysslands president 2012.</w:t>
      </w:r>
    </w:p>
    <w:p w:rsidR="00B4408B" w:rsidRPr="007D63F4" w:rsidRDefault="00B4408B">
      <w:pPr>
        <w:pStyle w:val="Normaltindrag"/>
      </w:pPr>
      <w:r w:rsidRPr="007D63F4">
        <w:t>I Europarådets arbete har det också varit svårt att nå ett tillfredsställande genomförande av vapenstilleståndsavtalet Georgien–Ryssland från 2008, framförhandlat under president Sarkozy. Kommissarien för mänskliga rätti</w:t>
      </w:r>
      <w:r w:rsidRPr="007D63F4">
        <w:t>g</w:t>
      </w:r>
      <w:r w:rsidRPr="007D63F4">
        <w:t>heter Thomas Hammarberg är den som kommit längst.</w:t>
      </w:r>
    </w:p>
    <w:p w:rsidR="00B4408B" w:rsidRPr="007D63F4" w:rsidRDefault="00B4408B">
      <w:pPr>
        <w:pStyle w:val="Normaltindrag"/>
      </w:pPr>
      <w:r w:rsidRPr="007D63F4">
        <w:t>Vi vill dock notera att ungefär samtidigt som generalsekreterare Jagland tillträdde sin befattning, har det blivit ett förbättrat klimat i PACE. Rysslands parlamentariska delegation motsatte sig inte rekommendationer från försa</w:t>
      </w:r>
      <w:r w:rsidRPr="007D63F4">
        <w:t>m</w:t>
      </w:r>
      <w:r w:rsidRPr="007D63F4">
        <w:t>lingen till ministerkommittén om Kosovo på den ovan nämnda premissen.</w:t>
      </w:r>
    </w:p>
    <w:p w:rsidR="00B4408B" w:rsidRPr="007D63F4" w:rsidRDefault="00B4408B">
      <w:pPr>
        <w:pStyle w:val="Normaltindrag"/>
      </w:pPr>
      <w:r w:rsidRPr="007D63F4">
        <w:t>I juni 2010 antogs också en rapport med rekommendationer till ministe</w:t>
      </w:r>
      <w:r w:rsidRPr="007D63F4">
        <w:t>r</w:t>
      </w:r>
      <w:r w:rsidRPr="007D63F4">
        <w:t>kommittén</w:t>
      </w:r>
      <w:r w:rsidRPr="007D63F4">
        <w:rPr>
          <w:i/>
          <w:iCs/>
        </w:rPr>
        <w:t>, Legal remedies for human rights violations in North-Caucasus region.</w:t>
      </w:r>
      <w:r w:rsidRPr="007D63F4">
        <w:t xml:space="preserve"> Det handlar om Tjetjenien, Ingusjien och Dagestan, delar i Ryssland som plågas av det mest fruktansvärda övervåld och rättslöshet i dagens Eur</w:t>
      </w:r>
      <w:r w:rsidRPr="007D63F4">
        <w:t>o</w:t>
      </w:r>
      <w:r w:rsidRPr="007D63F4">
        <w:t>pa. De ryska parlamentarikerna röstade i huvudsak för denna, som uppmanar ministerkommittén, dvs. regeringarna, att</w:t>
      </w:r>
    </w:p>
    <w:p w:rsidR="00B4408B" w:rsidRPr="007D63F4" w:rsidRDefault="00B4408B">
      <w:pPr>
        <w:pStyle w:val="PunktlistaBomb"/>
      </w:pPr>
      <w:r w:rsidRPr="007D63F4">
        <w:t>lägga största vikt vid utvecklingen av mänskliga rättigheter i denna region i Ryssland</w:t>
      </w:r>
    </w:p>
    <w:p w:rsidR="00B4408B" w:rsidRPr="007D63F4" w:rsidRDefault="00B4408B">
      <w:pPr>
        <w:pStyle w:val="PunktlistaBomb"/>
        <w:spacing w:before="0"/>
      </w:pPr>
      <w:r w:rsidRPr="007D63F4">
        <w:t>genomföra Europadomstolens många domar beträffande den ryska stat</w:t>
      </w:r>
      <w:r w:rsidRPr="007D63F4">
        <w:t>s</w:t>
      </w:r>
      <w:r w:rsidRPr="007D63F4">
        <w:t>makten i denna region</w:t>
      </w:r>
    </w:p>
    <w:p w:rsidR="00B4408B" w:rsidRPr="007D63F4" w:rsidRDefault="00B4408B">
      <w:pPr>
        <w:pStyle w:val="PunktlistaBomb"/>
        <w:spacing w:before="0"/>
      </w:pPr>
      <w:r w:rsidRPr="007D63F4">
        <w:t>skapa ett registersystem för de brott mot mänskliga rättigheter etc. som förekommer där i syfte att främja sanning för att därmed skapa samfö</w:t>
      </w:r>
      <w:r w:rsidRPr="007D63F4">
        <w:t>r</w:t>
      </w:r>
      <w:r w:rsidRPr="007D63F4">
        <w:t>stånd.</w:t>
      </w:r>
    </w:p>
    <w:p w:rsidR="00B4408B" w:rsidRPr="007D63F4" w:rsidRDefault="00B4408B">
      <w:r w:rsidRPr="007D63F4">
        <w:t>Man kan förhålla sig till denna rapport och rekommendation på olika sätt. Sveriges regering bör enligt vår mening kunna se den som en möjlighet att med större kraft bringa Rysslands statsledning att ta sina åtaganden till Eur</w:t>
      </w:r>
      <w:r w:rsidRPr="007D63F4">
        <w:t>o</w:t>
      </w:r>
      <w:r w:rsidRPr="007D63F4">
        <w:t>parådet på största allvar, vilket också går att utläsa i församlingens rapport. Detta genom att på basis av denna rapport, som alltså i huvudsak stöddes av ryska parlamentariker, driva på den ryska statsledningen.</w:t>
      </w:r>
    </w:p>
    <w:p w:rsidR="00B4408B" w:rsidRPr="007D63F4" w:rsidRDefault="00B4408B">
      <w:pPr>
        <w:pStyle w:val="Normaltindrag"/>
      </w:pPr>
      <w:r w:rsidRPr="007D63F4">
        <w:t>Den svenska regeringen bör redovisa för riksdagen hur regeringen avser att för sin del inom Europarådets ministerkommitté genomföra PACE reko</w:t>
      </w:r>
      <w:r w:rsidRPr="007D63F4">
        <w:t>m</w:t>
      </w:r>
      <w:r w:rsidRPr="007D63F4">
        <w:t>mendation 1922 (2010) och i övrigt bidra till att de värden som Ryssland åtagit sig vid inträdet i Europarådet fullföljes.</w:t>
      </w:r>
    </w:p>
    <w:p w:rsidR="00B4408B" w:rsidRPr="007D63F4" w:rsidRDefault="00B4408B">
      <w:pPr>
        <w:pStyle w:val="Normaltindrag"/>
      </w:pPr>
      <w:r w:rsidRPr="007D63F4">
        <w:rPr>
          <w:bCs/>
        </w:rPr>
        <w:t>Europarådets konvention mot</w:t>
      </w:r>
      <w:r w:rsidRPr="007D63F4">
        <w:t xml:space="preserve"> människohandel är ett viktigt steg i kampen mot människohandel och ett sätt att arbeta för dessa kvinnors och barns grundläggande rättigheter. En av Europarådets viktigaste uppgifter är också att garantera och skydda de mänskliga rättigheterna i medlemsstaterna, och där ingår att söka hitta gemensamma lösningar på samhällsproblem som mä</w:t>
      </w:r>
      <w:r w:rsidRPr="007D63F4">
        <w:t>n</w:t>
      </w:r>
      <w:r w:rsidRPr="007D63F4">
        <w:t>niskohandel, organiserad brottslighet och brott mot barn. Människohandel för sexuella ändamål är ofta nära kopplat till prostitution och annan grov organ</w:t>
      </w:r>
      <w:r w:rsidRPr="007D63F4">
        <w:t>i</w:t>
      </w:r>
      <w:r w:rsidRPr="007D63F4">
        <w:t>serad brottslighet</w:t>
      </w:r>
      <w:r w:rsidRPr="007D63F4">
        <w:t xml:space="preserve"> som ger stora vinster. Såväl kunskapen som debatten om människohandel har ökat de senaste åren utan att vi ser någon avmattning i människohandeln. Varje år beräknas tusentals kvinnor, samt ett okänt antal barn, transporteras i Europa för att utnyttjas som sexslavar. Europas länder är i varierande grad destinationsländer, transitländer och ursprungsländer för människohandlarna. Den internationella människohandeln ökar, International Labour Organization (ILO) beräknar antalet utsatta till flera miljoner varj</w:t>
      </w:r>
      <w:r w:rsidRPr="007D63F4">
        <w:t>e år och mörkertalet är stort. Enskilda länder har ett ansvar, men även EU har ett uppdrag att driva på för ytterligare beslut. Vi välkomnar direktivförslag för att stärka EU:s arbete mot människohandel. Men flera EU-länder har ännu inte ratificerat konventionen. Vi uppmanar alla Europarådets medlemsländer till detta. Sveriges regering måste kraftfullt verka för att EU ratificerar Europar</w:t>
      </w:r>
      <w:r w:rsidRPr="007D63F4">
        <w:t>å</w:t>
      </w:r>
      <w:r w:rsidRPr="007D63F4">
        <w:t>dets konvention angående människohandel. EU måste både tillträda konve</w:t>
      </w:r>
      <w:r w:rsidRPr="007D63F4">
        <w:t>n</w:t>
      </w:r>
      <w:r w:rsidRPr="007D63F4">
        <w:t xml:space="preserve">tionen och verka för att alla dess medlemsstater </w:t>
      </w:r>
      <w:r w:rsidRPr="007D63F4">
        <w:t>gör detsamma.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63F4">
        <w:trPr>
          <w:cantSplit/>
        </w:trPr>
        <w:tc>
          <w:tcPr>
            <w:tcW w:w="3046" w:type="dxa"/>
          </w:tcPr>
          <w:p w:rsidR="00B4408B" w:rsidRPr="007D63F4" w:rsidRDefault="00B4408B">
            <w:pPr>
              <w:pStyle w:val="UnderskriftDatum"/>
              <w:spacing w:before="240"/>
            </w:pPr>
            <w:r w:rsidRPr="007D63F4">
              <w:t>Stockholm den 20 januari 2011</w:t>
            </w:r>
          </w:p>
        </w:tc>
        <w:tc>
          <w:tcPr>
            <w:tcW w:w="3047" w:type="dxa"/>
          </w:tcPr>
          <w:p w:rsidR="00B4408B" w:rsidRPr="007D63F4" w:rsidRDefault="00B4408B">
            <w:pPr>
              <w:pStyle w:val="Underskrifter"/>
              <w:spacing w:before="240"/>
            </w:pPr>
          </w:p>
        </w:tc>
      </w:tr>
      <w:tr w:rsidR="00000000" w:rsidRPr="007D63F4">
        <w:trPr>
          <w:cantSplit/>
        </w:trPr>
        <w:tc>
          <w:tcPr>
            <w:tcW w:w="3046" w:type="dxa"/>
          </w:tcPr>
          <w:p w:rsidR="00B4408B" w:rsidRPr="007D63F4" w:rsidRDefault="00B4408B">
            <w:pPr>
              <w:pStyle w:val="Underskrifter"/>
            </w:pPr>
            <w:r w:rsidRPr="007D63F4">
              <w:t>Björn von Sydow (S)</w:t>
            </w:r>
          </w:p>
        </w:tc>
        <w:tc>
          <w:tcPr>
            <w:tcW w:w="3046" w:type="dxa"/>
          </w:tcPr>
          <w:p w:rsidR="00B4408B" w:rsidRPr="007D63F4" w:rsidRDefault="00B4408B">
            <w:pPr>
              <w:pStyle w:val="Underskrifter"/>
            </w:pPr>
          </w:p>
        </w:tc>
      </w:tr>
      <w:tr w:rsidR="00000000" w:rsidRPr="007D63F4">
        <w:trPr>
          <w:cantSplit/>
        </w:trPr>
        <w:tc>
          <w:tcPr>
            <w:tcW w:w="3046" w:type="dxa"/>
          </w:tcPr>
          <w:p w:rsidR="00B4408B" w:rsidRPr="007D63F4" w:rsidRDefault="00B4408B">
            <w:pPr>
              <w:pStyle w:val="Underskrifter"/>
            </w:pPr>
            <w:r w:rsidRPr="007D63F4">
              <w:t>Urban Ahlin (S)</w:t>
            </w:r>
          </w:p>
        </w:tc>
        <w:tc>
          <w:tcPr>
            <w:tcW w:w="3046" w:type="dxa"/>
          </w:tcPr>
          <w:p w:rsidR="00B4408B" w:rsidRPr="007D63F4" w:rsidRDefault="00B4408B">
            <w:pPr>
              <w:pStyle w:val="Underskrifter"/>
            </w:pPr>
            <w:r w:rsidRPr="007D63F4">
              <w:t>Carina Hägg (S)</w:t>
            </w:r>
          </w:p>
        </w:tc>
      </w:tr>
      <w:tr w:rsidR="00000000" w:rsidRPr="007D63F4">
        <w:trPr>
          <w:cantSplit/>
        </w:trPr>
        <w:tc>
          <w:tcPr>
            <w:tcW w:w="3046" w:type="dxa"/>
          </w:tcPr>
          <w:p w:rsidR="00B4408B" w:rsidRPr="007D63F4" w:rsidRDefault="00B4408B">
            <w:pPr>
              <w:pStyle w:val="Underskrifter"/>
            </w:pPr>
            <w:r w:rsidRPr="007D63F4">
              <w:t>Kent Härstedt (S)</w:t>
            </w:r>
          </w:p>
        </w:tc>
        <w:tc>
          <w:tcPr>
            <w:tcW w:w="3046" w:type="dxa"/>
          </w:tcPr>
          <w:p w:rsidR="00B4408B" w:rsidRPr="007D63F4" w:rsidRDefault="00B4408B">
            <w:pPr>
              <w:pStyle w:val="Underskrifter"/>
            </w:pPr>
            <w:r w:rsidRPr="007D63F4">
              <w:t>Kenneth G Forslund (S)</w:t>
            </w:r>
          </w:p>
        </w:tc>
      </w:tr>
      <w:tr w:rsidR="00000000" w:rsidRPr="007D63F4">
        <w:trPr>
          <w:cantSplit/>
        </w:trPr>
        <w:tc>
          <w:tcPr>
            <w:tcW w:w="3046" w:type="dxa"/>
          </w:tcPr>
          <w:p w:rsidR="00B4408B" w:rsidRPr="007D63F4" w:rsidRDefault="00B4408B">
            <w:pPr>
              <w:pStyle w:val="Underskrifter"/>
            </w:pPr>
            <w:r w:rsidRPr="007D63F4">
              <w:t>Carin Runeson (S)</w:t>
            </w:r>
          </w:p>
        </w:tc>
        <w:tc>
          <w:tcPr>
            <w:tcW w:w="3046" w:type="dxa"/>
          </w:tcPr>
          <w:p w:rsidR="00B4408B" w:rsidRPr="007D63F4" w:rsidRDefault="00B4408B">
            <w:pPr>
              <w:pStyle w:val="Underskrifter"/>
            </w:pPr>
            <w:r w:rsidRPr="007D63F4">
              <w:t>Olle Thorell (S)</w:t>
            </w:r>
          </w:p>
        </w:tc>
      </w:tr>
      <w:tr w:rsidR="00000000" w:rsidRPr="007D63F4">
        <w:trPr>
          <w:cantSplit/>
        </w:trPr>
        <w:tc>
          <w:tcPr>
            <w:tcW w:w="3046" w:type="dxa"/>
          </w:tcPr>
          <w:p w:rsidR="00B4408B" w:rsidRPr="007D63F4" w:rsidRDefault="00B4408B">
            <w:pPr>
              <w:pStyle w:val="Underskrifter"/>
            </w:pPr>
            <w:r w:rsidRPr="007D63F4">
              <w:t>Tommy Waidelich (S)</w:t>
            </w:r>
          </w:p>
        </w:tc>
        <w:tc>
          <w:tcPr>
            <w:tcW w:w="3046" w:type="dxa"/>
          </w:tcPr>
          <w:p w:rsidR="00B4408B" w:rsidRPr="007D63F4" w:rsidRDefault="00B4408B">
            <w:pPr>
              <w:pStyle w:val="Underskrifter"/>
            </w:pPr>
          </w:p>
        </w:tc>
      </w:tr>
    </w:tbl>
    <w:p w:rsidR="00B4408B" w:rsidRPr="007D63F4" w:rsidRDefault="00B4408B">
      <w:pPr>
        <w:pStyle w:val="Normaltindrag"/>
      </w:pPr>
    </w:p>
    <w:sectPr w:rsidR="00B4408B" w:rsidRPr="007D63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408B" w:rsidRPr="007D63F4" w:rsidRDefault="00B4408B">
      <w:r w:rsidRPr="007D63F4">
        <w:separator/>
      </w:r>
    </w:p>
  </w:endnote>
  <w:endnote w:type="continuationSeparator" w:id="0">
    <w:p w:rsidR="00B4408B" w:rsidRPr="007D63F4" w:rsidRDefault="00B4408B">
      <w:r w:rsidRPr="007D63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08B" w:rsidRPr="007D63F4" w:rsidRDefault="007D63F4">
    <w:pPr>
      <w:pStyle w:val="Sidfot"/>
    </w:pPr>
    <w:r w:rsidRPr="007D63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28379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08B" w:rsidRDefault="00B4408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408B" w:rsidRDefault="00B4408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08B" w:rsidRPr="007D63F4" w:rsidRDefault="007D63F4">
    <w:pPr>
      <w:pStyle w:val="Sidfot"/>
    </w:pPr>
    <w:r w:rsidRPr="007D63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47858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08B" w:rsidRDefault="00B4408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408B" w:rsidRDefault="00B4408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08B" w:rsidRPr="007D63F4" w:rsidRDefault="007D63F4">
    <w:pPr>
      <w:pStyle w:val="Sidfot"/>
    </w:pPr>
    <w:r w:rsidRPr="007D63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5265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08B" w:rsidRDefault="00B440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408B" w:rsidRDefault="00B440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408B" w:rsidRPr="007D63F4" w:rsidRDefault="00B4408B">
      <w:r w:rsidRPr="007D63F4">
        <w:separator/>
      </w:r>
    </w:p>
  </w:footnote>
  <w:footnote w:type="continuationSeparator" w:id="0">
    <w:p w:rsidR="00B4408B" w:rsidRPr="007D63F4" w:rsidRDefault="00B4408B">
      <w:r w:rsidRPr="007D63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08B" w:rsidRPr="007D63F4" w:rsidRDefault="007D63F4">
    <w:pPr>
      <w:pStyle w:val="Sidhuvud"/>
    </w:pPr>
    <w:r w:rsidRPr="007D63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26155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08B" w:rsidRDefault="00B4408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408B" w:rsidRDefault="00B4408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08B" w:rsidRPr="007D63F4" w:rsidRDefault="007D63F4">
    <w:pPr>
      <w:pStyle w:val="Sidhuvud"/>
    </w:pPr>
    <w:r w:rsidRPr="007D63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00158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08B" w:rsidRDefault="00B4408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408B" w:rsidRDefault="00B4408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08B" w:rsidRPr="007D63F4" w:rsidRDefault="00B4408B">
    <w:pPr>
      <w:pStyle w:val="FSHNormal"/>
      <w:tabs>
        <w:tab w:val="right" w:pos="5840"/>
      </w:tabs>
    </w:pPr>
    <w:r w:rsidRPr="007D63F4">
      <w:br/>
    </w:r>
    <w:r w:rsidRPr="007D63F4">
      <w:fldChar w:fldCharType="begin" w:fldLock="1"/>
    </w:r>
    <w:r w:rsidRPr="007D63F4">
      <w:instrText xml:space="preserve"> DOCPROPERTY</w:instrText>
    </w:r>
    <w:r w:rsidRPr="007D63F4">
      <w:rPr>
        <w:sz w:val="18"/>
      </w:rPr>
      <w:instrText xml:space="preserve"> "YearUser" *\charformat </w:instrText>
    </w:r>
    <w:r w:rsidRPr="007D63F4">
      <w:fldChar w:fldCharType="separate"/>
    </w:r>
    <w:r w:rsidRPr="007D63F4">
      <w:t>2010/11</w:t>
    </w:r>
    <w:r w:rsidRPr="007D63F4">
      <w:fldChar w:fldCharType="end"/>
    </w:r>
    <w:r w:rsidRPr="007D63F4">
      <w:t xml:space="preserve"> </w:t>
    </w:r>
    <w:r w:rsidRPr="007D63F4">
      <w:tab/>
      <w:t xml:space="preserve">mnr: </w:t>
    </w:r>
    <w:r w:rsidRPr="007D63F4">
      <w:fldChar w:fldCharType="begin" w:fldLock="1"/>
    </w:r>
    <w:r w:rsidRPr="007D63F4">
      <w:instrText xml:space="preserve"> DOCPROPERTY</w:instrText>
    </w:r>
    <w:r w:rsidRPr="007D63F4">
      <w:rPr>
        <w:sz w:val="18"/>
      </w:rPr>
      <w:instrText xml:space="preserve"> "Motionsnummer" *\charformat </w:instrText>
    </w:r>
    <w:r w:rsidRPr="007D63F4">
      <w:fldChar w:fldCharType="separate"/>
    </w:r>
    <w:r w:rsidRPr="007D63F4">
      <w:t>U6</w:t>
    </w:r>
    <w:r w:rsidRPr="007D63F4">
      <w:fldChar w:fldCharType="end"/>
    </w:r>
    <w:r w:rsidRPr="007D63F4">
      <w:br/>
    </w:r>
    <w:r w:rsidRPr="007D63F4">
      <w:fldChar w:fldCharType="begin" w:fldLock="1"/>
    </w:r>
    <w:r w:rsidRPr="007D63F4">
      <w:instrText xml:space="preserve"> DOCPROPERTY</w:instrText>
    </w:r>
    <w:r w:rsidRPr="007D63F4">
      <w:rPr>
        <w:sz w:val="18"/>
      </w:rPr>
      <w:instrText xml:space="preserve"> "Samling" *\charformat </w:instrText>
    </w:r>
    <w:r w:rsidRPr="007D63F4">
      <w:fldChar w:fldCharType="end"/>
    </w:r>
    <w:r w:rsidRPr="007D63F4">
      <w:tab/>
      <w:t xml:space="preserve">pnr: </w:t>
    </w:r>
    <w:r w:rsidRPr="007D63F4">
      <w:fldChar w:fldCharType="begin" w:fldLock="1"/>
    </w:r>
    <w:r w:rsidRPr="007D63F4">
      <w:instrText xml:space="preserve"> DOCPROPERTY</w:instrText>
    </w:r>
    <w:r w:rsidRPr="007D63F4">
      <w:rPr>
        <w:sz w:val="18"/>
      </w:rPr>
      <w:instrText xml:space="preserve"> "Partinummer" *\charformat </w:instrText>
    </w:r>
    <w:r w:rsidRPr="007D63F4">
      <w:fldChar w:fldCharType="separate"/>
    </w:r>
    <w:r w:rsidRPr="007D63F4">
      <w:t>S92029</w:t>
    </w:r>
    <w:r w:rsidRPr="007D63F4">
      <w:fldChar w:fldCharType="end"/>
    </w:r>
  </w:p>
  <w:p w:rsidR="00B4408B" w:rsidRPr="007D63F4" w:rsidRDefault="00B4408B">
    <w:pPr>
      <w:pStyle w:val="FSHRub1"/>
    </w:pPr>
    <w:r w:rsidRPr="007D63F4">
      <w:t>Motion till riksdagen</w:t>
    </w:r>
    <w:r w:rsidRPr="007D63F4">
      <w:br/>
    </w:r>
    <w:r w:rsidRPr="007D63F4">
      <w:fldChar w:fldCharType="begin" w:fldLock="1"/>
    </w:r>
    <w:r w:rsidRPr="007D63F4">
      <w:instrText xml:space="preserve"> DOCPROPERTY "YearUser" *\charformat </w:instrText>
    </w:r>
    <w:r w:rsidRPr="007D63F4">
      <w:fldChar w:fldCharType="separate"/>
    </w:r>
    <w:r w:rsidRPr="007D63F4">
      <w:t>2010/11</w:t>
    </w:r>
    <w:r w:rsidRPr="007D63F4">
      <w:fldChar w:fldCharType="end"/>
    </w:r>
    <w:r w:rsidRPr="007D63F4">
      <w:t>:</w:t>
    </w:r>
    <w:r w:rsidRPr="007D63F4">
      <w:fldChar w:fldCharType="begin" w:fldLock="1"/>
    </w:r>
    <w:r w:rsidRPr="007D63F4">
      <w:instrText xml:space="preserve"> DOCPROPERTY "Motionsnummer" *\charformat </w:instrText>
    </w:r>
    <w:r w:rsidRPr="007D63F4">
      <w:fldChar w:fldCharType="separate"/>
    </w:r>
    <w:r w:rsidRPr="007D63F4">
      <w:t>U6</w:t>
    </w:r>
    <w:r w:rsidRPr="007D63F4">
      <w:fldChar w:fldCharType="end"/>
    </w:r>
  </w:p>
  <w:p w:rsidR="00B4408B" w:rsidRPr="007D63F4" w:rsidRDefault="00B4408B">
    <w:pPr>
      <w:pStyle w:val="FSHNormalS5"/>
    </w:pPr>
    <w:r w:rsidRPr="007D63F4">
      <w:fldChar w:fldCharType="begin" w:fldLock="1"/>
    </w:r>
    <w:r w:rsidRPr="007D63F4">
      <w:instrText xml:space="preserve"> DOCPROPERTY "MotionarText" *\charformat </w:instrText>
    </w:r>
    <w:r w:rsidRPr="007D63F4">
      <w:fldChar w:fldCharType="separate"/>
    </w:r>
    <w:r w:rsidRPr="007D63F4">
      <w:t>av Björn von Sydow m.fl. (S)</w:t>
    </w:r>
    <w:r w:rsidRPr="007D63F4">
      <w:fldChar w:fldCharType="end"/>
    </w:r>
    <w:r w:rsidRPr="007D63F4">
      <w:br/>
    </w:r>
    <w:r w:rsidRPr="007D63F4">
      <w:fldChar w:fldCharType="begin" w:fldLock="1"/>
    </w:r>
    <w:r w:rsidRPr="007D63F4">
      <w:instrText xml:space="preserve"> DOCPROPERTY "SvarFrasKort" *\charformat </w:instrText>
    </w:r>
    <w:r w:rsidRPr="007D63F4">
      <w:fldChar w:fldCharType="separate"/>
    </w:r>
    <w:r w:rsidRPr="007D63F4">
      <w:t>med anledning av skr. 2010/11:54</w:t>
    </w:r>
    <w:r w:rsidRPr="007D63F4">
      <w:fldChar w:fldCharType="end"/>
    </w:r>
  </w:p>
  <w:p w:rsidR="00B4408B" w:rsidRPr="007D63F4" w:rsidRDefault="00B4408B">
    <w:pPr>
      <w:pStyle w:val="FSHTitel"/>
    </w:pPr>
    <w:r w:rsidRPr="007D63F4">
      <w:fldChar w:fldCharType="begin" w:fldLock="1"/>
    </w:r>
    <w:r w:rsidRPr="007D63F4">
      <w:instrText xml:space="preserve"> DOCPROPERTY</w:instrText>
    </w:r>
    <w:r w:rsidRPr="007D63F4">
      <w:rPr>
        <w:sz w:val="18"/>
      </w:rPr>
      <w:instrText xml:space="preserve"> "RubrikSvar" *\charformat </w:instrText>
    </w:r>
    <w:r w:rsidRPr="007D63F4">
      <w:fldChar w:fldCharType="separate"/>
    </w:r>
    <w:r w:rsidRPr="007D63F4">
      <w:t>Redogörelse för verksamheten inom Europarådets ministerkommitté m.m. år 2009 samt första halvåret 2010</w:t>
    </w:r>
    <w:r w:rsidRPr="007D63F4">
      <w:fldChar w:fldCharType="end"/>
    </w:r>
  </w:p>
  <w:p w:rsidR="00B4408B" w:rsidRPr="007D63F4" w:rsidRDefault="00B4408B">
    <w:pPr>
      <w:pStyle w:val="Normal00"/>
    </w:pPr>
  </w:p>
  <w:p w:rsidR="00B4408B" w:rsidRPr="007D63F4" w:rsidRDefault="00B440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001"/>
    <w:multiLevelType w:val="hybridMultilevel"/>
    <w:tmpl w:val="FB9C45C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A26F8"/>
    <w:multiLevelType w:val="hybridMultilevel"/>
    <w:tmpl w:val="46DCF976"/>
    <w:lvl w:ilvl="0" w:tplc="2E028B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8F80E97"/>
    <w:multiLevelType w:val="hybridMultilevel"/>
    <w:tmpl w:val="B4AE1EC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026521820">
    <w:abstractNumId w:val="3"/>
  </w:num>
  <w:num w:numId="2" w16cid:durableId="336270205">
    <w:abstractNumId w:val="2"/>
  </w:num>
  <w:num w:numId="3" w16cid:durableId="1655186099">
    <w:abstractNumId w:val="1"/>
  </w:num>
  <w:num w:numId="4" w16cid:durableId="1951356742">
    <w:abstractNumId w:val="0"/>
  </w:num>
  <w:num w:numId="5" w16cid:durableId="1729113332">
    <w:abstractNumId w:val="7"/>
  </w:num>
  <w:num w:numId="6" w16cid:durableId="1094663965">
    <w:abstractNumId w:val="6"/>
  </w:num>
  <w:num w:numId="7" w16cid:durableId="1873374451">
    <w:abstractNumId w:val="5"/>
  </w:num>
  <w:num w:numId="8" w16cid:durableId="69347886">
    <w:abstractNumId w:val="4"/>
  </w:num>
  <w:num w:numId="9" w16cid:durableId="1435514938">
    <w:abstractNumId w:val="8"/>
  </w:num>
  <w:num w:numId="10" w16cid:durableId="1168515662">
    <w:abstractNumId w:val="9"/>
  </w:num>
  <w:num w:numId="11" w16cid:durableId="809054929">
    <w:abstractNumId w:val="11"/>
  </w:num>
  <w:num w:numId="12" w16cid:durableId="1041515462">
    <w:abstractNumId w:val="15"/>
  </w:num>
  <w:num w:numId="13" w16cid:durableId="1261989149">
    <w:abstractNumId w:val="17"/>
  </w:num>
  <w:num w:numId="14" w16cid:durableId="780144681">
    <w:abstractNumId w:val="18"/>
  </w:num>
  <w:num w:numId="15" w16cid:durableId="685325664">
    <w:abstractNumId w:val="12"/>
  </w:num>
  <w:num w:numId="16" w16cid:durableId="1329211958">
    <w:abstractNumId w:val="20"/>
  </w:num>
  <w:num w:numId="17" w16cid:durableId="424770099">
    <w:abstractNumId w:val="19"/>
  </w:num>
  <w:num w:numId="18" w16cid:durableId="1393772054">
    <w:abstractNumId w:val="16"/>
  </w:num>
  <w:num w:numId="19" w16cid:durableId="1931087184">
    <w:abstractNumId w:val="13"/>
  </w:num>
  <w:num w:numId="20" w16cid:durableId="1722947090">
    <w:abstractNumId w:val="14"/>
  </w:num>
  <w:num w:numId="21" w16cid:durableId="1810856754">
    <w:abstractNumId w:val="10"/>
  </w:num>
  <w:num w:numId="22" w16cid:durableId="19822286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82C3FA83-7AA3-44A1-B2DB-E57937F7F577},{CCCD36E1-6279-4FAC-BDE3-C3DFB6CBBFF7},{39D62049-33A8-4B42-A320-9C90309F2B1C},{989ED6AF-5CAF-4ED1-89D7-45B8995D4120},{F138B05C-621D-42C9-AC2D-90AC85274582},{56D55535-ACDA-45DF-AC61-E5947427103D},{D56E0363-C37A-4E5D-BF4C-D94F967E42CA},{7594C8A9-CEC7-4534-94CB-47347B1A684C}"/>
  </w:docVars>
  <w:rsids>
    <w:rsidRoot w:val="00A969BF"/>
    <w:rsid w:val="007D63F4"/>
    <w:rsid w:val="00A969BF"/>
    <w:rsid w:val="00B440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8BEB3B-955C-4B88-9C95-FE338324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1134</Words>
  <Characters>6805</Characters>
  <Application>Microsoft Office Word</Application>
  <DocSecurity>4</DocSecurity>
  <Lines>128</Lines>
  <Paragraphs>37</Paragraphs>
  <ScaleCrop>false</ScaleCrop>
  <HeadingPairs>
    <vt:vector size="2" baseType="variant">
      <vt:variant>
        <vt:lpstr>Rubrik</vt:lpstr>
      </vt:variant>
      <vt:variant>
        <vt:i4>1</vt:i4>
      </vt:variant>
    </vt:vector>
  </HeadingPairs>
  <TitlesOfParts>
    <vt:vector size="1" baseType="lpstr">
      <vt:lpstr>S92029</vt:lpstr>
    </vt:vector>
  </TitlesOfParts>
  <Company>Riksdagen</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S92029</dc:title>
  <dc:subject>S92029</dc:subject>
  <dc:creator>Riksdagen</dc:creator>
  <cp:keywords>Riksdagen</cp:keywords>
  <dc:description>Versal/gemen i partibeteckning. Gemen i tryck för 0910, versal för 1011 och nyare</dc:description>
  <cp:lastModifiedBy>Lars Brink</cp:lastModifiedBy>
  <cp:revision>2</cp:revision>
  <cp:lastPrinted>2011-01-25T10:04:00Z</cp:lastPrinted>
  <dcterms:created xsi:type="dcterms:W3CDTF">2025-12-17T17:54:00Z</dcterms:created>
  <dcterms:modified xsi:type="dcterms:W3CDTF">2025-12-17T17:54:00Z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mot2000_524_2011-01-14</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skr. 2010/11:54 Redogörelse för verksamheten inom Europarådets ministerkommitté m.m. år 2009 samt första halvåret 2010</vt:lpwstr>
  </property>
  <property fmtid="{D5CDD505-2E9C-101B-9397-08002B2CF9AE}" pid="11" name="SvarFrasKort">
    <vt:lpwstr>med anledning av skr. 2010/11:54</vt:lpwstr>
  </property>
  <property fmtid="{D5CDD505-2E9C-101B-9397-08002B2CF9AE}" pid="12" name="Svar">
    <vt:lpwstr>Regeringsskrivelse</vt:lpwstr>
  </property>
  <property fmtid="{D5CDD505-2E9C-101B-9397-08002B2CF9AE}" pid="13" name="SvarNr">
    <vt:lpwstr>2010/11:54</vt:lpwstr>
  </property>
  <property fmtid="{D5CDD505-2E9C-101B-9397-08002B2CF9AE}" pid="14" name="RubrikSvar">
    <vt:lpwstr>Redogörelse för verksamheten inom Europarådets ministerkommitté m.m. år 2009 samt första halvåret 2010</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S92029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Björn von Sydow m.fl. (S)</vt:lpwstr>
  </property>
  <property fmtid="{D5CDD505-2E9C-101B-9397-08002B2CF9AE}" pid="26" name="MotionarLista">
    <vt:lpwstr>von Sydow, Björn (S)\Ahlin, Urban (S)\Hägg, Carina (S)\Härstedt, Kent (S)\G Forslund, Kenneth (S)\Runeson, Carin (S)\Thorell, Olle (S)\Waidelich,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von Sydow (S), Urban Ahlin (S), Carina Hägg (S), Kent Härstedt (S), Kenneth G Forslund (S), Carin Runeson (S), Olle Thorell (S), Tommy Waidelich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januari 2011</vt:lpwstr>
  </property>
  <property fmtid="{D5CDD505-2E9C-101B-9397-08002B2CF9AE}" pid="44" name="NotesUID">
    <vt:lpwstr>christina.bolin@riksdagen.se</vt:lpwstr>
  </property>
  <property fmtid="{D5CDD505-2E9C-101B-9397-08002B2CF9AE}" pid="45" name="ReservUID">
    <vt:lpwstr>ca0511aa</vt:lpwstr>
  </property>
  <property fmtid="{D5CDD505-2E9C-101B-9397-08002B2CF9AE}" pid="46" name="MotionID">
    <vt:lpwstr>20102011000000000083000920290075</vt:lpwstr>
  </property>
  <property fmtid="{D5CDD505-2E9C-101B-9397-08002B2CF9AE}" pid="47" name="datum">
    <vt:lpwstr>110120</vt:lpwstr>
  </property>
  <property fmtid="{D5CDD505-2E9C-101B-9397-08002B2CF9AE}" pid="48" name="avsändar-e-post">
    <vt:lpwstr>christina.bolin@riksdagen.se</vt:lpwstr>
  </property>
  <property fmtid="{D5CDD505-2E9C-101B-9397-08002B2CF9AE}" pid="49" name="id">
    <vt:lpwstr>20102011000000000083000920290075</vt:lpwstr>
  </property>
  <property fmtid="{D5CDD505-2E9C-101B-9397-08002B2CF9AE}" pid="50" name="nummer">
    <vt:lpwstr>6</vt:lpwstr>
  </property>
  <property fmtid="{D5CDD505-2E9C-101B-9397-08002B2CF9AE}" pid="51" name="utskottsbeteckning">
    <vt:lpwstr>U</vt:lpwstr>
  </property>
  <property fmtid="{D5CDD505-2E9C-101B-9397-08002B2CF9AE}" pid="52" name="GlobalUID">
    <vt:lpwstr>{063073F6-C310-4816-A1B0-F36787D9592C}</vt:lpwstr>
  </property>
  <property fmtid="{D5CDD505-2E9C-101B-9397-08002B2CF9AE}" pid="53" name="Överföringar">
    <vt:i4>0</vt:i4>
  </property>
  <property fmtid="{D5CDD505-2E9C-101B-9397-08002B2CF9AE}" pid="54" name="Checksum">
    <vt:lpwstr>*0018364354233*</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110502 17:29:49.993</vt:lpwstr>
  </property>
  <property fmtid="{D5CDD505-2E9C-101B-9397-08002B2CF9AE}" pid="58" name="urixGuid">
    <vt:lpwstr>{E6A826BB-3860-4154-9524-B4CFA3FE0582}</vt:lpwstr>
  </property>
</Properties>
</file>