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C1692B" w:rsidTr="00E1670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1692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C1692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E1670B" w:rsidRPr="00C1692B" w:rsidTr="00E1670B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E1670B" w:rsidRPr="00C1692B" w:rsidRDefault="00E1670B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1692B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C1692B" w:rsidTr="00E1670B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C1692B" w:rsidRDefault="008202DF" w:rsidP="007242A3">
            <w:pPr>
              <w:framePr w:w="5035" w:h="1644" w:wrap="notBeside" w:vAnchor="page" w:hAnchor="page" w:x="6573" w:y="721"/>
            </w:pPr>
            <w:r w:rsidRPr="00C1692B">
              <w:t>Bilaga 3</w:t>
            </w:r>
          </w:p>
        </w:tc>
        <w:tc>
          <w:tcPr>
            <w:tcW w:w="1865" w:type="dxa"/>
          </w:tcPr>
          <w:p w:rsidR="006E4E11" w:rsidRPr="00C1692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1692B" w:rsidTr="00E1670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1692B" w:rsidRDefault="00E1670B" w:rsidP="007242A3">
            <w:pPr>
              <w:framePr w:w="5035" w:h="1644" w:wrap="notBeside" w:vAnchor="page" w:hAnchor="page" w:x="6573" w:y="721"/>
            </w:pPr>
            <w:r w:rsidRPr="00C1692B">
              <w:t>2011-12-08</w:t>
            </w:r>
          </w:p>
        </w:tc>
        <w:tc>
          <w:tcPr>
            <w:tcW w:w="2999" w:type="dxa"/>
            <w:gridSpan w:val="2"/>
          </w:tcPr>
          <w:p w:rsidR="006E4E11" w:rsidRPr="00C1692B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C1692B" w:rsidTr="00E1670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1692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C1692B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536C1A" w:rsidRPr="00C1692B" w:rsidRDefault="00536C1A" w:rsidP="00536C1A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C169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692B" w:rsidRDefault="00E1670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1692B"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:rsidRPr="00C169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692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69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692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69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692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69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692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69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692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69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692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C1692B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E1670B" w:rsidRPr="00C1692B" w:rsidRDefault="00E1670B" w:rsidP="00E1670B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1692B">
        <w:t>Miljörådets möte 19 december</w:t>
      </w:r>
    </w:p>
    <w:p w:rsidR="005168B6" w:rsidRPr="00C1692B" w:rsidRDefault="005168B6">
      <w:pPr>
        <w:pStyle w:val="RKnormal"/>
        <w:rPr>
          <w:b/>
        </w:rPr>
      </w:pPr>
    </w:p>
    <w:p w:rsidR="008202DF" w:rsidRPr="00C1692B" w:rsidRDefault="008202DF" w:rsidP="008202DF">
      <w:pPr>
        <w:pStyle w:val="RKnormal"/>
      </w:pPr>
      <w:r w:rsidRPr="00C1692B">
        <w:t>Dagordningspunkt 5</w:t>
      </w:r>
    </w:p>
    <w:p w:rsidR="008202DF" w:rsidRPr="00C1692B" w:rsidRDefault="008202DF" w:rsidP="008202DF">
      <w:r w:rsidRPr="00C1692B">
        <w:t>Förslag till Europaparlamentets och rådets direktiv om åtgärder för att förebygga och begränsa följderna av allvarliga olyckshändelser där farliga ämnen ingår</w:t>
      </w:r>
    </w:p>
    <w:p w:rsidR="008202DF" w:rsidRPr="00C1692B" w:rsidRDefault="008202DF" w:rsidP="008202DF">
      <w:pPr>
        <w:pStyle w:val="RKnormal"/>
        <w:rPr>
          <w:b/>
        </w:rPr>
      </w:pPr>
    </w:p>
    <w:p w:rsidR="008202DF" w:rsidRPr="00C1692B" w:rsidRDefault="008202DF" w:rsidP="008202DF">
      <w:r w:rsidRPr="00C1692B">
        <w:t xml:space="preserve">Dokument: 18257/10 </w:t>
      </w:r>
    </w:p>
    <w:p w:rsidR="008202DF" w:rsidRPr="00C1692B" w:rsidRDefault="008202DF" w:rsidP="008202DF">
      <w:pPr>
        <w:pStyle w:val="RKnormal"/>
      </w:pPr>
    </w:p>
    <w:p w:rsidR="008202DF" w:rsidRPr="00C1692B" w:rsidRDefault="008202DF" w:rsidP="008202DF">
      <w:r w:rsidRPr="00C1692B">
        <w:t>Tidigare dokument:  17404/11(fyrkolonsdokument med EP, KOM och Rådet och ORDF. PL kompromissförslag)</w:t>
      </w:r>
    </w:p>
    <w:p w:rsidR="008202DF" w:rsidRPr="00C1692B" w:rsidRDefault="008202DF" w:rsidP="008202DF">
      <w:r w:rsidRPr="00C1692B">
        <w:t>13371/11 förslaget till direktiv</w:t>
      </w:r>
    </w:p>
    <w:p w:rsidR="008202DF" w:rsidRPr="00C1692B" w:rsidRDefault="008202DF" w:rsidP="008202DF">
      <w:pPr>
        <w:pStyle w:val="RKnormal"/>
      </w:pPr>
      <w:r w:rsidRPr="00C1692B">
        <w:t xml:space="preserve">        </w:t>
      </w:r>
    </w:p>
    <w:p w:rsidR="008202DF" w:rsidRPr="00C1692B" w:rsidRDefault="008202DF" w:rsidP="008202DF">
      <w:pPr>
        <w:pStyle w:val="RKnormal"/>
      </w:pPr>
      <w:r w:rsidRPr="00C1692B">
        <w:t>Tidigare behandlad</w:t>
      </w:r>
      <w:r w:rsidR="00DE1DA7" w:rsidRPr="00C1692B">
        <w:t xml:space="preserve"> vid samråd med EU-nämnden:  17 juni 2011</w:t>
      </w:r>
    </w:p>
    <w:p w:rsidR="00E1670B" w:rsidRPr="00C1692B" w:rsidRDefault="00E1670B">
      <w:pPr>
        <w:pStyle w:val="RKrubrik"/>
      </w:pPr>
      <w:r w:rsidRPr="00C1692B">
        <w:t>Bakgrund</w:t>
      </w:r>
    </w:p>
    <w:p w:rsidR="00AA7651" w:rsidRPr="00C1692B" w:rsidRDefault="00AA7651" w:rsidP="00AA7651">
      <w:pPr>
        <w:pStyle w:val="RKnormal"/>
        <w:jc w:val="both"/>
      </w:pPr>
      <w:r w:rsidRPr="00C1692B">
        <w:t>Rådets direktiv 96/82/EG om åtgärder för att förebygga och begränsa följderna av allvarliga olyckshändelser där farliga ämnen ingår (Seveso II-direktivet) antogs den 9 december 1996. Direktivet trädde i kraft den 3 februari 1997 och</w:t>
      </w:r>
      <w:r w:rsidR="00E8011C" w:rsidRPr="00C1692B">
        <w:t xml:space="preserve"> skulle vara infört i nationell</w:t>
      </w:r>
      <w:r w:rsidRPr="00C1692B">
        <w:t xml:space="preserve"> lagstiftning senast</w:t>
      </w:r>
      <w:r w:rsidR="00E8011C" w:rsidRPr="00C1692B">
        <w:t xml:space="preserve"> den 3 februari 1999. Seveso-II-</w:t>
      </w:r>
      <w:r w:rsidRPr="00C1692B">
        <w:t xml:space="preserve">direktivet ersatte det tidigare Seveso-I-direktivet (rådets direktiv av den 24 juni 1982 om risker för storolyckor i vissa industriella verksamheter (82/501/EEG). </w:t>
      </w:r>
    </w:p>
    <w:p w:rsidR="00AA7651" w:rsidRPr="00C1692B" w:rsidRDefault="00AA7651" w:rsidP="00AA7651">
      <w:pPr>
        <w:pStyle w:val="RKnormal"/>
      </w:pPr>
    </w:p>
    <w:p w:rsidR="00AA7651" w:rsidRPr="00C1692B" w:rsidRDefault="00AA7651" w:rsidP="00AA7651">
      <w:pPr>
        <w:pStyle w:val="RKnormal"/>
        <w:jc w:val="both"/>
      </w:pPr>
      <w:r w:rsidRPr="00C1692B">
        <w:t xml:space="preserve">Seveso-II-direktivet anger tröskelnivåer för ett antal kemiska ämnen. </w:t>
      </w:r>
      <w:r w:rsidR="00E8011C" w:rsidRPr="00C1692B">
        <w:t xml:space="preserve">Direktivet är generellt tillämpligt på samtliga verksamheter med förekomsten av ämnen som överskrider direktivets tröskelvärden. Dessa verksamheter kan falla inom en av två kravnivåer – en </w:t>
      </w:r>
      <w:r w:rsidRPr="00C1692B">
        <w:t xml:space="preserve">högre och en lägre.  Vilken kravnivå en verksamhet omfattas av är beroende av vilken typ och i vilken omfattning farliga ämnen förekommer i verksamhen. </w:t>
      </w:r>
    </w:p>
    <w:p w:rsidR="00F30C1C" w:rsidRPr="00C1692B" w:rsidRDefault="00AA7651" w:rsidP="005168B6">
      <w:pPr>
        <w:pStyle w:val="RKnormal"/>
        <w:jc w:val="both"/>
      </w:pPr>
      <w:r w:rsidRPr="00C1692B">
        <w:t xml:space="preserve">Seveso II-direktivet innefattar ett antal skyldigheter för utövare av Seveso-verksamheter. Skyldigheterna är delvis olika för verksamheter </w:t>
      </w:r>
      <w:r w:rsidR="00F7317F" w:rsidRPr="00C1692B">
        <w:t>i högre</w:t>
      </w:r>
      <w:r w:rsidRPr="00C1692B">
        <w:t xml:space="preserve"> respektive lägre kravnivå. Samtliga verksamhetsutövare</w:t>
      </w:r>
      <w:r w:rsidR="00E8011C" w:rsidRPr="00C1692B">
        <w:t xml:space="preserve"> är dock</w:t>
      </w:r>
      <w:r w:rsidRPr="00C1692B">
        <w:t xml:space="preserve"> skyldiga att upprätta ett handlingsprogram för hur riskerna för allvarliga kemikalieolyckor ska hanteras. </w:t>
      </w:r>
      <w:r w:rsidR="00F7317F" w:rsidRPr="00C1692B">
        <w:t xml:space="preserve">Verksamheter inom den högre kravnivån är skyldiga att </w:t>
      </w:r>
      <w:r w:rsidR="00F7317F" w:rsidRPr="00C1692B">
        <w:lastRenderedPageBreak/>
        <w:t xml:space="preserve">ta fram en säkerhetsrapport som ska lämnas in till behörig myndighet samt att upprätta en intern plan för räddningsinsatser. </w:t>
      </w:r>
      <w:r w:rsidRPr="00C1692B">
        <w:t>Verksamheter inom</w:t>
      </w:r>
      <w:r w:rsidR="00E8011C" w:rsidRPr="00C1692B">
        <w:t xml:space="preserve"> den</w:t>
      </w:r>
      <w:r w:rsidRPr="00C1692B">
        <w:t xml:space="preserve"> högre kravnivå</w:t>
      </w:r>
      <w:r w:rsidR="00E8011C" w:rsidRPr="00C1692B">
        <w:t>n</w:t>
      </w:r>
      <w:r w:rsidRPr="00C1692B">
        <w:t xml:space="preserve"> ska även </w:t>
      </w:r>
      <w:r w:rsidR="00F7317F" w:rsidRPr="00C1692B">
        <w:t>tillhandahålla obligatorisk</w:t>
      </w:r>
      <w:r w:rsidRPr="00C1692B">
        <w:t xml:space="preserve"> </w:t>
      </w:r>
      <w:r w:rsidR="00F7317F" w:rsidRPr="00C1692B">
        <w:t>information för</w:t>
      </w:r>
      <w:r w:rsidR="00E8011C" w:rsidRPr="00C1692B">
        <w:t xml:space="preserve"> att</w:t>
      </w:r>
      <w:r w:rsidR="00F7317F" w:rsidRPr="00C1692B">
        <w:t xml:space="preserve"> </w:t>
      </w:r>
      <w:r w:rsidRPr="00C1692B">
        <w:t>behöriga myndigheter ska kunna upprätta externa planer för räddningsinsatser.</w:t>
      </w:r>
    </w:p>
    <w:p w:rsidR="00E1670B" w:rsidRPr="00C1692B" w:rsidRDefault="00E1670B">
      <w:pPr>
        <w:pStyle w:val="RKrubrik"/>
      </w:pPr>
      <w:r w:rsidRPr="00C1692B">
        <w:t>Rättslig grund och beslutsförfarande</w:t>
      </w:r>
    </w:p>
    <w:p w:rsidR="00E1670B" w:rsidRPr="00C1692B" w:rsidRDefault="00BC3A20">
      <w:pPr>
        <w:pStyle w:val="RKnormal"/>
      </w:pPr>
      <w:r w:rsidRPr="00C1692B">
        <w:t xml:space="preserve">Förslaget till direktiv baseras </w:t>
      </w:r>
      <w:r w:rsidR="00F7317F" w:rsidRPr="00C1692B">
        <w:t>på Artikel</w:t>
      </w:r>
      <w:r w:rsidR="00AA7651" w:rsidRPr="00C1692B">
        <w:t xml:space="preserve"> 192</w:t>
      </w:r>
      <w:r w:rsidRPr="00C1692B">
        <w:t>.</w:t>
      </w:r>
      <w:r w:rsidR="00AA7651" w:rsidRPr="00C1692B">
        <w:t xml:space="preserve"> (1)</w:t>
      </w:r>
      <w:r w:rsidR="005168B6" w:rsidRPr="00C1692B">
        <w:t xml:space="preserve"> </w:t>
      </w:r>
      <w:r w:rsidRPr="00C1692B">
        <w:t xml:space="preserve">i fördraget om Europeiska </w:t>
      </w:r>
      <w:r w:rsidR="005168B6" w:rsidRPr="00C1692B">
        <w:t>u</w:t>
      </w:r>
      <w:r w:rsidRPr="00C1692B">
        <w:t xml:space="preserve">nionens </w:t>
      </w:r>
      <w:r w:rsidR="005168B6" w:rsidRPr="00C1692B">
        <w:t>f</w:t>
      </w:r>
      <w:r w:rsidRPr="00C1692B">
        <w:t>unktionssätt.</w:t>
      </w:r>
    </w:p>
    <w:p w:rsidR="00E1670B" w:rsidRPr="00C1692B" w:rsidRDefault="00E1670B">
      <w:pPr>
        <w:pStyle w:val="RKrubrik"/>
        <w:rPr>
          <w:i/>
          <w:iCs/>
        </w:rPr>
      </w:pPr>
      <w:r w:rsidRPr="00C1692B">
        <w:rPr>
          <w:i/>
          <w:iCs/>
        </w:rPr>
        <w:t>Svensk ståndpunkt</w:t>
      </w:r>
    </w:p>
    <w:p w:rsidR="003877F7" w:rsidRPr="00C1692B" w:rsidRDefault="003877F7" w:rsidP="003877F7">
      <w:pPr>
        <w:pStyle w:val="RKnormal"/>
      </w:pPr>
      <w:r w:rsidRPr="00C1692B">
        <w:t>Regeringen står i stort bakom förslaget i sin nuvarande form.</w:t>
      </w:r>
    </w:p>
    <w:p w:rsidR="00F30C1C" w:rsidRPr="00C1692B" w:rsidRDefault="00BC3A20" w:rsidP="00F30C1C">
      <w:pPr>
        <w:pStyle w:val="RKnormal"/>
      </w:pPr>
      <w:r w:rsidRPr="00C1692B">
        <w:t>Regeringen</w:t>
      </w:r>
      <w:r w:rsidR="00AA7651" w:rsidRPr="00C1692B">
        <w:t xml:space="preserve"> önskar att ämnet ”uppgraderad biogas</w:t>
      </w:r>
      <w:r w:rsidR="00AA7651" w:rsidRPr="00C1692B">
        <w:rPr>
          <w:b/>
        </w:rPr>
        <w:t>”</w:t>
      </w:r>
      <w:r w:rsidR="00AA7651" w:rsidRPr="00C1692B">
        <w:t xml:space="preserve"> läggs </w:t>
      </w:r>
      <w:r w:rsidR="00F7317F" w:rsidRPr="00C1692B">
        <w:t>till i</w:t>
      </w:r>
      <w:r w:rsidR="00AA7651" w:rsidRPr="00C1692B">
        <w:t xml:space="preserve"> Bilaga 1, del 2</w:t>
      </w:r>
      <w:r w:rsidR="00F7317F" w:rsidRPr="00C1692B">
        <w:t xml:space="preserve"> i förordningen.</w:t>
      </w:r>
      <w:r w:rsidR="00F30C1C" w:rsidRPr="00C1692B">
        <w:t xml:space="preserve"> Det </w:t>
      </w:r>
      <w:r w:rsidR="005168B6" w:rsidRPr="00C1692B">
        <w:t>regeringen</w:t>
      </w:r>
      <w:r w:rsidR="00F30C1C" w:rsidRPr="00C1692B">
        <w:t xml:space="preserve"> vill åstadkomma med detta tillägg är att lagringen av biogas, med en metanhalt på minst 95 %, jämställs med lagring av naturgas. </w:t>
      </w:r>
    </w:p>
    <w:p w:rsidR="00F30C1C" w:rsidRPr="00C1692B" w:rsidRDefault="00F30C1C" w:rsidP="00F30C1C">
      <w:pPr>
        <w:pStyle w:val="RKnormal"/>
      </w:pPr>
    </w:p>
    <w:p w:rsidR="00E1670B" w:rsidRPr="00C1692B" w:rsidRDefault="003877F7">
      <w:pPr>
        <w:pStyle w:val="RKnormal"/>
      </w:pPr>
      <w:r w:rsidRPr="00C1692B">
        <w:t>K</w:t>
      </w:r>
      <w:r w:rsidR="00AA7651" w:rsidRPr="00C1692B">
        <w:t xml:space="preserve">ommissionen </w:t>
      </w:r>
      <w:r w:rsidRPr="00C1692B">
        <w:t xml:space="preserve">har </w:t>
      </w:r>
      <w:r w:rsidR="00AA7651" w:rsidRPr="00C1692B">
        <w:t>visat ett särskilt intresse för den svenska ståndpunkten och</w:t>
      </w:r>
      <w:r w:rsidR="002352C0" w:rsidRPr="00C1692B">
        <w:t xml:space="preserve"> diskussioner om hur ett </w:t>
      </w:r>
      <w:r w:rsidRPr="00C1692B">
        <w:t xml:space="preserve">eventuellt </w:t>
      </w:r>
      <w:r w:rsidR="002352C0" w:rsidRPr="00C1692B">
        <w:t xml:space="preserve">tillägg i enlighet med det svenska förslaget pågår med kommissionen, ordförandeskapet och </w:t>
      </w:r>
      <w:r w:rsidRPr="00C1692B">
        <w:t>Europa</w:t>
      </w:r>
      <w:r w:rsidR="002352C0" w:rsidRPr="00C1692B">
        <w:t>parlamentet.</w:t>
      </w:r>
    </w:p>
    <w:p w:rsidR="00E1670B" w:rsidRPr="00C1692B" w:rsidRDefault="00E1670B">
      <w:pPr>
        <w:pStyle w:val="RKrubrik"/>
      </w:pPr>
      <w:r w:rsidRPr="00C1692B">
        <w:t>Europaparlamentets inställning</w:t>
      </w:r>
    </w:p>
    <w:p w:rsidR="00E1670B" w:rsidRPr="00C1692B" w:rsidRDefault="00AA7651">
      <w:pPr>
        <w:pStyle w:val="RKnormal"/>
      </w:pPr>
      <w:r w:rsidRPr="00C1692B">
        <w:t>Förhandlingar med</w:t>
      </w:r>
      <w:r w:rsidR="00BC3A20" w:rsidRPr="00C1692B">
        <w:t xml:space="preserve"> E</w:t>
      </w:r>
      <w:r w:rsidR="00712340" w:rsidRPr="00C1692B">
        <w:t>uropaparlamentet</w:t>
      </w:r>
      <w:r w:rsidRPr="00C1692B">
        <w:t xml:space="preserve"> pågår och två informella tril</w:t>
      </w:r>
      <w:r w:rsidR="002352C0" w:rsidRPr="00C1692B">
        <w:t>o</w:t>
      </w:r>
      <w:r w:rsidRPr="00C1692B">
        <w:t xml:space="preserve">ger har genomförts. </w:t>
      </w:r>
      <w:r w:rsidR="003877F7" w:rsidRPr="00C1692B">
        <w:t xml:space="preserve">Det danska ordförandeskapet tar nu över förhandlingarna om revideringen av Seveso II-direktivet för en eventuell överenskommelse i första läsningen med Europaparlamentet. </w:t>
      </w:r>
    </w:p>
    <w:p w:rsidR="00E1670B" w:rsidRPr="00C1692B" w:rsidRDefault="00E1670B">
      <w:pPr>
        <w:pStyle w:val="RKrubrik"/>
        <w:rPr>
          <w:i/>
          <w:iCs/>
        </w:rPr>
      </w:pPr>
      <w:r w:rsidRPr="00C1692B">
        <w:rPr>
          <w:i/>
          <w:iCs/>
        </w:rPr>
        <w:t>Förslaget</w:t>
      </w:r>
    </w:p>
    <w:p w:rsidR="00AA7651" w:rsidRPr="00C1692B" w:rsidRDefault="00AA7651" w:rsidP="00AA7651">
      <w:pPr>
        <w:jc w:val="both"/>
      </w:pPr>
      <w:r w:rsidRPr="00C1692B">
        <w:t>I december 2010 antog kommissionen ett förslag till reviderat Seveso II-direktiv. Det främst</w:t>
      </w:r>
      <w:r w:rsidR="00712340" w:rsidRPr="00C1692B">
        <w:t>a</w:t>
      </w:r>
      <w:r w:rsidRPr="00C1692B">
        <w:t xml:space="preserve"> syftet med revideringen är att knyta innehållslistan i Seveso-II-direktivet till CLP-förordningens</w:t>
      </w:r>
      <w:r w:rsidR="00712340" w:rsidRPr="00C1692B">
        <w:t xml:space="preserve"> (Classification, Labelling, Packaging)</w:t>
      </w:r>
      <w:r w:rsidRPr="00C1692B">
        <w:t xml:space="preserve"> klassificeringssystem</w:t>
      </w:r>
      <w:r w:rsidRPr="00C1692B">
        <w:rPr>
          <w:rStyle w:val="Fotnotsreferens"/>
        </w:rPr>
        <w:footnoteReference w:id="1"/>
      </w:r>
      <w:r w:rsidRPr="00C1692B">
        <w:t xml:space="preserve">. Enligt förslaget ska ämnen eller blandningar som klassas som farliga enligt CLP, tas in i bilagan i Seveso II.  Kommissionens förslag till direktiv innefattar </w:t>
      </w:r>
      <w:r w:rsidR="00F7317F" w:rsidRPr="00C1692B">
        <w:t>även förslag</w:t>
      </w:r>
      <w:r w:rsidRPr="00C1692B">
        <w:t xml:space="preserve"> till ändringa</w:t>
      </w:r>
      <w:r w:rsidR="00290CF0" w:rsidRPr="00C1692B">
        <w:t>r</w:t>
      </w:r>
      <w:r w:rsidRPr="00C1692B">
        <w:t xml:space="preserve">vad gäller rapporteringsformer, tillsynsförfarande och definitioner. </w:t>
      </w:r>
    </w:p>
    <w:p w:rsidR="00E1670B" w:rsidRPr="00C1692B" w:rsidRDefault="00E1670B">
      <w:pPr>
        <w:pStyle w:val="RKrubrik"/>
        <w:rPr>
          <w:iCs/>
        </w:rPr>
      </w:pPr>
      <w:r w:rsidRPr="00C1692B">
        <w:rPr>
          <w:iCs/>
        </w:rPr>
        <w:t>Gällande svenska regler och förslagets effekter på dessa</w:t>
      </w:r>
    </w:p>
    <w:p w:rsidR="00E1670B" w:rsidRPr="00C1692B" w:rsidRDefault="00AA7651">
      <w:pPr>
        <w:pStyle w:val="RKnormal"/>
      </w:pPr>
      <w:r w:rsidRPr="00C1692B">
        <w:t xml:space="preserve">Lagen(1999:381) om åtgärder för att förebygga och begränsa följderna av allvarliga </w:t>
      </w:r>
      <w:r w:rsidR="00F7317F" w:rsidRPr="00C1692B">
        <w:t>kemikalieolyckor och</w:t>
      </w:r>
      <w:r w:rsidRPr="00C1692B">
        <w:t xml:space="preserve"> Förordning (1999:382) om åtgärder för att förebygga och begränsa följderna av allvarliga kemikalieolyckor.</w:t>
      </w:r>
    </w:p>
    <w:p w:rsidR="00AA7651" w:rsidRPr="00C1692B" w:rsidRDefault="00290CF0">
      <w:pPr>
        <w:pStyle w:val="RKnormal"/>
      </w:pPr>
      <w:r w:rsidRPr="00C1692B">
        <w:t>V</w:t>
      </w:r>
      <w:r w:rsidR="005F505C" w:rsidRPr="00C1692B">
        <w:t xml:space="preserve">issa ändringar </w:t>
      </w:r>
      <w:r w:rsidR="002352C0" w:rsidRPr="00C1692B">
        <w:t>i den svenska bilagan</w:t>
      </w:r>
      <w:r w:rsidRPr="00C1692B">
        <w:t xml:space="preserve"> kan eventuellt bli aktuella</w:t>
      </w:r>
      <w:r w:rsidR="002352C0" w:rsidRPr="00C1692B">
        <w:t xml:space="preserve">, </w:t>
      </w:r>
      <w:r w:rsidR="005F505C" w:rsidRPr="00C1692B">
        <w:t>beroende på vilka verksamheter som</w:t>
      </w:r>
      <w:r w:rsidRPr="00C1692B">
        <w:t xml:space="preserve"> slutligen kommer</w:t>
      </w:r>
      <w:r w:rsidR="005F505C" w:rsidRPr="00C1692B">
        <w:t xml:space="preserve"> omfattas(begränsad mängd</w:t>
      </w:r>
      <w:r w:rsidR="00F7317F" w:rsidRPr="00C1692B">
        <w:t>)</w:t>
      </w:r>
      <w:r w:rsidRPr="00C1692B">
        <w:t>.</w:t>
      </w:r>
      <w:r w:rsidR="00AA7651" w:rsidRPr="00C1692B">
        <w:t xml:space="preserve"> </w:t>
      </w:r>
    </w:p>
    <w:p w:rsidR="00E1670B" w:rsidRPr="00C1692B" w:rsidRDefault="00E1670B">
      <w:pPr>
        <w:pStyle w:val="RKrubrik"/>
      </w:pPr>
      <w:r w:rsidRPr="00C1692B">
        <w:t>Ekonomiska konsekvenser</w:t>
      </w:r>
    </w:p>
    <w:p w:rsidR="00E1670B" w:rsidRPr="00C1692B" w:rsidRDefault="005F505C">
      <w:pPr>
        <w:pStyle w:val="RKnormal"/>
      </w:pPr>
      <w:r w:rsidRPr="00C1692B">
        <w:t>I detta läge</w:t>
      </w:r>
      <w:r w:rsidR="002352C0" w:rsidRPr="00C1692B">
        <w:t xml:space="preserve"> i förhandlingen</w:t>
      </w:r>
      <w:r w:rsidRPr="00C1692B">
        <w:t xml:space="preserve"> är det oklart vilka ekonomiska konsekvenser förslaget kommer att ha. Försvarsdepartementet och Myndigheten för samhällsskydd och beredskap bedömer dock att vissa </w:t>
      </w:r>
      <w:r w:rsidR="00F7317F" w:rsidRPr="00C1692B">
        <w:t>marginella kostnader</w:t>
      </w:r>
      <w:r w:rsidRPr="00C1692B">
        <w:t xml:space="preserve"> kan tillkomma beroende på vilka verksamheter som omfattas och i det fall ett ökat krav på kommunern</w:t>
      </w:r>
      <w:r w:rsidR="002352C0" w:rsidRPr="00C1692B">
        <w:t>a</w:t>
      </w:r>
      <w:r w:rsidRPr="00C1692B">
        <w:t xml:space="preserve"> tillkommer ifråga om kommunikation och information till allmänheten.</w:t>
      </w:r>
      <w:r w:rsidR="002352C0" w:rsidRPr="00C1692B">
        <w:t xml:space="preserve"> </w:t>
      </w:r>
    </w:p>
    <w:p w:rsidR="00E1670B" w:rsidRPr="00C1692B" w:rsidRDefault="00E1670B">
      <w:pPr>
        <w:pStyle w:val="RKrubrik"/>
      </w:pPr>
      <w:r w:rsidRPr="00C1692B">
        <w:t>Övrigt</w:t>
      </w:r>
    </w:p>
    <w:p w:rsidR="00E1670B" w:rsidRPr="00C1692B" w:rsidRDefault="002352C0">
      <w:pPr>
        <w:pStyle w:val="RKnormal"/>
      </w:pPr>
      <w:r w:rsidRPr="00C1692B">
        <w:t>-</w:t>
      </w:r>
    </w:p>
    <w:p w:rsidR="00E1670B" w:rsidRPr="00C1692B" w:rsidRDefault="00E1670B">
      <w:pPr>
        <w:pStyle w:val="RKnormal"/>
        <w:rPr>
          <w:i/>
          <w:iCs/>
        </w:rPr>
      </w:pPr>
    </w:p>
    <w:p w:rsidR="00E1670B" w:rsidRPr="00C1692B" w:rsidRDefault="00E1670B">
      <w:pPr>
        <w:pStyle w:val="RKnormal"/>
        <w:ind w:left="-1134"/>
      </w:pPr>
    </w:p>
    <w:p w:rsidR="006E4E11" w:rsidRPr="00C1692B" w:rsidRDefault="006E4E11">
      <w:pPr>
        <w:pStyle w:val="RKrubrik"/>
        <w:spacing w:before="0" w:after="0"/>
      </w:pPr>
    </w:p>
    <w:p w:rsidR="006E4E11" w:rsidRPr="00C1692B" w:rsidRDefault="006E4E11">
      <w:pPr>
        <w:pStyle w:val="RKnormal"/>
      </w:pPr>
    </w:p>
    <w:p w:rsidR="00E1670B" w:rsidRPr="00C1692B" w:rsidRDefault="00E1670B">
      <w:pPr>
        <w:pStyle w:val="RKnormal"/>
      </w:pPr>
    </w:p>
    <w:sectPr w:rsidR="00E1670B" w:rsidRPr="00C1692B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485" w:rsidRPr="00C1692B" w:rsidRDefault="009D4485">
      <w:r w:rsidRPr="00C1692B">
        <w:separator/>
      </w:r>
    </w:p>
  </w:endnote>
  <w:endnote w:type="continuationSeparator" w:id="0">
    <w:p w:rsidR="009D4485" w:rsidRPr="00C1692B" w:rsidRDefault="009D4485">
      <w:r w:rsidRPr="00C169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485" w:rsidRPr="00C1692B" w:rsidRDefault="009D4485">
      <w:r w:rsidRPr="00C1692B">
        <w:separator/>
      </w:r>
    </w:p>
  </w:footnote>
  <w:footnote w:type="continuationSeparator" w:id="0">
    <w:p w:rsidR="009D4485" w:rsidRPr="00C1692B" w:rsidRDefault="009D4485">
      <w:r w:rsidRPr="00C1692B">
        <w:continuationSeparator/>
      </w:r>
    </w:p>
  </w:footnote>
  <w:footnote w:id="1">
    <w:p w:rsidR="00A37E55" w:rsidRPr="00C1692B" w:rsidRDefault="00A37E55" w:rsidP="00AA7651">
      <w:pPr>
        <w:overflowPunct/>
        <w:spacing w:line="240" w:lineRule="auto"/>
        <w:jc w:val="both"/>
        <w:textAlignment w:val="auto"/>
        <w:rPr>
          <w:rFonts w:ascii="Berkeley-Book" w:hAnsi="Berkeley-Book" w:cs="Berkeley-Book"/>
          <w:sz w:val="20"/>
          <w:lang w:eastAsia="sv-SE"/>
        </w:rPr>
      </w:pPr>
      <w:r w:rsidRPr="00C1692B">
        <w:rPr>
          <w:rStyle w:val="Fotnotsreferens"/>
        </w:rPr>
        <w:footnoteRef/>
      </w:r>
      <w:r w:rsidRPr="00C1692B">
        <w:t xml:space="preserve"> </w:t>
      </w:r>
      <w:r w:rsidRPr="00C1692B">
        <w:rPr>
          <w:sz w:val="20"/>
        </w:rPr>
        <w:t>Förordning (EG) nr 1272/2008 om klassificering, märkning och förpackning av ämnen och blandningar trädde i kraft i januari 2009. Inom ramen för förordningen klassificeras ett stort antal kemiska ämnen och blandningar. Ett av syftena med CLP-förordningen är att uppnå en harmonisering angående bestämmandet av vilka egenskaper hos ämnen och blandningar som bör leda till att de klassificeras som farliga.</w:t>
      </w:r>
    </w:p>
    <w:p w:rsidR="00A37E55" w:rsidRPr="00C1692B" w:rsidRDefault="00A37E55" w:rsidP="00AA7651">
      <w:pPr>
        <w:rPr>
          <w:sz w:val="20"/>
        </w:rPr>
      </w:pPr>
    </w:p>
    <w:p w:rsidR="00A37E55" w:rsidRPr="00C1692B" w:rsidRDefault="00A37E55" w:rsidP="00AA7651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E55" w:rsidRPr="00C1692B" w:rsidRDefault="00A37E55">
    <w:pPr>
      <w:pStyle w:val="Sidhuvud"/>
      <w:framePr w:wrap="around" w:vAnchor="text" w:hAnchor="margin" w:xAlign="right" w:y="1"/>
      <w:rPr>
        <w:rStyle w:val="Sidnummer"/>
      </w:rPr>
    </w:pPr>
    <w:r w:rsidRPr="00C1692B">
      <w:rPr>
        <w:rStyle w:val="Sidnummer"/>
      </w:rPr>
      <w:fldChar w:fldCharType="begin" w:fldLock="1"/>
    </w:r>
    <w:r w:rsidRPr="00C1692B">
      <w:rPr>
        <w:rStyle w:val="Sidnummer"/>
      </w:rPr>
      <w:instrText xml:space="preserve">PAGE  </w:instrText>
    </w:r>
    <w:r w:rsidRPr="00C1692B">
      <w:rPr>
        <w:rStyle w:val="Sidnummer"/>
      </w:rPr>
      <w:fldChar w:fldCharType="separate"/>
    </w:r>
    <w:r w:rsidR="005A23CC" w:rsidRPr="00C1692B">
      <w:rPr>
        <w:rStyle w:val="Sidnummer"/>
      </w:rPr>
      <w:t>2</w:t>
    </w:r>
    <w:r w:rsidRPr="00C1692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A37E55" w:rsidRPr="00C1692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37E55" w:rsidRPr="00C1692B" w:rsidRDefault="00A37E5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37E55" w:rsidRPr="00C1692B" w:rsidRDefault="00A37E55">
          <w:pPr>
            <w:pStyle w:val="Sidhuvud"/>
            <w:ind w:right="360"/>
          </w:pPr>
        </w:p>
      </w:tc>
      <w:tc>
        <w:tcPr>
          <w:tcW w:w="1525" w:type="dxa"/>
        </w:tcPr>
        <w:p w:rsidR="00A37E55" w:rsidRPr="00C1692B" w:rsidRDefault="00A37E55">
          <w:pPr>
            <w:pStyle w:val="Sidhuvud"/>
            <w:ind w:right="360"/>
          </w:pPr>
        </w:p>
      </w:tc>
    </w:tr>
  </w:tbl>
  <w:p w:rsidR="00A37E55" w:rsidRPr="00C1692B" w:rsidRDefault="00A37E5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E55" w:rsidRPr="00C1692B" w:rsidRDefault="00A37E55">
    <w:pPr>
      <w:pStyle w:val="Sidhuvud"/>
      <w:framePr w:wrap="around" w:vAnchor="text" w:hAnchor="margin" w:xAlign="right" w:y="1"/>
      <w:rPr>
        <w:rStyle w:val="Sidnummer"/>
      </w:rPr>
    </w:pPr>
    <w:r w:rsidRPr="00C1692B">
      <w:rPr>
        <w:rStyle w:val="Sidnummer"/>
      </w:rPr>
      <w:fldChar w:fldCharType="begin" w:fldLock="1"/>
    </w:r>
    <w:r w:rsidRPr="00C1692B">
      <w:rPr>
        <w:rStyle w:val="Sidnummer"/>
      </w:rPr>
      <w:instrText xml:space="preserve">PAGE  </w:instrText>
    </w:r>
    <w:r w:rsidRPr="00C1692B">
      <w:rPr>
        <w:rStyle w:val="Sidnummer"/>
      </w:rPr>
      <w:fldChar w:fldCharType="separate"/>
    </w:r>
    <w:r w:rsidR="005A23CC" w:rsidRPr="00C1692B">
      <w:rPr>
        <w:rStyle w:val="Sidnummer"/>
      </w:rPr>
      <w:t>3</w:t>
    </w:r>
    <w:r w:rsidRPr="00C1692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A37E55" w:rsidRPr="00C1692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37E55" w:rsidRPr="00C1692B" w:rsidRDefault="00A37E5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37E55" w:rsidRPr="00C1692B" w:rsidRDefault="00A37E55">
          <w:pPr>
            <w:pStyle w:val="Sidhuvud"/>
            <w:ind w:right="360"/>
          </w:pPr>
        </w:p>
      </w:tc>
      <w:tc>
        <w:tcPr>
          <w:tcW w:w="1525" w:type="dxa"/>
        </w:tcPr>
        <w:p w:rsidR="00A37E55" w:rsidRPr="00C1692B" w:rsidRDefault="00A37E55">
          <w:pPr>
            <w:pStyle w:val="Sidhuvud"/>
            <w:ind w:right="360"/>
          </w:pPr>
        </w:p>
      </w:tc>
    </w:tr>
  </w:tbl>
  <w:p w:rsidR="00A37E55" w:rsidRPr="00C1692B" w:rsidRDefault="00A37E5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E55" w:rsidRPr="00C1692B" w:rsidRDefault="00C1692B">
    <w:pPr>
      <w:framePr w:w="2948" w:h="1321" w:hRule="exact" w:wrap="notBeside" w:vAnchor="page" w:hAnchor="page" w:x="1362" w:y="653"/>
    </w:pPr>
    <w:r w:rsidRPr="00C1692B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7E55" w:rsidRPr="00C1692B" w:rsidRDefault="00A37E5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37E55" w:rsidRPr="00C1692B" w:rsidRDefault="00A37E55">
    <w:pPr>
      <w:rPr>
        <w:rFonts w:ascii="TradeGothic" w:hAnsi="TradeGothic"/>
        <w:b/>
        <w:bCs/>
        <w:spacing w:val="12"/>
        <w:sz w:val="22"/>
      </w:rPr>
    </w:pPr>
  </w:p>
  <w:p w:rsidR="00A37E55" w:rsidRPr="00C1692B" w:rsidRDefault="00A37E5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37E55" w:rsidRPr="00C1692B" w:rsidRDefault="00A37E5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Försvarsdepartementet"/>
    <w:docVar w:name="Regering" w:val="N"/>
  </w:docVars>
  <w:rsids>
    <w:rsidRoot w:val="00E1670B"/>
    <w:rsid w:val="00150384"/>
    <w:rsid w:val="001805B7"/>
    <w:rsid w:val="001C48E9"/>
    <w:rsid w:val="002352C0"/>
    <w:rsid w:val="00290CF0"/>
    <w:rsid w:val="002F18AC"/>
    <w:rsid w:val="002F5591"/>
    <w:rsid w:val="003126E7"/>
    <w:rsid w:val="003877F7"/>
    <w:rsid w:val="004A328D"/>
    <w:rsid w:val="005168B6"/>
    <w:rsid w:val="00536C1A"/>
    <w:rsid w:val="0058762B"/>
    <w:rsid w:val="005A23CC"/>
    <w:rsid w:val="005F505C"/>
    <w:rsid w:val="006817CB"/>
    <w:rsid w:val="006B2CFD"/>
    <w:rsid w:val="006E4E11"/>
    <w:rsid w:val="00712340"/>
    <w:rsid w:val="007242A3"/>
    <w:rsid w:val="007A197D"/>
    <w:rsid w:val="007A6855"/>
    <w:rsid w:val="008202DF"/>
    <w:rsid w:val="00995E5A"/>
    <w:rsid w:val="009D4485"/>
    <w:rsid w:val="00A37E55"/>
    <w:rsid w:val="00AA7651"/>
    <w:rsid w:val="00B27266"/>
    <w:rsid w:val="00BC3A20"/>
    <w:rsid w:val="00C1692B"/>
    <w:rsid w:val="00D133D7"/>
    <w:rsid w:val="00DB2C50"/>
    <w:rsid w:val="00DE1DA7"/>
    <w:rsid w:val="00E1670B"/>
    <w:rsid w:val="00E8011C"/>
    <w:rsid w:val="00EC23F0"/>
    <w:rsid w:val="00EC25F9"/>
    <w:rsid w:val="00ED583F"/>
    <w:rsid w:val="00F30C1C"/>
    <w:rsid w:val="00F56049"/>
    <w:rsid w:val="00F7317F"/>
    <w:rsid w:val="00F9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4E4FB-BB97-4243-A1D5-4943D4E3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EntRefer">
    <w:name w:val="EntRefer"/>
    <w:basedOn w:val="Normal"/>
    <w:rsid w:val="003126E7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  <w:style w:type="character" w:customStyle="1" w:styleId="RKnormalChar">
    <w:name w:val="RKnormal Char"/>
    <w:link w:val="RKnormal"/>
    <w:rsid w:val="00AA7651"/>
    <w:rPr>
      <w:rFonts w:ascii="OrigGarmnd BT" w:hAnsi="OrigGarmnd BT"/>
      <w:sz w:val="24"/>
      <w:lang w:val="sv-SE" w:eastAsia="en-US" w:bidi="ar-SA"/>
    </w:rPr>
  </w:style>
  <w:style w:type="paragraph" w:styleId="Fotnotstext">
    <w:name w:val="footnote text"/>
    <w:basedOn w:val="Normal"/>
    <w:semiHidden/>
    <w:rsid w:val="00AA7651"/>
    <w:rPr>
      <w:sz w:val="20"/>
    </w:rPr>
  </w:style>
  <w:style w:type="character" w:styleId="Fotnotsreferens">
    <w:name w:val="footnote reference"/>
    <w:semiHidden/>
    <w:rsid w:val="00AA7651"/>
    <w:rPr>
      <w:vertAlign w:val="superscript"/>
    </w:rPr>
  </w:style>
  <w:style w:type="paragraph" w:styleId="Ballongtext">
    <w:name w:val="Balloon Text"/>
    <w:basedOn w:val="Normal"/>
    <w:link w:val="BallongtextChar"/>
    <w:rsid w:val="00F731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731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3833</Characters>
  <Application>Microsoft Office Word</Application>
  <DocSecurity>4</DocSecurity>
  <Lines>103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cp:lastModifiedBy>Lars Brink</cp:lastModifiedBy>
  <cp:revision>2</cp:revision>
  <cp:lastPrinted>2011-12-12T12:22:00Z</cp:lastPrinted>
  <dcterms:created xsi:type="dcterms:W3CDTF">2025-12-17T21:40:00Z</dcterms:created>
  <dcterms:modified xsi:type="dcterms:W3CDTF">2025-12-17T21:40:00Z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4;0;0;509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