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08708B">
        <w:tblPrEx>
          <w:tblCellMar>
            <w:top w:w="0" w:type="dxa"/>
            <w:left w:w="0" w:type="dxa"/>
            <w:bottom w:w="0" w:type="dxa"/>
            <w:right w:w="0" w:type="dxa"/>
          </w:tblCellMar>
        </w:tblPrEx>
        <w:trPr>
          <w:gridAfter w:val="2"/>
          <w:wAfter w:w="1758" w:type="dxa"/>
          <w:cantSplit/>
          <w:trHeight w:val="1320"/>
        </w:trPr>
        <w:tc>
          <w:tcPr>
            <w:tcW w:w="5897" w:type="dxa"/>
          </w:tcPr>
          <w:p w:rsidR="007354B0" w:rsidRPr="0008708B" w:rsidRDefault="007354B0">
            <w:pPr>
              <w:pStyle w:val="HuvudRubrik"/>
            </w:pPr>
            <w:r w:rsidRPr="0008708B">
              <w:t>Regeringskansliet</w:t>
            </w:r>
          </w:p>
          <w:p w:rsidR="007354B0" w:rsidRPr="0008708B" w:rsidRDefault="007354B0">
            <w:pPr>
              <w:pStyle w:val="HuvudRubrik"/>
            </w:pPr>
            <w:r w:rsidRPr="0008708B">
              <w:t>Faktapromemoria  2010/11:FPM39</w:t>
            </w:r>
          </w:p>
        </w:tc>
      </w:tr>
      <w:tr w:rsidR="00000000" w:rsidRPr="0008708B">
        <w:tblPrEx>
          <w:tblCellMar>
            <w:top w:w="0" w:type="dxa"/>
            <w:left w:w="0" w:type="dxa"/>
            <w:bottom w:w="0" w:type="dxa"/>
            <w:right w:w="0" w:type="dxa"/>
          </w:tblCellMar>
        </w:tblPrEx>
        <w:trPr>
          <w:gridAfter w:val="2"/>
          <w:wAfter w:w="1758" w:type="dxa"/>
          <w:cantSplit/>
          <w:trHeight w:val="240"/>
        </w:trPr>
        <w:tc>
          <w:tcPr>
            <w:tcW w:w="5897" w:type="dxa"/>
          </w:tcPr>
          <w:p w:rsidR="007354B0" w:rsidRPr="0008708B" w:rsidRDefault="007354B0">
            <w:pPr>
              <w:pStyle w:val="HuvudRubrik"/>
              <w:rPr>
                <w:sz w:val="28"/>
              </w:rPr>
            </w:pPr>
            <w:r w:rsidRPr="0008708B">
              <w:t>Rådsbeslut om avtal med Irak</w:t>
            </w:r>
          </w:p>
        </w:tc>
      </w:tr>
      <w:tr w:rsidR="00000000" w:rsidRPr="0008708B">
        <w:tblPrEx>
          <w:tblCellMar>
            <w:top w:w="0" w:type="dxa"/>
            <w:left w:w="0" w:type="dxa"/>
            <w:bottom w:w="0" w:type="dxa"/>
            <w:right w:w="0" w:type="dxa"/>
          </w:tblCellMar>
        </w:tblPrEx>
        <w:trPr>
          <w:cantSplit/>
          <w:trHeight w:val="285"/>
        </w:trPr>
        <w:tc>
          <w:tcPr>
            <w:tcW w:w="7655" w:type="dxa"/>
            <w:gridSpan w:val="3"/>
          </w:tcPr>
          <w:p w:rsidR="007354B0" w:rsidRPr="0008708B" w:rsidRDefault="007354B0">
            <w:pPr>
              <w:pStyle w:val="Departement"/>
              <w:rPr>
                <w:sz w:val="28"/>
              </w:rPr>
            </w:pPr>
            <w:r w:rsidRPr="0008708B">
              <w:t>Utrikesdepartementet</w:t>
            </w:r>
            <w:r w:rsidRPr="0008708B">
              <w:br/>
            </w:r>
          </w:p>
        </w:tc>
      </w:tr>
      <w:tr w:rsidR="00000000" w:rsidRPr="0008708B">
        <w:tblPrEx>
          <w:tblCellMar>
            <w:top w:w="0" w:type="dxa"/>
            <w:left w:w="0" w:type="dxa"/>
            <w:bottom w:w="0" w:type="dxa"/>
            <w:right w:w="0" w:type="dxa"/>
          </w:tblCellMar>
        </w:tblPrEx>
        <w:trPr>
          <w:cantSplit/>
          <w:trHeight w:val="240"/>
        </w:trPr>
        <w:tc>
          <w:tcPr>
            <w:tcW w:w="7655" w:type="dxa"/>
            <w:gridSpan w:val="3"/>
          </w:tcPr>
          <w:p w:rsidR="007354B0" w:rsidRPr="0008708B" w:rsidRDefault="007354B0">
            <w:pPr>
              <w:pStyle w:val="Dokumentdatum"/>
            </w:pPr>
            <w:r w:rsidRPr="0008708B">
              <w:t>2010-12-07</w:t>
            </w:r>
          </w:p>
        </w:tc>
      </w:tr>
      <w:tr w:rsidR="00000000" w:rsidRPr="0008708B">
        <w:tblPrEx>
          <w:tblCellMar>
            <w:top w:w="0" w:type="dxa"/>
            <w:left w:w="0" w:type="dxa"/>
            <w:bottom w:w="0" w:type="dxa"/>
            <w:right w:w="0" w:type="dxa"/>
          </w:tblCellMar>
        </w:tblPrEx>
        <w:trPr>
          <w:cantSplit/>
          <w:trHeight w:val="726"/>
        </w:trPr>
        <w:tc>
          <w:tcPr>
            <w:tcW w:w="7655" w:type="dxa"/>
            <w:gridSpan w:val="3"/>
            <w:vAlign w:val="bottom"/>
          </w:tcPr>
          <w:p w:rsidR="007354B0" w:rsidRPr="0008708B" w:rsidRDefault="007354B0">
            <w:pPr>
              <w:pStyle w:val="Dokumentbeteckning"/>
            </w:pPr>
            <w:r w:rsidRPr="0008708B">
              <w:t>Dokumentbeteckning</w:t>
            </w:r>
          </w:p>
        </w:tc>
      </w:tr>
      <w:tr w:rsidR="00000000" w:rsidRPr="0008708B">
        <w:tblPrEx>
          <w:tblCellMar>
            <w:top w:w="0" w:type="dxa"/>
            <w:left w:w="0" w:type="dxa"/>
            <w:bottom w:w="0" w:type="dxa"/>
            <w:right w:w="0" w:type="dxa"/>
          </w:tblCellMar>
        </w:tblPrEx>
        <w:trPr>
          <w:gridAfter w:val="1"/>
          <w:wAfter w:w="1560" w:type="dxa"/>
          <w:trHeight w:val="120"/>
        </w:trPr>
        <w:tc>
          <w:tcPr>
            <w:tcW w:w="6095" w:type="dxa"/>
            <w:gridSpan w:val="2"/>
          </w:tcPr>
          <w:p w:rsidR="007354B0" w:rsidRPr="0008708B" w:rsidRDefault="007354B0">
            <w:bookmarkStart w:id="0" w:name="KomNr"/>
            <w:bookmarkEnd w:id="0"/>
            <w:r w:rsidRPr="0008708B">
              <w:t>KOM(2010) 638</w:t>
            </w:r>
          </w:p>
        </w:tc>
      </w:tr>
      <w:tr w:rsidR="00000000" w:rsidRPr="0008708B">
        <w:tblPrEx>
          <w:tblCellMar>
            <w:top w:w="0" w:type="dxa"/>
            <w:left w:w="0" w:type="dxa"/>
            <w:bottom w:w="0" w:type="dxa"/>
            <w:right w:w="0" w:type="dxa"/>
          </w:tblCellMar>
        </w:tblPrEx>
        <w:trPr>
          <w:gridAfter w:val="1"/>
          <w:wAfter w:w="1560" w:type="dxa"/>
          <w:trHeight w:val="120"/>
        </w:trPr>
        <w:tc>
          <w:tcPr>
            <w:tcW w:w="6095" w:type="dxa"/>
            <w:gridSpan w:val="2"/>
          </w:tcPr>
          <w:p w:rsidR="007354B0" w:rsidRPr="0008708B" w:rsidRDefault="007354B0">
            <w:pPr>
              <w:pStyle w:val="Dokumentbeteckning-titel"/>
            </w:pPr>
            <w:r w:rsidRPr="0008708B">
              <w:t>Förslag till RÅDETS BESLUT om ingående av ett avtal om partnerskap och samarbete mellan Europeiska unionen och dess medlemsstater, å ena sidan, och Republiken Irak, å andra sidan.</w:t>
            </w:r>
          </w:p>
        </w:tc>
      </w:tr>
    </w:tbl>
    <w:p w:rsidR="007354B0" w:rsidRPr="0008708B" w:rsidRDefault="007354B0">
      <w:pPr>
        <w:pStyle w:val="Rubrik1"/>
        <w:numPr>
          <w:ilvl w:val="0"/>
          <w:numId w:val="0"/>
        </w:numPr>
      </w:pPr>
      <w:r w:rsidRPr="0008708B">
        <w:t>Sammanfattning</w:t>
      </w:r>
    </w:p>
    <w:p w:rsidR="007354B0" w:rsidRPr="0008708B" w:rsidRDefault="007354B0">
      <w:pPr>
        <w:jc w:val="left"/>
        <w:rPr>
          <w:sz w:val="22"/>
          <w:szCs w:val="22"/>
        </w:rPr>
      </w:pPr>
      <w:r w:rsidRPr="0008708B">
        <w:rPr>
          <w:sz w:val="22"/>
          <w:szCs w:val="22"/>
        </w:rPr>
        <w:t>Partnerskaps- och samarbetsavtalet mellan EU och Irak blir vid ratificering den första avtalsförbindelsen mellan EU och Irak. Det kommer att ge en rättslig ram som omfattar frågor om allt från regelbunden politisk dialog till handelsförbindelser och samarbete på lagstiftningsområdet samt utvecklingsbistånd. Kommissionens förhandlingar med Irak började i november 2006 slutfördes i november 2009.</w:t>
      </w:r>
      <w:r w:rsidRPr="0008708B">
        <w:rPr>
          <w:sz w:val="22"/>
          <w:szCs w:val="22"/>
        </w:rPr>
        <w:br/>
      </w:r>
      <w:r w:rsidRPr="0008708B">
        <w:rPr>
          <w:sz w:val="22"/>
          <w:szCs w:val="22"/>
        </w:rPr>
        <w:br/>
        <w:t xml:space="preserve">Regeringen är </w:t>
      </w:r>
      <w:r w:rsidRPr="0008708B">
        <w:rPr>
          <w:sz w:val="22"/>
          <w:szCs w:val="22"/>
        </w:rPr>
        <w:t xml:space="preserve"> pådrivande i processen att ratificera partnerskaps- och samarbetsavtalet, inte minst då Sverige varit pådrivande i framtagandet. Regeringen anser att avtalets undertecknande och genomförande är viktig bas för relationerna med en ny irakisk regering, inklusive etablerandet av en politisk dialog. Avtalet kommer att bidra till en positiv ekonomisk utveckling i Irak genom att öppna upp för ökad handel mellan EU och Irak.</w:t>
      </w:r>
    </w:p>
    <w:p w:rsidR="007354B0" w:rsidRPr="0008708B" w:rsidRDefault="007354B0">
      <w:pPr>
        <w:jc w:val="left"/>
      </w:pPr>
      <w:r w:rsidRPr="0008708B">
        <w:br/>
      </w:r>
    </w:p>
    <w:p w:rsidR="007354B0" w:rsidRPr="0008708B" w:rsidRDefault="007354B0">
      <w:pPr>
        <w:pStyle w:val="Rubrik1"/>
      </w:pPr>
      <w:r w:rsidRPr="0008708B">
        <w:lastRenderedPageBreak/>
        <w:t>Förslaget</w:t>
      </w:r>
    </w:p>
    <w:p w:rsidR="007354B0" w:rsidRPr="0008708B" w:rsidRDefault="007354B0">
      <w:pPr>
        <w:pStyle w:val="Rubrik2"/>
      </w:pPr>
      <w:r w:rsidRPr="0008708B">
        <w:t>Ärendets bakgrund</w:t>
      </w:r>
    </w:p>
    <w:p w:rsidR="007354B0" w:rsidRPr="0008708B" w:rsidRDefault="007354B0">
      <w:pPr>
        <w:jc w:val="left"/>
        <w:rPr>
          <w:sz w:val="22"/>
          <w:szCs w:val="22"/>
        </w:rPr>
      </w:pPr>
      <w:r w:rsidRPr="0008708B">
        <w:rPr>
          <w:sz w:val="22"/>
          <w:szCs w:val="22"/>
        </w:rPr>
        <w:t>Partnerskaps- och samarbetsavtalet är en del av EU:s och kommissionens långsiktiga målsättning att normalisera relationerna med Irak. Den 23 mars 2006 bemyndigade rådet kommissionen att föra förhandlingar med Irak om ett handels- och samarbetsavtal och utfärdade förhandlingsdirektiv i detta syfte. Förhandlingarna inleddes i november 2006 och slutfördes i november 2009, efter nio förhandlingsrundor.</w:t>
      </w:r>
    </w:p>
    <w:p w:rsidR="007354B0" w:rsidRPr="0008708B" w:rsidRDefault="007354B0">
      <w:pPr>
        <w:jc w:val="left"/>
        <w:rPr>
          <w:sz w:val="22"/>
          <w:szCs w:val="22"/>
        </w:rPr>
      </w:pPr>
      <w:r w:rsidRPr="0008708B">
        <w:rPr>
          <w:sz w:val="22"/>
          <w:szCs w:val="22"/>
        </w:rPr>
        <w:t>Under den sjunde förhandlingsrundan mellan EU och Irak, som hölls i Bagdad i februari 2009, kom Irak och EU överens om att höja avtalets status, genom att ändra avtalets titel från ”handels- och samarbetsavtal” till ”avtal om partnerskap och samarbete” och genom att inrätta ett samarbetsråd som ska mötas regelbundet på ministernivå. Dessa ändringar kom till uttryck i de förhandlingsdirektiv som godkändes av rådet.</w:t>
      </w:r>
    </w:p>
    <w:p w:rsidR="007354B0" w:rsidRPr="0008708B" w:rsidRDefault="007354B0">
      <w:pPr>
        <w:pStyle w:val="Rubrik2"/>
      </w:pPr>
      <w:r w:rsidRPr="0008708B">
        <w:t>Förslagets innehåll</w:t>
      </w:r>
    </w:p>
    <w:p w:rsidR="007354B0" w:rsidRPr="0008708B" w:rsidRDefault="007354B0">
      <w:pPr>
        <w:rPr>
          <w:sz w:val="22"/>
          <w:szCs w:val="22"/>
        </w:rPr>
      </w:pPr>
      <w:r w:rsidRPr="0008708B">
        <w:rPr>
          <w:sz w:val="22"/>
          <w:szCs w:val="22"/>
        </w:rPr>
        <w:t>Avtalets huvuddelar innefattar politisk dialog, handel och investeringar, samarbete på en rad områden, bland annat i utrikes- och säkerhetspolitiska frågor, samt institutionella bestämmelser för avtalets tillämpning.</w:t>
      </w:r>
    </w:p>
    <w:p w:rsidR="007354B0" w:rsidRPr="0008708B" w:rsidRDefault="007354B0">
      <w:pPr>
        <w:jc w:val="left"/>
        <w:rPr>
          <w:sz w:val="22"/>
          <w:szCs w:val="22"/>
        </w:rPr>
      </w:pPr>
      <w:r w:rsidRPr="0008708B">
        <w:rPr>
          <w:sz w:val="22"/>
          <w:szCs w:val="22"/>
        </w:rPr>
        <w:t>Regelbunden politisk dialog på såväl ministernivå som högre tjänstemannanivå ska föras, inklusive samarbete i utrikes- och säkerhetspolitiska frågor. Klausuler om mänskliga rättigheter och om förhindrande av spridning av massförstörelsevapen utgör väsentliga delar av avtalet. Andra klausuler inbegriper terroristbekämpning, handeldvapen och lätta vapen och Internationella brottmålsdomstolen.</w:t>
      </w:r>
    </w:p>
    <w:p w:rsidR="007354B0" w:rsidRPr="0008708B" w:rsidRDefault="007354B0">
      <w:pPr>
        <w:jc w:val="left"/>
        <w:rPr>
          <w:sz w:val="22"/>
          <w:szCs w:val="22"/>
        </w:rPr>
      </w:pPr>
      <w:r w:rsidRPr="0008708B">
        <w:rPr>
          <w:sz w:val="22"/>
          <w:szCs w:val="22"/>
        </w:rPr>
        <w:t xml:space="preserve">Avtalets handelsdel motsvarar inte ett frihandelsavtal, men baseras på grundläggande regler i Världshandelsorganisationen (WTO), där Irak ännu inte är medlem. Handelsdelen innehåller även vissa inslag av förmånsbehandling inom t ex områden som offentlig upphandling, tjänstehandel och investeringar. Avsnittet om handel innefattar också en tvistlösningsmekanism. </w:t>
      </w:r>
    </w:p>
    <w:p w:rsidR="007354B0" w:rsidRPr="0008708B" w:rsidRDefault="007354B0">
      <w:pPr>
        <w:jc w:val="left"/>
        <w:rPr>
          <w:sz w:val="22"/>
          <w:szCs w:val="22"/>
        </w:rPr>
      </w:pPr>
      <w:r w:rsidRPr="0008708B">
        <w:rPr>
          <w:sz w:val="22"/>
          <w:szCs w:val="22"/>
        </w:rPr>
        <w:t>Avtalet föreskriver samarbete på en rad områden, bland annat energi, transport, investeringar, mänskliga rättigheter, utbildning, vetenskap och teknik, rättvisa, frihet och säkerhet (inbegripet samarbete i migrations- och asylfrågor), miljö samt regionalt eller kulturellt samarbete.</w:t>
      </w:r>
    </w:p>
    <w:p w:rsidR="007354B0" w:rsidRPr="0008708B" w:rsidRDefault="007354B0">
      <w:pPr>
        <w:jc w:val="left"/>
        <w:rPr>
          <w:sz w:val="22"/>
          <w:szCs w:val="22"/>
        </w:rPr>
      </w:pPr>
      <w:r w:rsidRPr="0008708B">
        <w:rPr>
          <w:sz w:val="22"/>
          <w:szCs w:val="22"/>
        </w:rPr>
        <w:t>För tillämpningen finns institutionella bestämmelser, som bland annat omfattar möten i samarbetsrådet på ministernivå en gång per år och en samarbetskommitté som ska biträda samarbetsrådet i dess arbete.</w:t>
      </w:r>
    </w:p>
    <w:p w:rsidR="007354B0" w:rsidRPr="0008708B" w:rsidRDefault="007354B0"/>
    <w:p w:rsidR="007354B0" w:rsidRPr="0008708B" w:rsidRDefault="007354B0">
      <w:pPr>
        <w:pStyle w:val="Rubrik2"/>
      </w:pPr>
      <w:r w:rsidRPr="0008708B">
        <w:t>Gällande svenska regler och förslagets effekt på dessa</w:t>
      </w:r>
    </w:p>
    <w:p w:rsidR="007354B0" w:rsidRPr="0008708B" w:rsidRDefault="007354B0">
      <w:r w:rsidRPr="0008708B">
        <w:t>Avtalet påverkar inte svenska regler.</w:t>
      </w:r>
    </w:p>
    <w:p w:rsidR="007354B0" w:rsidRPr="0008708B" w:rsidRDefault="007354B0">
      <w:pPr>
        <w:pStyle w:val="Rubrik2"/>
      </w:pPr>
      <w:r w:rsidRPr="0008708B">
        <w:t>Budgetära konsekvenser / Konsekvensanalys</w:t>
      </w:r>
    </w:p>
    <w:p w:rsidR="007354B0" w:rsidRPr="0008708B" w:rsidRDefault="007354B0">
      <w:pPr>
        <w:pStyle w:val="Rubrik1"/>
      </w:pPr>
      <w:r w:rsidRPr="0008708B">
        <w:t>Ståndpunkter</w:t>
      </w:r>
    </w:p>
    <w:p w:rsidR="007354B0" w:rsidRPr="0008708B" w:rsidRDefault="007354B0">
      <w:pPr>
        <w:pStyle w:val="Rubrik2"/>
      </w:pPr>
      <w:r w:rsidRPr="0008708B">
        <w:t>Preliminär svensk ståndpunkt</w:t>
      </w:r>
    </w:p>
    <w:p w:rsidR="007354B0" w:rsidRPr="0008708B" w:rsidRDefault="007354B0">
      <w:pPr>
        <w:jc w:val="left"/>
        <w:rPr>
          <w:sz w:val="22"/>
          <w:szCs w:val="22"/>
        </w:rPr>
      </w:pPr>
      <w:r w:rsidRPr="0008708B">
        <w:rPr>
          <w:sz w:val="22"/>
          <w:szCs w:val="22"/>
        </w:rPr>
        <w:t>Sverige ska vara pådrivande i processen att ratificera partnerskapsavtalet (PSA), inte minst då Sverige  varit pådrivande i framtagandet av avtalet. Regeringen anser att avtalets undertecknande och genomförande utgör en viktig bas för relationerna med en ny irakisk regering, inklusive etablerandet av en politisk dialog. Avtalet kommer att bidra till en positiv ekonomisk utveckling i Irak genom att öppna upp för ökad handel mellan EU och Irak.</w:t>
      </w:r>
    </w:p>
    <w:p w:rsidR="007354B0" w:rsidRPr="0008708B" w:rsidRDefault="007354B0">
      <w:pPr>
        <w:pStyle w:val="Rubrik2"/>
      </w:pPr>
      <w:r w:rsidRPr="0008708B">
        <w:t>Medlemsstaternas ståndpunkter</w:t>
      </w:r>
    </w:p>
    <w:p w:rsidR="007354B0" w:rsidRPr="0008708B" w:rsidRDefault="007354B0">
      <w:pPr>
        <w:jc w:val="left"/>
        <w:rPr>
          <w:sz w:val="22"/>
          <w:szCs w:val="22"/>
        </w:rPr>
      </w:pPr>
      <w:r w:rsidRPr="0008708B">
        <w:rPr>
          <w:sz w:val="22"/>
          <w:szCs w:val="22"/>
        </w:rPr>
        <w:t xml:space="preserve">Det finns ett brett stöd bland medlemsstaterna avseende avtalets innehåll. </w:t>
      </w:r>
    </w:p>
    <w:p w:rsidR="007354B0" w:rsidRPr="0008708B" w:rsidRDefault="007354B0">
      <w:pPr>
        <w:pStyle w:val="Rubrik2"/>
      </w:pPr>
      <w:r w:rsidRPr="0008708B">
        <w:t>Institutionernas ståndpunkter</w:t>
      </w:r>
    </w:p>
    <w:p w:rsidR="007354B0" w:rsidRPr="0008708B" w:rsidRDefault="007354B0">
      <w:pPr>
        <w:jc w:val="left"/>
        <w:rPr>
          <w:sz w:val="22"/>
          <w:szCs w:val="22"/>
        </w:rPr>
      </w:pPr>
      <w:r w:rsidRPr="0008708B">
        <w:rPr>
          <w:sz w:val="22"/>
          <w:szCs w:val="22"/>
        </w:rPr>
        <w:t xml:space="preserve">Kommissionen har förhandlat efter bemyndigande av rådet. </w:t>
      </w:r>
    </w:p>
    <w:p w:rsidR="007354B0" w:rsidRPr="0008708B" w:rsidRDefault="007354B0"/>
    <w:p w:rsidR="007354B0" w:rsidRPr="0008708B" w:rsidRDefault="007354B0">
      <w:pPr>
        <w:pStyle w:val="Rubrik2"/>
      </w:pPr>
      <w:r w:rsidRPr="0008708B">
        <w:t>Remissinstansernas ståndpunkter</w:t>
      </w:r>
    </w:p>
    <w:p w:rsidR="007354B0" w:rsidRPr="0008708B" w:rsidRDefault="007354B0">
      <w:pPr>
        <w:rPr>
          <w:sz w:val="22"/>
          <w:szCs w:val="22"/>
        </w:rPr>
      </w:pPr>
      <w:r w:rsidRPr="0008708B">
        <w:rPr>
          <w:sz w:val="22"/>
          <w:szCs w:val="22"/>
        </w:rPr>
        <w:t>Förslaget har inte remitterats.</w:t>
      </w:r>
    </w:p>
    <w:p w:rsidR="007354B0" w:rsidRPr="0008708B" w:rsidRDefault="007354B0">
      <w:pPr>
        <w:pStyle w:val="Rubrik1"/>
      </w:pPr>
      <w:r w:rsidRPr="0008708B">
        <w:t>Förslagets förutsättningar</w:t>
      </w:r>
    </w:p>
    <w:p w:rsidR="007354B0" w:rsidRPr="0008708B" w:rsidRDefault="007354B0">
      <w:pPr>
        <w:pStyle w:val="Rubrik2"/>
      </w:pPr>
      <w:r w:rsidRPr="0008708B">
        <w:t>Rättslig grund och beslutsförfarande</w:t>
      </w:r>
    </w:p>
    <w:p w:rsidR="007354B0" w:rsidRPr="0008708B" w:rsidRDefault="007354B0">
      <w:pPr>
        <w:autoSpaceDE w:val="0"/>
        <w:autoSpaceDN w:val="0"/>
        <w:adjustRightInd w:val="0"/>
        <w:spacing w:before="0" w:line="240" w:lineRule="auto"/>
        <w:jc w:val="left"/>
        <w:rPr>
          <w:rFonts w:ascii="Tms Rmn" w:hAnsi="Tms Rmn"/>
          <w:sz w:val="24"/>
          <w:szCs w:val="24"/>
        </w:rPr>
      </w:pPr>
    </w:p>
    <w:p w:rsidR="007354B0" w:rsidRPr="0008708B" w:rsidRDefault="007354B0">
      <w:pPr>
        <w:jc w:val="left"/>
        <w:rPr>
          <w:sz w:val="22"/>
          <w:szCs w:val="22"/>
        </w:rPr>
      </w:pPr>
      <w:r w:rsidRPr="0008708B">
        <w:rPr>
          <w:sz w:val="22"/>
          <w:szCs w:val="22"/>
        </w:rPr>
        <w:t xml:space="preserve">Främst artiklarna 207, 209 och 218 (6) fördraget om Europeiska unionens funktionssätt (EUF-fördraget) utgör de rättsliga grunderna för avtalet. </w:t>
      </w:r>
    </w:p>
    <w:p w:rsidR="007354B0" w:rsidRPr="0008708B" w:rsidRDefault="007354B0">
      <w:pPr>
        <w:jc w:val="left"/>
        <w:rPr>
          <w:sz w:val="22"/>
          <w:szCs w:val="22"/>
        </w:rPr>
      </w:pPr>
      <w:r w:rsidRPr="0008708B">
        <w:rPr>
          <w:sz w:val="22"/>
          <w:szCs w:val="22"/>
        </w:rPr>
        <w:t xml:space="preserve">Rådet behandlar förslaget med enhällighet. </w:t>
      </w:r>
    </w:p>
    <w:p w:rsidR="007354B0" w:rsidRPr="0008708B" w:rsidRDefault="007354B0">
      <w:pPr>
        <w:jc w:val="left"/>
        <w:rPr>
          <w:sz w:val="22"/>
          <w:szCs w:val="22"/>
        </w:rPr>
      </w:pPr>
      <w:r w:rsidRPr="0008708B">
        <w:rPr>
          <w:sz w:val="22"/>
          <w:szCs w:val="22"/>
        </w:rPr>
        <w:t>Europaparlamentet ska godkänna avtalet.</w:t>
      </w:r>
    </w:p>
    <w:p w:rsidR="007354B0" w:rsidRPr="0008708B" w:rsidRDefault="007354B0"/>
    <w:p w:rsidR="007354B0" w:rsidRPr="0008708B" w:rsidRDefault="007354B0">
      <w:pPr>
        <w:pStyle w:val="Rubrik2"/>
      </w:pPr>
      <w:r w:rsidRPr="0008708B">
        <w:t>Subsidiaritets- och proportionalitetsprincipen</w:t>
      </w:r>
    </w:p>
    <w:p w:rsidR="007354B0" w:rsidRPr="0008708B" w:rsidRDefault="007354B0">
      <w:pPr>
        <w:jc w:val="left"/>
        <w:rPr>
          <w:sz w:val="22"/>
          <w:szCs w:val="22"/>
        </w:rPr>
      </w:pPr>
      <w:r w:rsidRPr="0008708B">
        <w:rPr>
          <w:sz w:val="22"/>
          <w:szCs w:val="22"/>
        </w:rPr>
        <w:t>Rubriken är inte tillämplig på internationella avtal.</w:t>
      </w:r>
    </w:p>
    <w:p w:rsidR="007354B0" w:rsidRPr="0008708B" w:rsidRDefault="007354B0">
      <w:pPr>
        <w:pStyle w:val="Rubrik1"/>
      </w:pPr>
      <w:r w:rsidRPr="0008708B">
        <w:t>Övrigt</w:t>
      </w:r>
    </w:p>
    <w:p w:rsidR="007354B0" w:rsidRPr="0008708B" w:rsidRDefault="007354B0">
      <w:pPr>
        <w:pStyle w:val="Rubrik2"/>
      </w:pPr>
      <w:r w:rsidRPr="0008708B">
        <w:t>Fortsatt behandling av ärendet</w:t>
      </w:r>
    </w:p>
    <w:p w:rsidR="007354B0" w:rsidRPr="0008708B" w:rsidRDefault="007354B0">
      <w:pPr>
        <w:jc w:val="left"/>
        <w:rPr>
          <w:sz w:val="22"/>
          <w:szCs w:val="22"/>
        </w:rPr>
      </w:pPr>
      <w:r w:rsidRPr="0008708B">
        <w:rPr>
          <w:sz w:val="22"/>
          <w:szCs w:val="22"/>
        </w:rPr>
        <w:t xml:space="preserve">Avtalet kommer behöva ratificeras av samtliga medlemsstater, Irak samt godkännas av Europaparlamentet. </w:t>
      </w:r>
    </w:p>
    <w:p w:rsidR="007354B0" w:rsidRPr="0008708B" w:rsidRDefault="007354B0">
      <w:pPr>
        <w:pStyle w:val="Rubrik2"/>
      </w:pPr>
      <w:r w:rsidRPr="0008708B">
        <w:t>Fackuttryck / termer</w:t>
      </w:r>
    </w:p>
    <w:p w:rsidR="007354B0" w:rsidRPr="0008708B" w:rsidRDefault="007354B0"/>
    <w:sectPr w:rsidR="007354B0" w:rsidRPr="0008708B">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54B0" w:rsidRPr="0008708B" w:rsidRDefault="007354B0">
      <w:r w:rsidRPr="0008708B">
        <w:separator/>
      </w:r>
    </w:p>
  </w:endnote>
  <w:endnote w:type="continuationSeparator" w:id="0">
    <w:p w:rsidR="007354B0" w:rsidRPr="0008708B" w:rsidRDefault="007354B0">
      <w:r w:rsidRPr="0008708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4B0" w:rsidRPr="0008708B" w:rsidRDefault="007354B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4B0" w:rsidRPr="0008708B" w:rsidRDefault="007354B0">
    <w:pPr>
      <w:pStyle w:val="SidfotH"/>
      <w:framePr w:wrap="around"/>
    </w:pPr>
    <w:r w:rsidRPr="0008708B">
      <w:t>4</w:t>
    </w:r>
  </w:p>
  <w:p w:rsidR="007354B0" w:rsidRPr="0008708B" w:rsidRDefault="007354B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4B0" w:rsidRPr="0008708B" w:rsidRDefault="007354B0">
    <w:pPr>
      <w:pStyle w:val="SidfotH"/>
      <w:framePr w:wrap="around"/>
    </w:pPr>
    <w:r w:rsidRPr="0008708B">
      <w:t>1</w:t>
    </w:r>
  </w:p>
  <w:p w:rsidR="007354B0" w:rsidRPr="0008708B" w:rsidRDefault="007354B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54B0" w:rsidRPr="0008708B" w:rsidRDefault="007354B0">
      <w:r w:rsidRPr="0008708B">
        <w:separator/>
      </w:r>
    </w:p>
  </w:footnote>
  <w:footnote w:type="continuationSeparator" w:id="0">
    <w:p w:rsidR="007354B0" w:rsidRPr="0008708B" w:rsidRDefault="007354B0">
      <w:r w:rsidRPr="0008708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4B0" w:rsidRPr="0008708B" w:rsidRDefault="007354B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4B0" w:rsidRPr="0008708B" w:rsidRDefault="007354B0">
    <w:pPr>
      <w:pStyle w:val="Kantrubrik"/>
      <w:framePr w:h="1157" w:hRule="exact" w:wrap="around" w:y="738"/>
    </w:pPr>
    <w:r w:rsidRPr="0008708B">
      <w:t>2010/11:FPM39</w:t>
    </w:r>
  </w:p>
  <w:p w:rsidR="007354B0" w:rsidRPr="0008708B" w:rsidRDefault="007354B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4B0" w:rsidRPr="0008708B" w:rsidRDefault="0008708B">
    <w:pPr>
      <w:pStyle w:val="Sidhuvud"/>
    </w:pPr>
    <w:r w:rsidRPr="0008708B">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4700984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354B0" w:rsidRDefault="007354B0">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348"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7354B0" w:rsidRDefault="007354B0">
                    <w:pPr>
                      <w:pStyle w:val="Logo"/>
                    </w:pPr>
                    <w:r>
                      <w:object w:dxaOrig="840" w:dyaOrig="1545">
                        <v:shape id="_x0000_i1025" type="#_x0000_t75" style="width:42pt;height:77.15pt" filled="t">
                          <v:imagedata r:id="rId1" o:title=""/>
                        </v:shape>
                        <o:OLEObject Type="Embed" ProgID="Word.Picture.8" ShapeID="_x0000_i1025" DrawAspect="Content" ObjectID="_1827521348"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2A8042C"/>
    <w:multiLevelType w:val="singleLevel"/>
    <w:tmpl w:val="CCF20C06"/>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245841837">
    <w:abstractNumId w:val="5"/>
  </w:num>
  <w:num w:numId="2" w16cid:durableId="1957564477">
    <w:abstractNumId w:val="1"/>
  </w:num>
  <w:num w:numId="3" w16cid:durableId="521089280">
    <w:abstractNumId w:val="2"/>
  </w:num>
  <w:num w:numId="4" w16cid:durableId="320548786">
    <w:abstractNumId w:val="4"/>
  </w:num>
  <w:num w:numId="5" w16cid:durableId="1953197737">
    <w:abstractNumId w:val="6"/>
  </w:num>
  <w:num w:numId="6" w16cid:durableId="226771003">
    <w:abstractNumId w:val="0"/>
  </w:num>
  <w:num w:numId="7" w16cid:durableId="14059070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12-07"/>
    <w:docVar w:name="Ar" w:val="2010/11"/>
    <w:docVar w:name="Dep" w:val="Utrikesdepartementet"/>
    <w:docVar w:name="DepWeb" w:val="Utrikesdepartementet"/>
    <w:docVar w:name="GDB1" w:val="KOM(2010) 638"/>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BESLUT om ingående av ett avtal om partnerskap och samarbete mellan Europeiska unionen och dess medlemsstater, å ena sidan, och Republiken Irak, å andra sida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0) 638"/>
    <w:docVar w:name="Nr" w:val="39"/>
    <w:docVar w:name="RD_APPVERSION" w:val="3.00"/>
    <w:docVar w:name="Rub" w:val="Rådsbeslut om avtal med Irak"/>
    <w:docVar w:name="UppDat" w:val="2010-12-07"/>
    <w:docVar w:name="Utsk" w:val="Utrikesutskottet"/>
  </w:docVars>
  <w:rsids>
    <w:rsidRoot w:val="00B6503F"/>
    <w:rsid w:val="0008708B"/>
    <w:rsid w:val="007354B0"/>
    <w:rsid w:val="00B6503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06F0CF1-C030-43E0-A6FB-18C87329D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Point0">
    <w:name w:val="Point 0"/>
    <w:basedOn w:val="Normal"/>
    <w:pPr>
      <w:spacing w:before="120" w:after="120" w:line="240" w:lineRule="auto"/>
      <w:ind w:left="850" w:hanging="850"/>
    </w:pPr>
    <w:rPr>
      <w:sz w:val="24"/>
      <w:szCs w:val="24"/>
      <w:lang w:eastAsia="de-DE"/>
    </w:rPr>
  </w:style>
  <w:style w:type="paragraph" w:customStyle="1" w:styleId="ListDash1">
    <w:name w:val="List Dash 1"/>
    <w:basedOn w:val="Normal"/>
    <w:pPr>
      <w:numPr>
        <w:numId w:val="7"/>
      </w:numPr>
      <w:spacing w:before="120" w:after="120" w:line="240" w:lineRule="auto"/>
    </w:pPr>
    <w:rPr>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0103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647</Words>
  <Characters>4311</Characters>
  <Application>Microsoft Office Word</Application>
  <DocSecurity>4</DocSecurity>
  <Lines>110</Lines>
  <Paragraphs>49</Paragraphs>
  <ScaleCrop>false</ScaleCrop>
  <HeadingPairs>
    <vt:vector size="2" baseType="variant">
      <vt:variant>
        <vt:lpstr>Rubrik</vt:lpstr>
      </vt:variant>
      <vt:variant>
        <vt:i4>1</vt:i4>
      </vt:variant>
    </vt:vector>
  </HeadingPairs>
  <TitlesOfParts>
    <vt:vector size="1" baseType="lpstr">
      <vt:lpstr>FPM_201011__39</vt:lpstr>
    </vt:vector>
  </TitlesOfParts>
  <Company>RD-DTSL</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FPM_201011__39</dc:title>
  <dc:subject>FPM_201011__39</dc:subject>
  <dc:creator>Riksdagen</dc:creator>
  <cp:keywords>Riksdagen</cp:keywords>
  <dc:description>KP2004-version.  Ändringarna påverkar enbart användningen inom Riksdagen. 050429 nya departement DTSL.</dc:description>
  <cp:lastModifiedBy>Lars Brink</cp:lastModifiedBy>
  <cp:revision>2</cp:revision>
  <cp:lastPrinted>2010-12-07T15:09:00Z</cp:lastPrinted>
  <dcterms:created xsi:type="dcterms:W3CDTF">2025-12-17T18:16:00Z</dcterms:created>
  <dcterms:modified xsi:type="dcterms:W3CDTF">2025-12-17T18:16:00Z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39</vt:lpwstr>
  </property>
  <property fmtid="{D5CDD505-2E9C-101B-9397-08002B2CF9AE}" pid="4" name="GDB1">
    <vt:lpwstr>KOM(2010) 638</vt:lpwstr>
  </property>
  <property fmtid="{D5CDD505-2E9C-101B-9397-08002B2CF9AE}" pid="5" name="GDT1">
    <vt:lpwstr> </vt:lpwstr>
  </property>
  <property fmtid="{D5CDD505-2E9C-101B-9397-08002B2CF9AE}" pid="6" name="Dep">
    <vt:lpwstr>Utrikesdepartementet</vt:lpwstr>
  </property>
  <property fmtid="{D5CDD505-2E9C-101B-9397-08002B2CF9AE}" pid="7" name="Rub">
    <vt:lpwstr>Rådsbeslut om avtal med Irak</vt:lpwstr>
  </property>
  <property fmtid="{D5CDD505-2E9C-101B-9397-08002B2CF9AE}" pid="8" name="UppDat">
    <vt:lpwstr>2010-12-07</vt:lpwstr>
  </property>
  <property fmtid="{D5CDD505-2E9C-101B-9397-08002B2CF9AE}" pid="9" name="AnkDat">
    <vt:lpwstr>2010-12-07</vt:lpwstr>
  </property>
  <property fmtid="{D5CDD505-2E9C-101B-9397-08002B2CF9AE}" pid="10" name="Utsk">
    <vt:lpwstr>Utrikesutskottet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sa0103aa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JA</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3;0;0;229</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Statsrådsberedningen</vt:lpwstr>
  </property>
  <property fmtid="{D5CDD505-2E9C-101B-9397-08002B2CF9AE}" pid="45" name="RKOrdnaActivityCategory">
    <vt:lpwstr>9.9. Migrerat</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Landsbygdsdepartementet">
    <vt:lpwstr>NEJ</vt:lpwstr>
  </property>
</Properties>
</file>