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4EED" w:rsidRPr="00187B69" w:rsidRDefault="00284EED">
      <w:pPr>
        <w:pStyle w:val="RubrikSammanf"/>
        <w:shd w:val="clear" w:color="000000" w:fill="auto"/>
      </w:pPr>
      <w:r w:rsidRPr="00187B69">
        <w:t>Sammanfattning</w:t>
      </w:r>
    </w:p>
    <w:p w:rsidR="00284EED" w:rsidRPr="00187B69" w:rsidRDefault="00284EED">
      <w:pPr>
        <w:shd w:val="clear" w:color="000000" w:fill="auto"/>
      </w:pPr>
      <w:r w:rsidRPr="00187B69">
        <w:t>På utgiftsområdet görs en hel del satsningar som vi tycker är bra. Det gäller utsatta grupper såsom äldre, psykiskt sjuka och misshandlade kvinnor. Vi anser också att det är bra att stärka upp den enskildes rättighetsperspektiv i olika sammanhang. Det finns dock en hel del oklarheter när det gäller sat</w:t>
      </w:r>
      <w:r w:rsidRPr="00187B69">
        <w:t>s</w:t>
      </w:r>
      <w:r w:rsidRPr="00187B69">
        <w:t xml:space="preserve">ningarnas innehåll. </w:t>
      </w:r>
    </w:p>
    <w:p w:rsidR="00284EED" w:rsidRPr="00187B69" w:rsidRDefault="00284EED">
      <w:pPr>
        <w:pStyle w:val="Normaltindrag"/>
        <w:shd w:val="clear" w:color="000000" w:fill="auto"/>
      </w:pPr>
      <w:r w:rsidRPr="00187B69">
        <w:t>Påtagligt är också att den nya regeringen markant tycks ha ändrat inrik</w:t>
      </w:r>
      <w:r w:rsidRPr="00187B69">
        <w:t>t</w:t>
      </w:r>
      <w:r w:rsidRPr="00187B69">
        <w:t xml:space="preserve">ning för folkhälsopolitiken jämfört med förra årets budget och jämfört </w:t>
      </w:r>
      <w:r w:rsidR="00165807" w:rsidRPr="00187B69">
        <w:t xml:space="preserve">med </w:t>
      </w:r>
      <w:r w:rsidRPr="00187B69">
        <w:t>riksdagens beslut i Mål för folkhälsan (prop</w:t>
      </w:r>
      <w:r w:rsidR="00165807" w:rsidRPr="00187B69">
        <w:t xml:space="preserve">. </w:t>
      </w:r>
      <w:r w:rsidRPr="00187B69">
        <w:t xml:space="preserve">2002/03:35). Det gäller både när politikområdet </w:t>
      </w:r>
      <w:r w:rsidR="00165807" w:rsidRPr="00187B69">
        <w:t xml:space="preserve">Folkhälsa </w:t>
      </w:r>
      <w:r w:rsidRPr="00187B69">
        <w:t xml:space="preserve">beskrivs och politikens inriktning. En klar glidning har skett från den av riksdagen beslutade folkhälsopolitiken och dess </w:t>
      </w:r>
      <w:r w:rsidR="00165807" w:rsidRPr="00187B69">
        <w:t>elva</w:t>
      </w:r>
      <w:r w:rsidRPr="00187B69">
        <w:t xml:space="preserve"> uppsatta målområden. Sambanden mellan hälsa och sysselsättning betonas, men betydligt mindre berör</w:t>
      </w:r>
      <w:r w:rsidR="0017042C" w:rsidRPr="00187B69">
        <w:t>s de målområden som handlar om ”</w:t>
      </w:r>
      <w:r w:rsidRPr="00187B69">
        <w:t>delaktighet och inflytande i samhället” och” ekonomisk och social trygghet</w:t>
      </w:r>
      <w:r w:rsidR="00165807" w:rsidRPr="00187B69">
        <w:t>”</w:t>
      </w:r>
      <w:r w:rsidRPr="00187B69">
        <w:t>. Ojämlik förde</w:t>
      </w:r>
      <w:r w:rsidRPr="00187B69">
        <w:t>l</w:t>
      </w:r>
      <w:r w:rsidRPr="00187B69">
        <w:t>ning av hälsa mellan olika grupper i samhället berörs inte och inte heller den tydliga kopplingen som finns mellan en god folkhälsa och en hållbar utvec</w:t>
      </w:r>
      <w:r w:rsidRPr="00187B69">
        <w:t>k</w:t>
      </w:r>
      <w:r w:rsidRPr="00187B69">
        <w:t>ling både ekologiskt, socialt och ekonomiskt. Regeringen presenterar ett fö</w:t>
      </w:r>
      <w:r w:rsidRPr="00187B69">
        <w:t>r</w:t>
      </w:r>
      <w:r w:rsidRPr="00187B69">
        <w:t>åldrat synsätt på folkhälsopolitik.</w:t>
      </w:r>
    </w:p>
    <w:p w:rsidR="00284EED" w:rsidRPr="00187B69" w:rsidRDefault="0017042C">
      <w:pPr>
        <w:pStyle w:val="Normaltindrag"/>
        <w:shd w:val="clear" w:color="000000" w:fill="auto"/>
      </w:pPr>
      <w:r w:rsidRPr="00187B69">
        <w:t>Vi tar i motionen bl.</w:t>
      </w:r>
      <w:r w:rsidR="00284EED" w:rsidRPr="00187B69">
        <w:t>a</w:t>
      </w:r>
      <w:r w:rsidRPr="00187B69">
        <w:t>.</w:t>
      </w:r>
      <w:r w:rsidR="00284EED" w:rsidRPr="00187B69">
        <w:t xml:space="preserve"> upp åtgärder på tandvårdsområdet där vi vill ha ett mer förebyggande perspektiv. Regeringens aviserade högkostnadsskydd är oklart till innehåll och riskerar bli kostnadsdrivande i sin konstruktion. En särskild konkret folkhälsosatsning föreslås också, liksom konkreta satsningar för att förebygga mäns våld mot kvinnor.  När det gäller funktionshinder ser vi med tillfredsställelse att regeringen avser att återkomma med ett lagförslag om samtliga diskrimineringsgrunder. Vi förutsätter att det, såsom i </w:t>
      </w:r>
      <w:r w:rsidR="00165807" w:rsidRPr="00187B69">
        <w:t>Diskrim</w:t>
      </w:r>
      <w:r w:rsidR="00165807" w:rsidRPr="00187B69">
        <w:t>i</w:t>
      </w:r>
      <w:r w:rsidR="00165807" w:rsidRPr="00187B69">
        <w:t xml:space="preserve">neringskommitténs </w:t>
      </w:r>
      <w:r w:rsidR="00284EED" w:rsidRPr="00187B69">
        <w:t xml:space="preserve">förslag, inbegriper förslaget om att otillgänglighet ska ses som diskriminering. Det ser vi som det allra viktigaste förslaget att gå fram med för att förbättra situationen för funktionshindrade. </w:t>
      </w:r>
    </w:p>
    <w:p w:rsidR="00284EED" w:rsidRPr="00187B69" w:rsidRDefault="00284EED">
      <w:pPr>
        <w:pStyle w:val="Hemstlrubrik"/>
        <w:pageBreakBefore/>
        <w:shd w:val="clear" w:color="000000" w:fill="auto"/>
        <w:spacing w:before="0"/>
      </w:pPr>
      <w:r w:rsidRPr="00187B69">
        <w:lastRenderedPageBreak/>
        <w:t>Förslag till riksdagsbeslut</w:t>
      </w:r>
    </w:p>
    <w:p w:rsidR="0091176E" w:rsidRPr="00187B69" w:rsidRDefault="0091176E">
      <w:pPr>
        <w:pStyle w:val="Hemstlatt"/>
        <w:numPr>
          <w:ilvl w:val="0"/>
          <w:numId w:val="1"/>
        </w:numPr>
        <w:shd w:val="clear" w:color="000000" w:fill="auto"/>
      </w:pPr>
      <w:r w:rsidRPr="00187B69">
        <w:t>Riksdagen tillkännager för regeringen som sin mening vad i motionen anförs om vikten av att stödja hälsofrämjande sjukhus i enlighet med folkhälsomål 6.</w:t>
      </w:r>
    </w:p>
    <w:p w:rsidR="0091176E" w:rsidRPr="00187B69" w:rsidRDefault="0091176E">
      <w:pPr>
        <w:pStyle w:val="Hemstlatt"/>
        <w:numPr>
          <w:ilvl w:val="0"/>
          <w:numId w:val="1"/>
        </w:numPr>
        <w:shd w:val="clear" w:color="000000" w:fill="auto"/>
      </w:pPr>
      <w:r w:rsidRPr="00187B69">
        <w:t>Riksdagen tillkännager för regeringen som sin mening vad i motionen anförs om ett nationellt abonnemangstandvårdssystem och gr</w:t>
      </w:r>
      <w:r w:rsidRPr="00187B69">
        <w:t>a</w:t>
      </w:r>
      <w:r w:rsidRPr="00187B69">
        <w:t>tis tandvård upp till 25 år.</w:t>
      </w:r>
    </w:p>
    <w:p w:rsidR="0091176E" w:rsidRPr="00187B69" w:rsidRDefault="0091176E">
      <w:pPr>
        <w:pStyle w:val="Hemstlatt"/>
        <w:numPr>
          <w:ilvl w:val="0"/>
          <w:numId w:val="1"/>
        </w:numPr>
        <w:shd w:val="clear" w:color="000000" w:fill="auto"/>
      </w:pPr>
      <w:r w:rsidRPr="00187B69">
        <w:t>Riksdagen tillkännager för regeringen som sin mening vad i motionen anförs om åtgärder för tobaksprevention.</w:t>
      </w:r>
    </w:p>
    <w:p w:rsidR="0091176E" w:rsidRPr="00187B69" w:rsidRDefault="0091176E">
      <w:pPr>
        <w:pStyle w:val="Hemstlatt"/>
        <w:numPr>
          <w:ilvl w:val="0"/>
          <w:numId w:val="1"/>
        </w:numPr>
        <w:shd w:val="clear" w:color="000000" w:fill="auto"/>
      </w:pPr>
      <w:r w:rsidRPr="00187B69">
        <w:t>Riksdagen tillkännager för regeringen som sin mening vad i motionen anförs om Kilen.</w:t>
      </w:r>
    </w:p>
    <w:p w:rsidR="0091176E" w:rsidRPr="00187B69" w:rsidRDefault="0091176E">
      <w:pPr>
        <w:pStyle w:val="Hemstlatt"/>
        <w:numPr>
          <w:ilvl w:val="0"/>
          <w:numId w:val="1"/>
        </w:numPr>
        <w:shd w:val="clear" w:color="000000" w:fill="auto"/>
      </w:pPr>
      <w:r w:rsidRPr="00187B69">
        <w:t>Riksdagen tillkännager för regeringen som sin mening vad i motionen anförs om vikten av särskilda insatser för män som slår.</w:t>
      </w:r>
    </w:p>
    <w:p w:rsidR="0091176E" w:rsidRPr="00187B69" w:rsidRDefault="0091176E">
      <w:pPr>
        <w:pStyle w:val="Hemstlatt"/>
        <w:numPr>
          <w:ilvl w:val="0"/>
          <w:numId w:val="1"/>
        </w:numPr>
        <w:shd w:val="clear" w:color="000000" w:fill="auto"/>
      </w:pPr>
      <w:r w:rsidRPr="00187B69">
        <w:t>Riksdagen tillkännager för regeringen som sin mening vad i motionen anförs om att tillsätta regionala och lokala barnombud</w:t>
      </w:r>
      <w:r w:rsidRPr="00187B69">
        <w:t>s</w:t>
      </w:r>
      <w:r w:rsidRPr="00187B69">
        <w:t>män.</w:t>
      </w:r>
    </w:p>
    <w:p w:rsidR="0091176E" w:rsidRPr="00187B69" w:rsidRDefault="0091176E">
      <w:pPr>
        <w:pStyle w:val="Hemstlatt"/>
        <w:numPr>
          <w:ilvl w:val="0"/>
          <w:numId w:val="1"/>
        </w:numPr>
        <w:shd w:val="clear" w:color="000000" w:fill="auto"/>
      </w:pPr>
      <w:r w:rsidRPr="00187B69">
        <w:t>Riksdagen tillkännager för regeringen som sin mening vad i motionen anförs om vikten av fortsatta insatser nationellt för att komma till rätta med hemlöshetsproblematiken.</w:t>
      </w:r>
    </w:p>
    <w:p w:rsidR="0091176E" w:rsidRPr="00187B69" w:rsidRDefault="0091176E">
      <w:pPr>
        <w:pStyle w:val="Hemstlatt"/>
        <w:numPr>
          <w:ilvl w:val="0"/>
          <w:numId w:val="1"/>
        </w:numPr>
        <w:shd w:val="clear" w:color="000000" w:fill="auto"/>
      </w:pPr>
      <w:r w:rsidRPr="00187B69">
        <w:t>Riksdagen tillkännager för regeringen som sin mening vad i motionen anförs om alternativ- och komplementärmedicinskt regi</w:t>
      </w:r>
      <w:r w:rsidRPr="00187B69">
        <w:t>s</w:t>
      </w:r>
      <w:r w:rsidRPr="00187B69">
        <w:t>ter.</w:t>
      </w:r>
    </w:p>
    <w:p w:rsidR="0091176E" w:rsidRPr="00187B69" w:rsidRDefault="0091176E">
      <w:pPr>
        <w:pStyle w:val="Hemstlatt"/>
        <w:numPr>
          <w:ilvl w:val="0"/>
          <w:numId w:val="1"/>
        </w:numPr>
        <w:shd w:val="clear" w:color="000000" w:fill="auto"/>
      </w:pPr>
      <w:r w:rsidRPr="00187B69">
        <w:rPr>
          <w:spacing w:val="-4"/>
        </w:rPr>
        <w:t>Riksdagen tillkännager för regeringen som sin mening vad i m</w:t>
      </w:r>
      <w:r w:rsidRPr="00187B69">
        <w:rPr>
          <w:spacing w:val="-4"/>
        </w:rPr>
        <w:t>o</w:t>
      </w:r>
      <w:r w:rsidRPr="00187B69">
        <w:rPr>
          <w:spacing w:val="-4"/>
        </w:rPr>
        <w:t>tionen anförs om Handikappombudsmannen och vikten av utökat ekon</w:t>
      </w:r>
      <w:r w:rsidRPr="00187B69">
        <w:rPr>
          <w:spacing w:val="-4"/>
        </w:rPr>
        <w:t>o</w:t>
      </w:r>
      <w:r w:rsidRPr="00187B69">
        <w:rPr>
          <w:spacing w:val="-4"/>
        </w:rPr>
        <w:t>miskt stöd.</w:t>
      </w:r>
    </w:p>
    <w:p w:rsidR="0091176E" w:rsidRPr="00187B69" w:rsidRDefault="0091176E">
      <w:pPr>
        <w:pStyle w:val="Hemstlatt"/>
        <w:numPr>
          <w:ilvl w:val="0"/>
          <w:numId w:val="1"/>
        </w:numPr>
        <w:shd w:val="clear" w:color="000000" w:fill="auto"/>
      </w:pPr>
      <w:r w:rsidRPr="00187B69">
        <w:t>Riksdagen tillkännager för regeringen som sin mening vad i motionen anförs om att se över nya typer av handikapporganisationer och deras möjligheter till ekonomiskt bidrag.</w:t>
      </w:r>
    </w:p>
    <w:p w:rsidR="0091176E" w:rsidRPr="00187B69" w:rsidRDefault="0091176E">
      <w:pPr>
        <w:pStyle w:val="Hemstlatt"/>
        <w:numPr>
          <w:ilvl w:val="0"/>
          <w:numId w:val="1"/>
        </w:numPr>
        <w:shd w:val="clear" w:color="000000" w:fill="auto"/>
      </w:pPr>
      <w:r w:rsidRPr="00187B69">
        <w:t>Riksdagen tillkännager för regeringen som sin mening vad i motionen anförs om att ge landstingen samordningsansvar för arbetet med folkhälsomålen på regional nivå.</w:t>
      </w:r>
    </w:p>
    <w:p w:rsidR="0091176E" w:rsidRPr="00187B69" w:rsidRDefault="0091176E">
      <w:pPr>
        <w:pStyle w:val="Hemstlatt"/>
        <w:numPr>
          <w:ilvl w:val="0"/>
          <w:numId w:val="1"/>
        </w:numPr>
        <w:shd w:val="clear" w:color="000000" w:fill="auto"/>
      </w:pPr>
      <w:r w:rsidRPr="00187B69">
        <w:t>Riksdagen anvisar med följande ändringar i förhållande till regeringens förslag anslagen under utgiftsområde 9 Hälsovård, sjukvård och social omsorg enligt uppställningen:</w:t>
      </w:r>
    </w:p>
    <w:tbl>
      <w:tblPr>
        <w:tblStyle w:val="Tabellrutnt"/>
        <w:tblW w:w="5897" w:type="dxa"/>
        <w:tblInd w:w="22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595"/>
        <w:gridCol w:w="673"/>
        <w:gridCol w:w="824"/>
        <w:gridCol w:w="805"/>
      </w:tblGrid>
      <w:tr w:rsidR="00DE665F" w:rsidRPr="00187B69">
        <w:trPr>
          <w:tblHeader/>
        </w:trPr>
        <w:tc>
          <w:tcPr>
            <w:tcW w:w="3595" w:type="dxa"/>
            <w:tcBorders>
              <w:top w:val="single" w:sz="4" w:space="0" w:color="auto"/>
              <w:bottom w:val="single" w:sz="4" w:space="0" w:color="auto"/>
            </w:tcBorders>
          </w:tcPr>
          <w:p w:rsidR="0091176E" w:rsidRPr="00187B69" w:rsidRDefault="0091176E">
            <w:pPr>
              <w:shd w:val="clear" w:color="000000" w:fill="auto"/>
              <w:spacing w:line="160" w:lineRule="exact"/>
              <w:rPr>
                <w:b/>
                <w:sz w:val="16"/>
                <w:szCs w:val="16"/>
              </w:rPr>
            </w:pPr>
            <w:r w:rsidRPr="00187B69">
              <w:rPr>
                <w:b/>
                <w:sz w:val="16"/>
                <w:szCs w:val="16"/>
              </w:rPr>
              <w:t>Anslagsförändring</w:t>
            </w:r>
          </w:p>
        </w:tc>
        <w:tc>
          <w:tcPr>
            <w:tcW w:w="2302" w:type="dxa"/>
            <w:gridSpan w:val="3"/>
            <w:tcBorders>
              <w:top w:val="single" w:sz="4" w:space="0" w:color="auto"/>
              <w:bottom w:val="single" w:sz="4" w:space="0" w:color="auto"/>
            </w:tcBorders>
            <w:vAlign w:val="bottom"/>
          </w:tcPr>
          <w:p w:rsidR="0091176E" w:rsidRPr="00187B69" w:rsidRDefault="0091176E">
            <w:pPr>
              <w:shd w:val="clear" w:color="000000" w:fill="auto"/>
              <w:spacing w:line="160" w:lineRule="exact"/>
              <w:rPr>
                <w:b/>
                <w:sz w:val="16"/>
                <w:szCs w:val="16"/>
              </w:rPr>
            </w:pPr>
            <w:r w:rsidRPr="00187B69">
              <w:rPr>
                <w:b/>
                <w:sz w:val="16"/>
                <w:szCs w:val="16"/>
              </w:rPr>
              <w:t>Avvikelse från regeringens förslag, miljoner kronor</w:t>
            </w:r>
          </w:p>
        </w:tc>
      </w:tr>
      <w:tr w:rsidR="00DE665F" w:rsidRPr="00187B69">
        <w:tc>
          <w:tcPr>
            <w:tcW w:w="3595" w:type="dxa"/>
            <w:tcBorders>
              <w:top w:val="single" w:sz="4" w:space="0" w:color="auto"/>
            </w:tcBorders>
            <w:vAlign w:val="bottom"/>
          </w:tcPr>
          <w:p w:rsidR="0091176E" w:rsidRPr="00187B69" w:rsidRDefault="0091176E">
            <w:pPr>
              <w:shd w:val="clear" w:color="000000" w:fill="auto"/>
              <w:spacing w:line="200" w:lineRule="exact"/>
              <w:rPr>
                <w:sz w:val="16"/>
                <w:szCs w:val="16"/>
              </w:rPr>
            </w:pPr>
          </w:p>
        </w:tc>
        <w:tc>
          <w:tcPr>
            <w:tcW w:w="673" w:type="dxa"/>
            <w:tcBorders>
              <w:top w:val="single" w:sz="4" w:space="0" w:color="auto"/>
            </w:tcBorders>
          </w:tcPr>
          <w:p w:rsidR="0091176E" w:rsidRPr="00187B69" w:rsidRDefault="0091176E">
            <w:pPr>
              <w:shd w:val="clear" w:color="000000" w:fill="auto"/>
              <w:spacing w:line="200" w:lineRule="exact"/>
              <w:ind w:left="-57"/>
              <w:jc w:val="right"/>
              <w:rPr>
                <w:sz w:val="16"/>
                <w:szCs w:val="16"/>
              </w:rPr>
            </w:pPr>
            <w:r w:rsidRPr="00187B69">
              <w:rPr>
                <w:sz w:val="16"/>
                <w:szCs w:val="16"/>
              </w:rPr>
              <w:t>Förslag 2007</w:t>
            </w:r>
          </w:p>
        </w:tc>
        <w:tc>
          <w:tcPr>
            <w:tcW w:w="824" w:type="dxa"/>
            <w:tcBorders>
              <w:top w:val="single" w:sz="4" w:space="0" w:color="auto"/>
            </w:tcBorders>
          </w:tcPr>
          <w:p w:rsidR="0091176E" w:rsidRPr="00187B69" w:rsidRDefault="0091176E">
            <w:pPr>
              <w:shd w:val="clear" w:color="000000" w:fill="auto"/>
              <w:spacing w:line="200" w:lineRule="exact"/>
              <w:jc w:val="right"/>
              <w:rPr>
                <w:sz w:val="16"/>
                <w:szCs w:val="16"/>
              </w:rPr>
            </w:pPr>
            <w:r w:rsidRPr="00187B69">
              <w:rPr>
                <w:sz w:val="16"/>
                <w:szCs w:val="16"/>
              </w:rPr>
              <w:t>Beräknat 2008</w:t>
            </w:r>
          </w:p>
        </w:tc>
        <w:tc>
          <w:tcPr>
            <w:tcW w:w="805" w:type="dxa"/>
            <w:tcBorders>
              <w:top w:val="single" w:sz="4" w:space="0" w:color="auto"/>
            </w:tcBorders>
          </w:tcPr>
          <w:p w:rsidR="0091176E" w:rsidRPr="00187B69" w:rsidRDefault="0091176E">
            <w:pPr>
              <w:shd w:val="clear" w:color="000000" w:fill="auto"/>
              <w:spacing w:line="200" w:lineRule="exact"/>
              <w:jc w:val="right"/>
              <w:rPr>
                <w:sz w:val="16"/>
                <w:szCs w:val="16"/>
              </w:rPr>
            </w:pPr>
            <w:r w:rsidRPr="00187B69">
              <w:rPr>
                <w:sz w:val="16"/>
                <w:szCs w:val="16"/>
              </w:rPr>
              <w:t>Beräknat 2009</w:t>
            </w:r>
          </w:p>
        </w:tc>
      </w:tr>
      <w:tr w:rsidR="00DE665F" w:rsidRPr="00187B69">
        <w:tc>
          <w:tcPr>
            <w:tcW w:w="3595" w:type="dxa"/>
            <w:vAlign w:val="bottom"/>
          </w:tcPr>
          <w:p w:rsidR="0091176E" w:rsidRPr="00187B69" w:rsidRDefault="0091176E">
            <w:pPr>
              <w:shd w:val="clear" w:color="000000" w:fill="auto"/>
              <w:spacing w:before="60" w:line="200" w:lineRule="exact"/>
              <w:rPr>
                <w:b/>
                <w:sz w:val="16"/>
                <w:szCs w:val="16"/>
              </w:rPr>
            </w:pPr>
            <w:r w:rsidRPr="00187B69">
              <w:rPr>
                <w:b/>
                <w:sz w:val="16"/>
                <w:szCs w:val="16"/>
              </w:rPr>
              <w:t>Anslag</w:t>
            </w:r>
          </w:p>
        </w:tc>
        <w:tc>
          <w:tcPr>
            <w:tcW w:w="673" w:type="dxa"/>
            <w:vAlign w:val="bottom"/>
          </w:tcPr>
          <w:p w:rsidR="0091176E" w:rsidRPr="00187B69" w:rsidRDefault="0091176E">
            <w:pPr>
              <w:shd w:val="clear" w:color="000000" w:fill="auto"/>
              <w:spacing w:before="60" w:line="200" w:lineRule="exact"/>
              <w:ind w:left="-57" w:right="141"/>
              <w:jc w:val="right"/>
              <w:rPr>
                <w:sz w:val="16"/>
                <w:szCs w:val="16"/>
              </w:rPr>
            </w:pPr>
          </w:p>
        </w:tc>
        <w:tc>
          <w:tcPr>
            <w:tcW w:w="824" w:type="dxa"/>
            <w:vAlign w:val="bottom"/>
          </w:tcPr>
          <w:p w:rsidR="0091176E" w:rsidRPr="00187B69" w:rsidRDefault="0091176E">
            <w:pPr>
              <w:shd w:val="clear" w:color="000000" w:fill="auto"/>
              <w:spacing w:before="60" w:line="200" w:lineRule="exact"/>
              <w:ind w:right="141"/>
              <w:jc w:val="right"/>
              <w:rPr>
                <w:sz w:val="16"/>
                <w:szCs w:val="16"/>
              </w:rPr>
            </w:pPr>
          </w:p>
        </w:tc>
        <w:tc>
          <w:tcPr>
            <w:tcW w:w="805" w:type="dxa"/>
            <w:vAlign w:val="bottom"/>
          </w:tcPr>
          <w:p w:rsidR="0091176E" w:rsidRPr="00187B69" w:rsidRDefault="0091176E">
            <w:pPr>
              <w:shd w:val="clear" w:color="000000" w:fill="auto"/>
              <w:spacing w:before="60" w:line="200" w:lineRule="exact"/>
              <w:ind w:right="141"/>
              <w:jc w:val="right"/>
              <w:rPr>
                <w:sz w:val="16"/>
                <w:szCs w:val="16"/>
              </w:rPr>
            </w:pPr>
          </w:p>
        </w:tc>
      </w:tr>
      <w:tr w:rsidR="00DE665F" w:rsidRPr="00187B69">
        <w:tc>
          <w:tcPr>
            <w:tcW w:w="3595" w:type="dxa"/>
            <w:vAlign w:val="bottom"/>
          </w:tcPr>
          <w:p w:rsidR="0091176E" w:rsidRPr="00187B69" w:rsidRDefault="0091176E">
            <w:pPr>
              <w:shd w:val="clear" w:color="000000" w:fill="auto"/>
              <w:spacing w:before="60" w:line="200" w:lineRule="exact"/>
              <w:rPr>
                <w:sz w:val="16"/>
                <w:szCs w:val="16"/>
              </w:rPr>
            </w:pPr>
            <w:r w:rsidRPr="00187B69">
              <w:rPr>
                <w:sz w:val="16"/>
                <w:szCs w:val="16"/>
              </w:rPr>
              <w:t>13:1 Tandvård</w:t>
            </w:r>
          </w:p>
        </w:tc>
        <w:tc>
          <w:tcPr>
            <w:tcW w:w="673" w:type="dxa"/>
            <w:vAlign w:val="bottom"/>
          </w:tcPr>
          <w:p w:rsidR="0091176E" w:rsidRPr="00187B69" w:rsidRDefault="0091176E">
            <w:pPr>
              <w:shd w:val="clear" w:color="000000" w:fill="auto"/>
              <w:spacing w:before="60" w:line="200" w:lineRule="exact"/>
              <w:ind w:left="-57" w:right="141"/>
              <w:jc w:val="right"/>
              <w:rPr>
                <w:sz w:val="16"/>
                <w:szCs w:val="16"/>
              </w:rPr>
            </w:pPr>
            <w:r w:rsidRPr="00187B69">
              <w:rPr>
                <w:sz w:val="16"/>
                <w:szCs w:val="16"/>
              </w:rPr>
              <w:t>–145</w:t>
            </w:r>
          </w:p>
        </w:tc>
        <w:tc>
          <w:tcPr>
            <w:tcW w:w="824" w:type="dxa"/>
            <w:vAlign w:val="bottom"/>
          </w:tcPr>
          <w:p w:rsidR="0091176E" w:rsidRPr="00187B69" w:rsidRDefault="0091176E">
            <w:pPr>
              <w:shd w:val="clear" w:color="000000" w:fill="auto"/>
              <w:spacing w:before="60" w:line="200" w:lineRule="exact"/>
              <w:ind w:right="141"/>
              <w:jc w:val="right"/>
              <w:rPr>
                <w:sz w:val="16"/>
                <w:szCs w:val="16"/>
              </w:rPr>
            </w:pPr>
            <w:r w:rsidRPr="00187B69">
              <w:rPr>
                <w:sz w:val="16"/>
                <w:szCs w:val="16"/>
              </w:rPr>
              <w:t>–85</w:t>
            </w:r>
          </w:p>
        </w:tc>
        <w:tc>
          <w:tcPr>
            <w:tcW w:w="805" w:type="dxa"/>
            <w:vAlign w:val="bottom"/>
          </w:tcPr>
          <w:p w:rsidR="0091176E" w:rsidRPr="00187B69" w:rsidRDefault="0091176E">
            <w:pPr>
              <w:shd w:val="clear" w:color="000000" w:fill="auto"/>
              <w:spacing w:before="60" w:line="200" w:lineRule="exact"/>
              <w:ind w:right="141"/>
              <w:jc w:val="right"/>
              <w:rPr>
                <w:sz w:val="16"/>
                <w:szCs w:val="16"/>
              </w:rPr>
            </w:pPr>
            <w:r w:rsidRPr="00187B69">
              <w:rPr>
                <w:sz w:val="16"/>
                <w:szCs w:val="16"/>
              </w:rPr>
              <w:t>–85</w:t>
            </w:r>
          </w:p>
        </w:tc>
      </w:tr>
      <w:tr w:rsidR="00DE665F" w:rsidRPr="00187B69">
        <w:tc>
          <w:tcPr>
            <w:tcW w:w="3595" w:type="dxa"/>
            <w:vAlign w:val="bottom"/>
          </w:tcPr>
          <w:p w:rsidR="0091176E" w:rsidRPr="00187B69" w:rsidRDefault="0091176E">
            <w:pPr>
              <w:shd w:val="clear" w:color="000000" w:fill="auto"/>
              <w:spacing w:before="60" w:line="200" w:lineRule="exact"/>
              <w:rPr>
                <w:sz w:val="16"/>
                <w:szCs w:val="16"/>
              </w:rPr>
            </w:pPr>
            <w:r w:rsidRPr="00187B69">
              <w:rPr>
                <w:sz w:val="16"/>
                <w:szCs w:val="16"/>
              </w:rPr>
              <w:t>13:3 Bidrag till hälso- och sjukvård (besparingar)</w:t>
            </w:r>
          </w:p>
        </w:tc>
        <w:tc>
          <w:tcPr>
            <w:tcW w:w="673" w:type="dxa"/>
            <w:vAlign w:val="bottom"/>
          </w:tcPr>
          <w:p w:rsidR="0091176E" w:rsidRPr="00187B69" w:rsidRDefault="0091176E">
            <w:pPr>
              <w:shd w:val="clear" w:color="000000" w:fill="auto"/>
              <w:spacing w:before="60" w:line="200" w:lineRule="exact"/>
              <w:ind w:left="-57" w:right="141"/>
              <w:jc w:val="right"/>
              <w:rPr>
                <w:sz w:val="16"/>
                <w:szCs w:val="16"/>
              </w:rPr>
            </w:pPr>
            <w:r w:rsidRPr="00187B69">
              <w:rPr>
                <w:sz w:val="16"/>
                <w:szCs w:val="16"/>
              </w:rPr>
              <w:t>–70</w:t>
            </w:r>
          </w:p>
        </w:tc>
        <w:tc>
          <w:tcPr>
            <w:tcW w:w="824" w:type="dxa"/>
            <w:vAlign w:val="bottom"/>
          </w:tcPr>
          <w:p w:rsidR="0091176E" w:rsidRPr="00187B69" w:rsidRDefault="0091176E">
            <w:pPr>
              <w:shd w:val="clear" w:color="000000" w:fill="auto"/>
              <w:spacing w:before="60" w:line="200" w:lineRule="exact"/>
              <w:ind w:right="141"/>
              <w:jc w:val="right"/>
              <w:rPr>
                <w:sz w:val="16"/>
                <w:szCs w:val="16"/>
              </w:rPr>
            </w:pPr>
            <w:r w:rsidRPr="00187B69">
              <w:rPr>
                <w:sz w:val="16"/>
                <w:szCs w:val="16"/>
              </w:rPr>
              <w:t>–70</w:t>
            </w:r>
          </w:p>
        </w:tc>
        <w:tc>
          <w:tcPr>
            <w:tcW w:w="805" w:type="dxa"/>
            <w:vAlign w:val="bottom"/>
          </w:tcPr>
          <w:p w:rsidR="0091176E" w:rsidRPr="00187B69" w:rsidRDefault="0091176E">
            <w:pPr>
              <w:shd w:val="clear" w:color="000000" w:fill="auto"/>
              <w:spacing w:before="60" w:line="200" w:lineRule="exact"/>
              <w:ind w:right="141"/>
              <w:jc w:val="right"/>
              <w:rPr>
                <w:sz w:val="16"/>
                <w:szCs w:val="16"/>
              </w:rPr>
            </w:pPr>
            <w:r w:rsidRPr="00187B69">
              <w:rPr>
                <w:sz w:val="16"/>
                <w:szCs w:val="16"/>
              </w:rPr>
              <w:t>–70</w:t>
            </w:r>
          </w:p>
        </w:tc>
      </w:tr>
      <w:tr w:rsidR="00DE665F" w:rsidRPr="00187B69">
        <w:tc>
          <w:tcPr>
            <w:tcW w:w="3595" w:type="dxa"/>
            <w:vAlign w:val="bottom"/>
          </w:tcPr>
          <w:p w:rsidR="0091176E" w:rsidRPr="00187B69" w:rsidRDefault="0091176E">
            <w:pPr>
              <w:shd w:val="clear" w:color="000000" w:fill="auto"/>
              <w:spacing w:before="60" w:line="200" w:lineRule="exact"/>
              <w:rPr>
                <w:sz w:val="16"/>
                <w:szCs w:val="16"/>
              </w:rPr>
            </w:pPr>
            <w:r w:rsidRPr="00187B69">
              <w:rPr>
                <w:sz w:val="16"/>
                <w:szCs w:val="16"/>
              </w:rPr>
              <w:t>13:3 Bidrag till hälso- och sjukvård (satsningar)</w:t>
            </w:r>
          </w:p>
        </w:tc>
        <w:tc>
          <w:tcPr>
            <w:tcW w:w="673" w:type="dxa"/>
            <w:vAlign w:val="bottom"/>
          </w:tcPr>
          <w:p w:rsidR="0091176E" w:rsidRPr="00187B69" w:rsidRDefault="0091176E">
            <w:pPr>
              <w:shd w:val="clear" w:color="000000" w:fill="auto"/>
              <w:spacing w:before="60" w:line="200" w:lineRule="exact"/>
              <w:ind w:left="-57" w:right="141"/>
              <w:jc w:val="right"/>
              <w:rPr>
                <w:sz w:val="16"/>
                <w:szCs w:val="16"/>
              </w:rPr>
            </w:pPr>
            <w:r w:rsidRPr="00187B69">
              <w:rPr>
                <w:sz w:val="16"/>
                <w:szCs w:val="16"/>
              </w:rPr>
              <w:t>12</w:t>
            </w:r>
          </w:p>
        </w:tc>
        <w:tc>
          <w:tcPr>
            <w:tcW w:w="824" w:type="dxa"/>
            <w:tcBorders>
              <w:bottom w:val="nil"/>
            </w:tcBorders>
            <w:vAlign w:val="bottom"/>
          </w:tcPr>
          <w:p w:rsidR="0091176E" w:rsidRPr="00187B69" w:rsidRDefault="0091176E">
            <w:pPr>
              <w:shd w:val="clear" w:color="000000" w:fill="auto"/>
              <w:spacing w:before="60" w:line="200" w:lineRule="exact"/>
              <w:ind w:right="141"/>
              <w:jc w:val="right"/>
              <w:rPr>
                <w:sz w:val="16"/>
                <w:szCs w:val="16"/>
              </w:rPr>
            </w:pPr>
            <w:r w:rsidRPr="00187B69">
              <w:rPr>
                <w:sz w:val="16"/>
                <w:szCs w:val="16"/>
              </w:rPr>
              <w:t>14</w:t>
            </w:r>
          </w:p>
        </w:tc>
        <w:tc>
          <w:tcPr>
            <w:tcW w:w="805" w:type="dxa"/>
            <w:tcBorders>
              <w:bottom w:val="nil"/>
            </w:tcBorders>
            <w:vAlign w:val="bottom"/>
          </w:tcPr>
          <w:p w:rsidR="0091176E" w:rsidRPr="00187B69" w:rsidRDefault="0091176E">
            <w:pPr>
              <w:shd w:val="clear" w:color="000000" w:fill="auto"/>
              <w:spacing w:before="60" w:line="200" w:lineRule="exact"/>
              <w:ind w:right="141"/>
              <w:jc w:val="right"/>
              <w:rPr>
                <w:sz w:val="16"/>
                <w:szCs w:val="16"/>
              </w:rPr>
            </w:pPr>
            <w:r w:rsidRPr="00187B69">
              <w:rPr>
                <w:sz w:val="16"/>
                <w:szCs w:val="16"/>
              </w:rPr>
              <w:t>14</w:t>
            </w:r>
          </w:p>
        </w:tc>
      </w:tr>
      <w:tr w:rsidR="00DE665F" w:rsidRPr="00187B69">
        <w:tc>
          <w:tcPr>
            <w:tcW w:w="3595" w:type="dxa"/>
            <w:tcBorders>
              <w:bottom w:val="nil"/>
            </w:tcBorders>
            <w:vAlign w:val="bottom"/>
          </w:tcPr>
          <w:p w:rsidR="0091176E" w:rsidRPr="00187B69" w:rsidRDefault="0091176E">
            <w:pPr>
              <w:shd w:val="clear" w:color="000000" w:fill="auto"/>
              <w:spacing w:before="60" w:line="200" w:lineRule="exact"/>
              <w:rPr>
                <w:sz w:val="16"/>
                <w:szCs w:val="16"/>
              </w:rPr>
            </w:pPr>
            <w:r w:rsidRPr="00187B69">
              <w:rPr>
                <w:sz w:val="16"/>
                <w:szCs w:val="16"/>
              </w:rPr>
              <w:t>14:7 Folkhälsopolitiska åtgärder</w:t>
            </w:r>
          </w:p>
        </w:tc>
        <w:tc>
          <w:tcPr>
            <w:tcW w:w="673" w:type="dxa"/>
            <w:tcBorders>
              <w:bottom w:val="nil"/>
            </w:tcBorders>
            <w:vAlign w:val="bottom"/>
          </w:tcPr>
          <w:p w:rsidR="0091176E" w:rsidRPr="00187B69" w:rsidRDefault="0091176E">
            <w:pPr>
              <w:shd w:val="clear" w:color="000000" w:fill="auto"/>
              <w:spacing w:before="60" w:line="200" w:lineRule="exact"/>
              <w:ind w:left="-57" w:right="141"/>
              <w:jc w:val="right"/>
              <w:rPr>
                <w:sz w:val="16"/>
                <w:szCs w:val="16"/>
              </w:rPr>
            </w:pPr>
            <w:r w:rsidRPr="00187B69">
              <w:rPr>
                <w:sz w:val="16"/>
                <w:szCs w:val="16"/>
              </w:rPr>
              <w:t>175</w:t>
            </w:r>
          </w:p>
        </w:tc>
        <w:tc>
          <w:tcPr>
            <w:tcW w:w="824" w:type="dxa"/>
            <w:tcBorders>
              <w:top w:val="nil"/>
              <w:bottom w:val="nil"/>
            </w:tcBorders>
            <w:vAlign w:val="bottom"/>
          </w:tcPr>
          <w:p w:rsidR="0091176E" w:rsidRPr="00187B69" w:rsidRDefault="0091176E">
            <w:pPr>
              <w:shd w:val="clear" w:color="000000" w:fill="auto"/>
              <w:spacing w:before="60" w:line="200" w:lineRule="exact"/>
              <w:ind w:right="141"/>
              <w:jc w:val="right"/>
              <w:rPr>
                <w:sz w:val="16"/>
                <w:szCs w:val="16"/>
              </w:rPr>
            </w:pPr>
            <w:r w:rsidRPr="00187B69">
              <w:rPr>
                <w:sz w:val="16"/>
                <w:szCs w:val="16"/>
              </w:rPr>
              <w:t>175</w:t>
            </w:r>
          </w:p>
        </w:tc>
        <w:tc>
          <w:tcPr>
            <w:tcW w:w="805" w:type="dxa"/>
            <w:tcBorders>
              <w:top w:val="nil"/>
              <w:bottom w:val="nil"/>
            </w:tcBorders>
            <w:vAlign w:val="bottom"/>
          </w:tcPr>
          <w:p w:rsidR="0091176E" w:rsidRPr="00187B69" w:rsidRDefault="0091176E">
            <w:pPr>
              <w:shd w:val="clear" w:color="000000" w:fill="auto"/>
              <w:spacing w:before="60" w:line="200" w:lineRule="exact"/>
              <w:ind w:right="141"/>
              <w:jc w:val="right"/>
              <w:rPr>
                <w:sz w:val="16"/>
                <w:szCs w:val="16"/>
              </w:rPr>
            </w:pPr>
            <w:r w:rsidRPr="00187B69">
              <w:rPr>
                <w:sz w:val="16"/>
                <w:szCs w:val="16"/>
              </w:rPr>
              <w:t>175</w:t>
            </w:r>
          </w:p>
        </w:tc>
      </w:tr>
      <w:tr w:rsidR="00DE665F" w:rsidRPr="00187B69">
        <w:tc>
          <w:tcPr>
            <w:tcW w:w="3595" w:type="dxa"/>
            <w:tcBorders>
              <w:top w:val="nil"/>
              <w:bottom w:val="nil"/>
            </w:tcBorders>
            <w:vAlign w:val="bottom"/>
          </w:tcPr>
          <w:p w:rsidR="0091176E" w:rsidRPr="00187B69" w:rsidRDefault="0091176E">
            <w:pPr>
              <w:shd w:val="clear" w:color="000000" w:fill="auto"/>
              <w:spacing w:before="60" w:line="200" w:lineRule="exact"/>
              <w:rPr>
                <w:sz w:val="16"/>
                <w:szCs w:val="16"/>
              </w:rPr>
            </w:pPr>
            <w:r w:rsidRPr="00187B69">
              <w:rPr>
                <w:sz w:val="16"/>
                <w:szCs w:val="16"/>
              </w:rPr>
              <w:t>16:10 Handikappombudsmannen</w:t>
            </w:r>
          </w:p>
        </w:tc>
        <w:tc>
          <w:tcPr>
            <w:tcW w:w="673" w:type="dxa"/>
            <w:tcBorders>
              <w:top w:val="nil"/>
              <w:bottom w:val="nil"/>
            </w:tcBorders>
            <w:vAlign w:val="bottom"/>
          </w:tcPr>
          <w:p w:rsidR="0091176E" w:rsidRPr="00187B69" w:rsidRDefault="0091176E">
            <w:pPr>
              <w:shd w:val="clear" w:color="000000" w:fill="auto"/>
              <w:spacing w:before="60" w:line="200" w:lineRule="exact"/>
              <w:ind w:left="-57" w:right="141"/>
              <w:jc w:val="right"/>
              <w:rPr>
                <w:sz w:val="16"/>
                <w:szCs w:val="16"/>
              </w:rPr>
            </w:pPr>
            <w:r w:rsidRPr="00187B69">
              <w:rPr>
                <w:sz w:val="16"/>
                <w:szCs w:val="16"/>
              </w:rPr>
              <w:t>3</w:t>
            </w:r>
          </w:p>
        </w:tc>
        <w:tc>
          <w:tcPr>
            <w:tcW w:w="824" w:type="dxa"/>
            <w:tcBorders>
              <w:top w:val="nil"/>
              <w:bottom w:val="nil"/>
            </w:tcBorders>
            <w:vAlign w:val="bottom"/>
          </w:tcPr>
          <w:p w:rsidR="0091176E" w:rsidRPr="00187B69" w:rsidRDefault="0091176E">
            <w:pPr>
              <w:shd w:val="clear" w:color="000000" w:fill="auto"/>
              <w:spacing w:before="60" w:line="200" w:lineRule="exact"/>
              <w:ind w:right="141"/>
              <w:jc w:val="right"/>
              <w:rPr>
                <w:sz w:val="16"/>
                <w:szCs w:val="16"/>
              </w:rPr>
            </w:pPr>
            <w:r w:rsidRPr="00187B69">
              <w:rPr>
                <w:sz w:val="16"/>
                <w:szCs w:val="16"/>
              </w:rPr>
              <w:t>3</w:t>
            </w:r>
          </w:p>
        </w:tc>
        <w:tc>
          <w:tcPr>
            <w:tcW w:w="805" w:type="dxa"/>
            <w:tcBorders>
              <w:top w:val="nil"/>
              <w:bottom w:val="nil"/>
            </w:tcBorders>
            <w:vAlign w:val="bottom"/>
          </w:tcPr>
          <w:p w:rsidR="0091176E" w:rsidRPr="00187B69" w:rsidRDefault="0091176E">
            <w:pPr>
              <w:shd w:val="clear" w:color="000000" w:fill="auto"/>
              <w:spacing w:before="60" w:line="200" w:lineRule="exact"/>
              <w:ind w:right="141"/>
              <w:jc w:val="right"/>
              <w:rPr>
                <w:sz w:val="16"/>
                <w:szCs w:val="16"/>
              </w:rPr>
            </w:pPr>
            <w:r w:rsidRPr="00187B69">
              <w:rPr>
                <w:sz w:val="16"/>
                <w:szCs w:val="16"/>
              </w:rPr>
              <w:t>3</w:t>
            </w:r>
          </w:p>
        </w:tc>
      </w:tr>
      <w:tr w:rsidR="00DE665F" w:rsidRPr="00187B69">
        <w:tc>
          <w:tcPr>
            <w:tcW w:w="3595" w:type="dxa"/>
            <w:tcBorders>
              <w:top w:val="nil"/>
            </w:tcBorders>
            <w:vAlign w:val="bottom"/>
          </w:tcPr>
          <w:p w:rsidR="0091176E" w:rsidRPr="00187B69" w:rsidRDefault="0091176E">
            <w:pPr>
              <w:shd w:val="clear" w:color="000000" w:fill="auto"/>
              <w:spacing w:before="60" w:line="200" w:lineRule="exact"/>
              <w:rPr>
                <w:sz w:val="16"/>
                <w:szCs w:val="16"/>
              </w:rPr>
            </w:pPr>
            <w:r w:rsidRPr="00187B69">
              <w:rPr>
                <w:sz w:val="16"/>
                <w:szCs w:val="16"/>
              </w:rPr>
              <w:t>18:1 Bidrag till utveckling av socialt arbete m.m.</w:t>
            </w:r>
          </w:p>
        </w:tc>
        <w:tc>
          <w:tcPr>
            <w:tcW w:w="673" w:type="dxa"/>
            <w:tcBorders>
              <w:top w:val="nil"/>
            </w:tcBorders>
            <w:vAlign w:val="bottom"/>
          </w:tcPr>
          <w:p w:rsidR="0091176E" w:rsidRPr="00187B69" w:rsidRDefault="0091176E">
            <w:pPr>
              <w:shd w:val="clear" w:color="000000" w:fill="auto"/>
              <w:spacing w:before="60" w:line="200" w:lineRule="exact"/>
              <w:ind w:left="-57" w:right="141"/>
              <w:jc w:val="right"/>
              <w:rPr>
                <w:sz w:val="16"/>
                <w:szCs w:val="16"/>
              </w:rPr>
            </w:pPr>
            <w:r w:rsidRPr="00187B69">
              <w:rPr>
                <w:sz w:val="16"/>
                <w:szCs w:val="16"/>
              </w:rPr>
              <w:t>27</w:t>
            </w:r>
          </w:p>
        </w:tc>
        <w:tc>
          <w:tcPr>
            <w:tcW w:w="824" w:type="dxa"/>
            <w:tcBorders>
              <w:top w:val="nil"/>
            </w:tcBorders>
            <w:vAlign w:val="bottom"/>
          </w:tcPr>
          <w:p w:rsidR="0091176E" w:rsidRPr="00187B69" w:rsidRDefault="0091176E">
            <w:pPr>
              <w:shd w:val="clear" w:color="000000" w:fill="auto"/>
              <w:spacing w:before="60" w:line="200" w:lineRule="exact"/>
              <w:ind w:right="141"/>
              <w:jc w:val="right"/>
              <w:rPr>
                <w:sz w:val="16"/>
                <w:szCs w:val="16"/>
              </w:rPr>
            </w:pPr>
            <w:r w:rsidRPr="00187B69">
              <w:rPr>
                <w:sz w:val="16"/>
                <w:szCs w:val="16"/>
              </w:rPr>
              <w:t>27</w:t>
            </w:r>
          </w:p>
        </w:tc>
        <w:tc>
          <w:tcPr>
            <w:tcW w:w="805" w:type="dxa"/>
            <w:tcBorders>
              <w:top w:val="nil"/>
            </w:tcBorders>
            <w:vAlign w:val="bottom"/>
          </w:tcPr>
          <w:p w:rsidR="0091176E" w:rsidRPr="00187B69" w:rsidRDefault="0091176E">
            <w:pPr>
              <w:shd w:val="clear" w:color="000000" w:fill="auto"/>
              <w:spacing w:before="60" w:line="200" w:lineRule="exact"/>
              <w:ind w:right="141"/>
              <w:jc w:val="right"/>
              <w:rPr>
                <w:sz w:val="16"/>
                <w:szCs w:val="16"/>
              </w:rPr>
            </w:pPr>
            <w:r w:rsidRPr="00187B69">
              <w:rPr>
                <w:sz w:val="16"/>
                <w:szCs w:val="16"/>
              </w:rPr>
              <w:t>27</w:t>
            </w:r>
          </w:p>
        </w:tc>
      </w:tr>
      <w:tr w:rsidR="00DE665F" w:rsidRPr="00187B69">
        <w:tc>
          <w:tcPr>
            <w:tcW w:w="3595" w:type="dxa"/>
            <w:vAlign w:val="bottom"/>
          </w:tcPr>
          <w:p w:rsidR="0091176E" w:rsidRPr="00187B69" w:rsidRDefault="0091176E">
            <w:pPr>
              <w:shd w:val="clear" w:color="000000" w:fill="auto"/>
              <w:spacing w:before="60" w:line="200" w:lineRule="exact"/>
              <w:rPr>
                <w:sz w:val="16"/>
                <w:szCs w:val="16"/>
              </w:rPr>
            </w:pPr>
            <w:r w:rsidRPr="00187B69">
              <w:rPr>
                <w:sz w:val="16"/>
                <w:szCs w:val="16"/>
              </w:rPr>
              <w:t>18:3 Utvecklingsmedel till åtgärder för hemlösa</w:t>
            </w:r>
          </w:p>
        </w:tc>
        <w:tc>
          <w:tcPr>
            <w:tcW w:w="673" w:type="dxa"/>
            <w:vAlign w:val="bottom"/>
          </w:tcPr>
          <w:p w:rsidR="0091176E" w:rsidRPr="00187B69" w:rsidRDefault="0091176E">
            <w:pPr>
              <w:shd w:val="clear" w:color="000000" w:fill="auto"/>
              <w:spacing w:before="60" w:line="200" w:lineRule="exact"/>
              <w:ind w:left="-57" w:right="141"/>
              <w:jc w:val="right"/>
              <w:rPr>
                <w:sz w:val="16"/>
                <w:szCs w:val="16"/>
              </w:rPr>
            </w:pPr>
          </w:p>
        </w:tc>
        <w:tc>
          <w:tcPr>
            <w:tcW w:w="824" w:type="dxa"/>
            <w:vAlign w:val="bottom"/>
          </w:tcPr>
          <w:p w:rsidR="0091176E" w:rsidRPr="00187B69" w:rsidRDefault="0091176E">
            <w:pPr>
              <w:shd w:val="clear" w:color="000000" w:fill="auto"/>
              <w:spacing w:before="60" w:line="200" w:lineRule="exact"/>
              <w:ind w:right="141"/>
              <w:jc w:val="right"/>
              <w:rPr>
                <w:sz w:val="16"/>
                <w:szCs w:val="16"/>
              </w:rPr>
            </w:pPr>
          </w:p>
        </w:tc>
        <w:tc>
          <w:tcPr>
            <w:tcW w:w="805" w:type="dxa"/>
            <w:vAlign w:val="bottom"/>
          </w:tcPr>
          <w:p w:rsidR="0091176E" w:rsidRPr="00187B69" w:rsidRDefault="0091176E">
            <w:pPr>
              <w:shd w:val="clear" w:color="000000" w:fill="auto"/>
              <w:spacing w:before="60" w:line="200" w:lineRule="exact"/>
              <w:ind w:right="141"/>
              <w:jc w:val="right"/>
              <w:rPr>
                <w:sz w:val="16"/>
                <w:szCs w:val="16"/>
              </w:rPr>
            </w:pPr>
            <w:r w:rsidRPr="00187B69">
              <w:rPr>
                <w:sz w:val="16"/>
                <w:szCs w:val="16"/>
              </w:rPr>
              <w:t>33</w:t>
            </w:r>
          </w:p>
        </w:tc>
      </w:tr>
      <w:tr w:rsidR="00DE665F" w:rsidRPr="00187B69">
        <w:tc>
          <w:tcPr>
            <w:tcW w:w="3595" w:type="dxa"/>
            <w:vAlign w:val="bottom"/>
          </w:tcPr>
          <w:p w:rsidR="0091176E" w:rsidRPr="00187B69" w:rsidRDefault="0091176E">
            <w:pPr>
              <w:shd w:val="clear" w:color="000000" w:fill="auto"/>
              <w:spacing w:before="60" w:line="200" w:lineRule="exact"/>
              <w:rPr>
                <w:b/>
                <w:sz w:val="16"/>
                <w:szCs w:val="16"/>
              </w:rPr>
            </w:pPr>
            <w:r w:rsidRPr="00187B69">
              <w:rPr>
                <w:b/>
                <w:sz w:val="16"/>
                <w:szCs w:val="16"/>
              </w:rPr>
              <w:t>Totalt utgiftsområdet</w:t>
            </w:r>
          </w:p>
        </w:tc>
        <w:tc>
          <w:tcPr>
            <w:tcW w:w="673" w:type="dxa"/>
            <w:vAlign w:val="bottom"/>
          </w:tcPr>
          <w:p w:rsidR="0091176E" w:rsidRPr="00187B69" w:rsidRDefault="0091176E">
            <w:pPr>
              <w:shd w:val="clear" w:color="000000" w:fill="auto"/>
              <w:spacing w:before="60" w:line="200" w:lineRule="exact"/>
              <w:ind w:left="-57" w:right="141"/>
              <w:jc w:val="right"/>
              <w:rPr>
                <w:sz w:val="16"/>
                <w:szCs w:val="16"/>
              </w:rPr>
            </w:pPr>
            <w:r w:rsidRPr="00187B69">
              <w:rPr>
                <w:sz w:val="16"/>
                <w:szCs w:val="16"/>
              </w:rPr>
              <w:t>147</w:t>
            </w:r>
          </w:p>
        </w:tc>
        <w:tc>
          <w:tcPr>
            <w:tcW w:w="824" w:type="dxa"/>
            <w:vAlign w:val="bottom"/>
          </w:tcPr>
          <w:p w:rsidR="0091176E" w:rsidRPr="00187B69" w:rsidRDefault="0091176E">
            <w:pPr>
              <w:shd w:val="clear" w:color="000000" w:fill="auto"/>
              <w:spacing w:before="60" w:line="200" w:lineRule="exact"/>
              <w:ind w:right="141"/>
              <w:jc w:val="right"/>
              <w:rPr>
                <w:sz w:val="16"/>
                <w:szCs w:val="16"/>
              </w:rPr>
            </w:pPr>
            <w:r w:rsidRPr="00187B69">
              <w:rPr>
                <w:sz w:val="16"/>
                <w:szCs w:val="16"/>
              </w:rPr>
              <w:t>149</w:t>
            </w:r>
          </w:p>
        </w:tc>
        <w:tc>
          <w:tcPr>
            <w:tcW w:w="805" w:type="dxa"/>
            <w:vAlign w:val="bottom"/>
          </w:tcPr>
          <w:p w:rsidR="0091176E" w:rsidRPr="00187B69" w:rsidRDefault="0091176E">
            <w:pPr>
              <w:shd w:val="clear" w:color="000000" w:fill="auto"/>
              <w:spacing w:before="60" w:line="200" w:lineRule="exact"/>
              <w:ind w:right="141"/>
              <w:jc w:val="right"/>
              <w:rPr>
                <w:sz w:val="16"/>
                <w:szCs w:val="16"/>
              </w:rPr>
            </w:pPr>
            <w:r w:rsidRPr="00187B69">
              <w:rPr>
                <w:sz w:val="16"/>
                <w:szCs w:val="16"/>
              </w:rPr>
              <w:t>182</w:t>
            </w:r>
          </w:p>
        </w:tc>
      </w:tr>
    </w:tbl>
    <w:p w:rsidR="0091176E" w:rsidRPr="00187B69" w:rsidRDefault="0091176E">
      <w:pPr>
        <w:shd w:val="clear" w:color="000000" w:fill="auto"/>
        <w:spacing w:line="180" w:lineRule="exact"/>
      </w:pPr>
    </w:p>
    <w:p w:rsidR="00165807" w:rsidRPr="00187B69" w:rsidRDefault="00284EED">
      <w:pPr>
        <w:pStyle w:val="Rubrik1"/>
        <w:pageBreakBefore/>
        <w:shd w:val="clear" w:color="000000" w:fill="auto"/>
        <w:spacing w:before="0"/>
      </w:pPr>
      <w:r w:rsidRPr="00187B69">
        <w:t>Utgiftsområde 9 Hälsovård, sjukvård och social omsorg</w:t>
      </w:r>
    </w:p>
    <w:p w:rsidR="00284EED" w:rsidRPr="00187B69" w:rsidRDefault="00284EED">
      <w:pPr>
        <w:pStyle w:val="Rubrik2"/>
        <w:shd w:val="clear" w:color="000000" w:fill="auto"/>
        <w:spacing w:before="120"/>
      </w:pPr>
      <w:r w:rsidRPr="00187B69">
        <w:t>Stöd till hälsofrämjande sjukhus</w:t>
      </w:r>
    </w:p>
    <w:p w:rsidR="00284EED" w:rsidRPr="00187B69" w:rsidRDefault="00284EED">
      <w:pPr>
        <w:shd w:val="clear" w:color="000000" w:fill="auto"/>
      </w:pPr>
      <w:r w:rsidRPr="00187B69">
        <w:t>Hälsofrämjande sjukhus är ett nätverk som finns både i Sverige och intern</w:t>
      </w:r>
      <w:r w:rsidRPr="00187B69">
        <w:t>a</w:t>
      </w:r>
      <w:r w:rsidRPr="00187B69">
        <w:t>tionellt (Health Promoting Hospitals). I Sverige har nätverket ”Hälsofrämja</w:t>
      </w:r>
      <w:r w:rsidRPr="00187B69">
        <w:t>n</w:t>
      </w:r>
      <w:r w:rsidRPr="00187B69">
        <w:t>de sjukhus ” i dag 28 sjukhus, varav 4 universitetssjukhus</w:t>
      </w:r>
      <w:r w:rsidR="00165807" w:rsidRPr="00187B69">
        <w:t>,</w:t>
      </w:r>
      <w:r w:rsidRPr="00187B69">
        <w:t xml:space="preserve"> som medlemmar. Idén bakom är att kunna använda hela sjukvårdens kompetens, inte minst sjukhusens, för att stärka folkhälso</w:t>
      </w:r>
      <w:r w:rsidR="00CE7378" w:rsidRPr="00187B69">
        <w:softHyphen/>
      </w:r>
      <w:r w:rsidRPr="00187B69">
        <w:t>insatserna och för att använda hälsoorie</w:t>
      </w:r>
      <w:r w:rsidRPr="00187B69">
        <w:t>n</w:t>
      </w:r>
      <w:r w:rsidRPr="00187B69">
        <w:t>tering som en strategi för att utveckla en mer effektiv hälso- och sjukvård. Krav för medlemskap i nätverket är en vilja att utveckla verksamheten mot en hälsoorientering och att bidra med tre utvecklingsprojekt.</w:t>
      </w:r>
    </w:p>
    <w:p w:rsidR="00284EED" w:rsidRPr="00187B69" w:rsidRDefault="00284EED">
      <w:pPr>
        <w:pStyle w:val="Normaltindrag"/>
        <w:shd w:val="clear" w:color="000000" w:fill="auto"/>
      </w:pPr>
      <w:r w:rsidRPr="00187B69">
        <w:t>Utvecklingsprojekten ska bidra till hälsovinst för patienten, för de egna med</w:t>
      </w:r>
      <w:r w:rsidR="00CE7378" w:rsidRPr="00187B69">
        <w:softHyphen/>
      </w:r>
      <w:r w:rsidRPr="00187B69">
        <w:t>arbetarna samt för befolkningen i upptagningsområdet.</w:t>
      </w:r>
    </w:p>
    <w:p w:rsidR="00284EED" w:rsidRPr="00187B69" w:rsidRDefault="00284EED">
      <w:pPr>
        <w:pStyle w:val="Normaltindrag"/>
        <w:shd w:val="clear" w:color="000000" w:fill="auto"/>
      </w:pPr>
      <w:r w:rsidRPr="00187B69">
        <w:t>Ett av de elva målområdena inom de nationella målen för folkhälsan är ”En mer hälsofrämjande hälso- och sjukvård”, mål 6.</w:t>
      </w:r>
      <w:r w:rsidR="00BC1DF5" w:rsidRPr="00187B69">
        <w:t xml:space="preserve"> </w:t>
      </w:r>
      <w:r w:rsidRPr="00187B69">
        <w:t>Nätverkets verksamhet bidrar på ett avgörande sätt till att detta mål uppnås.</w:t>
      </w:r>
    </w:p>
    <w:p w:rsidR="002B6B75" w:rsidRPr="00187B69" w:rsidRDefault="00284EED">
      <w:pPr>
        <w:pStyle w:val="Normaltindrag"/>
        <w:shd w:val="clear" w:color="000000" w:fill="auto"/>
      </w:pPr>
      <w:r w:rsidRPr="00187B69">
        <w:t xml:space="preserve">Nätverket vill nu vidareutveckla sitt arbete, men har begränsade resurser, vilket sätter upp hinder för det arbete man vill göra. Vi föreslår därför ett särskilt ekonomiskt bidrag med 3 </w:t>
      </w:r>
      <w:r w:rsidR="0017042C" w:rsidRPr="00187B69">
        <w:t>miljoner kronor</w:t>
      </w:r>
      <w:r w:rsidRPr="00187B69">
        <w:t xml:space="preserve"> per år under tre år. Det är i linje med vad man i Danmark gjort, där danska regeringen under några år gav särskilt stöd till det danska nätverket. Det har betytt stabilitet, möjlighet till långsiktiga åtaganden och tydlig legitimitet i vården. Den utvecklingen vill vi se även i Sverige. Önskemålet är att all sjukvård och utbildning på vård</w:t>
      </w:r>
      <w:r w:rsidR="00165807" w:rsidRPr="00187B69">
        <w:t>omr</w:t>
      </w:r>
      <w:r w:rsidR="00165807" w:rsidRPr="00187B69">
        <w:t>å</w:t>
      </w:r>
      <w:r w:rsidR="00165807" w:rsidRPr="00187B69">
        <w:t>det ska bli hälsofrämjande –</w:t>
      </w:r>
      <w:r w:rsidR="00BC1DF5" w:rsidRPr="00187B69">
        <w:t xml:space="preserve"> </w:t>
      </w:r>
      <w:r w:rsidRPr="00187B69">
        <w:t>och tydligt och konkret utgå från mål 6.</w:t>
      </w:r>
    </w:p>
    <w:p w:rsidR="00284EED" w:rsidRPr="00187B69" w:rsidRDefault="00284EED">
      <w:pPr>
        <w:pStyle w:val="Rubrik2"/>
        <w:shd w:val="clear" w:color="000000" w:fill="auto"/>
      </w:pPr>
      <w:r w:rsidRPr="00187B69">
        <w:t>Tandvård</w:t>
      </w:r>
    </w:p>
    <w:p w:rsidR="00284EED" w:rsidRPr="00187B69" w:rsidRDefault="00284EED">
      <w:pPr>
        <w:shd w:val="clear" w:color="000000" w:fill="auto"/>
      </w:pPr>
      <w:r w:rsidRPr="00187B69">
        <w:t>Det är lovvärt med de satsningar som föreslås på tandvårdens område i bu</w:t>
      </w:r>
      <w:r w:rsidRPr="00187B69">
        <w:t>d</w:t>
      </w:r>
      <w:r w:rsidRPr="00187B69">
        <w:t>getpropositionen. Vi anser att tandvård på sikt måste ingå som en del i hälso- och sjukvården och inbegripas i ett gemensamt högkostnadsskydd. På väg dit ser vi det som angeläget att ha ett så förebyggande perspektiv som möjligt. Därför vill höja åldersgränsen för fri tandvård</w:t>
      </w:r>
      <w:r w:rsidR="00165807" w:rsidRPr="00187B69">
        <w:t xml:space="preserve"> till 25 år. Kostnaden</w:t>
      </w:r>
      <w:r w:rsidRPr="00187B69">
        <w:t xml:space="preserve"> för detta förslag beräknar vi </w:t>
      </w:r>
      <w:r w:rsidR="005E2ADE" w:rsidRPr="00187B69">
        <w:t>till 360 miljoner kronor per år, för år</w:t>
      </w:r>
      <w:r w:rsidR="00186996" w:rsidRPr="00187B69">
        <w:t>en</w:t>
      </w:r>
      <w:r w:rsidR="005E2ADE" w:rsidRPr="00187B69">
        <w:t xml:space="preserve"> 2008 och 2009.</w:t>
      </w:r>
      <w:r w:rsidR="00165807" w:rsidRPr="00187B69">
        <w:t xml:space="preserve"> Åldersgruppen 20–</w:t>
      </w:r>
      <w:r w:rsidRPr="00187B69">
        <w:t xml:space="preserve">25 år tillhör de grupper som de senaste åren minskat sina tandläkarbesök mest. Denna grupp avstår från att söka tandvård främst av ekonomiska skäl. Detta leder på sikt till sämre tandhälsa och högre </w:t>
      </w:r>
      <w:r w:rsidR="00165807" w:rsidRPr="00187B69">
        <w:t>kostnader, såväl för individ som</w:t>
      </w:r>
      <w:r w:rsidRPr="00187B69">
        <w:t xml:space="preserve"> samhälle.</w:t>
      </w:r>
    </w:p>
    <w:p w:rsidR="00D16F3A" w:rsidRPr="00187B69" w:rsidRDefault="00284EED">
      <w:pPr>
        <w:pStyle w:val="Normaltindrag"/>
        <w:shd w:val="clear" w:color="000000" w:fill="auto"/>
      </w:pPr>
      <w:r w:rsidRPr="00187B69">
        <w:t>Miljöpartiet vill som ett nästa steg mot en heltäckande tandvårdsreform se ett nat</w:t>
      </w:r>
      <w:r w:rsidR="00194F44" w:rsidRPr="00187B69">
        <w:t>ionellt ab</w:t>
      </w:r>
      <w:r w:rsidRPr="00187B69">
        <w:t>on</w:t>
      </w:r>
      <w:r w:rsidR="00194F44" w:rsidRPr="00187B69">
        <w:t>n</w:t>
      </w:r>
      <w:r w:rsidRPr="00187B69">
        <w:t>emangssystem för tandvården. Systemet ska innehålla det nödvändiga</w:t>
      </w:r>
      <w:r w:rsidR="00165807" w:rsidRPr="00187B69">
        <w:t xml:space="preserve"> grundskyddet och subventionera</w:t>
      </w:r>
      <w:r w:rsidRPr="00187B69">
        <w:t xml:space="preserve"> vården för dem med höga tan</w:t>
      </w:r>
      <w:r w:rsidRPr="00187B69">
        <w:t>d</w:t>
      </w:r>
      <w:r w:rsidRPr="00187B69">
        <w:t>v</w:t>
      </w:r>
      <w:r w:rsidR="00165807" w:rsidRPr="00187B69">
        <w:t>årdskostnader, samtidigt som det</w:t>
      </w:r>
      <w:r w:rsidRPr="00187B69">
        <w:t xml:space="preserve"> ger tydliga incitament till eget ansvar och förebyggande insatser, både för patient</w:t>
      </w:r>
      <w:r w:rsidR="0017042C" w:rsidRPr="00187B69">
        <w:t xml:space="preserve">erna och </w:t>
      </w:r>
      <w:r w:rsidRPr="00187B69">
        <w:t>tandläkar</w:t>
      </w:r>
      <w:r w:rsidR="0017042C" w:rsidRPr="00187B69">
        <w:t>na</w:t>
      </w:r>
      <w:r w:rsidRPr="00187B69">
        <w:t>.</w:t>
      </w:r>
      <w:r w:rsidR="00BC1DF5" w:rsidRPr="00187B69">
        <w:t xml:space="preserve"> </w:t>
      </w:r>
      <w:r w:rsidR="002833E6" w:rsidRPr="00187B69">
        <w:t>Vi förutsätter att</w:t>
      </w:r>
      <w:r w:rsidRPr="00187B69">
        <w:t xml:space="preserve"> utredning</w:t>
      </w:r>
      <w:r w:rsidR="0017042C" w:rsidRPr="00187B69">
        <w:t>en</w:t>
      </w:r>
      <w:r w:rsidR="00186996" w:rsidRPr="00187B69">
        <w:t xml:space="preserve"> om</w:t>
      </w:r>
      <w:r w:rsidR="0017042C" w:rsidRPr="00187B69">
        <w:t xml:space="preserve"> </w:t>
      </w:r>
      <w:r w:rsidR="00165807" w:rsidRPr="00187B69">
        <w:t>ett nytt tandvårdsstöd för vuxna</w:t>
      </w:r>
      <w:r w:rsidRPr="00187B69">
        <w:t xml:space="preserve"> återkommer i sitt slutbetä</w:t>
      </w:r>
      <w:r w:rsidRPr="00187B69">
        <w:t>n</w:t>
      </w:r>
      <w:r w:rsidRPr="00187B69">
        <w:t>kande med för</w:t>
      </w:r>
      <w:r w:rsidR="00194F44" w:rsidRPr="00187B69">
        <w:t>slag till hur ett nationellt ab</w:t>
      </w:r>
      <w:r w:rsidRPr="00187B69">
        <w:t>on</w:t>
      </w:r>
      <w:r w:rsidR="00194F44" w:rsidRPr="00187B69">
        <w:t>n</w:t>
      </w:r>
      <w:r w:rsidRPr="00187B69">
        <w:t>emangssystem skulle kunna utformas och kostnader och konsekvenser av detta. Vi reserverar därför medel för detta ändamål i vårt budgetförslag me</w:t>
      </w:r>
      <w:r w:rsidR="002833E6" w:rsidRPr="00187B69">
        <w:t>d 2,</w:t>
      </w:r>
      <w:r w:rsidR="00CB365D" w:rsidRPr="00187B69">
        <w:t>94 m</w:t>
      </w:r>
      <w:r w:rsidR="00165807" w:rsidRPr="00187B69">
        <w:t>iljarder</w:t>
      </w:r>
      <w:r w:rsidRPr="00187B69">
        <w:t xml:space="preserve"> </w:t>
      </w:r>
      <w:r w:rsidR="00186996" w:rsidRPr="00187B69">
        <w:t xml:space="preserve">kronor </w:t>
      </w:r>
      <w:r w:rsidRPr="00187B69">
        <w:t xml:space="preserve">för åren </w:t>
      </w:r>
      <w:r w:rsidR="00C51A83" w:rsidRPr="00187B69">
        <w:t>20</w:t>
      </w:r>
      <w:r w:rsidRPr="00187B69">
        <w:t xml:space="preserve">08 och </w:t>
      </w:r>
      <w:r w:rsidR="00C51A83" w:rsidRPr="00187B69">
        <w:t>20</w:t>
      </w:r>
      <w:r w:rsidRPr="00187B69">
        <w:t>09</w:t>
      </w:r>
      <w:r w:rsidR="00682A3F" w:rsidRPr="00187B69">
        <w:t>.</w:t>
      </w:r>
    </w:p>
    <w:p w:rsidR="00284EED" w:rsidRPr="00187B69" w:rsidRDefault="00284EED">
      <w:pPr>
        <w:pStyle w:val="Rubrik2"/>
        <w:shd w:val="clear" w:color="000000" w:fill="auto"/>
      </w:pPr>
      <w:r w:rsidRPr="00187B69">
        <w:t>Tobaksprevention</w:t>
      </w:r>
    </w:p>
    <w:p w:rsidR="00284EED" w:rsidRPr="00187B69" w:rsidRDefault="00284EED">
      <w:pPr>
        <w:shd w:val="clear" w:color="000000" w:fill="auto"/>
      </w:pPr>
      <w:r w:rsidRPr="00187B69">
        <w:t>Insatser för minskad tobaksanvändning är påfallande viktigt ur ett folkhäls</w:t>
      </w:r>
      <w:r w:rsidRPr="00187B69">
        <w:t>o</w:t>
      </w:r>
      <w:r w:rsidRPr="00187B69">
        <w:t>perspektiv. Inom anslagen 14:4 och 14:7 går det inte att tydligt utläsa hur satsningarna inom tobaksprevention ser ut. Vi förutsätter att stöden inom detta område ligger kvar på tidigare nivåer, såväl till den nationella samor</w:t>
      </w:r>
      <w:r w:rsidRPr="00187B69">
        <w:t>d</w:t>
      </w:r>
      <w:r w:rsidRPr="00187B69">
        <w:t>ningen i enlighet med WHO:s ram</w:t>
      </w:r>
      <w:r w:rsidR="00CE7378" w:rsidRPr="00187B69">
        <w:softHyphen/>
      </w:r>
      <w:r w:rsidRPr="00187B69">
        <w:t>konvention som i</w:t>
      </w:r>
      <w:r w:rsidR="00165807" w:rsidRPr="00187B69">
        <w:t xml:space="preserve"> </w:t>
      </w:r>
      <w:r w:rsidRPr="00187B69">
        <w:t>dag ligger hos Folkhäls</w:t>
      </w:r>
      <w:r w:rsidRPr="00187B69">
        <w:t>o</w:t>
      </w:r>
      <w:r w:rsidRPr="00187B69">
        <w:t>institutet, Sluta-röka-linjen,</w:t>
      </w:r>
      <w:r w:rsidR="00BC1DF5" w:rsidRPr="00187B69">
        <w:t xml:space="preserve"> </w:t>
      </w:r>
      <w:r w:rsidRPr="00187B69">
        <w:t>samt till de frivilligorganisationer s</w:t>
      </w:r>
      <w:r w:rsidR="001B1767" w:rsidRPr="00187B69">
        <w:t>om arbetar med tobaksprevention</w:t>
      </w:r>
      <w:r w:rsidRPr="00187B69">
        <w:t xml:space="preserve"> m</w:t>
      </w:r>
      <w:r w:rsidR="001B1767" w:rsidRPr="00187B69">
        <w:t>.</w:t>
      </w:r>
      <w:r w:rsidRPr="00187B69">
        <w:t>m.</w:t>
      </w:r>
    </w:p>
    <w:p w:rsidR="00284EED" w:rsidRPr="00187B69" w:rsidRDefault="00284EED">
      <w:pPr>
        <w:pStyle w:val="Rubrik2"/>
        <w:shd w:val="clear" w:color="000000" w:fill="auto"/>
      </w:pPr>
      <w:r w:rsidRPr="00187B69">
        <w:t>Kilen</w:t>
      </w:r>
    </w:p>
    <w:p w:rsidR="00284EED" w:rsidRPr="00187B69" w:rsidRDefault="00284EED">
      <w:pPr>
        <w:shd w:val="clear" w:color="000000" w:fill="auto"/>
      </w:pPr>
      <w:r w:rsidRPr="00187B69">
        <w:t>Kilen är en konsumentorganisati</w:t>
      </w:r>
      <w:r w:rsidR="00165807" w:rsidRPr="00187B69">
        <w:t>on för läkemedelskonsumenter. Organisati</w:t>
      </w:r>
      <w:r w:rsidR="00165807" w:rsidRPr="00187B69">
        <w:t>o</w:t>
      </w:r>
      <w:r w:rsidR="00165807" w:rsidRPr="00187B69">
        <w:t xml:space="preserve">nen </w:t>
      </w:r>
      <w:r w:rsidRPr="00187B69">
        <w:t>arbetar med råd, stöd och kunskapsspridning rörande läkemedel, biver</w:t>
      </w:r>
      <w:r w:rsidRPr="00187B69">
        <w:t>k</w:t>
      </w:r>
      <w:r w:rsidRPr="00187B69">
        <w:t>ningar och beroende. De</w:t>
      </w:r>
      <w:r w:rsidR="00165807" w:rsidRPr="00187B69">
        <w:t>n</w:t>
      </w:r>
      <w:r w:rsidRPr="00187B69">
        <w:t xml:space="preserve"> fyller en viktig funktion och har under åren utvec</w:t>
      </w:r>
      <w:r w:rsidRPr="00187B69">
        <w:t>k</w:t>
      </w:r>
      <w:r w:rsidRPr="00187B69">
        <w:t>lat en unik kompetens som behöver tas tillvara. De driver också flera utvec</w:t>
      </w:r>
      <w:r w:rsidRPr="00187B69">
        <w:t>k</w:t>
      </w:r>
      <w:r w:rsidRPr="00187B69">
        <w:t xml:space="preserve">lingsprojekt. I budgeten sägs att Kilens verksamhet ska fasas ut. Vi anser att den tvärtom behöver permanentas och vill avsatta 9 </w:t>
      </w:r>
      <w:r w:rsidR="0017042C" w:rsidRPr="00187B69">
        <w:t>miljoner kronor</w:t>
      </w:r>
      <w:r w:rsidRPr="00187B69">
        <w:t xml:space="preserve"> per år under de tre kommande åren. Vi ser det också som naturligt att </w:t>
      </w:r>
      <w:r w:rsidR="00165807" w:rsidRPr="00187B69">
        <w:t>organisationen</w:t>
      </w:r>
      <w:r w:rsidRPr="00187B69">
        <w:t xml:space="preserve"> kommer att höra till Konsumentverket eller Folkhälsoinstitutet.</w:t>
      </w:r>
    </w:p>
    <w:p w:rsidR="00284EED" w:rsidRPr="00187B69" w:rsidRDefault="00D16F3A">
      <w:pPr>
        <w:pStyle w:val="Rubrik2"/>
        <w:shd w:val="clear" w:color="000000" w:fill="auto"/>
      </w:pPr>
      <w:r w:rsidRPr="00187B69">
        <w:t>Insatser för män som slår</w:t>
      </w:r>
    </w:p>
    <w:p w:rsidR="00284EED" w:rsidRPr="00187B69" w:rsidRDefault="00284EED">
      <w:pPr>
        <w:shd w:val="clear" w:color="000000" w:fill="auto"/>
        <w:tabs>
          <w:tab w:val="left" w:pos="1304"/>
          <w:tab w:val="left" w:pos="2608"/>
          <w:tab w:val="left" w:pos="3912"/>
          <w:tab w:val="left" w:pos="5216"/>
          <w:tab w:val="left" w:pos="6520"/>
          <w:tab w:val="left" w:pos="7824"/>
          <w:tab w:val="right" w:pos="9072"/>
        </w:tabs>
      </w:pPr>
      <w:r w:rsidRPr="00187B69">
        <w:t xml:space="preserve">Det är av stor vikt att män som utövar våld mot kvinnor och barn </w:t>
      </w:r>
      <w:r w:rsidR="00D16F3A" w:rsidRPr="00187B69">
        <w:t xml:space="preserve">frivilligt </w:t>
      </w:r>
      <w:r w:rsidRPr="00187B69">
        <w:t>kan</w:t>
      </w:r>
      <w:r w:rsidR="00BC1DF5" w:rsidRPr="00187B69">
        <w:t xml:space="preserve"> </w:t>
      </w:r>
      <w:r w:rsidRPr="00187B69">
        <w:t xml:space="preserve">söka hjälp för sitt aggressiva beteende utanför kriminalvården. Det är lovvärt att regeringen tillsätter 3 </w:t>
      </w:r>
      <w:r w:rsidR="0017042C" w:rsidRPr="00187B69">
        <w:t>miljoner kronor</w:t>
      </w:r>
      <w:r w:rsidRPr="00187B69">
        <w:t xml:space="preserve"> per år 2007 och 2008 för insatser för de män som slår men detta räcker inte. Miljöpartiet menar att det behövs stora resurstillskott för att med krafttag försöka lösa dessa problem.</w:t>
      </w:r>
    </w:p>
    <w:p w:rsidR="00284EED" w:rsidRPr="00187B69" w:rsidRDefault="00284EED">
      <w:pPr>
        <w:pStyle w:val="Normaltindrag"/>
        <w:shd w:val="clear" w:color="000000" w:fill="auto"/>
      </w:pPr>
      <w:r w:rsidRPr="00187B69">
        <w:t>Det finns organisationer av olika slag som jobbar med detta. En av de stö</w:t>
      </w:r>
      <w:r w:rsidRPr="00187B69">
        <w:t>r</w:t>
      </w:r>
      <w:r w:rsidRPr="00187B69">
        <w:t>re och mer seriösa är Riksorganisationen Sveriges Pr</w:t>
      </w:r>
      <w:r w:rsidR="00E52980" w:rsidRPr="00187B69">
        <w:t>ofessionella Kriscentra för Män som bildades 1997.</w:t>
      </w:r>
      <w:r w:rsidRPr="00187B69">
        <w:t xml:space="preserve"> De</w:t>
      </w:r>
      <w:r w:rsidR="00165807" w:rsidRPr="00187B69">
        <w:t>n</w:t>
      </w:r>
      <w:r w:rsidRPr="00187B69">
        <w:t xml:space="preserve"> samlar kriscentra som har professionella behandlare/rådgivare anställda. Dessa kriscentra kan ha olika huvudmän. De har till sin huvudsakliga uppgift att arbeta med män i olika krissituationer samt med mäns problem kring aggressivitet och våld. </w:t>
      </w:r>
      <w:r w:rsidR="00D16F3A" w:rsidRPr="00187B69">
        <w:t>Från och med 2006 finns två nationella samordnare anställda i Sverige av riksorganisationen, en i Malmö och en i Stenungsund.</w:t>
      </w:r>
    </w:p>
    <w:p w:rsidR="00284EED" w:rsidRPr="00187B69" w:rsidRDefault="00E52980">
      <w:pPr>
        <w:pStyle w:val="Normaltindrag"/>
        <w:shd w:val="clear" w:color="000000" w:fill="auto"/>
        <w:rPr>
          <w:b/>
        </w:rPr>
      </w:pPr>
      <w:r w:rsidRPr="00187B69">
        <w:t>Vi anser att bidrag ska avsättas till</w:t>
      </w:r>
      <w:r w:rsidR="00284EED" w:rsidRPr="00187B69">
        <w:t xml:space="preserve"> </w:t>
      </w:r>
      <w:r w:rsidR="00165807" w:rsidRPr="00187B69">
        <w:t>Riksorganisationen Sveriges Professi</w:t>
      </w:r>
      <w:r w:rsidR="00165807" w:rsidRPr="00187B69">
        <w:t>o</w:t>
      </w:r>
      <w:r w:rsidR="00165807" w:rsidRPr="00187B69">
        <w:t xml:space="preserve">nella Kriscentra </w:t>
      </w:r>
      <w:r w:rsidR="00284EED" w:rsidRPr="00187B69">
        <w:t xml:space="preserve">för </w:t>
      </w:r>
      <w:r w:rsidR="00165807" w:rsidRPr="00187B69">
        <w:t xml:space="preserve">Män med </w:t>
      </w:r>
      <w:r w:rsidR="00284EED" w:rsidRPr="00187B69">
        <w:t>2 miljoner kr</w:t>
      </w:r>
      <w:r w:rsidR="0017042C" w:rsidRPr="00187B69">
        <w:t xml:space="preserve">onor per </w:t>
      </w:r>
      <w:r w:rsidR="00284EED" w:rsidRPr="00187B69">
        <w:t>år</w:t>
      </w:r>
      <w:r w:rsidRPr="00187B69">
        <w:t xml:space="preserve">. Dessa medel är tänkta </w:t>
      </w:r>
      <w:r w:rsidR="00284EED" w:rsidRPr="00187B69">
        <w:t xml:space="preserve">för att fortsätta utveckla </w:t>
      </w:r>
      <w:r w:rsidRPr="00187B69">
        <w:t>riks</w:t>
      </w:r>
      <w:r w:rsidR="00CE7378" w:rsidRPr="00187B69">
        <w:softHyphen/>
      </w:r>
      <w:r w:rsidRPr="00187B69">
        <w:t>organisationen</w:t>
      </w:r>
      <w:r w:rsidR="00D16F3A" w:rsidRPr="00187B69">
        <w:t xml:space="preserve"> </w:t>
      </w:r>
      <w:r w:rsidR="00284EED" w:rsidRPr="00187B69">
        <w:t>och behålla de nationella samor</w:t>
      </w:r>
      <w:r w:rsidR="00284EED" w:rsidRPr="00187B69">
        <w:t>d</w:t>
      </w:r>
      <w:r w:rsidR="00284EED" w:rsidRPr="00187B69">
        <w:t>narna.</w:t>
      </w:r>
    </w:p>
    <w:p w:rsidR="00E52980" w:rsidRPr="00187B69" w:rsidRDefault="00E52980">
      <w:pPr>
        <w:pStyle w:val="Normaltindrag"/>
        <w:shd w:val="clear" w:color="000000" w:fill="auto"/>
      </w:pPr>
      <w:r w:rsidRPr="00187B69">
        <w:t xml:space="preserve">Vi anser också </w:t>
      </w:r>
      <w:r w:rsidR="0017042C" w:rsidRPr="00187B69">
        <w:t xml:space="preserve">att utvecklingspengar med 20 miljoner kronor per </w:t>
      </w:r>
      <w:r w:rsidRPr="00187B69">
        <w:t xml:space="preserve">år bör tillföras för fler kriscentra över landet. </w:t>
      </w:r>
      <w:r w:rsidR="00D16F3A" w:rsidRPr="00187B69">
        <w:t xml:space="preserve">Det gäller både att starta nya eller </w:t>
      </w:r>
      <w:r w:rsidR="00165807" w:rsidRPr="00187B69">
        <w:t>vidarutveckla existerande centrum</w:t>
      </w:r>
      <w:r w:rsidR="00D16F3A" w:rsidRPr="00187B69">
        <w:t>.</w:t>
      </w:r>
      <w:r w:rsidRPr="00187B69">
        <w:rPr>
          <w:b/>
        </w:rPr>
        <w:t xml:space="preserve"> </w:t>
      </w:r>
      <w:r w:rsidRPr="00187B69">
        <w:t>Medlen bör placeras hos Socialstyrelsen varifrån de kan ansökas. Ett krav bör dock vara en samfinansiering med de aktuella kommunerna.</w:t>
      </w:r>
    </w:p>
    <w:p w:rsidR="00FF6F49" w:rsidRPr="00187B69" w:rsidRDefault="00E52980">
      <w:pPr>
        <w:pStyle w:val="Normaltindrag"/>
        <w:shd w:val="clear" w:color="000000" w:fill="auto"/>
      </w:pPr>
      <w:r w:rsidRPr="00187B69">
        <w:t>Vi anser också att ytterligare ett steg i utvecklingen av R</w:t>
      </w:r>
      <w:r w:rsidR="00284EED" w:rsidRPr="00187B69">
        <w:t>ikskvinnocentrum</w:t>
      </w:r>
      <w:r w:rsidRPr="00187B69">
        <w:t xml:space="preserve"> bör </w:t>
      </w:r>
      <w:r w:rsidR="00186996" w:rsidRPr="00187B69">
        <w:t>tas</w:t>
      </w:r>
      <w:r w:rsidRPr="00187B69">
        <w:t xml:space="preserve">. </w:t>
      </w:r>
      <w:r w:rsidR="00FF6F49" w:rsidRPr="00187B69">
        <w:t>Verksamheten bör omfatta även barn som lever i familjer där det förekommer våld samt de män som utövar vå</w:t>
      </w:r>
      <w:r w:rsidR="00165807" w:rsidRPr="00187B69">
        <w:t>ld mot kvinnor och barn. Cen</w:t>
      </w:r>
      <w:r w:rsidR="00165807" w:rsidRPr="00187B69">
        <w:t>t</w:t>
      </w:r>
      <w:r w:rsidR="00165807" w:rsidRPr="00187B69">
        <w:t>rumet</w:t>
      </w:r>
      <w:r w:rsidR="00FF6F49" w:rsidRPr="00187B69">
        <w:t xml:space="preserve"> bör kunna fokusera på hela området med mäns våld mot kvinnor såväl ur kvinno-, mans- </w:t>
      </w:r>
      <w:r w:rsidR="00165807" w:rsidRPr="00187B69">
        <w:t>s</w:t>
      </w:r>
      <w:r w:rsidR="00FF6F49" w:rsidRPr="00187B69">
        <w:t>o</w:t>
      </w:r>
      <w:r w:rsidR="00165807" w:rsidRPr="00187B69">
        <w:t>m</w:t>
      </w:r>
      <w:r w:rsidR="00FF6F49" w:rsidRPr="00187B69">
        <w:t xml:space="preserve"> barnperspektiv.</w:t>
      </w:r>
      <w:r w:rsidR="0017042C" w:rsidRPr="00187B69">
        <w:t xml:space="preserve"> För detta ändamål avsätts 5 miljoner kronor per </w:t>
      </w:r>
      <w:r w:rsidR="00FF6F49" w:rsidRPr="00187B69">
        <w:t>år.</w:t>
      </w:r>
    </w:p>
    <w:p w:rsidR="00FF6F49" w:rsidRPr="00187B69" w:rsidRDefault="00FF6F49">
      <w:pPr>
        <w:pStyle w:val="Normaltindrag"/>
        <w:shd w:val="clear" w:color="000000" w:fill="auto"/>
      </w:pPr>
      <w:r w:rsidRPr="00187B69">
        <w:t>Miljöpartiet föreslår för övrigt att alla män som dömts för våld mot kvi</w:t>
      </w:r>
      <w:r w:rsidRPr="00187B69">
        <w:t>n</w:t>
      </w:r>
      <w:r w:rsidRPr="00187B69">
        <w:t>nor ska få behandling. Förslaget beskrivs närmre i partimotion Våld mot kvinnor.</w:t>
      </w:r>
    </w:p>
    <w:p w:rsidR="00284EED" w:rsidRPr="00187B69" w:rsidRDefault="00E00E8E">
      <w:pPr>
        <w:pStyle w:val="Normaltindrag"/>
        <w:shd w:val="clear" w:color="000000" w:fill="auto"/>
      </w:pPr>
      <w:r w:rsidRPr="00187B69">
        <w:t xml:space="preserve">Vi föreslår också ett utökat stöd till </w:t>
      </w:r>
      <w:r w:rsidR="00165807" w:rsidRPr="00187B69">
        <w:t xml:space="preserve">länsstyrelserna </w:t>
      </w:r>
      <w:r w:rsidRPr="00187B69">
        <w:t>för en samordnad roll vad</w:t>
      </w:r>
      <w:r w:rsidR="00EA1767" w:rsidRPr="00187B69">
        <w:t xml:space="preserve"> gäller kart</w:t>
      </w:r>
      <w:r w:rsidR="00284EED" w:rsidRPr="00187B69">
        <w:t>läggningar och ökad tillsyn på området mäns våld mot kvinnor, samt att arbeta med bl</w:t>
      </w:r>
      <w:r w:rsidR="00165807" w:rsidRPr="00187B69">
        <w:t>.</w:t>
      </w:r>
      <w:r w:rsidR="00284EED" w:rsidRPr="00187B69">
        <w:t>a</w:t>
      </w:r>
      <w:r w:rsidR="00165807" w:rsidRPr="00187B69">
        <w:t>.</w:t>
      </w:r>
      <w:r w:rsidR="00284EED" w:rsidRPr="00187B69">
        <w:t xml:space="preserve"> fortbildningar</w:t>
      </w:r>
      <w:r w:rsidR="00BE4F5A" w:rsidRPr="00187B69">
        <w:t xml:space="preserve"> och</w:t>
      </w:r>
      <w:r w:rsidR="00284EED" w:rsidRPr="00187B69">
        <w:t xml:space="preserve"> kunskapsutveckling inom socia</w:t>
      </w:r>
      <w:r w:rsidR="00284EED" w:rsidRPr="00187B69">
        <w:t>l</w:t>
      </w:r>
      <w:r w:rsidR="00284EED" w:rsidRPr="00187B69">
        <w:t>tjänsten angående våldsutsatta kvi</w:t>
      </w:r>
      <w:r w:rsidR="006A0EA1" w:rsidRPr="00187B69">
        <w:t>nnor</w:t>
      </w:r>
      <w:r w:rsidR="00764817" w:rsidRPr="00187B69">
        <w:t xml:space="preserve"> gentemot kommunerna. Se vidare motion utgiftsområde </w:t>
      </w:r>
      <w:r w:rsidR="00530431" w:rsidRPr="00187B69">
        <w:t>1.</w:t>
      </w:r>
    </w:p>
    <w:p w:rsidR="00EA1767" w:rsidRPr="00187B69" w:rsidRDefault="00284EED">
      <w:pPr>
        <w:pStyle w:val="Rubrik2"/>
        <w:shd w:val="clear" w:color="000000" w:fill="auto"/>
      </w:pPr>
      <w:r w:rsidRPr="00187B69">
        <w:t>Regionala och lokala barnombudsmän</w:t>
      </w:r>
    </w:p>
    <w:p w:rsidR="00284EED" w:rsidRPr="00187B69" w:rsidRDefault="00284EED">
      <w:pPr>
        <w:shd w:val="clear" w:color="000000" w:fill="auto"/>
      </w:pPr>
      <w:r w:rsidRPr="00187B69">
        <w:t xml:space="preserve">Miljöpartiet vill skapa ett barnombud som står helt på barnens sida! Vi vill tillsätta regionala </w:t>
      </w:r>
      <w:r w:rsidR="00BE4F5A" w:rsidRPr="00187B69">
        <w:t>barnombudsmän</w:t>
      </w:r>
      <w:r w:rsidRPr="00187B69">
        <w:t>, kopplade till Barnombudsmannen</w:t>
      </w:r>
      <w:r w:rsidR="00BE4F5A" w:rsidRPr="00187B69">
        <w:t>,</w:t>
      </w:r>
      <w:r w:rsidRPr="00187B69">
        <w:t xml:space="preserve"> som förslagsvis skulle kunna finnas på </w:t>
      </w:r>
      <w:r w:rsidR="00BE4F5A" w:rsidRPr="00187B69">
        <w:t>länsstyrelserna</w:t>
      </w:r>
      <w:r w:rsidRPr="00187B69">
        <w:t>.</w:t>
      </w:r>
    </w:p>
    <w:p w:rsidR="00284EED" w:rsidRPr="00187B69" w:rsidRDefault="00284EED">
      <w:pPr>
        <w:pStyle w:val="Normaltindrag"/>
        <w:shd w:val="clear" w:color="000000" w:fill="auto"/>
      </w:pPr>
      <w:r w:rsidRPr="00187B69">
        <w:t>De ska</w:t>
      </w:r>
      <w:r w:rsidR="00BE4F5A" w:rsidRPr="00187B69">
        <w:t>ll</w:t>
      </w:r>
      <w:r w:rsidRPr="00187B69">
        <w:t xml:space="preserve"> kunna arbeta med strukturfrågor som rör ba</w:t>
      </w:r>
      <w:r w:rsidR="00BE4F5A" w:rsidRPr="00187B69">
        <w:t>rn i den regionala verksamheten</w:t>
      </w:r>
      <w:r w:rsidRPr="00187B69">
        <w:t xml:space="preserve"> men framför allt kunna arbeta med enskilda barn. Kontakten med enskilda barn ska vara prioriterad.</w:t>
      </w:r>
    </w:p>
    <w:p w:rsidR="00284EED" w:rsidRPr="00187B69" w:rsidRDefault="00284EED">
      <w:pPr>
        <w:pStyle w:val="Normaltindrag"/>
        <w:shd w:val="clear" w:color="000000" w:fill="auto"/>
      </w:pPr>
      <w:r w:rsidRPr="00187B69">
        <w:t>De ska kunna vara på barnens sida vid svåra vårdnadstvister, omhändert</w:t>
      </w:r>
      <w:r w:rsidRPr="00187B69">
        <w:t>a</w:t>
      </w:r>
      <w:r w:rsidRPr="00187B69">
        <w:t>ganden, (även om det alltid ska finnas ett ombud för barnen</w:t>
      </w:r>
      <w:r w:rsidR="00D16F3A" w:rsidRPr="00187B69">
        <w:t xml:space="preserve"> i rätten vid LVU, så finns skeenden när </w:t>
      </w:r>
      <w:r w:rsidRPr="00187B69">
        <w:t xml:space="preserve">dessa </w:t>
      </w:r>
      <w:r w:rsidR="00D16F3A" w:rsidRPr="00187B69">
        <w:t xml:space="preserve">inte </w:t>
      </w:r>
      <w:r w:rsidRPr="00187B69">
        <w:t>är inkopplade),</w:t>
      </w:r>
      <w:r w:rsidR="00D16F3A" w:rsidRPr="00187B69">
        <w:t xml:space="preserve"> </w:t>
      </w:r>
      <w:r w:rsidRPr="00187B69">
        <w:t>jobbiga hemförhållanden etc. Och de ska även kunna företräda barnen.</w:t>
      </w:r>
    </w:p>
    <w:p w:rsidR="00284EED" w:rsidRPr="00187B69" w:rsidRDefault="00284EED">
      <w:pPr>
        <w:pStyle w:val="Normaltindrag"/>
        <w:shd w:val="clear" w:color="000000" w:fill="auto"/>
      </w:pPr>
      <w:r w:rsidRPr="00187B69">
        <w:t>En särskilt viktig funktion är att barn som är placerade och inte har det bra ska kunna höra av sig själva till denna helt oberoende funktion med barnpe</w:t>
      </w:r>
      <w:r w:rsidRPr="00187B69">
        <w:t>r</w:t>
      </w:r>
      <w:r w:rsidRPr="00187B69">
        <w:t>spektiv. Även om socialtjänsten alltid ska ha barnperspektivet för ögonen finns en risk att de tar ett vuxenperspektiv, lierar sig med familjehemmet, psykologiskt har svårt att se att den placering man medverkat till inte är bra för barnet osv. Det finns många skäl till varför barnen inte vågar lita på att de kan se situationen ur deras perspektiv.</w:t>
      </w:r>
    </w:p>
    <w:p w:rsidR="00284EED" w:rsidRPr="00187B69" w:rsidRDefault="00284EED">
      <w:pPr>
        <w:pStyle w:val="Normaltindrag"/>
        <w:shd w:val="clear" w:color="000000" w:fill="auto"/>
      </w:pPr>
      <w:r w:rsidRPr="00187B69">
        <w:t>De regionala barnombudsmännen ska naturligtvis omfattas av sekr</w:t>
      </w:r>
      <w:r w:rsidRPr="00187B69">
        <w:t>e</w:t>
      </w:r>
      <w:r w:rsidRPr="00187B69">
        <w:t>tesslagstiftningen. Men det viktigaste är att de är till för barnen</w:t>
      </w:r>
      <w:r w:rsidR="00BE4F5A" w:rsidRPr="00187B69">
        <w:t>,</w:t>
      </w:r>
      <w:r w:rsidRPr="00187B69">
        <w:t xml:space="preserve"> och </w:t>
      </w:r>
      <w:r w:rsidR="00BE4F5A" w:rsidRPr="00187B69">
        <w:t xml:space="preserve">de </w:t>
      </w:r>
      <w:r w:rsidRPr="00187B69">
        <w:t>ska inte agera utan att barnet gett sin tillåtelse.</w:t>
      </w:r>
    </w:p>
    <w:p w:rsidR="00284EED" w:rsidRPr="00187B69" w:rsidRDefault="00284EED">
      <w:pPr>
        <w:pStyle w:val="Normaltindrag"/>
        <w:shd w:val="clear" w:color="000000" w:fill="auto"/>
      </w:pPr>
      <w:r w:rsidRPr="00187B69">
        <w:t>Miljöpartiet m</w:t>
      </w:r>
      <w:r w:rsidR="0017042C" w:rsidRPr="00187B69">
        <w:t>enar att en utredning</w:t>
      </w:r>
      <w:r w:rsidRPr="00187B69">
        <w:t xml:space="preserve"> bör se över och komma med förslag</w:t>
      </w:r>
      <w:r w:rsidR="00BE4F5A" w:rsidRPr="00187B69">
        <w:t xml:space="preserve"> på</w:t>
      </w:r>
      <w:r w:rsidRPr="00187B69">
        <w:t xml:space="preserve"> hur detta ska kunna ordnas.</w:t>
      </w:r>
    </w:p>
    <w:p w:rsidR="00284EED" w:rsidRPr="00187B69" w:rsidRDefault="00284EED">
      <w:pPr>
        <w:pStyle w:val="Rubrik2"/>
        <w:shd w:val="clear" w:color="000000" w:fill="auto"/>
      </w:pPr>
      <w:r w:rsidRPr="00187B69">
        <w:t>Hemlösa</w:t>
      </w:r>
    </w:p>
    <w:p w:rsidR="00284EED" w:rsidRPr="00187B69" w:rsidRDefault="00284EED">
      <w:pPr>
        <w:shd w:val="clear" w:color="000000" w:fill="auto"/>
      </w:pPr>
      <w:r w:rsidRPr="00187B69">
        <w:t xml:space="preserve">Vi ser med tillfredsställelse att regeringen fortsätter med den utökade satsning på hemlösa som </w:t>
      </w:r>
      <w:r w:rsidR="00BE4F5A" w:rsidRPr="00187B69">
        <w:t xml:space="preserve">Miljöpartiet </w:t>
      </w:r>
      <w:r w:rsidRPr="00187B69">
        <w:t xml:space="preserve">fick igenom vid senaste vårbudgetförhandlingen. Däremot är de satsningar som anslaget rymmer inte specificerade. Anslaget löper enbart två år framåt. Vi anser därför att denna satsning behöver göras även </w:t>
      </w:r>
      <w:r w:rsidR="00AB1A42" w:rsidRPr="00187B69">
        <w:t>för 2009, varför vi avsätter 33</w:t>
      </w:r>
      <w:r w:rsidR="0017042C" w:rsidRPr="00187B69">
        <w:t xml:space="preserve"> miljoner kronor</w:t>
      </w:r>
      <w:r w:rsidRPr="00187B69">
        <w:t xml:space="preserve"> för </w:t>
      </w:r>
      <w:r w:rsidR="0017042C" w:rsidRPr="00187B69">
        <w:t xml:space="preserve">detta år </w:t>
      </w:r>
      <w:r w:rsidRPr="00187B69">
        <w:t>2009 i vårt budgetförslag.</w:t>
      </w:r>
    </w:p>
    <w:p w:rsidR="00284EED" w:rsidRPr="00187B69" w:rsidRDefault="00284EED">
      <w:pPr>
        <w:pStyle w:val="Rubrik2"/>
        <w:shd w:val="clear" w:color="000000" w:fill="auto"/>
      </w:pPr>
      <w:r w:rsidRPr="00187B69">
        <w:t>Alternativ</w:t>
      </w:r>
      <w:r w:rsidR="00BE4F5A" w:rsidRPr="00187B69">
        <w:t>-</w:t>
      </w:r>
      <w:r w:rsidRPr="00187B69">
        <w:t xml:space="preserve"> och komplementärmedicinskt register</w:t>
      </w:r>
    </w:p>
    <w:p w:rsidR="00284EED" w:rsidRPr="00187B69" w:rsidRDefault="00186996">
      <w:pPr>
        <w:shd w:val="clear" w:color="000000" w:fill="auto"/>
        <w:autoSpaceDE w:val="0"/>
        <w:autoSpaceDN w:val="0"/>
        <w:adjustRightInd w:val="0"/>
        <w:rPr>
          <w:szCs w:val="24"/>
        </w:rPr>
      </w:pPr>
      <w:r w:rsidRPr="00187B69">
        <w:t>AKM-</w:t>
      </w:r>
      <w:r w:rsidR="00BE4F5A" w:rsidRPr="00187B69">
        <w:t>registerutredning</w:t>
      </w:r>
      <w:r w:rsidRPr="00187B69">
        <w:t>en</w:t>
      </w:r>
      <w:r w:rsidR="00284EED" w:rsidRPr="00187B69">
        <w:t xml:space="preserve"> har utrett hur ett register för</w:t>
      </w:r>
      <w:r w:rsidR="00BE4F5A" w:rsidRPr="00187B69">
        <w:t xml:space="preserve"> utövare av</w:t>
      </w:r>
      <w:r w:rsidR="00284EED" w:rsidRPr="00187B69">
        <w:t xml:space="preserve"> alternativ- och komplementärmedicin kan </w:t>
      </w:r>
      <w:r w:rsidR="00284EED" w:rsidRPr="00187B69">
        <w:rPr>
          <w:szCs w:val="24"/>
        </w:rPr>
        <w:t>utformas. Innan ett sådant kan inrättas beh</w:t>
      </w:r>
      <w:r w:rsidR="00284EED" w:rsidRPr="00187B69">
        <w:rPr>
          <w:szCs w:val="24"/>
        </w:rPr>
        <w:t>ö</w:t>
      </w:r>
      <w:r w:rsidR="00284EED" w:rsidRPr="00187B69">
        <w:rPr>
          <w:szCs w:val="24"/>
        </w:rPr>
        <w:t>ver en kompletterande utredning se över LYHS</w:t>
      </w:r>
      <w:r w:rsidR="00BE4F5A" w:rsidRPr="00187B69">
        <w:rPr>
          <w:szCs w:val="24"/>
        </w:rPr>
        <w:t>,</w:t>
      </w:r>
      <w:r w:rsidR="00284EED" w:rsidRPr="00187B69">
        <w:rPr>
          <w:szCs w:val="24"/>
        </w:rPr>
        <w:t xml:space="preserve"> </w:t>
      </w:r>
      <w:r w:rsidR="00BE4F5A" w:rsidRPr="00187B69">
        <w:rPr>
          <w:szCs w:val="24"/>
        </w:rPr>
        <w:t>lagen om y</w:t>
      </w:r>
      <w:r w:rsidR="00284EED" w:rsidRPr="00187B69">
        <w:rPr>
          <w:szCs w:val="24"/>
        </w:rPr>
        <w:t>rkesverksamma i hälso- och sjukvården</w:t>
      </w:r>
      <w:r w:rsidR="00BE4F5A" w:rsidRPr="00187B69">
        <w:rPr>
          <w:szCs w:val="24"/>
        </w:rPr>
        <w:t>,</w:t>
      </w:r>
      <w:r w:rsidR="00284EED" w:rsidRPr="00187B69">
        <w:rPr>
          <w:szCs w:val="24"/>
        </w:rPr>
        <w:t xml:space="preserve"> och på vilket sätt</w:t>
      </w:r>
      <w:r w:rsidR="00BC1DF5" w:rsidRPr="00187B69">
        <w:rPr>
          <w:szCs w:val="24"/>
        </w:rPr>
        <w:t xml:space="preserve"> </w:t>
      </w:r>
      <w:r w:rsidR="00284EED" w:rsidRPr="00187B69">
        <w:rPr>
          <w:szCs w:val="24"/>
        </w:rPr>
        <w:t>yrkesverksamma inom hälso- och sjukvården även ska kunna ingå i ett sådant register.</w:t>
      </w:r>
    </w:p>
    <w:p w:rsidR="00284EED" w:rsidRPr="00187B69" w:rsidRDefault="00284EED">
      <w:pPr>
        <w:pStyle w:val="Normaltindrag"/>
        <w:shd w:val="clear" w:color="000000" w:fill="auto"/>
      </w:pPr>
      <w:r w:rsidRPr="00187B69">
        <w:rPr>
          <w:szCs w:val="24"/>
        </w:rPr>
        <w:t>Vi räknar med att frågan kan utredas klart under 2007 och registret därefter inrättas</w:t>
      </w:r>
      <w:r w:rsidRPr="00187B69">
        <w:t xml:space="preserve"> 2008. I budgeten föreslås att anslag 13:9 minskas med 2 miljon</w:t>
      </w:r>
      <w:r w:rsidR="00BE4F5A" w:rsidRPr="00187B69">
        <w:t>er kronor. Vi anser att anslagna</w:t>
      </w:r>
      <w:r w:rsidRPr="00187B69">
        <w:t xml:space="preserve"> 2 m</w:t>
      </w:r>
      <w:r w:rsidR="0017042C" w:rsidRPr="00187B69">
        <w:t>iljoner kronor</w:t>
      </w:r>
      <w:r w:rsidRPr="00187B69">
        <w:t xml:space="preserve"> ska finnas kvar för ändamålet </w:t>
      </w:r>
      <w:r w:rsidR="00BE4F5A" w:rsidRPr="00187B69">
        <w:t>under</w:t>
      </w:r>
      <w:r w:rsidRPr="00187B69">
        <w:t xml:space="preserve"> 2008 respektive 2009.</w:t>
      </w:r>
    </w:p>
    <w:p w:rsidR="00284EED" w:rsidRPr="00187B69" w:rsidRDefault="00284EED">
      <w:pPr>
        <w:pStyle w:val="Rubrik2"/>
        <w:shd w:val="clear" w:color="000000" w:fill="auto"/>
      </w:pPr>
      <w:r w:rsidRPr="00187B69">
        <w:t xml:space="preserve">Utökat stöd till </w:t>
      </w:r>
      <w:r w:rsidR="00BE4F5A" w:rsidRPr="00187B69">
        <w:t>Handikappombudsmannen</w:t>
      </w:r>
    </w:p>
    <w:p w:rsidR="00BC1DF5" w:rsidRPr="00187B69" w:rsidRDefault="00284EED">
      <w:pPr>
        <w:shd w:val="clear" w:color="000000" w:fill="auto"/>
      </w:pPr>
      <w:r w:rsidRPr="00187B69">
        <w:t>Förra året fick Handikappombudsmannen, HO</w:t>
      </w:r>
      <w:r w:rsidR="00BE4F5A" w:rsidRPr="00187B69">
        <w:t>,</w:t>
      </w:r>
      <w:r w:rsidRPr="00187B69">
        <w:t xml:space="preserve"> ett utökat anslag med 3 milj</w:t>
      </w:r>
      <w:r w:rsidRPr="00187B69">
        <w:t>o</w:t>
      </w:r>
      <w:r w:rsidRPr="00187B69">
        <w:t>ner kronor. Handikappombudsmannen måste ha rimliga resurser för att kunna verka mot diskriminering av funktion</w:t>
      </w:r>
      <w:r w:rsidR="00BE4F5A" w:rsidRPr="00187B69">
        <w:t>s</w:t>
      </w:r>
      <w:r w:rsidRPr="00187B69">
        <w:t>hindrade. Den tilltänkta nya lagstif</w:t>
      </w:r>
      <w:r w:rsidRPr="00187B69">
        <w:t>t</w:t>
      </w:r>
      <w:r w:rsidRPr="00187B69">
        <w:t>ningen och samman</w:t>
      </w:r>
      <w:r w:rsidR="00CE7378" w:rsidRPr="00187B69">
        <w:softHyphen/>
      </w:r>
      <w:r w:rsidRPr="00187B69">
        <w:t>slagning</w:t>
      </w:r>
      <w:r w:rsidR="00BE4F5A" w:rsidRPr="00187B69">
        <w:t>en</w:t>
      </w:r>
      <w:r w:rsidRPr="00187B69">
        <w:t xml:space="preserve"> av de olika ombudsmannafunktionerna</w:t>
      </w:r>
      <w:r w:rsidR="007E7149" w:rsidRPr="00187B69">
        <w:t xml:space="preserve"> </w:t>
      </w:r>
      <w:r w:rsidR="00D30AA0" w:rsidRPr="00187B69">
        <w:t>ko</w:t>
      </w:r>
      <w:r w:rsidR="00D30AA0" w:rsidRPr="00187B69">
        <w:t>m</w:t>
      </w:r>
      <w:r w:rsidR="00D30AA0" w:rsidRPr="00187B69">
        <w:t xml:space="preserve">mer också </w:t>
      </w:r>
      <w:r w:rsidR="00BE4F5A" w:rsidRPr="00187B69">
        <w:t xml:space="preserve">att </w:t>
      </w:r>
      <w:r w:rsidR="00D30AA0" w:rsidRPr="00187B69">
        <w:t>kräva resurstillskott. Området är eftersatt, men i budgetpropos</w:t>
      </w:r>
      <w:r w:rsidR="00D30AA0" w:rsidRPr="00187B69">
        <w:t>i</w:t>
      </w:r>
      <w:r w:rsidR="00D30AA0" w:rsidRPr="00187B69">
        <w:t>tionen finns ingen förstärkning av HO</w:t>
      </w:r>
      <w:r w:rsidR="00B80E7B" w:rsidRPr="00187B69">
        <w:t>:</w:t>
      </w:r>
      <w:r w:rsidR="00D30AA0" w:rsidRPr="00187B69">
        <w:t xml:space="preserve">s resurser. Vi anser att det är helt oundgängligt att </w:t>
      </w:r>
      <w:r w:rsidR="00BE4F5A" w:rsidRPr="00187B69">
        <w:t xml:space="preserve">Handikappombudsmannens </w:t>
      </w:r>
      <w:r w:rsidR="00D30AA0" w:rsidRPr="00187B69">
        <w:t xml:space="preserve">anslag förstärks med 3 miljoner kronor per år under </w:t>
      </w:r>
      <w:r w:rsidR="00514BE1" w:rsidRPr="00187B69">
        <w:t xml:space="preserve">de </w:t>
      </w:r>
      <w:r w:rsidR="00D30AA0" w:rsidRPr="00187B69">
        <w:t xml:space="preserve">tre </w:t>
      </w:r>
      <w:r w:rsidR="00514BE1" w:rsidRPr="00187B69">
        <w:t xml:space="preserve">kommande </w:t>
      </w:r>
      <w:r w:rsidR="00D30AA0" w:rsidRPr="00187B69">
        <w:t>år</w:t>
      </w:r>
      <w:r w:rsidR="00514BE1" w:rsidRPr="00187B69">
        <w:t>en</w:t>
      </w:r>
      <w:r w:rsidR="00D30AA0" w:rsidRPr="00187B69">
        <w:t>.</w:t>
      </w:r>
    </w:p>
    <w:p w:rsidR="00284EED" w:rsidRPr="00187B69" w:rsidRDefault="00284EED">
      <w:pPr>
        <w:pStyle w:val="Rubrik2"/>
        <w:shd w:val="clear" w:color="000000" w:fill="auto"/>
      </w:pPr>
      <w:r w:rsidRPr="00187B69">
        <w:t>Nya typer av handikapporganisationer</w:t>
      </w:r>
    </w:p>
    <w:p w:rsidR="00BC1DF5" w:rsidRPr="00187B69" w:rsidRDefault="00284EED">
      <w:pPr>
        <w:shd w:val="clear" w:color="000000" w:fill="auto"/>
      </w:pPr>
      <w:r w:rsidRPr="00187B69">
        <w:t>I takt med att tiderna förändras finns det handikapporganisationer som organ</w:t>
      </w:r>
      <w:r w:rsidRPr="00187B69">
        <w:t>i</w:t>
      </w:r>
      <w:r w:rsidRPr="00187B69">
        <w:t>serar sig på ett nytt sätt. Genom tillgång till nätet finns det inte samma behov som tidigare av att en organisation rent geografisk</w:t>
      </w:r>
      <w:r w:rsidR="00BE4F5A" w:rsidRPr="00187B69">
        <w:t>t</w:t>
      </w:r>
      <w:r w:rsidRPr="00187B69">
        <w:t xml:space="preserve"> finns spridd i hela landet för att fungera väl. Kraven för hur bidragen fördelas behöver ses över för att även passa nyare typer av nätverk etc. Vi vill att en utredning ser över detta, d</w:t>
      </w:r>
      <w:r w:rsidR="00B80E7B" w:rsidRPr="00187B69">
        <w:t>.v.s</w:t>
      </w:r>
      <w:r w:rsidR="00CE7378" w:rsidRPr="00187B69">
        <w:t>.</w:t>
      </w:r>
      <w:r w:rsidRPr="00187B69">
        <w:t xml:space="preserve"> klargör vilken typ av organisationer som i</w:t>
      </w:r>
      <w:r w:rsidR="00BE4F5A" w:rsidRPr="00187B69">
        <w:t xml:space="preserve"> </w:t>
      </w:r>
      <w:r w:rsidRPr="00187B69">
        <w:t>dag inte kan ta del av hand</w:t>
      </w:r>
      <w:r w:rsidRPr="00187B69">
        <w:t>i</w:t>
      </w:r>
      <w:r w:rsidRPr="00187B69">
        <w:t>kapporganisationernas bidrag och huruvida det är rimligt att utöka anslagen ytterligare för detta ändamål. Vi vill dock betona att det inte betyder att hela regelverket för bidragsfördelning till handikapporganisationerna ska behöva ses över.</w:t>
      </w:r>
    </w:p>
    <w:p w:rsidR="00284EED" w:rsidRPr="00187B69" w:rsidRDefault="00284EED">
      <w:pPr>
        <w:pStyle w:val="Rubrik2"/>
        <w:shd w:val="clear" w:color="000000" w:fill="auto"/>
      </w:pPr>
      <w:r w:rsidRPr="00187B69">
        <w:t>Hälsoekonomiskt incitament</w:t>
      </w:r>
    </w:p>
    <w:p w:rsidR="00284EED" w:rsidRPr="00187B69" w:rsidRDefault="00284EED">
      <w:pPr>
        <w:shd w:val="clear" w:color="000000" w:fill="auto"/>
      </w:pPr>
      <w:r w:rsidRPr="00187B69">
        <w:t>Vi anser att aktivitet på det folkhälsopolitiska området behöver främjas. St</w:t>
      </w:r>
      <w:r w:rsidRPr="00187B69">
        <w:t>a</w:t>
      </w:r>
      <w:r w:rsidRPr="00187B69">
        <w:t>tens folkhälsoinstitut har i</w:t>
      </w:r>
      <w:r w:rsidR="00BE4F5A" w:rsidRPr="00187B69">
        <w:t xml:space="preserve"> </w:t>
      </w:r>
      <w:r w:rsidRPr="00187B69">
        <w:t xml:space="preserve">dag ansvar för uppföljningen av de </w:t>
      </w:r>
      <w:r w:rsidR="00BE4F5A" w:rsidRPr="00187B69">
        <w:t>elva</w:t>
      </w:r>
      <w:r w:rsidRPr="00187B69">
        <w:t xml:space="preserve"> fol</w:t>
      </w:r>
      <w:r w:rsidRPr="00187B69">
        <w:t>k</w:t>
      </w:r>
      <w:r w:rsidRPr="00187B69">
        <w:t>hälsopolitiska målen på nationell nivå. För att nå folkhälsomålen krävs ett aktivt och medvetet arbete med särskilda satsningar. För att de verkligen ska få genomslag anser vi att det behöver finnas ett samordningsansvar på regi</w:t>
      </w:r>
      <w:r w:rsidRPr="00187B69">
        <w:t>o</w:t>
      </w:r>
      <w:r w:rsidRPr="00187B69">
        <w:t>nal nivå. Aktivt och praktiskt arbete behöver ske närm</w:t>
      </w:r>
      <w:r w:rsidR="0017042C" w:rsidRPr="00187B69">
        <w:t>are de konkreta ver</w:t>
      </w:r>
      <w:r w:rsidR="0017042C" w:rsidRPr="00187B69">
        <w:t>k</w:t>
      </w:r>
      <w:r w:rsidR="0017042C" w:rsidRPr="00187B69">
        <w:t xml:space="preserve">samheterna. </w:t>
      </w:r>
      <w:r w:rsidRPr="00187B69">
        <w:t>Ett exempel på ett väl utvecklat folkhälsoarbete är det som sker i Västra Götaland, där en särskild folkhälsoenhet finns i regionens regi men som fungerar som motor för både kommunerna och regionen som helhet.</w:t>
      </w:r>
    </w:p>
    <w:p w:rsidR="00284EED" w:rsidRPr="00187B69" w:rsidRDefault="00284EED">
      <w:pPr>
        <w:pStyle w:val="Normaltindrag"/>
        <w:shd w:val="clear" w:color="000000" w:fill="auto"/>
      </w:pPr>
      <w:r w:rsidRPr="00187B69">
        <w:t>Vi anser att landstingen/regionerna bör ges ett samordningsansvar för arb</w:t>
      </w:r>
      <w:r w:rsidRPr="00187B69">
        <w:t>e</w:t>
      </w:r>
      <w:r w:rsidRPr="00187B69">
        <w:t xml:space="preserve">tet med de </w:t>
      </w:r>
      <w:r w:rsidR="00BE4F5A" w:rsidRPr="00187B69">
        <w:t>elva</w:t>
      </w:r>
      <w:r w:rsidRPr="00187B69">
        <w:t xml:space="preserve"> folkhälsopolitiska målen på regional nivå. Detta ansvar bör på sikt lagstadgas. Vi vill tillsätta 15 miljoner </w:t>
      </w:r>
      <w:r w:rsidR="0017042C" w:rsidRPr="00187B69">
        <w:t xml:space="preserve">kronor </w:t>
      </w:r>
      <w:r w:rsidRPr="00187B69">
        <w:t>för att förstärka detta arb</w:t>
      </w:r>
      <w:r w:rsidRPr="00187B69">
        <w:t>e</w:t>
      </w:r>
      <w:r w:rsidRPr="00187B69">
        <w:t>te, fördelat utifrån länens storlek.</w:t>
      </w:r>
    </w:p>
    <w:p w:rsidR="00284EED" w:rsidRPr="00187B69" w:rsidRDefault="00284EED">
      <w:pPr>
        <w:pStyle w:val="Normaltindrag"/>
        <w:shd w:val="clear" w:color="000000" w:fill="auto"/>
      </w:pPr>
      <w:r w:rsidRPr="00187B69">
        <w:t>Därtill vill vi avsätta anslag till konkreta projekt koppla</w:t>
      </w:r>
      <w:r w:rsidR="00BE4F5A" w:rsidRPr="00187B69">
        <w:t>de</w:t>
      </w:r>
      <w:r w:rsidRPr="00187B69">
        <w:t xml:space="preserve"> till ett eller flera av de folkhälsopolitiska målen. Ansökningar sker av kommuner och land</w:t>
      </w:r>
      <w:r w:rsidRPr="00187B69">
        <w:t>s</w:t>
      </w:r>
      <w:r w:rsidRPr="00187B69">
        <w:t>ting/regioner gemensamt, men kan givetvis även gälla frivilligorganisationers eller på annat sätt sammansatta projekt. Kommunen och landstinget/regionen ska dock vara eniga om projektbeskrivningen och dess koppling till ett eller flera av de folkhälsopolitiska målen. För detta ändamål avsätts 160 m</w:t>
      </w:r>
      <w:r w:rsidR="0017042C" w:rsidRPr="00187B69">
        <w:t>iljon kronor</w:t>
      </w:r>
      <w:r w:rsidRPr="00187B69">
        <w:t xml:space="preserve"> per år under tre år. Medlen söks hos Statens </w:t>
      </w:r>
      <w:r w:rsidR="00BE4F5A" w:rsidRPr="00187B69">
        <w:t>folkhälsoinstitut</w:t>
      </w:r>
      <w:r w:rsidRPr="00187B69">
        <w:t xml:space="preserve">. </w:t>
      </w:r>
      <w:r w:rsidR="00BE4F5A" w:rsidRPr="00187B69">
        <w:t xml:space="preserve">Det läggs </w:t>
      </w:r>
      <w:r w:rsidRPr="00187B69">
        <w:t>till anslag 14:7.</w:t>
      </w:r>
    </w:p>
    <w:p w:rsidR="00284EED" w:rsidRPr="00187B69" w:rsidRDefault="00284EED">
      <w:pPr>
        <w:pStyle w:val="Rubrik2"/>
        <w:shd w:val="clear" w:color="000000" w:fill="auto"/>
      </w:pPr>
      <w:r w:rsidRPr="00187B69">
        <w:t>Otydligheter i budgetpropositionen</w:t>
      </w:r>
    </w:p>
    <w:p w:rsidR="00284EED" w:rsidRPr="00187B69" w:rsidRDefault="00284EED">
      <w:pPr>
        <w:shd w:val="clear" w:color="000000" w:fill="auto"/>
      </w:pPr>
      <w:r w:rsidRPr="00187B69">
        <w:t xml:space="preserve">På flera ställen innehåller </w:t>
      </w:r>
      <w:r w:rsidR="00BD6050" w:rsidRPr="00187B69">
        <w:t>budgetpropositionen</w:t>
      </w:r>
      <w:r w:rsidRPr="00187B69">
        <w:t xml:space="preserve"> otydligheter och brist på u</w:t>
      </w:r>
      <w:r w:rsidRPr="00187B69">
        <w:t>n</w:t>
      </w:r>
      <w:r w:rsidRPr="00187B69">
        <w:t>derlag. Det gäller t</w:t>
      </w:r>
      <w:r w:rsidR="0017042C" w:rsidRPr="00187B69">
        <w:t>.</w:t>
      </w:r>
      <w:r w:rsidRPr="00187B69">
        <w:t>ex</w:t>
      </w:r>
      <w:r w:rsidR="0017042C" w:rsidRPr="00187B69">
        <w:t>.</w:t>
      </w:r>
      <w:r w:rsidRPr="00187B69">
        <w:t xml:space="preserve"> förslag om f</w:t>
      </w:r>
      <w:r w:rsidR="00EE23BD" w:rsidRPr="00187B69">
        <w:t xml:space="preserve">örstärkt vårdgaranti samtidigt </w:t>
      </w:r>
      <w:r w:rsidR="00C51A83" w:rsidRPr="00187B69">
        <w:t>och fritt vårdval.</w:t>
      </w:r>
    </w:p>
    <w:p w:rsidR="00284EED" w:rsidRPr="00187B69" w:rsidRDefault="00284EED">
      <w:pPr>
        <w:pStyle w:val="Normaltindrag"/>
        <w:shd w:val="clear" w:color="000000" w:fill="auto"/>
      </w:pPr>
      <w:r w:rsidRPr="00187B69">
        <w:t>När det gäller införandet av en oberoende granskningsfunktion vad avser öppna jämförelser och prestations</w:t>
      </w:r>
      <w:r w:rsidR="00E91EE4" w:rsidRPr="00187B69">
        <w:t>-</w:t>
      </w:r>
      <w:r w:rsidR="00BE4F5A" w:rsidRPr="00187B69">
        <w:t xml:space="preserve"> och kvalitetsmätning</w:t>
      </w:r>
      <w:r w:rsidRPr="00187B69">
        <w:t xml:space="preserve"> saknas kostnadsfö</w:t>
      </w:r>
      <w:r w:rsidRPr="00187B69">
        <w:t>r</w:t>
      </w:r>
      <w:r w:rsidRPr="00187B69">
        <w:t>slag. Med anledning av dessa otydligheter, avsaknad av kostnader och bristande underlag, avser vi att inte ställa oss bakom dessa förslag.</w:t>
      </w:r>
    </w:p>
    <w:p w:rsidR="00284EED" w:rsidRPr="00187B69" w:rsidRDefault="00284EED">
      <w:pPr>
        <w:pStyle w:val="Normaltindrag"/>
        <w:shd w:val="clear" w:color="000000" w:fill="auto"/>
      </w:pPr>
      <w:r w:rsidRPr="00187B69">
        <w:t>Förslaget att utveckla hälso- och sjukvårdens ersättningssystem, i syfte att skapa administrativa förutsättningar för patientbaserade ersättningssystem, har ett an</w:t>
      </w:r>
      <w:r w:rsidR="0017042C" w:rsidRPr="00187B69">
        <w:t>slag på 30 miljoner kronor</w:t>
      </w:r>
      <w:r w:rsidRPr="00187B69">
        <w:t xml:space="preserve"> i budgetpropositionen, under 13:3. Mi</w:t>
      </w:r>
      <w:r w:rsidRPr="00187B69">
        <w:t>l</w:t>
      </w:r>
      <w:r w:rsidRPr="00187B69">
        <w:t>jöpartiet avser att inte ställa sig bakom denna satsning med hänvisning till osäkerhet och oklarheter kring vad förslaget innebär och syftar till.</w:t>
      </w:r>
    </w:p>
    <w:p w:rsidR="00284EED" w:rsidRPr="00187B69" w:rsidRDefault="00284EED">
      <w:pPr>
        <w:pStyle w:val="Normaltindrag"/>
        <w:shd w:val="clear" w:color="000000" w:fill="auto"/>
      </w:pPr>
      <w:r w:rsidRPr="00187B69">
        <w:t>Samma resonemang gäller förslaget till avknoppningsstödet på 40 milj</w:t>
      </w:r>
      <w:r w:rsidR="0017042C" w:rsidRPr="00187B69">
        <w:t>oner kronor</w:t>
      </w:r>
      <w:r w:rsidRPr="00187B69">
        <w:t xml:space="preserve"> varför vi inte heller stöder detta anslag, under 13:3</w:t>
      </w:r>
      <w:r w:rsidR="00C51A83" w:rsidRPr="00187B69">
        <w:t>.</w:t>
      </w:r>
    </w:p>
    <w:p w:rsidR="00284EED" w:rsidRPr="00187B69" w:rsidRDefault="00284EED">
      <w:pPr>
        <w:pStyle w:val="Rubrik2"/>
        <w:shd w:val="clear" w:color="000000" w:fill="auto"/>
      </w:pPr>
      <w:r w:rsidRPr="00187B69">
        <w:t>Ändrad folkhälsoinriktning</w:t>
      </w:r>
    </w:p>
    <w:p w:rsidR="00284EED" w:rsidRPr="00187B69" w:rsidRDefault="00284EED">
      <w:pPr>
        <w:shd w:val="clear" w:color="000000" w:fill="auto"/>
      </w:pPr>
      <w:r w:rsidRPr="00187B69">
        <w:t xml:space="preserve">Den nya regeringen tycks markant ha ändrat inriktning för folkhälsopolitiken jämfört med förra årets budget och jämfört </w:t>
      </w:r>
      <w:r w:rsidR="00BE4F5A" w:rsidRPr="00187B69">
        <w:t xml:space="preserve">med </w:t>
      </w:r>
      <w:r w:rsidRPr="00187B69">
        <w:t>riksdagens beslut i Mål för folkhälsan (prop</w:t>
      </w:r>
      <w:r w:rsidR="00BE4F5A" w:rsidRPr="00187B69">
        <w:t>.</w:t>
      </w:r>
      <w:r w:rsidR="00CE7378" w:rsidRPr="00187B69">
        <w:t xml:space="preserve"> </w:t>
      </w:r>
      <w:r w:rsidRPr="00187B69">
        <w:t xml:space="preserve">2002/03:35). Det gäller både när politikområdet </w:t>
      </w:r>
      <w:r w:rsidR="00BE4F5A" w:rsidRPr="00187B69">
        <w:t xml:space="preserve">Folkhälsa </w:t>
      </w:r>
      <w:r w:rsidRPr="00187B69">
        <w:t xml:space="preserve">beskrivs, och </w:t>
      </w:r>
      <w:r w:rsidR="00BE4F5A" w:rsidRPr="00187B69">
        <w:t xml:space="preserve">4.7 Politikens </w:t>
      </w:r>
      <w:r w:rsidRPr="00187B69">
        <w:t>inriktning. En klar glidning har skett från den av riksdagen beslutade folkhälso</w:t>
      </w:r>
      <w:r w:rsidR="00CE7378" w:rsidRPr="00187B69">
        <w:softHyphen/>
      </w:r>
      <w:r w:rsidRPr="00187B69">
        <w:t xml:space="preserve">politiken </w:t>
      </w:r>
      <w:r w:rsidR="00BE4F5A" w:rsidRPr="00187B69">
        <w:t>och dess elva</w:t>
      </w:r>
      <w:r w:rsidRPr="00187B69">
        <w:t xml:space="preserve"> uppsatta målområden. Två tredjedelar av textavsnittet under 4.7 handlar om sambanden mellan hälsa och sysselsätt</w:t>
      </w:r>
      <w:r w:rsidR="00BE4F5A" w:rsidRPr="00187B69">
        <w:t>ning, men det är bara en del som</w:t>
      </w:r>
      <w:r w:rsidRPr="00187B69">
        <w:t xml:space="preserve"> kan kopplas till de två första målområdena ”delaktighet och inflytande i samhället” och” ekonomisk och social trygghet.</w:t>
      </w:r>
    </w:p>
    <w:p w:rsidR="00284EED" w:rsidRPr="00187B69" w:rsidRDefault="00284EED">
      <w:pPr>
        <w:pStyle w:val="Normaltindrag"/>
        <w:shd w:val="clear" w:color="000000" w:fill="auto"/>
      </w:pPr>
      <w:r w:rsidRPr="00187B69">
        <w:t>Här saknas helt texter om den rådande ojämlika fördelningen av hälsa me</w:t>
      </w:r>
      <w:r w:rsidRPr="00187B69">
        <w:t>l</w:t>
      </w:r>
      <w:r w:rsidRPr="00187B69">
        <w:t>lan olika grupper i samhället och den tydliga kopplingen som finns mellan en god folkhälsa och en hållbar utveckling både ekologiskt, socialt och ekon</w:t>
      </w:r>
      <w:r w:rsidRPr="00187B69">
        <w:t>o</w:t>
      </w:r>
      <w:r w:rsidRPr="00187B69">
        <w:t>miskt.</w:t>
      </w:r>
    </w:p>
    <w:p w:rsidR="00CE7378" w:rsidRPr="00187B69" w:rsidRDefault="00284EED">
      <w:pPr>
        <w:pStyle w:val="Normaltindrag"/>
        <w:shd w:val="clear" w:color="000000" w:fill="auto"/>
      </w:pPr>
      <w:r w:rsidRPr="00187B69">
        <w:t>Individens ansvar för sin hälsa poängteras. Vi menar på intet sätt att ind</w:t>
      </w:r>
      <w:r w:rsidRPr="00187B69">
        <w:t>i</w:t>
      </w:r>
      <w:r w:rsidRPr="00187B69">
        <w:t>viden inte har ett sådant, men samtidigt befinner han/hon sig i strukturer som mer eller mindre främjar hälsa. Detta poängteras i modern folkhälsoforskning. Regeringen presenterar ett föråldrat synsätt på folkhälsopolitik.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7B69">
        <w:trPr>
          <w:cantSplit/>
        </w:trPr>
        <w:tc>
          <w:tcPr>
            <w:tcW w:w="3046" w:type="dxa"/>
          </w:tcPr>
          <w:p w:rsidR="0091176E" w:rsidRPr="00187B69" w:rsidRDefault="0091176E">
            <w:pPr>
              <w:pStyle w:val="UnderskriftDatum"/>
              <w:shd w:val="clear" w:color="000000" w:fill="auto"/>
              <w:spacing w:before="240"/>
            </w:pPr>
            <w:r w:rsidRPr="00187B69">
              <w:t>Stockholm den 30 oktober 2006</w:t>
            </w:r>
          </w:p>
        </w:tc>
        <w:tc>
          <w:tcPr>
            <w:tcW w:w="3047" w:type="dxa"/>
          </w:tcPr>
          <w:p w:rsidR="0091176E" w:rsidRPr="00187B69" w:rsidRDefault="0091176E">
            <w:pPr>
              <w:pStyle w:val="Underskrifter"/>
              <w:shd w:val="clear" w:color="000000" w:fill="auto"/>
              <w:spacing w:before="240"/>
            </w:pPr>
          </w:p>
        </w:tc>
      </w:tr>
      <w:tr w:rsidR="00000000" w:rsidRPr="00187B69">
        <w:trPr>
          <w:cantSplit/>
        </w:trPr>
        <w:tc>
          <w:tcPr>
            <w:tcW w:w="3046" w:type="dxa"/>
          </w:tcPr>
          <w:p w:rsidR="0091176E" w:rsidRPr="00187B69" w:rsidRDefault="0091176E">
            <w:pPr>
              <w:pStyle w:val="Underskrifter"/>
              <w:shd w:val="clear" w:color="000000" w:fill="auto"/>
            </w:pPr>
            <w:r w:rsidRPr="00187B69">
              <w:t>Thomas Nihlén (mp)</w:t>
            </w:r>
          </w:p>
        </w:tc>
        <w:tc>
          <w:tcPr>
            <w:tcW w:w="3046" w:type="dxa"/>
          </w:tcPr>
          <w:p w:rsidR="0091176E" w:rsidRPr="00187B69" w:rsidRDefault="0091176E">
            <w:pPr>
              <w:pStyle w:val="Underskrifter"/>
              <w:shd w:val="clear" w:color="000000" w:fill="auto"/>
            </w:pPr>
          </w:p>
        </w:tc>
      </w:tr>
      <w:tr w:rsidR="00000000" w:rsidRPr="00187B69">
        <w:trPr>
          <w:cantSplit/>
        </w:trPr>
        <w:tc>
          <w:tcPr>
            <w:tcW w:w="3046" w:type="dxa"/>
          </w:tcPr>
          <w:p w:rsidR="0091176E" w:rsidRPr="00187B69" w:rsidRDefault="0091176E">
            <w:pPr>
              <w:pStyle w:val="Underskrifter"/>
              <w:shd w:val="clear" w:color="000000" w:fill="auto"/>
            </w:pPr>
            <w:r w:rsidRPr="00187B69">
              <w:t>Gunvor G Ericson (mp)</w:t>
            </w:r>
          </w:p>
        </w:tc>
        <w:tc>
          <w:tcPr>
            <w:tcW w:w="3046" w:type="dxa"/>
          </w:tcPr>
          <w:p w:rsidR="0091176E" w:rsidRPr="00187B69" w:rsidRDefault="0091176E">
            <w:pPr>
              <w:pStyle w:val="Underskrifter"/>
              <w:shd w:val="clear" w:color="000000" w:fill="auto"/>
            </w:pPr>
            <w:r w:rsidRPr="00187B69">
              <w:t>Jan Lindholm (mp)</w:t>
            </w:r>
          </w:p>
        </w:tc>
      </w:tr>
    </w:tbl>
    <w:p w:rsidR="00284EED" w:rsidRPr="00187B69" w:rsidRDefault="00284EED">
      <w:pPr>
        <w:pStyle w:val="Normaltindrag"/>
        <w:shd w:val="clear" w:color="000000" w:fill="auto"/>
      </w:pPr>
    </w:p>
    <w:sectPr w:rsidR="00284EED" w:rsidRPr="00187B69" w:rsidSect="00BE4F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176E" w:rsidRPr="00187B69" w:rsidRDefault="0091176E">
      <w:r w:rsidRPr="00187B69">
        <w:separator/>
      </w:r>
    </w:p>
  </w:endnote>
  <w:endnote w:type="continuationSeparator" w:id="0">
    <w:p w:rsidR="0091176E" w:rsidRPr="00187B69" w:rsidRDefault="0091176E">
      <w:r w:rsidRPr="00187B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807" w:rsidRPr="00187B69" w:rsidRDefault="00187B69" w:rsidP="00BE4F5A">
    <w:pPr>
      <w:pStyle w:val="Sidfot"/>
    </w:pPr>
    <w:r w:rsidRPr="00187B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5552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F5A" w:rsidRDefault="0091176E">
                          <w:pPr>
                            <w:pStyle w:val="NormalS5sidnrV"/>
                          </w:pPr>
                          <w:r>
                            <w:fldChar w:fldCharType="begin"/>
                          </w:r>
                          <w:r w:rsidR="00BE4F5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4F5A" w:rsidRDefault="0091176E">
                    <w:pPr>
                      <w:pStyle w:val="NormalS5sidnrV"/>
                    </w:pPr>
                    <w:r>
                      <w:fldChar w:fldCharType="begin"/>
                    </w:r>
                    <w:r w:rsidR="00BE4F5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CAD" w:rsidRPr="00187B69" w:rsidRDefault="00187B69" w:rsidP="00BE4F5A">
    <w:pPr>
      <w:pStyle w:val="Sidfot"/>
    </w:pPr>
    <w:r w:rsidRPr="00187B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230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F5A" w:rsidRDefault="0091176E">
                          <w:pPr>
                            <w:pStyle w:val="NormalS5sidnrH"/>
                            <w:ind w:right="0"/>
                          </w:pPr>
                          <w:r>
                            <w:fldChar w:fldCharType="begin"/>
                          </w:r>
                          <w:r w:rsidR="00BE4F5A">
                            <w:instrText xml:space="preserve"> PAGE *\charformat</w:instrText>
                          </w:r>
                          <w:r>
                            <w:fldChar w:fldCharType="separate"/>
                          </w:r>
                          <w:r w:rsidR="007D584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4F5A" w:rsidRDefault="0091176E">
                    <w:pPr>
                      <w:pStyle w:val="NormalS5sidnrH"/>
                      <w:ind w:right="0"/>
                    </w:pPr>
                    <w:r>
                      <w:fldChar w:fldCharType="begin"/>
                    </w:r>
                    <w:r w:rsidR="00BE4F5A">
                      <w:instrText xml:space="preserve"> PAGE *\charformat</w:instrText>
                    </w:r>
                    <w:r>
                      <w:fldChar w:fldCharType="separate"/>
                    </w:r>
                    <w:r w:rsidR="007D584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CAD" w:rsidRPr="00187B69" w:rsidRDefault="00187B69" w:rsidP="00BE4F5A">
    <w:pPr>
      <w:pStyle w:val="Sidfot"/>
    </w:pPr>
    <w:r w:rsidRPr="00187B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2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F5A" w:rsidRDefault="0091176E">
                          <w:pPr>
                            <w:pStyle w:val="NormalS5sidnrH"/>
                            <w:ind w:right="0"/>
                          </w:pPr>
                          <w:r>
                            <w:fldChar w:fldCharType="begin"/>
                          </w:r>
                          <w:r w:rsidR="00BE4F5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4F5A" w:rsidRDefault="0091176E">
                    <w:pPr>
                      <w:pStyle w:val="NormalS5sidnrH"/>
                      <w:ind w:right="0"/>
                    </w:pPr>
                    <w:r>
                      <w:fldChar w:fldCharType="begin"/>
                    </w:r>
                    <w:r w:rsidR="00BE4F5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176E" w:rsidRPr="00187B69" w:rsidRDefault="0091176E">
      <w:r w:rsidRPr="00187B69">
        <w:separator/>
      </w:r>
    </w:p>
  </w:footnote>
  <w:footnote w:type="continuationSeparator" w:id="0">
    <w:p w:rsidR="0091176E" w:rsidRPr="00187B69" w:rsidRDefault="0091176E">
      <w:r w:rsidRPr="00187B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807" w:rsidRPr="00187B69" w:rsidRDefault="00187B69" w:rsidP="00BE4F5A">
    <w:pPr>
      <w:pStyle w:val="Sidhuvud"/>
    </w:pPr>
    <w:r w:rsidRPr="00187B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5418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F5A" w:rsidRDefault="0091176E">
                          <w:pPr>
                            <w:pStyle w:val="KantRubrikS5V"/>
                          </w:pPr>
                          <w:r>
                            <w:fldChar w:fldCharType="begin"/>
                          </w:r>
                          <w:r w:rsidR="00BE4F5A">
                            <w:instrText xml:space="preserve"> DOCPROPERTY "YearUser" *\charformat </w:instrText>
                          </w:r>
                          <w:r>
                            <w:fldChar w:fldCharType="separate"/>
                          </w:r>
                          <w:r w:rsidR="00B74230">
                            <w:t>2006/07</w:t>
                          </w:r>
                          <w:r>
                            <w:fldChar w:fldCharType="end"/>
                          </w:r>
                          <w:r w:rsidR="00BE4F5A">
                            <w:t>:</w:t>
                          </w:r>
                          <w:r>
                            <w:fldChar w:fldCharType="begin"/>
                          </w:r>
                          <w:r w:rsidR="00BE4F5A">
                            <w:instrText xml:space="preserve"> DOCPROPERTY "Motionsnummer" *\charformat </w:instrText>
                          </w:r>
                          <w:r>
                            <w:fldChar w:fldCharType="separate"/>
                          </w:r>
                          <w:r w:rsidR="00B74230">
                            <w:t>So452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4F5A" w:rsidRDefault="0091176E">
                    <w:pPr>
                      <w:pStyle w:val="KantRubrikS5V"/>
                    </w:pPr>
                    <w:r>
                      <w:fldChar w:fldCharType="begin"/>
                    </w:r>
                    <w:r w:rsidR="00BE4F5A">
                      <w:instrText xml:space="preserve"> DOCPROPERTY "YearUser" *\charformat </w:instrText>
                    </w:r>
                    <w:r>
                      <w:fldChar w:fldCharType="separate"/>
                    </w:r>
                    <w:r w:rsidR="00B74230">
                      <w:t>2006/07</w:t>
                    </w:r>
                    <w:r>
                      <w:fldChar w:fldCharType="end"/>
                    </w:r>
                    <w:r w:rsidR="00BE4F5A">
                      <w:t>:</w:t>
                    </w:r>
                    <w:r>
                      <w:fldChar w:fldCharType="begin"/>
                    </w:r>
                    <w:r w:rsidR="00BE4F5A">
                      <w:instrText xml:space="preserve"> DOCPROPERTY "Motionsnummer" *\charformat </w:instrText>
                    </w:r>
                    <w:r>
                      <w:fldChar w:fldCharType="separate"/>
                    </w:r>
                    <w:r w:rsidR="00B74230">
                      <w:t>So452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CAD" w:rsidRPr="00187B69" w:rsidRDefault="00187B69" w:rsidP="00BE4F5A">
    <w:pPr>
      <w:pStyle w:val="Sidhuvud"/>
    </w:pPr>
    <w:r w:rsidRPr="00187B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66291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F5A" w:rsidRDefault="0091176E">
                          <w:pPr>
                            <w:pStyle w:val="KantRubrikS5H"/>
                            <w:ind w:right="0"/>
                          </w:pPr>
                          <w:r>
                            <w:fldChar w:fldCharType="begin"/>
                          </w:r>
                          <w:r w:rsidR="00BE4F5A">
                            <w:instrText xml:space="preserve"> DOCPROPERTY "YearUser" *\charformat </w:instrText>
                          </w:r>
                          <w:r>
                            <w:fldChar w:fldCharType="separate"/>
                          </w:r>
                          <w:r w:rsidR="00B74230">
                            <w:t>2006/07</w:t>
                          </w:r>
                          <w:r>
                            <w:fldChar w:fldCharType="end"/>
                          </w:r>
                          <w:r w:rsidR="00BE4F5A">
                            <w:t>:</w:t>
                          </w:r>
                          <w:r>
                            <w:fldChar w:fldCharType="begin"/>
                          </w:r>
                          <w:r w:rsidR="00BE4F5A">
                            <w:instrText xml:space="preserve"> DOCPROPERTY "Motionsnummer" *\charformat </w:instrText>
                          </w:r>
                          <w:r>
                            <w:fldChar w:fldCharType="separate"/>
                          </w:r>
                          <w:r w:rsidR="00B74230">
                            <w:t>So452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4F5A" w:rsidRDefault="0091176E">
                    <w:pPr>
                      <w:pStyle w:val="KantRubrikS5H"/>
                      <w:ind w:right="0"/>
                    </w:pPr>
                    <w:r>
                      <w:fldChar w:fldCharType="begin"/>
                    </w:r>
                    <w:r w:rsidR="00BE4F5A">
                      <w:instrText xml:space="preserve"> DOCPROPERTY "YearUser" *\charformat </w:instrText>
                    </w:r>
                    <w:r>
                      <w:fldChar w:fldCharType="separate"/>
                    </w:r>
                    <w:r w:rsidR="00B74230">
                      <w:t>2006/07</w:t>
                    </w:r>
                    <w:r>
                      <w:fldChar w:fldCharType="end"/>
                    </w:r>
                    <w:r w:rsidR="00BE4F5A">
                      <w:t>:</w:t>
                    </w:r>
                    <w:r>
                      <w:fldChar w:fldCharType="begin"/>
                    </w:r>
                    <w:r w:rsidR="00BE4F5A">
                      <w:instrText xml:space="preserve"> DOCPROPERTY "Motionsnummer" *\charformat </w:instrText>
                    </w:r>
                    <w:r>
                      <w:fldChar w:fldCharType="separate"/>
                    </w:r>
                    <w:r w:rsidR="00B74230">
                      <w:t>So452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76E" w:rsidRPr="00187B69" w:rsidRDefault="0091176E">
    <w:pPr>
      <w:pStyle w:val="FSHNormal"/>
      <w:tabs>
        <w:tab w:val="right" w:pos="5840"/>
      </w:tabs>
    </w:pPr>
    <w:r w:rsidRPr="00187B69">
      <w:br/>
    </w:r>
    <w:r w:rsidRPr="00187B69">
      <w:fldChar w:fldCharType="begin" w:fldLock="1"/>
    </w:r>
    <w:r w:rsidRPr="00187B69">
      <w:instrText xml:space="preserve"> DOCPROPERTY</w:instrText>
    </w:r>
    <w:r w:rsidRPr="00187B69">
      <w:rPr>
        <w:sz w:val="18"/>
      </w:rPr>
      <w:instrText xml:space="preserve"> "YearUser" *\charformat </w:instrText>
    </w:r>
    <w:r w:rsidRPr="00187B69">
      <w:fldChar w:fldCharType="separate"/>
    </w:r>
    <w:r w:rsidRPr="00187B69">
      <w:t>2006/07</w:t>
    </w:r>
    <w:r w:rsidRPr="00187B69">
      <w:fldChar w:fldCharType="end"/>
    </w:r>
    <w:r w:rsidRPr="00187B69">
      <w:t xml:space="preserve"> </w:t>
    </w:r>
    <w:r w:rsidRPr="00187B69">
      <w:tab/>
      <w:t xml:space="preserve">mnr: </w:t>
    </w:r>
    <w:r w:rsidRPr="00187B69">
      <w:fldChar w:fldCharType="begin" w:fldLock="1"/>
    </w:r>
    <w:r w:rsidRPr="00187B69">
      <w:instrText xml:space="preserve"> DOCPROPERTY</w:instrText>
    </w:r>
    <w:r w:rsidRPr="00187B69">
      <w:rPr>
        <w:sz w:val="18"/>
      </w:rPr>
      <w:instrText xml:space="preserve"> "Motionsnummer" *\charformat </w:instrText>
    </w:r>
    <w:r w:rsidRPr="00187B69">
      <w:fldChar w:fldCharType="separate"/>
    </w:r>
    <w:r w:rsidRPr="00187B69">
      <w:t>So452</w:t>
    </w:r>
    <w:r w:rsidRPr="00187B69">
      <w:fldChar w:fldCharType="end"/>
    </w:r>
    <w:r w:rsidRPr="00187B69">
      <w:br/>
    </w:r>
    <w:r w:rsidRPr="00187B69">
      <w:fldChar w:fldCharType="begin" w:fldLock="1"/>
    </w:r>
    <w:r w:rsidRPr="00187B69">
      <w:instrText xml:space="preserve"> DOCPROPERTY</w:instrText>
    </w:r>
    <w:r w:rsidRPr="00187B69">
      <w:rPr>
        <w:sz w:val="18"/>
      </w:rPr>
      <w:instrText xml:space="preserve"> "Samling" *\charformat </w:instrText>
    </w:r>
    <w:r w:rsidRPr="00187B69">
      <w:fldChar w:fldCharType="end"/>
    </w:r>
    <w:r w:rsidRPr="00187B69">
      <w:tab/>
      <w:t xml:space="preserve">pnr: </w:t>
    </w:r>
    <w:r w:rsidRPr="00187B69">
      <w:fldChar w:fldCharType="begin" w:fldLock="1"/>
    </w:r>
    <w:r w:rsidRPr="00187B69">
      <w:instrText xml:space="preserve"> DOCPROPERTY</w:instrText>
    </w:r>
    <w:r w:rsidRPr="00187B69">
      <w:rPr>
        <w:sz w:val="18"/>
      </w:rPr>
      <w:instrText xml:space="preserve"> "Partinummer" *\charformat </w:instrText>
    </w:r>
    <w:r w:rsidRPr="00187B69">
      <w:fldChar w:fldCharType="separate"/>
    </w:r>
    <w:r w:rsidRPr="00187B69">
      <w:t>mp801</w:t>
    </w:r>
    <w:r w:rsidRPr="00187B69">
      <w:fldChar w:fldCharType="end"/>
    </w:r>
  </w:p>
  <w:p w:rsidR="0091176E" w:rsidRPr="00187B69" w:rsidRDefault="0091176E">
    <w:pPr>
      <w:pStyle w:val="FSHRub1"/>
    </w:pPr>
    <w:r w:rsidRPr="00187B69">
      <w:t>Motion till riksdagen</w:t>
    </w:r>
    <w:r w:rsidRPr="00187B69">
      <w:br/>
    </w:r>
    <w:r w:rsidRPr="00187B69">
      <w:fldChar w:fldCharType="begin" w:fldLock="1"/>
    </w:r>
    <w:r w:rsidRPr="00187B69">
      <w:instrText xml:space="preserve"> DOCPROPERTY "YearUser" *\charformat </w:instrText>
    </w:r>
    <w:r w:rsidRPr="00187B69">
      <w:fldChar w:fldCharType="separate"/>
    </w:r>
    <w:r w:rsidRPr="00187B69">
      <w:t>2006/07</w:t>
    </w:r>
    <w:r w:rsidRPr="00187B69">
      <w:fldChar w:fldCharType="end"/>
    </w:r>
    <w:r w:rsidRPr="00187B69">
      <w:t>:</w:t>
    </w:r>
    <w:r w:rsidRPr="00187B69">
      <w:fldChar w:fldCharType="begin" w:fldLock="1"/>
    </w:r>
    <w:r w:rsidRPr="00187B69">
      <w:instrText xml:space="preserve"> DOCPROPERTY "Motionsnummer" *\charformat </w:instrText>
    </w:r>
    <w:r w:rsidRPr="00187B69">
      <w:fldChar w:fldCharType="separate"/>
    </w:r>
    <w:r w:rsidRPr="00187B69">
      <w:t>So452</w:t>
    </w:r>
    <w:r w:rsidRPr="00187B69">
      <w:fldChar w:fldCharType="end"/>
    </w:r>
  </w:p>
  <w:p w:rsidR="0091176E" w:rsidRPr="00187B69" w:rsidRDefault="0091176E">
    <w:pPr>
      <w:pStyle w:val="FSHNormalS5"/>
    </w:pPr>
    <w:r w:rsidRPr="00187B69">
      <w:fldChar w:fldCharType="begin" w:fldLock="1"/>
    </w:r>
    <w:r w:rsidRPr="00187B69">
      <w:instrText xml:space="preserve"> DOCPROPERTY "MotionarText" *\charformat </w:instrText>
    </w:r>
    <w:r w:rsidRPr="00187B69">
      <w:fldChar w:fldCharType="separate"/>
    </w:r>
    <w:r w:rsidRPr="00187B69">
      <w:t>av Thomas Nihlén m.fl. (mp)</w:t>
    </w:r>
    <w:r w:rsidRPr="00187B69">
      <w:fldChar w:fldCharType="end"/>
    </w:r>
    <w:r w:rsidRPr="00187B69">
      <w:br/>
    </w:r>
    <w:r w:rsidRPr="00187B69">
      <w:fldChar w:fldCharType="begin" w:fldLock="1"/>
    </w:r>
    <w:r w:rsidRPr="00187B69">
      <w:instrText xml:space="preserve"> DOCPROPERTY "SvarFrasKort" *\charformat </w:instrText>
    </w:r>
    <w:r w:rsidRPr="00187B69">
      <w:fldChar w:fldCharType="end"/>
    </w:r>
  </w:p>
  <w:p w:rsidR="0091176E" w:rsidRPr="00187B69" w:rsidRDefault="0091176E">
    <w:pPr>
      <w:pStyle w:val="FSHTitel"/>
    </w:pPr>
    <w:r w:rsidRPr="00187B69">
      <w:fldChar w:fldCharType="begin" w:fldLock="1"/>
    </w:r>
    <w:r w:rsidRPr="00187B69">
      <w:instrText xml:space="preserve"> DOCPROPERTY</w:instrText>
    </w:r>
    <w:r w:rsidRPr="00187B69">
      <w:rPr>
        <w:sz w:val="18"/>
      </w:rPr>
      <w:instrText xml:space="preserve"> "RubrikSvar" *\charformat </w:instrText>
    </w:r>
    <w:r w:rsidRPr="00187B69">
      <w:fldChar w:fldCharType="separate"/>
    </w:r>
    <w:r w:rsidRPr="00187B69">
      <w:t>Utgiftsområde 9 Hälsovård, sjukvård och social omsorg</w:t>
    </w:r>
    <w:r w:rsidRPr="00187B69">
      <w:fldChar w:fldCharType="end"/>
    </w:r>
  </w:p>
  <w:p w:rsidR="0091176E" w:rsidRPr="00187B69" w:rsidRDefault="0091176E">
    <w:pPr>
      <w:pStyle w:val="Normal00"/>
    </w:pPr>
  </w:p>
  <w:p w:rsidR="00BE4F5A" w:rsidRPr="00187B69" w:rsidRDefault="00BE4F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B71847"/>
    <w:multiLevelType w:val="hybridMultilevel"/>
    <w:tmpl w:val="4F583BCA"/>
    <w:lvl w:ilvl="0" w:tplc="CBEA5B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6955792">
    <w:abstractNumId w:val="14"/>
  </w:num>
  <w:num w:numId="2" w16cid:durableId="512838624">
    <w:abstractNumId w:val="10"/>
  </w:num>
  <w:num w:numId="3" w16cid:durableId="575364512">
    <w:abstractNumId w:val="11"/>
  </w:num>
  <w:num w:numId="4" w16cid:durableId="210043797">
    <w:abstractNumId w:val="12"/>
  </w:num>
  <w:num w:numId="5" w16cid:durableId="534851088">
    <w:abstractNumId w:val="8"/>
  </w:num>
  <w:num w:numId="6" w16cid:durableId="1288926207">
    <w:abstractNumId w:val="3"/>
  </w:num>
  <w:num w:numId="7" w16cid:durableId="1591280573">
    <w:abstractNumId w:val="2"/>
  </w:num>
  <w:num w:numId="8" w16cid:durableId="145360968">
    <w:abstractNumId w:val="1"/>
  </w:num>
  <w:num w:numId="9" w16cid:durableId="1948077033">
    <w:abstractNumId w:val="0"/>
  </w:num>
  <w:num w:numId="10" w16cid:durableId="1616058318">
    <w:abstractNumId w:val="9"/>
  </w:num>
  <w:num w:numId="11" w16cid:durableId="1836803221">
    <w:abstractNumId w:val="7"/>
  </w:num>
  <w:num w:numId="12" w16cid:durableId="2114084163">
    <w:abstractNumId w:val="6"/>
  </w:num>
  <w:num w:numId="13" w16cid:durableId="661471483">
    <w:abstractNumId w:val="5"/>
  </w:num>
  <w:num w:numId="14" w16cid:durableId="304509704">
    <w:abstractNumId w:val="4"/>
  </w:num>
  <w:num w:numId="15" w16cid:durableId="1537082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678A9254-59ED-452D-AB16-7DA16C224668},{89ABCACB-191A-460E-9D0D-F493EEE6F9F1},{C87839E7-C05D-47B9-AB7F-246B82B1F61B}"/>
  </w:docVars>
  <w:rsids>
    <w:rsidRoot w:val="00187B69"/>
    <w:rsid w:val="00002742"/>
    <w:rsid w:val="00017136"/>
    <w:rsid w:val="000220F8"/>
    <w:rsid w:val="00034058"/>
    <w:rsid w:val="00040D14"/>
    <w:rsid w:val="0004381F"/>
    <w:rsid w:val="000509D7"/>
    <w:rsid w:val="00064BC3"/>
    <w:rsid w:val="0006557C"/>
    <w:rsid w:val="000665E6"/>
    <w:rsid w:val="00066775"/>
    <w:rsid w:val="00072FB9"/>
    <w:rsid w:val="0007598F"/>
    <w:rsid w:val="00080C3C"/>
    <w:rsid w:val="000B2040"/>
    <w:rsid w:val="000B3FDF"/>
    <w:rsid w:val="000D5CEB"/>
    <w:rsid w:val="000E0FC5"/>
    <w:rsid w:val="000E431D"/>
    <w:rsid w:val="000E48DA"/>
    <w:rsid w:val="000E5207"/>
    <w:rsid w:val="000F5ADD"/>
    <w:rsid w:val="0010051B"/>
    <w:rsid w:val="00100531"/>
    <w:rsid w:val="00101B67"/>
    <w:rsid w:val="0010382E"/>
    <w:rsid w:val="00116FB7"/>
    <w:rsid w:val="001261A0"/>
    <w:rsid w:val="001274A4"/>
    <w:rsid w:val="001504CB"/>
    <w:rsid w:val="00165807"/>
    <w:rsid w:val="00166D90"/>
    <w:rsid w:val="0017042C"/>
    <w:rsid w:val="00170803"/>
    <w:rsid w:val="00177CC2"/>
    <w:rsid w:val="0018362A"/>
    <w:rsid w:val="00186996"/>
    <w:rsid w:val="00187B69"/>
    <w:rsid w:val="001921C4"/>
    <w:rsid w:val="001923A4"/>
    <w:rsid w:val="00194F44"/>
    <w:rsid w:val="001A25D5"/>
    <w:rsid w:val="001A2624"/>
    <w:rsid w:val="001A2A2B"/>
    <w:rsid w:val="001A4391"/>
    <w:rsid w:val="001B1767"/>
    <w:rsid w:val="001B4D63"/>
    <w:rsid w:val="001D006F"/>
    <w:rsid w:val="001E0043"/>
    <w:rsid w:val="00201DFB"/>
    <w:rsid w:val="00204A63"/>
    <w:rsid w:val="00212FF1"/>
    <w:rsid w:val="0021402A"/>
    <w:rsid w:val="00217646"/>
    <w:rsid w:val="00230193"/>
    <w:rsid w:val="00231E5C"/>
    <w:rsid w:val="00244D0B"/>
    <w:rsid w:val="0025068A"/>
    <w:rsid w:val="00256991"/>
    <w:rsid w:val="00262EE6"/>
    <w:rsid w:val="002818D3"/>
    <w:rsid w:val="002826FE"/>
    <w:rsid w:val="002833E6"/>
    <w:rsid w:val="00284EED"/>
    <w:rsid w:val="002911A7"/>
    <w:rsid w:val="002943C8"/>
    <w:rsid w:val="00295E6D"/>
    <w:rsid w:val="0029777C"/>
    <w:rsid w:val="002A2A6B"/>
    <w:rsid w:val="002A67D6"/>
    <w:rsid w:val="002B6B75"/>
    <w:rsid w:val="002C2373"/>
    <w:rsid w:val="002D11A8"/>
    <w:rsid w:val="00311E94"/>
    <w:rsid w:val="00314F87"/>
    <w:rsid w:val="0032051D"/>
    <w:rsid w:val="003303B5"/>
    <w:rsid w:val="00331255"/>
    <w:rsid w:val="003366E9"/>
    <w:rsid w:val="00342FB4"/>
    <w:rsid w:val="00356CAD"/>
    <w:rsid w:val="0035776C"/>
    <w:rsid w:val="0036065A"/>
    <w:rsid w:val="00365059"/>
    <w:rsid w:val="00376E97"/>
    <w:rsid w:val="003866EC"/>
    <w:rsid w:val="00391AF5"/>
    <w:rsid w:val="003B418B"/>
    <w:rsid w:val="003C043D"/>
    <w:rsid w:val="003F100A"/>
    <w:rsid w:val="004223B2"/>
    <w:rsid w:val="00424379"/>
    <w:rsid w:val="00445271"/>
    <w:rsid w:val="00447A04"/>
    <w:rsid w:val="004527C3"/>
    <w:rsid w:val="004571AE"/>
    <w:rsid w:val="00480C7E"/>
    <w:rsid w:val="00487F7A"/>
    <w:rsid w:val="00493286"/>
    <w:rsid w:val="004A0504"/>
    <w:rsid w:val="004A418A"/>
    <w:rsid w:val="004C20B3"/>
    <w:rsid w:val="004E38D9"/>
    <w:rsid w:val="004E717D"/>
    <w:rsid w:val="004E75ED"/>
    <w:rsid w:val="005000F2"/>
    <w:rsid w:val="00514BE1"/>
    <w:rsid w:val="00530431"/>
    <w:rsid w:val="00531020"/>
    <w:rsid w:val="00545150"/>
    <w:rsid w:val="00545421"/>
    <w:rsid w:val="0055072A"/>
    <w:rsid w:val="005525A5"/>
    <w:rsid w:val="005544CE"/>
    <w:rsid w:val="005B145B"/>
    <w:rsid w:val="005D3F50"/>
    <w:rsid w:val="005E2ADE"/>
    <w:rsid w:val="00601A10"/>
    <w:rsid w:val="00601C6D"/>
    <w:rsid w:val="006029CE"/>
    <w:rsid w:val="00603CD4"/>
    <w:rsid w:val="00607BC7"/>
    <w:rsid w:val="00611BBD"/>
    <w:rsid w:val="00615551"/>
    <w:rsid w:val="006500B9"/>
    <w:rsid w:val="00653DD0"/>
    <w:rsid w:val="006571B6"/>
    <w:rsid w:val="00682A3F"/>
    <w:rsid w:val="006905A2"/>
    <w:rsid w:val="006A0EA1"/>
    <w:rsid w:val="006B6262"/>
    <w:rsid w:val="006C0EB8"/>
    <w:rsid w:val="00727C6F"/>
    <w:rsid w:val="00731A4F"/>
    <w:rsid w:val="00732064"/>
    <w:rsid w:val="00740D6D"/>
    <w:rsid w:val="00742765"/>
    <w:rsid w:val="00743F76"/>
    <w:rsid w:val="00746C0B"/>
    <w:rsid w:val="007609CA"/>
    <w:rsid w:val="00764817"/>
    <w:rsid w:val="00774959"/>
    <w:rsid w:val="007852B2"/>
    <w:rsid w:val="0078727A"/>
    <w:rsid w:val="00794149"/>
    <w:rsid w:val="007A2EDE"/>
    <w:rsid w:val="007A79F8"/>
    <w:rsid w:val="007B67A7"/>
    <w:rsid w:val="007C6092"/>
    <w:rsid w:val="007D2182"/>
    <w:rsid w:val="007D5849"/>
    <w:rsid w:val="007E0462"/>
    <w:rsid w:val="007E119E"/>
    <w:rsid w:val="007E7149"/>
    <w:rsid w:val="00820DEF"/>
    <w:rsid w:val="00823C56"/>
    <w:rsid w:val="00834412"/>
    <w:rsid w:val="00846903"/>
    <w:rsid w:val="00851087"/>
    <w:rsid w:val="008723F6"/>
    <w:rsid w:val="00880838"/>
    <w:rsid w:val="00882B02"/>
    <w:rsid w:val="00891C81"/>
    <w:rsid w:val="008A2391"/>
    <w:rsid w:val="008A31B7"/>
    <w:rsid w:val="008F0A96"/>
    <w:rsid w:val="008F41EC"/>
    <w:rsid w:val="0090368D"/>
    <w:rsid w:val="009062A0"/>
    <w:rsid w:val="0091038C"/>
    <w:rsid w:val="0091176E"/>
    <w:rsid w:val="0092225F"/>
    <w:rsid w:val="00932E50"/>
    <w:rsid w:val="00944349"/>
    <w:rsid w:val="009451E7"/>
    <w:rsid w:val="00970D4F"/>
    <w:rsid w:val="00971C0E"/>
    <w:rsid w:val="00971D70"/>
    <w:rsid w:val="009869A1"/>
    <w:rsid w:val="00992149"/>
    <w:rsid w:val="009A4377"/>
    <w:rsid w:val="009A6043"/>
    <w:rsid w:val="009D0673"/>
    <w:rsid w:val="009D3F4B"/>
    <w:rsid w:val="009E21C0"/>
    <w:rsid w:val="00A053C6"/>
    <w:rsid w:val="00A055B3"/>
    <w:rsid w:val="00A14DA7"/>
    <w:rsid w:val="00A15D71"/>
    <w:rsid w:val="00A21BC5"/>
    <w:rsid w:val="00A34671"/>
    <w:rsid w:val="00A736FF"/>
    <w:rsid w:val="00AA1434"/>
    <w:rsid w:val="00AA6D63"/>
    <w:rsid w:val="00AB1A42"/>
    <w:rsid w:val="00AB5000"/>
    <w:rsid w:val="00AC63D9"/>
    <w:rsid w:val="00AE2EF8"/>
    <w:rsid w:val="00AE704D"/>
    <w:rsid w:val="00AF4EEE"/>
    <w:rsid w:val="00AF5881"/>
    <w:rsid w:val="00B13BF0"/>
    <w:rsid w:val="00B33C81"/>
    <w:rsid w:val="00B34666"/>
    <w:rsid w:val="00B40763"/>
    <w:rsid w:val="00B67E5B"/>
    <w:rsid w:val="00B72F19"/>
    <w:rsid w:val="00B74230"/>
    <w:rsid w:val="00B74F6C"/>
    <w:rsid w:val="00B76FAE"/>
    <w:rsid w:val="00B80C96"/>
    <w:rsid w:val="00B80E7B"/>
    <w:rsid w:val="00B836BC"/>
    <w:rsid w:val="00BA47F5"/>
    <w:rsid w:val="00BA4894"/>
    <w:rsid w:val="00BA6BE0"/>
    <w:rsid w:val="00BB66FB"/>
    <w:rsid w:val="00BB6D75"/>
    <w:rsid w:val="00BC1DF5"/>
    <w:rsid w:val="00BD26F5"/>
    <w:rsid w:val="00BD43A8"/>
    <w:rsid w:val="00BD6050"/>
    <w:rsid w:val="00BE4F5A"/>
    <w:rsid w:val="00BE642C"/>
    <w:rsid w:val="00C00D3E"/>
    <w:rsid w:val="00C04F1A"/>
    <w:rsid w:val="00C06FFD"/>
    <w:rsid w:val="00C106D5"/>
    <w:rsid w:val="00C1285C"/>
    <w:rsid w:val="00C22638"/>
    <w:rsid w:val="00C27B7D"/>
    <w:rsid w:val="00C32A06"/>
    <w:rsid w:val="00C51A83"/>
    <w:rsid w:val="00C533BA"/>
    <w:rsid w:val="00C64311"/>
    <w:rsid w:val="00C902E9"/>
    <w:rsid w:val="00C92208"/>
    <w:rsid w:val="00CB365D"/>
    <w:rsid w:val="00CB5B24"/>
    <w:rsid w:val="00CC1BCE"/>
    <w:rsid w:val="00CC35BD"/>
    <w:rsid w:val="00CD4B2B"/>
    <w:rsid w:val="00CE3037"/>
    <w:rsid w:val="00CE3F40"/>
    <w:rsid w:val="00CE7378"/>
    <w:rsid w:val="00CF7A43"/>
    <w:rsid w:val="00D01775"/>
    <w:rsid w:val="00D104A8"/>
    <w:rsid w:val="00D1174F"/>
    <w:rsid w:val="00D1289C"/>
    <w:rsid w:val="00D16F3A"/>
    <w:rsid w:val="00D20306"/>
    <w:rsid w:val="00D30AA0"/>
    <w:rsid w:val="00D52681"/>
    <w:rsid w:val="00D53D04"/>
    <w:rsid w:val="00D55EF7"/>
    <w:rsid w:val="00D902B9"/>
    <w:rsid w:val="00DB71FC"/>
    <w:rsid w:val="00DB79EC"/>
    <w:rsid w:val="00DC0DF0"/>
    <w:rsid w:val="00DC6C70"/>
    <w:rsid w:val="00DE450D"/>
    <w:rsid w:val="00DE6EDA"/>
    <w:rsid w:val="00DF31A2"/>
    <w:rsid w:val="00DF5ACD"/>
    <w:rsid w:val="00E00E8E"/>
    <w:rsid w:val="00E22893"/>
    <w:rsid w:val="00E349C2"/>
    <w:rsid w:val="00E360DE"/>
    <w:rsid w:val="00E5074A"/>
    <w:rsid w:val="00E521CB"/>
    <w:rsid w:val="00E523FE"/>
    <w:rsid w:val="00E52980"/>
    <w:rsid w:val="00E57D36"/>
    <w:rsid w:val="00E728F6"/>
    <w:rsid w:val="00E75D28"/>
    <w:rsid w:val="00E84F25"/>
    <w:rsid w:val="00E86410"/>
    <w:rsid w:val="00E91EE4"/>
    <w:rsid w:val="00E91FE9"/>
    <w:rsid w:val="00EA1767"/>
    <w:rsid w:val="00EA2E87"/>
    <w:rsid w:val="00EC007B"/>
    <w:rsid w:val="00EC4C77"/>
    <w:rsid w:val="00EE23BD"/>
    <w:rsid w:val="00EF4C85"/>
    <w:rsid w:val="00F2137A"/>
    <w:rsid w:val="00F21B30"/>
    <w:rsid w:val="00F2685C"/>
    <w:rsid w:val="00F273EA"/>
    <w:rsid w:val="00F312E8"/>
    <w:rsid w:val="00F337EA"/>
    <w:rsid w:val="00F42CB9"/>
    <w:rsid w:val="00F73E9E"/>
    <w:rsid w:val="00F76326"/>
    <w:rsid w:val="00F76BC4"/>
    <w:rsid w:val="00F87D14"/>
    <w:rsid w:val="00FA3374"/>
    <w:rsid w:val="00FB2435"/>
    <w:rsid w:val="00FB6490"/>
    <w:rsid w:val="00FC53D4"/>
    <w:rsid w:val="00FC7246"/>
    <w:rsid w:val="00FC7E79"/>
    <w:rsid w:val="00FD2531"/>
    <w:rsid w:val="00FF3948"/>
    <w:rsid w:val="00FF6F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7A1BA2-E890-4E7B-B50E-409D78AE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table" w:styleId="Tabellrutnt">
    <w:name w:val="Table Grid"/>
    <w:basedOn w:val="Normaltabell"/>
    <w:rsid w:val="00514BE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E4F5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EA1767"/>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2691</Words>
  <Characters>15721</Characters>
  <Application>Microsoft Office Word</Application>
  <DocSecurity>4</DocSecurity>
  <Lines>327</Lines>
  <Paragraphs>125</Paragraphs>
  <ScaleCrop>false</ScaleCrop>
  <HeadingPairs>
    <vt:vector size="2" baseType="variant">
      <vt:variant>
        <vt:lpstr>Rubrik</vt:lpstr>
      </vt:variant>
      <vt:variant>
        <vt:i4>1</vt:i4>
      </vt:variant>
    </vt:vector>
  </HeadingPairs>
  <TitlesOfParts>
    <vt:vector size="1" baseType="lpstr">
      <vt:lpstr>mp801</vt:lpstr>
    </vt:vector>
  </TitlesOfParts>
  <Company>Riksdagen</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mp801</dc:title>
  <dc:subject>mp801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2007-02-05T08:41:00Z</cp:lastPrinted>
  <dcterms:created xsi:type="dcterms:W3CDTF">2025-12-17T01:49:00Z</dcterms:created>
  <dcterms:modified xsi:type="dcterms:W3CDTF">2025-12-17T01:49:00Z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Utgiftsområde 9 Hälsovård, sjukvård och social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 Hälsovård, sjukvård och social 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Nihlén m.fl. (mp)</vt:lpwstr>
  </property>
  <property fmtid="{D5CDD505-2E9C-101B-9397-08002B2CF9AE}" pid="26" name="MotionarLista">
    <vt:lpwstr>Nihlén, Thomas (mp)\Ericson,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20062007000001090112000008010075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20062007000001090112000008010075</vt:lpwstr>
  </property>
  <property fmtid="{D5CDD505-2E9C-101B-9397-08002B2CF9AE}" pid="50" name="nummer">
    <vt:lpwstr>452</vt:lpwstr>
  </property>
  <property fmtid="{D5CDD505-2E9C-101B-9397-08002B2CF9AE}" pid="51" name="utskottsbeteckning">
    <vt:lpwstr>So</vt:lpwstr>
  </property>
  <property fmtid="{D5CDD505-2E9C-101B-9397-08002B2CF9AE}" pid="52" name="GlobalUID">
    <vt:lpwstr>{E55949FE-438B-4246-B7B8-146370497C23}</vt:lpwstr>
  </property>
  <property fmtid="{D5CDD505-2E9C-101B-9397-08002B2CF9AE}" pid="53" name="Överföringar">
    <vt:i4>0</vt:i4>
  </property>
  <property fmtid="{D5CDD505-2E9C-101B-9397-08002B2CF9AE}" pid="54" name="Checksum">
    <vt:lpwstr>*0015696709083*</vt:lpwstr>
  </property>
  <property fmtid="{D5CDD505-2E9C-101B-9397-08002B2CF9AE}" pid="55" name="urixOrigin">
    <vt:lpwstr>070216 16:03:00.662</vt:lpwstr>
  </property>
  <property fmtid="{D5CDD505-2E9C-101B-9397-08002B2CF9AE}" pid="56" name="skuggnummer">
    <vt:lpwstr>2008</vt:lpwstr>
  </property>
  <property fmtid="{D5CDD505-2E9C-101B-9397-08002B2CF9AE}" pid="57" name="urixVersion">
    <vt:lpwstr>3.1.4.1</vt:lpwstr>
  </property>
  <property fmtid="{D5CDD505-2E9C-101B-9397-08002B2CF9AE}" pid="58" name="urixGuid">
    <vt:lpwstr>{F8F9AAC4-C92A-4D62-A6B0-C6B460591A92}</vt:lpwstr>
  </property>
</Properties>
</file>