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2B28C5" w:rsidRPr="00687EE7">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2B28C5" w:rsidRPr="00687EE7" w:rsidRDefault="00687EE7">
            <w:pPr>
              <w:pStyle w:val="EntLogo"/>
            </w:pPr>
            <w:r w:rsidRPr="00687EE7">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28C5" w:rsidRPr="00687EE7">
        <w:tblPrEx>
          <w:tblCellMar>
            <w:top w:w="0" w:type="dxa"/>
            <w:left w:w="0" w:type="dxa"/>
            <w:bottom w:w="0" w:type="dxa"/>
            <w:right w:w="0" w:type="dxa"/>
          </w:tblCellMar>
        </w:tblPrEx>
        <w:trPr>
          <w:cantSplit/>
          <w:trHeight w:val="1120"/>
        </w:trPr>
        <w:tc>
          <w:tcPr>
            <w:tcW w:w="4821" w:type="dxa"/>
            <w:gridSpan w:val="2"/>
          </w:tcPr>
          <w:p w:rsidR="00715E5F" w:rsidRPr="00687EE7" w:rsidRDefault="00715E5F">
            <w:pPr>
              <w:pStyle w:val="EntInstit"/>
            </w:pPr>
            <w:bookmarkStart w:id="0" w:name="Entete"/>
            <w:bookmarkEnd w:id="0"/>
            <w:r w:rsidRPr="00687EE7">
              <w:t>COUNCIL OF</w:t>
            </w:r>
          </w:p>
          <w:p w:rsidR="002B28C5" w:rsidRPr="00687EE7" w:rsidRDefault="00715E5F">
            <w:pPr>
              <w:pStyle w:val="EntInstit"/>
            </w:pPr>
            <w:r w:rsidRPr="00687EE7">
              <w:t>THE EUROPEAN UNION</w:t>
            </w:r>
          </w:p>
        </w:tc>
        <w:tc>
          <w:tcPr>
            <w:tcW w:w="1701" w:type="dxa"/>
          </w:tcPr>
          <w:p w:rsidR="002B28C5" w:rsidRPr="00687EE7" w:rsidRDefault="002B28C5">
            <w:pPr>
              <w:spacing w:line="240" w:lineRule="auto"/>
              <w:jc w:val="right"/>
              <w:rPr>
                <w:b/>
              </w:rPr>
            </w:pPr>
          </w:p>
        </w:tc>
        <w:tc>
          <w:tcPr>
            <w:tcW w:w="4820" w:type="dxa"/>
            <w:gridSpan w:val="2"/>
          </w:tcPr>
          <w:p w:rsidR="002B28C5" w:rsidRPr="00687EE7" w:rsidRDefault="00715E5F">
            <w:pPr>
              <w:pStyle w:val="EntRefer"/>
            </w:pPr>
            <w:bookmarkStart w:id="1" w:name="Lieu"/>
            <w:bookmarkEnd w:id="1"/>
            <w:r w:rsidRPr="00687EE7">
              <w:t>Brussels,</w:t>
            </w:r>
            <w:r w:rsidR="002B28C5" w:rsidRPr="00687EE7">
              <w:t xml:space="preserve"> </w:t>
            </w:r>
            <w:bookmarkStart w:id="2" w:name="Date"/>
            <w:bookmarkEnd w:id="2"/>
            <w:r w:rsidR="000E3F22" w:rsidRPr="00687EE7">
              <w:t>26</w:t>
            </w:r>
            <w:r w:rsidRPr="00687EE7">
              <w:t xml:space="preserve"> April</w:t>
            </w:r>
            <w:r w:rsidR="004E0123" w:rsidRPr="00687EE7">
              <w:t xml:space="preserve"> 2006</w:t>
            </w:r>
          </w:p>
          <w:p w:rsidR="002B28C5" w:rsidRPr="00687EE7" w:rsidRDefault="002B28C5">
            <w:pPr>
              <w:pStyle w:val="EntRefer"/>
            </w:pPr>
            <w:bookmarkStart w:id="3" w:name="LangueOrig"/>
            <w:bookmarkEnd w:id="3"/>
          </w:p>
        </w:tc>
      </w:tr>
      <w:tr w:rsidR="002B28C5" w:rsidRPr="00687EE7">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4E0123" w:rsidRPr="00687EE7" w:rsidRDefault="004E0123" w:rsidP="004E0123">
            <w:pPr>
              <w:pStyle w:val="EntRefer"/>
              <w:pBdr>
                <w:top w:val="double" w:sz="4" w:space="4" w:color="auto"/>
                <w:left w:val="double" w:sz="4" w:space="0" w:color="auto"/>
                <w:bottom w:val="double" w:sz="4" w:space="4" w:color="auto"/>
                <w:right w:val="double" w:sz="4" w:space="0" w:color="auto"/>
              </w:pBdr>
              <w:jc w:val="center"/>
            </w:pPr>
            <w:bookmarkStart w:id="4" w:name="DossierInterInst"/>
            <w:bookmarkEnd w:id="4"/>
            <w:r w:rsidRPr="00687EE7">
              <w:t>Interinstitutional File:</w:t>
            </w:r>
          </w:p>
          <w:p w:rsidR="004E0123" w:rsidRPr="00687EE7" w:rsidRDefault="004E0123" w:rsidP="004E0123">
            <w:pPr>
              <w:pStyle w:val="EntRefer"/>
              <w:pBdr>
                <w:top w:val="double" w:sz="4" w:space="4" w:color="auto"/>
                <w:left w:val="double" w:sz="4" w:space="0" w:color="auto"/>
                <w:bottom w:val="double" w:sz="4" w:space="4" w:color="auto"/>
                <w:right w:val="double" w:sz="4" w:space="0" w:color="auto"/>
              </w:pBdr>
              <w:jc w:val="center"/>
            </w:pPr>
            <w:r w:rsidRPr="00687EE7">
              <w:t>2005/0179 (COD)</w:t>
            </w:r>
          </w:p>
          <w:p w:rsidR="002B28C5" w:rsidRPr="00687EE7" w:rsidRDefault="002B28C5" w:rsidP="004E0123">
            <w:pPr>
              <w:pStyle w:val="EntRefer"/>
              <w:jc w:val="center"/>
            </w:pPr>
          </w:p>
        </w:tc>
        <w:tc>
          <w:tcPr>
            <w:tcW w:w="1701" w:type="dxa"/>
            <w:vAlign w:val="center"/>
          </w:tcPr>
          <w:p w:rsidR="002B28C5" w:rsidRPr="00687EE7" w:rsidRDefault="002B28C5">
            <w:pPr>
              <w:spacing w:line="240" w:lineRule="auto"/>
              <w:rPr>
                <w:b/>
              </w:rPr>
            </w:pPr>
          </w:p>
        </w:tc>
        <w:tc>
          <w:tcPr>
            <w:tcW w:w="3970" w:type="dxa"/>
          </w:tcPr>
          <w:p w:rsidR="002B28C5" w:rsidRPr="00687EE7" w:rsidRDefault="00715E5F">
            <w:pPr>
              <w:pStyle w:val="EntRefer"/>
            </w:pPr>
            <w:bookmarkStart w:id="5" w:name="Cote"/>
            <w:bookmarkEnd w:id="5"/>
            <w:r w:rsidRPr="00687EE7">
              <w:t>8356/06</w:t>
            </w:r>
          </w:p>
          <w:p w:rsidR="002B28C5" w:rsidRPr="00687EE7" w:rsidRDefault="002B28C5">
            <w:pPr>
              <w:pStyle w:val="EntRefer"/>
            </w:pPr>
            <w:bookmarkStart w:id="6" w:name="CoteRev"/>
            <w:bookmarkEnd w:id="6"/>
          </w:p>
          <w:p w:rsidR="002B28C5" w:rsidRPr="00687EE7" w:rsidRDefault="002B28C5">
            <w:pPr>
              <w:pStyle w:val="EntRefer"/>
            </w:pPr>
          </w:p>
          <w:p w:rsidR="002B28C5" w:rsidRPr="00687EE7" w:rsidRDefault="00715E5F">
            <w:pPr>
              <w:pStyle w:val="EntRefer"/>
            </w:pPr>
            <w:bookmarkStart w:id="7" w:name="CoteSec"/>
            <w:bookmarkEnd w:id="7"/>
            <w:r w:rsidRPr="00687EE7">
              <w:t>LIMITE</w:t>
            </w:r>
          </w:p>
          <w:p w:rsidR="002B28C5" w:rsidRPr="00687EE7" w:rsidRDefault="002B28C5">
            <w:pPr>
              <w:pStyle w:val="EntRefer"/>
            </w:pPr>
          </w:p>
        </w:tc>
      </w:tr>
      <w:tr w:rsidR="002B28C5" w:rsidRPr="00687EE7">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2B28C5" w:rsidRPr="00687EE7" w:rsidRDefault="002B28C5">
            <w:pPr>
              <w:pStyle w:val="EntRefer"/>
              <w:jc w:val="center"/>
            </w:pPr>
            <w:bookmarkStart w:id="8" w:name="SousEmbargo"/>
            <w:bookmarkEnd w:id="8"/>
          </w:p>
        </w:tc>
        <w:tc>
          <w:tcPr>
            <w:tcW w:w="1701" w:type="dxa"/>
            <w:vAlign w:val="center"/>
          </w:tcPr>
          <w:p w:rsidR="002B28C5" w:rsidRPr="00687EE7" w:rsidRDefault="002B28C5">
            <w:pPr>
              <w:spacing w:line="240" w:lineRule="auto"/>
              <w:rPr>
                <w:b/>
              </w:rPr>
            </w:pPr>
          </w:p>
        </w:tc>
        <w:tc>
          <w:tcPr>
            <w:tcW w:w="3970" w:type="dxa"/>
          </w:tcPr>
          <w:p w:rsidR="002B28C5" w:rsidRPr="00687EE7" w:rsidRDefault="004E0123">
            <w:pPr>
              <w:pStyle w:val="EntRefer"/>
            </w:pPr>
            <w:r w:rsidRPr="00687EE7">
              <w:t>EDUC</w:t>
            </w:r>
            <w:r w:rsidRPr="00687EE7">
              <w:tab/>
              <w:t>74</w:t>
            </w:r>
          </w:p>
          <w:p w:rsidR="004E0123" w:rsidRPr="00687EE7" w:rsidRDefault="004E0123">
            <w:pPr>
              <w:pStyle w:val="EntRefer"/>
            </w:pPr>
            <w:r w:rsidRPr="00687EE7">
              <w:t>SOC</w:t>
            </w:r>
            <w:r w:rsidRPr="00687EE7">
              <w:tab/>
            </w:r>
            <w:r w:rsidRPr="00687EE7">
              <w:tab/>
              <w:t>169</w:t>
            </w:r>
          </w:p>
          <w:p w:rsidR="004E0123" w:rsidRPr="00687EE7" w:rsidRDefault="004E0123">
            <w:pPr>
              <w:pStyle w:val="EntRefer"/>
            </w:pPr>
            <w:r w:rsidRPr="00687EE7">
              <w:t>CODEC</w:t>
            </w:r>
            <w:r w:rsidRPr="00687EE7">
              <w:tab/>
              <w:t>342</w:t>
            </w:r>
          </w:p>
        </w:tc>
      </w:tr>
    </w:tbl>
    <w:p w:rsidR="002B28C5" w:rsidRPr="00687EE7" w:rsidRDefault="002B28C5">
      <w:pPr>
        <w:pStyle w:val="EntRefer"/>
      </w:pPr>
      <w:bookmarkStart w:id="9" w:name="AC"/>
    </w:p>
    <w:p w:rsidR="002B28C5" w:rsidRPr="00687EE7" w:rsidRDefault="00715E5F" w:rsidP="004E0123">
      <w:pPr>
        <w:pStyle w:val="EntRefer"/>
        <w:outlineLvl w:val="0"/>
      </w:pPr>
      <w:bookmarkStart w:id="10" w:name="Title"/>
      <w:bookmarkEnd w:id="10"/>
      <w:r w:rsidRPr="00687EE7">
        <w:t>INTRODUCTORY NOTE</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4E0123" w:rsidRPr="00687EE7">
        <w:tblPrEx>
          <w:tblCellMar>
            <w:top w:w="0" w:type="dxa"/>
            <w:left w:w="0" w:type="dxa"/>
            <w:bottom w:w="0" w:type="dxa"/>
            <w:right w:w="0" w:type="dxa"/>
          </w:tblCellMar>
        </w:tblPrEx>
        <w:tc>
          <w:tcPr>
            <w:tcW w:w="1701" w:type="dxa"/>
            <w:tcBorders>
              <w:top w:val="single" w:sz="4" w:space="0" w:color="auto"/>
            </w:tcBorders>
          </w:tcPr>
          <w:p w:rsidR="004E0123" w:rsidRPr="00687EE7" w:rsidRDefault="004E0123" w:rsidP="00A71D5B">
            <w:pPr>
              <w:pStyle w:val="EntEmet"/>
            </w:pPr>
            <w:r w:rsidRPr="00687EE7">
              <w:t>from :</w:t>
            </w:r>
          </w:p>
        </w:tc>
        <w:tc>
          <w:tcPr>
            <w:tcW w:w="7938" w:type="dxa"/>
            <w:tcBorders>
              <w:top w:val="single" w:sz="4" w:space="0" w:color="auto"/>
            </w:tcBorders>
          </w:tcPr>
          <w:p w:rsidR="004E0123" w:rsidRPr="00687EE7" w:rsidRDefault="004E0123" w:rsidP="00A71D5B">
            <w:pPr>
              <w:pStyle w:val="EntEmet"/>
            </w:pPr>
            <w:r w:rsidRPr="00687EE7">
              <w:t>General Secretariat of the Council</w:t>
            </w:r>
          </w:p>
        </w:tc>
      </w:tr>
      <w:tr w:rsidR="004E0123" w:rsidRPr="00687EE7">
        <w:tblPrEx>
          <w:tblCellMar>
            <w:top w:w="0" w:type="dxa"/>
            <w:left w:w="0" w:type="dxa"/>
            <w:bottom w:w="0" w:type="dxa"/>
            <w:right w:w="0" w:type="dxa"/>
          </w:tblCellMar>
        </w:tblPrEx>
        <w:tc>
          <w:tcPr>
            <w:tcW w:w="1701" w:type="dxa"/>
            <w:tcBorders>
              <w:bottom w:val="single" w:sz="4" w:space="0" w:color="auto"/>
            </w:tcBorders>
          </w:tcPr>
          <w:p w:rsidR="004E0123" w:rsidRPr="00687EE7" w:rsidRDefault="004E0123" w:rsidP="00A71D5B">
            <w:pPr>
              <w:pStyle w:val="EntEmet"/>
            </w:pPr>
            <w:r w:rsidRPr="00687EE7">
              <w:t>to :</w:t>
            </w:r>
          </w:p>
        </w:tc>
        <w:tc>
          <w:tcPr>
            <w:tcW w:w="7938" w:type="dxa"/>
            <w:tcBorders>
              <w:bottom w:val="single" w:sz="4" w:space="0" w:color="auto"/>
            </w:tcBorders>
          </w:tcPr>
          <w:p w:rsidR="004E0123" w:rsidRPr="00687EE7" w:rsidRDefault="004E0123" w:rsidP="00A71D5B">
            <w:pPr>
              <w:pStyle w:val="EntEmet"/>
            </w:pPr>
            <w:r w:rsidRPr="00687EE7">
              <w:t>Permanent Representatives Committee</w:t>
            </w:r>
            <w:r w:rsidR="003921A9" w:rsidRPr="00687EE7">
              <w:t xml:space="preserve"> (Part 1)</w:t>
            </w:r>
          </w:p>
        </w:tc>
      </w:tr>
      <w:tr w:rsidR="004E0123" w:rsidRPr="00687EE7">
        <w:tblPrEx>
          <w:tblCellMar>
            <w:top w:w="0" w:type="dxa"/>
            <w:left w:w="0" w:type="dxa"/>
            <w:bottom w:w="0" w:type="dxa"/>
            <w:right w:w="0" w:type="dxa"/>
          </w:tblCellMar>
        </w:tblPrEx>
        <w:tc>
          <w:tcPr>
            <w:tcW w:w="1701" w:type="dxa"/>
            <w:tcBorders>
              <w:top w:val="single" w:sz="4" w:space="0" w:color="auto"/>
              <w:bottom w:val="single" w:sz="4" w:space="0" w:color="auto"/>
            </w:tcBorders>
          </w:tcPr>
          <w:p w:rsidR="004E0123" w:rsidRPr="00687EE7" w:rsidRDefault="004E0123" w:rsidP="00A71D5B">
            <w:pPr>
              <w:pStyle w:val="EntEmet"/>
            </w:pPr>
            <w:r w:rsidRPr="00687EE7">
              <w:t>No. prev. doc.:</w:t>
            </w:r>
          </w:p>
        </w:tc>
        <w:tc>
          <w:tcPr>
            <w:tcW w:w="7938" w:type="dxa"/>
            <w:tcBorders>
              <w:top w:val="single" w:sz="4" w:space="0" w:color="auto"/>
              <w:bottom w:val="single" w:sz="4" w:space="0" w:color="auto"/>
            </w:tcBorders>
          </w:tcPr>
          <w:p w:rsidR="004E0123" w:rsidRPr="00687EE7" w:rsidRDefault="004E0123" w:rsidP="00A71D5B">
            <w:pPr>
              <w:pStyle w:val="EntEmet"/>
            </w:pPr>
            <w:r w:rsidRPr="00687EE7">
              <w:t>15748/05 EDUC 194 SOC 513 CODEC 1183</w:t>
            </w:r>
          </w:p>
        </w:tc>
      </w:tr>
      <w:tr w:rsidR="004E0123" w:rsidRPr="00687EE7">
        <w:tblPrEx>
          <w:tblCellMar>
            <w:top w:w="0" w:type="dxa"/>
            <w:left w:w="0" w:type="dxa"/>
            <w:bottom w:w="0" w:type="dxa"/>
            <w:right w:w="0" w:type="dxa"/>
          </w:tblCellMar>
        </w:tblPrEx>
        <w:tc>
          <w:tcPr>
            <w:tcW w:w="1701" w:type="dxa"/>
            <w:tcBorders>
              <w:top w:val="single" w:sz="4" w:space="0" w:color="auto"/>
              <w:bottom w:val="single" w:sz="4" w:space="0" w:color="auto"/>
            </w:tcBorders>
          </w:tcPr>
          <w:p w:rsidR="004E0123" w:rsidRPr="00687EE7" w:rsidRDefault="004E0123" w:rsidP="00A71D5B">
            <w:pPr>
              <w:pStyle w:val="EntEmet"/>
            </w:pPr>
            <w:r w:rsidRPr="00687EE7">
              <w:t>No. Cion prop.:</w:t>
            </w:r>
          </w:p>
        </w:tc>
        <w:tc>
          <w:tcPr>
            <w:tcW w:w="7938" w:type="dxa"/>
            <w:tcBorders>
              <w:top w:val="single" w:sz="4" w:space="0" w:color="auto"/>
              <w:bottom w:val="single" w:sz="4" w:space="0" w:color="auto"/>
            </w:tcBorders>
          </w:tcPr>
          <w:p w:rsidR="004E0123" w:rsidRPr="00687EE7" w:rsidRDefault="004E0123" w:rsidP="00A71D5B">
            <w:pPr>
              <w:pStyle w:val="EntEmet"/>
            </w:pPr>
            <w:r w:rsidRPr="00687EE7">
              <w:t>12639/05 EDUC 136 SOC 360 CODEC 796 - COM(2005) 450 final</w:t>
            </w:r>
          </w:p>
        </w:tc>
      </w:tr>
      <w:tr w:rsidR="004E0123" w:rsidRPr="00687EE7">
        <w:tblPrEx>
          <w:tblCellMar>
            <w:top w:w="0" w:type="dxa"/>
            <w:left w:w="0" w:type="dxa"/>
            <w:bottom w:w="0" w:type="dxa"/>
            <w:right w:w="0" w:type="dxa"/>
          </w:tblCellMar>
        </w:tblPrEx>
        <w:tc>
          <w:tcPr>
            <w:tcW w:w="1701" w:type="dxa"/>
            <w:tcBorders>
              <w:top w:val="single" w:sz="4" w:space="0" w:color="auto"/>
              <w:bottom w:val="single" w:sz="4" w:space="0" w:color="auto"/>
            </w:tcBorders>
          </w:tcPr>
          <w:p w:rsidR="004E0123" w:rsidRPr="00687EE7" w:rsidRDefault="004E0123" w:rsidP="00A71D5B">
            <w:pPr>
              <w:pStyle w:val="EntEmet"/>
            </w:pPr>
            <w:r w:rsidRPr="00687EE7">
              <w:t>Subject :</w:t>
            </w:r>
          </w:p>
        </w:tc>
        <w:tc>
          <w:tcPr>
            <w:tcW w:w="7938" w:type="dxa"/>
            <w:tcBorders>
              <w:top w:val="single" w:sz="4" w:space="0" w:color="auto"/>
              <w:bottom w:val="single" w:sz="4" w:space="0" w:color="auto"/>
            </w:tcBorders>
          </w:tcPr>
          <w:p w:rsidR="004E0123" w:rsidRPr="00687EE7" w:rsidRDefault="004E0123" w:rsidP="00A71D5B">
            <w:pPr>
              <w:pStyle w:val="EntEmet"/>
            </w:pPr>
            <w:r w:rsidRPr="00687EE7">
              <w:t>Proposal for a Recommendation of the European Parliament and of the Council on transnational mobility within the Community for education and training purposes: European Quality Charter for Mobility</w:t>
            </w:r>
          </w:p>
          <w:p w:rsidR="004E0123" w:rsidRPr="00687EE7" w:rsidRDefault="004E0123" w:rsidP="004E0123">
            <w:pPr>
              <w:pStyle w:val="EntEmet"/>
              <w:numPr>
                <w:ilvl w:val="0"/>
                <w:numId w:val="163"/>
              </w:numPr>
            </w:pPr>
            <w:r w:rsidRPr="00687EE7">
              <w:t>General approach</w:t>
            </w:r>
          </w:p>
        </w:tc>
      </w:tr>
    </w:tbl>
    <w:p w:rsidR="002B28C5" w:rsidRPr="00687EE7" w:rsidRDefault="002B28C5">
      <w:pPr>
        <w:tabs>
          <w:tab w:val="left" w:pos="3969"/>
        </w:tabs>
      </w:pPr>
    </w:p>
    <w:bookmarkEnd w:id="9"/>
    <w:p w:rsidR="00A72586" w:rsidRPr="00687EE7" w:rsidRDefault="00A72586" w:rsidP="00A72586">
      <w:pPr>
        <w:ind w:left="720" w:hanging="720"/>
        <w:outlineLvl w:val="0"/>
      </w:pPr>
      <w:r w:rsidRPr="00687EE7">
        <w:t>1.</w:t>
      </w:r>
      <w:r w:rsidRPr="00687EE7">
        <w:tab/>
        <w:t xml:space="preserve">On 26 September 2005 the </w:t>
      </w:r>
      <w:r w:rsidRPr="00687EE7">
        <w:rPr>
          <w:u w:val="single"/>
        </w:rPr>
        <w:t>Commission</w:t>
      </w:r>
      <w:r w:rsidRPr="00687EE7">
        <w:t xml:space="preserve"> forwarded to the European Parliament and to the Council the above draft recommendation on a European Quality Charter for Mobility, the main aim of which is to establish a common set of principles aimed at greater effectiveness in all types of organised mobility for learning purposes. Building on previous achievements in this area, particularly Recommendation 2001/613/EC on mobility within the Community </w:t>
      </w:r>
      <w:r w:rsidR="003921A9" w:rsidRPr="00687EE7">
        <w:rPr>
          <w:rStyle w:val="Fotnotsreferens"/>
        </w:rPr>
        <w:footnoteReference w:id="1"/>
      </w:r>
      <w:r w:rsidR="00941E8D" w:rsidRPr="00687EE7">
        <w:t xml:space="preserve"> </w:t>
      </w:r>
      <w:r w:rsidRPr="00687EE7">
        <w:t>and the work done by the expert group set up under this Recommendation and subsequently endorsed by education ministers at their informal gathering in Rotterdam in July 2004, the proposed Charter consists of ten practical and easily accessible guidelines covering the period prior to departure, during the stay and after the person's return.</w:t>
      </w:r>
    </w:p>
    <w:p w:rsidR="00A72586" w:rsidRPr="00687EE7" w:rsidRDefault="00A72586" w:rsidP="00A72586">
      <w:pPr>
        <w:ind w:left="720" w:hanging="720"/>
        <w:outlineLvl w:val="0"/>
      </w:pPr>
      <w:r w:rsidRPr="00687EE7">
        <w:br w:type="page"/>
      </w:r>
    </w:p>
    <w:p w:rsidR="00A72586" w:rsidRPr="00687EE7" w:rsidRDefault="00A72586" w:rsidP="00A72586">
      <w:pPr>
        <w:ind w:left="720" w:hanging="720"/>
        <w:outlineLvl w:val="0"/>
      </w:pPr>
    </w:p>
    <w:p w:rsidR="00A72586" w:rsidRPr="00687EE7" w:rsidRDefault="00A72586" w:rsidP="00A72586">
      <w:pPr>
        <w:ind w:left="720" w:hanging="720"/>
        <w:outlineLvl w:val="0"/>
      </w:pPr>
      <w:r w:rsidRPr="00687EE7">
        <w:t>2.</w:t>
      </w:r>
      <w:r w:rsidRPr="00687EE7">
        <w:tab/>
        <w:t xml:space="preserve">On 14 February 2006 the </w:t>
      </w:r>
      <w:r w:rsidRPr="00687EE7">
        <w:rPr>
          <w:u w:val="single"/>
        </w:rPr>
        <w:t>Economic and Social Committee</w:t>
      </w:r>
      <w:r w:rsidRPr="00687EE7">
        <w:t xml:space="preserve"> delivered its opinion</w:t>
      </w:r>
      <w:r w:rsidRPr="00687EE7">
        <w:rPr>
          <w:rStyle w:val="Fotnotsreferens"/>
        </w:rPr>
        <w:footnoteReference w:id="2"/>
      </w:r>
      <w:r w:rsidRPr="00687EE7">
        <w:t>, while that of the Committee of the Regions is still pending</w:t>
      </w:r>
      <w:r w:rsidRPr="00687EE7">
        <w:rPr>
          <w:rStyle w:val="Fotnotsreferens"/>
        </w:rPr>
        <w:footnoteReference w:id="3"/>
      </w:r>
      <w:r w:rsidRPr="00687EE7">
        <w:t xml:space="preserve">.  As for the </w:t>
      </w:r>
      <w:r w:rsidRPr="00687EE7">
        <w:rPr>
          <w:u w:val="single"/>
        </w:rPr>
        <w:t>European Parliament</w:t>
      </w:r>
      <w:r w:rsidRPr="00687EE7">
        <w:t>, its opinion is unlikely to be available before the end of May 2006.</w:t>
      </w:r>
    </w:p>
    <w:p w:rsidR="00A72586" w:rsidRPr="00687EE7" w:rsidRDefault="00A72586" w:rsidP="00A72586">
      <w:pPr>
        <w:ind w:left="720" w:hanging="720"/>
        <w:outlineLvl w:val="0"/>
      </w:pPr>
    </w:p>
    <w:p w:rsidR="00A72586" w:rsidRPr="00687EE7" w:rsidRDefault="00A72586" w:rsidP="00A72586">
      <w:pPr>
        <w:ind w:left="720" w:right="-202" w:hanging="720"/>
      </w:pPr>
      <w:r w:rsidRPr="00687EE7">
        <w:t>3.</w:t>
      </w:r>
      <w:r w:rsidRPr="00687EE7">
        <w:tab/>
        <w:t xml:space="preserve">For its part, the </w:t>
      </w:r>
      <w:r w:rsidRPr="00687EE7">
        <w:rPr>
          <w:u w:val="single"/>
        </w:rPr>
        <w:t>Council's Education Committee</w:t>
      </w:r>
      <w:r w:rsidRPr="00687EE7">
        <w:t xml:space="preserve"> has examined the draft recommendation on several occasions since October 2005, with the aim of agreeing a general approach at the forthcoming May Council. Delegations will find attached the text as it currently stands following the Committee's most recent meeting on 28 and 29 March 2006. </w:t>
      </w:r>
    </w:p>
    <w:p w:rsidR="00A72586" w:rsidRPr="00687EE7" w:rsidRDefault="00A72586" w:rsidP="00A72586">
      <w:pPr>
        <w:ind w:left="720" w:right="-202" w:hanging="720"/>
      </w:pPr>
    </w:p>
    <w:p w:rsidR="00A72586" w:rsidRPr="00687EE7" w:rsidRDefault="00A72586" w:rsidP="00A72586">
      <w:pPr>
        <w:ind w:left="720" w:right="-202" w:hanging="720"/>
      </w:pPr>
      <w:r w:rsidRPr="00687EE7">
        <w:t>4.</w:t>
      </w:r>
      <w:r w:rsidRPr="00687EE7">
        <w:tab/>
      </w:r>
      <w:r w:rsidR="003921A9" w:rsidRPr="00687EE7">
        <w:t>Although a</w:t>
      </w:r>
      <w:r w:rsidRPr="00687EE7">
        <w:t xml:space="preserve"> broad consensus has now been reached on the text, </w:t>
      </w:r>
      <w:r w:rsidR="003921A9" w:rsidRPr="00687EE7">
        <w:t>there remain</w:t>
      </w:r>
      <w:r w:rsidRPr="00687EE7">
        <w:t xml:space="preserve"> two</w:t>
      </w:r>
    </w:p>
    <w:p w:rsidR="00A72586" w:rsidRPr="00687EE7" w:rsidRDefault="00A72586" w:rsidP="00A72586">
      <w:pPr>
        <w:ind w:left="720" w:right="-202" w:hanging="720"/>
      </w:pPr>
      <w:r w:rsidRPr="00687EE7">
        <w:tab/>
        <w:t xml:space="preserve">parliamentary scrutiny reservations from </w:t>
      </w:r>
      <w:r w:rsidRPr="00687EE7">
        <w:rPr>
          <w:u w:val="single"/>
        </w:rPr>
        <w:t>DK</w:t>
      </w:r>
      <w:r w:rsidRPr="00687EE7">
        <w:t xml:space="preserve"> and </w:t>
      </w:r>
      <w:r w:rsidRPr="00687EE7">
        <w:rPr>
          <w:u w:val="single"/>
        </w:rPr>
        <w:t>UK</w:t>
      </w:r>
      <w:r w:rsidR="003921A9" w:rsidRPr="00687EE7">
        <w:t xml:space="preserve">, as well as a </w:t>
      </w:r>
      <w:r w:rsidR="005525ED" w:rsidRPr="00687EE7">
        <w:t>number</w:t>
      </w:r>
      <w:r w:rsidR="003921A9" w:rsidRPr="00687EE7">
        <w:t xml:space="preserve"> of </w:t>
      </w:r>
      <w:r w:rsidR="00A55E45" w:rsidRPr="00687EE7">
        <w:t xml:space="preserve">interrelated </w:t>
      </w:r>
      <w:r w:rsidRPr="00687EE7">
        <w:t xml:space="preserve">reservations from the </w:t>
      </w:r>
      <w:r w:rsidRPr="00687EE7">
        <w:rPr>
          <w:u w:val="single"/>
        </w:rPr>
        <w:t>Cypriot delegation</w:t>
      </w:r>
      <w:r w:rsidRPr="00687EE7">
        <w:t>, which is concerned  about the financial and logistical implications associated with implemen</w:t>
      </w:r>
      <w:r w:rsidR="000E3F22" w:rsidRPr="00687EE7">
        <w:t xml:space="preserve">tation of the proposed Charter. </w:t>
      </w:r>
      <w:r w:rsidR="003921A9" w:rsidRPr="00687EE7">
        <w:t>In response to this delegation's concerns, t</w:t>
      </w:r>
      <w:r w:rsidRPr="00687EE7">
        <w:t xml:space="preserve">he Presidency </w:t>
      </w:r>
      <w:r w:rsidR="003921A9" w:rsidRPr="00687EE7">
        <w:t>-</w:t>
      </w:r>
      <w:r w:rsidR="000E3F22" w:rsidRPr="00687EE7">
        <w:t xml:space="preserve"> </w:t>
      </w:r>
      <w:r w:rsidRPr="00687EE7">
        <w:t xml:space="preserve">backed by </w:t>
      </w:r>
      <w:r w:rsidR="003921A9" w:rsidRPr="00687EE7">
        <w:t xml:space="preserve">reassurances from </w:t>
      </w:r>
      <w:r w:rsidRPr="00687EE7">
        <w:t xml:space="preserve">the Council Legal Service and </w:t>
      </w:r>
      <w:r w:rsidR="003921A9" w:rsidRPr="00687EE7">
        <w:t xml:space="preserve">supported </w:t>
      </w:r>
      <w:r w:rsidR="00941E8D" w:rsidRPr="00687EE7">
        <w:t xml:space="preserve">by </w:t>
      </w:r>
      <w:r w:rsidR="003921A9" w:rsidRPr="00687EE7">
        <w:t>the Commission -</w:t>
      </w:r>
      <w:r w:rsidRPr="00687EE7">
        <w:t xml:space="preserve"> has </w:t>
      </w:r>
      <w:r w:rsidR="003921A9" w:rsidRPr="00687EE7">
        <w:t xml:space="preserve">emphasised </w:t>
      </w:r>
      <w:r w:rsidRPr="00687EE7">
        <w:t xml:space="preserve">that the proposed Charter </w:t>
      </w:r>
      <w:r w:rsidR="000E3F22" w:rsidRPr="00687EE7">
        <w:t xml:space="preserve">forms part of a recommendation </w:t>
      </w:r>
      <w:r w:rsidRPr="00687EE7">
        <w:t xml:space="preserve">and that it has been designed as a basic reference document which takes account of national situations and respects Member States' individual competences. </w:t>
      </w:r>
    </w:p>
    <w:p w:rsidR="00A72586" w:rsidRPr="00687EE7" w:rsidRDefault="00A72586" w:rsidP="00A72586"/>
    <w:p w:rsidR="00A72586" w:rsidRPr="00687EE7" w:rsidRDefault="00A72586" w:rsidP="00A72586">
      <w:r w:rsidRPr="00687EE7">
        <w:t>5.</w:t>
      </w:r>
      <w:r w:rsidRPr="00687EE7">
        <w:tab/>
        <w:t xml:space="preserve">The </w:t>
      </w:r>
      <w:r w:rsidRPr="00687EE7">
        <w:rPr>
          <w:u w:val="single"/>
        </w:rPr>
        <w:t>Permanent Representatives Committee</w:t>
      </w:r>
      <w:r w:rsidRPr="00687EE7">
        <w:t xml:space="preserve"> is therefore invited to address this outstanding </w:t>
      </w:r>
      <w:r w:rsidRPr="00687EE7">
        <w:tab/>
        <w:t xml:space="preserve">issue with a view to enabling the Council to agree a general approach on the draft </w:t>
      </w:r>
    </w:p>
    <w:p w:rsidR="00A72586" w:rsidRPr="00687EE7" w:rsidRDefault="00A72586" w:rsidP="00A72586">
      <w:r w:rsidRPr="00687EE7">
        <w:tab/>
        <w:t>recommendation.</w:t>
      </w:r>
    </w:p>
    <w:p w:rsidR="00A72586" w:rsidRPr="00687EE7" w:rsidRDefault="00A72586" w:rsidP="00A72586"/>
    <w:p w:rsidR="00A72586" w:rsidRPr="00687EE7" w:rsidRDefault="00A72586" w:rsidP="00A72586"/>
    <w:p w:rsidR="00A72586" w:rsidRPr="00687EE7" w:rsidRDefault="00A72586" w:rsidP="00A72586"/>
    <w:p w:rsidR="00A72586" w:rsidRPr="00687EE7" w:rsidRDefault="00A72586" w:rsidP="00A72586">
      <w:pPr>
        <w:jc w:val="center"/>
      </w:pPr>
      <w:r w:rsidRPr="00687EE7">
        <w:rPr>
          <w:u w:val="single"/>
        </w:rPr>
        <w:t>__________________</w:t>
      </w:r>
    </w:p>
    <w:p w:rsidR="002B28C5" w:rsidRPr="00687EE7" w:rsidRDefault="002B28C5"/>
    <w:p w:rsidR="002B28C5" w:rsidRPr="00687EE7" w:rsidRDefault="002B28C5" w:rsidP="00715E5F"/>
    <w:p w:rsidR="004E0123" w:rsidRPr="00687EE7" w:rsidRDefault="004E0123">
      <w:pPr>
        <w:spacing w:line="240" w:lineRule="auto"/>
        <w:sectPr w:rsidR="004E0123" w:rsidRPr="00687EE7">
          <w:footerReference w:type="default" r:id="rId8"/>
          <w:endnotePr>
            <w:numFmt w:val="decimal"/>
          </w:endnotePr>
          <w:pgSz w:w="11907" w:h="16840" w:code="9"/>
          <w:pgMar w:top="1134" w:right="1134" w:bottom="1134" w:left="1134" w:header="567" w:footer="567" w:gutter="0"/>
          <w:cols w:space="720"/>
        </w:sectPr>
      </w:pPr>
    </w:p>
    <w:p w:rsidR="00B329CA" w:rsidRPr="00687EE7" w:rsidRDefault="00B329CA" w:rsidP="004E0123">
      <w:pPr>
        <w:jc w:val="center"/>
        <w:rPr>
          <w:b/>
        </w:rPr>
      </w:pPr>
      <w:r w:rsidRPr="00687EE7">
        <w:rPr>
          <w:b/>
        </w:rPr>
        <w:t>DRAFT</w:t>
      </w:r>
    </w:p>
    <w:p w:rsidR="004E0123" w:rsidRPr="00687EE7" w:rsidRDefault="004E0123" w:rsidP="004E0123">
      <w:pPr>
        <w:jc w:val="center"/>
        <w:rPr>
          <w:b/>
        </w:rPr>
      </w:pPr>
      <w:r w:rsidRPr="00687EE7">
        <w:rPr>
          <w:b/>
        </w:rPr>
        <w:t>RECOMMENDATION OF THE EUROPEAN PARLIAMENT AND OF THE COUNCIL</w:t>
      </w:r>
    </w:p>
    <w:p w:rsidR="004E0123" w:rsidRPr="00687EE7" w:rsidRDefault="004E0123" w:rsidP="004E0123">
      <w:pPr>
        <w:jc w:val="center"/>
        <w:rPr>
          <w:b/>
        </w:rPr>
      </w:pPr>
      <w:r w:rsidRPr="00687EE7">
        <w:rPr>
          <w:b/>
        </w:rPr>
        <w:t>on transnational mobility within the Community for education and training purposes: European Quality Charter for Mobility</w:t>
      </w:r>
      <w:r w:rsidR="003921A9" w:rsidRPr="00687EE7">
        <w:rPr>
          <w:b/>
        </w:rPr>
        <w:t xml:space="preserve"> </w:t>
      </w:r>
      <w:r w:rsidR="003921A9" w:rsidRPr="00687EE7">
        <w:rPr>
          <w:rStyle w:val="Fotnotsreferens"/>
          <w:b w:val="0"/>
        </w:rPr>
        <w:footnoteReference w:id="4"/>
      </w:r>
    </w:p>
    <w:p w:rsidR="004E0123" w:rsidRPr="00687EE7" w:rsidRDefault="004E0123" w:rsidP="004E0123">
      <w:pPr>
        <w:spacing w:before="120" w:line="240" w:lineRule="auto"/>
        <w:jc w:val="center"/>
        <w:rPr>
          <w:b/>
        </w:rPr>
      </w:pPr>
      <w:r w:rsidRPr="00687EE7">
        <w:rPr>
          <w:b/>
        </w:rPr>
        <w:t>(Text with EEA relevance)</w:t>
      </w:r>
    </w:p>
    <w:p w:rsidR="004E0123" w:rsidRPr="00687EE7" w:rsidRDefault="004E0123" w:rsidP="004E0123">
      <w:pPr>
        <w:jc w:val="center"/>
      </w:pPr>
    </w:p>
    <w:p w:rsidR="004E0123" w:rsidRPr="00687EE7" w:rsidRDefault="004E0123" w:rsidP="004E0123">
      <w:r w:rsidRPr="00687EE7">
        <w:t>THE EUROPEAN PARLIAMENT AND THE COUNCIL OF THE EUROPEAN UNION,</w:t>
      </w:r>
    </w:p>
    <w:p w:rsidR="004E0123" w:rsidRPr="00687EE7" w:rsidRDefault="004E0123" w:rsidP="004E0123">
      <w:pPr>
        <w:spacing w:line="240" w:lineRule="auto"/>
        <w:rPr>
          <w:lang w:bidi="kn-IN"/>
        </w:rPr>
      </w:pPr>
    </w:p>
    <w:p w:rsidR="004E0123" w:rsidRPr="00687EE7" w:rsidRDefault="004E0123" w:rsidP="004E0123">
      <w:r w:rsidRPr="00687EE7">
        <w:t>Having regard to the Treaty establishing the European Community, and in particular Article 149(4) and Article 150(4) thereof,</w:t>
      </w:r>
    </w:p>
    <w:p w:rsidR="004E0123" w:rsidRPr="00687EE7" w:rsidRDefault="004E0123" w:rsidP="004E0123">
      <w:pPr>
        <w:spacing w:line="240" w:lineRule="auto"/>
      </w:pPr>
    </w:p>
    <w:p w:rsidR="004E0123" w:rsidRPr="00687EE7" w:rsidRDefault="004E0123" w:rsidP="004E0123">
      <w:r w:rsidRPr="00687EE7">
        <w:t>Having regard to the proposal from the Commission</w:t>
      </w:r>
      <w:r w:rsidRPr="00687EE7">
        <w:rPr>
          <w:rStyle w:val="Fotnotsreferens"/>
        </w:rPr>
        <w:footnoteReference w:id="5"/>
      </w:r>
      <w:r w:rsidRPr="00687EE7">
        <w:t>,</w:t>
      </w:r>
    </w:p>
    <w:p w:rsidR="004E0123" w:rsidRPr="00687EE7" w:rsidRDefault="004E0123" w:rsidP="004E0123">
      <w:pPr>
        <w:spacing w:line="240" w:lineRule="auto"/>
      </w:pPr>
    </w:p>
    <w:p w:rsidR="004E0123" w:rsidRPr="00687EE7" w:rsidRDefault="004E0123" w:rsidP="004E0123">
      <w:r w:rsidRPr="00687EE7">
        <w:t>Having regard to the opinion of the European Economic and Social Committee</w:t>
      </w:r>
      <w:r w:rsidRPr="00687EE7">
        <w:rPr>
          <w:rStyle w:val="Fotnotsreferens"/>
        </w:rPr>
        <w:footnoteReference w:id="6"/>
      </w:r>
      <w:r w:rsidRPr="00687EE7">
        <w:t>,</w:t>
      </w:r>
    </w:p>
    <w:p w:rsidR="004E0123" w:rsidRPr="00687EE7" w:rsidRDefault="004E0123" w:rsidP="004E0123">
      <w:pPr>
        <w:spacing w:line="240" w:lineRule="auto"/>
      </w:pPr>
    </w:p>
    <w:p w:rsidR="004E0123" w:rsidRPr="00687EE7" w:rsidRDefault="004E0123" w:rsidP="004E0123">
      <w:r w:rsidRPr="00687EE7">
        <w:t>Having regard to the opinion of the Committee of the Regions</w:t>
      </w:r>
      <w:r w:rsidRPr="00687EE7">
        <w:rPr>
          <w:rStyle w:val="Fotnotsreferens"/>
        </w:rPr>
        <w:footnoteReference w:id="7"/>
      </w:r>
      <w:r w:rsidRPr="00687EE7">
        <w:t>,</w:t>
      </w:r>
    </w:p>
    <w:p w:rsidR="004E0123" w:rsidRPr="00687EE7" w:rsidRDefault="004E0123" w:rsidP="004E0123">
      <w:pPr>
        <w:spacing w:line="240" w:lineRule="auto"/>
      </w:pPr>
    </w:p>
    <w:p w:rsidR="004E0123" w:rsidRPr="00687EE7" w:rsidRDefault="004E0123" w:rsidP="004E0123">
      <w:r w:rsidRPr="00687EE7">
        <w:t>Acting in accordance with the procedure laid down in Article 251 of the Treaty</w:t>
      </w:r>
      <w:r w:rsidRPr="00687EE7">
        <w:rPr>
          <w:rStyle w:val="Fotnotsreferens"/>
        </w:rPr>
        <w:footnoteReference w:id="8"/>
      </w:r>
      <w:r w:rsidRPr="00687EE7">
        <w:t>,</w:t>
      </w:r>
    </w:p>
    <w:p w:rsidR="004E0123" w:rsidRPr="00687EE7" w:rsidRDefault="004E0123" w:rsidP="004E0123">
      <w:pPr>
        <w:spacing w:line="240" w:lineRule="auto"/>
      </w:pPr>
    </w:p>
    <w:p w:rsidR="004E0123" w:rsidRPr="00687EE7" w:rsidRDefault="004E0123" w:rsidP="004E0123">
      <w:r w:rsidRPr="00687EE7">
        <w:t>Whereas:</w:t>
      </w:r>
    </w:p>
    <w:p w:rsidR="00B329CA" w:rsidRPr="00687EE7" w:rsidRDefault="004E0123" w:rsidP="004E0123">
      <w:pPr>
        <w:pStyle w:val="Considrant"/>
        <w:numPr>
          <w:ilvl w:val="0"/>
          <w:numId w:val="161"/>
        </w:numPr>
        <w:spacing w:before="0" w:after="0" w:line="360" w:lineRule="auto"/>
        <w:jc w:val="left"/>
      </w:pPr>
      <w:r w:rsidRPr="00687EE7">
        <w:t>Mobility in education and training is an integral part of the freedom of movement of persons – a fundamental freedom protected by the Treaty – and one of the main objectives of the European Union’s action in the field of education and vocational training; indeed, it is an essential tool for creating a European area of education and training and for developing European awareness.</w:t>
      </w:r>
    </w:p>
    <w:p w:rsidR="004E0123" w:rsidRPr="00687EE7" w:rsidRDefault="00B329CA" w:rsidP="00B329CA">
      <w:pPr>
        <w:pStyle w:val="Considrant"/>
        <w:tabs>
          <w:tab w:val="clear" w:pos="709"/>
        </w:tabs>
        <w:spacing w:before="0" w:after="0" w:line="360" w:lineRule="auto"/>
        <w:ind w:left="0" w:firstLine="0"/>
        <w:jc w:val="left"/>
      </w:pPr>
      <w:r w:rsidRPr="00687EE7">
        <w:br w:type="page"/>
      </w:r>
    </w:p>
    <w:p w:rsidR="004E0123" w:rsidRPr="00687EE7" w:rsidRDefault="004E0123" w:rsidP="004E0123">
      <w:pPr>
        <w:pStyle w:val="Considrant"/>
        <w:tabs>
          <w:tab w:val="clear" w:pos="709"/>
        </w:tabs>
        <w:spacing w:before="0" w:after="0"/>
        <w:ind w:left="0" w:firstLine="0"/>
        <w:jc w:val="left"/>
      </w:pPr>
    </w:p>
    <w:p w:rsidR="004E0123" w:rsidRPr="00687EE7" w:rsidRDefault="004E0123" w:rsidP="004E0123">
      <w:pPr>
        <w:pStyle w:val="Considrant"/>
        <w:numPr>
          <w:ilvl w:val="0"/>
          <w:numId w:val="161"/>
        </w:numPr>
        <w:spacing w:before="0" w:after="0" w:line="360" w:lineRule="auto"/>
        <w:jc w:val="left"/>
      </w:pPr>
      <w:r w:rsidRPr="00687EE7">
        <w:t xml:space="preserve">Intensifying European mobility and exchanges for education and training purposes, </w:t>
      </w:r>
      <w:r w:rsidRPr="00687EE7">
        <w:rPr>
          <w:b/>
        </w:rPr>
        <w:t>and events such as the 2006</w:t>
      </w:r>
      <w:r w:rsidRPr="00687EE7">
        <w:t xml:space="preserve"> European Year of Workers' Mobility</w:t>
      </w:r>
      <w:r w:rsidRPr="00687EE7">
        <w:rPr>
          <w:rStyle w:val="Fotnotsreferens"/>
        </w:rPr>
        <w:footnoteReference w:id="9"/>
      </w:r>
      <w:r w:rsidRPr="00687EE7">
        <w:rPr>
          <w:b/>
        </w:rPr>
        <w:t>, have a key role to play in achieving the Lisbon goal of making</w:t>
      </w:r>
      <w:r w:rsidRPr="00687EE7">
        <w:t xml:space="preserve"> Europe the most innovative and competitive knowledge-based economy</w:t>
      </w:r>
      <w:r w:rsidRPr="00687EE7">
        <w:rPr>
          <w:rStyle w:val="Fotnotsreferens"/>
        </w:rPr>
        <w:footnoteReference w:id="10"/>
      </w:r>
      <w:r w:rsidRPr="00687EE7">
        <w:t xml:space="preserve"> </w:t>
      </w:r>
      <w:r w:rsidRPr="00687EE7">
        <w:rPr>
          <w:b/>
        </w:rPr>
        <w:t>by</w:t>
      </w:r>
      <w:r w:rsidR="00CA69F6" w:rsidRPr="00687EE7">
        <w:t xml:space="preserve"> </w:t>
      </w:r>
      <w:r w:rsidRPr="00687EE7">
        <w:t>2010.</w:t>
      </w:r>
    </w:p>
    <w:p w:rsidR="004E0123" w:rsidRPr="00687EE7" w:rsidRDefault="004E0123" w:rsidP="004E0123">
      <w:pPr>
        <w:pStyle w:val="Considrant"/>
        <w:tabs>
          <w:tab w:val="clear" w:pos="709"/>
        </w:tabs>
        <w:spacing w:before="0" w:after="0" w:line="360" w:lineRule="auto"/>
        <w:ind w:left="0" w:firstLine="0"/>
        <w:jc w:val="left"/>
      </w:pPr>
    </w:p>
    <w:p w:rsidR="004E0123" w:rsidRPr="00687EE7" w:rsidRDefault="004E0123" w:rsidP="004E0123">
      <w:pPr>
        <w:pStyle w:val="Considrant"/>
        <w:numPr>
          <w:ilvl w:val="0"/>
          <w:numId w:val="161"/>
        </w:numPr>
        <w:spacing w:before="0" w:after="0" w:line="360" w:lineRule="auto"/>
        <w:jc w:val="left"/>
      </w:pPr>
      <w:r w:rsidRPr="00687EE7">
        <w:t>A first Recommendation of the European Parliament and of the Council</w:t>
      </w:r>
      <w:r w:rsidRPr="00687EE7">
        <w:rPr>
          <w:rStyle w:val="Fotnotsreferens"/>
        </w:rPr>
        <w:footnoteReference w:id="11"/>
      </w:r>
      <w:r w:rsidRPr="00687EE7">
        <w:t xml:space="preserve"> was adopted in 2001 with the aim of facilitating Community action to encourage mobility.</w:t>
      </w:r>
    </w:p>
    <w:p w:rsidR="004E0123" w:rsidRPr="00687EE7" w:rsidRDefault="004E0123" w:rsidP="004E0123">
      <w:pPr>
        <w:pStyle w:val="Considrant"/>
        <w:tabs>
          <w:tab w:val="clear" w:pos="709"/>
        </w:tabs>
        <w:spacing w:before="0" w:after="0" w:line="360" w:lineRule="auto"/>
        <w:ind w:left="0" w:firstLine="0"/>
        <w:jc w:val="left"/>
      </w:pPr>
    </w:p>
    <w:p w:rsidR="004E0123" w:rsidRPr="00687EE7" w:rsidRDefault="004E0123" w:rsidP="004E0123">
      <w:pPr>
        <w:pStyle w:val="Considrant"/>
        <w:numPr>
          <w:ilvl w:val="0"/>
          <w:numId w:val="161"/>
        </w:numPr>
        <w:spacing w:before="0" w:after="0" w:line="360" w:lineRule="auto"/>
        <w:jc w:val="left"/>
      </w:pPr>
      <w:r w:rsidRPr="00687EE7">
        <w:t>The work of the group of experts set up by the Commission in accordance with point III.a) of the above Recommendation, and the first follow-up report, while showing the progress made both at national and at European level as regards mobility for education and training purposes, demonstrate the need to focus not only on increasing mobility but above all on improving its quality.</w:t>
      </w:r>
    </w:p>
    <w:p w:rsidR="004E0123" w:rsidRPr="00687EE7" w:rsidRDefault="004E0123" w:rsidP="004E0123">
      <w:pPr>
        <w:pStyle w:val="Considrant"/>
        <w:tabs>
          <w:tab w:val="clear" w:pos="709"/>
        </w:tabs>
        <w:spacing w:before="0" w:after="0" w:line="360" w:lineRule="auto"/>
        <w:ind w:left="0" w:firstLine="0"/>
        <w:jc w:val="left"/>
      </w:pPr>
    </w:p>
    <w:p w:rsidR="004E0123" w:rsidRPr="00687EE7" w:rsidRDefault="004E0123" w:rsidP="004E0123">
      <w:pPr>
        <w:pStyle w:val="Considrant"/>
        <w:numPr>
          <w:ilvl w:val="0"/>
          <w:numId w:val="161"/>
        </w:numPr>
        <w:spacing w:before="0" w:after="0" w:line="360" w:lineRule="auto"/>
        <w:jc w:val="left"/>
      </w:pPr>
      <w:r w:rsidRPr="00687EE7">
        <w:t>This objective can be achieved by adopting, in the form of a Recommendation, a Quality Charter for mobility, laying down a set of principles in this field, to be implemented on a voluntary basis.</w:t>
      </w:r>
    </w:p>
    <w:p w:rsidR="004E0123" w:rsidRPr="00687EE7" w:rsidRDefault="004E0123" w:rsidP="004E0123">
      <w:pPr>
        <w:pStyle w:val="Considrant"/>
        <w:tabs>
          <w:tab w:val="clear" w:pos="709"/>
        </w:tabs>
        <w:spacing w:before="0" w:after="0" w:line="360" w:lineRule="auto"/>
        <w:ind w:left="0" w:firstLine="0"/>
        <w:jc w:val="left"/>
      </w:pPr>
    </w:p>
    <w:p w:rsidR="004E0123" w:rsidRPr="00687EE7" w:rsidRDefault="004E0123" w:rsidP="004E0123">
      <w:pPr>
        <w:pStyle w:val="Considrant"/>
        <w:numPr>
          <w:ilvl w:val="0"/>
          <w:numId w:val="161"/>
        </w:numPr>
        <w:spacing w:before="0" w:after="0" w:line="360" w:lineRule="auto"/>
        <w:jc w:val="left"/>
      </w:pPr>
      <w:r w:rsidRPr="00687EE7">
        <w:t xml:space="preserve">Because </w:t>
      </w:r>
      <w:r w:rsidRPr="00687EE7">
        <w:rPr>
          <w:b/>
        </w:rPr>
        <w:t>this</w:t>
      </w:r>
      <w:r w:rsidRPr="00687EE7">
        <w:t xml:space="preserve"> Charter incorporates the underlying principles of educational mobility, it constitutes a reference framework which will help increase exchanges, develop recognition of study periods and help to establish mutual trust between the authorities, the organisations and all the stakeholders in mobility.</w:t>
      </w:r>
    </w:p>
    <w:p w:rsidR="004E0123" w:rsidRPr="00687EE7" w:rsidRDefault="00B329CA" w:rsidP="004E0123">
      <w:pPr>
        <w:pStyle w:val="Considrant"/>
        <w:tabs>
          <w:tab w:val="clear" w:pos="709"/>
        </w:tabs>
        <w:spacing w:before="0" w:after="0" w:line="360" w:lineRule="auto"/>
        <w:ind w:left="0" w:firstLine="0"/>
        <w:jc w:val="left"/>
      </w:pPr>
      <w:r w:rsidRPr="00687EE7">
        <w:br w:type="page"/>
      </w:r>
    </w:p>
    <w:p w:rsidR="004E0123" w:rsidRPr="00687EE7" w:rsidRDefault="004E0123" w:rsidP="004E0123">
      <w:pPr>
        <w:pStyle w:val="Considrant"/>
        <w:tabs>
          <w:tab w:val="clear" w:pos="709"/>
        </w:tabs>
        <w:spacing w:before="0" w:after="0" w:line="360" w:lineRule="auto"/>
        <w:jc w:val="left"/>
        <w:rPr>
          <w:b/>
        </w:rPr>
      </w:pPr>
      <w:r w:rsidRPr="00687EE7">
        <w:rPr>
          <w:b/>
        </w:rPr>
        <w:t>(6a)</w:t>
      </w:r>
      <w:r w:rsidRPr="00687EE7">
        <w:rPr>
          <w:b/>
        </w:rPr>
        <w:tab/>
        <w:t>This Charter is intended to complement, and not replace, the specific provisions outlined in the Erasmus Charter</w:t>
      </w:r>
      <w:r w:rsidRPr="00687EE7">
        <w:rPr>
          <w:rStyle w:val="Fotnotsreferens"/>
          <w:b w:val="0"/>
        </w:rPr>
        <w:footnoteReference w:id="12"/>
      </w:r>
      <w:r w:rsidRPr="00687EE7">
        <w:rPr>
          <w:b/>
        </w:rPr>
        <w:t>.</w:t>
      </w:r>
    </w:p>
    <w:p w:rsidR="004E0123" w:rsidRPr="00687EE7" w:rsidRDefault="004E0123" w:rsidP="004E0123">
      <w:pPr>
        <w:pStyle w:val="Considrant"/>
        <w:tabs>
          <w:tab w:val="clear" w:pos="709"/>
        </w:tabs>
        <w:spacing w:before="0" w:after="0" w:line="360" w:lineRule="auto"/>
        <w:ind w:left="0" w:firstLine="0"/>
        <w:jc w:val="left"/>
      </w:pPr>
    </w:p>
    <w:p w:rsidR="004E0123" w:rsidRPr="00687EE7" w:rsidRDefault="004E0123" w:rsidP="004E0123">
      <w:pPr>
        <w:pStyle w:val="Considrant"/>
        <w:numPr>
          <w:ilvl w:val="0"/>
          <w:numId w:val="161"/>
        </w:numPr>
        <w:spacing w:before="0" w:after="0" w:line="360" w:lineRule="auto"/>
        <w:jc w:val="left"/>
      </w:pPr>
      <w:r w:rsidRPr="00687EE7">
        <w:t>The advantages of mobility strongly depend on the quality of the practical provisions: preparation, support and recognition. The people and organisations involved can considerably improve its value by careful planning and suitable evaluation.</w:t>
      </w:r>
    </w:p>
    <w:p w:rsidR="004E0123" w:rsidRPr="00687EE7" w:rsidRDefault="004E0123" w:rsidP="004E0123">
      <w:pPr>
        <w:pStyle w:val="Considrant"/>
        <w:tabs>
          <w:tab w:val="clear" w:pos="709"/>
        </w:tabs>
        <w:spacing w:before="0" w:after="0" w:line="360" w:lineRule="auto"/>
        <w:ind w:left="0" w:firstLine="0"/>
        <w:jc w:val="left"/>
      </w:pPr>
    </w:p>
    <w:p w:rsidR="004E0123" w:rsidRPr="00687EE7" w:rsidRDefault="004E0123" w:rsidP="004E0123">
      <w:pPr>
        <w:pStyle w:val="Considrant"/>
        <w:tabs>
          <w:tab w:val="clear" w:pos="709"/>
        </w:tabs>
        <w:spacing w:before="0" w:after="0" w:line="360" w:lineRule="auto"/>
        <w:ind w:left="0" w:firstLine="0"/>
        <w:jc w:val="left"/>
        <w:rPr>
          <w:b/>
        </w:rPr>
      </w:pPr>
      <w:r w:rsidRPr="00687EE7">
        <w:rPr>
          <w:b/>
        </w:rPr>
        <w:t>(7a)</w:t>
      </w:r>
      <w:r w:rsidRPr="00687EE7">
        <w:rPr>
          <w:b/>
        </w:rPr>
        <w:tab/>
        <w:t xml:space="preserve">Europass is a particularly useful instrument for developing transparency and </w:t>
      </w:r>
      <w:r w:rsidR="00CA69F6" w:rsidRPr="00687EE7">
        <w:rPr>
          <w:b/>
        </w:rPr>
        <w:tab/>
      </w:r>
      <w:r w:rsidRPr="00687EE7">
        <w:rPr>
          <w:b/>
        </w:rPr>
        <w:t>recognition in order to aid mobility.</w:t>
      </w:r>
    </w:p>
    <w:p w:rsidR="004E0123" w:rsidRPr="00687EE7" w:rsidRDefault="004E0123" w:rsidP="004E0123">
      <w:pPr>
        <w:pStyle w:val="Considrant"/>
        <w:tabs>
          <w:tab w:val="clear" w:pos="709"/>
        </w:tabs>
        <w:spacing w:before="0" w:after="0" w:line="360" w:lineRule="auto"/>
        <w:ind w:left="0" w:firstLine="0"/>
        <w:jc w:val="left"/>
      </w:pPr>
    </w:p>
    <w:p w:rsidR="004E0123" w:rsidRPr="00687EE7" w:rsidRDefault="004E0123" w:rsidP="004E0123">
      <w:pPr>
        <w:pStyle w:val="Considrant"/>
        <w:numPr>
          <w:ilvl w:val="0"/>
          <w:numId w:val="161"/>
        </w:numPr>
        <w:spacing w:before="0" w:after="0" w:line="360" w:lineRule="auto"/>
        <w:jc w:val="left"/>
      </w:pPr>
      <w:r w:rsidRPr="00687EE7">
        <w:t>It is desirable that the principles in question cover not only the period of mobility itself but also the period preceding and following it.</w:t>
      </w:r>
    </w:p>
    <w:p w:rsidR="004E0123" w:rsidRPr="00687EE7" w:rsidRDefault="004E0123" w:rsidP="004E0123">
      <w:pPr>
        <w:pStyle w:val="Considrant"/>
        <w:tabs>
          <w:tab w:val="clear" w:pos="709"/>
        </w:tabs>
        <w:spacing w:before="0" w:after="0" w:line="360" w:lineRule="auto"/>
        <w:ind w:left="0" w:firstLine="0"/>
        <w:jc w:val="left"/>
      </w:pPr>
    </w:p>
    <w:p w:rsidR="004E0123" w:rsidRPr="00687EE7" w:rsidRDefault="004E0123" w:rsidP="004E0123">
      <w:pPr>
        <w:pStyle w:val="Considrant"/>
        <w:numPr>
          <w:ilvl w:val="0"/>
          <w:numId w:val="161"/>
        </w:numPr>
        <w:spacing w:before="0" w:after="0" w:line="360" w:lineRule="auto"/>
        <w:jc w:val="left"/>
      </w:pPr>
      <w:r w:rsidRPr="00687EE7">
        <w:t>A learning plan</w:t>
      </w:r>
      <w:r w:rsidRPr="00687EE7">
        <w:rPr>
          <w:b/>
        </w:rPr>
        <w:t xml:space="preserve"> </w:t>
      </w:r>
      <w:r w:rsidRPr="00687EE7">
        <w:t>should be drawn up in advance. General preparation of the participants is also necessary.</w:t>
      </w:r>
    </w:p>
    <w:p w:rsidR="00071F58" w:rsidRPr="00687EE7" w:rsidRDefault="00071F58" w:rsidP="00071F58">
      <w:pPr>
        <w:pStyle w:val="Considrant"/>
        <w:tabs>
          <w:tab w:val="clear" w:pos="709"/>
        </w:tabs>
        <w:spacing w:before="0" w:after="0" w:line="360" w:lineRule="auto"/>
        <w:ind w:left="0" w:firstLine="0"/>
        <w:jc w:val="left"/>
      </w:pPr>
    </w:p>
    <w:p w:rsidR="004E0123" w:rsidRPr="00687EE7" w:rsidRDefault="004E0123" w:rsidP="004E0123">
      <w:pPr>
        <w:pStyle w:val="Considrant"/>
        <w:numPr>
          <w:ilvl w:val="0"/>
          <w:numId w:val="161"/>
        </w:numPr>
        <w:spacing w:line="360" w:lineRule="auto"/>
        <w:rPr>
          <w:b/>
        </w:rPr>
      </w:pPr>
      <w:r w:rsidRPr="00687EE7">
        <w:t>All questions related to finance, in particular what financial support is available and who bears the costs, should be solved before departure.</w:t>
      </w:r>
    </w:p>
    <w:p w:rsidR="004E0123" w:rsidRPr="00687EE7" w:rsidRDefault="004E0123" w:rsidP="004E0123">
      <w:pPr>
        <w:pStyle w:val="Considrant"/>
        <w:tabs>
          <w:tab w:val="clear" w:pos="709"/>
        </w:tabs>
        <w:spacing w:before="0" w:after="0" w:line="360" w:lineRule="auto"/>
        <w:ind w:left="0" w:firstLine="0"/>
        <w:jc w:val="left"/>
      </w:pPr>
    </w:p>
    <w:p w:rsidR="004E0123" w:rsidRPr="00687EE7" w:rsidRDefault="004E0123" w:rsidP="00071F58">
      <w:pPr>
        <w:pStyle w:val="Considrant"/>
        <w:numPr>
          <w:ilvl w:val="0"/>
          <w:numId w:val="161"/>
        </w:numPr>
        <w:spacing w:before="0" w:after="0" w:line="360" w:lineRule="auto"/>
        <w:jc w:val="left"/>
        <w:rPr>
          <w:b/>
        </w:rPr>
      </w:pPr>
      <w:r w:rsidRPr="00687EE7">
        <w:t xml:space="preserve">For the period spent abroad, the quality of mobility can be enhanced by the </w:t>
      </w:r>
      <w:r w:rsidR="00CA69F6" w:rsidRPr="00687EE7">
        <w:t xml:space="preserve">[…] </w:t>
      </w:r>
      <w:r w:rsidRPr="00687EE7">
        <w:rPr>
          <w:b/>
        </w:rPr>
        <w:t>provision</w:t>
      </w:r>
      <w:r w:rsidRPr="00687EE7">
        <w:t xml:space="preserve"> </w:t>
      </w:r>
      <w:r w:rsidRPr="00687EE7">
        <w:rPr>
          <w:b/>
        </w:rPr>
        <w:t>of</w:t>
      </w:r>
      <w:r w:rsidRPr="00687EE7">
        <w:t xml:space="preserve"> </w:t>
      </w:r>
      <w:r w:rsidRPr="00687EE7">
        <w:rPr>
          <w:b/>
        </w:rPr>
        <w:t>schemes such as mentoring</w:t>
      </w:r>
      <w:r w:rsidRPr="00687EE7">
        <w:t xml:space="preserve"> </w:t>
      </w:r>
      <w:r w:rsidRPr="00687EE7">
        <w:rPr>
          <w:b/>
        </w:rPr>
        <w:t>for participants</w:t>
      </w:r>
      <w:r w:rsidRPr="00687EE7">
        <w:t>.</w:t>
      </w:r>
      <w:r w:rsidR="00941E8D" w:rsidRPr="00687EE7">
        <w:rPr>
          <w:rStyle w:val="Fotnotsreferens"/>
        </w:rPr>
        <w:t xml:space="preserve"> </w:t>
      </w:r>
      <w:r w:rsidR="00941E8D" w:rsidRPr="00687EE7">
        <w:rPr>
          <w:rStyle w:val="Fotnotsreferens"/>
        </w:rPr>
        <w:footnoteReference w:id="13"/>
      </w:r>
    </w:p>
    <w:p w:rsidR="004E0123" w:rsidRPr="00687EE7" w:rsidRDefault="004E0123" w:rsidP="004E0123">
      <w:pPr>
        <w:pStyle w:val="Considrant"/>
        <w:tabs>
          <w:tab w:val="clear" w:pos="709"/>
        </w:tabs>
        <w:spacing w:before="0" w:after="0" w:line="360" w:lineRule="auto"/>
        <w:ind w:left="0" w:firstLine="0"/>
        <w:jc w:val="left"/>
      </w:pPr>
    </w:p>
    <w:p w:rsidR="004E0123" w:rsidRPr="00687EE7" w:rsidRDefault="004E0123" w:rsidP="00071F58">
      <w:pPr>
        <w:pStyle w:val="Considrant"/>
        <w:tabs>
          <w:tab w:val="clear" w:pos="709"/>
        </w:tabs>
        <w:spacing w:before="0" w:after="0" w:line="360" w:lineRule="auto"/>
        <w:jc w:val="left"/>
        <w:rPr>
          <w:szCs w:val="24"/>
          <w:vertAlign w:val="superscript"/>
        </w:rPr>
      </w:pPr>
      <w:r w:rsidRPr="00687EE7">
        <w:t>(11a)</w:t>
      </w:r>
      <w:r w:rsidRPr="00687EE7">
        <w:tab/>
      </w:r>
      <w:r w:rsidRPr="00687EE7">
        <w:rPr>
          <w:b/>
        </w:rPr>
        <w:t xml:space="preserve">A detailed and clear description of any courses and/or training followed in </w:t>
      </w:r>
      <w:r w:rsidR="00CA69F6" w:rsidRPr="00687EE7">
        <w:t>[…]</w:t>
      </w:r>
      <w:r w:rsidR="00CA69F6" w:rsidRPr="00687EE7">
        <w:rPr>
          <w:b/>
        </w:rPr>
        <w:t xml:space="preserve"> </w:t>
      </w:r>
      <w:r w:rsidRPr="00687EE7">
        <w:rPr>
          <w:b/>
        </w:rPr>
        <w:t xml:space="preserve">the host  country, including the duration, should help to facilitate recognition on returning to the </w:t>
      </w:r>
      <w:r w:rsidR="00CA69F6" w:rsidRPr="00687EE7">
        <w:rPr>
          <w:b/>
        </w:rPr>
        <w:tab/>
      </w:r>
      <w:r w:rsidRPr="00687EE7">
        <w:rPr>
          <w:b/>
        </w:rPr>
        <w:t>home country.</w:t>
      </w:r>
      <w:r w:rsidRPr="00687EE7">
        <w:rPr>
          <w:rStyle w:val="Fotnotsreferens"/>
        </w:rPr>
        <w:t xml:space="preserve"> </w:t>
      </w:r>
      <w:r w:rsidR="00941E8D" w:rsidRPr="00687EE7">
        <w:rPr>
          <w:b/>
          <w:szCs w:val="24"/>
          <w:vertAlign w:val="superscript"/>
        </w:rPr>
        <w:t>13</w:t>
      </w:r>
    </w:p>
    <w:p w:rsidR="004E0123" w:rsidRPr="00687EE7" w:rsidRDefault="00071F58" w:rsidP="004E0123">
      <w:pPr>
        <w:pStyle w:val="Considrant"/>
        <w:tabs>
          <w:tab w:val="clear" w:pos="709"/>
        </w:tabs>
        <w:spacing w:before="0" w:after="0" w:line="360" w:lineRule="auto"/>
        <w:ind w:left="0" w:firstLine="0"/>
        <w:jc w:val="left"/>
      </w:pPr>
      <w:r w:rsidRPr="00687EE7">
        <w:br w:type="page"/>
      </w:r>
    </w:p>
    <w:p w:rsidR="004E0123" w:rsidRPr="00687EE7" w:rsidRDefault="004E0123" w:rsidP="004E0123">
      <w:pPr>
        <w:pStyle w:val="Considrant"/>
        <w:numPr>
          <w:ilvl w:val="0"/>
          <w:numId w:val="161"/>
        </w:numPr>
        <w:spacing w:before="0" w:after="0" w:line="360" w:lineRule="auto"/>
        <w:jc w:val="left"/>
        <w:rPr>
          <w:b/>
        </w:rPr>
      </w:pPr>
      <w:r w:rsidRPr="00687EE7">
        <w:rPr>
          <w:b/>
        </w:rPr>
        <w:t>Transparency and good administration call for a clear definition of the stakeholders responsible for each stage and action of the mobility programme.</w:t>
      </w:r>
    </w:p>
    <w:p w:rsidR="004E0123" w:rsidRPr="00687EE7" w:rsidRDefault="004E0123" w:rsidP="004E0123">
      <w:pPr>
        <w:pStyle w:val="Considrant"/>
        <w:tabs>
          <w:tab w:val="clear" w:pos="709"/>
        </w:tabs>
        <w:spacing w:before="0" w:after="0" w:line="360" w:lineRule="auto"/>
        <w:ind w:left="0" w:firstLine="0"/>
        <w:jc w:val="left"/>
      </w:pPr>
    </w:p>
    <w:p w:rsidR="004E0123" w:rsidRPr="00687EE7" w:rsidRDefault="004E0123" w:rsidP="004E0123">
      <w:pPr>
        <w:pStyle w:val="Considrant"/>
        <w:numPr>
          <w:ilvl w:val="0"/>
          <w:numId w:val="161"/>
        </w:numPr>
        <w:spacing w:before="0" w:after="0" w:line="360" w:lineRule="auto"/>
        <w:jc w:val="left"/>
      </w:pPr>
      <w:r w:rsidRPr="00687EE7">
        <w:t xml:space="preserve">In order to ensure the overall quality of mobility, it is desirable to apply as far as possible the above-mentioned principles and recommendations to all types of mobility for learning or professional development purposes: education or training; formal </w:t>
      </w:r>
      <w:r w:rsidRPr="00687EE7">
        <w:rPr>
          <w:b/>
        </w:rPr>
        <w:t>or</w:t>
      </w:r>
      <w:r w:rsidRPr="00687EE7">
        <w:t xml:space="preserve"> non-formal learning including youth volunteering; short </w:t>
      </w:r>
      <w:r w:rsidRPr="00687EE7">
        <w:rPr>
          <w:b/>
        </w:rPr>
        <w:t>or</w:t>
      </w:r>
      <w:r w:rsidRPr="00687EE7">
        <w:t xml:space="preserve"> long mobility periods; for school, </w:t>
      </w:r>
      <w:r w:rsidRPr="00687EE7">
        <w:rPr>
          <w:b/>
        </w:rPr>
        <w:t xml:space="preserve">higher education </w:t>
      </w:r>
      <w:r w:rsidRPr="00687EE7">
        <w:t xml:space="preserve">or job-based learning; for young </w:t>
      </w:r>
      <w:r w:rsidRPr="00687EE7">
        <w:rPr>
          <w:b/>
        </w:rPr>
        <w:t>or</w:t>
      </w:r>
      <w:r w:rsidRPr="00687EE7">
        <w:t xml:space="preserve"> adult learners.</w:t>
      </w:r>
      <w:r w:rsidR="00941E8D" w:rsidRPr="00687EE7">
        <w:rPr>
          <w:b/>
          <w:szCs w:val="24"/>
          <w:vertAlign w:val="superscript"/>
        </w:rPr>
        <w:t xml:space="preserve"> 13</w:t>
      </w:r>
    </w:p>
    <w:p w:rsidR="004E0123" w:rsidRPr="00687EE7" w:rsidRDefault="004E0123" w:rsidP="004E0123">
      <w:pPr>
        <w:pStyle w:val="Considrant"/>
        <w:tabs>
          <w:tab w:val="clear" w:pos="709"/>
        </w:tabs>
        <w:spacing w:before="0" w:after="0" w:line="360" w:lineRule="auto"/>
        <w:ind w:left="0" w:firstLine="0"/>
        <w:jc w:val="left"/>
      </w:pPr>
    </w:p>
    <w:p w:rsidR="004E0123" w:rsidRPr="00687EE7" w:rsidRDefault="004E0123" w:rsidP="004E0123">
      <w:pPr>
        <w:pStyle w:val="Considrant"/>
        <w:numPr>
          <w:ilvl w:val="0"/>
          <w:numId w:val="161"/>
        </w:numPr>
        <w:spacing w:before="0" w:after="0" w:line="360" w:lineRule="auto"/>
        <w:jc w:val="left"/>
      </w:pPr>
      <w:r w:rsidRPr="00687EE7">
        <w:rPr>
          <w:b/>
        </w:rPr>
        <w:t xml:space="preserve">In view of the diversity of the nature and duration of mobility activities, </w:t>
      </w:r>
      <w:r w:rsidRPr="00687EE7">
        <w:t>Member States may adjust the implementation of the Charter according to circumstances, i.e. to adapt it to specific situations and programmes; to make some of the points compulsory and to consider others as optional.</w:t>
      </w:r>
      <w:r w:rsidR="00941E8D" w:rsidRPr="00687EE7">
        <w:rPr>
          <w:b/>
          <w:szCs w:val="24"/>
          <w:vertAlign w:val="superscript"/>
        </w:rPr>
        <w:t xml:space="preserve"> 13</w:t>
      </w:r>
    </w:p>
    <w:p w:rsidR="004E0123" w:rsidRPr="00687EE7" w:rsidRDefault="004E0123" w:rsidP="004E0123">
      <w:pPr>
        <w:pStyle w:val="Considrant"/>
        <w:tabs>
          <w:tab w:val="clear" w:pos="709"/>
        </w:tabs>
        <w:spacing w:before="0" w:after="0" w:line="360" w:lineRule="auto"/>
        <w:ind w:left="0" w:firstLine="0"/>
        <w:jc w:val="left"/>
      </w:pPr>
    </w:p>
    <w:p w:rsidR="004E0123" w:rsidRPr="00687EE7" w:rsidRDefault="004E0123" w:rsidP="004E0123">
      <w:pPr>
        <w:pStyle w:val="Considrant"/>
        <w:numPr>
          <w:ilvl w:val="0"/>
          <w:numId w:val="161"/>
        </w:numPr>
        <w:spacing w:before="0" w:after="0" w:line="360" w:lineRule="auto"/>
        <w:jc w:val="left"/>
      </w:pPr>
      <w:r w:rsidRPr="00687EE7">
        <w:t>As the objectives of the present Recommendation, extending to all Member States, can be better achieved at Community level, the Community can take measures, in accordance with the principle of subsidiarity provided for in Article 5 of the Treaty. To also respect the principle of proportionality, such as stated in the same Article, the present Recommendation does not exceed what is necessary to achieve these goals.</w:t>
      </w:r>
    </w:p>
    <w:p w:rsidR="004E0123" w:rsidRPr="00687EE7" w:rsidRDefault="004E0123" w:rsidP="004E0123">
      <w:pPr>
        <w:pStyle w:val="Considrant"/>
        <w:tabs>
          <w:tab w:val="clear" w:pos="709"/>
        </w:tabs>
        <w:spacing w:before="0" w:after="0" w:line="360" w:lineRule="auto"/>
        <w:ind w:left="0" w:firstLine="0"/>
        <w:jc w:val="left"/>
      </w:pPr>
    </w:p>
    <w:p w:rsidR="004E0123" w:rsidRPr="00687EE7" w:rsidRDefault="004E0123" w:rsidP="004E0123">
      <w:pPr>
        <w:pStyle w:val="Formuledadoption"/>
        <w:spacing w:before="0" w:after="0" w:line="360" w:lineRule="auto"/>
        <w:jc w:val="left"/>
        <w:rPr>
          <w:b/>
        </w:rPr>
      </w:pPr>
      <w:r w:rsidRPr="00687EE7">
        <w:t>HEREBY RECOMMEND: that</w:t>
      </w:r>
      <w:r w:rsidR="00AA46CC" w:rsidRPr="00687EE7">
        <w:t xml:space="preserve"> </w:t>
      </w:r>
      <w:r w:rsidR="00AA46CC" w:rsidRPr="00687EE7">
        <w:rPr>
          <w:rStyle w:val="Fotnotsreferens"/>
        </w:rPr>
        <w:footnoteReference w:id="14"/>
      </w:r>
      <w:r w:rsidRPr="00687EE7">
        <w:t xml:space="preserve"> Member States </w:t>
      </w:r>
      <w:r w:rsidRPr="00687EE7">
        <w:rPr>
          <w:b/>
        </w:rPr>
        <w:t>endorse and promote the use</w:t>
      </w:r>
      <w:r w:rsidR="00FF5767" w:rsidRPr="00687EE7">
        <w:t xml:space="preserve"> </w:t>
      </w:r>
      <w:r w:rsidRPr="00687EE7">
        <w:rPr>
          <w:b/>
        </w:rPr>
        <w:t xml:space="preserve">of </w:t>
      </w:r>
      <w:r w:rsidRPr="00687EE7">
        <w:t xml:space="preserve">the attached European Quality Charter for mobility </w:t>
      </w:r>
      <w:r w:rsidRPr="00687EE7">
        <w:rPr>
          <w:b/>
        </w:rPr>
        <w:t>and, as from the second year following the adoption of the present Recommendation, report on this and any complementary measures they may choose to</w:t>
      </w:r>
      <w:r w:rsidRPr="00687EE7">
        <w:t xml:space="preserve"> </w:t>
      </w:r>
      <w:r w:rsidRPr="00687EE7">
        <w:rPr>
          <w:b/>
        </w:rPr>
        <w:t>undertake in their national contributions to the "Education and Training 2010" work programme</w:t>
      </w:r>
      <w:r w:rsidR="00FF5767" w:rsidRPr="00687EE7">
        <w:rPr>
          <w:b/>
        </w:rPr>
        <w:t xml:space="preserve">. </w:t>
      </w:r>
    </w:p>
    <w:p w:rsidR="00941E8D" w:rsidRPr="00687EE7" w:rsidRDefault="00941E8D" w:rsidP="00A51DF8">
      <w:pPr>
        <w:rPr>
          <w:lang w:bidi="kn-IN"/>
        </w:rPr>
      </w:pPr>
    </w:p>
    <w:p w:rsidR="00A51DF8" w:rsidRPr="00687EE7" w:rsidRDefault="00A51DF8" w:rsidP="00A51DF8">
      <w:pPr>
        <w:rPr>
          <w:lang w:bidi="kn-IN"/>
        </w:rPr>
      </w:pPr>
      <w:r w:rsidRPr="00687EE7">
        <w:rPr>
          <w:lang w:bidi="kn-IN"/>
        </w:rPr>
        <w:t>[…]</w:t>
      </w:r>
    </w:p>
    <w:p w:rsidR="004E0123" w:rsidRPr="00687EE7" w:rsidRDefault="00584823" w:rsidP="004E0123">
      <w:r w:rsidRPr="00687EE7">
        <w:br w:type="page"/>
      </w:r>
    </w:p>
    <w:p w:rsidR="004E0123" w:rsidRPr="00687EE7" w:rsidRDefault="004E0123" w:rsidP="004E0123">
      <w:r w:rsidRPr="00687EE7">
        <w:t xml:space="preserve">HEREBY INVITE the Commission </w:t>
      </w:r>
      <w:r w:rsidRPr="00687EE7">
        <w:rPr>
          <w:b/>
        </w:rPr>
        <w:t>to</w:t>
      </w:r>
      <w:r w:rsidRPr="00687EE7">
        <w:t>:</w:t>
      </w:r>
    </w:p>
    <w:p w:rsidR="004E0123" w:rsidRPr="00687EE7" w:rsidRDefault="004E0123" w:rsidP="004E0123"/>
    <w:p w:rsidR="004E0123" w:rsidRPr="00687EE7" w:rsidRDefault="004E0123" w:rsidP="004E0123">
      <w:pPr>
        <w:pStyle w:val="Tiret0"/>
        <w:numPr>
          <w:ilvl w:val="0"/>
          <w:numId w:val="166"/>
        </w:numPr>
        <w:spacing w:before="0" w:after="0" w:line="360" w:lineRule="auto"/>
        <w:jc w:val="left"/>
        <w:rPr>
          <w:b/>
        </w:rPr>
      </w:pPr>
      <w:r w:rsidRPr="00687EE7">
        <w:rPr>
          <w:b/>
        </w:rPr>
        <w:t>encourage the use of the Charter by the National Agencies and other organisations working in the field of mobility;</w:t>
      </w:r>
    </w:p>
    <w:p w:rsidR="004E0123" w:rsidRPr="00687EE7" w:rsidRDefault="004E0123" w:rsidP="004E0123">
      <w:pPr>
        <w:pStyle w:val="Tiret0"/>
        <w:numPr>
          <w:ilvl w:val="0"/>
          <w:numId w:val="0"/>
        </w:numPr>
        <w:spacing w:before="0" w:after="0" w:line="360" w:lineRule="auto"/>
        <w:jc w:val="left"/>
      </w:pPr>
    </w:p>
    <w:p w:rsidR="004E0123" w:rsidRPr="00687EE7" w:rsidRDefault="004E0123" w:rsidP="004E0123">
      <w:pPr>
        <w:pStyle w:val="Tiret0"/>
        <w:numPr>
          <w:ilvl w:val="0"/>
          <w:numId w:val="166"/>
        </w:numPr>
        <w:spacing w:before="0" w:after="0" w:line="360" w:lineRule="auto"/>
        <w:jc w:val="left"/>
      </w:pPr>
      <w:r w:rsidRPr="00687EE7">
        <w:t>continue to cooperate with the Member States and the social partners, so that useful information and experience concerning the implementation of the measures advocated in this Recommendation may be exchanged;</w:t>
      </w:r>
    </w:p>
    <w:p w:rsidR="004E0123" w:rsidRPr="00687EE7" w:rsidRDefault="004E0123" w:rsidP="004E0123">
      <w:pPr>
        <w:pStyle w:val="Tiret0"/>
        <w:numPr>
          <w:ilvl w:val="0"/>
          <w:numId w:val="0"/>
        </w:numPr>
        <w:spacing w:before="0" w:after="0" w:line="360" w:lineRule="auto"/>
        <w:jc w:val="left"/>
      </w:pPr>
    </w:p>
    <w:p w:rsidR="004E0123" w:rsidRPr="00687EE7" w:rsidRDefault="004E0123" w:rsidP="004E0123">
      <w:pPr>
        <w:pStyle w:val="Tiret0"/>
        <w:numPr>
          <w:ilvl w:val="0"/>
          <w:numId w:val="166"/>
        </w:numPr>
        <w:spacing w:before="0" w:after="0" w:line="360" w:lineRule="auto"/>
        <w:jc w:val="left"/>
      </w:pPr>
      <w:r w:rsidRPr="00687EE7">
        <w:t xml:space="preserve">consider the present Recommendation as forming a whole with Recommendation 2001/613/EC of the European Parliament and of the Council and therefore to include its requested biennial reports in the general reports of the </w:t>
      </w:r>
      <w:r w:rsidR="00584823" w:rsidRPr="00687EE7">
        <w:t>"</w:t>
      </w:r>
      <w:r w:rsidRPr="00687EE7">
        <w:t>Education and Training 2010</w:t>
      </w:r>
      <w:r w:rsidR="00584823" w:rsidRPr="00687EE7">
        <w:t>"</w:t>
      </w:r>
      <w:r w:rsidRPr="00687EE7">
        <w:t xml:space="preserve"> work programme.</w:t>
      </w:r>
    </w:p>
    <w:p w:rsidR="004E0123" w:rsidRPr="00687EE7" w:rsidRDefault="004E0123" w:rsidP="004E0123">
      <w:pPr>
        <w:pStyle w:val="Tiret0"/>
        <w:numPr>
          <w:ilvl w:val="0"/>
          <w:numId w:val="0"/>
        </w:numPr>
        <w:spacing w:line="360" w:lineRule="auto"/>
      </w:pPr>
    </w:p>
    <w:p w:rsidR="004E0123" w:rsidRPr="00687EE7" w:rsidRDefault="004E0123" w:rsidP="004E0123">
      <w:r w:rsidRPr="00687EE7">
        <w:t xml:space="preserve">Done at Brussels, </w:t>
      </w:r>
    </w:p>
    <w:p w:rsidR="004E0123" w:rsidRPr="00687EE7" w:rsidRDefault="004E0123" w:rsidP="004E0123"/>
    <w:p w:rsidR="004E0123" w:rsidRPr="00687EE7" w:rsidRDefault="004E0123" w:rsidP="004E0123">
      <w:pPr>
        <w:pStyle w:val="Institutionquisigne"/>
        <w:spacing w:before="0" w:line="360" w:lineRule="auto"/>
      </w:pPr>
      <w:r w:rsidRPr="00687EE7">
        <w:t>For the European Parliament</w:t>
      </w:r>
      <w:r w:rsidRPr="00687EE7">
        <w:tab/>
      </w:r>
      <w:r w:rsidRPr="00687EE7">
        <w:tab/>
      </w:r>
      <w:r w:rsidRPr="00687EE7">
        <w:tab/>
      </w:r>
      <w:r w:rsidRPr="00687EE7">
        <w:tab/>
      </w:r>
      <w:r w:rsidRPr="00687EE7">
        <w:tab/>
        <w:t>For the Council</w:t>
      </w:r>
    </w:p>
    <w:p w:rsidR="00A51DF8" w:rsidRPr="00687EE7" w:rsidRDefault="004E0123" w:rsidP="004E0123">
      <w:pPr>
        <w:pStyle w:val="Personnequisigne"/>
      </w:pPr>
      <w:r w:rsidRPr="00687EE7">
        <w:t>The President</w:t>
      </w:r>
      <w:r w:rsidRPr="00687EE7">
        <w:tab/>
      </w:r>
      <w:r w:rsidRPr="00687EE7">
        <w:tab/>
      </w:r>
      <w:r w:rsidRPr="00687EE7">
        <w:tab/>
      </w:r>
      <w:r w:rsidRPr="00687EE7">
        <w:tab/>
      </w:r>
      <w:r w:rsidRPr="00687EE7">
        <w:tab/>
        <w:t>The President</w:t>
      </w:r>
      <w:r w:rsidRPr="00687EE7">
        <w:br/>
      </w:r>
    </w:p>
    <w:p w:rsidR="00A51DF8" w:rsidRPr="00687EE7" w:rsidRDefault="00A51DF8" w:rsidP="004E0123">
      <w:pPr>
        <w:pStyle w:val="Personnequisigne"/>
      </w:pPr>
    </w:p>
    <w:p w:rsidR="004E0123" w:rsidRPr="00687EE7" w:rsidRDefault="004E0123" w:rsidP="004E0123">
      <w:pPr>
        <w:pStyle w:val="Personnequisigne"/>
      </w:pPr>
      <w:r w:rsidRPr="00687EE7">
        <w:tab/>
      </w:r>
    </w:p>
    <w:p w:rsidR="004E0123" w:rsidRPr="00687EE7" w:rsidRDefault="004E0123" w:rsidP="004E0123">
      <w:pPr>
        <w:pStyle w:val="DfESBullets"/>
        <w:numPr>
          <w:ilvl w:val="0"/>
          <w:numId w:val="0"/>
        </w:numPr>
        <w:spacing w:after="0" w:line="360" w:lineRule="auto"/>
        <w:ind w:left="720" w:hanging="360"/>
        <w:jc w:val="center"/>
        <w:rPr>
          <w:rFonts w:ascii="Times New Roman" w:hAnsi="Times New Roman"/>
          <w:szCs w:val="24"/>
        </w:rPr>
      </w:pPr>
      <w:r w:rsidRPr="00687EE7">
        <w:rPr>
          <w:rFonts w:ascii="Times New Roman" w:hAnsi="Times New Roman"/>
          <w:szCs w:val="24"/>
        </w:rPr>
        <w:t>o</w:t>
      </w:r>
      <w:r w:rsidRPr="00687EE7">
        <w:rPr>
          <w:rFonts w:ascii="Times New Roman" w:hAnsi="Times New Roman"/>
          <w:szCs w:val="24"/>
        </w:rPr>
        <w:tab/>
        <w:t>o</w:t>
      </w:r>
    </w:p>
    <w:p w:rsidR="004E0123" w:rsidRPr="00687EE7" w:rsidRDefault="004E0123" w:rsidP="004E0123">
      <w:pPr>
        <w:pStyle w:val="DfESBullets"/>
        <w:numPr>
          <w:ilvl w:val="0"/>
          <w:numId w:val="0"/>
        </w:numPr>
        <w:spacing w:after="0" w:line="360" w:lineRule="auto"/>
        <w:ind w:left="720" w:hanging="360"/>
        <w:jc w:val="center"/>
        <w:rPr>
          <w:rFonts w:ascii="Times New Roman" w:hAnsi="Times New Roman"/>
          <w:szCs w:val="24"/>
        </w:rPr>
      </w:pPr>
      <w:r w:rsidRPr="00687EE7">
        <w:rPr>
          <w:rFonts w:ascii="Times New Roman" w:hAnsi="Times New Roman"/>
          <w:szCs w:val="24"/>
        </w:rPr>
        <w:t>o</w:t>
      </w:r>
    </w:p>
    <w:p w:rsidR="00FF5767" w:rsidRPr="00687EE7" w:rsidRDefault="00FF5767" w:rsidP="004E0123">
      <w:pPr>
        <w:pStyle w:val="DfESBullets"/>
        <w:numPr>
          <w:ilvl w:val="0"/>
          <w:numId w:val="0"/>
        </w:numPr>
        <w:spacing w:after="0" w:line="360" w:lineRule="auto"/>
        <w:ind w:left="720" w:hanging="360"/>
        <w:jc w:val="center"/>
        <w:rPr>
          <w:rFonts w:ascii="Times New Roman" w:hAnsi="Times New Roman"/>
          <w:szCs w:val="24"/>
        </w:rPr>
      </w:pPr>
    </w:p>
    <w:p w:rsidR="00FF5767" w:rsidRPr="00687EE7" w:rsidRDefault="00FF5767" w:rsidP="004E0123">
      <w:pPr>
        <w:pStyle w:val="DfESBullets"/>
        <w:numPr>
          <w:ilvl w:val="0"/>
          <w:numId w:val="0"/>
        </w:numPr>
        <w:spacing w:after="0" w:line="360" w:lineRule="auto"/>
        <w:ind w:left="720" w:hanging="360"/>
        <w:jc w:val="center"/>
        <w:rPr>
          <w:rFonts w:ascii="Times New Roman" w:hAnsi="Times New Roman"/>
          <w:szCs w:val="24"/>
        </w:rPr>
        <w:sectPr w:rsidR="00FF5767" w:rsidRPr="00687EE7">
          <w:footerReference w:type="default" r:id="rId9"/>
          <w:endnotePr>
            <w:numFmt w:val="decimal"/>
          </w:endnotePr>
          <w:pgSz w:w="11907" w:h="16840" w:code="9"/>
          <w:pgMar w:top="1134" w:right="1134" w:bottom="1134" w:left="1134" w:header="567" w:footer="567" w:gutter="0"/>
          <w:cols w:space="720"/>
        </w:sectPr>
      </w:pPr>
    </w:p>
    <w:p w:rsidR="004E0123" w:rsidRPr="00687EE7" w:rsidRDefault="004E0123" w:rsidP="004E0123">
      <w:pPr>
        <w:pStyle w:val="Annexetitreacte"/>
        <w:jc w:val="right"/>
      </w:pPr>
      <w:r w:rsidRPr="00687EE7">
        <w:t xml:space="preserve">ANNEX </w:t>
      </w:r>
    </w:p>
    <w:p w:rsidR="004E0123" w:rsidRPr="00687EE7" w:rsidRDefault="004E0123" w:rsidP="004E0123">
      <w:pPr>
        <w:pStyle w:val="Rubrik1"/>
        <w:numPr>
          <w:ilvl w:val="0"/>
          <w:numId w:val="0"/>
        </w:numPr>
        <w:jc w:val="center"/>
        <w:rPr>
          <w:sz w:val="28"/>
          <w:szCs w:val="28"/>
        </w:rPr>
      </w:pPr>
      <w:r w:rsidRPr="00687EE7">
        <w:rPr>
          <w:sz w:val="28"/>
          <w:szCs w:val="28"/>
        </w:rPr>
        <w:t>European Mobility Quality Charter</w:t>
      </w:r>
    </w:p>
    <w:p w:rsidR="004E0123" w:rsidRPr="00687EE7" w:rsidRDefault="004E0123" w:rsidP="004E0123">
      <w:pPr>
        <w:rPr>
          <w:lang w:bidi="kn-IN"/>
        </w:rPr>
      </w:pPr>
    </w:p>
    <w:p w:rsidR="004E0123" w:rsidRPr="00687EE7" w:rsidRDefault="004E0123" w:rsidP="004E0123">
      <w:pPr>
        <w:rPr>
          <w:lang w:bidi="kn-IN"/>
        </w:rPr>
      </w:pPr>
    </w:p>
    <w:p w:rsidR="004E0123" w:rsidRPr="00687EE7" w:rsidRDefault="004E0123" w:rsidP="004E0123">
      <w:pPr>
        <w:rPr>
          <w:b/>
          <w:u w:val="single"/>
          <w:lang w:bidi="kn-IN"/>
        </w:rPr>
      </w:pPr>
      <w:r w:rsidRPr="00687EE7">
        <w:rPr>
          <w:b/>
          <w:sz w:val="22"/>
          <w:szCs w:val="22"/>
          <w:u w:val="single"/>
          <w:lang w:bidi="kn-IN"/>
        </w:rPr>
        <w:t>INTRODUCTION</w:t>
      </w:r>
      <w:r w:rsidRPr="00687EE7">
        <w:rPr>
          <w:b/>
          <w:u w:val="single"/>
          <w:lang w:bidi="kn-IN"/>
        </w:rPr>
        <w:t>:</w:t>
      </w:r>
    </w:p>
    <w:p w:rsidR="004E0123" w:rsidRPr="00687EE7" w:rsidRDefault="004E0123" w:rsidP="004E0123">
      <w:pPr>
        <w:rPr>
          <w:b/>
          <w:lang w:bidi="kn-IN"/>
        </w:rPr>
      </w:pPr>
    </w:p>
    <w:p w:rsidR="004E0123" w:rsidRPr="00687EE7" w:rsidRDefault="004E0123" w:rsidP="004E0123">
      <w:pPr>
        <w:rPr>
          <w:i/>
        </w:rPr>
      </w:pPr>
      <w:r w:rsidRPr="00687EE7">
        <w:rPr>
          <w:i/>
        </w:rPr>
        <w:t>Strengthened by the Mobility Action Plan of 2000</w:t>
      </w:r>
      <w:r w:rsidRPr="00687EE7">
        <w:rPr>
          <w:rStyle w:val="Fotnotsreferens"/>
          <w:i/>
        </w:rPr>
        <w:footnoteReference w:id="15"/>
      </w:r>
      <w:r w:rsidRPr="00687EE7">
        <w:rPr>
          <w:i/>
        </w:rPr>
        <w:t xml:space="preserve"> and the Recommendation of the European Parliament and the Council of 10 July 2001</w:t>
      </w:r>
      <w:r w:rsidRPr="00687EE7">
        <w:rPr>
          <w:rStyle w:val="Fotnotsreferens"/>
          <w:i/>
        </w:rPr>
        <w:footnoteReference w:id="16"/>
      </w:r>
      <w:r w:rsidRPr="00687EE7">
        <w:rPr>
          <w:i/>
        </w:rPr>
        <w:t xml:space="preserve">, mobility has always been of considerable interest to stakeholders. That Recommendation was broad in scope, addressed a whole range of important questions associated with mobility and was targeted at anyone who might benefit from a period of learning abroad (formal and non-formal); including students, teachers, trainers, volunteers and people undergoing training. The </w:t>
      </w:r>
      <w:r w:rsidRPr="00687EE7">
        <w:rPr>
          <w:b/>
          <w:i/>
        </w:rPr>
        <w:t>present</w:t>
      </w:r>
      <w:r w:rsidRPr="00687EE7">
        <w:rPr>
          <w:i/>
        </w:rPr>
        <w:t xml:space="preserve"> Recommendation, of which this Charter constitutes an integral part, has the same scope but focuses on the quality aspects of mobility, as proposed by an expert group established following the first Recommendation</w:t>
      </w:r>
      <w:r w:rsidRPr="00687EE7">
        <w:rPr>
          <w:rStyle w:val="Fotnotsreferens"/>
          <w:i/>
        </w:rPr>
        <w:footnoteReference w:id="17"/>
      </w:r>
      <w:r w:rsidRPr="00687EE7">
        <w:rPr>
          <w:i/>
        </w:rPr>
        <w:t>. It</w:t>
      </w:r>
      <w:r w:rsidRPr="00687EE7">
        <w:rPr>
          <w:b/>
          <w:i/>
        </w:rPr>
        <w:t xml:space="preserve"> should </w:t>
      </w:r>
      <w:r w:rsidRPr="00687EE7">
        <w:rPr>
          <w:i/>
        </w:rPr>
        <w:t xml:space="preserve">help </w:t>
      </w:r>
      <w:r w:rsidRPr="00687EE7">
        <w:rPr>
          <w:b/>
          <w:i/>
        </w:rPr>
        <w:t>to</w:t>
      </w:r>
      <w:r w:rsidRPr="00687EE7">
        <w:rPr>
          <w:i/>
        </w:rPr>
        <w:t xml:space="preserve"> ensure that participants have a positive experience, both in the host country and in the country of origin once they return. This Charter</w:t>
      </w:r>
      <w:r w:rsidRPr="00687EE7">
        <w:rPr>
          <w:b/>
          <w:i/>
        </w:rPr>
        <w:t xml:space="preserve"> offers guidance for</w:t>
      </w:r>
      <w:r w:rsidR="00584823" w:rsidRPr="00687EE7">
        <w:rPr>
          <w:b/>
          <w:i/>
        </w:rPr>
        <w:t xml:space="preserve"> </w:t>
      </w:r>
      <w:r w:rsidRPr="00687EE7">
        <w:rPr>
          <w:i/>
        </w:rPr>
        <w:t xml:space="preserve"> mobility undertaken by individual young people or adults, for the purposes of formal and non-formal learning and for their personal and professional development. It has been designed as a basic reference document</w:t>
      </w:r>
      <w:r w:rsidRPr="00687EE7">
        <w:rPr>
          <w:b/>
          <w:i/>
        </w:rPr>
        <w:t>, which takes account of national situations and respects Member States' competences</w:t>
      </w:r>
      <w:r w:rsidRPr="00687EE7">
        <w:t xml:space="preserve">. </w:t>
      </w:r>
      <w:r w:rsidRPr="00687EE7">
        <w:rPr>
          <w:i/>
        </w:rPr>
        <w:t>Its</w:t>
      </w:r>
      <w:r w:rsidRPr="00687EE7">
        <w:rPr>
          <w:b/>
          <w:i/>
        </w:rPr>
        <w:t xml:space="preserve"> scope and </w:t>
      </w:r>
      <w:r w:rsidRPr="00687EE7">
        <w:rPr>
          <w:i/>
        </w:rPr>
        <w:t>content may be adapted to suit the duration of the mobility and the particularities of the various educational, training and youth activities as well as the needs of the participants. Although primarily addressing mobility for learning purposes, it is felt that</w:t>
      </w:r>
      <w:r w:rsidRPr="00687EE7">
        <w:rPr>
          <w:b/>
          <w:i/>
        </w:rPr>
        <w:t xml:space="preserve"> this guidance could </w:t>
      </w:r>
      <w:r w:rsidRPr="00687EE7">
        <w:rPr>
          <w:i/>
        </w:rPr>
        <w:t>also be useful for other types of mobility, such as mobility for work.</w:t>
      </w:r>
      <w:r w:rsidRPr="00687EE7">
        <w:rPr>
          <w:b/>
          <w:bCs/>
        </w:rPr>
        <w:br w:type="page"/>
        <w:t>1.</w:t>
      </w:r>
      <w:r w:rsidRPr="00687EE7">
        <w:rPr>
          <w:b/>
          <w:bCs/>
        </w:rPr>
        <w:tab/>
      </w:r>
      <w:r w:rsidRPr="00687EE7">
        <w:rPr>
          <w:b/>
          <w:bCs/>
          <w:u w:val="single"/>
        </w:rPr>
        <w:t>Information</w:t>
      </w:r>
      <w:r w:rsidRPr="00687EE7">
        <w:rPr>
          <w:b/>
          <w:bCs/>
        </w:rPr>
        <w:t xml:space="preserve"> and </w:t>
      </w:r>
      <w:r w:rsidRPr="00687EE7">
        <w:rPr>
          <w:b/>
          <w:bCs/>
          <w:u w:val="single"/>
        </w:rPr>
        <w:t>guidance</w:t>
      </w:r>
      <w:r w:rsidRPr="00687EE7">
        <w:rPr>
          <w:b/>
          <w:bCs/>
        </w:rPr>
        <w:t xml:space="preserve"> </w:t>
      </w:r>
    </w:p>
    <w:p w:rsidR="004E0123" w:rsidRPr="00687EE7" w:rsidRDefault="004E0123" w:rsidP="004E0123">
      <w:r w:rsidRPr="00687EE7">
        <w:t xml:space="preserve">Potential candidates for mobility should have access to reliable sources of </w:t>
      </w:r>
      <w:r w:rsidRPr="00687EE7">
        <w:rPr>
          <w:b/>
        </w:rPr>
        <w:t>information</w:t>
      </w:r>
      <w:r w:rsidRPr="00687EE7">
        <w:t xml:space="preserve"> </w:t>
      </w:r>
      <w:r w:rsidRPr="00687EE7">
        <w:rPr>
          <w:b/>
        </w:rPr>
        <w:t>and guidance</w:t>
      </w:r>
      <w:r w:rsidRPr="00687EE7">
        <w:t xml:space="preserve"> on opportunities for mobility and the conditions in which it can be taken up.</w:t>
      </w:r>
    </w:p>
    <w:p w:rsidR="004E0123" w:rsidRPr="00687EE7" w:rsidRDefault="004E0123" w:rsidP="004E0123">
      <w:pPr>
        <w:rPr>
          <w:b/>
          <w:bCs/>
        </w:rPr>
      </w:pPr>
    </w:p>
    <w:p w:rsidR="004E0123" w:rsidRPr="00687EE7" w:rsidRDefault="004E0123" w:rsidP="004E0123">
      <w:pPr>
        <w:rPr>
          <w:b/>
          <w:bCs/>
        </w:rPr>
      </w:pPr>
      <w:r w:rsidRPr="00687EE7">
        <w:rPr>
          <w:b/>
          <w:bCs/>
        </w:rPr>
        <w:t>2.</w:t>
      </w:r>
      <w:r w:rsidRPr="00687EE7">
        <w:rPr>
          <w:b/>
          <w:bCs/>
        </w:rPr>
        <w:tab/>
        <w:t>Learning plan</w:t>
      </w:r>
    </w:p>
    <w:p w:rsidR="004E0123" w:rsidRPr="00687EE7" w:rsidRDefault="004E0123" w:rsidP="004E0123">
      <w:r w:rsidRPr="00687EE7">
        <w:t xml:space="preserve">Before undertaking </w:t>
      </w:r>
      <w:r w:rsidR="00A15054" w:rsidRPr="00687EE7">
        <w:t xml:space="preserve">[…] </w:t>
      </w:r>
      <w:r w:rsidRPr="00687EE7">
        <w:t xml:space="preserve">mobility for education or training purposes, a learning plan should be drawn up and agreed by </w:t>
      </w:r>
      <w:r w:rsidR="00A15054" w:rsidRPr="00687EE7">
        <w:t xml:space="preserve">[…] </w:t>
      </w:r>
      <w:r w:rsidRPr="00687EE7">
        <w:t xml:space="preserve">the sending and hosting organisations and the participants. </w:t>
      </w:r>
      <w:r w:rsidRPr="00687EE7">
        <w:rPr>
          <w:b/>
        </w:rPr>
        <w:t>A learning plan is particularly important in the case of long-term mobility and may also be useful in that of short-term mobility.</w:t>
      </w:r>
      <w:r w:rsidRPr="00687EE7">
        <w:t xml:space="preserve"> The plan</w:t>
      </w:r>
      <w:r w:rsidRPr="00687EE7">
        <w:rPr>
          <w:b/>
        </w:rPr>
        <w:t xml:space="preserve"> </w:t>
      </w:r>
      <w:r w:rsidRPr="00687EE7">
        <w:t xml:space="preserve">should outline the objectives and expected </w:t>
      </w:r>
      <w:r w:rsidRPr="00687EE7">
        <w:rPr>
          <w:b/>
        </w:rPr>
        <w:t xml:space="preserve">learning </w:t>
      </w:r>
      <w:r w:rsidRPr="00687EE7">
        <w:t xml:space="preserve">outcomes, as well as how these would be achieved </w:t>
      </w:r>
      <w:r w:rsidRPr="00687EE7">
        <w:rPr>
          <w:b/>
        </w:rPr>
        <w:t>and implemented. Any significant modification of the learning plan should be agreed by all parties. When drawing up the learning plan, the issues of reintegration into the home country and evaluation should be borne in mind.</w:t>
      </w:r>
    </w:p>
    <w:p w:rsidR="004E0123" w:rsidRPr="00687EE7" w:rsidRDefault="004E0123" w:rsidP="004E0123">
      <w:pPr>
        <w:spacing w:line="240" w:lineRule="auto"/>
      </w:pPr>
    </w:p>
    <w:p w:rsidR="004E0123" w:rsidRPr="00687EE7" w:rsidRDefault="004E0123" w:rsidP="004E0123">
      <w:pPr>
        <w:rPr>
          <w:b/>
          <w:bCs/>
        </w:rPr>
      </w:pPr>
      <w:r w:rsidRPr="00687EE7">
        <w:rPr>
          <w:b/>
          <w:bCs/>
        </w:rPr>
        <w:t>3.</w:t>
      </w:r>
      <w:r w:rsidRPr="00687EE7">
        <w:rPr>
          <w:b/>
          <w:bCs/>
        </w:rPr>
        <w:tab/>
        <w:t xml:space="preserve">Personalisation </w:t>
      </w:r>
      <w:r w:rsidR="00AA46CC" w:rsidRPr="00687EE7">
        <w:rPr>
          <w:rStyle w:val="Fotnotsreferens"/>
          <w:b w:val="0"/>
          <w:bCs/>
        </w:rPr>
        <w:footnoteReference w:id="18"/>
      </w:r>
    </w:p>
    <w:p w:rsidR="004E0123" w:rsidRPr="00687EE7" w:rsidRDefault="004E0123" w:rsidP="004E0123">
      <w:r w:rsidRPr="00687EE7">
        <w:t xml:space="preserve">Mobility undertaken for education or training purposes should fit in as much as possible with the personal learning pathways, skills and motivation of the participants, and </w:t>
      </w:r>
      <w:r w:rsidRPr="00687EE7">
        <w:rPr>
          <w:b/>
        </w:rPr>
        <w:t>should</w:t>
      </w:r>
      <w:r w:rsidR="00A15054" w:rsidRPr="00687EE7">
        <w:t xml:space="preserve"> […]</w:t>
      </w:r>
      <w:r w:rsidRPr="00687EE7">
        <w:t xml:space="preserve"> develop or supplement them.</w:t>
      </w:r>
    </w:p>
    <w:p w:rsidR="004E0123" w:rsidRPr="00687EE7" w:rsidRDefault="004E0123" w:rsidP="004E0123">
      <w:pPr>
        <w:rPr>
          <w:b/>
          <w:bCs/>
        </w:rPr>
      </w:pPr>
    </w:p>
    <w:p w:rsidR="004E0123" w:rsidRPr="00687EE7" w:rsidRDefault="004E0123" w:rsidP="004E0123">
      <w:pPr>
        <w:rPr>
          <w:b/>
          <w:bCs/>
          <w:szCs w:val="24"/>
          <w:vertAlign w:val="superscript"/>
        </w:rPr>
      </w:pPr>
      <w:r w:rsidRPr="00687EE7">
        <w:rPr>
          <w:b/>
          <w:bCs/>
        </w:rPr>
        <w:t>4.</w:t>
      </w:r>
      <w:r w:rsidRPr="00687EE7">
        <w:rPr>
          <w:b/>
          <w:bCs/>
        </w:rPr>
        <w:tab/>
        <w:t>General preparation</w:t>
      </w:r>
      <w:r w:rsidR="00AA46CC" w:rsidRPr="00687EE7">
        <w:rPr>
          <w:b/>
          <w:bCs/>
        </w:rPr>
        <w:t xml:space="preserve"> </w:t>
      </w:r>
      <w:r w:rsidR="00584823" w:rsidRPr="00687EE7">
        <w:rPr>
          <w:b/>
          <w:bCs/>
          <w:szCs w:val="24"/>
          <w:vertAlign w:val="superscript"/>
        </w:rPr>
        <w:t>18</w:t>
      </w:r>
    </w:p>
    <w:p w:rsidR="004E0123" w:rsidRPr="00687EE7" w:rsidRDefault="004E0123" w:rsidP="004E0123">
      <w:r w:rsidRPr="00687EE7">
        <w:t xml:space="preserve">Prior preparation of the participants is </w:t>
      </w:r>
      <w:r w:rsidRPr="00687EE7">
        <w:rPr>
          <w:b/>
        </w:rPr>
        <w:t>advisable</w:t>
      </w:r>
      <w:r w:rsidR="00584823" w:rsidRPr="00687EE7">
        <w:rPr>
          <w:b/>
        </w:rPr>
        <w:t>,</w:t>
      </w:r>
      <w:r w:rsidR="00A15054" w:rsidRPr="00687EE7">
        <w:t xml:space="preserve"> </w:t>
      </w:r>
      <w:r w:rsidRPr="00687EE7">
        <w:t xml:space="preserve">and should be tailored to their specific needs. It should include linguistic, pedagogical, </w:t>
      </w:r>
      <w:r w:rsidR="00584823" w:rsidRPr="00687EE7">
        <w:t xml:space="preserve">[…] </w:t>
      </w:r>
      <w:r w:rsidRPr="00687EE7">
        <w:t>administrative, legal, personal</w:t>
      </w:r>
      <w:r w:rsidR="00AA46CC" w:rsidRPr="00687EE7">
        <w:t xml:space="preserve"> </w:t>
      </w:r>
      <w:r w:rsidR="00AA46CC" w:rsidRPr="00687EE7">
        <w:rPr>
          <w:b/>
        </w:rPr>
        <w:t>and</w:t>
      </w:r>
      <w:r w:rsidRPr="00687EE7">
        <w:t xml:space="preserve"> cultural </w:t>
      </w:r>
      <w:r w:rsidR="00AA46CC" w:rsidRPr="00687EE7">
        <w:rPr>
          <w:b/>
        </w:rPr>
        <w:t>aspects</w:t>
      </w:r>
      <w:r w:rsidR="00584823" w:rsidRPr="00687EE7">
        <w:rPr>
          <w:b/>
        </w:rPr>
        <w:t>,</w:t>
      </w:r>
      <w:r w:rsidR="00AA46CC" w:rsidRPr="00687EE7">
        <w:rPr>
          <w:b/>
        </w:rPr>
        <w:t xml:space="preserve"> and information on </w:t>
      </w:r>
      <w:r w:rsidRPr="00687EE7">
        <w:t>financial aspects, as necessary.</w:t>
      </w:r>
    </w:p>
    <w:p w:rsidR="004E0123" w:rsidRPr="00687EE7" w:rsidRDefault="004E0123" w:rsidP="004E0123"/>
    <w:p w:rsidR="004E0123" w:rsidRPr="00687EE7" w:rsidRDefault="004E0123" w:rsidP="004E0123">
      <w:pPr>
        <w:rPr>
          <w:b/>
          <w:bCs/>
        </w:rPr>
      </w:pPr>
      <w:r w:rsidRPr="00687EE7">
        <w:rPr>
          <w:b/>
          <w:bCs/>
        </w:rPr>
        <w:br w:type="page"/>
      </w:r>
    </w:p>
    <w:p w:rsidR="004E0123" w:rsidRPr="00687EE7" w:rsidRDefault="004E0123" w:rsidP="004E0123">
      <w:r w:rsidRPr="00687EE7">
        <w:rPr>
          <w:b/>
          <w:bCs/>
        </w:rPr>
        <w:t>5.</w:t>
      </w:r>
      <w:r w:rsidRPr="00687EE7">
        <w:rPr>
          <w:b/>
          <w:bCs/>
        </w:rPr>
        <w:tab/>
        <w:t>Linguistic aspects</w:t>
      </w:r>
      <w:r w:rsidR="00AA46CC" w:rsidRPr="00687EE7">
        <w:rPr>
          <w:b/>
          <w:bCs/>
        </w:rPr>
        <w:t xml:space="preserve"> </w:t>
      </w:r>
      <w:r w:rsidR="00AA46CC" w:rsidRPr="00687EE7">
        <w:rPr>
          <w:rStyle w:val="Fotnotsreferens"/>
          <w:b w:val="0"/>
          <w:bCs/>
        </w:rPr>
        <w:footnoteReference w:id="19"/>
      </w:r>
    </w:p>
    <w:p w:rsidR="004E0123" w:rsidRPr="00687EE7" w:rsidRDefault="004E0123" w:rsidP="004E0123">
      <w:r w:rsidRPr="00687EE7">
        <w:t xml:space="preserve">Language skills are </w:t>
      </w:r>
      <w:r w:rsidRPr="00687EE7">
        <w:rPr>
          <w:b/>
        </w:rPr>
        <w:t>important</w:t>
      </w:r>
      <w:r w:rsidR="00A15054" w:rsidRPr="00687EE7">
        <w:t xml:space="preserve"> </w:t>
      </w:r>
      <w:r w:rsidRPr="00687EE7">
        <w:t>for effective learning</w:t>
      </w:r>
      <w:r w:rsidRPr="00687EE7">
        <w:rPr>
          <w:b/>
        </w:rPr>
        <w:t>, intercultural communication and a better understanding of the host country's culture</w:t>
      </w:r>
      <w:r w:rsidRPr="00687EE7">
        <w:t xml:space="preserve">. Participants, and their sending and host institutions, should pay special attention to </w:t>
      </w:r>
      <w:r w:rsidRPr="00687EE7">
        <w:rPr>
          <w:b/>
        </w:rPr>
        <w:t>appropriate</w:t>
      </w:r>
      <w:r w:rsidRPr="00687EE7">
        <w:t xml:space="preserve"> linguistic preparation. </w:t>
      </w:r>
      <w:r w:rsidRPr="00687EE7">
        <w:rPr>
          <w:b/>
        </w:rPr>
        <w:t xml:space="preserve">Wherever possible, </w:t>
      </w:r>
      <w:r w:rsidRPr="00687EE7">
        <w:t>mobility arrangements should include:</w:t>
      </w:r>
    </w:p>
    <w:p w:rsidR="004E0123" w:rsidRPr="00687EE7" w:rsidRDefault="004E0123" w:rsidP="004E0123"/>
    <w:p w:rsidR="004E0123" w:rsidRPr="00687EE7" w:rsidRDefault="004E0123" w:rsidP="004E0123">
      <w:pPr>
        <w:pStyle w:val="Punktlista"/>
        <w:spacing w:before="0" w:after="0" w:line="360" w:lineRule="auto"/>
        <w:ind w:left="284" w:hanging="284"/>
        <w:jc w:val="left"/>
      </w:pPr>
      <w:r w:rsidRPr="00687EE7">
        <w:t>before departure, language assessment and the opportunity to follow courses in the language of the host country and</w:t>
      </w:r>
      <w:r w:rsidRPr="00687EE7">
        <w:rPr>
          <w:b/>
        </w:rPr>
        <w:t>/or</w:t>
      </w:r>
      <w:r w:rsidRPr="00687EE7">
        <w:t xml:space="preserve"> the language of instruction, if different;</w:t>
      </w:r>
    </w:p>
    <w:p w:rsidR="004E0123" w:rsidRPr="00687EE7" w:rsidRDefault="004E0123" w:rsidP="004E0123">
      <w:pPr>
        <w:pStyle w:val="Punktlista"/>
        <w:numPr>
          <w:ilvl w:val="0"/>
          <w:numId w:val="0"/>
        </w:numPr>
        <w:spacing w:before="0" w:after="0"/>
      </w:pPr>
    </w:p>
    <w:p w:rsidR="004E0123" w:rsidRPr="00687EE7" w:rsidRDefault="004E0123" w:rsidP="004E0123">
      <w:pPr>
        <w:pStyle w:val="Punktlista"/>
        <w:spacing w:before="0" w:after="0" w:line="360" w:lineRule="auto"/>
        <w:ind w:left="284" w:hanging="284"/>
      </w:pPr>
      <w:r w:rsidRPr="00687EE7">
        <w:t>in the host country, linguistic support and advice.</w:t>
      </w:r>
    </w:p>
    <w:p w:rsidR="004E0123" w:rsidRPr="00687EE7" w:rsidRDefault="004E0123" w:rsidP="004E0123">
      <w:pPr>
        <w:pStyle w:val="Punktlista"/>
        <w:numPr>
          <w:ilvl w:val="0"/>
          <w:numId w:val="0"/>
        </w:numPr>
      </w:pPr>
    </w:p>
    <w:p w:rsidR="004E0123" w:rsidRPr="00687EE7" w:rsidRDefault="004E0123" w:rsidP="004E0123">
      <w:pPr>
        <w:rPr>
          <w:b/>
          <w:bCs/>
        </w:rPr>
      </w:pPr>
      <w:r w:rsidRPr="00687EE7">
        <w:rPr>
          <w:b/>
          <w:bCs/>
        </w:rPr>
        <w:t>6.</w:t>
      </w:r>
      <w:r w:rsidRPr="00687EE7">
        <w:rPr>
          <w:b/>
          <w:bCs/>
        </w:rPr>
        <w:tab/>
        <w:t>Logistical support</w:t>
      </w:r>
    </w:p>
    <w:p w:rsidR="004E0123" w:rsidRPr="00687EE7" w:rsidRDefault="004E0123" w:rsidP="004E0123">
      <w:pPr>
        <w:rPr>
          <w:b/>
        </w:rPr>
      </w:pPr>
      <w:r w:rsidRPr="00687EE7">
        <w:rPr>
          <w:b/>
        </w:rPr>
        <w:t>Where necessary,</w:t>
      </w:r>
      <w:r w:rsidR="00A15054" w:rsidRPr="00687EE7">
        <w:t xml:space="preserve"> </w:t>
      </w:r>
      <w:r w:rsidRPr="00687EE7">
        <w:t xml:space="preserve">logistical support </w:t>
      </w:r>
      <w:r w:rsidRPr="00687EE7">
        <w:rPr>
          <w:b/>
        </w:rPr>
        <w:t>could</w:t>
      </w:r>
      <w:r w:rsidRPr="00687EE7">
        <w:t xml:space="preserve"> be provided to the participants. This could include information and assistance with travel arrangements, insurance, residence or work permits, social security, accommodation, and any other practical aspects, including safety issues relevant to their stay</w:t>
      </w:r>
      <w:r w:rsidRPr="00687EE7">
        <w:rPr>
          <w:b/>
        </w:rPr>
        <w:t>, as appropriate</w:t>
      </w:r>
      <w:r w:rsidRPr="00687EE7">
        <w:t xml:space="preserve">. </w:t>
      </w:r>
    </w:p>
    <w:p w:rsidR="004E0123" w:rsidRPr="00687EE7" w:rsidRDefault="004E0123" w:rsidP="004E0123">
      <w:r w:rsidRPr="00687EE7">
        <w:t xml:space="preserve"> </w:t>
      </w:r>
    </w:p>
    <w:p w:rsidR="004E0123" w:rsidRPr="00687EE7" w:rsidRDefault="004E0123" w:rsidP="004E0123">
      <w:pPr>
        <w:rPr>
          <w:b/>
          <w:bCs/>
          <w:szCs w:val="24"/>
          <w:vertAlign w:val="superscript"/>
        </w:rPr>
      </w:pPr>
      <w:r w:rsidRPr="00687EE7">
        <w:rPr>
          <w:b/>
          <w:bCs/>
        </w:rPr>
        <w:t>7.</w:t>
      </w:r>
      <w:r w:rsidRPr="00687EE7">
        <w:rPr>
          <w:b/>
          <w:bCs/>
        </w:rPr>
        <w:tab/>
        <w:t>Mentoring</w:t>
      </w:r>
      <w:r w:rsidR="00AA46CC" w:rsidRPr="00687EE7">
        <w:rPr>
          <w:b/>
          <w:bCs/>
        </w:rPr>
        <w:t xml:space="preserve"> </w:t>
      </w:r>
      <w:r w:rsidR="00584823" w:rsidRPr="00687EE7">
        <w:rPr>
          <w:b/>
          <w:bCs/>
          <w:szCs w:val="24"/>
          <w:vertAlign w:val="superscript"/>
        </w:rPr>
        <w:t>19</w:t>
      </w:r>
    </w:p>
    <w:p w:rsidR="004E0123" w:rsidRPr="00687EE7" w:rsidRDefault="004E0123" w:rsidP="004E0123">
      <w:r w:rsidRPr="00687EE7">
        <w:t xml:space="preserve">The hosting organisation (educational establishment, youth organisation, company, etc.) should provide </w:t>
      </w:r>
      <w:r w:rsidRPr="00687EE7">
        <w:rPr>
          <w:b/>
        </w:rPr>
        <w:t>schemes such as mentoring to advise</w:t>
      </w:r>
      <w:r w:rsidR="00A15054" w:rsidRPr="00687EE7">
        <w:t xml:space="preserve"> […]</w:t>
      </w:r>
      <w:r w:rsidRPr="00687EE7">
        <w:t xml:space="preserve"> participants </w:t>
      </w:r>
      <w:r w:rsidRPr="00687EE7">
        <w:rPr>
          <w:b/>
        </w:rPr>
        <w:t>and help</w:t>
      </w:r>
      <w:r w:rsidRPr="00687EE7">
        <w:t xml:space="preserve"> with their effective integration into the host environment</w:t>
      </w:r>
      <w:r w:rsidRPr="00687EE7">
        <w:rPr>
          <w:b/>
        </w:rPr>
        <w:t>, as well as</w:t>
      </w:r>
      <w:r w:rsidR="00A15054" w:rsidRPr="00687EE7">
        <w:t xml:space="preserve"> […]</w:t>
      </w:r>
      <w:r w:rsidRPr="00687EE7">
        <w:t xml:space="preserve"> act as a contact </w:t>
      </w:r>
      <w:r w:rsidRPr="00687EE7">
        <w:rPr>
          <w:b/>
        </w:rPr>
        <w:t>point</w:t>
      </w:r>
      <w:r w:rsidR="00A15054" w:rsidRPr="00687EE7">
        <w:t xml:space="preserve"> […]</w:t>
      </w:r>
      <w:r w:rsidRPr="00687EE7">
        <w:t xml:space="preserve"> for obtaining </w:t>
      </w:r>
      <w:r w:rsidRPr="00687EE7">
        <w:rPr>
          <w:b/>
        </w:rPr>
        <w:t>ongoing</w:t>
      </w:r>
      <w:r w:rsidR="00A51DF8" w:rsidRPr="00687EE7">
        <w:t xml:space="preserve"> […]</w:t>
      </w:r>
      <w:r w:rsidRPr="00687EE7">
        <w:t xml:space="preserve"> assistance.</w:t>
      </w:r>
      <w:r w:rsidRPr="00687EE7">
        <w:rPr>
          <w:rStyle w:val="Fotnotsreferens"/>
        </w:rPr>
        <w:footnoteReference w:id="20"/>
      </w:r>
    </w:p>
    <w:p w:rsidR="004E0123" w:rsidRPr="00687EE7" w:rsidRDefault="004E0123" w:rsidP="004E0123"/>
    <w:p w:rsidR="004E0123" w:rsidRPr="00687EE7" w:rsidRDefault="004E0123" w:rsidP="004E0123">
      <w:pPr>
        <w:rPr>
          <w:b/>
          <w:bCs/>
        </w:rPr>
      </w:pPr>
      <w:r w:rsidRPr="00687EE7">
        <w:rPr>
          <w:b/>
          <w:bCs/>
        </w:rPr>
        <w:br w:type="page"/>
      </w:r>
      <w:bookmarkStart w:id="17" w:name="ControlPages"/>
      <w:bookmarkEnd w:id="17"/>
      <w:r w:rsidRPr="00687EE7">
        <w:rPr>
          <w:b/>
          <w:bCs/>
        </w:rPr>
        <w:t>8.</w:t>
      </w:r>
      <w:r w:rsidRPr="00687EE7">
        <w:rPr>
          <w:b/>
          <w:bCs/>
        </w:rPr>
        <w:tab/>
        <w:t xml:space="preserve">Recognition </w:t>
      </w:r>
    </w:p>
    <w:p w:rsidR="004E0123" w:rsidRPr="00687EE7" w:rsidRDefault="004E0123" w:rsidP="004E0123">
      <w:r w:rsidRPr="00687EE7">
        <w:t xml:space="preserve">If a study or placement period abroad is an integral part of a formal study or training programme, this fact should be stated in the learning plan, and participants should be provided with assistance to </w:t>
      </w:r>
      <w:r w:rsidRPr="00687EE7">
        <w:rPr>
          <w:b/>
        </w:rPr>
        <w:t>facilitate</w:t>
      </w:r>
      <w:r w:rsidR="00A15054" w:rsidRPr="00687EE7">
        <w:t xml:space="preserve"> </w:t>
      </w:r>
      <w:r w:rsidRPr="00687EE7">
        <w:t>recognition and certification</w:t>
      </w:r>
      <w:r w:rsidR="00584823" w:rsidRPr="00687EE7">
        <w:rPr>
          <w:b/>
        </w:rPr>
        <w:t>,</w:t>
      </w:r>
      <w:r w:rsidRPr="00687EE7">
        <w:t xml:space="preserve"> </w:t>
      </w:r>
      <w:r w:rsidRPr="00687EE7">
        <w:rPr>
          <w:b/>
        </w:rPr>
        <w:t>where appropriate</w:t>
      </w:r>
      <w:r w:rsidRPr="00687EE7">
        <w:t>.</w:t>
      </w:r>
      <w:r w:rsidRPr="00687EE7">
        <w:rPr>
          <w:b/>
        </w:rPr>
        <w:t xml:space="preserve"> In the learning plan the sending organisation should undertake to recognise any successful period of mobility. </w:t>
      </w:r>
      <w:r w:rsidRPr="00687EE7">
        <w:t xml:space="preserve">For other types of mobility, and particularly those in the context of non-formal education and training, </w:t>
      </w:r>
      <w:r w:rsidR="00E12E65" w:rsidRPr="00687EE7">
        <w:rPr>
          <w:b/>
        </w:rPr>
        <w:t xml:space="preserve">an appropriate document </w:t>
      </w:r>
      <w:r w:rsidRPr="00687EE7">
        <w:t>should be issued so that the participant is able to demonstrate his or her active participation and learning outcomes in a satisfactory and credible way.</w:t>
      </w:r>
    </w:p>
    <w:p w:rsidR="004E0123" w:rsidRPr="00687EE7" w:rsidRDefault="004E0123" w:rsidP="004E0123">
      <w:pPr>
        <w:rPr>
          <w:b/>
          <w:bCs/>
        </w:rPr>
      </w:pPr>
    </w:p>
    <w:p w:rsidR="004E0123" w:rsidRPr="00687EE7" w:rsidRDefault="004E0123" w:rsidP="004E0123">
      <w:pPr>
        <w:rPr>
          <w:b/>
          <w:bCs/>
        </w:rPr>
      </w:pPr>
      <w:r w:rsidRPr="00687EE7">
        <w:rPr>
          <w:b/>
          <w:bCs/>
        </w:rPr>
        <w:t>In this context, use of the "Europass" should be encouraged.</w:t>
      </w:r>
    </w:p>
    <w:p w:rsidR="004E0123" w:rsidRPr="00687EE7" w:rsidRDefault="004E0123" w:rsidP="004E0123">
      <w:pPr>
        <w:rPr>
          <w:b/>
          <w:bCs/>
        </w:rPr>
      </w:pPr>
    </w:p>
    <w:p w:rsidR="004E0123" w:rsidRPr="00687EE7" w:rsidRDefault="004E0123" w:rsidP="004E0123">
      <w:pPr>
        <w:rPr>
          <w:b/>
          <w:bCs/>
        </w:rPr>
      </w:pPr>
      <w:r w:rsidRPr="00687EE7">
        <w:rPr>
          <w:b/>
          <w:bCs/>
        </w:rPr>
        <w:t>9.</w:t>
      </w:r>
      <w:r w:rsidRPr="00687EE7">
        <w:rPr>
          <w:b/>
          <w:bCs/>
        </w:rPr>
        <w:tab/>
        <w:t>Reintegration</w:t>
      </w:r>
      <w:r w:rsidR="00E12E65" w:rsidRPr="00687EE7">
        <w:rPr>
          <w:b/>
          <w:bCs/>
        </w:rPr>
        <w:t xml:space="preserve"> and </w:t>
      </w:r>
      <w:r w:rsidR="00584823" w:rsidRPr="00687EE7">
        <w:rPr>
          <w:b/>
          <w:bCs/>
        </w:rPr>
        <w:t>e</w:t>
      </w:r>
      <w:r w:rsidR="00E12E65" w:rsidRPr="00687EE7">
        <w:rPr>
          <w:b/>
          <w:bCs/>
        </w:rPr>
        <w:t xml:space="preserve">valuation </w:t>
      </w:r>
      <w:r w:rsidR="00E12E65" w:rsidRPr="00687EE7">
        <w:rPr>
          <w:rStyle w:val="Fotnotsreferens"/>
          <w:b w:val="0"/>
          <w:bCs/>
        </w:rPr>
        <w:footnoteReference w:id="21"/>
      </w:r>
    </w:p>
    <w:p w:rsidR="004E0123" w:rsidRPr="00687EE7" w:rsidRDefault="004E0123" w:rsidP="004E0123">
      <w:r w:rsidRPr="00687EE7">
        <w:t>On return to their home country,</w:t>
      </w:r>
      <w:r w:rsidRPr="00687EE7">
        <w:rPr>
          <w:b/>
        </w:rPr>
        <w:t xml:space="preserve"> particularly after long-term mobility, </w:t>
      </w:r>
      <w:r w:rsidRPr="00687EE7">
        <w:t xml:space="preserve">participants should be given guidance on how to make use of competences and skills acquired during the stay. </w:t>
      </w:r>
      <w:r w:rsidRPr="00687EE7">
        <w:rPr>
          <w:b/>
        </w:rPr>
        <w:t>Where necessary,</w:t>
      </w:r>
      <w:r w:rsidR="00F1763A" w:rsidRPr="00687EE7">
        <w:t xml:space="preserve"> […] </w:t>
      </w:r>
      <w:r w:rsidRPr="00687EE7">
        <w:t xml:space="preserve">help with reintegration into the social, educational or professional environment of the home country should be </w:t>
      </w:r>
      <w:r w:rsidRPr="00687EE7">
        <w:rPr>
          <w:b/>
        </w:rPr>
        <w:t xml:space="preserve">made </w:t>
      </w:r>
      <w:r w:rsidRPr="00687EE7">
        <w:t xml:space="preserve">available to people returning after long-term mobility. The experience gained should be properly evaluated by participants, together with the organisations responsible, to assess whether the aims of the learning </w:t>
      </w:r>
      <w:r w:rsidR="00E12E65" w:rsidRPr="00687EE7">
        <w:t>plan</w:t>
      </w:r>
      <w:r w:rsidRPr="00687EE7">
        <w:t xml:space="preserve"> have been met.</w:t>
      </w:r>
    </w:p>
    <w:p w:rsidR="004E0123" w:rsidRPr="00687EE7" w:rsidRDefault="004E0123" w:rsidP="004E0123"/>
    <w:p w:rsidR="004E0123" w:rsidRPr="00687EE7" w:rsidRDefault="004E0123" w:rsidP="004E0123">
      <w:pPr>
        <w:rPr>
          <w:b/>
          <w:bCs/>
        </w:rPr>
      </w:pPr>
      <w:r w:rsidRPr="00687EE7">
        <w:rPr>
          <w:b/>
          <w:bCs/>
        </w:rPr>
        <w:t>10.</w:t>
      </w:r>
      <w:r w:rsidRPr="00687EE7">
        <w:rPr>
          <w:b/>
          <w:bCs/>
        </w:rPr>
        <w:tab/>
        <w:t>Commitments and responsibilities</w:t>
      </w:r>
    </w:p>
    <w:p w:rsidR="004E0123" w:rsidRPr="00687EE7" w:rsidRDefault="004E0123" w:rsidP="004E0123">
      <w:r w:rsidRPr="00687EE7">
        <w:t xml:space="preserve">The responsibilities arising from these quality criteria should be </w:t>
      </w:r>
      <w:r w:rsidRPr="00687EE7">
        <w:rPr>
          <w:b/>
        </w:rPr>
        <w:t>agreed by the sending</w:t>
      </w:r>
      <w:r w:rsidRPr="00687EE7">
        <w:t xml:space="preserve"> </w:t>
      </w:r>
      <w:r w:rsidRPr="00687EE7">
        <w:rPr>
          <w:b/>
        </w:rPr>
        <w:t>and</w:t>
      </w:r>
      <w:r w:rsidRPr="00687EE7">
        <w:t xml:space="preserve"> </w:t>
      </w:r>
      <w:r w:rsidRPr="00687EE7">
        <w:rPr>
          <w:b/>
        </w:rPr>
        <w:t>hosting organisations and the</w:t>
      </w:r>
      <w:r w:rsidR="00F1763A" w:rsidRPr="00687EE7">
        <w:t xml:space="preserve"> </w:t>
      </w:r>
      <w:r w:rsidRPr="00687EE7">
        <w:t xml:space="preserve">participants. They should </w:t>
      </w:r>
      <w:r w:rsidRPr="00687EE7">
        <w:rPr>
          <w:b/>
        </w:rPr>
        <w:t xml:space="preserve">preferably </w:t>
      </w:r>
      <w:r w:rsidRPr="00687EE7">
        <w:t xml:space="preserve">be confirmed in writing, so that responsibilities are clear to all concerned. </w:t>
      </w:r>
    </w:p>
    <w:p w:rsidR="004E0123" w:rsidRPr="00687EE7" w:rsidRDefault="004E0123" w:rsidP="004E0123"/>
    <w:p w:rsidR="004E0123" w:rsidRPr="00687EE7" w:rsidRDefault="004E0123" w:rsidP="004E0123"/>
    <w:p w:rsidR="004E0123" w:rsidRPr="00687EE7" w:rsidRDefault="004E0123" w:rsidP="004E0123">
      <w:pPr>
        <w:jc w:val="center"/>
        <w:rPr>
          <w:u w:val="single"/>
        </w:rPr>
      </w:pPr>
      <w:r w:rsidRPr="00687EE7">
        <w:rPr>
          <w:u w:val="single"/>
        </w:rPr>
        <w:t>______________</w:t>
      </w:r>
    </w:p>
    <w:p w:rsidR="002B28C5" w:rsidRPr="00687EE7" w:rsidRDefault="002B28C5">
      <w:pPr>
        <w:spacing w:line="240" w:lineRule="auto"/>
      </w:pPr>
    </w:p>
    <w:sectPr w:rsidR="002B28C5" w:rsidRPr="00687EE7" w:rsidSect="00A71D5B">
      <w:footerReference w:type="default" r:id="rId10"/>
      <w:pgSz w:w="11907" w:h="1683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DCF" w:rsidRPr="00687EE7" w:rsidRDefault="00680DCF">
      <w:r w:rsidRPr="00687EE7">
        <w:separator/>
      </w:r>
    </w:p>
  </w:endnote>
  <w:endnote w:type="continuationSeparator" w:id="0">
    <w:p w:rsidR="00680DCF" w:rsidRPr="00687EE7" w:rsidRDefault="00680DCF">
      <w:r w:rsidRPr="00687EE7">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E5F" w:rsidRPr="00687EE7" w:rsidRDefault="00715E5F">
    <w:pPr>
      <w:pStyle w:val="Sidfot"/>
      <w:pBdr>
        <w:bottom w:val="single" w:sz="4" w:space="1" w:color="auto"/>
      </w:pBdr>
      <w:spacing w:after="60"/>
    </w:pPr>
  </w:p>
  <w:p w:rsidR="00715E5F" w:rsidRPr="00687EE7" w:rsidRDefault="00715E5F">
    <w:pPr>
      <w:pStyle w:val="Sidfot"/>
    </w:pPr>
    <w:bookmarkStart w:id="11" w:name="CoteFooter"/>
    <w:bookmarkEnd w:id="11"/>
    <w:r w:rsidRPr="00687EE7">
      <w:t>8356/06</w:t>
    </w:r>
    <w:r w:rsidRPr="00687EE7">
      <w:tab/>
    </w:r>
    <w:bookmarkStart w:id="12" w:name="SuplCote"/>
    <w:bookmarkEnd w:id="12"/>
    <w:r w:rsidRPr="00687EE7">
      <w:tab/>
    </w:r>
    <w:bookmarkStart w:id="13" w:name="Init"/>
    <w:bookmarkEnd w:id="13"/>
    <w:r w:rsidRPr="00687EE7">
      <w:t>GN/ag</w:t>
    </w:r>
    <w:r w:rsidRPr="00687EE7">
      <w:tab/>
    </w:r>
    <w:r w:rsidRPr="00687EE7">
      <w:rPr>
        <w:rStyle w:val="Sidnummer"/>
      </w:rPr>
      <w:fldChar w:fldCharType="begin" w:fldLock="1"/>
    </w:r>
    <w:r w:rsidRPr="00687EE7">
      <w:rPr>
        <w:rStyle w:val="Sidnummer"/>
      </w:rPr>
      <w:instrText xml:space="preserve"> PAGE </w:instrText>
    </w:r>
    <w:r w:rsidRPr="00687EE7">
      <w:rPr>
        <w:rStyle w:val="Sidnummer"/>
      </w:rPr>
      <w:fldChar w:fldCharType="separate"/>
    </w:r>
    <w:r w:rsidR="009C7642" w:rsidRPr="00687EE7">
      <w:rPr>
        <w:rStyle w:val="Sidnummer"/>
      </w:rPr>
      <w:t>2</w:t>
    </w:r>
    <w:r w:rsidRPr="00687EE7">
      <w:rPr>
        <w:rStyle w:val="Sidnummer"/>
      </w:rPr>
      <w:fldChar w:fldCharType="end"/>
    </w:r>
  </w:p>
  <w:p w:rsidR="00715E5F" w:rsidRPr="00687EE7" w:rsidRDefault="00715E5F">
    <w:pPr>
      <w:pStyle w:val="Sidfot"/>
      <w:tabs>
        <w:tab w:val="clear" w:pos="7371"/>
      </w:tabs>
      <w:spacing w:line="280" w:lineRule="exact"/>
    </w:pPr>
    <w:r w:rsidRPr="00687EE7">
      <w:tab/>
    </w:r>
    <w:bookmarkStart w:id="14" w:name="DG"/>
    <w:bookmarkEnd w:id="14"/>
    <w:r w:rsidRPr="00687EE7">
      <w:t>DG I</w:t>
    </w:r>
    <w:r w:rsidRPr="00687EE7">
      <w:tab/>
    </w:r>
    <w:bookmarkStart w:id="15" w:name="FooterCoteSec"/>
    <w:r w:rsidRPr="00687EE7">
      <w:rPr>
        <w:b/>
        <w:position w:val="-4"/>
        <w:sz w:val="36"/>
      </w:rPr>
      <w:t xml:space="preserve"> </w:t>
    </w:r>
    <w:bookmarkEnd w:id="15"/>
    <w:r w:rsidRPr="00687EE7">
      <w:rPr>
        <w:b/>
        <w:position w:val="-4"/>
        <w:sz w:val="36"/>
      </w:rPr>
      <w:t>LIMITE</w:t>
    </w:r>
    <w:r w:rsidRPr="00687EE7">
      <w:rPr>
        <w:b/>
        <w:position w:val="-4"/>
        <w:sz w:val="36"/>
      </w:rPr>
      <w:t> </w:t>
    </w:r>
    <w:bookmarkStart w:id="16" w:name="Langue"/>
    <w:r w:rsidRPr="00687EE7">
      <w:rPr>
        <w:b/>
        <w:position w:val="-4"/>
        <w:sz w:val="36"/>
      </w:rPr>
      <w:t>EN</w:t>
    </w:r>
    <w:bookmarkEnd w:id="1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123" w:rsidRPr="00687EE7" w:rsidRDefault="004E0123">
    <w:pPr>
      <w:pStyle w:val="Sidfot"/>
      <w:pBdr>
        <w:bottom w:val="single" w:sz="4" w:space="1" w:color="auto"/>
      </w:pBdr>
      <w:spacing w:after="60"/>
    </w:pPr>
  </w:p>
  <w:p w:rsidR="004E0123" w:rsidRPr="00687EE7" w:rsidRDefault="009C7642">
    <w:pPr>
      <w:pStyle w:val="Sidfot"/>
    </w:pPr>
    <w:r w:rsidRPr="00687EE7">
      <w:t>8356/06</w:t>
    </w:r>
    <w:r w:rsidR="004E0123" w:rsidRPr="00687EE7">
      <w:tab/>
    </w:r>
    <w:r w:rsidR="004E0123" w:rsidRPr="00687EE7">
      <w:tab/>
      <w:t>GN/</w:t>
    </w:r>
    <w:r w:rsidR="00B329CA" w:rsidRPr="00687EE7">
      <w:t>ag</w:t>
    </w:r>
    <w:r w:rsidR="004E0123" w:rsidRPr="00687EE7">
      <w:tab/>
    </w:r>
    <w:r w:rsidR="004E0123" w:rsidRPr="00687EE7">
      <w:rPr>
        <w:rStyle w:val="Sidnummer"/>
      </w:rPr>
      <w:fldChar w:fldCharType="begin" w:fldLock="1"/>
    </w:r>
    <w:r w:rsidR="004E0123" w:rsidRPr="00687EE7">
      <w:rPr>
        <w:rStyle w:val="Sidnummer"/>
      </w:rPr>
      <w:instrText xml:space="preserve"> PAGE </w:instrText>
    </w:r>
    <w:r w:rsidR="004E0123" w:rsidRPr="00687EE7">
      <w:rPr>
        <w:rStyle w:val="Sidnummer"/>
      </w:rPr>
      <w:fldChar w:fldCharType="separate"/>
    </w:r>
    <w:r w:rsidRPr="00687EE7">
      <w:rPr>
        <w:rStyle w:val="Sidnummer"/>
      </w:rPr>
      <w:t>7</w:t>
    </w:r>
    <w:r w:rsidR="004E0123" w:rsidRPr="00687EE7">
      <w:rPr>
        <w:rStyle w:val="Sidnummer"/>
      </w:rPr>
      <w:fldChar w:fldCharType="end"/>
    </w:r>
  </w:p>
  <w:p w:rsidR="004E0123" w:rsidRPr="00687EE7" w:rsidRDefault="004E0123">
    <w:pPr>
      <w:pStyle w:val="Sidfot"/>
      <w:tabs>
        <w:tab w:val="clear" w:pos="7371"/>
      </w:tabs>
      <w:spacing w:line="280" w:lineRule="exact"/>
    </w:pPr>
    <w:r w:rsidRPr="00687EE7">
      <w:tab/>
      <w:t>DG I</w:t>
    </w:r>
    <w:r w:rsidRPr="00687EE7">
      <w:tab/>
    </w:r>
    <w:r w:rsidRPr="00687EE7">
      <w:rPr>
        <w:b/>
        <w:position w:val="-4"/>
        <w:sz w:val="36"/>
      </w:rPr>
      <w:t xml:space="preserve"> </w:t>
    </w:r>
    <w:r w:rsidRPr="00687EE7">
      <w:rPr>
        <w:b/>
        <w:position w:val="-4"/>
        <w:sz w:val="36"/>
      </w:rPr>
      <w:t> </w:t>
    </w:r>
    <w:r w:rsidRPr="00687EE7">
      <w:rPr>
        <w:b/>
        <w:position w:val="-4"/>
        <w:sz w:val="36"/>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D5B" w:rsidRPr="00687EE7" w:rsidRDefault="00A71D5B">
    <w:pPr>
      <w:pStyle w:val="Sidfot"/>
      <w:pBdr>
        <w:bottom w:val="single" w:sz="4" w:space="1" w:color="auto"/>
      </w:pBdr>
      <w:spacing w:after="60"/>
    </w:pPr>
  </w:p>
  <w:p w:rsidR="00A71D5B" w:rsidRPr="00687EE7" w:rsidRDefault="009C7642">
    <w:pPr>
      <w:pStyle w:val="Sidfot"/>
    </w:pPr>
    <w:r w:rsidRPr="00687EE7">
      <w:t>8356</w:t>
    </w:r>
    <w:r w:rsidR="00A71D5B" w:rsidRPr="00687EE7">
      <w:t>/0</w:t>
    </w:r>
    <w:r w:rsidRPr="00687EE7">
      <w:t>6</w:t>
    </w:r>
    <w:r w:rsidR="00A71D5B" w:rsidRPr="00687EE7">
      <w:tab/>
    </w:r>
    <w:r w:rsidR="00A71D5B" w:rsidRPr="00687EE7">
      <w:tab/>
      <w:t>GN/</w:t>
    </w:r>
    <w:r w:rsidR="00B329CA" w:rsidRPr="00687EE7">
      <w:t>ag</w:t>
    </w:r>
    <w:r w:rsidR="00A71D5B" w:rsidRPr="00687EE7">
      <w:tab/>
    </w:r>
    <w:r w:rsidR="00A71D5B" w:rsidRPr="00687EE7">
      <w:rPr>
        <w:rStyle w:val="Sidnummer"/>
      </w:rPr>
      <w:fldChar w:fldCharType="begin" w:fldLock="1"/>
    </w:r>
    <w:r w:rsidR="00A71D5B" w:rsidRPr="00687EE7">
      <w:rPr>
        <w:rStyle w:val="Sidnummer"/>
      </w:rPr>
      <w:instrText xml:space="preserve"> PAGE </w:instrText>
    </w:r>
    <w:r w:rsidR="00A71D5B" w:rsidRPr="00687EE7">
      <w:rPr>
        <w:rStyle w:val="Sidnummer"/>
      </w:rPr>
      <w:fldChar w:fldCharType="separate"/>
    </w:r>
    <w:r w:rsidRPr="00687EE7">
      <w:rPr>
        <w:rStyle w:val="Sidnummer"/>
      </w:rPr>
      <w:t>11</w:t>
    </w:r>
    <w:r w:rsidR="00A71D5B" w:rsidRPr="00687EE7">
      <w:rPr>
        <w:rStyle w:val="Sidnummer"/>
      </w:rPr>
      <w:fldChar w:fldCharType="end"/>
    </w:r>
  </w:p>
  <w:p w:rsidR="00A71D5B" w:rsidRPr="00687EE7" w:rsidRDefault="00A71D5B">
    <w:pPr>
      <w:pStyle w:val="Sidfot"/>
      <w:tabs>
        <w:tab w:val="clear" w:pos="7371"/>
      </w:tabs>
      <w:spacing w:line="280" w:lineRule="exact"/>
    </w:pPr>
    <w:r w:rsidRPr="00687EE7">
      <w:t>ANNEX</w:t>
    </w:r>
    <w:r w:rsidRPr="00687EE7">
      <w:tab/>
      <w:t>DG I</w:t>
    </w:r>
    <w:r w:rsidRPr="00687EE7">
      <w:tab/>
    </w:r>
    <w:r w:rsidRPr="00687EE7">
      <w:rPr>
        <w:b/>
        <w:position w:val="-4"/>
        <w:sz w:val="36"/>
      </w:rPr>
      <w:t xml:space="preserve"> </w:t>
    </w:r>
    <w:r w:rsidRPr="00687EE7">
      <w:rPr>
        <w:b/>
        <w:position w:val="-4"/>
        <w:sz w:val="36"/>
      </w:rPr>
      <w:t> </w:t>
    </w:r>
    <w:r w:rsidRPr="00687EE7">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DCF" w:rsidRPr="00687EE7" w:rsidRDefault="00680DCF">
      <w:pPr>
        <w:pStyle w:val="Fotnotstext"/>
      </w:pPr>
      <w:r w:rsidRPr="00687EE7">
        <w:separator/>
      </w:r>
    </w:p>
  </w:footnote>
  <w:footnote w:type="continuationSeparator" w:id="0">
    <w:p w:rsidR="00680DCF" w:rsidRPr="00687EE7" w:rsidRDefault="00680DCF">
      <w:pPr>
        <w:pStyle w:val="Fotnotstext"/>
      </w:pPr>
      <w:r w:rsidRPr="00687EE7">
        <w:separator/>
      </w:r>
    </w:p>
  </w:footnote>
  <w:footnote w:id="1">
    <w:p w:rsidR="003921A9" w:rsidRPr="00687EE7" w:rsidRDefault="003921A9">
      <w:pPr>
        <w:pStyle w:val="Fotnotstext"/>
      </w:pPr>
      <w:r w:rsidRPr="00687EE7">
        <w:rPr>
          <w:rStyle w:val="Fotnotsreferens"/>
        </w:rPr>
        <w:footnoteRef/>
      </w:r>
      <w:r w:rsidRPr="00687EE7">
        <w:t xml:space="preserve"> </w:t>
      </w:r>
      <w:r w:rsidRPr="00687EE7">
        <w:tab/>
        <w:t>Recommendation 2001/613/EC of the European Parliament and of the Council of 10 July 2001 on mobility within the Community for students, persons undergoing training, volunteers, teachers and trainers, OJ L 215, 9.8.2001, p. 30.</w:t>
      </w:r>
    </w:p>
  </w:footnote>
  <w:footnote w:id="2">
    <w:p w:rsidR="00A72586" w:rsidRPr="00687EE7" w:rsidRDefault="00A72586" w:rsidP="00A72586">
      <w:pPr>
        <w:pStyle w:val="Fotnotstext"/>
      </w:pPr>
      <w:r w:rsidRPr="00687EE7">
        <w:rPr>
          <w:rStyle w:val="Fotnotsreferens"/>
        </w:rPr>
        <w:footnoteRef/>
      </w:r>
      <w:r w:rsidRPr="00687EE7">
        <w:t xml:space="preserve"> </w:t>
      </w:r>
      <w:r w:rsidRPr="00687EE7">
        <w:tab/>
        <w:t>CESE 235/2006, SOC/222</w:t>
      </w:r>
    </w:p>
  </w:footnote>
  <w:footnote w:id="3">
    <w:p w:rsidR="00A72586" w:rsidRPr="00687EE7" w:rsidRDefault="00A72586" w:rsidP="00A72586">
      <w:pPr>
        <w:pStyle w:val="Fotnotstext"/>
      </w:pPr>
      <w:r w:rsidRPr="00687EE7">
        <w:rPr>
          <w:rStyle w:val="Fotnotsreferens"/>
        </w:rPr>
        <w:footnoteRef/>
      </w:r>
      <w:r w:rsidRPr="00687EE7">
        <w:t xml:space="preserve"> </w:t>
      </w:r>
      <w:r w:rsidRPr="00687EE7">
        <w:tab/>
        <w:t>Draft Opinion: CdR 34/2006 rev.1, dated 14 March 2006</w:t>
      </w:r>
    </w:p>
    <w:p w:rsidR="003921A9" w:rsidRPr="00687EE7" w:rsidRDefault="003921A9" w:rsidP="00A72586">
      <w:pPr>
        <w:pStyle w:val="Fotnotstext"/>
      </w:pPr>
    </w:p>
  </w:footnote>
  <w:footnote w:id="4">
    <w:p w:rsidR="003921A9" w:rsidRPr="00687EE7" w:rsidRDefault="003921A9">
      <w:pPr>
        <w:pStyle w:val="Fotnotstext"/>
      </w:pPr>
      <w:r w:rsidRPr="00687EE7">
        <w:rPr>
          <w:rStyle w:val="Fotnotsreferens"/>
        </w:rPr>
        <w:footnoteRef/>
      </w:r>
      <w:r w:rsidRPr="00687EE7">
        <w:t xml:space="preserve"> </w:t>
      </w:r>
      <w:r w:rsidRPr="00687EE7">
        <w:tab/>
      </w:r>
      <w:r w:rsidR="005525ED" w:rsidRPr="00687EE7">
        <w:rPr>
          <w:b/>
        </w:rPr>
        <w:t>B</w:t>
      </w:r>
      <w:r w:rsidRPr="00687EE7">
        <w:rPr>
          <w:b/>
        </w:rPr>
        <w:t>old</w:t>
      </w:r>
      <w:r w:rsidR="00941E8D" w:rsidRPr="00687EE7">
        <w:rPr>
          <w:b/>
        </w:rPr>
        <w:t xml:space="preserve">, </w:t>
      </w:r>
      <w:r w:rsidR="00941E8D" w:rsidRPr="00687EE7">
        <w:rPr>
          <w:b/>
          <w:u w:val="single"/>
        </w:rPr>
        <w:t>bold underline</w:t>
      </w:r>
      <w:r w:rsidRPr="00687EE7">
        <w:t xml:space="preserve"> and […] indicate changes to the Commission proposal (doc. 12639/05).</w:t>
      </w:r>
    </w:p>
  </w:footnote>
  <w:footnote w:id="5">
    <w:p w:rsidR="004E0123" w:rsidRPr="00687EE7" w:rsidRDefault="004E0123" w:rsidP="004E0123">
      <w:pPr>
        <w:pStyle w:val="Fotnotstext"/>
      </w:pPr>
      <w:r w:rsidRPr="00687EE7">
        <w:rPr>
          <w:rStyle w:val="Fotnotsreferens"/>
        </w:rPr>
        <w:footnoteRef/>
      </w:r>
      <w:r w:rsidRPr="00687EE7">
        <w:tab/>
      </w:r>
      <w:r w:rsidRPr="00687EE7">
        <w:rPr>
          <w:color w:val="000000"/>
        </w:rPr>
        <w:t xml:space="preserve">OJ C </w:t>
      </w:r>
      <w:r w:rsidRPr="00687EE7">
        <w:rPr>
          <w:rStyle w:val="Marker"/>
          <w:color w:val="000000"/>
        </w:rPr>
        <w:t>[…]</w:t>
      </w:r>
      <w:r w:rsidRPr="00687EE7">
        <w:rPr>
          <w:color w:val="000000"/>
        </w:rPr>
        <w:t xml:space="preserve">, </w:t>
      </w:r>
      <w:r w:rsidRPr="00687EE7">
        <w:rPr>
          <w:rStyle w:val="Marker"/>
          <w:color w:val="000000"/>
        </w:rPr>
        <w:t>[…]</w:t>
      </w:r>
      <w:r w:rsidRPr="00687EE7">
        <w:rPr>
          <w:color w:val="000000"/>
        </w:rPr>
        <w:t xml:space="preserve">, p. </w:t>
      </w:r>
      <w:r w:rsidRPr="00687EE7">
        <w:rPr>
          <w:rStyle w:val="Marker"/>
          <w:color w:val="000000"/>
        </w:rPr>
        <w:t>[…]</w:t>
      </w:r>
      <w:r w:rsidRPr="00687EE7">
        <w:rPr>
          <w:color w:val="000000"/>
        </w:rPr>
        <w:t>.</w:t>
      </w:r>
    </w:p>
  </w:footnote>
  <w:footnote w:id="6">
    <w:p w:rsidR="004E0123" w:rsidRPr="00687EE7" w:rsidRDefault="004E0123" w:rsidP="004E0123">
      <w:pPr>
        <w:pStyle w:val="Fotnotstext"/>
      </w:pPr>
      <w:r w:rsidRPr="00687EE7">
        <w:rPr>
          <w:rStyle w:val="Fotnotsreferens"/>
        </w:rPr>
        <w:footnoteRef/>
      </w:r>
      <w:r w:rsidRPr="00687EE7">
        <w:tab/>
      </w:r>
      <w:r w:rsidRPr="00687EE7">
        <w:rPr>
          <w:color w:val="000000"/>
        </w:rPr>
        <w:t xml:space="preserve">OJ C </w:t>
      </w:r>
      <w:r w:rsidRPr="00687EE7">
        <w:rPr>
          <w:rStyle w:val="Marker"/>
          <w:color w:val="000000"/>
        </w:rPr>
        <w:t>[…]</w:t>
      </w:r>
      <w:r w:rsidRPr="00687EE7">
        <w:rPr>
          <w:color w:val="000000"/>
        </w:rPr>
        <w:t xml:space="preserve">, </w:t>
      </w:r>
      <w:r w:rsidRPr="00687EE7">
        <w:rPr>
          <w:rStyle w:val="Marker"/>
          <w:color w:val="000000"/>
        </w:rPr>
        <w:t>[…]</w:t>
      </w:r>
      <w:r w:rsidRPr="00687EE7">
        <w:rPr>
          <w:color w:val="000000"/>
        </w:rPr>
        <w:t xml:space="preserve">, p. </w:t>
      </w:r>
      <w:r w:rsidRPr="00687EE7">
        <w:rPr>
          <w:rStyle w:val="Marker"/>
          <w:color w:val="000000"/>
        </w:rPr>
        <w:t>[…]</w:t>
      </w:r>
      <w:r w:rsidRPr="00687EE7">
        <w:rPr>
          <w:color w:val="000000"/>
        </w:rPr>
        <w:t>.</w:t>
      </w:r>
    </w:p>
  </w:footnote>
  <w:footnote w:id="7">
    <w:p w:rsidR="004E0123" w:rsidRPr="00687EE7" w:rsidRDefault="004E0123" w:rsidP="004E0123">
      <w:pPr>
        <w:pStyle w:val="Fotnotstext"/>
      </w:pPr>
      <w:r w:rsidRPr="00687EE7">
        <w:rPr>
          <w:rStyle w:val="Fotnotsreferens"/>
        </w:rPr>
        <w:footnoteRef/>
      </w:r>
      <w:r w:rsidRPr="00687EE7">
        <w:tab/>
      </w:r>
      <w:r w:rsidRPr="00687EE7">
        <w:rPr>
          <w:color w:val="000000"/>
        </w:rPr>
        <w:t xml:space="preserve">OJ C </w:t>
      </w:r>
      <w:r w:rsidRPr="00687EE7">
        <w:rPr>
          <w:rStyle w:val="Marker"/>
          <w:color w:val="000000"/>
        </w:rPr>
        <w:t>[…]</w:t>
      </w:r>
      <w:r w:rsidRPr="00687EE7">
        <w:rPr>
          <w:color w:val="000000"/>
        </w:rPr>
        <w:t xml:space="preserve">, </w:t>
      </w:r>
      <w:r w:rsidRPr="00687EE7">
        <w:rPr>
          <w:rStyle w:val="Marker"/>
          <w:color w:val="000000"/>
        </w:rPr>
        <w:t>[…]</w:t>
      </w:r>
      <w:r w:rsidRPr="00687EE7">
        <w:rPr>
          <w:color w:val="000000"/>
        </w:rPr>
        <w:t xml:space="preserve">, p. </w:t>
      </w:r>
      <w:r w:rsidRPr="00687EE7">
        <w:rPr>
          <w:rStyle w:val="Marker"/>
          <w:color w:val="000000"/>
        </w:rPr>
        <w:t>[…]</w:t>
      </w:r>
      <w:r w:rsidRPr="00687EE7">
        <w:rPr>
          <w:color w:val="000000"/>
        </w:rPr>
        <w:t>.</w:t>
      </w:r>
    </w:p>
  </w:footnote>
  <w:footnote w:id="8">
    <w:p w:rsidR="004E0123" w:rsidRPr="00687EE7" w:rsidRDefault="004E0123" w:rsidP="004E0123">
      <w:pPr>
        <w:pStyle w:val="Fotnotstext"/>
      </w:pPr>
      <w:r w:rsidRPr="00687EE7">
        <w:rPr>
          <w:rStyle w:val="Fotnotsreferens"/>
        </w:rPr>
        <w:footnoteRef/>
      </w:r>
      <w:r w:rsidRPr="00687EE7">
        <w:tab/>
      </w:r>
      <w:r w:rsidRPr="00687EE7">
        <w:rPr>
          <w:color w:val="000000"/>
        </w:rPr>
        <w:t xml:space="preserve">OJ C </w:t>
      </w:r>
      <w:r w:rsidRPr="00687EE7">
        <w:rPr>
          <w:rStyle w:val="Marker"/>
          <w:color w:val="000000"/>
        </w:rPr>
        <w:t>[…]</w:t>
      </w:r>
      <w:r w:rsidRPr="00687EE7">
        <w:rPr>
          <w:color w:val="000000"/>
        </w:rPr>
        <w:t xml:space="preserve">, </w:t>
      </w:r>
      <w:r w:rsidRPr="00687EE7">
        <w:rPr>
          <w:rStyle w:val="Marker"/>
          <w:color w:val="000000"/>
        </w:rPr>
        <w:t>[…]</w:t>
      </w:r>
      <w:r w:rsidRPr="00687EE7">
        <w:rPr>
          <w:color w:val="000000"/>
        </w:rPr>
        <w:t xml:space="preserve">, p. </w:t>
      </w:r>
      <w:r w:rsidRPr="00687EE7">
        <w:rPr>
          <w:rStyle w:val="Marker"/>
          <w:color w:val="000000"/>
        </w:rPr>
        <w:t>[…]</w:t>
      </w:r>
      <w:r w:rsidRPr="00687EE7">
        <w:rPr>
          <w:color w:val="000000"/>
        </w:rPr>
        <w:t>.</w:t>
      </w:r>
    </w:p>
  </w:footnote>
  <w:footnote w:id="9">
    <w:p w:rsidR="00B329CA" w:rsidRPr="00687EE7" w:rsidRDefault="004E0123" w:rsidP="004E0123">
      <w:pPr>
        <w:pStyle w:val="Fotnotstext"/>
        <w:rPr>
          <w:b/>
        </w:rPr>
      </w:pPr>
      <w:r w:rsidRPr="00687EE7">
        <w:rPr>
          <w:rStyle w:val="Fotnotsreferens"/>
        </w:rPr>
        <w:footnoteRef/>
      </w:r>
      <w:r w:rsidRPr="00687EE7">
        <w:t xml:space="preserve"> </w:t>
      </w:r>
      <w:r w:rsidRPr="00687EE7">
        <w:tab/>
      </w:r>
      <w:r w:rsidRPr="00687EE7">
        <w:rPr>
          <w:u w:val="single"/>
        </w:rPr>
        <w:t>CY</w:t>
      </w:r>
      <w:r w:rsidRPr="00687EE7">
        <w:t xml:space="preserve"> queries this reference</w:t>
      </w:r>
      <w:r w:rsidR="00B329CA" w:rsidRPr="00687EE7">
        <w:t>,</w:t>
      </w:r>
      <w:r w:rsidR="00E52D4E" w:rsidRPr="00687EE7">
        <w:rPr>
          <w:b/>
        </w:rPr>
        <w:t xml:space="preserve"> which </w:t>
      </w:r>
      <w:r w:rsidR="00B329CA" w:rsidRPr="00687EE7">
        <w:rPr>
          <w:b/>
        </w:rPr>
        <w:t xml:space="preserve">it feels </w:t>
      </w:r>
      <w:r w:rsidR="00E52D4E" w:rsidRPr="00687EE7">
        <w:rPr>
          <w:b/>
        </w:rPr>
        <w:t xml:space="preserve">could have </w:t>
      </w:r>
      <w:r w:rsidR="00B329CA" w:rsidRPr="00687EE7">
        <w:rPr>
          <w:b/>
        </w:rPr>
        <w:t xml:space="preserve">important </w:t>
      </w:r>
      <w:r w:rsidR="00E52D4E" w:rsidRPr="00687EE7">
        <w:rPr>
          <w:b/>
        </w:rPr>
        <w:t xml:space="preserve">practical implications (e.g. social security cover, etc.). </w:t>
      </w:r>
      <w:r w:rsidR="00B329CA" w:rsidRPr="00687EE7">
        <w:rPr>
          <w:b/>
        </w:rPr>
        <w:t>It argues that m</w:t>
      </w:r>
      <w:r w:rsidR="00E52D4E" w:rsidRPr="00687EE7">
        <w:rPr>
          <w:b/>
        </w:rPr>
        <w:t>obility</w:t>
      </w:r>
      <w:r w:rsidRPr="00687EE7">
        <w:rPr>
          <w:b/>
        </w:rPr>
        <w:t xml:space="preserve"> </w:t>
      </w:r>
      <w:r w:rsidR="00E52D4E" w:rsidRPr="00687EE7">
        <w:rPr>
          <w:b/>
        </w:rPr>
        <w:t xml:space="preserve">for student and workers should be treated separately. </w:t>
      </w:r>
    </w:p>
    <w:p w:rsidR="004E0123" w:rsidRPr="00687EE7" w:rsidRDefault="00B329CA" w:rsidP="004E0123">
      <w:pPr>
        <w:pStyle w:val="Fotnotstext"/>
        <w:rPr>
          <w:b/>
        </w:rPr>
      </w:pPr>
      <w:r w:rsidRPr="00687EE7">
        <w:rPr>
          <w:b/>
        </w:rPr>
        <w:tab/>
      </w:r>
      <w:r w:rsidR="00E52D4E" w:rsidRPr="00687EE7">
        <w:rPr>
          <w:b/>
          <w:u w:val="single"/>
        </w:rPr>
        <w:t>CLS</w:t>
      </w:r>
      <w:r w:rsidR="00E52D4E" w:rsidRPr="00687EE7">
        <w:rPr>
          <w:b/>
        </w:rPr>
        <w:t xml:space="preserve"> </w:t>
      </w:r>
      <w:r w:rsidRPr="00687EE7">
        <w:rPr>
          <w:b/>
        </w:rPr>
        <w:t xml:space="preserve">expressed the view </w:t>
      </w:r>
      <w:r w:rsidR="00E52D4E" w:rsidRPr="00687EE7">
        <w:rPr>
          <w:b/>
        </w:rPr>
        <w:t xml:space="preserve">that the reference was harmless, while </w:t>
      </w:r>
      <w:r w:rsidR="00E52D4E" w:rsidRPr="00687EE7">
        <w:rPr>
          <w:b/>
          <w:u w:val="single"/>
        </w:rPr>
        <w:t>Cion</w:t>
      </w:r>
      <w:r w:rsidR="00E52D4E" w:rsidRPr="00687EE7">
        <w:rPr>
          <w:b/>
        </w:rPr>
        <w:t xml:space="preserve"> said </w:t>
      </w:r>
      <w:r w:rsidRPr="00687EE7">
        <w:rPr>
          <w:b/>
        </w:rPr>
        <w:t xml:space="preserve">the reference was </w:t>
      </w:r>
      <w:r w:rsidR="00E52D4E" w:rsidRPr="00687EE7">
        <w:rPr>
          <w:b/>
        </w:rPr>
        <w:t>simply</w:t>
      </w:r>
      <w:r w:rsidR="00AA46CC" w:rsidRPr="00687EE7">
        <w:rPr>
          <w:b/>
        </w:rPr>
        <w:t xml:space="preserve"> </w:t>
      </w:r>
      <w:r w:rsidRPr="00687EE7">
        <w:rPr>
          <w:b/>
        </w:rPr>
        <w:t xml:space="preserve">intended to </w:t>
      </w:r>
      <w:r w:rsidR="00AA46CC" w:rsidRPr="00687EE7">
        <w:rPr>
          <w:b/>
        </w:rPr>
        <w:t>emphasise the importance of mobility in general</w:t>
      </w:r>
      <w:r w:rsidRPr="00687EE7">
        <w:rPr>
          <w:b/>
        </w:rPr>
        <w:t>,</w:t>
      </w:r>
      <w:r w:rsidR="00AA46CC" w:rsidRPr="00687EE7">
        <w:rPr>
          <w:b/>
        </w:rPr>
        <w:t xml:space="preserve"> rather than </w:t>
      </w:r>
      <w:r w:rsidRPr="00687EE7">
        <w:rPr>
          <w:b/>
        </w:rPr>
        <w:t xml:space="preserve">imply a link with </w:t>
      </w:r>
      <w:r w:rsidR="00AA46CC" w:rsidRPr="00687EE7">
        <w:rPr>
          <w:b/>
        </w:rPr>
        <w:t>relat</w:t>
      </w:r>
      <w:r w:rsidRPr="00687EE7">
        <w:rPr>
          <w:b/>
        </w:rPr>
        <w:t>e</w:t>
      </w:r>
      <w:r w:rsidR="00AA46CC" w:rsidRPr="00687EE7">
        <w:rPr>
          <w:b/>
        </w:rPr>
        <w:t>d Directives on social security, etc.</w:t>
      </w:r>
    </w:p>
  </w:footnote>
  <w:footnote w:id="10">
    <w:p w:rsidR="004E0123" w:rsidRPr="00687EE7" w:rsidRDefault="004E0123" w:rsidP="004E0123">
      <w:pPr>
        <w:pStyle w:val="Fotnotstext"/>
      </w:pPr>
      <w:r w:rsidRPr="00687EE7">
        <w:rPr>
          <w:rStyle w:val="Fotnotsreferens"/>
        </w:rPr>
        <w:footnoteRef/>
      </w:r>
      <w:r w:rsidRPr="00687EE7">
        <w:tab/>
        <w:t>Lisbon strategy, European Council Conclusions</w:t>
      </w:r>
      <w:r w:rsidRPr="00687EE7">
        <w:rPr>
          <w:b/>
        </w:rPr>
        <w:t xml:space="preserve">, </w:t>
      </w:r>
      <w:r w:rsidRPr="00687EE7">
        <w:t>doc. SN 100/1/00 REV 1</w:t>
      </w:r>
      <w:r w:rsidRPr="00687EE7">
        <w:rPr>
          <w:b/>
        </w:rPr>
        <w:t>.</w:t>
      </w:r>
    </w:p>
  </w:footnote>
  <w:footnote w:id="11">
    <w:p w:rsidR="004E0123" w:rsidRPr="00687EE7" w:rsidRDefault="004E0123" w:rsidP="004E0123">
      <w:pPr>
        <w:pStyle w:val="Fotnotstext"/>
      </w:pPr>
      <w:r w:rsidRPr="00687EE7">
        <w:rPr>
          <w:rStyle w:val="Fotnotsreferens"/>
        </w:rPr>
        <w:footnoteRef/>
      </w:r>
      <w:r w:rsidRPr="00687EE7">
        <w:tab/>
        <w:t>Recommendation 2001/613/EC of the European Parliament and of the Council of 10 July 2001 on mobility within the Community for students, persons undergoing training, volunteers, teachers and trainers, OJ L 215, 9.8.2001, p. 30.</w:t>
      </w:r>
    </w:p>
  </w:footnote>
  <w:footnote w:id="12">
    <w:p w:rsidR="004E0123" w:rsidRPr="00687EE7" w:rsidRDefault="004E0123" w:rsidP="004E0123">
      <w:pPr>
        <w:pStyle w:val="Fotnotstext"/>
        <w:rPr>
          <w:b/>
        </w:rPr>
      </w:pPr>
      <w:r w:rsidRPr="00687EE7">
        <w:rPr>
          <w:rStyle w:val="Fotnotsreferens"/>
        </w:rPr>
        <w:footnoteRef/>
      </w:r>
      <w:r w:rsidRPr="00687EE7">
        <w:t xml:space="preserve"> </w:t>
      </w:r>
      <w:r w:rsidRPr="00687EE7">
        <w:tab/>
      </w:r>
      <w:r w:rsidRPr="00687EE7">
        <w:rPr>
          <w:b/>
        </w:rPr>
        <w:t>An implementing measure of the Socrates programme.</w:t>
      </w:r>
    </w:p>
  </w:footnote>
  <w:footnote w:id="13">
    <w:p w:rsidR="00941E8D" w:rsidRPr="00687EE7" w:rsidRDefault="00941E8D" w:rsidP="00941E8D">
      <w:pPr>
        <w:pStyle w:val="Fotnotstext"/>
        <w:rPr>
          <w:b/>
        </w:rPr>
      </w:pPr>
      <w:r w:rsidRPr="00687EE7">
        <w:rPr>
          <w:rStyle w:val="Fotnotsreferens"/>
        </w:rPr>
        <w:footnoteRef/>
      </w:r>
      <w:r w:rsidRPr="00687EE7">
        <w:t xml:space="preserve"> </w:t>
      </w:r>
      <w:r w:rsidRPr="00687EE7">
        <w:tab/>
      </w:r>
      <w:r w:rsidRPr="00687EE7">
        <w:rPr>
          <w:b/>
          <w:szCs w:val="24"/>
          <w:u w:val="single"/>
        </w:rPr>
        <w:t>CY</w:t>
      </w:r>
      <w:r w:rsidRPr="00687EE7">
        <w:rPr>
          <w:b/>
          <w:szCs w:val="24"/>
        </w:rPr>
        <w:t xml:space="preserve"> reservation, on the grounds that all of the areas referred to have significant logistical and financial implications, particularly for smaller Member States with reduced capabilities.</w:t>
      </w:r>
    </w:p>
  </w:footnote>
  <w:footnote w:id="14">
    <w:p w:rsidR="00941E8D" w:rsidRPr="00687EE7" w:rsidRDefault="00941E8D">
      <w:pPr>
        <w:pStyle w:val="Fotnotstext"/>
        <w:rPr>
          <w:b/>
          <w:szCs w:val="24"/>
          <w:vertAlign w:val="superscript"/>
        </w:rPr>
      </w:pPr>
      <w:r w:rsidRPr="00687EE7">
        <w:rPr>
          <w:b/>
          <w:szCs w:val="24"/>
          <w:vertAlign w:val="superscript"/>
        </w:rPr>
        <w:t>13</w:t>
      </w:r>
      <w:r w:rsidRPr="00687EE7">
        <w:rPr>
          <w:b/>
          <w:szCs w:val="24"/>
          <w:vertAlign w:val="superscript"/>
        </w:rPr>
        <w:tab/>
      </w:r>
      <w:r w:rsidRPr="00687EE7">
        <w:rPr>
          <w:b/>
          <w:szCs w:val="24"/>
          <w:u w:val="single"/>
        </w:rPr>
        <w:t>CY</w:t>
      </w:r>
      <w:r w:rsidRPr="00687EE7">
        <w:rPr>
          <w:b/>
          <w:szCs w:val="24"/>
        </w:rPr>
        <w:t xml:space="preserve"> reservation, on the grounds that all of the areas referred to have significant logistical and financial implications, particularly for smaller Member States with reduced capabilities.</w:t>
      </w:r>
    </w:p>
    <w:p w:rsidR="00AA46CC" w:rsidRPr="00687EE7" w:rsidRDefault="00AA46CC">
      <w:pPr>
        <w:pStyle w:val="Fotnotstext"/>
        <w:rPr>
          <w:b/>
          <w:i/>
        </w:rPr>
      </w:pPr>
      <w:r w:rsidRPr="00687EE7">
        <w:rPr>
          <w:rStyle w:val="Fotnotsreferens"/>
        </w:rPr>
        <w:footnoteRef/>
      </w:r>
      <w:r w:rsidRPr="00687EE7">
        <w:t xml:space="preserve"> </w:t>
      </w:r>
      <w:r w:rsidRPr="00687EE7">
        <w:tab/>
      </w:r>
      <w:r w:rsidRPr="00687EE7">
        <w:rPr>
          <w:b/>
          <w:u w:val="single"/>
        </w:rPr>
        <w:t>CY</w:t>
      </w:r>
      <w:r w:rsidR="00B329CA" w:rsidRPr="00687EE7">
        <w:rPr>
          <w:b/>
        </w:rPr>
        <w:t>: includ</w:t>
      </w:r>
      <w:r w:rsidRPr="00687EE7">
        <w:rPr>
          <w:b/>
        </w:rPr>
        <w:t xml:space="preserve">e the phrase </w:t>
      </w:r>
      <w:r w:rsidRPr="00687EE7">
        <w:rPr>
          <w:b/>
          <w:i/>
        </w:rPr>
        <w:t xml:space="preserve">"in accordance with </w:t>
      </w:r>
      <w:r w:rsidR="00B329CA" w:rsidRPr="00687EE7">
        <w:rPr>
          <w:b/>
          <w:i/>
        </w:rPr>
        <w:t>national legislation and practic</w:t>
      </w:r>
      <w:r w:rsidRPr="00687EE7">
        <w:rPr>
          <w:b/>
          <w:i/>
        </w:rPr>
        <w:t>e"</w:t>
      </w:r>
      <w:r w:rsidRPr="00687EE7">
        <w:rPr>
          <w:b/>
        </w:rPr>
        <w:t>.</w:t>
      </w:r>
    </w:p>
  </w:footnote>
  <w:footnote w:id="15">
    <w:p w:rsidR="004E0123" w:rsidRPr="00687EE7" w:rsidRDefault="004E0123" w:rsidP="004E0123">
      <w:pPr>
        <w:pStyle w:val="Fotnotstext"/>
        <w:rPr>
          <w:b/>
        </w:rPr>
      </w:pPr>
      <w:r w:rsidRPr="00687EE7">
        <w:rPr>
          <w:rStyle w:val="Fotnotsreferens"/>
          <w:b w:val="0"/>
        </w:rPr>
        <w:footnoteRef/>
      </w:r>
      <w:r w:rsidRPr="00687EE7">
        <w:tab/>
      </w:r>
      <w:r w:rsidRPr="00687EE7">
        <w:rPr>
          <w:rStyle w:val="Stark"/>
          <w:b w:val="0"/>
        </w:rPr>
        <w:t>Resolution of the Council and the Representatives of the Governments of the Member States, meeting within the Council, of 14 December 2000, concerning an action plan for mobility,</w:t>
      </w:r>
      <w:r w:rsidRPr="00687EE7">
        <w:rPr>
          <w:rStyle w:val="Stark"/>
          <w:b w:val="0"/>
        </w:rPr>
        <w:br/>
        <w:t>OJ C 371, 23.12.2000.</w:t>
      </w:r>
    </w:p>
  </w:footnote>
  <w:footnote w:id="16">
    <w:p w:rsidR="004E0123" w:rsidRPr="00687EE7" w:rsidRDefault="004E0123" w:rsidP="004E0123">
      <w:pPr>
        <w:pStyle w:val="Fotnotstext"/>
      </w:pPr>
      <w:r w:rsidRPr="00687EE7">
        <w:rPr>
          <w:rStyle w:val="Fotnotsreferens"/>
          <w:b w:val="0"/>
        </w:rPr>
        <w:footnoteRef/>
      </w:r>
      <w:r w:rsidRPr="00687EE7">
        <w:tab/>
        <w:t>OJ L 215, 8.8.2001, p. 30.</w:t>
      </w:r>
    </w:p>
  </w:footnote>
  <w:footnote w:id="17">
    <w:p w:rsidR="004E0123" w:rsidRPr="00687EE7" w:rsidRDefault="004E0123" w:rsidP="004E0123">
      <w:pPr>
        <w:pStyle w:val="Fotnotstext"/>
      </w:pPr>
      <w:r w:rsidRPr="00687EE7">
        <w:rPr>
          <w:rStyle w:val="Fotnotsreferens"/>
          <w:b w:val="0"/>
        </w:rPr>
        <w:footnoteRef/>
      </w:r>
      <w:r w:rsidRPr="00687EE7">
        <w:tab/>
      </w:r>
      <w:r w:rsidR="005525ED" w:rsidRPr="00687EE7">
        <w:t xml:space="preserve">Report on the follow-up to Recommendation 2001/316/EC - </w:t>
      </w:r>
      <w:r w:rsidRPr="00687EE7">
        <w:t>COM(2004) 21.</w:t>
      </w:r>
    </w:p>
  </w:footnote>
  <w:footnote w:id="18">
    <w:p w:rsidR="00AA46CC" w:rsidRPr="00687EE7" w:rsidRDefault="00AA46CC">
      <w:pPr>
        <w:pStyle w:val="Fotnotstext"/>
        <w:rPr>
          <w:b/>
        </w:rPr>
      </w:pPr>
      <w:r w:rsidRPr="00687EE7">
        <w:rPr>
          <w:rStyle w:val="Fotnotsreferens"/>
        </w:rPr>
        <w:footnoteRef/>
      </w:r>
      <w:r w:rsidRPr="00687EE7">
        <w:t xml:space="preserve"> </w:t>
      </w:r>
      <w:r w:rsidRPr="00687EE7">
        <w:tab/>
      </w:r>
      <w:r w:rsidRPr="00687EE7">
        <w:rPr>
          <w:b/>
          <w:u w:val="single"/>
        </w:rPr>
        <w:t>CY</w:t>
      </w:r>
      <w:r w:rsidRPr="00687EE7">
        <w:rPr>
          <w:b/>
        </w:rPr>
        <w:t xml:space="preserve"> reservation: problems for Member States with reduced logistical and financial capabilities</w:t>
      </w:r>
      <w:r w:rsidR="00B329CA" w:rsidRPr="00687EE7">
        <w:rPr>
          <w:b/>
        </w:rPr>
        <w:t>.</w:t>
      </w:r>
      <w:r w:rsidRPr="00687EE7">
        <w:rPr>
          <w:b/>
        </w:rPr>
        <w:t xml:space="preserve"> </w:t>
      </w:r>
      <w:r w:rsidR="00B329CA" w:rsidRPr="00687EE7">
        <w:rPr>
          <w:b/>
        </w:rPr>
        <w:t>S</w:t>
      </w:r>
      <w:r w:rsidRPr="00687EE7">
        <w:rPr>
          <w:b/>
        </w:rPr>
        <w:t xml:space="preserve">uggests replacing </w:t>
      </w:r>
      <w:r w:rsidRPr="00687EE7">
        <w:rPr>
          <w:b/>
          <w:i/>
        </w:rPr>
        <w:t>"should"</w:t>
      </w:r>
      <w:r w:rsidRPr="00687EE7">
        <w:rPr>
          <w:b/>
        </w:rPr>
        <w:t xml:space="preserve"> by </w:t>
      </w:r>
      <w:r w:rsidRPr="00687EE7">
        <w:rPr>
          <w:b/>
          <w:i/>
        </w:rPr>
        <w:t>"could"</w:t>
      </w:r>
      <w:r w:rsidRPr="00687EE7">
        <w:rPr>
          <w:b/>
        </w:rPr>
        <w:t xml:space="preserve"> wherever possible.</w:t>
      </w:r>
    </w:p>
  </w:footnote>
  <w:footnote w:id="19">
    <w:p w:rsidR="00AA46CC" w:rsidRPr="00687EE7" w:rsidRDefault="00AA46CC">
      <w:pPr>
        <w:pStyle w:val="Fotnotstext"/>
      </w:pPr>
      <w:r w:rsidRPr="00687EE7">
        <w:rPr>
          <w:rStyle w:val="Fotnotsreferens"/>
        </w:rPr>
        <w:footnoteRef/>
      </w:r>
      <w:r w:rsidRPr="00687EE7">
        <w:t xml:space="preserve"> </w:t>
      </w:r>
      <w:r w:rsidRPr="00687EE7">
        <w:tab/>
      </w:r>
      <w:r w:rsidRPr="00687EE7">
        <w:rPr>
          <w:b/>
          <w:u w:val="single"/>
        </w:rPr>
        <w:t>CY</w:t>
      </w:r>
      <w:r w:rsidRPr="00687EE7">
        <w:rPr>
          <w:b/>
        </w:rPr>
        <w:t xml:space="preserve"> reservation: problems for Member States with reduced logistical and financial capabilities</w:t>
      </w:r>
      <w:r w:rsidR="000020F7" w:rsidRPr="00687EE7">
        <w:rPr>
          <w:b/>
        </w:rPr>
        <w:t>.</w:t>
      </w:r>
      <w:r w:rsidRPr="00687EE7">
        <w:rPr>
          <w:b/>
        </w:rPr>
        <w:t xml:space="preserve"> </w:t>
      </w:r>
      <w:r w:rsidR="000020F7" w:rsidRPr="00687EE7">
        <w:rPr>
          <w:b/>
        </w:rPr>
        <w:t>S</w:t>
      </w:r>
      <w:r w:rsidRPr="00687EE7">
        <w:rPr>
          <w:b/>
        </w:rPr>
        <w:t xml:space="preserve">uggests replacing </w:t>
      </w:r>
      <w:r w:rsidRPr="00687EE7">
        <w:rPr>
          <w:b/>
          <w:i/>
        </w:rPr>
        <w:t>"should"</w:t>
      </w:r>
      <w:r w:rsidRPr="00687EE7">
        <w:rPr>
          <w:b/>
        </w:rPr>
        <w:t xml:space="preserve"> by </w:t>
      </w:r>
      <w:r w:rsidRPr="00687EE7">
        <w:rPr>
          <w:b/>
          <w:i/>
        </w:rPr>
        <w:t>"could"</w:t>
      </w:r>
      <w:r w:rsidRPr="00687EE7">
        <w:rPr>
          <w:b/>
        </w:rPr>
        <w:t xml:space="preserve"> wherever possible.</w:t>
      </w:r>
    </w:p>
  </w:footnote>
  <w:footnote w:id="20">
    <w:p w:rsidR="004E0123" w:rsidRPr="00687EE7" w:rsidRDefault="004E0123" w:rsidP="004E0123">
      <w:pPr>
        <w:pStyle w:val="Fotnotstext"/>
        <w:rPr>
          <w:b/>
        </w:rPr>
      </w:pPr>
      <w:r w:rsidRPr="00687EE7">
        <w:rPr>
          <w:rStyle w:val="Fotnotsreferens"/>
        </w:rPr>
        <w:footnoteRef/>
      </w:r>
      <w:r w:rsidRPr="00687EE7">
        <w:t xml:space="preserve"> </w:t>
      </w:r>
      <w:r w:rsidRPr="00687EE7">
        <w:tab/>
      </w:r>
      <w:r w:rsidRPr="00687EE7">
        <w:rPr>
          <w:u w:val="single"/>
        </w:rPr>
        <w:t xml:space="preserve">BE, </w:t>
      </w:r>
      <w:r w:rsidRPr="00687EE7">
        <w:rPr>
          <w:b/>
          <w:u w:val="single"/>
        </w:rPr>
        <w:t xml:space="preserve">CY, </w:t>
      </w:r>
      <w:r w:rsidR="00AA46CC" w:rsidRPr="00687EE7">
        <w:rPr>
          <w:b/>
          <w:u w:val="single"/>
        </w:rPr>
        <w:t>[…]</w:t>
      </w:r>
      <w:r w:rsidRPr="00687EE7">
        <w:rPr>
          <w:u w:val="single"/>
        </w:rPr>
        <w:t>, FR</w:t>
      </w:r>
      <w:r w:rsidRPr="00687EE7">
        <w:t xml:space="preserve"> </w:t>
      </w:r>
      <w:r w:rsidR="00AA46CC" w:rsidRPr="00687EE7">
        <w:t xml:space="preserve">linguistic </w:t>
      </w:r>
      <w:r w:rsidRPr="00687EE7">
        <w:t>reservations</w:t>
      </w:r>
      <w:r w:rsidR="00AA46CC" w:rsidRPr="00687EE7">
        <w:t>.</w:t>
      </w:r>
    </w:p>
  </w:footnote>
  <w:footnote w:id="21">
    <w:p w:rsidR="00F1763A" w:rsidRPr="00687EE7" w:rsidRDefault="00E12E65">
      <w:pPr>
        <w:pStyle w:val="Fotnotstext"/>
        <w:rPr>
          <w:b/>
        </w:rPr>
      </w:pPr>
      <w:r w:rsidRPr="00687EE7">
        <w:rPr>
          <w:rStyle w:val="Fotnotsreferens"/>
        </w:rPr>
        <w:footnoteRef/>
      </w:r>
      <w:r w:rsidRPr="00687EE7">
        <w:t xml:space="preserve"> </w:t>
      </w:r>
      <w:r w:rsidRPr="00687EE7">
        <w:tab/>
      </w:r>
      <w:r w:rsidRPr="00687EE7">
        <w:rPr>
          <w:b/>
          <w:u w:val="single"/>
        </w:rPr>
        <w:t>CY</w:t>
      </w:r>
      <w:r w:rsidRPr="00687EE7">
        <w:rPr>
          <w:b/>
        </w:rPr>
        <w:t xml:space="preserve"> reservation: problems for Member States with reduced logistical and financial capabilities</w:t>
      </w:r>
      <w:r w:rsidR="000020F7" w:rsidRPr="00687EE7">
        <w:rPr>
          <w:b/>
        </w:rPr>
        <w:t>.</w:t>
      </w:r>
      <w:r w:rsidRPr="00687EE7">
        <w:rPr>
          <w:b/>
        </w:rPr>
        <w:t xml:space="preserve"> </w:t>
      </w:r>
      <w:r w:rsidR="000020F7" w:rsidRPr="00687EE7">
        <w:rPr>
          <w:b/>
        </w:rPr>
        <w:t>S</w:t>
      </w:r>
      <w:r w:rsidRPr="00687EE7">
        <w:rPr>
          <w:b/>
        </w:rPr>
        <w:t xml:space="preserve">uggests replacing </w:t>
      </w:r>
      <w:r w:rsidRPr="00687EE7">
        <w:rPr>
          <w:b/>
          <w:i/>
        </w:rPr>
        <w:t>"should"</w:t>
      </w:r>
      <w:r w:rsidRPr="00687EE7">
        <w:rPr>
          <w:b/>
        </w:rPr>
        <w:t xml:space="preserve"> by </w:t>
      </w:r>
      <w:r w:rsidRPr="00687EE7">
        <w:rPr>
          <w:b/>
          <w:i/>
        </w:rPr>
        <w:t>"could"</w:t>
      </w:r>
      <w:r w:rsidRPr="00687EE7">
        <w:rPr>
          <w:b/>
        </w:rPr>
        <w:t xml:space="preserve"> wherever possible.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E293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5" w15:restartNumberingAfterBreak="0">
    <w:nsid w:val="18617FE7"/>
    <w:multiLevelType w:val="hybridMultilevel"/>
    <w:tmpl w:val="546058F6"/>
    <w:lvl w:ilvl="0" w:tplc="4FD6435C">
      <w:start w:val="1"/>
      <w:numFmt w:val="bullet"/>
      <w:lvlText w:val=""/>
      <w:lvlJc w:val="left"/>
      <w:pPr>
        <w:tabs>
          <w:tab w:val="num" w:pos="360"/>
        </w:tabs>
        <w:ind w:left="360" w:hanging="360"/>
      </w:pPr>
      <w:rPr>
        <w:rFonts w:ascii="Symbol" w:hAnsi="Symbol" w:hint="default"/>
        <w:color w:val="auto"/>
      </w:rPr>
    </w:lvl>
    <w:lvl w:ilvl="1" w:tplc="080C0003" w:tentative="1">
      <w:start w:val="1"/>
      <w:numFmt w:val="bullet"/>
      <w:lvlText w:val="o"/>
      <w:lvlJc w:val="left"/>
      <w:pPr>
        <w:tabs>
          <w:tab w:val="num" w:pos="-53"/>
        </w:tabs>
        <w:ind w:left="-53" w:hanging="360"/>
      </w:pPr>
      <w:rPr>
        <w:rFonts w:ascii="Courier New" w:hAnsi="Courier New" w:cs="Courier New" w:hint="default"/>
      </w:rPr>
    </w:lvl>
    <w:lvl w:ilvl="2" w:tplc="080C0005" w:tentative="1">
      <w:start w:val="1"/>
      <w:numFmt w:val="bullet"/>
      <w:lvlText w:val=""/>
      <w:lvlJc w:val="left"/>
      <w:pPr>
        <w:tabs>
          <w:tab w:val="num" w:pos="667"/>
        </w:tabs>
        <w:ind w:left="667" w:hanging="360"/>
      </w:pPr>
      <w:rPr>
        <w:rFonts w:ascii="Wingdings" w:hAnsi="Wingdings" w:hint="default"/>
      </w:rPr>
    </w:lvl>
    <w:lvl w:ilvl="3" w:tplc="080C0001" w:tentative="1">
      <w:start w:val="1"/>
      <w:numFmt w:val="bullet"/>
      <w:lvlText w:val=""/>
      <w:lvlJc w:val="left"/>
      <w:pPr>
        <w:tabs>
          <w:tab w:val="num" w:pos="1387"/>
        </w:tabs>
        <w:ind w:left="1387" w:hanging="360"/>
      </w:pPr>
      <w:rPr>
        <w:rFonts w:ascii="Symbol" w:hAnsi="Symbol" w:hint="default"/>
      </w:rPr>
    </w:lvl>
    <w:lvl w:ilvl="4" w:tplc="080C0003" w:tentative="1">
      <w:start w:val="1"/>
      <w:numFmt w:val="bullet"/>
      <w:lvlText w:val="o"/>
      <w:lvlJc w:val="left"/>
      <w:pPr>
        <w:tabs>
          <w:tab w:val="num" w:pos="2107"/>
        </w:tabs>
        <w:ind w:left="2107" w:hanging="360"/>
      </w:pPr>
      <w:rPr>
        <w:rFonts w:ascii="Courier New" w:hAnsi="Courier New" w:cs="Courier New" w:hint="default"/>
      </w:rPr>
    </w:lvl>
    <w:lvl w:ilvl="5" w:tplc="080C0005" w:tentative="1">
      <w:start w:val="1"/>
      <w:numFmt w:val="bullet"/>
      <w:lvlText w:val=""/>
      <w:lvlJc w:val="left"/>
      <w:pPr>
        <w:tabs>
          <w:tab w:val="num" w:pos="2827"/>
        </w:tabs>
        <w:ind w:left="2827" w:hanging="360"/>
      </w:pPr>
      <w:rPr>
        <w:rFonts w:ascii="Wingdings" w:hAnsi="Wingdings" w:hint="default"/>
      </w:rPr>
    </w:lvl>
    <w:lvl w:ilvl="6" w:tplc="080C0001" w:tentative="1">
      <w:start w:val="1"/>
      <w:numFmt w:val="bullet"/>
      <w:lvlText w:val=""/>
      <w:lvlJc w:val="left"/>
      <w:pPr>
        <w:tabs>
          <w:tab w:val="num" w:pos="3547"/>
        </w:tabs>
        <w:ind w:left="3547" w:hanging="360"/>
      </w:pPr>
      <w:rPr>
        <w:rFonts w:ascii="Symbol" w:hAnsi="Symbol" w:hint="default"/>
      </w:rPr>
    </w:lvl>
    <w:lvl w:ilvl="7" w:tplc="080C0003" w:tentative="1">
      <w:start w:val="1"/>
      <w:numFmt w:val="bullet"/>
      <w:lvlText w:val="o"/>
      <w:lvlJc w:val="left"/>
      <w:pPr>
        <w:tabs>
          <w:tab w:val="num" w:pos="4267"/>
        </w:tabs>
        <w:ind w:left="4267" w:hanging="360"/>
      </w:pPr>
      <w:rPr>
        <w:rFonts w:ascii="Courier New" w:hAnsi="Courier New" w:cs="Courier New" w:hint="default"/>
      </w:rPr>
    </w:lvl>
    <w:lvl w:ilvl="8" w:tplc="080C0005" w:tentative="1">
      <w:start w:val="1"/>
      <w:numFmt w:val="bullet"/>
      <w:lvlText w:val=""/>
      <w:lvlJc w:val="left"/>
      <w:pPr>
        <w:tabs>
          <w:tab w:val="num" w:pos="4987"/>
        </w:tabs>
        <w:ind w:left="4987" w:hanging="360"/>
      </w:pPr>
      <w:rPr>
        <w:rFonts w:ascii="Wingdings" w:hAnsi="Wingdings" w:hint="default"/>
      </w:rPr>
    </w:lvl>
  </w:abstractNum>
  <w:abstractNum w:abstractNumId="16" w15:restartNumberingAfterBreak="0">
    <w:nsid w:val="1E346EC6"/>
    <w:multiLevelType w:val="singleLevel"/>
    <w:tmpl w:val="EAA2D466"/>
    <w:lvl w:ilvl="0">
      <w:start w:val="1"/>
      <w:numFmt w:val="bullet"/>
      <w:lvlRestart w:val="0"/>
      <w:pStyle w:val="Punktlista"/>
      <w:lvlText w:val=""/>
      <w:lvlJc w:val="left"/>
      <w:pPr>
        <w:tabs>
          <w:tab w:val="num" w:pos="283"/>
        </w:tabs>
        <w:ind w:left="283" w:hanging="283"/>
      </w:pPr>
      <w:rPr>
        <w:rFonts w:ascii="Symbol" w:hAnsi="Symbol"/>
      </w:rPr>
    </w:lvl>
  </w:abstractNum>
  <w:abstractNum w:abstractNumId="17"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8"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9"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21"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2"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3"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5" w15:restartNumberingAfterBreak="0">
    <w:nsid w:val="31710013"/>
    <w:multiLevelType w:val="hybridMultilevel"/>
    <w:tmpl w:val="26529A22"/>
    <w:lvl w:ilvl="0" w:tplc="3D8A3BB4">
      <w:start w:val="1"/>
      <w:numFmt w:val="bullet"/>
      <w:lvlText w:val=""/>
      <w:lvlJc w:val="left"/>
      <w:pPr>
        <w:tabs>
          <w:tab w:val="num" w:pos="360"/>
        </w:tabs>
        <w:ind w:left="360" w:hanging="360"/>
      </w:pPr>
      <w:rPr>
        <w:rFonts w:ascii="Symbol" w:hAnsi="Symbol" w:hint="default"/>
      </w:rPr>
    </w:lvl>
    <w:lvl w:ilvl="1" w:tplc="080C0003" w:tentative="1">
      <w:start w:val="1"/>
      <w:numFmt w:val="bullet"/>
      <w:lvlText w:val="o"/>
      <w:lvlJc w:val="left"/>
      <w:pPr>
        <w:tabs>
          <w:tab w:val="num" w:pos="1080"/>
        </w:tabs>
        <w:ind w:left="1080" w:hanging="360"/>
      </w:pPr>
      <w:rPr>
        <w:rFonts w:ascii="Courier New" w:hAnsi="Courier New" w:cs="Courier New" w:hint="default"/>
      </w:rPr>
    </w:lvl>
    <w:lvl w:ilvl="2" w:tplc="080C0005" w:tentative="1">
      <w:start w:val="1"/>
      <w:numFmt w:val="bullet"/>
      <w:lvlText w:val=""/>
      <w:lvlJc w:val="left"/>
      <w:pPr>
        <w:tabs>
          <w:tab w:val="num" w:pos="1800"/>
        </w:tabs>
        <w:ind w:left="1800" w:hanging="360"/>
      </w:pPr>
      <w:rPr>
        <w:rFonts w:ascii="Wingdings" w:hAnsi="Wingdings" w:hint="default"/>
      </w:rPr>
    </w:lvl>
    <w:lvl w:ilvl="3" w:tplc="080C0001" w:tentative="1">
      <w:start w:val="1"/>
      <w:numFmt w:val="bullet"/>
      <w:lvlText w:val=""/>
      <w:lvlJc w:val="left"/>
      <w:pPr>
        <w:tabs>
          <w:tab w:val="num" w:pos="2520"/>
        </w:tabs>
        <w:ind w:left="2520" w:hanging="360"/>
      </w:pPr>
      <w:rPr>
        <w:rFonts w:ascii="Symbol" w:hAnsi="Symbol" w:hint="default"/>
      </w:rPr>
    </w:lvl>
    <w:lvl w:ilvl="4" w:tplc="080C0003" w:tentative="1">
      <w:start w:val="1"/>
      <w:numFmt w:val="bullet"/>
      <w:lvlText w:val="o"/>
      <w:lvlJc w:val="left"/>
      <w:pPr>
        <w:tabs>
          <w:tab w:val="num" w:pos="3240"/>
        </w:tabs>
        <w:ind w:left="3240" w:hanging="360"/>
      </w:pPr>
      <w:rPr>
        <w:rFonts w:ascii="Courier New" w:hAnsi="Courier New" w:cs="Courier New" w:hint="default"/>
      </w:rPr>
    </w:lvl>
    <w:lvl w:ilvl="5" w:tplc="080C0005" w:tentative="1">
      <w:start w:val="1"/>
      <w:numFmt w:val="bullet"/>
      <w:lvlText w:val=""/>
      <w:lvlJc w:val="left"/>
      <w:pPr>
        <w:tabs>
          <w:tab w:val="num" w:pos="3960"/>
        </w:tabs>
        <w:ind w:left="3960" w:hanging="360"/>
      </w:pPr>
      <w:rPr>
        <w:rFonts w:ascii="Wingdings" w:hAnsi="Wingdings" w:hint="default"/>
      </w:rPr>
    </w:lvl>
    <w:lvl w:ilvl="6" w:tplc="080C0001" w:tentative="1">
      <w:start w:val="1"/>
      <w:numFmt w:val="bullet"/>
      <w:lvlText w:val=""/>
      <w:lvlJc w:val="left"/>
      <w:pPr>
        <w:tabs>
          <w:tab w:val="num" w:pos="4680"/>
        </w:tabs>
        <w:ind w:left="4680" w:hanging="360"/>
      </w:pPr>
      <w:rPr>
        <w:rFonts w:ascii="Symbol" w:hAnsi="Symbol" w:hint="default"/>
      </w:rPr>
    </w:lvl>
    <w:lvl w:ilvl="7" w:tplc="080C0003" w:tentative="1">
      <w:start w:val="1"/>
      <w:numFmt w:val="bullet"/>
      <w:lvlText w:val="o"/>
      <w:lvlJc w:val="left"/>
      <w:pPr>
        <w:tabs>
          <w:tab w:val="num" w:pos="5400"/>
        </w:tabs>
        <w:ind w:left="5400" w:hanging="360"/>
      </w:pPr>
      <w:rPr>
        <w:rFonts w:ascii="Courier New" w:hAnsi="Courier New" w:cs="Courier New" w:hint="default"/>
      </w:rPr>
    </w:lvl>
    <w:lvl w:ilvl="8" w:tplc="080C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7"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9"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30"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31"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2"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3"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4"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7B529C0"/>
    <w:multiLevelType w:val="hybridMultilevel"/>
    <w:tmpl w:val="7EB2DFCA"/>
    <w:lvl w:ilvl="0" w:tplc="6C3CB7C0">
      <w:start w:val="1"/>
      <w:numFmt w:val="bullet"/>
      <w:lvlRestart w:val="0"/>
      <w:pStyle w:val="DfESBullets"/>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numFmt w:val="bullet"/>
      <w:lvlText w:val="–"/>
      <w:lvlJc w:val="left"/>
      <w:pPr>
        <w:tabs>
          <w:tab w:val="num" w:pos="2160"/>
        </w:tabs>
        <w:ind w:left="2160" w:hanging="360"/>
      </w:pPr>
      <w:rPr>
        <w:rFonts w:ascii="Arial" w:eastAsia="Times New Roman" w:hAnsi="Arial"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36"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8"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9"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40"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41"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4"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5"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6"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7"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8"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586308014">
    <w:abstractNumId w:val="9"/>
  </w:num>
  <w:num w:numId="2" w16cid:durableId="1011222882">
    <w:abstractNumId w:val="7"/>
  </w:num>
  <w:num w:numId="3" w16cid:durableId="456293129">
    <w:abstractNumId w:val="6"/>
  </w:num>
  <w:num w:numId="4" w16cid:durableId="1525628934">
    <w:abstractNumId w:val="5"/>
  </w:num>
  <w:num w:numId="5" w16cid:durableId="1629428509">
    <w:abstractNumId w:val="4"/>
  </w:num>
  <w:num w:numId="6" w16cid:durableId="1838687209">
    <w:abstractNumId w:val="8"/>
  </w:num>
  <w:num w:numId="7" w16cid:durableId="1791121214">
    <w:abstractNumId w:val="3"/>
  </w:num>
  <w:num w:numId="8" w16cid:durableId="742727946">
    <w:abstractNumId w:val="2"/>
  </w:num>
  <w:num w:numId="9" w16cid:durableId="615019084">
    <w:abstractNumId w:val="1"/>
  </w:num>
  <w:num w:numId="10" w16cid:durableId="466169241">
    <w:abstractNumId w:val="0"/>
  </w:num>
  <w:num w:numId="11" w16cid:durableId="2051763280">
    <w:abstractNumId w:val="28"/>
  </w:num>
  <w:num w:numId="12" w16cid:durableId="2092846759">
    <w:abstractNumId w:val="46"/>
  </w:num>
  <w:num w:numId="13" w16cid:durableId="305279667">
    <w:abstractNumId w:val="44"/>
  </w:num>
  <w:num w:numId="14" w16cid:durableId="1285503961">
    <w:abstractNumId w:val="34"/>
  </w:num>
  <w:num w:numId="15" w16cid:durableId="921334038">
    <w:abstractNumId w:val="13"/>
  </w:num>
  <w:num w:numId="16" w16cid:durableId="833493447">
    <w:abstractNumId w:val="37"/>
  </w:num>
  <w:num w:numId="17" w16cid:durableId="206723904">
    <w:abstractNumId w:val="23"/>
  </w:num>
  <w:num w:numId="18" w16cid:durableId="1647395751">
    <w:abstractNumId w:val="17"/>
  </w:num>
  <w:num w:numId="19" w16cid:durableId="290794482">
    <w:abstractNumId w:val="14"/>
  </w:num>
  <w:num w:numId="20" w16cid:durableId="278610788">
    <w:abstractNumId w:val="14"/>
  </w:num>
  <w:num w:numId="21" w16cid:durableId="146484836">
    <w:abstractNumId w:val="14"/>
  </w:num>
  <w:num w:numId="22" w16cid:durableId="1935553177">
    <w:abstractNumId w:val="14"/>
  </w:num>
  <w:num w:numId="23" w16cid:durableId="1528955421">
    <w:abstractNumId w:val="14"/>
  </w:num>
  <w:num w:numId="24" w16cid:durableId="1168252894">
    <w:abstractNumId w:val="14"/>
  </w:num>
  <w:num w:numId="25" w16cid:durableId="1298146799">
    <w:abstractNumId w:val="14"/>
  </w:num>
  <w:num w:numId="26" w16cid:durableId="134103462">
    <w:abstractNumId w:val="14"/>
  </w:num>
  <w:num w:numId="27" w16cid:durableId="1336573942">
    <w:abstractNumId w:val="14"/>
  </w:num>
  <w:num w:numId="28" w16cid:durableId="1324773235">
    <w:abstractNumId w:val="14"/>
  </w:num>
  <w:num w:numId="29" w16cid:durableId="1341084642">
    <w:abstractNumId w:val="14"/>
  </w:num>
  <w:num w:numId="30" w16cid:durableId="1356224087">
    <w:abstractNumId w:val="14"/>
  </w:num>
  <w:num w:numId="31" w16cid:durableId="156922941">
    <w:abstractNumId w:val="14"/>
  </w:num>
  <w:num w:numId="32" w16cid:durableId="302931836">
    <w:abstractNumId w:val="14"/>
  </w:num>
  <w:num w:numId="33" w16cid:durableId="1566599427">
    <w:abstractNumId w:val="14"/>
  </w:num>
  <w:num w:numId="34" w16cid:durableId="1666857776">
    <w:abstractNumId w:val="14"/>
  </w:num>
  <w:num w:numId="35" w16cid:durableId="1483350568">
    <w:abstractNumId w:val="14"/>
  </w:num>
  <w:num w:numId="36" w16cid:durableId="265313355">
    <w:abstractNumId w:val="14"/>
  </w:num>
  <w:num w:numId="37" w16cid:durableId="1891916100">
    <w:abstractNumId w:val="41"/>
  </w:num>
  <w:num w:numId="38" w16cid:durableId="1445274149">
    <w:abstractNumId w:val="43"/>
  </w:num>
  <w:num w:numId="39" w16cid:durableId="770859155">
    <w:abstractNumId w:val="36"/>
  </w:num>
  <w:num w:numId="40" w16cid:durableId="751779377">
    <w:abstractNumId w:val="39"/>
  </w:num>
  <w:num w:numId="41" w16cid:durableId="439028423">
    <w:abstractNumId w:val="27"/>
  </w:num>
  <w:num w:numId="42" w16cid:durableId="614023168">
    <w:abstractNumId w:val="48"/>
  </w:num>
  <w:num w:numId="43" w16cid:durableId="108011544">
    <w:abstractNumId w:val="33"/>
  </w:num>
  <w:num w:numId="44" w16cid:durableId="1622228897">
    <w:abstractNumId w:val="26"/>
  </w:num>
  <w:num w:numId="45" w16cid:durableId="1135561033">
    <w:abstractNumId w:val="29"/>
  </w:num>
  <w:num w:numId="46" w16cid:durableId="1107429716">
    <w:abstractNumId w:val="47"/>
  </w:num>
  <w:num w:numId="47" w16cid:durableId="412355225">
    <w:abstractNumId w:val="11"/>
  </w:num>
  <w:num w:numId="48" w16cid:durableId="1314749732">
    <w:abstractNumId w:val="18"/>
  </w:num>
  <w:num w:numId="49" w16cid:durableId="523790451">
    <w:abstractNumId w:val="14"/>
  </w:num>
  <w:num w:numId="50" w16cid:durableId="1510679808">
    <w:abstractNumId w:val="14"/>
  </w:num>
  <w:num w:numId="51" w16cid:durableId="605894557">
    <w:abstractNumId w:val="14"/>
  </w:num>
  <w:num w:numId="52" w16cid:durableId="935790339">
    <w:abstractNumId w:val="14"/>
  </w:num>
  <w:num w:numId="53" w16cid:durableId="828521818">
    <w:abstractNumId w:val="14"/>
  </w:num>
  <w:num w:numId="54" w16cid:durableId="1900096668">
    <w:abstractNumId w:val="14"/>
  </w:num>
  <w:num w:numId="55" w16cid:durableId="270478499">
    <w:abstractNumId w:val="14"/>
  </w:num>
  <w:num w:numId="56" w16cid:durableId="729110267">
    <w:abstractNumId w:val="14"/>
  </w:num>
  <w:num w:numId="57" w16cid:durableId="339935899">
    <w:abstractNumId w:val="14"/>
  </w:num>
  <w:num w:numId="58" w16cid:durableId="580990216">
    <w:abstractNumId w:val="48"/>
  </w:num>
  <w:num w:numId="59" w16cid:durableId="1126781098">
    <w:abstractNumId w:val="33"/>
  </w:num>
  <w:num w:numId="60" w16cid:durableId="1061293270">
    <w:abstractNumId w:val="26"/>
  </w:num>
  <w:num w:numId="61" w16cid:durableId="532041789">
    <w:abstractNumId w:val="29"/>
  </w:num>
  <w:num w:numId="62" w16cid:durableId="205026769">
    <w:abstractNumId w:val="47"/>
  </w:num>
  <w:num w:numId="63" w16cid:durableId="311716149">
    <w:abstractNumId w:val="11"/>
  </w:num>
  <w:num w:numId="64" w16cid:durableId="1409116964">
    <w:abstractNumId w:val="18"/>
  </w:num>
  <w:num w:numId="65" w16cid:durableId="274100439">
    <w:abstractNumId w:val="24"/>
  </w:num>
  <w:num w:numId="66" w16cid:durableId="741871867">
    <w:abstractNumId w:val="12"/>
  </w:num>
  <w:num w:numId="67" w16cid:durableId="848909182">
    <w:abstractNumId w:val="23"/>
  </w:num>
  <w:num w:numId="68" w16cid:durableId="1463497465">
    <w:abstractNumId w:val="31"/>
  </w:num>
  <w:num w:numId="69" w16cid:durableId="1134904655">
    <w:abstractNumId w:val="21"/>
  </w:num>
  <w:num w:numId="70" w16cid:durableId="604776709">
    <w:abstractNumId w:val="22"/>
  </w:num>
  <w:num w:numId="71" w16cid:durableId="1748336025">
    <w:abstractNumId w:val="21"/>
  </w:num>
  <w:num w:numId="72" w16cid:durableId="419453454">
    <w:abstractNumId w:val="14"/>
  </w:num>
  <w:num w:numId="73" w16cid:durableId="542447919">
    <w:abstractNumId w:val="14"/>
  </w:num>
  <w:num w:numId="74" w16cid:durableId="1225870425">
    <w:abstractNumId w:val="14"/>
  </w:num>
  <w:num w:numId="75" w16cid:durableId="845753064">
    <w:abstractNumId w:val="14"/>
  </w:num>
  <w:num w:numId="76" w16cid:durableId="978535904">
    <w:abstractNumId w:val="14"/>
  </w:num>
  <w:num w:numId="77" w16cid:durableId="1828470143">
    <w:abstractNumId w:val="14"/>
  </w:num>
  <w:num w:numId="78" w16cid:durableId="2034114402">
    <w:abstractNumId w:val="14"/>
  </w:num>
  <w:num w:numId="79" w16cid:durableId="639069657">
    <w:abstractNumId w:val="14"/>
  </w:num>
  <w:num w:numId="80" w16cid:durableId="1891502373">
    <w:abstractNumId w:val="14"/>
  </w:num>
  <w:num w:numId="81" w16cid:durableId="313992857">
    <w:abstractNumId w:val="48"/>
  </w:num>
  <w:num w:numId="82" w16cid:durableId="75707818">
    <w:abstractNumId w:val="18"/>
  </w:num>
  <w:num w:numId="83" w16cid:durableId="1807551205">
    <w:abstractNumId w:val="33"/>
  </w:num>
  <w:num w:numId="84" w16cid:durableId="771432993">
    <w:abstractNumId w:val="26"/>
  </w:num>
  <w:num w:numId="85" w16cid:durableId="2140997219">
    <w:abstractNumId w:val="21"/>
  </w:num>
  <w:num w:numId="86" w16cid:durableId="963344639">
    <w:abstractNumId w:val="22"/>
  </w:num>
  <w:num w:numId="87" w16cid:durableId="376903563">
    <w:abstractNumId w:val="21"/>
  </w:num>
  <w:num w:numId="88" w16cid:durableId="1522476002">
    <w:abstractNumId w:val="11"/>
  </w:num>
  <w:num w:numId="89" w16cid:durableId="994920238">
    <w:abstractNumId w:val="47"/>
  </w:num>
  <w:num w:numId="90" w16cid:durableId="1862814466">
    <w:abstractNumId w:val="30"/>
  </w:num>
  <w:num w:numId="91" w16cid:durableId="1441687009">
    <w:abstractNumId w:val="31"/>
  </w:num>
  <w:num w:numId="92" w16cid:durableId="882403982">
    <w:abstractNumId w:val="22"/>
  </w:num>
  <w:num w:numId="93" w16cid:durableId="277681546">
    <w:abstractNumId w:val="18"/>
  </w:num>
  <w:num w:numId="94" w16cid:durableId="313920489">
    <w:abstractNumId w:val="33"/>
  </w:num>
  <w:num w:numId="95" w16cid:durableId="199979723">
    <w:abstractNumId w:val="48"/>
  </w:num>
  <w:num w:numId="96" w16cid:durableId="868569027">
    <w:abstractNumId w:val="29"/>
  </w:num>
  <w:num w:numId="97" w16cid:durableId="995458695">
    <w:abstractNumId w:val="20"/>
  </w:num>
  <w:num w:numId="98" w16cid:durableId="1436169172">
    <w:abstractNumId w:val="20"/>
  </w:num>
  <w:num w:numId="99" w16cid:durableId="2065834466">
    <w:abstractNumId w:val="20"/>
  </w:num>
  <w:num w:numId="100" w16cid:durableId="120391868">
    <w:abstractNumId w:val="20"/>
  </w:num>
  <w:num w:numId="101" w16cid:durableId="1335186729">
    <w:abstractNumId w:val="20"/>
  </w:num>
  <w:num w:numId="102" w16cid:durableId="1135607909">
    <w:abstractNumId w:val="20"/>
  </w:num>
  <w:num w:numId="103" w16cid:durableId="1533034483">
    <w:abstractNumId w:val="20"/>
  </w:num>
  <w:num w:numId="104" w16cid:durableId="192813317">
    <w:abstractNumId w:val="20"/>
  </w:num>
  <w:num w:numId="105" w16cid:durableId="140854335">
    <w:abstractNumId w:val="20"/>
  </w:num>
  <w:num w:numId="106" w16cid:durableId="1855071636">
    <w:abstractNumId w:val="20"/>
  </w:num>
  <w:num w:numId="107" w16cid:durableId="1365251198">
    <w:abstractNumId w:val="20"/>
  </w:num>
  <w:num w:numId="108" w16cid:durableId="1258059973">
    <w:abstractNumId w:val="20"/>
  </w:num>
  <w:num w:numId="109" w16cid:durableId="1929118725">
    <w:abstractNumId w:val="20"/>
  </w:num>
  <w:num w:numId="110" w16cid:durableId="1720594969">
    <w:abstractNumId w:val="14"/>
  </w:num>
  <w:num w:numId="111" w16cid:durableId="540410477">
    <w:abstractNumId w:val="14"/>
  </w:num>
  <w:num w:numId="112" w16cid:durableId="882715965">
    <w:abstractNumId w:val="14"/>
  </w:num>
  <w:num w:numId="113" w16cid:durableId="944968308">
    <w:abstractNumId w:val="14"/>
  </w:num>
  <w:num w:numId="114" w16cid:durableId="413165467">
    <w:abstractNumId w:val="14"/>
  </w:num>
  <w:num w:numId="115" w16cid:durableId="2001035082">
    <w:abstractNumId w:val="14"/>
  </w:num>
  <w:num w:numId="116" w16cid:durableId="1476488511">
    <w:abstractNumId w:val="14"/>
  </w:num>
  <w:num w:numId="117" w16cid:durableId="1774743228">
    <w:abstractNumId w:val="14"/>
  </w:num>
  <w:num w:numId="118" w16cid:durableId="1988629982">
    <w:abstractNumId w:val="14"/>
  </w:num>
  <w:num w:numId="119" w16cid:durableId="313875803">
    <w:abstractNumId w:val="14"/>
  </w:num>
  <w:num w:numId="120" w16cid:durableId="1193811248">
    <w:abstractNumId w:val="14"/>
  </w:num>
  <w:num w:numId="121" w16cid:durableId="1689671647">
    <w:abstractNumId w:val="14"/>
  </w:num>
  <w:num w:numId="122" w16cid:durableId="1422019382">
    <w:abstractNumId w:val="14"/>
  </w:num>
  <w:num w:numId="123" w16cid:durableId="329257196">
    <w:abstractNumId w:val="14"/>
  </w:num>
  <w:num w:numId="124" w16cid:durableId="1608584431">
    <w:abstractNumId w:val="14"/>
  </w:num>
  <w:num w:numId="125" w16cid:durableId="1719016064">
    <w:abstractNumId w:val="14"/>
  </w:num>
  <w:num w:numId="126" w16cid:durableId="1368410305">
    <w:abstractNumId w:val="14"/>
  </w:num>
  <w:num w:numId="127" w16cid:durableId="1358921380">
    <w:abstractNumId w:val="14"/>
  </w:num>
  <w:num w:numId="128" w16cid:durableId="751852258">
    <w:abstractNumId w:val="30"/>
  </w:num>
  <w:num w:numId="129" w16cid:durableId="1548027434">
    <w:abstractNumId w:val="26"/>
  </w:num>
  <w:num w:numId="130" w16cid:durableId="997730808">
    <w:abstractNumId w:val="14"/>
  </w:num>
  <w:num w:numId="131" w16cid:durableId="1029113342">
    <w:abstractNumId w:val="14"/>
  </w:num>
  <w:num w:numId="132" w16cid:durableId="525339252">
    <w:abstractNumId w:val="14"/>
  </w:num>
  <w:num w:numId="133" w16cid:durableId="1081831720">
    <w:abstractNumId w:val="14"/>
  </w:num>
  <w:num w:numId="134" w16cid:durableId="1794060965">
    <w:abstractNumId w:val="14"/>
  </w:num>
  <w:num w:numId="135" w16cid:durableId="419643809">
    <w:abstractNumId w:val="14"/>
  </w:num>
  <w:num w:numId="136" w16cid:durableId="230117853">
    <w:abstractNumId w:val="14"/>
  </w:num>
  <w:num w:numId="137" w16cid:durableId="1678457412">
    <w:abstractNumId w:val="14"/>
  </w:num>
  <w:num w:numId="138" w16cid:durableId="2145812270">
    <w:abstractNumId w:val="14"/>
  </w:num>
  <w:num w:numId="139" w16cid:durableId="1630553402">
    <w:abstractNumId w:val="48"/>
  </w:num>
  <w:num w:numId="140" w16cid:durableId="2073456274">
    <w:abstractNumId w:val="18"/>
  </w:num>
  <w:num w:numId="141" w16cid:durableId="931085112">
    <w:abstractNumId w:val="33"/>
  </w:num>
  <w:num w:numId="142" w16cid:durableId="72894896">
    <w:abstractNumId w:val="29"/>
  </w:num>
  <w:num w:numId="143" w16cid:durableId="411780813">
    <w:abstractNumId w:val="31"/>
  </w:num>
  <w:num w:numId="144" w16cid:durableId="1887643772">
    <w:abstractNumId w:val="47"/>
  </w:num>
  <w:num w:numId="145" w16cid:durableId="1776249193">
    <w:abstractNumId w:val="30"/>
  </w:num>
  <w:num w:numId="146" w16cid:durableId="692609318">
    <w:abstractNumId w:val="21"/>
  </w:num>
  <w:num w:numId="147" w16cid:durableId="739864598">
    <w:abstractNumId w:val="22"/>
  </w:num>
  <w:num w:numId="148" w16cid:durableId="1590114715">
    <w:abstractNumId w:val="11"/>
  </w:num>
  <w:num w:numId="149" w16cid:durableId="793982024">
    <w:abstractNumId w:val="14"/>
  </w:num>
  <w:num w:numId="150" w16cid:durableId="1807891408">
    <w:abstractNumId w:val="40"/>
  </w:num>
  <w:num w:numId="151" w16cid:durableId="1659965928">
    <w:abstractNumId w:val="38"/>
  </w:num>
  <w:num w:numId="152" w16cid:durableId="892272849">
    <w:abstractNumId w:val="22"/>
  </w:num>
  <w:num w:numId="153" w16cid:durableId="1317528">
    <w:abstractNumId w:val="42"/>
  </w:num>
  <w:num w:numId="154" w16cid:durableId="1885604205">
    <w:abstractNumId w:val="42"/>
  </w:num>
  <w:num w:numId="155" w16cid:durableId="1178084687">
    <w:abstractNumId w:val="42"/>
  </w:num>
  <w:num w:numId="156" w16cid:durableId="104615992">
    <w:abstractNumId w:val="42"/>
  </w:num>
  <w:num w:numId="157" w16cid:durableId="1223371231">
    <w:abstractNumId w:val="19"/>
  </w:num>
  <w:num w:numId="158" w16cid:durableId="2099254064">
    <w:abstractNumId w:val="19"/>
  </w:num>
  <w:num w:numId="159" w16cid:durableId="1071734320">
    <w:abstractNumId w:val="19"/>
  </w:num>
  <w:num w:numId="160" w16cid:durableId="698746674">
    <w:abstractNumId w:val="19"/>
  </w:num>
  <w:num w:numId="161" w16cid:durableId="823476475">
    <w:abstractNumId w:val="32"/>
  </w:num>
  <w:num w:numId="162" w16cid:durableId="433592144">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107823437">
    <w:abstractNumId w:val="25"/>
  </w:num>
  <w:num w:numId="164" w16cid:durableId="1901090611">
    <w:abstractNumId w:val="35"/>
  </w:num>
  <w:num w:numId="165" w16cid:durableId="1976566551">
    <w:abstractNumId w:val="16"/>
  </w:num>
  <w:num w:numId="166" w16cid:durableId="8023085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C5"/>
    <w:rsid w:val="000020F7"/>
    <w:rsid w:val="00071F58"/>
    <w:rsid w:val="00083FBC"/>
    <w:rsid w:val="000E044C"/>
    <w:rsid w:val="000E3F22"/>
    <w:rsid w:val="00112B4E"/>
    <w:rsid w:val="0014406C"/>
    <w:rsid w:val="00171F08"/>
    <w:rsid w:val="0022170F"/>
    <w:rsid w:val="002B28C5"/>
    <w:rsid w:val="002D0849"/>
    <w:rsid w:val="002D6B2E"/>
    <w:rsid w:val="00304DEB"/>
    <w:rsid w:val="00323DF1"/>
    <w:rsid w:val="00365A1E"/>
    <w:rsid w:val="00367797"/>
    <w:rsid w:val="003921A9"/>
    <w:rsid w:val="003C2B53"/>
    <w:rsid w:val="003D12D6"/>
    <w:rsid w:val="003F7522"/>
    <w:rsid w:val="00427EDA"/>
    <w:rsid w:val="00445F2C"/>
    <w:rsid w:val="004E0123"/>
    <w:rsid w:val="004F65D3"/>
    <w:rsid w:val="005115B2"/>
    <w:rsid w:val="005525ED"/>
    <w:rsid w:val="00584823"/>
    <w:rsid w:val="005C5D51"/>
    <w:rsid w:val="005D11D1"/>
    <w:rsid w:val="005E5ED9"/>
    <w:rsid w:val="005F793E"/>
    <w:rsid w:val="00680DCF"/>
    <w:rsid w:val="00687EE7"/>
    <w:rsid w:val="0069311C"/>
    <w:rsid w:val="006A0D97"/>
    <w:rsid w:val="00713354"/>
    <w:rsid w:val="00715E5F"/>
    <w:rsid w:val="00721BF1"/>
    <w:rsid w:val="00754CB7"/>
    <w:rsid w:val="00792125"/>
    <w:rsid w:val="007B0D74"/>
    <w:rsid w:val="00820D9C"/>
    <w:rsid w:val="008D3B70"/>
    <w:rsid w:val="00941E8D"/>
    <w:rsid w:val="00954E13"/>
    <w:rsid w:val="009700CD"/>
    <w:rsid w:val="009C7642"/>
    <w:rsid w:val="009D15C2"/>
    <w:rsid w:val="00A15054"/>
    <w:rsid w:val="00A51DF8"/>
    <w:rsid w:val="00A55E45"/>
    <w:rsid w:val="00A71D5B"/>
    <w:rsid w:val="00A72586"/>
    <w:rsid w:val="00A83A74"/>
    <w:rsid w:val="00A8452C"/>
    <w:rsid w:val="00A9225C"/>
    <w:rsid w:val="00AA46CC"/>
    <w:rsid w:val="00B104EA"/>
    <w:rsid w:val="00B329CA"/>
    <w:rsid w:val="00B845E7"/>
    <w:rsid w:val="00B97461"/>
    <w:rsid w:val="00C502FD"/>
    <w:rsid w:val="00CA69F6"/>
    <w:rsid w:val="00CE51DE"/>
    <w:rsid w:val="00D01404"/>
    <w:rsid w:val="00D31A71"/>
    <w:rsid w:val="00D40257"/>
    <w:rsid w:val="00D97143"/>
    <w:rsid w:val="00DD54E0"/>
    <w:rsid w:val="00DE1D55"/>
    <w:rsid w:val="00E12E65"/>
    <w:rsid w:val="00E45613"/>
    <w:rsid w:val="00E52D4E"/>
    <w:rsid w:val="00EA14F6"/>
    <w:rsid w:val="00F030A6"/>
    <w:rsid w:val="00F1763A"/>
    <w:rsid w:val="00F85E35"/>
    <w:rsid w:val="00FA264E"/>
    <w:rsid w:val="00FF57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269DA3D1-D9EB-4FE0-BA04-FFD200CE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tyle>
  <w:style w:type="table" w:default="1" w:styleId="Normaltabell">
    <w:name w:val="Normal Table"/>
    <w:tblPr>
      <w:tblInd w:w="0" w:type="dxa"/>
      <w:tblCellMar>
        <w:top w:w="0" w:type="dxa"/>
        <w:left w:w="108" w:type="dxa"/>
        <w:bottom w:w="0" w:type="dxa"/>
        <w:right w:w="108" w:type="dxa"/>
      </w:tblCellMar>
    </w:tblPr>
  </w:style>
  <w:style w:type="numbering" w:default="1" w:styleId="Ingenlista">
    <w:name w:val="No List"/>
  </w:style>
  <w:style w:type="paragraph" w:styleId="Sidfot">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rPr>
      <w:b/>
      <w:vertAlign w:val="superscript"/>
    </w:rPr>
  </w:style>
  <w:style w:type="paragraph" w:styleId="Fotnotstext">
    <w:name w:val="footnote text"/>
    <w:basedOn w:val="Normal"/>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pPr>
      <w:tabs>
        <w:tab w:val="left" w:pos="1134"/>
        <w:tab w:val="right" w:leader="dot" w:pos="9639"/>
      </w:tabs>
      <w:ind w:left="1134" w:right="567" w:hanging="567"/>
    </w:pPr>
  </w:style>
  <w:style w:type="paragraph" w:styleId="Innehll3">
    <w:name w:val="toc 3"/>
    <w:basedOn w:val="Normal"/>
    <w:next w:val="Normal"/>
    <w:pPr>
      <w:tabs>
        <w:tab w:val="left" w:pos="1701"/>
        <w:tab w:val="right" w:leader="dot" w:pos="9639"/>
      </w:tabs>
      <w:ind w:left="1701" w:right="567" w:hanging="567"/>
    </w:pPr>
  </w:style>
  <w:style w:type="paragraph" w:styleId="Innehll4">
    <w:name w:val="toc 4"/>
    <w:basedOn w:val="Normal"/>
    <w:next w:val="Normal"/>
    <w:pPr>
      <w:tabs>
        <w:tab w:val="left" w:pos="2268"/>
        <w:tab w:val="right" w:pos="9639"/>
      </w:tabs>
      <w:ind w:left="2268" w:right="567" w:hanging="567"/>
    </w:pPr>
  </w:style>
  <w:style w:type="paragraph" w:styleId="Innehll5">
    <w:name w:val="toc 5"/>
    <w:basedOn w:val="Normal"/>
    <w:next w:val="Normal"/>
    <w:pPr>
      <w:tabs>
        <w:tab w:val="left" w:pos="2835"/>
        <w:tab w:val="right" w:leader="dot" w:pos="9639"/>
      </w:tabs>
      <w:ind w:left="2835" w:right="567" w:hanging="567"/>
    </w:pPr>
  </w:style>
  <w:style w:type="paragraph" w:styleId="Innehll6">
    <w:name w:val="toc 6"/>
    <w:basedOn w:val="Normal"/>
    <w:next w:val="Normal"/>
    <w:pPr>
      <w:tabs>
        <w:tab w:val="left" w:pos="3402"/>
        <w:tab w:val="right" w:leader="dot" w:pos="9639"/>
      </w:tabs>
      <w:ind w:left="3402" w:right="567" w:hanging="567"/>
    </w:pPr>
  </w:style>
  <w:style w:type="paragraph" w:styleId="Innehll7">
    <w:name w:val="toc 7"/>
    <w:basedOn w:val="Normal"/>
    <w:next w:val="Normal"/>
    <w:pPr>
      <w:tabs>
        <w:tab w:val="left" w:pos="3969"/>
        <w:tab w:val="right" w:leader="dot" w:pos="9639"/>
      </w:tabs>
      <w:ind w:left="3969" w:right="567" w:hanging="567"/>
    </w:pPr>
  </w:style>
  <w:style w:type="paragraph" w:styleId="Innehll8">
    <w:name w:val="toc 8"/>
    <w:basedOn w:val="Normal"/>
    <w:next w:val="Normal"/>
    <w:pPr>
      <w:tabs>
        <w:tab w:val="left" w:pos="4536"/>
        <w:tab w:val="right" w:leader="dot" w:pos="9639"/>
      </w:tabs>
      <w:ind w:left="4536" w:right="567" w:hanging="567"/>
    </w:pPr>
  </w:style>
  <w:style w:type="paragraph" w:styleId="Innehll9">
    <w:name w:val="toc 9"/>
    <w:basedOn w:val="Normal"/>
    <w:next w:val="Normal"/>
    <w:pPr>
      <w:tabs>
        <w:tab w:val="left" w:pos="5103"/>
        <w:tab w:val="right" w:leader="dot" w:pos="9639"/>
      </w:tabs>
      <w:ind w:left="5103" w:right="567" w:hanging="567"/>
    </w:pPr>
  </w:style>
  <w:style w:type="paragraph" w:styleId="Slutnotstext">
    <w:name w:val="endnote text"/>
    <w:basedOn w:val="Normal"/>
    <w:pPr>
      <w:tabs>
        <w:tab w:val="left" w:pos="567"/>
      </w:tabs>
      <w:spacing w:line="240" w:lineRule="auto"/>
      <w:ind w:left="567" w:hanging="567"/>
    </w:pPr>
  </w:style>
  <w:style w:type="character" w:styleId="Slutnotsreferens">
    <w:name w:val="endnote reference"/>
    <w:basedOn w:val="Standardstycketeckensnitt"/>
    <w:rPr>
      <w:b/>
      <w:vertAlign w:val="superscript"/>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rsid w:val="003D12D6"/>
    <w:rPr>
      <w:color w:val="FF0000"/>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rsid w:val="004E0123"/>
    <w:pPr>
      <w:shd w:val="clear" w:color="auto" w:fill="000080"/>
    </w:pPr>
    <w:rPr>
      <w:rFonts w:ascii="Tahoma" w:hAnsi="Tahoma" w:cs="Tahoma"/>
    </w:rPr>
  </w:style>
  <w:style w:type="paragraph" w:customStyle="1" w:styleId="Text3">
    <w:name w:val="Text 3"/>
    <w:basedOn w:val="Normal"/>
    <w:rsid w:val="004E0123"/>
    <w:pPr>
      <w:widowControl/>
      <w:spacing w:before="120" w:after="120" w:line="240" w:lineRule="auto"/>
      <w:ind w:left="850"/>
      <w:jc w:val="both"/>
    </w:pPr>
    <w:rPr>
      <w:rFonts w:cs="Tunga"/>
      <w:szCs w:val="24"/>
      <w:lang w:eastAsia="en-GB" w:bidi="kn-IN"/>
    </w:rPr>
  </w:style>
  <w:style w:type="paragraph" w:customStyle="1" w:styleId="Considrant">
    <w:name w:val="Considérant"/>
    <w:basedOn w:val="Normal"/>
    <w:rsid w:val="004E0123"/>
    <w:pPr>
      <w:widowControl/>
      <w:tabs>
        <w:tab w:val="num" w:pos="709"/>
      </w:tabs>
      <w:spacing w:before="120" w:after="120" w:line="240" w:lineRule="auto"/>
      <w:ind w:left="709" w:hanging="709"/>
      <w:jc w:val="both"/>
    </w:pPr>
  </w:style>
  <w:style w:type="paragraph" w:customStyle="1" w:styleId="Tiret0">
    <w:name w:val="Tiret 0"/>
    <w:basedOn w:val="Normal"/>
    <w:rsid w:val="004E0123"/>
    <w:pPr>
      <w:widowControl/>
      <w:spacing w:before="120" w:after="120" w:line="240" w:lineRule="auto"/>
      <w:ind w:left="851" w:hanging="851"/>
      <w:jc w:val="both"/>
    </w:pPr>
  </w:style>
  <w:style w:type="paragraph" w:customStyle="1" w:styleId="DfESBullets">
    <w:name w:val="DfESBullets"/>
    <w:basedOn w:val="Normal"/>
    <w:rsid w:val="004E0123"/>
    <w:pPr>
      <w:numPr>
        <w:numId w:val="164"/>
      </w:numPr>
      <w:overflowPunct w:val="0"/>
      <w:autoSpaceDE w:val="0"/>
      <w:autoSpaceDN w:val="0"/>
      <w:adjustRightInd w:val="0"/>
      <w:spacing w:after="240" w:line="240" w:lineRule="auto"/>
      <w:textAlignment w:val="baseline"/>
    </w:pPr>
    <w:rPr>
      <w:rFonts w:ascii="Arial" w:hAnsi="Arial"/>
      <w:lang w:eastAsia="en-US"/>
    </w:rPr>
  </w:style>
  <w:style w:type="character" w:customStyle="1" w:styleId="Marker">
    <w:name w:val="Marker"/>
    <w:basedOn w:val="Standardstycketeckensnitt"/>
    <w:rsid w:val="004E0123"/>
    <w:rPr>
      <w:color w:val="0000FF"/>
    </w:rPr>
  </w:style>
  <w:style w:type="paragraph" w:customStyle="1" w:styleId="Formuledadoption">
    <w:name w:val="Formule d'adoption"/>
    <w:basedOn w:val="Normal"/>
    <w:next w:val="Normal"/>
    <w:rsid w:val="004E0123"/>
    <w:pPr>
      <w:keepNext/>
      <w:widowControl/>
      <w:spacing w:before="120" w:after="120" w:line="240" w:lineRule="auto"/>
      <w:jc w:val="both"/>
    </w:pPr>
    <w:rPr>
      <w:rFonts w:cs="Tunga"/>
      <w:szCs w:val="24"/>
      <w:lang w:eastAsia="en-GB" w:bidi="kn-IN"/>
    </w:rPr>
  </w:style>
  <w:style w:type="paragraph" w:customStyle="1" w:styleId="Institutionquisigne">
    <w:name w:val="Institution qui signe"/>
    <w:basedOn w:val="Normal"/>
    <w:next w:val="Personnequisigne"/>
    <w:rsid w:val="004E0123"/>
    <w:pPr>
      <w:keepNext/>
      <w:widowControl/>
      <w:tabs>
        <w:tab w:val="left" w:pos="4252"/>
      </w:tabs>
      <w:spacing w:before="720" w:line="240" w:lineRule="auto"/>
      <w:jc w:val="both"/>
    </w:pPr>
    <w:rPr>
      <w:rFonts w:cs="Tunga"/>
      <w:i/>
      <w:iCs/>
      <w:szCs w:val="24"/>
      <w:lang w:eastAsia="en-GB" w:bidi="kn-IN"/>
    </w:rPr>
  </w:style>
  <w:style w:type="paragraph" w:customStyle="1" w:styleId="Personnequisigne">
    <w:name w:val="Personne qui signe"/>
    <w:basedOn w:val="Normal"/>
    <w:next w:val="Institutionquisigne"/>
    <w:rsid w:val="004E0123"/>
    <w:pPr>
      <w:widowControl/>
      <w:tabs>
        <w:tab w:val="left" w:pos="4252"/>
      </w:tabs>
      <w:spacing w:line="240" w:lineRule="auto"/>
    </w:pPr>
    <w:rPr>
      <w:rFonts w:cs="Tunga"/>
      <w:i/>
      <w:iCs/>
      <w:szCs w:val="24"/>
      <w:lang w:eastAsia="en-GB" w:bidi="kn-IN"/>
    </w:rPr>
  </w:style>
  <w:style w:type="paragraph" w:styleId="Punktlista">
    <w:name w:val="List Bullet"/>
    <w:basedOn w:val="Normal"/>
    <w:rsid w:val="004E0123"/>
    <w:pPr>
      <w:widowControl/>
      <w:numPr>
        <w:numId w:val="165"/>
      </w:numPr>
      <w:spacing w:before="120" w:after="120" w:line="240" w:lineRule="auto"/>
      <w:jc w:val="both"/>
    </w:pPr>
    <w:rPr>
      <w:rFonts w:cs="Tunga"/>
      <w:szCs w:val="24"/>
      <w:lang w:eastAsia="en-GB" w:bidi="kn-IN"/>
    </w:rPr>
  </w:style>
  <w:style w:type="paragraph" w:customStyle="1" w:styleId="Annexetitreacte">
    <w:name w:val="Annexe titre (acte)"/>
    <w:basedOn w:val="Normal"/>
    <w:next w:val="Normal"/>
    <w:rsid w:val="004E0123"/>
    <w:pPr>
      <w:widowControl/>
      <w:spacing w:before="120" w:after="120" w:line="240" w:lineRule="auto"/>
      <w:jc w:val="center"/>
    </w:pPr>
    <w:rPr>
      <w:rFonts w:cs="Tunga"/>
      <w:b/>
      <w:bCs/>
      <w:szCs w:val="24"/>
      <w:u w:val="single"/>
      <w:lang w:eastAsia="en-GB" w:bidi="kn-IN"/>
    </w:rPr>
  </w:style>
  <w:style w:type="character" w:styleId="Stark">
    <w:name w:val="Strong"/>
    <w:basedOn w:val="Standardstycketeckensnitt"/>
    <w:qFormat/>
    <w:rsid w:val="004E01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2268</Words>
  <Characters>12569</Characters>
  <Application>Microsoft Office Word</Application>
  <DocSecurity>4</DocSecurity>
  <Lines>314</Lines>
  <Paragraphs>114</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2006-04-26T16:30:00Z</cp:lastPrinted>
  <dcterms:created xsi:type="dcterms:W3CDTF">2025-12-16T23:06:00Z</dcterms:created>
  <dcterms:modified xsi:type="dcterms:W3CDTF">2025-12-16T23:06:00Z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ipControlLengthPage">
    <vt:lpwstr/>
  </property>
</Properties>
</file>