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13 maj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Godkännande av tillfälliga ändringar i presstödet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årsredovisning för 2019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Verksamhetsredogörelser för riksdagens nämnder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Sekretess till skydd för enskilda som lämnat stödförklaringar enligt EU:s nya förordning om det europeiska medborgarinitiativet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Strandman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Vissa frågor om försäkring och tjänstepension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Bilateralt avtal mellan Europeiska unionen och Amerikas förenta stater om tillsynsregler för försäkring och återförsäkring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nationalräkenskaperna – en stabilare grund för finanspolitiken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Medgivande för Riksbanken att delta i Internationella valutafondens finansieringslösning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Ingela Nylund Watz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Höjt tak för uppskov med kapitalvinst vid avyttring av privatbostad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 i skatteavtalet mellan Sverige och Schweiz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Nya befogenheter på konsumentskyddsområdet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Cecilie Tenfjord Toftby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2019 års redogörelse för tillämpningen av lagen om särskild utlänningskontroll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Öfverbeck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Polisfrågor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Öfverbeck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Straffrättsliga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Processrättsliga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Internationellt samarbete om verkställighet av straff anpassas till nya regler i brottsbalken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förbud mot spridning av bilder från rättegångar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JuU42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Den gemensamma parlamentariska kontrollgruppen för Europol (JPSG)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37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13 maj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2020-05-13</SAFIR_Sammantradesdatum_Doc>
    <SAFIR_SammantradeID xmlns="C07A1A6C-0B19-41D9-BDF8-F523BA3921EB">add418b5-9127-4899-82ba-7e29dd747708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9E8D22-9DF7-4DD3-A84F-A9070552FF95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13 maj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