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6284" w14:textId="77777777" w:rsidR="00BF5B1A" w:rsidRPr="006D3290"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6D3290" w:rsidRPr="006D3290" w14:paraId="43871E3F" w14:textId="77777777" w:rsidTr="0096348C">
        <w:tc>
          <w:tcPr>
            <w:tcW w:w="9141" w:type="dxa"/>
          </w:tcPr>
          <w:p w14:paraId="47013FEA" w14:textId="77777777" w:rsidR="00BF5B1A" w:rsidRPr="006D3290" w:rsidRDefault="00BF5B1A" w:rsidP="0096348C">
            <w:pPr>
              <w:rPr>
                <w:szCs w:val="24"/>
              </w:rPr>
            </w:pPr>
            <w:r w:rsidRPr="006D3290">
              <w:rPr>
                <w:szCs w:val="24"/>
              </w:rPr>
              <w:t>RIKSDAGEN</w:t>
            </w:r>
          </w:p>
          <w:p w14:paraId="15FDC54F" w14:textId="77777777" w:rsidR="00BF5B1A" w:rsidRPr="006D3290" w:rsidRDefault="00BF5B1A" w:rsidP="0096348C">
            <w:pPr>
              <w:rPr>
                <w:szCs w:val="24"/>
              </w:rPr>
            </w:pPr>
            <w:r w:rsidRPr="006D3290">
              <w:rPr>
                <w:szCs w:val="24"/>
              </w:rPr>
              <w:t>SOCIALUTSKOTTET</w:t>
            </w:r>
          </w:p>
        </w:tc>
      </w:tr>
    </w:tbl>
    <w:p w14:paraId="2B9317DE" w14:textId="77777777" w:rsidR="00FB69D0" w:rsidRPr="006D3290" w:rsidRDefault="00FB69D0"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6D3290" w:rsidRPr="006D3290" w14:paraId="29136FDD" w14:textId="77777777" w:rsidTr="0096348C">
        <w:trPr>
          <w:cantSplit/>
          <w:trHeight w:val="742"/>
        </w:trPr>
        <w:tc>
          <w:tcPr>
            <w:tcW w:w="1985" w:type="dxa"/>
          </w:tcPr>
          <w:p w14:paraId="3E5BC3CB" w14:textId="77777777" w:rsidR="00BF5B1A" w:rsidRPr="006D3290" w:rsidRDefault="00BF5B1A" w:rsidP="0096348C">
            <w:pPr>
              <w:rPr>
                <w:b/>
                <w:szCs w:val="24"/>
              </w:rPr>
            </w:pPr>
            <w:r w:rsidRPr="006D3290">
              <w:rPr>
                <w:b/>
                <w:szCs w:val="24"/>
              </w:rPr>
              <w:t xml:space="preserve">PROTOKOLL </w:t>
            </w:r>
          </w:p>
        </w:tc>
        <w:tc>
          <w:tcPr>
            <w:tcW w:w="6463" w:type="dxa"/>
          </w:tcPr>
          <w:p w14:paraId="617317A3" w14:textId="75F763C2" w:rsidR="00BF5B1A" w:rsidRPr="006D3290" w:rsidRDefault="000D522A" w:rsidP="0096348C">
            <w:pPr>
              <w:rPr>
                <w:b/>
                <w:szCs w:val="24"/>
              </w:rPr>
            </w:pPr>
            <w:r w:rsidRPr="006D3290">
              <w:rPr>
                <w:b/>
                <w:szCs w:val="24"/>
              </w:rPr>
              <w:t>UTSKOTTSSAMMANTRÄDE 20</w:t>
            </w:r>
            <w:r w:rsidR="00FC25EF" w:rsidRPr="006D3290">
              <w:rPr>
                <w:b/>
                <w:szCs w:val="24"/>
              </w:rPr>
              <w:t>2</w:t>
            </w:r>
            <w:r w:rsidR="00DB5172" w:rsidRPr="006D3290">
              <w:rPr>
                <w:b/>
                <w:szCs w:val="24"/>
              </w:rPr>
              <w:t>5</w:t>
            </w:r>
            <w:r w:rsidR="00FC25EF" w:rsidRPr="006D3290">
              <w:rPr>
                <w:b/>
                <w:szCs w:val="24"/>
              </w:rPr>
              <w:t>/2</w:t>
            </w:r>
            <w:r w:rsidR="00DB5172" w:rsidRPr="006D3290">
              <w:rPr>
                <w:b/>
                <w:szCs w:val="24"/>
              </w:rPr>
              <w:t>6</w:t>
            </w:r>
            <w:r w:rsidR="00FC25EF" w:rsidRPr="006D3290">
              <w:rPr>
                <w:b/>
                <w:szCs w:val="24"/>
              </w:rPr>
              <w:t>:</w:t>
            </w:r>
            <w:r w:rsidR="00291212" w:rsidRPr="006D3290">
              <w:rPr>
                <w:b/>
                <w:szCs w:val="24"/>
              </w:rPr>
              <w:t>3</w:t>
            </w:r>
            <w:r w:rsidR="00330772" w:rsidRPr="006D3290">
              <w:rPr>
                <w:b/>
                <w:szCs w:val="24"/>
              </w:rPr>
              <w:t>4</w:t>
            </w:r>
          </w:p>
          <w:p w14:paraId="175EC0B4" w14:textId="77777777" w:rsidR="00BF5B1A" w:rsidRPr="006D3290" w:rsidRDefault="00BF5B1A" w:rsidP="0096348C">
            <w:pPr>
              <w:rPr>
                <w:b/>
                <w:szCs w:val="24"/>
              </w:rPr>
            </w:pPr>
          </w:p>
        </w:tc>
      </w:tr>
      <w:tr w:rsidR="006D3290" w:rsidRPr="006D3290" w14:paraId="7782540B" w14:textId="77777777" w:rsidTr="0096348C">
        <w:tc>
          <w:tcPr>
            <w:tcW w:w="1985" w:type="dxa"/>
          </w:tcPr>
          <w:p w14:paraId="69B74D25" w14:textId="77777777" w:rsidR="00BF5B1A" w:rsidRPr="006D3290" w:rsidRDefault="00BF5B1A" w:rsidP="0096348C">
            <w:pPr>
              <w:rPr>
                <w:szCs w:val="24"/>
              </w:rPr>
            </w:pPr>
            <w:r w:rsidRPr="006D3290">
              <w:rPr>
                <w:szCs w:val="24"/>
              </w:rPr>
              <w:t>DATUM</w:t>
            </w:r>
          </w:p>
        </w:tc>
        <w:tc>
          <w:tcPr>
            <w:tcW w:w="6463" w:type="dxa"/>
          </w:tcPr>
          <w:p w14:paraId="381778CE" w14:textId="13E738E1" w:rsidR="00BF5B1A" w:rsidRPr="006D3290" w:rsidRDefault="00FC25EF" w:rsidP="0096348C">
            <w:pPr>
              <w:rPr>
                <w:szCs w:val="24"/>
              </w:rPr>
            </w:pPr>
            <w:r w:rsidRPr="006D3290">
              <w:rPr>
                <w:szCs w:val="24"/>
              </w:rPr>
              <w:t>202</w:t>
            </w:r>
            <w:r w:rsidR="002014DB" w:rsidRPr="006D3290">
              <w:rPr>
                <w:szCs w:val="24"/>
              </w:rPr>
              <w:t>6</w:t>
            </w:r>
            <w:r w:rsidRPr="006D3290">
              <w:rPr>
                <w:szCs w:val="24"/>
              </w:rPr>
              <w:t>-</w:t>
            </w:r>
            <w:r w:rsidR="002014DB" w:rsidRPr="006D3290">
              <w:rPr>
                <w:szCs w:val="24"/>
              </w:rPr>
              <w:t>0</w:t>
            </w:r>
            <w:r w:rsidR="00765721" w:rsidRPr="006D3290">
              <w:rPr>
                <w:szCs w:val="24"/>
              </w:rPr>
              <w:t>3</w:t>
            </w:r>
            <w:r w:rsidRPr="006D3290">
              <w:rPr>
                <w:szCs w:val="24"/>
              </w:rPr>
              <w:t>-</w:t>
            </w:r>
            <w:r w:rsidR="00330772" w:rsidRPr="006D3290">
              <w:rPr>
                <w:szCs w:val="24"/>
              </w:rPr>
              <w:t>10</w:t>
            </w:r>
          </w:p>
        </w:tc>
      </w:tr>
      <w:tr w:rsidR="006D3290" w:rsidRPr="006D3290" w14:paraId="29C3EFFA" w14:textId="77777777" w:rsidTr="0096348C">
        <w:tc>
          <w:tcPr>
            <w:tcW w:w="1985" w:type="dxa"/>
          </w:tcPr>
          <w:p w14:paraId="5DDF28B3" w14:textId="77777777" w:rsidR="00BF5B1A" w:rsidRPr="006D3290" w:rsidRDefault="00BF5B1A" w:rsidP="0096348C">
            <w:pPr>
              <w:rPr>
                <w:szCs w:val="24"/>
              </w:rPr>
            </w:pPr>
            <w:r w:rsidRPr="006D3290">
              <w:rPr>
                <w:szCs w:val="24"/>
              </w:rPr>
              <w:t>TID</w:t>
            </w:r>
          </w:p>
        </w:tc>
        <w:tc>
          <w:tcPr>
            <w:tcW w:w="6463" w:type="dxa"/>
          </w:tcPr>
          <w:p w14:paraId="713D5E0E" w14:textId="77777777" w:rsidR="00153E88" w:rsidRPr="006D3290" w:rsidRDefault="00330772" w:rsidP="00EE1733">
            <w:pPr>
              <w:rPr>
                <w:szCs w:val="24"/>
              </w:rPr>
            </w:pPr>
            <w:r w:rsidRPr="006D3290">
              <w:rPr>
                <w:szCs w:val="24"/>
              </w:rPr>
              <w:t>11</w:t>
            </w:r>
            <w:r w:rsidR="00A612AC" w:rsidRPr="006D3290">
              <w:rPr>
                <w:szCs w:val="24"/>
              </w:rPr>
              <w:t>.0</w:t>
            </w:r>
            <w:r w:rsidR="00646B29" w:rsidRPr="006D3290">
              <w:rPr>
                <w:szCs w:val="24"/>
              </w:rPr>
              <w:t>0</w:t>
            </w:r>
            <w:r w:rsidR="00C138DF" w:rsidRPr="006D3290">
              <w:rPr>
                <w:szCs w:val="24"/>
              </w:rPr>
              <w:t>–</w:t>
            </w:r>
            <w:r w:rsidR="00863E28" w:rsidRPr="006D3290">
              <w:rPr>
                <w:szCs w:val="24"/>
              </w:rPr>
              <w:t>11</w:t>
            </w:r>
            <w:r w:rsidR="00A97E26" w:rsidRPr="006D3290">
              <w:rPr>
                <w:szCs w:val="24"/>
              </w:rPr>
              <w:t>.</w:t>
            </w:r>
            <w:r w:rsidR="00863E28" w:rsidRPr="006D3290">
              <w:rPr>
                <w:szCs w:val="24"/>
              </w:rPr>
              <w:t>15</w:t>
            </w:r>
          </w:p>
          <w:p w14:paraId="55293ADC" w14:textId="5EBF2807" w:rsidR="00863E28" w:rsidRPr="006D3290" w:rsidRDefault="00863E28" w:rsidP="00EE1733">
            <w:pPr>
              <w:rPr>
                <w:szCs w:val="24"/>
              </w:rPr>
            </w:pPr>
            <w:r w:rsidRPr="006D3290">
              <w:rPr>
                <w:szCs w:val="24"/>
              </w:rPr>
              <w:t>11.20–11.35</w:t>
            </w:r>
          </w:p>
        </w:tc>
      </w:tr>
      <w:tr w:rsidR="006D3290" w:rsidRPr="006D3290" w14:paraId="28411776" w14:textId="77777777" w:rsidTr="0096348C">
        <w:tc>
          <w:tcPr>
            <w:tcW w:w="1985" w:type="dxa"/>
          </w:tcPr>
          <w:p w14:paraId="5CDA0C6E" w14:textId="77777777" w:rsidR="00BF5B1A" w:rsidRPr="006D3290" w:rsidRDefault="00BF5B1A" w:rsidP="0096348C">
            <w:pPr>
              <w:rPr>
                <w:szCs w:val="24"/>
              </w:rPr>
            </w:pPr>
            <w:r w:rsidRPr="006D3290">
              <w:rPr>
                <w:szCs w:val="24"/>
              </w:rPr>
              <w:t>NÄRVARANDE</w:t>
            </w:r>
          </w:p>
        </w:tc>
        <w:tc>
          <w:tcPr>
            <w:tcW w:w="6463" w:type="dxa"/>
          </w:tcPr>
          <w:p w14:paraId="341BC429" w14:textId="77777777" w:rsidR="00BF5B1A" w:rsidRPr="006D3290" w:rsidRDefault="00BF5B1A" w:rsidP="0096348C">
            <w:pPr>
              <w:rPr>
                <w:szCs w:val="24"/>
              </w:rPr>
            </w:pPr>
            <w:r w:rsidRPr="006D3290">
              <w:rPr>
                <w:szCs w:val="24"/>
              </w:rPr>
              <w:t>Se bilaga 1</w:t>
            </w:r>
          </w:p>
        </w:tc>
      </w:tr>
    </w:tbl>
    <w:p w14:paraId="4A28A8B3" w14:textId="77777777" w:rsidR="004D06D5" w:rsidRPr="006D3290" w:rsidRDefault="004D06D5"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6D3290" w:rsidRPr="006D3290" w14:paraId="37F59902" w14:textId="77777777" w:rsidTr="00B10A33">
        <w:tc>
          <w:tcPr>
            <w:tcW w:w="567" w:type="dxa"/>
          </w:tcPr>
          <w:p w14:paraId="0117D92E" w14:textId="2428525A" w:rsidR="004A5543" w:rsidRPr="006D3290" w:rsidRDefault="004A5543" w:rsidP="004A5543">
            <w:pPr>
              <w:tabs>
                <w:tab w:val="left" w:pos="1701"/>
              </w:tabs>
              <w:rPr>
                <w:b/>
                <w:snapToGrid w:val="0"/>
                <w:szCs w:val="24"/>
              </w:rPr>
            </w:pPr>
            <w:r w:rsidRPr="006D3290">
              <w:rPr>
                <w:b/>
                <w:snapToGrid w:val="0"/>
                <w:szCs w:val="24"/>
              </w:rPr>
              <w:t xml:space="preserve">§ </w:t>
            </w:r>
            <w:r w:rsidR="00DA0696" w:rsidRPr="006D3290">
              <w:rPr>
                <w:b/>
                <w:snapToGrid w:val="0"/>
                <w:szCs w:val="24"/>
              </w:rPr>
              <w:t>1</w:t>
            </w:r>
          </w:p>
        </w:tc>
        <w:tc>
          <w:tcPr>
            <w:tcW w:w="7017" w:type="dxa"/>
          </w:tcPr>
          <w:p w14:paraId="07225F48" w14:textId="77777777" w:rsidR="004A5543" w:rsidRPr="006D3290" w:rsidRDefault="004A5543" w:rsidP="004A5543">
            <w:pPr>
              <w:tabs>
                <w:tab w:val="left" w:pos="1701"/>
              </w:tabs>
              <w:rPr>
                <w:b/>
                <w:snapToGrid w:val="0"/>
                <w:szCs w:val="24"/>
              </w:rPr>
            </w:pPr>
            <w:r w:rsidRPr="006D3290">
              <w:rPr>
                <w:b/>
                <w:snapToGrid w:val="0"/>
                <w:szCs w:val="24"/>
              </w:rPr>
              <w:t>EU-information av regeringen</w:t>
            </w:r>
          </w:p>
          <w:p w14:paraId="4CADF1DF" w14:textId="77777777" w:rsidR="004A5543" w:rsidRPr="006D3290" w:rsidRDefault="004A5543" w:rsidP="004A5543">
            <w:pPr>
              <w:tabs>
                <w:tab w:val="left" w:pos="1701"/>
              </w:tabs>
              <w:rPr>
                <w:bCs/>
              </w:rPr>
            </w:pPr>
          </w:p>
          <w:p w14:paraId="4824D200" w14:textId="67CB8D39" w:rsidR="004A5543" w:rsidRPr="006D3290" w:rsidRDefault="004A5543" w:rsidP="004A5543">
            <w:pPr>
              <w:tabs>
                <w:tab w:val="left" w:pos="1701"/>
              </w:tabs>
              <w:rPr>
                <w:bCs/>
              </w:rPr>
            </w:pPr>
            <w:r w:rsidRPr="006D3290">
              <w:rPr>
                <w:bCs/>
                <w:snapToGrid w:val="0"/>
                <w:szCs w:val="24"/>
              </w:rPr>
              <w:t>Statssekreterare</w:t>
            </w:r>
            <w:r w:rsidR="002A279F" w:rsidRPr="006D3290">
              <w:rPr>
                <w:bCs/>
              </w:rPr>
              <w:t xml:space="preserve"> Michaela </w:t>
            </w:r>
            <w:proofErr w:type="spellStart"/>
            <w:r w:rsidR="002A279F" w:rsidRPr="006D3290">
              <w:rPr>
                <w:bCs/>
              </w:rPr>
              <w:t>Hollis</w:t>
            </w:r>
            <w:proofErr w:type="spellEnd"/>
            <w:r w:rsidRPr="006D3290">
              <w:rPr>
                <w:bCs/>
              </w:rPr>
              <w:t>, Socialdepartementet</w:t>
            </w:r>
          </w:p>
          <w:p w14:paraId="0AF36EFD" w14:textId="729A51E0" w:rsidR="004A5543" w:rsidRPr="006D3290" w:rsidRDefault="004A5543" w:rsidP="004A5543">
            <w:pPr>
              <w:tabs>
                <w:tab w:val="left" w:pos="1701"/>
              </w:tabs>
              <w:rPr>
                <w:b/>
                <w:snapToGrid w:val="0"/>
                <w:szCs w:val="24"/>
              </w:rPr>
            </w:pPr>
            <w:r w:rsidRPr="006D3290">
              <w:rPr>
                <w:bCs/>
              </w:rPr>
              <w:t xml:space="preserve">- </w:t>
            </w:r>
            <w:r w:rsidRPr="006D3290">
              <w:t>Återrapport från</w:t>
            </w:r>
            <w:r w:rsidR="009C6059" w:rsidRPr="006D3290">
              <w:t xml:space="preserve"> informella hälsoministermötet den </w:t>
            </w:r>
            <w:r w:rsidR="00104DD5" w:rsidRPr="006D3290">
              <w:t>25–26</w:t>
            </w:r>
            <w:r w:rsidR="009C6059" w:rsidRPr="006D3290">
              <w:t xml:space="preserve"> februari 2026.</w:t>
            </w:r>
            <w:r w:rsidRPr="006D3290">
              <w:rPr>
                <w:b/>
              </w:rPr>
              <w:br/>
            </w:r>
          </w:p>
        </w:tc>
      </w:tr>
      <w:tr w:rsidR="006D3290" w:rsidRPr="006D3290" w14:paraId="3657AAE6" w14:textId="77777777" w:rsidTr="00B10A33">
        <w:tc>
          <w:tcPr>
            <w:tcW w:w="567" w:type="dxa"/>
          </w:tcPr>
          <w:p w14:paraId="7FC31752" w14:textId="32611CAD" w:rsidR="004A5543" w:rsidRPr="006D3290" w:rsidRDefault="004A5543" w:rsidP="004A5543">
            <w:pPr>
              <w:tabs>
                <w:tab w:val="left" w:pos="1701"/>
              </w:tabs>
              <w:rPr>
                <w:b/>
                <w:snapToGrid w:val="0"/>
                <w:szCs w:val="24"/>
              </w:rPr>
            </w:pPr>
            <w:r w:rsidRPr="006D3290">
              <w:rPr>
                <w:b/>
                <w:snapToGrid w:val="0"/>
                <w:szCs w:val="24"/>
              </w:rPr>
              <w:t xml:space="preserve">§ </w:t>
            </w:r>
            <w:r w:rsidR="00DA0696" w:rsidRPr="006D3290">
              <w:rPr>
                <w:b/>
                <w:snapToGrid w:val="0"/>
                <w:szCs w:val="24"/>
              </w:rPr>
              <w:t>2</w:t>
            </w:r>
          </w:p>
        </w:tc>
        <w:tc>
          <w:tcPr>
            <w:tcW w:w="7017" w:type="dxa"/>
          </w:tcPr>
          <w:p w14:paraId="7C540669" w14:textId="1D71CDA2" w:rsidR="004A5543" w:rsidRPr="006D3290" w:rsidRDefault="002A279F" w:rsidP="004A5543">
            <w:pPr>
              <w:tabs>
                <w:tab w:val="left" w:pos="1701"/>
              </w:tabs>
              <w:rPr>
                <w:b/>
                <w:snapToGrid w:val="0"/>
                <w:szCs w:val="24"/>
              </w:rPr>
            </w:pPr>
            <w:r w:rsidRPr="006D3290">
              <w:rPr>
                <w:b/>
              </w:rPr>
              <w:t>Kommissionens meddelande om EU:s narkotikastrategi</w:t>
            </w:r>
          </w:p>
          <w:p w14:paraId="3E86D9A3" w14:textId="77777777" w:rsidR="004A5543" w:rsidRPr="006D3290" w:rsidRDefault="004A5543" w:rsidP="004A5543">
            <w:pPr>
              <w:tabs>
                <w:tab w:val="left" w:pos="1701"/>
              </w:tabs>
              <w:rPr>
                <w:bCs/>
              </w:rPr>
            </w:pPr>
            <w:r w:rsidRPr="006D3290">
              <w:rPr>
                <w:b/>
              </w:rPr>
              <w:t xml:space="preserve"> </w:t>
            </w:r>
          </w:p>
          <w:p w14:paraId="69C67A1F" w14:textId="0EECCB97" w:rsidR="004A5543" w:rsidRPr="006D3290" w:rsidRDefault="004A5543" w:rsidP="002A279F">
            <w:pPr>
              <w:rPr>
                <w:rStyle w:val="bold"/>
                <w:rFonts w:eastAsia="Calibri"/>
                <w:bCs/>
                <w:szCs w:val="24"/>
                <w:lang w:eastAsia="en-US"/>
              </w:rPr>
            </w:pPr>
            <w:r w:rsidRPr="006D3290">
              <w:rPr>
                <w:rStyle w:val="bold"/>
                <w:rFonts w:eastAsia="Calibri"/>
                <w:bCs/>
                <w:szCs w:val="24"/>
                <w:lang w:eastAsia="en-US"/>
              </w:rPr>
              <w:t xml:space="preserve">Utskottet överlade med </w:t>
            </w:r>
            <w:r w:rsidR="002A279F" w:rsidRPr="006D3290">
              <w:rPr>
                <w:snapToGrid w:val="0"/>
              </w:rPr>
              <w:t>s</w:t>
            </w:r>
            <w:r w:rsidRPr="006D3290">
              <w:rPr>
                <w:bCs/>
                <w:snapToGrid w:val="0"/>
                <w:szCs w:val="24"/>
              </w:rPr>
              <w:t>tatssekreterare</w:t>
            </w:r>
            <w:r w:rsidR="002A279F" w:rsidRPr="006D3290">
              <w:rPr>
                <w:bCs/>
              </w:rPr>
              <w:t xml:space="preserve"> Michaela </w:t>
            </w:r>
            <w:proofErr w:type="spellStart"/>
            <w:r w:rsidR="002A279F" w:rsidRPr="006D3290">
              <w:rPr>
                <w:bCs/>
              </w:rPr>
              <w:t>Hollis</w:t>
            </w:r>
            <w:proofErr w:type="spellEnd"/>
            <w:r w:rsidRPr="006D3290">
              <w:rPr>
                <w:bCs/>
                <w:szCs w:val="24"/>
              </w:rPr>
              <w:t>, biträdd av</w:t>
            </w:r>
            <w:r w:rsidRPr="006D3290">
              <w:rPr>
                <w:rStyle w:val="bold"/>
                <w:rFonts w:eastAsia="Calibri"/>
                <w:bCs/>
                <w:szCs w:val="24"/>
                <w:lang w:eastAsia="en-US"/>
              </w:rPr>
              <w:t xml:space="preserve"> medarbetare från Socialdepartementet.</w:t>
            </w:r>
            <w:r w:rsidR="002A279F" w:rsidRPr="006D3290">
              <w:rPr>
                <w:rStyle w:val="bold"/>
                <w:rFonts w:eastAsia="Calibri"/>
                <w:bCs/>
                <w:szCs w:val="24"/>
                <w:lang w:eastAsia="en-US"/>
              </w:rPr>
              <w:t xml:space="preserve"> Underlaget utgjordes </w:t>
            </w:r>
            <w:r w:rsidR="002A279F" w:rsidRPr="006D3290">
              <w:rPr>
                <w:bCs/>
                <w:szCs w:val="24"/>
              </w:rPr>
              <w:t xml:space="preserve">av </w:t>
            </w:r>
            <w:r w:rsidR="002A279F" w:rsidRPr="006D3290">
              <w:rPr>
                <w:bCs/>
              </w:rPr>
              <w:t>faktapromemoria FPM 2025/26:55</w:t>
            </w:r>
            <w:r w:rsidRPr="006D3290">
              <w:rPr>
                <w:rStyle w:val="bold"/>
                <w:rFonts w:eastAsia="Calibri"/>
                <w:bCs/>
                <w:szCs w:val="24"/>
                <w:lang w:eastAsia="en-US"/>
              </w:rPr>
              <w:t>.</w:t>
            </w:r>
          </w:p>
          <w:p w14:paraId="7E47D512" w14:textId="77777777" w:rsidR="004A5543" w:rsidRPr="006D3290" w:rsidRDefault="004A5543" w:rsidP="004A5543">
            <w:pPr>
              <w:tabs>
                <w:tab w:val="left" w:pos="1701"/>
              </w:tabs>
              <w:rPr>
                <w:rStyle w:val="bold"/>
                <w:rFonts w:eastAsia="Calibri"/>
                <w:bCs/>
                <w:szCs w:val="24"/>
                <w:lang w:eastAsia="en-US"/>
              </w:rPr>
            </w:pPr>
          </w:p>
          <w:p w14:paraId="24C5FD44" w14:textId="091E9037" w:rsidR="004A5543" w:rsidRPr="006D3290" w:rsidRDefault="004A5543" w:rsidP="004A5543">
            <w:pPr>
              <w:tabs>
                <w:tab w:val="left" w:pos="1701"/>
              </w:tabs>
              <w:rPr>
                <w:rStyle w:val="bold"/>
                <w:rFonts w:eastAsia="Calibri"/>
                <w:bCs/>
                <w:szCs w:val="24"/>
                <w:lang w:eastAsia="en-US"/>
              </w:rPr>
            </w:pPr>
            <w:r w:rsidRPr="006D3290">
              <w:rPr>
                <w:bCs/>
                <w:snapToGrid w:val="0"/>
                <w:szCs w:val="24"/>
              </w:rPr>
              <w:t>Statssekreterare</w:t>
            </w:r>
            <w:r w:rsidR="002A279F" w:rsidRPr="006D3290">
              <w:rPr>
                <w:bCs/>
              </w:rPr>
              <w:t>n</w:t>
            </w:r>
            <w:r w:rsidRPr="006D3290">
              <w:rPr>
                <w:bCs/>
              </w:rPr>
              <w:t xml:space="preserve"> </w:t>
            </w:r>
            <w:r w:rsidRPr="006D3290">
              <w:rPr>
                <w:rStyle w:val="bold"/>
                <w:rFonts w:eastAsia="Calibri"/>
                <w:bCs/>
                <w:szCs w:val="24"/>
                <w:lang w:eastAsia="en-US"/>
              </w:rPr>
              <w:t xml:space="preserve">redogjorde för regeringens ståndpunkt i enlighet med </w:t>
            </w:r>
            <w:r w:rsidR="002A279F" w:rsidRPr="006D3290">
              <w:rPr>
                <w:bCs/>
              </w:rPr>
              <w:t>faktapromemorian</w:t>
            </w:r>
            <w:r w:rsidRPr="006D3290">
              <w:rPr>
                <w:rStyle w:val="bold"/>
                <w:rFonts w:eastAsia="Calibri"/>
                <w:bCs/>
                <w:szCs w:val="24"/>
                <w:lang w:eastAsia="en-US"/>
              </w:rPr>
              <w:t>.</w:t>
            </w:r>
          </w:p>
          <w:p w14:paraId="5A91D891" w14:textId="77777777" w:rsidR="004A5543" w:rsidRPr="006D3290" w:rsidRDefault="004A5543" w:rsidP="004A5543">
            <w:pPr>
              <w:tabs>
                <w:tab w:val="left" w:pos="1701"/>
              </w:tabs>
              <w:rPr>
                <w:rStyle w:val="bold"/>
                <w:rFonts w:eastAsia="Calibri"/>
                <w:bCs/>
                <w:szCs w:val="24"/>
                <w:lang w:eastAsia="en-US"/>
              </w:rPr>
            </w:pPr>
          </w:p>
          <w:p w14:paraId="1992CC2C" w14:textId="3FC063EC" w:rsidR="00F866FA" w:rsidRPr="006D3290" w:rsidRDefault="00F866FA" w:rsidP="00F866FA">
            <w:pPr>
              <w:pStyle w:val="blockcitat"/>
              <w:rPr>
                <w:rStyle w:val="bold"/>
                <w:color w:val="auto"/>
              </w:rPr>
            </w:pPr>
            <w:r w:rsidRPr="006D3290">
              <w:rPr>
                <w:rStyle w:val="bold"/>
                <w:color w:val="auto"/>
              </w:rPr>
              <w:t>Regeringen välkomnar EU:s nya narkotikastrategi.</w:t>
            </w:r>
          </w:p>
          <w:p w14:paraId="2FAF7C5E" w14:textId="77777777" w:rsidR="00F866FA" w:rsidRPr="006D3290" w:rsidRDefault="00F866FA" w:rsidP="00F866FA">
            <w:pPr>
              <w:pStyle w:val="blockcitat"/>
              <w:rPr>
                <w:rStyle w:val="bold"/>
                <w:color w:val="auto"/>
              </w:rPr>
            </w:pPr>
          </w:p>
          <w:p w14:paraId="7A42E774" w14:textId="77777777" w:rsidR="00F866FA" w:rsidRPr="006D3290" w:rsidRDefault="00F866FA" w:rsidP="00F866FA">
            <w:pPr>
              <w:pStyle w:val="blockcitat"/>
              <w:rPr>
                <w:rStyle w:val="bold"/>
                <w:color w:val="auto"/>
              </w:rPr>
            </w:pPr>
            <w:r w:rsidRPr="006D3290">
              <w:rPr>
                <w:rStyle w:val="bold"/>
                <w:color w:val="auto"/>
              </w:rPr>
              <w:t>Regeringen delar kommissionens bedömning att breda sektorsövergripande insatser behövs för att minska både utbudet av och efterfrågan på narkotika och uppnå ett bättre skydd för människors liv, hälsa och säkerhet. Regeringen anser att värnandet av folkhälsan liksom stärkandet av säkerheten fortsatt ska vara centralt inom narkotikaområdet samt att ett jämställdhetsperspektiv bör integreras i arbetet.</w:t>
            </w:r>
          </w:p>
          <w:p w14:paraId="73B64E04" w14:textId="77777777" w:rsidR="00F866FA" w:rsidRPr="006D3290" w:rsidRDefault="00F866FA" w:rsidP="00F866FA">
            <w:pPr>
              <w:pStyle w:val="blockcitat"/>
              <w:rPr>
                <w:rStyle w:val="bold"/>
                <w:color w:val="auto"/>
              </w:rPr>
            </w:pPr>
          </w:p>
          <w:p w14:paraId="33DBD97A" w14:textId="77777777" w:rsidR="00F866FA" w:rsidRPr="006D3290" w:rsidRDefault="00F866FA" w:rsidP="00F866FA">
            <w:pPr>
              <w:pStyle w:val="blockcitat"/>
              <w:rPr>
                <w:rStyle w:val="bold"/>
                <w:color w:val="auto"/>
              </w:rPr>
            </w:pPr>
            <w:r w:rsidRPr="006D3290">
              <w:rPr>
                <w:rStyle w:val="bold"/>
                <w:color w:val="auto"/>
              </w:rPr>
              <w:t>Regeringen delar kommissionens bedömning att det krävs kraftfulla åtgärder för att bekämpa den narkotikarelaterade brottsligheten. De organiserade kriminella nätverken som är involverade i narkotikahandel utgör ett växande hot mot EU:s säkerhet, sociala sammanhållning och folkhälsa. Regeringen ser det som särskilt positivt att kommissionen i strategin har föreslagit ett så kallat public private partnership för att störa narkotikahandeln i post- och paketflödet, åtgärder för att hindra det narkotikarelaterade våldet och rekrytering av unga och att en ny strategi för EU:s hamnar för att göra hamnarna säkrare och mer motståndskraftiga mot narkotikahandel ska utarbetas.</w:t>
            </w:r>
          </w:p>
          <w:p w14:paraId="1432F810" w14:textId="77777777" w:rsidR="00F866FA" w:rsidRPr="006D3290" w:rsidRDefault="00F866FA" w:rsidP="00F866FA">
            <w:pPr>
              <w:pStyle w:val="blockcitat"/>
              <w:rPr>
                <w:rStyle w:val="bold"/>
                <w:color w:val="auto"/>
              </w:rPr>
            </w:pPr>
          </w:p>
          <w:p w14:paraId="02633005" w14:textId="77777777" w:rsidR="00F866FA" w:rsidRPr="006D3290" w:rsidRDefault="00F866FA" w:rsidP="00F866FA">
            <w:pPr>
              <w:pStyle w:val="blockcitat"/>
              <w:rPr>
                <w:rStyle w:val="bold"/>
                <w:color w:val="auto"/>
              </w:rPr>
            </w:pPr>
            <w:r w:rsidRPr="006D3290">
              <w:rPr>
                <w:rStyle w:val="bold"/>
                <w:color w:val="auto"/>
              </w:rPr>
              <w:t>Regeringen välkomnar att strategin innehåller en ny pelare med fokus på beredskap. Regeringen anser att kunskapsbaserade arbetssätt med tillförlitliga data och robusta system för tidiga varningar möjliggör för aktörer att agera tidigt och samordnat vid förändrade risker och nya narkotikatrender.</w:t>
            </w:r>
          </w:p>
          <w:p w14:paraId="3235D7C1" w14:textId="77777777" w:rsidR="00F866FA" w:rsidRPr="006D3290" w:rsidRDefault="00F866FA" w:rsidP="00F866FA">
            <w:pPr>
              <w:pStyle w:val="blockcitat"/>
              <w:rPr>
                <w:rStyle w:val="bold"/>
                <w:color w:val="auto"/>
              </w:rPr>
            </w:pPr>
          </w:p>
          <w:p w14:paraId="56A2D9D6" w14:textId="77777777" w:rsidR="00F866FA" w:rsidRPr="006D3290" w:rsidRDefault="00F866FA" w:rsidP="00F866FA">
            <w:pPr>
              <w:pStyle w:val="blockcitat"/>
              <w:rPr>
                <w:rStyle w:val="bold"/>
                <w:color w:val="auto"/>
              </w:rPr>
            </w:pPr>
            <w:r w:rsidRPr="006D3290">
              <w:rPr>
                <w:rStyle w:val="bold"/>
                <w:color w:val="auto"/>
              </w:rPr>
              <w:lastRenderedPageBreak/>
              <w:t>Regeringen delar kommissionens bedömning att minskad efterfrågan på illegal narkotika är ett centralt mål i det förebyggande arbetet. Regeringen välkomnar strategins fokus på skade- och riskreducerande åtgärder, vilket är viktigt för att förebygga skador orsakade av narkotika och minska narkotikarelaterade dödsfall.</w:t>
            </w:r>
          </w:p>
          <w:p w14:paraId="408BC59A" w14:textId="77777777" w:rsidR="00F866FA" w:rsidRPr="006D3290" w:rsidRDefault="00F866FA" w:rsidP="00F866FA">
            <w:pPr>
              <w:pStyle w:val="blockcitat"/>
              <w:rPr>
                <w:rStyle w:val="bold"/>
                <w:color w:val="auto"/>
              </w:rPr>
            </w:pPr>
          </w:p>
          <w:p w14:paraId="4D287D23" w14:textId="77777777" w:rsidR="00F866FA" w:rsidRPr="006D3290" w:rsidRDefault="00F866FA" w:rsidP="00F866FA">
            <w:pPr>
              <w:pStyle w:val="blockcitat"/>
              <w:rPr>
                <w:rStyle w:val="bold"/>
                <w:color w:val="auto"/>
              </w:rPr>
            </w:pPr>
            <w:r w:rsidRPr="006D3290">
              <w:rPr>
                <w:rStyle w:val="bold"/>
                <w:color w:val="auto"/>
              </w:rPr>
              <w:t>Regeringen anser att det är viktigt att främja tillgänglighet till vård, behandling och stöd för de med ett skadligt bruk eller beroende av narkotika och stödja samordning mellan olika aktörer. Insatser för att motverka social utsatthet, öka social inkludering och stärka psykisk hälsa är viktiga delar i detta arbete.</w:t>
            </w:r>
          </w:p>
          <w:p w14:paraId="2555798A" w14:textId="77777777" w:rsidR="00F866FA" w:rsidRPr="006D3290" w:rsidRDefault="00F866FA" w:rsidP="00F866FA">
            <w:pPr>
              <w:pStyle w:val="blockcitat"/>
              <w:rPr>
                <w:rStyle w:val="bold"/>
                <w:color w:val="auto"/>
              </w:rPr>
            </w:pPr>
          </w:p>
          <w:p w14:paraId="5B246418" w14:textId="77777777" w:rsidR="00F866FA" w:rsidRPr="006D3290" w:rsidRDefault="00F866FA" w:rsidP="00F866FA">
            <w:pPr>
              <w:pStyle w:val="blockcitat"/>
              <w:rPr>
                <w:rStyle w:val="bold"/>
                <w:color w:val="auto"/>
              </w:rPr>
            </w:pPr>
            <w:r w:rsidRPr="006D3290">
              <w:rPr>
                <w:rStyle w:val="bold"/>
                <w:color w:val="auto"/>
              </w:rPr>
              <w:t>Regeringen ser positivt på att forskningens betydelse framhålls i strategin. Regeringen betonar vikten av att fortsatt bygga på excellensprincipen så att de bästa forskarna med de bästa idéerna erhåller stöd och finansiering.</w:t>
            </w:r>
          </w:p>
          <w:p w14:paraId="1E20D911" w14:textId="77777777" w:rsidR="00F866FA" w:rsidRPr="006D3290" w:rsidRDefault="00F866FA" w:rsidP="00F866FA">
            <w:pPr>
              <w:pStyle w:val="blockcitat"/>
              <w:rPr>
                <w:rStyle w:val="bold"/>
                <w:color w:val="auto"/>
              </w:rPr>
            </w:pPr>
          </w:p>
          <w:p w14:paraId="6D342DAD" w14:textId="77777777" w:rsidR="00F866FA" w:rsidRPr="006D3290" w:rsidRDefault="00F866FA" w:rsidP="00F866FA">
            <w:pPr>
              <w:pStyle w:val="blockcitat"/>
              <w:rPr>
                <w:rStyle w:val="bold"/>
                <w:color w:val="auto"/>
              </w:rPr>
            </w:pPr>
            <w:r w:rsidRPr="006D3290">
              <w:rPr>
                <w:rStyle w:val="bold"/>
                <w:color w:val="auto"/>
              </w:rPr>
              <w:t>Regeringen välkomnar att strategin framhåller vikten av att adressera och motverka diskriminering, att medlemsstaterna beaktar ett jämställdhets- och jämlikhetsperspektiv i arbetet, att strategin innehåller insatser särskilt riktade till kvinnor och traumastöd lyfts fram.</w:t>
            </w:r>
          </w:p>
          <w:p w14:paraId="05C93126" w14:textId="77777777" w:rsidR="00F866FA" w:rsidRPr="006D3290" w:rsidRDefault="00F866FA" w:rsidP="00F866FA">
            <w:pPr>
              <w:pStyle w:val="blockcitat"/>
              <w:rPr>
                <w:rStyle w:val="bold"/>
                <w:color w:val="auto"/>
              </w:rPr>
            </w:pPr>
          </w:p>
          <w:p w14:paraId="282E1BBA" w14:textId="126F367B" w:rsidR="004A5543" w:rsidRPr="006D3290" w:rsidRDefault="00F866FA" w:rsidP="00F866FA">
            <w:pPr>
              <w:pStyle w:val="blockcitat"/>
              <w:rPr>
                <w:rStyle w:val="bold"/>
                <w:color w:val="auto"/>
              </w:rPr>
            </w:pPr>
            <w:r w:rsidRPr="006D3290">
              <w:rPr>
                <w:rStyle w:val="bold"/>
                <w:color w:val="auto"/>
              </w:rPr>
              <w:t>En viktig utgångspunkt för regeringen är att fördelningen av befogenheter mellan EU och medlemsstaterna respekteras, samt att nationella system för hälso- och sjukvårdsfrågor respekteras.</w:t>
            </w:r>
          </w:p>
          <w:p w14:paraId="0BEA7B60" w14:textId="77777777" w:rsidR="004A5543" w:rsidRPr="006D3290" w:rsidRDefault="004A5543" w:rsidP="004A5543">
            <w:pPr>
              <w:tabs>
                <w:tab w:val="left" w:pos="1701"/>
              </w:tabs>
              <w:rPr>
                <w:b/>
                <w:snapToGrid w:val="0"/>
                <w:szCs w:val="24"/>
              </w:rPr>
            </w:pPr>
          </w:p>
          <w:p w14:paraId="3D8BCC52" w14:textId="7080EB44" w:rsidR="004A5543" w:rsidRPr="006D3290" w:rsidRDefault="004A5543" w:rsidP="004A5543">
            <w:pPr>
              <w:tabs>
                <w:tab w:val="left" w:pos="1701"/>
              </w:tabs>
              <w:rPr>
                <w:bCs/>
                <w:snapToGrid w:val="0"/>
                <w:szCs w:val="24"/>
              </w:rPr>
            </w:pPr>
            <w:r w:rsidRPr="006D3290">
              <w:rPr>
                <w:rStyle w:val="bold"/>
                <w:rFonts w:eastAsia="Calibri"/>
                <w:bCs/>
                <w:szCs w:val="24"/>
                <w:lang w:eastAsia="en-US"/>
              </w:rPr>
              <w:t>Överläggningen motiverade</w:t>
            </w:r>
            <w:r w:rsidR="00496267" w:rsidRPr="006D3290">
              <w:rPr>
                <w:rStyle w:val="bold"/>
                <w:rFonts w:eastAsia="Calibri"/>
                <w:bCs/>
                <w:szCs w:val="24"/>
                <w:lang w:eastAsia="en-US"/>
              </w:rPr>
              <w:t xml:space="preserve"> </w:t>
            </w:r>
            <w:r w:rsidR="00667DB2" w:rsidRPr="006D3290">
              <w:rPr>
                <w:snapToGrid w:val="0"/>
              </w:rPr>
              <w:t>s</w:t>
            </w:r>
            <w:r w:rsidRPr="006D3290">
              <w:rPr>
                <w:bCs/>
                <w:snapToGrid w:val="0"/>
                <w:szCs w:val="24"/>
              </w:rPr>
              <w:t>tatssekreterare</w:t>
            </w:r>
            <w:r w:rsidR="00667DB2" w:rsidRPr="006D3290">
              <w:rPr>
                <w:bCs/>
                <w:snapToGrid w:val="0"/>
                <w:szCs w:val="24"/>
              </w:rPr>
              <w:t>n</w:t>
            </w:r>
            <w:r w:rsidRPr="006D3290">
              <w:rPr>
                <w:bCs/>
                <w:snapToGrid w:val="0"/>
                <w:szCs w:val="24"/>
              </w:rPr>
              <w:t xml:space="preserve"> att göra följande tillägg till </w:t>
            </w:r>
            <w:r w:rsidR="00D70DD2" w:rsidRPr="006D3290">
              <w:rPr>
                <w:bCs/>
                <w:snapToGrid w:val="0"/>
                <w:szCs w:val="24"/>
              </w:rPr>
              <w:t xml:space="preserve">sjunde stycket, efter ordet ”finansiering.” i </w:t>
            </w:r>
            <w:r w:rsidRPr="006D3290">
              <w:rPr>
                <w:bCs/>
                <w:snapToGrid w:val="0"/>
                <w:szCs w:val="24"/>
              </w:rPr>
              <w:t>ståndpunkten:</w:t>
            </w:r>
          </w:p>
          <w:p w14:paraId="372A3357" w14:textId="77777777" w:rsidR="004A5543" w:rsidRPr="006D3290" w:rsidRDefault="004A5543" w:rsidP="004A5543">
            <w:pPr>
              <w:pStyle w:val="blockcitat"/>
              <w:rPr>
                <w:rStyle w:val="bold"/>
                <w:color w:val="auto"/>
              </w:rPr>
            </w:pPr>
          </w:p>
          <w:p w14:paraId="69006A5E" w14:textId="0BE10ACE" w:rsidR="004A5543" w:rsidRPr="006D3290" w:rsidRDefault="00427EFE" w:rsidP="004A5543">
            <w:pPr>
              <w:pStyle w:val="blockcitat"/>
              <w:rPr>
                <w:rStyle w:val="bold"/>
                <w:color w:val="auto"/>
              </w:rPr>
            </w:pPr>
            <w:r w:rsidRPr="006D3290">
              <w:rPr>
                <w:rStyle w:val="bold"/>
                <w:color w:val="auto"/>
              </w:rPr>
              <w:t>Det som står i strategin att på EU-nivå och nationell nivå få en bättre uppfattning om luckor i forskningen och vidta åtgärder för att täppa till dessa är angeläget.</w:t>
            </w:r>
          </w:p>
          <w:p w14:paraId="4FFD8937" w14:textId="77777777" w:rsidR="004A5543" w:rsidRPr="006D3290" w:rsidRDefault="004A5543" w:rsidP="004A5543">
            <w:pPr>
              <w:tabs>
                <w:tab w:val="left" w:pos="1701"/>
              </w:tabs>
              <w:rPr>
                <w:snapToGrid w:val="0"/>
              </w:rPr>
            </w:pPr>
          </w:p>
          <w:p w14:paraId="4C85E07E" w14:textId="77777777" w:rsidR="004A5543" w:rsidRPr="006D3290" w:rsidRDefault="004A5543" w:rsidP="004A5543">
            <w:pPr>
              <w:tabs>
                <w:tab w:val="left" w:pos="1701"/>
              </w:tabs>
              <w:rPr>
                <w:rStyle w:val="bold"/>
                <w:rFonts w:eastAsia="Calibri"/>
                <w:bCs/>
                <w:szCs w:val="24"/>
                <w:lang w:eastAsia="en-US"/>
              </w:rPr>
            </w:pPr>
            <w:r w:rsidRPr="006D3290">
              <w:rPr>
                <w:rStyle w:val="bold"/>
                <w:rFonts w:eastAsia="Calibri"/>
                <w:bCs/>
                <w:szCs w:val="24"/>
                <w:lang w:eastAsia="en-US"/>
              </w:rPr>
              <w:t>Ordföranden konstaterade att det fanns stöd för regeringens ståndpunkt.</w:t>
            </w:r>
          </w:p>
          <w:p w14:paraId="47020FA0" w14:textId="77777777" w:rsidR="004A5543" w:rsidRPr="006D3290" w:rsidRDefault="004A5543" w:rsidP="004A5543">
            <w:pPr>
              <w:tabs>
                <w:tab w:val="left" w:pos="1701"/>
              </w:tabs>
              <w:rPr>
                <w:rStyle w:val="bold"/>
                <w:rFonts w:eastAsia="Calibri"/>
                <w:bCs/>
                <w:szCs w:val="24"/>
                <w:lang w:eastAsia="en-US"/>
              </w:rPr>
            </w:pPr>
          </w:p>
          <w:p w14:paraId="351E3C66" w14:textId="3ADA57CD" w:rsidR="004A5543" w:rsidRPr="006D3290" w:rsidRDefault="00863E28" w:rsidP="004A5543">
            <w:pPr>
              <w:pStyle w:val="blockcitat"/>
              <w:ind w:left="0"/>
              <w:rPr>
                <w:rStyle w:val="bold"/>
                <w:bCs w:val="0"/>
                <w:color w:val="auto"/>
                <w:sz w:val="24"/>
                <w:szCs w:val="24"/>
              </w:rPr>
            </w:pPr>
            <w:r w:rsidRPr="006D3290">
              <w:rPr>
                <w:rStyle w:val="bold"/>
                <w:bCs w:val="0"/>
                <w:color w:val="auto"/>
                <w:sz w:val="24"/>
                <w:szCs w:val="24"/>
              </w:rPr>
              <w:t>SD</w:t>
            </w:r>
            <w:r w:rsidR="004A5543" w:rsidRPr="006D3290">
              <w:rPr>
                <w:rStyle w:val="bold"/>
                <w:bCs w:val="0"/>
                <w:color w:val="auto"/>
                <w:sz w:val="24"/>
                <w:szCs w:val="24"/>
              </w:rPr>
              <w:t>-ledamöterna anmälde följande avvikande ståndpunkt:</w:t>
            </w:r>
          </w:p>
          <w:p w14:paraId="63FFF5A3" w14:textId="77777777" w:rsidR="004A5543" w:rsidRPr="006D3290" w:rsidRDefault="004A5543" w:rsidP="004A5543">
            <w:pPr>
              <w:pStyle w:val="blockcitat"/>
              <w:rPr>
                <w:rStyle w:val="bold"/>
                <w:color w:val="auto"/>
              </w:rPr>
            </w:pPr>
          </w:p>
          <w:p w14:paraId="1B48F978" w14:textId="77777777" w:rsidR="00BE1F8F" w:rsidRPr="006D3290" w:rsidRDefault="00BE1F8F" w:rsidP="00BE1F8F">
            <w:pPr>
              <w:pStyle w:val="blockcitat"/>
              <w:rPr>
                <w:rStyle w:val="bold"/>
                <w:color w:val="auto"/>
              </w:rPr>
            </w:pPr>
            <w:r w:rsidRPr="006D3290">
              <w:rPr>
                <w:rStyle w:val="bold"/>
                <w:color w:val="auto"/>
              </w:rPr>
              <w:t>Sverigedemokraterna står bakom delarna i regeringens ståndpunkt som rör EU:s och medlemsstaternas beredskap. Vi har heller inga invändningar mot åtgärderna som rör stärkt samarbete mellan medlemsstaternas myndigheter.</w:t>
            </w:r>
          </w:p>
          <w:p w14:paraId="59972977" w14:textId="77777777" w:rsidR="00BE1F8F" w:rsidRPr="006D3290" w:rsidRDefault="00BE1F8F" w:rsidP="00BE1F8F">
            <w:pPr>
              <w:pStyle w:val="blockcitat"/>
              <w:rPr>
                <w:rStyle w:val="bold"/>
                <w:color w:val="auto"/>
              </w:rPr>
            </w:pPr>
          </w:p>
          <w:p w14:paraId="171E8EE7" w14:textId="77777777" w:rsidR="00BE1F8F" w:rsidRPr="006D3290" w:rsidRDefault="00BE1F8F" w:rsidP="00BE1F8F">
            <w:pPr>
              <w:pStyle w:val="blockcitat"/>
              <w:rPr>
                <w:rStyle w:val="bold"/>
                <w:color w:val="auto"/>
              </w:rPr>
            </w:pPr>
            <w:r w:rsidRPr="006D3290">
              <w:rPr>
                <w:rStyle w:val="bold"/>
                <w:color w:val="auto"/>
              </w:rPr>
              <w:t>Däremot anser vi att delarna som exempelvis handlar om att stödja medlemsstaterna i att ta fram kunskapshöjande insatser, samt att ge rådgivning om förebyggande arbete, bör betraktas som en nationell angelägenhet och att regeringens ståndpunkt ska spegla det tydligt, utöver att poängtera vikten av att respektera medlemsstaternas befogenheter.</w:t>
            </w:r>
          </w:p>
          <w:p w14:paraId="47C269D6" w14:textId="77777777" w:rsidR="004A5543" w:rsidRPr="006D3290" w:rsidRDefault="004A5543" w:rsidP="004A5543">
            <w:pPr>
              <w:pStyle w:val="blockcitat"/>
              <w:ind w:left="0"/>
              <w:rPr>
                <w:rStyle w:val="bold"/>
                <w:bCs w:val="0"/>
                <w:color w:val="auto"/>
              </w:rPr>
            </w:pPr>
          </w:p>
          <w:p w14:paraId="08630067" w14:textId="77777777" w:rsidR="004A5543" w:rsidRPr="006D3290" w:rsidRDefault="004A5543" w:rsidP="004A5543">
            <w:pPr>
              <w:tabs>
                <w:tab w:val="left" w:pos="1701"/>
              </w:tabs>
              <w:rPr>
                <w:rStyle w:val="bold"/>
                <w:rFonts w:eastAsia="Calibri"/>
                <w:bCs/>
                <w:szCs w:val="24"/>
                <w:lang w:eastAsia="en-US"/>
              </w:rPr>
            </w:pPr>
            <w:r w:rsidRPr="006D3290">
              <w:rPr>
                <w:rStyle w:val="bold"/>
                <w:rFonts w:eastAsia="Calibri"/>
                <w:bCs/>
                <w:szCs w:val="24"/>
                <w:lang w:eastAsia="en-US"/>
              </w:rPr>
              <w:t>Denna paragraf förklarades omedelbart justerad.</w:t>
            </w:r>
          </w:p>
          <w:p w14:paraId="7A62AB6F" w14:textId="77777777" w:rsidR="004A5543" w:rsidRPr="006D3290" w:rsidRDefault="004A5543" w:rsidP="004A5543">
            <w:pPr>
              <w:tabs>
                <w:tab w:val="left" w:pos="1701"/>
              </w:tabs>
              <w:rPr>
                <w:b/>
                <w:snapToGrid w:val="0"/>
                <w:szCs w:val="24"/>
              </w:rPr>
            </w:pPr>
          </w:p>
        </w:tc>
      </w:tr>
      <w:tr w:rsidR="006D3290" w:rsidRPr="006D3290" w14:paraId="69018B09" w14:textId="77777777" w:rsidTr="00B10A33">
        <w:tc>
          <w:tcPr>
            <w:tcW w:w="567" w:type="dxa"/>
          </w:tcPr>
          <w:p w14:paraId="23026AE9" w14:textId="58F6E14A" w:rsidR="002A279F" w:rsidRPr="006D3290" w:rsidRDefault="002A279F" w:rsidP="004A5543">
            <w:pPr>
              <w:tabs>
                <w:tab w:val="left" w:pos="1701"/>
              </w:tabs>
              <w:rPr>
                <w:b/>
                <w:snapToGrid w:val="0"/>
                <w:szCs w:val="24"/>
              </w:rPr>
            </w:pPr>
            <w:r w:rsidRPr="006D3290">
              <w:rPr>
                <w:b/>
                <w:snapToGrid w:val="0"/>
                <w:szCs w:val="24"/>
              </w:rPr>
              <w:lastRenderedPageBreak/>
              <w:t>§ 3</w:t>
            </w:r>
          </w:p>
        </w:tc>
        <w:tc>
          <w:tcPr>
            <w:tcW w:w="7017" w:type="dxa"/>
          </w:tcPr>
          <w:p w14:paraId="106B496F" w14:textId="77777777" w:rsidR="002A279F" w:rsidRPr="006D3290" w:rsidRDefault="002A279F" w:rsidP="004A5543">
            <w:pPr>
              <w:tabs>
                <w:tab w:val="left" w:pos="1701"/>
              </w:tabs>
              <w:rPr>
                <w:b/>
              </w:rPr>
            </w:pPr>
            <w:r w:rsidRPr="006D3290">
              <w:rPr>
                <w:b/>
              </w:rPr>
              <w:t>Kommissionens meddelande om en EU-plan för hjärt-kärlhälsa</w:t>
            </w:r>
          </w:p>
          <w:p w14:paraId="61E5C15F" w14:textId="77777777" w:rsidR="002A279F" w:rsidRPr="006D3290" w:rsidRDefault="002A279F" w:rsidP="004A5543">
            <w:pPr>
              <w:tabs>
                <w:tab w:val="left" w:pos="1701"/>
              </w:tabs>
              <w:rPr>
                <w:b/>
              </w:rPr>
            </w:pPr>
          </w:p>
          <w:p w14:paraId="4E2FFA55" w14:textId="78B16301" w:rsidR="002A279F" w:rsidRPr="006D3290" w:rsidRDefault="002A279F" w:rsidP="002A279F">
            <w:pPr>
              <w:rPr>
                <w:rStyle w:val="bold"/>
                <w:rFonts w:eastAsia="Calibri"/>
                <w:bCs/>
                <w:szCs w:val="24"/>
                <w:lang w:eastAsia="en-US"/>
              </w:rPr>
            </w:pPr>
            <w:r w:rsidRPr="006D3290">
              <w:rPr>
                <w:rStyle w:val="bold"/>
                <w:rFonts w:eastAsia="Calibri"/>
                <w:bCs/>
                <w:szCs w:val="24"/>
                <w:lang w:eastAsia="en-US"/>
              </w:rPr>
              <w:t xml:space="preserve">Utskottet överlade med </w:t>
            </w:r>
            <w:r w:rsidRPr="006D3290">
              <w:rPr>
                <w:snapToGrid w:val="0"/>
              </w:rPr>
              <w:t>s</w:t>
            </w:r>
            <w:r w:rsidRPr="006D3290">
              <w:rPr>
                <w:bCs/>
                <w:snapToGrid w:val="0"/>
                <w:szCs w:val="24"/>
              </w:rPr>
              <w:t>tatssekreterare</w:t>
            </w:r>
            <w:r w:rsidRPr="006D3290">
              <w:rPr>
                <w:bCs/>
              </w:rPr>
              <w:t xml:space="preserve"> Michaela </w:t>
            </w:r>
            <w:proofErr w:type="spellStart"/>
            <w:r w:rsidRPr="006D3290">
              <w:rPr>
                <w:bCs/>
              </w:rPr>
              <w:t>Hollis</w:t>
            </w:r>
            <w:proofErr w:type="spellEnd"/>
            <w:r w:rsidRPr="006D3290">
              <w:rPr>
                <w:bCs/>
                <w:szCs w:val="24"/>
              </w:rPr>
              <w:t>, biträdd av</w:t>
            </w:r>
            <w:r w:rsidRPr="006D3290">
              <w:rPr>
                <w:rStyle w:val="bold"/>
                <w:rFonts w:eastAsia="Calibri"/>
                <w:bCs/>
                <w:szCs w:val="24"/>
                <w:lang w:eastAsia="en-US"/>
              </w:rPr>
              <w:t xml:space="preserve"> </w:t>
            </w:r>
            <w:r w:rsidRPr="006D3290">
              <w:rPr>
                <w:rStyle w:val="bold"/>
                <w:rFonts w:eastAsia="Calibri"/>
                <w:bCs/>
                <w:szCs w:val="24"/>
                <w:lang w:eastAsia="en-US"/>
              </w:rPr>
              <w:lastRenderedPageBreak/>
              <w:t xml:space="preserve">medarbetare från Socialdepartementet. Underlaget utgjordes </w:t>
            </w:r>
            <w:r w:rsidRPr="006D3290">
              <w:rPr>
                <w:bCs/>
                <w:szCs w:val="24"/>
              </w:rPr>
              <w:t xml:space="preserve">av </w:t>
            </w:r>
            <w:r w:rsidRPr="006D3290">
              <w:rPr>
                <w:bCs/>
              </w:rPr>
              <w:t>faktapromemoria FPM 2025/26:60</w:t>
            </w:r>
            <w:r w:rsidRPr="006D3290">
              <w:rPr>
                <w:rStyle w:val="bold"/>
                <w:rFonts w:eastAsia="Calibri"/>
                <w:bCs/>
                <w:szCs w:val="24"/>
                <w:lang w:eastAsia="en-US"/>
              </w:rPr>
              <w:t>.</w:t>
            </w:r>
          </w:p>
          <w:p w14:paraId="21A37AB4" w14:textId="77777777" w:rsidR="002A279F" w:rsidRPr="006D3290" w:rsidRDefault="002A279F" w:rsidP="002A279F">
            <w:pPr>
              <w:tabs>
                <w:tab w:val="left" w:pos="1701"/>
              </w:tabs>
              <w:rPr>
                <w:rStyle w:val="bold"/>
                <w:rFonts w:eastAsia="Calibri"/>
                <w:bCs/>
                <w:szCs w:val="24"/>
                <w:lang w:eastAsia="en-US"/>
              </w:rPr>
            </w:pPr>
          </w:p>
          <w:p w14:paraId="17A70D7B" w14:textId="67D05513" w:rsidR="002A279F" w:rsidRPr="006D3290" w:rsidRDefault="002A279F" w:rsidP="002A279F">
            <w:pPr>
              <w:tabs>
                <w:tab w:val="left" w:pos="1701"/>
              </w:tabs>
              <w:rPr>
                <w:rStyle w:val="bold"/>
                <w:rFonts w:eastAsia="Calibri"/>
                <w:bCs/>
                <w:szCs w:val="24"/>
                <w:lang w:eastAsia="en-US"/>
              </w:rPr>
            </w:pPr>
            <w:r w:rsidRPr="006D3290">
              <w:rPr>
                <w:bCs/>
                <w:snapToGrid w:val="0"/>
                <w:szCs w:val="24"/>
              </w:rPr>
              <w:t>Statssekreterare</w:t>
            </w:r>
            <w:r w:rsidRPr="006D3290">
              <w:rPr>
                <w:bCs/>
              </w:rPr>
              <w:t xml:space="preserve">n </w:t>
            </w:r>
            <w:r w:rsidRPr="006D3290">
              <w:rPr>
                <w:rStyle w:val="bold"/>
                <w:rFonts w:eastAsia="Calibri"/>
                <w:bCs/>
                <w:szCs w:val="24"/>
                <w:lang w:eastAsia="en-US"/>
              </w:rPr>
              <w:t xml:space="preserve">redogjorde för regeringens ståndpunkt i enlighet med </w:t>
            </w:r>
            <w:r w:rsidRPr="006D3290">
              <w:rPr>
                <w:bCs/>
              </w:rPr>
              <w:t>faktapromemorian</w:t>
            </w:r>
            <w:r w:rsidRPr="006D3290">
              <w:rPr>
                <w:rStyle w:val="bold"/>
                <w:rFonts w:eastAsia="Calibri"/>
                <w:bCs/>
                <w:szCs w:val="24"/>
                <w:lang w:eastAsia="en-US"/>
              </w:rPr>
              <w:t>.</w:t>
            </w:r>
          </w:p>
          <w:p w14:paraId="7EBCE319" w14:textId="77777777" w:rsidR="002A279F" w:rsidRPr="006D3290" w:rsidRDefault="002A279F" w:rsidP="002A279F">
            <w:pPr>
              <w:tabs>
                <w:tab w:val="left" w:pos="1701"/>
              </w:tabs>
              <w:rPr>
                <w:rStyle w:val="bold"/>
                <w:rFonts w:eastAsia="Calibri"/>
                <w:bCs/>
                <w:szCs w:val="24"/>
                <w:lang w:eastAsia="en-US"/>
              </w:rPr>
            </w:pPr>
          </w:p>
          <w:p w14:paraId="0387DDFC" w14:textId="6E49DA2C" w:rsidR="00573070" w:rsidRPr="006D3290" w:rsidRDefault="00573070" w:rsidP="00573070">
            <w:pPr>
              <w:pStyle w:val="blockcitat"/>
              <w:rPr>
                <w:rStyle w:val="bold"/>
                <w:color w:val="auto"/>
              </w:rPr>
            </w:pPr>
            <w:r w:rsidRPr="006D3290">
              <w:rPr>
                <w:rStyle w:val="bold"/>
                <w:color w:val="auto"/>
              </w:rPr>
              <w:t>Regeringen välkomnar att kommissionen presenterat en handlingsplan för hjärt- och kärlhälsa.</w:t>
            </w:r>
          </w:p>
          <w:p w14:paraId="0E5BCA37" w14:textId="77777777" w:rsidR="00573070" w:rsidRPr="006D3290" w:rsidRDefault="00573070" w:rsidP="00573070">
            <w:pPr>
              <w:pStyle w:val="blockcitat"/>
              <w:rPr>
                <w:rStyle w:val="bold"/>
                <w:color w:val="auto"/>
              </w:rPr>
            </w:pPr>
          </w:p>
          <w:p w14:paraId="72696643" w14:textId="77777777" w:rsidR="00573070" w:rsidRPr="006D3290" w:rsidRDefault="00573070" w:rsidP="00573070">
            <w:pPr>
              <w:pStyle w:val="blockcitat"/>
              <w:rPr>
                <w:rStyle w:val="bold"/>
                <w:color w:val="auto"/>
              </w:rPr>
            </w:pPr>
            <w:r w:rsidRPr="006D3290">
              <w:rPr>
                <w:rStyle w:val="bold"/>
                <w:color w:val="auto"/>
              </w:rPr>
              <w:t>Regeringen noterar med oro att sjukdomsbördan i hjärt-kärlsjukdomar fortsatt är hög samt att hjärt-kärlsjukdomar utgör en av de vanligaste dödsorsakerna inom EU. Det är avgörande att förbättra hjärt- och kärlhälsan.</w:t>
            </w:r>
          </w:p>
          <w:p w14:paraId="508500B7" w14:textId="77777777" w:rsidR="00573070" w:rsidRPr="006D3290" w:rsidRDefault="00573070" w:rsidP="00573070">
            <w:pPr>
              <w:pStyle w:val="blockcitat"/>
              <w:rPr>
                <w:rStyle w:val="bold"/>
                <w:color w:val="auto"/>
              </w:rPr>
            </w:pPr>
          </w:p>
          <w:p w14:paraId="1979475F" w14:textId="77777777" w:rsidR="00573070" w:rsidRPr="006D3290" w:rsidRDefault="00573070" w:rsidP="00573070">
            <w:pPr>
              <w:pStyle w:val="blockcitat"/>
              <w:rPr>
                <w:rStyle w:val="bold"/>
                <w:color w:val="auto"/>
              </w:rPr>
            </w:pPr>
            <w:r w:rsidRPr="006D3290">
              <w:rPr>
                <w:rStyle w:val="bold"/>
                <w:color w:val="auto"/>
              </w:rPr>
              <w:t>Det är därför välkommet att kommissionen prioriterar hjärt- och kärlhälsa samt insatser för att minska sjukdomsbördan i hjärt-kärlsjukdom inom EU. Det finns ett behov av att på EU-nivå stödja, samordna och komplettera medlemsstaternas insatser för att minska det lidande som orsakas av hjärt- och kärlsjukdom.</w:t>
            </w:r>
          </w:p>
          <w:p w14:paraId="5CB3C7A6" w14:textId="77777777" w:rsidR="00573070" w:rsidRPr="006D3290" w:rsidRDefault="00573070" w:rsidP="00573070">
            <w:pPr>
              <w:pStyle w:val="blockcitat"/>
              <w:rPr>
                <w:rStyle w:val="bold"/>
                <w:color w:val="auto"/>
              </w:rPr>
            </w:pPr>
          </w:p>
          <w:p w14:paraId="77FF17B9" w14:textId="77777777" w:rsidR="00573070" w:rsidRPr="006D3290" w:rsidRDefault="00573070" w:rsidP="00573070">
            <w:pPr>
              <w:pStyle w:val="blockcitat"/>
              <w:rPr>
                <w:rStyle w:val="bold"/>
                <w:color w:val="auto"/>
              </w:rPr>
            </w:pPr>
            <w:r w:rsidRPr="006D3290">
              <w:rPr>
                <w:rStyle w:val="bold"/>
                <w:color w:val="auto"/>
              </w:rPr>
              <w:t>Regeringen ser generellt positivt på målen och flaggskeppsinitiativen som aviseras genom planen. Regeringen välkomnar att planen genomsyras av ett förebyggande perspektiv samt jämlikhet, jämställdhet och personcentrering. Regeringen anser att det är viktigt med ett tvärsektoriellt arbete där både folkhälsa samt hälso- och sjukvård omfattas.</w:t>
            </w:r>
          </w:p>
          <w:p w14:paraId="103E0E0B" w14:textId="77777777" w:rsidR="00573070" w:rsidRPr="006D3290" w:rsidRDefault="00573070" w:rsidP="00573070">
            <w:pPr>
              <w:pStyle w:val="blockcitat"/>
              <w:rPr>
                <w:rStyle w:val="bold"/>
                <w:color w:val="auto"/>
              </w:rPr>
            </w:pPr>
          </w:p>
          <w:p w14:paraId="37AD7CF6" w14:textId="77777777" w:rsidR="00573070" w:rsidRPr="006D3290" w:rsidRDefault="00573070" w:rsidP="00573070">
            <w:pPr>
              <w:pStyle w:val="blockcitat"/>
              <w:rPr>
                <w:rStyle w:val="bold"/>
                <w:color w:val="auto"/>
              </w:rPr>
            </w:pPr>
            <w:r w:rsidRPr="006D3290">
              <w:rPr>
                <w:rStyle w:val="bold"/>
                <w:color w:val="auto"/>
              </w:rPr>
              <w:t>Regeringen ser ett behov av flexibilitet när det gäller tidsfristen för de nationella planer som ska implementeras senast 2027. Det är därtill viktigt att förebyggande insatser för att minska sjukdomsbördan i hjärt-kärlsjukdom kan kopplas samman med arbetet med andra icke-smittsamma sjukdomar, då riskfaktorerna för dessa hälsotillstånd ofta är gemensamma.</w:t>
            </w:r>
          </w:p>
          <w:p w14:paraId="159FAF5A" w14:textId="77777777" w:rsidR="00573070" w:rsidRPr="006D3290" w:rsidRDefault="00573070" w:rsidP="00573070">
            <w:pPr>
              <w:pStyle w:val="blockcitat"/>
              <w:rPr>
                <w:rStyle w:val="bold"/>
                <w:color w:val="auto"/>
              </w:rPr>
            </w:pPr>
          </w:p>
          <w:p w14:paraId="2A16DC33" w14:textId="77777777" w:rsidR="00573070" w:rsidRPr="006D3290" w:rsidRDefault="00573070" w:rsidP="00573070">
            <w:pPr>
              <w:pStyle w:val="blockcitat"/>
              <w:rPr>
                <w:rStyle w:val="bold"/>
                <w:color w:val="auto"/>
              </w:rPr>
            </w:pPr>
            <w:r w:rsidRPr="006D3290">
              <w:rPr>
                <w:rStyle w:val="bold"/>
                <w:color w:val="auto"/>
              </w:rPr>
              <w:t>Regeringen ser även positivt på att man på europeisk nivå nu tar ett större tag om hälsodatafrågorna, och omställningen till ett datadrivet samhälle, då det är en förutsättning för att Sverige ska kunna leverera en modern hälso- och sjukvård även i framtiden.</w:t>
            </w:r>
          </w:p>
          <w:p w14:paraId="4A0A5576" w14:textId="77777777" w:rsidR="00573070" w:rsidRPr="006D3290" w:rsidRDefault="00573070" w:rsidP="00573070">
            <w:pPr>
              <w:pStyle w:val="blockcitat"/>
              <w:rPr>
                <w:rStyle w:val="bold"/>
                <w:color w:val="auto"/>
              </w:rPr>
            </w:pPr>
          </w:p>
          <w:p w14:paraId="097D6DE8" w14:textId="77777777" w:rsidR="00573070" w:rsidRPr="006D3290" w:rsidRDefault="00573070" w:rsidP="00573070">
            <w:pPr>
              <w:pStyle w:val="blockcitat"/>
              <w:rPr>
                <w:rStyle w:val="bold"/>
                <w:color w:val="auto"/>
              </w:rPr>
            </w:pPr>
            <w:r w:rsidRPr="006D3290">
              <w:rPr>
                <w:rStyle w:val="bold"/>
                <w:color w:val="auto"/>
              </w:rPr>
              <w:t>Regeringen ser positivt på att kommissionen lyfter vikten av att främja en mer hälsosam livsmedelskonsumtion där energitäta och näringsfattiga livsmedel, de så kallade ultraprocessade livsmedlen, minskar. Regeringen är dock i princip emot att utvidga harmoniseringen inom skatteområdet. Fördelen med harmoniserade regler måste i varje enskilt fall vägas mot bland annat den begränsning av medlemsstaternas möjlighet att införa och utforma egna nationella skatteregler som harmoniseringen medför.</w:t>
            </w:r>
          </w:p>
          <w:p w14:paraId="2BEE0F2F" w14:textId="77777777" w:rsidR="00573070" w:rsidRPr="006D3290" w:rsidRDefault="00573070" w:rsidP="00573070">
            <w:pPr>
              <w:pStyle w:val="blockcitat"/>
              <w:rPr>
                <w:rStyle w:val="bold"/>
                <w:color w:val="auto"/>
              </w:rPr>
            </w:pPr>
          </w:p>
          <w:p w14:paraId="66C956DD" w14:textId="77777777" w:rsidR="00573070" w:rsidRPr="006D3290" w:rsidRDefault="00573070" w:rsidP="00573070">
            <w:pPr>
              <w:pStyle w:val="blockcitat"/>
              <w:rPr>
                <w:rStyle w:val="bold"/>
                <w:color w:val="auto"/>
              </w:rPr>
            </w:pPr>
            <w:r w:rsidRPr="006D3290">
              <w:rPr>
                <w:rStyle w:val="bold"/>
                <w:color w:val="auto"/>
              </w:rPr>
              <w:t xml:space="preserve">Regeringen anser att EU:s tobaksreglering är ett viktigt verktyg för att värna om folkhälsan i Europa, samt att åtgärder på tobaksområdet bör vara proportionerliga och syfta till att skydda känsliga grupper, såsom barn och unga. Regeringen anser att det är viktigt att ta hänsyn till de varierande skadeverkningar som olika tobaks- och nikotinprodukter orsakar. Därtill är den fria marknadens principer om fri rörlighet för produkter ett kärnvärde för den svenska regeringen. Regeringen värnar vidare det undantag som tillåter försäljning av och reglering av </w:t>
            </w:r>
            <w:r w:rsidRPr="006D3290">
              <w:rPr>
                <w:rStyle w:val="bold"/>
                <w:color w:val="auto"/>
              </w:rPr>
              <w:lastRenderedPageBreak/>
              <w:t>innehållet i snus i Sverige.</w:t>
            </w:r>
          </w:p>
          <w:p w14:paraId="55163F7D" w14:textId="77777777" w:rsidR="00573070" w:rsidRPr="006D3290" w:rsidRDefault="00573070" w:rsidP="00573070">
            <w:pPr>
              <w:pStyle w:val="blockcitat"/>
              <w:rPr>
                <w:rStyle w:val="bold"/>
                <w:color w:val="auto"/>
              </w:rPr>
            </w:pPr>
          </w:p>
          <w:p w14:paraId="518E8B21" w14:textId="77777777" w:rsidR="00573070" w:rsidRPr="006D3290" w:rsidRDefault="00573070" w:rsidP="00573070">
            <w:pPr>
              <w:pStyle w:val="blockcitat"/>
              <w:rPr>
                <w:rStyle w:val="bold"/>
                <w:color w:val="auto"/>
              </w:rPr>
            </w:pPr>
            <w:r w:rsidRPr="006D3290">
              <w:rPr>
                <w:rStyle w:val="bold"/>
                <w:color w:val="auto"/>
              </w:rPr>
              <w:t>Regeringen ser positivt på förslagen om att investera i forskning om hjärt-kärlhälsa under Horisont Europa och flaggskeppsinitiativen med syfte att minska forsknings- och innovationsluckor inom området.</w:t>
            </w:r>
          </w:p>
          <w:p w14:paraId="647C6054" w14:textId="77777777" w:rsidR="00573070" w:rsidRPr="006D3290" w:rsidRDefault="00573070" w:rsidP="00573070">
            <w:pPr>
              <w:pStyle w:val="blockcitat"/>
              <w:rPr>
                <w:rStyle w:val="bold"/>
                <w:color w:val="auto"/>
              </w:rPr>
            </w:pPr>
          </w:p>
          <w:p w14:paraId="12887393" w14:textId="77777777" w:rsidR="00573070" w:rsidRPr="006D3290" w:rsidRDefault="00573070" w:rsidP="00573070">
            <w:pPr>
              <w:pStyle w:val="blockcitat"/>
              <w:rPr>
                <w:rStyle w:val="bold"/>
                <w:color w:val="auto"/>
              </w:rPr>
            </w:pPr>
            <w:r w:rsidRPr="006D3290">
              <w:rPr>
                <w:rStyle w:val="bold"/>
                <w:color w:val="auto"/>
              </w:rPr>
              <w:t>En viktig utgångspunkt för regeringen är att fördelningen av befogenheter mellan EU och medlemsstaterna respekteras, samt att nationella system avseende hälso- och sjukvårdsfrågor respekteras.</w:t>
            </w:r>
          </w:p>
          <w:p w14:paraId="17C687F3" w14:textId="77777777" w:rsidR="00573070" w:rsidRPr="006D3290" w:rsidRDefault="00573070" w:rsidP="00573070">
            <w:pPr>
              <w:pStyle w:val="blockcitat"/>
              <w:rPr>
                <w:rStyle w:val="bold"/>
                <w:color w:val="auto"/>
              </w:rPr>
            </w:pPr>
          </w:p>
          <w:p w14:paraId="2F6137DC" w14:textId="365A3BF0" w:rsidR="002A279F" w:rsidRPr="006D3290" w:rsidRDefault="00573070" w:rsidP="00573070">
            <w:pPr>
              <w:pStyle w:val="blockcitat"/>
              <w:rPr>
                <w:rStyle w:val="bold"/>
                <w:color w:val="auto"/>
              </w:rPr>
            </w:pPr>
            <w:r w:rsidRPr="006D3290">
              <w:rPr>
                <w:rStyle w:val="bold"/>
                <w:color w:val="auto"/>
              </w:rPr>
              <w:t>Regeringen kommer ta ställning till de förslag som aviseras genom meddelandet allteftersom de presenteras.</w:t>
            </w:r>
          </w:p>
          <w:p w14:paraId="7D3A4F9E" w14:textId="77777777" w:rsidR="002A279F" w:rsidRPr="006D3290" w:rsidRDefault="002A279F" w:rsidP="002A279F">
            <w:pPr>
              <w:tabs>
                <w:tab w:val="left" w:pos="1701"/>
              </w:tabs>
              <w:rPr>
                <w:snapToGrid w:val="0"/>
              </w:rPr>
            </w:pPr>
          </w:p>
          <w:p w14:paraId="410D689E" w14:textId="4B52DCF7" w:rsidR="002A279F" w:rsidRPr="006D3290" w:rsidRDefault="002A279F" w:rsidP="002A279F">
            <w:pPr>
              <w:tabs>
                <w:tab w:val="left" w:pos="1701"/>
              </w:tabs>
              <w:rPr>
                <w:rStyle w:val="bold"/>
                <w:rFonts w:eastAsia="Calibri"/>
                <w:bCs/>
                <w:szCs w:val="24"/>
                <w:lang w:eastAsia="en-US"/>
              </w:rPr>
            </w:pPr>
            <w:r w:rsidRPr="006D3290">
              <w:rPr>
                <w:rStyle w:val="bold"/>
                <w:rFonts w:eastAsia="Calibri"/>
                <w:bCs/>
                <w:szCs w:val="24"/>
                <w:lang w:eastAsia="en-US"/>
              </w:rPr>
              <w:t xml:space="preserve">Ordföranden konstaterade att </w:t>
            </w:r>
            <w:r w:rsidR="001368E3" w:rsidRPr="006D3290">
              <w:rPr>
                <w:rStyle w:val="bold"/>
                <w:rFonts w:eastAsia="Calibri"/>
                <w:bCs/>
                <w:szCs w:val="24"/>
                <w:lang w:eastAsia="en-US"/>
              </w:rPr>
              <w:t>M-, C-, KD- och L-ledamöterna</w:t>
            </w:r>
            <w:r w:rsidRPr="006D3290">
              <w:rPr>
                <w:rStyle w:val="bold"/>
                <w:rFonts w:eastAsia="Calibri"/>
                <w:bCs/>
                <w:szCs w:val="24"/>
                <w:lang w:eastAsia="en-US"/>
              </w:rPr>
              <w:t xml:space="preserve"> </w:t>
            </w:r>
            <w:r w:rsidR="001B25F0" w:rsidRPr="006D3290">
              <w:rPr>
                <w:rStyle w:val="bold"/>
                <w:rFonts w:eastAsia="Calibri"/>
                <w:bCs/>
                <w:szCs w:val="24"/>
                <w:lang w:eastAsia="en-US"/>
              </w:rPr>
              <w:t>delade</w:t>
            </w:r>
            <w:r w:rsidR="001368E3" w:rsidRPr="006D3290">
              <w:rPr>
                <w:rStyle w:val="bold"/>
                <w:rFonts w:eastAsia="Calibri"/>
                <w:bCs/>
                <w:szCs w:val="24"/>
                <w:lang w:eastAsia="en-US"/>
              </w:rPr>
              <w:t xml:space="preserve"> </w:t>
            </w:r>
            <w:r w:rsidRPr="006D3290">
              <w:rPr>
                <w:rStyle w:val="bold"/>
                <w:rFonts w:eastAsia="Calibri"/>
                <w:bCs/>
                <w:szCs w:val="24"/>
                <w:lang w:eastAsia="en-US"/>
              </w:rPr>
              <w:t>regeringens ståndpunkt.</w:t>
            </w:r>
          </w:p>
          <w:p w14:paraId="3A7357EE" w14:textId="77777777" w:rsidR="002A279F" w:rsidRPr="006D3290" w:rsidRDefault="002A279F" w:rsidP="002A279F">
            <w:pPr>
              <w:tabs>
                <w:tab w:val="left" w:pos="1701"/>
              </w:tabs>
              <w:rPr>
                <w:rStyle w:val="bold"/>
                <w:rFonts w:eastAsia="Calibri"/>
                <w:bCs/>
                <w:szCs w:val="24"/>
                <w:lang w:eastAsia="en-US"/>
              </w:rPr>
            </w:pPr>
          </w:p>
          <w:p w14:paraId="760119D4" w14:textId="3972795F" w:rsidR="002A279F" w:rsidRPr="006D3290" w:rsidRDefault="00863E28" w:rsidP="00863E28">
            <w:pPr>
              <w:pStyle w:val="blockcitat"/>
              <w:ind w:left="0"/>
              <w:jc w:val="left"/>
              <w:rPr>
                <w:rStyle w:val="bold"/>
                <w:bCs w:val="0"/>
                <w:color w:val="auto"/>
                <w:sz w:val="24"/>
                <w:szCs w:val="24"/>
              </w:rPr>
            </w:pPr>
            <w:r w:rsidRPr="006D3290">
              <w:rPr>
                <w:rStyle w:val="bold"/>
                <w:bCs w:val="0"/>
                <w:color w:val="auto"/>
                <w:sz w:val="24"/>
                <w:szCs w:val="24"/>
              </w:rPr>
              <w:t>S-, V- och MP</w:t>
            </w:r>
            <w:r w:rsidR="002A279F" w:rsidRPr="006D3290">
              <w:rPr>
                <w:rStyle w:val="bold"/>
                <w:bCs w:val="0"/>
                <w:color w:val="auto"/>
                <w:sz w:val="24"/>
                <w:szCs w:val="24"/>
              </w:rPr>
              <w:t>-ledamöterna anmälde följande avvikande ståndpunkt:</w:t>
            </w:r>
          </w:p>
          <w:p w14:paraId="2348C816" w14:textId="77777777" w:rsidR="002A279F" w:rsidRPr="006D3290" w:rsidRDefault="002A279F" w:rsidP="002A279F">
            <w:pPr>
              <w:pStyle w:val="blockcitat"/>
              <w:rPr>
                <w:rStyle w:val="bold"/>
                <w:color w:val="auto"/>
              </w:rPr>
            </w:pPr>
          </w:p>
          <w:p w14:paraId="3A30C763" w14:textId="6E2DC9A5" w:rsidR="002A279F" w:rsidRPr="006D3290" w:rsidRDefault="001368E3" w:rsidP="002A279F">
            <w:pPr>
              <w:pStyle w:val="blockcitat"/>
              <w:rPr>
                <w:rStyle w:val="bold"/>
                <w:color w:val="auto"/>
              </w:rPr>
            </w:pPr>
            <w:r w:rsidRPr="006D3290">
              <w:rPr>
                <w:rStyle w:val="bold"/>
                <w:color w:val="auto"/>
              </w:rPr>
              <w:t>I rådsrekommendationerna framgår att det är alarmerande att konsumtionen och försäljningen av nya tobaksvaror och nikotinprodukter, t.ex. upphettade tobaksvaror, e-cigaretter och nikotinpåsar, ökar så snabbt bland ungdomar. Både nikotinanvändning och tobaksbruk är ett allvarligt folkhälsoproblem och en risk för hjärt-kärlhälsan som forskning visar. Vi anser därför att följande mening bör strykas i åttonde stycket: ”Regeringen anser att det är viktigt att ta hänsyn till de varierande skadeverkningar som olika tobaks- och nikotinprodukter orsakar.”</w:t>
            </w:r>
          </w:p>
          <w:p w14:paraId="0986304F" w14:textId="77777777" w:rsidR="00863E28" w:rsidRPr="006D3290" w:rsidRDefault="00863E28" w:rsidP="00863E28">
            <w:pPr>
              <w:pStyle w:val="blockcitat"/>
              <w:ind w:left="0"/>
              <w:rPr>
                <w:rStyle w:val="bold"/>
                <w:bCs w:val="0"/>
                <w:color w:val="auto"/>
                <w:sz w:val="24"/>
                <w:szCs w:val="24"/>
              </w:rPr>
            </w:pPr>
          </w:p>
          <w:p w14:paraId="5CABC475" w14:textId="03986C7A" w:rsidR="00863E28" w:rsidRPr="006D3290" w:rsidRDefault="00863E28" w:rsidP="00863E28">
            <w:pPr>
              <w:pStyle w:val="blockcitat"/>
              <w:ind w:left="0"/>
              <w:jc w:val="left"/>
              <w:rPr>
                <w:rStyle w:val="bold"/>
                <w:bCs w:val="0"/>
                <w:color w:val="auto"/>
                <w:sz w:val="24"/>
                <w:szCs w:val="24"/>
              </w:rPr>
            </w:pPr>
            <w:r w:rsidRPr="006D3290">
              <w:rPr>
                <w:rStyle w:val="bold"/>
                <w:bCs w:val="0"/>
                <w:color w:val="auto"/>
                <w:sz w:val="24"/>
                <w:szCs w:val="24"/>
              </w:rPr>
              <w:t>SD-ledamöterna anmälde följande avvikande ståndpunkt:</w:t>
            </w:r>
          </w:p>
          <w:p w14:paraId="449C973E" w14:textId="77777777" w:rsidR="00863E28" w:rsidRPr="006D3290" w:rsidRDefault="00863E28" w:rsidP="00863E28">
            <w:pPr>
              <w:pStyle w:val="blockcitat"/>
              <w:rPr>
                <w:rStyle w:val="bold"/>
                <w:color w:val="auto"/>
              </w:rPr>
            </w:pPr>
          </w:p>
          <w:p w14:paraId="4AA99699" w14:textId="50B0E824" w:rsidR="00BE1F8F" w:rsidRPr="006D3290" w:rsidRDefault="00BE1F8F" w:rsidP="00BE1F8F">
            <w:pPr>
              <w:pStyle w:val="blockcitat"/>
              <w:rPr>
                <w:rStyle w:val="bold"/>
                <w:color w:val="auto"/>
              </w:rPr>
            </w:pPr>
            <w:r w:rsidRPr="006D3290">
              <w:rPr>
                <w:rStyle w:val="bold"/>
                <w:color w:val="auto"/>
              </w:rPr>
              <w:t>Sverigedemokraterna står bakom regeringens hållning i frågorna som rör tobak och snus. Vi instämmer även i kritiken mot att utvidga harmoniseringen inom skatteområdet för livsmedel.</w:t>
            </w:r>
          </w:p>
          <w:p w14:paraId="67035621" w14:textId="77777777" w:rsidR="00BE1F8F" w:rsidRPr="006D3290" w:rsidRDefault="00BE1F8F" w:rsidP="00BE1F8F">
            <w:pPr>
              <w:pStyle w:val="blockcitat"/>
              <w:rPr>
                <w:rStyle w:val="bold"/>
                <w:color w:val="auto"/>
              </w:rPr>
            </w:pPr>
          </w:p>
          <w:p w14:paraId="060C1512" w14:textId="77777777" w:rsidR="00BE1F8F" w:rsidRPr="006D3290" w:rsidRDefault="00BE1F8F" w:rsidP="00BE1F8F">
            <w:pPr>
              <w:pStyle w:val="blockcitat"/>
              <w:rPr>
                <w:rStyle w:val="bold"/>
                <w:color w:val="auto"/>
              </w:rPr>
            </w:pPr>
            <w:r w:rsidRPr="006D3290">
              <w:rPr>
                <w:rStyle w:val="bold"/>
                <w:color w:val="auto"/>
              </w:rPr>
              <w:t>Däremot visar regeringen på ett generellt välkomnande av strategin och skriver bland annat att ”Det finns ett behov av att på EU-nivå stödja, samordna och komplettera medlemsstaternas insatser för att minska det lidande som orsakas av hjärt- och kärlsjukdom.”</w:t>
            </w:r>
          </w:p>
          <w:p w14:paraId="1891084B" w14:textId="77777777" w:rsidR="00BE1F8F" w:rsidRPr="006D3290" w:rsidRDefault="00BE1F8F" w:rsidP="00BE1F8F">
            <w:pPr>
              <w:pStyle w:val="blockcitat"/>
              <w:rPr>
                <w:rStyle w:val="bold"/>
                <w:color w:val="auto"/>
              </w:rPr>
            </w:pPr>
          </w:p>
          <w:p w14:paraId="0EF7D3EE" w14:textId="77777777" w:rsidR="00BE1F8F" w:rsidRPr="006D3290" w:rsidRDefault="00BE1F8F" w:rsidP="00BE1F8F">
            <w:pPr>
              <w:pStyle w:val="blockcitat"/>
              <w:rPr>
                <w:rStyle w:val="bold"/>
                <w:color w:val="auto"/>
              </w:rPr>
            </w:pPr>
            <w:r w:rsidRPr="006D3290">
              <w:rPr>
                <w:rStyle w:val="bold"/>
                <w:color w:val="auto"/>
              </w:rPr>
              <w:t>Sverigedemokraterna menar å andra sidan att EU:s plan för hjärt-kärlhälsa, till övervägande del, bör betraktas som nationell kompetens och att det tydligt bör speglas i regeringens förslag till ståndpunkt.</w:t>
            </w:r>
          </w:p>
          <w:p w14:paraId="7C5E012B" w14:textId="77777777" w:rsidR="002A279F" w:rsidRPr="006D3290" w:rsidRDefault="002A279F" w:rsidP="002A279F">
            <w:pPr>
              <w:pStyle w:val="blockcitat"/>
              <w:ind w:left="0"/>
              <w:rPr>
                <w:rStyle w:val="bold"/>
                <w:bCs w:val="0"/>
                <w:color w:val="auto"/>
              </w:rPr>
            </w:pPr>
          </w:p>
          <w:p w14:paraId="3D5FD784" w14:textId="77777777" w:rsidR="002A279F" w:rsidRPr="006D3290" w:rsidRDefault="002A279F" w:rsidP="002A279F">
            <w:pPr>
              <w:tabs>
                <w:tab w:val="left" w:pos="1701"/>
              </w:tabs>
              <w:rPr>
                <w:rStyle w:val="bold"/>
                <w:rFonts w:eastAsia="Calibri"/>
                <w:bCs/>
                <w:szCs w:val="24"/>
                <w:lang w:eastAsia="en-US"/>
              </w:rPr>
            </w:pPr>
            <w:r w:rsidRPr="006D3290">
              <w:rPr>
                <w:rStyle w:val="bold"/>
                <w:rFonts w:eastAsia="Calibri"/>
                <w:bCs/>
                <w:szCs w:val="24"/>
                <w:lang w:eastAsia="en-US"/>
              </w:rPr>
              <w:t>Denna paragraf förklarades omedelbart justerad.</w:t>
            </w:r>
          </w:p>
          <w:p w14:paraId="2ECC2704" w14:textId="7B3FB627" w:rsidR="002A279F" w:rsidRPr="006D3290" w:rsidRDefault="002A279F" w:rsidP="004A5543">
            <w:pPr>
              <w:tabs>
                <w:tab w:val="left" w:pos="1701"/>
              </w:tabs>
              <w:rPr>
                <w:b/>
              </w:rPr>
            </w:pPr>
          </w:p>
        </w:tc>
      </w:tr>
      <w:tr w:rsidR="006D3290" w:rsidRPr="006D3290" w14:paraId="47F3ED80" w14:textId="77777777" w:rsidTr="00B10A33">
        <w:tc>
          <w:tcPr>
            <w:tcW w:w="567" w:type="dxa"/>
          </w:tcPr>
          <w:p w14:paraId="01614773" w14:textId="7ED2D3D7" w:rsidR="00765721" w:rsidRPr="006D3290" w:rsidRDefault="00765721" w:rsidP="00765721">
            <w:pPr>
              <w:tabs>
                <w:tab w:val="left" w:pos="1701"/>
              </w:tabs>
              <w:rPr>
                <w:b/>
                <w:snapToGrid w:val="0"/>
                <w:szCs w:val="24"/>
              </w:rPr>
            </w:pPr>
            <w:r w:rsidRPr="006D3290">
              <w:rPr>
                <w:b/>
                <w:snapToGrid w:val="0"/>
                <w:szCs w:val="24"/>
              </w:rPr>
              <w:lastRenderedPageBreak/>
              <w:t xml:space="preserve">§ </w:t>
            </w:r>
            <w:r w:rsidR="002A279F" w:rsidRPr="006D3290">
              <w:rPr>
                <w:b/>
                <w:snapToGrid w:val="0"/>
                <w:szCs w:val="24"/>
              </w:rPr>
              <w:t>4</w:t>
            </w:r>
          </w:p>
        </w:tc>
        <w:tc>
          <w:tcPr>
            <w:tcW w:w="7017" w:type="dxa"/>
          </w:tcPr>
          <w:p w14:paraId="1F2E0ACD" w14:textId="77777777" w:rsidR="00765721" w:rsidRPr="006D3290" w:rsidRDefault="00765721" w:rsidP="00765721">
            <w:pPr>
              <w:tabs>
                <w:tab w:val="left" w:pos="1701"/>
              </w:tabs>
              <w:rPr>
                <w:b/>
                <w:snapToGrid w:val="0"/>
                <w:szCs w:val="24"/>
              </w:rPr>
            </w:pPr>
            <w:r w:rsidRPr="006D3290">
              <w:rPr>
                <w:b/>
                <w:snapToGrid w:val="0"/>
                <w:szCs w:val="24"/>
              </w:rPr>
              <w:t>Justering av protokoll</w:t>
            </w:r>
          </w:p>
          <w:p w14:paraId="446122DA" w14:textId="77777777" w:rsidR="00765721" w:rsidRPr="006D3290" w:rsidRDefault="00765721" w:rsidP="00765721">
            <w:pPr>
              <w:tabs>
                <w:tab w:val="left" w:pos="1701"/>
              </w:tabs>
              <w:rPr>
                <w:b/>
                <w:snapToGrid w:val="0"/>
                <w:szCs w:val="24"/>
              </w:rPr>
            </w:pPr>
          </w:p>
          <w:p w14:paraId="5D82F0DE" w14:textId="77EFD2D6" w:rsidR="00765721" w:rsidRPr="006D3290" w:rsidRDefault="00765721" w:rsidP="00765721">
            <w:pPr>
              <w:tabs>
                <w:tab w:val="left" w:pos="1701"/>
              </w:tabs>
              <w:rPr>
                <w:snapToGrid w:val="0"/>
                <w:szCs w:val="24"/>
              </w:rPr>
            </w:pPr>
            <w:r w:rsidRPr="006D3290">
              <w:rPr>
                <w:snapToGrid w:val="0"/>
                <w:szCs w:val="24"/>
              </w:rPr>
              <w:t>Utskottet justerade protokoll 2025/26:3</w:t>
            </w:r>
            <w:r w:rsidR="00330772" w:rsidRPr="006D3290">
              <w:rPr>
                <w:snapToGrid w:val="0"/>
                <w:szCs w:val="24"/>
              </w:rPr>
              <w:t>3</w:t>
            </w:r>
            <w:r w:rsidRPr="006D3290">
              <w:rPr>
                <w:snapToGrid w:val="0"/>
                <w:szCs w:val="24"/>
              </w:rPr>
              <w:t>.</w:t>
            </w:r>
          </w:p>
          <w:p w14:paraId="0BFEC5B8" w14:textId="2104838A" w:rsidR="00765721" w:rsidRPr="006D3290" w:rsidRDefault="00765721" w:rsidP="00765721">
            <w:pPr>
              <w:tabs>
                <w:tab w:val="left" w:pos="1701"/>
              </w:tabs>
              <w:rPr>
                <w:b/>
                <w:snapToGrid w:val="0"/>
                <w:szCs w:val="24"/>
              </w:rPr>
            </w:pPr>
          </w:p>
        </w:tc>
      </w:tr>
      <w:tr w:rsidR="006D3290" w:rsidRPr="006D3290" w14:paraId="370BB0B1" w14:textId="77777777" w:rsidTr="00B10A33">
        <w:tc>
          <w:tcPr>
            <w:tcW w:w="567" w:type="dxa"/>
          </w:tcPr>
          <w:p w14:paraId="22A0864C" w14:textId="553C016E" w:rsidR="004A5543" w:rsidRPr="006D3290" w:rsidRDefault="004A5543" w:rsidP="00765721">
            <w:pPr>
              <w:tabs>
                <w:tab w:val="left" w:pos="1701"/>
              </w:tabs>
              <w:rPr>
                <w:b/>
                <w:snapToGrid w:val="0"/>
                <w:szCs w:val="24"/>
              </w:rPr>
            </w:pPr>
            <w:r w:rsidRPr="006D3290">
              <w:rPr>
                <w:b/>
                <w:snapToGrid w:val="0"/>
                <w:szCs w:val="24"/>
              </w:rPr>
              <w:t xml:space="preserve">§ </w:t>
            </w:r>
            <w:r w:rsidR="002A279F" w:rsidRPr="006D3290">
              <w:rPr>
                <w:b/>
                <w:snapToGrid w:val="0"/>
                <w:szCs w:val="24"/>
              </w:rPr>
              <w:t>5</w:t>
            </w:r>
          </w:p>
        </w:tc>
        <w:tc>
          <w:tcPr>
            <w:tcW w:w="7017" w:type="dxa"/>
          </w:tcPr>
          <w:p w14:paraId="78BEAC54" w14:textId="77777777" w:rsidR="005C1BA3" w:rsidRPr="006D3290" w:rsidRDefault="005C1BA3" w:rsidP="005C1BA3">
            <w:pPr>
              <w:tabs>
                <w:tab w:val="left" w:pos="1701"/>
              </w:tabs>
              <w:rPr>
                <w:b/>
                <w:snapToGrid w:val="0"/>
                <w:szCs w:val="24"/>
              </w:rPr>
            </w:pPr>
            <w:r w:rsidRPr="006D3290">
              <w:rPr>
                <w:b/>
                <w:snapToGrid w:val="0"/>
                <w:szCs w:val="24"/>
              </w:rPr>
              <w:t>Socialtjänstens ansvar för våldsutsatta m.m. (SoU20)</w:t>
            </w:r>
          </w:p>
          <w:p w14:paraId="45E5FB0A" w14:textId="77777777" w:rsidR="005C1BA3" w:rsidRPr="006D3290" w:rsidRDefault="005C1BA3" w:rsidP="005C1BA3">
            <w:pPr>
              <w:tabs>
                <w:tab w:val="left" w:pos="1701"/>
              </w:tabs>
              <w:rPr>
                <w:b/>
                <w:snapToGrid w:val="0"/>
                <w:szCs w:val="24"/>
              </w:rPr>
            </w:pPr>
          </w:p>
          <w:p w14:paraId="22DC9776" w14:textId="77777777" w:rsidR="005C1BA3" w:rsidRPr="006D3290" w:rsidRDefault="005C1BA3" w:rsidP="005C1BA3">
            <w:pPr>
              <w:tabs>
                <w:tab w:val="left" w:pos="1701"/>
              </w:tabs>
              <w:rPr>
                <w:bCs/>
              </w:rPr>
            </w:pPr>
            <w:r w:rsidRPr="006D3290">
              <w:rPr>
                <w:bCs/>
                <w:snapToGrid w:val="0"/>
              </w:rPr>
              <w:t>Utskottet fortsatte beredningen av motioner om socialtjänstens ansvar för våldsutsatta m.m.</w:t>
            </w:r>
          </w:p>
          <w:p w14:paraId="03AB41C5" w14:textId="77777777" w:rsidR="005C1BA3" w:rsidRPr="006D3290" w:rsidRDefault="005C1BA3" w:rsidP="005C1BA3">
            <w:pPr>
              <w:tabs>
                <w:tab w:val="left" w:pos="1701"/>
              </w:tabs>
              <w:rPr>
                <w:bCs/>
              </w:rPr>
            </w:pPr>
          </w:p>
          <w:p w14:paraId="517F8ED7" w14:textId="302EDDE0" w:rsidR="005C1BA3" w:rsidRPr="006D3290" w:rsidRDefault="005C1BA3" w:rsidP="005C1BA3">
            <w:pPr>
              <w:tabs>
                <w:tab w:val="left" w:pos="1701"/>
              </w:tabs>
              <w:rPr>
                <w:bCs/>
                <w:snapToGrid w:val="0"/>
              </w:rPr>
            </w:pPr>
            <w:r w:rsidRPr="006D3290">
              <w:rPr>
                <w:bCs/>
                <w:snapToGrid w:val="0"/>
              </w:rPr>
              <w:lastRenderedPageBreak/>
              <w:t>Utskottet justerade betänkande 2025/26:SoU20.</w:t>
            </w:r>
          </w:p>
          <w:p w14:paraId="2597A8B2" w14:textId="77777777" w:rsidR="005C1BA3" w:rsidRPr="006D3290" w:rsidRDefault="005C1BA3" w:rsidP="005C1BA3">
            <w:pPr>
              <w:tabs>
                <w:tab w:val="left" w:pos="1701"/>
              </w:tabs>
            </w:pPr>
          </w:p>
          <w:p w14:paraId="273336CA" w14:textId="5E3266A2" w:rsidR="005C1BA3" w:rsidRPr="006D3290" w:rsidRDefault="009C6059" w:rsidP="005C1BA3">
            <w:pPr>
              <w:tabs>
                <w:tab w:val="left" w:pos="1701"/>
              </w:tabs>
            </w:pPr>
            <w:r w:rsidRPr="006D3290">
              <w:t>S</w:t>
            </w:r>
            <w:r w:rsidR="005C1BA3" w:rsidRPr="006D3290">
              <w:t xml:space="preserve">-, </w:t>
            </w:r>
            <w:r w:rsidRPr="006D3290">
              <w:t>V</w:t>
            </w:r>
            <w:r w:rsidR="005C1BA3" w:rsidRPr="006D3290">
              <w:t xml:space="preserve">-, </w:t>
            </w:r>
            <w:r w:rsidRPr="006D3290">
              <w:t>C</w:t>
            </w:r>
            <w:r w:rsidR="005C1BA3" w:rsidRPr="006D3290">
              <w:t xml:space="preserve">- och </w:t>
            </w:r>
            <w:r w:rsidRPr="006D3290">
              <w:t>MP</w:t>
            </w:r>
            <w:r w:rsidR="005C1BA3" w:rsidRPr="006D3290">
              <w:t>-ledamöterna anmälde reservationer.</w:t>
            </w:r>
            <w:r w:rsidR="005C1BA3" w:rsidRPr="006D3290">
              <w:rPr>
                <w:snapToGrid w:val="0"/>
              </w:rPr>
              <w:t xml:space="preserve"> </w:t>
            </w:r>
          </w:p>
          <w:p w14:paraId="034CDECA" w14:textId="77777777" w:rsidR="004A5543" w:rsidRPr="006D3290" w:rsidRDefault="004A5543" w:rsidP="00765721">
            <w:pPr>
              <w:tabs>
                <w:tab w:val="left" w:pos="1701"/>
              </w:tabs>
              <w:rPr>
                <w:b/>
                <w:snapToGrid w:val="0"/>
                <w:szCs w:val="24"/>
              </w:rPr>
            </w:pPr>
          </w:p>
        </w:tc>
      </w:tr>
      <w:tr w:rsidR="006D3290" w:rsidRPr="006D3290" w14:paraId="74E8D887" w14:textId="77777777" w:rsidTr="00B10A33">
        <w:tc>
          <w:tcPr>
            <w:tcW w:w="567" w:type="dxa"/>
          </w:tcPr>
          <w:p w14:paraId="513C3E74" w14:textId="5FBA4808" w:rsidR="004A5543" w:rsidRPr="006D3290" w:rsidRDefault="004A5543" w:rsidP="00765721">
            <w:pPr>
              <w:tabs>
                <w:tab w:val="left" w:pos="1701"/>
              </w:tabs>
              <w:rPr>
                <w:b/>
                <w:snapToGrid w:val="0"/>
                <w:szCs w:val="24"/>
              </w:rPr>
            </w:pPr>
            <w:r w:rsidRPr="006D3290">
              <w:rPr>
                <w:b/>
                <w:snapToGrid w:val="0"/>
                <w:szCs w:val="24"/>
              </w:rPr>
              <w:lastRenderedPageBreak/>
              <w:t xml:space="preserve">§ </w:t>
            </w:r>
            <w:r w:rsidR="000D72E3" w:rsidRPr="006D3290">
              <w:rPr>
                <w:b/>
                <w:snapToGrid w:val="0"/>
                <w:szCs w:val="24"/>
              </w:rPr>
              <w:t>6</w:t>
            </w:r>
          </w:p>
        </w:tc>
        <w:tc>
          <w:tcPr>
            <w:tcW w:w="7017" w:type="dxa"/>
          </w:tcPr>
          <w:p w14:paraId="3F72E356" w14:textId="0382959A" w:rsidR="00AA5CB5" w:rsidRPr="006D3290" w:rsidRDefault="00AA5CB5" w:rsidP="00AA5CB5">
            <w:pPr>
              <w:tabs>
                <w:tab w:val="left" w:pos="1701"/>
              </w:tabs>
              <w:rPr>
                <w:b/>
                <w:snapToGrid w:val="0"/>
                <w:szCs w:val="24"/>
              </w:rPr>
            </w:pPr>
            <w:r w:rsidRPr="006D3290">
              <w:rPr>
                <w:b/>
                <w:snapToGrid w:val="0"/>
                <w:szCs w:val="24"/>
              </w:rPr>
              <w:t>Stärkta insatser för äldre och för de som vårdar eller stöder närstående (SoU25)</w:t>
            </w:r>
          </w:p>
          <w:p w14:paraId="35883D99" w14:textId="77777777" w:rsidR="00AA5CB5" w:rsidRPr="006D3290" w:rsidRDefault="00AA5CB5" w:rsidP="00AA5CB5">
            <w:pPr>
              <w:tabs>
                <w:tab w:val="left" w:pos="1701"/>
              </w:tabs>
              <w:rPr>
                <w:b/>
                <w:snapToGrid w:val="0"/>
                <w:szCs w:val="24"/>
              </w:rPr>
            </w:pPr>
          </w:p>
          <w:p w14:paraId="46AFEAE0" w14:textId="5355ACAF" w:rsidR="00AA5CB5" w:rsidRPr="006D3290" w:rsidRDefault="00AA5CB5" w:rsidP="00AA5CB5">
            <w:pPr>
              <w:tabs>
                <w:tab w:val="left" w:pos="1701"/>
              </w:tabs>
              <w:rPr>
                <w:bCs/>
              </w:rPr>
            </w:pPr>
            <w:r w:rsidRPr="006D3290">
              <w:rPr>
                <w:bCs/>
                <w:snapToGrid w:val="0"/>
              </w:rPr>
              <w:t>Utskottet inledde beredningen av proposition 2025/26:60 och motion.</w:t>
            </w:r>
          </w:p>
          <w:p w14:paraId="65D27A79" w14:textId="77777777" w:rsidR="00AA5CB5" w:rsidRPr="006D3290" w:rsidRDefault="00AA5CB5" w:rsidP="00AA5CB5">
            <w:pPr>
              <w:tabs>
                <w:tab w:val="left" w:pos="1701"/>
              </w:tabs>
              <w:rPr>
                <w:bCs/>
              </w:rPr>
            </w:pPr>
          </w:p>
          <w:p w14:paraId="56B171C3" w14:textId="77777777" w:rsidR="00AA5CB5" w:rsidRPr="006D3290" w:rsidRDefault="00AA5CB5" w:rsidP="00AA5CB5">
            <w:pPr>
              <w:tabs>
                <w:tab w:val="left" w:pos="1701"/>
              </w:tabs>
              <w:rPr>
                <w:bCs/>
                <w:snapToGrid w:val="0"/>
              </w:rPr>
            </w:pPr>
            <w:r w:rsidRPr="006D3290">
              <w:rPr>
                <w:bCs/>
              </w:rPr>
              <w:t>Ärendet bordlades.</w:t>
            </w:r>
          </w:p>
          <w:p w14:paraId="0F34BAA4" w14:textId="77777777" w:rsidR="004A5543" w:rsidRPr="006D3290" w:rsidRDefault="004A5543" w:rsidP="00765721">
            <w:pPr>
              <w:tabs>
                <w:tab w:val="left" w:pos="1701"/>
              </w:tabs>
              <w:rPr>
                <w:b/>
                <w:snapToGrid w:val="0"/>
                <w:szCs w:val="24"/>
              </w:rPr>
            </w:pPr>
          </w:p>
        </w:tc>
      </w:tr>
      <w:tr w:rsidR="006D3290" w:rsidRPr="006D3290" w14:paraId="149D978D" w14:textId="77777777" w:rsidTr="00B10A33">
        <w:tc>
          <w:tcPr>
            <w:tcW w:w="567" w:type="dxa"/>
          </w:tcPr>
          <w:p w14:paraId="1E61C642" w14:textId="6DCC912D" w:rsidR="005C1BFC" w:rsidRPr="006D3290" w:rsidRDefault="005C1BFC" w:rsidP="005C1BFC">
            <w:pPr>
              <w:tabs>
                <w:tab w:val="left" w:pos="1701"/>
              </w:tabs>
              <w:rPr>
                <w:b/>
                <w:snapToGrid w:val="0"/>
                <w:szCs w:val="24"/>
              </w:rPr>
            </w:pPr>
            <w:r w:rsidRPr="006D3290">
              <w:rPr>
                <w:b/>
                <w:snapToGrid w:val="0"/>
                <w:szCs w:val="24"/>
              </w:rPr>
              <w:t xml:space="preserve">§ </w:t>
            </w:r>
            <w:r w:rsidR="000D72E3" w:rsidRPr="006D3290">
              <w:rPr>
                <w:b/>
                <w:snapToGrid w:val="0"/>
                <w:szCs w:val="24"/>
              </w:rPr>
              <w:t>7</w:t>
            </w:r>
          </w:p>
        </w:tc>
        <w:tc>
          <w:tcPr>
            <w:tcW w:w="7017" w:type="dxa"/>
          </w:tcPr>
          <w:p w14:paraId="1D863554" w14:textId="77777777" w:rsidR="005C1BFC" w:rsidRPr="006D3290" w:rsidRDefault="005C1BFC" w:rsidP="005C1BFC">
            <w:pPr>
              <w:tabs>
                <w:tab w:val="left" w:pos="1701"/>
              </w:tabs>
              <w:rPr>
                <w:b/>
              </w:rPr>
            </w:pPr>
            <w:r w:rsidRPr="006D3290">
              <w:rPr>
                <w:b/>
              </w:rPr>
              <w:t>Inkomna skrivelser</w:t>
            </w:r>
          </w:p>
          <w:p w14:paraId="704E332A" w14:textId="77777777" w:rsidR="005C1BFC" w:rsidRPr="006D3290" w:rsidRDefault="005C1BFC" w:rsidP="005C1BFC">
            <w:pPr>
              <w:tabs>
                <w:tab w:val="left" w:pos="1701"/>
              </w:tabs>
              <w:rPr>
                <w:szCs w:val="24"/>
              </w:rPr>
            </w:pPr>
          </w:p>
          <w:p w14:paraId="27FF9FAE" w14:textId="13934BFA" w:rsidR="005C1BFC" w:rsidRPr="006D3290" w:rsidRDefault="005C1BFC" w:rsidP="005C1BFC">
            <w:pPr>
              <w:tabs>
                <w:tab w:val="left" w:pos="1701"/>
              </w:tabs>
              <w:rPr>
                <w:b/>
              </w:rPr>
            </w:pPr>
            <w:r w:rsidRPr="006D3290">
              <w:rPr>
                <w:szCs w:val="24"/>
              </w:rPr>
              <w:t xml:space="preserve">Inkomna skrivelser anmäldes (dnr </w:t>
            </w:r>
            <w:r w:rsidR="009C6059" w:rsidRPr="006D3290">
              <w:rPr>
                <w:szCs w:val="24"/>
              </w:rPr>
              <w:t>266</w:t>
            </w:r>
            <w:r w:rsidR="00206038" w:rsidRPr="006D3290">
              <w:rPr>
                <w:szCs w:val="24"/>
              </w:rPr>
              <w:t>-202</w:t>
            </w:r>
            <w:r w:rsidR="00791959" w:rsidRPr="006D3290">
              <w:rPr>
                <w:szCs w:val="24"/>
              </w:rPr>
              <w:t>5</w:t>
            </w:r>
            <w:r w:rsidR="00206038" w:rsidRPr="006D3290">
              <w:rPr>
                <w:szCs w:val="24"/>
              </w:rPr>
              <w:t>/2</w:t>
            </w:r>
            <w:r w:rsidR="00791959" w:rsidRPr="006D3290">
              <w:rPr>
                <w:szCs w:val="24"/>
              </w:rPr>
              <w:t>6</w:t>
            </w:r>
            <w:r w:rsidR="009C6059" w:rsidRPr="006D3290">
              <w:rPr>
                <w:szCs w:val="24"/>
              </w:rPr>
              <w:t xml:space="preserve">, 1436-2025/26, 1440-2025/26 </w:t>
            </w:r>
            <w:r w:rsidR="00AD2DB5" w:rsidRPr="006D3290">
              <w:rPr>
                <w:szCs w:val="24"/>
              </w:rPr>
              <w:t xml:space="preserve">och </w:t>
            </w:r>
            <w:r w:rsidR="009C6059" w:rsidRPr="006D3290">
              <w:rPr>
                <w:szCs w:val="24"/>
              </w:rPr>
              <w:t>1443</w:t>
            </w:r>
            <w:r w:rsidR="006A6353" w:rsidRPr="006D3290">
              <w:rPr>
                <w:szCs w:val="24"/>
              </w:rPr>
              <w:t>-2025/26</w:t>
            </w:r>
            <w:r w:rsidRPr="006D3290">
              <w:rPr>
                <w:szCs w:val="24"/>
              </w:rPr>
              <w:t>).</w:t>
            </w:r>
            <w:r w:rsidRPr="006D3290">
              <w:rPr>
                <w:szCs w:val="24"/>
              </w:rPr>
              <w:br/>
            </w:r>
          </w:p>
        </w:tc>
      </w:tr>
      <w:tr w:rsidR="006D3290" w:rsidRPr="006D3290" w14:paraId="3DD126A7" w14:textId="77777777" w:rsidTr="00B10A33">
        <w:tc>
          <w:tcPr>
            <w:tcW w:w="567" w:type="dxa"/>
          </w:tcPr>
          <w:p w14:paraId="68130C5B" w14:textId="49D3E17D" w:rsidR="005C1BFC" w:rsidRPr="006D3290" w:rsidRDefault="005C1BFC" w:rsidP="005C1BFC">
            <w:pPr>
              <w:tabs>
                <w:tab w:val="left" w:pos="1701"/>
              </w:tabs>
              <w:rPr>
                <w:b/>
                <w:snapToGrid w:val="0"/>
                <w:szCs w:val="24"/>
              </w:rPr>
            </w:pPr>
            <w:r w:rsidRPr="006D3290">
              <w:rPr>
                <w:b/>
                <w:snapToGrid w:val="0"/>
                <w:szCs w:val="24"/>
              </w:rPr>
              <w:t xml:space="preserve">§ </w:t>
            </w:r>
            <w:r w:rsidR="000D72E3" w:rsidRPr="006D3290">
              <w:rPr>
                <w:b/>
                <w:snapToGrid w:val="0"/>
                <w:szCs w:val="24"/>
              </w:rPr>
              <w:t>8</w:t>
            </w:r>
          </w:p>
          <w:p w14:paraId="1D089B8B" w14:textId="5444A24B" w:rsidR="005C1BFC" w:rsidRPr="006D3290" w:rsidRDefault="005C1BFC" w:rsidP="005C1BFC">
            <w:pPr>
              <w:tabs>
                <w:tab w:val="left" w:pos="1701"/>
              </w:tabs>
              <w:rPr>
                <w:b/>
                <w:snapToGrid w:val="0"/>
                <w:szCs w:val="24"/>
              </w:rPr>
            </w:pPr>
          </w:p>
        </w:tc>
        <w:tc>
          <w:tcPr>
            <w:tcW w:w="7017" w:type="dxa"/>
          </w:tcPr>
          <w:p w14:paraId="3DCDFB97" w14:textId="77777777" w:rsidR="005C1BFC" w:rsidRPr="006D3290" w:rsidRDefault="005C1BFC" w:rsidP="005C1BFC">
            <w:pPr>
              <w:tabs>
                <w:tab w:val="left" w:pos="1701"/>
              </w:tabs>
              <w:rPr>
                <w:b/>
                <w:snapToGrid w:val="0"/>
              </w:rPr>
            </w:pPr>
            <w:r w:rsidRPr="006D3290">
              <w:rPr>
                <w:b/>
                <w:snapToGrid w:val="0"/>
              </w:rPr>
              <w:t>Övriga frågor</w:t>
            </w:r>
          </w:p>
          <w:p w14:paraId="2239A55A" w14:textId="77777777" w:rsidR="005C1BFC" w:rsidRPr="006D3290" w:rsidRDefault="005C1BFC" w:rsidP="005C1BFC">
            <w:pPr>
              <w:tabs>
                <w:tab w:val="left" w:pos="1701"/>
              </w:tabs>
            </w:pPr>
          </w:p>
          <w:p w14:paraId="6E43E5BB" w14:textId="5785FC7C" w:rsidR="005C1BFC" w:rsidRPr="006D3290" w:rsidRDefault="005C1BFC" w:rsidP="005C1BFC">
            <w:pPr>
              <w:tabs>
                <w:tab w:val="left" w:pos="1701"/>
              </w:tabs>
              <w:rPr>
                <w:b/>
              </w:rPr>
            </w:pPr>
            <w:r w:rsidRPr="006D3290">
              <w:rPr>
                <w:bCs/>
                <w:szCs w:val="24"/>
              </w:rPr>
              <w:t>Kanslichefen informerade om planeringen.</w:t>
            </w:r>
            <w:r w:rsidRPr="006D3290">
              <w:rPr>
                <w:bCs/>
                <w:szCs w:val="24"/>
              </w:rPr>
              <w:br/>
            </w:r>
          </w:p>
        </w:tc>
      </w:tr>
      <w:tr w:rsidR="006D3290" w:rsidRPr="006D3290" w14:paraId="32A03CBC" w14:textId="77777777" w:rsidTr="00B10A33">
        <w:tc>
          <w:tcPr>
            <w:tcW w:w="567" w:type="dxa"/>
          </w:tcPr>
          <w:p w14:paraId="23DD892D" w14:textId="697F4EE9" w:rsidR="005C1BFC" w:rsidRPr="006D3290" w:rsidRDefault="005C1BFC" w:rsidP="005C1BFC">
            <w:pPr>
              <w:tabs>
                <w:tab w:val="left" w:pos="1701"/>
              </w:tabs>
              <w:rPr>
                <w:b/>
                <w:snapToGrid w:val="0"/>
                <w:szCs w:val="24"/>
              </w:rPr>
            </w:pPr>
            <w:r w:rsidRPr="006D3290">
              <w:rPr>
                <w:b/>
                <w:snapToGrid w:val="0"/>
                <w:szCs w:val="24"/>
              </w:rPr>
              <w:t xml:space="preserve">§ </w:t>
            </w:r>
            <w:r w:rsidR="000D72E3" w:rsidRPr="006D3290">
              <w:rPr>
                <w:b/>
                <w:snapToGrid w:val="0"/>
                <w:szCs w:val="24"/>
              </w:rPr>
              <w:t>9</w:t>
            </w:r>
          </w:p>
        </w:tc>
        <w:tc>
          <w:tcPr>
            <w:tcW w:w="7017" w:type="dxa"/>
          </w:tcPr>
          <w:p w14:paraId="04E45745" w14:textId="77777777" w:rsidR="005C1BFC" w:rsidRPr="006D3290" w:rsidRDefault="005C1BFC" w:rsidP="005C1BFC">
            <w:pPr>
              <w:rPr>
                <w:b/>
                <w:snapToGrid w:val="0"/>
                <w:szCs w:val="24"/>
              </w:rPr>
            </w:pPr>
            <w:r w:rsidRPr="006D3290">
              <w:rPr>
                <w:b/>
                <w:snapToGrid w:val="0"/>
                <w:szCs w:val="24"/>
              </w:rPr>
              <w:t>Nästa sammanträde</w:t>
            </w:r>
          </w:p>
          <w:p w14:paraId="46F4B653" w14:textId="77777777" w:rsidR="005C1BFC" w:rsidRPr="006D3290" w:rsidRDefault="005C1BFC" w:rsidP="005C1BFC">
            <w:pPr>
              <w:rPr>
                <w:snapToGrid w:val="0"/>
                <w:szCs w:val="24"/>
              </w:rPr>
            </w:pPr>
          </w:p>
          <w:p w14:paraId="7CF6E935" w14:textId="6CD22E68" w:rsidR="005C1BFC" w:rsidRPr="006D3290" w:rsidRDefault="005C1BFC" w:rsidP="005C1BFC">
            <w:pPr>
              <w:rPr>
                <w:bCs/>
                <w:snapToGrid w:val="0"/>
                <w:szCs w:val="24"/>
              </w:rPr>
            </w:pPr>
            <w:r w:rsidRPr="006D3290">
              <w:rPr>
                <w:snapToGrid w:val="0"/>
                <w:szCs w:val="24"/>
              </w:rPr>
              <w:t xml:space="preserve">Utskottet beslutade att nästa sammanträde ska äga rum </w:t>
            </w:r>
            <w:r w:rsidRPr="006D3290">
              <w:rPr>
                <w:bCs/>
                <w:snapToGrid w:val="0"/>
                <w:szCs w:val="24"/>
              </w:rPr>
              <w:t>t</w:t>
            </w:r>
            <w:r w:rsidR="004A5543" w:rsidRPr="006D3290">
              <w:rPr>
                <w:bCs/>
                <w:snapToGrid w:val="0"/>
                <w:szCs w:val="24"/>
              </w:rPr>
              <w:t>or</w:t>
            </w:r>
            <w:r w:rsidR="00206038" w:rsidRPr="006D3290">
              <w:rPr>
                <w:bCs/>
                <w:snapToGrid w:val="0"/>
                <w:szCs w:val="24"/>
              </w:rPr>
              <w:t>s</w:t>
            </w:r>
            <w:r w:rsidRPr="006D3290">
              <w:rPr>
                <w:bCs/>
                <w:snapToGrid w:val="0"/>
                <w:szCs w:val="24"/>
              </w:rPr>
              <w:t xml:space="preserve">dagen den </w:t>
            </w:r>
            <w:r w:rsidR="00F955CE" w:rsidRPr="006D3290">
              <w:rPr>
                <w:bCs/>
                <w:snapToGrid w:val="0"/>
                <w:szCs w:val="24"/>
              </w:rPr>
              <w:t>1</w:t>
            </w:r>
            <w:r w:rsidR="004A5543" w:rsidRPr="006D3290">
              <w:rPr>
                <w:bCs/>
                <w:snapToGrid w:val="0"/>
                <w:szCs w:val="24"/>
              </w:rPr>
              <w:t>2</w:t>
            </w:r>
            <w:r w:rsidRPr="006D3290">
              <w:rPr>
                <w:bCs/>
                <w:snapToGrid w:val="0"/>
                <w:szCs w:val="24"/>
              </w:rPr>
              <w:t xml:space="preserve"> </w:t>
            </w:r>
            <w:r w:rsidR="00FC3473" w:rsidRPr="006D3290">
              <w:rPr>
                <w:bCs/>
                <w:snapToGrid w:val="0"/>
                <w:szCs w:val="24"/>
              </w:rPr>
              <w:t>mars</w:t>
            </w:r>
            <w:r w:rsidRPr="006D3290">
              <w:rPr>
                <w:bCs/>
                <w:snapToGrid w:val="0"/>
                <w:szCs w:val="24"/>
              </w:rPr>
              <w:t xml:space="preserve"> 202</w:t>
            </w:r>
            <w:r w:rsidR="00DC28A3" w:rsidRPr="006D3290">
              <w:rPr>
                <w:bCs/>
                <w:snapToGrid w:val="0"/>
                <w:szCs w:val="24"/>
              </w:rPr>
              <w:t>6</w:t>
            </w:r>
            <w:r w:rsidRPr="006D3290">
              <w:rPr>
                <w:bCs/>
                <w:snapToGrid w:val="0"/>
                <w:szCs w:val="24"/>
              </w:rPr>
              <w:t xml:space="preserve"> kl. </w:t>
            </w:r>
            <w:r w:rsidR="00F955CE" w:rsidRPr="006D3290">
              <w:rPr>
                <w:bCs/>
                <w:snapToGrid w:val="0"/>
                <w:szCs w:val="24"/>
              </w:rPr>
              <w:t>1</w:t>
            </w:r>
            <w:r w:rsidR="004A5543" w:rsidRPr="006D3290">
              <w:rPr>
                <w:bCs/>
                <w:snapToGrid w:val="0"/>
                <w:szCs w:val="24"/>
              </w:rPr>
              <w:t>0</w:t>
            </w:r>
            <w:r w:rsidRPr="006D3290">
              <w:rPr>
                <w:bCs/>
                <w:snapToGrid w:val="0"/>
                <w:szCs w:val="24"/>
              </w:rPr>
              <w:t>.00.</w:t>
            </w:r>
          </w:p>
          <w:p w14:paraId="6173CD84" w14:textId="4AA37CC8" w:rsidR="005C1BFC" w:rsidRPr="006D3290" w:rsidRDefault="005C1BFC" w:rsidP="005C1BFC">
            <w:pPr>
              <w:rPr>
                <w:bCs/>
                <w:snapToGrid w:val="0"/>
                <w:szCs w:val="24"/>
              </w:rPr>
            </w:pPr>
          </w:p>
        </w:tc>
      </w:tr>
      <w:tr w:rsidR="006D3290" w:rsidRPr="006D3290" w14:paraId="0876B9DE" w14:textId="77777777" w:rsidTr="00B10A33">
        <w:trPr>
          <w:trHeight w:val="1713"/>
        </w:trPr>
        <w:tc>
          <w:tcPr>
            <w:tcW w:w="7584" w:type="dxa"/>
            <w:gridSpan w:val="2"/>
          </w:tcPr>
          <w:p w14:paraId="2E699C0A" w14:textId="533B392D" w:rsidR="005C1BFC" w:rsidRPr="006D3290" w:rsidRDefault="005C1BFC" w:rsidP="005C1BFC">
            <w:pPr>
              <w:tabs>
                <w:tab w:val="left" w:pos="1701"/>
              </w:tabs>
              <w:rPr>
                <w:szCs w:val="24"/>
              </w:rPr>
            </w:pPr>
          </w:p>
          <w:p w14:paraId="5004929A" w14:textId="77777777" w:rsidR="005C1BFC" w:rsidRPr="006D3290" w:rsidRDefault="005C1BFC" w:rsidP="005C1BFC">
            <w:pPr>
              <w:tabs>
                <w:tab w:val="left" w:pos="1701"/>
              </w:tabs>
              <w:rPr>
                <w:szCs w:val="24"/>
              </w:rPr>
            </w:pPr>
            <w:r w:rsidRPr="006D3290">
              <w:rPr>
                <w:szCs w:val="24"/>
              </w:rPr>
              <w:t>Vid protokollet</w:t>
            </w:r>
          </w:p>
          <w:p w14:paraId="5A7907BE" w14:textId="77777777" w:rsidR="005C1BFC" w:rsidRPr="006D3290" w:rsidRDefault="005C1BFC" w:rsidP="005C1BFC">
            <w:pPr>
              <w:tabs>
                <w:tab w:val="left" w:pos="1701"/>
              </w:tabs>
              <w:rPr>
                <w:szCs w:val="24"/>
              </w:rPr>
            </w:pPr>
          </w:p>
          <w:p w14:paraId="07E9201C" w14:textId="38072576" w:rsidR="005C1BFC" w:rsidRPr="006D3290" w:rsidRDefault="005C1BFC" w:rsidP="005C1BFC">
            <w:pPr>
              <w:tabs>
                <w:tab w:val="left" w:pos="1701"/>
              </w:tabs>
              <w:rPr>
                <w:szCs w:val="24"/>
              </w:rPr>
            </w:pPr>
          </w:p>
          <w:p w14:paraId="5D4C8882" w14:textId="4B0CFAD0" w:rsidR="005C1BFC" w:rsidRPr="006D3290" w:rsidRDefault="005C1BFC" w:rsidP="005C1BFC">
            <w:pPr>
              <w:tabs>
                <w:tab w:val="left" w:pos="1701"/>
              </w:tabs>
              <w:rPr>
                <w:szCs w:val="24"/>
              </w:rPr>
            </w:pPr>
          </w:p>
          <w:p w14:paraId="5C1DC528" w14:textId="77777777" w:rsidR="005C1BFC" w:rsidRPr="006D3290" w:rsidRDefault="005C1BFC" w:rsidP="005C1BFC">
            <w:pPr>
              <w:tabs>
                <w:tab w:val="left" w:pos="1701"/>
              </w:tabs>
              <w:rPr>
                <w:szCs w:val="24"/>
              </w:rPr>
            </w:pPr>
          </w:p>
          <w:p w14:paraId="7DEE1455" w14:textId="77777777" w:rsidR="00864719" w:rsidRPr="006D3290" w:rsidRDefault="00864719" w:rsidP="005C1BFC">
            <w:pPr>
              <w:tabs>
                <w:tab w:val="left" w:pos="1701"/>
              </w:tabs>
              <w:rPr>
                <w:szCs w:val="24"/>
              </w:rPr>
            </w:pPr>
          </w:p>
          <w:p w14:paraId="057448BE" w14:textId="1C9E6E8C" w:rsidR="005C1BFC" w:rsidRPr="006D3290" w:rsidRDefault="005C1BFC" w:rsidP="005C1BFC">
            <w:pPr>
              <w:tabs>
                <w:tab w:val="left" w:pos="1701"/>
              </w:tabs>
              <w:rPr>
                <w:szCs w:val="24"/>
              </w:rPr>
            </w:pPr>
            <w:r w:rsidRPr="006D3290">
              <w:rPr>
                <w:szCs w:val="24"/>
              </w:rPr>
              <w:t xml:space="preserve">Justeras den </w:t>
            </w:r>
            <w:r w:rsidR="00F955CE" w:rsidRPr="006D3290">
              <w:rPr>
                <w:szCs w:val="24"/>
              </w:rPr>
              <w:t>1</w:t>
            </w:r>
            <w:r w:rsidR="004A5543" w:rsidRPr="006D3290">
              <w:rPr>
                <w:szCs w:val="24"/>
              </w:rPr>
              <w:t>2</w:t>
            </w:r>
            <w:r w:rsidR="00755220" w:rsidRPr="006D3290">
              <w:rPr>
                <w:szCs w:val="24"/>
              </w:rPr>
              <w:t xml:space="preserve"> </w:t>
            </w:r>
            <w:r w:rsidR="00FC3473" w:rsidRPr="006D3290">
              <w:rPr>
                <w:szCs w:val="24"/>
              </w:rPr>
              <w:t>mars</w:t>
            </w:r>
            <w:r w:rsidRPr="006D3290">
              <w:rPr>
                <w:szCs w:val="24"/>
              </w:rPr>
              <w:t xml:space="preserve"> 202</w:t>
            </w:r>
            <w:r w:rsidR="00DC28A3" w:rsidRPr="006D3290">
              <w:rPr>
                <w:szCs w:val="24"/>
              </w:rPr>
              <w:t>6</w:t>
            </w:r>
          </w:p>
          <w:p w14:paraId="4D75E4D0" w14:textId="77777777" w:rsidR="005C1BFC" w:rsidRPr="006D3290" w:rsidRDefault="005C1BFC" w:rsidP="005C1BFC">
            <w:pPr>
              <w:tabs>
                <w:tab w:val="left" w:pos="1701"/>
              </w:tabs>
              <w:rPr>
                <w:szCs w:val="24"/>
              </w:rPr>
            </w:pPr>
          </w:p>
          <w:p w14:paraId="78158919" w14:textId="77777777" w:rsidR="005C1BFC" w:rsidRPr="006D3290" w:rsidRDefault="005C1BFC" w:rsidP="005C1BFC">
            <w:pPr>
              <w:tabs>
                <w:tab w:val="left" w:pos="1701"/>
              </w:tabs>
              <w:rPr>
                <w:szCs w:val="24"/>
              </w:rPr>
            </w:pPr>
          </w:p>
          <w:p w14:paraId="186DEC74" w14:textId="77777777" w:rsidR="00796E82" w:rsidRPr="006D3290" w:rsidRDefault="00796E82" w:rsidP="005C1BFC">
            <w:pPr>
              <w:tabs>
                <w:tab w:val="left" w:pos="1701"/>
              </w:tabs>
              <w:rPr>
                <w:szCs w:val="24"/>
              </w:rPr>
            </w:pPr>
          </w:p>
          <w:p w14:paraId="0A3AAFCB" w14:textId="43B125C4" w:rsidR="005C1BFC" w:rsidRPr="006D3290" w:rsidRDefault="005C1BFC" w:rsidP="005C1BFC">
            <w:pPr>
              <w:tabs>
                <w:tab w:val="left" w:pos="1701"/>
              </w:tabs>
              <w:rPr>
                <w:szCs w:val="24"/>
              </w:rPr>
            </w:pPr>
            <w:r w:rsidRPr="006D3290">
              <w:rPr>
                <w:bCs/>
                <w:snapToGrid w:val="0"/>
              </w:rPr>
              <w:t>Christian Carlsson</w:t>
            </w:r>
          </w:p>
        </w:tc>
      </w:tr>
    </w:tbl>
    <w:p w14:paraId="7CBA715D" w14:textId="77777777" w:rsidR="00DB5172" w:rsidRPr="006D3290" w:rsidRDefault="000302EB" w:rsidP="000302EB">
      <w:r w:rsidRPr="006D3290">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6D3290" w:rsidRPr="006D3290" w14:paraId="19CE2E68" w14:textId="77777777" w:rsidTr="00573123">
        <w:tc>
          <w:tcPr>
            <w:tcW w:w="3473" w:type="dxa"/>
            <w:tcBorders>
              <w:top w:val="nil"/>
              <w:left w:val="nil"/>
              <w:bottom w:val="nil"/>
              <w:right w:val="nil"/>
            </w:tcBorders>
            <w:shd w:val="clear" w:color="auto" w:fill="D9D9D9" w:themeFill="background1" w:themeFillShade="D9"/>
          </w:tcPr>
          <w:p w14:paraId="179BE8FC" w14:textId="77777777" w:rsidR="00DB5172" w:rsidRPr="006D3290" w:rsidRDefault="00DB5172" w:rsidP="00573123">
            <w:pPr>
              <w:tabs>
                <w:tab w:val="left" w:pos="1701"/>
              </w:tabs>
              <w:rPr>
                <w:sz w:val="20"/>
              </w:rPr>
            </w:pPr>
            <w:r w:rsidRPr="006D3290">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345CA1C" w14:textId="77777777" w:rsidR="00DB5172" w:rsidRPr="006D3290" w:rsidRDefault="00DB5172" w:rsidP="00573123">
            <w:pPr>
              <w:tabs>
                <w:tab w:val="left" w:pos="1701"/>
              </w:tabs>
              <w:jc w:val="center"/>
              <w:rPr>
                <w:b/>
                <w:sz w:val="20"/>
              </w:rPr>
            </w:pPr>
            <w:r w:rsidRPr="006D3290">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376787B6" w14:textId="7A454C12" w:rsidR="00DB5172" w:rsidRPr="006D3290" w:rsidRDefault="00DB5172" w:rsidP="00573123">
            <w:pPr>
              <w:tabs>
                <w:tab w:val="left" w:pos="1701"/>
              </w:tabs>
              <w:rPr>
                <w:b/>
                <w:sz w:val="20"/>
              </w:rPr>
            </w:pPr>
            <w:r w:rsidRPr="006D3290">
              <w:rPr>
                <w:b/>
                <w:sz w:val="20"/>
              </w:rPr>
              <w:t xml:space="preserve">Bilaga 1 </w:t>
            </w:r>
            <w:r w:rsidRPr="006D3290">
              <w:rPr>
                <w:b/>
                <w:sz w:val="20"/>
              </w:rPr>
              <w:br/>
            </w:r>
            <w:r w:rsidRPr="006D3290">
              <w:rPr>
                <w:sz w:val="20"/>
              </w:rPr>
              <w:t>till protokoll 2025/26:</w:t>
            </w:r>
            <w:r w:rsidR="00291212" w:rsidRPr="006D3290">
              <w:rPr>
                <w:sz w:val="20"/>
              </w:rPr>
              <w:t>3</w:t>
            </w:r>
            <w:r w:rsidR="004A5543" w:rsidRPr="006D3290">
              <w:rPr>
                <w:sz w:val="20"/>
              </w:rPr>
              <w:t>4</w:t>
            </w:r>
          </w:p>
        </w:tc>
      </w:tr>
      <w:tr w:rsidR="006D3290" w:rsidRPr="006D3290" w14:paraId="4AD4F6EA" w14:textId="77777777" w:rsidTr="00573123">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704BB"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D2F34" w14:textId="0A1522B1"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 1-</w:t>
            </w:r>
            <w:r w:rsidR="00863E28" w:rsidRPr="006D3290">
              <w:rPr>
                <w:sz w:val="20"/>
              </w:rPr>
              <w:t>5</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68E3B6" w14:textId="334FFDF3"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w:t>
            </w:r>
            <w:r w:rsidR="00863E28" w:rsidRPr="006D3290">
              <w:rPr>
                <w:sz w:val="20"/>
              </w:rPr>
              <w:t xml:space="preserve"> 6-9</w:t>
            </w:r>
            <w:r w:rsidRPr="006D3290">
              <w:rPr>
                <w:sz w:val="20"/>
              </w:rPr>
              <w:t xml:space="preserve"> </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F4A6D8"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B16B43"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6CA50F"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15F"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1279F2"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DD09FC"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 xml:space="preserve">§ </w:t>
            </w:r>
          </w:p>
        </w:tc>
      </w:tr>
      <w:tr w:rsidR="006D3290" w:rsidRPr="006D3290" w14:paraId="36EAC968"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15E33"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7B9A6"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9D717"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D79A1"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FDB05"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323E3C"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A6189"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C8129"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3EB2A"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1B254"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8314F6"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C7F00A"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50A531"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DE48C7"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9ADD6D"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2D5DFD"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7B8002"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R</w:t>
            </w:r>
          </w:p>
        </w:tc>
      </w:tr>
      <w:tr w:rsidR="006D3290" w:rsidRPr="006D3290" w14:paraId="3E85F45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83D7E35" w14:textId="7488EF88"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1A1FB8E2" w14:textId="1E1284B1"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4E0472B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1D4AA" w14:textId="729CD669"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10382CB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19243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8FAF8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E459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2A8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59EB2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9F8DD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1133F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27F4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DA127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2941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F7960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44B2A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6A59C3A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3FBF212" w14:textId="52B56106"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 xml:space="preserve">Fredrik Lundh </w:t>
            </w:r>
            <w:proofErr w:type="spellStart"/>
            <w:r w:rsidRPr="006D3290">
              <w:rPr>
                <w:sz w:val="20"/>
              </w:rPr>
              <w:t>Sammeli</w:t>
            </w:r>
            <w:proofErr w:type="spellEnd"/>
            <w:r w:rsidRPr="006D3290">
              <w:rPr>
                <w:sz w:val="20"/>
              </w:rPr>
              <w:t xml:space="preserve"> (S), vice ordf.</w:t>
            </w:r>
          </w:p>
        </w:tc>
        <w:tc>
          <w:tcPr>
            <w:tcW w:w="356" w:type="dxa"/>
            <w:tcBorders>
              <w:top w:val="single" w:sz="6" w:space="0" w:color="auto"/>
              <w:left w:val="single" w:sz="6" w:space="0" w:color="auto"/>
              <w:bottom w:val="single" w:sz="6" w:space="0" w:color="auto"/>
              <w:right w:val="single" w:sz="6" w:space="0" w:color="auto"/>
            </w:tcBorders>
          </w:tcPr>
          <w:p w14:paraId="63825A0E" w14:textId="4BD95340"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5A9C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FC15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379E6D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99F96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01FE3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38D3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CCE75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3102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E859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72C1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6390C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DA8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9F63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96490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7D921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332AAA6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0B30ACD" w14:textId="3172DBE9"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6D3290">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3FB211FF" w14:textId="6B5BA041"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692DF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153DC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4EF444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1BE50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2D6FE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B5D5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7C93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DE0B5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58E0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572D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3579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4A35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C9EAE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E45C4F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A2D74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4B75AF2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6D8B7F8" w14:textId="1768A278"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43166A8D" w14:textId="47D9BEDB"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4E028BA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52744" w14:textId="60C6E9BF"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0AB0371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53F447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31E5B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6739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C9CE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AD17B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F61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B3A63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B929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C78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7A7EF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661D1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7757F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7D0B021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CCDA656" w14:textId="05A1FEAB"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8732767" w14:textId="5E681245"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74BB857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CFBFA" w14:textId="5194BC95"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7C5B917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E9694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78FF8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0522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CC07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C1744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46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FFAD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B799C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F2B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3148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5C71B7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27491D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0CC04FD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5D6190" w14:textId="2D100BAA"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5B74A65B" w14:textId="6626174A"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251ED11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9407E" w14:textId="5E2AAC02"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573BFE6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9AE2E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00521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5A652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8058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528DCE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AEF04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45427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2B0A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0F5E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7627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4908C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E2B82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2C71FFF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C2EAFA" w14:textId="13D50EE4"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8BD61CB" w14:textId="2CDF7457"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145D94F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C67A" w14:textId="4C8FE1B8"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41F629D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B0BA3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4629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A609F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88EB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8ABE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6613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9CD86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266AD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E87C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0B17C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99B581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8FA32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7200CAA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C76159A" w14:textId="411E3595"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 xml:space="preserve">Malin Höglund </w:t>
            </w:r>
            <w:r w:rsidRPr="006D3290">
              <w:rPr>
                <w:iCs/>
                <w:sz w:val="20"/>
              </w:rPr>
              <w:t>(M)</w:t>
            </w:r>
          </w:p>
        </w:tc>
        <w:tc>
          <w:tcPr>
            <w:tcW w:w="356" w:type="dxa"/>
            <w:tcBorders>
              <w:top w:val="single" w:sz="6" w:space="0" w:color="auto"/>
              <w:left w:val="single" w:sz="6" w:space="0" w:color="auto"/>
              <w:bottom w:val="single" w:sz="6" w:space="0" w:color="auto"/>
              <w:right w:val="single" w:sz="6" w:space="0" w:color="auto"/>
            </w:tcBorders>
          </w:tcPr>
          <w:p w14:paraId="4927917B" w14:textId="0A4E0D20"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0E05020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2BF1C0" w14:textId="468F3925"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3DE654D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51091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629B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B4F7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33C2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856798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225E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62A7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940D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C8ADB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C9E2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0BBD6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6E92C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2D952EC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36A7E7F" w14:textId="2A7F9ABF"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783994A" w14:textId="48427B11"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1E9C8CD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D3EF97" w14:textId="4F1484D1"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3B9B6BB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481237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3AD5C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8716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2B60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5F482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FA67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1A96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BB4A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EFA6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A46E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3E9F7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78CE7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5593FDD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F2F6A32" w14:textId="193AEA8A"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6909CFF6" w14:textId="52B73434"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387BFB5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70750" w14:textId="64CCDF2E"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16904A7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884F51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A7E7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28DA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50DAC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E66E2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C577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4116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47F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F49D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2FA46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C2D63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A0CAE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11DB46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97E14B9" w14:textId="506315AF"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EDBB19" w14:textId="7F41D996"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0F2F894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B1F814" w14:textId="108A73A7"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1F86F33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2CE6D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15F0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6CEC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F8911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CE2506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2883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37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350B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D742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7E8C1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D0E22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030C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30A37B88"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42726FE" w14:textId="3838AC78"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D0FA383" w14:textId="62195357"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2C0085C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8C4B6" w14:textId="491D8D32"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703F546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95EEE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AD49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BA289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B478E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1902C4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ECC1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8B90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AC4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1962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A5F5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93CA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09237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38BF59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AC6D352" w14:textId="56927634"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08A5AC23" w14:textId="53D4292C"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56C968C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628CA" w14:textId="7345F1DE"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O</w:t>
            </w:r>
          </w:p>
        </w:tc>
        <w:tc>
          <w:tcPr>
            <w:tcW w:w="305" w:type="dxa"/>
            <w:tcBorders>
              <w:top w:val="single" w:sz="6" w:space="0" w:color="auto"/>
              <w:left w:val="single" w:sz="6" w:space="0" w:color="auto"/>
              <w:bottom w:val="single" w:sz="6" w:space="0" w:color="auto"/>
              <w:right w:val="single" w:sz="6" w:space="0" w:color="auto"/>
            </w:tcBorders>
          </w:tcPr>
          <w:p w14:paraId="5817763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1F1BF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80692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E231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A58FE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8EB3F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AC7C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FB87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3D75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DE7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08EA6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15437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CA021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38B4D37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FC8AECE" w14:textId="299DE942"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0E6CF34" w14:textId="69E12972"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61A7EAD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8F1C8" w14:textId="3D35ACF2"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6090378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B041B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E9D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6CD4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EF32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1282B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CBF9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681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8F87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103C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A268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550F5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395D1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07D02A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C220242" w14:textId="6875A083"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FBD5906" w14:textId="3ED32D79"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6E0CF3C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FEBEA" w14:textId="10188BC4"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6C3A177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A4326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EDDC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004B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2F63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6C8C3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444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C61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F455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63888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A455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201D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CCEDE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30EF824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5EB07" w14:textId="095ADAF0"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Nils Seye Larsen (MP)</w:t>
            </w:r>
          </w:p>
        </w:tc>
        <w:tc>
          <w:tcPr>
            <w:tcW w:w="356" w:type="dxa"/>
            <w:tcBorders>
              <w:top w:val="single" w:sz="6" w:space="0" w:color="auto"/>
              <w:left w:val="single" w:sz="6" w:space="0" w:color="auto"/>
              <w:bottom w:val="single" w:sz="6" w:space="0" w:color="auto"/>
              <w:right w:val="single" w:sz="6" w:space="0" w:color="auto"/>
            </w:tcBorders>
          </w:tcPr>
          <w:p w14:paraId="1046630F" w14:textId="464E3E3E"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7752DF0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42D86" w14:textId="3925C63E"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6F9336E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AD67B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70119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FC4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0513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39474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6F8E5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5420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B2E1E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05EB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D59C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BA315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0293D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6B15D87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F6543A4" w14:textId="48BE5BC1"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1AE0DBB9" w14:textId="13E4360D"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A067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7279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C77EC8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B9FB4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A369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3C866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FE32D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EF1CFE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2A55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4CF5C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CEB7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315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573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54511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B8A81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726F34B9"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EBFA0" w14:textId="38406650"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A27F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C8D4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5455D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6D5DA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0013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2B00D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BB62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8010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EB99D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8DCF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C0C05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9F018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558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12DA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176A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F1985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0B7181A3"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F4690AC" w14:textId="72C6045D"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4128ECE0" w14:textId="7D3C6CA9"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5A1437C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C7E12" w14:textId="38C8E609"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786D5BE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6B347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9603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D491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6AD8A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05F62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00EB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0EA8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12BE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E435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1A353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77C22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5FA60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2DE5136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C86FFF1" w14:textId="3BC64AF9"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02157D19" w14:textId="0F0C4552"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O</w:t>
            </w:r>
          </w:p>
        </w:tc>
        <w:tc>
          <w:tcPr>
            <w:tcW w:w="356" w:type="dxa"/>
            <w:tcBorders>
              <w:top w:val="single" w:sz="6" w:space="0" w:color="auto"/>
              <w:left w:val="single" w:sz="6" w:space="0" w:color="auto"/>
              <w:bottom w:val="single" w:sz="6" w:space="0" w:color="auto"/>
              <w:right w:val="single" w:sz="6" w:space="0" w:color="auto"/>
            </w:tcBorders>
          </w:tcPr>
          <w:p w14:paraId="0D6CD29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6DE25" w14:textId="6A54528E"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O</w:t>
            </w:r>
          </w:p>
        </w:tc>
        <w:tc>
          <w:tcPr>
            <w:tcW w:w="305" w:type="dxa"/>
            <w:tcBorders>
              <w:top w:val="single" w:sz="6" w:space="0" w:color="auto"/>
              <w:left w:val="single" w:sz="6" w:space="0" w:color="auto"/>
              <w:bottom w:val="single" w:sz="6" w:space="0" w:color="auto"/>
              <w:right w:val="single" w:sz="6" w:space="0" w:color="auto"/>
            </w:tcBorders>
          </w:tcPr>
          <w:p w14:paraId="2814F74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5F1D5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61F9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70DD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BDCF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687EA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F390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BF7D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EFF0B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153E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C6EB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A0BD0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81494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154E734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26B58E" w14:textId="74395B4F"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100FDF95" w14:textId="33FA142B"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01062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57159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DE4E80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A60CA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40B17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52F0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9B84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C2F06A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F41D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2D6A5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4422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98EE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C267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B0D327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56141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018A5C5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DAA37D9" w14:textId="209E0730"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sidRPr="006D3290">
              <w:rPr>
                <w:sz w:val="20"/>
              </w:rPr>
              <w:t>Dzenan</w:t>
            </w:r>
            <w:proofErr w:type="spellEnd"/>
            <w:r w:rsidRPr="006D3290">
              <w:rPr>
                <w:sz w:val="20"/>
              </w:rPr>
              <w:t xml:space="preserve"> Cisija (S)</w:t>
            </w:r>
          </w:p>
        </w:tc>
        <w:tc>
          <w:tcPr>
            <w:tcW w:w="356" w:type="dxa"/>
            <w:tcBorders>
              <w:top w:val="single" w:sz="6" w:space="0" w:color="auto"/>
              <w:left w:val="single" w:sz="6" w:space="0" w:color="auto"/>
              <w:bottom w:val="single" w:sz="6" w:space="0" w:color="auto"/>
              <w:right w:val="single" w:sz="6" w:space="0" w:color="auto"/>
            </w:tcBorders>
          </w:tcPr>
          <w:p w14:paraId="062D68BC" w14:textId="5D29F51C"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1717B32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114F3" w14:textId="54A8E88D"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72CD54B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A37D14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4E88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38C14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AC86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C6357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EC6B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1B21B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865C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94910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934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FC086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DB34E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18A174A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04386A" w14:textId="682F36C5"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6D3290">
              <w:rPr>
                <w:sz w:val="20"/>
              </w:rPr>
              <w:t>Kent Kumpula (SD)</w:t>
            </w:r>
          </w:p>
        </w:tc>
        <w:tc>
          <w:tcPr>
            <w:tcW w:w="356" w:type="dxa"/>
            <w:tcBorders>
              <w:top w:val="single" w:sz="6" w:space="0" w:color="auto"/>
              <w:left w:val="single" w:sz="6" w:space="0" w:color="auto"/>
              <w:bottom w:val="single" w:sz="6" w:space="0" w:color="auto"/>
              <w:right w:val="single" w:sz="6" w:space="0" w:color="auto"/>
            </w:tcBorders>
          </w:tcPr>
          <w:p w14:paraId="20F4FBB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8C20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61D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5C94E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C8790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7834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3A85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EB78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0465E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5317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896E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92C80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FBA5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455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ACFB1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2A5F9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19EC7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504F407" w14:textId="37591BA2"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125D5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110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CF58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4435A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CB19F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F6F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50EF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5CCEA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70FF9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90CC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1E5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1D1D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9BDD9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1352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8B0518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34DC1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5545371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EBA65AE" w14:textId="5B88BF25"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6FDB892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292E7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E8D6A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7FF12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53444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6E385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473C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AF4D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F712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50D4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C5A4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F3F3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7EA8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D31E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15F1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9B0E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28C8620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5F094D" w14:textId="0475122C"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67F4C5A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B37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A3E81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0BA5B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E1B5A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7C6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BE9E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9961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FEDEC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5084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0A738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F4B6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FB7E5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A88A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C844B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01954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17F1078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650726" w14:textId="28F6B2DF"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00D0128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6370B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8657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C88652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CB55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E5012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AF4E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4184A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89D7F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044B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96D6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726D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18F95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166A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BE06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8D5B3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0BDEE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B98E06" w14:textId="6EA39BBB"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sidRPr="006D3290">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D8A2B7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8B218F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373D5E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1DE1DE8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7D22B23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1AD0C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AC8272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B92DA3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BCB0C3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79F3F7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353852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6276AA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1345C5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0C677B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8EBEE6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2E263C2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6D3290" w:rsidRPr="006D3290" w14:paraId="3B5764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06CF96F" w14:textId="5C5F35DB"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6D3290">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FA9C9E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36DB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8435B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0C434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CF5C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E689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2FBF7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0810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DF208A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431A8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5E874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78E33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B1C42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F83E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333BE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8E261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11E5A73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2C57AE2" w14:textId="22B10048"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6D3290">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0D07E89A" w14:textId="27D1110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730DC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E436C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1154B1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EE045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28B79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935F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3716A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6DA03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7849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9685C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6CC8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046F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EF38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7169A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EFA6F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5ADAB72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24C3C66" w14:textId="5D986EF5"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6D3290">
              <w:rPr>
                <w:sz w:val="20"/>
              </w:rPr>
              <w:t xml:space="preserve">Dan </w:t>
            </w:r>
            <w:proofErr w:type="spellStart"/>
            <w:r w:rsidRPr="006D3290">
              <w:rPr>
                <w:sz w:val="20"/>
              </w:rPr>
              <w:t>Hovskär</w:t>
            </w:r>
            <w:proofErr w:type="spellEnd"/>
            <w:r w:rsidRPr="006D3290">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31B5EBF9" w14:textId="58A0FA07"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O</w:t>
            </w:r>
          </w:p>
        </w:tc>
        <w:tc>
          <w:tcPr>
            <w:tcW w:w="356" w:type="dxa"/>
            <w:tcBorders>
              <w:top w:val="single" w:sz="6" w:space="0" w:color="auto"/>
              <w:left w:val="single" w:sz="6" w:space="0" w:color="auto"/>
              <w:bottom w:val="single" w:sz="6" w:space="0" w:color="auto"/>
              <w:right w:val="single" w:sz="6" w:space="0" w:color="auto"/>
            </w:tcBorders>
          </w:tcPr>
          <w:p w14:paraId="2B2A7DE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D0DF1" w14:textId="49BCD22F"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O</w:t>
            </w:r>
          </w:p>
        </w:tc>
        <w:tc>
          <w:tcPr>
            <w:tcW w:w="305" w:type="dxa"/>
            <w:tcBorders>
              <w:top w:val="single" w:sz="6" w:space="0" w:color="auto"/>
              <w:left w:val="single" w:sz="6" w:space="0" w:color="auto"/>
              <w:bottom w:val="single" w:sz="6" w:space="0" w:color="auto"/>
              <w:right w:val="single" w:sz="6" w:space="0" w:color="auto"/>
            </w:tcBorders>
          </w:tcPr>
          <w:p w14:paraId="137C962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99AB4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4C19A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81269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B2195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582F81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39FB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3B6E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D94D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52CCE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8C600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C2A9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0B5C2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748E8CD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3B0561E" w14:textId="18459447" w:rsidR="002D60E9" w:rsidRPr="006D3290" w:rsidRDefault="0084392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6D3290">
              <w:rPr>
                <w:sz w:val="20"/>
              </w:rPr>
              <w:t xml:space="preserve">Anne-Li Sjölund </w:t>
            </w:r>
            <w:r w:rsidR="002D60E9" w:rsidRPr="006D3290">
              <w:rPr>
                <w:sz w:val="20"/>
              </w:rPr>
              <w:t>(C)</w:t>
            </w:r>
          </w:p>
        </w:tc>
        <w:tc>
          <w:tcPr>
            <w:tcW w:w="356" w:type="dxa"/>
            <w:tcBorders>
              <w:top w:val="single" w:sz="6" w:space="0" w:color="auto"/>
              <w:left w:val="single" w:sz="6" w:space="0" w:color="auto"/>
              <w:bottom w:val="single" w:sz="6" w:space="0" w:color="auto"/>
              <w:right w:val="single" w:sz="6" w:space="0" w:color="auto"/>
            </w:tcBorders>
          </w:tcPr>
          <w:p w14:paraId="6EE46A4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CF0F0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0272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6BECE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36CF21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FA2A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600C7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B916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967B5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62DF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E3E8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1030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07E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5591F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CCC70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1FB664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46E513E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BBF4F3C" w14:textId="033FBCAE"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6D3290">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54F6CF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4141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3F12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57387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41EECA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982F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1C4F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F5C3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0204F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6821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122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9662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11B7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A07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51D4F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63133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2AA6659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D384B9E" w14:textId="1A91436E"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6D3290">
              <w:rPr>
                <w:sz w:val="20"/>
              </w:rPr>
              <w:t xml:space="preserve">Ulrika Westerlund </w:t>
            </w:r>
            <w:r w:rsidRPr="006D3290">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53B9E50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4EA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B3CD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79862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B762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0B20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A73C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07C2A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C4419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4F02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4D1D9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62B5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6A570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9123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5B9E3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D0A71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10B4EC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C94E61E" w14:textId="1CCD9EF1" w:rsidR="002D60E9" w:rsidRPr="006D3290" w:rsidRDefault="00330157"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6D3290">
              <w:rPr>
                <w:sz w:val="20"/>
              </w:rPr>
              <w:t>Caroline Högström (M)</w:t>
            </w:r>
          </w:p>
        </w:tc>
        <w:tc>
          <w:tcPr>
            <w:tcW w:w="356" w:type="dxa"/>
            <w:tcBorders>
              <w:top w:val="single" w:sz="6" w:space="0" w:color="auto"/>
              <w:left w:val="single" w:sz="6" w:space="0" w:color="auto"/>
              <w:bottom w:val="single" w:sz="6" w:space="0" w:color="auto"/>
              <w:right w:val="single" w:sz="6" w:space="0" w:color="auto"/>
            </w:tcBorders>
          </w:tcPr>
          <w:p w14:paraId="074CDB9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90659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969E9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D4DB71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5600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1786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585D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C468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FB409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EA225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37D7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19B6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94398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6ED76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4AD74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31632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7E61EA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7EFA824" w14:textId="52FB8FB2"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101215F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26B7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29FC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BF8A1C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63659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D86C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9801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40A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B51CA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1899B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CDEF1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A885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2C7D8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D9097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4D47D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9D79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34EF6AC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D7852B9" w14:textId="683992BD"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shd w:val="clear" w:color="auto" w:fill="FFFFFF"/>
              </w:rPr>
              <w:t>Erik Hellsborn</w:t>
            </w:r>
            <w:r w:rsidRPr="006D3290">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C0A3DE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F49CD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164C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F4187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5C1FF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4300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9E4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D432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1D4D10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2FDE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3B8B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26C6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C53AC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6CC73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22C06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3AFC5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4EE3436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FE1021A" w14:textId="5D88B0E8"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6D3290">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561A922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0C4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0FFE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D95A55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0F500C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C9E8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A63A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9D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4E1A83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132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8EC2D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AB3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9F86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C99C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24776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04A96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7184F23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F9DE423" w14:textId="3952F312"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6746207A" w14:textId="4802CAAD"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58DBA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EEC49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F8E6E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CBE935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75AA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CAD2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B82C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746BA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1AB7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C0C5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E20EB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C5E2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4AA7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F5BE51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7102C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24450F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4E4630" w14:textId="4836E2C2"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Yusuf Aydin (KD)</w:t>
            </w:r>
          </w:p>
        </w:tc>
        <w:tc>
          <w:tcPr>
            <w:tcW w:w="356" w:type="dxa"/>
            <w:tcBorders>
              <w:top w:val="single" w:sz="6" w:space="0" w:color="auto"/>
              <w:left w:val="single" w:sz="6" w:space="0" w:color="auto"/>
              <w:bottom w:val="single" w:sz="6" w:space="0" w:color="auto"/>
              <w:right w:val="single" w:sz="6" w:space="0" w:color="auto"/>
            </w:tcBorders>
          </w:tcPr>
          <w:p w14:paraId="19E7571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05A57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8927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08358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FA426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D2496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6C20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F00B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ABCC8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C1F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0BDF2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7D9A2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F13F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EEAF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88CA9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D0D9E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0FC2876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867B06C" w14:textId="4D0C3F27" w:rsidR="002D60E9" w:rsidRPr="006D3290" w:rsidRDefault="002549F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CE7D75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D99C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100F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CFF5B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12B82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FE3B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F059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6819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65805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F9CD0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B07D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A99B6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BB8A6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9259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E34CE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E0ACF6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49D3BD8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D0E849" w14:textId="48DF3F50"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D6C140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8624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EDFCB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045BD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44D1E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441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E02DB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6478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31F61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B465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6845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8F1C4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C852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C9C8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9CE65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D3CA00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165B07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1BAD0D" w14:textId="2A46814D"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6D3290">
              <w:rPr>
                <w:i/>
                <w:iCs/>
                <w:sz w:val="20"/>
              </w:rPr>
              <w:t>Vakant (MP)</w:t>
            </w:r>
          </w:p>
        </w:tc>
        <w:tc>
          <w:tcPr>
            <w:tcW w:w="356" w:type="dxa"/>
            <w:tcBorders>
              <w:top w:val="single" w:sz="6" w:space="0" w:color="auto"/>
              <w:left w:val="single" w:sz="6" w:space="0" w:color="auto"/>
              <w:bottom w:val="single" w:sz="6" w:space="0" w:color="auto"/>
              <w:right w:val="single" w:sz="6" w:space="0" w:color="auto"/>
            </w:tcBorders>
          </w:tcPr>
          <w:p w14:paraId="4FCABBF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9D05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9883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4CA40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3DF49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DD205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EA17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62A3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EC98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67E4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67977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2AFEC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7E1CC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3908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C83C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074E7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50B52E7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D32D78E" w14:textId="0E60C81A"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6284353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AFFB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FC1F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307E4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68BB4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E4DAE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E701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DECB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83F906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2E04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229F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0057A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2F454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0D98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26074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F1221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37CB3E0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1C42C7F" w14:textId="5C836E5F"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6DEBF6D9" w14:textId="5CFDFF80"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56" w:type="dxa"/>
            <w:tcBorders>
              <w:top w:val="single" w:sz="6" w:space="0" w:color="auto"/>
              <w:left w:val="single" w:sz="6" w:space="0" w:color="auto"/>
              <w:bottom w:val="single" w:sz="6" w:space="0" w:color="auto"/>
              <w:right w:val="single" w:sz="6" w:space="0" w:color="auto"/>
            </w:tcBorders>
          </w:tcPr>
          <w:p w14:paraId="1069E68F"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EBC03" w14:textId="55844C31"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353FA48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8401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DF72CC"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43B7A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A513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39D3D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0AF6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DE0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FE4C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C81E93"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D26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419B3ED"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18644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21AF2A6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B174460" w14:textId="375A61D5"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16A6C256" w14:textId="5DC4678D"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O</w:t>
            </w:r>
          </w:p>
        </w:tc>
        <w:tc>
          <w:tcPr>
            <w:tcW w:w="356" w:type="dxa"/>
            <w:tcBorders>
              <w:top w:val="single" w:sz="6" w:space="0" w:color="auto"/>
              <w:left w:val="single" w:sz="6" w:space="0" w:color="auto"/>
              <w:bottom w:val="single" w:sz="6" w:space="0" w:color="auto"/>
              <w:right w:val="single" w:sz="6" w:space="0" w:color="auto"/>
            </w:tcBorders>
          </w:tcPr>
          <w:p w14:paraId="167A1E3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59D3C" w14:textId="71484E84" w:rsidR="002D60E9" w:rsidRPr="006D3290" w:rsidRDefault="00863E28"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w:t>
            </w:r>
          </w:p>
        </w:tc>
        <w:tc>
          <w:tcPr>
            <w:tcW w:w="305" w:type="dxa"/>
            <w:tcBorders>
              <w:top w:val="single" w:sz="6" w:space="0" w:color="auto"/>
              <w:left w:val="single" w:sz="6" w:space="0" w:color="auto"/>
              <w:bottom w:val="single" w:sz="6" w:space="0" w:color="auto"/>
              <w:right w:val="single" w:sz="6" w:space="0" w:color="auto"/>
            </w:tcBorders>
          </w:tcPr>
          <w:p w14:paraId="34CDF9A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CEFB3B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CD6B5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9B9A8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3462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27AA6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0EF8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B2249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1F20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E82C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B1741"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07FD1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854B85"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3BA0C7A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95E7E" w14:textId="2D9476BE"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sidRPr="006D3290">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4AAFBC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94892"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1F5FB"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36A296"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08067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ED095A"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8CA0C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0DF64"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C86C4C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383B78"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4C6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4DA49"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71370"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17F57"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BEE34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22F1BE" w14:textId="77777777" w:rsidR="002D60E9" w:rsidRPr="006D329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21E115D3" w14:textId="77777777" w:rsidTr="00573123">
        <w:trPr>
          <w:trHeight w:val="263"/>
        </w:trPr>
        <w:tc>
          <w:tcPr>
            <w:tcW w:w="3898" w:type="dxa"/>
            <w:gridSpan w:val="2"/>
            <w:tcBorders>
              <w:top w:val="nil"/>
              <w:left w:val="nil"/>
              <w:bottom w:val="nil"/>
              <w:right w:val="nil"/>
            </w:tcBorders>
            <w:shd w:val="clear" w:color="auto" w:fill="D9D9D9" w:themeFill="background1" w:themeFillShade="D9"/>
          </w:tcPr>
          <w:p w14:paraId="22187CBB"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N = närvarande</w:t>
            </w:r>
          </w:p>
        </w:tc>
        <w:tc>
          <w:tcPr>
            <w:tcW w:w="5029" w:type="dxa"/>
            <w:gridSpan w:val="16"/>
            <w:tcBorders>
              <w:top w:val="nil"/>
              <w:left w:val="nil"/>
              <w:bottom w:val="nil"/>
              <w:right w:val="nil"/>
            </w:tcBorders>
            <w:shd w:val="clear" w:color="auto" w:fill="D9D9D9" w:themeFill="background1" w:themeFillShade="D9"/>
          </w:tcPr>
          <w:p w14:paraId="2075DFB6"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514116C"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DED40F0"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6D3290" w:rsidRPr="006D3290" w14:paraId="768CAD7D"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530F02F0"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1F08F60"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6D3290">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4B915B8"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B82DE08" w14:textId="77777777" w:rsidR="00DB5172" w:rsidRPr="006D3290"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DE8881A" w14:textId="77777777" w:rsidR="00DB5172" w:rsidRPr="006D3290" w:rsidRDefault="00DB5172" w:rsidP="00DB5172"/>
    <w:p w14:paraId="3B0633A3" w14:textId="15B5DBB5" w:rsidR="000302EB" w:rsidRPr="006D3290" w:rsidRDefault="000302EB" w:rsidP="000302EB"/>
    <w:sectPr w:rsidR="000302EB" w:rsidRPr="006D3290" w:rsidSect="006850EC">
      <w:headerReference w:type="even" r:id="rId8"/>
      <w:headerReference w:type="default" r:id="rId9"/>
      <w:headerReference w:type="first" r:id="rId10"/>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B2AB" w14:textId="2D8A43C1" w:rsidR="00A21D8F" w:rsidRDefault="00A21D8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DF50" w14:textId="1CA97F6D" w:rsidR="00A21D8F" w:rsidRDefault="00A21D8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48A2" w14:textId="7D721556" w:rsidR="00A21D8F" w:rsidRDefault="00A21D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6534187E"/>
    <w:lvl w:ilvl="0" w:tplc="DCAA2362">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4"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78424859">
    <w:abstractNumId w:val="5"/>
  </w:num>
  <w:num w:numId="2" w16cid:durableId="485558004">
    <w:abstractNumId w:val="0"/>
  </w:num>
  <w:num w:numId="3" w16cid:durableId="351491515">
    <w:abstractNumId w:val="2"/>
  </w:num>
  <w:num w:numId="4" w16cid:durableId="325474064">
    <w:abstractNumId w:val="1"/>
  </w:num>
  <w:num w:numId="5" w16cid:durableId="1432241362">
    <w:abstractNumId w:val="4"/>
  </w:num>
  <w:num w:numId="6" w16cid:durableId="79648799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BA8"/>
    <w:rsid w:val="00001F20"/>
    <w:rsid w:val="00002D7A"/>
    <w:rsid w:val="00003919"/>
    <w:rsid w:val="00004C73"/>
    <w:rsid w:val="00006906"/>
    <w:rsid w:val="000117AE"/>
    <w:rsid w:val="00011DDA"/>
    <w:rsid w:val="00015D2A"/>
    <w:rsid w:val="00016875"/>
    <w:rsid w:val="00017230"/>
    <w:rsid w:val="00017AA5"/>
    <w:rsid w:val="00020AA1"/>
    <w:rsid w:val="00023644"/>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C7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6BC3"/>
    <w:rsid w:val="00081D58"/>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D72E3"/>
    <w:rsid w:val="000E00F5"/>
    <w:rsid w:val="000E030E"/>
    <w:rsid w:val="000E0329"/>
    <w:rsid w:val="000E06C3"/>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4DD5"/>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8E3"/>
    <w:rsid w:val="00136B90"/>
    <w:rsid w:val="00136E8D"/>
    <w:rsid w:val="001402B8"/>
    <w:rsid w:val="00141A78"/>
    <w:rsid w:val="001445B9"/>
    <w:rsid w:val="00144B80"/>
    <w:rsid w:val="00144C26"/>
    <w:rsid w:val="00144D28"/>
    <w:rsid w:val="001459B5"/>
    <w:rsid w:val="00146AB5"/>
    <w:rsid w:val="00151F23"/>
    <w:rsid w:val="00152578"/>
    <w:rsid w:val="00152A51"/>
    <w:rsid w:val="00152B27"/>
    <w:rsid w:val="00152D9D"/>
    <w:rsid w:val="00153E88"/>
    <w:rsid w:val="001541AA"/>
    <w:rsid w:val="0015519A"/>
    <w:rsid w:val="0015588A"/>
    <w:rsid w:val="0015642A"/>
    <w:rsid w:val="001568E0"/>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2DC5"/>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5F0"/>
    <w:rsid w:val="001B2793"/>
    <w:rsid w:val="001B38D3"/>
    <w:rsid w:val="001B5806"/>
    <w:rsid w:val="001B60FF"/>
    <w:rsid w:val="001C02AE"/>
    <w:rsid w:val="001C1592"/>
    <w:rsid w:val="001C2CCE"/>
    <w:rsid w:val="001C326A"/>
    <w:rsid w:val="001C6516"/>
    <w:rsid w:val="001C6B15"/>
    <w:rsid w:val="001C7366"/>
    <w:rsid w:val="001C7632"/>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4DB"/>
    <w:rsid w:val="00201F30"/>
    <w:rsid w:val="00204513"/>
    <w:rsid w:val="0020519A"/>
    <w:rsid w:val="00205373"/>
    <w:rsid w:val="00206038"/>
    <w:rsid w:val="00206BC6"/>
    <w:rsid w:val="00206CA1"/>
    <w:rsid w:val="00206E70"/>
    <w:rsid w:val="00207074"/>
    <w:rsid w:val="00210F01"/>
    <w:rsid w:val="00211579"/>
    <w:rsid w:val="002119FB"/>
    <w:rsid w:val="00216004"/>
    <w:rsid w:val="00216780"/>
    <w:rsid w:val="00216854"/>
    <w:rsid w:val="00216E7E"/>
    <w:rsid w:val="00217024"/>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16E"/>
    <w:rsid w:val="00236865"/>
    <w:rsid w:val="00240B76"/>
    <w:rsid w:val="00240FA3"/>
    <w:rsid w:val="002424BE"/>
    <w:rsid w:val="00244417"/>
    <w:rsid w:val="00247EF1"/>
    <w:rsid w:val="00250469"/>
    <w:rsid w:val="00250E8E"/>
    <w:rsid w:val="00251B83"/>
    <w:rsid w:val="00251CCE"/>
    <w:rsid w:val="002530CF"/>
    <w:rsid w:val="00253643"/>
    <w:rsid w:val="002544E0"/>
    <w:rsid w:val="002549F5"/>
    <w:rsid w:val="00255176"/>
    <w:rsid w:val="0025624E"/>
    <w:rsid w:val="00256D09"/>
    <w:rsid w:val="002610B7"/>
    <w:rsid w:val="002624FF"/>
    <w:rsid w:val="0026504D"/>
    <w:rsid w:val="0026530E"/>
    <w:rsid w:val="00265EDD"/>
    <w:rsid w:val="00266A1B"/>
    <w:rsid w:val="002702F3"/>
    <w:rsid w:val="00270558"/>
    <w:rsid w:val="00272D8E"/>
    <w:rsid w:val="00273839"/>
    <w:rsid w:val="00276728"/>
    <w:rsid w:val="00277DA7"/>
    <w:rsid w:val="00281BB7"/>
    <w:rsid w:val="00281BC2"/>
    <w:rsid w:val="00282F1E"/>
    <w:rsid w:val="0028356E"/>
    <w:rsid w:val="00284382"/>
    <w:rsid w:val="002859AC"/>
    <w:rsid w:val="0029104A"/>
    <w:rsid w:val="002911DB"/>
    <w:rsid w:val="00291212"/>
    <w:rsid w:val="00291DE4"/>
    <w:rsid w:val="002938C4"/>
    <w:rsid w:val="00294B52"/>
    <w:rsid w:val="00294F3B"/>
    <w:rsid w:val="00295377"/>
    <w:rsid w:val="00295592"/>
    <w:rsid w:val="00296D10"/>
    <w:rsid w:val="002A0573"/>
    <w:rsid w:val="002A279F"/>
    <w:rsid w:val="002A27BC"/>
    <w:rsid w:val="002A2A69"/>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0E9"/>
    <w:rsid w:val="002D69EC"/>
    <w:rsid w:val="002D723C"/>
    <w:rsid w:val="002D754B"/>
    <w:rsid w:val="002D7FBC"/>
    <w:rsid w:val="002E1ACE"/>
    <w:rsid w:val="002E2003"/>
    <w:rsid w:val="002E3964"/>
    <w:rsid w:val="002E4957"/>
    <w:rsid w:val="002E54B1"/>
    <w:rsid w:val="002E5E2B"/>
    <w:rsid w:val="002E70EC"/>
    <w:rsid w:val="002E71AD"/>
    <w:rsid w:val="002F013E"/>
    <w:rsid w:val="002F0EFC"/>
    <w:rsid w:val="002F14A1"/>
    <w:rsid w:val="002F284C"/>
    <w:rsid w:val="002F58BB"/>
    <w:rsid w:val="00300A1A"/>
    <w:rsid w:val="0030290E"/>
    <w:rsid w:val="00302D79"/>
    <w:rsid w:val="00303E17"/>
    <w:rsid w:val="00307207"/>
    <w:rsid w:val="003104A7"/>
    <w:rsid w:val="0031195A"/>
    <w:rsid w:val="00311C68"/>
    <w:rsid w:val="003126BA"/>
    <w:rsid w:val="00313171"/>
    <w:rsid w:val="0031319A"/>
    <w:rsid w:val="003141DF"/>
    <w:rsid w:val="003142D7"/>
    <w:rsid w:val="00314381"/>
    <w:rsid w:val="003143D1"/>
    <w:rsid w:val="00315F43"/>
    <w:rsid w:val="00316882"/>
    <w:rsid w:val="00316DDC"/>
    <w:rsid w:val="00316E64"/>
    <w:rsid w:val="003242E6"/>
    <w:rsid w:val="00325759"/>
    <w:rsid w:val="003260A8"/>
    <w:rsid w:val="00326275"/>
    <w:rsid w:val="00330157"/>
    <w:rsid w:val="003305B6"/>
    <w:rsid w:val="00330772"/>
    <w:rsid w:val="00333088"/>
    <w:rsid w:val="003363ED"/>
    <w:rsid w:val="00336B43"/>
    <w:rsid w:val="003378EE"/>
    <w:rsid w:val="00342459"/>
    <w:rsid w:val="00342A7E"/>
    <w:rsid w:val="00343D76"/>
    <w:rsid w:val="003448D5"/>
    <w:rsid w:val="00344A40"/>
    <w:rsid w:val="003457C8"/>
    <w:rsid w:val="00345DD1"/>
    <w:rsid w:val="00345E9F"/>
    <w:rsid w:val="0034609D"/>
    <w:rsid w:val="00346542"/>
    <w:rsid w:val="00350D06"/>
    <w:rsid w:val="003514CC"/>
    <w:rsid w:val="00352559"/>
    <w:rsid w:val="003537D5"/>
    <w:rsid w:val="00355E9D"/>
    <w:rsid w:val="00356383"/>
    <w:rsid w:val="00360479"/>
    <w:rsid w:val="00361006"/>
    <w:rsid w:val="00361409"/>
    <w:rsid w:val="00363995"/>
    <w:rsid w:val="00365EAC"/>
    <w:rsid w:val="00367B34"/>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2BFD"/>
    <w:rsid w:val="003A45D8"/>
    <w:rsid w:val="003A4697"/>
    <w:rsid w:val="003A47F1"/>
    <w:rsid w:val="003A48EB"/>
    <w:rsid w:val="003A7336"/>
    <w:rsid w:val="003B0571"/>
    <w:rsid w:val="003B2075"/>
    <w:rsid w:val="003B3193"/>
    <w:rsid w:val="003B3A49"/>
    <w:rsid w:val="003B44F2"/>
    <w:rsid w:val="003B53BA"/>
    <w:rsid w:val="003B67DC"/>
    <w:rsid w:val="003B7557"/>
    <w:rsid w:val="003B7C17"/>
    <w:rsid w:val="003C10A0"/>
    <w:rsid w:val="003C1F43"/>
    <w:rsid w:val="003C35C1"/>
    <w:rsid w:val="003C3EF8"/>
    <w:rsid w:val="003C5459"/>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171A"/>
    <w:rsid w:val="003F2DD8"/>
    <w:rsid w:val="003F428B"/>
    <w:rsid w:val="003F45DB"/>
    <w:rsid w:val="003F4B58"/>
    <w:rsid w:val="003F611F"/>
    <w:rsid w:val="003F62F1"/>
    <w:rsid w:val="003F7C00"/>
    <w:rsid w:val="00402127"/>
    <w:rsid w:val="00404C96"/>
    <w:rsid w:val="00405EED"/>
    <w:rsid w:val="00406BF7"/>
    <w:rsid w:val="00406E20"/>
    <w:rsid w:val="00411607"/>
    <w:rsid w:val="004130FE"/>
    <w:rsid w:val="00414E06"/>
    <w:rsid w:val="0041580F"/>
    <w:rsid w:val="00415DB3"/>
    <w:rsid w:val="00416563"/>
    <w:rsid w:val="00416FB4"/>
    <w:rsid w:val="00417765"/>
    <w:rsid w:val="00417AAF"/>
    <w:rsid w:val="00422A02"/>
    <w:rsid w:val="00422A25"/>
    <w:rsid w:val="00424123"/>
    <w:rsid w:val="00426BF9"/>
    <w:rsid w:val="00427EFE"/>
    <w:rsid w:val="00427F84"/>
    <w:rsid w:val="00431BFF"/>
    <w:rsid w:val="00434B8D"/>
    <w:rsid w:val="004358BD"/>
    <w:rsid w:val="00435AB1"/>
    <w:rsid w:val="00435B75"/>
    <w:rsid w:val="004371CC"/>
    <w:rsid w:val="004410A2"/>
    <w:rsid w:val="00442601"/>
    <w:rsid w:val="00443217"/>
    <w:rsid w:val="0044410C"/>
    <w:rsid w:val="00446E94"/>
    <w:rsid w:val="0045053B"/>
    <w:rsid w:val="004510EF"/>
    <w:rsid w:val="00451E29"/>
    <w:rsid w:val="00451EB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9F5"/>
    <w:rsid w:val="00481A63"/>
    <w:rsid w:val="0048275A"/>
    <w:rsid w:val="004828DC"/>
    <w:rsid w:val="00484A3E"/>
    <w:rsid w:val="00485014"/>
    <w:rsid w:val="004860B3"/>
    <w:rsid w:val="004861DE"/>
    <w:rsid w:val="004901C5"/>
    <w:rsid w:val="00490A88"/>
    <w:rsid w:val="00491328"/>
    <w:rsid w:val="0049485A"/>
    <w:rsid w:val="00495705"/>
    <w:rsid w:val="00496267"/>
    <w:rsid w:val="00496632"/>
    <w:rsid w:val="00496F67"/>
    <w:rsid w:val="004A24C4"/>
    <w:rsid w:val="004A4998"/>
    <w:rsid w:val="004A5543"/>
    <w:rsid w:val="004A6BF7"/>
    <w:rsid w:val="004B2803"/>
    <w:rsid w:val="004B58CC"/>
    <w:rsid w:val="004B65C2"/>
    <w:rsid w:val="004B7BC7"/>
    <w:rsid w:val="004C1F3F"/>
    <w:rsid w:val="004C2B9E"/>
    <w:rsid w:val="004C2C21"/>
    <w:rsid w:val="004C48A4"/>
    <w:rsid w:val="004C584D"/>
    <w:rsid w:val="004C5A38"/>
    <w:rsid w:val="004C7915"/>
    <w:rsid w:val="004D06D5"/>
    <w:rsid w:val="004D1F5F"/>
    <w:rsid w:val="004D4F48"/>
    <w:rsid w:val="004D5F1F"/>
    <w:rsid w:val="004D6309"/>
    <w:rsid w:val="004E1EC1"/>
    <w:rsid w:val="004E3712"/>
    <w:rsid w:val="004E5616"/>
    <w:rsid w:val="004E5D8D"/>
    <w:rsid w:val="004E63E4"/>
    <w:rsid w:val="004E65DD"/>
    <w:rsid w:val="004F1306"/>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3B65"/>
    <w:rsid w:val="005441B5"/>
    <w:rsid w:val="00544F80"/>
    <w:rsid w:val="005468F5"/>
    <w:rsid w:val="005478DC"/>
    <w:rsid w:val="005514E1"/>
    <w:rsid w:val="00552250"/>
    <w:rsid w:val="0055331D"/>
    <w:rsid w:val="00553EDB"/>
    <w:rsid w:val="005543EA"/>
    <w:rsid w:val="0055502C"/>
    <w:rsid w:val="0055504D"/>
    <w:rsid w:val="005602AD"/>
    <w:rsid w:val="005609D4"/>
    <w:rsid w:val="00560ECA"/>
    <w:rsid w:val="00561AA8"/>
    <w:rsid w:val="00564087"/>
    <w:rsid w:val="00564819"/>
    <w:rsid w:val="00564A73"/>
    <w:rsid w:val="00566A9F"/>
    <w:rsid w:val="0056774B"/>
    <w:rsid w:val="00571433"/>
    <w:rsid w:val="00571AE7"/>
    <w:rsid w:val="00573070"/>
    <w:rsid w:val="00574998"/>
    <w:rsid w:val="00575860"/>
    <w:rsid w:val="00576452"/>
    <w:rsid w:val="005800B1"/>
    <w:rsid w:val="005808AF"/>
    <w:rsid w:val="00581AFA"/>
    <w:rsid w:val="00586E55"/>
    <w:rsid w:val="00590A42"/>
    <w:rsid w:val="00591B5B"/>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BA3"/>
    <w:rsid w:val="005C1BFC"/>
    <w:rsid w:val="005C1DE4"/>
    <w:rsid w:val="005C4D39"/>
    <w:rsid w:val="005C4D7D"/>
    <w:rsid w:val="005C6D6A"/>
    <w:rsid w:val="005C7C8D"/>
    <w:rsid w:val="005C7CE7"/>
    <w:rsid w:val="005D2101"/>
    <w:rsid w:val="005D26CB"/>
    <w:rsid w:val="005D5125"/>
    <w:rsid w:val="005D6482"/>
    <w:rsid w:val="005D6918"/>
    <w:rsid w:val="005D6D3F"/>
    <w:rsid w:val="005D76C1"/>
    <w:rsid w:val="005E28B9"/>
    <w:rsid w:val="005E301C"/>
    <w:rsid w:val="005E439C"/>
    <w:rsid w:val="005E7F44"/>
    <w:rsid w:val="005F0046"/>
    <w:rsid w:val="005F06C7"/>
    <w:rsid w:val="005F07C6"/>
    <w:rsid w:val="005F0A63"/>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3149"/>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3F04"/>
    <w:rsid w:val="0066441F"/>
    <w:rsid w:val="00664C82"/>
    <w:rsid w:val="00665103"/>
    <w:rsid w:val="00666390"/>
    <w:rsid w:val="00666F65"/>
    <w:rsid w:val="00667DB2"/>
    <w:rsid w:val="006718DB"/>
    <w:rsid w:val="00671B43"/>
    <w:rsid w:val="0067356D"/>
    <w:rsid w:val="00675386"/>
    <w:rsid w:val="00682E91"/>
    <w:rsid w:val="00683E23"/>
    <w:rsid w:val="00684330"/>
    <w:rsid w:val="006850EC"/>
    <w:rsid w:val="00685638"/>
    <w:rsid w:val="006856A3"/>
    <w:rsid w:val="00686C04"/>
    <w:rsid w:val="0069048F"/>
    <w:rsid w:val="00692418"/>
    <w:rsid w:val="0069280E"/>
    <w:rsid w:val="00693076"/>
    <w:rsid w:val="00696FF2"/>
    <w:rsid w:val="00697059"/>
    <w:rsid w:val="00697F06"/>
    <w:rsid w:val="006A153C"/>
    <w:rsid w:val="006A4FDB"/>
    <w:rsid w:val="006A5E41"/>
    <w:rsid w:val="006A6353"/>
    <w:rsid w:val="006A6847"/>
    <w:rsid w:val="006A6C4D"/>
    <w:rsid w:val="006B0251"/>
    <w:rsid w:val="006B02AA"/>
    <w:rsid w:val="006B197F"/>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D059B"/>
    <w:rsid w:val="006D3126"/>
    <w:rsid w:val="006D3290"/>
    <w:rsid w:val="006D3F5B"/>
    <w:rsid w:val="006D49C2"/>
    <w:rsid w:val="006D78DD"/>
    <w:rsid w:val="006D7B6B"/>
    <w:rsid w:val="006E0D9A"/>
    <w:rsid w:val="006E4840"/>
    <w:rsid w:val="006E53FB"/>
    <w:rsid w:val="006E597C"/>
    <w:rsid w:val="006E653D"/>
    <w:rsid w:val="006F32BF"/>
    <w:rsid w:val="006F3484"/>
    <w:rsid w:val="006F4054"/>
    <w:rsid w:val="006F47A5"/>
    <w:rsid w:val="006F5C9F"/>
    <w:rsid w:val="006F5F78"/>
    <w:rsid w:val="00703621"/>
    <w:rsid w:val="007036DB"/>
    <w:rsid w:val="007038F6"/>
    <w:rsid w:val="007041A1"/>
    <w:rsid w:val="007047B7"/>
    <w:rsid w:val="007058C4"/>
    <w:rsid w:val="0071189D"/>
    <w:rsid w:val="007145CE"/>
    <w:rsid w:val="00715EC1"/>
    <w:rsid w:val="007169EE"/>
    <w:rsid w:val="00716CF7"/>
    <w:rsid w:val="00720710"/>
    <w:rsid w:val="007211B0"/>
    <w:rsid w:val="007211F8"/>
    <w:rsid w:val="00721442"/>
    <w:rsid w:val="007217D0"/>
    <w:rsid w:val="007223C4"/>
    <w:rsid w:val="007228BA"/>
    <w:rsid w:val="0072319B"/>
    <w:rsid w:val="00723D66"/>
    <w:rsid w:val="0072434D"/>
    <w:rsid w:val="0072457C"/>
    <w:rsid w:val="007245E8"/>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A66"/>
    <w:rsid w:val="00750FF0"/>
    <w:rsid w:val="0075103B"/>
    <w:rsid w:val="007510CD"/>
    <w:rsid w:val="00751A4F"/>
    <w:rsid w:val="00751BA0"/>
    <w:rsid w:val="00752B8E"/>
    <w:rsid w:val="00752F77"/>
    <w:rsid w:val="00754E19"/>
    <w:rsid w:val="00755220"/>
    <w:rsid w:val="0075592B"/>
    <w:rsid w:val="00756247"/>
    <w:rsid w:val="007613C1"/>
    <w:rsid w:val="007629FD"/>
    <w:rsid w:val="00762B81"/>
    <w:rsid w:val="007641A0"/>
    <w:rsid w:val="00764BF3"/>
    <w:rsid w:val="00764C5F"/>
    <w:rsid w:val="0076513F"/>
    <w:rsid w:val="00765721"/>
    <w:rsid w:val="00765DD9"/>
    <w:rsid w:val="00767BDA"/>
    <w:rsid w:val="007700B3"/>
    <w:rsid w:val="00775130"/>
    <w:rsid w:val="0077595C"/>
    <w:rsid w:val="00776663"/>
    <w:rsid w:val="0078192C"/>
    <w:rsid w:val="00783176"/>
    <w:rsid w:val="00783A2B"/>
    <w:rsid w:val="00784FC9"/>
    <w:rsid w:val="007852ED"/>
    <w:rsid w:val="00785F85"/>
    <w:rsid w:val="007878E1"/>
    <w:rsid w:val="00787C14"/>
    <w:rsid w:val="00787CB7"/>
    <w:rsid w:val="00787DC1"/>
    <w:rsid w:val="007902A1"/>
    <w:rsid w:val="0079076D"/>
    <w:rsid w:val="007908E1"/>
    <w:rsid w:val="00790DC6"/>
    <w:rsid w:val="00790DFD"/>
    <w:rsid w:val="00791911"/>
    <w:rsid w:val="00791959"/>
    <w:rsid w:val="0079349A"/>
    <w:rsid w:val="0079386F"/>
    <w:rsid w:val="0079588E"/>
    <w:rsid w:val="00796E82"/>
    <w:rsid w:val="00797FF1"/>
    <w:rsid w:val="007A025B"/>
    <w:rsid w:val="007A0E36"/>
    <w:rsid w:val="007A0F60"/>
    <w:rsid w:val="007A4E8A"/>
    <w:rsid w:val="007A5722"/>
    <w:rsid w:val="007A733C"/>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E7089"/>
    <w:rsid w:val="007F01CD"/>
    <w:rsid w:val="007F055F"/>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17B95"/>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392A"/>
    <w:rsid w:val="008440D4"/>
    <w:rsid w:val="00844353"/>
    <w:rsid w:val="00844EA7"/>
    <w:rsid w:val="00846B8B"/>
    <w:rsid w:val="0085035A"/>
    <w:rsid w:val="00850A3A"/>
    <w:rsid w:val="00852161"/>
    <w:rsid w:val="008529D7"/>
    <w:rsid w:val="008557FA"/>
    <w:rsid w:val="00856EFF"/>
    <w:rsid w:val="00857EE5"/>
    <w:rsid w:val="00862A7A"/>
    <w:rsid w:val="008638C4"/>
    <w:rsid w:val="00863E28"/>
    <w:rsid w:val="00863E2B"/>
    <w:rsid w:val="00864719"/>
    <w:rsid w:val="008664BA"/>
    <w:rsid w:val="0086686B"/>
    <w:rsid w:val="00866C8C"/>
    <w:rsid w:val="00866E82"/>
    <w:rsid w:val="00867912"/>
    <w:rsid w:val="00870CB5"/>
    <w:rsid w:val="008716CF"/>
    <w:rsid w:val="00871AFC"/>
    <w:rsid w:val="00872C7D"/>
    <w:rsid w:val="00873279"/>
    <w:rsid w:val="00873C26"/>
    <w:rsid w:val="00876D38"/>
    <w:rsid w:val="00876E38"/>
    <w:rsid w:val="008810DC"/>
    <w:rsid w:val="00885E27"/>
    <w:rsid w:val="00886E46"/>
    <w:rsid w:val="008921D0"/>
    <w:rsid w:val="00892FF9"/>
    <w:rsid w:val="00895D89"/>
    <w:rsid w:val="00895E8B"/>
    <w:rsid w:val="008979DD"/>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3C9A"/>
    <w:rsid w:val="008C591A"/>
    <w:rsid w:val="008C6164"/>
    <w:rsid w:val="008C645F"/>
    <w:rsid w:val="008D0482"/>
    <w:rsid w:val="008D0D89"/>
    <w:rsid w:val="008D23D1"/>
    <w:rsid w:val="008D2811"/>
    <w:rsid w:val="008D2F3A"/>
    <w:rsid w:val="008D6AB8"/>
    <w:rsid w:val="008D72C8"/>
    <w:rsid w:val="008E799E"/>
    <w:rsid w:val="008F1000"/>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5D15"/>
    <w:rsid w:val="0092675C"/>
    <w:rsid w:val="009279BE"/>
    <w:rsid w:val="00927FF8"/>
    <w:rsid w:val="00930623"/>
    <w:rsid w:val="00930A85"/>
    <w:rsid w:val="0093105B"/>
    <w:rsid w:val="0093118C"/>
    <w:rsid w:val="00931B1C"/>
    <w:rsid w:val="009320A4"/>
    <w:rsid w:val="00932A61"/>
    <w:rsid w:val="00933642"/>
    <w:rsid w:val="009346F4"/>
    <w:rsid w:val="00934956"/>
    <w:rsid w:val="00935C44"/>
    <w:rsid w:val="00936EC3"/>
    <w:rsid w:val="0094094E"/>
    <w:rsid w:val="009426E3"/>
    <w:rsid w:val="009448C5"/>
    <w:rsid w:val="0094649E"/>
    <w:rsid w:val="00946978"/>
    <w:rsid w:val="00946C2F"/>
    <w:rsid w:val="0094747D"/>
    <w:rsid w:val="009476CF"/>
    <w:rsid w:val="00950082"/>
    <w:rsid w:val="00951BCD"/>
    <w:rsid w:val="00954042"/>
    <w:rsid w:val="009547E9"/>
    <w:rsid w:val="00954FCD"/>
    <w:rsid w:val="009555FF"/>
    <w:rsid w:val="00957570"/>
    <w:rsid w:val="009614D1"/>
    <w:rsid w:val="00961B72"/>
    <w:rsid w:val="009627E4"/>
    <w:rsid w:val="00962C78"/>
    <w:rsid w:val="00962FF2"/>
    <w:rsid w:val="0096348C"/>
    <w:rsid w:val="00963967"/>
    <w:rsid w:val="00965E28"/>
    <w:rsid w:val="00966513"/>
    <w:rsid w:val="009668CF"/>
    <w:rsid w:val="00966E88"/>
    <w:rsid w:val="00970319"/>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4F47"/>
    <w:rsid w:val="00995222"/>
    <w:rsid w:val="009959A2"/>
    <w:rsid w:val="00997CA6"/>
    <w:rsid w:val="009A0EA8"/>
    <w:rsid w:val="009A211B"/>
    <w:rsid w:val="009A4CF2"/>
    <w:rsid w:val="009A538D"/>
    <w:rsid w:val="009A5F29"/>
    <w:rsid w:val="009A68FE"/>
    <w:rsid w:val="009A6FA0"/>
    <w:rsid w:val="009B0A01"/>
    <w:rsid w:val="009B172A"/>
    <w:rsid w:val="009B1DE0"/>
    <w:rsid w:val="009B22D8"/>
    <w:rsid w:val="009B5E3C"/>
    <w:rsid w:val="009B6655"/>
    <w:rsid w:val="009B76D3"/>
    <w:rsid w:val="009C11A4"/>
    <w:rsid w:val="009C11C8"/>
    <w:rsid w:val="009C3ACB"/>
    <w:rsid w:val="009C5D1D"/>
    <w:rsid w:val="009C6059"/>
    <w:rsid w:val="009C60A4"/>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3A4"/>
    <w:rsid w:val="009F7410"/>
    <w:rsid w:val="009F7730"/>
    <w:rsid w:val="009F7BF7"/>
    <w:rsid w:val="00A00D6D"/>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1D8F"/>
    <w:rsid w:val="00A25494"/>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27C"/>
    <w:rsid w:val="00A5743C"/>
    <w:rsid w:val="00A60574"/>
    <w:rsid w:val="00A612AC"/>
    <w:rsid w:val="00A620F7"/>
    <w:rsid w:val="00A648BC"/>
    <w:rsid w:val="00A6543E"/>
    <w:rsid w:val="00A6644B"/>
    <w:rsid w:val="00A666B7"/>
    <w:rsid w:val="00A67C15"/>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5CB5"/>
    <w:rsid w:val="00AA719D"/>
    <w:rsid w:val="00AA7ACA"/>
    <w:rsid w:val="00AB0B40"/>
    <w:rsid w:val="00AB1CD6"/>
    <w:rsid w:val="00AB20AD"/>
    <w:rsid w:val="00AB40FD"/>
    <w:rsid w:val="00AB582C"/>
    <w:rsid w:val="00AB5BC7"/>
    <w:rsid w:val="00AB6918"/>
    <w:rsid w:val="00AB6D9B"/>
    <w:rsid w:val="00AB7A80"/>
    <w:rsid w:val="00AC19D8"/>
    <w:rsid w:val="00AC1BD9"/>
    <w:rsid w:val="00AC2092"/>
    <w:rsid w:val="00AC238C"/>
    <w:rsid w:val="00AC4111"/>
    <w:rsid w:val="00AC6C00"/>
    <w:rsid w:val="00AC7553"/>
    <w:rsid w:val="00AD0F16"/>
    <w:rsid w:val="00AD2DB5"/>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B20"/>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2EDC"/>
    <w:rsid w:val="00B24B66"/>
    <w:rsid w:val="00B24FB1"/>
    <w:rsid w:val="00B267E2"/>
    <w:rsid w:val="00B2760B"/>
    <w:rsid w:val="00B27B05"/>
    <w:rsid w:val="00B30962"/>
    <w:rsid w:val="00B30B7F"/>
    <w:rsid w:val="00B30EE0"/>
    <w:rsid w:val="00B310DA"/>
    <w:rsid w:val="00B31913"/>
    <w:rsid w:val="00B31AF9"/>
    <w:rsid w:val="00B3566D"/>
    <w:rsid w:val="00B3598B"/>
    <w:rsid w:val="00B40239"/>
    <w:rsid w:val="00B41533"/>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502"/>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1C4D"/>
    <w:rsid w:val="00B9203B"/>
    <w:rsid w:val="00B92DFE"/>
    <w:rsid w:val="00B94F67"/>
    <w:rsid w:val="00B951A8"/>
    <w:rsid w:val="00B95749"/>
    <w:rsid w:val="00B95C07"/>
    <w:rsid w:val="00B95C73"/>
    <w:rsid w:val="00B95F7B"/>
    <w:rsid w:val="00B97590"/>
    <w:rsid w:val="00B9788E"/>
    <w:rsid w:val="00BA107D"/>
    <w:rsid w:val="00BA27DC"/>
    <w:rsid w:val="00BA6E09"/>
    <w:rsid w:val="00BA7DD6"/>
    <w:rsid w:val="00BB0087"/>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1F8F"/>
    <w:rsid w:val="00BE265A"/>
    <w:rsid w:val="00BE2DA4"/>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2810"/>
    <w:rsid w:val="00C03CE9"/>
    <w:rsid w:val="00C04819"/>
    <w:rsid w:val="00C04CB2"/>
    <w:rsid w:val="00C052E4"/>
    <w:rsid w:val="00C0546C"/>
    <w:rsid w:val="00C068FC"/>
    <w:rsid w:val="00C1063D"/>
    <w:rsid w:val="00C12F5C"/>
    <w:rsid w:val="00C138DF"/>
    <w:rsid w:val="00C145D7"/>
    <w:rsid w:val="00C17818"/>
    <w:rsid w:val="00C17D27"/>
    <w:rsid w:val="00C2108F"/>
    <w:rsid w:val="00C223DF"/>
    <w:rsid w:val="00C22C0F"/>
    <w:rsid w:val="00C2395A"/>
    <w:rsid w:val="00C23FA5"/>
    <w:rsid w:val="00C25A08"/>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3367"/>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64C1"/>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38AF"/>
    <w:rsid w:val="00D0593D"/>
    <w:rsid w:val="00D07121"/>
    <w:rsid w:val="00D07B1F"/>
    <w:rsid w:val="00D12458"/>
    <w:rsid w:val="00D1245A"/>
    <w:rsid w:val="00D128A6"/>
    <w:rsid w:val="00D15874"/>
    <w:rsid w:val="00D16493"/>
    <w:rsid w:val="00D164F7"/>
    <w:rsid w:val="00D16A6A"/>
    <w:rsid w:val="00D16C8D"/>
    <w:rsid w:val="00D17F6A"/>
    <w:rsid w:val="00D22918"/>
    <w:rsid w:val="00D22F0D"/>
    <w:rsid w:val="00D25662"/>
    <w:rsid w:val="00D25BE5"/>
    <w:rsid w:val="00D262C2"/>
    <w:rsid w:val="00D262FA"/>
    <w:rsid w:val="00D27521"/>
    <w:rsid w:val="00D30058"/>
    <w:rsid w:val="00D30355"/>
    <w:rsid w:val="00D31D0E"/>
    <w:rsid w:val="00D3213C"/>
    <w:rsid w:val="00D33F32"/>
    <w:rsid w:val="00D34075"/>
    <w:rsid w:val="00D35110"/>
    <w:rsid w:val="00D37176"/>
    <w:rsid w:val="00D40AC4"/>
    <w:rsid w:val="00D417C2"/>
    <w:rsid w:val="00D422A2"/>
    <w:rsid w:val="00D43134"/>
    <w:rsid w:val="00D43E7B"/>
    <w:rsid w:val="00D464C3"/>
    <w:rsid w:val="00D46718"/>
    <w:rsid w:val="00D53F5F"/>
    <w:rsid w:val="00D546D5"/>
    <w:rsid w:val="00D573D1"/>
    <w:rsid w:val="00D60087"/>
    <w:rsid w:val="00D618A2"/>
    <w:rsid w:val="00D61BBC"/>
    <w:rsid w:val="00D62ACB"/>
    <w:rsid w:val="00D62BB7"/>
    <w:rsid w:val="00D63A96"/>
    <w:rsid w:val="00D64257"/>
    <w:rsid w:val="00D642FD"/>
    <w:rsid w:val="00D64A7F"/>
    <w:rsid w:val="00D658B5"/>
    <w:rsid w:val="00D66D36"/>
    <w:rsid w:val="00D66EB7"/>
    <w:rsid w:val="00D70A2F"/>
    <w:rsid w:val="00D70DD2"/>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67B4"/>
    <w:rsid w:val="00D86F02"/>
    <w:rsid w:val="00D87289"/>
    <w:rsid w:val="00D907B9"/>
    <w:rsid w:val="00D915FD"/>
    <w:rsid w:val="00D92A65"/>
    <w:rsid w:val="00D931F8"/>
    <w:rsid w:val="00D94522"/>
    <w:rsid w:val="00D948D5"/>
    <w:rsid w:val="00D954C4"/>
    <w:rsid w:val="00D97523"/>
    <w:rsid w:val="00DA0248"/>
    <w:rsid w:val="00DA03FB"/>
    <w:rsid w:val="00DA0696"/>
    <w:rsid w:val="00DA0898"/>
    <w:rsid w:val="00DA1E31"/>
    <w:rsid w:val="00DA429B"/>
    <w:rsid w:val="00DA5B53"/>
    <w:rsid w:val="00DA7259"/>
    <w:rsid w:val="00DA7B4A"/>
    <w:rsid w:val="00DA7CA0"/>
    <w:rsid w:val="00DA7F76"/>
    <w:rsid w:val="00DB18BD"/>
    <w:rsid w:val="00DB2976"/>
    <w:rsid w:val="00DB49E1"/>
    <w:rsid w:val="00DB5172"/>
    <w:rsid w:val="00DB5B7D"/>
    <w:rsid w:val="00DB759C"/>
    <w:rsid w:val="00DB75CB"/>
    <w:rsid w:val="00DC0948"/>
    <w:rsid w:val="00DC1FDC"/>
    <w:rsid w:val="00DC23DE"/>
    <w:rsid w:val="00DC28A3"/>
    <w:rsid w:val="00DC2EBE"/>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4A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366"/>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43AA"/>
    <w:rsid w:val="00E465E6"/>
    <w:rsid w:val="00E470A8"/>
    <w:rsid w:val="00E473AD"/>
    <w:rsid w:val="00E52DA7"/>
    <w:rsid w:val="00E5414D"/>
    <w:rsid w:val="00E54718"/>
    <w:rsid w:val="00E54E02"/>
    <w:rsid w:val="00E559E5"/>
    <w:rsid w:val="00E55EFB"/>
    <w:rsid w:val="00E5733A"/>
    <w:rsid w:val="00E61778"/>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06F"/>
    <w:rsid w:val="00E772E4"/>
    <w:rsid w:val="00E77D5C"/>
    <w:rsid w:val="00E816A6"/>
    <w:rsid w:val="00E81E81"/>
    <w:rsid w:val="00E82E6D"/>
    <w:rsid w:val="00E84919"/>
    <w:rsid w:val="00E9057C"/>
    <w:rsid w:val="00E90F5A"/>
    <w:rsid w:val="00E916EA"/>
    <w:rsid w:val="00E91FEA"/>
    <w:rsid w:val="00E929F9"/>
    <w:rsid w:val="00E946AD"/>
    <w:rsid w:val="00EA04B5"/>
    <w:rsid w:val="00EA0EA6"/>
    <w:rsid w:val="00EA1B07"/>
    <w:rsid w:val="00EA3778"/>
    <w:rsid w:val="00EA3B8D"/>
    <w:rsid w:val="00EA4507"/>
    <w:rsid w:val="00EA4A8B"/>
    <w:rsid w:val="00EA502F"/>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177F"/>
    <w:rsid w:val="00ED1F8E"/>
    <w:rsid w:val="00ED2443"/>
    <w:rsid w:val="00ED403F"/>
    <w:rsid w:val="00ED45B2"/>
    <w:rsid w:val="00ED6939"/>
    <w:rsid w:val="00ED69B1"/>
    <w:rsid w:val="00EE138A"/>
    <w:rsid w:val="00EE14C1"/>
    <w:rsid w:val="00EE1733"/>
    <w:rsid w:val="00EE25AA"/>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2990"/>
    <w:rsid w:val="00F14020"/>
    <w:rsid w:val="00F15911"/>
    <w:rsid w:val="00F15BB6"/>
    <w:rsid w:val="00F1750A"/>
    <w:rsid w:val="00F221E4"/>
    <w:rsid w:val="00F224E3"/>
    <w:rsid w:val="00F2527D"/>
    <w:rsid w:val="00F25CC7"/>
    <w:rsid w:val="00F25DE6"/>
    <w:rsid w:val="00F26AC3"/>
    <w:rsid w:val="00F26FA8"/>
    <w:rsid w:val="00F275C9"/>
    <w:rsid w:val="00F3040E"/>
    <w:rsid w:val="00F3131F"/>
    <w:rsid w:val="00F320BD"/>
    <w:rsid w:val="00F32588"/>
    <w:rsid w:val="00F32D9F"/>
    <w:rsid w:val="00F33156"/>
    <w:rsid w:val="00F3505A"/>
    <w:rsid w:val="00F3656D"/>
    <w:rsid w:val="00F36606"/>
    <w:rsid w:val="00F36BB7"/>
    <w:rsid w:val="00F36BEC"/>
    <w:rsid w:val="00F410B9"/>
    <w:rsid w:val="00F42CDA"/>
    <w:rsid w:val="00F4384B"/>
    <w:rsid w:val="00F43A78"/>
    <w:rsid w:val="00F43C90"/>
    <w:rsid w:val="00F46407"/>
    <w:rsid w:val="00F464D8"/>
    <w:rsid w:val="00F50A2A"/>
    <w:rsid w:val="00F514B3"/>
    <w:rsid w:val="00F52BDB"/>
    <w:rsid w:val="00F53FE2"/>
    <w:rsid w:val="00F544E4"/>
    <w:rsid w:val="00F549C4"/>
    <w:rsid w:val="00F57904"/>
    <w:rsid w:val="00F608D1"/>
    <w:rsid w:val="00F609D6"/>
    <w:rsid w:val="00F620AA"/>
    <w:rsid w:val="00F62A53"/>
    <w:rsid w:val="00F632C5"/>
    <w:rsid w:val="00F6667A"/>
    <w:rsid w:val="00F66E19"/>
    <w:rsid w:val="00F67FC8"/>
    <w:rsid w:val="00F714E6"/>
    <w:rsid w:val="00F7241E"/>
    <w:rsid w:val="00F74326"/>
    <w:rsid w:val="00F74C4C"/>
    <w:rsid w:val="00F756C6"/>
    <w:rsid w:val="00F75AA6"/>
    <w:rsid w:val="00F75DCF"/>
    <w:rsid w:val="00F771C5"/>
    <w:rsid w:val="00F804C1"/>
    <w:rsid w:val="00F81F58"/>
    <w:rsid w:val="00F866FA"/>
    <w:rsid w:val="00F877D8"/>
    <w:rsid w:val="00F94BFD"/>
    <w:rsid w:val="00F955CE"/>
    <w:rsid w:val="00F95964"/>
    <w:rsid w:val="00F96623"/>
    <w:rsid w:val="00F96E75"/>
    <w:rsid w:val="00F9708F"/>
    <w:rsid w:val="00F976D0"/>
    <w:rsid w:val="00F9796C"/>
    <w:rsid w:val="00FA09B8"/>
    <w:rsid w:val="00FA1286"/>
    <w:rsid w:val="00FA2773"/>
    <w:rsid w:val="00FA3143"/>
    <w:rsid w:val="00FA5957"/>
    <w:rsid w:val="00FA5A5E"/>
    <w:rsid w:val="00FA5C74"/>
    <w:rsid w:val="00FA5D5A"/>
    <w:rsid w:val="00FA5E92"/>
    <w:rsid w:val="00FA6782"/>
    <w:rsid w:val="00FB0D81"/>
    <w:rsid w:val="00FB1A19"/>
    <w:rsid w:val="00FB200D"/>
    <w:rsid w:val="00FB2177"/>
    <w:rsid w:val="00FB44C6"/>
    <w:rsid w:val="00FB496E"/>
    <w:rsid w:val="00FB69D0"/>
    <w:rsid w:val="00FC25EF"/>
    <w:rsid w:val="00FC2BEC"/>
    <w:rsid w:val="00FC3473"/>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7418804">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9025158">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0139316">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697270354">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prot.mall</Template>
  <TotalTime>1057</TotalTime>
  <Pages>6</Pages>
  <Words>1601</Words>
  <Characters>10746</Characters>
  <Application>Microsoft Office Word</Application>
  <DocSecurity>0</DocSecurity>
  <Lines>1343</Lines>
  <Paragraphs>251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307</cp:revision>
  <cp:lastPrinted>2026-03-11T08:15:00Z</cp:lastPrinted>
  <dcterms:created xsi:type="dcterms:W3CDTF">2024-12-19T08:10:00Z</dcterms:created>
  <dcterms:modified xsi:type="dcterms:W3CDTF">2026-03-12T10:22:00Z</dcterms:modified>
</cp:coreProperties>
</file>