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039" w:rsidRPr="00820B9D" w:rsidRDefault="00EA3039">
      <w:pPr>
        <w:pStyle w:val="Rubrik1"/>
        <w:shd w:val="clear" w:color="000000" w:fill="auto"/>
      </w:pPr>
      <w:r w:rsidRPr="00820B9D">
        <w:t>Sammanfattning</w:t>
      </w:r>
    </w:p>
    <w:p w:rsidR="00EA3039" w:rsidRPr="00820B9D" w:rsidRDefault="00EA3039">
      <w:pPr>
        <w:shd w:val="clear" w:color="000000" w:fill="auto"/>
      </w:pPr>
      <w:r w:rsidRPr="00820B9D">
        <w:t>Vår miljöbelastning måste minska. Det är en fråga om välfärd, om framtiden och om solidaritet. Insikten om detta har ökat. Det ger förutsättningar för påtagliga förbättringar i miljöpolitik. Tyvärr har inte regeringen tagit vara på denna möjlighet. Undantag finns, men också påtagliga försämringar. Vår anpassning till en uthållig utveckling måste påskyndas. Skydd av natur och djur behöver ökas.</w:t>
      </w:r>
    </w:p>
    <w:p w:rsidR="00EA3039" w:rsidRPr="00820B9D" w:rsidRDefault="00EA3039">
      <w:pPr>
        <w:pStyle w:val="Hemstlrubrik"/>
        <w:pageBreakBefore/>
        <w:shd w:val="clear" w:color="000000" w:fill="auto"/>
        <w:spacing w:before="0"/>
      </w:pPr>
      <w:r w:rsidRPr="00820B9D">
        <w:lastRenderedPageBreak/>
        <w:t xml:space="preserve">Förslag till riksdagsbeslut </w:t>
      </w:r>
    </w:p>
    <w:p w:rsidR="00EA3039" w:rsidRPr="00820B9D" w:rsidRDefault="00EA3039">
      <w:pPr>
        <w:pStyle w:val="Hemstlatt"/>
        <w:numPr>
          <w:ilvl w:val="0"/>
          <w:numId w:val="1"/>
        </w:numPr>
        <w:shd w:val="clear" w:color="000000" w:fill="auto"/>
      </w:pPr>
      <w:r w:rsidRPr="00820B9D">
        <w:t>Riksdagen anvisar med följande ändringar i fö</w:t>
      </w:r>
      <w:r w:rsidRPr="00820B9D">
        <w:t>r</w:t>
      </w:r>
      <w:r w:rsidRPr="00820B9D">
        <w:t>hållande till regeringens förslag anslagen under utgiftsområde 20 Allmän miljö- och naturvård enligt uppställning:</w:t>
      </w:r>
    </w:p>
    <w:tbl>
      <w:tblPr>
        <w:tblW w:w="5898" w:type="dxa"/>
        <w:tblInd w:w="70" w:type="dxa"/>
        <w:tblLayout w:type="fixed"/>
        <w:tblCellMar>
          <w:left w:w="70" w:type="dxa"/>
          <w:right w:w="70" w:type="dxa"/>
        </w:tblCellMar>
        <w:tblLook w:val="0000" w:firstRow="0" w:lastRow="0" w:firstColumn="0" w:lastColumn="0" w:noHBand="0" w:noVBand="0"/>
      </w:tblPr>
      <w:tblGrid>
        <w:gridCol w:w="708"/>
        <w:gridCol w:w="3394"/>
        <w:gridCol w:w="8"/>
        <w:gridCol w:w="47"/>
        <w:gridCol w:w="542"/>
        <w:gridCol w:w="6"/>
        <w:gridCol w:w="595"/>
        <w:gridCol w:w="598"/>
      </w:tblGrid>
      <w:tr w:rsidR="00000000" w:rsidRPr="00820B9D">
        <w:trPr>
          <w:trHeight w:val="20"/>
        </w:trPr>
        <w:tc>
          <w:tcPr>
            <w:tcW w:w="708" w:type="dxa"/>
            <w:tcBorders>
              <w:top w:val="single" w:sz="4" w:space="0" w:color="auto"/>
            </w:tcBorders>
            <w:noWrap/>
          </w:tcPr>
          <w:p w:rsidR="00EA3039" w:rsidRPr="00820B9D" w:rsidRDefault="00EA3039">
            <w:pPr>
              <w:keepNext/>
              <w:keepLines/>
              <w:shd w:val="clear" w:color="000000" w:fill="auto"/>
              <w:spacing w:before="60" w:line="200" w:lineRule="exact"/>
              <w:rPr>
                <w:b/>
                <w:bCs/>
                <w:sz w:val="16"/>
                <w:szCs w:val="16"/>
              </w:rPr>
            </w:pPr>
            <w:r w:rsidRPr="00820B9D">
              <w:rPr>
                <w:b/>
                <w:bCs/>
                <w:sz w:val="16"/>
                <w:szCs w:val="16"/>
              </w:rPr>
              <w:t xml:space="preserve">Anslag </w:t>
            </w:r>
          </w:p>
        </w:tc>
        <w:tc>
          <w:tcPr>
            <w:tcW w:w="3449" w:type="dxa"/>
            <w:gridSpan w:val="3"/>
            <w:tcBorders>
              <w:top w:val="single" w:sz="4" w:space="0" w:color="auto"/>
            </w:tcBorders>
            <w:vAlign w:val="bottom"/>
          </w:tcPr>
          <w:p w:rsidR="00EA3039" w:rsidRPr="00820B9D" w:rsidRDefault="00EA3039">
            <w:pPr>
              <w:keepNext/>
              <w:keepLines/>
              <w:shd w:val="clear" w:color="000000" w:fill="auto"/>
              <w:spacing w:before="60" w:line="200" w:lineRule="exact"/>
              <w:rPr>
                <w:b/>
                <w:bCs/>
                <w:sz w:val="16"/>
                <w:szCs w:val="16"/>
              </w:rPr>
            </w:pPr>
          </w:p>
        </w:tc>
        <w:tc>
          <w:tcPr>
            <w:tcW w:w="1741" w:type="dxa"/>
            <w:gridSpan w:val="4"/>
            <w:tcBorders>
              <w:top w:val="single" w:sz="4" w:space="0" w:color="auto"/>
            </w:tcBorders>
            <w:noWrap/>
            <w:vAlign w:val="bottom"/>
          </w:tcPr>
          <w:p w:rsidR="00EA3039" w:rsidRPr="00820B9D" w:rsidRDefault="00EA3039">
            <w:pPr>
              <w:keepNext/>
              <w:keepLines/>
              <w:shd w:val="clear" w:color="000000" w:fill="auto"/>
              <w:spacing w:before="60" w:line="200" w:lineRule="exact"/>
              <w:jc w:val="center"/>
              <w:rPr>
                <w:b/>
                <w:bCs/>
                <w:sz w:val="16"/>
                <w:szCs w:val="16"/>
              </w:rPr>
            </w:pPr>
            <w:r w:rsidRPr="00820B9D">
              <w:rPr>
                <w:b/>
                <w:bCs/>
                <w:sz w:val="16"/>
                <w:szCs w:val="16"/>
              </w:rPr>
              <w:t>Anslagsförändring (miljoner kronor)</w:t>
            </w:r>
          </w:p>
        </w:tc>
      </w:tr>
      <w:tr w:rsidR="00000000" w:rsidRPr="00820B9D">
        <w:trPr>
          <w:trHeight w:val="20"/>
        </w:trPr>
        <w:tc>
          <w:tcPr>
            <w:tcW w:w="4110" w:type="dxa"/>
            <w:gridSpan w:val="3"/>
            <w:tcBorders>
              <w:bottom w:val="single" w:sz="4" w:space="0" w:color="auto"/>
            </w:tcBorders>
            <w:noWrap/>
            <w:vAlign w:val="bottom"/>
          </w:tcPr>
          <w:p w:rsidR="00EA3039" w:rsidRPr="00820B9D" w:rsidRDefault="00EA3039">
            <w:pPr>
              <w:keepNext/>
              <w:keepLines/>
              <w:shd w:val="clear" w:color="000000" w:fill="auto"/>
              <w:spacing w:before="60" w:line="200" w:lineRule="exact"/>
              <w:rPr>
                <w:b/>
                <w:bCs/>
                <w:sz w:val="16"/>
                <w:szCs w:val="16"/>
              </w:rPr>
            </w:pPr>
          </w:p>
        </w:tc>
        <w:tc>
          <w:tcPr>
            <w:tcW w:w="595" w:type="dxa"/>
            <w:gridSpan w:val="3"/>
            <w:tcBorders>
              <w:bottom w:val="single" w:sz="4" w:space="0" w:color="auto"/>
            </w:tcBorders>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2008</w:t>
            </w:r>
          </w:p>
        </w:tc>
        <w:tc>
          <w:tcPr>
            <w:tcW w:w="595" w:type="dxa"/>
            <w:tcBorders>
              <w:bottom w:val="single" w:sz="4" w:space="0" w:color="auto"/>
            </w:tcBorders>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2009</w:t>
            </w:r>
          </w:p>
        </w:tc>
        <w:tc>
          <w:tcPr>
            <w:tcW w:w="598" w:type="dxa"/>
            <w:tcBorders>
              <w:bottom w:val="single" w:sz="4" w:space="0" w:color="auto"/>
            </w:tcBorders>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2010</w:t>
            </w:r>
          </w:p>
        </w:tc>
      </w:tr>
      <w:tr w:rsidR="00000000" w:rsidRPr="00820B9D">
        <w:trPr>
          <w:trHeight w:val="23"/>
        </w:trPr>
        <w:tc>
          <w:tcPr>
            <w:tcW w:w="4110" w:type="dxa"/>
            <w:gridSpan w:val="3"/>
            <w:tcBorders>
              <w:top w:val="single" w:sz="4" w:space="0" w:color="auto"/>
            </w:tcBorders>
            <w:noWrap/>
            <w:vAlign w:val="bottom"/>
          </w:tcPr>
          <w:p w:rsidR="00EA3039" w:rsidRPr="00820B9D" w:rsidRDefault="00EA3039">
            <w:pPr>
              <w:keepNext/>
              <w:keepLines/>
              <w:shd w:val="clear" w:color="000000" w:fill="auto"/>
              <w:spacing w:before="60" w:line="200" w:lineRule="exact"/>
              <w:rPr>
                <w:b/>
                <w:bCs/>
                <w:sz w:val="16"/>
                <w:szCs w:val="16"/>
              </w:rPr>
            </w:pPr>
            <w:r w:rsidRPr="00820B9D">
              <w:rPr>
                <w:b/>
                <w:bCs/>
                <w:sz w:val="16"/>
                <w:szCs w:val="16"/>
              </w:rPr>
              <w:t>Summa för utgiftsområdet</w:t>
            </w:r>
          </w:p>
        </w:tc>
        <w:tc>
          <w:tcPr>
            <w:tcW w:w="595" w:type="dxa"/>
            <w:gridSpan w:val="3"/>
            <w:tcBorders>
              <w:top w:val="single" w:sz="4" w:space="0" w:color="auto"/>
            </w:tcBorders>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983</w:t>
            </w:r>
          </w:p>
        </w:tc>
        <w:tc>
          <w:tcPr>
            <w:tcW w:w="595" w:type="dxa"/>
            <w:tcBorders>
              <w:top w:val="single" w:sz="4" w:space="0" w:color="auto"/>
            </w:tcBorders>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1 731</w:t>
            </w:r>
          </w:p>
        </w:tc>
        <w:tc>
          <w:tcPr>
            <w:tcW w:w="598" w:type="dxa"/>
            <w:tcBorders>
              <w:top w:val="single" w:sz="4" w:space="0" w:color="auto"/>
            </w:tcBorders>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1 710</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34:1</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Naturvårdsverket</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120</w:t>
            </w: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170</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220</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34:3</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Biologisk mångfald</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466</w:t>
            </w: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704</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743</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34:4</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Sanering och återställande av förorenade områden</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100</w:t>
            </w: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50</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50</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34:6</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Kemikalieinspektionen</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30</w:t>
            </w: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30</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30</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34:9</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SMHI</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17</w:t>
            </w: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17</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17</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34:10</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Klimp</w:t>
            </w:r>
          </w:p>
        </w:tc>
        <w:tc>
          <w:tcPr>
            <w:tcW w:w="597" w:type="dxa"/>
            <w:gridSpan w:val="3"/>
            <w:noWrap/>
            <w:vAlign w:val="bottom"/>
          </w:tcPr>
          <w:p w:rsidR="00EA3039" w:rsidRPr="00820B9D" w:rsidRDefault="00EA3039">
            <w:pPr>
              <w:keepNext/>
              <w:keepLines/>
              <w:shd w:val="clear" w:color="000000" w:fill="auto"/>
              <w:spacing w:before="60" w:line="200" w:lineRule="exact"/>
              <w:rPr>
                <w:sz w:val="16"/>
              </w:rPr>
            </w:pP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660</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600</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34:11</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Miljöbilspremie</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100</w:t>
            </w:r>
          </w:p>
        </w:tc>
        <w:tc>
          <w:tcPr>
            <w:tcW w:w="601" w:type="dxa"/>
            <w:gridSpan w:val="2"/>
            <w:noWrap/>
            <w:vAlign w:val="bottom"/>
          </w:tcPr>
          <w:p w:rsidR="00EA3039" w:rsidRPr="00820B9D" w:rsidRDefault="00EA3039">
            <w:pPr>
              <w:keepNext/>
              <w:keepLines/>
              <w:shd w:val="clear" w:color="000000" w:fill="auto"/>
              <w:spacing w:before="60" w:line="200" w:lineRule="exact"/>
              <w:rPr>
                <w:sz w:val="16"/>
              </w:rPr>
            </w:pPr>
          </w:p>
        </w:tc>
        <w:tc>
          <w:tcPr>
            <w:tcW w:w="598" w:type="dxa"/>
            <w:noWrap/>
            <w:vAlign w:val="bottom"/>
          </w:tcPr>
          <w:p w:rsidR="00EA3039" w:rsidRPr="00820B9D" w:rsidRDefault="00EA3039">
            <w:pPr>
              <w:keepNext/>
              <w:keepLines/>
              <w:shd w:val="clear" w:color="000000" w:fill="auto"/>
              <w:spacing w:before="60" w:line="200" w:lineRule="exact"/>
              <w:rPr>
                <w:sz w:val="16"/>
              </w:rPr>
            </w:pP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34:12</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Havsmiljö</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–100</w:t>
            </w: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–150</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–200</w:t>
            </w:r>
          </w:p>
        </w:tc>
      </w:tr>
      <w:tr w:rsidR="00000000" w:rsidRPr="00820B9D">
        <w:trPr>
          <w:trHeight w:val="23"/>
        </w:trPr>
        <w:tc>
          <w:tcPr>
            <w:tcW w:w="708" w:type="dxa"/>
            <w:noWrap/>
            <w:vAlign w:val="bottom"/>
          </w:tcPr>
          <w:p w:rsidR="00EA3039" w:rsidRPr="00820B9D" w:rsidRDefault="00EA3039">
            <w:pPr>
              <w:keepNext/>
              <w:keepLines/>
              <w:shd w:val="clear" w:color="000000" w:fill="auto"/>
              <w:spacing w:before="60" w:line="200" w:lineRule="exact"/>
              <w:rPr>
                <w:sz w:val="16"/>
              </w:rPr>
            </w:pPr>
            <w:r w:rsidRPr="00820B9D">
              <w:rPr>
                <w:sz w:val="16"/>
              </w:rPr>
              <w:t>34:15</w:t>
            </w:r>
          </w:p>
        </w:tc>
        <w:tc>
          <w:tcPr>
            <w:tcW w:w="3394" w:type="dxa"/>
            <w:noWrap/>
            <w:vAlign w:val="bottom"/>
          </w:tcPr>
          <w:p w:rsidR="00EA3039" w:rsidRPr="00820B9D" w:rsidRDefault="00EA3039">
            <w:pPr>
              <w:keepNext/>
              <w:keepLines/>
              <w:shd w:val="clear" w:color="000000" w:fill="auto"/>
              <w:spacing w:before="60" w:line="200" w:lineRule="exact"/>
              <w:rPr>
                <w:sz w:val="16"/>
              </w:rPr>
            </w:pPr>
            <w:r w:rsidRPr="00820B9D">
              <w:rPr>
                <w:sz w:val="16"/>
              </w:rPr>
              <w:t>Stöd för konvertering av bilar</w:t>
            </w:r>
          </w:p>
        </w:tc>
        <w:tc>
          <w:tcPr>
            <w:tcW w:w="597" w:type="dxa"/>
            <w:gridSpan w:val="3"/>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120</w:t>
            </w:r>
          </w:p>
        </w:tc>
        <w:tc>
          <w:tcPr>
            <w:tcW w:w="601" w:type="dxa"/>
            <w:gridSpan w:val="2"/>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120</w:t>
            </w:r>
          </w:p>
        </w:tc>
        <w:tc>
          <w:tcPr>
            <w:tcW w:w="598" w:type="dxa"/>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120</w:t>
            </w:r>
          </w:p>
        </w:tc>
      </w:tr>
      <w:tr w:rsidR="00000000" w:rsidRPr="00820B9D">
        <w:trPr>
          <w:trHeight w:val="23"/>
        </w:trPr>
        <w:tc>
          <w:tcPr>
            <w:tcW w:w="708" w:type="dxa"/>
            <w:tcBorders>
              <w:bottom w:val="single" w:sz="4" w:space="0" w:color="auto"/>
            </w:tcBorders>
            <w:noWrap/>
            <w:vAlign w:val="bottom"/>
          </w:tcPr>
          <w:p w:rsidR="00EA3039" w:rsidRPr="00820B9D" w:rsidRDefault="00EA3039">
            <w:pPr>
              <w:keepNext/>
              <w:keepLines/>
              <w:shd w:val="clear" w:color="000000" w:fill="auto"/>
              <w:spacing w:before="60" w:line="200" w:lineRule="exact"/>
              <w:rPr>
                <w:sz w:val="16"/>
              </w:rPr>
            </w:pPr>
            <w:r w:rsidRPr="00820B9D">
              <w:rPr>
                <w:sz w:val="16"/>
              </w:rPr>
              <w:t>34:16</w:t>
            </w:r>
          </w:p>
        </w:tc>
        <w:tc>
          <w:tcPr>
            <w:tcW w:w="3394" w:type="dxa"/>
            <w:tcBorders>
              <w:bottom w:val="single" w:sz="4" w:space="0" w:color="auto"/>
            </w:tcBorders>
            <w:noWrap/>
            <w:vAlign w:val="bottom"/>
          </w:tcPr>
          <w:p w:rsidR="00EA3039" w:rsidRPr="00820B9D" w:rsidRDefault="00EA3039">
            <w:pPr>
              <w:keepNext/>
              <w:keepLines/>
              <w:shd w:val="clear" w:color="000000" w:fill="auto"/>
              <w:spacing w:before="60" w:line="200" w:lineRule="exact"/>
              <w:rPr>
                <w:sz w:val="16"/>
              </w:rPr>
            </w:pPr>
            <w:r w:rsidRPr="00820B9D">
              <w:rPr>
                <w:sz w:val="16"/>
              </w:rPr>
              <w:t>Klimatanpassning</w:t>
            </w:r>
          </w:p>
        </w:tc>
        <w:tc>
          <w:tcPr>
            <w:tcW w:w="597" w:type="dxa"/>
            <w:gridSpan w:val="3"/>
            <w:tcBorders>
              <w:bottom w:val="single" w:sz="4" w:space="0" w:color="auto"/>
            </w:tcBorders>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130</w:t>
            </w:r>
          </w:p>
        </w:tc>
        <w:tc>
          <w:tcPr>
            <w:tcW w:w="601" w:type="dxa"/>
            <w:gridSpan w:val="2"/>
            <w:tcBorders>
              <w:bottom w:val="single" w:sz="4" w:space="0" w:color="auto"/>
            </w:tcBorders>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130</w:t>
            </w:r>
          </w:p>
        </w:tc>
        <w:tc>
          <w:tcPr>
            <w:tcW w:w="598" w:type="dxa"/>
            <w:tcBorders>
              <w:bottom w:val="single" w:sz="4" w:space="0" w:color="auto"/>
            </w:tcBorders>
            <w:noWrap/>
            <w:vAlign w:val="bottom"/>
          </w:tcPr>
          <w:p w:rsidR="00EA3039" w:rsidRPr="00820B9D" w:rsidRDefault="00EA3039">
            <w:pPr>
              <w:keepNext/>
              <w:keepLines/>
              <w:shd w:val="clear" w:color="000000" w:fill="auto"/>
              <w:spacing w:before="60" w:line="200" w:lineRule="exact"/>
              <w:jc w:val="right"/>
              <w:rPr>
                <w:sz w:val="16"/>
              </w:rPr>
            </w:pPr>
            <w:r w:rsidRPr="00820B9D">
              <w:rPr>
                <w:sz w:val="16"/>
              </w:rPr>
              <w:t>130</w:t>
            </w:r>
          </w:p>
        </w:tc>
      </w:tr>
    </w:tbl>
    <w:p w:rsidR="00EA3039" w:rsidRPr="00820B9D" w:rsidRDefault="00EA3039">
      <w:pPr>
        <w:pStyle w:val="Hemstlatt"/>
        <w:numPr>
          <w:ilvl w:val="0"/>
          <w:numId w:val="1"/>
        </w:numPr>
        <w:shd w:val="clear" w:color="000000" w:fill="auto"/>
      </w:pPr>
      <w:r w:rsidRPr="00820B9D">
        <w:t>Riksdagen anvisar med följande ändringar i förhållande till regeringens förslag anslagen under utgiftsområde 23 Jord- och skog</w:t>
      </w:r>
      <w:r w:rsidRPr="00820B9D">
        <w:t>s</w:t>
      </w:r>
      <w:r w:rsidRPr="00820B9D">
        <w:t>bruk, fiske med anslutande näringar enligt uppställning:</w:t>
      </w:r>
    </w:p>
    <w:tbl>
      <w:tblPr>
        <w:tblW w:w="5910" w:type="dxa"/>
        <w:tblInd w:w="70" w:type="dxa"/>
        <w:tblLayout w:type="fixed"/>
        <w:tblCellMar>
          <w:left w:w="70" w:type="dxa"/>
          <w:right w:w="70" w:type="dxa"/>
        </w:tblCellMar>
        <w:tblLook w:val="0000" w:firstRow="0" w:lastRow="0" w:firstColumn="0" w:lastColumn="0" w:noHBand="0" w:noVBand="0"/>
      </w:tblPr>
      <w:tblGrid>
        <w:gridCol w:w="565"/>
        <w:gridCol w:w="142"/>
        <w:gridCol w:w="3376"/>
        <w:gridCol w:w="24"/>
        <w:gridCol w:w="47"/>
        <w:gridCol w:w="536"/>
        <w:gridCol w:w="12"/>
        <w:gridCol w:w="595"/>
        <w:gridCol w:w="601"/>
        <w:gridCol w:w="12"/>
      </w:tblGrid>
      <w:tr w:rsidR="00000000" w:rsidRPr="00820B9D">
        <w:trPr>
          <w:gridAfter w:val="1"/>
          <w:wAfter w:w="12" w:type="dxa"/>
          <w:trHeight w:val="20"/>
        </w:trPr>
        <w:tc>
          <w:tcPr>
            <w:tcW w:w="707" w:type="dxa"/>
            <w:gridSpan w:val="2"/>
            <w:tcBorders>
              <w:top w:val="single" w:sz="4" w:space="0" w:color="auto"/>
            </w:tcBorders>
            <w:noWrap/>
          </w:tcPr>
          <w:p w:rsidR="00EA3039" w:rsidRPr="00820B9D" w:rsidRDefault="00EA3039">
            <w:pPr>
              <w:keepNext/>
              <w:keepLines/>
              <w:shd w:val="clear" w:color="000000" w:fill="auto"/>
              <w:spacing w:before="60" w:line="200" w:lineRule="exact"/>
              <w:rPr>
                <w:b/>
                <w:bCs/>
                <w:sz w:val="16"/>
                <w:szCs w:val="16"/>
              </w:rPr>
            </w:pPr>
            <w:r w:rsidRPr="00820B9D">
              <w:rPr>
                <w:b/>
                <w:bCs/>
                <w:sz w:val="16"/>
                <w:szCs w:val="16"/>
              </w:rPr>
              <w:t xml:space="preserve">Anslag </w:t>
            </w:r>
          </w:p>
        </w:tc>
        <w:tc>
          <w:tcPr>
            <w:tcW w:w="3447" w:type="dxa"/>
            <w:gridSpan w:val="3"/>
            <w:tcBorders>
              <w:top w:val="single" w:sz="4" w:space="0" w:color="auto"/>
            </w:tcBorders>
            <w:vAlign w:val="bottom"/>
          </w:tcPr>
          <w:p w:rsidR="00EA3039" w:rsidRPr="00820B9D" w:rsidRDefault="00EA3039">
            <w:pPr>
              <w:keepNext/>
              <w:keepLines/>
              <w:shd w:val="clear" w:color="000000" w:fill="auto"/>
              <w:spacing w:before="60" w:line="200" w:lineRule="exact"/>
              <w:rPr>
                <w:b/>
                <w:bCs/>
                <w:sz w:val="16"/>
                <w:szCs w:val="16"/>
              </w:rPr>
            </w:pPr>
          </w:p>
        </w:tc>
        <w:tc>
          <w:tcPr>
            <w:tcW w:w="1744" w:type="dxa"/>
            <w:gridSpan w:val="4"/>
            <w:tcBorders>
              <w:top w:val="single" w:sz="4" w:space="0" w:color="auto"/>
            </w:tcBorders>
            <w:noWrap/>
            <w:vAlign w:val="bottom"/>
          </w:tcPr>
          <w:p w:rsidR="00EA3039" w:rsidRPr="00820B9D" w:rsidRDefault="00EA3039">
            <w:pPr>
              <w:keepNext/>
              <w:keepLines/>
              <w:shd w:val="clear" w:color="000000" w:fill="auto"/>
              <w:spacing w:before="60" w:line="200" w:lineRule="exact"/>
              <w:jc w:val="center"/>
              <w:rPr>
                <w:b/>
                <w:bCs/>
                <w:sz w:val="16"/>
                <w:szCs w:val="16"/>
              </w:rPr>
            </w:pPr>
            <w:r w:rsidRPr="00820B9D">
              <w:rPr>
                <w:b/>
                <w:bCs/>
                <w:sz w:val="16"/>
                <w:szCs w:val="16"/>
              </w:rPr>
              <w:t>Anslagsförändring (miljoner kronor)</w:t>
            </w:r>
          </w:p>
        </w:tc>
      </w:tr>
      <w:tr w:rsidR="00000000" w:rsidRPr="00820B9D">
        <w:trPr>
          <w:gridAfter w:val="1"/>
          <w:wAfter w:w="12" w:type="dxa"/>
          <w:trHeight w:val="20"/>
        </w:trPr>
        <w:tc>
          <w:tcPr>
            <w:tcW w:w="4107" w:type="dxa"/>
            <w:gridSpan w:val="4"/>
            <w:noWrap/>
            <w:vAlign w:val="bottom"/>
          </w:tcPr>
          <w:p w:rsidR="00EA3039" w:rsidRPr="00820B9D" w:rsidRDefault="00EA3039">
            <w:pPr>
              <w:keepNext/>
              <w:keepLines/>
              <w:shd w:val="clear" w:color="000000" w:fill="auto"/>
              <w:spacing w:before="60" w:line="200" w:lineRule="exact"/>
              <w:rPr>
                <w:b/>
                <w:bCs/>
                <w:sz w:val="16"/>
                <w:szCs w:val="16"/>
              </w:rPr>
            </w:pPr>
          </w:p>
        </w:tc>
        <w:tc>
          <w:tcPr>
            <w:tcW w:w="595" w:type="dxa"/>
            <w:gridSpan w:val="3"/>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2008</w:t>
            </w:r>
          </w:p>
        </w:tc>
        <w:tc>
          <w:tcPr>
            <w:tcW w:w="595" w:type="dxa"/>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2009</w:t>
            </w:r>
          </w:p>
        </w:tc>
        <w:tc>
          <w:tcPr>
            <w:tcW w:w="601" w:type="dxa"/>
            <w:noWrap/>
            <w:vAlign w:val="bottom"/>
          </w:tcPr>
          <w:p w:rsidR="00EA3039" w:rsidRPr="00820B9D" w:rsidRDefault="00EA3039">
            <w:pPr>
              <w:keepNext/>
              <w:keepLines/>
              <w:shd w:val="clear" w:color="000000" w:fill="auto"/>
              <w:spacing w:before="60" w:line="200" w:lineRule="exact"/>
              <w:jc w:val="right"/>
              <w:rPr>
                <w:b/>
                <w:bCs/>
                <w:sz w:val="16"/>
                <w:szCs w:val="16"/>
              </w:rPr>
            </w:pPr>
            <w:r w:rsidRPr="00820B9D">
              <w:rPr>
                <w:b/>
                <w:bCs/>
                <w:sz w:val="16"/>
                <w:szCs w:val="16"/>
              </w:rPr>
              <w:t>2010</w:t>
            </w:r>
          </w:p>
        </w:tc>
      </w:tr>
      <w:tr w:rsidR="00000000" w:rsidRPr="00820B9D">
        <w:trPr>
          <w:trHeight w:val="270"/>
        </w:trPr>
        <w:tc>
          <w:tcPr>
            <w:tcW w:w="4083" w:type="dxa"/>
            <w:gridSpan w:val="3"/>
            <w:tcBorders>
              <w:top w:val="single" w:sz="4" w:space="0" w:color="auto"/>
            </w:tcBorders>
            <w:noWrap/>
            <w:vAlign w:val="bottom"/>
          </w:tcPr>
          <w:p w:rsidR="00EA3039" w:rsidRPr="00820B9D" w:rsidRDefault="00EA3039">
            <w:pPr>
              <w:shd w:val="clear" w:color="000000" w:fill="auto"/>
              <w:spacing w:before="60" w:line="200" w:lineRule="exact"/>
              <w:rPr>
                <w:rFonts w:cs="Arial"/>
                <w:b/>
                <w:bCs/>
                <w:sz w:val="16"/>
                <w:szCs w:val="16"/>
              </w:rPr>
            </w:pPr>
            <w:r w:rsidRPr="00820B9D">
              <w:rPr>
                <w:rFonts w:cs="Arial"/>
                <w:b/>
                <w:bCs/>
                <w:sz w:val="16"/>
                <w:szCs w:val="16"/>
              </w:rPr>
              <w:t>Summa för utgiftsområdet</w:t>
            </w:r>
          </w:p>
        </w:tc>
        <w:tc>
          <w:tcPr>
            <w:tcW w:w="607" w:type="dxa"/>
            <w:gridSpan w:val="3"/>
            <w:tcBorders>
              <w:top w:val="single" w:sz="4" w:space="0" w:color="auto"/>
            </w:tcBorders>
            <w:noWrap/>
            <w:vAlign w:val="bottom"/>
          </w:tcPr>
          <w:p w:rsidR="00EA3039" w:rsidRPr="00820B9D" w:rsidRDefault="00EA3039">
            <w:pPr>
              <w:shd w:val="clear" w:color="000000" w:fill="auto"/>
              <w:spacing w:before="60" w:line="200" w:lineRule="exact"/>
              <w:jc w:val="right"/>
              <w:rPr>
                <w:rFonts w:cs="Arial"/>
                <w:b/>
                <w:bCs/>
                <w:sz w:val="16"/>
                <w:szCs w:val="16"/>
              </w:rPr>
            </w:pPr>
            <w:r w:rsidRPr="00820B9D">
              <w:rPr>
                <w:rFonts w:cs="Arial"/>
                <w:b/>
                <w:bCs/>
                <w:sz w:val="16"/>
                <w:szCs w:val="16"/>
              </w:rPr>
              <w:t>40</w:t>
            </w:r>
          </w:p>
        </w:tc>
        <w:tc>
          <w:tcPr>
            <w:tcW w:w="607" w:type="dxa"/>
            <w:gridSpan w:val="2"/>
            <w:tcBorders>
              <w:top w:val="single" w:sz="4" w:space="0" w:color="auto"/>
            </w:tcBorders>
            <w:noWrap/>
            <w:vAlign w:val="bottom"/>
          </w:tcPr>
          <w:p w:rsidR="00EA3039" w:rsidRPr="00820B9D" w:rsidRDefault="00EA3039">
            <w:pPr>
              <w:shd w:val="clear" w:color="000000" w:fill="auto"/>
              <w:spacing w:before="60" w:line="200" w:lineRule="exact"/>
              <w:jc w:val="right"/>
              <w:rPr>
                <w:rFonts w:cs="Arial"/>
                <w:b/>
                <w:bCs/>
                <w:sz w:val="16"/>
                <w:szCs w:val="16"/>
              </w:rPr>
            </w:pPr>
            <w:r w:rsidRPr="00820B9D">
              <w:rPr>
                <w:rFonts w:cs="Arial"/>
                <w:b/>
                <w:bCs/>
                <w:sz w:val="16"/>
                <w:szCs w:val="16"/>
              </w:rPr>
              <w:t>150</w:t>
            </w:r>
          </w:p>
        </w:tc>
        <w:tc>
          <w:tcPr>
            <w:tcW w:w="613" w:type="dxa"/>
            <w:gridSpan w:val="2"/>
            <w:tcBorders>
              <w:top w:val="single" w:sz="4" w:space="0" w:color="auto"/>
            </w:tcBorders>
            <w:noWrap/>
            <w:vAlign w:val="bottom"/>
          </w:tcPr>
          <w:p w:rsidR="00EA3039" w:rsidRPr="00820B9D" w:rsidRDefault="00EA3039">
            <w:pPr>
              <w:shd w:val="clear" w:color="000000" w:fill="auto"/>
              <w:spacing w:before="60" w:line="200" w:lineRule="exact"/>
              <w:jc w:val="right"/>
              <w:rPr>
                <w:rFonts w:cs="Arial"/>
                <w:b/>
                <w:bCs/>
                <w:sz w:val="16"/>
                <w:szCs w:val="16"/>
              </w:rPr>
            </w:pPr>
            <w:r w:rsidRPr="00820B9D">
              <w:rPr>
                <w:rFonts w:cs="Arial"/>
                <w:b/>
                <w:bCs/>
                <w:sz w:val="16"/>
                <w:szCs w:val="16"/>
              </w:rPr>
              <w:t>200</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26:2</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Formas</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15</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15</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15</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41:1</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Skogsstyrelsen</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5</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5</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5</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41:2</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Insatser för skogsbruket</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–80</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30</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80</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43:1</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Jordbruksverket</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40</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40</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40</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44:6</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Åtgärder för att främja ekologisk produktion</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30</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30</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30</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43:7</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Strukturstöd fiske</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50</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50</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50</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43:9</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Fiskevård</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10</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10</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10</w:t>
            </w:r>
          </w:p>
        </w:tc>
      </w:tr>
      <w:tr w:rsidR="00000000" w:rsidRPr="00820B9D">
        <w:tc>
          <w:tcPr>
            <w:tcW w:w="565" w:type="dxa"/>
            <w:noWrap/>
            <w:vAlign w:val="bottom"/>
          </w:tcPr>
          <w:p w:rsidR="00EA3039" w:rsidRPr="00820B9D" w:rsidRDefault="00EA3039">
            <w:pPr>
              <w:shd w:val="clear" w:color="000000" w:fill="auto"/>
              <w:spacing w:before="60" w:line="200" w:lineRule="exact"/>
              <w:rPr>
                <w:sz w:val="16"/>
              </w:rPr>
            </w:pPr>
            <w:r w:rsidRPr="00820B9D">
              <w:rPr>
                <w:sz w:val="16"/>
              </w:rPr>
              <w:t>44:3</w:t>
            </w:r>
          </w:p>
        </w:tc>
        <w:tc>
          <w:tcPr>
            <w:tcW w:w="3518" w:type="dxa"/>
            <w:gridSpan w:val="2"/>
            <w:noWrap/>
            <w:vAlign w:val="bottom"/>
          </w:tcPr>
          <w:p w:rsidR="00EA3039" w:rsidRPr="00820B9D" w:rsidRDefault="00EA3039">
            <w:pPr>
              <w:shd w:val="clear" w:color="000000" w:fill="auto"/>
              <w:spacing w:before="60" w:line="200" w:lineRule="exact"/>
              <w:rPr>
                <w:sz w:val="16"/>
              </w:rPr>
            </w:pPr>
            <w:r w:rsidRPr="00820B9D">
              <w:rPr>
                <w:sz w:val="16"/>
              </w:rPr>
              <w:t>Miljöförbättrande åtgärder i jordbruket</w:t>
            </w:r>
          </w:p>
        </w:tc>
        <w:tc>
          <w:tcPr>
            <w:tcW w:w="607" w:type="dxa"/>
            <w:gridSpan w:val="3"/>
            <w:noWrap/>
            <w:vAlign w:val="bottom"/>
          </w:tcPr>
          <w:p w:rsidR="00EA3039" w:rsidRPr="00820B9D" w:rsidRDefault="00EA3039">
            <w:pPr>
              <w:shd w:val="clear" w:color="000000" w:fill="auto"/>
              <w:spacing w:before="60" w:line="200" w:lineRule="exact"/>
              <w:jc w:val="right"/>
              <w:rPr>
                <w:sz w:val="16"/>
              </w:rPr>
            </w:pPr>
            <w:r w:rsidRPr="00820B9D">
              <w:rPr>
                <w:sz w:val="16"/>
              </w:rPr>
              <w:t>–13</w:t>
            </w:r>
          </w:p>
        </w:tc>
        <w:tc>
          <w:tcPr>
            <w:tcW w:w="607"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–13</w:t>
            </w:r>
          </w:p>
        </w:tc>
        <w:tc>
          <w:tcPr>
            <w:tcW w:w="613" w:type="dxa"/>
            <w:gridSpan w:val="2"/>
            <w:noWrap/>
            <w:vAlign w:val="bottom"/>
          </w:tcPr>
          <w:p w:rsidR="00EA3039" w:rsidRPr="00820B9D" w:rsidRDefault="00EA3039">
            <w:pPr>
              <w:shd w:val="clear" w:color="000000" w:fill="auto"/>
              <w:spacing w:before="60" w:line="200" w:lineRule="exact"/>
              <w:jc w:val="right"/>
              <w:rPr>
                <w:sz w:val="16"/>
              </w:rPr>
            </w:pPr>
            <w:r w:rsidRPr="00820B9D">
              <w:rPr>
                <w:sz w:val="16"/>
              </w:rPr>
              <w:t>–13</w:t>
            </w:r>
          </w:p>
        </w:tc>
      </w:tr>
      <w:tr w:rsidR="00000000" w:rsidRPr="00820B9D">
        <w:tc>
          <w:tcPr>
            <w:tcW w:w="565" w:type="dxa"/>
            <w:tcBorders>
              <w:bottom w:val="single" w:sz="4" w:space="0" w:color="auto"/>
            </w:tcBorders>
            <w:noWrap/>
            <w:vAlign w:val="bottom"/>
          </w:tcPr>
          <w:p w:rsidR="00EA3039" w:rsidRPr="00820B9D" w:rsidRDefault="00EA3039">
            <w:pPr>
              <w:shd w:val="clear" w:color="000000" w:fill="auto"/>
              <w:spacing w:before="60" w:line="200" w:lineRule="exact"/>
              <w:rPr>
                <w:sz w:val="16"/>
              </w:rPr>
            </w:pPr>
            <w:r w:rsidRPr="00820B9D">
              <w:rPr>
                <w:sz w:val="16"/>
              </w:rPr>
              <w:t>43:14</w:t>
            </w:r>
          </w:p>
        </w:tc>
        <w:tc>
          <w:tcPr>
            <w:tcW w:w="3518" w:type="dxa"/>
            <w:gridSpan w:val="2"/>
            <w:tcBorders>
              <w:bottom w:val="single" w:sz="4" w:space="0" w:color="auto"/>
            </w:tcBorders>
            <w:noWrap/>
            <w:vAlign w:val="bottom"/>
          </w:tcPr>
          <w:p w:rsidR="00EA3039" w:rsidRPr="00820B9D" w:rsidRDefault="00EA3039">
            <w:pPr>
              <w:shd w:val="clear" w:color="000000" w:fill="auto"/>
              <w:spacing w:before="60" w:line="200" w:lineRule="exact"/>
              <w:rPr>
                <w:sz w:val="16"/>
              </w:rPr>
            </w:pPr>
            <w:r w:rsidRPr="00820B9D">
              <w:rPr>
                <w:sz w:val="16"/>
              </w:rPr>
              <w:t>Konkurrenskraftig livsmedelssektor</w:t>
            </w:r>
          </w:p>
        </w:tc>
        <w:tc>
          <w:tcPr>
            <w:tcW w:w="607" w:type="dxa"/>
            <w:gridSpan w:val="3"/>
            <w:tcBorders>
              <w:bottom w:val="single" w:sz="4" w:space="0" w:color="auto"/>
            </w:tcBorders>
            <w:noWrap/>
            <w:vAlign w:val="bottom"/>
          </w:tcPr>
          <w:p w:rsidR="00EA3039" w:rsidRPr="00820B9D" w:rsidRDefault="00EA3039">
            <w:pPr>
              <w:shd w:val="clear" w:color="000000" w:fill="auto"/>
              <w:spacing w:before="60" w:line="200" w:lineRule="exact"/>
              <w:jc w:val="right"/>
              <w:rPr>
                <w:sz w:val="16"/>
              </w:rPr>
            </w:pPr>
            <w:r w:rsidRPr="00820B9D">
              <w:rPr>
                <w:sz w:val="16"/>
              </w:rPr>
              <w:t>–17</w:t>
            </w:r>
          </w:p>
        </w:tc>
        <w:tc>
          <w:tcPr>
            <w:tcW w:w="607" w:type="dxa"/>
            <w:gridSpan w:val="2"/>
            <w:tcBorders>
              <w:bottom w:val="single" w:sz="4" w:space="0" w:color="auto"/>
            </w:tcBorders>
            <w:noWrap/>
            <w:vAlign w:val="bottom"/>
          </w:tcPr>
          <w:p w:rsidR="00EA3039" w:rsidRPr="00820B9D" w:rsidRDefault="00EA3039">
            <w:pPr>
              <w:shd w:val="clear" w:color="000000" w:fill="auto"/>
              <w:spacing w:before="60" w:line="200" w:lineRule="exact"/>
              <w:jc w:val="right"/>
              <w:rPr>
                <w:sz w:val="16"/>
              </w:rPr>
            </w:pPr>
            <w:r w:rsidRPr="00820B9D">
              <w:rPr>
                <w:sz w:val="16"/>
              </w:rPr>
              <w:t>–17</w:t>
            </w:r>
          </w:p>
        </w:tc>
        <w:tc>
          <w:tcPr>
            <w:tcW w:w="613" w:type="dxa"/>
            <w:gridSpan w:val="2"/>
            <w:tcBorders>
              <w:bottom w:val="single" w:sz="4" w:space="0" w:color="auto"/>
            </w:tcBorders>
            <w:noWrap/>
            <w:vAlign w:val="bottom"/>
          </w:tcPr>
          <w:p w:rsidR="00EA3039" w:rsidRPr="00820B9D" w:rsidRDefault="00EA3039">
            <w:pPr>
              <w:shd w:val="clear" w:color="000000" w:fill="auto"/>
              <w:spacing w:before="60" w:line="200" w:lineRule="exact"/>
              <w:jc w:val="right"/>
              <w:rPr>
                <w:sz w:val="16"/>
              </w:rPr>
            </w:pPr>
            <w:r w:rsidRPr="00820B9D">
              <w:rPr>
                <w:sz w:val="16"/>
              </w:rPr>
              <w:t>–17</w:t>
            </w:r>
          </w:p>
        </w:tc>
      </w:tr>
    </w:tbl>
    <w:p w:rsidR="00EA3039" w:rsidRPr="00820B9D" w:rsidRDefault="00EA3039">
      <w:pPr>
        <w:pStyle w:val="Rubrik1"/>
        <w:pageBreakBefore/>
        <w:shd w:val="clear" w:color="000000" w:fill="auto"/>
        <w:spacing w:before="0"/>
      </w:pPr>
      <w:r w:rsidRPr="00820B9D">
        <w:t>Inledning</w:t>
      </w:r>
    </w:p>
    <w:p w:rsidR="00EA3039" w:rsidRPr="00820B9D" w:rsidRDefault="00EA3039">
      <w:pPr>
        <w:shd w:val="clear" w:color="000000" w:fill="auto"/>
      </w:pPr>
      <w:r w:rsidRPr="00820B9D">
        <w:t>Miljöpartiet de grönas utgångspunkt är att verka för rättvisa, både globalt och mellan generationer. Det innebär bl.a. att en långsiktigt ekologiskt hållbar utveckling behövs. Vår miljöbelastning måste minska, både i Sverige och i utlandet. EU skall inte användas som förevändning för att skjuta på nationella åtgärder – tvärtom påverkar vi EU genom en kraftfull nationell politik.</w:t>
      </w:r>
    </w:p>
    <w:p w:rsidR="00EA3039" w:rsidRPr="00820B9D" w:rsidRDefault="00EA3039">
      <w:pPr>
        <w:pStyle w:val="Normaltindrag"/>
        <w:shd w:val="clear" w:color="000000" w:fill="auto"/>
      </w:pPr>
      <w:r w:rsidRPr="00820B9D">
        <w:t>De areella näringarna är viktiga för att uppnå miljömålen. Sveriges jor</w:t>
      </w:r>
      <w:r w:rsidRPr="00820B9D">
        <w:t>d</w:t>
      </w:r>
      <w:r w:rsidRPr="00820B9D">
        <w:t>brukspolitik skall syfta till en hållbar landsbygdsutveckling, med ett decentr</w:t>
      </w:r>
      <w:r w:rsidRPr="00820B9D">
        <w:t>a</w:t>
      </w:r>
      <w:r w:rsidRPr="00820B9D">
        <w:t>liserat, ekologiskt anpassat jordbruk där miljömålen och en god djurhållning prioriteras.</w:t>
      </w:r>
    </w:p>
    <w:p w:rsidR="00EA3039" w:rsidRPr="00820B9D" w:rsidRDefault="00EA3039">
      <w:pPr>
        <w:pStyle w:val="Normaltindrag"/>
        <w:shd w:val="clear" w:color="000000" w:fill="auto"/>
      </w:pPr>
      <w:r w:rsidRPr="00820B9D">
        <w:t>Det är viktigt att vår generation int</w:t>
      </w:r>
      <w:r w:rsidRPr="00820B9D">
        <w:rPr>
          <w:spacing w:val="-2"/>
        </w:rPr>
        <w:t>e överlämnar en utarmad, plundrad mil</w:t>
      </w:r>
      <w:r w:rsidRPr="00820B9D">
        <w:t>jö. Arbetet mot klimatförändringar och för skydd av biologisk mångfald och ett giftfritt samhälle måste förstärkas. Djurskyddet skall förstärkas, inte försv</w:t>
      </w:r>
      <w:r w:rsidRPr="00820B9D">
        <w:t>a</w:t>
      </w:r>
      <w:r w:rsidRPr="00820B9D">
        <w:t>gas. Fiskeflottan skall minskas och fiskevården förbättras.</w:t>
      </w:r>
    </w:p>
    <w:p w:rsidR="00EA3039" w:rsidRPr="00820B9D" w:rsidRDefault="00EA3039">
      <w:pPr>
        <w:pStyle w:val="Rubrik2"/>
        <w:shd w:val="clear" w:color="000000" w:fill="auto"/>
      </w:pPr>
      <w:r w:rsidRPr="00820B9D">
        <w:t>Miljöpolitiken</w:t>
      </w:r>
    </w:p>
    <w:p w:rsidR="00EA3039" w:rsidRPr="00820B9D" w:rsidRDefault="00EA3039">
      <w:pPr>
        <w:shd w:val="clear" w:color="000000" w:fill="auto"/>
      </w:pPr>
      <w:r w:rsidRPr="00820B9D">
        <w:t>Trots klara framsteg tar regeringens miljöpolitik sammantaget ett kraftigt kliv bakåt. Vid en närmare granskning visar sig flera ”satsningar” snarast vara dimridåer.</w:t>
      </w:r>
    </w:p>
    <w:p w:rsidR="00EA3039" w:rsidRPr="00820B9D" w:rsidRDefault="00EA3039">
      <w:pPr>
        <w:pStyle w:val="Normaltindrag"/>
        <w:shd w:val="clear" w:color="000000" w:fill="auto"/>
      </w:pPr>
      <w:r w:rsidRPr="00820B9D">
        <w:t>Mest positivt är att regeringen nu upptäckt och forts</w:t>
      </w:r>
      <w:r w:rsidRPr="00820B9D">
        <w:rPr>
          <w:spacing w:val="-2"/>
        </w:rPr>
        <w:t>ätter den ”gröna skat</w:t>
      </w:r>
      <w:r w:rsidRPr="00820B9D">
        <w:t>t</w:t>
      </w:r>
      <w:r w:rsidRPr="00820B9D">
        <w:t>e</w:t>
      </w:r>
      <w:r w:rsidRPr="00820B9D">
        <w:t>växlingen”. Skatter som ger incitament att t.ex. minska utsläpp av koldioxid finansierar samtidigt sänkningar av skatterna på arbetet.</w:t>
      </w:r>
    </w:p>
    <w:p w:rsidR="00EA3039" w:rsidRPr="00820B9D" w:rsidRDefault="00EA3039">
      <w:pPr>
        <w:pStyle w:val="Normaltindrag"/>
        <w:shd w:val="clear" w:color="000000" w:fill="auto"/>
      </w:pPr>
      <w:r w:rsidRPr="00820B9D">
        <w:t>Mest allvarligt är neddragningar av anslagen för skydd av natur och biol</w:t>
      </w:r>
      <w:r w:rsidRPr="00820B9D">
        <w:t>o</w:t>
      </w:r>
      <w:r w:rsidRPr="00820B9D">
        <w:t>gisk mångfald. När upprepade rapporter slår fast att takten är för långsam för att uppnå våra egna mål och klara våra internationella åtaganden, samtidigt som pågående klimat</w:t>
      </w:r>
      <w:r w:rsidRPr="00820B9D">
        <w:softHyphen/>
        <w:t>förändringar gör det ännu viktigare med naturskydd vill regeringen dra ned på anslagen och takten. På motsvarande sätt drar regerin</w:t>
      </w:r>
      <w:r w:rsidRPr="00820B9D">
        <w:t>g</w:t>
      </w:r>
      <w:r w:rsidRPr="00820B9D">
        <w:t>en ned på arbetet med att sanera giftiga markområden, trots att behoven ökat. Satsningen på havsmiljön är mest symbolisk, eftersom den bygger på att pengarna förs över från andra anslag. Symbolvärdet urho</w:t>
      </w:r>
      <w:r w:rsidRPr="00820B9D">
        <w:t>lkas av att fokus ligger på kunskapsinhämtning, i stället för konkreta åtgärder. ”Klimatmilja</w:t>
      </w:r>
      <w:r w:rsidRPr="00820B9D">
        <w:t>r</w:t>
      </w:r>
      <w:r w:rsidRPr="00820B9D">
        <w:t>den” visar sig också till stor del bestå av en kombination av symbol</w:t>
      </w:r>
      <w:r w:rsidRPr="00820B9D">
        <w:softHyphen/>
        <w:t>satsningar och kosmetika som döljer neddragningar.</w:t>
      </w:r>
    </w:p>
    <w:p w:rsidR="00EA3039" w:rsidRPr="00820B9D" w:rsidRDefault="00EA3039">
      <w:pPr>
        <w:pStyle w:val="Normaltindrag"/>
        <w:shd w:val="clear" w:color="000000" w:fill="auto"/>
      </w:pPr>
      <w:r w:rsidRPr="00820B9D">
        <w:t>Miljöpartiet vill ta vara på den ökande insikten om klimathotets allvar för att kraftigt öka insatserna för att minska utsläppen inom bostäder, lokaler, transportsystem, produktion m.m. Naturskyddet ökas. Satsningar på havsmi</w:t>
      </w:r>
      <w:r w:rsidRPr="00820B9D">
        <w:t>l</w:t>
      </w:r>
      <w:r w:rsidRPr="00820B9D">
        <w:t>jön inriktas på konkreta åtgärder, t.ex. för att minska övergödningen. San</w:t>
      </w:r>
      <w:r w:rsidRPr="00820B9D">
        <w:t>e</w:t>
      </w:r>
      <w:r w:rsidRPr="00820B9D">
        <w:t>ringen av förorenade områden fortsätter och utvidgas för att också omfatta läckande skeppsvrak. Miljöpartiet tar synpunkterna från Riksrevisionen på allvar och tillför centrala miljömyndigheter extra resurser för att dessa skall kunna klara sina uppdrag.</w:t>
      </w:r>
    </w:p>
    <w:p w:rsidR="00EA3039" w:rsidRPr="00820B9D" w:rsidRDefault="00EA3039">
      <w:pPr>
        <w:pStyle w:val="Rubrik2"/>
        <w:shd w:val="clear" w:color="000000" w:fill="auto"/>
      </w:pPr>
      <w:r w:rsidRPr="00820B9D">
        <w:t>Areella näringar</w:t>
      </w:r>
    </w:p>
    <w:p w:rsidR="00EA3039" w:rsidRPr="00820B9D" w:rsidRDefault="00EA3039">
      <w:pPr>
        <w:shd w:val="clear" w:color="000000" w:fill="auto"/>
      </w:pPr>
      <w:r w:rsidRPr="00820B9D">
        <w:t>Miljöpartiet drev igenom en kraftig ökning av landsbygdsprogrammet med 1 miljard kronor per år, för i första hand ökade miljöinsatser inom jordbruket, i samarbetet med regeringen och Vänsterpartiet i slutet på förra mandatperi</w:t>
      </w:r>
      <w:r w:rsidRPr="00820B9D">
        <w:t>o</w:t>
      </w:r>
      <w:r w:rsidRPr="00820B9D">
        <w:t>den. Denna ökning lämnas nästan intakt i regeringens förslag, sånär som på en mindre summa som slussas över till Fiskeriverket för ökad fiskerikontroll. Denna satsning är bra, men de stora problemen finns i senare led i rättssyst</w:t>
      </w:r>
      <w:r w:rsidRPr="00820B9D">
        <w:t>e</w:t>
      </w:r>
      <w:r w:rsidRPr="00820B9D">
        <w:t>met och där görs ingenting nu.</w:t>
      </w:r>
    </w:p>
    <w:p w:rsidR="00EA3039" w:rsidRPr="00820B9D" w:rsidRDefault="00EA3039">
      <w:pPr>
        <w:pStyle w:val="Normaltindrag"/>
        <w:shd w:val="clear" w:color="000000" w:fill="auto"/>
      </w:pPr>
      <w:r w:rsidRPr="00820B9D">
        <w:t>Trots att regeringen säger sig föredra naturvårdsavtal som instrument för skydd av skogen blir det i praktiken en neddragning genom att ingen hänsyn tas till ökande priser på skog och mark. Regeringen drar också kraftigt ned på arbetet med djurskydde</w:t>
      </w:r>
      <w:r w:rsidRPr="00820B9D">
        <w:t>t. Regeringen slopar den särskilda satsningen på ekologisk produktion. Vi satsar mer pengar på skogsvårdsavtal, men mindre till återplantering av nedfällda granskogar – blandskog har bättre motstånd</w:t>
      </w:r>
      <w:r w:rsidRPr="00820B9D">
        <w:t>s</w:t>
      </w:r>
      <w:r w:rsidRPr="00820B9D">
        <w:t>kraft mot både stormar och skadeinsekter. Miljöpartiet vill fortsätta att satsa på förbättrat djurskydd, även efter det att ansvaret flyttats över till Jordbruk</w:t>
      </w:r>
      <w:r w:rsidRPr="00820B9D">
        <w:t>s</w:t>
      </w:r>
      <w:r w:rsidRPr="00820B9D">
        <w:t>verket. Vi vill också fortsätta att satsa på att utveckla alternativa metoder till djurförsök. Vi vill fortsätta satsningen på ekologisk livsmedelsprodu</w:t>
      </w:r>
      <w:r w:rsidRPr="00820B9D">
        <w:t>ktion. Vi satsar på en neddragning av fiskeflottans överkapacitet, en orsak både till överfisket och till fusket. Vi satsar också på ökad fiskevård.</w:t>
      </w:r>
    </w:p>
    <w:p w:rsidR="00EA3039" w:rsidRPr="00820B9D" w:rsidRDefault="00EA3039">
      <w:pPr>
        <w:pStyle w:val="Rubrik1"/>
        <w:shd w:val="clear" w:color="000000" w:fill="auto"/>
      </w:pPr>
      <w:r w:rsidRPr="00820B9D">
        <w:t>Utgiftsområde 20 – Allmän miljö- och naturvård</w:t>
      </w:r>
    </w:p>
    <w:p w:rsidR="00EA3039" w:rsidRPr="00820B9D" w:rsidRDefault="00EA3039">
      <w:pPr>
        <w:pStyle w:val="Rubrik2"/>
        <w:shd w:val="clear" w:color="000000" w:fill="auto"/>
        <w:spacing w:before="120"/>
      </w:pPr>
      <w:r w:rsidRPr="00820B9D">
        <w:t>Naturvårdsverket, 34:12 Havsmiljö</w:t>
      </w:r>
    </w:p>
    <w:p w:rsidR="00EA3039" w:rsidRPr="00820B9D" w:rsidRDefault="00EA3039">
      <w:pPr>
        <w:shd w:val="clear" w:color="000000" w:fill="auto"/>
      </w:pPr>
      <w:r w:rsidRPr="00820B9D">
        <w:t>Riksrevisionen har i rapport RiR 2006:2 ”Regeringens styrning av Natu</w:t>
      </w:r>
      <w:r w:rsidRPr="00820B9D">
        <w:t>r</w:t>
      </w:r>
      <w:r w:rsidRPr="00820B9D">
        <w:t>vårdsverket” riktat svidande kritik mot regeringens hantering av Naturvård</w:t>
      </w:r>
      <w:r w:rsidRPr="00820B9D">
        <w:t>s</w:t>
      </w:r>
      <w:r w:rsidRPr="00820B9D">
        <w:t>verket. Naturvårdsverkets resurser har i ökad utsträckning använts till att bistå regeringen i utredningsuppdrag, internationella uppdrag och annat som rege</w:t>
      </w:r>
      <w:r w:rsidRPr="00820B9D">
        <w:t>r</w:t>
      </w:r>
      <w:r w:rsidRPr="00820B9D">
        <w:t>ingen behöver för att utforma eller förnya miljöpolitiken. Riksrevisionen konstaterar att uppdragen från regeringen har nått en sådan omfattning att utrymmet minskat för verkets grundläggande uppgift – att genom</w:t>
      </w:r>
      <w:r w:rsidRPr="00820B9D">
        <w:softHyphen/>
        <w:t>föra den beslutade miljöpolitiken. Merkostnaden för de extra utredn</w:t>
      </w:r>
      <w:r w:rsidRPr="00820B9D">
        <w:t>ingsuppdragen som regeringen lägger på verket kan uppskattas till 20 miljoner kronor per år.</w:t>
      </w:r>
    </w:p>
    <w:p w:rsidR="00EA3039" w:rsidRPr="00820B9D" w:rsidRDefault="00EA3039">
      <w:pPr>
        <w:pStyle w:val="Normaltindrag"/>
        <w:shd w:val="clear" w:color="000000" w:fill="auto"/>
      </w:pPr>
      <w:r w:rsidRPr="00820B9D">
        <w:t>Ibland har regeringar valt att utreda vidare i stället för att genomföra åtgä</w:t>
      </w:r>
      <w:r w:rsidRPr="00820B9D">
        <w:t>r</w:t>
      </w:r>
      <w:r w:rsidRPr="00820B9D">
        <w:t>der som kan vara obekväma för någon aktör. Visserligen är det viktigt att öka kunskapen om förhållanden av vikt för val av miljöpolitiska åtgärder. Ku</w:t>
      </w:r>
      <w:r w:rsidRPr="00820B9D">
        <w:t>n</w:t>
      </w:r>
      <w:r w:rsidRPr="00820B9D">
        <w:t>skapsinsamling får dock inte gå ut över genomförandet av åtgärder.</w:t>
      </w:r>
    </w:p>
    <w:p w:rsidR="00EA3039" w:rsidRPr="00820B9D" w:rsidRDefault="00EA3039">
      <w:pPr>
        <w:pStyle w:val="Normaltindrag"/>
        <w:shd w:val="clear" w:color="000000" w:fill="auto"/>
      </w:pPr>
      <w:r w:rsidRPr="00820B9D">
        <w:t>Regeringen har skapat en särskild budgetpost för havsmiljön. Det finns en rad miljö</w:t>
      </w:r>
      <w:r w:rsidRPr="00820B9D">
        <w:softHyphen/>
        <w:t>kvalitetsmål som saknar egen anslagspost. Talande är t.ex. att rege</w:t>
      </w:r>
      <w:r w:rsidRPr="00820B9D">
        <w:t>r</w:t>
      </w:r>
      <w:r w:rsidRPr="00820B9D">
        <w:t>ingen väljer att lägga finansieringen av de nya vattenmyndigheterna under anslaget för biologisk mångfald. Miljöarbetet bedrivs normalt genom anslag till myndigheterna, miljöövervakning och särskilda program. Dessutom anger regeringen själv om havsmiljösatsningen i sin budget att ”särskilt fokus ligger på insatser som ger kunskap om rätt åtgärder i havsmiljöarbetet”. Trots den nya budgetposten tycks regeringen sänka ambitionsnivån vad gäll</w:t>
      </w:r>
      <w:r w:rsidRPr="00820B9D">
        <w:t>er åtgärder för havsmiljön.</w:t>
      </w:r>
    </w:p>
    <w:p w:rsidR="00EA3039" w:rsidRPr="00820B9D" w:rsidRDefault="00EA3039">
      <w:pPr>
        <w:pStyle w:val="Normaltindrag"/>
        <w:shd w:val="clear" w:color="000000" w:fill="auto"/>
      </w:pPr>
      <w:r w:rsidRPr="00820B9D">
        <w:t>Miljö</w:t>
      </w:r>
      <w:r w:rsidRPr="00820B9D">
        <w:rPr>
          <w:spacing w:val="-2"/>
        </w:rPr>
        <w:t xml:space="preserve">partiet anser att kunskapsinhämtning är viktig, men genomförandet </w:t>
      </w:r>
      <w:r w:rsidRPr="00820B9D">
        <w:t>a</w:t>
      </w:r>
      <w:r w:rsidRPr="00820B9D">
        <w:rPr>
          <w:spacing w:val="-2"/>
        </w:rPr>
        <w:t>v åtgärder för havsmiljön är viktigare. Enligt regeringens skrivelse En natio</w:t>
      </w:r>
      <w:r w:rsidRPr="00820B9D">
        <w:t>nell strategi för havsmiljön (2004/05:173) skall Naturvårdsverket ha det öve</w:t>
      </w:r>
      <w:r w:rsidRPr="00820B9D">
        <w:t>r</w:t>
      </w:r>
      <w:r w:rsidRPr="00820B9D">
        <w:t>gripande ansvaret för havsmiljön, bl.a. ett samordningsansvar för myndig</w:t>
      </w:r>
      <w:r w:rsidRPr="00820B9D">
        <w:softHyphen/>
        <w:t>heternas arbete med havsmiljö</w:t>
      </w:r>
      <w:r w:rsidRPr="00820B9D">
        <w:softHyphen/>
        <w:t>frågor. För att inte i onödan bryta mot miljö</w:t>
      </w:r>
      <w:r w:rsidRPr="00820B9D">
        <w:softHyphen/>
        <w:t>områdets budgetstruktur och för att markera att tonvikten bör ligga på geno</w:t>
      </w:r>
      <w:r w:rsidRPr="00820B9D">
        <w:t>m</w:t>
      </w:r>
      <w:r w:rsidRPr="00820B9D">
        <w:t>förandet anser Miljöpartiet att insatser för havsmiljön inom utgif</w:t>
      </w:r>
      <w:r w:rsidRPr="00820B9D">
        <w:t>tsområde 20 i huvudsak skall finansieras genom anslag till Naturvårdsverket. Särskilt viktigt är konkreta åtgärder mot övergödning. Restaurering och inrättande av vå</w:t>
      </w:r>
      <w:r w:rsidRPr="00820B9D">
        <w:t>t</w:t>
      </w:r>
      <w:r w:rsidRPr="00820B9D">
        <w:t>marker i både jordbruks- och skogslandskapet behöver ökas, och kan genom de nya vattenmyndigheterna och ett klokare genomförande bli betydligt effe</w:t>
      </w:r>
      <w:r w:rsidRPr="00820B9D">
        <w:t>k</w:t>
      </w:r>
      <w:r w:rsidRPr="00820B9D">
        <w:t>tivare än tidigare satsningar. Därför bör Naturvårdsverkets anslag höjas med ytterligare 100 miljoner kronor jämfört med regeringens förslag, i huvudsak för konkreta åtgärder för att för</w:t>
      </w:r>
      <w:r w:rsidRPr="00820B9D">
        <w:softHyphen/>
        <w:t>bättra milj</w:t>
      </w:r>
      <w:r w:rsidRPr="00820B9D">
        <w:t>ösituationen i havsområden. Samt</w:t>
      </w:r>
      <w:r w:rsidRPr="00820B9D">
        <w:t>i</w:t>
      </w:r>
      <w:r w:rsidRPr="00820B9D">
        <w:t>digt bör anslagsposten Havsmiljö upphöra.</w:t>
      </w:r>
    </w:p>
    <w:p w:rsidR="00EA3039" w:rsidRPr="00820B9D" w:rsidRDefault="00EA3039">
      <w:pPr>
        <w:pStyle w:val="Normaltindrag"/>
        <w:shd w:val="clear" w:color="000000" w:fill="auto"/>
      </w:pPr>
      <w:r w:rsidRPr="00820B9D">
        <w:t>Naturvårdsverkets anslag för 2008 bör höjas med totalt 120 miljoner kr</w:t>
      </w:r>
      <w:r w:rsidRPr="00820B9D">
        <w:t>o</w:t>
      </w:r>
      <w:r w:rsidRPr="00820B9D">
        <w:t>nor och anslag 34:12 minskas med 100 miljoner kronor jämfört med rege</w:t>
      </w:r>
      <w:r w:rsidRPr="00820B9D">
        <w:t>r</w:t>
      </w:r>
      <w:r w:rsidRPr="00820B9D">
        <w:t>ingens förslag.</w:t>
      </w:r>
    </w:p>
    <w:p w:rsidR="00EA3039" w:rsidRPr="00820B9D" w:rsidRDefault="00EA3039">
      <w:pPr>
        <w:pStyle w:val="Rubrik2"/>
        <w:shd w:val="clear" w:color="000000" w:fill="auto"/>
      </w:pPr>
      <w:r w:rsidRPr="00820B9D">
        <w:t>Åtgärder för biologisk mångfald</w:t>
      </w:r>
    </w:p>
    <w:p w:rsidR="00EA3039" w:rsidRPr="00820B9D" w:rsidRDefault="00EA3039">
      <w:pPr>
        <w:shd w:val="clear" w:color="000000" w:fill="auto"/>
      </w:pPr>
      <w:r w:rsidRPr="00820B9D">
        <w:t>Flera rapporter har slagit fast att Sverige inte kommer att nå målet för skydd av skog med nuvarande takt. Vi kommer inte heller att klara våra internati</w:t>
      </w:r>
      <w:r w:rsidRPr="00820B9D">
        <w:t>o</w:t>
      </w:r>
      <w:r w:rsidRPr="00820B9D">
        <w:t xml:space="preserve">nella förpliktelser för skydd av biologisk mångfald. Klimatförändringar ökar behovet av skyddade arealer ännu mer än vad som var allmänt erkänt när det nationella målet fastställdes. </w:t>
      </w:r>
    </w:p>
    <w:p w:rsidR="00EA3039" w:rsidRPr="00820B9D" w:rsidRDefault="00EA3039">
      <w:pPr>
        <w:pStyle w:val="Normaltindrag"/>
        <w:shd w:val="clear" w:color="000000" w:fill="auto"/>
      </w:pPr>
      <w:r w:rsidRPr="00820B9D">
        <w:t>Regeringen konstaterar i sin budget att kraftigt stigande priser på skogsfa</w:t>
      </w:r>
      <w:r w:rsidRPr="00820B9D">
        <w:t>s</w:t>
      </w:r>
      <w:r w:rsidRPr="00820B9D">
        <w:t>tigheter gör det dyrare att skydda produktiva skogsarealer. Det är mot den bakgrunden motsägelse</w:t>
      </w:r>
      <w:r w:rsidRPr="00820B9D">
        <w:softHyphen/>
        <w:t>fullt att regeringen föreslår en sänkning av anslagen till biologisk mångfald. Neddragningen blir större än vad den ser ut att vara eftersom regeringen väljer att lägga finansieringen av de nya vattenmyndig</w:t>
      </w:r>
      <w:r w:rsidRPr="00820B9D">
        <w:softHyphen/>
        <w:t xml:space="preserve">heterna under anslaget för biologisk mångfald. Den nya vattenförvaltningen behövs för att genomföra EG:s ramdirektiv för vatten och utgör en ny, stor uppgift. Vattenmyndigheterna kan komma att betyda mycket </w:t>
      </w:r>
      <w:r w:rsidRPr="00820B9D">
        <w:t>för biologisk mångfald, men de kan och bör även bidra till uppfyllelsen av mål som Ingen övergödning, vilket är av stor betydelse för havsmiljön. Tidigare beräkningar tyder på att kostnaden för den nya vattenförvaltningen kan uppgå till storlek</w:t>
      </w:r>
      <w:r w:rsidRPr="00820B9D">
        <w:t>s</w:t>
      </w:r>
      <w:r w:rsidRPr="00820B9D">
        <w:t>ordningen 100 miljoner kronor per år.</w:t>
      </w:r>
    </w:p>
    <w:p w:rsidR="00EA3039" w:rsidRPr="00820B9D" w:rsidRDefault="00EA3039">
      <w:pPr>
        <w:pStyle w:val="Normaltindrag"/>
        <w:shd w:val="clear" w:color="000000" w:fill="auto"/>
      </w:pPr>
      <w:r w:rsidRPr="00820B9D">
        <w:t>Det är vidare viktigt att naturreservat sköts ordentligt för att bevara eller förstärka naturvärden. Skötseln har varit eftersatt. I vissa regioner har pr</w:t>
      </w:r>
      <w:r w:rsidRPr="00820B9D">
        <w:t>o</w:t>
      </w:r>
      <w:r w:rsidRPr="00820B9D">
        <w:t>grammet Gröna jobb bidragit till reservatsskötseln. Skötseln av reservaten borde förbättras, inte försämras. Detta bör riksdagen ge regeringen till känna.</w:t>
      </w:r>
    </w:p>
    <w:p w:rsidR="00EA3039" w:rsidRPr="00820B9D" w:rsidRDefault="00EA3039">
      <w:pPr>
        <w:pStyle w:val="Normaltindrag"/>
        <w:shd w:val="clear" w:color="000000" w:fill="auto"/>
      </w:pPr>
      <w:r w:rsidRPr="00820B9D">
        <w:t>Miljöpartiet anser att anslag 34:3 Åtgärder för biologisk mångfald bör h</w:t>
      </w:r>
      <w:r w:rsidRPr="00820B9D">
        <w:t>ö</w:t>
      </w:r>
      <w:r w:rsidRPr="00820B9D">
        <w:t>jas med 466 miljoner kronor för 2008 jämfört med regeringens förslag.</w:t>
      </w:r>
    </w:p>
    <w:p w:rsidR="00EA3039" w:rsidRPr="00820B9D" w:rsidRDefault="00EA3039">
      <w:pPr>
        <w:pStyle w:val="Rubrik2"/>
        <w:shd w:val="clear" w:color="000000" w:fill="auto"/>
      </w:pPr>
      <w:r w:rsidRPr="00820B9D">
        <w:t>Sanering och återställande av förorenade markområden</w:t>
      </w:r>
    </w:p>
    <w:p w:rsidR="00EA3039" w:rsidRPr="00820B9D" w:rsidRDefault="00EA3039">
      <w:pPr>
        <w:shd w:val="clear" w:color="000000" w:fill="auto"/>
      </w:pPr>
      <w:r w:rsidRPr="00820B9D">
        <w:t xml:space="preserve">Regeringen konstaterar i sin budget att genomförda inventeringar har visat att det totala antalet förorenade områden är betydligt större än vad som tidigare varit känt. Dessutom är antalet prioriterade områden betydligt större. </w:t>
      </w:r>
    </w:p>
    <w:p w:rsidR="00EA3039" w:rsidRPr="00820B9D" w:rsidRDefault="00EA3039">
      <w:pPr>
        <w:pStyle w:val="Normaltindrag"/>
        <w:shd w:val="clear" w:color="000000" w:fill="auto"/>
      </w:pPr>
      <w:r w:rsidRPr="00820B9D">
        <w:t>Trots detta har regeringen dragit slutsatsen att anslaget för sanering av fö</w:t>
      </w:r>
      <w:r w:rsidRPr="00820B9D">
        <w:t>r</w:t>
      </w:r>
      <w:r w:rsidRPr="00820B9D">
        <w:t>orenade markområden skall sänkas med 50 miljoner kronor jämfört med för</w:t>
      </w:r>
      <w:r w:rsidRPr="00820B9D">
        <w:t>e</w:t>
      </w:r>
      <w:r w:rsidRPr="00820B9D">
        <w:t>gående år. Regeringen aviserar samtidigt att anslagen bör återställas och höjas något 2009 och höjas rejält 2010. Detta ger en ryckighet i genomförandeta</w:t>
      </w:r>
      <w:r w:rsidRPr="00820B9D">
        <w:t>k</w:t>
      </w:r>
      <w:r w:rsidRPr="00820B9D">
        <w:t>ten som är till nackdel för både företag och kommuner och knappast är kos</w:t>
      </w:r>
      <w:r w:rsidRPr="00820B9D">
        <w:t>t</w:t>
      </w:r>
      <w:r w:rsidRPr="00820B9D">
        <w:t>nadseffektiv. Ryckighet skapar en osäkerhet om regeringens intentioner hos aktörerna, och den kan i värsta fall leda till konkurser hos företag som utvec</w:t>
      </w:r>
      <w:r w:rsidRPr="00820B9D">
        <w:t>k</w:t>
      </w:r>
      <w:r w:rsidRPr="00820B9D">
        <w:t>lat metoder för marksanering men ser sin marknad krympa t</w:t>
      </w:r>
      <w:r w:rsidRPr="00820B9D">
        <w:t>ill följd av rege</w:t>
      </w:r>
      <w:r w:rsidRPr="00820B9D">
        <w:t>r</w:t>
      </w:r>
      <w:r w:rsidRPr="00820B9D">
        <w:t>ingsbeslut. Miljöpartiet vill i stället ha en mer ordnad och gradvis ökning av anslagen till sanering av förorenade markområden.</w:t>
      </w:r>
    </w:p>
    <w:p w:rsidR="00EA3039" w:rsidRPr="00820B9D" w:rsidRDefault="00EA3039">
      <w:pPr>
        <w:pStyle w:val="Normaltindrag"/>
        <w:shd w:val="clear" w:color="000000" w:fill="auto"/>
      </w:pPr>
      <w:r w:rsidRPr="00820B9D">
        <w:t>Sanering av förorenad mark blir både viktigare och mer brådskande till följd av klimatstörningarna. Klimat</w:t>
      </w:r>
      <w:r w:rsidRPr="00820B9D">
        <w:rPr>
          <w:spacing w:val="-2"/>
        </w:rPr>
        <w:t>förändringen antas leda till ändrade vat</w:t>
      </w:r>
      <w:r w:rsidRPr="00820B9D">
        <w:t>te</w:t>
      </w:r>
      <w:r w:rsidRPr="00820B9D">
        <w:t>n</w:t>
      </w:r>
      <w:r w:rsidRPr="00820B9D">
        <w:t>förhållanden i landet. Enligt Sårbarhetskommittén finns en ökad risk för öve</w:t>
      </w:r>
      <w:r w:rsidRPr="00820B9D">
        <w:t>r</w:t>
      </w:r>
      <w:r w:rsidRPr="00820B9D">
        <w:t>svämningar. Sanering av förorenade områden i riskzoner för översvämning bör ges hög prioritet.</w:t>
      </w:r>
    </w:p>
    <w:p w:rsidR="00EA3039" w:rsidRPr="00820B9D" w:rsidRDefault="00EA3039">
      <w:pPr>
        <w:pStyle w:val="Normaltindrag"/>
        <w:shd w:val="clear" w:color="000000" w:fill="auto"/>
      </w:pPr>
      <w:r w:rsidRPr="00820B9D">
        <w:t>Också skeppsvrak som förorenar eller riskerar att förorena områden i hav och sjö behöver saneras. Det har tidigare rått oklarhet om vem som ansvarar för finansiering av denna sanering. Det finns dessutom tekniska problem som behöver lösas. Miljöpartiet anser att anslaget för sanering av förorenad</w:t>
      </w:r>
      <w:r w:rsidRPr="00820B9D">
        <w:t>e o</w:t>
      </w:r>
      <w:r w:rsidRPr="00820B9D">
        <w:t>m</w:t>
      </w:r>
      <w:r w:rsidRPr="00820B9D">
        <w:t>råden uttryckligen behöver utvidgas till att omfatta även områden till havs och i insjöar. Det behövs både en ordentlig inventering av vilka vrak som finns och en bedömning av riskerna, metodutveckling för att förebygga milj</w:t>
      </w:r>
      <w:r w:rsidRPr="00820B9D">
        <w:t>ö</w:t>
      </w:r>
      <w:r w:rsidRPr="00820B9D">
        <w:t>farliga utsläpp, genomgång av gällande regelverk, uppskattning av kostnader samt upprättande och genomförande av ett åtgärdsprogram. För att vidare</w:t>
      </w:r>
      <w:r w:rsidRPr="00820B9D">
        <w:softHyphen/>
        <w:t>utveckla och påskynda detta arbete bör anslagen för sanering och återställning av förorenade områden höjas med 50 miljoner kronor.</w:t>
      </w:r>
    </w:p>
    <w:p w:rsidR="00EA3039" w:rsidRPr="00820B9D" w:rsidRDefault="00EA3039">
      <w:pPr>
        <w:pStyle w:val="Normaltindrag"/>
        <w:shd w:val="clear" w:color="000000" w:fill="auto"/>
      </w:pPr>
      <w:r w:rsidRPr="00820B9D">
        <w:t>Samm</w:t>
      </w:r>
      <w:r w:rsidRPr="00820B9D">
        <w:t>antaget bör anslag 34:4 Sanering och återställning av förorenade områden höjas med 100 miljoner kronor 2008 jämfört med regeringens fö</w:t>
      </w:r>
      <w:r w:rsidRPr="00820B9D">
        <w:t>r</w:t>
      </w:r>
      <w:r w:rsidRPr="00820B9D">
        <w:t>slag.</w:t>
      </w:r>
    </w:p>
    <w:p w:rsidR="00EA3039" w:rsidRPr="00820B9D" w:rsidRDefault="00EA3039">
      <w:pPr>
        <w:pStyle w:val="Rubrik2"/>
        <w:shd w:val="clear" w:color="000000" w:fill="auto"/>
      </w:pPr>
      <w:r w:rsidRPr="00820B9D">
        <w:t>Kemikalieinspektionen</w:t>
      </w:r>
    </w:p>
    <w:p w:rsidR="00EA3039" w:rsidRPr="00820B9D" w:rsidRDefault="00EA3039">
      <w:pPr>
        <w:shd w:val="clear" w:color="000000" w:fill="auto"/>
      </w:pPr>
      <w:r w:rsidRPr="00820B9D">
        <w:t>Riksrevisionen riktade förra året hård kritik mot finansieringen av Kemikalie</w:t>
      </w:r>
      <w:r w:rsidRPr="00820B9D">
        <w:softHyphen/>
        <w:t>inspektionens verksamhet (RiR 2006:4 ”Mer kemikalier och bristande ko</w:t>
      </w:r>
      <w:r w:rsidRPr="00820B9D">
        <w:t>n</w:t>
      </w:r>
      <w:r w:rsidRPr="00820B9D">
        <w:t>troll”). Riksrevisionen kom fram till att tillsynen av tillverkare och importörer av kemiska produkter är otillräcklig vad gäller såväl omfattning som innehåll. Vidare har kemikalieavgifterna använts till mer än tillsyn, i strid med avgift</w:t>
      </w:r>
      <w:r w:rsidRPr="00820B9D">
        <w:t>s</w:t>
      </w:r>
      <w:r w:rsidRPr="00820B9D">
        <w:t>förordningen. Det underliggande skälet till detta har varit snålt tilltagna a</w:t>
      </w:r>
      <w:r w:rsidRPr="00820B9D">
        <w:t>n</w:t>
      </w:r>
      <w:r w:rsidRPr="00820B9D">
        <w:t>slag i förhållande till myndighetens uppgifter.</w:t>
      </w:r>
    </w:p>
    <w:p w:rsidR="00EA3039" w:rsidRPr="00820B9D" w:rsidRDefault="00EA3039">
      <w:pPr>
        <w:pStyle w:val="Normaltindrag"/>
        <w:shd w:val="clear" w:color="000000" w:fill="auto"/>
      </w:pPr>
      <w:r w:rsidRPr="00820B9D">
        <w:t>Det är viktigt att Sverige deltar aktivt i EU-arbetet, särskilt i samband m</w:t>
      </w:r>
      <w:r w:rsidRPr="00820B9D">
        <w:t>ed Reach. EU-arbetet är dock resurskrävande. Tillsynen i Sverige behöver också förbättras. Tillämpningen av substitutionsprincipen har varit eftersatt.</w:t>
      </w:r>
    </w:p>
    <w:p w:rsidR="00EA3039" w:rsidRPr="00820B9D" w:rsidRDefault="00EA3039">
      <w:pPr>
        <w:pStyle w:val="Normaltindrag"/>
        <w:shd w:val="clear" w:color="000000" w:fill="auto"/>
      </w:pPr>
      <w:r w:rsidRPr="00820B9D">
        <w:t>Anslag 34:6 Kemikalieinspektionen bör höjas med 30 miljoner kronor 2008 jämfört med regeringens förslag.</w:t>
      </w:r>
    </w:p>
    <w:p w:rsidR="00EA3039" w:rsidRPr="00820B9D" w:rsidRDefault="00EA3039">
      <w:pPr>
        <w:pStyle w:val="Rubrik2"/>
        <w:shd w:val="clear" w:color="000000" w:fill="auto"/>
      </w:pPr>
      <w:r w:rsidRPr="00820B9D">
        <w:t>Sveriges meteorologiska och hydrologiska institut</w:t>
      </w:r>
    </w:p>
    <w:p w:rsidR="00EA3039" w:rsidRPr="00820B9D" w:rsidRDefault="00EA3039">
      <w:pPr>
        <w:shd w:val="clear" w:color="000000" w:fill="auto"/>
      </w:pPr>
      <w:r w:rsidRPr="00820B9D">
        <w:t>SMHI har viktiga uppgifter på både klimat- och havsmiljöområdet. Dess arbete med hydrologiska frågor som översvämningsrisk blir också viktigare och mer omfattande i takt med klimatförändringarna. Regeringens förslag att öka anslagen för att säkra forskningen vid Rossby Center är bra. Men det kompenserar inte neddragningen av anslagen i budgetpropositionen för 2007. Det kan också ifrågasättas om inte flera uppgifter borde tillhandahållas kos</w:t>
      </w:r>
      <w:r w:rsidRPr="00820B9D">
        <w:t>t</w:t>
      </w:r>
      <w:r w:rsidRPr="00820B9D">
        <w:t>nadsfritt till kommuner. Det kan vara en suboptimering om uppgifter som redan tagits fram inte görs tillgängliga för kommuner som har behov av dem.</w:t>
      </w:r>
    </w:p>
    <w:p w:rsidR="00EA3039" w:rsidRPr="00820B9D" w:rsidRDefault="00EA3039">
      <w:pPr>
        <w:pStyle w:val="Normaltindrag"/>
        <w:shd w:val="clear" w:color="000000" w:fill="auto"/>
      </w:pPr>
      <w:r w:rsidRPr="00820B9D">
        <w:t>Miljöpartiet föreslår en höjning av anslag 34:9 2008 med 17 miljoner kr</w:t>
      </w:r>
      <w:r w:rsidRPr="00820B9D">
        <w:t>o</w:t>
      </w:r>
      <w:r w:rsidRPr="00820B9D">
        <w:t>nor jämfört med regeringens förslag.</w:t>
      </w:r>
    </w:p>
    <w:p w:rsidR="00EA3039" w:rsidRPr="00820B9D" w:rsidRDefault="00EA3039">
      <w:pPr>
        <w:pStyle w:val="Rubrik2"/>
        <w:shd w:val="clear" w:color="000000" w:fill="auto"/>
      </w:pPr>
      <w:r w:rsidRPr="00820B9D">
        <w:t>Stöd till klimatinvesteringar</w:t>
      </w:r>
    </w:p>
    <w:p w:rsidR="00EA3039" w:rsidRPr="00820B9D" w:rsidRDefault="00EA3039">
      <w:pPr>
        <w:shd w:val="clear" w:color="000000" w:fill="auto"/>
      </w:pPr>
      <w:r w:rsidRPr="00820B9D">
        <w:t>Regeringens satsning på Hållbara städer har vissa förtjänster. Men omfat</w:t>
      </w:r>
      <w:r w:rsidRPr="00820B9D">
        <w:t>t</w:t>
      </w:r>
      <w:r w:rsidRPr="00820B9D">
        <w:t>ningen är för liten. Samordningen med andra frågor t.o.m. inom samma u</w:t>
      </w:r>
      <w:r w:rsidRPr="00820B9D">
        <w:t>t</w:t>
      </w:r>
      <w:r w:rsidRPr="00820B9D">
        <w:t>giftsområde är dålig. Viktigt för hållbara städer är t.ex. att nybyggnation sker i lägen där transportarbetet minimeras, att det kan försörjas med kollektivtr</w:t>
      </w:r>
      <w:r w:rsidRPr="00820B9D">
        <w:t>a</w:t>
      </w:r>
      <w:r w:rsidRPr="00820B9D">
        <w:t>fik och fjärr</w:t>
      </w:r>
      <w:r w:rsidRPr="00820B9D">
        <w:softHyphen/>
        <w:t>värme samtidigt som städernas grönområden bevaras. Redan exploaterad, nedlagd industrimark har alltså strategisk betydelse. Denna mark är dock ofta kraftigt förorenad och måste saneras före exploatering. Uppskj</w:t>
      </w:r>
      <w:r w:rsidRPr="00820B9D">
        <w:t>u</w:t>
      </w:r>
      <w:r w:rsidRPr="00820B9D">
        <w:t>tet saneringsarbete fördröjer utvecklingen. Därför är de</w:t>
      </w:r>
      <w:r w:rsidRPr="00820B9D">
        <w:t>t motsägelsefullt att sänka anslagen för sanering av förorenade områden.</w:t>
      </w:r>
    </w:p>
    <w:p w:rsidR="00EA3039" w:rsidRPr="00820B9D" w:rsidRDefault="00EA3039">
      <w:pPr>
        <w:pStyle w:val="Normaltindrag"/>
        <w:shd w:val="clear" w:color="000000" w:fill="auto"/>
      </w:pPr>
      <w:r w:rsidRPr="00820B9D">
        <w:t>Miljöpartiet anser att klimatinvesteringsprogrammet (Klimp) bör fortsätta i något utökad omfattning och i något reviderat format. Bland annat bör inslag av teknikutveckling och användning av spetsteknik utökas. Intresset för att öka produktionen av alternativa fordonsbränslen ökar.  Biogas är ett speciellt utmärkt fordonsbränsle, samtidigt som man kan producera biogas från sa</w:t>
      </w:r>
      <w:r w:rsidRPr="00820B9D">
        <w:t>m</w:t>
      </w:r>
      <w:r w:rsidRPr="00820B9D">
        <w:t>hällets restprodukter bidrar man till att lösa flera problem samtidigt.  Klim</w:t>
      </w:r>
      <w:r w:rsidRPr="00820B9D">
        <w:t>p</w:t>
      </w:r>
      <w:r w:rsidRPr="00820B9D">
        <w:t>stödet har varit ett positivt instrument för satsningar på biogasproduktion i olika projekt, och det är av vikt att dessa satsningar får fortsätta att utvecklas. Miljöpartiet vill att biogasproduktionen får en stor möjlighet att utvecklas i hela landet och ökar därmed satsningen på Klimp.</w:t>
      </w:r>
    </w:p>
    <w:p w:rsidR="00EA3039" w:rsidRPr="00820B9D" w:rsidRDefault="00EA3039">
      <w:pPr>
        <w:pStyle w:val="Normaltindrag"/>
        <w:shd w:val="clear" w:color="000000" w:fill="auto"/>
      </w:pPr>
      <w:r w:rsidRPr="00820B9D">
        <w:t>Ramarna för regeringens satsning på stöd för klimatinvesteringar och de nivåer som regeringen anvisar är otillräckliga för att ersätta Klimp. V</w:t>
      </w:r>
      <w:r w:rsidRPr="00820B9D">
        <w:t>i utvec</w:t>
      </w:r>
      <w:r w:rsidRPr="00820B9D">
        <w:t>k</w:t>
      </w:r>
      <w:r w:rsidRPr="00820B9D">
        <w:t>lar vår syn på klimatinvesteringar och klimatpolitiken i övrigt i andra sa</w:t>
      </w:r>
      <w:r w:rsidRPr="00820B9D">
        <w:t>m</w:t>
      </w:r>
      <w:r w:rsidRPr="00820B9D">
        <w:t>manhang, bl.a. vår budgetmotion 2007.</w:t>
      </w:r>
    </w:p>
    <w:p w:rsidR="00EA3039" w:rsidRPr="00820B9D" w:rsidRDefault="00EA3039">
      <w:pPr>
        <w:pStyle w:val="Rubrik2"/>
        <w:shd w:val="clear" w:color="000000" w:fill="auto"/>
      </w:pPr>
      <w:r w:rsidRPr="00820B9D">
        <w:t>Miljöbilspremie</w:t>
      </w:r>
    </w:p>
    <w:p w:rsidR="00EA3039" w:rsidRPr="00820B9D" w:rsidRDefault="00EA3039">
      <w:pPr>
        <w:shd w:val="clear" w:color="000000" w:fill="auto"/>
      </w:pPr>
      <w:r w:rsidRPr="00820B9D">
        <w:t>Miljöpartiet har länge drivit frågan om förnybara fordonsbränslen. Tack vare den politik som vi genomfört fanns förutsättningar på plats – fordon, bränslen och distributionsnät – så att utvecklingen har kunnat ta fart. Konsumenternas intresse är väckt och växer. ”Miljöbilar” har fått ett genomslag. För att mar</w:t>
      </w:r>
      <w:r w:rsidRPr="00820B9D">
        <w:t>k</w:t>
      </w:r>
      <w:r w:rsidRPr="00820B9D">
        <w:t>nadsetableringen skall befästas och för att ge underlag för ett utbyggt distrib</w:t>
      </w:r>
      <w:r w:rsidRPr="00820B9D">
        <w:t>u</w:t>
      </w:r>
      <w:r w:rsidRPr="00820B9D">
        <w:t>tionsnät bör satsningen tillfälligt intensifieras.</w:t>
      </w:r>
    </w:p>
    <w:p w:rsidR="00EA3039" w:rsidRPr="00820B9D" w:rsidRDefault="00EA3039">
      <w:pPr>
        <w:pStyle w:val="Normaltindrag"/>
        <w:shd w:val="clear" w:color="000000" w:fill="auto"/>
      </w:pPr>
      <w:r w:rsidRPr="00820B9D">
        <w:t>Den ökande globala efterfrågan på biodrivmedel ökar behovet av en cert</w:t>
      </w:r>
      <w:r w:rsidRPr="00820B9D">
        <w:t>i</w:t>
      </w:r>
      <w:r w:rsidRPr="00820B9D">
        <w:t>fiering av drivmedelsproduktion utifrån både miljöhänsyn och sociala hänsyn. Miljöpartiet ställde sig positivt till regeringens miljöbilspremie när den pr</w:t>
      </w:r>
      <w:r w:rsidRPr="00820B9D">
        <w:t>e</w:t>
      </w:r>
      <w:r w:rsidRPr="00820B9D">
        <w:t>senterades i våras. Premien var tänkt att fasas ut efter 2009.  Miljöpartiet gör nu bedömningen att systemet kan avslutas redan efter 2008. Anslag 34:11 Miljöbilspremie bör höjas med 100 miljoner kronor för 2008 jämfört med regeringens förslag.</w:t>
      </w:r>
    </w:p>
    <w:p w:rsidR="00EA3039" w:rsidRPr="00820B9D" w:rsidRDefault="00EA3039">
      <w:pPr>
        <w:pStyle w:val="Rubrik3"/>
        <w:shd w:val="clear" w:color="000000" w:fill="auto"/>
      </w:pPr>
      <w:r w:rsidRPr="00820B9D">
        <w:t>Stöd för konvertering av bilar</w:t>
      </w:r>
    </w:p>
    <w:p w:rsidR="00EA3039" w:rsidRPr="00820B9D" w:rsidRDefault="00EA3039">
      <w:pPr>
        <w:shd w:val="clear" w:color="000000" w:fill="auto"/>
      </w:pPr>
      <w:r w:rsidRPr="00820B9D">
        <w:t>Bilproducenter och köpare av nya bilar i Sverige har varit för långsamma med att anpassa sig till klimathotet. Skattereglerna har styrt företagens inköp av nya fordon till särskilt törstiga bilar. Dessa dominerar några år senare andr</w:t>
      </w:r>
      <w:r w:rsidRPr="00820B9D">
        <w:t>a</w:t>
      </w:r>
      <w:r w:rsidRPr="00820B9D">
        <w:t>handsmarknaden.</w:t>
      </w:r>
    </w:p>
    <w:p w:rsidR="00EA3039" w:rsidRPr="00820B9D" w:rsidRDefault="00EA3039">
      <w:pPr>
        <w:pStyle w:val="Normaltindrag"/>
        <w:shd w:val="clear" w:color="000000" w:fill="auto"/>
      </w:pPr>
      <w:r w:rsidRPr="00820B9D">
        <w:t>Många bilägare som vill gå över till förnybara bränslen har inte råd att köpa nya bilar. Utbudet av begagnade bilar som går att köra på förnybara drivmedel är begränsat. En ökning av antalet bilar som kan köra på förnybara drivmedel ger ett bättre underlag för utbyggnaden av distributionsnätet. Det ger också en större acceptans för andra klimatpolitiska åtgärder inom och utanför transportsektorn, som ökade skatter på utsläpp av koldioxid.</w:t>
      </w:r>
    </w:p>
    <w:p w:rsidR="00EA3039" w:rsidRPr="00820B9D" w:rsidRDefault="00EA3039">
      <w:pPr>
        <w:pStyle w:val="Normaltindrag"/>
        <w:shd w:val="clear" w:color="000000" w:fill="auto"/>
      </w:pPr>
      <w:r w:rsidRPr="00820B9D">
        <w:t>Miljöpartiet föreslår därför att 120 miljoner kronor anvisas till stöd för konvertering av bilar.</w:t>
      </w:r>
    </w:p>
    <w:p w:rsidR="00EA3039" w:rsidRPr="00820B9D" w:rsidRDefault="00EA3039">
      <w:pPr>
        <w:pStyle w:val="Rubrik2"/>
        <w:shd w:val="clear" w:color="000000" w:fill="auto"/>
      </w:pPr>
      <w:r w:rsidRPr="00820B9D">
        <w:t>Klimatanpassning</w:t>
      </w:r>
    </w:p>
    <w:p w:rsidR="00EA3039" w:rsidRPr="00820B9D" w:rsidRDefault="00EA3039">
      <w:pPr>
        <w:shd w:val="clear" w:color="000000" w:fill="auto"/>
      </w:pPr>
      <w:r w:rsidRPr="00820B9D">
        <w:t>Klimat- och sårbarhetsutredningen har precis presenterat sitt slutbetänkande. Dess slutsatser är att klimatförändringarna kommer att utsätta Sverige för stora påfrestningar. Kraftfulla insatser behövs för att anpassa samhället.</w:t>
      </w:r>
    </w:p>
    <w:p w:rsidR="00EA3039" w:rsidRPr="00820B9D" w:rsidRDefault="00EA3039">
      <w:pPr>
        <w:pStyle w:val="Normaltindrag"/>
        <w:shd w:val="clear" w:color="000000" w:fill="auto"/>
      </w:pPr>
      <w:r w:rsidRPr="00820B9D">
        <w:t>Miljöpartiet har länge hävdat att Sverige behöver en klimatakut dit ko</w:t>
      </w:r>
      <w:r w:rsidRPr="00820B9D">
        <w:t>m</w:t>
      </w:r>
      <w:r w:rsidRPr="00820B9D">
        <w:t>muner kan vända sig för att få hjälp vid oförutsedda klimatrelaterade katastr</w:t>
      </w:r>
      <w:r w:rsidRPr="00820B9D">
        <w:t>o</w:t>
      </w:r>
      <w:r w:rsidRPr="00820B9D">
        <w:t>fer. Sommarens översvämningar i södra Sverige visar tydligt att behoven är stora. Sårbarhetsutredningen påvisar att problemen kommer att tillta. I Så</w:t>
      </w:r>
      <w:r w:rsidRPr="00820B9D">
        <w:t>r</w:t>
      </w:r>
      <w:r w:rsidRPr="00820B9D">
        <w:t>barhetsutredningen föreslås att ett nytt anslag förs upp i statsbudgeten för klimatanpassning.</w:t>
      </w:r>
    </w:p>
    <w:p w:rsidR="00EA3039" w:rsidRPr="00820B9D" w:rsidRDefault="00EA3039">
      <w:pPr>
        <w:pStyle w:val="Normaltindrag"/>
        <w:shd w:val="clear" w:color="000000" w:fill="auto"/>
      </w:pPr>
      <w:r w:rsidRPr="00820B9D">
        <w:t>Miljöpartiet föreslår redan i år att ett nytt anslag inrättas om 120 miljoner kronor. Anslaget skall dels användas för oförutsedda kostnader till följd av klimatproblemen, dels för att myn</w:t>
      </w:r>
      <w:r w:rsidRPr="00820B9D">
        <w:t>digheter som Lantmäteriverket, SGI och Räddningsverket skall ta fram och tillgängliggöra uppgifter som kommuner behöver för att i sin planering ta ökade hänsyn till konsekvenserna av klima</w:t>
      </w:r>
      <w:r w:rsidRPr="00820B9D">
        <w:t>t</w:t>
      </w:r>
      <w:r w:rsidRPr="00820B9D">
        <w:t xml:space="preserve">förändringen, dels för nödvändiga anpassningsåtgärder där vi vet att statlig medfinansiering kommer att vara nödvändig. </w:t>
      </w:r>
    </w:p>
    <w:p w:rsidR="00EA3039" w:rsidRPr="00820B9D" w:rsidRDefault="00EA3039">
      <w:pPr>
        <w:pStyle w:val="Normaltindrag"/>
        <w:shd w:val="clear" w:color="000000" w:fill="auto"/>
      </w:pPr>
      <w:r w:rsidRPr="00820B9D">
        <w:t>Viktiga åtgärder som redan i dag är identifierade är:</w:t>
      </w:r>
    </w:p>
    <w:p w:rsidR="00EA3039" w:rsidRPr="00820B9D" w:rsidRDefault="00EA3039">
      <w:pPr>
        <w:pStyle w:val="PunktlistaBomb"/>
        <w:shd w:val="clear" w:color="000000" w:fill="auto"/>
      </w:pPr>
      <w:r w:rsidRPr="00820B9D">
        <w:t>Fortsatt ombyggnation av Södertälje sluss. Ökad nederbörd i Mälardalen till följd av klimatförändringar skapar behov av att förstärka tappningsk</w:t>
      </w:r>
      <w:r w:rsidRPr="00820B9D">
        <w:t>a</w:t>
      </w:r>
      <w:r w:rsidRPr="00820B9D">
        <w:t>paciteten. Även kanalens sidor behöver förstärkas och botten behöver s</w:t>
      </w:r>
      <w:r w:rsidRPr="00820B9D">
        <w:t>a</w:t>
      </w:r>
      <w:r w:rsidRPr="00820B9D">
        <w:t>neras. Sammantaget uppskattas kostnaderna till ca 150 miljoner kronor.</w:t>
      </w:r>
    </w:p>
    <w:p w:rsidR="00EA3039" w:rsidRPr="00820B9D" w:rsidRDefault="00EA3039">
      <w:pPr>
        <w:pStyle w:val="PunktlistaBomb"/>
        <w:shd w:val="clear" w:color="000000" w:fill="auto"/>
        <w:spacing w:before="0"/>
      </w:pPr>
      <w:r w:rsidRPr="00820B9D">
        <w:t>Göta älvs stränder behöver förstärkas för att klara ökat flöde. Eventuellt behöver en ny kanal byggas via Uddevalla.</w:t>
      </w:r>
    </w:p>
    <w:p w:rsidR="00EA3039" w:rsidRPr="00820B9D" w:rsidRDefault="00EA3039">
      <w:pPr>
        <w:shd w:val="clear" w:color="000000" w:fill="auto"/>
      </w:pPr>
      <w:r w:rsidRPr="00820B9D">
        <w:t xml:space="preserve">Det nya anslaget kommer att behöva ökas. Miljöpartiet föreslår ett högre finansiellt sparande än regeringen. Detta av konjunkturpolitiska skäl men också för att vi vet att kostnaderna för klimatanpassning kommer att bli höga och att staten måste ha en beredskap att tillföra medel för åtgärder under lång tid. </w:t>
      </w:r>
    </w:p>
    <w:p w:rsidR="00EA3039" w:rsidRPr="00820B9D" w:rsidRDefault="00EA3039">
      <w:pPr>
        <w:pStyle w:val="Rubrik1"/>
        <w:shd w:val="clear" w:color="000000" w:fill="auto"/>
      </w:pPr>
      <w:r w:rsidRPr="00820B9D">
        <w:t>Utgiftsområde 23 Jord- och skogsbruk, fiske med anslutande näringar</w:t>
      </w:r>
    </w:p>
    <w:p w:rsidR="00EA3039" w:rsidRPr="00820B9D" w:rsidRDefault="00EA3039">
      <w:pPr>
        <w:pStyle w:val="Rubrik2"/>
        <w:shd w:val="clear" w:color="000000" w:fill="auto"/>
        <w:spacing w:before="120"/>
      </w:pPr>
      <w:r w:rsidRPr="00820B9D">
        <w:t>Skatteutgifter</w:t>
      </w:r>
    </w:p>
    <w:p w:rsidR="00EA3039" w:rsidRPr="00820B9D" w:rsidRDefault="00EA3039">
      <w:pPr>
        <w:shd w:val="clear" w:color="000000" w:fill="auto"/>
      </w:pPr>
      <w:r w:rsidRPr="00820B9D">
        <w:t>Stora delar av jordbruket är centralt för både landsbygdsutvecklingen och viktiga miljövärden som biologisk mångfald, det öppna landskapet och pr</w:t>
      </w:r>
      <w:r w:rsidRPr="00820B9D">
        <w:t>o</w:t>
      </w:r>
      <w:r w:rsidRPr="00820B9D">
        <w:t>duktionen av ekosystemstjänster. Förhållanden inom jordbrukssektorn ändras nu snabbt i vår omvärld. Den ekonomiska utvecklingen globalt leder t.ex. till en ökande efterfrågan på jordbrukets produkter.</w:t>
      </w:r>
    </w:p>
    <w:p w:rsidR="00EA3039" w:rsidRPr="00820B9D" w:rsidRDefault="00EA3039">
      <w:pPr>
        <w:pStyle w:val="Normaltindrag"/>
        <w:shd w:val="clear" w:color="000000" w:fill="auto"/>
      </w:pPr>
      <w:r w:rsidRPr="00820B9D">
        <w:t>Det kan ifrågasättas om jordbruket generellt skall få nedsättningar eller undantag från miljöstyrande skatter och avgifter på klimat- och energiomr</w:t>
      </w:r>
      <w:r w:rsidRPr="00820B9D">
        <w:t>å</w:t>
      </w:r>
      <w:r w:rsidRPr="00820B9D">
        <w:t>det. Regeringen föreslår att de befintliga skattelättnaderna består, att tröskeln för skattelättnader sänks samt att de areella näringarna också kompenseras för föreslagna höjningar av skatter på diesel.</w:t>
      </w:r>
    </w:p>
    <w:p w:rsidR="00EA3039" w:rsidRPr="00820B9D" w:rsidRDefault="00EA3039">
      <w:pPr>
        <w:pStyle w:val="Normaltindrag"/>
        <w:shd w:val="clear" w:color="000000" w:fill="auto"/>
      </w:pPr>
      <w:r w:rsidRPr="00820B9D">
        <w:t>Miljöpartiet motsätter sig ändringen av konstruktionen för tröskelvärden, där skatterna på bränsle och el återbetalas fullt ut så fort betalningen uppnått 500 kronor. En sådan konstruktion ger negativa tröskeleffekter, t.ex. incit</w:t>
      </w:r>
      <w:r w:rsidRPr="00820B9D">
        <w:t>a</w:t>
      </w:r>
      <w:r w:rsidRPr="00820B9D">
        <w:t>ment att öka bränsleför</w:t>
      </w:r>
      <w:r w:rsidRPr="00820B9D">
        <w:softHyphen/>
        <w:t>brukningen då utgifterna närmar sig tröskelvärdet. Däremot bifaller vi regeringens föreslagna kompensation för dieselskattehö</w:t>
      </w:r>
      <w:r w:rsidRPr="00820B9D">
        <w:t>j</w:t>
      </w:r>
      <w:r w:rsidRPr="00820B9D">
        <w:t>ningen.</w:t>
      </w:r>
    </w:p>
    <w:p w:rsidR="00EA3039" w:rsidRPr="00820B9D" w:rsidRDefault="00EA3039">
      <w:pPr>
        <w:pStyle w:val="Normaltindrag"/>
        <w:shd w:val="clear" w:color="000000" w:fill="auto"/>
      </w:pPr>
      <w:r w:rsidRPr="00820B9D">
        <w:t>Miljöpartiet anser att nedsättningar eller undantag från energi- och klima</w:t>
      </w:r>
      <w:r w:rsidRPr="00820B9D">
        <w:t>t</w:t>
      </w:r>
      <w:r w:rsidRPr="00820B9D">
        <w:t>relaterade skatter bör ses över och möjligen avvecklas på sikt. Regeringen bör därför utreda hur miljöstyrningen av klimat- och energiskatter kan ökas i de areella näringarna.</w:t>
      </w:r>
    </w:p>
    <w:p w:rsidR="00EA3039" w:rsidRPr="00820B9D" w:rsidRDefault="00EA3039">
      <w:pPr>
        <w:pStyle w:val="Rubrik2"/>
        <w:shd w:val="clear" w:color="000000" w:fill="auto"/>
      </w:pPr>
      <w:r w:rsidRPr="00820B9D">
        <w:t>Forskningsrådet för miljö, areella näringar och samhällsbyggande</w:t>
      </w:r>
    </w:p>
    <w:p w:rsidR="00EA3039" w:rsidRPr="00820B9D" w:rsidRDefault="00EA3039">
      <w:pPr>
        <w:shd w:val="clear" w:color="000000" w:fill="auto"/>
      </w:pPr>
      <w:r w:rsidRPr="00820B9D">
        <w:t>Snabbutredningen inför nedläggningen av Djurskyddsmyndigheten föreslog att Formas anslag skulle ökas med 20 miljoner kronor per år för att finansiera det fortsatta arbetet med att utveckla alternativa metoder till djurförsök. R</w:t>
      </w:r>
      <w:r w:rsidRPr="00820B9D">
        <w:t>e</w:t>
      </w:r>
      <w:r w:rsidRPr="00820B9D">
        <w:t>geringen föreslår olika ökningar av anslagen till forskning om djurskydd. Detta skulle kunna innebära en viss fortsatt satsning på att utveckla denna forskning, men samtidigt måste denna forskning tävla med annan djurfors</w:t>
      </w:r>
      <w:r w:rsidRPr="00820B9D">
        <w:t>k</w:t>
      </w:r>
      <w:r w:rsidRPr="00820B9D">
        <w:t>ning om begränsade medel. Ambitionsnivån är otydlig.</w:t>
      </w:r>
    </w:p>
    <w:p w:rsidR="00EA3039" w:rsidRPr="00820B9D" w:rsidRDefault="00EA3039">
      <w:pPr>
        <w:pStyle w:val="Normaltindrag"/>
        <w:shd w:val="clear" w:color="000000" w:fill="auto"/>
      </w:pPr>
      <w:r w:rsidRPr="00820B9D">
        <w:t>Miljöpartiet anser att 15 miljoner kronor av Formas anslag bör öronmärkas för forskning som syftar till att utveckla alternativa metoder till djurförsök.</w:t>
      </w:r>
    </w:p>
    <w:p w:rsidR="00EA3039" w:rsidRPr="00820B9D" w:rsidRDefault="00EA3039">
      <w:pPr>
        <w:pStyle w:val="Rubrik2"/>
        <w:shd w:val="clear" w:color="000000" w:fill="auto"/>
      </w:pPr>
      <w:r w:rsidRPr="00820B9D">
        <w:t>Skogsstyrelsen</w:t>
      </w:r>
    </w:p>
    <w:p w:rsidR="00EA3039" w:rsidRPr="00820B9D" w:rsidRDefault="00EA3039">
      <w:pPr>
        <w:shd w:val="clear" w:color="000000" w:fill="auto"/>
      </w:pPr>
      <w:r w:rsidRPr="00820B9D">
        <w:t>Regeringen anger i budgeten att det internationella samarbetet kring skog</w:t>
      </w:r>
      <w:r w:rsidRPr="00820B9D">
        <w:t>s</w:t>
      </w:r>
      <w:r w:rsidRPr="00820B9D">
        <w:t>frågor blir allt viktigare. Inte minst gäller detta samarbetet på EU-nivån. Det är viktigt att Sverige deltar mer aktivt i detta arbete så att besluten bättre gy</w:t>
      </w:r>
      <w:r w:rsidRPr="00820B9D">
        <w:t>n</w:t>
      </w:r>
      <w:r w:rsidRPr="00820B9D">
        <w:t>nar en långsiktigt och ekologiskt hållbar utveckling. Aktivt deltagande i det internationella arbetet är resurskrävande. Regeringen måste ta hänsyn till konsekvenserna av EU-medlemskapet för myndigheternas ökade behov av arbetsinsatser.</w:t>
      </w:r>
    </w:p>
    <w:p w:rsidR="00EA3039" w:rsidRPr="00820B9D" w:rsidRDefault="00EA3039">
      <w:pPr>
        <w:pStyle w:val="Normaltindrag"/>
        <w:shd w:val="clear" w:color="000000" w:fill="auto"/>
      </w:pPr>
      <w:r w:rsidRPr="00820B9D">
        <w:t>Skogsstyrelsens anslag för 2008 bör höjas med 5 miljoner kronor jämfört med regeringens förslag.</w:t>
      </w:r>
    </w:p>
    <w:p w:rsidR="00EA3039" w:rsidRPr="00820B9D" w:rsidRDefault="00EA3039">
      <w:pPr>
        <w:pStyle w:val="Rubrik2"/>
        <w:shd w:val="clear" w:color="000000" w:fill="auto"/>
      </w:pPr>
      <w:r w:rsidRPr="00820B9D">
        <w:t>Insatser för att främja skogsbruket</w:t>
      </w:r>
    </w:p>
    <w:p w:rsidR="00EA3039" w:rsidRPr="00820B9D" w:rsidRDefault="00EA3039">
      <w:pPr>
        <w:shd w:val="clear" w:color="000000" w:fill="auto"/>
      </w:pPr>
      <w:r w:rsidRPr="00820B9D">
        <w:t>Stormarna Gudrun och Per var hårda slag för skogsbruket i södra Sverige. Många skogsägare drabbades särskilt hårt då de saknade försäkring. Skogsägande företagare har ett ansvar för att återplantera skog; det ligger dessutom i deras ekonomiska intresse att göra så. Därför anser inte Miljö</w:t>
      </w:r>
      <w:r w:rsidRPr="00820B9D">
        <w:softHyphen/>
        <w:t>partiet att det är motiverat med ett särskilt statligt stöd till skogsägarnas n</w:t>
      </w:r>
      <w:r w:rsidRPr="00820B9D">
        <w:t>y</w:t>
      </w:r>
      <w:r w:rsidRPr="00820B9D">
        <w:t>plantering. Det är en fördel från flera synpunkter om det finns en större i</w:t>
      </w:r>
      <w:r w:rsidRPr="00820B9D">
        <w:t>n</w:t>
      </w:r>
      <w:r w:rsidRPr="00820B9D">
        <w:t>blandning av lövträd i den nya skogen som planteras. Det ger större motstånd mot kommande stormar, och det ger en större variation till fördel för både biologisk mångfald och rekreation. Det ger också större motståndskraft mot insektsangrepp i framtiden. Miljöpartiet anser därför att återplanteringsstödet bör begränsas till merkostnaden för lövskogsinbl</w:t>
      </w:r>
      <w:r w:rsidRPr="00820B9D">
        <w:t>andning jämfört med åte</w:t>
      </w:r>
      <w:r w:rsidRPr="00820B9D">
        <w:t>r</w:t>
      </w:r>
      <w:r w:rsidRPr="00820B9D">
        <w:t>plantering av barrträd. Detta bör riksdagen ge regeringen till känna.</w:t>
      </w:r>
    </w:p>
    <w:p w:rsidR="00EA3039" w:rsidRPr="00820B9D" w:rsidRDefault="00EA3039">
      <w:pPr>
        <w:pStyle w:val="Normaltindrag"/>
        <w:shd w:val="clear" w:color="000000" w:fill="auto"/>
      </w:pPr>
      <w:r w:rsidRPr="00820B9D">
        <w:t>Flera rapporter har slagit fast att Sverige inte kommer att nå målet för skydd av skog med nuvarande takt. Vi kommer inte heller att klara våra inte</w:t>
      </w:r>
      <w:r w:rsidRPr="00820B9D">
        <w:t>r</w:t>
      </w:r>
      <w:r w:rsidRPr="00820B9D">
        <w:t>nationella förpliktelser för skydd av biologisk mångfald. Klimatförändringar ökar behovet av skyddade arealer ännu mer. Många mindre privata skogsäg</w:t>
      </w:r>
      <w:r w:rsidRPr="00820B9D">
        <w:t>a</w:t>
      </w:r>
      <w:r w:rsidRPr="00820B9D">
        <w:t>re är av känslomässiga skäl ovilliga att deras skog skall omvandlas till natu</w:t>
      </w:r>
      <w:r w:rsidRPr="00820B9D">
        <w:t>r</w:t>
      </w:r>
      <w:r w:rsidRPr="00820B9D">
        <w:t>reservat. Biotopsskydd och naturvårdsavtal kan vara lämpliga alternativ. För att vara verkningsfulla måste avtalen vara på minst 50 år. I den mån ändrade regler för periodisering av intäkter är ett hinder för möjligheten att utnyttja instrumentet naturvårdsavtalen bör dessa regler se</w:t>
      </w:r>
      <w:r w:rsidRPr="00820B9D">
        <w:t xml:space="preserve">s över. Ökande priser till följd av ekonomisk tillväxt och ökat intresse för biobränsle för energiändamål gör att anslagen måste höjas för att uppnå samma effekt. Anslaget bör höjas med 20 miljoner kronor år 2008 som kompensation för ökade kostnader. Miljöpartiet föreslår vidare att anslaget bör höjas med 20 miljoner kronor som en ambitionshöjning. Anslaget minskar med 120 miljoner kronor till följd av begränsning av bidrag till återplanering av barrskog. </w:t>
      </w:r>
    </w:p>
    <w:p w:rsidR="00EA3039" w:rsidRPr="00820B9D" w:rsidRDefault="00EA3039">
      <w:pPr>
        <w:pStyle w:val="Normaltindrag"/>
        <w:shd w:val="clear" w:color="000000" w:fill="auto"/>
      </w:pPr>
      <w:r w:rsidRPr="00820B9D">
        <w:t>Sammantaget bör anslagen för Insatser för skogsbruk</w:t>
      </w:r>
      <w:r w:rsidRPr="00820B9D">
        <w:t>et sänkas med 80 mi</w:t>
      </w:r>
      <w:r w:rsidRPr="00820B9D">
        <w:t>l</w:t>
      </w:r>
      <w:r w:rsidRPr="00820B9D">
        <w:t>joner kronor jämfört med regeringens förslag.</w:t>
      </w:r>
    </w:p>
    <w:p w:rsidR="00EA3039" w:rsidRPr="00820B9D" w:rsidRDefault="00EA3039">
      <w:pPr>
        <w:pStyle w:val="Rubrik2"/>
        <w:shd w:val="clear" w:color="000000" w:fill="auto"/>
      </w:pPr>
      <w:r w:rsidRPr="00820B9D">
        <w:t>Djurpolitik</w:t>
      </w:r>
    </w:p>
    <w:p w:rsidR="00EA3039" w:rsidRPr="00820B9D" w:rsidRDefault="00EA3039">
      <w:pPr>
        <w:shd w:val="clear" w:color="000000" w:fill="auto"/>
      </w:pPr>
      <w:r w:rsidRPr="00820B9D">
        <w:t>Miljöpartiet anser att det saknas skäl till att den obligatoriska förprövningen av djur</w:t>
      </w:r>
      <w:r w:rsidRPr="00820B9D">
        <w:softHyphen/>
        <w:t>stallar skall var avgiftsfri. Detta är en normal del av näringens näring</w:t>
      </w:r>
      <w:r w:rsidRPr="00820B9D">
        <w:t>s</w:t>
      </w:r>
      <w:r w:rsidRPr="00820B9D">
        <w:t>verksamhet och kan jämföras med avgift för bygglov i andra sammanhang. Det finns ingen anledning varför kostnaden för detta inslag i företagens nä</w:t>
      </w:r>
      <w:r w:rsidRPr="00820B9D">
        <w:t>r</w:t>
      </w:r>
      <w:r w:rsidRPr="00820B9D">
        <w:t>ingsverksamhet skall bekostas av andra.</w:t>
      </w:r>
    </w:p>
    <w:p w:rsidR="00EA3039" w:rsidRPr="00820B9D" w:rsidRDefault="00EA3039">
      <w:pPr>
        <w:pStyle w:val="Normaltindrag"/>
        <w:shd w:val="clear" w:color="000000" w:fill="auto"/>
      </w:pPr>
      <w:r w:rsidRPr="00820B9D">
        <w:t>Miljöpartiet anser vidare att det finns starka skäl att behålla den nuvarande ordningen avseende djurskyddskontroller m.m. Kommunerna ansvarar för miljötillsynen och det finns både samordningsfördelar för myndigheterna och fördelar för företagen med a</w:t>
      </w:r>
      <w:r w:rsidRPr="00820B9D">
        <w:t>tt ansvaret för djurskyddskontroller finns på samma ställe som ansvaret för miljötillsynen. När det finns problem med djurskydd finns det ofta också sociala problem, vilket talar för att ansvaret för djurskyddskontroller bör ligga på kommunal nivå. Till följd av Djurskydd</w:t>
      </w:r>
      <w:r w:rsidRPr="00820B9D">
        <w:t>s</w:t>
      </w:r>
      <w:r w:rsidRPr="00820B9D">
        <w:t>myndighetens arbete och arbetet i kommuner har den kommunala tillsynen förbättrats. Erfarenheter av statlig tillsyn tyder på att en överföring av ansv</w:t>
      </w:r>
      <w:r w:rsidRPr="00820B9D">
        <w:t>a</w:t>
      </w:r>
      <w:r w:rsidRPr="00820B9D">
        <w:t>ret till staten kommer att innebära ett sämre djurskydd.</w:t>
      </w:r>
    </w:p>
    <w:p w:rsidR="00EA3039" w:rsidRPr="00820B9D" w:rsidRDefault="00EA3039">
      <w:pPr>
        <w:pStyle w:val="Rubrik2"/>
        <w:shd w:val="clear" w:color="000000" w:fill="auto"/>
      </w:pPr>
      <w:r w:rsidRPr="00820B9D">
        <w:t>Jordbruksverket</w:t>
      </w:r>
    </w:p>
    <w:p w:rsidR="00EA3039" w:rsidRPr="00820B9D" w:rsidRDefault="00EA3039">
      <w:pPr>
        <w:shd w:val="clear" w:color="000000" w:fill="auto"/>
      </w:pPr>
      <w:r w:rsidRPr="00820B9D">
        <w:t>Nedläggningen av Djurskyddsmyndigheten är ett uttryck för den nya rege</w:t>
      </w:r>
      <w:r w:rsidRPr="00820B9D">
        <w:t>r</w:t>
      </w:r>
      <w:r w:rsidRPr="00820B9D">
        <w:t>ingens sänkta ambitioner på området. Det är uppenbart att detta motverkar regeringens uttalade ambitioner att verka för ett starkare djurskydd inom EU. Det är vidare motsägelsefullt för regeringen att både lägga ned den nationella djurskyddsmyndigheten och verka för att bli värd för en europeisk dju</w:t>
      </w:r>
      <w:r w:rsidRPr="00820B9D">
        <w:t>r</w:t>
      </w:r>
      <w:r w:rsidRPr="00820B9D">
        <w:t>skyddsmyndighet.</w:t>
      </w:r>
    </w:p>
    <w:p w:rsidR="00EA3039" w:rsidRPr="00820B9D" w:rsidRDefault="00EA3039">
      <w:pPr>
        <w:pStyle w:val="Normaltindrag"/>
        <w:shd w:val="clear" w:color="000000" w:fill="auto"/>
      </w:pPr>
      <w:r w:rsidRPr="00820B9D">
        <w:t>Nedläggningen av Djurskyddsmyndigheten är nu ett fullbordat faktum, dess ansvarsområden är i huvudsak överförda till Jordbruksverket. Det är inte bra med en ryckighet i myndighetsorganisationen</w:t>
      </w:r>
      <w:r w:rsidRPr="00820B9D">
        <w:t>. Miljöpartiet motsätter sig dock regeringens sänkta ambitionsnivå.</w:t>
      </w:r>
    </w:p>
    <w:p w:rsidR="00EA3039" w:rsidRPr="00820B9D" w:rsidRDefault="00EA3039">
      <w:pPr>
        <w:pStyle w:val="Normaltindrag"/>
        <w:shd w:val="clear" w:color="000000" w:fill="auto"/>
      </w:pPr>
      <w:r w:rsidRPr="00820B9D">
        <w:t>Anslagen till Jordbruksverket för djurskyddsarbete bör höjas med 40 mi</w:t>
      </w:r>
      <w:r w:rsidRPr="00820B9D">
        <w:t>l</w:t>
      </w:r>
      <w:r w:rsidRPr="00820B9D">
        <w:t>joner kronor 2008 jämfört med regeringens förslag.</w:t>
      </w:r>
    </w:p>
    <w:p w:rsidR="00EA3039" w:rsidRPr="00820B9D" w:rsidRDefault="00EA3039">
      <w:pPr>
        <w:pStyle w:val="Rubrik2"/>
        <w:shd w:val="clear" w:color="000000" w:fill="auto"/>
      </w:pPr>
      <w:r w:rsidRPr="00820B9D">
        <w:t>Strukturstöd till fisket</w:t>
      </w:r>
    </w:p>
    <w:p w:rsidR="00EA3039" w:rsidRPr="00820B9D" w:rsidRDefault="00EA3039">
      <w:pPr>
        <w:shd w:val="clear" w:color="000000" w:fill="auto"/>
      </w:pPr>
      <w:r w:rsidRPr="00820B9D">
        <w:t>Det finns stora problem med fisken och fisket i våra hav. Två särskilt utsatta fiskarter är ålen och torsken.</w:t>
      </w:r>
    </w:p>
    <w:p w:rsidR="00EA3039" w:rsidRPr="00820B9D" w:rsidRDefault="00EA3039">
      <w:pPr>
        <w:pStyle w:val="Normaltindrag"/>
        <w:shd w:val="clear" w:color="000000" w:fill="auto"/>
      </w:pPr>
      <w:r w:rsidRPr="00820B9D">
        <w:t>För Östersjötorsken finns tre centrala, sammanhängande problem:</w:t>
      </w:r>
    </w:p>
    <w:p w:rsidR="00EA3039" w:rsidRPr="00820B9D" w:rsidRDefault="00EA3039">
      <w:pPr>
        <w:pStyle w:val="PunktlistaTankstreck"/>
        <w:shd w:val="clear" w:color="000000" w:fill="auto"/>
        <w:tabs>
          <w:tab w:val="clear" w:pos="540"/>
        </w:tabs>
        <w:ind w:left="227"/>
      </w:pPr>
      <w:r w:rsidRPr="00820B9D">
        <w:t>Beståndet är utarmat.</w:t>
      </w:r>
    </w:p>
    <w:p w:rsidR="00EA3039" w:rsidRPr="00820B9D" w:rsidRDefault="00EA3039">
      <w:pPr>
        <w:pStyle w:val="PunktlistaTankstreck"/>
        <w:shd w:val="clear" w:color="000000" w:fill="auto"/>
        <w:tabs>
          <w:tab w:val="clear" w:pos="540"/>
        </w:tabs>
        <w:spacing w:before="0"/>
        <w:ind w:left="227"/>
      </w:pPr>
      <w:r w:rsidRPr="00820B9D">
        <w:t>Fiskeflottans kapacitet är för stort.</w:t>
      </w:r>
    </w:p>
    <w:p w:rsidR="00EA3039" w:rsidRPr="00820B9D" w:rsidRDefault="00EA3039">
      <w:pPr>
        <w:pStyle w:val="PunktlistaTankstreck"/>
        <w:shd w:val="clear" w:color="000000" w:fill="auto"/>
        <w:tabs>
          <w:tab w:val="clear" w:pos="540"/>
        </w:tabs>
        <w:spacing w:before="0"/>
        <w:ind w:left="227"/>
      </w:pPr>
      <w:r w:rsidRPr="00820B9D">
        <w:t>Kontrollsystemet – inte minst i Sverige – är undermåligt.</w:t>
      </w:r>
    </w:p>
    <w:p w:rsidR="00EA3039" w:rsidRPr="00820B9D" w:rsidRDefault="00EA3039">
      <w:pPr>
        <w:shd w:val="clear" w:color="000000" w:fill="auto"/>
      </w:pPr>
      <w:r w:rsidRPr="00820B9D">
        <w:t>De tre problemen hänger samman. Både ekosystemet, konsumenterna och fiskarna drabbas av situationen. Bland fiskarna drabbas småskaliga, kustnära fiskare särskilt hårt.</w:t>
      </w:r>
    </w:p>
    <w:p w:rsidR="00EA3039" w:rsidRPr="00820B9D" w:rsidRDefault="00EA3039">
      <w:pPr>
        <w:pStyle w:val="Normaltindrag"/>
        <w:shd w:val="clear" w:color="000000" w:fill="auto"/>
      </w:pPr>
      <w:r w:rsidRPr="00820B9D">
        <w:t>Torskbeståndet i östra Östersjön (öster om Bornholm) ligger långt under säkra biologiska gränser. Det innebär bl.a. att reproduktionen hämmas. Forsk</w:t>
      </w:r>
      <w:r w:rsidRPr="00820B9D">
        <w:softHyphen/>
        <w:t>ar</w:t>
      </w:r>
      <w:r w:rsidRPr="00820B9D">
        <w:softHyphen/>
        <w:t>na vid Internationella havsforskningsrådet (ICES) har i flera år rekomme</w:t>
      </w:r>
      <w:r w:rsidRPr="00820B9D">
        <w:t>n</w:t>
      </w:r>
      <w:r w:rsidRPr="00820B9D">
        <w:t>derat totalt stopp på torskfisket.</w:t>
      </w:r>
    </w:p>
    <w:p w:rsidR="00EA3039" w:rsidRPr="00820B9D" w:rsidRDefault="00EA3039">
      <w:pPr>
        <w:pStyle w:val="Normaltindrag"/>
        <w:shd w:val="clear" w:color="000000" w:fill="auto"/>
      </w:pPr>
      <w:r w:rsidRPr="00820B9D">
        <w:t>Den svenska torskflottan är överetablerad. Vissa bedömare menar att flo</w:t>
      </w:r>
      <w:r w:rsidRPr="00820B9D">
        <w:t>t</w:t>
      </w:r>
      <w:r w:rsidRPr="00820B9D">
        <w:t>tan skulle behöva i det närmaste halveras för att nå acceptabel lönsamhet. Överkapaciteten i kombination med dålig lönsamhet skapar en god grogrund för fusk.</w:t>
      </w:r>
    </w:p>
    <w:p w:rsidR="00EA3039" w:rsidRPr="00820B9D" w:rsidRDefault="00EA3039">
      <w:pPr>
        <w:pStyle w:val="Normaltindrag"/>
        <w:shd w:val="clear" w:color="000000" w:fill="auto"/>
      </w:pPr>
      <w:r w:rsidRPr="00820B9D">
        <w:t>I skrivande stund har det svenska torskfisket stoppats i Östersjön, då EU-kommissionen bedömer att vi redan fiskat upp vår kvot. Hade svensk fisker</w:t>
      </w:r>
      <w:r w:rsidRPr="00820B9D">
        <w:t>i</w:t>
      </w:r>
      <w:r w:rsidRPr="00820B9D">
        <w:t>kontroll nått upp till den standard som finns i Lettland hade detta förmodligen kunnat undvikas.</w:t>
      </w:r>
    </w:p>
    <w:p w:rsidR="00EA3039" w:rsidRPr="00820B9D" w:rsidRDefault="00EA3039">
      <w:pPr>
        <w:pStyle w:val="Normaltindrag"/>
        <w:shd w:val="clear" w:color="000000" w:fill="auto"/>
      </w:pPr>
      <w:r w:rsidRPr="00820B9D">
        <w:t>Miljöpartiet anser att alla dessa problem måste angripas.</w:t>
      </w:r>
    </w:p>
    <w:p w:rsidR="00EA3039" w:rsidRPr="00820B9D" w:rsidRDefault="00EA3039">
      <w:pPr>
        <w:pStyle w:val="Normaltindrag"/>
        <w:shd w:val="clear" w:color="000000" w:fill="auto"/>
      </w:pPr>
      <w:r w:rsidRPr="00820B9D">
        <w:t>Det svenska kontrollsystemet måste bli betydligt effektivare, vilket vi m</w:t>
      </w:r>
      <w:r w:rsidRPr="00820B9D">
        <w:t>o</w:t>
      </w:r>
      <w:r w:rsidRPr="00820B9D">
        <w:t>tionerade om redan 2005.</w:t>
      </w:r>
    </w:p>
    <w:p w:rsidR="00EA3039" w:rsidRPr="00820B9D" w:rsidRDefault="00EA3039">
      <w:pPr>
        <w:pStyle w:val="Normaltindrag"/>
        <w:shd w:val="clear" w:color="000000" w:fill="auto"/>
      </w:pPr>
      <w:r w:rsidRPr="00820B9D">
        <w:t>Regeringen bör ta fram en handlingsplan för att minska överkapaciteten i den svenska fiskeflottan, med början i torskfiskeflottan. Det behövs tydliga prioriteringar. Det småskaliga, kustnära fisket skall värnas. Minskningen bör därför i första hand komma bland större bottentrålare. En kombination av åtgärder bör användas för att nå målen, bl.a. kvoter och skrotningsbidrag. En aktivare och mer målinriktad användning av rätten att fördela den nationella kvoten bör kompletteras med hö</w:t>
      </w:r>
      <w:r w:rsidRPr="00820B9D">
        <w:t>jda skrotningsbidrag, som är särskilt riktade mot andra segment än det småskaliga, kustnära fisket. Ett villkor för att få skrotningsbidrag bör vara att licensen dras in, så att bidraget inte kan anvä</w:t>
      </w:r>
      <w:r w:rsidRPr="00820B9D">
        <w:t>n</w:t>
      </w:r>
      <w:r w:rsidRPr="00820B9D">
        <w:t>das för att investera i nya fiskefartyg.</w:t>
      </w:r>
    </w:p>
    <w:p w:rsidR="00EA3039" w:rsidRPr="00820B9D" w:rsidRDefault="00EA3039">
      <w:pPr>
        <w:pStyle w:val="Normaltindrag"/>
        <w:shd w:val="clear" w:color="000000" w:fill="auto"/>
      </w:pPr>
      <w:r w:rsidRPr="00820B9D">
        <w:t>Anslagen till Strukturstöd till fisket bör höjas med 50 miljoner kronor 2008 jämfört med regeringens förslag.</w:t>
      </w:r>
    </w:p>
    <w:p w:rsidR="00EA3039" w:rsidRPr="00820B9D" w:rsidRDefault="00EA3039">
      <w:pPr>
        <w:pStyle w:val="Rubrik2"/>
        <w:shd w:val="clear" w:color="000000" w:fill="auto"/>
      </w:pPr>
      <w:r w:rsidRPr="00820B9D">
        <w:t>Fiskevård</w:t>
      </w:r>
    </w:p>
    <w:p w:rsidR="00EA3039" w:rsidRPr="00820B9D" w:rsidRDefault="00EA3039">
      <w:pPr>
        <w:shd w:val="clear" w:color="000000" w:fill="auto"/>
      </w:pPr>
      <w:r w:rsidRPr="00820B9D">
        <w:t>Bättre fiskevård kan främja utvecklingen av flera fiskarter, inklusive den akut hotade ålen. Detta är bra för den biologiska mångfalden och det är också positivt för både yrkesfisket, fritidsfisket och fisketurismen. Det genererar också arbetstillfällen på landsbygden och bidrar till landsbygdsutvecklingen. Behovet av insatser för fiske är betydligt större än befintliga anslag.</w:t>
      </w:r>
    </w:p>
    <w:p w:rsidR="00EA3039" w:rsidRPr="00820B9D" w:rsidRDefault="00EA3039">
      <w:pPr>
        <w:pStyle w:val="Normaltindrag"/>
        <w:shd w:val="clear" w:color="000000" w:fill="auto"/>
      </w:pPr>
      <w:r w:rsidRPr="00820B9D">
        <w:t>Anslagen till fiskevård bör höjas med 10 miljoner kronor 2008 jämfört med regeringens förslag.</w:t>
      </w:r>
    </w:p>
    <w:p w:rsidR="00EA3039" w:rsidRPr="00820B9D" w:rsidRDefault="00EA3039">
      <w:pPr>
        <w:pStyle w:val="Rubrik2"/>
        <w:shd w:val="clear" w:color="000000" w:fill="auto"/>
      </w:pPr>
      <w:r w:rsidRPr="00820B9D">
        <w:t>Åtgärder för att främja ekologisk produktion</w:t>
      </w:r>
    </w:p>
    <w:p w:rsidR="00EA3039" w:rsidRPr="00820B9D" w:rsidRDefault="00EA3039">
      <w:pPr>
        <w:shd w:val="clear" w:color="000000" w:fill="auto"/>
      </w:pPr>
      <w:r w:rsidRPr="00820B9D">
        <w:t>I regeringens skrivelse 2005/06:88 Ekologisk produktion och konsumtion – Mål och inriktning till 2010 ställdes målet upp att vid utgången av 2010 bör den ekologiskt certifierade åkermarken uppgå till minst 20 %. Vidare bör den ekologiskt certifierade animalieproduktionen öka betydligt.</w:t>
      </w:r>
    </w:p>
    <w:p w:rsidR="00EA3039" w:rsidRPr="00820B9D" w:rsidRDefault="00EA3039">
      <w:pPr>
        <w:pStyle w:val="Normaltindrag"/>
        <w:shd w:val="clear" w:color="000000" w:fill="auto"/>
      </w:pPr>
      <w:r w:rsidRPr="00820B9D">
        <w:t>Konsumtionens utveckling är viktig för att nå målen. Den offentliga se</w:t>
      </w:r>
      <w:r w:rsidRPr="00820B9D">
        <w:t>k</w:t>
      </w:r>
      <w:r w:rsidRPr="00820B9D">
        <w:t>torns konsumtion är särskilt viktig. Därför uppställdes i skrivelsen också ett mål avseende den offentliga sektorns konsumtion. Konsumtionen av certifi</w:t>
      </w:r>
      <w:r w:rsidRPr="00820B9D">
        <w:t>e</w:t>
      </w:r>
      <w:r w:rsidRPr="00820B9D">
        <w:t>rade livsmedel i den offentliga sektorn bör öka till att vara 25 % av den totala konsumtionen 2010.</w:t>
      </w:r>
    </w:p>
    <w:p w:rsidR="00EA3039" w:rsidRPr="00820B9D" w:rsidRDefault="00EA3039">
      <w:pPr>
        <w:pStyle w:val="Normaltindrag"/>
        <w:shd w:val="clear" w:color="000000" w:fill="auto"/>
      </w:pPr>
      <w:r w:rsidRPr="00820B9D">
        <w:t>Inriktningsmålen i regeringens skrivelse, pengarna som avsatts i budgeten och den verksamhet som bedrivits för pengarna har sammantaget gett en tydlig signal till berörda parter, vilket främjar utvecklingen av produktion och konsumtion av ekologisk mat.</w:t>
      </w:r>
    </w:p>
    <w:p w:rsidR="00EA3039" w:rsidRPr="00820B9D" w:rsidRDefault="00EA3039">
      <w:pPr>
        <w:pStyle w:val="Normaltindrag"/>
        <w:shd w:val="clear" w:color="000000" w:fill="auto"/>
      </w:pPr>
      <w:r w:rsidRPr="00820B9D">
        <w:t>Regeringens förslag att slopa anslaget ger motsatt signal. Förslaget går också stick i stäv med skrivningar i budgeten om att det är viktigt med lån</w:t>
      </w:r>
      <w:r w:rsidRPr="00820B9D">
        <w:t>g</w:t>
      </w:r>
      <w:r w:rsidRPr="00820B9D">
        <w:t>siktighet i de politiska besluten för frågor som rör biologisk produktion. Pengarna har i regeringens förslag fördelats på olika budgetposter. Där ingår stöd till ekologisk produktion med andra insatser. Det är oklart för riksdagen, marknaden och offentliga aktörer hur mycket pengar som i fortsättningen kommer att gå till stöd till ekologisk produktion.</w:t>
      </w:r>
    </w:p>
    <w:p w:rsidR="00EA3039" w:rsidRPr="00820B9D" w:rsidRDefault="00EA3039">
      <w:pPr>
        <w:pStyle w:val="Normaltindrag"/>
        <w:shd w:val="clear" w:color="000000" w:fill="auto"/>
      </w:pPr>
      <w:r w:rsidRPr="00820B9D">
        <w:t>Miljöpartiet föreslår att anslag 43:14 Konkurrenskraftig livsmedelssektor minskas med 17 miljoner kronor för 2008 och anslag 44:3 Miljöförbättrande åtgärde</w:t>
      </w:r>
      <w:r w:rsidRPr="00820B9D">
        <w:t>r i jordbruket minskas med 13 miljoner kronor för 2008 jämfört med regeringens förslag. Anslag 44:6 Åtgärder för att främja ekologisk produktion bör öka med 30 miljoner kronor 2008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0B9D">
        <w:trPr>
          <w:cantSplit/>
        </w:trPr>
        <w:tc>
          <w:tcPr>
            <w:tcW w:w="3046" w:type="dxa"/>
          </w:tcPr>
          <w:p w:rsidR="00EA3039" w:rsidRPr="00820B9D" w:rsidRDefault="00EA3039">
            <w:pPr>
              <w:pStyle w:val="UnderskriftDatum"/>
              <w:shd w:val="clear" w:color="000000" w:fill="auto"/>
              <w:spacing w:before="240"/>
            </w:pPr>
            <w:r w:rsidRPr="00820B9D">
              <w:t>Stockholm den 4 oktober 2007</w:t>
            </w:r>
          </w:p>
        </w:tc>
        <w:tc>
          <w:tcPr>
            <w:tcW w:w="3047" w:type="dxa"/>
          </w:tcPr>
          <w:p w:rsidR="00EA3039" w:rsidRPr="00820B9D" w:rsidRDefault="00EA3039">
            <w:pPr>
              <w:pStyle w:val="Underskrifter"/>
              <w:shd w:val="clear" w:color="000000" w:fill="auto"/>
              <w:spacing w:before="240"/>
            </w:pPr>
          </w:p>
        </w:tc>
      </w:tr>
      <w:tr w:rsidR="00000000" w:rsidRPr="00820B9D">
        <w:trPr>
          <w:cantSplit/>
        </w:trPr>
        <w:tc>
          <w:tcPr>
            <w:tcW w:w="3046" w:type="dxa"/>
          </w:tcPr>
          <w:p w:rsidR="00EA3039" w:rsidRPr="00820B9D" w:rsidRDefault="00EA3039">
            <w:pPr>
              <w:pStyle w:val="Underskrifter"/>
              <w:shd w:val="clear" w:color="000000" w:fill="auto"/>
            </w:pPr>
            <w:r w:rsidRPr="00820B9D">
              <w:t>Tina Ehn (mp)</w:t>
            </w:r>
          </w:p>
        </w:tc>
        <w:tc>
          <w:tcPr>
            <w:tcW w:w="3046" w:type="dxa"/>
          </w:tcPr>
          <w:p w:rsidR="00EA3039" w:rsidRPr="00820B9D" w:rsidRDefault="00EA3039">
            <w:pPr>
              <w:pStyle w:val="Underskrifter"/>
              <w:shd w:val="clear" w:color="000000" w:fill="auto"/>
            </w:pPr>
          </w:p>
        </w:tc>
      </w:tr>
      <w:tr w:rsidR="00000000" w:rsidRPr="00820B9D">
        <w:trPr>
          <w:cantSplit/>
        </w:trPr>
        <w:tc>
          <w:tcPr>
            <w:tcW w:w="3046" w:type="dxa"/>
          </w:tcPr>
          <w:p w:rsidR="00EA3039" w:rsidRPr="00820B9D" w:rsidRDefault="00EA3039">
            <w:pPr>
              <w:pStyle w:val="Underskrifter"/>
              <w:shd w:val="clear" w:color="000000" w:fill="auto"/>
            </w:pPr>
            <w:r w:rsidRPr="00820B9D">
              <w:t>Per Bolund (mp)</w:t>
            </w:r>
          </w:p>
        </w:tc>
        <w:tc>
          <w:tcPr>
            <w:tcW w:w="3046" w:type="dxa"/>
          </w:tcPr>
          <w:p w:rsidR="00EA3039" w:rsidRPr="00820B9D" w:rsidRDefault="00EA3039">
            <w:pPr>
              <w:pStyle w:val="Underskrifter"/>
              <w:shd w:val="clear" w:color="000000" w:fill="auto"/>
            </w:pPr>
            <w:r w:rsidRPr="00820B9D">
              <w:t>Karin Svensson Smith (mp)</w:t>
            </w:r>
          </w:p>
        </w:tc>
      </w:tr>
    </w:tbl>
    <w:p w:rsidR="00EA3039" w:rsidRPr="00820B9D" w:rsidRDefault="00EA3039">
      <w:pPr>
        <w:pStyle w:val="Normaltindrag"/>
        <w:shd w:val="clear" w:color="000000" w:fill="auto"/>
      </w:pPr>
    </w:p>
    <w:sectPr w:rsidR="00EA3039" w:rsidRPr="00820B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039" w:rsidRPr="00820B9D" w:rsidRDefault="00EA3039">
      <w:r w:rsidRPr="00820B9D">
        <w:separator/>
      </w:r>
    </w:p>
  </w:endnote>
  <w:endnote w:type="continuationSeparator" w:id="0">
    <w:p w:rsidR="00EA3039" w:rsidRPr="00820B9D" w:rsidRDefault="00EA3039">
      <w:r w:rsidRPr="00820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39" w:rsidRPr="00820B9D" w:rsidRDefault="00820B9D">
    <w:pPr>
      <w:pStyle w:val="Sidfot"/>
    </w:pPr>
    <w:r w:rsidRPr="00820B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106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39" w:rsidRDefault="00EA30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039" w:rsidRDefault="00EA30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39" w:rsidRPr="00820B9D" w:rsidRDefault="00820B9D">
    <w:pPr>
      <w:pStyle w:val="Sidfot"/>
    </w:pPr>
    <w:r w:rsidRPr="00820B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54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39" w:rsidRDefault="00EA3039">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039" w:rsidRDefault="00EA3039">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39" w:rsidRPr="00820B9D" w:rsidRDefault="00820B9D">
    <w:pPr>
      <w:pStyle w:val="Sidfot"/>
    </w:pPr>
    <w:r w:rsidRPr="00820B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199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39" w:rsidRDefault="00EA30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039" w:rsidRDefault="00EA30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039" w:rsidRPr="00820B9D" w:rsidRDefault="00EA3039">
      <w:r w:rsidRPr="00820B9D">
        <w:separator/>
      </w:r>
    </w:p>
  </w:footnote>
  <w:footnote w:type="continuationSeparator" w:id="0">
    <w:p w:rsidR="00EA3039" w:rsidRPr="00820B9D" w:rsidRDefault="00EA3039">
      <w:r w:rsidRPr="00820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39" w:rsidRPr="00820B9D" w:rsidRDefault="00820B9D">
    <w:pPr>
      <w:pStyle w:val="Sidhuvud"/>
    </w:pPr>
    <w:r w:rsidRPr="00820B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647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39" w:rsidRDefault="00EA30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039" w:rsidRDefault="00EA30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39" w:rsidRPr="00820B9D" w:rsidRDefault="00820B9D">
    <w:pPr>
      <w:pStyle w:val="Sidhuvud"/>
    </w:pPr>
    <w:r w:rsidRPr="00820B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597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39" w:rsidRDefault="00EA30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039" w:rsidRDefault="00EA30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39" w:rsidRPr="00820B9D" w:rsidRDefault="00EA3039">
    <w:pPr>
      <w:pStyle w:val="FSHNormal"/>
      <w:tabs>
        <w:tab w:val="right" w:pos="5840"/>
      </w:tabs>
    </w:pPr>
    <w:r w:rsidRPr="00820B9D">
      <w:br/>
    </w:r>
    <w:r w:rsidRPr="00820B9D">
      <w:fldChar w:fldCharType="begin" w:fldLock="1"/>
    </w:r>
    <w:r w:rsidRPr="00820B9D">
      <w:instrText xml:space="preserve"> DOCPROPERTY</w:instrText>
    </w:r>
    <w:r w:rsidRPr="00820B9D">
      <w:rPr>
        <w:sz w:val="18"/>
      </w:rPr>
      <w:instrText xml:space="preserve"> "YearUser" *\charformat </w:instrText>
    </w:r>
    <w:r w:rsidRPr="00820B9D">
      <w:fldChar w:fldCharType="separate"/>
    </w:r>
    <w:r w:rsidRPr="00820B9D">
      <w:t>2007/08</w:t>
    </w:r>
    <w:r w:rsidRPr="00820B9D">
      <w:fldChar w:fldCharType="end"/>
    </w:r>
    <w:r w:rsidRPr="00820B9D">
      <w:t xml:space="preserve"> </w:t>
    </w:r>
    <w:r w:rsidRPr="00820B9D">
      <w:tab/>
      <w:t xml:space="preserve">mnr: </w:t>
    </w:r>
    <w:r w:rsidRPr="00820B9D">
      <w:fldChar w:fldCharType="begin" w:fldLock="1"/>
    </w:r>
    <w:r w:rsidRPr="00820B9D">
      <w:instrText xml:space="preserve"> DOCPROPERTY</w:instrText>
    </w:r>
    <w:r w:rsidRPr="00820B9D">
      <w:rPr>
        <w:sz w:val="18"/>
      </w:rPr>
      <w:instrText xml:space="preserve"> "Motionsnummer" *\charformat </w:instrText>
    </w:r>
    <w:r w:rsidRPr="00820B9D">
      <w:fldChar w:fldCharType="separate"/>
    </w:r>
    <w:r w:rsidRPr="00820B9D">
      <w:t>MJ428</w:t>
    </w:r>
    <w:r w:rsidRPr="00820B9D">
      <w:fldChar w:fldCharType="end"/>
    </w:r>
    <w:r w:rsidRPr="00820B9D">
      <w:br/>
    </w:r>
    <w:r w:rsidRPr="00820B9D">
      <w:fldChar w:fldCharType="begin" w:fldLock="1"/>
    </w:r>
    <w:r w:rsidRPr="00820B9D">
      <w:instrText xml:space="preserve"> DOCPROPERTY</w:instrText>
    </w:r>
    <w:r w:rsidRPr="00820B9D">
      <w:rPr>
        <w:sz w:val="18"/>
      </w:rPr>
      <w:instrText xml:space="preserve"> "Samling" *\charformat </w:instrText>
    </w:r>
    <w:r w:rsidRPr="00820B9D">
      <w:fldChar w:fldCharType="end"/>
    </w:r>
    <w:r w:rsidRPr="00820B9D">
      <w:tab/>
      <w:t xml:space="preserve">pnr: </w:t>
    </w:r>
    <w:r w:rsidRPr="00820B9D">
      <w:fldChar w:fldCharType="begin" w:fldLock="1"/>
    </w:r>
    <w:r w:rsidRPr="00820B9D">
      <w:instrText xml:space="preserve"> DOCPROPERTY</w:instrText>
    </w:r>
    <w:r w:rsidRPr="00820B9D">
      <w:rPr>
        <w:sz w:val="18"/>
      </w:rPr>
      <w:instrText xml:space="preserve"> "Partinummer" *\charformat </w:instrText>
    </w:r>
    <w:r w:rsidRPr="00820B9D">
      <w:fldChar w:fldCharType="separate"/>
    </w:r>
    <w:r w:rsidRPr="00820B9D">
      <w:t>mp501</w:t>
    </w:r>
    <w:r w:rsidRPr="00820B9D">
      <w:fldChar w:fldCharType="end"/>
    </w:r>
  </w:p>
  <w:p w:rsidR="00EA3039" w:rsidRPr="00820B9D" w:rsidRDefault="00EA3039">
    <w:pPr>
      <w:pStyle w:val="FSHRub1"/>
    </w:pPr>
    <w:r w:rsidRPr="00820B9D">
      <w:t>Motion till riksdagen</w:t>
    </w:r>
    <w:r w:rsidRPr="00820B9D">
      <w:br/>
    </w:r>
    <w:r w:rsidRPr="00820B9D">
      <w:fldChar w:fldCharType="begin" w:fldLock="1"/>
    </w:r>
    <w:r w:rsidRPr="00820B9D">
      <w:instrText xml:space="preserve"> DOCPROPERTY "YearUser" *\charformat </w:instrText>
    </w:r>
    <w:r w:rsidRPr="00820B9D">
      <w:fldChar w:fldCharType="separate"/>
    </w:r>
    <w:r w:rsidRPr="00820B9D">
      <w:t>2007/08</w:t>
    </w:r>
    <w:r w:rsidRPr="00820B9D">
      <w:fldChar w:fldCharType="end"/>
    </w:r>
    <w:r w:rsidRPr="00820B9D">
      <w:t>:</w:t>
    </w:r>
    <w:r w:rsidRPr="00820B9D">
      <w:fldChar w:fldCharType="begin" w:fldLock="1"/>
    </w:r>
    <w:r w:rsidRPr="00820B9D">
      <w:instrText xml:space="preserve"> DOCPROPERTY "Motionsnummer" *\charformat </w:instrText>
    </w:r>
    <w:r w:rsidRPr="00820B9D">
      <w:fldChar w:fldCharType="separate"/>
    </w:r>
    <w:r w:rsidRPr="00820B9D">
      <w:t>MJ428</w:t>
    </w:r>
    <w:r w:rsidRPr="00820B9D">
      <w:fldChar w:fldCharType="end"/>
    </w:r>
  </w:p>
  <w:p w:rsidR="00EA3039" w:rsidRPr="00820B9D" w:rsidRDefault="00EA3039">
    <w:pPr>
      <w:pStyle w:val="FSHNormalS5"/>
    </w:pPr>
    <w:r w:rsidRPr="00820B9D">
      <w:fldChar w:fldCharType="begin" w:fldLock="1"/>
    </w:r>
    <w:r w:rsidRPr="00820B9D">
      <w:instrText xml:space="preserve"> DOCPROPERTY "MotionarText" *\charformat </w:instrText>
    </w:r>
    <w:r w:rsidRPr="00820B9D">
      <w:fldChar w:fldCharType="separate"/>
    </w:r>
    <w:r w:rsidRPr="00820B9D">
      <w:t>av Tina Ehn m.fl. (mp)</w:t>
    </w:r>
    <w:r w:rsidRPr="00820B9D">
      <w:fldChar w:fldCharType="end"/>
    </w:r>
    <w:r w:rsidRPr="00820B9D">
      <w:br/>
    </w:r>
    <w:r w:rsidRPr="00820B9D">
      <w:fldChar w:fldCharType="begin" w:fldLock="1"/>
    </w:r>
    <w:r w:rsidRPr="00820B9D">
      <w:instrText xml:space="preserve"> DOCPROPERTY "SvarFrasKort" *\charformat </w:instrText>
    </w:r>
    <w:r w:rsidRPr="00820B9D">
      <w:fldChar w:fldCharType="end"/>
    </w:r>
  </w:p>
  <w:p w:rsidR="00EA3039" w:rsidRPr="00820B9D" w:rsidRDefault="00EA3039">
    <w:pPr>
      <w:pStyle w:val="FSHTitel"/>
    </w:pPr>
    <w:r w:rsidRPr="00820B9D">
      <w:fldChar w:fldCharType="begin" w:fldLock="1"/>
    </w:r>
    <w:r w:rsidRPr="00820B9D">
      <w:instrText xml:space="preserve"> DOCPROPERTY</w:instrText>
    </w:r>
    <w:r w:rsidRPr="00820B9D">
      <w:rPr>
        <w:sz w:val="18"/>
      </w:rPr>
      <w:instrText xml:space="preserve"> "RubrikSvar" *\charformat </w:instrText>
    </w:r>
    <w:r w:rsidRPr="00820B9D">
      <w:fldChar w:fldCharType="separate"/>
    </w:r>
    <w:r w:rsidRPr="00820B9D">
      <w:t>Utgiftsområdena 20 Allmän miljö- och naturvård och 23 Jord- och skogsbruk, fiske med anslutande näringar</w:t>
    </w:r>
    <w:r w:rsidRPr="00820B9D">
      <w:fldChar w:fldCharType="end"/>
    </w:r>
  </w:p>
  <w:p w:rsidR="00EA3039" w:rsidRPr="00820B9D" w:rsidRDefault="00EA3039">
    <w:pPr>
      <w:pStyle w:val="Normal00"/>
    </w:pPr>
  </w:p>
  <w:p w:rsidR="00EA3039" w:rsidRPr="00820B9D" w:rsidRDefault="00EA30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0E6031"/>
    <w:multiLevelType w:val="hybridMultilevel"/>
    <w:tmpl w:val="1BD8A04C"/>
    <w:lvl w:ilvl="0" w:tplc="2F1E1B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6E26A4B"/>
    <w:multiLevelType w:val="multilevel"/>
    <w:tmpl w:val="592C82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540"/>
        </w:tabs>
        <w:ind w:left="40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2656968">
    <w:abstractNumId w:val="8"/>
  </w:num>
  <w:num w:numId="2" w16cid:durableId="1099761386">
    <w:abstractNumId w:val="9"/>
  </w:num>
  <w:num w:numId="3" w16cid:durableId="1590965704">
    <w:abstractNumId w:val="8"/>
  </w:num>
  <w:num w:numId="4" w16cid:durableId="1759449862">
    <w:abstractNumId w:val="9"/>
  </w:num>
  <w:num w:numId="5" w16cid:durableId="1859584386">
    <w:abstractNumId w:val="15"/>
  </w:num>
  <w:num w:numId="6" w16cid:durableId="232785252">
    <w:abstractNumId w:val="10"/>
  </w:num>
  <w:num w:numId="7" w16cid:durableId="1990937551">
    <w:abstractNumId w:val="12"/>
  </w:num>
  <w:num w:numId="8" w16cid:durableId="226840930">
    <w:abstractNumId w:val="14"/>
  </w:num>
  <w:num w:numId="9" w16cid:durableId="1430931897">
    <w:abstractNumId w:val="8"/>
  </w:num>
  <w:num w:numId="10" w16cid:durableId="7296737">
    <w:abstractNumId w:val="3"/>
  </w:num>
  <w:num w:numId="11" w16cid:durableId="1059282556">
    <w:abstractNumId w:val="2"/>
  </w:num>
  <w:num w:numId="12" w16cid:durableId="394937810">
    <w:abstractNumId w:val="1"/>
  </w:num>
  <w:num w:numId="13" w16cid:durableId="1333603086">
    <w:abstractNumId w:val="0"/>
  </w:num>
  <w:num w:numId="14" w16cid:durableId="2123304026">
    <w:abstractNumId w:val="9"/>
  </w:num>
  <w:num w:numId="15" w16cid:durableId="318004006">
    <w:abstractNumId w:val="7"/>
  </w:num>
  <w:num w:numId="16" w16cid:durableId="488250376">
    <w:abstractNumId w:val="6"/>
  </w:num>
  <w:num w:numId="17" w16cid:durableId="528690607">
    <w:abstractNumId w:val="5"/>
  </w:num>
  <w:num w:numId="18" w16cid:durableId="1455519795">
    <w:abstractNumId w:val="4"/>
  </w:num>
  <w:num w:numId="19" w16cid:durableId="166141536">
    <w:abstractNumId w:val="13"/>
  </w:num>
  <w:num w:numId="20" w16cid:durableId="112985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18C74A2A-AE65-4127-9CEA-CFF157E3C4FA},{7CC9A58C-3141-48A3-86B8-8EA19B911E01},{56D06B6F-3AC6-4A0C-8BA9-48CDB569EBA6}"/>
  </w:docVars>
  <w:rsids>
    <w:rsidRoot w:val="006D09BB"/>
    <w:rsid w:val="006D09BB"/>
    <w:rsid w:val="00820B9D"/>
    <w:rsid w:val="00EA30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3FF0D0-B15D-40C7-9BC5-5E1E7E09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7795">
      <w:bodyDiv w:val="1"/>
      <w:marLeft w:val="0"/>
      <w:marRight w:val="0"/>
      <w:marTop w:val="0"/>
      <w:marBottom w:val="0"/>
      <w:divBdr>
        <w:top w:val="none" w:sz="0" w:space="0" w:color="auto"/>
        <w:left w:val="none" w:sz="0" w:space="0" w:color="auto"/>
        <w:bottom w:val="none" w:sz="0" w:space="0" w:color="auto"/>
        <w:right w:val="none" w:sz="0" w:space="0" w:color="auto"/>
      </w:divBdr>
    </w:div>
    <w:div w:id="17181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4334</Words>
  <Characters>26703</Characters>
  <Application>Microsoft Office Word</Application>
  <DocSecurity>4</DocSecurity>
  <Lines>580</Lines>
  <Paragraphs>256</Paragraphs>
  <ScaleCrop>false</ScaleCrop>
  <HeadingPairs>
    <vt:vector size="2" baseType="variant">
      <vt:variant>
        <vt:lpstr>Rubrik</vt:lpstr>
      </vt:variant>
      <vt:variant>
        <vt:i4>1</vt:i4>
      </vt:variant>
    </vt:vector>
  </HeadingPairs>
  <TitlesOfParts>
    <vt:vector size="1" baseType="lpstr">
      <vt:lpstr>mp501</vt:lpstr>
    </vt:vector>
  </TitlesOfParts>
  <Company>Riksdagen</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mp501</dc:title>
  <dc:subject>mp501</dc:subject>
  <dc:creator>Riksdagen</dc:creator>
  <cp:keywords>Riksdagen</cp:keywords>
  <dc:description>TKG-ktrl, MSMQ4mb, PersReg-Distribution mm</dc:description>
  <cp:lastModifiedBy>Lars Brink</cp:lastModifiedBy>
  <cp:revision>2</cp:revision>
  <cp:lastPrinted>2007-11-29T17:22:00Z</cp:lastPrinted>
  <dcterms:created xsi:type="dcterms:W3CDTF">2025-12-17T07:09:00Z</dcterms:created>
  <dcterms:modified xsi:type="dcterms:W3CDTF">2025-12-17T07:09:00Z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Utgiftsområdena 20 Allmän miljö- och naturvård och 23 Jord- och skogsbruk, fiske med anslutande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20 Allmän miljö- och naturvård och 23 Jord- och skogsbruk, fiske med anslutande näringar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20072008000001090112000005010075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20072008000001090112000005010075</vt:lpwstr>
  </property>
  <property fmtid="{D5CDD505-2E9C-101B-9397-08002B2CF9AE}" pid="50" name="nummer">
    <vt:lpwstr>428</vt:lpwstr>
  </property>
  <property fmtid="{D5CDD505-2E9C-101B-9397-08002B2CF9AE}" pid="51" name="utskottsbeteckning">
    <vt:lpwstr>MJ</vt:lpwstr>
  </property>
  <property fmtid="{D5CDD505-2E9C-101B-9397-08002B2CF9AE}" pid="52" name="GlobalUID">
    <vt:lpwstr>{3725FF4C-FC99-422C-A41B-CFBCD4870629}</vt:lpwstr>
  </property>
  <property fmtid="{D5CDD505-2E9C-101B-9397-08002B2CF9AE}" pid="53" name="Överföringar">
    <vt:i4>0</vt:i4>
  </property>
  <property fmtid="{D5CDD505-2E9C-101B-9397-08002B2CF9AE}" pid="54" name="Checksum">
    <vt:lpwstr>*0000351316409*</vt:lpwstr>
  </property>
  <property fmtid="{D5CDD505-2E9C-101B-9397-08002B2CF9AE}" pid="55" name="skuggnummer">
    <vt:lpwstr>2739</vt:lpwstr>
  </property>
  <property fmtid="{D5CDD505-2E9C-101B-9397-08002B2CF9AE}" pid="56" name="urixVersion">
    <vt:lpwstr>3.2.0.8</vt:lpwstr>
  </property>
  <property fmtid="{D5CDD505-2E9C-101B-9397-08002B2CF9AE}" pid="57" name="urixOrigin">
    <vt:lpwstr>080827 13:30:13.173</vt:lpwstr>
  </property>
  <property fmtid="{D5CDD505-2E9C-101B-9397-08002B2CF9AE}" pid="58" name="urixGuid">
    <vt:lpwstr>{8FA33A15-8517-4B14-ACFB-1404E4430E50}</vt:lpwstr>
  </property>
</Properties>
</file>