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B0D82">
        <w:tblPrEx>
          <w:tblCellMar>
            <w:top w:w="0" w:type="dxa"/>
            <w:bottom w:w="0" w:type="dxa"/>
          </w:tblCellMar>
        </w:tblPrEx>
        <w:tc>
          <w:tcPr>
            <w:tcW w:w="2268" w:type="dxa"/>
          </w:tcPr>
          <w:p w:rsidR="006E4E11" w:rsidRPr="002B0D82" w:rsidRDefault="006E4E11" w:rsidP="004206A5">
            <w:pPr>
              <w:framePr w:w="5035" w:h="1644" w:wrap="notBeside" w:vAnchor="page" w:hAnchor="page" w:x="6573" w:y="721"/>
              <w:spacing w:line="240" w:lineRule="auto"/>
              <w:rPr>
                <w:i/>
                <w:sz w:val="18"/>
              </w:rPr>
            </w:pPr>
          </w:p>
        </w:tc>
        <w:tc>
          <w:tcPr>
            <w:tcW w:w="2999" w:type="dxa"/>
            <w:gridSpan w:val="2"/>
          </w:tcPr>
          <w:p w:rsidR="006E4E11" w:rsidRPr="002B0D82" w:rsidRDefault="006E4E11" w:rsidP="004206A5">
            <w:pPr>
              <w:framePr w:w="5035" w:h="1644" w:wrap="notBeside" w:vAnchor="page" w:hAnchor="page" w:x="6573" w:y="721"/>
              <w:spacing w:line="240" w:lineRule="auto"/>
              <w:rPr>
                <w:i/>
                <w:sz w:val="18"/>
              </w:rPr>
            </w:pPr>
          </w:p>
        </w:tc>
      </w:tr>
      <w:tr w:rsidR="006E4E11" w:rsidRPr="002B0D82">
        <w:tblPrEx>
          <w:tblCellMar>
            <w:top w:w="0" w:type="dxa"/>
            <w:bottom w:w="0" w:type="dxa"/>
          </w:tblCellMar>
        </w:tblPrEx>
        <w:tc>
          <w:tcPr>
            <w:tcW w:w="2268" w:type="dxa"/>
          </w:tcPr>
          <w:p w:rsidR="006E4E11" w:rsidRPr="002B0D82" w:rsidRDefault="00F557F8" w:rsidP="004206A5">
            <w:pPr>
              <w:framePr w:w="5035" w:h="1644" w:wrap="notBeside" w:vAnchor="page" w:hAnchor="page" w:x="6573" w:y="721"/>
              <w:spacing w:line="240" w:lineRule="auto"/>
              <w:rPr>
                <w:rFonts w:ascii="Arial" w:hAnsi="Arial" w:cs="Arial"/>
                <w:b/>
                <w:sz w:val="22"/>
              </w:rPr>
            </w:pPr>
            <w:r w:rsidRPr="002B0D82">
              <w:rPr>
                <w:rFonts w:ascii="Arial" w:hAnsi="Arial" w:cs="Arial"/>
                <w:b/>
                <w:sz w:val="22"/>
              </w:rPr>
              <w:t xml:space="preserve">Promemoria </w:t>
            </w:r>
          </w:p>
        </w:tc>
        <w:tc>
          <w:tcPr>
            <w:tcW w:w="2999" w:type="dxa"/>
            <w:gridSpan w:val="2"/>
          </w:tcPr>
          <w:p w:rsidR="006E4E11" w:rsidRPr="002B0D82" w:rsidRDefault="006E4E11" w:rsidP="004206A5">
            <w:pPr>
              <w:framePr w:w="5035" w:h="1644" w:wrap="notBeside" w:vAnchor="page" w:hAnchor="page" w:x="6573" w:y="721"/>
              <w:spacing w:line="240" w:lineRule="auto"/>
              <w:rPr>
                <w:b/>
                <w:sz w:val="22"/>
              </w:rPr>
            </w:pPr>
          </w:p>
        </w:tc>
      </w:tr>
      <w:tr w:rsidR="006E4E11" w:rsidRPr="002B0D82">
        <w:tblPrEx>
          <w:tblCellMar>
            <w:top w:w="0" w:type="dxa"/>
            <w:bottom w:w="0" w:type="dxa"/>
          </w:tblCellMar>
        </w:tblPrEx>
        <w:tc>
          <w:tcPr>
            <w:tcW w:w="3402" w:type="dxa"/>
            <w:gridSpan w:val="2"/>
          </w:tcPr>
          <w:p w:rsidR="006E4E11" w:rsidRPr="002B0D82" w:rsidRDefault="006E4E11" w:rsidP="004206A5">
            <w:pPr>
              <w:framePr w:w="5035" w:h="1644" w:wrap="notBeside" w:vAnchor="page" w:hAnchor="page" w:x="6573" w:y="721"/>
              <w:spacing w:line="240" w:lineRule="auto"/>
            </w:pPr>
          </w:p>
        </w:tc>
        <w:tc>
          <w:tcPr>
            <w:tcW w:w="1865" w:type="dxa"/>
          </w:tcPr>
          <w:p w:rsidR="006E4E11" w:rsidRPr="002B0D82" w:rsidRDefault="006E4E11" w:rsidP="004206A5">
            <w:pPr>
              <w:framePr w:w="5035" w:h="1644" w:wrap="notBeside" w:vAnchor="page" w:hAnchor="page" w:x="6573" w:y="721"/>
              <w:spacing w:line="240" w:lineRule="auto"/>
            </w:pPr>
          </w:p>
        </w:tc>
      </w:tr>
      <w:tr w:rsidR="006E4E11" w:rsidRPr="002B0D82">
        <w:tblPrEx>
          <w:tblCellMar>
            <w:top w:w="0" w:type="dxa"/>
            <w:bottom w:w="0" w:type="dxa"/>
          </w:tblCellMar>
        </w:tblPrEx>
        <w:tc>
          <w:tcPr>
            <w:tcW w:w="2268" w:type="dxa"/>
          </w:tcPr>
          <w:p w:rsidR="006E4E11" w:rsidRPr="002B0D82" w:rsidRDefault="00F557F8" w:rsidP="004206A5">
            <w:pPr>
              <w:framePr w:w="5035" w:h="1644" w:wrap="notBeside" w:vAnchor="page" w:hAnchor="page" w:x="6573" w:y="721"/>
              <w:spacing w:line="240" w:lineRule="auto"/>
            </w:pPr>
            <w:r w:rsidRPr="002B0D82">
              <w:t>2009-11-</w:t>
            </w:r>
            <w:r w:rsidR="00FE63FB" w:rsidRPr="002B0D82">
              <w:t>30</w:t>
            </w:r>
          </w:p>
        </w:tc>
        <w:tc>
          <w:tcPr>
            <w:tcW w:w="2999" w:type="dxa"/>
            <w:gridSpan w:val="2"/>
          </w:tcPr>
          <w:p w:rsidR="006E4E11" w:rsidRPr="002B0D82" w:rsidRDefault="006E4E11" w:rsidP="004206A5">
            <w:pPr>
              <w:framePr w:w="5035" w:h="1644" w:wrap="notBeside" w:vAnchor="page" w:hAnchor="page" w:x="6573" w:y="721"/>
              <w:spacing w:line="240" w:lineRule="auto"/>
            </w:pPr>
          </w:p>
        </w:tc>
      </w:tr>
      <w:tr w:rsidR="006E4E11" w:rsidRPr="002B0D82">
        <w:tblPrEx>
          <w:tblCellMar>
            <w:top w:w="0" w:type="dxa"/>
            <w:bottom w:w="0" w:type="dxa"/>
          </w:tblCellMar>
        </w:tblPrEx>
        <w:tc>
          <w:tcPr>
            <w:tcW w:w="2268" w:type="dxa"/>
          </w:tcPr>
          <w:p w:rsidR="006E4E11" w:rsidRPr="002B0D82" w:rsidRDefault="006E4E11" w:rsidP="004206A5">
            <w:pPr>
              <w:framePr w:w="5035" w:h="1644" w:wrap="notBeside" w:vAnchor="page" w:hAnchor="page" w:x="6573" w:y="721"/>
              <w:spacing w:line="240" w:lineRule="auto"/>
            </w:pPr>
          </w:p>
        </w:tc>
        <w:tc>
          <w:tcPr>
            <w:tcW w:w="2999" w:type="dxa"/>
            <w:gridSpan w:val="2"/>
          </w:tcPr>
          <w:p w:rsidR="006E4E11" w:rsidRPr="002B0D82" w:rsidRDefault="006E4E11" w:rsidP="004206A5">
            <w:pPr>
              <w:framePr w:w="5035" w:h="1644" w:wrap="notBeside" w:vAnchor="page" w:hAnchor="page" w:x="6573" w:y="721"/>
              <w:spacing w:line="240" w:lineRule="auto"/>
            </w:pPr>
          </w:p>
        </w:tc>
      </w:tr>
    </w:tbl>
    <w:tbl>
      <w:tblPr>
        <w:tblW w:w="0" w:type="auto"/>
        <w:tblLayout w:type="fixed"/>
        <w:tblLook w:val="0000" w:firstRow="0" w:lastRow="0" w:firstColumn="0" w:lastColumn="0" w:noHBand="0" w:noVBand="0"/>
      </w:tblPr>
      <w:tblGrid>
        <w:gridCol w:w="4911"/>
      </w:tblGrid>
      <w:tr w:rsidR="006E4E11" w:rsidRPr="002B0D82">
        <w:tblPrEx>
          <w:tblCellMar>
            <w:top w:w="0" w:type="dxa"/>
            <w:bottom w:w="0" w:type="dxa"/>
          </w:tblCellMar>
        </w:tblPrEx>
        <w:trPr>
          <w:trHeight w:val="284"/>
        </w:trPr>
        <w:tc>
          <w:tcPr>
            <w:tcW w:w="4911" w:type="dxa"/>
          </w:tcPr>
          <w:p w:rsidR="00F557F8" w:rsidRPr="002B0D82" w:rsidRDefault="00F557F8" w:rsidP="00287BFA">
            <w:pPr>
              <w:pStyle w:val="Avsndare"/>
              <w:framePr w:hRule="auto" w:wrap="notBeside" w:x="1504"/>
              <w:spacing w:line="240" w:lineRule="auto"/>
              <w:rPr>
                <w:b/>
                <w:i w:val="0"/>
                <w:sz w:val="22"/>
              </w:rPr>
            </w:pPr>
            <w:r w:rsidRPr="002B0D82">
              <w:rPr>
                <w:b/>
                <w:i w:val="0"/>
                <w:sz w:val="22"/>
              </w:rPr>
              <w:t xml:space="preserve">Sveriges ordförandeskap </w:t>
            </w:r>
          </w:p>
          <w:p w:rsidR="00F557F8" w:rsidRPr="002B0D82" w:rsidRDefault="00F557F8" w:rsidP="00287BFA">
            <w:pPr>
              <w:pStyle w:val="Avsndare"/>
              <w:framePr w:hRule="auto" w:wrap="notBeside" w:x="1504"/>
              <w:spacing w:line="240" w:lineRule="auto"/>
              <w:rPr>
                <w:b/>
                <w:i w:val="0"/>
                <w:sz w:val="22"/>
              </w:rPr>
            </w:pPr>
            <w:r w:rsidRPr="002B0D82">
              <w:rPr>
                <w:b/>
                <w:i w:val="0"/>
                <w:sz w:val="22"/>
              </w:rPr>
              <w:t>i Europeiska unionen</w:t>
            </w:r>
          </w:p>
          <w:p w:rsidR="006E4E11" w:rsidRPr="002B0D82" w:rsidRDefault="006E4E11" w:rsidP="00287BFA">
            <w:pPr>
              <w:pStyle w:val="Avsndare"/>
              <w:framePr w:hRule="auto" w:wrap="notBeside" w:x="1504"/>
              <w:spacing w:line="240" w:lineRule="auto"/>
              <w:rPr>
                <w:b/>
                <w:i w:val="0"/>
                <w:sz w:val="22"/>
              </w:rPr>
            </w:pPr>
          </w:p>
        </w:tc>
      </w:tr>
      <w:tr w:rsidR="006E4E11" w:rsidRPr="002B0D82">
        <w:tblPrEx>
          <w:tblCellMar>
            <w:top w:w="0" w:type="dxa"/>
            <w:bottom w:w="0" w:type="dxa"/>
          </w:tblCellMar>
        </w:tblPrEx>
        <w:trPr>
          <w:trHeight w:val="284"/>
        </w:trPr>
        <w:tc>
          <w:tcPr>
            <w:tcW w:w="4911" w:type="dxa"/>
          </w:tcPr>
          <w:p w:rsidR="006E4E11" w:rsidRPr="002B0D82" w:rsidRDefault="006E4E11" w:rsidP="00287BFA">
            <w:pPr>
              <w:pStyle w:val="Avsndare"/>
              <w:framePr w:hRule="auto" w:wrap="notBeside" w:x="1504"/>
              <w:spacing w:line="240" w:lineRule="auto"/>
              <w:rPr>
                <w:bCs/>
                <w:iCs/>
              </w:rPr>
            </w:pPr>
          </w:p>
        </w:tc>
      </w:tr>
      <w:tr w:rsidR="006E4E11" w:rsidRPr="002B0D82">
        <w:tblPrEx>
          <w:tblCellMar>
            <w:top w:w="0" w:type="dxa"/>
            <w:bottom w:w="0" w:type="dxa"/>
          </w:tblCellMar>
        </w:tblPrEx>
        <w:trPr>
          <w:trHeight w:val="284"/>
        </w:trPr>
        <w:tc>
          <w:tcPr>
            <w:tcW w:w="4911" w:type="dxa"/>
          </w:tcPr>
          <w:p w:rsidR="006E4E11" w:rsidRPr="002B0D82" w:rsidRDefault="00F557F8" w:rsidP="00287BFA">
            <w:pPr>
              <w:pStyle w:val="Avsndare"/>
              <w:framePr w:hRule="auto" w:wrap="notBeside" w:x="1504"/>
              <w:spacing w:line="240" w:lineRule="auto"/>
              <w:rPr>
                <w:bCs/>
                <w:iCs/>
              </w:rPr>
            </w:pPr>
            <w:r w:rsidRPr="002B0D82">
              <w:rPr>
                <w:bCs/>
                <w:iCs/>
              </w:rPr>
              <w:t>Enheten för miljökvalitet</w:t>
            </w:r>
          </w:p>
          <w:p w:rsidR="00287BFA" w:rsidRPr="002B0D82" w:rsidRDefault="00287BFA" w:rsidP="00287BFA">
            <w:pPr>
              <w:pStyle w:val="Avsndare"/>
              <w:framePr w:hRule="auto" w:wrap="notBeside" w:x="1504"/>
              <w:spacing w:line="240" w:lineRule="auto"/>
              <w:rPr>
                <w:bCs/>
                <w:iCs/>
              </w:rPr>
            </w:pPr>
          </w:p>
          <w:p w:rsidR="00287BFA" w:rsidRPr="002B0D82" w:rsidRDefault="00287BFA" w:rsidP="00287BFA">
            <w:pPr>
              <w:pStyle w:val="Avsndare"/>
              <w:framePr w:hRule="auto" w:wrap="notBeside" w:x="1504"/>
              <w:spacing w:line="240" w:lineRule="auto"/>
              <w:rPr>
                <w:bCs/>
                <w:iCs/>
              </w:rPr>
            </w:pPr>
          </w:p>
        </w:tc>
      </w:tr>
    </w:tbl>
    <w:p w:rsidR="006E4E11" w:rsidRPr="002B0D82" w:rsidRDefault="006E4E11" w:rsidP="00287BFA">
      <w:pPr>
        <w:framePr w:w="4400" w:wrap="notBeside" w:vAnchor="page" w:hAnchor="page" w:x="6453" w:y="2445"/>
        <w:spacing w:line="240" w:lineRule="auto"/>
        <w:ind w:left="142"/>
      </w:pPr>
    </w:p>
    <w:p w:rsidR="006E4E11" w:rsidRPr="002B0D82" w:rsidRDefault="00F557F8" w:rsidP="004206A5">
      <w:pPr>
        <w:pStyle w:val="RKrubrik"/>
        <w:pBdr>
          <w:bottom w:val="single" w:sz="4" w:space="1" w:color="000000"/>
        </w:pBdr>
        <w:spacing w:before="0" w:after="0" w:line="240" w:lineRule="auto"/>
      </w:pPr>
      <w:r w:rsidRPr="002B0D82">
        <w:t xml:space="preserve">Rapport </w:t>
      </w:r>
      <w:r w:rsidR="00173BDB" w:rsidRPr="002B0D82">
        <w:t xml:space="preserve">till Riksdagen från </w:t>
      </w:r>
      <w:r w:rsidRPr="002B0D82">
        <w:t>Miljöråd</w:t>
      </w:r>
      <w:r w:rsidR="00173BDB" w:rsidRPr="002B0D82">
        <w:t>et den</w:t>
      </w:r>
      <w:r w:rsidRPr="002B0D82">
        <w:t xml:space="preserve"> 23 november 2009</w:t>
      </w:r>
    </w:p>
    <w:p w:rsidR="006E4E11" w:rsidRPr="002B0D82" w:rsidRDefault="006E4E11" w:rsidP="004206A5">
      <w:pPr>
        <w:pStyle w:val="RKnormal"/>
        <w:spacing w:line="240" w:lineRule="auto"/>
      </w:pPr>
    </w:p>
    <w:p w:rsidR="00991B13" w:rsidRPr="002B0D82" w:rsidRDefault="00EE0999" w:rsidP="004206A5">
      <w:pPr>
        <w:pBdr>
          <w:top w:val="single" w:sz="4" w:space="1" w:color="auto"/>
          <w:left w:val="single" w:sz="4" w:space="1" w:color="auto"/>
          <w:bottom w:val="single" w:sz="4" w:space="1" w:color="auto"/>
          <w:right w:val="single" w:sz="4" w:space="1" w:color="auto"/>
        </w:pBdr>
        <w:spacing w:line="240" w:lineRule="auto"/>
        <w:rPr>
          <w:rFonts w:ascii="OrigGarmnd BT" w:hAnsi="OrigGarmnd BT"/>
        </w:rPr>
      </w:pPr>
      <w:r w:rsidRPr="002B0D82">
        <w:rPr>
          <w:rFonts w:ascii="OrigGarmnd BT" w:hAnsi="OrigGarmnd BT"/>
        </w:rPr>
        <w:t xml:space="preserve">Vid extra miljörådet den 23:e november hölls en policydebatt inför COP 15 i Köpenhamn i syfte att förbereda EU:s agerande fram till och under Köpenhamnsmötet. </w:t>
      </w:r>
      <w:r w:rsidR="00287BFA" w:rsidRPr="002B0D82">
        <w:rPr>
          <w:rFonts w:ascii="OrigGarmnd BT" w:hAnsi="OrigGarmnd BT"/>
        </w:rPr>
        <w:t>M</w:t>
      </w:r>
      <w:r w:rsidR="00991B13" w:rsidRPr="002B0D82">
        <w:rPr>
          <w:rFonts w:ascii="OrigGarmnd BT" w:hAnsi="OrigGarmnd BT"/>
        </w:rPr>
        <w:t>iljöministrarna bekräftade att tidigare antagna rådsslutsatser av Miljörådet och Europeiska rådet står fast</w:t>
      </w:r>
      <w:r w:rsidR="00081305" w:rsidRPr="002B0D82">
        <w:rPr>
          <w:rFonts w:ascii="OrigGarmnd BT" w:hAnsi="OrigGarmnd BT"/>
        </w:rPr>
        <w:t xml:space="preserve"> men diskuterade ett antal nyckelfrågor för att konsolidera förhandlingsmandatet</w:t>
      </w:r>
      <w:r w:rsidR="00173BDB" w:rsidRPr="002B0D82">
        <w:rPr>
          <w:rFonts w:ascii="OrigGarmnd BT" w:hAnsi="OrigGarmnd BT"/>
        </w:rPr>
        <w:t xml:space="preserve">. </w:t>
      </w:r>
      <w:r w:rsidR="00054A92" w:rsidRPr="002B0D82">
        <w:rPr>
          <w:rFonts w:ascii="OrigGarmnd BT" w:hAnsi="OrigGarmnd BT"/>
        </w:rPr>
        <w:t xml:space="preserve">Ministrarna </w:t>
      </w:r>
      <w:r w:rsidR="00173BDB" w:rsidRPr="002B0D82">
        <w:rPr>
          <w:rFonts w:ascii="OrigGarmnd BT" w:hAnsi="OrigGarmnd BT"/>
        </w:rPr>
        <w:t>underströk a</w:t>
      </w:r>
      <w:r w:rsidR="00991B13" w:rsidRPr="002B0D82">
        <w:rPr>
          <w:rFonts w:ascii="OrigGarmnd BT" w:hAnsi="OrigGarmnd BT"/>
        </w:rPr>
        <w:t xml:space="preserve">tt målet </w:t>
      </w:r>
      <w:r w:rsidR="00173BDB" w:rsidRPr="002B0D82">
        <w:rPr>
          <w:rFonts w:ascii="OrigGarmnd BT" w:hAnsi="OrigGarmnd BT"/>
        </w:rPr>
        <w:t>är</w:t>
      </w:r>
      <w:r w:rsidR="00991B13" w:rsidRPr="002B0D82">
        <w:rPr>
          <w:rFonts w:ascii="OrigGarmnd BT" w:hAnsi="OrigGarmnd BT"/>
        </w:rPr>
        <w:t xml:space="preserve"> </w:t>
      </w:r>
      <w:r w:rsidR="00173BDB" w:rsidRPr="002B0D82">
        <w:rPr>
          <w:rFonts w:ascii="OrigGarmnd BT" w:hAnsi="OrigGarmnd BT"/>
        </w:rPr>
        <w:t>att nå ett legalt bindande avtal för tiden från 2013</w:t>
      </w:r>
      <w:r w:rsidR="00081305" w:rsidRPr="002B0D82">
        <w:rPr>
          <w:rFonts w:ascii="OrigGarmnd BT" w:hAnsi="OrigGarmnd BT"/>
        </w:rPr>
        <w:t xml:space="preserve"> och att i</w:t>
      </w:r>
      <w:r w:rsidR="00173BDB" w:rsidRPr="002B0D82">
        <w:rPr>
          <w:rFonts w:ascii="OrigGarmnd BT" w:hAnsi="OrigGarmnd BT"/>
        </w:rPr>
        <w:t xml:space="preserve"> </w:t>
      </w:r>
      <w:r w:rsidR="00991B13" w:rsidRPr="002B0D82">
        <w:rPr>
          <w:rFonts w:ascii="OrigGarmnd BT" w:hAnsi="OrigGarmnd BT"/>
        </w:rPr>
        <w:t xml:space="preserve">Köpenhamn ta det avgörande steget i form av en heltäckande politiskt bindande överenskommelse som innehåller alla delar i Bali Action plan och </w:t>
      </w:r>
      <w:r w:rsidR="00633A15" w:rsidRPr="002B0D82">
        <w:rPr>
          <w:rFonts w:ascii="OrigGarmnd BT" w:hAnsi="OrigGarmnd BT"/>
        </w:rPr>
        <w:t>håller två</w:t>
      </w:r>
      <w:r w:rsidR="00991B13" w:rsidRPr="002B0D82">
        <w:rPr>
          <w:rFonts w:ascii="OrigGarmnd BT" w:hAnsi="OrigGarmnd BT"/>
        </w:rPr>
        <w:t xml:space="preserve">gradersmålet inom räckhåll. </w:t>
      </w:r>
      <w:r w:rsidR="00054A92" w:rsidRPr="002B0D82">
        <w:rPr>
          <w:rFonts w:ascii="OrigGarmnd BT" w:hAnsi="OrigGarmnd BT"/>
        </w:rPr>
        <w:t xml:space="preserve">Ministrarna </w:t>
      </w:r>
      <w:r w:rsidR="00287BFA" w:rsidRPr="002B0D82">
        <w:rPr>
          <w:rFonts w:ascii="OrigGarmnd BT" w:hAnsi="OrigGarmnd BT"/>
        </w:rPr>
        <w:t>enades också om vikten av finansiering till omedelbara åtgärder, inklusive satsningar på anpassning och minskad avskogning.</w:t>
      </w:r>
    </w:p>
    <w:p w:rsidR="00991B13" w:rsidRPr="002B0D82" w:rsidRDefault="00991B13" w:rsidP="004206A5">
      <w:pPr>
        <w:spacing w:line="240" w:lineRule="auto"/>
        <w:rPr>
          <w:rFonts w:ascii="OrigGarmnd BT" w:hAnsi="OrigGarmnd BT"/>
        </w:rPr>
      </w:pPr>
    </w:p>
    <w:p w:rsidR="007F3008" w:rsidRPr="002B0D82" w:rsidRDefault="007F3008" w:rsidP="004206A5">
      <w:pPr>
        <w:spacing w:line="240" w:lineRule="auto"/>
        <w:rPr>
          <w:rFonts w:ascii="OrigGarmnd BT" w:hAnsi="OrigGarmnd BT"/>
          <w:b/>
          <w:i/>
          <w:u w:val="single"/>
        </w:rPr>
      </w:pPr>
      <w:r w:rsidRPr="002B0D82">
        <w:rPr>
          <w:rFonts w:ascii="OrigGarmnd BT" w:hAnsi="OrigGarmnd BT"/>
          <w:b/>
          <w:i/>
          <w:u w:val="single"/>
        </w:rPr>
        <w:t>Förmiddagen</w:t>
      </w:r>
      <w:r w:rsidR="00F557F8" w:rsidRPr="002B0D82">
        <w:rPr>
          <w:rFonts w:ascii="OrigGarmnd BT" w:hAnsi="OrigGarmnd BT"/>
          <w:b/>
          <w:i/>
          <w:u w:val="single"/>
        </w:rPr>
        <w:t xml:space="preserve"> </w:t>
      </w:r>
    </w:p>
    <w:p w:rsidR="00173BDB" w:rsidRPr="002B0D82" w:rsidRDefault="00054A92" w:rsidP="004206A5">
      <w:pPr>
        <w:spacing w:line="240" w:lineRule="auto"/>
        <w:rPr>
          <w:rFonts w:ascii="OrigGarmnd BT" w:hAnsi="OrigGarmnd BT"/>
        </w:rPr>
      </w:pPr>
      <w:r w:rsidRPr="002B0D82">
        <w:rPr>
          <w:rFonts w:ascii="OrigGarmnd BT" w:hAnsi="OrigGarmnd BT"/>
        </w:rPr>
        <w:t>Miljörådets ordförande Andreas Carlgren gjorde inledningsvis</w:t>
      </w:r>
      <w:r w:rsidR="0038064E" w:rsidRPr="002B0D82">
        <w:rPr>
          <w:rFonts w:ascii="OrigGarmnd BT" w:hAnsi="OrigGarmnd BT"/>
        </w:rPr>
        <w:t xml:space="preserve"> en kortare presentation av </w:t>
      </w:r>
      <w:r w:rsidRPr="002B0D82">
        <w:rPr>
          <w:rFonts w:ascii="OrigGarmnd BT" w:hAnsi="OrigGarmnd BT"/>
        </w:rPr>
        <w:t xml:space="preserve">de </w:t>
      </w:r>
      <w:r w:rsidR="0038064E" w:rsidRPr="002B0D82">
        <w:rPr>
          <w:rFonts w:ascii="OrigGarmnd BT" w:hAnsi="OrigGarmnd BT"/>
        </w:rPr>
        <w:t>senaste händels</w:t>
      </w:r>
      <w:r w:rsidR="00633A15" w:rsidRPr="002B0D82">
        <w:rPr>
          <w:rFonts w:ascii="OrigGarmnd BT" w:hAnsi="OrigGarmnd BT"/>
        </w:rPr>
        <w:t>eutvecklingen</w:t>
      </w:r>
      <w:r w:rsidRPr="002B0D82">
        <w:rPr>
          <w:rFonts w:ascii="OrigGarmnd BT" w:hAnsi="OrigGarmnd BT"/>
        </w:rPr>
        <w:t>.</w:t>
      </w:r>
      <w:r w:rsidR="00633A15" w:rsidRPr="002B0D82">
        <w:rPr>
          <w:rFonts w:ascii="OrigGarmnd BT" w:hAnsi="OrigGarmnd BT"/>
        </w:rPr>
        <w:t xml:space="preserve"> </w:t>
      </w:r>
      <w:r w:rsidRPr="002B0D82">
        <w:rPr>
          <w:rFonts w:ascii="OrigGarmnd BT" w:hAnsi="OrigGarmnd BT"/>
        </w:rPr>
        <w:t>Därefter följde ett antal</w:t>
      </w:r>
      <w:r w:rsidR="0038064E" w:rsidRPr="002B0D82">
        <w:rPr>
          <w:rFonts w:ascii="OrigGarmnd BT" w:hAnsi="OrigGarmnd BT"/>
        </w:rPr>
        <w:t xml:space="preserve"> förberedda presentationer om upplägget och läget inför Köpenham</w:t>
      </w:r>
      <w:r w:rsidR="00633A15" w:rsidRPr="002B0D82">
        <w:rPr>
          <w:rFonts w:ascii="OrigGarmnd BT" w:hAnsi="OrigGarmnd BT"/>
        </w:rPr>
        <w:t>n</w:t>
      </w:r>
      <w:r w:rsidR="0038064E" w:rsidRPr="002B0D82">
        <w:rPr>
          <w:rFonts w:ascii="OrigGarmnd BT" w:hAnsi="OrigGarmnd BT"/>
        </w:rPr>
        <w:t>skonferensen, EU</w:t>
      </w:r>
      <w:r w:rsidR="00633A15" w:rsidRPr="002B0D82">
        <w:rPr>
          <w:rFonts w:ascii="OrigGarmnd BT" w:hAnsi="OrigGarmnd BT"/>
        </w:rPr>
        <w:t>:</w:t>
      </w:r>
      <w:r w:rsidR="0038064E" w:rsidRPr="002B0D82">
        <w:rPr>
          <w:rFonts w:ascii="OrigGarmnd BT" w:hAnsi="OrigGarmnd BT"/>
        </w:rPr>
        <w:t>s interna åtgärder och kostnader för att nå klimatmålen samt insatser mot avskogning. Talade gjorde</w:t>
      </w:r>
      <w:r w:rsidR="007F3008" w:rsidRPr="002B0D82">
        <w:rPr>
          <w:rFonts w:ascii="OrigGarmnd BT" w:hAnsi="OrigGarmnd BT"/>
        </w:rPr>
        <w:t xml:space="preserve"> inkommande COP-ordföranden Danmark (Connie Hedegaard), nuvarande COP-ordföranden Polen (</w:t>
      </w:r>
      <w:r w:rsidR="00817600" w:rsidRPr="002B0D82">
        <w:rPr>
          <w:rFonts w:ascii="OrigGarmnd BT" w:hAnsi="OrigGarmnd BT"/>
        </w:rPr>
        <w:t xml:space="preserve">Maciej </w:t>
      </w:r>
      <w:r w:rsidR="007F3008" w:rsidRPr="002B0D82">
        <w:rPr>
          <w:rFonts w:ascii="OrigGarmnd BT" w:hAnsi="OrigGarmnd BT"/>
        </w:rPr>
        <w:t>Nowick</w:t>
      </w:r>
      <w:r w:rsidR="0038064E" w:rsidRPr="002B0D82">
        <w:rPr>
          <w:rFonts w:ascii="OrigGarmnd BT" w:hAnsi="OrigGarmnd BT"/>
        </w:rPr>
        <w:t xml:space="preserve">i), </w:t>
      </w:r>
      <w:r w:rsidR="00883422" w:rsidRPr="002B0D82">
        <w:rPr>
          <w:rFonts w:ascii="OrigGarmnd BT" w:hAnsi="OrigGarmnd BT"/>
        </w:rPr>
        <w:t>exekutiv sekreteraren f</w:t>
      </w:r>
      <w:r w:rsidR="007F3008" w:rsidRPr="002B0D82">
        <w:rPr>
          <w:rFonts w:ascii="OrigGarmnd BT" w:hAnsi="OrigGarmnd BT"/>
        </w:rPr>
        <w:t>ö</w:t>
      </w:r>
      <w:r w:rsidR="00883422" w:rsidRPr="002B0D82">
        <w:rPr>
          <w:rFonts w:ascii="OrigGarmnd BT" w:hAnsi="OrigGarmnd BT"/>
        </w:rPr>
        <w:t>r</w:t>
      </w:r>
      <w:r w:rsidR="007F3008" w:rsidRPr="002B0D82">
        <w:rPr>
          <w:rFonts w:ascii="OrigGarmnd BT" w:hAnsi="OrigGarmnd BT"/>
        </w:rPr>
        <w:t xml:space="preserve"> FN:s klimatkonvention, Yvo de Boer</w:t>
      </w:r>
      <w:r w:rsidR="0038064E" w:rsidRPr="002B0D82">
        <w:rPr>
          <w:rFonts w:ascii="OrigGarmnd BT" w:hAnsi="OrigGarmnd BT"/>
        </w:rPr>
        <w:t>, miljökommissionären Stavros Dimas</w:t>
      </w:r>
      <w:r w:rsidR="00817600" w:rsidRPr="002B0D82">
        <w:rPr>
          <w:rFonts w:ascii="OrigGarmnd BT" w:hAnsi="OrigGarmnd BT"/>
        </w:rPr>
        <w:t xml:space="preserve"> samt Norges </w:t>
      </w:r>
      <w:r w:rsidR="00633A15" w:rsidRPr="002B0D82">
        <w:rPr>
          <w:rFonts w:ascii="OrigGarmnd BT" w:hAnsi="OrigGarmnd BT"/>
        </w:rPr>
        <w:t xml:space="preserve">statsråd och </w:t>
      </w:r>
      <w:r w:rsidR="00817600" w:rsidRPr="002B0D82">
        <w:rPr>
          <w:rFonts w:ascii="OrigGarmnd BT" w:hAnsi="OrigGarmnd BT"/>
        </w:rPr>
        <w:t>chefsförhandlare Hanne Bjurstrøm</w:t>
      </w:r>
      <w:r w:rsidR="007F3008" w:rsidRPr="002B0D82">
        <w:rPr>
          <w:rFonts w:ascii="OrigGarmnd BT" w:hAnsi="OrigGarmnd BT"/>
        </w:rPr>
        <w:t>.</w:t>
      </w:r>
    </w:p>
    <w:p w:rsidR="00D960B8" w:rsidRPr="002B0D82" w:rsidRDefault="007F3008" w:rsidP="004206A5">
      <w:pPr>
        <w:spacing w:line="240" w:lineRule="auto"/>
        <w:rPr>
          <w:rFonts w:ascii="OrigGarmnd BT" w:hAnsi="OrigGarmnd BT"/>
        </w:rPr>
      </w:pPr>
      <w:r w:rsidRPr="002B0D82">
        <w:rPr>
          <w:rFonts w:ascii="OrigGarmnd BT" w:hAnsi="OrigGarmnd BT"/>
        </w:rPr>
        <w:t xml:space="preserve"> </w:t>
      </w:r>
    </w:p>
    <w:p w:rsidR="0083702E" w:rsidRPr="002B0D82" w:rsidRDefault="00D960B8" w:rsidP="004206A5">
      <w:pPr>
        <w:spacing w:line="240" w:lineRule="auto"/>
        <w:rPr>
          <w:rFonts w:ascii="OrigGarmnd BT" w:hAnsi="OrigGarmnd BT"/>
        </w:rPr>
      </w:pPr>
      <w:r w:rsidRPr="002B0D82">
        <w:rPr>
          <w:rFonts w:ascii="OrigGarmnd BT" w:hAnsi="OrigGarmnd BT"/>
        </w:rPr>
        <w:t xml:space="preserve">Hedegaard </w:t>
      </w:r>
      <w:r w:rsidR="00173BDB" w:rsidRPr="002B0D82">
        <w:rPr>
          <w:rFonts w:ascii="OrigGarmnd BT" w:hAnsi="OrigGarmnd BT"/>
        </w:rPr>
        <w:t>re</w:t>
      </w:r>
      <w:r w:rsidR="00633A15" w:rsidRPr="002B0D82">
        <w:rPr>
          <w:rFonts w:ascii="OrigGarmnd BT" w:hAnsi="OrigGarmnd BT"/>
        </w:rPr>
        <w:t>d</w:t>
      </w:r>
      <w:r w:rsidR="00173BDB" w:rsidRPr="002B0D82">
        <w:rPr>
          <w:rFonts w:ascii="OrigGarmnd BT" w:hAnsi="OrigGarmnd BT"/>
        </w:rPr>
        <w:t>ogjorde som COP-ordförande för sin bild av förhandlingsläget och vilken typ av avtal man kan förvänta sig i Köpenhamn. Hon f</w:t>
      </w:r>
      <w:r w:rsidR="00766DE3" w:rsidRPr="002B0D82">
        <w:rPr>
          <w:rFonts w:ascii="OrigGarmnd BT" w:hAnsi="OrigGarmnd BT"/>
        </w:rPr>
        <w:t>rammanade en positiv bild av förhandlingsläget som nu närmar sig deadline, vilket ger resultat i form av att flera parter skärper sina bud. Men EU måste fortsätta hålla trycket uppe på andra parter</w:t>
      </w:r>
      <w:r w:rsidR="0017201C" w:rsidRPr="002B0D82">
        <w:rPr>
          <w:rFonts w:ascii="OrigGarmnd BT" w:hAnsi="OrigGarmnd BT"/>
        </w:rPr>
        <w:t>.</w:t>
      </w:r>
      <w:r w:rsidR="00766DE3" w:rsidRPr="002B0D82">
        <w:rPr>
          <w:rFonts w:ascii="OrigGarmnd BT" w:hAnsi="OrigGarmnd BT"/>
        </w:rPr>
        <w:t xml:space="preserve"> I-länderna</w:t>
      </w:r>
      <w:r w:rsidR="0017201C" w:rsidRPr="002B0D82">
        <w:rPr>
          <w:rFonts w:ascii="OrigGarmnd BT" w:hAnsi="OrigGarmnd BT"/>
        </w:rPr>
        <w:t xml:space="preserve"> behöver</w:t>
      </w:r>
      <w:r w:rsidR="00766DE3" w:rsidRPr="002B0D82">
        <w:rPr>
          <w:rFonts w:ascii="OrigGarmnd BT" w:hAnsi="OrigGarmnd BT"/>
        </w:rPr>
        <w:t xml:space="preserve"> leverera mer än de ca 17% som vi ligger på nu</w:t>
      </w:r>
      <w:r w:rsidR="0017201C" w:rsidRPr="002B0D82">
        <w:rPr>
          <w:rFonts w:ascii="OrigGarmnd BT" w:hAnsi="OrigGarmnd BT"/>
        </w:rPr>
        <w:t xml:space="preserve"> och dessutom trovärdiga </w:t>
      </w:r>
      <w:r w:rsidR="00633A15" w:rsidRPr="002B0D82">
        <w:rPr>
          <w:rFonts w:ascii="OrigGarmnd BT" w:hAnsi="OrigGarmnd BT"/>
        </w:rPr>
        <w:t xml:space="preserve">vägar mot </w:t>
      </w:r>
      <w:r w:rsidR="0017201C" w:rsidRPr="002B0D82">
        <w:rPr>
          <w:rFonts w:ascii="OrigGarmnd BT" w:hAnsi="OrigGarmnd BT"/>
        </w:rPr>
        <w:t>långsiktiga mål</w:t>
      </w:r>
      <w:r w:rsidR="00766DE3" w:rsidRPr="002B0D82">
        <w:rPr>
          <w:rFonts w:ascii="OrigGarmnd BT" w:hAnsi="OrigGarmnd BT"/>
        </w:rPr>
        <w:t xml:space="preserve">. </w:t>
      </w:r>
      <w:r w:rsidR="00054A92" w:rsidRPr="002B0D82">
        <w:rPr>
          <w:rFonts w:ascii="OrigGarmnd BT" w:hAnsi="OrigGarmnd BT"/>
        </w:rPr>
        <w:t>Hedegaard</w:t>
      </w:r>
      <w:r w:rsidR="00633A15" w:rsidRPr="002B0D82">
        <w:rPr>
          <w:rFonts w:ascii="OrigGarmnd BT" w:hAnsi="OrigGarmnd BT"/>
        </w:rPr>
        <w:t xml:space="preserve"> v</w:t>
      </w:r>
      <w:r w:rsidR="0083702E" w:rsidRPr="002B0D82">
        <w:rPr>
          <w:rFonts w:ascii="OrigGarmnd BT" w:hAnsi="OrigGarmnd BT"/>
        </w:rPr>
        <w:t xml:space="preserve">älkomnade nya bud från utvecklingsländer och konstaterade att om också Kina annonserar sitt utlovade minskningsmål innan </w:t>
      </w:r>
      <w:r w:rsidR="00633A15" w:rsidRPr="002B0D82">
        <w:rPr>
          <w:rFonts w:ascii="OrigGarmnd BT" w:hAnsi="OrigGarmnd BT"/>
        </w:rPr>
        <w:t xml:space="preserve">Köpenhamn </w:t>
      </w:r>
      <w:r w:rsidR="0083702E" w:rsidRPr="002B0D82">
        <w:rPr>
          <w:rFonts w:ascii="OrigGarmnd BT" w:hAnsi="OrigGarmnd BT"/>
        </w:rPr>
        <w:t xml:space="preserve">lyckas utvecklingsländerna nå IPCC målet som grupp, vilket i-länderna misslyckas med. </w:t>
      </w:r>
    </w:p>
    <w:p w:rsidR="0083702E" w:rsidRPr="002B0D82" w:rsidRDefault="0083702E" w:rsidP="004206A5">
      <w:pPr>
        <w:spacing w:line="240" w:lineRule="auto"/>
        <w:rPr>
          <w:rFonts w:ascii="OrigGarmnd BT" w:hAnsi="OrigGarmnd BT"/>
        </w:rPr>
      </w:pPr>
    </w:p>
    <w:p w:rsidR="0017201C" w:rsidRPr="002B0D82" w:rsidRDefault="00817600" w:rsidP="004206A5">
      <w:pPr>
        <w:spacing w:line="240" w:lineRule="auto"/>
        <w:rPr>
          <w:rFonts w:ascii="OrigGarmnd BT" w:hAnsi="OrigGarmnd BT"/>
        </w:rPr>
      </w:pPr>
      <w:r w:rsidRPr="002B0D82">
        <w:rPr>
          <w:rFonts w:ascii="OrigGarmnd BT" w:hAnsi="OrigGarmnd BT"/>
          <w:b/>
        </w:rPr>
        <w:lastRenderedPageBreak/>
        <w:t xml:space="preserve">Maciej </w:t>
      </w:r>
      <w:r w:rsidR="0017201C" w:rsidRPr="002B0D82">
        <w:rPr>
          <w:rFonts w:ascii="OrigGarmnd BT" w:hAnsi="OrigGarmnd BT"/>
          <w:b/>
        </w:rPr>
        <w:t>Nowicki</w:t>
      </w:r>
      <w:r w:rsidR="0017201C" w:rsidRPr="002B0D82">
        <w:rPr>
          <w:rFonts w:ascii="OrigGarmnd BT" w:hAnsi="OrigGarmnd BT"/>
        </w:rPr>
        <w:t xml:space="preserve"> </w:t>
      </w:r>
      <w:r w:rsidRPr="002B0D82">
        <w:rPr>
          <w:rFonts w:ascii="OrigGarmnd BT" w:hAnsi="OrigGarmnd BT"/>
        </w:rPr>
        <w:t>gav</w:t>
      </w:r>
      <w:r w:rsidR="0017201C" w:rsidRPr="002B0D82">
        <w:rPr>
          <w:rFonts w:ascii="OrigGarmnd BT" w:hAnsi="OrigGarmnd BT"/>
        </w:rPr>
        <w:t xml:space="preserve"> sedan med</w:t>
      </w:r>
      <w:r w:rsidR="00E83C60" w:rsidRPr="002B0D82">
        <w:rPr>
          <w:rFonts w:ascii="OrigGarmnd BT" w:hAnsi="OrigGarmnd BT"/>
        </w:rPr>
        <w:t xml:space="preserve"> sin bild som avgående COP</w:t>
      </w:r>
      <w:r w:rsidR="00633A15" w:rsidRPr="002B0D82">
        <w:rPr>
          <w:rFonts w:ascii="OrigGarmnd BT" w:hAnsi="OrigGarmnd BT"/>
        </w:rPr>
        <w:t>-</w:t>
      </w:r>
      <w:r w:rsidR="00E83C60" w:rsidRPr="002B0D82">
        <w:rPr>
          <w:rFonts w:ascii="OrigGarmnd BT" w:hAnsi="OrigGarmnd BT"/>
        </w:rPr>
        <w:t xml:space="preserve">ordförande och </w:t>
      </w:r>
      <w:r w:rsidR="0017201C" w:rsidRPr="002B0D82">
        <w:rPr>
          <w:rFonts w:ascii="OrigGarmnd BT" w:hAnsi="OrigGarmnd BT"/>
        </w:rPr>
        <w:t>Polens miljöminister</w:t>
      </w:r>
      <w:r w:rsidR="00173BDB" w:rsidRPr="002B0D82">
        <w:rPr>
          <w:rFonts w:ascii="OrigGarmnd BT" w:hAnsi="OrigGarmnd BT"/>
        </w:rPr>
        <w:t>, med slutsatsen att f</w:t>
      </w:r>
      <w:r w:rsidR="0017201C" w:rsidRPr="002B0D82">
        <w:rPr>
          <w:rFonts w:ascii="OrigGarmnd BT" w:hAnsi="OrigGarmnd BT"/>
        </w:rPr>
        <w:t>örhandlingarna går långsamt men ändå framåt</w:t>
      </w:r>
      <w:r w:rsidR="00173BDB" w:rsidRPr="002B0D82">
        <w:rPr>
          <w:rFonts w:ascii="OrigGarmnd BT" w:hAnsi="OrigGarmnd BT"/>
        </w:rPr>
        <w:t xml:space="preserve"> och det är möjligt att nå ett bra avtal i Köpenhamn. </w:t>
      </w:r>
      <w:r w:rsidR="00054A92" w:rsidRPr="002B0D82">
        <w:rPr>
          <w:rFonts w:ascii="OrigGarmnd BT" w:hAnsi="OrigGarmnd BT"/>
        </w:rPr>
        <w:t xml:space="preserve">Nowicki </w:t>
      </w:r>
      <w:r w:rsidR="00AB2E32" w:rsidRPr="002B0D82">
        <w:rPr>
          <w:rFonts w:ascii="OrigGarmnd BT" w:hAnsi="OrigGarmnd BT"/>
        </w:rPr>
        <w:t>e</w:t>
      </w:r>
      <w:r w:rsidR="0017201C" w:rsidRPr="002B0D82">
        <w:rPr>
          <w:rFonts w:ascii="OrigGarmnd BT" w:hAnsi="OrigGarmnd BT"/>
        </w:rPr>
        <w:t>fterfråga</w:t>
      </w:r>
      <w:r w:rsidR="00AB2E32" w:rsidRPr="002B0D82">
        <w:rPr>
          <w:rFonts w:ascii="OrigGarmnd BT" w:hAnsi="OrigGarmnd BT"/>
        </w:rPr>
        <w:t>de</w:t>
      </w:r>
      <w:r w:rsidR="0017201C" w:rsidRPr="002B0D82">
        <w:rPr>
          <w:rFonts w:ascii="OrigGarmnd BT" w:hAnsi="OrigGarmnd BT"/>
        </w:rPr>
        <w:t xml:space="preserve"> </w:t>
      </w:r>
      <w:r w:rsidR="00173BDB" w:rsidRPr="002B0D82">
        <w:rPr>
          <w:rFonts w:ascii="OrigGarmnd BT" w:hAnsi="OrigGarmnd BT"/>
        </w:rPr>
        <w:t xml:space="preserve">bland annat </w:t>
      </w:r>
      <w:r w:rsidR="0017201C" w:rsidRPr="002B0D82">
        <w:rPr>
          <w:rFonts w:ascii="OrigGarmnd BT" w:hAnsi="OrigGarmnd BT"/>
        </w:rPr>
        <w:t>mer fokus på vad som ska hända mellan 2020 och 2050</w:t>
      </w:r>
      <w:r w:rsidR="00AB2E32" w:rsidRPr="002B0D82">
        <w:rPr>
          <w:rFonts w:ascii="OrigGarmnd BT" w:hAnsi="OrigGarmnd BT"/>
        </w:rPr>
        <w:t xml:space="preserve"> och e</w:t>
      </w:r>
      <w:r w:rsidR="0017201C" w:rsidRPr="002B0D82">
        <w:rPr>
          <w:rFonts w:ascii="OrigGarmnd BT" w:hAnsi="OrigGarmnd BT"/>
        </w:rPr>
        <w:t>fterlys</w:t>
      </w:r>
      <w:r w:rsidR="00173BDB" w:rsidRPr="002B0D82">
        <w:rPr>
          <w:rFonts w:ascii="OrigGarmnd BT" w:hAnsi="OrigGarmnd BT"/>
        </w:rPr>
        <w:t>te</w:t>
      </w:r>
      <w:r w:rsidR="0017201C" w:rsidRPr="002B0D82">
        <w:rPr>
          <w:rFonts w:ascii="OrigGarmnd BT" w:hAnsi="OrigGarmnd BT"/>
        </w:rPr>
        <w:t xml:space="preserve"> framsteg för anpassning, teknik, finansiering och kapacitetsuppbyggnad. </w:t>
      </w:r>
    </w:p>
    <w:p w:rsidR="00173BDB" w:rsidRPr="002B0D82" w:rsidRDefault="00173BDB" w:rsidP="004206A5">
      <w:pPr>
        <w:spacing w:line="240" w:lineRule="auto"/>
        <w:rPr>
          <w:rFonts w:ascii="OrigGarmnd BT" w:hAnsi="OrigGarmnd BT"/>
        </w:rPr>
      </w:pPr>
    </w:p>
    <w:p w:rsidR="0099595E" w:rsidRPr="002B0D82" w:rsidRDefault="0017201C" w:rsidP="004206A5">
      <w:pPr>
        <w:spacing w:line="240" w:lineRule="auto"/>
        <w:rPr>
          <w:rFonts w:ascii="OrigGarmnd BT" w:hAnsi="OrigGarmnd BT"/>
        </w:rPr>
      </w:pPr>
      <w:r w:rsidRPr="002B0D82">
        <w:rPr>
          <w:rFonts w:ascii="OrigGarmnd BT" w:hAnsi="OrigGarmnd BT"/>
          <w:b/>
        </w:rPr>
        <w:t xml:space="preserve">Yvo de Boer </w:t>
      </w:r>
      <w:r w:rsidRPr="002B0D82">
        <w:rPr>
          <w:rFonts w:ascii="OrigGarmnd BT" w:hAnsi="OrigGarmnd BT"/>
        </w:rPr>
        <w:t xml:space="preserve">talade </w:t>
      </w:r>
      <w:r w:rsidR="00B37806" w:rsidRPr="002B0D82">
        <w:rPr>
          <w:rFonts w:ascii="OrigGarmnd BT" w:hAnsi="OrigGarmnd BT"/>
        </w:rPr>
        <w:t>om sin syn på vad som behövdes i Köpenhamn och riktade ett antal rekommendationer till EU vad man kunde bidra med.</w:t>
      </w:r>
      <w:r w:rsidR="008B77B0" w:rsidRPr="002B0D82">
        <w:rPr>
          <w:rFonts w:ascii="OrigGarmnd BT" w:hAnsi="OrigGarmnd BT"/>
        </w:rPr>
        <w:t xml:space="preserve"> Han pekade på att </w:t>
      </w:r>
      <w:r w:rsidR="00173BDB" w:rsidRPr="002B0D82">
        <w:rPr>
          <w:rFonts w:ascii="OrigGarmnd BT" w:hAnsi="OrigGarmnd BT"/>
        </w:rPr>
        <w:t xml:space="preserve">man i </w:t>
      </w:r>
      <w:r w:rsidR="008B77B0" w:rsidRPr="002B0D82">
        <w:rPr>
          <w:rFonts w:ascii="OrigGarmnd BT" w:hAnsi="OrigGarmnd BT"/>
        </w:rPr>
        <w:t>Köp</w:t>
      </w:r>
      <w:r w:rsidR="00173BDB" w:rsidRPr="002B0D82">
        <w:rPr>
          <w:rFonts w:ascii="OrigGarmnd BT" w:hAnsi="OrigGarmnd BT"/>
        </w:rPr>
        <w:t xml:space="preserve">enhamn behöver fatta beslut </w:t>
      </w:r>
      <w:r w:rsidR="00B37806" w:rsidRPr="002B0D82">
        <w:rPr>
          <w:rFonts w:ascii="OrigGarmnd BT" w:hAnsi="OrigGarmnd BT"/>
        </w:rPr>
        <w:t xml:space="preserve">fyra </w:t>
      </w:r>
      <w:r w:rsidR="00173BDB" w:rsidRPr="002B0D82">
        <w:rPr>
          <w:rFonts w:ascii="OrigGarmnd BT" w:hAnsi="OrigGarmnd BT"/>
        </w:rPr>
        <w:t xml:space="preserve">viktiga element; </w:t>
      </w:r>
      <w:r w:rsidR="00B37806" w:rsidRPr="002B0D82">
        <w:rPr>
          <w:rFonts w:ascii="OrigGarmnd BT" w:hAnsi="OrigGarmnd BT"/>
        </w:rPr>
        <w:t>i-ländernas åtaganden, u-ländernas åtgärder, ekonomiskt stöd på kort och lång sikt samt e</w:t>
      </w:r>
      <w:r w:rsidR="0099595E" w:rsidRPr="002B0D82">
        <w:rPr>
          <w:rFonts w:ascii="OrigGarmnd BT" w:hAnsi="OrigGarmnd BT"/>
        </w:rPr>
        <w:t xml:space="preserve">n rättvis struktur liksom </w:t>
      </w:r>
      <w:r w:rsidR="008B77B0" w:rsidRPr="002B0D82">
        <w:rPr>
          <w:rFonts w:ascii="OrigGarmnd BT" w:hAnsi="OrigGarmnd BT"/>
        </w:rPr>
        <w:t>om en process under 2010</w:t>
      </w:r>
      <w:r w:rsidR="00173BDB" w:rsidRPr="002B0D82">
        <w:rPr>
          <w:rFonts w:ascii="OrigGarmnd BT" w:hAnsi="OrigGarmnd BT"/>
        </w:rPr>
        <w:t xml:space="preserve"> </w:t>
      </w:r>
      <w:r w:rsidR="008B77B0" w:rsidRPr="002B0D82">
        <w:rPr>
          <w:rFonts w:ascii="OrigGarmnd BT" w:hAnsi="OrigGarmnd BT"/>
        </w:rPr>
        <w:t xml:space="preserve">för </w:t>
      </w:r>
      <w:r w:rsidR="0099595E" w:rsidRPr="002B0D82">
        <w:rPr>
          <w:rFonts w:ascii="OrigGarmnd BT" w:hAnsi="OrigGarmnd BT"/>
        </w:rPr>
        <w:t>att avsluta förhandlingarna</w:t>
      </w:r>
      <w:r w:rsidR="008B77B0" w:rsidRPr="002B0D82">
        <w:rPr>
          <w:rFonts w:ascii="OrigGarmnd BT" w:hAnsi="OrigGarmnd BT"/>
        </w:rPr>
        <w:t>.</w:t>
      </w:r>
      <w:r w:rsidR="0099595E" w:rsidRPr="002B0D82">
        <w:rPr>
          <w:rFonts w:ascii="OrigGarmnd BT" w:hAnsi="OrigGarmnd BT"/>
        </w:rPr>
        <w:t xml:space="preserve"> </w:t>
      </w:r>
      <w:r w:rsidR="00054A92" w:rsidRPr="002B0D82">
        <w:rPr>
          <w:rFonts w:ascii="OrigGarmnd BT" w:hAnsi="OrigGarmnd BT"/>
        </w:rPr>
        <w:t xml:space="preserve">de Boer </w:t>
      </w:r>
      <w:r w:rsidR="0038064E" w:rsidRPr="002B0D82">
        <w:rPr>
          <w:rFonts w:ascii="OrigGarmnd BT" w:hAnsi="OrigGarmnd BT"/>
        </w:rPr>
        <w:t xml:space="preserve">uppmanade EU att vara tydligare vad gäller 20% </w:t>
      </w:r>
      <w:r w:rsidR="00F77E07" w:rsidRPr="002B0D82">
        <w:rPr>
          <w:rFonts w:ascii="OrigGarmnd BT" w:hAnsi="OrigGarmnd BT"/>
        </w:rPr>
        <w:t>-</w:t>
      </w:r>
      <w:r w:rsidR="0038064E" w:rsidRPr="002B0D82">
        <w:rPr>
          <w:rFonts w:ascii="OrigGarmnd BT" w:hAnsi="OrigGarmnd BT"/>
        </w:rPr>
        <w:t>respektive 30%</w:t>
      </w:r>
      <w:r w:rsidR="00F77E07" w:rsidRPr="002B0D82">
        <w:rPr>
          <w:rFonts w:ascii="OrigGarmnd BT" w:hAnsi="OrigGarmnd BT"/>
        </w:rPr>
        <w:t>-</w:t>
      </w:r>
      <w:r w:rsidR="0038064E" w:rsidRPr="002B0D82">
        <w:rPr>
          <w:rFonts w:ascii="OrigGarmnd BT" w:hAnsi="OrigGarmnd BT"/>
        </w:rPr>
        <w:t xml:space="preserve">åtagandet och vilken typ av åtgärder det innebär samt förtydliga sitt erbjudande till utvecklingsländerna vad gäller </w:t>
      </w:r>
      <w:r w:rsidR="00F77E07" w:rsidRPr="002B0D82">
        <w:rPr>
          <w:rFonts w:ascii="OrigGarmnd BT" w:hAnsi="OrigGarmnd BT"/>
        </w:rPr>
        <w:t>finansiering</w:t>
      </w:r>
      <w:r w:rsidR="0038064E" w:rsidRPr="002B0D82">
        <w:rPr>
          <w:rFonts w:ascii="OrigGarmnd BT" w:hAnsi="OrigGarmnd BT"/>
        </w:rPr>
        <w:t>.</w:t>
      </w:r>
    </w:p>
    <w:p w:rsidR="00CB70F2" w:rsidRPr="002B0D82" w:rsidRDefault="00CB70F2" w:rsidP="004206A5">
      <w:pPr>
        <w:spacing w:line="240" w:lineRule="auto"/>
        <w:rPr>
          <w:rFonts w:ascii="OrigGarmnd BT" w:hAnsi="OrigGarmnd BT"/>
        </w:rPr>
      </w:pPr>
    </w:p>
    <w:p w:rsidR="0038064E" w:rsidRPr="002B0D82" w:rsidRDefault="0038064E" w:rsidP="00692EE9">
      <w:pPr>
        <w:pStyle w:val="RKnormal"/>
        <w:spacing w:line="240" w:lineRule="auto"/>
        <w:rPr>
          <w:rFonts w:ascii="OrigGarmnd BT" w:hAnsi="OrigGarmnd BT"/>
        </w:rPr>
      </w:pPr>
      <w:r w:rsidRPr="002B0D82">
        <w:rPr>
          <w:rFonts w:ascii="OrigGarmnd BT" w:hAnsi="OrigGarmnd BT"/>
          <w:b/>
        </w:rPr>
        <w:t xml:space="preserve">Stavros Dimas </w:t>
      </w:r>
      <w:r w:rsidRPr="002B0D82">
        <w:rPr>
          <w:rFonts w:ascii="OrigGarmnd BT" w:hAnsi="OrigGarmnd BT"/>
        </w:rPr>
        <w:t>konstaterade att EU når sina mål för Kyotoprotokollets första åtagandeperiod (hänvisning till KOM</w:t>
      </w:r>
      <w:r w:rsidR="00F77E07" w:rsidRPr="002B0D82">
        <w:rPr>
          <w:rFonts w:ascii="OrigGarmnd BT" w:hAnsi="OrigGarmnd BT"/>
        </w:rPr>
        <w:t>:</w:t>
      </w:r>
      <w:r w:rsidRPr="002B0D82">
        <w:rPr>
          <w:rFonts w:ascii="OrigGarmnd BT" w:hAnsi="OrigGarmnd BT"/>
        </w:rPr>
        <w:t xml:space="preserve">s meddelande) och att </w:t>
      </w:r>
      <w:r w:rsidR="00054A92" w:rsidRPr="002B0D82">
        <w:rPr>
          <w:rFonts w:ascii="OrigGarmnd BT" w:hAnsi="OrigGarmnd BT"/>
        </w:rPr>
        <w:t xml:space="preserve">EU </w:t>
      </w:r>
      <w:r w:rsidRPr="002B0D82">
        <w:rPr>
          <w:rFonts w:ascii="OrigGarmnd BT" w:hAnsi="OrigGarmnd BT"/>
        </w:rPr>
        <w:t xml:space="preserve">är på god väg mot 20% minskningar 2020 tack vare den förda politiken. </w:t>
      </w:r>
      <w:r w:rsidR="00054A92" w:rsidRPr="002B0D82">
        <w:rPr>
          <w:rFonts w:ascii="OrigGarmnd BT" w:hAnsi="OrigGarmnd BT"/>
        </w:rPr>
        <w:t xml:space="preserve">Dimas </w:t>
      </w:r>
      <w:r w:rsidRPr="002B0D82">
        <w:rPr>
          <w:rFonts w:ascii="OrigGarmnd BT" w:hAnsi="OrigGarmnd BT"/>
        </w:rPr>
        <w:t>konstaterade vidare att kostnaderna för åtgärder nu minskat jämfört med innan ekonomiska krisen. Ytterligare ansträngning</w:t>
      </w:r>
      <w:r w:rsidR="00692EE9" w:rsidRPr="002B0D82">
        <w:rPr>
          <w:rFonts w:ascii="OrigGarmnd BT" w:hAnsi="OrigGarmnd BT"/>
        </w:rPr>
        <w:t>ar</w:t>
      </w:r>
      <w:r w:rsidRPr="002B0D82">
        <w:rPr>
          <w:rFonts w:ascii="OrigGarmnd BT" w:hAnsi="OrigGarmnd BT"/>
        </w:rPr>
        <w:t xml:space="preserve"> behövs</w:t>
      </w:r>
      <w:r w:rsidR="00692EE9" w:rsidRPr="002B0D82">
        <w:rPr>
          <w:rFonts w:ascii="OrigGarmnd BT" w:hAnsi="OrigGarmnd BT"/>
        </w:rPr>
        <w:t xml:space="preserve"> inför Köpenhamn </w:t>
      </w:r>
      <w:r w:rsidRPr="002B0D82">
        <w:rPr>
          <w:rFonts w:ascii="OrigGarmnd BT" w:hAnsi="OrigGarmnd BT"/>
        </w:rPr>
        <w:t xml:space="preserve">och EU måste fortsätta sätta press på andra parter. </w:t>
      </w:r>
      <w:r w:rsidR="00692EE9" w:rsidRPr="002B0D82">
        <w:rPr>
          <w:rFonts w:ascii="OrigGarmnd BT" w:hAnsi="OrigGarmnd BT"/>
        </w:rPr>
        <w:t xml:space="preserve">Han nämnde också vikten av att ha gemensamma regler i nästa avtalsperiod som inte undergräver effekten av ländernas åtgärder.  </w:t>
      </w:r>
    </w:p>
    <w:p w:rsidR="0038064E" w:rsidRPr="002B0D82" w:rsidRDefault="0038064E" w:rsidP="004206A5">
      <w:pPr>
        <w:spacing w:line="240" w:lineRule="auto"/>
        <w:rPr>
          <w:rFonts w:ascii="OrigGarmnd BT" w:hAnsi="OrigGarmnd BT"/>
        </w:rPr>
      </w:pPr>
    </w:p>
    <w:p w:rsidR="00CC62C1" w:rsidRPr="002B0D82" w:rsidRDefault="00AE736D" w:rsidP="004206A5">
      <w:pPr>
        <w:spacing w:line="240" w:lineRule="auto"/>
        <w:rPr>
          <w:rFonts w:ascii="OrigGarmnd BT" w:hAnsi="OrigGarmnd BT"/>
        </w:rPr>
      </w:pPr>
      <w:r w:rsidRPr="002B0D82">
        <w:rPr>
          <w:rFonts w:ascii="OrigGarmnd BT" w:hAnsi="OrigGarmnd BT"/>
          <w:b/>
        </w:rPr>
        <w:t>Hanne Bjurstrøm</w:t>
      </w:r>
      <w:r w:rsidR="00173BDB" w:rsidRPr="002B0D82">
        <w:rPr>
          <w:rFonts w:ascii="OrigGarmnd BT" w:hAnsi="OrigGarmnd BT"/>
          <w:b/>
        </w:rPr>
        <w:t xml:space="preserve"> </w:t>
      </w:r>
      <w:r w:rsidR="00173BDB" w:rsidRPr="002B0D82">
        <w:rPr>
          <w:rFonts w:ascii="OrigGarmnd BT" w:hAnsi="OrigGarmnd BT"/>
        </w:rPr>
        <w:t xml:space="preserve">talade sedan om vikten av </w:t>
      </w:r>
      <w:r w:rsidR="0038064E" w:rsidRPr="002B0D82">
        <w:rPr>
          <w:rFonts w:ascii="OrigGarmnd BT" w:hAnsi="OrigGarmnd BT"/>
        </w:rPr>
        <w:t>i</w:t>
      </w:r>
      <w:r w:rsidR="00CC62C1" w:rsidRPr="002B0D82">
        <w:rPr>
          <w:rFonts w:ascii="OrigGarmnd BT" w:hAnsi="OrigGarmnd BT"/>
        </w:rPr>
        <w:t>nsatser för minskad avskogning och hållbart skogsbruk (REDD+)</w:t>
      </w:r>
      <w:r w:rsidR="0038064E" w:rsidRPr="002B0D82">
        <w:rPr>
          <w:rFonts w:ascii="OrigGarmnd BT" w:hAnsi="OrigGarmnd BT"/>
        </w:rPr>
        <w:t>. Detta</w:t>
      </w:r>
      <w:r w:rsidR="00CC62C1" w:rsidRPr="002B0D82">
        <w:rPr>
          <w:rFonts w:ascii="OrigGarmnd BT" w:hAnsi="OrigGarmnd BT"/>
        </w:rPr>
        <w:t xml:space="preserve"> har prioriterats av Norge sedan Bali</w:t>
      </w:r>
      <w:r w:rsidR="0038064E" w:rsidRPr="002B0D82">
        <w:rPr>
          <w:rFonts w:ascii="OrigGarmnd BT" w:hAnsi="OrigGarmnd BT"/>
        </w:rPr>
        <w:t xml:space="preserve"> konferensen 2007.</w:t>
      </w:r>
      <w:r w:rsidR="00CC62C1" w:rsidRPr="002B0D82">
        <w:rPr>
          <w:rFonts w:ascii="OrigGarmnd BT" w:hAnsi="OrigGarmnd BT"/>
        </w:rPr>
        <w:t xml:space="preserve"> Genom tidiga insatser på REDD+ kan man kostnads</w:t>
      </w:r>
      <w:r w:rsidR="00692EE9" w:rsidRPr="002B0D82">
        <w:rPr>
          <w:rFonts w:ascii="OrigGarmnd BT" w:hAnsi="OrigGarmnd BT"/>
        </w:rPr>
        <w:softHyphen/>
      </w:r>
      <w:r w:rsidR="00CC62C1" w:rsidRPr="002B0D82">
        <w:rPr>
          <w:rFonts w:ascii="OrigGarmnd BT" w:hAnsi="OrigGarmnd BT"/>
        </w:rPr>
        <w:t xml:space="preserve">effektivt </w:t>
      </w:r>
      <w:r w:rsidR="00323289" w:rsidRPr="002B0D82">
        <w:rPr>
          <w:rFonts w:ascii="OrigGarmnd BT" w:hAnsi="OrigGarmnd BT"/>
        </w:rPr>
        <w:t xml:space="preserve">klara upp till 30% av de nödvändiga utsläppsminskningarna samtidigt som man når positiva bieffekter för </w:t>
      </w:r>
      <w:r w:rsidR="00CC62C1" w:rsidRPr="002B0D82">
        <w:rPr>
          <w:rFonts w:ascii="OrigGarmnd BT" w:hAnsi="OrigGarmnd BT"/>
        </w:rPr>
        <w:t>ur</w:t>
      </w:r>
      <w:r w:rsidR="00323289" w:rsidRPr="002B0D82">
        <w:rPr>
          <w:rFonts w:ascii="OrigGarmnd BT" w:hAnsi="OrigGarmnd BT"/>
        </w:rPr>
        <w:t>s</w:t>
      </w:r>
      <w:r w:rsidR="00CC62C1" w:rsidRPr="002B0D82">
        <w:rPr>
          <w:rFonts w:ascii="OrigGarmnd BT" w:hAnsi="OrigGarmnd BT"/>
        </w:rPr>
        <w:t>prungsbefolkningar mm.</w:t>
      </w:r>
      <w:r w:rsidR="00323289" w:rsidRPr="002B0D82">
        <w:rPr>
          <w:rFonts w:ascii="OrigGarmnd BT" w:hAnsi="OrigGarmnd BT"/>
        </w:rPr>
        <w:t xml:space="preserve"> Detta kräver vissa principer på plats som föreslås av NO i en r</w:t>
      </w:r>
      <w:r w:rsidR="0038064E" w:rsidRPr="002B0D82">
        <w:rPr>
          <w:rFonts w:ascii="OrigGarmnd BT" w:hAnsi="OrigGarmnd BT"/>
        </w:rPr>
        <w:t>esultatbaserad REDD+ mekanism.</w:t>
      </w:r>
      <w:r w:rsidR="00ED73AF" w:rsidRPr="002B0D82">
        <w:rPr>
          <w:rFonts w:ascii="OrigGarmnd BT" w:hAnsi="OrigGarmnd BT"/>
        </w:rPr>
        <w:t xml:space="preserve"> </w:t>
      </w:r>
    </w:p>
    <w:p w:rsidR="004206A5" w:rsidRPr="002B0D82" w:rsidRDefault="004206A5" w:rsidP="004206A5">
      <w:pPr>
        <w:spacing w:line="240" w:lineRule="auto"/>
        <w:rPr>
          <w:rFonts w:ascii="OrigGarmnd BT" w:hAnsi="OrigGarmnd BT"/>
          <w:b/>
        </w:rPr>
      </w:pPr>
    </w:p>
    <w:p w:rsidR="00D20035" w:rsidRPr="002B0D82" w:rsidRDefault="00D20035" w:rsidP="004206A5">
      <w:pPr>
        <w:spacing w:line="240" w:lineRule="auto"/>
        <w:rPr>
          <w:rFonts w:ascii="OrigGarmnd BT" w:hAnsi="OrigGarmnd BT"/>
          <w:b/>
          <w:i/>
          <w:u w:val="single"/>
        </w:rPr>
      </w:pPr>
      <w:r w:rsidRPr="002B0D82">
        <w:rPr>
          <w:rFonts w:ascii="OrigGarmnd BT" w:hAnsi="OrigGarmnd BT"/>
          <w:b/>
          <w:i/>
          <w:u w:val="single"/>
        </w:rPr>
        <w:t>L</w:t>
      </w:r>
      <w:r w:rsidR="00692EE9" w:rsidRPr="002B0D82">
        <w:rPr>
          <w:rFonts w:ascii="OrigGarmnd BT" w:hAnsi="OrigGarmnd BT"/>
          <w:b/>
          <w:i/>
          <w:u w:val="single"/>
        </w:rPr>
        <w:t>unchdiskussion (endast ministrar</w:t>
      </w:r>
      <w:r w:rsidRPr="002B0D82">
        <w:rPr>
          <w:rFonts w:ascii="OrigGarmnd BT" w:hAnsi="OrigGarmnd BT"/>
          <w:b/>
          <w:i/>
          <w:u w:val="single"/>
        </w:rPr>
        <w:t>)</w:t>
      </w:r>
    </w:p>
    <w:p w:rsidR="0038064E" w:rsidRPr="002B0D82" w:rsidRDefault="0038064E" w:rsidP="004206A5">
      <w:pPr>
        <w:spacing w:line="240" w:lineRule="auto"/>
        <w:rPr>
          <w:rFonts w:ascii="OrigGarmnd BT" w:hAnsi="OrigGarmnd BT"/>
          <w:b/>
          <w:i/>
        </w:rPr>
      </w:pPr>
    </w:p>
    <w:p w:rsidR="00B87170" w:rsidRPr="002B0D82" w:rsidRDefault="0038064E" w:rsidP="004206A5">
      <w:pPr>
        <w:spacing w:line="240" w:lineRule="auto"/>
        <w:rPr>
          <w:rFonts w:ascii="OrigGarmnd BT" w:hAnsi="OrigGarmnd BT"/>
        </w:rPr>
      </w:pPr>
      <w:r w:rsidRPr="002B0D82">
        <w:rPr>
          <w:rFonts w:ascii="OrigGarmnd BT" w:hAnsi="OrigGarmnd BT"/>
        </w:rPr>
        <w:t xml:space="preserve">Efter förmiddagens presentationer </w:t>
      </w:r>
      <w:r w:rsidR="00692EE9" w:rsidRPr="002B0D82">
        <w:rPr>
          <w:rFonts w:ascii="OrigGarmnd BT" w:hAnsi="OrigGarmnd BT"/>
        </w:rPr>
        <w:t>följde en diskussion enbart för ministerkretsen</w:t>
      </w:r>
      <w:r w:rsidR="00692EE9" w:rsidRPr="002B0D82">
        <w:rPr>
          <w:rFonts w:ascii="OrigGarmnd BT" w:hAnsi="OrigGarmnd BT"/>
          <w:b/>
          <w:i/>
        </w:rPr>
        <w:t xml:space="preserve">. </w:t>
      </w:r>
      <w:r w:rsidR="00B87170" w:rsidRPr="002B0D82">
        <w:rPr>
          <w:rFonts w:ascii="OrigGarmnd BT" w:hAnsi="OrigGarmnd BT"/>
        </w:rPr>
        <w:t xml:space="preserve">Första delen av lunchdiskussionen koncentrerades på </w:t>
      </w:r>
      <w:r w:rsidR="00692EE9" w:rsidRPr="002B0D82">
        <w:rPr>
          <w:rFonts w:ascii="OrigGarmnd BT" w:hAnsi="OrigGarmnd BT"/>
        </w:rPr>
        <w:t xml:space="preserve">i-länders respektive u-länders åtaganden och åtgärder </w:t>
      </w:r>
      <w:r w:rsidR="00F77E07" w:rsidRPr="002B0D82">
        <w:rPr>
          <w:rFonts w:ascii="OrigGarmnd BT" w:hAnsi="OrigGarmnd BT"/>
        </w:rPr>
        <w:t xml:space="preserve">som </w:t>
      </w:r>
      <w:r w:rsidR="00692EE9" w:rsidRPr="002B0D82">
        <w:rPr>
          <w:rFonts w:ascii="OrigGarmnd BT" w:hAnsi="OrigGarmnd BT"/>
        </w:rPr>
        <w:t>ska registreras och bedömas</w:t>
      </w:r>
      <w:r w:rsidR="00F77E07" w:rsidRPr="002B0D82">
        <w:rPr>
          <w:rFonts w:ascii="OrigGarmnd BT" w:hAnsi="OrigGarmnd BT"/>
        </w:rPr>
        <w:t xml:space="preserve">, </w:t>
      </w:r>
      <w:r w:rsidR="00692EE9" w:rsidRPr="002B0D82">
        <w:rPr>
          <w:rFonts w:ascii="OrigGarmnd BT" w:hAnsi="OrigGarmnd BT"/>
        </w:rPr>
        <w:t xml:space="preserve">hur EU bör handskas </w:t>
      </w:r>
      <w:r w:rsidR="00F77E07" w:rsidRPr="002B0D82">
        <w:rPr>
          <w:rFonts w:ascii="OrigGarmnd BT" w:hAnsi="OrigGarmnd BT"/>
        </w:rPr>
        <w:t xml:space="preserve">med </w:t>
      </w:r>
      <w:r w:rsidR="00692EE9" w:rsidRPr="002B0D82">
        <w:rPr>
          <w:rFonts w:ascii="OrigGarmnd BT" w:hAnsi="OrigGarmnd BT"/>
        </w:rPr>
        <w:t xml:space="preserve">och utveckla sitt mandat </w:t>
      </w:r>
      <w:r w:rsidR="00F77E07" w:rsidRPr="002B0D82">
        <w:rPr>
          <w:rFonts w:ascii="OrigGarmnd BT" w:hAnsi="OrigGarmnd BT"/>
        </w:rPr>
        <w:t xml:space="preserve">gällande </w:t>
      </w:r>
      <w:r w:rsidR="00B87170" w:rsidRPr="002B0D82">
        <w:rPr>
          <w:rFonts w:ascii="OrigGarmnd BT" w:hAnsi="OrigGarmnd BT"/>
        </w:rPr>
        <w:t>finansiering</w:t>
      </w:r>
      <w:r w:rsidR="00692EE9" w:rsidRPr="002B0D82">
        <w:rPr>
          <w:rFonts w:ascii="OrigGarmnd BT" w:hAnsi="OrigGarmnd BT"/>
        </w:rPr>
        <w:t xml:space="preserve"> </w:t>
      </w:r>
      <w:r w:rsidR="00B87170" w:rsidRPr="002B0D82">
        <w:rPr>
          <w:rFonts w:ascii="OrigGarmnd BT" w:hAnsi="OrigGarmnd BT"/>
        </w:rPr>
        <w:t>sam</w:t>
      </w:r>
      <w:r w:rsidR="00692EE9" w:rsidRPr="002B0D82">
        <w:rPr>
          <w:rFonts w:ascii="OrigGarmnd BT" w:hAnsi="OrigGarmnd BT"/>
        </w:rPr>
        <w:t>t frågan</w:t>
      </w:r>
      <w:r w:rsidR="00F77E07" w:rsidRPr="002B0D82">
        <w:rPr>
          <w:rFonts w:ascii="OrigGarmnd BT" w:hAnsi="OrigGarmnd BT"/>
        </w:rPr>
        <w:t xml:space="preserve"> om teknologi</w:t>
      </w:r>
      <w:r w:rsidR="00B87170" w:rsidRPr="002B0D82">
        <w:rPr>
          <w:rFonts w:ascii="OrigGarmnd BT" w:hAnsi="OrigGarmnd BT"/>
        </w:rPr>
        <w:t xml:space="preserve">. </w:t>
      </w:r>
      <w:r w:rsidR="00563154" w:rsidRPr="002B0D82">
        <w:rPr>
          <w:rFonts w:ascii="OrigGarmnd BT" w:hAnsi="OrigGarmnd BT"/>
        </w:rPr>
        <w:t xml:space="preserve">Miljöministrarna var </w:t>
      </w:r>
      <w:r w:rsidR="00054A92" w:rsidRPr="002B0D82">
        <w:rPr>
          <w:rFonts w:ascii="OrigGarmnd BT" w:hAnsi="OrigGarmnd BT"/>
        </w:rPr>
        <w:t xml:space="preserve">eniga </w:t>
      </w:r>
      <w:r w:rsidR="00563154" w:rsidRPr="002B0D82">
        <w:rPr>
          <w:rFonts w:ascii="OrigGarmnd BT" w:hAnsi="OrigGarmnd BT"/>
        </w:rPr>
        <w:t xml:space="preserve">om att EU ska </w:t>
      </w:r>
      <w:r w:rsidR="00735F2C" w:rsidRPr="002B0D82">
        <w:rPr>
          <w:rFonts w:ascii="OrigGarmnd BT" w:hAnsi="OrigGarmnd BT"/>
        </w:rPr>
        <w:t xml:space="preserve">fortsätta </w:t>
      </w:r>
      <w:r w:rsidR="00563154" w:rsidRPr="002B0D82">
        <w:rPr>
          <w:rFonts w:ascii="OrigGarmnd BT" w:hAnsi="OrigGarmnd BT"/>
        </w:rPr>
        <w:t xml:space="preserve">vara ledande, sätta press på andra att höja sina bud och säkerställa ett ambitiöst avtal genom att gå till 30% i Köpenhamn, inom ramen för en bred och ambitiös bindande överenskommelse. </w:t>
      </w:r>
      <w:r w:rsidR="00054A92" w:rsidRPr="002B0D82">
        <w:rPr>
          <w:rFonts w:ascii="OrigGarmnd BT" w:hAnsi="OrigGarmnd BT"/>
        </w:rPr>
        <w:t xml:space="preserve">Ministrarna </w:t>
      </w:r>
      <w:r w:rsidR="00563154" w:rsidRPr="002B0D82">
        <w:rPr>
          <w:rFonts w:ascii="OrigGarmnd BT" w:hAnsi="OrigGarmnd BT"/>
        </w:rPr>
        <w:t>enades också om vikten av finansiering till omedelbara åtgärder (fast-start) som också ska innehålla nya och additionella medel under perioden 2010-2012.</w:t>
      </w:r>
    </w:p>
    <w:p w:rsidR="00B87170" w:rsidRPr="002B0D82" w:rsidRDefault="00B87170" w:rsidP="004206A5">
      <w:pPr>
        <w:spacing w:line="240" w:lineRule="auto"/>
        <w:rPr>
          <w:rFonts w:ascii="OrigGarmnd BT" w:hAnsi="OrigGarmnd BT"/>
        </w:rPr>
      </w:pPr>
    </w:p>
    <w:p w:rsidR="00F24012" w:rsidRPr="002B0D82" w:rsidRDefault="00F24012" w:rsidP="004206A5">
      <w:pPr>
        <w:spacing w:line="240" w:lineRule="auto"/>
        <w:rPr>
          <w:rFonts w:ascii="OrigGarmnd BT" w:hAnsi="OrigGarmnd BT"/>
        </w:rPr>
      </w:pPr>
      <w:r w:rsidRPr="002B0D82">
        <w:rPr>
          <w:rFonts w:ascii="OrigGarmnd BT" w:hAnsi="OrigGarmnd BT"/>
          <w:u w:val="single"/>
        </w:rPr>
        <w:t>Andra delen</w:t>
      </w:r>
      <w:r w:rsidRPr="002B0D82">
        <w:rPr>
          <w:rFonts w:ascii="OrigGarmnd BT" w:hAnsi="OrigGarmnd BT"/>
        </w:rPr>
        <w:t xml:space="preserve"> </w:t>
      </w:r>
      <w:r w:rsidR="00692EE9" w:rsidRPr="002B0D82">
        <w:rPr>
          <w:rFonts w:ascii="OrigGarmnd BT" w:hAnsi="OrigGarmnd BT"/>
        </w:rPr>
        <w:t xml:space="preserve">av diskussionen </w:t>
      </w:r>
      <w:r w:rsidRPr="002B0D82">
        <w:rPr>
          <w:rFonts w:ascii="OrigGarmnd BT" w:hAnsi="OrigGarmnd BT"/>
        </w:rPr>
        <w:t xml:space="preserve">var </w:t>
      </w:r>
      <w:r w:rsidR="00692EE9" w:rsidRPr="002B0D82">
        <w:rPr>
          <w:rFonts w:ascii="OrigGarmnd BT" w:hAnsi="OrigGarmnd BT"/>
        </w:rPr>
        <w:t>i</w:t>
      </w:r>
      <w:r w:rsidRPr="002B0D82">
        <w:rPr>
          <w:rFonts w:ascii="OrigGarmnd BT" w:hAnsi="OrigGarmnd BT"/>
        </w:rPr>
        <w:t xml:space="preserve">nriktad på </w:t>
      </w:r>
      <w:r w:rsidR="00692EE9" w:rsidRPr="002B0D82">
        <w:rPr>
          <w:rFonts w:ascii="OrigGarmnd BT" w:hAnsi="OrigGarmnd BT"/>
        </w:rPr>
        <w:t xml:space="preserve">processen i Köpenhamn, vilken typ av avtal som önskas och </w:t>
      </w:r>
      <w:r w:rsidR="00287BFA" w:rsidRPr="002B0D82">
        <w:rPr>
          <w:rFonts w:ascii="OrigGarmnd BT" w:hAnsi="OrigGarmnd BT"/>
        </w:rPr>
        <w:t>förha</w:t>
      </w:r>
      <w:r w:rsidR="00AE736D" w:rsidRPr="002B0D82">
        <w:rPr>
          <w:rFonts w:ascii="OrigGarmnd BT" w:hAnsi="OrigGarmnd BT"/>
        </w:rPr>
        <w:t xml:space="preserve">ndlingsprocessen . COP15-ordföranden Danmarks förslag </w:t>
      </w:r>
      <w:r w:rsidR="00287BFA" w:rsidRPr="002B0D82">
        <w:rPr>
          <w:rFonts w:ascii="OrigGarmnd BT" w:hAnsi="OrigGarmnd BT"/>
        </w:rPr>
        <w:t xml:space="preserve">om en politiskt bindande överenskommelse i Köpenhamn som sedan omsätts i ett legalt bindande avtal under nästa år fick stöd bland miljöministrarna. </w:t>
      </w:r>
      <w:r w:rsidR="00315DC4" w:rsidRPr="002B0D82">
        <w:rPr>
          <w:rFonts w:ascii="OrigGarmnd BT" w:hAnsi="OrigGarmnd BT"/>
        </w:rPr>
        <w:t xml:space="preserve">Vidare </w:t>
      </w:r>
      <w:r w:rsidR="00287BFA" w:rsidRPr="002B0D82">
        <w:rPr>
          <w:rFonts w:ascii="OrigGarmnd BT" w:hAnsi="OrigGarmnd BT"/>
        </w:rPr>
        <w:t>underströk</w:t>
      </w:r>
      <w:r w:rsidR="00315DC4" w:rsidRPr="002B0D82">
        <w:rPr>
          <w:rFonts w:ascii="OrigGarmnd BT" w:hAnsi="OrigGarmnd BT"/>
        </w:rPr>
        <w:t>s</w:t>
      </w:r>
      <w:r w:rsidR="00287BFA" w:rsidRPr="002B0D82">
        <w:rPr>
          <w:rFonts w:ascii="OrigGarmnd BT" w:hAnsi="OrigGarmnd BT"/>
        </w:rPr>
        <w:t xml:space="preserve"> att det är i Köpenhamn man ska ta det avgörande steget i form av en heltäckande politiskt bindande överenskommelse som innehåller alla delar i Bali Action plan och håller </w:t>
      </w:r>
      <w:r w:rsidR="00735F2C" w:rsidRPr="002B0D82">
        <w:rPr>
          <w:rFonts w:ascii="OrigGarmnd BT" w:hAnsi="OrigGarmnd BT"/>
        </w:rPr>
        <w:t>två</w:t>
      </w:r>
      <w:r w:rsidR="00287BFA" w:rsidRPr="002B0D82">
        <w:rPr>
          <w:rFonts w:ascii="OrigGarmnd BT" w:hAnsi="OrigGarmnd BT"/>
        </w:rPr>
        <w:t xml:space="preserve">gradersmålet inom räckhåll. </w:t>
      </w:r>
    </w:p>
    <w:p w:rsidR="00054A92" w:rsidRPr="002B0D82" w:rsidRDefault="00054A92" w:rsidP="004206A5">
      <w:pPr>
        <w:spacing w:line="240" w:lineRule="auto"/>
      </w:pPr>
    </w:p>
    <w:p w:rsidR="00054A92" w:rsidRPr="002B0D82" w:rsidRDefault="001477AA" w:rsidP="004206A5">
      <w:pPr>
        <w:spacing w:line="240" w:lineRule="auto"/>
      </w:pPr>
      <w:r w:rsidRPr="002B0D82">
        <w:rPr>
          <w:rFonts w:ascii="OrigGarmnd BT" w:hAnsi="OrigGarmnd BT" w:cs="OrigGarmnd BT"/>
          <w:i/>
          <w:iCs/>
          <w:color w:val="000000"/>
          <w:szCs w:val="24"/>
          <w:lang w:eastAsia="sv-SE"/>
        </w:rPr>
        <w:t>Avslutningsvis summerade</w:t>
      </w:r>
      <w:r w:rsidRPr="002B0D82">
        <w:rPr>
          <w:rFonts w:ascii="OrigGarmnd BT" w:hAnsi="OrigGarmnd BT" w:cs="OrigGarmnd BT"/>
          <w:color w:val="000000"/>
          <w:szCs w:val="24"/>
          <w:lang w:eastAsia="sv-SE"/>
        </w:rPr>
        <w:t xml:space="preserve"> ordförande Andreas Carlgren dagens diskussioner. EU har under flera år varit pådrivande i förhandlingarna. Det mycket starka stöd för ordförandeskapet som framkommit i miljörådet ska användas för att fullfölja förhandlingsprocessen, fortsätta vara ledande och få Köpenhamnsmötet till den milstolpe som det är tänkt att bli. Det ligger nu därför ett stort ansvar på EU-länderna och ordförandeskapet att driva processen hela vägen i mål. </w:t>
      </w:r>
    </w:p>
    <w:sectPr w:rsidR="00054A92" w:rsidRPr="002B0D8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7AA" w:rsidRPr="002B0D82" w:rsidRDefault="001477AA">
      <w:r w:rsidRPr="002B0D82">
        <w:separator/>
      </w:r>
    </w:p>
  </w:endnote>
  <w:endnote w:type="continuationSeparator" w:id="0">
    <w:p w:rsidR="001477AA" w:rsidRPr="002B0D82" w:rsidRDefault="001477AA">
      <w:r w:rsidRPr="002B0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7AA" w:rsidRPr="002B0D82" w:rsidRDefault="001477AA">
      <w:r w:rsidRPr="002B0D82">
        <w:separator/>
      </w:r>
    </w:p>
  </w:footnote>
  <w:footnote w:type="continuationSeparator" w:id="0">
    <w:p w:rsidR="001477AA" w:rsidRPr="002B0D82" w:rsidRDefault="001477AA">
      <w:r w:rsidRPr="002B0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AA" w:rsidRPr="002B0D82" w:rsidRDefault="001477AA">
    <w:pPr>
      <w:pStyle w:val="Sidhuvud"/>
      <w:framePr w:wrap="around" w:vAnchor="text" w:hAnchor="margin" w:xAlign="right" w:y="1"/>
      <w:rPr>
        <w:rStyle w:val="Sidnummer"/>
        <w:rPrChange w:id="0" w:author="Lars Brink" w:date="2025-12-18T00:59:00Z" w16du:dateUtc="2025-12-17T23:59:00Z">
          <w:rPr>
            <w:rStyle w:val="Sidnummer"/>
          </w:rPr>
        </w:rPrChange>
      </w:rPr>
    </w:pPr>
    <w:r w:rsidRPr="002B0D82">
      <w:rPr>
        <w:rStyle w:val="Sidnummer"/>
      </w:rPr>
      <w:fldChar w:fldCharType="begin" w:fldLock="1"/>
    </w:r>
    <w:r w:rsidRPr="002B0D82">
      <w:rPr>
        <w:rStyle w:val="Sidnummer"/>
      </w:rPr>
      <w:instrText xml:space="preserve">PAGE  </w:instrText>
    </w:r>
    <w:r w:rsidRPr="002B0D82">
      <w:rPr>
        <w:rStyle w:val="Sidnummer"/>
      </w:rPr>
      <w:fldChar w:fldCharType="separate"/>
    </w:r>
    <w:r w:rsidR="005937B1" w:rsidRPr="002B0D82">
      <w:rPr>
        <w:rStyle w:val="Sidnummer"/>
        <w:rPrChange w:id="1" w:author="Lars Brink" w:date="2025-12-18T00:59:00Z" w16du:dateUtc="2025-12-17T23:59:00Z">
          <w:rPr>
            <w:rStyle w:val="Sidnummer"/>
            <w:noProof/>
          </w:rPr>
        </w:rPrChange>
      </w:rPr>
      <w:t>2</w:t>
    </w:r>
    <w:r w:rsidRPr="002B0D82">
      <w:rPr>
        <w:rStyle w:val="Sidnummer"/>
        <w:rPrChange w:id="2" w:author="Lars Brink" w:date="2025-12-18T00:59:00Z" w16du:dateUtc="2025-12-17T2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477AA" w:rsidRPr="002B0D82">
      <w:tblPrEx>
        <w:tblCellMar>
          <w:top w:w="0" w:type="dxa"/>
          <w:bottom w:w="0" w:type="dxa"/>
        </w:tblCellMar>
      </w:tblPrEx>
      <w:trPr>
        <w:cantSplit/>
      </w:trPr>
      <w:tc>
        <w:tcPr>
          <w:tcW w:w="3119" w:type="dxa"/>
        </w:tcPr>
        <w:p w:rsidR="001477AA" w:rsidRPr="002B0D82" w:rsidRDefault="001477AA">
          <w:pPr>
            <w:pStyle w:val="Sidhuvud"/>
            <w:spacing w:line="200" w:lineRule="atLeast"/>
            <w:ind w:right="357"/>
            <w:rPr>
              <w:rFonts w:ascii="TradeGothic" w:hAnsi="TradeGothic"/>
              <w:b/>
              <w:bCs/>
              <w:sz w:val="16"/>
              <w:rPrChange w:id="3" w:author="Lars Brink" w:date="2025-12-18T00:59:00Z" w16du:dateUtc="2025-12-17T23:59:00Z">
                <w:rPr>
                  <w:rFonts w:ascii="TradeGothic" w:hAnsi="TradeGothic"/>
                  <w:b/>
                  <w:bCs/>
                  <w:sz w:val="16"/>
                </w:rPr>
              </w:rPrChange>
            </w:rPr>
          </w:pPr>
        </w:p>
      </w:tc>
      <w:tc>
        <w:tcPr>
          <w:tcW w:w="4111" w:type="dxa"/>
          <w:tcMar>
            <w:left w:w="567" w:type="dxa"/>
          </w:tcMar>
        </w:tcPr>
        <w:p w:rsidR="001477AA" w:rsidRPr="002B0D82" w:rsidRDefault="001477AA">
          <w:pPr>
            <w:pStyle w:val="Sidhuvud"/>
            <w:ind w:right="360"/>
            <w:rPr>
              <w:rPrChange w:id="4" w:author="Lars Brink" w:date="2025-12-18T00:59:00Z" w16du:dateUtc="2025-12-17T23:59:00Z">
                <w:rPr/>
              </w:rPrChange>
            </w:rPr>
          </w:pPr>
        </w:p>
      </w:tc>
      <w:tc>
        <w:tcPr>
          <w:tcW w:w="1525" w:type="dxa"/>
        </w:tcPr>
        <w:p w:rsidR="001477AA" w:rsidRPr="002B0D82" w:rsidRDefault="001477AA">
          <w:pPr>
            <w:pStyle w:val="Sidhuvud"/>
            <w:ind w:right="360"/>
            <w:rPr>
              <w:rPrChange w:id="5" w:author="Lars Brink" w:date="2025-12-18T00:59:00Z" w16du:dateUtc="2025-12-17T23:59:00Z">
                <w:rPr/>
              </w:rPrChange>
            </w:rPr>
          </w:pPr>
        </w:p>
      </w:tc>
    </w:tr>
  </w:tbl>
  <w:p w:rsidR="001477AA" w:rsidRPr="002B0D82" w:rsidRDefault="001477AA">
    <w:pPr>
      <w:pStyle w:val="Sidhuvud"/>
      <w:ind w:right="357" w:firstLine="357"/>
      <w:rPr>
        <w:rPrChange w:id="6" w:author="Lars Brink" w:date="2025-12-18T00:59:00Z" w16du:dateUtc="2025-12-17T2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AA" w:rsidRPr="002B0D82" w:rsidRDefault="001477AA">
    <w:pPr>
      <w:pStyle w:val="Sidhuvud"/>
      <w:framePr w:wrap="around" w:vAnchor="text" w:hAnchor="margin" w:xAlign="right" w:y="1"/>
      <w:rPr>
        <w:rStyle w:val="Sidnummer"/>
        <w:rPrChange w:id="7" w:author="Lars Brink" w:date="2025-12-18T00:59:00Z" w16du:dateUtc="2025-12-17T23:59:00Z">
          <w:rPr>
            <w:rStyle w:val="Sidnummer"/>
          </w:rPr>
        </w:rPrChange>
      </w:rPr>
    </w:pPr>
    <w:r w:rsidRPr="002B0D82">
      <w:rPr>
        <w:rStyle w:val="Sidnummer"/>
      </w:rPr>
      <w:fldChar w:fldCharType="begin" w:fldLock="1"/>
    </w:r>
    <w:r w:rsidRPr="002B0D82">
      <w:rPr>
        <w:rStyle w:val="Sidnummer"/>
      </w:rPr>
      <w:instrText xml:space="preserve">PAGE  </w:instrText>
    </w:r>
    <w:r w:rsidRPr="002B0D82">
      <w:rPr>
        <w:rStyle w:val="Sidnummer"/>
      </w:rPr>
      <w:fldChar w:fldCharType="separate"/>
    </w:r>
    <w:r w:rsidR="005937B1" w:rsidRPr="002B0D82">
      <w:rPr>
        <w:rStyle w:val="Sidnummer"/>
        <w:rPrChange w:id="8" w:author="Lars Brink" w:date="2025-12-18T00:59:00Z" w16du:dateUtc="2025-12-17T23:59:00Z">
          <w:rPr>
            <w:rStyle w:val="Sidnummer"/>
            <w:noProof/>
          </w:rPr>
        </w:rPrChange>
      </w:rPr>
      <w:t>3</w:t>
    </w:r>
    <w:r w:rsidRPr="002B0D82">
      <w:rPr>
        <w:rStyle w:val="Sidnummer"/>
        <w:rPrChange w:id="9" w:author="Lars Brink" w:date="2025-12-18T00:59:00Z" w16du:dateUtc="2025-12-17T2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477AA" w:rsidRPr="002B0D82">
      <w:tblPrEx>
        <w:tblCellMar>
          <w:top w:w="0" w:type="dxa"/>
          <w:bottom w:w="0" w:type="dxa"/>
        </w:tblCellMar>
      </w:tblPrEx>
      <w:trPr>
        <w:cantSplit/>
      </w:trPr>
      <w:tc>
        <w:tcPr>
          <w:tcW w:w="3119" w:type="dxa"/>
        </w:tcPr>
        <w:p w:rsidR="001477AA" w:rsidRPr="002B0D82" w:rsidRDefault="001477AA">
          <w:pPr>
            <w:pStyle w:val="Sidhuvud"/>
            <w:spacing w:line="200" w:lineRule="atLeast"/>
            <w:ind w:right="357"/>
            <w:rPr>
              <w:rFonts w:ascii="TradeGothic" w:hAnsi="TradeGothic"/>
              <w:b/>
              <w:bCs/>
              <w:sz w:val="16"/>
              <w:rPrChange w:id="10" w:author="Lars Brink" w:date="2025-12-18T00:59:00Z" w16du:dateUtc="2025-12-17T23:59:00Z">
                <w:rPr>
                  <w:rFonts w:ascii="TradeGothic" w:hAnsi="TradeGothic"/>
                  <w:b/>
                  <w:bCs/>
                  <w:sz w:val="16"/>
                </w:rPr>
              </w:rPrChange>
            </w:rPr>
          </w:pPr>
        </w:p>
      </w:tc>
      <w:tc>
        <w:tcPr>
          <w:tcW w:w="4111" w:type="dxa"/>
          <w:tcMar>
            <w:left w:w="567" w:type="dxa"/>
          </w:tcMar>
        </w:tcPr>
        <w:p w:rsidR="001477AA" w:rsidRPr="002B0D82" w:rsidRDefault="001477AA">
          <w:pPr>
            <w:pStyle w:val="Sidhuvud"/>
            <w:ind w:right="360"/>
            <w:rPr>
              <w:rPrChange w:id="11" w:author="Lars Brink" w:date="2025-12-18T00:59:00Z" w16du:dateUtc="2025-12-17T23:59:00Z">
                <w:rPr/>
              </w:rPrChange>
            </w:rPr>
          </w:pPr>
        </w:p>
      </w:tc>
      <w:tc>
        <w:tcPr>
          <w:tcW w:w="1525" w:type="dxa"/>
        </w:tcPr>
        <w:p w:rsidR="001477AA" w:rsidRPr="002B0D82" w:rsidRDefault="001477AA">
          <w:pPr>
            <w:pStyle w:val="Sidhuvud"/>
            <w:ind w:right="360"/>
            <w:rPr>
              <w:rPrChange w:id="12" w:author="Lars Brink" w:date="2025-12-18T00:59:00Z" w16du:dateUtc="2025-12-17T23:59:00Z">
                <w:rPr/>
              </w:rPrChange>
            </w:rPr>
          </w:pPr>
        </w:p>
      </w:tc>
    </w:tr>
  </w:tbl>
  <w:p w:rsidR="001477AA" w:rsidRPr="002B0D82" w:rsidRDefault="001477AA">
    <w:pPr>
      <w:pStyle w:val="Sidhuvud"/>
      <w:ind w:right="357" w:firstLine="357"/>
      <w:rPr>
        <w:rPrChange w:id="13" w:author="Lars Brink" w:date="2025-12-18T00:59:00Z" w16du:dateUtc="2025-12-17T2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AA" w:rsidRPr="002B0D82" w:rsidRDefault="002B0D82">
    <w:pPr>
      <w:pStyle w:val="RKrubrik"/>
      <w:keepNext w:val="0"/>
      <w:tabs>
        <w:tab w:val="clear" w:pos="1134"/>
        <w:tab w:val="clear" w:pos="2835"/>
      </w:tabs>
      <w:spacing w:before="0" w:after="0" w:line="320" w:lineRule="atLeast"/>
      <w:rPr>
        <w:bCs/>
      </w:rPr>
    </w:pPr>
    <w:r w:rsidRPr="002B0D82">
      <w:rPr>
        <w:bCs/>
        <w:noProof/>
      </w:rPr>
      <w:drawing>
        <wp:anchor distT="0" distB="0" distL="114300" distR="114300" simplePos="0" relativeHeight="251657728" behindDoc="0" locked="0" layoutInCell="1" allowOverlap="1">
          <wp:simplePos x="0" y="0"/>
          <wp:positionH relativeFrom="page">
            <wp:posOffset>946785</wp:posOffset>
          </wp:positionH>
          <wp:positionV relativeFrom="page">
            <wp:posOffset>334645</wp:posOffset>
          </wp:positionV>
          <wp:extent cx="847725" cy="104775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7AA" w:rsidRPr="002B0D82" w:rsidRDefault="001477AA">
    <w:pPr>
      <w:rPr>
        <w:rFonts w:ascii="TradeGothic" w:hAnsi="TradeGothic"/>
        <w:b/>
        <w:bCs/>
        <w:spacing w:val="12"/>
        <w:sz w:val="22"/>
      </w:rPr>
    </w:pPr>
  </w:p>
  <w:p w:rsidR="001477AA" w:rsidRPr="002B0D82" w:rsidRDefault="001477AA">
    <w:pPr>
      <w:pStyle w:val="RKrubrik"/>
      <w:keepNext w:val="0"/>
      <w:tabs>
        <w:tab w:val="clear" w:pos="1134"/>
        <w:tab w:val="clear" w:pos="2835"/>
      </w:tabs>
      <w:spacing w:before="0" w:after="0" w:line="320" w:lineRule="atLeast"/>
      <w:rPr>
        <w:bCs/>
      </w:rPr>
    </w:pPr>
  </w:p>
  <w:p w:rsidR="001477AA" w:rsidRPr="002B0D82" w:rsidRDefault="001477A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12B7"/>
    <w:multiLevelType w:val="hybridMultilevel"/>
    <w:tmpl w:val="4EA45CB6"/>
    <w:lvl w:ilvl="0" w:tplc="079A10A8">
      <w:start w:val="1"/>
      <w:numFmt w:val="bullet"/>
      <w:lvlText w:val=""/>
      <w:lvlJc w:val="left"/>
      <w:pPr>
        <w:tabs>
          <w:tab w:val="num" w:pos="417"/>
        </w:tabs>
        <w:ind w:left="357" w:hanging="30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390982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6"/>
    <w:docVar w:name="docDep" w:val="11"/>
    <w:docVar w:name="docSprak" w:val="0"/>
  </w:docVars>
  <w:rsids>
    <w:rsidRoot w:val="00F557F8"/>
    <w:rsid w:val="00054A92"/>
    <w:rsid w:val="00081305"/>
    <w:rsid w:val="000A5C16"/>
    <w:rsid w:val="000C7A25"/>
    <w:rsid w:val="0010333D"/>
    <w:rsid w:val="001411D2"/>
    <w:rsid w:val="00147686"/>
    <w:rsid w:val="001477AA"/>
    <w:rsid w:val="00150384"/>
    <w:rsid w:val="0017201C"/>
    <w:rsid w:val="00173BDB"/>
    <w:rsid w:val="001805B7"/>
    <w:rsid w:val="001C038F"/>
    <w:rsid w:val="001E7CBE"/>
    <w:rsid w:val="00225410"/>
    <w:rsid w:val="00245983"/>
    <w:rsid w:val="00287BFA"/>
    <w:rsid w:val="002B0D82"/>
    <w:rsid w:val="002D47B6"/>
    <w:rsid w:val="00315DC4"/>
    <w:rsid w:val="00323289"/>
    <w:rsid w:val="0038064E"/>
    <w:rsid w:val="003B4688"/>
    <w:rsid w:val="003F1B98"/>
    <w:rsid w:val="004206A5"/>
    <w:rsid w:val="00420A62"/>
    <w:rsid w:val="00441263"/>
    <w:rsid w:val="00471AB8"/>
    <w:rsid w:val="004A328D"/>
    <w:rsid w:val="004E5CA5"/>
    <w:rsid w:val="005234D3"/>
    <w:rsid w:val="00530915"/>
    <w:rsid w:val="00563154"/>
    <w:rsid w:val="005937B1"/>
    <w:rsid w:val="0061083C"/>
    <w:rsid w:val="00633A15"/>
    <w:rsid w:val="00667BF5"/>
    <w:rsid w:val="00692EE9"/>
    <w:rsid w:val="006B65B5"/>
    <w:rsid w:val="006E4E11"/>
    <w:rsid w:val="007242A3"/>
    <w:rsid w:val="00735F2C"/>
    <w:rsid w:val="00766DE3"/>
    <w:rsid w:val="00775B44"/>
    <w:rsid w:val="007B74BD"/>
    <w:rsid w:val="007F3008"/>
    <w:rsid w:val="00817600"/>
    <w:rsid w:val="0083702E"/>
    <w:rsid w:val="00843F56"/>
    <w:rsid w:val="008468F7"/>
    <w:rsid w:val="0086674A"/>
    <w:rsid w:val="00883422"/>
    <w:rsid w:val="008B77B0"/>
    <w:rsid w:val="008D0C4D"/>
    <w:rsid w:val="00991B13"/>
    <w:rsid w:val="0099595E"/>
    <w:rsid w:val="009F33C2"/>
    <w:rsid w:val="00A06B07"/>
    <w:rsid w:val="00AB2E32"/>
    <w:rsid w:val="00AE14B7"/>
    <w:rsid w:val="00AE736D"/>
    <w:rsid w:val="00B37806"/>
    <w:rsid w:val="00B87170"/>
    <w:rsid w:val="00BB0586"/>
    <w:rsid w:val="00C764FC"/>
    <w:rsid w:val="00CB70F2"/>
    <w:rsid w:val="00CC62C1"/>
    <w:rsid w:val="00D20035"/>
    <w:rsid w:val="00D223D2"/>
    <w:rsid w:val="00D75C46"/>
    <w:rsid w:val="00D960B8"/>
    <w:rsid w:val="00DC64D8"/>
    <w:rsid w:val="00DF2D9B"/>
    <w:rsid w:val="00DF3DED"/>
    <w:rsid w:val="00E83C60"/>
    <w:rsid w:val="00EC25F9"/>
    <w:rsid w:val="00ED73AF"/>
    <w:rsid w:val="00EE0999"/>
    <w:rsid w:val="00EF582A"/>
    <w:rsid w:val="00F24012"/>
    <w:rsid w:val="00F557F8"/>
    <w:rsid w:val="00F77E07"/>
    <w:rsid w:val="00F84C5E"/>
    <w:rsid w:val="00FE63F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0880E5-F728-4F6C-B20A-3D37FC27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Arial" w:hAnsi="Arial" w:cs="Arial"/>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Times New Roman" w:hAnsi="Times New Roman" w:cs="Times New Roman"/>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Arial" w:hAnsi="Arial" w:cs="Arial"/>
      <w:i/>
      <w:sz w:val="18"/>
    </w:rPr>
  </w:style>
  <w:style w:type="paragraph" w:styleId="Sidfot">
    <w:name w:val="footer"/>
    <w:basedOn w:val="Normal"/>
    <w:pPr>
      <w:tabs>
        <w:tab w:val="left" w:pos="1928"/>
        <w:tab w:val="left" w:pos="3742"/>
      </w:tabs>
      <w:spacing w:line="160" w:lineRule="exact"/>
    </w:pPr>
    <w:rPr>
      <w:rFonts w:ascii="Arial" w:hAnsi="Arial" w:cs="Arial"/>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Arial" w:hAnsi="Arial" w:cs="Arial"/>
      <w:b/>
      <w:sz w:val="22"/>
    </w:rPr>
  </w:style>
  <w:style w:type="character" w:styleId="Sidnummer">
    <w:name w:val="page number"/>
    <w:basedOn w:val="Standardstycketeckensnitt"/>
  </w:style>
  <w:style w:type="character" w:styleId="Kommentarsreferens">
    <w:name w:val="annotation reference"/>
    <w:basedOn w:val="Standardstycketeckensnitt"/>
    <w:semiHidden/>
    <w:rsid w:val="00817600"/>
    <w:rPr>
      <w:sz w:val="16"/>
      <w:szCs w:val="16"/>
    </w:rPr>
  </w:style>
  <w:style w:type="paragraph" w:styleId="Kommentarer">
    <w:name w:val="annotation text"/>
    <w:basedOn w:val="Normal"/>
    <w:semiHidden/>
    <w:rsid w:val="00817600"/>
    <w:rPr>
      <w:sz w:val="20"/>
    </w:rPr>
  </w:style>
  <w:style w:type="paragraph" w:styleId="Kommentarsmne">
    <w:name w:val="annotation subject"/>
    <w:basedOn w:val="Kommentarer"/>
    <w:next w:val="Kommentarer"/>
    <w:semiHidden/>
    <w:rsid w:val="00817600"/>
    <w:rPr>
      <w:b/>
      <w:bCs/>
    </w:rPr>
  </w:style>
  <w:style w:type="paragraph" w:styleId="Ballongtext">
    <w:name w:val="Balloon Text"/>
    <w:basedOn w:val="Normal"/>
    <w:semiHidden/>
    <w:rsid w:val="00817600"/>
    <w:rPr>
      <w:rFonts w:ascii="Tahoma" w:hAnsi="Tahoma" w:cs="Tahoma"/>
      <w:sz w:val="16"/>
      <w:szCs w:val="16"/>
    </w:rPr>
  </w:style>
  <w:style w:type="paragraph" w:styleId="Revision">
    <w:name w:val="Revision"/>
    <w:hidden/>
    <w:uiPriority w:val="99"/>
    <w:semiHidden/>
    <w:rsid w:val="002B0D82"/>
    <w:rPr>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5098</Characters>
  <Application>Microsoft Office Word</Application>
  <DocSecurity>4</DocSecurity>
  <Lines>124</Lines>
  <Paragraphs>21</Paragraphs>
  <ScaleCrop>false</ScaleCrop>
  <HeadingPairs>
    <vt:vector size="2" baseType="variant">
      <vt:variant>
        <vt:lpstr>Rubrik</vt:lpstr>
      </vt:variant>
      <vt:variant>
        <vt:i4>1</vt:i4>
      </vt:variant>
    </vt:vector>
  </HeadingPairs>
  <TitlesOfParts>
    <vt:vector size="1" baseType="lpstr">
      <vt:lpstr>Rapport Miljöråd 23 november 2009</vt:lpstr>
    </vt:vector>
  </TitlesOfParts>
  <Company>Regeringskansliet</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Miljöråd 23 november 2009</dc:title>
  <dc:subject>Rapport Miljöråd 23 november 2009</dc:subject>
  <dc:creator>Riksdagen</dc:creator>
  <cp:keywords>Riksdagen</cp:keywords>
  <dc:description/>
  <cp:lastModifiedBy>Lars Brink</cp:lastModifiedBy>
  <cp:revision>2</cp:revision>
  <cp:lastPrinted>2009-12-02T13:43:00Z</cp:lastPrinted>
  <dcterms:created xsi:type="dcterms:W3CDTF">2025-12-17T23:59:00Z</dcterms:created>
  <dcterms:modified xsi:type="dcterms:W3CDTF">2025-12-17T23:59:00Z</dcterms:modified>
  <cp:category>EU ordf.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107</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Miljödepartementet</vt:lpwstr>
  </property>
  <property fmtid="{D5CDD505-2E9C-101B-9397-08002B2CF9AE}" pid="10" name="RKOrdnaActivityCategory">
    <vt:lpwstr>4.1. Europeiska unionen</vt:lpwstr>
  </property>
</Properties>
</file>