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698C9A9F" w:rsidR="0096348C" w:rsidRDefault="00F5222B" w:rsidP="00E97AED">
            <w:pPr>
              <w:ind w:right="-269"/>
              <w:rPr>
                <w:b/>
              </w:rPr>
            </w:pPr>
            <w:r>
              <w:rPr>
                <w:b/>
              </w:rPr>
              <w:t>Utskottssammanträde 20</w:t>
            </w:r>
            <w:r w:rsidR="00914E3E">
              <w:rPr>
                <w:b/>
              </w:rPr>
              <w:t>2</w:t>
            </w:r>
            <w:r w:rsidR="006375F0">
              <w:rPr>
                <w:b/>
              </w:rPr>
              <w:t>2/23</w:t>
            </w:r>
            <w:r w:rsidR="00C07F65">
              <w:rPr>
                <w:b/>
              </w:rPr>
              <w:t>:</w:t>
            </w:r>
            <w:r w:rsidR="00D67DD5">
              <w:rPr>
                <w:b/>
              </w:rPr>
              <w:t>34</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7C771322" w:rsidR="008035C8" w:rsidRDefault="00A257B8" w:rsidP="00AF3CA6">
            <w:pPr>
              <w:ind w:right="355"/>
            </w:pPr>
            <w:r>
              <w:t>20</w:t>
            </w:r>
            <w:r w:rsidR="00CF36BC">
              <w:t>2</w:t>
            </w:r>
            <w:r w:rsidR="000A3563">
              <w:t>3</w:t>
            </w:r>
            <w:r w:rsidR="005E70F9">
              <w:t>-</w:t>
            </w:r>
            <w:r w:rsidR="00D67DD5">
              <w:t>02-21</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00B289BF" w:rsidR="0096348C" w:rsidRDefault="00111135" w:rsidP="00AF3CA6">
            <w:pPr>
              <w:ind w:right="-269"/>
            </w:pPr>
            <w:r>
              <w:t xml:space="preserve">kl. </w:t>
            </w:r>
            <w:r w:rsidR="00D67DD5">
              <w:t>11.00-1</w:t>
            </w:r>
            <w:r w:rsidR="00FE0833">
              <w:t>2.06</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D67DD5" w14:paraId="3F66C48C" w14:textId="77777777" w:rsidTr="008035C8">
        <w:tc>
          <w:tcPr>
            <w:tcW w:w="567" w:type="dxa"/>
          </w:tcPr>
          <w:p w14:paraId="1374ED16" w14:textId="3636BED2" w:rsidR="00D67DD5" w:rsidRDefault="00D67DD5" w:rsidP="00A44FE3">
            <w:pPr>
              <w:tabs>
                <w:tab w:val="left" w:pos="1701"/>
              </w:tabs>
              <w:rPr>
                <w:b/>
                <w:snapToGrid w:val="0"/>
              </w:rPr>
            </w:pPr>
            <w:r>
              <w:rPr>
                <w:b/>
                <w:snapToGrid w:val="0"/>
              </w:rPr>
              <w:t>§</w:t>
            </w:r>
            <w:r w:rsidR="009D6236">
              <w:rPr>
                <w:b/>
                <w:snapToGrid w:val="0"/>
              </w:rPr>
              <w:t xml:space="preserve"> 1</w:t>
            </w:r>
          </w:p>
        </w:tc>
        <w:tc>
          <w:tcPr>
            <w:tcW w:w="7655" w:type="dxa"/>
          </w:tcPr>
          <w:p w14:paraId="1BE4C6FE" w14:textId="3CCFD696" w:rsidR="00D67DD5" w:rsidRPr="00D67DD5" w:rsidRDefault="00D67DD5" w:rsidP="00D67DD5">
            <w:pPr>
              <w:outlineLvl w:val="0"/>
              <w:rPr>
                <w:b/>
              </w:rPr>
            </w:pPr>
            <w:r w:rsidRPr="00D67DD5">
              <w:rPr>
                <w:b/>
              </w:rPr>
              <w:t>Sveriges ordförandeskap i EU 2023</w:t>
            </w:r>
          </w:p>
          <w:p w14:paraId="694F48E8" w14:textId="1B4204B5" w:rsidR="007637F7" w:rsidRPr="007637F7" w:rsidRDefault="00D67DD5" w:rsidP="007637F7">
            <w:pPr>
              <w:outlineLvl w:val="0"/>
              <w:rPr>
                <w:bCs/>
              </w:rPr>
            </w:pPr>
            <w:r w:rsidRPr="00D67DD5">
              <w:rPr>
                <w:bCs/>
              </w:rPr>
              <w:t>Statssekreterare Johanna Lybeck Lilja</w:t>
            </w:r>
            <w:r>
              <w:rPr>
                <w:bCs/>
              </w:rPr>
              <w:t xml:space="preserve">, </w:t>
            </w:r>
            <w:r w:rsidR="00ED65E3" w:rsidRPr="007637F7">
              <w:rPr>
                <w:bCs/>
              </w:rPr>
              <w:t>åtföljd av medarbetare från</w:t>
            </w:r>
            <w:r w:rsidR="00ED65E3">
              <w:rPr>
                <w:bCs/>
              </w:rPr>
              <w:t xml:space="preserve"> </w:t>
            </w:r>
            <w:r>
              <w:rPr>
                <w:bCs/>
              </w:rPr>
              <w:t>Finansdepartementet</w:t>
            </w:r>
            <w:r w:rsidR="00E32C32">
              <w:rPr>
                <w:bCs/>
              </w:rPr>
              <w:t xml:space="preserve">, </w:t>
            </w:r>
            <w:r w:rsidR="007637F7" w:rsidRPr="007637F7">
              <w:rPr>
                <w:bCs/>
              </w:rPr>
              <w:t>informerade utskottet</w:t>
            </w:r>
            <w:r w:rsidR="000B1441">
              <w:rPr>
                <w:bCs/>
              </w:rPr>
              <w:t xml:space="preserve">. </w:t>
            </w:r>
          </w:p>
          <w:p w14:paraId="21ACD7E1" w14:textId="77777777" w:rsidR="007637F7" w:rsidRPr="007637F7" w:rsidRDefault="007637F7" w:rsidP="007637F7">
            <w:pPr>
              <w:outlineLvl w:val="0"/>
              <w:rPr>
                <w:bCs/>
              </w:rPr>
            </w:pPr>
          </w:p>
          <w:p w14:paraId="35BE3039" w14:textId="7EE2A648" w:rsidR="007637F7" w:rsidRPr="00D67DD5" w:rsidRDefault="007637F7" w:rsidP="007637F7">
            <w:pPr>
              <w:outlineLvl w:val="0"/>
              <w:rPr>
                <w:bCs/>
              </w:rPr>
            </w:pPr>
            <w:r w:rsidRPr="007637F7">
              <w:rPr>
                <w:bCs/>
              </w:rPr>
              <w:t>Ledamöternas frågor besvarades.</w:t>
            </w:r>
          </w:p>
          <w:p w14:paraId="07B82B6E" w14:textId="77777777" w:rsidR="00D67DD5" w:rsidRDefault="00D67DD5" w:rsidP="00A44FE3">
            <w:pPr>
              <w:outlineLvl w:val="0"/>
              <w:rPr>
                <w:b/>
              </w:rPr>
            </w:pPr>
          </w:p>
        </w:tc>
      </w:tr>
      <w:tr w:rsidR="00D67DD5" w14:paraId="29BCF182" w14:textId="77777777" w:rsidTr="008035C8">
        <w:tc>
          <w:tcPr>
            <w:tcW w:w="567" w:type="dxa"/>
          </w:tcPr>
          <w:p w14:paraId="10CA4FAC" w14:textId="4ACCA4D8" w:rsidR="00D67DD5" w:rsidRDefault="00D67DD5" w:rsidP="00A44FE3">
            <w:pPr>
              <w:tabs>
                <w:tab w:val="left" w:pos="1701"/>
              </w:tabs>
              <w:rPr>
                <w:b/>
                <w:snapToGrid w:val="0"/>
              </w:rPr>
            </w:pPr>
            <w:r>
              <w:rPr>
                <w:b/>
                <w:snapToGrid w:val="0"/>
              </w:rPr>
              <w:t>§</w:t>
            </w:r>
            <w:r w:rsidR="009D6236">
              <w:rPr>
                <w:b/>
                <w:snapToGrid w:val="0"/>
              </w:rPr>
              <w:t xml:space="preserve"> 2</w:t>
            </w:r>
          </w:p>
        </w:tc>
        <w:tc>
          <w:tcPr>
            <w:tcW w:w="7655" w:type="dxa"/>
          </w:tcPr>
          <w:p w14:paraId="2365CEAD" w14:textId="7ADDACD2" w:rsidR="00D67DD5" w:rsidRDefault="00D67DD5" w:rsidP="00D67DD5">
            <w:pPr>
              <w:outlineLvl w:val="0"/>
              <w:rPr>
                <w:bCs/>
              </w:rPr>
            </w:pPr>
            <w:r w:rsidRPr="00D67DD5">
              <w:rPr>
                <w:b/>
              </w:rPr>
              <w:t xml:space="preserve">Ändrade regler för att främja central clearing inom EU </w:t>
            </w:r>
            <w:r w:rsidR="007637F7">
              <w:rPr>
                <w:b/>
              </w:rPr>
              <w:br/>
            </w:r>
            <w:r w:rsidR="007637F7" w:rsidRPr="007637F7">
              <w:rPr>
                <w:bCs/>
              </w:rPr>
              <w:t xml:space="preserve">Utskottet överlade med statssekreterare Johan </w:t>
            </w:r>
            <w:proofErr w:type="spellStart"/>
            <w:r w:rsidR="007637F7" w:rsidRPr="007637F7">
              <w:rPr>
                <w:bCs/>
              </w:rPr>
              <w:t>Almenberg</w:t>
            </w:r>
            <w:proofErr w:type="spellEnd"/>
            <w:r w:rsidR="007637F7" w:rsidRPr="007637F7">
              <w:rPr>
                <w:bCs/>
              </w:rPr>
              <w:t>, åtföljd av medarbetare från Finansdepartementet.</w:t>
            </w:r>
          </w:p>
          <w:p w14:paraId="253BF59E" w14:textId="084A75A9" w:rsidR="007637F7" w:rsidRDefault="007637F7" w:rsidP="00D67DD5">
            <w:pPr>
              <w:outlineLvl w:val="0"/>
              <w:rPr>
                <w:bCs/>
              </w:rPr>
            </w:pPr>
          </w:p>
          <w:p w14:paraId="2B907DE8" w14:textId="61865D6F" w:rsidR="007637F7" w:rsidRDefault="007637F7" w:rsidP="00D67DD5">
            <w:pPr>
              <w:outlineLvl w:val="0"/>
              <w:rPr>
                <w:bCs/>
              </w:rPr>
            </w:pPr>
            <w:r w:rsidRPr="007637F7">
              <w:rPr>
                <w:bCs/>
              </w:rPr>
              <w:t xml:space="preserve">Underlaget utgjordes av Regeringskansliets </w:t>
            </w:r>
            <w:r w:rsidR="009D6236">
              <w:rPr>
                <w:bCs/>
              </w:rPr>
              <w:t>fakta</w:t>
            </w:r>
            <w:r w:rsidRPr="007637F7">
              <w:rPr>
                <w:bCs/>
              </w:rPr>
              <w:t>promemoria</w:t>
            </w:r>
            <w:r w:rsidR="009D6236">
              <w:rPr>
                <w:bCs/>
              </w:rPr>
              <w:t xml:space="preserve"> och PPT-presentation</w:t>
            </w:r>
            <w:r w:rsidRPr="007637F7">
              <w:rPr>
                <w:bCs/>
              </w:rPr>
              <w:t xml:space="preserve"> (dnr. </w:t>
            </w:r>
            <w:proofErr w:type="gramStart"/>
            <w:r w:rsidRPr="007637F7">
              <w:rPr>
                <w:bCs/>
              </w:rPr>
              <w:t>718-2022</w:t>
            </w:r>
            <w:proofErr w:type="gramEnd"/>
            <w:r w:rsidRPr="007637F7">
              <w:rPr>
                <w:bCs/>
              </w:rPr>
              <w:t>/23).</w:t>
            </w:r>
          </w:p>
          <w:p w14:paraId="4B56D381" w14:textId="5CFCC97D" w:rsidR="007637F7" w:rsidRDefault="007637F7" w:rsidP="00D67DD5">
            <w:pPr>
              <w:outlineLvl w:val="0"/>
              <w:rPr>
                <w:bCs/>
              </w:rPr>
            </w:pPr>
          </w:p>
          <w:p w14:paraId="45A80D7C" w14:textId="2EBFC269" w:rsidR="007637F7" w:rsidRDefault="009D6236" w:rsidP="007637F7">
            <w:pPr>
              <w:outlineLvl w:val="0"/>
              <w:rPr>
                <w:bCs/>
              </w:rPr>
            </w:pPr>
            <w:r>
              <w:rPr>
                <w:bCs/>
              </w:rPr>
              <w:t>Statssekreteraren</w:t>
            </w:r>
            <w:r w:rsidR="007637F7" w:rsidRPr="007637F7">
              <w:rPr>
                <w:bCs/>
              </w:rPr>
              <w:t xml:space="preserve"> redogjorde för regeringens ståndpunkt i enlighet med </w:t>
            </w:r>
            <w:r w:rsidR="00230BFA">
              <w:rPr>
                <w:bCs/>
              </w:rPr>
              <w:t xml:space="preserve">faktapromemorian och PPT-presentationen. </w:t>
            </w:r>
            <w:r w:rsidR="007637F7" w:rsidRPr="007637F7">
              <w:rPr>
                <w:bCs/>
              </w:rPr>
              <w:t>(bilaga 2).</w:t>
            </w:r>
          </w:p>
          <w:p w14:paraId="0D91F370" w14:textId="3334D97E" w:rsidR="00ED65E3" w:rsidRDefault="00ED65E3" w:rsidP="007637F7">
            <w:pPr>
              <w:outlineLvl w:val="0"/>
              <w:rPr>
                <w:bCs/>
              </w:rPr>
            </w:pPr>
          </w:p>
          <w:p w14:paraId="550485E4" w14:textId="77777777" w:rsidR="00ED65E3" w:rsidRPr="00D67DD5" w:rsidRDefault="00ED65E3" w:rsidP="00ED65E3">
            <w:pPr>
              <w:outlineLvl w:val="0"/>
              <w:rPr>
                <w:bCs/>
              </w:rPr>
            </w:pPr>
            <w:r w:rsidRPr="007637F7">
              <w:rPr>
                <w:bCs/>
              </w:rPr>
              <w:t>Ledamöternas frågor besvarades.</w:t>
            </w:r>
          </w:p>
          <w:p w14:paraId="5B1A22B7" w14:textId="77777777" w:rsidR="007637F7" w:rsidRPr="007637F7" w:rsidRDefault="007637F7" w:rsidP="007637F7">
            <w:pPr>
              <w:outlineLvl w:val="0"/>
              <w:rPr>
                <w:bCs/>
              </w:rPr>
            </w:pPr>
          </w:p>
          <w:p w14:paraId="14B2AA10" w14:textId="77777777" w:rsidR="007637F7" w:rsidRPr="007637F7" w:rsidRDefault="007637F7" w:rsidP="007637F7">
            <w:pPr>
              <w:outlineLvl w:val="0"/>
              <w:rPr>
                <w:bCs/>
              </w:rPr>
            </w:pPr>
          </w:p>
          <w:p w14:paraId="68CAA124" w14:textId="2532EAA7" w:rsidR="007637F7" w:rsidRDefault="007637F7" w:rsidP="007637F7">
            <w:pPr>
              <w:outlineLvl w:val="0"/>
              <w:rPr>
                <w:bCs/>
              </w:rPr>
            </w:pPr>
            <w:r w:rsidRPr="007637F7">
              <w:rPr>
                <w:bCs/>
              </w:rPr>
              <w:t>Ordföranden konstaterade att det fanns stöd för regeringens ståndpunkt.</w:t>
            </w:r>
          </w:p>
          <w:p w14:paraId="24CA2AEE" w14:textId="77777777" w:rsidR="007637F7" w:rsidRDefault="007637F7" w:rsidP="00D67DD5">
            <w:pPr>
              <w:outlineLvl w:val="0"/>
              <w:rPr>
                <w:bCs/>
              </w:rPr>
            </w:pPr>
          </w:p>
          <w:p w14:paraId="3C5F2937" w14:textId="7A3A2C80" w:rsidR="007637F7" w:rsidRDefault="007637F7" w:rsidP="00D67DD5">
            <w:pPr>
              <w:outlineLvl w:val="0"/>
              <w:rPr>
                <w:b/>
              </w:rPr>
            </w:pPr>
          </w:p>
        </w:tc>
      </w:tr>
      <w:tr w:rsidR="00D67DD5" w14:paraId="49D4CFA8" w14:textId="77777777" w:rsidTr="008035C8">
        <w:tc>
          <w:tcPr>
            <w:tcW w:w="567" w:type="dxa"/>
          </w:tcPr>
          <w:p w14:paraId="734740E2" w14:textId="5A635DB8" w:rsidR="00D67DD5" w:rsidRDefault="00D67DD5" w:rsidP="00A44FE3">
            <w:pPr>
              <w:tabs>
                <w:tab w:val="left" w:pos="1701"/>
              </w:tabs>
              <w:rPr>
                <w:b/>
                <w:snapToGrid w:val="0"/>
              </w:rPr>
            </w:pPr>
            <w:r>
              <w:rPr>
                <w:b/>
                <w:snapToGrid w:val="0"/>
              </w:rPr>
              <w:t>§</w:t>
            </w:r>
            <w:r w:rsidR="009D6236">
              <w:rPr>
                <w:b/>
                <w:snapToGrid w:val="0"/>
              </w:rPr>
              <w:t xml:space="preserve"> 3</w:t>
            </w:r>
          </w:p>
        </w:tc>
        <w:tc>
          <w:tcPr>
            <w:tcW w:w="7655" w:type="dxa"/>
          </w:tcPr>
          <w:p w14:paraId="6A3FB60F" w14:textId="05DE40BC" w:rsidR="007637F7" w:rsidRPr="009D6236" w:rsidRDefault="00D67DD5" w:rsidP="00D67DD5">
            <w:pPr>
              <w:outlineLvl w:val="0"/>
              <w:rPr>
                <w:b/>
              </w:rPr>
            </w:pPr>
            <w:r w:rsidRPr="00D67DD5">
              <w:rPr>
                <w:b/>
              </w:rPr>
              <w:t>Noteringsakten</w:t>
            </w:r>
          </w:p>
          <w:p w14:paraId="195B1B0D" w14:textId="77777777" w:rsidR="007637F7" w:rsidRPr="007637F7" w:rsidRDefault="007637F7" w:rsidP="007637F7">
            <w:pPr>
              <w:outlineLvl w:val="0"/>
              <w:rPr>
                <w:bCs/>
              </w:rPr>
            </w:pPr>
            <w:r w:rsidRPr="007637F7">
              <w:rPr>
                <w:bCs/>
              </w:rPr>
              <w:t xml:space="preserve">Utskottet överlade med statssekreterare Johan </w:t>
            </w:r>
            <w:proofErr w:type="spellStart"/>
            <w:r w:rsidRPr="007637F7">
              <w:rPr>
                <w:bCs/>
              </w:rPr>
              <w:t>Almenberg</w:t>
            </w:r>
            <w:proofErr w:type="spellEnd"/>
            <w:r w:rsidRPr="007637F7">
              <w:rPr>
                <w:bCs/>
              </w:rPr>
              <w:t>, åtföljd av medarbetare från Finansdepartementet.</w:t>
            </w:r>
          </w:p>
          <w:p w14:paraId="5729914C" w14:textId="77777777" w:rsidR="007637F7" w:rsidRPr="007637F7" w:rsidRDefault="007637F7" w:rsidP="007637F7">
            <w:pPr>
              <w:outlineLvl w:val="0"/>
              <w:rPr>
                <w:bCs/>
              </w:rPr>
            </w:pPr>
          </w:p>
          <w:p w14:paraId="70B7E6B3" w14:textId="6CE797EB" w:rsidR="007637F7" w:rsidRPr="007637F7" w:rsidRDefault="007637F7" w:rsidP="007637F7">
            <w:pPr>
              <w:outlineLvl w:val="0"/>
              <w:rPr>
                <w:bCs/>
              </w:rPr>
            </w:pPr>
            <w:r w:rsidRPr="007637F7">
              <w:rPr>
                <w:bCs/>
              </w:rPr>
              <w:t xml:space="preserve">Underlaget utgjordes av Regeringskansliets </w:t>
            </w:r>
            <w:r w:rsidR="009D6236">
              <w:rPr>
                <w:bCs/>
              </w:rPr>
              <w:t>fakta</w:t>
            </w:r>
            <w:r w:rsidRPr="007637F7">
              <w:rPr>
                <w:bCs/>
              </w:rPr>
              <w:t xml:space="preserve">promemoria </w:t>
            </w:r>
            <w:r w:rsidR="009D6236">
              <w:rPr>
                <w:bCs/>
              </w:rPr>
              <w:t xml:space="preserve">och PPT-presentation </w:t>
            </w:r>
            <w:r w:rsidRPr="007637F7">
              <w:rPr>
                <w:bCs/>
              </w:rPr>
              <w:t xml:space="preserve">(dnr. </w:t>
            </w:r>
            <w:proofErr w:type="gramStart"/>
            <w:r w:rsidRPr="007637F7">
              <w:rPr>
                <w:bCs/>
              </w:rPr>
              <w:t>718-2022</w:t>
            </w:r>
            <w:proofErr w:type="gramEnd"/>
            <w:r w:rsidRPr="007637F7">
              <w:rPr>
                <w:bCs/>
              </w:rPr>
              <w:t>/23).</w:t>
            </w:r>
          </w:p>
          <w:p w14:paraId="5A1A55EA" w14:textId="77777777" w:rsidR="007637F7" w:rsidRPr="007637F7" w:rsidRDefault="007637F7" w:rsidP="007637F7">
            <w:pPr>
              <w:outlineLvl w:val="0"/>
              <w:rPr>
                <w:bCs/>
              </w:rPr>
            </w:pPr>
          </w:p>
          <w:p w14:paraId="3F5ED9A2" w14:textId="076A16CE" w:rsidR="007637F7" w:rsidRPr="007637F7" w:rsidRDefault="009D6236" w:rsidP="007637F7">
            <w:pPr>
              <w:outlineLvl w:val="0"/>
              <w:rPr>
                <w:bCs/>
              </w:rPr>
            </w:pPr>
            <w:r>
              <w:rPr>
                <w:bCs/>
              </w:rPr>
              <w:t>Statssekreteraren</w:t>
            </w:r>
            <w:r w:rsidR="007637F7" w:rsidRPr="007637F7">
              <w:rPr>
                <w:bCs/>
              </w:rPr>
              <w:t xml:space="preserve"> redogjorde för regeringens ståndpunkt i enlighet med </w:t>
            </w:r>
            <w:r w:rsidR="00230BFA">
              <w:rPr>
                <w:bCs/>
              </w:rPr>
              <w:t>fakta</w:t>
            </w:r>
            <w:r w:rsidR="007637F7" w:rsidRPr="007637F7">
              <w:rPr>
                <w:bCs/>
              </w:rPr>
              <w:t xml:space="preserve">promemorian (bilaga </w:t>
            </w:r>
            <w:r>
              <w:rPr>
                <w:bCs/>
              </w:rPr>
              <w:t>3</w:t>
            </w:r>
            <w:r w:rsidR="007637F7" w:rsidRPr="007637F7">
              <w:rPr>
                <w:bCs/>
              </w:rPr>
              <w:t>).</w:t>
            </w:r>
          </w:p>
          <w:p w14:paraId="34CFFDB5" w14:textId="77777777" w:rsidR="007637F7" w:rsidRPr="007637F7" w:rsidRDefault="007637F7" w:rsidP="007637F7">
            <w:pPr>
              <w:outlineLvl w:val="0"/>
              <w:rPr>
                <w:bCs/>
              </w:rPr>
            </w:pPr>
          </w:p>
          <w:p w14:paraId="435EACDD" w14:textId="77777777" w:rsidR="00ED65E3" w:rsidRPr="00D67DD5" w:rsidRDefault="00ED65E3" w:rsidP="00ED65E3">
            <w:pPr>
              <w:outlineLvl w:val="0"/>
              <w:rPr>
                <w:bCs/>
              </w:rPr>
            </w:pPr>
            <w:r w:rsidRPr="007637F7">
              <w:rPr>
                <w:bCs/>
              </w:rPr>
              <w:t>Ledamöternas frågor besvarades.</w:t>
            </w:r>
          </w:p>
          <w:p w14:paraId="2A44EB23" w14:textId="77777777" w:rsidR="007637F7" w:rsidRPr="007637F7" w:rsidRDefault="007637F7" w:rsidP="007637F7">
            <w:pPr>
              <w:outlineLvl w:val="0"/>
              <w:rPr>
                <w:bCs/>
              </w:rPr>
            </w:pPr>
          </w:p>
          <w:p w14:paraId="30FD6426" w14:textId="77777777" w:rsidR="007637F7" w:rsidRPr="007637F7" w:rsidRDefault="007637F7" w:rsidP="007637F7">
            <w:pPr>
              <w:outlineLvl w:val="0"/>
              <w:rPr>
                <w:bCs/>
              </w:rPr>
            </w:pPr>
            <w:r w:rsidRPr="007637F7">
              <w:rPr>
                <w:bCs/>
              </w:rPr>
              <w:t>Ordföranden konstaterade att det fanns stöd för regeringens ståndpunkt.</w:t>
            </w:r>
          </w:p>
          <w:p w14:paraId="712BAFD2" w14:textId="77777777" w:rsidR="007637F7" w:rsidRPr="00D67DD5" w:rsidRDefault="007637F7" w:rsidP="00D67DD5">
            <w:pPr>
              <w:outlineLvl w:val="0"/>
              <w:rPr>
                <w:bCs/>
              </w:rPr>
            </w:pPr>
          </w:p>
          <w:p w14:paraId="0F910761" w14:textId="77777777" w:rsidR="00D67DD5" w:rsidRDefault="00D67DD5" w:rsidP="00A44FE3">
            <w:pPr>
              <w:outlineLvl w:val="0"/>
              <w:rPr>
                <w:b/>
              </w:rPr>
            </w:pPr>
          </w:p>
        </w:tc>
      </w:tr>
      <w:tr w:rsidR="00D67DD5" w14:paraId="6FFC7137" w14:textId="77777777" w:rsidTr="008035C8">
        <w:tc>
          <w:tcPr>
            <w:tcW w:w="567" w:type="dxa"/>
          </w:tcPr>
          <w:p w14:paraId="640FD1F1" w14:textId="2FCA8967" w:rsidR="00D67DD5" w:rsidRDefault="00D67DD5" w:rsidP="00A44FE3">
            <w:pPr>
              <w:tabs>
                <w:tab w:val="left" w:pos="1701"/>
              </w:tabs>
              <w:rPr>
                <w:b/>
                <w:snapToGrid w:val="0"/>
              </w:rPr>
            </w:pPr>
            <w:r>
              <w:rPr>
                <w:b/>
                <w:snapToGrid w:val="0"/>
              </w:rPr>
              <w:t>§</w:t>
            </w:r>
            <w:r w:rsidR="009D6236">
              <w:rPr>
                <w:b/>
                <w:snapToGrid w:val="0"/>
              </w:rPr>
              <w:t xml:space="preserve"> 4</w:t>
            </w:r>
          </w:p>
        </w:tc>
        <w:tc>
          <w:tcPr>
            <w:tcW w:w="7655" w:type="dxa"/>
          </w:tcPr>
          <w:p w14:paraId="26F9F0D4" w14:textId="17E2F5D6" w:rsidR="00D67DD5" w:rsidRPr="00D67DD5" w:rsidRDefault="00D67DD5" w:rsidP="00D67DD5">
            <w:pPr>
              <w:outlineLvl w:val="0"/>
              <w:rPr>
                <w:b/>
              </w:rPr>
            </w:pPr>
            <w:r w:rsidRPr="00D67DD5">
              <w:rPr>
                <w:b/>
              </w:rPr>
              <w:t>Sveriges ordförandeskap i EU 2023</w:t>
            </w:r>
          </w:p>
          <w:p w14:paraId="6EDA2099" w14:textId="4301B031" w:rsidR="00E32C32" w:rsidRPr="00E32C32" w:rsidRDefault="00E32C32" w:rsidP="00E32C32">
            <w:pPr>
              <w:outlineLvl w:val="0"/>
              <w:rPr>
                <w:bCs/>
              </w:rPr>
            </w:pPr>
            <w:r w:rsidRPr="00E32C32">
              <w:rPr>
                <w:bCs/>
              </w:rPr>
              <w:t xml:space="preserve">Statssekreteraren </w:t>
            </w:r>
            <w:r>
              <w:rPr>
                <w:bCs/>
              </w:rPr>
              <w:t xml:space="preserve">Johan </w:t>
            </w:r>
            <w:proofErr w:type="spellStart"/>
            <w:r>
              <w:rPr>
                <w:bCs/>
              </w:rPr>
              <w:t>Almenberg</w:t>
            </w:r>
            <w:proofErr w:type="spellEnd"/>
            <w:r w:rsidRPr="00E32C32">
              <w:rPr>
                <w:bCs/>
              </w:rPr>
              <w:t xml:space="preserve">, </w:t>
            </w:r>
            <w:r w:rsidR="00ED65E3" w:rsidRPr="007637F7">
              <w:rPr>
                <w:bCs/>
              </w:rPr>
              <w:t>åtföljd av medarbetare från</w:t>
            </w:r>
            <w:r w:rsidR="00ED65E3" w:rsidRPr="00E32C32">
              <w:rPr>
                <w:bCs/>
              </w:rPr>
              <w:t xml:space="preserve"> </w:t>
            </w:r>
            <w:r w:rsidRPr="00E32C32">
              <w:rPr>
                <w:bCs/>
              </w:rPr>
              <w:t>Finansdepartementet, informerade utskottet</w:t>
            </w:r>
            <w:r w:rsidR="000B1441">
              <w:rPr>
                <w:bCs/>
              </w:rPr>
              <w:t>.</w:t>
            </w:r>
          </w:p>
          <w:p w14:paraId="41217475" w14:textId="77777777" w:rsidR="00E32C32" w:rsidRPr="00E32C32" w:rsidRDefault="00E32C32" w:rsidP="00E32C32">
            <w:pPr>
              <w:outlineLvl w:val="0"/>
              <w:rPr>
                <w:bCs/>
              </w:rPr>
            </w:pPr>
          </w:p>
          <w:p w14:paraId="7D908296" w14:textId="77777777" w:rsidR="00D67DD5" w:rsidRDefault="00E32C32" w:rsidP="00E32C32">
            <w:pPr>
              <w:outlineLvl w:val="0"/>
              <w:rPr>
                <w:bCs/>
              </w:rPr>
            </w:pPr>
            <w:r w:rsidRPr="00E32C32">
              <w:rPr>
                <w:bCs/>
              </w:rPr>
              <w:t>Ledamöternas frågor besvarades.</w:t>
            </w:r>
          </w:p>
          <w:p w14:paraId="4DF5F673" w14:textId="084C98D9" w:rsidR="00577F47" w:rsidRPr="00D67DD5" w:rsidRDefault="00577F47" w:rsidP="00E32C32">
            <w:pPr>
              <w:outlineLvl w:val="0"/>
              <w:rPr>
                <w:b/>
              </w:rPr>
            </w:pPr>
          </w:p>
        </w:tc>
      </w:tr>
      <w:tr w:rsidR="00A44FE3" w14:paraId="2C8ABE0A" w14:textId="77777777" w:rsidTr="008035C8">
        <w:tc>
          <w:tcPr>
            <w:tcW w:w="567" w:type="dxa"/>
          </w:tcPr>
          <w:p w14:paraId="442699FD" w14:textId="0805FFE0" w:rsidR="00A44FE3" w:rsidRDefault="00A44FE3" w:rsidP="00A44FE3">
            <w:pPr>
              <w:tabs>
                <w:tab w:val="left" w:pos="1701"/>
              </w:tabs>
              <w:rPr>
                <w:b/>
                <w:snapToGrid w:val="0"/>
              </w:rPr>
            </w:pPr>
            <w:r>
              <w:rPr>
                <w:b/>
                <w:snapToGrid w:val="0"/>
              </w:rPr>
              <w:lastRenderedPageBreak/>
              <w:t xml:space="preserve">§ </w:t>
            </w:r>
            <w:r w:rsidR="009D6236">
              <w:rPr>
                <w:b/>
                <w:snapToGrid w:val="0"/>
              </w:rPr>
              <w:t>5</w:t>
            </w:r>
          </w:p>
        </w:tc>
        <w:tc>
          <w:tcPr>
            <w:tcW w:w="7655" w:type="dxa"/>
          </w:tcPr>
          <w:p w14:paraId="5D4BBE79" w14:textId="77777777" w:rsidR="00A44FE3" w:rsidRDefault="002A5D58" w:rsidP="00A44FE3">
            <w:pPr>
              <w:outlineLvl w:val="0"/>
            </w:pPr>
            <w:r>
              <w:rPr>
                <w:b/>
              </w:rPr>
              <w:t xml:space="preserve">Anmälningar </w:t>
            </w:r>
            <w:r w:rsidR="00A44FE3" w:rsidRPr="00B30304">
              <w:rPr>
                <w:bCs/>
              </w:rPr>
              <w:br/>
            </w:r>
            <w:r w:rsidR="009D6236">
              <w:t xml:space="preserve">Kanslichefen påminde om utskottets besök på Riksbanken 22 februari. </w:t>
            </w:r>
          </w:p>
          <w:p w14:paraId="17EE5049" w14:textId="78973EA8" w:rsidR="009D6236" w:rsidRPr="002A5D58" w:rsidRDefault="009D6236" w:rsidP="00A44FE3">
            <w:pPr>
              <w:outlineLvl w:val="0"/>
            </w:pPr>
          </w:p>
        </w:tc>
      </w:tr>
      <w:tr w:rsidR="002A5D58" w14:paraId="3FC05471" w14:textId="77777777" w:rsidTr="008035C8">
        <w:tc>
          <w:tcPr>
            <w:tcW w:w="567" w:type="dxa"/>
          </w:tcPr>
          <w:p w14:paraId="56A4B442" w14:textId="6935E47A" w:rsidR="002A5D58" w:rsidRDefault="002A5D58" w:rsidP="00A44FE3">
            <w:pPr>
              <w:tabs>
                <w:tab w:val="left" w:pos="1701"/>
              </w:tabs>
              <w:rPr>
                <w:b/>
                <w:snapToGrid w:val="0"/>
              </w:rPr>
            </w:pPr>
            <w:r>
              <w:rPr>
                <w:b/>
                <w:snapToGrid w:val="0"/>
              </w:rPr>
              <w:t xml:space="preserve">§ </w:t>
            </w:r>
            <w:r w:rsidR="009D6236">
              <w:rPr>
                <w:b/>
                <w:snapToGrid w:val="0"/>
              </w:rPr>
              <w:t>6</w:t>
            </w:r>
          </w:p>
        </w:tc>
        <w:tc>
          <w:tcPr>
            <w:tcW w:w="7655" w:type="dxa"/>
          </w:tcPr>
          <w:p w14:paraId="0C6A8C07" w14:textId="77777777" w:rsidR="002A5D58" w:rsidRDefault="002A5D58" w:rsidP="00A44FE3">
            <w:pPr>
              <w:outlineLvl w:val="0"/>
              <w:rPr>
                <w:b/>
              </w:rPr>
            </w:pPr>
            <w:r>
              <w:rPr>
                <w:b/>
              </w:rPr>
              <w:t xml:space="preserve">Justering av protokoll </w:t>
            </w:r>
          </w:p>
          <w:p w14:paraId="4DB67A12" w14:textId="77777777" w:rsidR="002A5D58" w:rsidRDefault="007637F7" w:rsidP="00A44FE3">
            <w:pPr>
              <w:outlineLvl w:val="0"/>
              <w:rPr>
                <w:bCs/>
              </w:rPr>
            </w:pPr>
            <w:r w:rsidRPr="007637F7">
              <w:rPr>
                <w:bCs/>
              </w:rPr>
              <w:t xml:space="preserve">Utskottet justerade protokoll </w:t>
            </w:r>
            <w:r w:rsidR="00D67DD5" w:rsidRPr="007637F7">
              <w:rPr>
                <w:bCs/>
              </w:rPr>
              <w:t>nr 2022/23:33</w:t>
            </w:r>
            <w:r w:rsidR="00A72602">
              <w:rPr>
                <w:bCs/>
              </w:rPr>
              <w:t>.</w:t>
            </w:r>
          </w:p>
          <w:p w14:paraId="07A428DD" w14:textId="5C5BED96" w:rsidR="00A72602" w:rsidRPr="007637F7" w:rsidRDefault="00A72602" w:rsidP="00A44FE3">
            <w:pPr>
              <w:outlineLvl w:val="0"/>
              <w:rPr>
                <w:bCs/>
              </w:rPr>
            </w:pPr>
          </w:p>
        </w:tc>
      </w:tr>
      <w:tr w:rsidR="00D67DD5" w14:paraId="047B482F" w14:textId="77777777" w:rsidTr="008035C8">
        <w:tc>
          <w:tcPr>
            <w:tcW w:w="567" w:type="dxa"/>
          </w:tcPr>
          <w:p w14:paraId="06928375" w14:textId="3DA0F9BC" w:rsidR="00D67DD5" w:rsidRDefault="009D6236" w:rsidP="00A44FE3">
            <w:pPr>
              <w:tabs>
                <w:tab w:val="left" w:pos="1701"/>
              </w:tabs>
              <w:rPr>
                <w:b/>
                <w:snapToGrid w:val="0"/>
              </w:rPr>
            </w:pPr>
            <w:r>
              <w:rPr>
                <w:b/>
                <w:snapToGrid w:val="0"/>
              </w:rPr>
              <w:t>§ 7</w:t>
            </w:r>
          </w:p>
        </w:tc>
        <w:tc>
          <w:tcPr>
            <w:tcW w:w="7655" w:type="dxa"/>
          </w:tcPr>
          <w:p w14:paraId="34200414" w14:textId="12585D00" w:rsidR="009D6236" w:rsidRDefault="00D67DD5" w:rsidP="007637F7">
            <w:pPr>
              <w:keepNext/>
              <w:widowControl/>
              <w:spacing w:after="200" w:line="280" w:lineRule="exact"/>
            </w:pPr>
            <w:r w:rsidRPr="00D67DD5">
              <w:rPr>
                <w:b/>
                <w:bCs/>
              </w:rPr>
              <w:t>Extra ändringsbudget för 2023 – Tillfällig skatt på vissa elproducenters överintäkter (FiU33)</w:t>
            </w:r>
            <w:r w:rsidRPr="00D67DD5">
              <w:rPr>
                <w:b/>
                <w:bCs/>
              </w:rPr>
              <w:br/>
            </w:r>
            <w:r w:rsidR="007637F7">
              <w:t xml:space="preserve">Utskottet fortsatte behandlingen av prop. </w:t>
            </w:r>
            <w:r w:rsidR="007637F7" w:rsidRPr="007637F7">
              <w:t>2022/23:58</w:t>
            </w:r>
            <w:r w:rsidR="007637F7">
              <w:t xml:space="preserve"> och </w:t>
            </w:r>
            <w:r w:rsidR="007637F7" w:rsidRPr="007637F7">
              <w:t>motioner</w:t>
            </w:r>
            <w:r w:rsidR="007637F7">
              <w:t>.</w:t>
            </w:r>
          </w:p>
          <w:p w14:paraId="3F574755" w14:textId="62F489A9" w:rsidR="00AC7DDF" w:rsidRDefault="007637F7" w:rsidP="007637F7">
            <w:pPr>
              <w:keepNext/>
              <w:widowControl/>
              <w:spacing w:after="200" w:line="280" w:lineRule="exact"/>
            </w:pPr>
            <w:r>
              <w:t>Utskottet justerade betänkande 2022/23:FiU33.</w:t>
            </w:r>
          </w:p>
          <w:p w14:paraId="078B1DC9" w14:textId="32D11F3E" w:rsidR="00AC7DDF" w:rsidRDefault="00AC7DDF" w:rsidP="007637F7">
            <w:pPr>
              <w:keepNext/>
            </w:pPr>
            <w:r w:rsidRPr="00AC7DDF">
              <w:t>S-, V-</w:t>
            </w:r>
            <w:r>
              <w:t>, C-</w:t>
            </w:r>
            <w:r w:rsidRPr="00AC7DDF">
              <w:t xml:space="preserve"> och MP-ledamöterna anmälde </w:t>
            </w:r>
            <w:r>
              <w:t>reservationer</w:t>
            </w:r>
            <w:r w:rsidRPr="00AC7DDF">
              <w:t>.</w:t>
            </w:r>
          </w:p>
          <w:p w14:paraId="3DC9DEF6" w14:textId="057C0B75" w:rsidR="00AC7DDF" w:rsidRDefault="00AC7DDF" w:rsidP="007637F7">
            <w:pPr>
              <w:keepNext/>
              <w:rPr>
                <w:b/>
              </w:rPr>
            </w:pPr>
          </w:p>
        </w:tc>
      </w:tr>
      <w:tr w:rsidR="002A5D58" w14:paraId="1587B42D" w14:textId="77777777" w:rsidTr="008035C8">
        <w:tc>
          <w:tcPr>
            <w:tcW w:w="567" w:type="dxa"/>
          </w:tcPr>
          <w:p w14:paraId="109E1604" w14:textId="48140595" w:rsidR="002A5D58" w:rsidRDefault="002A5D58" w:rsidP="00A44FE3">
            <w:pPr>
              <w:tabs>
                <w:tab w:val="left" w:pos="1701"/>
              </w:tabs>
              <w:rPr>
                <w:b/>
                <w:snapToGrid w:val="0"/>
              </w:rPr>
            </w:pPr>
            <w:r>
              <w:rPr>
                <w:b/>
                <w:snapToGrid w:val="0"/>
              </w:rPr>
              <w:t xml:space="preserve">§ </w:t>
            </w:r>
            <w:r w:rsidR="009D6236">
              <w:rPr>
                <w:b/>
                <w:snapToGrid w:val="0"/>
              </w:rPr>
              <w:t>8</w:t>
            </w:r>
          </w:p>
        </w:tc>
        <w:tc>
          <w:tcPr>
            <w:tcW w:w="7655" w:type="dxa"/>
          </w:tcPr>
          <w:p w14:paraId="06FAFB36" w14:textId="77777777" w:rsidR="009D6236" w:rsidRDefault="002A5D58" w:rsidP="009D6236">
            <w:pPr>
              <w:outlineLvl w:val="0"/>
              <w:rPr>
                <w:b/>
              </w:rPr>
            </w:pPr>
            <w:r>
              <w:rPr>
                <w:b/>
              </w:rPr>
              <w:t>Övrigt</w:t>
            </w:r>
          </w:p>
          <w:p w14:paraId="61D36C61" w14:textId="39CE8D01" w:rsidR="009D6236" w:rsidRPr="009D6236" w:rsidRDefault="009D6236" w:rsidP="009D6236">
            <w:pPr>
              <w:outlineLvl w:val="0"/>
              <w:rPr>
                <w:bCs/>
              </w:rPr>
            </w:pPr>
            <w:r w:rsidRPr="009D6236">
              <w:rPr>
                <w:bCs/>
              </w:rPr>
              <w:t>V-ledamoten anmälde ett förslag till utskottsinitiativ</w:t>
            </w:r>
            <w:r>
              <w:rPr>
                <w:bCs/>
              </w:rPr>
              <w:t xml:space="preserve"> (bilaga 4). </w:t>
            </w:r>
          </w:p>
          <w:p w14:paraId="06F1C30C" w14:textId="77777777" w:rsidR="009D6236" w:rsidRPr="009D6236" w:rsidRDefault="009D6236" w:rsidP="009D6236">
            <w:pPr>
              <w:outlineLvl w:val="0"/>
              <w:rPr>
                <w:bCs/>
              </w:rPr>
            </w:pPr>
          </w:p>
          <w:p w14:paraId="0CF7953D" w14:textId="77777777" w:rsidR="002A5D58" w:rsidRDefault="009D6236" w:rsidP="009D6236">
            <w:pPr>
              <w:outlineLvl w:val="0"/>
              <w:rPr>
                <w:bCs/>
              </w:rPr>
            </w:pPr>
            <w:r w:rsidRPr="009D6236">
              <w:rPr>
                <w:bCs/>
              </w:rPr>
              <w:t>Förslaget bordlades.</w:t>
            </w:r>
          </w:p>
          <w:p w14:paraId="1BBF50B3" w14:textId="62D47E21" w:rsidR="008D26BD" w:rsidRDefault="008D26BD" w:rsidP="009D6236">
            <w:pPr>
              <w:outlineLvl w:val="0"/>
              <w:rPr>
                <w:b/>
              </w:rPr>
            </w:pPr>
          </w:p>
        </w:tc>
      </w:tr>
      <w:tr w:rsidR="002A5D58" w14:paraId="69468561" w14:textId="77777777" w:rsidTr="008035C8">
        <w:tc>
          <w:tcPr>
            <w:tcW w:w="567" w:type="dxa"/>
          </w:tcPr>
          <w:p w14:paraId="61C7046A" w14:textId="432712C0" w:rsidR="002A5D58" w:rsidRDefault="002A5D58" w:rsidP="00A44FE3">
            <w:pPr>
              <w:tabs>
                <w:tab w:val="left" w:pos="1701"/>
              </w:tabs>
              <w:rPr>
                <w:b/>
                <w:snapToGrid w:val="0"/>
              </w:rPr>
            </w:pPr>
            <w:r>
              <w:rPr>
                <w:b/>
                <w:snapToGrid w:val="0"/>
              </w:rPr>
              <w:t xml:space="preserve">§ </w:t>
            </w:r>
            <w:r w:rsidR="009D6236">
              <w:rPr>
                <w:b/>
                <w:snapToGrid w:val="0"/>
              </w:rPr>
              <w:t>9</w:t>
            </w:r>
          </w:p>
        </w:tc>
        <w:tc>
          <w:tcPr>
            <w:tcW w:w="7655" w:type="dxa"/>
          </w:tcPr>
          <w:p w14:paraId="33C4C109" w14:textId="77777777" w:rsidR="002A5D58" w:rsidRDefault="002A5D58" w:rsidP="00A44FE3">
            <w:pPr>
              <w:outlineLvl w:val="0"/>
              <w:rPr>
                <w:b/>
              </w:rPr>
            </w:pPr>
            <w:r>
              <w:rPr>
                <w:b/>
              </w:rPr>
              <w:t>Nästa sammanträde</w:t>
            </w:r>
          </w:p>
          <w:p w14:paraId="2B013B23" w14:textId="70F96BFC" w:rsidR="002A5D58" w:rsidRPr="00D67DD5" w:rsidRDefault="00D67DD5" w:rsidP="00A44FE3">
            <w:pPr>
              <w:outlineLvl w:val="0"/>
              <w:rPr>
                <w:bCs/>
              </w:rPr>
            </w:pPr>
            <w:r w:rsidRPr="00D67DD5">
              <w:rPr>
                <w:bCs/>
              </w:rPr>
              <w:t>Torsdag 23 februari kl. 10.30</w:t>
            </w:r>
          </w:p>
        </w:tc>
      </w:tr>
      <w:tr w:rsidR="00A44FE3" w14:paraId="33706D06" w14:textId="77777777" w:rsidTr="008035C8">
        <w:tc>
          <w:tcPr>
            <w:tcW w:w="567" w:type="dxa"/>
          </w:tcPr>
          <w:p w14:paraId="12C16029" w14:textId="77777777" w:rsidR="00A44FE3" w:rsidRDefault="00A44FE3" w:rsidP="00A44FE3">
            <w:pPr>
              <w:tabs>
                <w:tab w:val="left" w:pos="1701"/>
              </w:tabs>
              <w:rPr>
                <w:b/>
                <w:snapToGrid w:val="0"/>
              </w:rPr>
            </w:pPr>
          </w:p>
        </w:tc>
        <w:tc>
          <w:tcPr>
            <w:tcW w:w="7655" w:type="dxa"/>
          </w:tcPr>
          <w:p w14:paraId="255508BB" w14:textId="48D822BC" w:rsidR="00A44FE3" w:rsidRDefault="00A44FE3" w:rsidP="00A44FE3">
            <w:pPr>
              <w:outlineLvl w:val="0"/>
              <w:rPr>
                <w:bCs/>
              </w:rPr>
            </w:pPr>
          </w:p>
          <w:p w14:paraId="26B950B4" w14:textId="77777777" w:rsidR="009D6236" w:rsidRDefault="009D6236" w:rsidP="00A44FE3">
            <w:pPr>
              <w:outlineLvl w:val="0"/>
              <w:rPr>
                <w:bCs/>
              </w:rPr>
            </w:pPr>
          </w:p>
          <w:p w14:paraId="70F7001C" w14:textId="77777777" w:rsidR="009D6236" w:rsidRDefault="009D6236" w:rsidP="00A44FE3">
            <w:pPr>
              <w:outlineLvl w:val="0"/>
              <w:rPr>
                <w:bCs/>
              </w:rPr>
            </w:pPr>
            <w:r>
              <w:rPr>
                <w:bCs/>
              </w:rPr>
              <w:t xml:space="preserve">Vid protokollet </w:t>
            </w:r>
          </w:p>
          <w:p w14:paraId="06209364" w14:textId="2E59CB07" w:rsidR="009D6236" w:rsidRDefault="009D6236" w:rsidP="00A44FE3">
            <w:pPr>
              <w:outlineLvl w:val="0"/>
              <w:rPr>
                <w:bCs/>
              </w:rPr>
            </w:pPr>
          </w:p>
          <w:p w14:paraId="45CEA9E1" w14:textId="77777777" w:rsidR="009D6236" w:rsidRDefault="009D6236" w:rsidP="00A44FE3">
            <w:pPr>
              <w:outlineLvl w:val="0"/>
              <w:rPr>
                <w:bCs/>
              </w:rPr>
            </w:pPr>
          </w:p>
          <w:p w14:paraId="50960EB0" w14:textId="77777777" w:rsidR="009D6236" w:rsidRDefault="009D6236" w:rsidP="00A44FE3">
            <w:pPr>
              <w:outlineLvl w:val="0"/>
              <w:rPr>
                <w:bCs/>
              </w:rPr>
            </w:pPr>
            <w:r>
              <w:rPr>
                <w:bCs/>
              </w:rPr>
              <w:t xml:space="preserve">Fanny Flyborg </w:t>
            </w:r>
          </w:p>
          <w:p w14:paraId="4B0A36D6" w14:textId="2457EA84" w:rsidR="009D6236" w:rsidRDefault="009D6236" w:rsidP="00A44FE3">
            <w:pPr>
              <w:outlineLvl w:val="0"/>
              <w:rPr>
                <w:bCs/>
              </w:rPr>
            </w:pPr>
          </w:p>
          <w:p w14:paraId="5BCC9242" w14:textId="77777777" w:rsidR="009D6236" w:rsidRDefault="009D6236" w:rsidP="00A44FE3">
            <w:pPr>
              <w:outlineLvl w:val="0"/>
              <w:rPr>
                <w:bCs/>
              </w:rPr>
            </w:pPr>
          </w:p>
          <w:p w14:paraId="1664C89A" w14:textId="4EDB299C" w:rsidR="009D6236" w:rsidRPr="00D12ED4" w:rsidRDefault="009D6236" w:rsidP="00A44FE3">
            <w:pPr>
              <w:outlineLvl w:val="0"/>
              <w:rPr>
                <w:bCs/>
              </w:rPr>
            </w:pPr>
            <w:r>
              <w:rPr>
                <w:bCs/>
              </w:rPr>
              <w:t>Justeras av Edward Riedl 23 februari</w:t>
            </w:r>
          </w:p>
        </w:tc>
      </w:tr>
      <w:tr w:rsidR="002C538C" w14:paraId="3025882C" w14:textId="77777777" w:rsidTr="008035C8">
        <w:tc>
          <w:tcPr>
            <w:tcW w:w="8222" w:type="dxa"/>
            <w:gridSpan w:val="2"/>
          </w:tcPr>
          <w:p w14:paraId="7B13580B" w14:textId="77777777" w:rsidR="002C538C" w:rsidRPr="00BD39D1" w:rsidRDefault="002C538C"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46C0D59" w14:textId="5F5B6D28"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r w:rsidR="00D67DD5">
        <w:rPr>
          <w:sz w:val="22"/>
          <w:szCs w:val="22"/>
        </w:rPr>
        <w:t>34</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6C3C698D" w14:textId="77777777" w:rsidTr="006B55D9">
        <w:tc>
          <w:tcPr>
            <w:tcW w:w="4395" w:type="dxa"/>
            <w:tcBorders>
              <w:top w:val="single" w:sz="6" w:space="0" w:color="auto"/>
              <w:left w:val="single" w:sz="6" w:space="0" w:color="auto"/>
              <w:bottom w:val="single" w:sz="6" w:space="0" w:color="auto"/>
              <w:right w:val="single" w:sz="6" w:space="0" w:color="auto"/>
            </w:tcBorders>
          </w:tcPr>
          <w:p w14:paraId="70490EDB"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733E1113" w:rsidR="004C6601" w:rsidRPr="000E151F" w:rsidRDefault="00D67DD5" w:rsidP="006B55D9">
            <w:pPr>
              <w:spacing w:line="360" w:lineRule="auto"/>
              <w:rPr>
                <w:sz w:val="22"/>
                <w:szCs w:val="22"/>
              </w:rPr>
            </w:pPr>
            <w:r>
              <w:rPr>
                <w:sz w:val="22"/>
                <w:szCs w:val="22"/>
              </w:rPr>
              <w:t xml:space="preserve">§ </w:t>
            </w:r>
            <w:proofErr w:type="gramStart"/>
            <w:r>
              <w:rPr>
                <w:sz w:val="22"/>
                <w:szCs w:val="22"/>
              </w:rPr>
              <w:t>1-</w:t>
            </w:r>
            <w:r w:rsidR="009D6236">
              <w:rPr>
                <w:sz w:val="22"/>
                <w:szCs w:val="22"/>
              </w:rPr>
              <w:t>9</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536CEB3D"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4C6601" w:rsidRPr="000E151F" w:rsidRDefault="004C6601" w:rsidP="006B55D9">
            <w:pPr>
              <w:rPr>
                <w:sz w:val="22"/>
                <w:szCs w:val="22"/>
              </w:rPr>
            </w:pPr>
          </w:p>
        </w:tc>
      </w:tr>
      <w:tr w:rsidR="004C6601" w:rsidRPr="000E151F" w14:paraId="27BBC827" w14:textId="77777777" w:rsidTr="006B55D9">
        <w:tc>
          <w:tcPr>
            <w:tcW w:w="4395" w:type="dxa"/>
            <w:tcBorders>
              <w:top w:val="single" w:sz="6" w:space="0" w:color="auto"/>
              <w:left w:val="single" w:sz="6" w:space="0" w:color="auto"/>
              <w:bottom w:val="single" w:sz="6" w:space="0" w:color="auto"/>
              <w:right w:val="single" w:sz="6" w:space="0" w:color="auto"/>
            </w:tcBorders>
          </w:tcPr>
          <w:p w14:paraId="64AA2767"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4C6601" w:rsidRPr="000E151F" w:rsidRDefault="001D4484" w:rsidP="006B55D9">
            <w:pPr>
              <w:rPr>
                <w:sz w:val="22"/>
                <w:szCs w:val="22"/>
              </w:rPr>
            </w:pPr>
            <w:r>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4C6601" w:rsidRPr="000E151F" w:rsidRDefault="001D4484" w:rsidP="006B55D9">
            <w:pPr>
              <w:rPr>
                <w:sz w:val="22"/>
                <w:szCs w:val="22"/>
              </w:rPr>
            </w:pPr>
            <w:r>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4C6601" w:rsidRPr="000E151F" w:rsidRDefault="004C6601" w:rsidP="006B55D9">
            <w:pPr>
              <w:rPr>
                <w:sz w:val="22"/>
                <w:szCs w:val="22"/>
              </w:rPr>
            </w:pPr>
            <w:r w:rsidRPr="000E151F">
              <w:rPr>
                <w:sz w:val="22"/>
                <w:szCs w:val="22"/>
              </w:rPr>
              <w:t>V</w:t>
            </w:r>
          </w:p>
        </w:tc>
      </w:tr>
      <w:tr w:rsidR="001B4CE1" w:rsidRPr="000E151F" w14:paraId="477F96EA" w14:textId="77777777" w:rsidTr="006B55D9">
        <w:tc>
          <w:tcPr>
            <w:tcW w:w="4395" w:type="dxa"/>
            <w:tcBorders>
              <w:top w:val="single" w:sz="6" w:space="0" w:color="auto"/>
              <w:left w:val="single" w:sz="6" w:space="0" w:color="auto"/>
              <w:bottom w:val="single" w:sz="6" w:space="0" w:color="auto"/>
              <w:right w:val="single" w:sz="6" w:space="0" w:color="auto"/>
            </w:tcBorders>
          </w:tcPr>
          <w:p w14:paraId="69FA43AD" w14:textId="74E47AEA" w:rsidR="001B4CE1" w:rsidRPr="000E151F" w:rsidRDefault="001B4CE1" w:rsidP="001B4CE1">
            <w:pPr>
              <w:rPr>
                <w:b/>
                <w:i/>
                <w:sz w:val="22"/>
                <w:szCs w:val="22"/>
              </w:rPr>
            </w:pPr>
            <w:r w:rsidRPr="00A946F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5C5B25F3"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1B4CE1" w:rsidRPr="000E151F" w:rsidRDefault="001B4CE1" w:rsidP="001B4CE1">
            <w:pPr>
              <w:rPr>
                <w:sz w:val="22"/>
                <w:szCs w:val="22"/>
              </w:rPr>
            </w:pPr>
          </w:p>
        </w:tc>
      </w:tr>
      <w:tr w:rsidR="001B4CE1" w:rsidRPr="000E151F" w14:paraId="24BD4331" w14:textId="77777777" w:rsidTr="006B55D9">
        <w:tc>
          <w:tcPr>
            <w:tcW w:w="4395" w:type="dxa"/>
            <w:tcBorders>
              <w:top w:val="single" w:sz="6" w:space="0" w:color="auto"/>
              <w:left w:val="single" w:sz="6" w:space="0" w:color="auto"/>
              <w:bottom w:val="single" w:sz="6" w:space="0" w:color="auto"/>
              <w:right w:val="single" w:sz="6" w:space="0" w:color="auto"/>
            </w:tcBorders>
          </w:tcPr>
          <w:p w14:paraId="4D350194" w14:textId="165F24C8" w:rsidR="001B4CE1" w:rsidRDefault="001B4CE1" w:rsidP="001B4CE1">
            <w:pPr>
              <w:tabs>
                <w:tab w:val="left" w:pos="-70"/>
              </w:tabs>
              <w:ind w:left="-354" w:firstLine="426"/>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8A60A3" w14:textId="15A027C5"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1B4CE1" w:rsidRPr="000E151F" w:rsidRDefault="001B4CE1" w:rsidP="001B4CE1">
            <w:pPr>
              <w:rPr>
                <w:sz w:val="22"/>
                <w:szCs w:val="22"/>
              </w:rPr>
            </w:pPr>
          </w:p>
        </w:tc>
      </w:tr>
      <w:tr w:rsidR="001B4CE1" w:rsidRPr="000E151F" w14:paraId="2C532478" w14:textId="77777777" w:rsidTr="006B55D9">
        <w:tc>
          <w:tcPr>
            <w:tcW w:w="4395" w:type="dxa"/>
            <w:tcBorders>
              <w:top w:val="single" w:sz="6" w:space="0" w:color="auto"/>
              <w:left w:val="single" w:sz="6" w:space="0" w:color="auto"/>
              <w:bottom w:val="single" w:sz="6" w:space="0" w:color="auto"/>
              <w:right w:val="single" w:sz="6" w:space="0" w:color="auto"/>
            </w:tcBorders>
          </w:tcPr>
          <w:p w14:paraId="04CD60D5" w14:textId="7C7B0653" w:rsidR="001B4CE1" w:rsidRPr="000E151F" w:rsidRDefault="001B4CE1" w:rsidP="001B4CE1">
            <w:pPr>
              <w:tabs>
                <w:tab w:val="left" w:pos="-70"/>
              </w:tabs>
              <w:ind w:left="-354" w:firstLine="426"/>
              <w:rPr>
                <w:snapToGrid w:val="0"/>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56088C57" w14:textId="3491414E"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1B4CE1" w:rsidRPr="000E151F" w:rsidRDefault="001B4CE1" w:rsidP="001B4CE1">
            <w:pPr>
              <w:rPr>
                <w:sz w:val="22"/>
                <w:szCs w:val="22"/>
              </w:rPr>
            </w:pPr>
          </w:p>
        </w:tc>
      </w:tr>
      <w:tr w:rsidR="001B4CE1" w:rsidRPr="000E151F" w14:paraId="6CCF27CA" w14:textId="77777777" w:rsidTr="006B55D9">
        <w:tc>
          <w:tcPr>
            <w:tcW w:w="4395" w:type="dxa"/>
            <w:tcBorders>
              <w:top w:val="single" w:sz="6" w:space="0" w:color="auto"/>
              <w:left w:val="single" w:sz="6" w:space="0" w:color="auto"/>
              <w:bottom w:val="single" w:sz="6" w:space="0" w:color="auto"/>
              <w:right w:val="single" w:sz="6" w:space="0" w:color="auto"/>
            </w:tcBorders>
          </w:tcPr>
          <w:p w14:paraId="0CAAE1B8" w14:textId="45F2044D" w:rsidR="001B4CE1" w:rsidRPr="000E151F" w:rsidRDefault="001B4CE1" w:rsidP="001B4CE1">
            <w:pPr>
              <w:tabs>
                <w:tab w:val="left" w:pos="-70"/>
              </w:tabs>
              <w:rPr>
                <w:snapToGrid w:val="0"/>
                <w:sz w:val="22"/>
                <w:szCs w:val="22"/>
              </w:rPr>
            </w:pPr>
            <w:r w:rsidRPr="00A946FF">
              <w:rPr>
                <w:snapToGrid w:val="0"/>
                <w:sz w:val="22"/>
                <w:szCs w:val="22"/>
              </w:rPr>
              <w:t xml:space="preserve"> 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2A20652" w14:textId="43830D40"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1B4CE1" w:rsidRPr="000E151F" w:rsidRDefault="001B4CE1" w:rsidP="001B4CE1">
            <w:pPr>
              <w:rPr>
                <w:sz w:val="22"/>
                <w:szCs w:val="22"/>
              </w:rPr>
            </w:pPr>
          </w:p>
        </w:tc>
      </w:tr>
      <w:tr w:rsidR="001B4CE1" w:rsidRPr="000E151F" w14:paraId="3B0EC3CC" w14:textId="77777777" w:rsidTr="006B55D9">
        <w:tc>
          <w:tcPr>
            <w:tcW w:w="4395" w:type="dxa"/>
            <w:tcBorders>
              <w:top w:val="single" w:sz="6" w:space="0" w:color="auto"/>
              <w:left w:val="single" w:sz="6" w:space="0" w:color="auto"/>
              <w:bottom w:val="single" w:sz="6" w:space="0" w:color="auto"/>
              <w:right w:val="single" w:sz="6" w:space="0" w:color="auto"/>
            </w:tcBorders>
          </w:tcPr>
          <w:p w14:paraId="71330215" w14:textId="2873588D" w:rsidR="001B4CE1" w:rsidRDefault="001B4CE1" w:rsidP="001B4CE1">
            <w:pPr>
              <w:tabs>
                <w:tab w:val="left" w:pos="-70"/>
              </w:tabs>
              <w:rPr>
                <w:snapToGrid w:val="0"/>
                <w:sz w:val="22"/>
                <w:szCs w:val="22"/>
              </w:rPr>
            </w:pPr>
            <w:r w:rsidRPr="00A946FF">
              <w:rPr>
                <w:snapToGrid w:val="0"/>
                <w:sz w:val="22"/>
                <w:szCs w:val="22"/>
              </w:rPr>
              <w:t xml:space="preserve"> 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3C226A09"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1B4CE1" w:rsidRPr="000E151F" w:rsidRDefault="001B4CE1" w:rsidP="001B4CE1">
            <w:pPr>
              <w:rPr>
                <w:sz w:val="22"/>
                <w:szCs w:val="22"/>
              </w:rPr>
            </w:pPr>
          </w:p>
        </w:tc>
      </w:tr>
      <w:tr w:rsidR="001B4CE1" w:rsidRPr="000E151F" w14:paraId="6406D376" w14:textId="77777777" w:rsidTr="006B55D9">
        <w:tc>
          <w:tcPr>
            <w:tcW w:w="4395" w:type="dxa"/>
            <w:tcBorders>
              <w:top w:val="single" w:sz="6" w:space="0" w:color="auto"/>
              <w:left w:val="single" w:sz="6" w:space="0" w:color="auto"/>
              <w:bottom w:val="single" w:sz="6" w:space="0" w:color="auto"/>
              <w:right w:val="single" w:sz="6" w:space="0" w:color="auto"/>
            </w:tcBorders>
          </w:tcPr>
          <w:p w14:paraId="6A2AD32A" w14:textId="124E9437" w:rsidR="001B4CE1" w:rsidRDefault="001B4CE1" w:rsidP="001B4CE1">
            <w:pPr>
              <w:tabs>
                <w:tab w:val="left" w:pos="-70"/>
              </w:tabs>
              <w:rPr>
                <w:snapToGrid w:val="0"/>
                <w:sz w:val="22"/>
                <w:szCs w:val="22"/>
              </w:rPr>
            </w:pPr>
            <w:r w:rsidRPr="00A946FF">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0F4AC153"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1B4CE1" w:rsidRPr="000E151F" w:rsidRDefault="001B4CE1" w:rsidP="001B4CE1">
            <w:pPr>
              <w:rPr>
                <w:sz w:val="22"/>
                <w:szCs w:val="22"/>
              </w:rPr>
            </w:pPr>
          </w:p>
        </w:tc>
      </w:tr>
      <w:tr w:rsidR="001B4CE1" w:rsidRPr="000E151F" w14:paraId="70BC57B8" w14:textId="77777777" w:rsidTr="006B55D9">
        <w:tc>
          <w:tcPr>
            <w:tcW w:w="4395" w:type="dxa"/>
            <w:tcBorders>
              <w:top w:val="single" w:sz="6" w:space="0" w:color="auto"/>
              <w:left w:val="single" w:sz="6" w:space="0" w:color="auto"/>
              <w:bottom w:val="single" w:sz="6" w:space="0" w:color="auto"/>
              <w:right w:val="single" w:sz="6" w:space="0" w:color="auto"/>
            </w:tcBorders>
          </w:tcPr>
          <w:p w14:paraId="6236693E" w14:textId="6B2149F7" w:rsidR="001B4CE1" w:rsidRPr="000E151F" w:rsidRDefault="001B4CE1" w:rsidP="001B4CE1">
            <w:pPr>
              <w:tabs>
                <w:tab w:val="left" w:pos="-70"/>
              </w:tabs>
              <w:rPr>
                <w:snapToGrid w:val="0"/>
                <w:sz w:val="22"/>
                <w:szCs w:val="22"/>
              </w:rPr>
            </w:pPr>
            <w:r w:rsidRPr="00A946FF">
              <w:rPr>
                <w:snapToGrid w:val="0"/>
                <w:sz w:val="22"/>
                <w:szCs w:val="22"/>
              </w:rPr>
              <w:t xml:space="preserve"> </w:t>
            </w:r>
            <w:r w:rsidR="00983F2C">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5C7048E9" w14:textId="41E74FC4"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1B4CE1" w:rsidRPr="000E151F" w:rsidRDefault="001B4CE1" w:rsidP="001B4CE1">
            <w:pPr>
              <w:rPr>
                <w:sz w:val="22"/>
                <w:szCs w:val="22"/>
              </w:rPr>
            </w:pPr>
          </w:p>
        </w:tc>
      </w:tr>
      <w:tr w:rsidR="001B4CE1" w:rsidRPr="000E151F" w14:paraId="617064F9" w14:textId="77777777" w:rsidTr="006B55D9">
        <w:tc>
          <w:tcPr>
            <w:tcW w:w="4395" w:type="dxa"/>
            <w:tcBorders>
              <w:top w:val="single" w:sz="6" w:space="0" w:color="auto"/>
              <w:left w:val="single" w:sz="6" w:space="0" w:color="auto"/>
              <w:bottom w:val="single" w:sz="6" w:space="0" w:color="auto"/>
              <w:right w:val="single" w:sz="6" w:space="0" w:color="auto"/>
            </w:tcBorders>
          </w:tcPr>
          <w:p w14:paraId="047E346B" w14:textId="0B5732AF" w:rsidR="001B4CE1" w:rsidRPr="000E151F" w:rsidRDefault="001B4CE1" w:rsidP="001B4CE1">
            <w:pPr>
              <w:tabs>
                <w:tab w:val="left" w:pos="-70"/>
              </w:tabs>
              <w:rPr>
                <w:snapToGrid w:val="0"/>
                <w:sz w:val="22"/>
                <w:szCs w:val="22"/>
              </w:rPr>
            </w:pPr>
            <w:r w:rsidRPr="00A946FF">
              <w:rPr>
                <w:snapToGrid w:val="0"/>
                <w:sz w:val="22"/>
                <w:szCs w:val="22"/>
              </w:rPr>
              <w:t xml:space="preserve"> 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61EBD809"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1B4CE1" w:rsidRPr="000E151F" w:rsidRDefault="001B4CE1" w:rsidP="001B4CE1">
            <w:pPr>
              <w:rPr>
                <w:sz w:val="22"/>
                <w:szCs w:val="22"/>
              </w:rPr>
            </w:pPr>
          </w:p>
        </w:tc>
      </w:tr>
      <w:tr w:rsidR="001B4CE1" w:rsidRPr="000E151F" w14:paraId="03A741D0" w14:textId="77777777" w:rsidTr="006B55D9">
        <w:tc>
          <w:tcPr>
            <w:tcW w:w="4395" w:type="dxa"/>
            <w:tcBorders>
              <w:top w:val="single" w:sz="6" w:space="0" w:color="auto"/>
              <w:left w:val="single" w:sz="6" w:space="0" w:color="auto"/>
              <w:bottom w:val="single" w:sz="6" w:space="0" w:color="auto"/>
              <w:right w:val="single" w:sz="6" w:space="0" w:color="auto"/>
            </w:tcBorders>
          </w:tcPr>
          <w:p w14:paraId="70B18BE5" w14:textId="5819B8DB" w:rsidR="001B4CE1" w:rsidRPr="000E151F" w:rsidRDefault="001B4CE1" w:rsidP="001B4CE1">
            <w:pPr>
              <w:tabs>
                <w:tab w:val="left" w:pos="356"/>
              </w:tabs>
              <w:rPr>
                <w:spacing w:val="4"/>
                <w:kern w:val="16"/>
                <w:sz w:val="22"/>
                <w:szCs w:val="22"/>
              </w:rPr>
            </w:pPr>
            <w:r w:rsidRPr="00A946FF">
              <w:rPr>
                <w:spacing w:val="4"/>
                <w:kern w:val="16"/>
                <w:sz w:val="22"/>
                <w:szCs w:val="22"/>
              </w:rPr>
              <w:t xml:space="preserve"> </w:t>
            </w: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2FCBB633"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1B4CE1" w:rsidRPr="000E151F" w:rsidRDefault="001B4CE1" w:rsidP="001B4CE1">
            <w:pPr>
              <w:rPr>
                <w:sz w:val="22"/>
                <w:szCs w:val="22"/>
              </w:rPr>
            </w:pPr>
          </w:p>
        </w:tc>
      </w:tr>
      <w:tr w:rsidR="001B4CE1" w:rsidRPr="000E151F" w14:paraId="1BF715A1" w14:textId="77777777" w:rsidTr="006B55D9">
        <w:tc>
          <w:tcPr>
            <w:tcW w:w="4395" w:type="dxa"/>
            <w:tcBorders>
              <w:top w:val="single" w:sz="6" w:space="0" w:color="auto"/>
              <w:left w:val="single" w:sz="6" w:space="0" w:color="auto"/>
              <w:bottom w:val="single" w:sz="6" w:space="0" w:color="auto"/>
              <w:right w:val="single" w:sz="6" w:space="0" w:color="auto"/>
            </w:tcBorders>
          </w:tcPr>
          <w:p w14:paraId="2FDE984C" w14:textId="32FC3348" w:rsidR="001B4CE1" w:rsidRPr="000E151F" w:rsidRDefault="001B4CE1" w:rsidP="001B4CE1">
            <w:pPr>
              <w:tabs>
                <w:tab w:val="left" w:pos="356"/>
              </w:tabs>
              <w:rPr>
                <w:snapToGrid w:val="0"/>
                <w:sz w:val="22"/>
                <w:szCs w:val="22"/>
              </w:rPr>
            </w:pPr>
            <w:r w:rsidRPr="00A946FF">
              <w:rPr>
                <w:spacing w:val="4"/>
                <w:kern w:val="16"/>
                <w:sz w:val="22"/>
                <w:szCs w:val="22"/>
              </w:rPr>
              <w:t xml:space="preserve"> </w:t>
            </w: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35198FB4"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1B4CE1" w:rsidRPr="000E151F" w:rsidRDefault="001B4CE1" w:rsidP="001B4CE1">
            <w:pPr>
              <w:rPr>
                <w:sz w:val="22"/>
                <w:szCs w:val="22"/>
              </w:rPr>
            </w:pPr>
          </w:p>
        </w:tc>
      </w:tr>
      <w:tr w:rsidR="001B4CE1" w:rsidRPr="000E151F" w14:paraId="4573A89E" w14:textId="77777777" w:rsidTr="006B55D9">
        <w:tc>
          <w:tcPr>
            <w:tcW w:w="4395" w:type="dxa"/>
            <w:tcBorders>
              <w:top w:val="single" w:sz="6" w:space="0" w:color="auto"/>
              <w:left w:val="single" w:sz="6" w:space="0" w:color="auto"/>
              <w:bottom w:val="single" w:sz="6" w:space="0" w:color="auto"/>
              <w:right w:val="single" w:sz="6" w:space="0" w:color="auto"/>
            </w:tcBorders>
          </w:tcPr>
          <w:p w14:paraId="258AAE13" w14:textId="378479E7" w:rsidR="001B4CE1" w:rsidRDefault="001B4CE1" w:rsidP="001B4CE1">
            <w:pPr>
              <w:tabs>
                <w:tab w:val="left" w:pos="-70"/>
              </w:tabs>
              <w:ind w:left="-354" w:firstLine="426"/>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444E358" w14:textId="30AAC9AD"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1B4CE1" w:rsidRPr="000E151F" w:rsidRDefault="001B4CE1" w:rsidP="001B4CE1">
            <w:pPr>
              <w:rPr>
                <w:sz w:val="22"/>
                <w:szCs w:val="22"/>
              </w:rPr>
            </w:pPr>
          </w:p>
        </w:tc>
      </w:tr>
      <w:tr w:rsidR="001B4CE1" w:rsidRPr="000E151F" w14:paraId="40EA3EA1" w14:textId="77777777" w:rsidTr="006B55D9">
        <w:tc>
          <w:tcPr>
            <w:tcW w:w="4395" w:type="dxa"/>
            <w:tcBorders>
              <w:top w:val="single" w:sz="6" w:space="0" w:color="auto"/>
              <w:left w:val="single" w:sz="6" w:space="0" w:color="auto"/>
              <w:bottom w:val="single" w:sz="6" w:space="0" w:color="auto"/>
              <w:right w:val="single" w:sz="6" w:space="0" w:color="auto"/>
            </w:tcBorders>
          </w:tcPr>
          <w:p w14:paraId="44434686" w14:textId="2FA6FFF7" w:rsidR="001B4CE1" w:rsidRDefault="001B4CE1" w:rsidP="001B4CE1">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7777777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1B4CE1" w:rsidRPr="000E151F" w:rsidRDefault="001B4CE1" w:rsidP="001B4CE1">
            <w:pPr>
              <w:rPr>
                <w:sz w:val="22"/>
                <w:szCs w:val="22"/>
              </w:rPr>
            </w:pPr>
          </w:p>
        </w:tc>
      </w:tr>
      <w:tr w:rsidR="001B4CE1" w:rsidRPr="000E151F" w14:paraId="2B83F74B" w14:textId="77777777" w:rsidTr="006B55D9">
        <w:tc>
          <w:tcPr>
            <w:tcW w:w="4395" w:type="dxa"/>
            <w:tcBorders>
              <w:top w:val="single" w:sz="6" w:space="0" w:color="auto"/>
              <w:left w:val="single" w:sz="6" w:space="0" w:color="auto"/>
              <w:bottom w:val="single" w:sz="6" w:space="0" w:color="auto"/>
              <w:right w:val="single" w:sz="6" w:space="0" w:color="auto"/>
            </w:tcBorders>
          </w:tcPr>
          <w:p w14:paraId="76A190A8" w14:textId="61C5D08D" w:rsidR="001B4CE1" w:rsidRDefault="00AE7247" w:rsidP="001B4CE1">
            <w:pPr>
              <w:tabs>
                <w:tab w:val="left" w:pos="-70"/>
              </w:tabs>
              <w:ind w:left="-354" w:firstLine="426"/>
              <w:rPr>
                <w:snapToGrid w:val="0"/>
                <w:sz w:val="22"/>
                <w:szCs w:val="22"/>
              </w:rPr>
            </w:pPr>
            <w:r>
              <w:rPr>
                <w:snapToGrid w:val="0"/>
                <w:sz w:val="22"/>
                <w:szCs w:val="22"/>
              </w:rPr>
              <w:t>Hans Eklind</w:t>
            </w:r>
            <w:r w:rsidR="001B4CE1"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2F377AB0" w14:textId="2307D129"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1B4CE1" w:rsidRPr="000E151F" w:rsidRDefault="001B4CE1" w:rsidP="001B4CE1">
            <w:pPr>
              <w:rPr>
                <w:sz w:val="22"/>
                <w:szCs w:val="22"/>
              </w:rPr>
            </w:pPr>
          </w:p>
        </w:tc>
      </w:tr>
      <w:tr w:rsidR="001B4CE1" w:rsidRPr="000E151F" w14:paraId="160AF056" w14:textId="77777777" w:rsidTr="006B55D9">
        <w:tc>
          <w:tcPr>
            <w:tcW w:w="4395" w:type="dxa"/>
            <w:tcBorders>
              <w:top w:val="single" w:sz="6" w:space="0" w:color="auto"/>
              <w:left w:val="single" w:sz="6" w:space="0" w:color="auto"/>
              <w:bottom w:val="single" w:sz="6" w:space="0" w:color="auto"/>
              <w:right w:val="single" w:sz="6" w:space="0" w:color="auto"/>
            </w:tcBorders>
          </w:tcPr>
          <w:p w14:paraId="71057526" w14:textId="6517D19F" w:rsidR="001B4CE1" w:rsidRPr="000E151F" w:rsidRDefault="001B4CE1" w:rsidP="001B4CE1">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7DEFC72A"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1B4CE1" w:rsidRPr="000E151F" w:rsidRDefault="001B4CE1" w:rsidP="001B4CE1">
            <w:pPr>
              <w:rPr>
                <w:sz w:val="22"/>
                <w:szCs w:val="22"/>
              </w:rPr>
            </w:pPr>
          </w:p>
        </w:tc>
      </w:tr>
      <w:tr w:rsidR="001B4CE1" w:rsidRPr="000E151F" w14:paraId="7BD2BBCA" w14:textId="77777777" w:rsidTr="006B55D9">
        <w:tc>
          <w:tcPr>
            <w:tcW w:w="4395" w:type="dxa"/>
            <w:tcBorders>
              <w:top w:val="single" w:sz="6" w:space="0" w:color="auto"/>
              <w:left w:val="single" w:sz="6" w:space="0" w:color="auto"/>
              <w:bottom w:val="single" w:sz="6" w:space="0" w:color="auto"/>
              <w:right w:val="single" w:sz="6" w:space="0" w:color="auto"/>
            </w:tcBorders>
          </w:tcPr>
          <w:p w14:paraId="3B6AC79C" w14:textId="4E21E33D" w:rsidR="001B4CE1" w:rsidRDefault="001B4CE1" w:rsidP="001B4CE1">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72B89C14"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1B4CE1" w:rsidRPr="000E151F" w:rsidRDefault="001B4CE1" w:rsidP="001B4CE1">
            <w:pPr>
              <w:rPr>
                <w:sz w:val="22"/>
                <w:szCs w:val="22"/>
              </w:rPr>
            </w:pPr>
          </w:p>
        </w:tc>
      </w:tr>
      <w:tr w:rsidR="001B4CE1" w:rsidRPr="000E151F" w14:paraId="1B290039" w14:textId="77777777" w:rsidTr="006B55D9">
        <w:tc>
          <w:tcPr>
            <w:tcW w:w="4395" w:type="dxa"/>
            <w:tcBorders>
              <w:top w:val="single" w:sz="6" w:space="0" w:color="auto"/>
              <w:left w:val="single" w:sz="6" w:space="0" w:color="auto"/>
              <w:bottom w:val="single" w:sz="6" w:space="0" w:color="auto"/>
              <w:right w:val="single" w:sz="6" w:space="0" w:color="auto"/>
            </w:tcBorders>
          </w:tcPr>
          <w:p w14:paraId="3CB2DC00" w14:textId="71A81EE2" w:rsidR="001B4CE1" w:rsidRPr="000E151F" w:rsidRDefault="001B4CE1" w:rsidP="001B4CE1">
            <w:pPr>
              <w:tabs>
                <w:tab w:val="left" w:pos="497"/>
              </w:tabs>
              <w:ind w:left="72"/>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2F4894FE"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1B4CE1" w:rsidRPr="000E151F" w:rsidRDefault="001B4CE1" w:rsidP="001B4CE1">
            <w:pPr>
              <w:rPr>
                <w:sz w:val="22"/>
                <w:szCs w:val="22"/>
              </w:rPr>
            </w:pPr>
          </w:p>
        </w:tc>
      </w:tr>
      <w:tr w:rsidR="001B4CE1" w:rsidRPr="000E151F" w14:paraId="0ADE0E0F" w14:textId="77777777" w:rsidTr="006B55D9">
        <w:tc>
          <w:tcPr>
            <w:tcW w:w="4395" w:type="dxa"/>
            <w:tcBorders>
              <w:top w:val="single" w:sz="6" w:space="0" w:color="auto"/>
              <w:left w:val="single" w:sz="6" w:space="0" w:color="auto"/>
              <w:bottom w:val="single" w:sz="6" w:space="0" w:color="auto"/>
              <w:right w:val="single" w:sz="6" w:space="0" w:color="auto"/>
            </w:tcBorders>
          </w:tcPr>
          <w:p w14:paraId="0EFA515E" w14:textId="4AB1047D" w:rsidR="001B4CE1" w:rsidRPr="000E151F" w:rsidRDefault="00983F2C" w:rsidP="001B4CE1">
            <w:pPr>
              <w:tabs>
                <w:tab w:val="left" w:pos="497"/>
              </w:tabs>
              <w:ind w:left="72"/>
              <w:rPr>
                <w:snapToGrid w:val="0"/>
                <w:sz w:val="22"/>
                <w:szCs w:val="22"/>
              </w:rPr>
            </w:pPr>
            <w:r>
              <w:rPr>
                <w:snapToGrid w:val="0"/>
                <w:sz w:val="22"/>
                <w:szCs w:val="22"/>
              </w:rPr>
              <w:t>Carl B Hamilton</w:t>
            </w:r>
            <w:r w:rsidR="001B4CE1"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0E889324" w:rsidR="001B4CE1" w:rsidRPr="000E151F" w:rsidRDefault="00FE0833"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1B4CE1" w:rsidRPr="000E151F" w:rsidRDefault="001B4CE1" w:rsidP="001B4CE1">
            <w:pPr>
              <w:rPr>
                <w:sz w:val="22"/>
                <w:szCs w:val="22"/>
              </w:rPr>
            </w:pPr>
          </w:p>
        </w:tc>
      </w:tr>
      <w:tr w:rsidR="001B4CE1" w:rsidRPr="000E151F" w14:paraId="744DE28F" w14:textId="77777777" w:rsidTr="006B55D9">
        <w:tc>
          <w:tcPr>
            <w:tcW w:w="4395" w:type="dxa"/>
            <w:tcBorders>
              <w:top w:val="single" w:sz="6" w:space="0" w:color="auto"/>
              <w:left w:val="single" w:sz="6" w:space="0" w:color="auto"/>
              <w:bottom w:val="single" w:sz="6" w:space="0" w:color="auto"/>
              <w:right w:val="single" w:sz="6" w:space="0" w:color="auto"/>
            </w:tcBorders>
          </w:tcPr>
          <w:p w14:paraId="7408C075" w14:textId="4AF34BFE" w:rsidR="001B4CE1" w:rsidRPr="000E151F" w:rsidRDefault="001B4CE1" w:rsidP="001B4CE1">
            <w:pPr>
              <w:tabs>
                <w:tab w:val="left" w:pos="497"/>
              </w:tabs>
              <w:ind w:left="72"/>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1B4CE1" w:rsidRPr="000E151F" w:rsidRDefault="001B4CE1" w:rsidP="001B4CE1">
            <w:pPr>
              <w:rPr>
                <w:sz w:val="22"/>
                <w:szCs w:val="22"/>
              </w:rPr>
            </w:pPr>
          </w:p>
        </w:tc>
      </w:tr>
      <w:tr w:rsidR="006375F0" w:rsidRPr="000E151F" w14:paraId="69C6C7A7" w14:textId="77777777" w:rsidTr="006B55D9">
        <w:tc>
          <w:tcPr>
            <w:tcW w:w="4395" w:type="dxa"/>
            <w:tcBorders>
              <w:top w:val="single" w:sz="6" w:space="0" w:color="auto"/>
              <w:left w:val="single" w:sz="6" w:space="0" w:color="auto"/>
              <w:bottom w:val="single" w:sz="6" w:space="0" w:color="auto"/>
              <w:right w:val="single" w:sz="6" w:space="0" w:color="auto"/>
            </w:tcBorders>
          </w:tcPr>
          <w:p w14:paraId="6AF97126" w14:textId="77777777" w:rsidR="006375F0" w:rsidRPr="000E151F" w:rsidRDefault="006375F0" w:rsidP="006375F0">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7E76B09E" w14:textId="77777777" w:rsidR="006375F0" w:rsidRPr="000E151F" w:rsidRDefault="006375F0"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A629A4E"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C67462"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6BA979"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514094"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273B64"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1E4C0F"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58C866"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CA893"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AC0018"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8C79C1" w14:textId="77777777" w:rsidR="006375F0" w:rsidRPr="000E151F" w:rsidRDefault="006375F0"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279D34" w14:textId="77777777" w:rsidR="006375F0" w:rsidRPr="000E151F" w:rsidRDefault="006375F0" w:rsidP="006375F0">
            <w:pPr>
              <w:rPr>
                <w:sz w:val="22"/>
                <w:szCs w:val="22"/>
              </w:rPr>
            </w:pPr>
          </w:p>
        </w:tc>
      </w:tr>
      <w:tr w:rsidR="00AB4139" w:rsidRPr="000E151F" w14:paraId="5736E6FA" w14:textId="77777777" w:rsidTr="006B55D9">
        <w:tc>
          <w:tcPr>
            <w:tcW w:w="4395" w:type="dxa"/>
            <w:tcBorders>
              <w:top w:val="single" w:sz="6" w:space="0" w:color="auto"/>
              <w:left w:val="single" w:sz="6" w:space="0" w:color="auto"/>
              <w:bottom w:val="single" w:sz="6" w:space="0" w:color="auto"/>
              <w:right w:val="single" w:sz="6" w:space="0" w:color="auto"/>
            </w:tcBorders>
          </w:tcPr>
          <w:p w14:paraId="09E643F0" w14:textId="080C8897" w:rsidR="00AB4139" w:rsidRPr="000E151F" w:rsidRDefault="00AB4139" w:rsidP="00AB4139">
            <w:pPr>
              <w:numPr>
                <w:ilvl w:val="0"/>
                <w:numId w:val="3"/>
              </w:numPr>
              <w:tabs>
                <w:tab w:val="clear" w:pos="360"/>
                <w:tab w:val="left" w:pos="0"/>
              </w:tabs>
              <w:ind w:hanging="720"/>
              <w:rPr>
                <w:snapToGrid w:val="0"/>
                <w:sz w:val="22"/>
                <w:szCs w:val="22"/>
              </w:rPr>
            </w:pPr>
            <w:r w:rsidRPr="00A946FF">
              <w:rPr>
                <w:snapToGrid w:val="0"/>
                <w:sz w:val="22"/>
                <w:szCs w:val="22"/>
              </w:rPr>
              <w:t xml:space="preserve"> Mattias Eriksson Falk (SD)</w:t>
            </w:r>
          </w:p>
        </w:tc>
        <w:tc>
          <w:tcPr>
            <w:tcW w:w="488" w:type="dxa"/>
            <w:tcBorders>
              <w:top w:val="single" w:sz="6" w:space="0" w:color="auto"/>
              <w:left w:val="single" w:sz="6" w:space="0" w:color="auto"/>
              <w:bottom w:val="single" w:sz="6" w:space="0" w:color="auto"/>
              <w:right w:val="single" w:sz="6" w:space="0" w:color="auto"/>
            </w:tcBorders>
          </w:tcPr>
          <w:p w14:paraId="61C901BD" w14:textId="28818EC4" w:rsidR="00AB4139" w:rsidRPr="000E151F" w:rsidRDefault="00FE0833"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AB4139" w:rsidRPr="000E151F" w:rsidRDefault="00AB4139" w:rsidP="00AB4139">
            <w:pPr>
              <w:rPr>
                <w:sz w:val="22"/>
                <w:szCs w:val="22"/>
              </w:rPr>
            </w:pPr>
          </w:p>
        </w:tc>
      </w:tr>
      <w:tr w:rsidR="00AB4139" w:rsidRPr="000E151F" w14:paraId="6B3F8B01" w14:textId="77777777" w:rsidTr="006B55D9">
        <w:tc>
          <w:tcPr>
            <w:tcW w:w="4395" w:type="dxa"/>
            <w:tcBorders>
              <w:top w:val="single" w:sz="6" w:space="0" w:color="auto"/>
              <w:left w:val="single" w:sz="6" w:space="0" w:color="auto"/>
              <w:bottom w:val="single" w:sz="6" w:space="0" w:color="auto"/>
              <w:right w:val="single" w:sz="6" w:space="0" w:color="auto"/>
            </w:tcBorders>
          </w:tcPr>
          <w:p w14:paraId="7047F91B" w14:textId="4212BE9E" w:rsidR="00AB4139" w:rsidRPr="000E151F" w:rsidRDefault="00AB4139" w:rsidP="00AB4139">
            <w:pPr>
              <w:rPr>
                <w:snapToGrid w:val="0"/>
                <w:sz w:val="22"/>
                <w:szCs w:val="22"/>
              </w:rPr>
            </w:pPr>
            <w:r w:rsidRPr="00A946FF">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142C7D6B" w14:textId="72CB3CAE"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AB4139" w:rsidRPr="000E151F" w:rsidRDefault="00AB4139" w:rsidP="00AB4139">
            <w:pPr>
              <w:rPr>
                <w:sz w:val="22"/>
                <w:szCs w:val="22"/>
              </w:rPr>
            </w:pPr>
          </w:p>
        </w:tc>
      </w:tr>
      <w:tr w:rsidR="00AB4139" w:rsidRPr="000E151F" w14:paraId="637E4EE2" w14:textId="77777777" w:rsidTr="006B55D9">
        <w:tc>
          <w:tcPr>
            <w:tcW w:w="4395" w:type="dxa"/>
            <w:tcBorders>
              <w:top w:val="single" w:sz="6" w:space="0" w:color="auto"/>
              <w:left w:val="single" w:sz="6" w:space="0" w:color="auto"/>
              <w:bottom w:val="single" w:sz="6" w:space="0" w:color="auto"/>
              <w:right w:val="single" w:sz="6" w:space="0" w:color="auto"/>
            </w:tcBorders>
          </w:tcPr>
          <w:p w14:paraId="7FC4862B" w14:textId="5B25FD0E" w:rsidR="00AB4139" w:rsidRPr="000E151F" w:rsidRDefault="00AB4139" w:rsidP="00AB4139">
            <w:pPr>
              <w:tabs>
                <w:tab w:val="left" w:pos="356"/>
              </w:tabs>
              <w:rPr>
                <w:snapToGrid w:val="0"/>
                <w:sz w:val="22"/>
                <w:szCs w:val="22"/>
              </w:rPr>
            </w:pPr>
            <w:r w:rsidRPr="00A946FF">
              <w:rPr>
                <w:snapToGrid w:val="0"/>
                <w:sz w:val="22"/>
                <w:szCs w:val="22"/>
              </w:rPr>
              <w:t xml:space="preserve"> </w:t>
            </w: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315C1389" w14:textId="0D4EC202" w:rsidR="00AB4139" w:rsidRPr="000E151F" w:rsidRDefault="00FE0833"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AB4139" w:rsidRPr="000E151F" w:rsidRDefault="00AB4139" w:rsidP="00AB4139">
            <w:pPr>
              <w:rPr>
                <w:sz w:val="22"/>
                <w:szCs w:val="22"/>
              </w:rPr>
            </w:pPr>
          </w:p>
        </w:tc>
      </w:tr>
      <w:tr w:rsidR="00AB4139" w:rsidRPr="000E151F" w14:paraId="76CEDFE5" w14:textId="77777777" w:rsidTr="006B55D9">
        <w:tc>
          <w:tcPr>
            <w:tcW w:w="4395" w:type="dxa"/>
            <w:tcBorders>
              <w:top w:val="single" w:sz="6" w:space="0" w:color="auto"/>
              <w:left w:val="single" w:sz="6" w:space="0" w:color="auto"/>
              <w:bottom w:val="single" w:sz="6" w:space="0" w:color="auto"/>
              <w:right w:val="single" w:sz="6" w:space="0" w:color="auto"/>
            </w:tcBorders>
          </w:tcPr>
          <w:p w14:paraId="7FA51402" w14:textId="0BC72F7E" w:rsidR="00AB4139" w:rsidRPr="000E151F" w:rsidRDefault="00AB4139" w:rsidP="00AB4139">
            <w:pPr>
              <w:tabs>
                <w:tab w:val="left" w:pos="1701"/>
              </w:tabs>
              <w:rPr>
                <w:snapToGrid w:val="0"/>
                <w:sz w:val="22"/>
                <w:szCs w:val="22"/>
                <w:lang w:val="en-US"/>
              </w:rPr>
            </w:pPr>
            <w:r w:rsidRPr="00A946FF">
              <w:rPr>
                <w:snapToGrid w:val="0"/>
                <w:sz w:val="22"/>
                <w:szCs w:val="22"/>
              </w:rPr>
              <w:t xml:space="preserve"> Joakim Sandell (S)</w:t>
            </w:r>
          </w:p>
        </w:tc>
        <w:tc>
          <w:tcPr>
            <w:tcW w:w="488" w:type="dxa"/>
            <w:tcBorders>
              <w:top w:val="single" w:sz="6" w:space="0" w:color="auto"/>
              <w:left w:val="single" w:sz="6" w:space="0" w:color="auto"/>
              <w:bottom w:val="single" w:sz="6" w:space="0" w:color="auto"/>
              <w:right w:val="single" w:sz="6" w:space="0" w:color="auto"/>
            </w:tcBorders>
          </w:tcPr>
          <w:p w14:paraId="7AFD7DBE" w14:textId="359CFBA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AB4139" w:rsidRPr="000E151F" w:rsidRDefault="00AB4139" w:rsidP="00AB4139">
            <w:pPr>
              <w:rPr>
                <w:sz w:val="22"/>
                <w:szCs w:val="22"/>
              </w:rPr>
            </w:pPr>
          </w:p>
        </w:tc>
      </w:tr>
      <w:tr w:rsidR="00AB4139" w:rsidRPr="000E151F" w14:paraId="7C849C8E" w14:textId="77777777" w:rsidTr="006B55D9">
        <w:tc>
          <w:tcPr>
            <w:tcW w:w="4395" w:type="dxa"/>
            <w:tcBorders>
              <w:top w:val="single" w:sz="6" w:space="0" w:color="auto"/>
              <w:left w:val="single" w:sz="6" w:space="0" w:color="auto"/>
              <w:bottom w:val="single" w:sz="6" w:space="0" w:color="auto"/>
              <w:right w:val="single" w:sz="6" w:space="0" w:color="auto"/>
            </w:tcBorders>
          </w:tcPr>
          <w:p w14:paraId="7970513E" w14:textId="0237C2C6"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Josef Fransson (SD)</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AB4139" w:rsidRPr="000E151F" w:rsidRDefault="00AB4139" w:rsidP="00AB4139">
            <w:pPr>
              <w:rPr>
                <w:sz w:val="22"/>
                <w:szCs w:val="22"/>
              </w:rPr>
            </w:pPr>
          </w:p>
        </w:tc>
      </w:tr>
      <w:tr w:rsidR="00AB4139" w:rsidRPr="000E151F" w14:paraId="2EE776F1" w14:textId="77777777" w:rsidTr="006B55D9">
        <w:tc>
          <w:tcPr>
            <w:tcW w:w="4395" w:type="dxa"/>
            <w:tcBorders>
              <w:top w:val="single" w:sz="6" w:space="0" w:color="auto"/>
              <w:left w:val="single" w:sz="6" w:space="0" w:color="auto"/>
              <w:bottom w:val="single" w:sz="6" w:space="0" w:color="auto"/>
              <w:right w:val="single" w:sz="6" w:space="0" w:color="auto"/>
            </w:tcBorders>
          </w:tcPr>
          <w:p w14:paraId="0676FD88" w14:textId="688848DE"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1DE90D52" w14:textId="2175812C" w:rsidR="00AB4139" w:rsidRPr="000E151F" w:rsidRDefault="00FE0833" w:rsidP="00AB413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AB4139" w:rsidRPr="000E151F" w:rsidRDefault="00AB4139" w:rsidP="00AB4139">
            <w:pPr>
              <w:rPr>
                <w:sz w:val="22"/>
                <w:szCs w:val="22"/>
              </w:rPr>
            </w:pPr>
          </w:p>
        </w:tc>
      </w:tr>
      <w:tr w:rsidR="00AB4139" w:rsidRPr="000E151F" w14:paraId="24793189" w14:textId="77777777" w:rsidTr="006B55D9">
        <w:tc>
          <w:tcPr>
            <w:tcW w:w="4395" w:type="dxa"/>
            <w:tcBorders>
              <w:top w:val="single" w:sz="6" w:space="0" w:color="auto"/>
              <w:left w:val="single" w:sz="6" w:space="0" w:color="auto"/>
              <w:bottom w:val="single" w:sz="6" w:space="0" w:color="auto"/>
              <w:right w:val="single" w:sz="6" w:space="0" w:color="auto"/>
            </w:tcBorders>
          </w:tcPr>
          <w:p w14:paraId="00CAD59E" w14:textId="43FE3FD5" w:rsidR="00AB4139" w:rsidRPr="000E151F" w:rsidRDefault="008313DA" w:rsidP="00AB4139">
            <w:pPr>
              <w:tabs>
                <w:tab w:val="left" w:pos="1701"/>
              </w:tabs>
              <w:rPr>
                <w:snapToGrid w:val="0"/>
                <w:sz w:val="22"/>
                <w:szCs w:val="22"/>
                <w:lang w:val="en-US"/>
              </w:rPr>
            </w:pPr>
            <w:r>
              <w:rPr>
                <w:snapToGrid w:val="0"/>
                <w:sz w:val="22"/>
                <w:szCs w:val="22"/>
              </w:rPr>
              <w:t xml:space="preserve"> </w:t>
            </w:r>
            <w:r w:rsidR="008649E8">
              <w:rPr>
                <w:snapToGrid w:val="0"/>
                <w:sz w:val="22"/>
                <w:szCs w:val="22"/>
              </w:rPr>
              <w:t xml:space="preserve">Emma Ahlström </w:t>
            </w:r>
            <w:proofErr w:type="spellStart"/>
            <w:r w:rsidR="008649E8">
              <w:rPr>
                <w:snapToGrid w:val="0"/>
                <w:sz w:val="22"/>
                <w:szCs w:val="22"/>
              </w:rPr>
              <w:t>Köster</w:t>
            </w:r>
            <w:proofErr w:type="spellEnd"/>
            <w:r w:rsidR="008649E8">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AB4139" w:rsidRPr="000E151F" w:rsidRDefault="00AB4139" w:rsidP="00AB4139">
            <w:pPr>
              <w:rPr>
                <w:sz w:val="22"/>
                <w:szCs w:val="22"/>
              </w:rPr>
            </w:pPr>
          </w:p>
        </w:tc>
      </w:tr>
      <w:tr w:rsidR="00AB4139" w:rsidRPr="000E151F" w14:paraId="7F6B7004" w14:textId="77777777" w:rsidTr="006B55D9">
        <w:tc>
          <w:tcPr>
            <w:tcW w:w="4395" w:type="dxa"/>
            <w:tcBorders>
              <w:top w:val="single" w:sz="6" w:space="0" w:color="auto"/>
              <w:left w:val="single" w:sz="6" w:space="0" w:color="auto"/>
              <w:bottom w:val="single" w:sz="6" w:space="0" w:color="auto"/>
              <w:right w:val="single" w:sz="6" w:space="0" w:color="auto"/>
            </w:tcBorders>
          </w:tcPr>
          <w:p w14:paraId="2C09FC8E" w14:textId="0F8AFE7D" w:rsidR="00AB4139" w:rsidRDefault="00685BB7" w:rsidP="00AB4139">
            <w:pPr>
              <w:tabs>
                <w:tab w:val="left" w:pos="1701"/>
              </w:tabs>
              <w:rPr>
                <w:snapToGrid w:val="0"/>
                <w:sz w:val="22"/>
                <w:szCs w:val="22"/>
                <w:lang w:val="en-US"/>
              </w:rPr>
            </w:pPr>
            <w:r>
              <w:rPr>
                <w:snapToGrid w:val="0"/>
                <w:sz w:val="22"/>
                <w:szCs w:val="22"/>
              </w:rPr>
              <w:t xml:space="preserve"> Fredrik Olovsson </w:t>
            </w:r>
            <w:r w:rsidR="00AB4139" w:rsidRPr="00A946F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AB4139" w:rsidRPr="000E151F" w:rsidRDefault="00AB4139" w:rsidP="00AB4139">
            <w:pPr>
              <w:rPr>
                <w:sz w:val="22"/>
                <w:szCs w:val="22"/>
              </w:rPr>
            </w:pPr>
          </w:p>
        </w:tc>
      </w:tr>
      <w:tr w:rsidR="00AB4139" w:rsidRPr="000E151F" w14:paraId="23199AE9" w14:textId="77777777" w:rsidTr="006B55D9">
        <w:tc>
          <w:tcPr>
            <w:tcW w:w="4395" w:type="dxa"/>
            <w:tcBorders>
              <w:top w:val="single" w:sz="6" w:space="0" w:color="auto"/>
              <w:left w:val="single" w:sz="6" w:space="0" w:color="auto"/>
              <w:bottom w:val="single" w:sz="6" w:space="0" w:color="auto"/>
              <w:right w:val="single" w:sz="6" w:space="0" w:color="auto"/>
            </w:tcBorders>
          </w:tcPr>
          <w:p w14:paraId="586E0EFD" w14:textId="135D7E99"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Ulf Lindholm (SD)</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AB4139" w:rsidRPr="000E151F" w:rsidRDefault="00AB4139" w:rsidP="00AB4139">
            <w:pPr>
              <w:rPr>
                <w:sz w:val="22"/>
                <w:szCs w:val="22"/>
              </w:rPr>
            </w:pPr>
          </w:p>
        </w:tc>
      </w:tr>
      <w:tr w:rsidR="00AB4139" w:rsidRPr="000E151F" w14:paraId="622C01D7" w14:textId="77777777" w:rsidTr="006B55D9">
        <w:tc>
          <w:tcPr>
            <w:tcW w:w="4395" w:type="dxa"/>
            <w:tcBorders>
              <w:top w:val="single" w:sz="6" w:space="0" w:color="auto"/>
              <w:left w:val="single" w:sz="6" w:space="0" w:color="auto"/>
              <w:bottom w:val="single" w:sz="6" w:space="0" w:color="auto"/>
              <w:right w:val="single" w:sz="6" w:space="0" w:color="auto"/>
            </w:tcBorders>
          </w:tcPr>
          <w:p w14:paraId="2858A481" w14:textId="0150EE37"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Peder Björk (S)</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AB4139" w:rsidRPr="000E151F" w:rsidRDefault="00AB4139" w:rsidP="00AB4139">
            <w:pPr>
              <w:rPr>
                <w:sz w:val="22"/>
                <w:szCs w:val="22"/>
              </w:rPr>
            </w:pPr>
          </w:p>
        </w:tc>
      </w:tr>
      <w:tr w:rsidR="00AB4139" w:rsidRPr="000E151F" w14:paraId="43722A13" w14:textId="77777777" w:rsidTr="006B55D9">
        <w:tc>
          <w:tcPr>
            <w:tcW w:w="4395" w:type="dxa"/>
            <w:tcBorders>
              <w:top w:val="single" w:sz="6" w:space="0" w:color="auto"/>
              <w:left w:val="single" w:sz="6" w:space="0" w:color="auto"/>
              <w:bottom w:val="single" w:sz="6" w:space="0" w:color="auto"/>
              <w:right w:val="single" w:sz="6" w:space="0" w:color="auto"/>
            </w:tcBorders>
          </w:tcPr>
          <w:p w14:paraId="4D4F7F94" w14:textId="66E92EE0" w:rsidR="00AB4139" w:rsidRDefault="00AB4139" w:rsidP="00AB4139">
            <w:pPr>
              <w:tabs>
                <w:tab w:val="left" w:pos="1701"/>
              </w:tabs>
              <w:rPr>
                <w:snapToGrid w:val="0"/>
                <w:sz w:val="22"/>
                <w:szCs w:val="22"/>
              </w:rPr>
            </w:pPr>
            <w:r w:rsidRPr="00A946FF">
              <w:rPr>
                <w:snapToGrid w:val="0"/>
                <w:sz w:val="22"/>
                <w:szCs w:val="22"/>
              </w:rPr>
              <w:t xml:space="preserve"> Lars Beckman (M)</w:t>
            </w:r>
          </w:p>
        </w:tc>
        <w:tc>
          <w:tcPr>
            <w:tcW w:w="488" w:type="dxa"/>
            <w:tcBorders>
              <w:top w:val="single" w:sz="6" w:space="0" w:color="auto"/>
              <w:left w:val="single" w:sz="6" w:space="0" w:color="auto"/>
              <w:bottom w:val="single" w:sz="6" w:space="0" w:color="auto"/>
              <w:right w:val="single" w:sz="6" w:space="0" w:color="auto"/>
            </w:tcBorders>
          </w:tcPr>
          <w:p w14:paraId="7DDE2EDF"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AB4139" w:rsidRPr="000E151F" w:rsidRDefault="00AB4139" w:rsidP="00AB4139">
            <w:pPr>
              <w:rPr>
                <w:sz w:val="22"/>
                <w:szCs w:val="22"/>
              </w:rPr>
            </w:pPr>
          </w:p>
        </w:tc>
      </w:tr>
      <w:tr w:rsidR="00AB4139" w:rsidRPr="000E151F" w14:paraId="4FC45470" w14:textId="77777777" w:rsidTr="006B55D9">
        <w:tc>
          <w:tcPr>
            <w:tcW w:w="4395" w:type="dxa"/>
            <w:tcBorders>
              <w:top w:val="single" w:sz="6" w:space="0" w:color="auto"/>
              <w:left w:val="single" w:sz="6" w:space="0" w:color="auto"/>
              <w:bottom w:val="single" w:sz="6" w:space="0" w:color="auto"/>
              <w:right w:val="single" w:sz="6" w:space="0" w:color="auto"/>
            </w:tcBorders>
          </w:tcPr>
          <w:p w14:paraId="0DC4E3A9" w14:textId="26DA65CA" w:rsidR="00AB4139" w:rsidRPr="000E151F" w:rsidRDefault="00AB4139" w:rsidP="00AB4139">
            <w:pPr>
              <w:tabs>
                <w:tab w:val="left" w:pos="1701"/>
              </w:tabs>
              <w:rPr>
                <w:snapToGrid w:val="0"/>
                <w:sz w:val="22"/>
                <w:szCs w:val="22"/>
              </w:rPr>
            </w:pPr>
            <w:r w:rsidRPr="00A946FF">
              <w:rPr>
                <w:snapToGrid w:val="0"/>
                <w:sz w:val="22"/>
                <w:szCs w:val="22"/>
              </w:rPr>
              <w:t xml:space="preserve"> Ilona </w:t>
            </w:r>
            <w:proofErr w:type="spellStart"/>
            <w:r w:rsidRPr="00A946FF">
              <w:rPr>
                <w:snapToGrid w:val="0"/>
                <w:sz w:val="22"/>
                <w:szCs w:val="22"/>
              </w:rPr>
              <w:t>Szatmári</w:t>
            </w:r>
            <w:proofErr w:type="spellEnd"/>
            <w:r w:rsidRPr="00A946FF">
              <w:rPr>
                <w:snapToGrid w:val="0"/>
                <w:sz w:val="22"/>
                <w:szCs w:val="22"/>
              </w:rPr>
              <w:t xml:space="preserve"> Waldau (V)</w:t>
            </w:r>
          </w:p>
        </w:tc>
        <w:tc>
          <w:tcPr>
            <w:tcW w:w="488" w:type="dxa"/>
            <w:tcBorders>
              <w:top w:val="single" w:sz="6" w:space="0" w:color="auto"/>
              <w:left w:val="single" w:sz="6" w:space="0" w:color="auto"/>
              <w:bottom w:val="single" w:sz="6" w:space="0" w:color="auto"/>
              <w:right w:val="single" w:sz="6" w:space="0" w:color="auto"/>
            </w:tcBorders>
          </w:tcPr>
          <w:p w14:paraId="555E8C2E" w14:textId="626F08C3"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AB4139" w:rsidRPr="000E151F" w:rsidRDefault="00AB4139" w:rsidP="00AB4139">
            <w:pPr>
              <w:rPr>
                <w:sz w:val="22"/>
                <w:szCs w:val="22"/>
              </w:rPr>
            </w:pPr>
          </w:p>
        </w:tc>
      </w:tr>
      <w:tr w:rsidR="00AB4139" w:rsidRPr="000E151F" w14:paraId="40EBC12B" w14:textId="77777777" w:rsidTr="006B55D9">
        <w:tc>
          <w:tcPr>
            <w:tcW w:w="4395" w:type="dxa"/>
            <w:tcBorders>
              <w:top w:val="single" w:sz="6" w:space="0" w:color="auto"/>
              <w:left w:val="single" w:sz="6" w:space="0" w:color="auto"/>
              <w:bottom w:val="single" w:sz="6" w:space="0" w:color="auto"/>
              <w:right w:val="single" w:sz="6" w:space="0" w:color="auto"/>
            </w:tcBorders>
          </w:tcPr>
          <w:p w14:paraId="39E81E96" w14:textId="7907F084" w:rsidR="00AB4139" w:rsidRDefault="00AB4139" w:rsidP="00AB4139">
            <w:pPr>
              <w:tabs>
                <w:tab w:val="left" w:pos="1701"/>
              </w:tabs>
              <w:rPr>
                <w:snapToGrid w:val="0"/>
                <w:sz w:val="22"/>
                <w:szCs w:val="22"/>
              </w:rPr>
            </w:pPr>
            <w:r>
              <w:rPr>
                <w:snapToGrid w:val="0"/>
                <w:sz w:val="22"/>
                <w:szCs w:val="22"/>
              </w:rPr>
              <w:t xml:space="preserve"> </w:t>
            </w: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18EA286D" w14:textId="33E94289" w:rsidR="00AB4139" w:rsidRPr="000E151F" w:rsidRDefault="00FE0833"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AB4139" w:rsidRPr="000E151F" w:rsidRDefault="00AB4139" w:rsidP="00AB4139">
            <w:pPr>
              <w:rPr>
                <w:sz w:val="22"/>
                <w:szCs w:val="22"/>
              </w:rPr>
            </w:pPr>
          </w:p>
        </w:tc>
      </w:tr>
      <w:tr w:rsidR="00AB4139" w:rsidRPr="000E151F" w14:paraId="32895560" w14:textId="77777777" w:rsidTr="006B55D9">
        <w:tc>
          <w:tcPr>
            <w:tcW w:w="4395" w:type="dxa"/>
            <w:tcBorders>
              <w:top w:val="single" w:sz="6" w:space="0" w:color="auto"/>
              <w:left w:val="single" w:sz="6" w:space="0" w:color="auto"/>
              <w:bottom w:val="single" w:sz="6" w:space="0" w:color="auto"/>
              <w:right w:val="single" w:sz="6" w:space="0" w:color="auto"/>
            </w:tcBorders>
          </w:tcPr>
          <w:p w14:paraId="2F5E5C8C" w14:textId="43C9CE4D" w:rsidR="00AB4139" w:rsidRPr="000E151F" w:rsidRDefault="00AB4139" w:rsidP="00AB4139">
            <w:pPr>
              <w:tabs>
                <w:tab w:val="left" w:pos="1701"/>
              </w:tabs>
              <w:rPr>
                <w:snapToGrid w:val="0"/>
                <w:sz w:val="22"/>
                <w:szCs w:val="22"/>
              </w:rPr>
            </w:pPr>
            <w:r w:rsidRPr="00A946FF">
              <w:rPr>
                <w:snapToGrid w:val="0"/>
                <w:sz w:val="22"/>
                <w:szCs w:val="22"/>
              </w:rPr>
              <w:t xml:space="preserve"> 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AB4139" w:rsidRPr="000E151F" w:rsidRDefault="00AB4139" w:rsidP="00AB4139">
            <w:pPr>
              <w:rPr>
                <w:sz w:val="22"/>
                <w:szCs w:val="22"/>
              </w:rPr>
            </w:pPr>
          </w:p>
        </w:tc>
      </w:tr>
      <w:tr w:rsidR="00AB4139" w:rsidRPr="000E151F" w14:paraId="0CF3A644" w14:textId="77777777" w:rsidTr="006B55D9">
        <w:tc>
          <w:tcPr>
            <w:tcW w:w="4395" w:type="dxa"/>
            <w:tcBorders>
              <w:top w:val="single" w:sz="6" w:space="0" w:color="auto"/>
              <w:left w:val="single" w:sz="6" w:space="0" w:color="auto"/>
              <w:bottom w:val="single" w:sz="6" w:space="0" w:color="auto"/>
              <w:right w:val="single" w:sz="6" w:space="0" w:color="auto"/>
            </w:tcBorders>
          </w:tcPr>
          <w:p w14:paraId="599CFF84" w14:textId="78D5A2A8" w:rsidR="00AB4139" w:rsidRPr="000E151F" w:rsidRDefault="00AB4139" w:rsidP="00AB4139">
            <w:pPr>
              <w:tabs>
                <w:tab w:val="left" w:pos="1701"/>
              </w:tabs>
              <w:rPr>
                <w:snapToGrid w:val="0"/>
                <w:sz w:val="22"/>
                <w:szCs w:val="22"/>
              </w:rPr>
            </w:pPr>
            <w:r w:rsidRPr="00A946FF">
              <w:rPr>
                <w:snapToGrid w:val="0"/>
                <w:sz w:val="22"/>
                <w:szCs w:val="22"/>
              </w:rPr>
              <w:t xml:space="preserve"> Cecilia Rönn (L)</w:t>
            </w:r>
          </w:p>
        </w:tc>
        <w:tc>
          <w:tcPr>
            <w:tcW w:w="488" w:type="dxa"/>
            <w:tcBorders>
              <w:top w:val="single" w:sz="6" w:space="0" w:color="auto"/>
              <w:left w:val="single" w:sz="6" w:space="0" w:color="auto"/>
              <w:bottom w:val="single" w:sz="6" w:space="0" w:color="auto"/>
              <w:right w:val="single" w:sz="6" w:space="0" w:color="auto"/>
            </w:tcBorders>
          </w:tcPr>
          <w:p w14:paraId="77035B45" w14:textId="2086617A" w:rsidR="00AB4139" w:rsidRPr="000E151F" w:rsidRDefault="00FE0833"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AB4139" w:rsidRPr="000E151F" w:rsidRDefault="00AB4139" w:rsidP="00AB4139">
            <w:pPr>
              <w:rPr>
                <w:sz w:val="22"/>
                <w:szCs w:val="22"/>
              </w:rPr>
            </w:pPr>
          </w:p>
        </w:tc>
      </w:tr>
      <w:tr w:rsidR="00AB4139" w:rsidRPr="000E151F" w14:paraId="453511EF" w14:textId="77777777" w:rsidTr="006B55D9">
        <w:tc>
          <w:tcPr>
            <w:tcW w:w="4395" w:type="dxa"/>
            <w:tcBorders>
              <w:top w:val="single" w:sz="6" w:space="0" w:color="auto"/>
              <w:left w:val="single" w:sz="6" w:space="0" w:color="auto"/>
              <w:bottom w:val="single" w:sz="6" w:space="0" w:color="auto"/>
              <w:right w:val="single" w:sz="6" w:space="0" w:color="auto"/>
            </w:tcBorders>
          </w:tcPr>
          <w:p w14:paraId="7A3E4488" w14:textId="16D91310" w:rsidR="00AB4139" w:rsidRPr="000E151F" w:rsidRDefault="00AB4139" w:rsidP="00AB4139">
            <w:pPr>
              <w:tabs>
                <w:tab w:val="left" w:pos="1701"/>
              </w:tabs>
              <w:rPr>
                <w:snapToGrid w:val="0"/>
                <w:sz w:val="22"/>
                <w:szCs w:val="22"/>
              </w:rPr>
            </w:pPr>
            <w:r w:rsidRPr="00A946FF">
              <w:rPr>
                <w:snapToGrid w:val="0"/>
                <w:sz w:val="22"/>
                <w:szCs w:val="22"/>
              </w:rPr>
              <w:t xml:space="preserve"> Linus </w:t>
            </w:r>
            <w:proofErr w:type="spellStart"/>
            <w:r w:rsidRPr="00A946FF">
              <w:rPr>
                <w:snapToGrid w:val="0"/>
                <w:sz w:val="22"/>
                <w:szCs w:val="22"/>
              </w:rPr>
              <w:t>Lakso</w:t>
            </w:r>
            <w:proofErr w:type="spellEnd"/>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AB4139" w:rsidRPr="000E151F" w:rsidRDefault="00AB4139" w:rsidP="00AB4139">
            <w:pPr>
              <w:rPr>
                <w:sz w:val="22"/>
                <w:szCs w:val="22"/>
              </w:rPr>
            </w:pPr>
          </w:p>
        </w:tc>
      </w:tr>
      <w:tr w:rsidR="00AB4139" w:rsidRPr="000E151F" w14:paraId="2F9F1694" w14:textId="77777777" w:rsidTr="006B55D9">
        <w:tc>
          <w:tcPr>
            <w:tcW w:w="4395" w:type="dxa"/>
            <w:tcBorders>
              <w:top w:val="single" w:sz="6" w:space="0" w:color="auto"/>
              <w:left w:val="single" w:sz="6" w:space="0" w:color="auto"/>
              <w:bottom w:val="single" w:sz="6" w:space="0" w:color="auto"/>
              <w:right w:val="single" w:sz="6" w:space="0" w:color="auto"/>
            </w:tcBorders>
          </w:tcPr>
          <w:p w14:paraId="1FFDD558" w14:textId="1183DD3C" w:rsidR="00AB4139" w:rsidRPr="000E151F" w:rsidRDefault="00AB4139" w:rsidP="00AB4139">
            <w:pPr>
              <w:tabs>
                <w:tab w:val="left" w:pos="1701"/>
              </w:tabs>
              <w:rPr>
                <w:snapToGrid w:val="0"/>
                <w:sz w:val="22"/>
                <w:szCs w:val="22"/>
              </w:rPr>
            </w:pPr>
            <w:r w:rsidRPr="00A946FF">
              <w:rPr>
                <w:snapToGrid w:val="0"/>
                <w:sz w:val="22"/>
                <w:szCs w:val="22"/>
              </w:rPr>
              <w:t xml:space="preserve"> Oliver Rosengren (M)</w:t>
            </w:r>
          </w:p>
        </w:tc>
        <w:tc>
          <w:tcPr>
            <w:tcW w:w="488" w:type="dxa"/>
            <w:tcBorders>
              <w:top w:val="single" w:sz="6" w:space="0" w:color="auto"/>
              <w:left w:val="single" w:sz="6" w:space="0" w:color="auto"/>
              <w:bottom w:val="single" w:sz="6" w:space="0" w:color="auto"/>
              <w:right w:val="single" w:sz="6" w:space="0" w:color="auto"/>
            </w:tcBorders>
          </w:tcPr>
          <w:p w14:paraId="67EE4A70" w14:textId="58B00B89"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AB4139" w:rsidRPr="000E151F" w:rsidRDefault="00AB4139" w:rsidP="00AB4139">
            <w:pPr>
              <w:rPr>
                <w:sz w:val="22"/>
                <w:szCs w:val="22"/>
              </w:rPr>
            </w:pPr>
          </w:p>
        </w:tc>
      </w:tr>
      <w:tr w:rsidR="00AB4139" w:rsidRPr="000E151F" w14:paraId="668864F3" w14:textId="77777777" w:rsidTr="006B55D9">
        <w:tc>
          <w:tcPr>
            <w:tcW w:w="4395" w:type="dxa"/>
            <w:tcBorders>
              <w:top w:val="single" w:sz="6" w:space="0" w:color="auto"/>
              <w:left w:val="single" w:sz="6" w:space="0" w:color="auto"/>
              <w:bottom w:val="single" w:sz="6" w:space="0" w:color="auto"/>
              <w:right w:val="single" w:sz="6" w:space="0" w:color="auto"/>
            </w:tcBorders>
          </w:tcPr>
          <w:p w14:paraId="0531FBF1" w14:textId="27F300F9" w:rsidR="00AB4139" w:rsidRPr="000E151F" w:rsidRDefault="00AB4139" w:rsidP="00AB4139">
            <w:pPr>
              <w:tabs>
                <w:tab w:val="left" w:pos="1701"/>
              </w:tabs>
              <w:rPr>
                <w:snapToGrid w:val="0"/>
                <w:sz w:val="22"/>
                <w:szCs w:val="22"/>
              </w:rPr>
            </w:pPr>
            <w:r w:rsidRPr="00A946FF">
              <w:rPr>
                <w:snapToGrid w:val="0"/>
                <w:sz w:val="22"/>
                <w:szCs w:val="22"/>
              </w:rPr>
              <w:t xml:space="preserve"> </w:t>
            </w: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699B0DA9" w14:textId="16AA5B89" w:rsidR="00AB4139" w:rsidRPr="000E151F" w:rsidRDefault="00FE0833" w:rsidP="00AB413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AB4139" w:rsidRPr="000E151F" w:rsidRDefault="00AB4139" w:rsidP="00AB4139">
            <w:pPr>
              <w:rPr>
                <w:sz w:val="22"/>
                <w:szCs w:val="22"/>
              </w:rPr>
            </w:pPr>
          </w:p>
        </w:tc>
      </w:tr>
      <w:tr w:rsidR="00AB4139" w:rsidRPr="000E151F" w14:paraId="2F605694" w14:textId="77777777" w:rsidTr="006B55D9">
        <w:tc>
          <w:tcPr>
            <w:tcW w:w="4395" w:type="dxa"/>
            <w:tcBorders>
              <w:top w:val="single" w:sz="6" w:space="0" w:color="auto"/>
              <w:left w:val="single" w:sz="6" w:space="0" w:color="auto"/>
              <w:bottom w:val="single" w:sz="6" w:space="0" w:color="auto"/>
              <w:right w:val="single" w:sz="6" w:space="0" w:color="auto"/>
            </w:tcBorders>
          </w:tcPr>
          <w:p w14:paraId="1995A0BD" w14:textId="32A91F2C" w:rsidR="00AB4139" w:rsidRPr="000E151F" w:rsidRDefault="00AB4139" w:rsidP="00AB4139">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AB4139" w:rsidRPr="000E151F" w:rsidRDefault="00AB4139" w:rsidP="00AB4139">
            <w:pPr>
              <w:rPr>
                <w:sz w:val="22"/>
                <w:szCs w:val="22"/>
              </w:rPr>
            </w:pPr>
          </w:p>
        </w:tc>
      </w:tr>
      <w:tr w:rsidR="00AB4139" w:rsidRPr="000E151F" w14:paraId="74371F37" w14:textId="77777777" w:rsidTr="006B55D9">
        <w:tc>
          <w:tcPr>
            <w:tcW w:w="4395" w:type="dxa"/>
            <w:tcBorders>
              <w:top w:val="single" w:sz="6" w:space="0" w:color="auto"/>
              <w:left w:val="single" w:sz="6" w:space="0" w:color="auto"/>
              <w:bottom w:val="single" w:sz="6" w:space="0" w:color="auto"/>
              <w:right w:val="single" w:sz="6" w:space="0" w:color="auto"/>
            </w:tcBorders>
          </w:tcPr>
          <w:p w14:paraId="1DE641A3" w14:textId="150B52B8" w:rsidR="00AB4139" w:rsidRPr="000E151F" w:rsidRDefault="00AB4139" w:rsidP="00AB4139">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AB4139" w:rsidRPr="000E151F" w:rsidRDefault="00AB4139" w:rsidP="00AB4139">
            <w:pPr>
              <w:rPr>
                <w:sz w:val="22"/>
                <w:szCs w:val="22"/>
              </w:rPr>
            </w:pPr>
          </w:p>
        </w:tc>
      </w:tr>
      <w:tr w:rsidR="00AB4139" w:rsidRPr="000E151F" w14:paraId="4323D839" w14:textId="77777777" w:rsidTr="006B55D9">
        <w:tc>
          <w:tcPr>
            <w:tcW w:w="4395" w:type="dxa"/>
            <w:tcBorders>
              <w:top w:val="single" w:sz="6" w:space="0" w:color="auto"/>
              <w:left w:val="single" w:sz="6" w:space="0" w:color="auto"/>
              <w:bottom w:val="single" w:sz="6" w:space="0" w:color="auto"/>
              <w:right w:val="single" w:sz="6" w:space="0" w:color="auto"/>
            </w:tcBorders>
          </w:tcPr>
          <w:p w14:paraId="01B57C64" w14:textId="03E1FC13" w:rsidR="00AB4139" w:rsidRPr="000E151F" w:rsidRDefault="00AB4139" w:rsidP="00AB4139">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AB4139" w:rsidRPr="000E151F" w:rsidRDefault="00AB4139" w:rsidP="00AB4139">
            <w:pPr>
              <w:rPr>
                <w:sz w:val="22"/>
                <w:szCs w:val="22"/>
              </w:rPr>
            </w:pPr>
          </w:p>
        </w:tc>
      </w:tr>
      <w:tr w:rsidR="000902C1" w:rsidRPr="000E151F" w14:paraId="0AA30539" w14:textId="77777777" w:rsidTr="006B55D9">
        <w:tc>
          <w:tcPr>
            <w:tcW w:w="4395" w:type="dxa"/>
            <w:tcBorders>
              <w:top w:val="single" w:sz="6" w:space="0" w:color="auto"/>
              <w:left w:val="single" w:sz="6" w:space="0" w:color="auto"/>
              <w:bottom w:val="single" w:sz="6" w:space="0" w:color="auto"/>
              <w:right w:val="single" w:sz="6" w:space="0" w:color="auto"/>
            </w:tcBorders>
          </w:tcPr>
          <w:p w14:paraId="6F0D7EFC" w14:textId="581272BA" w:rsidR="000902C1" w:rsidRPr="007E32F7" w:rsidRDefault="000902C1" w:rsidP="00AB4139">
            <w:pPr>
              <w:tabs>
                <w:tab w:val="left" w:pos="497"/>
              </w:tabs>
              <w:rPr>
                <w:snapToGrid w:val="0"/>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73CD748B" w14:textId="77777777" w:rsidR="000902C1" w:rsidRPr="000E151F" w:rsidRDefault="000902C1"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FCE106"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165A5"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B522D7"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658EA"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8DD56F"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41E7A8"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0D3D3"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AB1D8B"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9950CF"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E03F1" w14:textId="77777777" w:rsidR="000902C1" w:rsidRPr="000E151F" w:rsidRDefault="000902C1"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AA203A" w14:textId="77777777" w:rsidR="000902C1" w:rsidRPr="000E151F" w:rsidRDefault="000902C1" w:rsidP="00AB4139">
            <w:pPr>
              <w:rPr>
                <w:sz w:val="22"/>
                <w:szCs w:val="22"/>
              </w:rPr>
            </w:pPr>
          </w:p>
        </w:tc>
      </w:tr>
      <w:tr w:rsidR="00AB4139" w:rsidRPr="000E151F" w14:paraId="01EAE5CB" w14:textId="77777777" w:rsidTr="006B55D9">
        <w:tc>
          <w:tcPr>
            <w:tcW w:w="4395" w:type="dxa"/>
            <w:tcBorders>
              <w:top w:val="single" w:sz="6" w:space="0" w:color="auto"/>
              <w:left w:val="single" w:sz="6" w:space="0" w:color="auto"/>
              <w:bottom w:val="single" w:sz="6" w:space="0" w:color="auto"/>
              <w:right w:val="single" w:sz="6" w:space="0" w:color="auto"/>
            </w:tcBorders>
          </w:tcPr>
          <w:p w14:paraId="512AD4D4" w14:textId="2734C534" w:rsidR="00AB4139" w:rsidRPr="000E151F" w:rsidRDefault="00AB4139" w:rsidP="00AB4139">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AB4139" w:rsidRPr="000E151F" w:rsidRDefault="00AB4139" w:rsidP="00AB4139">
            <w:pPr>
              <w:rPr>
                <w:sz w:val="22"/>
                <w:szCs w:val="22"/>
              </w:rPr>
            </w:pPr>
          </w:p>
        </w:tc>
      </w:tr>
      <w:tr w:rsidR="00AB4139" w:rsidRPr="000E151F" w14:paraId="25ADF675" w14:textId="77777777" w:rsidTr="006B55D9">
        <w:tc>
          <w:tcPr>
            <w:tcW w:w="4395" w:type="dxa"/>
            <w:tcBorders>
              <w:top w:val="single" w:sz="6" w:space="0" w:color="auto"/>
              <w:left w:val="single" w:sz="6" w:space="0" w:color="auto"/>
              <w:bottom w:val="single" w:sz="6" w:space="0" w:color="auto"/>
              <w:right w:val="single" w:sz="6" w:space="0" w:color="auto"/>
            </w:tcBorders>
          </w:tcPr>
          <w:p w14:paraId="2B7E523F" w14:textId="3895B2FD" w:rsidR="00AB4139" w:rsidRPr="000E151F" w:rsidRDefault="00AB4139" w:rsidP="00AB4139">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AB4139" w:rsidRPr="000E151F" w:rsidRDefault="00AB4139" w:rsidP="00AB4139">
            <w:pPr>
              <w:rPr>
                <w:sz w:val="22"/>
                <w:szCs w:val="22"/>
              </w:rPr>
            </w:pPr>
          </w:p>
        </w:tc>
      </w:tr>
      <w:tr w:rsidR="00AB4139" w:rsidRPr="000E151F" w14:paraId="64DA315F" w14:textId="77777777" w:rsidTr="006B55D9">
        <w:tc>
          <w:tcPr>
            <w:tcW w:w="4395" w:type="dxa"/>
            <w:tcBorders>
              <w:top w:val="single" w:sz="6" w:space="0" w:color="auto"/>
              <w:left w:val="single" w:sz="6" w:space="0" w:color="auto"/>
              <w:bottom w:val="single" w:sz="6" w:space="0" w:color="auto"/>
              <w:right w:val="single" w:sz="6" w:space="0" w:color="auto"/>
            </w:tcBorders>
          </w:tcPr>
          <w:p w14:paraId="1DD4C06C" w14:textId="44EF76E3" w:rsidR="00AB4139" w:rsidRPr="000E151F" w:rsidRDefault="00AB4139" w:rsidP="00AB4139">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AB4139" w:rsidRPr="000E151F" w:rsidRDefault="00AB4139" w:rsidP="00AB4139">
            <w:pPr>
              <w:rPr>
                <w:sz w:val="22"/>
                <w:szCs w:val="22"/>
              </w:rPr>
            </w:pPr>
          </w:p>
        </w:tc>
      </w:tr>
      <w:tr w:rsidR="008C1DA0" w:rsidRPr="000E151F" w14:paraId="417D65C5" w14:textId="77777777" w:rsidTr="006B55D9">
        <w:tc>
          <w:tcPr>
            <w:tcW w:w="4395" w:type="dxa"/>
            <w:tcBorders>
              <w:top w:val="single" w:sz="6" w:space="0" w:color="auto"/>
              <w:left w:val="single" w:sz="6" w:space="0" w:color="auto"/>
              <w:bottom w:val="single" w:sz="6" w:space="0" w:color="auto"/>
              <w:right w:val="single" w:sz="6" w:space="0" w:color="auto"/>
            </w:tcBorders>
          </w:tcPr>
          <w:p w14:paraId="22BF30F7" w14:textId="2C6DFD60" w:rsidR="008C1DA0" w:rsidRPr="00C84EA4" w:rsidRDefault="008C1DA0" w:rsidP="00AB4139">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1BC63C57" w14:textId="77777777" w:rsidR="008C1DA0" w:rsidRPr="000E151F" w:rsidRDefault="008C1DA0"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058975"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771BA8"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CC0D1"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2DE206"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44E0AF"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C97FB"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0F3C26"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83279D"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939983"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750A96" w14:textId="77777777" w:rsidR="008C1DA0" w:rsidRPr="000E151F" w:rsidRDefault="008C1DA0"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23E7B9" w14:textId="77777777" w:rsidR="008C1DA0" w:rsidRPr="000E151F" w:rsidRDefault="008C1DA0" w:rsidP="00AB4139">
            <w:pPr>
              <w:rPr>
                <w:sz w:val="22"/>
                <w:szCs w:val="22"/>
              </w:rPr>
            </w:pPr>
          </w:p>
        </w:tc>
      </w:tr>
      <w:tr w:rsidR="008C1DA0" w:rsidRPr="000E151F" w14:paraId="038C3D05" w14:textId="77777777" w:rsidTr="006B55D9">
        <w:tc>
          <w:tcPr>
            <w:tcW w:w="4395" w:type="dxa"/>
            <w:tcBorders>
              <w:top w:val="single" w:sz="6" w:space="0" w:color="auto"/>
              <w:left w:val="single" w:sz="6" w:space="0" w:color="auto"/>
              <w:bottom w:val="single" w:sz="6" w:space="0" w:color="auto"/>
              <w:right w:val="single" w:sz="6" w:space="0" w:color="auto"/>
            </w:tcBorders>
          </w:tcPr>
          <w:p w14:paraId="7C8740D2" w14:textId="09EA3AF3" w:rsidR="008C1DA0" w:rsidRPr="00C84EA4" w:rsidRDefault="008C1DA0" w:rsidP="00AB4139">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6BCEC2E7" w14:textId="77777777" w:rsidR="008C1DA0" w:rsidRPr="000E151F" w:rsidRDefault="008C1DA0"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18199E"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9BAC6D"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285FA"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4A7A05"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38067B"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D6F7A"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A9081"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D6A85E"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05C93B"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5C748" w14:textId="77777777" w:rsidR="008C1DA0" w:rsidRPr="000E151F" w:rsidRDefault="008C1DA0"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BAEFBF" w14:textId="77777777" w:rsidR="008C1DA0" w:rsidRPr="000E151F" w:rsidRDefault="008C1DA0" w:rsidP="00AB4139">
            <w:pPr>
              <w:rPr>
                <w:sz w:val="22"/>
                <w:szCs w:val="22"/>
              </w:rPr>
            </w:pPr>
          </w:p>
        </w:tc>
      </w:tr>
      <w:tr w:rsidR="003E5155" w:rsidRPr="000E151F" w14:paraId="405DA9E5" w14:textId="77777777" w:rsidTr="006B55D9">
        <w:tc>
          <w:tcPr>
            <w:tcW w:w="4395" w:type="dxa"/>
            <w:tcBorders>
              <w:top w:val="single" w:sz="6" w:space="0" w:color="auto"/>
              <w:left w:val="single" w:sz="6" w:space="0" w:color="auto"/>
              <w:bottom w:val="single" w:sz="6" w:space="0" w:color="auto"/>
              <w:right w:val="single" w:sz="6" w:space="0" w:color="auto"/>
            </w:tcBorders>
          </w:tcPr>
          <w:p w14:paraId="433E4F4C" w14:textId="2C9259CB" w:rsidR="003E5155" w:rsidRPr="00C84EA4" w:rsidRDefault="003E5155" w:rsidP="00AB4139">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874E43C" w14:textId="77777777" w:rsidR="003E5155" w:rsidRPr="000E151F" w:rsidRDefault="003E5155"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764B287"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D1FC"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1B4CC"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01C084"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434997"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6B0430"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8C9994"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C8B13"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A0163E"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822729" w14:textId="77777777" w:rsidR="003E5155" w:rsidRPr="000E151F" w:rsidRDefault="003E5155"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25132F" w14:textId="77777777" w:rsidR="003E5155" w:rsidRPr="000E151F" w:rsidRDefault="003E5155" w:rsidP="00AB4139">
            <w:pPr>
              <w:rPr>
                <w:sz w:val="22"/>
                <w:szCs w:val="22"/>
              </w:rPr>
            </w:pPr>
          </w:p>
        </w:tc>
      </w:tr>
      <w:tr w:rsidR="00AB4139" w:rsidRPr="000E151F" w14:paraId="3CFE6CE4" w14:textId="77777777" w:rsidTr="006B55D9">
        <w:tc>
          <w:tcPr>
            <w:tcW w:w="4395" w:type="dxa"/>
            <w:tcBorders>
              <w:top w:val="single" w:sz="6" w:space="0" w:color="auto"/>
              <w:left w:val="single" w:sz="6" w:space="0" w:color="auto"/>
              <w:bottom w:val="single" w:sz="6" w:space="0" w:color="auto"/>
              <w:right w:val="single" w:sz="6" w:space="0" w:color="auto"/>
            </w:tcBorders>
          </w:tcPr>
          <w:p w14:paraId="405F6871" w14:textId="63DEE19B" w:rsidR="00AB4139" w:rsidRPr="000E151F" w:rsidRDefault="00AB4139" w:rsidP="00AB4139">
            <w:pPr>
              <w:tabs>
                <w:tab w:val="left" w:pos="497"/>
              </w:tabs>
              <w:rPr>
                <w:snapToGrid w:val="0"/>
                <w:sz w:val="22"/>
                <w:szCs w:val="22"/>
              </w:rPr>
            </w:pPr>
            <w:r w:rsidRPr="00C84EA4">
              <w:rPr>
                <w:snapToGrid w:val="0"/>
                <w:sz w:val="22"/>
                <w:szCs w:val="22"/>
              </w:rPr>
              <w:t>Marielle Lahti (MP)</w:t>
            </w:r>
            <w:r w:rsidR="008C1DA0">
              <w:rPr>
                <w:snapToGrid w:val="0"/>
                <w:sz w:val="22"/>
                <w:szCs w:val="22"/>
              </w:rPr>
              <w:t xml:space="preserve"> </w:t>
            </w:r>
            <w:r w:rsidR="008C1DA0"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27368BF2"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AB4139" w:rsidRPr="000E151F" w:rsidRDefault="00AB4139" w:rsidP="00AB4139">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348B07CB" w:rsidR="009D6236" w:rsidRDefault="004C6601" w:rsidP="004C6601">
      <w:pPr>
        <w:ind w:left="-709"/>
        <w:rPr>
          <w:spacing w:val="2"/>
          <w:sz w:val="18"/>
        </w:rPr>
      </w:pPr>
      <w:r>
        <w:rPr>
          <w:spacing w:val="2"/>
          <w:sz w:val="18"/>
        </w:rPr>
        <w:t>V</w:t>
      </w:r>
      <w:proofErr w:type="gramStart"/>
      <w:r>
        <w:rPr>
          <w:spacing w:val="2"/>
          <w:sz w:val="18"/>
        </w:rPr>
        <w:t>=  Votering</w:t>
      </w:r>
      <w:proofErr w:type="gramEnd"/>
      <w:r>
        <w:rPr>
          <w:spacing w:val="2"/>
          <w:sz w:val="18"/>
        </w:rPr>
        <w:t xml:space="preserve">                                                                       O= ledamöter som härutöver varit närvarande</w:t>
      </w:r>
    </w:p>
    <w:p w14:paraId="54B6C678" w14:textId="77777777" w:rsidR="009D6236" w:rsidRDefault="009D6236">
      <w:pPr>
        <w:widowControl/>
        <w:rPr>
          <w:spacing w:val="2"/>
          <w:sz w:val="18"/>
        </w:rPr>
      </w:pPr>
      <w:r>
        <w:rPr>
          <w:spacing w:val="2"/>
          <w:sz w:val="18"/>
        </w:rPr>
        <w:br w:type="page"/>
      </w:r>
    </w:p>
    <w:p w14:paraId="0E8C79E6" w14:textId="77777777" w:rsidR="00555130" w:rsidRDefault="00555130">
      <w:pPr>
        <w:widowControl/>
        <w:rPr>
          <w:spacing w:val="2"/>
          <w:sz w:val="18"/>
        </w:rPr>
      </w:pPr>
      <w:r>
        <w:rPr>
          <w:spacing w:val="2"/>
          <w:sz w:val="18"/>
        </w:rPr>
        <w:lastRenderedPageBreak/>
        <w:t>Bilaga 2</w:t>
      </w:r>
    </w:p>
    <w:p w14:paraId="66FE6460" w14:textId="77777777" w:rsidR="00555130" w:rsidRPr="00555130" w:rsidRDefault="00555130">
      <w:pPr>
        <w:widowControl/>
        <w:rPr>
          <w:b/>
          <w:bCs/>
          <w:spacing w:val="2"/>
          <w:sz w:val="18"/>
        </w:rPr>
      </w:pPr>
    </w:p>
    <w:p w14:paraId="01900CC4" w14:textId="68222F8E" w:rsidR="00555130" w:rsidRPr="00FE0833" w:rsidRDefault="00577F47" w:rsidP="00555130">
      <w:pPr>
        <w:widowControl/>
        <w:rPr>
          <w:b/>
          <w:bCs/>
        </w:rPr>
      </w:pPr>
      <w:r>
        <w:rPr>
          <w:b/>
          <w:bCs/>
        </w:rPr>
        <w:t>Regeringens</w:t>
      </w:r>
      <w:r w:rsidR="00555130" w:rsidRPr="00FE0833">
        <w:rPr>
          <w:b/>
          <w:bCs/>
        </w:rPr>
        <w:t xml:space="preserve"> ståndpunkt</w:t>
      </w:r>
    </w:p>
    <w:p w14:paraId="5D5AA9E7" w14:textId="77777777" w:rsidR="00555130" w:rsidRPr="00FE0833" w:rsidRDefault="00555130" w:rsidP="00555130">
      <w:pPr>
        <w:widowControl/>
      </w:pPr>
    </w:p>
    <w:p w14:paraId="0E4669E3" w14:textId="77777777" w:rsidR="00555130" w:rsidRPr="00FE0833" w:rsidRDefault="00555130" w:rsidP="00555130">
      <w:pPr>
        <w:widowControl/>
      </w:pPr>
      <w:r w:rsidRPr="00FE0833">
        <w:t>Regeringen är positiv till att analysera och hantera finansiella stabilitetsrisker</w:t>
      </w:r>
    </w:p>
    <w:p w14:paraId="3E58E329" w14:textId="77777777" w:rsidR="00555130" w:rsidRPr="00FE0833" w:rsidRDefault="00555130" w:rsidP="00555130">
      <w:pPr>
        <w:widowControl/>
      </w:pPr>
      <w:r w:rsidRPr="00FE0833">
        <w:t>förknippade med central clearing mot bakgrund av centrala motparters</w:t>
      </w:r>
    </w:p>
    <w:p w14:paraId="730F7BFD" w14:textId="77777777" w:rsidR="00555130" w:rsidRPr="00FE0833" w:rsidRDefault="00555130" w:rsidP="00555130">
      <w:pPr>
        <w:widowControl/>
      </w:pPr>
      <w:r w:rsidRPr="00FE0833">
        <w:t>betydelse för det finansiella systemet. Det är viktigt att regelverken ger</w:t>
      </w:r>
    </w:p>
    <w:p w14:paraId="34148435" w14:textId="77777777" w:rsidR="00555130" w:rsidRPr="00FE0833" w:rsidRDefault="00555130" w:rsidP="00555130">
      <w:pPr>
        <w:widowControl/>
      </w:pPr>
      <w:r w:rsidRPr="00FE0833">
        <w:t>förutsättningar att hantera risker som kan uppstå genom förändringar på</w:t>
      </w:r>
    </w:p>
    <w:p w14:paraId="1220C34B" w14:textId="77777777" w:rsidR="00555130" w:rsidRPr="00FE0833" w:rsidRDefault="00555130" w:rsidP="00555130">
      <w:pPr>
        <w:widowControl/>
      </w:pPr>
      <w:r w:rsidRPr="00FE0833">
        <w:t>marknaderna. Kommissionens målsättning att stärka konkurrenskraften hos</w:t>
      </w:r>
    </w:p>
    <w:p w14:paraId="0DF0C627" w14:textId="65D98312" w:rsidR="00555130" w:rsidRPr="00FE0833" w:rsidRDefault="00555130" w:rsidP="00555130">
      <w:pPr>
        <w:widowControl/>
      </w:pPr>
      <w:r w:rsidRPr="00FE0833">
        <w:t>centrala motparter inom EU är i linje med Sveriges prioriteringar under EU-ordförandeskapet.</w:t>
      </w:r>
    </w:p>
    <w:p w14:paraId="64863E63" w14:textId="77777777" w:rsidR="00555130" w:rsidRPr="00FE0833" w:rsidRDefault="00555130" w:rsidP="00555130">
      <w:pPr>
        <w:widowControl/>
      </w:pPr>
    </w:p>
    <w:p w14:paraId="68EE7898" w14:textId="77777777" w:rsidR="00555130" w:rsidRPr="00FE0833" w:rsidRDefault="00555130" w:rsidP="00555130">
      <w:pPr>
        <w:widowControl/>
      </w:pPr>
      <w:r w:rsidRPr="00FE0833">
        <w:t>Regeringen anser att åtgärder som i praktiken innebär krav på att flytta</w:t>
      </w:r>
    </w:p>
    <w:p w14:paraId="1F95426D" w14:textId="77777777" w:rsidR="00555130" w:rsidRPr="00FE0833" w:rsidRDefault="00555130" w:rsidP="00555130">
      <w:pPr>
        <w:widowControl/>
      </w:pPr>
      <w:r w:rsidRPr="00FE0833">
        <w:t>clearing till EU från tredjeland behöver baseras på tydligt identifierade</w:t>
      </w:r>
    </w:p>
    <w:p w14:paraId="3C2215F5" w14:textId="712BA5EC" w:rsidR="00555130" w:rsidRPr="00FE0833" w:rsidRDefault="00555130" w:rsidP="00555130">
      <w:pPr>
        <w:widowControl/>
      </w:pPr>
      <w:r w:rsidRPr="00FE0833">
        <w:t>stabilitetsrisker och gedigen konsekvensanalys</w:t>
      </w:r>
      <w:r w:rsidR="00230BFA" w:rsidRPr="00230BFA">
        <w:t>. Kravet på aktivt konto kommer enligt kommissionen att leda till kostnader för europeiska marknadsaktörer.</w:t>
      </w:r>
      <w:r w:rsidR="00B62EEE">
        <w:t xml:space="preserve"> </w:t>
      </w:r>
      <w:proofErr w:type="gramStart"/>
      <w:r w:rsidRPr="00FE0833">
        <w:t>Det</w:t>
      </w:r>
      <w:proofErr w:type="gramEnd"/>
      <w:r w:rsidRPr="00FE0833">
        <w:t xml:space="preserve"> är angeläget att EU-baserade aktörers konkurrenskraft inte försämras eller att nya finansiella</w:t>
      </w:r>
    </w:p>
    <w:p w14:paraId="02B120FD" w14:textId="77777777" w:rsidR="00555130" w:rsidRPr="00FE0833" w:rsidRDefault="00555130" w:rsidP="00555130">
      <w:pPr>
        <w:widowControl/>
      </w:pPr>
      <w:r w:rsidRPr="00FE0833">
        <w:t xml:space="preserve">stabilitetsrisker skapas. Det är också viktigt att mandat för </w:t>
      </w:r>
      <w:proofErr w:type="spellStart"/>
      <w:r w:rsidRPr="00FE0833">
        <w:t>Esma</w:t>
      </w:r>
      <w:proofErr w:type="spellEnd"/>
      <w:r w:rsidRPr="00FE0833">
        <w:t xml:space="preserve"> och</w:t>
      </w:r>
    </w:p>
    <w:p w14:paraId="604B3A3D" w14:textId="77777777" w:rsidR="00555130" w:rsidRPr="00FE0833" w:rsidRDefault="00555130" w:rsidP="00555130">
      <w:pPr>
        <w:widowControl/>
      </w:pPr>
      <w:r w:rsidRPr="00FE0833">
        <w:t>kommissionen är väl avvägda och tydligt avgränsade när det gäller tekniska</w:t>
      </w:r>
    </w:p>
    <w:p w14:paraId="41061612" w14:textId="0D145341" w:rsidR="00555130" w:rsidRPr="00FE0833" w:rsidRDefault="00555130" w:rsidP="00555130">
      <w:pPr>
        <w:widowControl/>
      </w:pPr>
      <w:r w:rsidRPr="00FE0833">
        <w:t>tillsynsstandarder och andra delegerade akter.</w:t>
      </w:r>
    </w:p>
    <w:p w14:paraId="5FCA9EAE" w14:textId="77777777" w:rsidR="00555130" w:rsidRPr="00FE0833" w:rsidRDefault="00555130" w:rsidP="00555130">
      <w:pPr>
        <w:widowControl/>
      </w:pPr>
    </w:p>
    <w:p w14:paraId="21898E34" w14:textId="77777777" w:rsidR="00555130" w:rsidRPr="00FE0833" w:rsidRDefault="00555130" w:rsidP="00555130">
      <w:pPr>
        <w:widowControl/>
      </w:pPr>
      <w:r w:rsidRPr="00FE0833">
        <w:t>Regeringen är positiv till att effektivisera och stärka tillsynsregelverket. Nya</w:t>
      </w:r>
    </w:p>
    <w:p w14:paraId="35211651" w14:textId="77777777" w:rsidR="00555130" w:rsidRPr="00FE0833" w:rsidRDefault="00555130" w:rsidP="00555130">
      <w:pPr>
        <w:widowControl/>
      </w:pPr>
      <w:r w:rsidRPr="00FE0833">
        <w:t>eller förändrade uppgifter för behöriga myndigheter bör dock vara väl</w:t>
      </w:r>
    </w:p>
    <w:p w14:paraId="5161E875" w14:textId="77777777" w:rsidR="00555130" w:rsidRPr="00FE0833" w:rsidRDefault="00555130" w:rsidP="00555130">
      <w:pPr>
        <w:widowControl/>
      </w:pPr>
      <w:r w:rsidRPr="00FE0833">
        <w:t>avvägda, ha ett tydligt mervärde och en tydlig ansvarsfördelning samt inte</w:t>
      </w:r>
    </w:p>
    <w:p w14:paraId="341FB1D6" w14:textId="77777777" w:rsidR="00555130" w:rsidRPr="00FE0833" w:rsidRDefault="00555130" w:rsidP="00555130">
      <w:pPr>
        <w:widowControl/>
      </w:pPr>
      <w:r w:rsidRPr="00FE0833">
        <w:t>skapa onödig administrativ börda för berörda parter. Detta gäller även</w:t>
      </w:r>
    </w:p>
    <w:p w14:paraId="3EF636B5" w14:textId="77777777" w:rsidR="00555130" w:rsidRPr="00FE0833" w:rsidRDefault="00555130" w:rsidP="00555130">
      <w:pPr>
        <w:widowControl/>
      </w:pPr>
      <w:r w:rsidRPr="00FE0833">
        <w:t>inrättandet av nya organ. Regeringen är tveksam till om samtliga</w:t>
      </w:r>
    </w:p>
    <w:p w14:paraId="069DA10A" w14:textId="77777777" w:rsidR="00555130" w:rsidRPr="00FE0833" w:rsidRDefault="00555130" w:rsidP="00555130">
      <w:pPr>
        <w:widowControl/>
      </w:pPr>
      <w:r w:rsidRPr="00FE0833">
        <w:t>tillsynsförslag uppfyller dessa kriterier. Regeringen anser vidare att det</w:t>
      </w:r>
    </w:p>
    <w:p w14:paraId="6837A398" w14:textId="77777777" w:rsidR="00555130" w:rsidRPr="00FE0833" w:rsidRDefault="00555130" w:rsidP="00555130">
      <w:pPr>
        <w:widowControl/>
      </w:pPr>
      <w:r w:rsidRPr="00FE0833">
        <w:t>slutgiltiga tillsynsansvaret bör kvarstå på nationell nivå för att motsvara</w:t>
      </w:r>
    </w:p>
    <w:p w14:paraId="398BE971" w14:textId="7B3670A5" w:rsidR="00555130" w:rsidRPr="00FE0833" w:rsidRDefault="00555130" w:rsidP="00555130">
      <w:pPr>
        <w:widowControl/>
      </w:pPr>
      <w:r w:rsidRPr="00FE0833">
        <w:t>ansvaret för krishantering.</w:t>
      </w:r>
    </w:p>
    <w:p w14:paraId="728C584F" w14:textId="77777777" w:rsidR="00555130" w:rsidRPr="00FE0833" w:rsidRDefault="00555130" w:rsidP="00555130">
      <w:pPr>
        <w:widowControl/>
      </w:pPr>
    </w:p>
    <w:p w14:paraId="47876B1E" w14:textId="77777777" w:rsidR="00555130" w:rsidRPr="00FE0833" w:rsidRDefault="00555130" w:rsidP="00555130">
      <w:pPr>
        <w:widowControl/>
      </w:pPr>
      <w:r w:rsidRPr="00FE0833">
        <w:t>Regeringen välkomnar att förslagen beaktar lärdomar från den senaste tidens</w:t>
      </w:r>
    </w:p>
    <w:p w14:paraId="31253A49" w14:textId="77777777" w:rsidR="00555130" w:rsidRPr="00FE0833" w:rsidRDefault="00555130" w:rsidP="00555130">
      <w:pPr>
        <w:widowControl/>
      </w:pPr>
      <w:r w:rsidRPr="00FE0833">
        <w:t>utveckling på energiderivatmarknaderna och ser positivt på målsättningen att</w:t>
      </w:r>
    </w:p>
    <w:p w14:paraId="7C39DAEE" w14:textId="77777777" w:rsidR="00555130" w:rsidRPr="00FE0833" w:rsidRDefault="00555130" w:rsidP="00555130">
      <w:pPr>
        <w:widowControl/>
      </w:pPr>
      <w:r w:rsidRPr="00FE0833">
        <w:t>stärka motståndskraften hos centrala motparter. Förslagen behöver dock</w:t>
      </w:r>
    </w:p>
    <w:p w14:paraId="5290E98D" w14:textId="77777777" w:rsidR="00555130" w:rsidRPr="00FE0833" w:rsidRDefault="00555130" w:rsidP="00555130">
      <w:pPr>
        <w:widowControl/>
      </w:pPr>
      <w:r w:rsidRPr="00FE0833">
        <w:t>analyseras ytterligare för att säkerställa att åtgärder som vidtas är väl</w:t>
      </w:r>
    </w:p>
    <w:p w14:paraId="1C5CA143" w14:textId="0D24BDF9" w:rsidR="00555130" w:rsidRPr="00FE0833" w:rsidRDefault="00555130" w:rsidP="00555130">
      <w:pPr>
        <w:widowControl/>
      </w:pPr>
      <w:r w:rsidRPr="00FE0833">
        <w:t>avvägda.</w:t>
      </w:r>
    </w:p>
    <w:p w14:paraId="5598A2E4" w14:textId="77777777" w:rsidR="00555130" w:rsidRPr="00FE0833" w:rsidRDefault="00555130" w:rsidP="00555130">
      <w:pPr>
        <w:widowControl/>
      </w:pPr>
    </w:p>
    <w:p w14:paraId="28A3556B" w14:textId="77777777" w:rsidR="00555130" w:rsidRPr="00FE0833" w:rsidRDefault="00555130" w:rsidP="00555130">
      <w:pPr>
        <w:widowControl/>
      </w:pPr>
      <w:r w:rsidRPr="00FE0833">
        <w:t>Regeringen avser att agera för att de eventuella ekonomiska konsekvenserna</w:t>
      </w:r>
    </w:p>
    <w:p w14:paraId="19EE340B" w14:textId="77777777" w:rsidR="00FE0833" w:rsidRPr="00FE0833" w:rsidRDefault="00555130">
      <w:pPr>
        <w:widowControl/>
      </w:pPr>
      <w:r w:rsidRPr="00FE0833">
        <w:t>av förslaget begränsas för både statens budget och för EU-budgeten.</w:t>
      </w:r>
      <w:r w:rsidRPr="00FE0833">
        <w:cr/>
      </w:r>
      <w:r w:rsidR="00FE0833" w:rsidRPr="00FE0833">
        <w:br w:type="page"/>
      </w:r>
    </w:p>
    <w:p w14:paraId="409E1F5D" w14:textId="77777777" w:rsidR="00FE0833" w:rsidRDefault="00FE0833" w:rsidP="00555130">
      <w:pPr>
        <w:widowControl/>
        <w:rPr>
          <w:spacing w:val="2"/>
          <w:sz w:val="18"/>
        </w:rPr>
      </w:pPr>
      <w:r>
        <w:rPr>
          <w:spacing w:val="2"/>
          <w:sz w:val="18"/>
        </w:rPr>
        <w:lastRenderedPageBreak/>
        <w:t xml:space="preserve">Bilaga 3 </w:t>
      </w:r>
    </w:p>
    <w:p w14:paraId="06075B96" w14:textId="77777777" w:rsidR="00FE0833" w:rsidRDefault="00FE0833" w:rsidP="00555130">
      <w:pPr>
        <w:widowControl/>
        <w:rPr>
          <w:spacing w:val="2"/>
          <w:sz w:val="18"/>
        </w:rPr>
      </w:pPr>
    </w:p>
    <w:p w14:paraId="410C8BB4" w14:textId="77777777" w:rsidR="00FE0833" w:rsidRPr="00FE0833" w:rsidRDefault="00FE0833" w:rsidP="00555130">
      <w:pPr>
        <w:widowControl/>
        <w:rPr>
          <w:b/>
          <w:bCs/>
          <w:spacing w:val="2"/>
          <w:sz w:val="18"/>
        </w:rPr>
      </w:pPr>
    </w:p>
    <w:p w14:paraId="6754E7BD" w14:textId="7453520A" w:rsidR="00FE0833" w:rsidRDefault="00577F47" w:rsidP="00555130">
      <w:pPr>
        <w:widowControl/>
        <w:rPr>
          <w:b/>
          <w:bCs/>
        </w:rPr>
      </w:pPr>
      <w:r w:rsidRPr="00577F47">
        <w:rPr>
          <w:b/>
          <w:bCs/>
        </w:rPr>
        <w:t>Regeringens ståndpunkt</w:t>
      </w:r>
    </w:p>
    <w:p w14:paraId="17906866" w14:textId="77777777" w:rsidR="00577F47" w:rsidRDefault="00577F47" w:rsidP="00555130">
      <w:pPr>
        <w:widowControl/>
      </w:pPr>
    </w:p>
    <w:p w14:paraId="17B4C540" w14:textId="77777777" w:rsidR="00FE0833" w:rsidRDefault="00FE0833" w:rsidP="00555130">
      <w:pPr>
        <w:widowControl/>
      </w:pPr>
      <w:r>
        <w:t xml:space="preserve">Regeringen välkomnar kommissionens initiativ för att skapa förbättrade finansieringsmöjligheter för företag inom EU. Kommissionens målsättning att göra kapitalmarknaderna i EU mer konkurrenskraftiga är i linje med Sveriges prioriteringar under EU-ordförandeskapet. Regeringen välkomnar tydliga regler som bidrar till bättre regelefterlevnad och främjar välfungerande marknader. Enligt regeringens mening är god informationsgivning och högt investerarskydd framgångsfaktorer för ett starkt investeringsklimat och god kapitalförsörjning. Regeringen anser dock att det finns delar i förslaget som skulle kunna motverka dessa framgångsfaktorer. Det är därför viktigt att förslag om harmoniserade regellättnader för </w:t>
      </w:r>
      <w:proofErr w:type="spellStart"/>
      <w:r>
        <w:t>emittenter</w:t>
      </w:r>
      <w:proofErr w:type="spellEnd"/>
      <w:r>
        <w:t xml:space="preserve"> är väl avvägda och ändamålsenligt utformade. </w:t>
      </w:r>
    </w:p>
    <w:p w14:paraId="4F805606" w14:textId="77777777" w:rsidR="00FE0833" w:rsidRDefault="00FE0833" w:rsidP="00555130">
      <w:pPr>
        <w:widowControl/>
      </w:pPr>
    </w:p>
    <w:p w14:paraId="51B09640" w14:textId="77777777" w:rsidR="00FE0833" w:rsidRDefault="00FE0833" w:rsidP="00555130">
      <w:pPr>
        <w:widowControl/>
      </w:pPr>
      <w:r>
        <w:t xml:space="preserve">Förutsättningarna för handelsplatser, särskilt de med fokus på små och medelstora företag, varierar inom EU. Till exempel är det i Sverige många små företag som noterar sina värdepapper på handelsplatser i jämförelse med många andra medlemsstater. I arbetet med att skapa en gemensam europeisk kapitalmarknad med ett gott noteringsklimat för företag i samtliga medlemsstater är det viktigt att regelverket inte har negativa effekter för svenska aktörer eller investerarskyddet, eftersom det riskerar att på sikt skada förtroendet för marknaden. </w:t>
      </w:r>
    </w:p>
    <w:p w14:paraId="35919DCF" w14:textId="77777777" w:rsidR="00FE0833" w:rsidRDefault="00FE0833" w:rsidP="00555130">
      <w:pPr>
        <w:widowControl/>
      </w:pPr>
    </w:p>
    <w:p w14:paraId="3094D676" w14:textId="77777777" w:rsidR="00FE0833" w:rsidRDefault="00FE0833" w:rsidP="00555130">
      <w:pPr>
        <w:widowControl/>
      </w:pPr>
      <w:r>
        <w:t>För att bevara förtroendet för kapitalmarknaderna är det av stor vikt att förhindra och motverka marknadsmissbruk. Som ett led i detta behöver myndigheter ha effektiva verktyg för att utreda marknadsmissbruk och bekämpa brott.</w:t>
      </w:r>
    </w:p>
    <w:p w14:paraId="2C217842" w14:textId="77777777" w:rsidR="00FE0833" w:rsidRDefault="00FE0833" w:rsidP="00555130">
      <w:pPr>
        <w:widowControl/>
      </w:pPr>
    </w:p>
    <w:p w14:paraId="38B3549F" w14:textId="77777777" w:rsidR="00FE0833" w:rsidRDefault="00FE0833" w:rsidP="00555130">
      <w:pPr>
        <w:widowControl/>
      </w:pPr>
      <w:r>
        <w:t>Regeringen stödjer sammanfattningsvis lättnader och förenklingar i regelverket under förutsättning att investerarskyddet fortsatt är högt och att god informationsgivning och ett starkt förtroende för kapitalmarknaderna upprätthålls.</w:t>
      </w:r>
    </w:p>
    <w:p w14:paraId="7D99E243" w14:textId="77777777" w:rsidR="00FE0833" w:rsidRDefault="00FE0833" w:rsidP="00555130">
      <w:pPr>
        <w:widowControl/>
      </w:pPr>
    </w:p>
    <w:p w14:paraId="68AA95B4" w14:textId="138A2405" w:rsidR="009D6236" w:rsidRDefault="00FE0833" w:rsidP="00555130">
      <w:pPr>
        <w:widowControl/>
        <w:rPr>
          <w:spacing w:val="2"/>
          <w:sz w:val="18"/>
        </w:rPr>
      </w:pPr>
      <w:r>
        <w:t>Regeringen avser att agera för att förslagets ekonomiska konsekvenser begränsas både för statens budget och EU-budgeten.</w:t>
      </w:r>
      <w:r w:rsidR="009D6236">
        <w:rPr>
          <w:spacing w:val="2"/>
          <w:sz w:val="18"/>
        </w:rPr>
        <w:br w:type="page"/>
      </w:r>
    </w:p>
    <w:p w14:paraId="409F263F" w14:textId="124E80A9" w:rsidR="004C6601" w:rsidRDefault="009D6236" w:rsidP="004C6601">
      <w:pPr>
        <w:ind w:left="-709"/>
        <w:rPr>
          <w:spacing w:val="2"/>
          <w:sz w:val="18"/>
        </w:rPr>
      </w:pPr>
      <w:r>
        <w:rPr>
          <w:spacing w:val="2"/>
          <w:sz w:val="18"/>
        </w:rPr>
        <w:lastRenderedPageBreak/>
        <w:t>Bilaga 4</w:t>
      </w:r>
    </w:p>
    <w:p w14:paraId="7978DA93" w14:textId="77777777" w:rsidR="009D6236" w:rsidRPr="009D6236" w:rsidRDefault="009D6236" w:rsidP="009D6236">
      <w:pPr>
        <w:widowControl/>
        <w:rPr>
          <w:sz w:val="22"/>
          <w:szCs w:val="36"/>
        </w:rPr>
      </w:pPr>
      <w:r w:rsidRPr="009D6236">
        <w:rPr>
          <w:sz w:val="22"/>
          <w:szCs w:val="36"/>
        </w:rPr>
        <w:t>Förslag utskottsinitiativ</w:t>
      </w:r>
    </w:p>
    <w:p w14:paraId="2C662C32" w14:textId="77777777" w:rsidR="009D6236" w:rsidRPr="009D6236" w:rsidRDefault="009D6236" w:rsidP="009D6236">
      <w:pPr>
        <w:keepNext/>
        <w:widowControl/>
        <w:tabs>
          <w:tab w:val="left" w:pos="284"/>
        </w:tabs>
        <w:spacing w:before="120" w:after="80"/>
        <w:outlineLvl w:val="0"/>
        <w:rPr>
          <w:rFonts w:ascii="GillSans Pro for Riksdagen Md" w:hAnsi="GillSans Pro for Riksdagen Md"/>
          <w:b/>
          <w:kern w:val="28"/>
          <w:sz w:val="28"/>
          <w:szCs w:val="36"/>
        </w:rPr>
      </w:pPr>
      <w:r w:rsidRPr="009D6236">
        <w:rPr>
          <w:rFonts w:ascii="GillSans Pro for Riksdagen Md" w:hAnsi="GillSans Pro for Riksdagen Md"/>
          <w:b/>
          <w:kern w:val="28"/>
          <w:sz w:val="28"/>
          <w:szCs w:val="36"/>
        </w:rPr>
        <w:t xml:space="preserve">Följ EU:s förordning (EU 2022/18/54) och begränsa övervinster på el från 1 december 2022 </w:t>
      </w:r>
    </w:p>
    <w:p w14:paraId="66BA3821" w14:textId="77777777" w:rsidR="009D6236" w:rsidRPr="009D6236" w:rsidRDefault="009D6236" w:rsidP="009D6236">
      <w:pPr>
        <w:widowControl/>
        <w:rPr>
          <w:sz w:val="22"/>
          <w:szCs w:val="36"/>
        </w:rPr>
      </w:pPr>
    </w:p>
    <w:p w14:paraId="11082C26" w14:textId="77777777" w:rsidR="009D6236" w:rsidRPr="009D6236" w:rsidRDefault="009D6236" w:rsidP="009D6236">
      <w:pPr>
        <w:widowControl/>
        <w:rPr>
          <w:sz w:val="22"/>
          <w:szCs w:val="36"/>
        </w:rPr>
      </w:pPr>
      <w:r w:rsidRPr="009D6236">
        <w:rPr>
          <w:sz w:val="22"/>
          <w:szCs w:val="36"/>
        </w:rPr>
        <w:t xml:space="preserve">Rådet enades den 30 september 2022 om en rad förslag för att komma till rätta med de höga energipriserna. Förslagen införs genom förordning (EU) 2022/1854. För att motverka stora övervinster hos vissa aktörer är en av åtgärderna ett tillfälligt tak för marknadsintäkter.  </w:t>
      </w:r>
    </w:p>
    <w:p w14:paraId="01925F56" w14:textId="77777777" w:rsidR="009D6236" w:rsidRPr="009D6236" w:rsidRDefault="009D6236" w:rsidP="009D6236">
      <w:pPr>
        <w:widowControl/>
        <w:rPr>
          <w:sz w:val="22"/>
          <w:szCs w:val="36"/>
        </w:rPr>
      </w:pPr>
    </w:p>
    <w:p w14:paraId="67601C30" w14:textId="77777777" w:rsidR="009D6236" w:rsidRPr="009D6236" w:rsidRDefault="009D6236" w:rsidP="009D6236">
      <w:pPr>
        <w:widowControl/>
        <w:rPr>
          <w:sz w:val="22"/>
          <w:szCs w:val="36"/>
        </w:rPr>
      </w:pPr>
      <w:r w:rsidRPr="009D6236">
        <w:rPr>
          <w:sz w:val="22"/>
          <w:szCs w:val="36"/>
        </w:rPr>
        <w:t xml:space="preserve">Enligt EU:s förordning (EU 2022/18/54) om övervinster på el skulle intäktstaket varit infört senast den 1 december 2022. Regeringen har dock dragit ut på processen och den tillfälliga skatten kommer att gälla mellan den </w:t>
      </w:r>
      <w:bookmarkStart w:id="0" w:name="_Hlk127795056"/>
      <w:r w:rsidRPr="009D6236">
        <w:rPr>
          <w:sz w:val="22"/>
          <w:szCs w:val="36"/>
        </w:rPr>
        <w:t>1 mars och den 30 juni 2023</w:t>
      </w:r>
      <w:bookmarkEnd w:id="0"/>
      <w:r w:rsidRPr="009D6236">
        <w:rPr>
          <w:sz w:val="22"/>
          <w:szCs w:val="36"/>
        </w:rPr>
        <w:t xml:space="preserve">. Det gör att man agerar emot förordningens syfte och går miste om att komma till rätta med övervinsterna under vintern när elen dessutom var som dyrast. Därmed kan miljardbelopp plockas hem av elmarknadens aktörer, istället för att gå till de hushåll som kämpar för att kunna betala sina elräkningar.  </w:t>
      </w:r>
    </w:p>
    <w:p w14:paraId="6D26553F" w14:textId="77777777" w:rsidR="009D6236" w:rsidRPr="009D6236" w:rsidRDefault="009D6236" w:rsidP="009D6236">
      <w:pPr>
        <w:widowControl/>
        <w:rPr>
          <w:sz w:val="22"/>
          <w:szCs w:val="36"/>
        </w:rPr>
      </w:pPr>
    </w:p>
    <w:p w14:paraId="72A14832" w14:textId="77777777" w:rsidR="009D6236" w:rsidRPr="009D6236" w:rsidRDefault="009D6236" w:rsidP="009D6236">
      <w:pPr>
        <w:widowControl/>
        <w:rPr>
          <w:sz w:val="22"/>
          <w:szCs w:val="36"/>
        </w:rPr>
      </w:pPr>
      <w:r w:rsidRPr="009D6236">
        <w:rPr>
          <w:sz w:val="22"/>
          <w:szCs w:val="36"/>
        </w:rPr>
        <w:t xml:space="preserve">Enligt en skattning från Energimarknadsinspektionen (DN 20/2) handlar det om 6,1 miljarder kronor enbart i januari och februari. Det beror visserligen på vilket scenario man utgår från, men det är ändå tydligt att det handlar om betydande summor.  </w:t>
      </w:r>
    </w:p>
    <w:p w14:paraId="305B9F2D" w14:textId="77777777" w:rsidR="009D6236" w:rsidRPr="009D6236" w:rsidRDefault="009D6236" w:rsidP="009D6236">
      <w:pPr>
        <w:widowControl/>
        <w:rPr>
          <w:sz w:val="22"/>
          <w:szCs w:val="36"/>
        </w:rPr>
      </w:pPr>
    </w:p>
    <w:p w14:paraId="45F6424F" w14:textId="77777777" w:rsidR="009D6236" w:rsidRPr="009D6236" w:rsidRDefault="009D6236" w:rsidP="009D6236">
      <w:pPr>
        <w:widowControl/>
        <w:rPr>
          <w:sz w:val="22"/>
          <w:szCs w:val="36"/>
        </w:rPr>
      </w:pPr>
      <w:r w:rsidRPr="009D6236">
        <w:rPr>
          <w:sz w:val="22"/>
          <w:szCs w:val="36"/>
        </w:rPr>
        <w:t xml:space="preserve">Regeringen hänvisar till att det är omöjligt att ta ut skatt från den av EU avsedda tidsperioden med hänvisning till retroaktivitetsförbudet i grundlagen avseende skatt och avgifter. Men till skillnad från ett direktiv har en EU förordning direkt rättsverkan i ett EU-land utan att införlivas i nationell lagstiftning. </w:t>
      </w:r>
    </w:p>
    <w:p w14:paraId="135ABD0C" w14:textId="77777777" w:rsidR="009D6236" w:rsidRPr="009D6236" w:rsidRDefault="009D6236" w:rsidP="009D6236">
      <w:pPr>
        <w:widowControl/>
        <w:rPr>
          <w:sz w:val="22"/>
          <w:szCs w:val="36"/>
        </w:rPr>
      </w:pPr>
    </w:p>
    <w:p w14:paraId="1B1341DD" w14:textId="77777777" w:rsidR="009D6236" w:rsidRPr="009D6236" w:rsidRDefault="009D6236" w:rsidP="009D6236">
      <w:pPr>
        <w:widowControl/>
        <w:rPr>
          <w:sz w:val="22"/>
          <w:szCs w:val="36"/>
        </w:rPr>
      </w:pPr>
      <w:r w:rsidRPr="009D6236">
        <w:rPr>
          <w:sz w:val="22"/>
          <w:szCs w:val="36"/>
        </w:rPr>
        <w:t>En förordning träder i kraft tjugo dagar efter att den har offentliggjorts i Europeiska unionens officiella tidning, om inget annat föreskrivs i förordningen. Eftersom en förordning är direkt tillämplig krävs inga nationella genomförandeåtgärder för att dess bestämmelser ska få direkt effekt, utan när den träder i kraft får den omedelbart och enhetligt rättslig effekt i alla medlemsstater och kan åberopas av enskilda inför en nationell domstol likt en nationell lag. Detta hindrar dock inte medlemsstaterna från att vidta genomförandeåtgärder som anses nödvändiga för att anpassa den nationella lagstiftningen till unionsrätten i enlighet med principen om lojalt samarbete. När en förordning träder i kraft undanröjer den dock automatiskt tillämpligheten för alla motstridande nationella lagar och andra författningar.</w:t>
      </w:r>
    </w:p>
    <w:p w14:paraId="4CD28038" w14:textId="77777777" w:rsidR="009D6236" w:rsidRPr="009D6236" w:rsidRDefault="009D6236" w:rsidP="009D6236">
      <w:pPr>
        <w:widowControl/>
        <w:rPr>
          <w:sz w:val="22"/>
          <w:szCs w:val="36"/>
        </w:rPr>
      </w:pPr>
    </w:p>
    <w:p w14:paraId="428DC261" w14:textId="77777777" w:rsidR="009D6236" w:rsidRPr="009D6236" w:rsidRDefault="009D6236" w:rsidP="009D6236">
      <w:pPr>
        <w:widowControl/>
        <w:rPr>
          <w:sz w:val="22"/>
          <w:szCs w:val="36"/>
        </w:rPr>
      </w:pPr>
      <w:r w:rsidRPr="009D6236">
        <w:rPr>
          <w:sz w:val="22"/>
          <w:szCs w:val="36"/>
        </w:rPr>
        <w:t>Retroaktivitetsförbudet inom skatterätten framgår av 2 kap. 10 § 2 st. 1 meningen RF och har följande</w:t>
      </w:r>
    </w:p>
    <w:p w14:paraId="5366DB81" w14:textId="77777777" w:rsidR="009D6236" w:rsidRPr="009D6236" w:rsidRDefault="009D6236" w:rsidP="009D6236">
      <w:pPr>
        <w:widowControl/>
        <w:rPr>
          <w:sz w:val="22"/>
          <w:szCs w:val="36"/>
        </w:rPr>
      </w:pPr>
      <w:r w:rsidRPr="009D6236">
        <w:rPr>
          <w:sz w:val="22"/>
          <w:szCs w:val="36"/>
        </w:rPr>
        <w:t xml:space="preserve">lydelse: ”Skatt eller statlig avgift får inte tas ut i vidare mån än som följer av föreskrifter som gällde när den omständighet inträffade som utlöste skatt- eller avgiftsskyldigheten.” Det skulle därför kunna uppfattas som att retroaktivitetsförbudet skulle gälla övervinster då den exakta utformningen inte var på plats den 1 december p.g.a. regeringens senfärdighet. </w:t>
      </w:r>
    </w:p>
    <w:p w14:paraId="2BFFBCA8" w14:textId="77777777" w:rsidR="009D6236" w:rsidRPr="009D6236" w:rsidRDefault="009D6236" w:rsidP="009D6236">
      <w:pPr>
        <w:widowControl/>
        <w:rPr>
          <w:sz w:val="22"/>
          <w:szCs w:val="36"/>
        </w:rPr>
      </w:pPr>
    </w:p>
    <w:p w14:paraId="0CF535E0" w14:textId="77777777" w:rsidR="009D6236" w:rsidRPr="009D6236" w:rsidRDefault="009D6236" w:rsidP="009D6236">
      <w:pPr>
        <w:widowControl/>
        <w:rPr>
          <w:sz w:val="22"/>
          <w:szCs w:val="36"/>
        </w:rPr>
      </w:pPr>
      <w:r w:rsidRPr="009D6236">
        <w:rPr>
          <w:sz w:val="22"/>
          <w:szCs w:val="36"/>
        </w:rPr>
        <w:t xml:space="preserve">Enligt 2 kap. 10 § 2 st. </w:t>
      </w:r>
      <w:proofErr w:type="gramStart"/>
      <w:r w:rsidRPr="009D6236">
        <w:rPr>
          <w:sz w:val="22"/>
          <w:szCs w:val="36"/>
        </w:rPr>
        <w:t>2-4</w:t>
      </w:r>
      <w:proofErr w:type="gramEnd"/>
      <w:r w:rsidRPr="009D6236">
        <w:rPr>
          <w:sz w:val="22"/>
          <w:szCs w:val="36"/>
        </w:rPr>
        <w:t xml:space="preserve"> meningen RF får dock retroaktivitetsförbudet under vissa</w:t>
      </w:r>
    </w:p>
    <w:p w14:paraId="362098BC" w14:textId="77777777" w:rsidR="009D6236" w:rsidRPr="009D6236" w:rsidRDefault="009D6236" w:rsidP="009D6236">
      <w:pPr>
        <w:widowControl/>
        <w:rPr>
          <w:sz w:val="22"/>
          <w:szCs w:val="36"/>
        </w:rPr>
      </w:pPr>
      <w:r w:rsidRPr="009D6236">
        <w:rPr>
          <w:sz w:val="22"/>
          <w:szCs w:val="36"/>
        </w:rPr>
        <w:t xml:space="preserve">förutsättningar bortses ifrån. Lagtexten har följande utformning: ”Finner riksdagen att det finns särskilda skäl för det, får en lag dock innebära att skatt eller statlig avgift tas ut trots att lagen inte hade trätt i kraft när omständigheten inträffade, om regeringen eller ett riksdagsutskott då hade lämnat ett förslag om det till riksdagen. </w:t>
      </w:r>
      <w:r w:rsidRPr="009D6236">
        <w:rPr>
          <w:i/>
          <w:iCs/>
          <w:sz w:val="22"/>
          <w:szCs w:val="36"/>
        </w:rPr>
        <w:t>Med förslag jämställs ett meddelande i skrivelse från regeringen till riksdagen om att ett sådant förslag är att vänta (egen kursivering)</w:t>
      </w:r>
      <w:r w:rsidRPr="009D6236">
        <w:rPr>
          <w:sz w:val="22"/>
          <w:szCs w:val="36"/>
        </w:rPr>
        <w:t xml:space="preserve">. Vidare får riksdagen föreskriva undantag från första meningen, om riksdagen finner att det av särskilda skäl krävs i samband med krig, krigsfara eller svår ekonomisk kris.” </w:t>
      </w:r>
    </w:p>
    <w:p w14:paraId="1B902D48" w14:textId="77777777" w:rsidR="009D6236" w:rsidRPr="009D6236" w:rsidRDefault="009D6236" w:rsidP="009D6236">
      <w:pPr>
        <w:widowControl/>
        <w:rPr>
          <w:sz w:val="22"/>
          <w:szCs w:val="36"/>
        </w:rPr>
      </w:pPr>
    </w:p>
    <w:p w14:paraId="0525D37D" w14:textId="77777777" w:rsidR="009D6236" w:rsidRPr="009D6236" w:rsidRDefault="009D6236" w:rsidP="009D6236">
      <w:pPr>
        <w:widowControl/>
        <w:rPr>
          <w:sz w:val="22"/>
          <w:szCs w:val="36"/>
        </w:rPr>
      </w:pPr>
      <w:r w:rsidRPr="009D6236">
        <w:rPr>
          <w:sz w:val="22"/>
          <w:szCs w:val="36"/>
        </w:rPr>
        <w:t xml:space="preserve">Det finns ingen anledning att förmoda att Sverige skulle vara undantaget bestämmelserna i förordningen. Eftersom förordningen gällt från 1 december 2022 kan saken rimligtvis inte falla under retroaktivitetsförbudet. Att alla detaljer i lagen inte måste vara klarlagda faller under 2 kap. 10§ RF om att ett sådant förslag var att vänta. Företagen skulle därmed vara medvetna vid tidpunkten för införandet av EU förordningen att övervinsterna skulle beskattas och enligt de principer som framgår av förordningen. Regeringen har därmed haft full möjlighet att fortfarande beskatta övervinsterna enligt den ursprungliga EU förordningen. Att inte göra så innebär att </w:t>
      </w:r>
      <w:r w:rsidRPr="009D6236">
        <w:rPr>
          <w:sz w:val="22"/>
          <w:szCs w:val="36"/>
        </w:rPr>
        <w:lastRenderedPageBreak/>
        <w:t>regeringen undgått att genomföra en rimlig beskattning av elbolagens övervinster till förmån för de svenska hushållen. Vår bedömning är att detta också strider mot EU-rätten.</w:t>
      </w:r>
    </w:p>
    <w:p w14:paraId="172F1BF5" w14:textId="77777777" w:rsidR="009D6236" w:rsidRPr="009D6236" w:rsidRDefault="009D6236" w:rsidP="009D6236">
      <w:pPr>
        <w:widowControl/>
        <w:rPr>
          <w:sz w:val="22"/>
          <w:szCs w:val="36"/>
        </w:rPr>
      </w:pPr>
    </w:p>
    <w:p w14:paraId="05504CAA" w14:textId="77777777" w:rsidR="009D6236" w:rsidRPr="009D6236" w:rsidRDefault="009D6236" w:rsidP="009D6236">
      <w:pPr>
        <w:widowControl/>
        <w:rPr>
          <w:sz w:val="22"/>
          <w:szCs w:val="36"/>
        </w:rPr>
      </w:pPr>
      <w:r w:rsidRPr="009D6236">
        <w:rPr>
          <w:sz w:val="22"/>
          <w:szCs w:val="36"/>
        </w:rPr>
        <w:t xml:space="preserve">I EU:s förordning konstateras att taket för marknadsintäkter inte bör fastställas under marknadsaktörernas rimliga förväntningar på den genomsnittliga elprisnivån under de timmar då efterfrågan på el var som högst, före Rysslands anfallskrig mot Ukraina. Priserna inom EU varierar stort. Taket på högst 180 EUR per MWh är satt långt över de ursprungliga förväntningarna på marknaden i hela unionen. Utifrån svenska förhållanden blir ett sådant tak oerhört högt. Trots det har regeringen valt den högsta möjliga nivå som förordningen tillåter. I svenska pengar blir taket 1957 kronor per MWh. I andra länder, som t.ex. Nederländerna har man valt att göra annorlunda. Där är intäktstaket satt till 130 EUR per MWh, vilket beräknas ge betydligt mer pengar tillbaka till </w:t>
      </w:r>
      <w:proofErr w:type="spellStart"/>
      <w:r w:rsidRPr="009D6236">
        <w:rPr>
          <w:sz w:val="22"/>
          <w:szCs w:val="36"/>
        </w:rPr>
        <w:t>elanvändarna</w:t>
      </w:r>
      <w:proofErr w:type="spellEnd"/>
      <w:r w:rsidRPr="009D6236">
        <w:rPr>
          <w:sz w:val="22"/>
          <w:szCs w:val="36"/>
        </w:rPr>
        <w:t xml:space="preserve">. </w:t>
      </w:r>
    </w:p>
    <w:p w14:paraId="7499D43F" w14:textId="77777777" w:rsidR="009D6236" w:rsidRPr="009D6236" w:rsidRDefault="009D6236" w:rsidP="009D6236">
      <w:pPr>
        <w:widowControl/>
        <w:rPr>
          <w:sz w:val="22"/>
          <w:szCs w:val="36"/>
        </w:rPr>
      </w:pPr>
    </w:p>
    <w:p w14:paraId="4C706175" w14:textId="77777777" w:rsidR="009D6236" w:rsidRPr="009D6236" w:rsidRDefault="009D6236" w:rsidP="009D6236">
      <w:pPr>
        <w:widowControl/>
        <w:rPr>
          <w:sz w:val="22"/>
          <w:szCs w:val="36"/>
        </w:rPr>
      </w:pPr>
      <w:r w:rsidRPr="009D6236">
        <w:rPr>
          <w:sz w:val="22"/>
          <w:szCs w:val="36"/>
        </w:rPr>
        <w:t>Förslag till beslut:</w:t>
      </w:r>
    </w:p>
    <w:p w14:paraId="0E57A6FD" w14:textId="77777777" w:rsidR="009D6236" w:rsidRPr="009D6236" w:rsidRDefault="009D6236" w:rsidP="009D6236">
      <w:pPr>
        <w:widowControl/>
        <w:rPr>
          <w:sz w:val="22"/>
          <w:szCs w:val="36"/>
        </w:rPr>
      </w:pPr>
      <w:r w:rsidRPr="009D6236">
        <w:rPr>
          <w:sz w:val="22"/>
          <w:szCs w:val="36"/>
        </w:rPr>
        <w:t xml:space="preserve">Riksdagen tillkännager för regeringen att man ska återkomma för att uppfylla de krav som ställs i förordningen (EU 2022/1854) och att den tillfälliga skatten på vissa elproducenters överintäkter därmed ska gälla hela tidsperioden, dvs 1 december 2022 till 30 juni 2023 och att man i samband med detta även bör anpassa intäktstaket efter svenska förhållanden.  </w:t>
      </w:r>
    </w:p>
    <w:p w14:paraId="53ADF773" w14:textId="77777777" w:rsidR="009D6236" w:rsidRPr="009D6236" w:rsidRDefault="009D6236" w:rsidP="009D6236">
      <w:pPr>
        <w:widowControl/>
        <w:rPr>
          <w:sz w:val="22"/>
          <w:szCs w:val="36"/>
        </w:rPr>
      </w:pPr>
      <w:r w:rsidRPr="009D6236">
        <w:rPr>
          <w:sz w:val="22"/>
          <w:szCs w:val="36"/>
        </w:rPr>
        <w:t xml:space="preserve"> </w:t>
      </w:r>
    </w:p>
    <w:p w14:paraId="53FAD1D0" w14:textId="77777777" w:rsidR="009D6236" w:rsidRPr="009D6236" w:rsidRDefault="009D6236" w:rsidP="009D6236">
      <w:pPr>
        <w:widowControl/>
        <w:rPr>
          <w:sz w:val="22"/>
          <w:szCs w:val="36"/>
        </w:rPr>
      </w:pPr>
    </w:p>
    <w:p w14:paraId="4131709E" w14:textId="77777777" w:rsidR="009D6236" w:rsidRDefault="009D6236" w:rsidP="004C6601">
      <w:pPr>
        <w:ind w:left="-709"/>
        <w:rPr>
          <w:spacing w:val="2"/>
          <w:sz w:val="18"/>
        </w:rPr>
      </w:pPr>
    </w:p>
    <w:sectPr w:rsidR="009D6236"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1"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3E2094"/>
    <w:multiLevelType w:val="hybridMultilevel"/>
    <w:tmpl w:val="13365294"/>
    <w:lvl w:ilvl="0" w:tplc="4D88AEE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9"/>
  </w:num>
  <w:num w:numId="6">
    <w:abstractNumId w:val="2"/>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84E75"/>
    <w:rsid w:val="000853D9"/>
    <w:rsid w:val="00087F8C"/>
    <w:rsid w:val="000902C1"/>
    <w:rsid w:val="000A3563"/>
    <w:rsid w:val="000B1441"/>
    <w:rsid w:val="000B29E8"/>
    <w:rsid w:val="000B4B42"/>
    <w:rsid w:val="000C726F"/>
    <w:rsid w:val="000E010A"/>
    <w:rsid w:val="000E08AD"/>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0BFA"/>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480E"/>
    <w:rsid w:val="002B5D70"/>
    <w:rsid w:val="002C0221"/>
    <w:rsid w:val="002C1771"/>
    <w:rsid w:val="002C5212"/>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3E57"/>
    <w:rsid w:val="0054604E"/>
    <w:rsid w:val="00555130"/>
    <w:rsid w:val="0055672C"/>
    <w:rsid w:val="00562EF7"/>
    <w:rsid w:val="0057774D"/>
    <w:rsid w:val="00577C45"/>
    <w:rsid w:val="00577F47"/>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37F7"/>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26BD"/>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5206A"/>
    <w:rsid w:val="0096348C"/>
    <w:rsid w:val="00964ACB"/>
    <w:rsid w:val="0096754F"/>
    <w:rsid w:val="00973D8B"/>
    <w:rsid w:val="0097434A"/>
    <w:rsid w:val="0097719E"/>
    <w:rsid w:val="00983F2C"/>
    <w:rsid w:val="00991390"/>
    <w:rsid w:val="009A68FE"/>
    <w:rsid w:val="009A772E"/>
    <w:rsid w:val="009B0A01"/>
    <w:rsid w:val="009B18B5"/>
    <w:rsid w:val="009B5F52"/>
    <w:rsid w:val="009C27A1"/>
    <w:rsid w:val="009D20DC"/>
    <w:rsid w:val="009D6236"/>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2602"/>
    <w:rsid w:val="00A744C3"/>
    <w:rsid w:val="00A75B9F"/>
    <w:rsid w:val="00AA0DFB"/>
    <w:rsid w:val="00AA2873"/>
    <w:rsid w:val="00AB4139"/>
    <w:rsid w:val="00AC283D"/>
    <w:rsid w:val="00AC7DDF"/>
    <w:rsid w:val="00AD0133"/>
    <w:rsid w:val="00AD47F5"/>
    <w:rsid w:val="00AE5BBD"/>
    <w:rsid w:val="00AE7247"/>
    <w:rsid w:val="00AF3CA6"/>
    <w:rsid w:val="00B054F1"/>
    <w:rsid w:val="00B36495"/>
    <w:rsid w:val="00B44E5B"/>
    <w:rsid w:val="00B523F7"/>
    <w:rsid w:val="00B54410"/>
    <w:rsid w:val="00B547D0"/>
    <w:rsid w:val="00B55F04"/>
    <w:rsid w:val="00B62EEE"/>
    <w:rsid w:val="00B86CB0"/>
    <w:rsid w:val="00B914F7"/>
    <w:rsid w:val="00B9203B"/>
    <w:rsid w:val="00BB6541"/>
    <w:rsid w:val="00BB6AE7"/>
    <w:rsid w:val="00BC2283"/>
    <w:rsid w:val="00BC2DCD"/>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67DD5"/>
    <w:rsid w:val="00D74308"/>
    <w:rsid w:val="00D84F88"/>
    <w:rsid w:val="00DA30F0"/>
    <w:rsid w:val="00DB1740"/>
    <w:rsid w:val="00DB1AB2"/>
    <w:rsid w:val="00DD11DB"/>
    <w:rsid w:val="00DE54FF"/>
    <w:rsid w:val="00DF06AE"/>
    <w:rsid w:val="00E0219D"/>
    <w:rsid w:val="00E15BE8"/>
    <w:rsid w:val="00E16DC2"/>
    <w:rsid w:val="00E2015B"/>
    <w:rsid w:val="00E264E7"/>
    <w:rsid w:val="00E27E50"/>
    <w:rsid w:val="00E32C32"/>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D65E3"/>
    <w:rsid w:val="00EE57B7"/>
    <w:rsid w:val="00EF16D4"/>
    <w:rsid w:val="00EF57E7"/>
    <w:rsid w:val="00EF721A"/>
    <w:rsid w:val="00F013FB"/>
    <w:rsid w:val="00F055E5"/>
    <w:rsid w:val="00F06D7D"/>
    <w:rsid w:val="00F14A8D"/>
    <w:rsid w:val="00F215FF"/>
    <w:rsid w:val="00F37B10"/>
    <w:rsid w:val="00F37DC2"/>
    <w:rsid w:val="00F5222B"/>
    <w:rsid w:val="00F53772"/>
    <w:rsid w:val="00F5670E"/>
    <w:rsid w:val="00F63F8C"/>
    <w:rsid w:val="00F71C16"/>
    <w:rsid w:val="00F774B5"/>
    <w:rsid w:val="00F82F2C"/>
    <w:rsid w:val="00F85D75"/>
    <w:rsid w:val="00F948C4"/>
    <w:rsid w:val="00F94CF3"/>
    <w:rsid w:val="00FB609F"/>
    <w:rsid w:val="00FC594B"/>
    <w:rsid w:val="00FC5CC6"/>
    <w:rsid w:val="00FD13A3"/>
    <w:rsid w:val="00FD4508"/>
    <w:rsid w:val="00FD47A9"/>
    <w:rsid w:val="00FD48D8"/>
    <w:rsid w:val="00FE0833"/>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01"/>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5E3"/>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character" w:styleId="Kommentarsreferens">
    <w:name w:val="annotation reference"/>
    <w:basedOn w:val="Standardstycketeckensnitt"/>
    <w:rsid w:val="00ED65E3"/>
    <w:rPr>
      <w:sz w:val="16"/>
      <w:szCs w:val="16"/>
    </w:rPr>
  </w:style>
  <w:style w:type="paragraph" w:styleId="Kommentarer">
    <w:name w:val="annotation text"/>
    <w:basedOn w:val="Normal"/>
    <w:link w:val="KommentarerChar"/>
    <w:rsid w:val="00ED65E3"/>
    <w:rPr>
      <w:sz w:val="20"/>
    </w:rPr>
  </w:style>
  <w:style w:type="character" w:customStyle="1" w:styleId="KommentarerChar">
    <w:name w:val="Kommentarer Char"/>
    <w:basedOn w:val="Standardstycketeckensnitt"/>
    <w:link w:val="Kommentarer"/>
    <w:rsid w:val="00ED65E3"/>
  </w:style>
  <w:style w:type="paragraph" w:styleId="Kommentarsmne">
    <w:name w:val="annotation subject"/>
    <w:basedOn w:val="Kommentarer"/>
    <w:next w:val="Kommentarer"/>
    <w:link w:val="KommentarsmneChar"/>
    <w:rsid w:val="00ED65E3"/>
    <w:rPr>
      <w:b/>
      <w:bCs/>
    </w:rPr>
  </w:style>
  <w:style w:type="character" w:customStyle="1" w:styleId="KommentarsmneChar">
    <w:name w:val="Kommentarsämne Char"/>
    <w:basedOn w:val="KommentarerChar"/>
    <w:link w:val="Kommentarsmne"/>
    <w:rsid w:val="00ED6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1812</Words>
  <Characters>11875</Characters>
  <Application>Microsoft Office Word</Application>
  <DocSecurity>0</DocSecurity>
  <Lines>11875</Lines>
  <Paragraphs>855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Fanny Flyborg</cp:lastModifiedBy>
  <cp:revision>3</cp:revision>
  <cp:lastPrinted>2018-10-02T11:13:00Z</cp:lastPrinted>
  <dcterms:created xsi:type="dcterms:W3CDTF">2023-02-21T16:23:00Z</dcterms:created>
  <dcterms:modified xsi:type="dcterms:W3CDTF">2023-02-22T06:36:00Z</dcterms:modified>
</cp:coreProperties>
</file>