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2344E6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2344E6" w:rsidRDefault="009A2D51" w:rsidP="00416999">
            <w:pPr>
              <w:pStyle w:val="HuvudRubrik"/>
              <w:jc w:val="both"/>
            </w:pPr>
            <w:r w:rsidRPr="002344E6">
              <w:t>EU-nämndens yttrande</w:t>
            </w:r>
          </w:p>
          <w:p w:rsidR="00F53A97" w:rsidRPr="002344E6" w:rsidRDefault="0071796B" w:rsidP="00416999">
            <w:pPr>
              <w:pStyle w:val="HuvudRubrikRad2"/>
              <w:jc w:val="both"/>
            </w:pPr>
            <w:bookmarkStart w:id="0" w:name="BetänkandeNr"/>
            <w:bookmarkEnd w:id="0"/>
            <w:r w:rsidRPr="002344E6">
              <w:t>2006/07</w:t>
            </w:r>
            <w:r w:rsidR="00F53A97" w:rsidRPr="002344E6">
              <w:t>:</w:t>
            </w:r>
            <w:r w:rsidRPr="002344E6">
              <w:t>EUN1y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2344E6" w:rsidRDefault="002344E6" w:rsidP="00416999">
            <w:pPr>
              <w:spacing w:line="230" w:lineRule="auto"/>
            </w:pPr>
            <w:r w:rsidRPr="002344E6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2344E6" w:rsidRDefault="00F53A97" w:rsidP="00416999">
            <w:pPr>
              <w:pStyle w:val="Normaltindrag"/>
            </w:pPr>
          </w:p>
          <w:p w:rsidR="00F53A97" w:rsidRPr="002344E6" w:rsidRDefault="00F53A97" w:rsidP="00416999">
            <w:pPr>
              <w:pStyle w:val="UtskriftsdatumSida1"/>
              <w:framePr w:wrap="around"/>
              <w:jc w:val="both"/>
            </w:pPr>
          </w:p>
        </w:tc>
      </w:tr>
      <w:tr w:rsidR="00F53A97" w:rsidRPr="0023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2344E6" w:rsidRDefault="009A2D51" w:rsidP="0096709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2344E6">
              <w:rPr>
                <w:noProof w:val="0"/>
              </w:rPr>
              <w:t>Verksamheten i Eur</w:t>
            </w:r>
            <w:r w:rsidR="002D3D30" w:rsidRPr="002344E6">
              <w:rPr>
                <w:noProof w:val="0"/>
              </w:rPr>
              <w:t>o</w:t>
            </w:r>
            <w:r w:rsidRPr="002344E6">
              <w:rPr>
                <w:noProof w:val="0"/>
              </w:rPr>
              <w:t>peiska unionen under 2006 (skr.</w:t>
            </w:r>
            <w:r w:rsidR="00430703" w:rsidRPr="002344E6">
              <w:rPr>
                <w:noProof w:val="0"/>
              </w:rPr>
              <w:t xml:space="preserve"> </w:t>
            </w:r>
            <w:r w:rsidRPr="002344E6">
              <w:rPr>
                <w:noProof w:val="0"/>
              </w:rPr>
              <w:t>2006/07:85)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2344E6" w:rsidRDefault="00F53A97" w:rsidP="00416999"/>
        </w:tc>
      </w:tr>
      <w:tr w:rsidR="00F53A97" w:rsidRPr="002344E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2344E6" w:rsidRDefault="00F53A97" w:rsidP="00416999"/>
        </w:tc>
        <w:tc>
          <w:tcPr>
            <w:tcW w:w="3012" w:type="dxa"/>
          </w:tcPr>
          <w:p w:rsidR="00F53A97" w:rsidRPr="002344E6" w:rsidRDefault="00F53A97" w:rsidP="00416999"/>
        </w:tc>
        <w:tc>
          <w:tcPr>
            <w:tcW w:w="1418" w:type="dxa"/>
          </w:tcPr>
          <w:p w:rsidR="00F53A97" w:rsidRPr="002344E6" w:rsidRDefault="00F53A97" w:rsidP="00416999"/>
        </w:tc>
      </w:tr>
    </w:tbl>
    <w:p w:rsidR="009A2D51" w:rsidRPr="002344E6" w:rsidRDefault="009A2D51" w:rsidP="00D606CE">
      <w:pPr>
        <w:pStyle w:val="R1"/>
        <w:spacing w:before="375" w:after="250"/>
        <w:jc w:val="both"/>
      </w:pPr>
      <w:r w:rsidRPr="002344E6">
        <w:t>Till utrikesutskottet</w:t>
      </w:r>
    </w:p>
    <w:p w:rsidR="00816BBE" w:rsidRPr="002344E6" w:rsidRDefault="00816BBE" w:rsidP="00416999">
      <w:bookmarkStart w:id="2" w:name="TextStart"/>
      <w:bookmarkEnd w:id="2"/>
      <w:r w:rsidRPr="002344E6">
        <w:t xml:space="preserve">Utrikesutskottet har den </w:t>
      </w:r>
      <w:r w:rsidR="006C53B0" w:rsidRPr="002344E6">
        <w:t>20</w:t>
      </w:r>
      <w:r w:rsidRPr="002344E6">
        <w:t xml:space="preserve"> mars 2007 beslutat att ge EU-nämnden tillfälle att yttra sig över regeringens skrivelse 200</w:t>
      </w:r>
      <w:r w:rsidR="0086749A" w:rsidRPr="002344E6">
        <w:t>6/07:85 Berättelse om verksamh</w:t>
      </w:r>
      <w:r w:rsidR="0086749A" w:rsidRPr="002344E6">
        <w:t>e</w:t>
      </w:r>
      <w:r w:rsidR="0086749A" w:rsidRPr="002344E6">
        <w:t>ten i Europeiska unionen under 2006</w:t>
      </w:r>
      <w:r w:rsidR="000C0FA4" w:rsidRPr="002344E6">
        <w:t>.</w:t>
      </w:r>
    </w:p>
    <w:p w:rsidR="0086749A" w:rsidRPr="002344E6" w:rsidRDefault="0086749A" w:rsidP="00416999">
      <w:pPr>
        <w:pStyle w:val="Normaltindrag"/>
      </w:pPr>
      <w:r w:rsidRPr="002344E6">
        <w:t>EU-nämnden behandlar i detta yttrande – liksom i tidigare yttranden – dels vissa övergripande frågor som gäller skrivelsens innehåll och regeringens samråd med riksdagen, dels vissa av de frågor som redovisas i skrivelsen och som nämnden velat särskilt uppmärksamma</w:t>
      </w:r>
      <w:r w:rsidR="00E5081D" w:rsidRPr="002344E6">
        <w:t>.</w:t>
      </w:r>
    </w:p>
    <w:p w:rsidR="00E5081D" w:rsidRPr="002344E6" w:rsidRDefault="00E5081D" w:rsidP="00416999">
      <w:pPr>
        <w:pStyle w:val="Rubrik1"/>
        <w:spacing w:before="480" w:after="240"/>
        <w:jc w:val="both"/>
        <w:rPr>
          <w:noProof w:val="0"/>
        </w:rPr>
      </w:pPr>
      <w:bookmarkStart w:id="3" w:name="_Toc164562695"/>
      <w:r w:rsidRPr="002344E6">
        <w:rPr>
          <w:noProof w:val="0"/>
        </w:rPr>
        <w:t>Regeringens skrivelse</w:t>
      </w:r>
      <w:bookmarkEnd w:id="3"/>
    </w:p>
    <w:p w:rsidR="000D0145" w:rsidRPr="002344E6" w:rsidRDefault="003C4F8B" w:rsidP="00416999">
      <w:r w:rsidRPr="002344E6">
        <w:t>I skrivelsen om verksamheten i Europeiska unionen under 2006 behandlas Europeiska unionens övergripande utveckling (del 1), unionens förbindelser med omvärlden (del 2)</w:t>
      </w:r>
      <w:r w:rsidR="000D0145" w:rsidRPr="002344E6">
        <w:t>, ekonomiska oc</w:t>
      </w:r>
      <w:r w:rsidR="007C7682" w:rsidRPr="002344E6">
        <w:t>h finansiella frågor (del 3) samt</w:t>
      </w:r>
      <w:r w:rsidR="000D0145" w:rsidRPr="002344E6">
        <w:t xml:space="preserve"> rättsl</w:t>
      </w:r>
      <w:r w:rsidR="000D0145" w:rsidRPr="002344E6">
        <w:t>i</w:t>
      </w:r>
      <w:r w:rsidR="000D0145" w:rsidRPr="002344E6">
        <w:t>ga och inrikes frågor (del 4). Vidare behandlas unionens övriga politikomr</w:t>
      </w:r>
      <w:r w:rsidR="000D0145" w:rsidRPr="002344E6">
        <w:t>å</w:t>
      </w:r>
      <w:r w:rsidR="000D0145" w:rsidRPr="002344E6">
        <w:rPr>
          <w:spacing w:val="-2"/>
        </w:rPr>
        <w:t>den (delarna 5–10). Slutl</w:t>
      </w:r>
      <w:r w:rsidR="000D0145" w:rsidRPr="002344E6">
        <w:rPr>
          <w:spacing w:val="-2"/>
        </w:rPr>
        <w:t>i</w:t>
      </w:r>
      <w:r w:rsidR="000D0145" w:rsidRPr="002344E6">
        <w:rPr>
          <w:spacing w:val="-2"/>
        </w:rPr>
        <w:t>gen redogörs för unionens institutioner m.m. (del 11).</w:t>
      </w:r>
    </w:p>
    <w:p w:rsidR="00885DE4" w:rsidRPr="002344E6" w:rsidRDefault="000D0145" w:rsidP="00416999">
      <w:pPr>
        <w:pStyle w:val="Normaltindrag"/>
      </w:pPr>
      <w:r w:rsidRPr="002344E6">
        <w:t xml:space="preserve">I bilagor redogörs också för mål och </w:t>
      </w:r>
      <w:r w:rsidR="00644140" w:rsidRPr="002344E6">
        <w:t xml:space="preserve">domar avgjorda av EG-domstolen </w:t>
      </w:r>
      <w:r w:rsidRPr="002344E6">
        <w:t>och EG-domstolens förstainstansrätt samt för pågående s.k. överträdelseäre</w:t>
      </w:r>
      <w:r w:rsidRPr="002344E6">
        <w:t>n</w:t>
      </w:r>
      <w:r w:rsidRPr="002344E6">
        <w:t xml:space="preserve">den rörande Sverige. Vidare finns en bilaga i vilken det redogörs för beslut i </w:t>
      </w:r>
      <w:r w:rsidR="00C344FE" w:rsidRPr="002344E6">
        <w:t>E</w:t>
      </w:r>
      <w:r w:rsidR="00C344FE" w:rsidRPr="002344E6">
        <w:t>u</w:t>
      </w:r>
      <w:r w:rsidR="00C344FE" w:rsidRPr="002344E6">
        <w:t>ropeiska unionens råd</w:t>
      </w:r>
      <w:r w:rsidRPr="002344E6">
        <w:t xml:space="preserve"> som Sverige inte stött och en bilaga med ordförklarin</w:t>
      </w:r>
      <w:r w:rsidRPr="002344E6">
        <w:t>g</w:t>
      </w:r>
      <w:r w:rsidRPr="002344E6">
        <w:t>ar kring beslutsfattande</w:t>
      </w:r>
      <w:r w:rsidR="00C344FE" w:rsidRPr="002344E6">
        <w:t>t samt ett sakregister</w:t>
      </w:r>
      <w:r w:rsidRPr="002344E6">
        <w:t>.</w:t>
      </w:r>
    </w:p>
    <w:p w:rsidR="00885DE4" w:rsidRPr="002344E6" w:rsidRDefault="00885DE4" w:rsidP="00416999"/>
    <w:p w:rsidR="000D0145" w:rsidRPr="002344E6" w:rsidRDefault="000D0145" w:rsidP="00416999">
      <w:pPr>
        <w:pStyle w:val="Normaltindrag"/>
      </w:pPr>
      <w:r w:rsidRPr="002344E6">
        <w:t xml:space="preserve">   </w:t>
      </w:r>
    </w:p>
    <w:p w:rsidR="000D0145" w:rsidRPr="002344E6" w:rsidRDefault="000D0145" w:rsidP="00416999">
      <w:pPr>
        <w:pStyle w:val="Normaltindrag"/>
      </w:pPr>
    </w:p>
    <w:p w:rsidR="00E5081D" w:rsidRPr="002344E6" w:rsidRDefault="00E5081D" w:rsidP="00416999">
      <w:pPr>
        <w:pStyle w:val="Normaltindrag"/>
        <w:sectPr w:rsidR="00E5081D" w:rsidRPr="002344E6" w:rsidSect="007179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E5081D" w:rsidRPr="002344E6" w:rsidRDefault="00E5081D" w:rsidP="00416999">
      <w:pPr>
        <w:pStyle w:val="Rubrik1"/>
        <w:spacing w:after="360"/>
        <w:jc w:val="both"/>
        <w:rPr>
          <w:noProof w:val="0"/>
        </w:rPr>
      </w:pPr>
      <w:bookmarkStart w:id="4" w:name="_Toc164562696"/>
      <w:r w:rsidRPr="002344E6">
        <w:rPr>
          <w:noProof w:val="0"/>
        </w:rPr>
        <w:lastRenderedPageBreak/>
        <w:t>EU-nämnden</w:t>
      </w:r>
      <w:bookmarkEnd w:id="4"/>
    </w:p>
    <w:p w:rsidR="00E5081D" w:rsidRPr="002344E6" w:rsidRDefault="00E5081D" w:rsidP="00416999">
      <w:pPr>
        <w:pStyle w:val="Rubrik2"/>
        <w:spacing w:before="0"/>
        <w:jc w:val="both"/>
      </w:pPr>
      <w:bookmarkStart w:id="5" w:name="_Toc164562697"/>
      <w:r w:rsidRPr="002344E6">
        <w:t>Allmänna synpunkter på innehållet i skrivelsen</w:t>
      </w:r>
      <w:bookmarkEnd w:id="5"/>
    </w:p>
    <w:p w:rsidR="00027135" w:rsidRPr="002344E6" w:rsidRDefault="00027135" w:rsidP="00416999">
      <w:r w:rsidRPr="002344E6">
        <w:t>Enligt 10 kap. 6 § regeringsformen skall regeringen fortlöpande informera riksdagen och samråda med organ som utses av riksdagen om vad som sker inom ramen för samarbetet i Europeiska unionen. Enligt 10 kap. 1 § riksdag</w:t>
      </w:r>
      <w:r w:rsidRPr="002344E6">
        <w:t>s</w:t>
      </w:r>
      <w:r w:rsidRPr="002344E6">
        <w:t>ordningen skall regeringen varje år till riksdagen lämna en skrivelse med berättelse över verksamheten i Europeiska unionen. Regeringen skall dessu</w:t>
      </w:r>
      <w:r w:rsidRPr="002344E6">
        <w:t>t</w:t>
      </w:r>
      <w:r w:rsidRPr="002344E6">
        <w:t xml:space="preserve">om redovisa sitt agerande i EU för riksdagen. </w:t>
      </w:r>
      <w:r w:rsidR="009837DB" w:rsidRPr="002344E6">
        <w:t>Den första skrivelsen lämnades i mars 1996, och detta är således den tolfte skrivelsen som lämnas till riksd</w:t>
      </w:r>
      <w:r w:rsidR="009837DB" w:rsidRPr="002344E6">
        <w:t>a</w:t>
      </w:r>
      <w:r w:rsidR="009837DB" w:rsidRPr="002344E6">
        <w:t>gen.</w:t>
      </w:r>
    </w:p>
    <w:p w:rsidR="00095B62" w:rsidRPr="002344E6" w:rsidRDefault="00027135" w:rsidP="00416999">
      <w:pPr>
        <w:pStyle w:val="Normaltindrag"/>
      </w:pPr>
      <w:r w:rsidRPr="002344E6">
        <w:t>EU-nämnden bereddes tillfälle att yttra sig över skrivelsen för första gån</w:t>
      </w:r>
      <w:r w:rsidRPr="002344E6">
        <w:t>g</w:t>
      </w:r>
      <w:r w:rsidRPr="002344E6">
        <w:t>en våren 1999 och har därefter yttrat sig över varje års skrivelse.  Också i år kan det konstateras att skrivelsens utformning och innehåll utgör en vä</w:t>
      </w:r>
      <w:r w:rsidRPr="002344E6">
        <w:t>r</w:t>
      </w:r>
      <w:r w:rsidRPr="002344E6">
        <w:t>defull översikt över EU:s hela verksamhet liksom en redogöre</w:t>
      </w:r>
      <w:r w:rsidR="00EE10F3" w:rsidRPr="002344E6">
        <w:t>lse</w:t>
      </w:r>
      <w:r w:rsidRPr="002344E6">
        <w:t xml:space="preserve"> för hur regerin</w:t>
      </w:r>
      <w:r w:rsidRPr="002344E6">
        <w:t>g</w:t>
      </w:r>
      <w:r w:rsidRPr="002344E6">
        <w:t>en har agerat i EU.</w:t>
      </w:r>
      <w:r w:rsidR="004F2B72" w:rsidRPr="002344E6">
        <w:t xml:space="preserve"> Den utgör därmed ett verktyg som underlättar för </w:t>
      </w:r>
      <w:r w:rsidR="00095B62" w:rsidRPr="002344E6">
        <w:t>riksdagen</w:t>
      </w:r>
      <w:r w:rsidR="004F2B72" w:rsidRPr="002344E6">
        <w:t xml:space="preserve"> att utöva sin kontrollmakt.</w:t>
      </w:r>
      <w:r w:rsidRPr="002344E6">
        <w:t xml:space="preserve"> </w:t>
      </w:r>
    </w:p>
    <w:p w:rsidR="00027135" w:rsidRPr="002344E6" w:rsidRDefault="00491637" w:rsidP="00416999">
      <w:pPr>
        <w:pStyle w:val="Normaltindrag"/>
      </w:pPr>
      <w:r w:rsidRPr="002344E6">
        <w:t>V</w:t>
      </w:r>
      <w:r w:rsidR="009837DB" w:rsidRPr="002344E6">
        <w:t>iktiga sakfrågor på rådets dagordning som tas upp i skrivelsen har b</w:t>
      </w:r>
      <w:r w:rsidR="009837DB" w:rsidRPr="002344E6">
        <w:t>e</w:t>
      </w:r>
      <w:r w:rsidR="009837DB" w:rsidRPr="002344E6">
        <w:t xml:space="preserve">handlats av EU-nämnden. </w:t>
      </w:r>
      <w:r w:rsidR="00027135" w:rsidRPr="002344E6">
        <w:t>Flera av de frågor som b</w:t>
      </w:r>
      <w:r w:rsidR="00027135" w:rsidRPr="002344E6">
        <w:t>e</w:t>
      </w:r>
      <w:r w:rsidR="00027135" w:rsidRPr="002344E6">
        <w:t>handlas i skrivelsen är aktuella under flera år framöver, vilket medför att skrivelsen också är ett viktigt re</w:t>
      </w:r>
      <w:r w:rsidR="00027135" w:rsidRPr="002344E6">
        <w:t>d</w:t>
      </w:r>
      <w:r w:rsidR="00027135" w:rsidRPr="002344E6">
        <w:t xml:space="preserve">skap i riksdagens löpande arbete med EU-frågorna. </w:t>
      </w:r>
      <w:r w:rsidR="006C53B0" w:rsidRPr="002344E6">
        <w:t>EU-nämnden kan konst</w:t>
      </w:r>
      <w:r w:rsidR="006C53B0" w:rsidRPr="002344E6">
        <w:t>a</w:t>
      </w:r>
      <w:r w:rsidR="006C53B0" w:rsidRPr="002344E6">
        <w:t xml:space="preserve">tera att det inte framgår av skrivelsen i vad mån regeringsskiftet </w:t>
      </w:r>
      <w:r w:rsidR="00D03984" w:rsidRPr="002344E6">
        <w:t xml:space="preserve">i oktober 2006 </w:t>
      </w:r>
      <w:r w:rsidR="006C53B0" w:rsidRPr="002344E6">
        <w:t>medfört någon ändring av Sveriges politik på EU:s olika sa</w:t>
      </w:r>
      <w:r w:rsidR="006C53B0" w:rsidRPr="002344E6">
        <w:t>k</w:t>
      </w:r>
      <w:r w:rsidR="006C53B0" w:rsidRPr="002344E6">
        <w:t xml:space="preserve">områden. </w:t>
      </w:r>
    </w:p>
    <w:p w:rsidR="00027135" w:rsidRPr="002344E6" w:rsidRDefault="00027135" w:rsidP="00416999">
      <w:pPr>
        <w:pStyle w:val="Normaltindrag"/>
      </w:pPr>
      <w:r w:rsidRPr="002344E6">
        <w:t>Allmänt anser EU-nämnden att årets skrivelse innehåller en bra och lättil</w:t>
      </w:r>
      <w:r w:rsidRPr="002344E6">
        <w:t>l</w:t>
      </w:r>
      <w:r w:rsidRPr="002344E6">
        <w:t>gänglig beskri</w:t>
      </w:r>
      <w:r w:rsidRPr="002344E6">
        <w:t>v</w:t>
      </w:r>
      <w:r w:rsidRPr="002344E6">
        <w:t xml:space="preserve">ning av verksamheten i Europeiska unionen under år 2006. En välkommen nyhet är att alla kapitel i år inleds </w:t>
      </w:r>
      <w:r w:rsidR="003C00C6" w:rsidRPr="002344E6">
        <w:t xml:space="preserve">med </w:t>
      </w:r>
      <w:r w:rsidR="00C344FE" w:rsidRPr="002344E6">
        <w:t xml:space="preserve">en ruta som innehåller </w:t>
      </w:r>
      <w:r w:rsidR="003C00C6" w:rsidRPr="002344E6">
        <w:t>en sa</w:t>
      </w:r>
      <w:r w:rsidR="003C00C6" w:rsidRPr="002344E6">
        <w:t>m</w:t>
      </w:r>
      <w:r w:rsidR="003C00C6" w:rsidRPr="002344E6">
        <w:t>manfattning av vilken</w:t>
      </w:r>
      <w:r w:rsidRPr="002344E6">
        <w:t xml:space="preserve"> framgår bl.a. Sveriges insatser och hållning. </w:t>
      </w:r>
    </w:p>
    <w:p w:rsidR="00027135" w:rsidRPr="002344E6" w:rsidRDefault="00027135" w:rsidP="00416999">
      <w:pPr>
        <w:pStyle w:val="Normaltindrag"/>
      </w:pPr>
      <w:r w:rsidRPr="002344E6">
        <w:t xml:space="preserve">Nämnden framhöll i förra årets yttrande över </w:t>
      </w:r>
      <w:r w:rsidR="009F2D10" w:rsidRPr="002344E6">
        <w:t>skrivelsen</w:t>
      </w:r>
      <w:r w:rsidRPr="002344E6">
        <w:t xml:space="preserve"> att i de fall det i texten redovisas ställningstaganden i specifika ärenden bör det i större u</w:t>
      </w:r>
      <w:r w:rsidRPr="002344E6">
        <w:t>t</w:t>
      </w:r>
      <w:r w:rsidRPr="002344E6">
        <w:t xml:space="preserve">sträckning göras åtskillnad mellan </w:t>
      </w:r>
      <w:r w:rsidRPr="002344E6">
        <w:rPr>
          <w:i/>
        </w:rPr>
        <w:t xml:space="preserve">regeringens </w:t>
      </w:r>
      <w:r w:rsidRPr="002344E6">
        <w:t xml:space="preserve">uppfattning och </w:t>
      </w:r>
      <w:r w:rsidRPr="002344E6">
        <w:rPr>
          <w:i/>
        </w:rPr>
        <w:t>Sv</w:t>
      </w:r>
      <w:r w:rsidRPr="002344E6">
        <w:rPr>
          <w:i/>
        </w:rPr>
        <w:t>e</w:t>
      </w:r>
      <w:r w:rsidRPr="002344E6">
        <w:rPr>
          <w:i/>
        </w:rPr>
        <w:t>riges</w:t>
      </w:r>
      <w:r w:rsidRPr="002344E6">
        <w:t xml:space="preserve"> position. </w:t>
      </w:r>
      <w:r w:rsidR="009837DB" w:rsidRPr="002344E6">
        <w:t xml:space="preserve">Det kan t.ex. gälla hänvisning till faktapromemorior där </w:t>
      </w:r>
      <w:r w:rsidR="00C344FE" w:rsidRPr="002344E6">
        <w:t>rege</w:t>
      </w:r>
      <w:r w:rsidR="00C344FE" w:rsidRPr="002344E6">
        <w:t>r</w:t>
      </w:r>
      <w:r w:rsidR="00C344FE" w:rsidRPr="002344E6">
        <w:t>ingens</w:t>
      </w:r>
      <w:r w:rsidR="009837DB" w:rsidRPr="002344E6">
        <w:t xml:space="preserve"> position på ett tidigt stadium redovisas som </w:t>
      </w:r>
      <w:r w:rsidR="009837DB" w:rsidRPr="002344E6">
        <w:rPr>
          <w:i/>
        </w:rPr>
        <w:t>Sveriges</w:t>
      </w:r>
      <w:r w:rsidR="009837DB" w:rsidRPr="002344E6">
        <w:t xml:space="preserve"> pos</w:t>
      </w:r>
      <w:r w:rsidR="009837DB" w:rsidRPr="002344E6">
        <w:t>i</w:t>
      </w:r>
      <w:r w:rsidR="009837DB" w:rsidRPr="002344E6">
        <w:t>tion trots att den inte hunnits förankras i riksdagen</w:t>
      </w:r>
      <w:r w:rsidR="009F2D10" w:rsidRPr="002344E6">
        <w:t>,</w:t>
      </w:r>
      <w:r w:rsidR="009837DB" w:rsidRPr="002344E6">
        <w:t xml:space="preserve"> varför man ännu inte kan tala om </w:t>
      </w:r>
      <w:r w:rsidR="009837DB" w:rsidRPr="002344E6">
        <w:rPr>
          <w:i/>
        </w:rPr>
        <w:t>Sveriges</w:t>
      </w:r>
      <w:r w:rsidR="009837DB" w:rsidRPr="002344E6">
        <w:t xml:space="preserve"> pos</w:t>
      </w:r>
      <w:r w:rsidR="009837DB" w:rsidRPr="002344E6">
        <w:t>i</w:t>
      </w:r>
      <w:r w:rsidR="009837DB" w:rsidRPr="002344E6">
        <w:t xml:space="preserve">tion. </w:t>
      </w:r>
    </w:p>
    <w:p w:rsidR="00027135" w:rsidRPr="002344E6" w:rsidRDefault="00027135" w:rsidP="00416999">
      <w:pPr>
        <w:pStyle w:val="Normaltindrag"/>
      </w:pPr>
      <w:r w:rsidRPr="002344E6">
        <w:t xml:space="preserve">EU-nämnden har också tidigare framhållit att det kan vara intressant att veta i vilken </w:t>
      </w:r>
      <w:r w:rsidRPr="002344E6">
        <w:rPr>
          <w:i/>
        </w:rPr>
        <w:t>sammansättning</w:t>
      </w:r>
      <w:r w:rsidRPr="002344E6">
        <w:t xml:space="preserve"> och vid vilken </w:t>
      </w:r>
      <w:r w:rsidRPr="002344E6">
        <w:rPr>
          <w:i/>
        </w:rPr>
        <w:t xml:space="preserve">tidpunkt </w:t>
      </w:r>
      <w:r w:rsidRPr="002344E6">
        <w:t>rådet hanterar en fråga. I de flesta fall framgår det av sammanhanget vilka ministrar som är berörda men ibland är det oklart. I årets skrivelse tycks rådssammansättning liksom tidpunkt anges på flera ställen men det förefaller inte ha skett genomgående</w:t>
      </w:r>
      <w:r w:rsidR="00382422" w:rsidRPr="002344E6">
        <w:t xml:space="preserve">, särskilt inte vad </w:t>
      </w:r>
      <w:r w:rsidR="00C344FE" w:rsidRPr="002344E6">
        <w:t>gäller</w:t>
      </w:r>
      <w:r w:rsidR="00382422" w:rsidRPr="002344E6">
        <w:t xml:space="preserve"> de ministerråd som behandlar ett flertal olika sakomr</w:t>
      </w:r>
      <w:r w:rsidR="00382422" w:rsidRPr="002344E6">
        <w:t>å</w:t>
      </w:r>
      <w:r w:rsidR="00382422" w:rsidRPr="002344E6">
        <w:t>den (</w:t>
      </w:r>
      <w:r w:rsidR="00C344FE" w:rsidRPr="002344E6">
        <w:t xml:space="preserve">t.ex. </w:t>
      </w:r>
      <w:r w:rsidR="00382422" w:rsidRPr="002344E6">
        <w:t xml:space="preserve">konkurrenskraftsrådet och </w:t>
      </w:r>
      <w:r w:rsidR="00084FDA" w:rsidRPr="002344E6">
        <w:t>rådet för sysselsättning, socialpolitik, hälso- och sjukvårds</w:t>
      </w:r>
      <w:r w:rsidR="00491582" w:rsidRPr="002344E6">
        <w:t>- samt konsument</w:t>
      </w:r>
      <w:r w:rsidR="00084FDA" w:rsidRPr="002344E6">
        <w:t xml:space="preserve">frågor, </w:t>
      </w:r>
      <w:r w:rsidR="00382422" w:rsidRPr="002344E6">
        <w:t>det s.k. E</w:t>
      </w:r>
      <w:r w:rsidR="00A74992" w:rsidRPr="002344E6">
        <w:t>PSCO</w:t>
      </w:r>
      <w:r w:rsidR="00095B62" w:rsidRPr="002344E6">
        <w:t>-</w:t>
      </w:r>
      <w:r w:rsidR="00382422" w:rsidRPr="002344E6">
        <w:t>rådet).</w:t>
      </w:r>
      <w:r w:rsidRPr="002344E6">
        <w:t xml:space="preserve"> </w:t>
      </w:r>
    </w:p>
    <w:p w:rsidR="00382422" w:rsidRPr="002344E6" w:rsidRDefault="00382422" w:rsidP="00416999">
      <w:pPr>
        <w:pStyle w:val="Normaltindrag"/>
      </w:pPr>
      <w:r w:rsidRPr="002344E6">
        <w:t>EU-nämnden noterar att det även i årets skrivelse finns en samlad redovi</w:t>
      </w:r>
      <w:r w:rsidRPr="002344E6">
        <w:t>s</w:t>
      </w:r>
      <w:r w:rsidRPr="002344E6">
        <w:t>ning av beslut i rådet som Sverige inte stött (bilaga 5) och välko</w:t>
      </w:r>
      <w:r w:rsidRPr="002344E6">
        <w:t>m</w:t>
      </w:r>
      <w:r w:rsidRPr="002344E6">
        <w:t>nar att det</w:t>
      </w:r>
      <w:r w:rsidR="00022F3A" w:rsidRPr="002344E6">
        <w:t xml:space="preserve"> numera finns uppgifter om</w:t>
      </w:r>
      <w:r w:rsidRPr="002344E6">
        <w:t xml:space="preserve"> vilket råd</w:t>
      </w:r>
      <w:r w:rsidR="009F2D10" w:rsidRPr="002344E6">
        <w:t xml:space="preserve">smöte </w:t>
      </w:r>
      <w:r w:rsidRPr="002344E6">
        <w:t xml:space="preserve">som avses och när detta har ägt rum. EU-nämnden skulle </w:t>
      </w:r>
      <w:r w:rsidR="00B90EE3" w:rsidRPr="002344E6">
        <w:t xml:space="preserve">dock </w:t>
      </w:r>
      <w:r w:rsidRPr="002344E6">
        <w:t xml:space="preserve">gärna se att det framgick tydligare av bilagans inledning att det endast rör sig om </w:t>
      </w:r>
      <w:r w:rsidRPr="002344E6">
        <w:rPr>
          <w:i/>
        </w:rPr>
        <w:t>formella</w:t>
      </w:r>
      <w:r w:rsidRPr="002344E6">
        <w:t xml:space="preserve"> omröstnin</w:t>
      </w:r>
      <w:r w:rsidRPr="002344E6">
        <w:t>g</w:t>
      </w:r>
      <w:r w:rsidRPr="002344E6">
        <w:t>ar och att därför mer informella ställningstaganden inte tas upp, som var fallet när Sv</w:t>
      </w:r>
      <w:r w:rsidRPr="002344E6">
        <w:t>e</w:t>
      </w:r>
      <w:r w:rsidR="008F0ED6" w:rsidRPr="002344E6">
        <w:t xml:space="preserve">rige den 13 november 2006 på </w:t>
      </w:r>
      <w:r w:rsidR="00C344FE" w:rsidRPr="002344E6">
        <w:t>rådet för u</w:t>
      </w:r>
      <w:r w:rsidR="008F0ED6" w:rsidRPr="002344E6">
        <w:t>tbildning, ungdom och ku</w:t>
      </w:r>
      <w:r w:rsidR="008F0ED6" w:rsidRPr="002344E6">
        <w:t>l</w:t>
      </w:r>
      <w:r w:rsidR="008F0ED6" w:rsidRPr="002344E6">
        <w:t>tur</w:t>
      </w:r>
      <w:r w:rsidRPr="002344E6">
        <w:t xml:space="preserve"> inte ställde sig bakom rådets allmänna riktlinje i fråga om direktivet om television utan grä</w:t>
      </w:r>
      <w:r w:rsidRPr="002344E6">
        <w:t>n</w:t>
      </w:r>
      <w:r w:rsidRPr="002344E6">
        <w:t>ser</w:t>
      </w:r>
      <w:r w:rsidR="00A668BD" w:rsidRPr="002344E6">
        <w:t xml:space="preserve"> (se </w:t>
      </w:r>
      <w:r w:rsidR="002C2C23" w:rsidRPr="002344E6">
        <w:t>avsnittet</w:t>
      </w:r>
      <w:r w:rsidR="00A668BD" w:rsidRPr="002344E6">
        <w:t xml:space="preserve"> om utbildning, ungdom och kultur – del 10)</w:t>
      </w:r>
      <w:r w:rsidR="00C344FE" w:rsidRPr="002344E6">
        <w:t xml:space="preserve">. </w:t>
      </w:r>
    </w:p>
    <w:p w:rsidR="00382422" w:rsidRPr="002344E6" w:rsidRDefault="00382422" w:rsidP="00416999">
      <w:pPr>
        <w:pStyle w:val="Normaltindrag"/>
      </w:pPr>
      <w:r w:rsidRPr="002344E6">
        <w:t>EU-nämnden saknar i frå</w:t>
      </w:r>
      <w:r w:rsidR="008F0ED6" w:rsidRPr="002344E6">
        <w:t>gan om höjd avgift för Schengen</w:t>
      </w:r>
      <w:r w:rsidRPr="002344E6">
        <w:t>visering en hä</w:t>
      </w:r>
      <w:r w:rsidRPr="002344E6">
        <w:t>n</w:t>
      </w:r>
      <w:r w:rsidRPr="002344E6">
        <w:t>visning till regeringens samråd med EU-nämnden den 21 april 2006, där regeringen fick mandatet att endas</w:t>
      </w:r>
      <w:r w:rsidR="008F0ED6" w:rsidRPr="002344E6">
        <w:t>t stödja beslutet om det undanto</w:t>
      </w:r>
      <w:r w:rsidRPr="002344E6">
        <w:t>g barn under 18</w:t>
      </w:r>
      <w:r w:rsidR="008F0ED6" w:rsidRPr="002344E6">
        <w:t xml:space="preserve"> år</w:t>
      </w:r>
      <w:r w:rsidR="00A668BD" w:rsidRPr="002344E6">
        <w:t>;</w:t>
      </w:r>
      <w:r w:rsidRPr="002344E6">
        <w:t xml:space="preserve"> i annat fall skulle regeringen </w:t>
      </w:r>
      <w:r w:rsidR="009F2D10" w:rsidRPr="002344E6">
        <w:t xml:space="preserve">enligt mandatet </w:t>
      </w:r>
      <w:r w:rsidRPr="002344E6">
        <w:t xml:space="preserve">rösta nej. </w:t>
      </w:r>
    </w:p>
    <w:p w:rsidR="00382422" w:rsidRPr="002344E6" w:rsidRDefault="00382422" w:rsidP="00416999">
      <w:pPr>
        <w:pStyle w:val="Normaltindrag"/>
      </w:pPr>
      <w:r w:rsidRPr="002344E6">
        <w:t xml:space="preserve">Vidare har EU-nämnden funnit att delar av informationen i bilagan är </w:t>
      </w:r>
      <w:r w:rsidR="00D03984" w:rsidRPr="002344E6">
        <w:t>missvisande</w:t>
      </w:r>
      <w:r w:rsidRPr="002344E6">
        <w:t xml:space="preserve">. </w:t>
      </w:r>
      <w:r w:rsidR="00A668BD" w:rsidRPr="002344E6">
        <w:t xml:space="preserve">Luftkvalitetsdirektivet redovisas under rubriken ”nej-röster”. Det framgår dock av texten </w:t>
      </w:r>
      <w:r w:rsidR="00D03984" w:rsidRPr="002344E6">
        <w:t xml:space="preserve">att </w:t>
      </w:r>
      <w:r w:rsidR="00A668BD" w:rsidRPr="002344E6">
        <w:t>Sverige lagt ne</w:t>
      </w:r>
      <w:r w:rsidR="00C668A5" w:rsidRPr="002344E6">
        <w:t>d</w:t>
      </w:r>
      <w:r w:rsidR="00A668BD" w:rsidRPr="002344E6">
        <w:t xml:space="preserve"> rösten och lämnat en röstfö</w:t>
      </w:r>
      <w:r w:rsidR="00A668BD" w:rsidRPr="002344E6">
        <w:t>r</w:t>
      </w:r>
      <w:r w:rsidR="00A668BD" w:rsidRPr="002344E6">
        <w:t>klaring</w:t>
      </w:r>
      <w:r w:rsidR="00D03984" w:rsidRPr="002344E6">
        <w:t>, vilket bekräftas av</w:t>
      </w:r>
      <w:r w:rsidRPr="002344E6">
        <w:t xml:space="preserve"> protokollet från rådet</w:t>
      </w:r>
      <w:r w:rsidR="00AF5833" w:rsidRPr="002344E6">
        <w:t>s</w:t>
      </w:r>
      <w:r w:rsidR="00D15093" w:rsidRPr="002344E6">
        <w:t xml:space="preserve"> </w:t>
      </w:r>
      <w:r w:rsidR="00AF5833" w:rsidRPr="002344E6">
        <w:t>(m</w:t>
      </w:r>
      <w:r w:rsidR="00D15093" w:rsidRPr="002344E6">
        <w:t>iljö</w:t>
      </w:r>
      <w:r w:rsidR="00AF5833" w:rsidRPr="002344E6">
        <w:t>)</w:t>
      </w:r>
      <w:r w:rsidR="00A668BD" w:rsidRPr="002344E6">
        <w:t xml:space="preserve"> </w:t>
      </w:r>
      <w:r w:rsidRPr="002344E6">
        <w:t>möte den 23 okt</w:t>
      </w:r>
      <w:r w:rsidRPr="002344E6">
        <w:t>o</w:t>
      </w:r>
      <w:r w:rsidRPr="002344E6">
        <w:t>ber 2006</w:t>
      </w:r>
      <w:r w:rsidR="00D03984" w:rsidRPr="002344E6">
        <w:t>.</w:t>
      </w:r>
      <w:r w:rsidRPr="002344E6">
        <w:t xml:space="preserve"> </w:t>
      </w:r>
      <w:r w:rsidR="00D03984" w:rsidRPr="002344E6">
        <w:t xml:space="preserve">Det </w:t>
      </w:r>
      <w:r w:rsidRPr="002344E6">
        <w:t xml:space="preserve">var </w:t>
      </w:r>
      <w:r w:rsidR="00D03984" w:rsidRPr="002344E6">
        <w:t xml:space="preserve">också </w:t>
      </w:r>
      <w:r w:rsidRPr="002344E6">
        <w:t>det mandat regeringen fick av EU-nämnden</w:t>
      </w:r>
      <w:r w:rsidR="008F0ED6" w:rsidRPr="002344E6">
        <w:t xml:space="preserve"> (se </w:t>
      </w:r>
      <w:r w:rsidR="00A668BD" w:rsidRPr="002344E6">
        <w:t xml:space="preserve"> </w:t>
      </w:r>
      <w:r w:rsidR="008F0ED6" w:rsidRPr="002344E6">
        <w:t>avsni</w:t>
      </w:r>
      <w:r w:rsidR="008F0ED6" w:rsidRPr="002344E6">
        <w:t>t</w:t>
      </w:r>
      <w:r w:rsidR="008F0ED6" w:rsidRPr="002344E6">
        <w:t xml:space="preserve">tet </w:t>
      </w:r>
      <w:r w:rsidR="00A668BD" w:rsidRPr="002344E6">
        <w:t>om m</w:t>
      </w:r>
      <w:r w:rsidR="008F0ED6" w:rsidRPr="002344E6">
        <w:t>iljö</w:t>
      </w:r>
      <w:r w:rsidR="00A668BD" w:rsidRPr="002344E6">
        <w:t xml:space="preserve"> – del 9</w:t>
      </w:r>
      <w:r w:rsidR="008F0ED6" w:rsidRPr="002344E6">
        <w:t>)</w:t>
      </w:r>
      <w:r w:rsidRPr="002344E6">
        <w:t>.</w:t>
      </w:r>
      <w:r w:rsidR="00A668BD" w:rsidRPr="002344E6">
        <w:t xml:space="preserve"> </w:t>
      </w:r>
      <w:r w:rsidRPr="002344E6">
        <w:t xml:space="preserve">Det anges även att Sverige lade ned sin röst på </w:t>
      </w:r>
      <w:r w:rsidR="004E5155" w:rsidRPr="002344E6">
        <w:t>rådet för tr</w:t>
      </w:r>
      <w:r w:rsidRPr="002344E6">
        <w:t>ansport, telekommunikation och energi den 11 och 12 d</w:t>
      </w:r>
      <w:r w:rsidRPr="002344E6">
        <w:t>e</w:t>
      </w:r>
      <w:r w:rsidRPr="002344E6">
        <w:t>cember 2006 i frågan om det s.k. begränsningsdirektivet rörande det svårne</w:t>
      </w:r>
      <w:r w:rsidRPr="002344E6">
        <w:t>d</w:t>
      </w:r>
      <w:r w:rsidRPr="002344E6">
        <w:t xml:space="preserve">brytbara ämnet PFOS. </w:t>
      </w:r>
      <w:r w:rsidR="00327E4C" w:rsidRPr="002344E6">
        <w:t>Av prot</w:t>
      </w:r>
      <w:r w:rsidR="00327E4C" w:rsidRPr="002344E6">
        <w:t>o</w:t>
      </w:r>
      <w:r w:rsidR="00327E4C" w:rsidRPr="002344E6">
        <w:t xml:space="preserve">kollet från rådets möte och notering i en s.k. A-punktslista </w:t>
      </w:r>
      <w:r w:rsidR="00CA6B8B" w:rsidRPr="002344E6">
        <w:t xml:space="preserve">(en A-punkt föranleder ingen diskussion i rådet) </w:t>
      </w:r>
      <w:r w:rsidR="00327E4C" w:rsidRPr="002344E6">
        <w:t xml:space="preserve">från vecka 49 år 2006 framgår </w:t>
      </w:r>
      <w:r w:rsidR="00D03984" w:rsidRPr="002344E6">
        <w:t xml:space="preserve">emellertid </w:t>
      </w:r>
      <w:r w:rsidR="00327E4C" w:rsidRPr="002344E6">
        <w:t>att S</w:t>
      </w:r>
      <w:r w:rsidRPr="002344E6">
        <w:t xml:space="preserve">verige </w:t>
      </w:r>
      <w:r w:rsidR="00327E4C" w:rsidRPr="002344E6">
        <w:t xml:space="preserve">accepterade </w:t>
      </w:r>
      <w:r w:rsidRPr="002344E6">
        <w:t>kommissionens kompromis</w:t>
      </w:r>
      <w:r w:rsidRPr="002344E6">
        <w:t>s</w:t>
      </w:r>
      <w:r w:rsidR="008F0ED6" w:rsidRPr="002344E6">
        <w:t>förslag, men lämnade en kritisk röstfö</w:t>
      </w:r>
      <w:r w:rsidR="008F0ED6" w:rsidRPr="002344E6">
        <w:t>r</w:t>
      </w:r>
      <w:r w:rsidR="008F0ED6" w:rsidRPr="002344E6">
        <w:t>klaring</w:t>
      </w:r>
      <w:r w:rsidRPr="002344E6">
        <w:t xml:space="preserve"> i rådet. </w:t>
      </w:r>
    </w:p>
    <w:p w:rsidR="00382422" w:rsidRPr="002344E6" w:rsidRDefault="00382422" w:rsidP="00416999">
      <w:pPr>
        <w:pStyle w:val="Normaltindrag"/>
      </w:pPr>
      <w:r w:rsidRPr="002344E6">
        <w:t>EU-nämnden anser att det vore värdefullt om det fanns uppgifter i skrive</w:t>
      </w:r>
      <w:r w:rsidRPr="002344E6">
        <w:t>l</w:t>
      </w:r>
      <w:r w:rsidRPr="002344E6">
        <w:t xml:space="preserve">sen om de </w:t>
      </w:r>
      <w:r w:rsidR="008F0ED6" w:rsidRPr="002344E6">
        <w:t>röstförklaringar</w:t>
      </w:r>
      <w:r w:rsidRPr="002344E6">
        <w:t xml:space="preserve"> regeringen avgett i rådet när regeringen lagt ned rö</w:t>
      </w:r>
      <w:r w:rsidRPr="002344E6">
        <w:t>s</w:t>
      </w:r>
      <w:r w:rsidRPr="002344E6">
        <w:t>ten eller varit emot ett beslut i rådet. Denna hänvisning saknas bl</w:t>
      </w:r>
      <w:r w:rsidR="00491637" w:rsidRPr="002344E6">
        <w:t>.a.</w:t>
      </w:r>
      <w:r w:rsidRPr="002344E6">
        <w:t xml:space="preserve"> för</w:t>
      </w:r>
      <w:r w:rsidR="008F0ED6" w:rsidRPr="002344E6">
        <w:t xml:space="preserve"> en GMO-fråga</w:t>
      </w:r>
      <w:r w:rsidR="00C668A5" w:rsidRPr="002344E6">
        <w:t>, som togs upp i</w:t>
      </w:r>
      <w:r w:rsidRPr="002344E6">
        <w:t xml:space="preserve"> </w:t>
      </w:r>
      <w:r w:rsidR="004E5155" w:rsidRPr="002344E6">
        <w:t>rådet för jordbruksfrågor</w:t>
      </w:r>
      <w:r w:rsidRPr="002344E6">
        <w:t xml:space="preserve"> den 18 septe</w:t>
      </w:r>
      <w:r w:rsidRPr="002344E6">
        <w:t>m</w:t>
      </w:r>
      <w:r w:rsidRPr="002344E6">
        <w:t>ber</w:t>
      </w:r>
      <w:r w:rsidR="00D03984" w:rsidRPr="002344E6">
        <w:t xml:space="preserve"> 2006</w:t>
      </w:r>
      <w:r w:rsidRPr="002344E6">
        <w:t xml:space="preserve">, där regeringen lämnade </w:t>
      </w:r>
      <w:r w:rsidR="008F0ED6" w:rsidRPr="002344E6">
        <w:t>en röstförklaring i samband med att de</w:t>
      </w:r>
      <w:r w:rsidR="009F2D10" w:rsidRPr="002344E6">
        <w:t>n</w:t>
      </w:r>
      <w:r w:rsidRPr="002344E6">
        <w:t xml:space="preserve"> lade ned sin röst.</w:t>
      </w:r>
      <w:r w:rsidR="00B90EE3" w:rsidRPr="002344E6">
        <w:t xml:space="preserve"> </w:t>
      </w:r>
    </w:p>
    <w:p w:rsidR="004C01A8" w:rsidRPr="002344E6" w:rsidRDefault="00027135" w:rsidP="00416999">
      <w:pPr>
        <w:pStyle w:val="Normaltindrag"/>
      </w:pPr>
      <w:r w:rsidRPr="002344E6">
        <w:t>En välkomm</w:t>
      </w:r>
      <w:r w:rsidR="004966C0" w:rsidRPr="002344E6">
        <w:t xml:space="preserve">en nyhet är att det i årsboken </w:t>
      </w:r>
      <w:r w:rsidRPr="002344E6">
        <w:t>(bilaga 6) intagits ordförklarin</w:t>
      </w:r>
      <w:r w:rsidRPr="002344E6">
        <w:t>g</w:t>
      </w:r>
      <w:r w:rsidRPr="002344E6">
        <w:t>ar kring beslutsfattandet. Det hade dock varit önskvärt om bil</w:t>
      </w:r>
      <w:r w:rsidRPr="002344E6">
        <w:t>a</w:t>
      </w:r>
      <w:r w:rsidRPr="002344E6">
        <w:t xml:space="preserve">gan också tog </w:t>
      </w:r>
      <w:r w:rsidR="00491637" w:rsidRPr="002344E6">
        <w:t xml:space="preserve">upp </w:t>
      </w:r>
      <w:r w:rsidRPr="002344E6">
        <w:t>olika typer av beslut inom andra och tredje pelaren</w:t>
      </w:r>
      <w:r w:rsidR="00EE10F3" w:rsidRPr="002344E6">
        <w:t>. En annan positiv nyhet är att årsboken nu försetts med ett sakregister, vilket underlättar a</w:t>
      </w:r>
      <w:r w:rsidR="00EE10F3" w:rsidRPr="002344E6">
        <w:t>n</w:t>
      </w:r>
      <w:r w:rsidR="00EE10F3" w:rsidRPr="002344E6">
        <w:t xml:space="preserve">vändningen avsevärt. </w:t>
      </w:r>
    </w:p>
    <w:p w:rsidR="00027135" w:rsidRPr="002344E6" w:rsidRDefault="004C01A8" w:rsidP="00416999">
      <w:pPr>
        <w:pStyle w:val="Normaltindrag"/>
      </w:pPr>
      <w:r w:rsidRPr="002344E6">
        <w:t xml:space="preserve">I </w:t>
      </w:r>
      <w:r w:rsidR="00EE499C" w:rsidRPr="002344E6">
        <w:t>skrivelsen</w:t>
      </w:r>
      <w:r w:rsidRPr="002344E6">
        <w:t xml:space="preserve"> nämns inte </w:t>
      </w:r>
      <w:r w:rsidR="00EE499C" w:rsidRPr="002344E6">
        <w:t>två institutionella frågor som har betydelse för n</w:t>
      </w:r>
      <w:r w:rsidR="00EE499C" w:rsidRPr="002344E6">
        <w:t>a</w:t>
      </w:r>
      <w:r w:rsidR="00EE499C" w:rsidRPr="002344E6">
        <w:t xml:space="preserve">tionella parlament, nämligen </w:t>
      </w:r>
      <w:r w:rsidR="00985CA4" w:rsidRPr="002344E6">
        <w:t xml:space="preserve">kommissionens </w:t>
      </w:r>
      <w:r w:rsidRPr="002344E6">
        <w:t>nya konsultationsförfara</w:t>
      </w:r>
      <w:r w:rsidRPr="002344E6">
        <w:t>n</w:t>
      </w:r>
      <w:r w:rsidRPr="002344E6">
        <w:t xml:space="preserve">de </w:t>
      </w:r>
      <w:r w:rsidR="00EE499C" w:rsidRPr="002344E6">
        <w:t>och</w:t>
      </w:r>
      <w:r w:rsidRPr="002344E6">
        <w:t xml:space="preserve"> riktlinjer</w:t>
      </w:r>
      <w:r w:rsidR="00EE499C" w:rsidRPr="002344E6">
        <w:t xml:space="preserve">na </w:t>
      </w:r>
      <w:r w:rsidRPr="002344E6">
        <w:t xml:space="preserve">för </w:t>
      </w:r>
      <w:r w:rsidR="00EE499C" w:rsidRPr="002344E6">
        <w:t>ö</w:t>
      </w:r>
      <w:r w:rsidRPr="002344E6">
        <w:t>versättning</w:t>
      </w:r>
      <w:r w:rsidR="00EE499C" w:rsidRPr="002344E6">
        <w:t xml:space="preserve"> av kommis</w:t>
      </w:r>
      <w:r w:rsidR="00985CA4" w:rsidRPr="002344E6">
        <w:t>s</w:t>
      </w:r>
      <w:r w:rsidR="00EE499C" w:rsidRPr="002344E6">
        <w:t xml:space="preserve">ionens dokument. EU-nämnden kommenterar </w:t>
      </w:r>
      <w:r w:rsidR="00985CA4" w:rsidRPr="002344E6">
        <w:t xml:space="preserve">dock </w:t>
      </w:r>
      <w:r w:rsidR="00EE499C" w:rsidRPr="002344E6">
        <w:t>dessa</w:t>
      </w:r>
      <w:r w:rsidR="00985CA4" w:rsidRPr="002344E6">
        <w:t xml:space="preserve"> frågor nedan under rubriken EU:s institutioner (a</w:t>
      </w:r>
      <w:r w:rsidR="00985CA4" w:rsidRPr="002344E6">
        <w:t>v</w:t>
      </w:r>
      <w:r w:rsidR="00F45D69" w:rsidRPr="002344E6">
        <w:t>snitt</w:t>
      </w:r>
      <w:r w:rsidR="007B3587" w:rsidRPr="002344E6">
        <w:t>en</w:t>
      </w:r>
      <w:r w:rsidR="00F45D69" w:rsidRPr="002344E6">
        <w:t xml:space="preserve"> 47.2 och 47.9).</w:t>
      </w:r>
    </w:p>
    <w:p w:rsidR="00937C0C" w:rsidRPr="002344E6" w:rsidRDefault="00B90EE3" w:rsidP="00416999">
      <w:pPr>
        <w:pStyle w:val="Rubrik2"/>
        <w:jc w:val="both"/>
      </w:pPr>
      <w:bookmarkStart w:id="6" w:name="_Toc133208999"/>
      <w:bookmarkStart w:id="7" w:name="_Toc164562698"/>
      <w:r w:rsidRPr="002344E6">
        <w:t>D</w:t>
      </w:r>
      <w:r w:rsidR="00937C0C" w:rsidRPr="002344E6">
        <w:t xml:space="preserve">en övergripande utvecklingen i Europeiska </w:t>
      </w:r>
      <w:r w:rsidR="00937C0C" w:rsidRPr="002344E6">
        <w:rPr>
          <w:szCs w:val="28"/>
        </w:rPr>
        <w:t>unionen</w:t>
      </w:r>
      <w:r w:rsidR="00937C0C" w:rsidRPr="002344E6">
        <w:t xml:space="preserve"> (del 1)</w:t>
      </w:r>
      <w:bookmarkEnd w:id="6"/>
      <w:bookmarkEnd w:id="7"/>
    </w:p>
    <w:p w:rsidR="00937C0C" w:rsidRPr="002344E6" w:rsidRDefault="00DB71DE" w:rsidP="00416999">
      <w:r w:rsidRPr="002344E6">
        <w:t xml:space="preserve">I kapitlet redogörs övergripande för </w:t>
      </w:r>
      <w:r w:rsidR="00914C47" w:rsidRPr="002344E6">
        <w:t>det svenska EU-samarbetet, Europeiska rådet under 2006,</w:t>
      </w:r>
      <w:r w:rsidRPr="002344E6">
        <w:t xml:space="preserve"> utvidgningen, reflektionsperioden och det konstituti</w:t>
      </w:r>
      <w:r w:rsidRPr="002344E6">
        <w:t>o</w:t>
      </w:r>
      <w:r w:rsidRPr="002344E6">
        <w:t>nella fördraget, EU:s budgetram 2007</w:t>
      </w:r>
      <w:r w:rsidR="004D14D3" w:rsidRPr="002344E6">
        <w:t>–</w:t>
      </w:r>
      <w:r w:rsidRPr="002344E6">
        <w:t>2013, Lissabonstrategin samt för halvtid</w:t>
      </w:r>
      <w:r w:rsidRPr="002344E6">
        <w:t>s</w:t>
      </w:r>
      <w:r w:rsidRPr="002344E6">
        <w:t>översynen av programmet för genomförande av ett område med frihet, säke</w:t>
      </w:r>
      <w:r w:rsidRPr="002344E6">
        <w:t>r</w:t>
      </w:r>
      <w:r w:rsidRPr="002344E6">
        <w:t>het och rättv</w:t>
      </w:r>
      <w:r w:rsidRPr="002344E6">
        <w:t>i</w:t>
      </w:r>
      <w:r w:rsidRPr="002344E6">
        <w:t>sa. Flera av frågorna återkommer också i skrivelsens delavsnitt på de olika sakområd</w:t>
      </w:r>
      <w:r w:rsidRPr="002344E6">
        <w:t>e</w:t>
      </w:r>
      <w:r w:rsidRPr="002344E6">
        <w:t xml:space="preserve">na. </w:t>
      </w:r>
      <w:r w:rsidR="00914C47" w:rsidRPr="002344E6">
        <w:t>EU-nämnden kan konstatera att EU-samarbetet under senare år i allt högre grad kännetecknas av sektorsövergripande strat</w:t>
      </w:r>
      <w:r w:rsidR="00914C47" w:rsidRPr="002344E6">
        <w:t>e</w:t>
      </w:r>
      <w:r w:rsidR="00914C47" w:rsidRPr="002344E6">
        <w:t>gier, handlingsprogram och planer i syfte att nå större samstämmighet på olika politikområden som griper in i varandra. Sådana strategier, program och planer antas av rådet för att sedan på områden där detta är möjligt och läm</w:t>
      </w:r>
      <w:r w:rsidR="00914C47" w:rsidRPr="002344E6">
        <w:t>p</w:t>
      </w:r>
      <w:r w:rsidR="00914C47" w:rsidRPr="002344E6">
        <w:t>ligt följas upp av konkreta lagstiftningsärenden på respektive politiko</w:t>
      </w:r>
      <w:r w:rsidR="00914C47" w:rsidRPr="002344E6">
        <w:t>m</w:t>
      </w:r>
      <w:r w:rsidR="00914C47" w:rsidRPr="002344E6">
        <w:t xml:space="preserve">råde. EU-nämnden har </w:t>
      </w:r>
      <w:r w:rsidR="003B7EAB" w:rsidRPr="002344E6">
        <w:t xml:space="preserve">i sin verksamhet fortlöpande behandlat sådana </w:t>
      </w:r>
      <w:r w:rsidR="00201467" w:rsidRPr="002344E6">
        <w:t>sektorsöve</w:t>
      </w:r>
      <w:r w:rsidR="00201467" w:rsidRPr="002344E6">
        <w:t>r</w:t>
      </w:r>
      <w:r w:rsidR="00201467" w:rsidRPr="002344E6">
        <w:t>gripande</w:t>
      </w:r>
      <w:r w:rsidR="003B7EAB" w:rsidRPr="002344E6">
        <w:t xml:space="preserve"> frågor</w:t>
      </w:r>
      <w:r w:rsidR="00491637" w:rsidRPr="002344E6">
        <w:t>,</w:t>
      </w:r>
      <w:r w:rsidR="003B7EAB" w:rsidRPr="002344E6">
        <w:t xml:space="preserve"> liksom efterföljande lagstiftningsärenden. </w:t>
      </w:r>
    </w:p>
    <w:p w:rsidR="004F0DDB" w:rsidRPr="002344E6" w:rsidRDefault="005124D0" w:rsidP="00416999">
      <w:pPr>
        <w:pStyle w:val="Normaltindrag"/>
      </w:pPr>
      <w:r w:rsidRPr="002344E6">
        <w:t>EU-nämnden har liksom tidigare år, under bred politisk enighet, ägnat stor uppmärksamhet åt den for</w:t>
      </w:r>
      <w:r w:rsidRPr="002344E6">
        <w:t>t</w:t>
      </w:r>
      <w:r w:rsidRPr="002344E6">
        <w:t>satta utvidgningen av unionen. Vid flera tillfällen, särskilt inför Europeiska rådets möten, har EU-nämnden</w:t>
      </w:r>
      <w:r w:rsidR="004F0DDB" w:rsidRPr="002344E6">
        <w:t xml:space="preserve"> diskuterat förslaget från vissa medlemsländer om att EU:s integrationskapacitet eller absorption</w:t>
      </w:r>
      <w:r w:rsidR="004F0DDB" w:rsidRPr="002344E6">
        <w:t>s</w:t>
      </w:r>
      <w:r w:rsidR="004F0DDB" w:rsidRPr="002344E6">
        <w:t>kapacitet skall utgöra ett nytt medlemskapskriterium. I EU-nämnden har rått samsyn kring ståndpunkten att en sådan kapacitet måste beaktas i anslu</w:t>
      </w:r>
      <w:r w:rsidR="004F0DDB" w:rsidRPr="002344E6">
        <w:t>t</w:t>
      </w:r>
      <w:r w:rsidR="004F0DDB" w:rsidRPr="002344E6">
        <w:t>ningsprocessen men att det inte får användas som en förevändning för att sätta upp nya villkor och hinder för denna pr</w:t>
      </w:r>
      <w:r w:rsidR="004F0DDB" w:rsidRPr="002344E6">
        <w:t>o</w:t>
      </w:r>
      <w:r w:rsidR="004F0DDB" w:rsidRPr="002344E6">
        <w:t>cess.</w:t>
      </w:r>
      <w:r w:rsidR="004F4268" w:rsidRPr="002344E6">
        <w:t xml:space="preserve"> </w:t>
      </w:r>
    </w:p>
    <w:p w:rsidR="004F4268" w:rsidRPr="002344E6" w:rsidRDefault="009F2D10" w:rsidP="00416999">
      <w:pPr>
        <w:pStyle w:val="Normaltindrag"/>
      </w:pPr>
      <w:r w:rsidRPr="002344E6">
        <w:t>I</w:t>
      </w:r>
      <w:r w:rsidR="00D03984" w:rsidRPr="002344E6">
        <w:t xml:space="preserve"> </w:t>
      </w:r>
      <w:r w:rsidRPr="002344E6">
        <w:t xml:space="preserve">fråga om </w:t>
      </w:r>
      <w:r w:rsidR="004F4268" w:rsidRPr="002344E6">
        <w:t xml:space="preserve">Rumänien och Bulgarien </w:t>
      </w:r>
      <w:r w:rsidR="00D05773" w:rsidRPr="002344E6">
        <w:t xml:space="preserve">framhålls i skrivelsen </w:t>
      </w:r>
      <w:r w:rsidR="004F4268" w:rsidRPr="002344E6">
        <w:t>att Sverige har valt att inte införa några särskilda övergångsregler för arbetskraft från Bulg</w:t>
      </w:r>
      <w:r w:rsidR="004F4268" w:rsidRPr="002344E6">
        <w:t>a</w:t>
      </w:r>
      <w:r w:rsidR="004F4268" w:rsidRPr="002344E6">
        <w:t>rien och Rumän</w:t>
      </w:r>
      <w:r w:rsidR="004F4268" w:rsidRPr="002344E6">
        <w:t>i</w:t>
      </w:r>
      <w:r w:rsidR="004F4268" w:rsidRPr="002344E6">
        <w:t xml:space="preserve">en. </w:t>
      </w:r>
    </w:p>
    <w:p w:rsidR="0023746F" w:rsidRPr="002344E6" w:rsidRDefault="00DC0B74" w:rsidP="00416999">
      <w:pPr>
        <w:pStyle w:val="Normaltindrag"/>
      </w:pPr>
      <w:r w:rsidRPr="002344E6">
        <w:t>Beträffande skrivelsens redogörelse för reflektionsperioden och det konst</w:t>
      </w:r>
      <w:r w:rsidRPr="002344E6">
        <w:t>i</w:t>
      </w:r>
      <w:r w:rsidRPr="002344E6">
        <w:t>tutionella fördraget har EU-nämnden behandlat denna fråga dels inför det informella utrikesministermötet i maj 2006, dels inför Europeiska r</w:t>
      </w:r>
      <w:r w:rsidRPr="002344E6">
        <w:t>å</w:t>
      </w:r>
      <w:r w:rsidRPr="002344E6">
        <w:t>dets möte i juni 2006.</w:t>
      </w:r>
      <w:r w:rsidR="003C50FE" w:rsidRPr="002344E6">
        <w:t xml:space="preserve"> Under Europeiska rådets möte hade EU-nämnden telefonkontakt med den dåvarande svenske utrike</w:t>
      </w:r>
      <w:r w:rsidR="00491637" w:rsidRPr="002344E6">
        <w:t>s</w:t>
      </w:r>
      <w:r w:rsidR="003C50FE" w:rsidRPr="002344E6">
        <w:t xml:space="preserve">ministern om </w:t>
      </w:r>
      <w:r w:rsidR="00D05773" w:rsidRPr="002344E6">
        <w:t>utkastet till ordförandesk</w:t>
      </w:r>
      <w:r w:rsidR="00D05773" w:rsidRPr="002344E6">
        <w:t>a</w:t>
      </w:r>
      <w:r w:rsidR="00D05773" w:rsidRPr="002344E6">
        <w:t>pets s</w:t>
      </w:r>
      <w:r w:rsidR="003C50FE" w:rsidRPr="002344E6">
        <w:t xml:space="preserve">lutsatser om </w:t>
      </w:r>
      <w:r w:rsidR="00D05773" w:rsidRPr="002344E6">
        <w:t xml:space="preserve">bl.a. </w:t>
      </w:r>
      <w:r w:rsidR="003C50FE" w:rsidRPr="002344E6">
        <w:t>den fortsatta behandlingen av det konstitutionella fördraget.</w:t>
      </w:r>
      <w:r w:rsidRPr="002344E6">
        <w:t xml:space="preserve"> </w:t>
      </w:r>
      <w:r w:rsidR="00D05773" w:rsidRPr="002344E6">
        <w:t xml:space="preserve">De två spår som </w:t>
      </w:r>
      <w:r w:rsidR="001A6D9C" w:rsidRPr="002344E6">
        <w:t xml:space="preserve">det </w:t>
      </w:r>
      <w:r w:rsidR="00D05773" w:rsidRPr="002344E6">
        <w:t>redogörs för i skrivelsen, nämligen att utnyttja de möjligheter befintliga fördrag erbjuder samt att en rapport skulle läggas fram för Europeiska rådet under första halvåret 2007</w:t>
      </w:r>
      <w:r w:rsidR="001A6D9C" w:rsidRPr="002344E6">
        <w:t>,</w:t>
      </w:r>
      <w:r w:rsidR="009F2D10" w:rsidRPr="002344E6">
        <w:t xml:space="preserve"> </w:t>
      </w:r>
      <w:r w:rsidR="00D05773" w:rsidRPr="002344E6">
        <w:t>di</w:t>
      </w:r>
      <w:r w:rsidR="00D05773" w:rsidRPr="002344E6">
        <w:t>s</w:t>
      </w:r>
      <w:r w:rsidR="00D05773" w:rsidRPr="002344E6">
        <w:t>kuterades i detalj i EU-nämnden vid detta tillfälle.</w:t>
      </w:r>
    </w:p>
    <w:p w:rsidR="00D05773" w:rsidRPr="002344E6" w:rsidRDefault="00491582" w:rsidP="00416999">
      <w:pPr>
        <w:pStyle w:val="Normaltindrag"/>
        <w:rPr>
          <w:b/>
        </w:rPr>
      </w:pPr>
      <w:r w:rsidRPr="002344E6">
        <w:t>I juni 2006 genomförde EU-nämnden i samarbete med Kommittén för EU-debatt ett seminarium med rubriken ”Har EU reflekterat klart?”</w:t>
      </w:r>
    </w:p>
    <w:p w:rsidR="00DC0B74" w:rsidRPr="002344E6" w:rsidRDefault="00DC0B74" w:rsidP="00416999">
      <w:pPr>
        <w:pStyle w:val="Normaltindrag"/>
      </w:pPr>
      <w:r w:rsidRPr="002344E6">
        <w:t>I skr</w:t>
      </w:r>
      <w:r w:rsidRPr="002344E6">
        <w:t>i</w:t>
      </w:r>
      <w:r w:rsidRPr="002344E6">
        <w:t>velsen nämns också att e</w:t>
      </w:r>
      <w:r w:rsidR="00FB26FF" w:rsidRPr="002344E6">
        <w:t>n</w:t>
      </w:r>
      <w:r w:rsidRPr="002344E6">
        <w:t xml:space="preserve"> pol</w:t>
      </w:r>
      <w:r w:rsidR="00FB26FF" w:rsidRPr="002344E6">
        <w:t>itisk</w:t>
      </w:r>
      <w:r w:rsidRPr="002344E6">
        <w:t xml:space="preserve"> förklaring skall antas den 25 mars 2007 i Berlin för att högtidlighålla 50-årsdagen av undertecknand</w:t>
      </w:r>
      <w:r w:rsidR="00FB26FF" w:rsidRPr="002344E6">
        <w:t>et</w:t>
      </w:r>
      <w:r w:rsidRPr="002344E6">
        <w:t xml:space="preserve"> </w:t>
      </w:r>
      <w:r w:rsidR="00FB26FF" w:rsidRPr="002344E6">
        <w:t xml:space="preserve">av </w:t>
      </w:r>
      <w:r w:rsidRPr="002344E6">
        <w:t>Ro</w:t>
      </w:r>
      <w:r w:rsidRPr="002344E6">
        <w:t>m</w:t>
      </w:r>
      <w:r w:rsidRPr="002344E6">
        <w:t>fördragen</w:t>
      </w:r>
      <w:r w:rsidR="00FB26FF" w:rsidRPr="002344E6">
        <w:t>. EU-nämnden har vid olika tidpunkter under våren 2007 inform</w:t>
      </w:r>
      <w:r w:rsidR="00FB26FF" w:rsidRPr="002344E6">
        <w:t>e</w:t>
      </w:r>
      <w:r w:rsidR="00FB26FF" w:rsidRPr="002344E6">
        <w:t>rats om de olika element</w:t>
      </w:r>
      <w:r w:rsidR="00ED689A" w:rsidRPr="002344E6">
        <w:t xml:space="preserve"> som nu ingår i den s.k. Berlin</w:t>
      </w:r>
      <w:r w:rsidR="00FB26FF" w:rsidRPr="002344E6">
        <w:t>deklarationen som proklam</w:t>
      </w:r>
      <w:r w:rsidR="00FB26FF" w:rsidRPr="002344E6">
        <w:t>e</w:t>
      </w:r>
      <w:r w:rsidR="00FB26FF" w:rsidRPr="002344E6">
        <w:t>ra</w:t>
      </w:r>
      <w:r w:rsidR="00D03984" w:rsidRPr="002344E6">
        <w:t>des</w:t>
      </w:r>
      <w:r w:rsidR="00FB26FF" w:rsidRPr="002344E6">
        <w:t xml:space="preserve"> den 25 mars 2007. </w:t>
      </w:r>
      <w:r w:rsidRPr="002344E6">
        <w:t xml:space="preserve"> </w:t>
      </w:r>
    </w:p>
    <w:p w:rsidR="006B4650" w:rsidRPr="002344E6" w:rsidRDefault="00D05773" w:rsidP="00416999">
      <w:pPr>
        <w:pStyle w:val="Normaltindrag"/>
      </w:pPr>
      <w:r w:rsidRPr="002344E6">
        <w:t>EU:s budgetram 2007</w:t>
      </w:r>
      <w:r w:rsidR="008400B1" w:rsidRPr="002344E6">
        <w:t>–</w:t>
      </w:r>
      <w:r w:rsidRPr="002344E6">
        <w:t xml:space="preserve">2013 beskrivs i skrivelsen. Det formella beslutet fattades under våren 2006 men hade dessförinnan </w:t>
      </w:r>
      <w:r w:rsidR="0023746F" w:rsidRPr="002344E6">
        <w:t>behandlats av Europei</w:t>
      </w:r>
      <w:r w:rsidR="0023746F" w:rsidRPr="002344E6">
        <w:t>s</w:t>
      </w:r>
      <w:r w:rsidR="0023746F" w:rsidRPr="002344E6">
        <w:t>ka rådet i december 2005. Som nämns i EU-nämndens yttra</w:t>
      </w:r>
      <w:r w:rsidR="0023746F" w:rsidRPr="002344E6">
        <w:t>n</w:t>
      </w:r>
      <w:r w:rsidR="0023746F" w:rsidRPr="002344E6">
        <w:t>de över förra årets skrivelse gav en majoritet i EU-nämnden regeringen mandat att accept</w:t>
      </w:r>
      <w:r w:rsidR="0023746F" w:rsidRPr="002344E6">
        <w:t>e</w:t>
      </w:r>
      <w:r w:rsidR="0023746F" w:rsidRPr="002344E6">
        <w:t>ra det framförhandlade paketet men var kritisk emot den s.k. globalisering</w:t>
      </w:r>
      <w:r w:rsidR="0023746F" w:rsidRPr="002344E6">
        <w:t>s</w:t>
      </w:r>
      <w:r w:rsidR="0023746F" w:rsidRPr="002344E6">
        <w:t>fonden</w:t>
      </w:r>
      <w:r w:rsidR="002E09AC" w:rsidRPr="002344E6">
        <w:t xml:space="preserve"> som inte nämns i årets skrivelse</w:t>
      </w:r>
      <w:r w:rsidR="0023746F" w:rsidRPr="002344E6">
        <w:t xml:space="preserve">. </w:t>
      </w:r>
      <w:r w:rsidR="002E09AC" w:rsidRPr="002344E6">
        <w:t>Under våren 2006 har EU-nämnden stött regeringens inställning att hålla fast vid Europeiska rådets ramar för budge</w:t>
      </w:r>
      <w:r w:rsidR="002E09AC" w:rsidRPr="002344E6">
        <w:t>t</w:t>
      </w:r>
      <w:r w:rsidR="002E09AC" w:rsidRPr="002344E6">
        <w:t>planen 2007</w:t>
      </w:r>
      <w:r w:rsidR="002C7643" w:rsidRPr="002344E6">
        <w:t>–</w:t>
      </w:r>
      <w:r w:rsidR="002E09AC" w:rsidRPr="002344E6">
        <w:t>2013 och att prioritera strikta kriterier för användningen</w:t>
      </w:r>
      <w:r w:rsidR="009F2D10" w:rsidRPr="002344E6">
        <w:t xml:space="preserve"> </w:t>
      </w:r>
      <w:r w:rsidR="002E09AC" w:rsidRPr="002344E6">
        <w:t>av glob</w:t>
      </w:r>
      <w:r w:rsidR="002E09AC" w:rsidRPr="002344E6">
        <w:t>a</w:t>
      </w:r>
      <w:r w:rsidR="002E09AC" w:rsidRPr="002344E6">
        <w:t>liseringsfonden.</w:t>
      </w:r>
      <w:r w:rsidR="0023746F" w:rsidRPr="002344E6">
        <w:rPr>
          <w:b/>
        </w:rPr>
        <w:t xml:space="preserve"> </w:t>
      </w:r>
    </w:p>
    <w:p w:rsidR="00817A59" w:rsidRPr="002344E6" w:rsidRDefault="00817A59" w:rsidP="00416999">
      <w:pPr>
        <w:pStyle w:val="Normaltindrag"/>
      </w:pPr>
      <w:r w:rsidRPr="002344E6">
        <w:t xml:space="preserve">EU-nämnden har </w:t>
      </w:r>
      <w:r w:rsidR="00491637" w:rsidRPr="002344E6">
        <w:t xml:space="preserve">under våren 2007 </w:t>
      </w:r>
      <w:r w:rsidRPr="002344E6">
        <w:t>i förberedande samtal med företrädare för regeringen också diskuterat den översyn av EU:s budget som enligt bu</w:t>
      </w:r>
      <w:r w:rsidRPr="002344E6">
        <w:t>d</w:t>
      </w:r>
      <w:r w:rsidRPr="002344E6">
        <w:t>getöverenskommelsen skall ske 2008</w:t>
      </w:r>
      <w:r w:rsidR="00627266" w:rsidRPr="002344E6">
        <w:t>–</w:t>
      </w:r>
      <w:r w:rsidRPr="002344E6">
        <w:t>2009.</w:t>
      </w:r>
    </w:p>
    <w:p w:rsidR="00D05773" w:rsidRPr="002344E6" w:rsidRDefault="006E6EA7" w:rsidP="00416999">
      <w:pPr>
        <w:pStyle w:val="Normaltindrag"/>
      </w:pPr>
      <w:r w:rsidRPr="002344E6">
        <w:t>Lissabonstrategin har behandlats av EU-nämnden ett flertal gånger unde</w:t>
      </w:r>
      <w:r w:rsidRPr="002344E6">
        <w:t>r</w:t>
      </w:r>
      <w:r w:rsidRPr="002344E6">
        <w:t xml:space="preserve"> året</w:t>
      </w:r>
      <w:r w:rsidR="008D6B8D" w:rsidRPr="002344E6">
        <w:t>,</w:t>
      </w:r>
      <w:r w:rsidRPr="002344E6">
        <w:t xml:space="preserve"> bl.a. inför Europeiska rådets vårtoppmöte. Regeringen fick stöd bl.a. för att framhålla ett tydligt integrerat jämställdhetsperspektiv, energieffektiv</w:t>
      </w:r>
      <w:r w:rsidRPr="002344E6">
        <w:t>i</w:t>
      </w:r>
      <w:r w:rsidRPr="002344E6">
        <w:t>tet, frihandel och budgetdisciplin samt en konkurrenskraftig energimar</w:t>
      </w:r>
      <w:r w:rsidRPr="002344E6">
        <w:t>k</w:t>
      </w:r>
      <w:r w:rsidRPr="002344E6">
        <w:t>nad och miljömässig hållbarhet. Grundläggande i den svenska ståndpunkten är att energipolitiken på EU-nivå inte skall påverka medlemsstaternas beh</w:t>
      </w:r>
      <w:r w:rsidRPr="002344E6">
        <w:t>ö</w:t>
      </w:r>
      <w:r w:rsidRPr="002344E6">
        <w:t xml:space="preserve">righet att själva bestämma om vilket energislag de väljer att satsa på. </w:t>
      </w:r>
      <w:r w:rsidR="00914C47" w:rsidRPr="002344E6">
        <w:t>Energifrågo</w:t>
      </w:r>
      <w:r w:rsidR="00914C47" w:rsidRPr="002344E6">
        <w:t>r</w:t>
      </w:r>
      <w:r w:rsidR="00914C47" w:rsidRPr="002344E6">
        <w:t xml:space="preserve">na och den externa dimensionen av energipolitiken har stått i fokus under hela året. </w:t>
      </w:r>
      <w:r w:rsidR="006C1932" w:rsidRPr="002344E6">
        <w:t>Under hösten 2006 har regeringen valt att fokusera på de ekon</w:t>
      </w:r>
      <w:r w:rsidR="006C1932" w:rsidRPr="002344E6">
        <w:t>o</w:t>
      </w:r>
      <w:r w:rsidR="006C1932" w:rsidRPr="002344E6">
        <w:t>miska delarna av Lissabonstrategin</w:t>
      </w:r>
      <w:r w:rsidR="008D6B8D" w:rsidRPr="002344E6">
        <w:t>,</w:t>
      </w:r>
      <w:r w:rsidR="006C1932" w:rsidRPr="002344E6">
        <w:t xml:space="preserve"> vilket en major</w:t>
      </w:r>
      <w:r w:rsidR="006C1932" w:rsidRPr="002344E6">
        <w:t>i</w:t>
      </w:r>
      <w:r w:rsidR="006C1932" w:rsidRPr="002344E6">
        <w:t>tet i EU-nämnden har stött.</w:t>
      </w:r>
      <w:r w:rsidR="006F1584" w:rsidRPr="002344E6">
        <w:t xml:space="preserve"> En viktig fråga under hösten har också varit innovationsfrågorna och förslaget om ett europeiskt teknologiskt institut (ETI, se</w:t>
      </w:r>
      <w:r w:rsidR="00491637" w:rsidRPr="002344E6">
        <w:t xml:space="preserve"> avsnittet</w:t>
      </w:r>
      <w:r w:rsidR="006F1584" w:rsidRPr="002344E6">
        <w:t xml:space="preserve"> om konkurrenskraft</w:t>
      </w:r>
      <w:r w:rsidR="006F1584" w:rsidRPr="002344E6">
        <w:t>s</w:t>
      </w:r>
      <w:r w:rsidR="006F1584" w:rsidRPr="002344E6">
        <w:t>frågorna</w:t>
      </w:r>
      <w:r w:rsidR="00D03984" w:rsidRPr="002344E6">
        <w:t xml:space="preserve"> – del 6</w:t>
      </w:r>
      <w:r w:rsidR="006F1584" w:rsidRPr="002344E6">
        <w:t xml:space="preserve">).  </w:t>
      </w:r>
      <w:r w:rsidR="00985CA4" w:rsidRPr="002344E6">
        <w:t>En stor fråga har också varit EU:s nya strategi för hållbar utveckling.</w:t>
      </w:r>
      <w:r w:rsidR="006F1584" w:rsidRPr="002344E6">
        <w:t xml:space="preserve"> </w:t>
      </w:r>
    </w:p>
    <w:p w:rsidR="00485ED4" w:rsidRPr="002344E6" w:rsidRDefault="004F0DDB" w:rsidP="00416999">
      <w:pPr>
        <w:pStyle w:val="Normaltindrag"/>
      </w:pPr>
      <w:r w:rsidRPr="002344E6">
        <w:t xml:space="preserve"> </w:t>
      </w:r>
      <w:r w:rsidR="00485ED4" w:rsidRPr="002344E6">
        <w:t>Slutligen behandlas i denna del av skrivelsen arbetet med att åstadkomma ett område för frihet, säkerhet och rättvisa – det s.k. Haagprogrammet. En halvtidsöversyn av detta program har ägt rum under året och har framför allt gällt ett effektivare beslutsfattande på det s.k. tredjepelarområdet.</w:t>
      </w:r>
      <w:r w:rsidR="00F84C13" w:rsidRPr="002344E6">
        <w:t xml:space="preserve"> I denna fråga har EU-nämnden stött regeringens inställning att en övergång till maj</w:t>
      </w:r>
      <w:r w:rsidR="00F84C13" w:rsidRPr="002344E6">
        <w:t>o</w:t>
      </w:r>
      <w:r w:rsidR="00F84C13" w:rsidRPr="002344E6">
        <w:t xml:space="preserve">ritetsbeslut bör göras genom en fördragsändring men att det </w:t>
      </w:r>
      <w:r w:rsidR="00491637" w:rsidRPr="002344E6">
        <w:t xml:space="preserve">redan nu </w:t>
      </w:r>
      <w:r w:rsidR="00F84C13" w:rsidRPr="002344E6">
        <w:t>går att effe</w:t>
      </w:r>
      <w:r w:rsidR="00F84C13" w:rsidRPr="002344E6">
        <w:t>k</w:t>
      </w:r>
      <w:r w:rsidR="00F84C13" w:rsidRPr="002344E6">
        <w:t xml:space="preserve">tivisera rådets arbetsformer. </w:t>
      </w:r>
    </w:p>
    <w:p w:rsidR="00525971" w:rsidRPr="002344E6" w:rsidRDefault="00485ED4" w:rsidP="00416999">
      <w:pPr>
        <w:pStyle w:val="Normaltindrag"/>
      </w:pPr>
      <w:r w:rsidRPr="002344E6">
        <w:t>Vidare nämns i skrivelsen den strategi för yttre förbindelser i rättsliga och inrikes frågor som rådet antog i december 2005 och vars syfte var att öka effektiviteten och samstämmigheten i de yttre förbindelserna inom och me</w:t>
      </w:r>
      <w:r w:rsidRPr="002344E6">
        <w:t>l</w:t>
      </w:r>
      <w:r w:rsidRPr="002344E6">
        <w:t>lan olika politikområden inom EU.</w:t>
      </w:r>
      <w:r w:rsidR="00F84C13" w:rsidRPr="002344E6">
        <w:t xml:space="preserve"> </w:t>
      </w:r>
      <w:r w:rsidR="00525971" w:rsidRPr="002344E6">
        <w:t xml:space="preserve">EU-nämnden har fortlöpande informerats om denna strategi. </w:t>
      </w:r>
    </w:p>
    <w:p w:rsidR="00937C0C" w:rsidRPr="002344E6" w:rsidRDefault="00937C0C" w:rsidP="00416999">
      <w:pPr>
        <w:pStyle w:val="Rubrik2"/>
        <w:jc w:val="both"/>
      </w:pPr>
      <w:bookmarkStart w:id="8" w:name="_Toc101078473"/>
      <w:bookmarkStart w:id="9" w:name="_Toc101079327"/>
      <w:bookmarkStart w:id="10" w:name="_Toc133209000"/>
      <w:bookmarkStart w:id="11" w:name="_Toc164562699"/>
      <w:r w:rsidRPr="002344E6">
        <w:t>EU:s förbindelser med omvärlden (del 2)</w:t>
      </w:r>
      <w:bookmarkEnd w:id="8"/>
      <w:bookmarkEnd w:id="9"/>
      <w:bookmarkEnd w:id="10"/>
      <w:bookmarkEnd w:id="11"/>
    </w:p>
    <w:p w:rsidR="009C20CE" w:rsidRPr="002344E6" w:rsidRDefault="00CD0F4A" w:rsidP="00416999">
      <w:r w:rsidRPr="002344E6">
        <w:t>Under denna rubrik behandlas i skrivelsen huvudsakligen frågor som berör regeringe</w:t>
      </w:r>
      <w:r w:rsidR="00CC5826" w:rsidRPr="002344E6">
        <w:t>n</w:t>
      </w:r>
      <w:r w:rsidRPr="002344E6">
        <w:t xml:space="preserve">s samråd med EU-nämnden inom ramen för den gemensamma utrikes- och säkerhetspolitiken (GUSP) och handelspolitiken. </w:t>
      </w:r>
      <w:r w:rsidR="009F2D10" w:rsidRPr="002344E6">
        <w:t>Rådet</w:t>
      </w:r>
      <w:r w:rsidR="00BB794B" w:rsidRPr="002344E6">
        <w:t>, och därmed EU-nämnden</w:t>
      </w:r>
      <w:r w:rsidR="00E61558" w:rsidRPr="002344E6">
        <w:t>,</w:t>
      </w:r>
      <w:r w:rsidR="00BB794B" w:rsidRPr="002344E6">
        <w:t xml:space="preserve"> har kontinuerligt följt utvecklingen i olika länder och organisationer.</w:t>
      </w:r>
      <w:r w:rsidR="00DE52D8" w:rsidRPr="002344E6">
        <w:t xml:space="preserve"> </w:t>
      </w:r>
      <w:r w:rsidR="009661AB" w:rsidRPr="002344E6">
        <w:t>Utöver regeringens sedvanliga samråd med näm</w:t>
      </w:r>
      <w:r w:rsidR="009661AB" w:rsidRPr="002344E6">
        <w:t>n</w:t>
      </w:r>
      <w:r w:rsidR="009661AB" w:rsidRPr="002344E6">
        <w:t xml:space="preserve">den inför rådet </w:t>
      </w:r>
      <w:r w:rsidR="009F2D10" w:rsidRPr="002344E6">
        <w:t xml:space="preserve">för </w:t>
      </w:r>
      <w:r w:rsidR="00942EB2" w:rsidRPr="002344E6">
        <w:t>Al</w:t>
      </w:r>
      <w:r w:rsidR="009661AB" w:rsidRPr="002344E6">
        <w:t>lmänna frågor och yttre förbindelser (G</w:t>
      </w:r>
      <w:r w:rsidR="00F2699D" w:rsidRPr="002344E6">
        <w:t>AERC</w:t>
      </w:r>
      <w:r w:rsidR="009661AB" w:rsidRPr="002344E6">
        <w:t>) ägde även ett s</w:t>
      </w:r>
      <w:r w:rsidR="00405945" w:rsidRPr="002344E6">
        <w:t>krif</w:t>
      </w:r>
      <w:r w:rsidR="00405945" w:rsidRPr="002344E6">
        <w:t>t</w:t>
      </w:r>
      <w:r w:rsidR="00405945" w:rsidRPr="002344E6">
        <w:t>ligt samrå</w:t>
      </w:r>
      <w:r w:rsidR="009661AB" w:rsidRPr="002344E6">
        <w:t>d</w:t>
      </w:r>
      <w:r w:rsidR="00405945" w:rsidRPr="002344E6">
        <w:t xml:space="preserve"> rum inför G</w:t>
      </w:r>
      <w:r w:rsidR="00394BBF" w:rsidRPr="002344E6">
        <w:t>AERC</w:t>
      </w:r>
      <w:r w:rsidR="009661AB" w:rsidRPr="002344E6">
        <w:t xml:space="preserve">rådets extrainsatta möte den </w:t>
      </w:r>
      <w:r w:rsidR="0072161A" w:rsidRPr="002344E6">
        <w:t>29 juli</w:t>
      </w:r>
      <w:r w:rsidR="00405945" w:rsidRPr="002344E6">
        <w:t xml:space="preserve"> </w:t>
      </w:r>
      <w:r w:rsidR="0072161A" w:rsidRPr="002344E6">
        <w:t>med anle</w:t>
      </w:r>
      <w:r w:rsidR="0072161A" w:rsidRPr="002344E6">
        <w:t>d</w:t>
      </w:r>
      <w:r w:rsidR="0072161A" w:rsidRPr="002344E6">
        <w:t>ning av den då upptrappade konflikten mellan Israel och Libanon.</w:t>
      </w:r>
    </w:p>
    <w:p w:rsidR="00937C0C" w:rsidRPr="002344E6" w:rsidRDefault="009C20CE" w:rsidP="00416999">
      <w:pPr>
        <w:pStyle w:val="Normaltindrag"/>
      </w:pPr>
      <w:r w:rsidRPr="002344E6">
        <w:t>Som framhålls i skrivelsen (avsnitt 8.9) har EU använt alltmer s.k. riktade sanktioner som ett utrikespolitiskt instrument för att påverka regimer i tredj</w:t>
      </w:r>
      <w:r w:rsidRPr="002344E6">
        <w:t>e</w:t>
      </w:r>
      <w:r w:rsidRPr="002344E6">
        <w:t xml:space="preserve">länder. </w:t>
      </w:r>
      <w:r w:rsidR="00DE52D8" w:rsidRPr="002344E6">
        <w:t>Under 2006 har EU genomfört FN-sanktioner, infört självständiga sanktioner eller förstärkt, förlängt eller moderniserat de befintliga sanktione</w:t>
      </w:r>
      <w:r w:rsidR="00DE52D8" w:rsidRPr="002344E6">
        <w:t>r</w:t>
      </w:r>
      <w:r w:rsidR="00DE52D8" w:rsidRPr="002344E6">
        <w:t xml:space="preserve">na mot bl.a. Burma, Elfenbenskusten, Kongo, Libanon, Liberia, Moldavien, Nordkorea, Uzbekistan, Vitryssland och Zimbabwe. </w:t>
      </w:r>
      <w:r w:rsidRPr="002344E6">
        <w:t xml:space="preserve">Skriftligt samråd med regeringen har ägt rum kontinuerligt </w:t>
      </w:r>
      <w:r w:rsidR="00DE52D8" w:rsidRPr="002344E6">
        <w:t>under året när dessa sanktioner har akt</w:t>
      </w:r>
      <w:r w:rsidR="00DE52D8" w:rsidRPr="002344E6">
        <w:t>u</w:t>
      </w:r>
      <w:r w:rsidR="00DE52D8" w:rsidRPr="002344E6">
        <w:t>aliserats.</w:t>
      </w:r>
    </w:p>
    <w:p w:rsidR="0049719B" w:rsidRPr="002344E6" w:rsidRDefault="00866D44" w:rsidP="00416999">
      <w:pPr>
        <w:pStyle w:val="Normaltindrag"/>
        <w:rPr>
          <w:bCs/>
        </w:rPr>
      </w:pPr>
      <w:r w:rsidRPr="002344E6">
        <w:t>Som anges i skrivelsen (avsnitt 8.10) har EU tagit ett stort antal initiativ för att förstärka EU:s förmåga att hantera konsekvenserna av de naturkatastr</w:t>
      </w:r>
      <w:r w:rsidRPr="002344E6">
        <w:t>o</w:t>
      </w:r>
      <w:r w:rsidRPr="002344E6">
        <w:t>fer och terroristattacker som inträffat de senaste åren</w:t>
      </w:r>
      <w:r w:rsidR="00BD50F2" w:rsidRPr="002344E6">
        <w:t>.</w:t>
      </w:r>
      <w:r w:rsidR="00200BD4" w:rsidRPr="002344E6">
        <w:t xml:space="preserve"> Det är medlemsstaterna som ansvarar för hanteringen av nödsituationer på sitt territorium eller för bistånd till sina medborgare utomlands</w:t>
      </w:r>
      <w:r w:rsidR="00985CA4" w:rsidRPr="002344E6">
        <w:t>.</w:t>
      </w:r>
      <w:r w:rsidR="00200BD4" w:rsidRPr="002344E6">
        <w:t xml:space="preserve"> Europeiska unionen kan </w:t>
      </w:r>
      <w:r w:rsidR="00985CA4" w:rsidRPr="002344E6">
        <w:t xml:space="preserve">dock </w:t>
      </w:r>
      <w:r w:rsidR="00200BD4" w:rsidRPr="002344E6">
        <w:t>i en anda av aktiv solidaritet spela en roll genom att samordna en politisk å</w:t>
      </w:r>
      <w:r w:rsidR="00200BD4" w:rsidRPr="002344E6">
        <w:t>t</w:t>
      </w:r>
      <w:r w:rsidR="00200BD4" w:rsidRPr="002344E6">
        <w:t>gärd och genom att hjälpa till att organisera och samordna tillgängliga resu</w:t>
      </w:r>
      <w:r w:rsidR="00200BD4" w:rsidRPr="002344E6">
        <w:t>r</w:t>
      </w:r>
      <w:r w:rsidR="00200BD4" w:rsidRPr="002344E6">
        <w:t xml:space="preserve">ser, om </w:t>
      </w:r>
      <w:r w:rsidR="00985CA4" w:rsidRPr="002344E6">
        <w:t xml:space="preserve">unionen </w:t>
      </w:r>
      <w:r w:rsidR="00200BD4" w:rsidRPr="002344E6">
        <w:t xml:space="preserve">ombeds att göra detta. </w:t>
      </w:r>
      <w:r w:rsidR="00985CA4" w:rsidRPr="002344E6">
        <w:t>Frågan om skydd och beredska</w:t>
      </w:r>
      <w:r w:rsidR="00985CA4" w:rsidRPr="002344E6">
        <w:t>p</w:t>
      </w:r>
      <w:r w:rsidR="00985CA4" w:rsidRPr="002344E6">
        <w:t xml:space="preserve"> inom ramen för gemenskapsmekanismen för räddningstjänst tas också upp i skrivelsen (avsnitt 21). Hur denna mekanism förhåller sig till kris och katastrofbere</w:t>
      </w:r>
      <w:r w:rsidR="00985CA4" w:rsidRPr="002344E6">
        <w:t>d</w:t>
      </w:r>
      <w:r w:rsidR="00985CA4" w:rsidRPr="002344E6">
        <w:t xml:space="preserve">skapen på utrikes- och säkerhetspolitikens område förefaller oklart. </w:t>
      </w:r>
      <w:r w:rsidR="008636EF" w:rsidRPr="002344E6">
        <w:t xml:space="preserve">EU-nämnden </w:t>
      </w:r>
      <w:r w:rsidR="00200BD4" w:rsidRPr="002344E6">
        <w:t xml:space="preserve">efterlyser </w:t>
      </w:r>
      <w:r w:rsidR="008636EF" w:rsidRPr="002344E6">
        <w:t>därför</w:t>
      </w:r>
      <w:r w:rsidR="00200BD4" w:rsidRPr="002344E6">
        <w:t xml:space="preserve"> </w:t>
      </w:r>
      <w:r w:rsidR="00985CA4" w:rsidRPr="002344E6">
        <w:t xml:space="preserve">förtydliganden </w:t>
      </w:r>
      <w:r w:rsidR="008636EF" w:rsidRPr="002344E6">
        <w:t>om hur fråg</w:t>
      </w:r>
      <w:r w:rsidR="00614E86" w:rsidRPr="002344E6">
        <w:t>orna om katastrofbere</w:t>
      </w:r>
      <w:r w:rsidR="00614E86" w:rsidRPr="002344E6">
        <w:t>d</w:t>
      </w:r>
      <w:r w:rsidR="00614E86" w:rsidRPr="002344E6">
        <w:t xml:space="preserve">skap och räddningstjänst samordnas </w:t>
      </w:r>
      <w:r w:rsidR="008636EF" w:rsidRPr="002344E6">
        <w:t>inom EU.</w:t>
      </w:r>
      <w:r w:rsidR="002C2C23" w:rsidRPr="002344E6">
        <w:t xml:space="preserve"> </w:t>
      </w:r>
      <w:r w:rsidR="00A45972" w:rsidRPr="002344E6">
        <w:rPr>
          <w:bCs/>
        </w:rPr>
        <w:t>Europeiska utvecklingsfonden (EUF) är den fond som finansierar utvecklingssamarbetet under Cotonouavt</w:t>
      </w:r>
      <w:r w:rsidR="00A45972" w:rsidRPr="002344E6">
        <w:rPr>
          <w:bCs/>
        </w:rPr>
        <w:t>a</w:t>
      </w:r>
      <w:r w:rsidR="00A45972" w:rsidRPr="002344E6">
        <w:rPr>
          <w:bCs/>
        </w:rPr>
        <w:t xml:space="preserve">let (samarbetet med Afrika, Västindien och Stilla havet). I skrivelsen anges att Europeiska rådet </w:t>
      </w:r>
      <w:r w:rsidR="007E3F27" w:rsidRPr="002344E6">
        <w:rPr>
          <w:bCs/>
        </w:rPr>
        <w:t xml:space="preserve">i december 2005 </w:t>
      </w:r>
      <w:r w:rsidR="00A45972" w:rsidRPr="002344E6">
        <w:rPr>
          <w:bCs/>
        </w:rPr>
        <w:t>fattade beslut om att en tionde europeisk utvec</w:t>
      </w:r>
      <w:r w:rsidR="007D7535" w:rsidRPr="002344E6">
        <w:rPr>
          <w:bCs/>
        </w:rPr>
        <w:t xml:space="preserve">klingsfond (EUF-10) </w:t>
      </w:r>
      <w:r w:rsidR="0067737A" w:rsidRPr="002344E6">
        <w:rPr>
          <w:bCs/>
        </w:rPr>
        <w:t>skall</w:t>
      </w:r>
      <w:r w:rsidR="007D7535" w:rsidRPr="002344E6">
        <w:rPr>
          <w:bCs/>
        </w:rPr>
        <w:t xml:space="preserve"> skapas och a</w:t>
      </w:r>
      <w:r w:rsidR="00A45972" w:rsidRPr="002344E6">
        <w:rPr>
          <w:bCs/>
        </w:rPr>
        <w:t>t</w:t>
      </w:r>
      <w:r w:rsidR="00F267CF" w:rsidRPr="002344E6">
        <w:rPr>
          <w:bCs/>
        </w:rPr>
        <w:t>t</w:t>
      </w:r>
      <w:r w:rsidR="00A45972" w:rsidRPr="002344E6">
        <w:rPr>
          <w:bCs/>
        </w:rPr>
        <w:t xml:space="preserve"> denna liksom tidigare fonder </w:t>
      </w:r>
      <w:r w:rsidR="0067737A" w:rsidRPr="002344E6">
        <w:rPr>
          <w:bCs/>
        </w:rPr>
        <w:t>skall</w:t>
      </w:r>
      <w:r w:rsidR="00A45972" w:rsidRPr="002344E6">
        <w:rPr>
          <w:bCs/>
        </w:rPr>
        <w:t xml:space="preserve"> placeras utanför den reguljära EU-budgeten. I skrivelsen anges vidare att rådet </w:t>
      </w:r>
      <w:r w:rsidR="006F1584" w:rsidRPr="002344E6">
        <w:rPr>
          <w:bCs/>
        </w:rPr>
        <w:t>(eg. medlemsstaterna fö</w:t>
      </w:r>
      <w:r w:rsidR="006F1584" w:rsidRPr="002344E6">
        <w:rPr>
          <w:bCs/>
        </w:rPr>
        <w:t>r</w:t>
      </w:r>
      <w:r w:rsidR="006F1584" w:rsidRPr="002344E6">
        <w:rPr>
          <w:bCs/>
        </w:rPr>
        <w:t xml:space="preserve">samlade i rådet) </w:t>
      </w:r>
      <w:r w:rsidR="00A45972" w:rsidRPr="002344E6">
        <w:rPr>
          <w:bCs/>
        </w:rPr>
        <w:t xml:space="preserve">undertecknade ett EU-internt avtal där EUF-10 inrättas. Av avtalet framgår bl.a. att rådet </w:t>
      </w:r>
      <w:r w:rsidR="0067737A" w:rsidRPr="002344E6">
        <w:rPr>
          <w:bCs/>
        </w:rPr>
        <w:t>skall</w:t>
      </w:r>
      <w:r w:rsidR="00A45972" w:rsidRPr="002344E6">
        <w:rPr>
          <w:bCs/>
        </w:rPr>
        <w:t xml:space="preserve"> anta en ge</w:t>
      </w:r>
      <w:r w:rsidR="00460FD1" w:rsidRPr="002344E6">
        <w:rPr>
          <w:bCs/>
        </w:rPr>
        <w:t>nom</w:t>
      </w:r>
      <w:r w:rsidR="00C717C7" w:rsidRPr="002344E6">
        <w:rPr>
          <w:bCs/>
        </w:rPr>
        <w:t>förande</w:t>
      </w:r>
      <w:r w:rsidR="00A45972" w:rsidRPr="002344E6">
        <w:rPr>
          <w:bCs/>
        </w:rPr>
        <w:t>fö</w:t>
      </w:r>
      <w:r w:rsidR="00A45972" w:rsidRPr="002344E6">
        <w:rPr>
          <w:bCs/>
        </w:rPr>
        <w:t>r</w:t>
      </w:r>
      <w:r w:rsidR="00A45972" w:rsidRPr="002344E6">
        <w:rPr>
          <w:bCs/>
        </w:rPr>
        <w:t>ordning och at</w:t>
      </w:r>
      <w:r w:rsidR="0049719B" w:rsidRPr="002344E6">
        <w:rPr>
          <w:bCs/>
        </w:rPr>
        <w:t>t beslut om avtalet togs under år</w:t>
      </w:r>
      <w:r w:rsidR="00A45972" w:rsidRPr="002344E6">
        <w:rPr>
          <w:bCs/>
        </w:rPr>
        <w:t xml:space="preserve"> 2006.</w:t>
      </w:r>
      <w:r w:rsidR="0049719B" w:rsidRPr="002344E6">
        <w:rPr>
          <w:bCs/>
        </w:rPr>
        <w:t xml:space="preserve"> När det gäller undertecknandet av det EU-interna avtalet har </w:t>
      </w:r>
      <w:r w:rsidR="006F1584" w:rsidRPr="002344E6">
        <w:rPr>
          <w:bCs/>
        </w:rPr>
        <w:t>EU-nämnden inform</w:t>
      </w:r>
      <w:r w:rsidR="006F1584" w:rsidRPr="002344E6">
        <w:rPr>
          <w:bCs/>
        </w:rPr>
        <w:t>e</w:t>
      </w:r>
      <w:r w:rsidR="006F1584" w:rsidRPr="002344E6">
        <w:rPr>
          <w:bCs/>
        </w:rPr>
        <w:t xml:space="preserve">rats om detta. </w:t>
      </w:r>
      <w:r w:rsidR="00491637" w:rsidRPr="002344E6">
        <w:rPr>
          <w:bCs/>
        </w:rPr>
        <w:t>Beträffande</w:t>
      </w:r>
      <w:r w:rsidR="0049719B" w:rsidRPr="002344E6">
        <w:rPr>
          <w:bCs/>
        </w:rPr>
        <w:t xml:space="preserve"> kommissionens förslag rörande genomförandefö</w:t>
      </w:r>
      <w:r w:rsidR="0049719B" w:rsidRPr="002344E6">
        <w:rPr>
          <w:bCs/>
        </w:rPr>
        <w:t>r</w:t>
      </w:r>
      <w:r w:rsidR="0049719B" w:rsidRPr="002344E6">
        <w:rPr>
          <w:bCs/>
        </w:rPr>
        <w:t>o</w:t>
      </w:r>
      <w:r w:rsidR="004E5155" w:rsidRPr="002344E6">
        <w:rPr>
          <w:bCs/>
        </w:rPr>
        <w:t>r</w:t>
      </w:r>
      <w:r w:rsidR="0049719B" w:rsidRPr="002344E6">
        <w:rPr>
          <w:bCs/>
        </w:rPr>
        <w:t>dningen</w:t>
      </w:r>
      <w:r w:rsidR="00BE2FF2" w:rsidRPr="002344E6">
        <w:rPr>
          <w:bCs/>
        </w:rPr>
        <w:t xml:space="preserve"> </w:t>
      </w:r>
      <w:r w:rsidR="0010661A" w:rsidRPr="002344E6">
        <w:rPr>
          <w:bCs/>
        </w:rPr>
        <w:t>kan EU-nämnden konstatera att de</w:t>
      </w:r>
      <w:r w:rsidR="006F1584" w:rsidRPr="002344E6">
        <w:rPr>
          <w:bCs/>
        </w:rPr>
        <w:t>nn</w:t>
      </w:r>
      <w:r w:rsidR="0010661A" w:rsidRPr="002344E6">
        <w:rPr>
          <w:bCs/>
        </w:rPr>
        <w:t xml:space="preserve">a inte </w:t>
      </w:r>
      <w:r w:rsidR="00BE2FF2" w:rsidRPr="002344E6">
        <w:rPr>
          <w:bCs/>
        </w:rPr>
        <w:t>har, som anges i skr</w:t>
      </w:r>
      <w:r w:rsidR="00BE2FF2" w:rsidRPr="002344E6">
        <w:rPr>
          <w:bCs/>
        </w:rPr>
        <w:t>i</w:t>
      </w:r>
      <w:r w:rsidR="00BE2FF2" w:rsidRPr="002344E6">
        <w:rPr>
          <w:bCs/>
        </w:rPr>
        <w:t xml:space="preserve">velsen, </w:t>
      </w:r>
      <w:r w:rsidR="006F1584" w:rsidRPr="002344E6">
        <w:rPr>
          <w:bCs/>
        </w:rPr>
        <w:t xml:space="preserve">beslutats </w:t>
      </w:r>
      <w:r w:rsidR="00BE2FF2" w:rsidRPr="002344E6">
        <w:rPr>
          <w:bCs/>
        </w:rPr>
        <w:t xml:space="preserve">under hösten 2006. </w:t>
      </w:r>
      <w:r w:rsidR="006F1584" w:rsidRPr="002344E6">
        <w:rPr>
          <w:bCs/>
        </w:rPr>
        <w:t>Fö</w:t>
      </w:r>
      <w:r w:rsidR="006F1584" w:rsidRPr="002344E6">
        <w:rPr>
          <w:bCs/>
        </w:rPr>
        <w:t>r</w:t>
      </w:r>
      <w:r w:rsidR="006F1584" w:rsidRPr="002344E6">
        <w:rPr>
          <w:bCs/>
        </w:rPr>
        <w:t xml:space="preserve">ordningen väntas behandlas av rådet </w:t>
      </w:r>
      <w:r w:rsidR="00BE2FF2" w:rsidRPr="002344E6">
        <w:rPr>
          <w:bCs/>
        </w:rPr>
        <w:t>under 2007.</w:t>
      </w:r>
    </w:p>
    <w:p w:rsidR="00937C0C" w:rsidRPr="002344E6" w:rsidRDefault="00937C0C" w:rsidP="004E7A80">
      <w:pPr>
        <w:pStyle w:val="Rubrik2"/>
        <w:jc w:val="both"/>
      </w:pPr>
      <w:bookmarkStart w:id="12" w:name="_Toc101078474"/>
      <w:bookmarkStart w:id="13" w:name="_Toc101079328"/>
      <w:bookmarkStart w:id="14" w:name="_Toc133209001"/>
      <w:bookmarkStart w:id="15" w:name="_Toc164562700"/>
      <w:r w:rsidRPr="002344E6">
        <w:t>Ekonomiska och finansiella fr</w:t>
      </w:r>
      <w:r w:rsidRPr="002344E6">
        <w:t>å</w:t>
      </w:r>
      <w:r w:rsidRPr="002344E6">
        <w:t>gor (del 3)</w:t>
      </w:r>
      <w:bookmarkEnd w:id="12"/>
      <w:bookmarkEnd w:id="13"/>
      <w:bookmarkEnd w:id="14"/>
      <w:bookmarkEnd w:id="15"/>
    </w:p>
    <w:p w:rsidR="008672BF" w:rsidRPr="002344E6" w:rsidRDefault="00A36C79" w:rsidP="00416999">
      <w:r w:rsidRPr="002344E6">
        <w:t>I skrivelsen under denna del redogörs för bl.a. miniminivåer för punktska</w:t>
      </w:r>
      <w:r w:rsidRPr="002344E6">
        <w:t>t</w:t>
      </w:r>
      <w:r w:rsidRPr="002344E6">
        <w:t xml:space="preserve">ter på alkohol (avsnitt 13.3). Kommissionen lämnade i september ett förslag om inflationsuppräkning av minimiskattera på alkohol inom EU med 31 % från </w:t>
      </w:r>
      <w:r w:rsidR="00491637" w:rsidRPr="002344E6">
        <w:t xml:space="preserve">år </w:t>
      </w:r>
      <w:r w:rsidRPr="002344E6">
        <w:t>1993. Förslaget avser öl, andra jästa drycker än vin och öl, mellanklasspr</w:t>
      </w:r>
      <w:r w:rsidRPr="002344E6">
        <w:t>o</w:t>
      </w:r>
      <w:r w:rsidRPr="002344E6">
        <w:t>dukter (starkvin) och etylalkohol (sprit). Förslaget behandlades vid två tillfä</w:t>
      </w:r>
      <w:r w:rsidRPr="002344E6">
        <w:t>l</w:t>
      </w:r>
      <w:r w:rsidRPr="002344E6">
        <w:t xml:space="preserve">len i november 2006. </w:t>
      </w:r>
      <w:r w:rsidR="003F7835" w:rsidRPr="002344E6">
        <w:t>En enig EU-nämnd</w:t>
      </w:r>
      <w:r w:rsidRPr="002344E6">
        <w:t xml:space="preserve"> gav sitt </w:t>
      </w:r>
      <w:r w:rsidR="00E8267E" w:rsidRPr="002344E6">
        <w:t>full</w:t>
      </w:r>
      <w:r w:rsidR="00EA5D20" w:rsidRPr="002344E6">
        <w:t>a</w:t>
      </w:r>
      <w:r w:rsidR="00E8267E" w:rsidRPr="002344E6">
        <w:t xml:space="preserve"> stöd för att acce</w:t>
      </w:r>
      <w:r w:rsidR="00E8267E" w:rsidRPr="002344E6">
        <w:t>p</w:t>
      </w:r>
      <w:r w:rsidR="00E8267E" w:rsidRPr="002344E6">
        <w:t>tera</w:t>
      </w:r>
      <w:r w:rsidRPr="002344E6">
        <w:t xml:space="preserve"> </w:t>
      </w:r>
      <w:r w:rsidR="00E8267E" w:rsidRPr="002344E6">
        <w:t>förslaget om att höja minimiskatterna</w:t>
      </w:r>
      <w:r w:rsidRPr="002344E6">
        <w:t xml:space="preserve"> och framhöll samtidigt att </w:t>
      </w:r>
      <w:r w:rsidR="00E8267E" w:rsidRPr="002344E6">
        <w:t xml:space="preserve">Sverige </w:t>
      </w:r>
      <w:r w:rsidRPr="002344E6">
        <w:t>u</w:t>
      </w:r>
      <w:r w:rsidRPr="002344E6">
        <w:t>t</w:t>
      </w:r>
      <w:r w:rsidRPr="002344E6">
        <w:t>ifrån ett folkhälsoperspek</w:t>
      </w:r>
      <w:r w:rsidR="00E8267E" w:rsidRPr="002344E6">
        <w:t>tiv skulle förhandla om en skattesats även för vin, en fortlöpande inflationsuppräkning och för att reglerna blir så tydliga som mö</w:t>
      </w:r>
      <w:r w:rsidR="00E8267E" w:rsidRPr="002344E6">
        <w:t>j</w:t>
      </w:r>
      <w:r w:rsidR="00E8267E" w:rsidRPr="002344E6">
        <w:t>ligt.</w:t>
      </w:r>
    </w:p>
    <w:p w:rsidR="00937C0C" w:rsidRPr="002344E6" w:rsidRDefault="008672BF" w:rsidP="00416999">
      <w:pPr>
        <w:pStyle w:val="Normaltindrag"/>
      </w:pPr>
      <w:r w:rsidRPr="002344E6">
        <w:t>E</w:t>
      </w:r>
      <w:r w:rsidR="00DE6C7E" w:rsidRPr="002344E6">
        <w:t>U-nämnden har också fortlöpande behandlat bl.a. en gemensam konsol</w:t>
      </w:r>
      <w:r w:rsidR="00DE6C7E" w:rsidRPr="002344E6">
        <w:t>i</w:t>
      </w:r>
      <w:r w:rsidR="00DE6C7E" w:rsidRPr="002344E6">
        <w:t xml:space="preserve">derad bolagsskattebas, en </w:t>
      </w:r>
      <w:r w:rsidR="00A7234E" w:rsidRPr="002344E6">
        <w:t>ny strategi för den finansiella tjänstesektorn, åtgä</w:t>
      </w:r>
      <w:r w:rsidR="00A7234E" w:rsidRPr="002344E6">
        <w:t>r</w:t>
      </w:r>
      <w:r w:rsidR="00A7234E" w:rsidRPr="002344E6">
        <w:t>der mo</w:t>
      </w:r>
      <w:r w:rsidR="00491637" w:rsidRPr="002344E6">
        <w:t>t</w:t>
      </w:r>
      <w:r w:rsidR="00A7234E" w:rsidRPr="002344E6">
        <w:t xml:space="preserve"> skattebedrägeri</w:t>
      </w:r>
      <w:r w:rsidR="00EF4230" w:rsidRPr="002344E6">
        <w:t xml:space="preserve">, budgetens inkomster </w:t>
      </w:r>
      <w:r w:rsidR="00491637" w:rsidRPr="002344E6">
        <w:t>(</w:t>
      </w:r>
      <w:r w:rsidR="00EF4230" w:rsidRPr="002344E6">
        <w:t>s.k. egna medel</w:t>
      </w:r>
      <w:r w:rsidR="00491637" w:rsidRPr="002344E6">
        <w:t>)</w:t>
      </w:r>
      <w:r w:rsidR="00EF4230" w:rsidRPr="002344E6">
        <w:t xml:space="preserve"> </w:t>
      </w:r>
      <w:r w:rsidR="00A7234E" w:rsidRPr="002344E6">
        <w:t>samt uppföl</w:t>
      </w:r>
      <w:r w:rsidR="00A7234E" w:rsidRPr="002344E6">
        <w:t>j</w:t>
      </w:r>
      <w:r w:rsidR="00A7234E" w:rsidRPr="002344E6">
        <w:t>ning av Lissabonstrategin.</w:t>
      </w:r>
      <w:r w:rsidR="000A090D" w:rsidRPr="002344E6">
        <w:t xml:space="preserve"> Samtliga dessa frågor kommer att fortsatt diskut</w:t>
      </w:r>
      <w:r w:rsidR="000A090D" w:rsidRPr="002344E6">
        <w:t>e</w:t>
      </w:r>
      <w:r w:rsidR="000A090D" w:rsidRPr="002344E6">
        <w:t xml:space="preserve">ras under </w:t>
      </w:r>
      <w:r w:rsidR="00491637" w:rsidRPr="002344E6">
        <w:t xml:space="preserve">år </w:t>
      </w:r>
      <w:r w:rsidR="000A090D" w:rsidRPr="002344E6">
        <w:t>2007.</w:t>
      </w:r>
    </w:p>
    <w:p w:rsidR="00937C0C" w:rsidRPr="002344E6" w:rsidRDefault="00937C0C" w:rsidP="00416999">
      <w:pPr>
        <w:pStyle w:val="Rubrik2"/>
        <w:jc w:val="both"/>
      </w:pPr>
      <w:bookmarkStart w:id="16" w:name="_Toc101078475"/>
      <w:bookmarkStart w:id="17" w:name="_Toc101079329"/>
      <w:bookmarkStart w:id="18" w:name="_Toc133209002"/>
      <w:bookmarkStart w:id="19" w:name="_Toc164562701"/>
      <w:r w:rsidRPr="002344E6">
        <w:t>Rättsliga och inrikes frågor (del 4)</w:t>
      </w:r>
      <w:bookmarkEnd w:id="16"/>
      <w:bookmarkEnd w:id="17"/>
      <w:bookmarkEnd w:id="18"/>
      <w:bookmarkEnd w:id="19"/>
    </w:p>
    <w:p w:rsidR="00EA1CD9" w:rsidRPr="002344E6" w:rsidRDefault="008F6B6A" w:rsidP="00416999">
      <w:r w:rsidRPr="002344E6">
        <w:t>I detta avsnitt redogörs för grundläggande rättigheter, civilrättsligt och straf</w:t>
      </w:r>
      <w:r w:rsidRPr="002344E6">
        <w:t>f</w:t>
      </w:r>
      <w:r w:rsidRPr="002344E6">
        <w:t>rättsligt samarbete och tullsama</w:t>
      </w:r>
      <w:r w:rsidR="008672BF" w:rsidRPr="002344E6">
        <w:t>r</w:t>
      </w:r>
      <w:r w:rsidRPr="002344E6">
        <w:t xml:space="preserve">bete, </w:t>
      </w:r>
      <w:r w:rsidR="008672BF" w:rsidRPr="002344E6">
        <w:t>visering, asyl och invandring samt samarbete om skydd och beredskap (räddningstjänst).</w:t>
      </w:r>
      <w:r w:rsidR="0012625A" w:rsidRPr="002344E6">
        <w:t xml:space="preserve"> Regeringen har info</w:t>
      </w:r>
      <w:r w:rsidR="0012625A" w:rsidRPr="002344E6">
        <w:t>r</w:t>
      </w:r>
      <w:r w:rsidR="0012625A" w:rsidRPr="002344E6">
        <w:t>merat</w:t>
      </w:r>
      <w:r w:rsidR="00DF28C1" w:rsidRPr="002344E6">
        <w:t xml:space="preserve"> och samrått med EU-nämnden om</w:t>
      </w:r>
      <w:r w:rsidR="0012625A" w:rsidRPr="002344E6">
        <w:t xml:space="preserve"> viktigare frågor som b</w:t>
      </w:r>
      <w:r w:rsidR="0012625A" w:rsidRPr="002344E6">
        <w:t>e</w:t>
      </w:r>
      <w:r w:rsidR="0012625A" w:rsidRPr="002344E6">
        <w:t>handlats under året av rådet för rättsliga och inrikes frågor</w:t>
      </w:r>
      <w:r w:rsidR="00491637" w:rsidRPr="002344E6">
        <w:t xml:space="preserve"> (RIF)</w:t>
      </w:r>
      <w:r w:rsidR="0012625A" w:rsidRPr="002344E6">
        <w:t xml:space="preserve">. </w:t>
      </w:r>
    </w:p>
    <w:p w:rsidR="00AA020F" w:rsidRPr="002344E6" w:rsidRDefault="00A2746A" w:rsidP="00416999">
      <w:pPr>
        <w:pStyle w:val="Normaltindrag"/>
      </w:pPr>
      <w:r w:rsidRPr="002344E6">
        <w:t>Beträffande programmet</w:t>
      </w:r>
      <w:r w:rsidR="0012625A" w:rsidRPr="002344E6">
        <w:t xml:space="preserve"> Grundläggande rättigheter och medborgarskap (avsnitt 17.2)</w:t>
      </w:r>
      <w:r w:rsidR="008672BF" w:rsidRPr="002344E6">
        <w:t xml:space="preserve"> </w:t>
      </w:r>
      <w:r w:rsidR="00256FA6" w:rsidRPr="002344E6">
        <w:t>som är en del av ramprogrammet Grundläggande rättigh</w:t>
      </w:r>
      <w:r w:rsidR="00256FA6" w:rsidRPr="002344E6">
        <w:t>e</w:t>
      </w:r>
      <w:r w:rsidR="00256FA6" w:rsidRPr="002344E6">
        <w:t xml:space="preserve">ter och rättvisa </w:t>
      </w:r>
      <w:r w:rsidR="001D048F" w:rsidRPr="002344E6">
        <w:t xml:space="preserve">kan EU-nämnden </w:t>
      </w:r>
      <w:r w:rsidR="00EA1CD9" w:rsidRPr="002344E6">
        <w:t>k</w:t>
      </w:r>
      <w:r w:rsidR="001D048F" w:rsidRPr="002344E6">
        <w:t xml:space="preserve">onstatera att </w:t>
      </w:r>
      <w:r w:rsidR="00EA1CD9" w:rsidRPr="002344E6">
        <w:t xml:space="preserve">denna fråga </w:t>
      </w:r>
      <w:r w:rsidR="0028028D" w:rsidRPr="002344E6">
        <w:t>för första gången stod på rådets dagordning i december 2006</w:t>
      </w:r>
      <w:r w:rsidR="00491637" w:rsidRPr="002344E6">
        <w:t>.</w:t>
      </w:r>
      <w:r w:rsidR="0028028D" w:rsidRPr="002344E6">
        <w:t xml:space="preserve">  </w:t>
      </w:r>
      <w:r w:rsidR="00A624CC" w:rsidRPr="002344E6">
        <w:t>Det förstnämnda progra</w:t>
      </w:r>
      <w:r w:rsidR="00A624CC" w:rsidRPr="002344E6">
        <w:t>m</w:t>
      </w:r>
      <w:r w:rsidR="00A624CC" w:rsidRPr="002344E6">
        <w:t xml:space="preserve">met </w:t>
      </w:r>
      <w:r w:rsidR="0028028D" w:rsidRPr="002344E6">
        <w:t xml:space="preserve">avsågs att </w:t>
      </w:r>
      <w:r w:rsidR="00FA2C58" w:rsidRPr="002344E6">
        <w:t>behandlas som A-punkt i</w:t>
      </w:r>
      <w:r w:rsidR="00EA1CD9" w:rsidRPr="002344E6">
        <w:t xml:space="preserve"> rådet </w:t>
      </w:r>
      <w:r w:rsidR="009F2D10" w:rsidRPr="002344E6">
        <w:t xml:space="preserve">för rättsliga och inrikes frågor, </w:t>
      </w:r>
      <w:r w:rsidR="00A624CC" w:rsidRPr="002344E6">
        <w:t xml:space="preserve">men </w:t>
      </w:r>
      <w:r w:rsidR="00F274BB" w:rsidRPr="002344E6">
        <w:t>behandl</w:t>
      </w:r>
      <w:r w:rsidR="00F274BB" w:rsidRPr="002344E6">
        <w:t>a</w:t>
      </w:r>
      <w:r w:rsidR="00F274BB" w:rsidRPr="002344E6">
        <w:t>des</w:t>
      </w:r>
      <w:r w:rsidR="0028028D" w:rsidRPr="002344E6">
        <w:t xml:space="preserve"> </w:t>
      </w:r>
      <w:r w:rsidR="00EA1CD9" w:rsidRPr="002344E6">
        <w:t>som A-punkt senare i d</w:t>
      </w:r>
      <w:r w:rsidR="00EA1CD9" w:rsidRPr="002344E6">
        <w:t>e</w:t>
      </w:r>
      <w:r w:rsidR="00FA2C58" w:rsidRPr="002344E6">
        <w:t>cember i</w:t>
      </w:r>
      <w:r w:rsidR="00EA1CD9" w:rsidRPr="002344E6">
        <w:t xml:space="preserve"> rådet för jordbruk och fiske</w:t>
      </w:r>
      <w:r w:rsidR="00F274BB" w:rsidRPr="002344E6">
        <w:t>, då en s.k. allmän inriktning beslutades</w:t>
      </w:r>
      <w:r w:rsidR="00EA1CD9" w:rsidRPr="002344E6">
        <w:t>. EU-nämnden har visse</w:t>
      </w:r>
      <w:r w:rsidR="0028028D" w:rsidRPr="002344E6">
        <w:t>rl</w:t>
      </w:r>
      <w:r w:rsidR="0028028D" w:rsidRPr="002344E6">
        <w:t>i</w:t>
      </w:r>
      <w:r w:rsidR="0028028D" w:rsidRPr="002344E6">
        <w:t>gen</w:t>
      </w:r>
      <w:r w:rsidR="00EA1CD9" w:rsidRPr="002344E6">
        <w:t xml:space="preserve"> haft tillgång till skriftligt u</w:t>
      </w:r>
      <w:r w:rsidR="0028028D" w:rsidRPr="002344E6">
        <w:t>nderlag i frågan inför RIF-rådets möt</w:t>
      </w:r>
      <w:r w:rsidR="004E5922" w:rsidRPr="002344E6">
        <w:t>e</w:t>
      </w:r>
      <w:r w:rsidR="0028028D" w:rsidRPr="002344E6">
        <w:t xml:space="preserve"> i d</w:t>
      </w:r>
      <w:r w:rsidR="004E5922" w:rsidRPr="002344E6">
        <w:t>e</w:t>
      </w:r>
      <w:r w:rsidR="0028028D" w:rsidRPr="002344E6">
        <w:t>cem</w:t>
      </w:r>
      <w:r w:rsidR="004E5922" w:rsidRPr="002344E6">
        <w:t>ber</w:t>
      </w:r>
      <w:r w:rsidR="00256FA6" w:rsidRPr="002344E6">
        <w:t xml:space="preserve"> och </w:t>
      </w:r>
      <w:r w:rsidR="004E5922" w:rsidRPr="002344E6">
        <w:t>behan</w:t>
      </w:r>
      <w:r w:rsidR="004E5922" w:rsidRPr="002344E6">
        <w:t>d</w:t>
      </w:r>
      <w:r w:rsidR="004E5922" w:rsidRPr="002344E6">
        <w:t>lat en del av frågan i sa</w:t>
      </w:r>
      <w:r w:rsidR="004E5922" w:rsidRPr="002344E6">
        <w:t>m</w:t>
      </w:r>
      <w:r w:rsidR="004E5922" w:rsidRPr="002344E6">
        <w:t xml:space="preserve">band med programmet Daphne (Kamp mot våld) inför </w:t>
      </w:r>
      <w:r w:rsidR="00757732" w:rsidRPr="002344E6">
        <w:t>det s.k. E</w:t>
      </w:r>
      <w:r w:rsidR="00BD0209" w:rsidRPr="002344E6">
        <w:t>PSCO</w:t>
      </w:r>
      <w:r w:rsidR="00757732" w:rsidRPr="002344E6">
        <w:t>rådet i november 2006</w:t>
      </w:r>
      <w:r w:rsidR="00256FA6" w:rsidRPr="002344E6">
        <w:t>, men det är inte tillfredsställande att vikt</w:t>
      </w:r>
      <w:r w:rsidR="00256FA6" w:rsidRPr="002344E6">
        <w:t>i</w:t>
      </w:r>
      <w:r w:rsidR="00256FA6" w:rsidRPr="002344E6">
        <w:t>ga finansieringsprogram b</w:t>
      </w:r>
      <w:r w:rsidR="00256FA6" w:rsidRPr="002344E6">
        <w:t>e</w:t>
      </w:r>
      <w:r w:rsidR="00256FA6" w:rsidRPr="002344E6">
        <w:t xml:space="preserve">handlas av rådet som </w:t>
      </w:r>
      <w:r w:rsidR="00AA020F" w:rsidRPr="002344E6">
        <w:t xml:space="preserve">enbart </w:t>
      </w:r>
      <w:r w:rsidR="00256FA6" w:rsidRPr="002344E6">
        <w:t>A-punkter</w:t>
      </w:r>
      <w:r w:rsidR="00757732" w:rsidRPr="002344E6">
        <w:t>.</w:t>
      </w:r>
      <w:r w:rsidR="007E7C95" w:rsidRPr="002344E6">
        <w:t xml:space="preserve"> EU-nämnden skulle därför gärna se att regeringen inte medverkar till att sådana frågor förs upp på rådets dagordning som A-punkter. </w:t>
      </w:r>
    </w:p>
    <w:p w:rsidR="00256FA6" w:rsidRPr="002344E6" w:rsidRDefault="00757732" w:rsidP="00416999">
      <w:pPr>
        <w:pStyle w:val="Normaltindrag"/>
      </w:pPr>
      <w:r w:rsidRPr="002344E6">
        <w:t xml:space="preserve"> Programmet </w:t>
      </w:r>
      <w:r w:rsidR="00A624CC" w:rsidRPr="002344E6">
        <w:t xml:space="preserve">Grundläggande rättigheter och medborgarskap </w:t>
      </w:r>
      <w:r w:rsidRPr="002344E6">
        <w:t>har samband med två övriga ramprogram på området för rättsliga och inrikes frågor, nä</w:t>
      </w:r>
      <w:r w:rsidRPr="002344E6">
        <w:t>m</w:t>
      </w:r>
      <w:r w:rsidRPr="002344E6">
        <w:t>ligen programmet för Solidaritet och hantering av migration</w:t>
      </w:r>
      <w:r w:rsidRPr="002344E6">
        <w:t>s</w:t>
      </w:r>
      <w:r w:rsidRPr="002344E6">
        <w:t xml:space="preserve">strömmar </w:t>
      </w:r>
      <w:r w:rsidR="00602F21" w:rsidRPr="002344E6">
        <w:t>(se</w:t>
      </w:r>
      <w:r w:rsidR="00491582" w:rsidRPr="002344E6">
        <w:t xml:space="preserve"> </w:t>
      </w:r>
      <w:r w:rsidR="00602F21" w:rsidRPr="002344E6">
        <w:t xml:space="preserve">avsnitt 20.1.2) </w:t>
      </w:r>
      <w:r w:rsidRPr="002344E6">
        <w:t>samt programmet för Säkerhet och skydd av friheter</w:t>
      </w:r>
      <w:r w:rsidR="00602F21" w:rsidRPr="002344E6">
        <w:t xml:space="preserve"> (som inte </w:t>
      </w:r>
      <w:r w:rsidR="00491582" w:rsidRPr="002344E6">
        <w:t>nämns</w:t>
      </w:r>
      <w:r w:rsidR="00602F21" w:rsidRPr="002344E6">
        <w:t xml:space="preserve"> i skrivelsen)</w:t>
      </w:r>
      <w:r w:rsidRPr="002344E6">
        <w:t>.</w:t>
      </w:r>
      <w:r w:rsidR="00602F21" w:rsidRPr="002344E6">
        <w:t xml:space="preserve"> Det sistnämnda programmet och programmet för </w:t>
      </w:r>
      <w:r w:rsidR="00256FA6" w:rsidRPr="002344E6">
        <w:t>G</w:t>
      </w:r>
      <w:r w:rsidR="00602F21" w:rsidRPr="002344E6">
        <w:t>run</w:t>
      </w:r>
      <w:r w:rsidR="00602F21" w:rsidRPr="002344E6">
        <w:t>d</w:t>
      </w:r>
      <w:r w:rsidR="00602F21" w:rsidRPr="002344E6">
        <w:t xml:space="preserve">läggande rättigheter </w:t>
      </w:r>
      <w:r w:rsidR="00256FA6" w:rsidRPr="002344E6">
        <w:t xml:space="preserve">och rättvisa </w:t>
      </w:r>
      <w:r w:rsidR="00602F21" w:rsidRPr="002344E6">
        <w:t xml:space="preserve">ingår </w:t>
      </w:r>
      <w:r w:rsidR="00256FA6" w:rsidRPr="002344E6">
        <w:t>i frågan om nya finan</w:t>
      </w:r>
      <w:r w:rsidR="003251AD" w:rsidRPr="002344E6">
        <w:t>sieringsramar för perioden 2007–</w:t>
      </w:r>
      <w:r w:rsidR="00256FA6" w:rsidRPr="002344E6">
        <w:t>2013.</w:t>
      </w:r>
      <w:r w:rsidR="00602F21" w:rsidRPr="002344E6">
        <w:t xml:space="preserve"> </w:t>
      </w:r>
      <w:r w:rsidR="005E3785" w:rsidRPr="002344E6">
        <w:t xml:space="preserve">EU-nämnden efterlyser en </w:t>
      </w:r>
      <w:r w:rsidR="00256FA6" w:rsidRPr="002344E6">
        <w:t>sa</w:t>
      </w:r>
      <w:r w:rsidR="00256FA6" w:rsidRPr="002344E6">
        <w:t>m</w:t>
      </w:r>
      <w:r w:rsidR="00256FA6" w:rsidRPr="002344E6">
        <w:t>lad redogöre</w:t>
      </w:r>
      <w:r w:rsidR="005E3785" w:rsidRPr="002344E6">
        <w:t>lse</w:t>
      </w:r>
      <w:r w:rsidR="00256FA6" w:rsidRPr="002344E6">
        <w:t xml:space="preserve"> för dessa </w:t>
      </w:r>
      <w:r w:rsidR="005E3785" w:rsidRPr="002344E6">
        <w:t>ram</w:t>
      </w:r>
      <w:r w:rsidR="00256FA6" w:rsidRPr="002344E6">
        <w:t xml:space="preserve">program och </w:t>
      </w:r>
      <w:r w:rsidR="005E3785" w:rsidRPr="002344E6">
        <w:t xml:space="preserve">dess underprogram, </w:t>
      </w:r>
      <w:r w:rsidR="00256FA6" w:rsidRPr="002344E6">
        <w:t xml:space="preserve">hur de </w:t>
      </w:r>
      <w:r w:rsidR="005E3785" w:rsidRPr="002344E6">
        <w:t>skall finansieras och hur de fö</w:t>
      </w:r>
      <w:r w:rsidR="005E3785" w:rsidRPr="002344E6">
        <w:t>r</w:t>
      </w:r>
      <w:r w:rsidR="005E3785" w:rsidRPr="002344E6">
        <w:t>håller sig till EU:s lån</w:t>
      </w:r>
      <w:r w:rsidR="005E3785" w:rsidRPr="002344E6">
        <w:t>g</w:t>
      </w:r>
      <w:r w:rsidR="00470FE2" w:rsidRPr="002344E6">
        <w:t>tidsbudget för 2007–</w:t>
      </w:r>
      <w:r w:rsidR="005E3785" w:rsidRPr="002344E6">
        <w:t>2013.</w:t>
      </w:r>
    </w:p>
    <w:p w:rsidR="00256FA6" w:rsidRPr="002344E6" w:rsidRDefault="00BF6C68" w:rsidP="00416999">
      <w:pPr>
        <w:pStyle w:val="Normaltindrag"/>
      </w:pPr>
      <w:r w:rsidRPr="002344E6">
        <w:t xml:space="preserve">I </w:t>
      </w:r>
      <w:r w:rsidR="00006E37" w:rsidRPr="002344E6">
        <w:t>skrivelsen redogörs för arbetet med EU:s byrå för grundläggande rätti</w:t>
      </w:r>
      <w:r w:rsidR="00006E37" w:rsidRPr="002344E6">
        <w:t>g</w:t>
      </w:r>
      <w:r w:rsidR="00006E37" w:rsidRPr="002344E6">
        <w:t xml:space="preserve">heter, och det framhålls särskilt att Sverige har agerat för att byrån skall få mandat att verka inom ramen för EU:s polisiära och straffrättsliga arbete. I </w:t>
      </w:r>
      <w:r w:rsidRPr="002344E6">
        <w:t xml:space="preserve">december fick regeringen </w:t>
      </w:r>
      <w:r w:rsidR="00006E37" w:rsidRPr="002344E6">
        <w:t xml:space="preserve">emellertid </w:t>
      </w:r>
      <w:r w:rsidRPr="002344E6">
        <w:t xml:space="preserve">EU-nämndens stöd för att ställa sig bakom en kompromiss </w:t>
      </w:r>
      <w:r w:rsidR="00006E37" w:rsidRPr="002344E6">
        <w:t>som i denna del innebär att byrån inte får ett sådant mandat men att medlemsstaterna frivilligt kan använda byråns expertis oc</w:t>
      </w:r>
      <w:r w:rsidR="00006E37" w:rsidRPr="002344E6">
        <w:t>k</w:t>
      </w:r>
      <w:r w:rsidR="00006E37" w:rsidRPr="002344E6">
        <w:t>så när det gäller de polisiära och straffrättsliga frågor</w:t>
      </w:r>
      <w:r w:rsidR="00886CD7" w:rsidRPr="002344E6">
        <w:t>na</w:t>
      </w:r>
      <w:r w:rsidR="00006E37" w:rsidRPr="002344E6">
        <w:t>.</w:t>
      </w:r>
      <w:r w:rsidRPr="002344E6">
        <w:t xml:space="preserve"> </w:t>
      </w:r>
      <w:r w:rsidR="00006E37" w:rsidRPr="002344E6">
        <w:t xml:space="preserve">När det gäller </w:t>
      </w:r>
      <w:r w:rsidR="005E3785" w:rsidRPr="002344E6">
        <w:t>samarb</w:t>
      </w:r>
      <w:r w:rsidR="005E3785" w:rsidRPr="002344E6">
        <w:t>e</w:t>
      </w:r>
      <w:r w:rsidR="005E3785" w:rsidRPr="002344E6">
        <w:t>tet mellan Europarådet och EU på bl.a. demokratiområdet och det demokrat</w:t>
      </w:r>
      <w:r w:rsidR="005E3785" w:rsidRPr="002344E6">
        <w:t>i</w:t>
      </w:r>
      <w:r w:rsidR="005E3785" w:rsidRPr="002344E6">
        <w:t xml:space="preserve">forum som </w:t>
      </w:r>
      <w:r w:rsidR="00006E37" w:rsidRPr="002344E6">
        <w:t>nämns i skrive</w:t>
      </w:r>
      <w:r w:rsidR="00006E37" w:rsidRPr="002344E6">
        <w:t>l</w:t>
      </w:r>
      <w:r w:rsidR="00006E37" w:rsidRPr="002344E6">
        <w:t xml:space="preserve">sen och som </w:t>
      </w:r>
      <w:r w:rsidR="005E3785" w:rsidRPr="002344E6">
        <w:t>Sverige förbereder</w:t>
      </w:r>
      <w:r w:rsidR="00006E37" w:rsidRPr="002344E6">
        <w:t>,</w:t>
      </w:r>
      <w:r w:rsidR="005E3785" w:rsidRPr="002344E6">
        <w:t xml:space="preserve"> kan nämnas att detta forum skall inledas i riksd</w:t>
      </w:r>
      <w:r w:rsidR="005E3785" w:rsidRPr="002344E6">
        <w:t>a</w:t>
      </w:r>
      <w:r w:rsidR="005E3785" w:rsidRPr="002344E6">
        <w:t xml:space="preserve">gen den 13 juni 2007. </w:t>
      </w:r>
    </w:p>
    <w:p w:rsidR="008672BF" w:rsidRPr="002344E6" w:rsidRDefault="00D832A3" w:rsidP="00416999">
      <w:pPr>
        <w:pStyle w:val="Normaltindrag"/>
      </w:pPr>
      <w:r w:rsidRPr="002344E6">
        <w:t>I skrivelsen redogörs för innehållet i direktivet om l</w:t>
      </w:r>
      <w:r w:rsidR="008672BF" w:rsidRPr="002344E6">
        <w:t>agring av trafikdata</w:t>
      </w:r>
      <w:r w:rsidRPr="002344E6">
        <w:t xml:space="preserve"> (avsnitt 19.2.1) och genomförandet av detta. Direktivet, som init</w:t>
      </w:r>
      <w:r w:rsidRPr="002344E6">
        <w:t>i</w:t>
      </w:r>
      <w:r w:rsidRPr="002344E6">
        <w:t>erats av bl.a. den svenska regeringen, har under tidigare år medfört omfattande diskussi</w:t>
      </w:r>
      <w:r w:rsidRPr="002344E6">
        <w:t>o</w:t>
      </w:r>
      <w:r w:rsidRPr="002344E6">
        <w:t xml:space="preserve">ner i EU-nämnden. </w:t>
      </w:r>
      <w:r w:rsidR="00630B8B" w:rsidRPr="002344E6">
        <w:t>EU-nämnden behandlade rådets och Europapa</w:t>
      </w:r>
      <w:r w:rsidR="00630B8B" w:rsidRPr="002344E6">
        <w:t>r</w:t>
      </w:r>
      <w:r w:rsidR="00630B8B" w:rsidRPr="002344E6">
        <w:t>lamentets överenskommelse om direktivet i början av året och fick då info</w:t>
      </w:r>
      <w:r w:rsidR="00630B8B" w:rsidRPr="002344E6">
        <w:t>r</w:t>
      </w:r>
      <w:r w:rsidR="00630B8B" w:rsidRPr="002344E6">
        <w:t>mation om att direktivets tillämpningsområde skall utvärderas regelbundet och att rege</w:t>
      </w:r>
      <w:r w:rsidR="00630B8B" w:rsidRPr="002344E6">
        <w:t>r</w:t>
      </w:r>
      <w:r w:rsidR="00630B8B" w:rsidRPr="002344E6">
        <w:t>ingen hade begärt möjlighet till en förlängd geno</w:t>
      </w:r>
      <w:r w:rsidR="00630B8B" w:rsidRPr="002344E6">
        <w:t>m</w:t>
      </w:r>
      <w:r w:rsidR="00630B8B" w:rsidRPr="002344E6">
        <w:t>förandetid.</w:t>
      </w:r>
      <w:r w:rsidRPr="002344E6">
        <w:t xml:space="preserve">  </w:t>
      </w:r>
    </w:p>
    <w:p w:rsidR="00AA020F" w:rsidRPr="002344E6" w:rsidRDefault="006B4650" w:rsidP="00416999">
      <w:pPr>
        <w:pStyle w:val="Normaltindrag"/>
      </w:pPr>
      <w:r w:rsidRPr="002344E6">
        <w:t>Frågan om viseringsavgifter har, som nämnts, behandla</w:t>
      </w:r>
      <w:r w:rsidR="00491582" w:rsidRPr="002344E6">
        <w:t>ts</w:t>
      </w:r>
      <w:r w:rsidRPr="002344E6">
        <w:t xml:space="preserve"> av EU-nämnden. Förutsättningen för att Sverige kunde stödja ett beslut att höja avgifterna för Schengenviseringar var enligt EU-nämndens mandat till rege</w:t>
      </w:r>
      <w:r w:rsidR="00D832A3" w:rsidRPr="002344E6">
        <w:t>r</w:t>
      </w:r>
      <w:r w:rsidRPr="002344E6">
        <w:t>ingen att också barn över sex år inkluderades bland de grupper som undantas från avgi</w:t>
      </w:r>
      <w:r w:rsidRPr="002344E6">
        <w:t>f</w:t>
      </w:r>
      <w:r w:rsidRPr="002344E6">
        <w:t xml:space="preserve">terna.  </w:t>
      </w:r>
    </w:p>
    <w:p w:rsidR="005E3785" w:rsidRPr="002344E6" w:rsidRDefault="00AA020F" w:rsidP="00416999">
      <w:pPr>
        <w:pStyle w:val="Normaltindrag"/>
      </w:pPr>
      <w:r w:rsidRPr="002344E6">
        <w:t>På området för skydd och beredskap har EU-nämnden behandlat det fö</w:t>
      </w:r>
      <w:r w:rsidRPr="002344E6">
        <w:t>r</w:t>
      </w:r>
      <w:r w:rsidRPr="002344E6">
        <w:t xml:space="preserve">slag om EU-finansiering av räddningstjänstinsatser som tas upp i skrivelsen. </w:t>
      </w:r>
    </w:p>
    <w:p w:rsidR="00937C0C" w:rsidRPr="002344E6" w:rsidRDefault="00937C0C" w:rsidP="00416999">
      <w:pPr>
        <w:pStyle w:val="Rubrik2"/>
        <w:jc w:val="both"/>
      </w:pPr>
      <w:bookmarkStart w:id="20" w:name="_Toc101078476"/>
      <w:bookmarkStart w:id="21" w:name="_Toc101079330"/>
      <w:bookmarkStart w:id="22" w:name="_Toc133209003"/>
      <w:bookmarkStart w:id="23" w:name="_Toc164562702"/>
      <w:r w:rsidRPr="002344E6">
        <w:t>Sysselsättning och socialpolitik, häls</w:t>
      </w:r>
      <w:r w:rsidR="00D872A9" w:rsidRPr="002344E6">
        <w:t>o- och sjukvård,</w:t>
      </w:r>
      <w:r w:rsidRPr="002344E6">
        <w:t xml:space="preserve"> (del 5)</w:t>
      </w:r>
      <w:bookmarkEnd w:id="20"/>
      <w:bookmarkEnd w:id="21"/>
      <w:bookmarkEnd w:id="22"/>
      <w:bookmarkEnd w:id="23"/>
    </w:p>
    <w:p w:rsidR="00593DAB" w:rsidRPr="002344E6" w:rsidRDefault="00593DAB" w:rsidP="00416999">
      <w:r w:rsidRPr="002344E6">
        <w:t>I skrivelsen under denna del redogörs för bl.a. tillväxt och sysselsättning, arbetsmarknads</w:t>
      </w:r>
      <w:r w:rsidR="00AA3B70" w:rsidRPr="002344E6">
        <w:t>frågor</w:t>
      </w:r>
      <w:r w:rsidRPr="002344E6">
        <w:t xml:space="preserve"> och sociala frågor,</w:t>
      </w:r>
      <w:r w:rsidR="00AA3B70" w:rsidRPr="002344E6">
        <w:t xml:space="preserve"> jämställdhet, folkhälsa</w:t>
      </w:r>
      <w:r w:rsidRPr="002344E6">
        <w:t xml:space="preserve"> </w:t>
      </w:r>
      <w:r w:rsidR="002D0DE0" w:rsidRPr="002344E6">
        <w:t>samt</w:t>
      </w:r>
      <w:r w:rsidRPr="002344E6">
        <w:t xml:space="preserve"> hälso- och sjukvård</w:t>
      </w:r>
      <w:r w:rsidR="00981002" w:rsidRPr="002344E6">
        <w:t>sfrågor</w:t>
      </w:r>
      <w:r w:rsidRPr="002344E6">
        <w:t xml:space="preserve">. </w:t>
      </w:r>
    </w:p>
    <w:p w:rsidR="00DB7C92" w:rsidRPr="002344E6" w:rsidRDefault="00593DAB" w:rsidP="00416999">
      <w:pPr>
        <w:pStyle w:val="Normaltindrag"/>
      </w:pPr>
      <w:r w:rsidRPr="002344E6">
        <w:t>Det kan konstateras att regeringen har samrått med EU-nämnden vad gäl</w:t>
      </w:r>
      <w:r w:rsidRPr="002344E6">
        <w:t>l</w:t>
      </w:r>
      <w:r w:rsidRPr="002344E6">
        <w:t>er frågor som har aktualiserats under år 2006 inom området</w:t>
      </w:r>
      <w:r w:rsidR="00981002" w:rsidRPr="002344E6">
        <w:t>.</w:t>
      </w:r>
      <w:r w:rsidRPr="002344E6">
        <w:t xml:space="preserve"> Ett flertal frågor har behandlats av EU-nämnden flera gånger under förhandlin</w:t>
      </w:r>
      <w:r w:rsidRPr="002344E6">
        <w:t>g</w:t>
      </w:r>
      <w:r w:rsidRPr="002344E6">
        <w:t>arnas gång i rådet. Vissa frågor har också givit upphov till mer omfattande disku</w:t>
      </w:r>
      <w:r w:rsidRPr="002344E6">
        <w:t>s</w:t>
      </w:r>
      <w:r w:rsidRPr="002344E6">
        <w:t>sioner, såsom</w:t>
      </w:r>
      <w:r w:rsidR="002D0DE0" w:rsidRPr="002344E6">
        <w:t xml:space="preserve"> </w:t>
      </w:r>
      <w:r w:rsidRPr="002344E6">
        <w:t>översyn</w:t>
      </w:r>
      <w:r w:rsidR="002D0DE0" w:rsidRPr="002344E6">
        <w:t>en</w:t>
      </w:r>
      <w:r w:rsidRPr="002344E6">
        <w:t xml:space="preserve"> av direktivet om arbetstidens förläggning</w:t>
      </w:r>
      <w:r w:rsidR="007B146A" w:rsidRPr="002344E6">
        <w:t xml:space="preserve"> </w:t>
      </w:r>
      <w:r w:rsidRPr="002344E6">
        <w:t xml:space="preserve">(avsnitt </w:t>
      </w:r>
      <w:r w:rsidR="002D0DE0" w:rsidRPr="002344E6">
        <w:t>23.2.1)</w:t>
      </w:r>
      <w:r w:rsidRPr="002344E6">
        <w:t xml:space="preserve">. </w:t>
      </w:r>
      <w:r w:rsidR="00C73876" w:rsidRPr="002344E6">
        <w:t>Vid</w:t>
      </w:r>
      <w:r w:rsidRPr="002344E6">
        <w:t xml:space="preserve"> </w:t>
      </w:r>
      <w:r w:rsidR="007B146A" w:rsidRPr="002344E6">
        <w:t>vårtoppmötet om Lissabonstr</w:t>
      </w:r>
      <w:r w:rsidR="00886742" w:rsidRPr="002344E6">
        <w:t>a</w:t>
      </w:r>
      <w:r w:rsidR="007B146A" w:rsidRPr="002344E6">
        <w:t>tegin</w:t>
      </w:r>
      <w:r w:rsidR="00886742" w:rsidRPr="002344E6">
        <w:t xml:space="preserve"> </w:t>
      </w:r>
      <w:r w:rsidR="007B146A" w:rsidRPr="002344E6">
        <w:t xml:space="preserve">i mars 2006 </w:t>
      </w:r>
      <w:r w:rsidR="00886742" w:rsidRPr="002344E6">
        <w:t>antogs</w:t>
      </w:r>
      <w:r w:rsidR="007B146A" w:rsidRPr="002344E6">
        <w:t xml:space="preserve"> den jämställ</w:t>
      </w:r>
      <w:r w:rsidR="007B146A" w:rsidRPr="002344E6">
        <w:t>d</w:t>
      </w:r>
      <w:r w:rsidR="007B146A" w:rsidRPr="002344E6">
        <w:t xml:space="preserve">hetspakt som tidigare presenterats </w:t>
      </w:r>
      <w:r w:rsidR="00886742" w:rsidRPr="002344E6">
        <w:t xml:space="preserve">på svenskt initiativ </w:t>
      </w:r>
      <w:r w:rsidR="007B146A" w:rsidRPr="002344E6">
        <w:t>vid det info</w:t>
      </w:r>
      <w:r w:rsidR="007B146A" w:rsidRPr="002344E6">
        <w:t>r</w:t>
      </w:r>
      <w:r w:rsidRPr="002344E6">
        <w:t>mella toppmötet i oktober</w:t>
      </w:r>
      <w:r w:rsidR="00886742" w:rsidRPr="002344E6">
        <w:t xml:space="preserve"> 2005 </w:t>
      </w:r>
      <w:r w:rsidRPr="002344E6">
        <w:t>(a</w:t>
      </w:r>
      <w:r w:rsidRPr="002344E6">
        <w:t>v</w:t>
      </w:r>
      <w:r w:rsidRPr="002344E6">
        <w:t xml:space="preserve">snitt </w:t>
      </w:r>
      <w:r w:rsidR="002D0DE0" w:rsidRPr="002344E6">
        <w:t>24.2</w:t>
      </w:r>
      <w:r w:rsidRPr="002344E6">
        <w:t>).</w:t>
      </w:r>
      <w:r w:rsidR="00DB7C92" w:rsidRPr="002344E6">
        <w:t xml:space="preserve"> </w:t>
      </w:r>
    </w:p>
    <w:p w:rsidR="00593DAB" w:rsidRPr="002344E6" w:rsidRDefault="00593DAB" w:rsidP="00416999">
      <w:pPr>
        <w:pStyle w:val="Normaltindrag"/>
      </w:pPr>
      <w:r w:rsidRPr="002344E6">
        <w:t xml:space="preserve">Beträffande grönboken om </w:t>
      </w:r>
      <w:r w:rsidR="00886742" w:rsidRPr="002344E6">
        <w:t>arbetsrätt</w:t>
      </w:r>
      <w:r w:rsidR="0026472F" w:rsidRPr="002344E6">
        <w:t xml:space="preserve"> (avsnitt </w:t>
      </w:r>
      <w:r w:rsidR="00886742" w:rsidRPr="002344E6">
        <w:t>23.1.3</w:t>
      </w:r>
      <w:r w:rsidRPr="002344E6">
        <w:t xml:space="preserve">) </w:t>
      </w:r>
      <w:r w:rsidR="0026472F" w:rsidRPr="002344E6">
        <w:t>informerades EU-nämnden den 24 november. Frågan kommer att sträcka sig över flera ordf</w:t>
      </w:r>
      <w:r w:rsidR="0026472F" w:rsidRPr="002344E6">
        <w:t>ö</w:t>
      </w:r>
      <w:r w:rsidR="0026472F" w:rsidRPr="002344E6">
        <w:t>randeskap.</w:t>
      </w:r>
    </w:p>
    <w:p w:rsidR="00384335" w:rsidRPr="002344E6" w:rsidRDefault="00384335" w:rsidP="00416999">
      <w:pPr>
        <w:pStyle w:val="Rubrik2"/>
        <w:jc w:val="both"/>
      </w:pPr>
      <w:bookmarkStart w:id="24" w:name="_Toc101078477"/>
      <w:bookmarkStart w:id="25" w:name="_Toc101079331"/>
      <w:bookmarkStart w:id="26" w:name="_Toc133209004"/>
      <w:bookmarkStart w:id="27" w:name="_Toc164562703"/>
      <w:r w:rsidRPr="002344E6">
        <w:t>Konkurrenskraftsfrågor (del 6)</w:t>
      </w:r>
      <w:bookmarkEnd w:id="24"/>
      <w:bookmarkEnd w:id="25"/>
      <w:bookmarkEnd w:id="26"/>
      <w:bookmarkEnd w:id="27"/>
    </w:p>
    <w:p w:rsidR="00384335" w:rsidRPr="002344E6" w:rsidRDefault="002D0DE0" w:rsidP="00416999">
      <w:r w:rsidRPr="002344E6">
        <w:t xml:space="preserve">Under avsnittet konstateras att frågor om den inre marknaden, inklusive fri rörlighet, immaterialrätt, näringspolitik och </w:t>
      </w:r>
      <w:r w:rsidR="00984169" w:rsidRPr="002344E6">
        <w:t>konsumentpolitik</w:t>
      </w:r>
      <w:r w:rsidR="00F11E21" w:rsidRPr="002344E6">
        <w:t>,</w:t>
      </w:r>
      <w:r w:rsidRPr="002344E6">
        <w:t xml:space="preserve"> redovisas.</w:t>
      </w:r>
      <w:r w:rsidR="00984169" w:rsidRPr="002344E6">
        <w:t xml:space="preserve"> Dessutom redogör</w:t>
      </w:r>
      <w:r w:rsidR="004E5155" w:rsidRPr="002344E6">
        <w:t>s i</w:t>
      </w:r>
      <w:r w:rsidR="00984169" w:rsidRPr="002344E6">
        <w:t xml:space="preserve"> avsnittet för frågor om turism, innovation och forskning, regional- och strukturfrågor samt skogspol</w:t>
      </w:r>
      <w:r w:rsidR="00984169" w:rsidRPr="002344E6">
        <w:t>i</w:t>
      </w:r>
      <w:r w:rsidR="00984169" w:rsidRPr="002344E6">
        <w:t>tik.</w:t>
      </w:r>
    </w:p>
    <w:p w:rsidR="00984169" w:rsidRPr="002344E6" w:rsidRDefault="001C792A" w:rsidP="00416999">
      <w:pPr>
        <w:pStyle w:val="Normaltindrag"/>
      </w:pPr>
      <w:r w:rsidRPr="002344E6">
        <w:t>Under året har bl.a. det s.k.</w:t>
      </w:r>
      <w:r w:rsidR="00984169" w:rsidRPr="002344E6">
        <w:t xml:space="preserve"> tjänstedirektivet diskuterats mer omfattande i EU-nämnden, </w:t>
      </w:r>
      <w:r w:rsidRPr="002344E6">
        <w:t>d</w:t>
      </w:r>
      <w:r w:rsidR="00984169" w:rsidRPr="002344E6">
        <w:t>els inför rådsmöten om konkurrensfrågor</w:t>
      </w:r>
      <w:r w:rsidR="00EB7D9A" w:rsidRPr="002344E6">
        <w:t>,</w:t>
      </w:r>
      <w:r w:rsidR="00984169" w:rsidRPr="002344E6">
        <w:t xml:space="preserve"> dels inför Europ</w:t>
      </w:r>
      <w:r w:rsidR="00984169" w:rsidRPr="002344E6">
        <w:t>e</w:t>
      </w:r>
      <w:r w:rsidR="00984169" w:rsidRPr="002344E6">
        <w:t xml:space="preserve">iska rådets möten. </w:t>
      </w:r>
    </w:p>
    <w:p w:rsidR="00984169" w:rsidRPr="002344E6" w:rsidRDefault="00984169" w:rsidP="00416999">
      <w:pPr>
        <w:pStyle w:val="Normaltindrag"/>
      </w:pPr>
      <w:r w:rsidRPr="002344E6">
        <w:t>En annan fråga som har behandlats flera gånger i EU-nämnden är</w:t>
      </w:r>
      <w:r w:rsidR="00334454" w:rsidRPr="002344E6">
        <w:t>, som framgått ovan,</w:t>
      </w:r>
      <w:r w:rsidRPr="002344E6">
        <w:t xml:space="preserve"> inrättandet av ett europeiskt tekniskt institut (ETI). Förslaget från kommissionen prese</w:t>
      </w:r>
      <w:r w:rsidRPr="002344E6">
        <w:t>n</w:t>
      </w:r>
      <w:r w:rsidRPr="002344E6">
        <w:t>terades i oktober oc</w:t>
      </w:r>
      <w:r w:rsidR="00EB7D9A" w:rsidRPr="002344E6">
        <w:t>h ett antagande förväntas under år</w:t>
      </w:r>
      <w:r w:rsidR="00981002" w:rsidRPr="002344E6">
        <w:t xml:space="preserve"> </w:t>
      </w:r>
      <w:r w:rsidRPr="002344E6">
        <w:t xml:space="preserve">2007. </w:t>
      </w:r>
    </w:p>
    <w:p w:rsidR="00984169" w:rsidRPr="002344E6" w:rsidRDefault="00984169" w:rsidP="00416999">
      <w:pPr>
        <w:pStyle w:val="Normaltindrag"/>
      </w:pPr>
      <w:r w:rsidRPr="002344E6">
        <w:t xml:space="preserve">När det gäller handlingsplanen för skog har regeringen fått stöd i EU-nämnden om att skogspolitik framför </w:t>
      </w:r>
      <w:r w:rsidR="00C73876" w:rsidRPr="002344E6">
        <w:t>allt</w:t>
      </w:r>
      <w:r w:rsidRPr="002344E6">
        <w:t xml:space="preserve"> bör vara en nationell fråga. Skriftl</w:t>
      </w:r>
      <w:r w:rsidRPr="002344E6">
        <w:t>i</w:t>
      </w:r>
      <w:r w:rsidRPr="002344E6">
        <w:t>ga kommentarer har överlämnats från regeringen till kommissionen om fö</w:t>
      </w:r>
      <w:r w:rsidRPr="002344E6">
        <w:t>r</w:t>
      </w:r>
      <w:r w:rsidRPr="002344E6">
        <w:t>tydliganden i g</w:t>
      </w:r>
      <w:r w:rsidRPr="002344E6">
        <w:t>e</w:t>
      </w:r>
      <w:r w:rsidRPr="002344E6">
        <w:t xml:space="preserve">nomförandet. </w:t>
      </w:r>
    </w:p>
    <w:p w:rsidR="00384335" w:rsidRPr="002344E6" w:rsidRDefault="00384335" w:rsidP="00416999">
      <w:pPr>
        <w:pStyle w:val="Rubrik2"/>
        <w:jc w:val="both"/>
      </w:pPr>
      <w:bookmarkStart w:id="28" w:name="_Toc101078478"/>
      <w:bookmarkStart w:id="29" w:name="_Toc101079332"/>
      <w:bookmarkStart w:id="30" w:name="_Toc133209005"/>
      <w:bookmarkStart w:id="31" w:name="_Toc164562704"/>
      <w:r w:rsidRPr="002344E6">
        <w:t>Transport</w:t>
      </w:r>
      <w:r w:rsidR="00D872A9" w:rsidRPr="002344E6">
        <w:t>er, elektroniska kommunikationer</w:t>
      </w:r>
      <w:r w:rsidRPr="002344E6">
        <w:t xml:space="preserve"> och energi (del 7)</w:t>
      </w:r>
      <w:bookmarkEnd w:id="28"/>
      <w:bookmarkEnd w:id="29"/>
      <w:bookmarkEnd w:id="30"/>
      <w:bookmarkEnd w:id="31"/>
    </w:p>
    <w:p w:rsidR="009C5297" w:rsidRPr="002344E6" w:rsidRDefault="00B70691" w:rsidP="00416999">
      <w:r w:rsidRPr="002344E6">
        <w:t xml:space="preserve">I skrivelsen </w:t>
      </w:r>
      <w:r w:rsidR="00380042" w:rsidRPr="002344E6">
        <w:t>ges en utförlig redovisning av</w:t>
      </w:r>
      <w:r w:rsidRPr="002344E6">
        <w:t xml:space="preserve"> arbete</w:t>
      </w:r>
      <w:r w:rsidR="00380042" w:rsidRPr="002344E6">
        <w:t>t med ett samlat grepp på energipolitikens tre ben, dvs. försörjningstrygghet, hållbarhet och konku</w:t>
      </w:r>
      <w:r w:rsidR="00380042" w:rsidRPr="002344E6">
        <w:t>r</w:t>
      </w:r>
      <w:r w:rsidR="00380042" w:rsidRPr="002344E6">
        <w:t xml:space="preserve">renskraft (avsnitt 38). </w:t>
      </w:r>
      <w:r w:rsidR="00F11E21" w:rsidRPr="002344E6">
        <w:t>I mars 2006 diskuterades bl.a. e</w:t>
      </w:r>
      <w:r w:rsidR="00380042" w:rsidRPr="002344E6">
        <w:t>n ny energipolitik som ett inspel till Europeiska rådets möte. I skrivelsen nämns att Sverige har pri</w:t>
      </w:r>
      <w:r w:rsidR="00380042" w:rsidRPr="002344E6">
        <w:t>o</w:t>
      </w:r>
      <w:r w:rsidR="00380042" w:rsidRPr="002344E6">
        <w:t xml:space="preserve">riterat energieffektiviseringsåtgärder, aktivt prioriterat frågan om bioenergi och varit drivande i fråga om liberaliseringen av energimarknaderna. </w:t>
      </w:r>
      <w:r w:rsidR="0070428A" w:rsidRPr="002344E6">
        <w:t>Energ</w:t>
      </w:r>
      <w:r w:rsidR="0070428A" w:rsidRPr="002344E6">
        <w:t>i</w:t>
      </w:r>
      <w:r w:rsidR="0070428A" w:rsidRPr="002344E6">
        <w:t>frågorna har under år 2006 fått</w:t>
      </w:r>
      <w:r w:rsidR="00455DC2" w:rsidRPr="002344E6">
        <w:t>, som framgått,</w:t>
      </w:r>
      <w:r w:rsidR="0070428A" w:rsidRPr="002344E6">
        <w:t xml:space="preserve"> stor aktualitet och diskuterats ing</w:t>
      </w:r>
      <w:r w:rsidR="0070428A" w:rsidRPr="002344E6">
        <w:t>å</w:t>
      </w:r>
      <w:r w:rsidR="0070428A" w:rsidRPr="002344E6">
        <w:t xml:space="preserve">ende i EU-nämnden, både inför </w:t>
      </w:r>
      <w:r w:rsidR="009F2D10" w:rsidRPr="002344E6">
        <w:t>rådets</w:t>
      </w:r>
      <w:r w:rsidR="0070428A" w:rsidRPr="002344E6">
        <w:t xml:space="preserve"> möten och</w:t>
      </w:r>
      <w:r w:rsidR="00B57396" w:rsidRPr="002344E6">
        <w:t xml:space="preserve"> inför Europeiska rådets möte</w:t>
      </w:r>
      <w:r w:rsidR="0070428A" w:rsidRPr="002344E6">
        <w:t xml:space="preserve"> i mars.</w:t>
      </w:r>
    </w:p>
    <w:p w:rsidR="00455DC2" w:rsidRPr="002344E6" w:rsidRDefault="00201467" w:rsidP="00455DC2">
      <w:pPr>
        <w:pStyle w:val="Normaltindrag"/>
      </w:pPr>
      <w:r w:rsidRPr="002344E6">
        <w:t>I skrivelsen redogörs också för transeuropeiska nät för energi (avsnitt 38.4.1), en fråga som fått stor uppmärksamhet under året</w:t>
      </w:r>
      <w:r w:rsidR="00981002" w:rsidRPr="002344E6">
        <w:t>.</w:t>
      </w:r>
      <w:r w:rsidRPr="002344E6">
        <w:t xml:space="preserve">  </w:t>
      </w:r>
      <w:r w:rsidR="00981002" w:rsidRPr="002344E6">
        <w:t>Ba</w:t>
      </w:r>
      <w:r w:rsidR="00981002" w:rsidRPr="002344E6">
        <w:t>k</w:t>
      </w:r>
      <w:r w:rsidR="00981002" w:rsidRPr="002344E6">
        <w:t xml:space="preserve">grunden är </w:t>
      </w:r>
      <w:r w:rsidRPr="002344E6">
        <w:t>den planerade tysk-ryska gasledningen som ingår som ett projekt av europeiskt intresse i de av rådet och Europaparlamentet antagna riktlinje</w:t>
      </w:r>
      <w:r w:rsidRPr="002344E6">
        <w:t>r</w:t>
      </w:r>
      <w:r w:rsidRPr="002344E6">
        <w:t xml:space="preserve">na för sådana nät. </w:t>
      </w:r>
      <w:r w:rsidR="00455DC2" w:rsidRPr="002344E6">
        <w:t>Regeringen har samrått med EU-nämnden inför besluten om allmän riktlinje i juni 2004 och politisk överenskommelse i juni 2005. Det huvudsa</w:t>
      </w:r>
      <w:r w:rsidR="00455DC2" w:rsidRPr="002344E6">
        <w:t>k</w:t>
      </w:r>
      <w:r w:rsidR="00455DC2" w:rsidRPr="002344E6">
        <w:t xml:space="preserve">liga syftet </w:t>
      </w:r>
      <w:r w:rsidR="00981002" w:rsidRPr="002344E6">
        <w:t xml:space="preserve">med </w:t>
      </w:r>
      <w:r w:rsidR="0093698C" w:rsidRPr="002344E6">
        <w:t>de nya riktlinjerna</w:t>
      </w:r>
      <w:r w:rsidR="00455DC2" w:rsidRPr="002344E6">
        <w:t xml:space="preserve"> var att integrera de nya medlem</w:t>
      </w:r>
      <w:r w:rsidR="00455DC2" w:rsidRPr="002344E6">
        <w:t>s</w:t>
      </w:r>
      <w:r w:rsidR="00455DC2" w:rsidRPr="002344E6">
        <w:t>länderna i s</w:t>
      </w:r>
      <w:r w:rsidR="0093698C" w:rsidRPr="002344E6">
        <w:t>amarbetet.</w:t>
      </w:r>
      <w:r w:rsidR="00455DC2" w:rsidRPr="002344E6">
        <w:t xml:space="preserve"> </w:t>
      </w:r>
      <w:r w:rsidRPr="002344E6">
        <w:t>Det slutliga beslutet i juli 2006, som med vissa ändringar bekrä</w:t>
      </w:r>
      <w:r w:rsidRPr="002344E6">
        <w:t>f</w:t>
      </w:r>
      <w:r w:rsidRPr="002344E6">
        <w:t>tade de tidigare överenskommelserna, antogs av rådet (konkurren</w:t>
      </w:r>
      <w:r w:rsidRPr="002344E6">
        <w:t>s</w:t>
      </w:r>
      <w:r w:rsidRPr="002344E6">
        <w:t xml:space="preserve">kraft) som en s.k. A-punkt. </w:t>
      </w:r>
    </w:p>
    <w:p w:rsidR="00384335" w:rsidRPr="002344E6" w:rsidRDefault="00384335" w:rsidP="00416999">
      <w:pPr>
        <w:pStyle w:val="Rubrik2"/>
        <w:jc w:val="both"/>
      </w:pPr>
      <w:bookmarkStart w:id="32" w:name="_Toc101078479"/>
      <w:bookmarkStart w:id="33" w:name="_Toc101079333"/>
      <w:bookmarkStart w:id="34" w:name="_Toc133209006"/>
      <w:bookmarkStart w:id="35" w:name="_Toc164562705"/>
      <w:r w:rsidRPr="002344E6">
        <w:t xml:space="preserve">Jordbruk och fiske </w:t>
      </w:r>
      <w:r w:rsidR="003D7444" w:rsidRPr="002344E6">
        <w:t xml:space="preserve">och livsmedel </w:t>
      </w:r>
      <w:r w:rsidRPr="002344E6">
        <w:t>(del 8)</w:t>
      </w:r>
      <w:bookmarkEnd w:id="32"/>
      <w:bookmarkEnd w:id="33"/>
      <w:bookmarkEnd w:id="34"/>
      <w:bookmarkEnd w:id="35"/>
    </w:p>
    <w:p w:rsidR="00937C0C" w:rsidRPr="002344E6" w:rsidRDefault="00984169" w:rsidP="00416999">
      <w:r w:rsidRPr="002344E6">
        <w:t>Förslaget om en ny förordning för ekologiska produkter har behandlats flera gånger under året av rådet. Rådet enades om en allmän i</w:t>
      </w:r>
      <w:r w:rsidRPr="002344E6">
        <w:t>n</w:t>
      </w:r>
      <w:r w:rsidRPr="002344E6">
        <w:t>riktning i december. Diskussioner i EU-</w:t>
      </w:r>
      <w:r w:rsidR="001C1F58" w:rsidRPr="002344E6">
        <w:t>nämnden har bl.a.</w:t>
      </w:r>
      <w:r w:rsidRPr="002344E6">
        <w:t xml:space="preserve"> gällt märkning </w:t>
      </w:r>
      <w:r w:rsidR="009D6162" w:rsidRPr="002344E6">
        <w:t>och</w:t>
      </w:r>
      <w:r w:rsidRPr="002344E6">
        <w:t xml:space="preserve"> import av ekol</w:t>
      </w:r>
      <w:r w:rsidRPr="002344E6">
        <w:t>o</w:t>
      </w:r>
      <w:r w:rsidRPr="002344E6">
        <w:t xml:space="preserve">giska produkter. </w:t>
      </w:r>
    </w:p>
    <w:p w:rsidR="009D6162" w:rsidRPr="002344E6" w:rsidRDefault="009D6162" w:rsidP="00416999">
      <w:pPr>
        <w:pStyle w:val="Normaltindrag"/>
      </w:pPr>
      <w:r w:rsidRPr="002344E6">
        <w:t>Vidare har EU-nämnden diskuterat kommande reformeringar av mar</w:t>
      </w:r>
      <w:r w:rsidRPr="002344E6">
        <w:t>k</w:t>
      </w:r>
      <w:r w:rsidRPr="002344E6">
        <w:t>nadsordningarna för vin, frukt och grönsaker. Sverige röstade i december nej till förslaget om en reformering av marknadsordningen för bananer, vilket föregåtts av flera diskussioner i EU-nämnden. Sverige lämnade även en rös</w:t>
      </w:r>
      <w:r w:rsidRPr="002344E6">
        <w:t>t</w:t>
      </w:r>
      <w:r w:rsidRPr="002344E6">
        <w:t>förklaring i sa</w:t>
      </w:r>
      <w:r w:rsidRPr="002344E6">
        <w:t>m</w:t>
      </w:r>
      <w:r w:rsidRPr="002344E6">
        <w:t xml:space="preserve">band med omröstningen i rådet. </w:t>
      </w:r>
    </w:p>
    <w:p w:rsidR="009D6162" w:rsidRPr="002344E6" w:rsidRDefault="009D6162" w:rsidP="00416999">
      <w:pPr>
        <w:pStyle w:val="Normaltindrag"/>
      </w:pPr>
      <w:r w:rsidRPr="002344E6">
        <w:t>Frågor om landsbygd</w:t>
      </w:r>
      <w:r w:rsidR="004E5155" w:rsidRPr="002344E6">
        <w:t>s</w:t>
      </w:r>
      <w:r w:rsidRPr="002344E6">
        <w:t>utveckling har diskuterat</w:t>
      </w:r>
      <w:r w:rsidR="004E5155" w:rsidRPr="002344E6">
        <w:t>s</w:t>
      </w:r>
      <w:r w:rsidRPr="002344E6">
        <w:t xml:space="preserve"> under hela året och tre ol</w:t>
      </w:r>
      <w:r w:rsidRPr="002344E6">
        <w:t>i</w:t>
      </w:r>
      <w:r w:rsidRPr="002344E6">
        <w:t>ka förordningar har antagits.</w:t>
      </w:r>
    </w:p>
    <w:p w:rsidR="009D6162" w:rsidRPr="002344E6" w:rsidRDefault="009D6162" w:rsidP="00416999">
      <w:pPr>
        <w:pStyle w:val="Normaltindrag"/>
      </w:pPr>
      <w:r w:rsidRPr="002344E6">
        <w:t xml:space="preserve">När det gäller fiskenäringen antogs i oktober en politisk överenskommelse om torskkvoter för Östersjön för </w:t>
      </w:r>
      <w:r w:rsidR="00981002" w:rsidRPr="002344E6">
        <w:t xml:space="preserve">år </w:t>
      </w:r>
      <w:r w:rsidRPr="002344E6">
        <w:t xml:space="preserve">2007. </w:t>
      </w:r>
    </w:p>
    <w:p w:rsidR="00384335" w:rsidRPr="002344E6" w:rsidRDefault="00384335" w:rsidP="00416999">
      <w:pPr>
        <w:pStyle w:val="Rubrik2"/>
        <w:jc w:val="both"/>
      </w:pPr>
      <w:bookmarkStart w:id="36" w:name="_Toc133209007"/>
      <w:bookmarkStart w:id="37" w:name="_Toc164562706"/>
      <w:r w:rsidRPr="002344E6">
        <w:t>Miljö (del 9)</w:t>
      </w:r>
      <w:bookmarkEnd w:id="36"/>
      <w:bookmarkEnd w:id="37"/>
    </w:p>
    <w:p w:rsidR="00937C0C" w:rsidRPr="002344E6" w:rsidRDefault="0099720B" w:rsidP="00416999">
      <w:r w:rsidRPr="002344E6">
        <w:t>Regeringen har samrått med EU-nämnden i de frågor som stått på dagor</w:t>
      </w:r>
      <w:r w:rsidRPr="002344E6">
        <w:t>d</w:t>
      </w:r>
      <w:r w:rsidRPr="002344E6">
        <w:t xml:space="preserve">ningen inför miljörådets möten, både vad gäller övergripande frågor och enskilda rättsakter. Frågor av övergripande karaktär har </w:t>
      </w:r>
      <w:r w:rsidR="006E3AA7" w:rsidRPr="002344E6">
        <w:t>v</w:t>
      </w:r>
      <w:r w:rsidRPr="002344E6">
        <w:t xml:space="preserve">arit </w:t>
      </w:r>
      <w:r w:rsidR="00F129A7" w:rsidRPr="002344E6">
        <w:t>t.ex.</w:t>
      </w:r>
      <w:r w:rsidRPr="002344E6">
        <w:t xml:space="preserve"> Lissabo</w:t>
      </w:r>
      <w:r w:rsidRPr="002344E6">
        <w:t>n</w:t>
      </w:r>
      <w:r w:rsidRPr="002344E6">
        <w:t>strategin och hållbar utvec</w:t>
      </w:r>
      <w:r w:rsidR="00ED7335" w:rsidRPr="002344E6">
        <w:t>kling (avsnitt</w:t>
      </w:r>
      <w:r w:rsidR="00113B16" w:rsidRPr="002344E6">
        <w:t>en 43.2.1 och</w:t>
      </w:r>
      <w:r w:rsidRPr="002344E6">
        <w:t xml:space="preserve"> 43.2.2).</w:t>
      </w:r>
    </w:p>
    <w:p w:rsidR="006E3AA7" w:rsidRPr="002344E6" w:rsidRDefault="006E3AA7" w:rsidP="00416999">
      <w:pPr>
        <w:pStyle w:val="Normaltindrag"/>
      </w:pPr>
      <w:r w:rsidRPr="002344E6">
        <w:t>Inför miljörådets möt</w:t>
      </w:r>
      <w:r w:rsidR="00ED7335" w:rsidRPr="002344E6">
        <w:t>en har längre diskussioner bl.a.</w:t>
      </w:r>
      <w:r w:rsidRPr="002344E6">
        <w:t xml:space="preserve"> förts om GMO. R</w:t>
      </w:r>
      <w:r w:rsidRPr="002344E6">
        <w:t>e</w:t>
      </w:r>
      <w:r w:rsidRPr="002344E6">
        <w:t>geringen fick EU-nämndens stö</w:t>
      </w:r>
      <w:r w:rsidR="00736392" w:rsidRPr="002344E6">
        <w:t>d att lägga ned</w:t>
      </w:r>
      <w:r w:rsidRPr="002344E6">
        <w:t xml:space="preserve"> sin röst och ange en röstfö</w:t>
      </w:r>
      <w:r w:rsidRPr="002344E6">
        <w:t>r</w:t>
      </w:r>
      <w:r w:rsidRPr="002344E6">
        <w:t>klaring inför antagandet av nytt luftkvalité</w:t>
      </w:r>
      <w:r w:rsidR="00736392" w:rsidRPr="002344E6">
        <w:t>ets</w:t>
      </w:r>
      <w:r w:rsidRPr="002344E6">
        <w:t xml:space="preserve">direktiv. </w:t>
      </w:r>
    </w:p>
    <w:p w:rsidR="00384335" w:rsidRPr="002344E6" w:rsidRDefault="00384335" w:rsidP="00416999">
      <w:pPr>
        <w:pStyle w:val="Rubrik2"/>
        <w:jc w:val="both"/>
      </w:pPr>
      <w:bookmarkStart w:id="38" w:name="_Toc133209008"/>
      <w:bookmarkStart w:id="39" w:name="_Toc164562707"/>
      <w:r w:rsidRPr="002344E6">
        <w:t>Utbildning, ungdom och kultur (del 10)</w:t>
      </w:r>
      <w:bookmarkEnd w:id="38"/>
      <w:bookmarkEnd w:id="39"/>
    </w:p>
    <w:p w:rsidR="006E3AA7" w:rsidRPr="002344E6" w:rsidRDefault="006E3AA7" w:rsidP="00416999">
      <w:r w:rsidRPr="002344E6">
        <w:t>Under denna rubrik behandlas i skrivelsen frågor rörande utbildning, un</w:t>
      </w:r>
      <w:r w:rsidRPr="002344E6">
        <w:t>g</w:t>
      </w:r>
      <w:r w:rsidRPr="002344E6">
        <w:t xml:space="preserve">dom och kultur. Regeringen har informerat </w:t>
      </w:r>
      <w:r w:rsidR="002E59AB" w:rsidRPr="002344E6">
        <w:t>o</w:t>
      </w:r>
      <w:r w:rsidRPr="002344E6">
        <w:t xml:space="preserve">ch samrått om de frågor som stått på dagordningarna. </w:t>
      </w:r>
    </w:p>
    <w:p w:rsidR="006E3AA7" w:rsidRPr="002344E6" w:rsidRDefault="00BF1276" w:rsidP="00416999">
      <w:pPr>
        <w:pStyle w:val="Normaltindrag"/>
      </w:pPr>
      <w:r w:rsidRPr="002344E6">
        <w:t>Förslaget till ett nytt TV</w:t>
      </w:r>
      <w:r w:rsidR="006E3AA7" w:rsidRPr="002344E6">
        <w:t>-direktiv</w:t>
      </w:r>
      <w:r w:rsidR="001F5C9D" w:rsidRPr="002344E6">
        <w:t xml:space="preserve"> </w:t>
      </w:r>
      <w:r w:rsidR="006E3AA7" w:rsidRPr="002344E6">
        <w:t xml:space="preserve">har </w:t>
      </w:r>
      <w:r w:rsidR="002E59AB" w:rsidRPr="002344E6">
        <w:t>diskuterats</w:t>
      </w:r>
      <w:r w:rsidR="006E3AA7" w:rsidRPr="002344E6">
        <w:t xml:space="preserve"> vid ett par tillfällen under året</w:t>
      </w:r>
      <w:r w:rsidR="00C93B2D" w:rsidRPr="002344E6">
        <w:t xml:space="preserve"> (se även a</w:t>
      </w:r>
      <w:r w:rsidR="00C93B2D" w:rsidRPr="002344E6">
        <w:t>v</w:t>
      </w:r>
      <w:r w:rsidR="00C93B2D" w:rsidRPr="002344E6">
        <w:t>snittet om Allmänna synpunkter på innehållet i skrivelsen)</w:t>
      </w:r>
      <w:r w:rsidR="006E3AA7" w:rsidRPr="002344E6">
        <w:t>. Inför rådets antagande av en allmän riktlinje i nove</w:t>
      </w:r>
      <w:r w:rsidR="006E3AA7" w:rsidRPr="002344E6">
        <w:t>m</w:t>
      </w:r>
      <w:r w:rsidR="006E3AA7" w:rsidRPr="002344E6">
        <w:t xml:space="preserve">ber skedde en </w:t>
      </w:r>
      <w:r w:rsidR="002E59AB" w:rsidRPr="002344E6">
        <w:t>votering</w:t>
      </w:r>
      <w:r w:rsidR="006E3AA7" w:rsidRPr="002344E6">
        <w:t xml:space="preserve"> i EU-nämnden. </w:t>
      </w:r>
      <w:r w:rsidR="002E59AB" w:rsidRPr="002344E6">
        <w:t>En majoritet av ledamöterna st</w:t>
      </w:r>
      <w:r w:rsidR="009F2D10" w:rsidRPr="002344E6">
        <w:t>ödde</w:t>
      </w:r>
      <w:r w:rsidR="002E59AB" w:rsidRPr="002344E6">
        <w:t xml:space="preserve"> d</w:t>
      </w:r>
      <w:r w:rsidR="00C73876" w:rsidRPr="002344E6">
        <w:t>å rege</w:t>
      </w:r>
      <w:r w:rsidR="00C73876" w:rsidRPr="002344E6">
        <w:t>r</w:t>
      </w:r>
      <w:r w:rsidR="00C73876" w:rsidRPr="002344E6">
        <w:t>ingens ståndpunkt</w:t>
      </w:r>
      <w:r w:rsidR="004E5155" w:rsidRPr="002344E6">
        <w:t xml:space="preserve">, nämligen </w:t>
      </w:r>
      <w:r w:rsidR="002E59AB" w:rsidRPr="002344E6">
        <w:t xml:space="preserve">att inte stå bakom den kompromiss som förelåg inför </w:t>
      </w:r>
      <w:r w:rsidR="00C93B2D" w:rsidRPr="002344E6">
        <w:t xml:space="preserve">rådets </w:t>
      </w:r>
      <w:r w:rsidR="002E59AB" w:rsidRPr="002344E6">
        <w:t>m</w:t>
      </w:r>
      <w:r w:rsidR="002E59AB" w:rsidRPr="002344E6">
        <w:t>ö</w:t>
      </w:r>
      <w:r w:rsidR="002E59AB" w:rsidRPr="002344E6">
        <w:t xml:space="preserve">te. </w:t>
      </w:r>
    </w:p>
    <w:p w:rsidR="00800A2B" w:rsidRPr="002344E6" w:rsidRDefault="00384335" w:rsidP="00416999">
      <w:pPr>
        <w:pStyle w:val="Rubrik2"/>
        <w:jc w:val="both"/>
      </w:pPr>
      <w:bookmarkStart w:id="40" w:name="_Toc101078482"/>
      <w:bookmarkStart w:id="41" w:name="_Toc101079336"/>
      <w:bookmarkStart w:id="42" w:name="_Toc133209009"/>
      <w:bookmarkStart w:id="43" w:name="_Toc164562708"/>
      <w:r w:rsidRPr="002344E6">
        <w:t xml:space="preserve">EU:s institutioner </w:t>
      </w:r>
      <w:r w:rsidR="003D7444" w:rsidRPr="002344E6">
        <w:t xml:space="preserve">m.m. </w:t>
      </w:r>
      <w:r w:rsidRPr="002344E6">
        <w:t>(del 11)</w:t>
      </w:r>
      <w:bookmarkEnd w:id="40"/>
      <w:bookmarkEnd w:id="41"/>
      <w:bookmarkEnd w:id="42"/>
      <w:bookmarkEnd w:id="43"/>
      <w:r w:rsidR="00C73876" w:rsidRPr="002344E6">
        <w:t xml:space="preserve"> </w:t>
      </w:r>
    </w:p>
    <w:p w:rsidR="00845D77" w:rsidRPr="002344E6" w:rsidRDefault="00845D77" w:rsidP="00416999">
      <w:r w:rsidRPr="002344E6">
        <w:t>I avsnittet re</w:t>
      </w:r>
      <w:r w:rsidR="001C4B13" w:rsidRPr="002344E6">
        <w:t>d</w:t>
      </w:r>
      <w:r w:rsidRPr="002344E6">
        <w:t>ogörs</w:t>
      </w:r>
      <w:r w:rsidR="009F2D10" w:rsidRPr="002344E6">
        <w:t>,</w:t>
      </w:r>
      <w:r w:rsidRPr="002344E6">
        <w:t xml:space="preserve"> liksom i tidigare års skrivelser</w:t>
      </w:r>
      <w:r w:rsidR="009F2D10" w:rsidRPr="002344E6">
        <w:t>,</w:t>
      </w:r>
      <w:r w:rsidRPr="002344E6">
        <w:t xml:space="preserve"> för instituti</w:t>
      </w:r>
      <w:r w:rsidR="001C4B13" w:rsidRPr="002344E6">
        <w:t>onernas</w:t>
      </w:r>
      <w:r w:rsidRPr="002344E6">
        <w:t xml:space="preserve"> och olika organs verksamhet samt för öppenhet och insyn, person</w:t>
      </w:r>
      <w:r w:rsidR="001C4B13" w:rsidRPr="002344E6">
        <w:t>a</w:t>
      </w:r>
      <w:r w:rsidRPr="002344E6">
        <w:t>lpolitik i EU:</w:t>
      </w:r>
      <w:r w:rsidR="001C4B13" w:rsidRPr="002344E6">
        <w:t>s</w:t>
      </w:r>
      <w:r w:rsidRPr="002344E6">
        <w:t xml:space="preserve"> institutioner samt svenska språket och regelförenkli</w:t>
      </w:r>
      <w:r w:rsidR="001C4B13" w:rsidRPr="002344E6">
        <w:t>ng</w:t>
      </w:r>
      <w:r w:rsidRPr="002344E6">
        <w:t>. I årets skrivels</w:t>
      </w:r>
      <w:r w:rsidR="001C4B13" w:rsidRPr="002344E6">
        <w:t>e</w:t>
      </w:r>
      <w:r w:rsidRPr="002344E6">
        <w:t xml:space="preserve"> finns också ett </w:t>
      </w:r>
      <w:r w:rsidR="001C4B13" w:rsidRPr="002344E6">
        <w:t>a</w:t>
      </w:r>
      <w:r w:rsidRPr="002344E6">
        <w:t>vsnitt om EU-språkvårdens ut</w:t>
      </w:r>
      <w:r w:rsidR="001C4B13" w:rsidRPr="002344E6">
        <w:t>veckling</w:t>
      </w:r>
      <w:r w:rsidRPr="002344E6">
        <w:t>. Som tidigare red</w:t>
      </w:r>
      <w:r w:rsidRPr="002344E6">
        <w:t>o</w:t>
      </w:r>
      <w:r w:rsidRPr="002344E6">
        <w:t>görs också för mål i EG-domstolen och EG:s förstainstansrätt samt för påg</w:t>
      </w:r>
      <w:r w:rsidRPr="002344E6">
        <w:t>å</w:t>
      </w:r>
      <w:r w:rsidRPr="002344E6">
        <w:t xml:space="preserve">ende överträdelseärenden.  </w:t>
      </w:r>
    </w:p>
    <w:p w:rsidR="00A22FA0" w:rsidRPr="002344E6" w:rsidRDefault="00A22FA0" w:rsidP="00C309EF">
      <w:pPr>
        <w:pStyle w:val="R4"/>
      </w:pPr>
      <w:bookmarkStart w:id="44" w:name="_Toc162321409"/>
      <w:r w:rsidRPr="002344E6">
        <w:t>Europeiska unionens råd (avsnitt 47.1)</w:t>
      </w:r>
    </w:p>
    <w:p w:rsidR="00CB05EB" w:rsidRPr="002344E6" w:rsidRDefault="003D1664" w:rsidP="0026616E">
      <w:r w:rsidRPr="002344E6">
        <w:t>Öppenheten och språkanvändningen i rådsarbetet beskrivs i detta a</w:t>
      </w:r>
      <w:r w:rsidRPr="002344E6">
        <w:t>v</w:t>
      </w:r>
      <w:r w:rsidRPr="002344E6">
        <w:t>snitt. Öppenheten tas också upp i skrivelsen i samband med redogörelsen för Eur</w:t>
      </w:r>
      <w:r w:rsidRPr="002344E6">
        <w:t>o</w:t>
      </w:r>
      <w:r w:rsidRPr="002344E6">
        <w:t xml:space="preserve">peiska rådets möte i juni </w:t>
      </w:r>
      <w:r w:rsidR="00C93B2D" w:rsidRPr="002344E6">
        <w:t xml:space="preserve">2006 </w:t>
      </w:r>
      <w:r w:rsidRPr="002344E6">
        <w:t>(avsnitt 2). EU-nämnden välkomnar att rådet ökat öppenheten beträffande rådets möten. Sedan ändringar i riksdagsor</w:t>
      </w:r>
      <w:r w:rsidRPr="002344E6">
        <w:t>d</w:t>
      </w:r>
      <w:r w:rsidRPr="002344E6">
        <w:t>ningen trätt i kraft den 1 januari 2007 har EU-nämnden, liksom utskotten, möjlighet att bestämma att sammanträden skall vara helt eller delvis offentl</w:t>
      </w:r>
      <w:r w:rsidRPr="002344E6">
        <w:t>i</w:t>
      </w:r>
      <w:r w:rsidRPr="002344E6">
        <w:t xml:space="preserve">ga. EU-nämnden anser </w:t>
      </w:r>
      <w:r w:rsidR="00B70234" w:rsidRPr="002344E6">
        <w:t xml:space="preserve">att </w:t>
      </w:r>
      <w:r w:rsidRPr="002344E6">
        <w:t xml:space="preserve">det </w:t>
      </w:r>
      <w:r w:rsidR="00B70234" w:rsidRPr="002344E6">
        <w:t xml:space="preserve">är </w:t>
      </w:r>
      <w:r w:rsidRPr="002344E6">
        <w:t xml:space="preserve">viktigt att </w:t>
      </w:r>
      <w:r w:rsidR="00C61AF0" w:rsidRPr="002344E6">
        <w:t>nämnden</w:t>
      </w:r>
      <w:r w:rsidR="00B70234" w:rsidRPr="002344E6">
        <w:t>s</w:t>
      </w:r>
      <w:r w:rsidR="00C61AF0" w:rsidRPr="002344E6">
        <w:t xml:space="preserve"> </w:t>
      </w:r>
      <w:r w:rsidR="007230F5" w:rsidRPr="002344E6">
        <w:t xml:space="preserve">sammanträden </w:t>
      </w:r>
      <w:r w:rsidRPr="002344E6">
        <w:t>kan vara offentliga så långt det är mö</w:t>
      </w:r>
      <w:r w:rsidRPr="002344E6">
        <w:t>j</w:t>
      </w:r>
      <w:r w:rsidRPr="002344E6">
        <w:t xml:space="preserve">ligt. </w:t>
      </w:r>
    </w:p>
    <w:p w:rsidR="00334454" w:rsidRPr="002344E6" w:rsidRDefault="00CB05EB" w:rsidP="00416999">
      <w:pPr>
        <w:pStyle w:val="Normaltindrag"/>
      </w:pPr>
      <w:r w:rsidRPr="002344E6">
        <w:t>Beträffande språkanvändningen i rådsarbetet sägs i skrivelsen att Sverige har förespråkat en allmänt minskad användning av tolkning. I detta samma</w:t>
      </w:r>
      <w:r w:rsidRPr="002344E6">
        <w:t>n</w:t>
      </w:r>
      <w:r w:rsidRPr="002344E6">
        <w:t xml:space="preserve">hang vill EU-nämnden </w:t>
      </w:r>
      <w:r w:rsidR="00876BB1" w:rsidRPr="002344E6">
        <w:t xml:space="preserve">påminna om att nämnden tidigare vad gäller tolkning till och från svenska vid möten på politisk nivå </w:t>
      </w:r>
      <w:r w:rsidR="009F2D10" w:rsidRPr="002344E6">
        <w:t xml:space="preserve">framhållit att det </w:t>
      </w:r>
      <w:r w:rsidR="00876BB1" w:rsidRPr="002344E6">
        <w:t>måste finnas</w:t>
      </w:r>
      <w:r w:rsidRPr="002344E6">
        <w:t xml:space="preserve"> tolkning till </w:t>
      </w:r>
      <w:r w:rsidR="00876BB1" w:rsidRPr="002344E6">
        <w:t xml:space="preserve">och från </w:t>
      </w:r>
      <w:r w:rsidRPr="002344E6">
        <w:t>alla EU:s officie</w:t>
      </w:r>
      <w:r w:rsidRPr="002344E6">
        <w:t>l</w:t>
      </w:r>
      <w:r w:rsidRPr="002344E6">
        <w:t>la språk.</w:t>
      </w:r>
    </w:p>
    <w:p w:rsidR="003D25F6" w:rsidRPr="002344E6" w:rsidRDefault="00334454" w:rsidP="00416999">
      <w:pPr>
        <w:pStyle w:val="Normaltindrag"/>
      </w:pPr>
      <w:r w:rsidRPr="002344E6">
        <w:t>När det gäller rådsarbetet i övrigt har EU-nämnden anledning att</w:t>
      </w:r>
      <w:r w:rsidR="00251363" w:rsidRPr="002344E6">
        <w:t xml:space="preserve"> på samma sätt som i åtskilliga tidigare yttranden och sammanhang, framhålla det ang</w:t>
      </w:r>
      <w:r w:rsidR="00251363" w:rsidRPr="002344E6">
        <w:t>e</w:t>
      </w:r>
      <w:r w:rsidR="00251363" w:rsidRPr="002344E6">
        <w:t>lägna i att rådsarbetet organiseras på ett sådant sätt att tillräckligt u</w:t>
      </w:r>
      <w:r w:rsidR="00251363" w:rsidRPr="002344E6">
        <w:t>t</w:t>
      </w:r>
      <w:r w:rsidR="00251363" w:rsidRPr="002344E6">
        <w:t>rymme ges för nationella parlament att överlägga med sina respektive regerin</w:t>
      </w:r>
      <w:r w:rsidR="00251363" w:rsidRPr="002344E6">
        <w:t>g</w:t>
      </w:r>
      <w:r w:rsidR="00251363" w:rsidRPr="002344E6">
        <w:t xml:space="preserve">ar före rådsmötena. </w:t>
      </w:r>
      <w:r w:rsidR="00C93B2D" w:rsidRPr="002344E6">
        <w:t xml:space="preserve">Regeringen bör därför verka för att </w:t>
      </w:r>
      <w:r w:rsidR="00251363" w:rsidRPr="002344E6">
        <w:t xml:space="preserve">rådets förberedande organ, Coreper, </w:t>
      </w:r>
      <w:r w:rsidR="00C93B2D" w:rsidRPr="002344E6">
        <w:t xml:space="preserve">inte </w:t>
      </w:r>
      <w:r w:rsidR="00251363" w:rsidRPr="002344E6">
        <w:t>äger rum bara någon dag före det aktuella rådsm</w:t>
      </w:r>
      <w:r w:rsidR="00251363" w:rsidRPr="002344E6">
        <w:t>ö</w:t>
      </w:r>
      <w:r w:rsidR="00251363" w:rsidRPr="002344E6">
        <w:t xml:space="preserve">tet. </w:t>
      </w:r>
      <w:r w:rsidRPr="002344E6">
        <w:t xml:space="preserve"> </w:t>
      </w:r>
      <w:r w:rsidR="003D1664" w:rsidRPr="002344E6">
        <w:t xml:space="preserve"> </w:t>
      </w:r>
    </w:p>
    <w:p w:rsidR="00E90B00" w:rsidRPr="002344E6" w:rsidRDefault="00E90B00" w:rsidP="00C309EF">
      <w:pPr>
        <w:pStyle w:val="R4"/>
      </w:pPr>
      <w:r w:rsidRPr="002344E6">
        <w:t>Kommissionen (avsnitt 47.2)</w:t>
      </w:r>
    </w:p>
    <w:p w:rsidR="009F2D10" w:rsidRPr="002344E6" w:rsidRDefault="00E90B00" w:rsidP="00416999">
      <w:r w:rsidRPr="002344E6">
        <w:t>I detta avsnitt redogörs för ko</w:t>
      </w:r>
      <w:r w:rsidR="009F2D10" w:rsidRPr="002344E6">
        <w:t>m</w:t>
      </w:r>
      <w:r w:rsidRPr="002344E6">
        <w:t>missionens sammansättning och för genomf</w:t>
      </w:r>
      <w:r w:rsidRPr="002344E6">
        <w:t>ö</w:t>
      </w:r>
      <w:r w:rsidRPr="002344E6">
        <w:t>rande av direktiv.</w:t>
      </w:r>
      <w:r w:rsidR="008A5112" w:rsidRPr="002344E6">
        <w:t xml:space="preserve"> </w:t>
      </w:r>
    </w:p>
    <w:p w:rsidR="009F2D10" w:rsidRPr="002344E6" w:rsidRDefault="008A5112" w:rsidP="009F2D10">
      <w:pPr>
        <w:pStyle w:val="Normaltindrag"/>
        <w:rPr>
          <w:sz w:val="18"/>
          <w:szCs w:val="18"/>
        </w:rPr>
      </w:pPr>
      <w:r w:rsidRPr="002344E6">
        <w:t>I ko</w:t>
      </w:r>
      <w:r w:rsidR="009F2D10" w:rsidRPr="002344E6">
        <w:t>m</w:t>
      </w:r>
      <w:r w:rsidRPr="002344E6">
        <w:t>missionens rapport till Euro</w:t>
      </w:r>
      <w:r w:rsidR="00B70234" w:rsidRPr="002344E6">
        <w:t>pa</w:t>
      </w:r>
      <w:r w:rsidRPr="002344E6">
        <w:t>parlamentet om verksamh</w:t>
      </w:r>
      <w:r w:rsidRPr="002344E6">
        <w:t>e</w:t>
      </w:r>
      <w:r w:rsidRPr="002344E6">
        <w:t xml:space="preserve">ten under </w:t>
      </w:r>
      <w:r w:rsidR="00C93B2D" w:rsidRPr="002344E6">
        <w:t xml:space="preserve">år </w:t>
      </w:r>
      <w:r w:rsidRPr="002344E6">
        <w:t>2006 redogörs</w:t>
      </w:r>
      <w:r w:rsidR="00E90B00" w:rsidRPr="002344E6">
        <w:t xml:space="preserve"> </w:t>
      </w:r>
      <w:r w:rsidRPr="002344E6">
        <w:t>för förbindelserna med de nationella parlamenten.</w:t>
      </w:r>
      <w:r w:rsidR="002502C7" w:rsidRPr="002344E6">
        <w:t xml:space="preserve"> Det fra</w:t>
      </w:r>
      <w:r w:rsidR="002502C7" w:rsidRPr="002344E6">
        <w:t>m</w:t>
      </w:r>
      <w:r w:rsidR="002502C7" w:rsidRPr="002344E6">
        <w:t xml:space="preserve">går att kommissionen i mars 2006 utfärdade </w:t>
      </w:r>
      <w:r w:rsidRPr="002344E6">
        <w:rPr>
          <w:sz w:val="18"/>
          <w:szCs w:val="18"/>
        </w:rPr>
        <w:t xml:space="preserve">sin </w:t>
      </w:r>
      <w:r w:rsidRPr="002344E6">
        <w:rPr>
          <w:iCs/>
          <w:sz w:val="18"/>
          <w:szCs w:val="18"/>
        </w:rPr>
        <w:t>första årsrapport</w:t>
      </w:r>
      <w:r w:rsidRPr="002344E6">
        <w:rPr>
          <w:sz w:val="18"/>
          <w:szCs w:val="18"/>
        </w:rPr>
        <w:t xml:space="preserve"> om förbinde</w:t>
      </w:r>
      <w:r w:rsidRPr="002344E6">
        <w:rPr>
          <w:sz w:val="18"/>
          <w:szCs w:val="18"/>
        </w:rPr>
        <w:t>l</w:t>
      </w:r>
      <w:r w:rsidRPr="002344E6">
        <w:rPr>
          <w:sz w:val="18"/>
          <w:szCs w:val="18"/>
        </w:rPr>
        <w:t>serna med de nationella parlamenten. Under</w:t>
      </w:r>
      <w:r w:rsidR="00C93B2D" w:rsidRPr="002344E6">
        <w:rPr>
          <w:sz w:val="18"/>
          <w:szCs w:val="18"/>
        </w:rPr>
        <w:t xml:space="preserve"> år</w:t>
      </w:r>
      <w:r w:rsidRPr="002344E6">
        <w:rPr>
          <w:sz w:val="18"/>
          <w:szCs w:val="18"/>
        </w:rPr>
        <w:t xml:space="preserve"> 2006 har kommissionen deltagit i möten med företrädare för de nationella parlamenten, i möten med ko</w:t>
      </w:r>
      <w:r w:rsidRPr="002344E6">
        <w:rPr>
          <w:sz w:val="18"/>
          <w:szCs w:val="18"/>
        </w:rPr>
        <w:t>n</w:t>
      </w:r>
      <w:r w:rsidRPr="002344E6">
        <w:rPr>
          <w:sz w:val="18"/>
          <w:szCs w:val="18"/>
        </w:rPr>
        <w:t>ferensen mellan organen för gemenskaps- och EU-frågor vid de olika parlamenten inom Europei</w:t>
      </w:r>
      <w:r w:rsidRPr="002344E6">
        <w:rPr>
          <w:sz w:val="18"/>
          <w:szCs w:val="18"/>
        </w:rPr>
        <w:t>s</w:t>
      </w:r>
      <w:r w:rsidRPr="002344E6">
        <w:rPr>
          <w:sz w:val="18"/>
          <w:szCs w:val="18"/>
        </w:rPr>
        <w:t>ka unionen (COSAC) och i möten mellan de nationella parlamenten och Europ</w:t>
      </w:r>
      <w:r w:rsidRPr="002344E6">
        <w:rPr>
          <w:sz w:val="18"/>
          <w:szCs w:val="18"/>
        </w:rPr>
        <w:t>a</w:t>
      </w:r>
      <w:r w:rsidRPr="002344E6">
        <w:rPr>
          <w:sz w:val="18"/>
          <w:szCs w:val="18"/>
        </w:rPr>
        <w:t>parlamentet. Kommissionen vill att nya lagförslag och samrådsdok</w:t>
      </w:r>
      <w:r w:rsidRPr="002344E6">
        <w:rPr>
          <w:sz w:val="18"/>
          <w:szCs w:val="18"/>
        </w:rPr>
        <w:t>u</w:t>
      </w:r>
      <w:r w:rsidRPr="002344E6">
        <w:rPr>
          <w:sz w:val="18"/>
          <w:szCs w:val="18"/>
        </w:rPr>
        <w:t xml:space="preserve">ment </w:t>
      </w:r>
      <w:r w:rsidR="0067737A" w:rsidRPr="002344E6">
        <w:rPr>
          <w:sz w:val="18"/>
          <w:szCs w:val="18"/>
        </w:rPr>
        <w:t>skall</w:t>
      </w:r>
      <w:r w:rsidRPr="002344E6">
        <w:rPr>
          <w:sz w:val="18"/>
          <w:szCs w:val="18"/>
        </w:rPr>
        <w:t xml:space="preserve"> översändas snabbt och direkt till de nationella parlame</w:t>
      </w:r>
      <w:r w:rsidRPr="002344E6">
        <w:rPr>
          <w:sz w:val="18"/>
          <w:szCs w:val="18"/>
        </w:rPr>
        <w:t>n</w:t>
      </w:r>
      <w:r w:rsidRPr="002344E6">
        <w:rPr>
          <w:sz w:val="18"/>
          <w:szCs w:val="18"/>
        </w:rPr>
        <w:t>ten så att de kan yttra sig och på så sätt bidra till att förbättra arbetet med att utforma politiken. Det</w:t>
      </w:r>
      <w:r w:rsidR="001E20AA" w:rsidRPr="002344E6">
        <w:rPr>
          <w:sz w:val="18"/>
          <w:szCs w:val="18"/>
        </w:rPr>
        <w:t>ta</w:t>
      </w:r>
      <w:r w:rsidRPr="002344E6">
        <w:rPr>
          <w:sz w:val="18"/>
          <w:szCs w:val="18"/>
        </w:rPr>
        <w:t xml:space="preserve"> fra</w:t>
      </w:r>
      <w:r w:rsidRPr="002344E6">
        <w:rPr>
          <w:sz w:val="18"/>
          <w:szCs w:val="18"/>
        </w:rPr>
        <w:t>m</w:t>
      </w:r>
      <w:r w:rsidRPr="002344E6">
        <w:rPr>
          <w:sz w:val="18"/>
          <w:szCs w:val="18"/>
        </w:rPr>
        <w:t>går av kommi</w:t>
      </w:r>
      <w:r w:rsidRPr="002344E6">
        <w:rPr>
          <w:sz w:val="18"/>
          <w:szCs w:val="18"/>
        </w:rPr>
        <w:t>s</w:t>
      </w:r>
      <w:r w:rsidRPr="002344E6">
        <w:rPr>
          <w:sz w:val="18"/>
          <w:szCs w:val="18"/>
        </w:rPr>
        <w:t>sionens meddelande till Europeiska rådet</w:t>
      </w:r>
      <w:r w:rsidR="00C93747" w:rsidRPr="002344E6">
        <w:rPr>
          <w:sz w:val="18"/>
          <w:szCs w:val="18"/>
        </w:rPr>
        <w:t>,</w:t>
      </w:r>
      <w:r w:rsidRPr="002344E6">
        <w:rPr>
          <w:sz w:val="18"/>
          <w:szCs w:val="18"/>
        </w:rPr>
        <w:t xml:space="preserve"> ”En agenda för EU-medborgarna – EU </w:t>
      </w:r>
      <w:r w:rsidR="0067737A" w:rsidRPr="002344E6">
        <w:rPr>
          <w:sz w:val="18"/>
          <w:szCs w:val="18"/>
        </w:rPr>
        <w:t>skall</w:t>
      </w:r>
      <w:r w:rsidRPr="002344E6">
        <w:rPr>
          <w:sz w:val="18"/>
          <w:szCs w:val="18"/>
        </w:rPr>
        <w:t xml:space="preserve"> visa resultat”</w:t>
      </w:r>
      <w:r w:rsidR="00C93747" w:rsidRPr="002344E6">
        <w:rPr>
          <w:sz w:val="18"/>
          <w:szCs w:val="18"/>
        </w:rPr>
        <w:t>,</w:t>
      </w:r>
      <w:r w:rsidRPr="002344E6">
        <w:rPr>
          <w:sz w:val="18"/>
          <w:szCs w:val="18"/>
        </w:rPr>
        <w:t xml:space="preserve"> som antogs den 10 maj</w:t>
      </w:r>
      <w:r w:rsidR="00C93B2D" w:rsidRPr="002344E6">
        <w:rPr>
          <w:sz w:val="18"/>
          <w:szCs w:val="18"/>
        </w:rPr>
        <w:t xml:space="preserve"> 2006</w:t>
      </w:r>
      <w:r w:rsidRPr="002344E6">
        <w:rPr>
          <w:sz w:val="18"/>
          <w:szCs w:val="18"/>
        </w:rPr>
        <w:t>. Vid Europ</w:t>
      </w:r>
      <w:r w:rsidRPr="002344E6">
        <w:rPr>
          <w:sz w:val="18"/>
          <w:szCs w:val="18"/>
        </w:rPr>
        <w:t>e</w:t>
      </w:r>
      <w:r w:rsidRPr="002344E6">
        <w:rPr>
          <w:sz w:val="18"/>
          <w:szCs w:val="18"/>
        </w:rPr>
        <w:t>iska rådets möte den 15–16 juni välkomnades kommissionens åtagande</w:t>
      </w:r>
      <w:r w:rsidR="00A314E6" w:rsidRPr="002344E6">
        <w:rPr>
          <w:sz w:val="18"/>
          <w:szCs w:val="18"/>
        </w:rPr>
        <w:t xml:space="preserve"> (se ordf</w:t>
      </w:r>
      <w:r w:rsidR="00A314E6" w:rsidRPr="002344E6">
        <w:rPr>
          <w:sz w:val="18"/>
          <w:szCs w:val="18"/>
        </w:rPr>
        <w:t>ö</w:t>
      </w:r>
      <w:r w:rsidR="00A314E6" w:rsidRPr="002344E6">
        <w:rPr>
          <w:sz w:val="18"/>
          <w:szCs w:val="18"/>
        </w:rPr>
        <w:t>randeskapets slutsatser – avsnittet Europa lyssnar)</w:t>
      </w:r>
      <w:r w:rsidRPr="002344E6">
        <w:rPr>
          <w:sz w:val="18"/>
          <w:szCs w:val="18"/>
        </w:rPr>
        <w:t>. Europeiska rådet uppm</w:t>
      </w:r>
      <w:r w:rsidRPr="002344E6">
        <w:rPr>
          <w:sz w:val="18"/>
          <w:szCs w:val="18"/>
        </w:rPr>
        <w:t>a</w:t>
      </w:r>
      <w:r w:rsidRPr="002344E6">
        <w:rPr>
          <w:sz w:val="18"/>
          <w:szCs w:val="18"/>
        </w:rPr>
        <w:t>nade kommissionen att uppmärksamt granska synpunkterna från de nationella parl</w:t>
      </w:r>
      <w:r w:rsidRPr="002344E6">
        <w:rPr>
          <w:sz w:val="18"/>
          <w:szCs w:val="18"/>
        </w:rPr>
        <w:t>a</w:t>
      </w:r>
      <w:r w:rsidRPr="002344E6">
        <w:rPr>
          <w:sz w:val="18"/>
          <w:szCs w:val="18"/>
        </w:rPr>
        <w:t xml:space="preserve">menten, särskilt i beaktande av subsidiaritets- och proportionalitetsprincipen. </w:t>
      </w:r>
    </w:p>
    <w:p w:rsidR="002502C7" w:rsidRPr="002344E6" w:rsidRDefault="008A5112" w:rsidP="009F2D10">
      <w:pPr>
        <w:pStyle w:val="Normaltindrag"/>
        <w:rPr>
          <w:sz w:val="18"/>
          <w:szCs w:val="18"/>
        </w:rPr>
      </w:pPr>
      <w:r w:rsidRPr="002344E6">
        <w:rPr>
          <w:sz w:val="18"/>
          <w:szCs w:val="18"/>
        </w:rPr>
        <w:t>Kommissi</w:t>
      </w:r>
      <w:r w:rsidRPr="002344E6">
        <w:rPr>
          <w:sz w:val="18"/>
          <w:szCs w:val="18"/>
        </w:rPr>
        <w:t>o</w:t>
      </w:r>
      <w:r w:rsidRPr="002344E6">
        <w:rPr>
          <w:sz w:val="18"/>
          <w:szCs w:val="18"/>
        </w:rPr>
        <w:t xml:space="preserve">nen har infört rutiner för att översända handlingar till alla parlament och antagit principer för behandlingen av de nationella parlamentens yttranden. Sedan oktober </w:t>
      </w:r>
      <w:r w:rsidR="00C93B2D" w:rsidRPr="002344E6">
        <w:rPr>
          <w:sz w:val="18"/>
          <w:szCs w:val="18"/>
        </w:rPr>
        <w:t xml:space="preserve">2006 </w:t>
      </w:r>
      <w:r w:rsidRPr="002344E6">
        <w:rPr>
          <w:sz w:val="18"/>
          <w:szCs w:val="18"/>
        </w:rPr>
        <w:t>har de nationella parlamenten översänt över 50 yttranden till kommissi</w:t>
      </w:r>
      <w:r w:rsidRPr="002344E6">
        <w:rPr>
          <w:sz w:val="18"/>
          <w:szCs w:val="18"/>
        </w:rPr>
        <w:t>o</w:t>
      </w:r>
      <w:r w:rsidRPr="002344E6">
        <w:rPr>
          <w:sz w:val="18"/>
          <w:szCs w:val="18"/>
        </w:rPr>
        <w:t>nen om 27 av dess förslag. Yttrandena gäller framför allt subsidiaritets- och proportionalitetsaspekterna. I riksdagen diskuteras nu hur utskottens utlåta</w:t>
      </w:r>
      <w:r w:rsidRPr="002344E6">
        <w:rPr>
          <w:sz w:val="18"/>
          <w:szCs w:val="18"/>
        </w:rPr>
        <w:t>n</w:t>
      </w:r>
      <w:r w:rsidRPr="002344E6">
        <w:rPr>
          <w:sz w:val="18"/>
          <w:szCs w:val="18"/>
        </w:rPr>
        <w:t xml:space="preserve">den över grön- och vitböcker samt andra EU-dokument skall kunna </w:t>
      </w:r>
      <w:r w:rsidR="002502C7" w:rsidRPr="002344E6">
        <w:rPr>
          <w:sz w:val="18"/>
          <w:szCs w:val="18"/>
        </w:rPr>
        <w:t>delges ko</w:t>
      </w:r>
      <w:r w:rsidR="002502C7" w:rsidRPr="002344E6">
        <w:rPr>
          <w:sz w:val="18"/>
          <w:szCs w:val="18"/>
        </w:rPr>
        <w:t>m</w:t>
      </w:r>
      <w:r w:rsidR="002502C7" w:rsidRPr="002344E6">
        <w:rPr>
          <w:sz w:val="18"/>
          <w:szCs w:val="18"/>
        </w:rPr>
        <w:t xml:space="preserve">missionen. </w:t>
      </w:r>
    </w:p>
    <w:p w:rsidR="003D25F6" w:rsidRPr="002344E6" w:rsidRDefault="003D25F6" w:rsidP="00416999">
      <w:pPr>
        <w:pStyle w:val="Normaltindrag"/>
      </w:pPr>
      <w:r w:rsidRPr="002344E6">
        <w:t xml:space="preserve">När det gäller genomförande av direktiv </w:t>
      </w:r>
      <w:r w:rsidR="002502C7" w:rsidRPr="002344E6">
        <w:t xml:space="preserve">(avsnitt 47.2.2) </w:t>
      </w:r>
      <w:r w:rsidR="0036105A" w:rsidRPr="002344E6">
        <w:t>vill EU-näm</w:t>
      </w:r>
      <w:r w:rsidR="009F2D10" w:rsidRPr="002344E6">
        <w:t>n</w:t>
      </w:r>
      <w:r w:rsidR="0036105A" w:rsidRPr="002344E6">
        <w:t>den</w:t>
      </w:r>
      <w:r w:rsidR="00876BB1" w:rsidRPr="002344E6">
        <w:t>,</w:t>
      </w:r>
      <w:r w:rsidR="0036105A" w:rsidRPr="002344E6">
        <w:t xml:space="preserve"> liksom i yttrandet över förra årets skrivelse</w:t>
      </w:r>
      <w:r w:rsidR="00876BB1" w:rsidRPr="002344E6">
        <w:t>,</w:t>
      </w:r>
      <w:r w:rsidR="0036105A" w:rsidRPr="002344E6">
        <w:t xml:space="preserve"> framhålla att det i propositioner om g</w:t>
      </w:r>
      <w:r w:rsidR="0036105A" w:rsidRPr="002344E6">
        <w:t>e</w:t>
      </w:r>
      <w:r w:rsidR="0036105A" w:rsidRPr="002344E6">
        <w:t>nomförande av direktiv och godkännande av rambeslut bör redogöras för det informations- och samrådsförfarande</w:t>
      </w:r>
      <w:r w:rsidR="001E20AA" w:rsidRPr="002344E6">
        <w:t xml:space="preserve"> som ägt rum visavi riksdagen i de olika ärendena, och </w:t>
      </w:r>
      <w:r w:rsidR="0036105A" w:rsidRPr="002344E6">
        <w:t>som sedan den 1 januari 2003 regleras i 10 kap</w:t>
      </w:r>
      <w:r w:rsidR="0005617D" w:rsidRPr="002344E6">
        <w:t>.</w:t>
      </w:r>
      <w:r w:rsidR="0036105A" w:rsidRPr="002344E6">
        <w:t xml:space="preserve"> 6 § regeringsformen. Detta har också tidigare påpekats av konst</w:t>
      </w:r>
      <w:r w:rsidR="0036105A" w:rsidRPr="002344E6">
        <w:t>i</w:t>
      </w:r>
      <w:r w:rsidR="0036105A" w:rsidRPr="002344E6">
        <w:t>tutionsutskottet (</w:t>
      </w:r>
      <w:r w:rsidR="00876BB1" w:rsidRPr="002344E6">
        <w:t>b</w:t>
      </w:r>
      <w:r w:rsidR="0036105A" w:rsidRPr="002344E6">
        <w:t>et. 1999/2000:KU10</w:t>
      </w:r>
      <w:r w:rsidR="00876BB1" w:rsidRPr="002344E6">
        <w:t xml:space="preserve"> </w:t>
      </w:r>
      <w:r w:rsidR="0005617D" w:rsidRPr="002344E6">
        <w:t>s.</w:t>
      </w:r>
      <w:r w:rsidR="0036105A" w:rsidRPr="002344E6">
        <w:t xml:space="preserve"> 38</w:t>
      </w:r>
      <w:r w:rsidR="0005617D" w:rsidRPr="002344E6">
        <w:t>–</w:t>
      </w:r>
      <w:r w:rsidR="0036105A" w:rsidRPr="002344E6">
        <w:t xml:space="preserve">39). </w:t>
      </w:r>
    </w:p>
    <w:p w:rsidR="00A22FA0" w:rsidRPr="002344E6" w:rsidRDefault="00A22FA0" w:rsidP="00C309EF">
      <w:pPr>
        <w:pStyle w:val="R4"/>
      </w:pPr>
      <w:r w:rsidRPr="002344E6">
        <w:t xml:space="preserve">Överträdelseärenden </w:t>
      </w:r>
      <w:r w:rsidR="00A82DFA" w:rsidRPr="002344E6">
        <w:t xml:space="preserve">och Europeiska gemenskapernas domstol </w:t>
      </w:r>
      <w:r w:rsidR="00F01E4E" w:rsidRPr="002344E6">
        <w:t>(avsnitt 47.</w:t>
      </w:r>
      <w:r w:rsidRPr="002344E6">
        <w:t>2.3</w:t>
      </w:r>
      <w:r w:rsidR="00A82DFA" w:rsidRPr="002344E6">
        <w:t xml:space="preserve"> och 47.4)</w:t>
      </w:r>
    </w:p>
    <w:p w:rsidR="00A82DFA" w:rsidRPr="002344E6" w:rsidRDefault="00A82DFA" w:rsidP="00416999">
      <w:r w:rsidRPr="002344E6">
        <w:t xml:space="preserve">EU-nämnden välkomnar att </w:t>
      </w:r>
      <w:r w:rsidR="001E20AA" w:rsidRPr="002344E6">
        <w:t>det</w:t>
      </w:r>
      <w:r w:rsidR="009A6085" w:rsidRPr="002344E6">
        <w:t>,</w:t>
      </w:r>
      <w:r w:rsidRPr="002344E6">
        <w:t xml:space="preserve"> förutom en allmän redogörelse för övertr</w:t>
      </w:r>
      <w:r w:rsidRPr="002344E6">
        <w:t>ä</w:t>
      </w:r>
      <w:r w:rsidRPr="002344E6">
        <w:t>delseärenden och EG-domstolens verksamhet</w:t>
      </w:r>
      <w:r w:rsidR="009A6085" w:rsidRPr="002344E6">
        <w:t>,</w:t>
      </w:r>
      <w:r w:rsidRPr="002344E6">
        <w:t xml:space="preserve"> </w:t>
      </w:r>
      <w:r w:rsidR="0036230E" w:rsidRPr="002344E6">
        <w:t xml:space="preserve">liksom i förra årets skrivelse </w:t>
      </w:r>
      <w:r w:rsidRPr="002344E6">
        <w:t xml:space="preserve">redogörs </w:t>
      </w:r>
      <w:r w:rsidR="00E31CB1" w:rsidRPr="002344E6">
        <w:t>departementsvis för mål och överträdelseäre</w:t>
      </w:r>
      <w:r w:rsidR="00E31CB1" w:rsidRPr="002344E6">
        <w:t>n</w:t>
      </w:r>
      <w:r w:rsidR="00E31CB1" w:rsidRPr="002344E6">
        <w:t xml:space="preserve">den </w:t>
      </w:r>
      <w:r w:rsidRPr="002344E6">
        <w:t>i en bilaga.</w:t>
      </w:r>
      <w:r w:rsidR="0036230E" w:rsidRPr="002344E6">
        <w:t xml:space="preserve"> EU-nämnden har efterlyst information om</w:t>
      </w:r>
      <w:r w:rsidR="00D83396" w:rsidRPr="002344E6">
        <w:t xml:space="preserve"> </w:t>
      </w:r>
      <w:r w:rsidR="0036230E" w:rsidRPr="002344E6">
        <w:t>antalet övertr</w:t>
      </w:r>
      <w:r w:rsidR="00D83396" w:rsidRPr="002344E6">
        <w:t>ä</w:t>
      </w:r>
      <w:r w:rsidR="0036230E" w:rsidRPr="002344E6">
        <w:t>del</w:t>
      </w:r>
      <w:r w:rsidR="00D83396" w:rsidRPr="002344E6">
        <w:t>s</w:t>
      </w:r>
      <w:r w:rsidR="0036230E" w:rsidRPr="002344E6">
        <w:t>eärenden och fälla</w:t>
      </w:r>
      <w:r w:rsidR="0036230E" w:rsidRPr="002344E6">
        <w:t>n</w:t>
      </w:r>
      <w:r w:rsidR="0036230E" w:rsidRPr="002344E6">
        <w:t>de domar mot övriga medlemsländer. I skrivelsen hänvisas i detta samma</w:t>
      </w:r>
      <w:r w:rsidR="0036230E" w:rsidRPr="002344E6">
        <w:t>n</w:t>
      </w:r>
      <w:r w:rsidR="0036230E" w:rsidRPr="002344E6">
        <w:t>hang till kommis</w:t>
      </w:r>
      <w:r w:rsidR="00D83396" w:rsidRPr="002344E6">
        <w:t>sionens</w:t>
      </w:r>
      <w:r w:rsidR="0036230E" w:rsidRPr="002344E6">
        <w:t xml:space="preserve"> årlig</w:t>
      </w:r>
      <w:r w:rsidR="00E4775A" w:rsidRPr="002344E6">
        <w:t>a</w:t>
      </w:r>
      <w:r w:rsidR="0036230E" w:rsidRPr="002344E6">
        <w:t xml:space="preserve"> r</w:t>
      </w:r>
      <w:r w:rsidR="00D83396" w:rsidRPr="002344E6">
        <w:t>a</w:t>
      </w:r>
      <w:r w:rsidR="0036230E" w:rsidRPr="002344E6">
        <w:t>pport om kontroll av gem</w:t>
      </w:r>
      <w:r w:rsidR="00D83396" w:rsidRPr="002344E6">
        <w:t>enskap</w:t>
      </w:r>
      <w:r w:rsidR="00D83396" w:rsidRPr="002344E6">
        <w:t>s</w:t>
      </w:r>
      <w:r w:rsidR="0036230E" w:rsidRPr="002344E6">
        <w:t>rät</w:t>
      </w:r>
      <w:r w:rsidR="00D83396" w:rsidRPr="002344E6">
        <w:t>tens</w:t>
      </w:r>
      <w:r w:rsidR="0036230E" w:rsidRPr="002344E6">
        <w:t xml:space="preserve"> tillämpning.</w:t>
      </w:r>
      <w:r w:rsidR="00876BB1" w:rsidRPr="002344E6">
        <w:t xml:space="preserve"> </w:t>
      </w:r>
      <w:r w:rsidR="00A178F4" w:rsidRPr="002344E6">
        <w:t xml:space="preserve">En </w:t>
      </w:r>
      <w:r w:rsidR="00876BB1" w:rsidRPr="002344E6">
        <w:t xml:space="preserve">uppgift om var </w:t>
      </w:r>
      <w:r w:rsidR="00A178F4" w:rsidRPr="002344E6">
        <w:t xml:space="preserve">rapporten </w:t>
      </w:r>
      <w:r w:rsidR="00876BB1" w:rsidRPr="002344E6">
        <w:t>kan hämtas hade varit öns</w:t>
      </w:r>
      <w:r w:rsidR="00876BB1" w:rsidRPr="002344E6">
        <w:t>k</w:t>
      </w:r>
      <w:r w:rsidR="00876BB1" w:rsidRPr="002344E6">
        <w:t>värd.</w:t>
      </w:r>
      <w:r w:rsidR="0036230E" w:rsidRPr="002344E6">
        <w:t xml:space="preserve"> </w:t>
      </w:r>
    </w:p>
    <w:p w:rsidR="002502C7" w:rsidRPr="002344E6" w:rsidRDefault="002502C7" w:rsidP="00C309EF">
      <w:pPr>
        <w:pStyle w:val="R4"/>
      </w:pPr>
      <w:r w:rsidRPr="002344E6">
        <w:t>Europeiska revisionsrätten (avsnitt 47.5)</w:t>
      </w:r>
    </w:p>
    <w:p w:rsidR="00EA5ADF" w:rsidRPr="002344E6" w:rsidRDefault="002502C7" w:rsidP="0026616E">
      <w:r w:rsidRPr="002344E6">
        <w:t>I avsnittet nämns revisionsrättens årsapporter och hänvisas till tidigare kapitel (15.1 och 2) för en mer utförlig beskrivning av prövningen av ansvarsfrihet. EU-nämnden får varje höst inför offentliggörandet av revisionsrättens årsra</w:t>
      </w:r>
      <w:r w:rsidRPr="002344E6">
        <w:t>p</w:t>
      </w:r>
      <w:r w:rsidRPr="002344E6">
        <w:t>port information om revisionsrättens verksamhet av den svensk</w:t>
      </w:r>
      <w:r w:rsidR="00A9674A" w:rsidRPr="002344E6">
        <w:t>e</w:t>
      </w:r>
      <w:r w:rsidRPr="002344E6">
        <w:t xml:space="preserve"> ledamoten i revisionsrätten</w:t>
      </w:r>
      <w:r w:rsidR="00A9674A" w:rsidRPr="002344E6">
        <w:t xml:space="preserve">. I oktober </w:t>
      </w:r>
      <w:r w:rsidR="00E53CD1" w:rsidRPr="002344E6">
        <w:t xml:space="preserve">2006 </w:t>
      </w:r>
      <w:r w:rsidR="00A9674A" w:rsidRPr="002344E6">
        <w:t xml:space="preserve">lade revisionsrättens </w:t>
      </w:r>
      <w:r w:rsidR="00AB1445" w:rsidRPr="002344E6">
        <w:t xml:space="preserve">ordförande </w:t>
      </w:r>
      <w:r w:rsidR="001E20AA" w:rsidRPr="002344E6">
        <w:t xml:space="preserve">fram </w:t>
      </w:r>
      <w:r w:rsidR="004A5D5E" w:rsidRPr="002344E6">
        <w:t>årsra</w:t>
      </w:r>
      <w:r w:rsidR="004A5D5E" w:rsidRPr="002344E6">
        <w:t>p</w:t>
      </w:r>
      <w:r w:rsidR="004A5D5E" w:rsidRPr="002344E6">
        <w:t>porten om budgetåret 2005</w:t>
      </w:r>
      <w:r w:rsidR="00942EB2" w:rsidRPr="002344E6">
        <w:t xml:space="preserve"> </w:t>
      </w:r>
      <w:r w:rsidR="00AB1445" w:rsidRPr="002344E6">
        <w:t xml:space="preserve">för Europaparlamentet. I rapporten nämns viktiga framsteg som kommissionen gjort när det gäller inrättandet av det nya </w:t>
      </w:r>
      <w:r w:rsidR="00AB1445" w:rsidRPr="002344E6">
        <w:rPr>
          <w:spacing w:val="-2"/>
        </w:rPr>
        <w:t>syst</w:t>
      </w:r>
      <w:r w:rsidR="00AB1445" w:rsidRPr="002344E6">
        <w:rPr>
          <w:spacing w:val="-2"/>
        </w:rPr>
        <w:t>e</w:t>
      </w:r>
      <w:r w:rsidR="00AB1445" w:rsidRPr="002344E6">
        <w:rPr>
          <w:spacing w:val="-2"/>
        </w:rPr>
        <w:t>met för periodiserad redovisning. Revisionsrätten påvisar dock brister i den interna kontrollen av huvuddelen av EU:s utgifter, både i medlemsstate</w:t>
      </w:r>
      <w:r w:rsidR="00AB1445" w:rsidRPr="002344E6">
        <w:rPr>
          <w:spacing w:val="-2"/>
        </w:rPr>
        <w:t>r</w:t>
      </w:r>
      <w:r w:rsidR="00AB1445" w:rsidRPr="002344E6">
        <w:rPr>
          <w:spacing w:val="-2"/>
        </w:rPr>
        <w:t>na och vid kommissionen, samt ett stort antal fel i de underliggande transa</w:t>
      </w:r>
      <w:r w:rsidR="00AB1445" w:rsidRPr="002344E6">
        <w:rPr>
          <w:spacing w:val="-2"/>
        </w:rPr>
        <w:t>k</w:t>
      </w:r>
      <w:r w:rsidR="00AB1445" w:rsidRPr="002344E6">
        <w:rPr>
          <w:spacing w:val="-2"/>
        </w:rPr>
        <w:t>tionerna.</w:t>
      </w:r>
      <w:r w:rsidR="00EA5ADF" w:rsidRPr="002344E6">
        <w:t xml:space="preserve"> </w:t>
      </w:r>
    </w:p>
    <w:p w:rsidR="00EA5ADF" w:rsidRPr="002344E6" w:rsidRDefault="00EA5ADF" w:rsidP="00416999">
      <w:pPr>
        <w:pStyle w:val="Normaltindrag"/>
      </w:pPr>
      <w:r w:rsidRPr="002344E6">
        <w:t>Frågan om revisionsrättens kontroll och ansvarsfrihet för unionens allmä</w:t>
      </w:r>
      <w:r w:rsidRPr="002344E6">
        <w:t>n</w:t>
      </w:r>
      <w:r w:rsidRPr="002344E6">
        <w:t>na budget har engagerat EU-nämnden, senast inför rådsmötet (</w:t>
      </w:r>
      <w:r w:rsidR="009952DF" w:rsidRPr="002344E6">
        <w:t>Ekofin</w:t>
      </w:r>
      <w:r w:rsidRPr="002344E6">
        <w:t>) i fe</w:t>
      </w:r>
      <w:r w:rsidRPr="002344E6">
        <w:t>b</w:t>
      </w:r>
      <w:r w:rsidRPr="002344E6">
        <w:t xml:space="preserve">ruari innevarande år. </w:t>
      </w:r>
    </w:p>
    <w:p w:rsidR="00A22FA0" w:rsidRPr="002344E6" w:rsidRDefault="00A22FA0" w:rsidP="00C309EF">
      <w:pPr>
        <w:pStyle w:val="R4"/>
      </w:pPr>
      <w:r w:rsidRPr="002344E6">
        <w:t>Öppenhet och insyn (avsnitt 47.7)</w:t>
      </w:r>
    </w:p>
    <w:p w:rsidR="00787349" w:rsidRPr="002344E6" w:rsidRDefault="00EA5ADF" w:rsidP="0026616E">
      <w:r w:rsidRPr="002344E6">
        <w:t>I detta avsnitt redovisas tillämpningen av förordningen om allmänhetens tillgång till Europap</w:t>
      </w:r>
      <w:r w:rsidR="00787349" w:rsidRPr="002344E6">
        <w:t>a</w:t>
      </w:r>
      <w:r w:rsidRPr="002344E6">
        <w:t xml:space="preserve">rlamentets, rådets och kommissionens handlingar (den s.k. öppenhetsförordningen). Tendensen mot utökad handlingsoffentlighet börjar emellertid mattas av, vilket enligt regeringen skall ses mot bakgrund av </w:t>
      </w:r>
      <w:r w:rsidRPr="002344E6">
        <w:rPr>
          <w:spacing w:val="-2"/>
        </w:rPr>
        <w:t>att handlingsoffentligheten numera har väsentligt större omfattning än tidig</w:t>
      </w:r>
      <w:r w:rsidRPr="002344E6">
        <w:rPr>
          <w:spacing w:val="-2"/>
        </w:rPr>
        <w:t>a</w:t>
      </w:r>
      <w:r w:rsidRPr="002344E6">
        <w:rPr>
          <w:spacing w:val="-2"/>
        </w:rPr>
        <w:t>re.</w:t>
      </w:r>
      <w:r w:rsidRPr="002344E6">
        <w:t xml:space="preserve"> </w:t>
      </w:r>
    </w:p>
    <w:p w:rsidR="00EA5ADF" w:rsidRPr="002344E6" w:rsidRDefault="00EA5ADF" w:rsidP="00416999">
      <w:pPr>
        <w:pStyle w:val="Normaltindrag"/>
      </w:pPr>
      <w:r w:rsidRPr="002344E6">
        <w:t>E</w:t>
      </w:r>
      <w:r w:rsidR="00E93FE9" w:rsidRPr="002344E6">
        <w:t>U</w:t>
      </w:r>
      <w:r w:rsidRPr="002344E6">
        <w:t xml:space="preserve">-nämnden anser </w:t>
      </w:r>
      <w:r w:rsidR="008E4563" w:rsidRPr="002344E6">
        <w:t xml:space="preserve">att </w:t>
      </w:r>
      <w:r w:rsidRPr="002344E6">
        <w:t xml:space="preserve">det </w:t>
      </w:r>
      <w:r w:rsidR="008E4563" w:rsidRPr="002344E6">
        <w:t xml:space="preserve">är </w:t>
      </w:r>
      <w:r w:rsidRPr="002344E6">
        <w:t>glädjande att hand</w:t>
      </w:r>
      <w:r w:rsidR="00E93FE9" w:rsidRPr="002344E6">
        <w:t>lings</w:t>
      </w:r>
      <w:r w:rsidRPr="002344E6">
        <w:t xml:space="preserve">offentligheten utökats </w:t>
      </w:r>
      <w:r w:rsidR="00E93FE9" w:rsidRPr="002344E6">
        <w:t>men</w:t>
      </w:r>
      <w:r w:rsidRPr="002344E6">
        <w:t xml:space="preserve"> </w:t>
      </w:r>
      <w:r w:rsidR="00E93FE9" w:rsidRPr="002344E6">
        <w:t xml:space="preserve">vill, liksom i yttrandet över förra årets skrivelse, framhålla </w:t>
      </w:r>
      <w:r w:rsidR="00A178F4" w:rsidRPr="002344E6">
        <w:t xml:space="preserve">vikten av </w:t>
      </w:r>
      <w:r w:rsidR="00E93FE9" w:rsidRPr="002344E6">
        <w:t>att råd</w:t>
      </w:r>
      <w:r w:rsidR="00E93FE9" w:rsidRPr="002344E6">
        <w:t>s</w:t>
      </w:r>
      <w:r w:rsidR="00E93FE9" w:rsidRPr="002344E6">
        <w:t xml:space="preserve">handlingar som är försedda med EU:s hemligbeteckningar </w:t>
      </w:r>
      <w:r w:rsidR="007E09FF" w:rsidRPr="002344E6">
        <w:t>eller olika slags han</w:t>
      </w:r>
      <w:r w:rsidR="007E09FF" w:rsidRPr="002344E6">
        <w:t>d</w:t>
      </w:r>
      <w:r w:rsidR="007E09FF" w:rsidRPr="002344E6">
        <w:t xml:space="preserve">lingar från EU:s ordförandeskap </w:t>
      </w:r>
      <w:r w:rsidR="00E93FE9" w:rsidRPr="002344E6">
        <w:t>inte rutinmässigt sekretessbeläggs vid den bedömning som görs enligt den svenska sekretesslagen. Inför de förestående samt</w:t>
      </w:r>
      <w:r w:rsidR="00E93FE9" w:rsidRPr="002344E6">
        <w:t>a</w:t>
      </w:r>
      <w:r w:rsidR="00E93FE9" w:rsidRPr="002344E6">
        <w:t>len och förhand</w:t>
      </w:r>
      <w:r w:rsidR="001E20AA" w:rsidRPr="002344E6">
        <w:t>l</w:t>
      </w:r>
      <w:r w:rsidR="00E93FE9" w:rsidRPr="002344E6">
        <w:t>ingar</w:t>
      </w:r>
      <w:r w:rsidR="008E4563" w:rsidRPr="002344E6">
        <w:t>na om ett nytt konstitutionellt</w:t>
      </w:r>
      <w:r w:rsidR="00E93FE9" w:rsidRPr="002344E6">
        <w:t xml:space="preserve"> fördrag är det också ytterst angeläget, enligt EU-nämnden, att handlingar, på samma sätt som </w:t>
      </w:r>
      <w:r w:rsidR="00327705" w:rsidRPr="002344E6">
        <w:t>v</w:t>
      </w:r>
      <w:r w:rsidR="00E93FE9" w:rsidRPr="002344E6">
        <w:t>i</w:t>
      </w:r>
      <w:r w:rsidR="00327705" w:rsidRPr="002344E6">
        <w:t>d</w:t>
      </w:r>
      <w:r w:rsidR="00E93FE9" w:rsidRPr="002344E6">
        <w:t xml:space="preserve"> tidigare konvents- och regeringskonferenser, i största möjliga utsträckning är offentl</w:t>
      </w:r>
      <w:r w:rsidR="00E93FE9" w:rsidRPr="002344E6">
        <w:t>i</w:t>
      </w:r>
      <w:r w:rsidR="00E93FE9" w:rsidRPr="002344E6">
        <w:t xml:space="preserve">ga. </w:t>
      </w:r>
    </w:p>
    <w:p w:rsidR="00A22FA0" w:rsidRPr="002344E6" w:rsidRDefault="00A22FA0" w:rsidP="00C309EF">
      <w:pPr>
        <w:pStyle w:val="R4"/>
      </w:pPr>
      <w:r w:rsidRPr="002344E6">
        <w:t>Svenska språket och regelförenkling (avsnitt 47.9)</w:t>
      </w:r>
    </w:p>
    <w:bookmarkEnd w:id="44"/>
    <w:p w:rsidR="001E20AA" w:rsidRPr="002344E6" w:rsidRDefault="00800A2B" w:rsidP="00416999">
      <w:r w:rsidRPr="002344E6">
        <w:t>EU-nämnden noterar att regeringen aktivt arbetar för både bättre och enklare lagstiftning och utveckling av språkvården i EU-arbete</w:t>
      </w:r>
      <w:r w:rsidR="00B54306" w:rsidRPr="002344E6">
        <w:t>t</w:t>
      </w:r>
      <w:r w:rsidRPr="002344E6">
        <w:t xml:space="preserve">. </w:t>
      </w:r>
      <w:r w:rsidR="004E5155" w:rsidRPr="002344E6">
        <w:t>EU-n</w:t>
      </w:r>
      <w:r w:rsidRPr="002344E6">
        <w:t>ä</w:t>
      </w:r>
      <w:r w:rsidR="00A84587" w:rsidRPr="002344E6">
        <w:t>m</w:t>
      </w:r>
      <w:r w:rsidRPr="002344E6">
        <w:t xml:space="preserve">nden </w:t>
      </w:r>
      <w:r w:rsidR="00B54306" w:rsidRPr="002344E6">
        <w:t>anser att d</w:t>
      </w:r>
      <w:r w:rsidRPr="002344E6">
        <w:t>et utökade samarbetet mellan EU:s institutioner och sven</w:t>
      </w:r>
      <w:r w:rsidRPr="002344E6">
        <w:t>s</w:t>
      </w:r>
      <w:r w:rsidRPr="002344E6">
        <w:t>ka specialis</w:t>
      </w:r>
      <w:r w:rsidR="002D71BD" w:rsidRPr="002344E6">
        <w:t>ter är en</w:t>
      </w:r>
      <w:r w:rsidRPr="002344E6">
        <w:t xml:space="preserve"> positiv utveckling och b</w:t>
      </w:r>
      <w:r w:rsidR="00A61F9C" w:rsidRPr="002344E6">
        <w:t>ör kunna leda till en både tydli</w:t>
      </w:r>
      <w:r w:rsidRPr="002344E6">
        <w:t>gare och enklare språkbehan</w:t>
      </w:r>
      <w:r w:rsidRPr="002344E6">
        <w:t>d</w:t>
      </w:r>
      <w:r w:rsidRPr="002344E6">
        <w:t>ling.</w:t>
      </w:r>
      <w:r w:rsidR="00B54306" w:rsidRPr="002344E6">
        <w:t xml:space="preserve"> </w:t>
      </w:r>
    </w:p>
    <w:p w:rsidR="007E09FF" w:rsidRPr="002344E6" w:rsidRDefault="00B54306" w:rsidP="001E20AA">
      <w:pPr>
        <w:pStyle w:val="Normaltindrag"/>
      </w:pPr>
      <w:r w:rsidRPr="002344E6">
        <w:t xml:space="preserve">I detta sammanhang kan nämnas att kommissionen i ett </w:t>
      </w:r>
      <w:r w:rsidR="00BC2A8B" w:rsidRPr="002344E6">
        <w:t xml:space="preserve">meddelande </w:t>
      </w:r>
      <w:r w:rsidRPr="002344E6">
        <w:t>[</w:t>
      </w:r>
      <w:r w:rsidR="00510A47" w:rsidRPr="002344E6">
        <w:t>SEC(2006)</w:t>
      </w:r>
      <w:r w:rsidR="00142299" w:rsidRPr="002344E6">
        <w:t>1489</w:t>
      </w:r>
      <w:r w:rsidRPr="002344E6">
        <w:t>]</w:t>
      </w:r>
      <w:r w:rsidR="00142299" w:rsidRPr="002344E6">
        <w:t xml:space="preserve"> </w:t>
      </w:r>
      <w:r w:rsidRPr="002344E6">
        <w:t xml:space="preserve">har </w:t>
      </w:r>
      <w:r w:rsidR="00142299" w:rsidRPr="002344E6">
        <w:t xml:space="preserve">tagit fram riktlinjer för </w:t>
      </w:r>
      <w:r w:rsidRPr="002344E6">
        <w:t xml:space="preserve">sitt </w:t>
      </w:r>
      <w:r w:rsidR="00142299" w:rsidRPr="002344E6">
        <w:t>översättning</w:t>
      </w:r>
      <w:r w:rsidR="00142299" w:rsidRPr="002344E6">
        <w:t>s</w:t>
      </w:r>
      <w:r w:rsidR="00142299" w:rsidRPr="002344E6">
        <w:t>ar</w:t>
      </w:r>
      <w:r w:rsidR="00696FF4" w:rsidRPr="002344E6">
        <w:t xml:space="preserve">bete </w:t>
      </w:r>
      <w:r w:rsidR="00BC2A8B" w:rsidRPr="002344E6">
        <w:t xml:space="preserve">fr.o.m. </w:t>
      </w:r>
      <w:r w:rsidR="001F75AE" w:rsidRPr="002344E6">
        <w:t xml:space="preserve">den </w:t>
      </w:r>
      <w:r w:rsidR="00BC2A8B" w:rsidRPr="002344E6">
        <w:t xml:space="preserve">1 januari </w:t>
      </w:r>
      <w:r w:rsidR="00696FF4" w:rsidRPr="002344E6">
        <w:t>200</w:t>
      </w:r>
      <w:r w:rsidR="00BC2A8B" w:rsidRPr="002344E6">
        <w:t>7</w:t>
      </w:r>
      <w:r w:rsidRPr="002344E6">
        <w:t>.</w:t>
      </w:r>
      <w:r w:rsidR="00142299" w:rsidRPr="002344E6">
        <w:t xml:space="preserve"> </w:t>
      </w:r>
      <w:r w:rsidRPr="002344E6">
        <w:t xml:space="preserve">Detta har skett bl.a. </w:t>
      </w:r>
      <w:r w:rsidR="00142299" w:rsidRPr="002344E6">
        <w:t xml:space="preserve">med </w:t>
      </w:r>
      <w:r w:rsidRPr="002344E6">
        <w:t xml:space="preserve">anledning av </w:t>
      </w:r>
      <w:r w:rsidR="00142299" w:rsidRPr="002344E6">
        <w:t>att två nya språk och ett nytt alfabet tillkommit. I riktlinjer</w:t>
      </w:r>
      <w:r w:rsidRPr="002344E6">
        <w:t>na</w:t>
      </w:r>
      <w:r w:rsidR="00142299" w:rsidRPr="002344E6">
        <w:t xml:space="preserve"> prioriteras dokument som b</w:t>
      </w:r>
      <w:r w:rsidR="00142299" w:rsidRPr="002344E6">
        <w:t>e</w:t>
      </w:r>
      <w:r w:rsidR="00142299" w:rsidRPr="002344E6">
        <w:t>handlar politiska prioriteringar och/eller skapar ny</w:t>
      </w:r>
      <w:r w:rsidRPr="002344E6">
        <w:t>a</w:t>
      </w:r>
      <w:r w:rsidR="00142299" w:rsidRPr="002344E6">
        <w:t xml:space="preserve"> lagstiftningsmä</w:t>
      </w:r>
      <w:r w:rsidR="00142299" w:rsidRPr="002344E6">
        <w:t>s</w:t>
      </w:r>
      <w:r w:rsidR="00142299" w:rsidRPr="002344E6">
        <w:t>siga skyldigheter</w:t>
      </w:r>
      <w:r w:rsidRPr="002344E6">
        <w:t xml:space="preserve">. I sådana fall skall </w:t>
      </w:r>
      <w:r w:rsidR="00142299" w:rsidRPr="002344E6">
        <w:t xml:space="preserve">alla dokument </w:t>
      </w:r>
      <w:r w:rsidRPr="002344E6">
        <w:t xml:space="preserve">utan sidbegränsning </w:t>
      </w:r>
      <w:r w:rsidR="00142299" w:rsidRPr="002344E6">
        <w:t>öv</w:t>
      </w:r>
      <w:r w:rsidR="00696FF4" w:rsidRPr="002344E6">
        <w:t>e</w:t>
      </w:r>
      <w:r w:rsidR="00696FF4" w:rsidRPr="002344E6">
        <w:t>r</w:t>
      </w:r>
      <w:r w:rsidR="00696FF4" w:rsidRPr="002344E6">
        <w:t xml:space="preserve">sättas till samtliga </w:t>
      </w:r>
      <w:r w:rsidRPr="002344E6">
        <w:t>EU-</w:t>
      </w:r>
      <w:r w:rsidR="00696FF4" w:rsidRPr="002344E6">
        <w:t xml:space="preserve">språk. </w:t>
      </w:r>
      <w:r w:rsidRPr="002344E6">
        <w:t xml:space="preserve">För andra dokument </w:t>
      </w:r>
      <w:r w:rsidR="00142299" w:rsidRPr="002344E6">
        <w:t>anges det högsta antal sidor d</w:t>
      </w:r>
      <w:r w:rsidR="00142299" w:rsidRPr="002344E6">
        <w:t>o</w:t>
      </w:r>
      <w:r w:rsidR="00142299" w:rsidRPr="002344E6">
        <w:t>kumenten får innehålla</w:t>
      </w:r>
      <w:r w:rsidRPr="002344E6">
        <w:t xml:space="preserve"> för att översättning till samtliga språk skall ske.</w:t>
      </w:r>
      <w:r w:rsidR="00142299" w:rsidRPr="002344E6">
        <w:t xml:space="preserve"> E</w:t>
      </w:r>
      <w:r w:rsidR="00142299" w:rsidRPr="002344E6">
        <w:t>x</w:t>
      </w:r>
      <w:r w:rsidR="00142299" w:rsidRPr="002344E6">
        <w:t xml:space="preserve">empel på </w:t>
      </w:r>
      <w:r w:rsidRPr="002344E6">
        <w:t xml:space="preserve">detta är </w:t>
      </w:r>
      <w:r w:rsidR="00142299" w:rsidRPr="002344E6">
        <w:t>meddelanden från kommissionen (15 sidor), vitböck</w:t>
      </w:r>
      <w:r w:rsidR="001649E3" w:rsidRPr="002344E6">
        <w:t>er (15 sidor) samt</w:t>
      </w:r>
      <w:r w:rsidR="00142299" w:rsidRPr="002344E6">
        <w:t xml:space="preserve"> grönböcker (30 s</w:t>
      </w:r>
      <w:r w:rsidR="00142299" w:rsidRPr="002344E6">
        <w:t>i</w:t>
      </w:r>
      <w:r w:rsidR="00142299" w:rsidRPr="002344E6">
        <w:t xml:space="preserve">dor). </w:t>
      </w:r>
    </w:p>
    <w:p w:rsidR="00A96DF8" w:rsidRPr="002344E6" w:rsidRDefault="00142299" w:rsidP="00416999">
      <w:pPr>
        <w:pStyle w:val="Normaltindrag"/>
      </w:pPr>
      <w:r w:rsidRPr="002344E6">
        <w:t>De</w:t>
      </w:r>
      <w:r w:rsidR="00A96DF8" w:rsidRPr="002344E6">
        <w:t>t kan vara tveksamt om de</w:t>
      </w:r>
      <w:r w:rsidRPr="002344E6">
        <w:t>ssa prioriteringar stämm</w:t>
      </w:r>
      <w:r w:rsidR="00A96DF8" w:rsidRPr="002344E6">
        <w:t>er</w:t>
      </w:r>
      <w:r w:rsidRPr="002344E6">
        <w:t xml:space="preserve"> överens med de behov av översättningar som kan föreligga för</w:t>
      </w:r>
      <w:r w:rsidR="001649E3" w:rsidRPr="002344E6">
        <w:t xml:space="preserve"> att de nationella parlame</w:t>
      </w:r>
      <w:r w:rsidR="001649E3" w:rsidRPr="002344E6">
        <w:t>n</w:t>
      </w:r>
      <w:r w:rsidR="001649E3" w:rsidRPr="002344E6">
        <w:t xml:space="preserve">ten </w:t>
      </w:r>
      <w:r w:rsidRPr="002344E6">
        <w:t>och då även riksdag</w:t>
      </w:r>
      <w:r w:rsidR="00BD20E6" w:rsidRPr="002344E6">
        <w:t>en</w:t>
      </w:r>
      <w:r w:rsidRPr="002344E6">
        <w:t xml:space="preserve"> ska</w:t>
      </w:r>
      <w:r w:rsidR="001E20AA" w:rsidRPr="002344E6">
        <w:t>ll</w:t>
      </w:r>
      <w:r w:rsidRPr="002344E6">
        <w:t xml:space="preserve"> kunna följa kommissionens arbete</w:t>
      </w:r>
      <w:r w:rsidR="00A96DF8" w:rsidRPr="002344E6">
        <w:t>,</w:t>
      </w:r>
      <w:r w:rsidRPr="002344E6">
        <w:t xml:space="preserve"> och </w:t>
      </w:r>
      <w:r w:rsidR="00BD20E6" w:rsidRPr="002344E6">
        <w:t>i för</w:t>
      </w:r>
      <w:r w:rsidR="00BD20E6" w:rsidRPr="002344E6">
        <w:t>e</w:t>
      </w:r>
      <w:r w:rsidR="00BD20E6" w:rsidRPr="002344E6">
        <w:t xml:space="preserve">kommande fall </w:t>
      </w:r>
      <w:r w:rsidRPr="002344E6">
        <w:t>även kunna avge reaktioner och synpunkter till kommissionen</w:t>
      </w:r>
      <w:r w:rsidR="00BD20E6" w:rsidRPr="002344E6">
        <w:t xml:space="preserve"> under det nya konsultationsförfara</w:t>
      </w:r>
      <w:r w:rsidR="00BD20E6" w:rsidRPr="002344E6">
        <w:t>n</w:t>
      </w:r>
      <w:r w:rsidR="00BD20E6" w:rsidRPr="002344E6">
        <w:t xml:space="preserve">det. Väsentligt är </w:t>
      </w:r>
      <w:r w:rsidR="00A96DF8" w:rsidRPr="002344E6">
        <w:t>också</w:t>
      </w:r>
      <w:r w:rsidR="00BD20E6" w:rsidRPr="002344E6">
        <w:t xml:space="preserve"> att dokumenten översätts så snabbt som möjligt så att parlamenten kan tillgodogöra sig öve</w:t>
      </w:r>
      <w:r w:rsidR="00BD20E6" w:rsidRPr="002344E6">
        <w:t>r</w:t>
      </w:r>
      <w:r w:rsidR="00BD20E6" w:rsidRPr="002344E6">
        <w:t>sättningarna när de behandlar kommi</w:t>
      </w:r>
      <w:r w:rsidR="00BD20E6" w:rsidRPr="002344E6">
        <w:t>s</w:t>
      </w:r>
      <w:r w:rsidR="00BD20E6" w:rsidRPr="002344E6">
        <w:t>sionsdokument.</w:t>
      </w:r>
    </w:p>
    <w:p w:rsidR="00142299" w:rsidRPr="002344E6" w:rsidRDefault="00A96DF8" w:rsidP="00416999">
      <w:pPr>
        <w:pStyle w:val="Normaltindrag"/>
      </w:pPr>
      <w:r w:rsidRPr="002344E6">
        <w:t>I övrigt vill EU-nämnden</w:t>
      </w:r>
      <w:r w:rsidR="00C505AF" w:rsidRPr="002344E6">
        <w:t>, när det gäller rådsdokument,</w:t>
      </w:r>
      <w:r w:rsidRPr="002344E6">
        <w:t xml:space="preserve"> liksom tidigare starkt u</w:t>
      </w:r>
      <w:r w:rsidR="00B0312F" w:rsidRPr="002344E6">
        <w:t>nder</w:t>
      </w:r>
      <w:r w:rsidRPr="002344E6">
        <w:t>stryka vikten av att relevanta skriftliga u</w:t>
      </w:r>
      <w:r w:rsidR="00B0312F" w:rsidRPr="002344E6">
        <w:t>nderlag</w:t>
      </w:r>
      <w:r w:rsidRPr="002344E6">
        <w:t xml:space="preserve"> i form av texter på svenska finns til</w:t>
      </w:r>
      <w:r w:rsidRPr="002344E6">
        <w:t>l</w:t>
      </w:r>
      <w:r w:rsidRPr="002344E6">
        <w:t>gängliga inför EU-nämndens sam</w:t>
      </w:r>
      <w:r w:rsidR="00B0312F" w:rsidRPr="002344E6">
        <w:t>man</w:t>
      </w:r>
      <w:r w:rsidRPr="002344E6">
        <w:t>träden.</w:t>
      </w:r>
      <w:r w:rsidR="00BD20E6" w:rsidRPr="002344E6">
        <w:t xml:space="preserve"> </w:t>
      </w:r>
    </w:p>
    <w:p w:rsidR="009A2D51" w:rsidRPr="002344E6" w:rsidRDefault="00C505AF" w:rsidP="0026616E">
      <w:pPr>
        <w:spacing w:before="187"/>
      </w:pPr>
      <w:r w:rsidRPr="002344E6">
        <w:t>Stockholm</w:t>
      </w:r>
      <w:r w:rsidR="009A2D51" w:rsidRPr="002344E6">
        <w:t xml:space="preserve"> den </w:t>
      </w:r>
      <w:r w:rsidR="00095B62" w:rsidRPr="002344E6">
        <w:t xml:space="preserve">13 </w:t>
      </w:r>
      <w:r w:rsidR="00AE5539" w:rsidRPr="002344E6">
        <w:t>april 2007</w:t>
      </w:r>
      <w:r w:rsidR="009A2D51" w:rsidRPr="002344E6">
        <w:t xml:space="preserve"> </w:t>
      </w:r>
    </w:p>
    <w:p w:rsidR="009A2D51" w:rsidRPr="002344E6" w:rsidRDefault="009A2D51" w:rsidP="00416999">
      <w:r w:rsidRPr="002344E6">
        <w:t xml:space="preserve">På </w:t>
      </w:r>
      <w:r w:rsidR="00CC5826" w:rsidRPr="002344E6">
        <w:t>EU</w:t>
      </w:r>
      <w:r w:rsidRPr="002344E6">
        <w:t>-nämndens vägnar</w:t>
      </w:r>
    </w:p>
    <w:p w:rsidR="0026616E" w:rsidRPr="002344E6" w:rsidRDefault="0026616E" w:rsidP="0026616E">
      <w:pPr>
        <w:pStyle w:val="Ordfranden"/>
        <w:rPr>
          <w:noProof w:val="0"/>
        </w:rPr>
      </w:pPr>
      <w:bookmarkStart w:id="45" w:name="Ordförande"/>
      <w:bookmarkEnd w:id="45"/>
      <w:r w:rsidRPr="002344E6">
        <w:rPr>
          <w:noProof w:val="0"/>
        </w:rPr>
        <w:t>Anna Kinberg Bat</w:t>
      </w:r>
      <w:r w:rsidR="00F74F70" w:rsidRPr="002344E6">
        <w:rPr>
          <w:noProof w:val="0"/>
        </w:rPr>
        <w:t>ra</w:t>
      </w:r>
    </w:p>
    <w:p w:rsidR="0026616E" w:rsidRPr="002344E6" w:rsidRDefault="0026616E" w:rsidP="0026616E">
      <w:pPr>
        <w:pStyle w:val="Deltagare"/>
        <w:rPr>
          <w:noProof w:val="0"/>
        </w:rPr>
      </w:pPr>
    </w:p>
    <w:p w:rsidR="0026616E" w:rsidRPr="002344E6" w:rsidRDefault="0026616E" w:rsidP="0026616E">
      <w:pPr>
        <w:pStyle w:val="Deltagare"/>
        <w:rPr>
          <w:noProof w:val="0"/>
        </w:rPr>
      </w:pPr>
      <w:r w:rsidRPr="002344E6">
        <w:rPr>
          <w:noProof w:val="0"/>
        </w:rPr>
        <w:t xml:space="preserve">Följande ledamöter </w:t>
      </w:r>
      <w:r w:rsidR="009953C2" w:rsidRPr="002344E6">
        <w:rPr>
          <w:noProof w:val="0"/>
        </w:rPr>
        <w:t xml:space="preserve">har deltagit i beslutet: </w:t>
      </w:r>
      <w:r w:rsidR="005B2924" w:rsidRPr="002344E6">
        <w:rPr>
          <w:noProof w:val="0"/>
        </w:rPr>
        <w:t>Anna Ki</w:t>
      </w:r>
      <w:r w:rsidR="00BC1037" w:rsidRPr="002344E6">
        <w:rPr>
          <w:noProof w:val="0"/>
        </w:rPr>
        <w:t xml:space="preserve">nberg Batra (m), </w:t>
      </w:r>
      <w:r w:rsidR="00B72E89" w:rsidRPr="002344E6">
        <w:rPr>
          <w:noProof w:val="0"/>
        </w:rPr>
        <w:t xml:space="preserve">Susanne Eberstein (s), </w:t>
      </w:r>
      <w:r w:rsidR="009953C2" w:rsidRPr="002344E6">
        <w:rPr>
          <w:noProof w:val="0"/>
        </w:rPr>
        <w:t xml:space="preserve">Björn Hamilton (m), </w:t>
      </w:r>
      <w:r w:rsidR="00B72E89" w:rsidRPr="002344E6">
        <w:rPr>
          <w:noProof w:val="0"/>
        </w:rPr>
        <w:t xml:space="preserve">Sonia Karlsson (s), Staffan Danielsson (c), </w:t>
      </w:r>
      <w:r w:rsidR="009953C2" w:rsidRPr="002344E6">
        <w:rPr>
          <w:noProof w:val="0"/>
        </w:rPr>
        <w:t>Peder Wachtmeister (m), Sofia A</w:t>
      </w:r>
      <w:r w:rsidR="00B72E89" w:rsidRPr="002344E6">
        <w:rPr>
          <w:noProof w:val="0"/>
        </w:rPr>
        <w:t>rkelsten (m), Karl Sigfrid (m),</w:t>
      </w:r>
      <w:r w:rsidR="009953C2" w:rsidRPr="002344E6">
        <w:rPr>
          <w:noProof w:val="0"/>
        </w:rPr>
        <w:t xml:space="preserve"> Hillevi Larsson (s), </w:t>
      </w:r>
      <w:r w:rsidR="00B72E89" w:rsidRPr="002344E6">
        <w:rPr>
          <w:noProof w:val="0"/>
        </w:rPr>
        <w:t>Ingvar Svensson (kd), Mehmet Kapl</w:t>
      </w:r>
      <w:r w:rsidR="00BC1037" w:rsidRPr="002344E6">
        <w:rPr>
          <w:noProof w:val="0"/>
        </w:rPr>
        <w:t>an (mp), Christina Axelsson (s) och</w:t>
      </w:r>
      <w:r w:rsidR="00B72E89" w:rsidRPr="002344E6">
        <w:rPr>
          <w:noProof w:val="0"/>
        </w:rPr>
        <w:t xml:space="preserve"> Lars Tysklind (fp).</w:t>
      </w:r>
    </w:p>
    <w:p w:rsidR="009A2D51" w:rsidRPr="002344E6" w:rsidRDefault="009A2D51" w:rsidP="00416999">
      <w:pPr>
        <w:pStyle w:val="Normaltindrag"/>
      </w:pPr>
      <w:bookmarkStart w:id="46" w:name="Deltagare"/>
      <w:bookmarkEnd w:id="46"/>
    </w:p>
    <w:p w:rsidR="0071796B" w:rsidRPr="002344E6" w:rsidRDefault="0071796B" w:rsidP="0071796B">
      <w:pPr>
        <w:sectPr w:rsidR="0071796B" w:rsidRPr="002344E6" w:rsidSect="00117A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  <w:bookmarkStart w:id="47" w:name="Temp"/>
      <w:bookmarkEnd w:id="47"/>
    </w:p>
    <w:p w:rsidR="009A2D51" w:rsidRPr="002344E6" w:rsidRDefault="009A2D51" w:rsidP="00E273B3">
      <w:pPr>
        <w:pStyle w:val="R1"/>
      </w:pPr>
      <w:r w:rsidRPr="002344E6">
        <w:t>Innehållsförteckning</w:t>
      </w:r>
    </w:p>
    <w:p w:rsidR="00910C57" w:rsidRPr="002344E6" w:rsidRDefault="00910C57">
      <w:pPr>
        <w:pStyle w:val="Innehll1"/>
        <w:rPr>
          <w:sz w:val="24"/>
          <w:szCs w:val="24"/>
        </w:rPr>
      </w:pPr>
      <w:r w:rsidRPr="002344E6">
        <w:t>Regeringens skrivelse</w:t>
      </w:r>
      <w:r w:rsidRPr="002344E6">
        <w:tab/>
        <w:t>1</w:t>
      </w:r>
    </w:p>
    <w:p w:rsidR="00910C57" w:rsidRPr="002344E6" w:rsidRDefault="00910C57">
      <w:pPr>
        <w:pStyle w:val="Innehll1"/>
        <w:rPr>
          <w:sz w:val="24"/>
          <w:szCs w:val="24"/>
        </w:rPr>
      </w:pPr>
      <w:r w:rsidRPr="002344E6">
        <w:t>EU-nämnden</w:t>
      </w:r>
      <w:r w:rsidRPr="002344E6">
        <w:tab/>
        <w:t>2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Allmänna synpunkter på innehållet i skrivelsen</w:t>
      </w:r>
      <w:r w:rsidRPr="002344E6">
        <w:tab/>
        <w:t>2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Den övergripande utvecklingen i Europeiska unionen (del 1)</w:t>
      </w:r>
      <w:r w:rsidRPr="002344E6">
        <w:tab/>
        <w:t>4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EU:s förbindelser med omvärlden (del 2)</w:t>
      </w:r>
      <w:r w:rsidRPr="002344E6">
        <w:tab/>
        <w:t>5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Ekonomiska och finansiella frågor (del 3)</w:t>
      </w:r>
      <w:r w:rsidRPr="002344E6">
        <w:tab/>
        <w:t>6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Rättsliga och inrikes frågor (del 4)</w:t>
      </w:r>
      <w:r w:rsidRPr="002344E6">
        <w:tab/>
        <w:t>7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Sysselsättning och socialpolitik, hälso- och sjukvård, (del 5)</w:t>
      </w:r>
      <w:r w:rsidRPr="002344E6">
        <w:tab/>
        <w:t>8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Konkurrenskraftsfrågor (del 6)</w:t>
      </w:r>
      <w:r w:rsidRPr="002344E6">
        <w:tab/>
        <w:t>9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Transporter, elektroniska kommunikationer och energi (del 7)</w:t>
      </w:r>
      <w:r w:rsidRPr="002344E6">
        <w:tab/>
        <w:t>9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Jordbruk och fiske och livsmedel (del 8)</w:t>
      </w:r>
      <w:r w:rsidRPr="002344E6">
        <w:tab/>
        <w:t>10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Miljö (del 9)</w:t>
      </w:r>
      <w:r w:rsidRPr="002344E6">
        <w:tab/>
        <w:t>10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Utbildning, ungdom och kultur (del 10)</w:t>
      </w:r>
      <w:r w:rsidRPr="002344E6">
        <w:tab/>
        <w:t>10</w:t>
      </w:r>
    </w:p>
    <w:p w:rsidR="00910C57" w:rsidRPr="002344E6" w:rsidRDefault="00910C57">
      <w:pPr>
        <w:pStyle w:val="Innehll2"/>
        <w:rPr>
          <w:sz w:val="24"/>
          <w:szCs w:val="24"/>
        </w:rPr>
      </w:pPr>
      <w:r w:rsidRPr="002344E6">
        <w:t>EU:s institutioner m.m. (del 11)</w:t>
      </w:r>
      <w:r w:rsidRPr="002344E6">
        <w:tab/>
        <w:t>10</w:t>
      </w:r>
    </w:p>
    <w:p w:rsidR="00D606CE" w:rsidRPr="002344E6" w:rsidRDefault="00D606CE" w:rsidP="00416999"/>
    <w:p w:rsidR="0078139E" w:rsidRPr="002344E6" w:rsidRDefault="0078139E" w:rsidP="0078139E">
      <w:pPr>
        <w:pStyle w:val="Tryckort"/>
        <w:framePr w:wrap="around"/>
        <w:jc w:val="right"/>
      </w:pPr>
      <w:r w:rsidRPr="002344E6">
        <w:t>Elanders,Vällingby 2007</w:t>
      </w:r>
    </w:p>
    <w:p w:rsidR="009A2D51" w:rsidRPr="002344E6" w:rsidRDefault="009A2D51" w:rsidP="00D606CE">
      <w:pPr>
        <w:pStyle w:val="Normaltindrag"/>
      </w:pPr>
    </w:p>
    <w:sectPr w:rsidR="009A2D51" w:rsidRPr="002344E6" w:rsidSect="00D606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DDC" w:rsidRPr="002344E6" w:rsidRDefault="00610DDC">
      <w:r w:rsidRPr="002344E6">
        <w:separator/>
      </w:r>
    </w:p>
  </w:endnote>
  <w:endnote w:type="continuationSeparator" w:id="0">
    <w:p w:rsidR="00610DDC" w:rsidRPr="002344E6" w:rsidRDefault="00610DDC">
      <w:r w:rsidRPr="002344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V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t>2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H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t>3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V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if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2344E6">
      <w:rPr>
        <w:noProof/>
      </w:rPr>
      <w:instrText>1</w:instrText>
    </w:r>
    <w:r w:rsidRPr="002344E6">
      <w:fldChar w:fldCharType="end"/>
    </w:r>
    <w:r w:rsidRPr="002344E6">
      <w:instrText xml:space="preserve">/2 </w:instrText>
    </w:r>
    <w:r w:rsidRPr="002344E6">
      <w:fldChar w:fldCharType="separate"/>
    </w:r>
    <w:r w:rsidR="002344E6">
      <w:rPr>
        <w:noProof/>
      </w:rPr>
      <w:instrText>0,5</w:instrText>
    </w:r>
    <w:r w:rsidRPr="002344E6">
      <w:fldChar w:fldCharType="end"/>
    </w:r>
    <w:r w:rsidRPr="002344E6">
      <w:instrText xml:space="preserve"> - </w:instrText>
    </w:r>
    <w:r w:rsidRPr="002344E6">
      <w:fldChar w:fldCharType="begin" w:fldLock="1"/>
    </w:r>
    <w:r w:rsidRPr="002344E6">
      <w:instrText xml:space="preserve"> = int(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2344E6">
      <w:rPr>
        <w:noProof/>
      </w:rPr>
      <w:instrText>1</w:instrText>
    </w:r>
    <w:r w:rsidRPr="002344E6">
      <w:fldChar w:fldCharType="end"/>
    </w:r>
    <w:r w:rsidRPr="002344E6">
      <w:instrText xml:space="preserve">/2) </w:instrText>
    </w:r>
    <w:r w:rsidRPr="002344E6">
      <w:fldChar w:fldCharType="separate"/>
    </w:r>
    <w:r w:rsidR="002344E6">
      <w:rPr>
        <w:noProof/>
      </w:rPr>
      <w:instrText>0</w:instrText>
    </w:r>
    <w:r w:rsidRPr="002344E6">
      <w:fldChar w:fldCharType="end"/>
    </w:r>
    <w:r w:rsidRPr="002344E6">
      <w:fldChar w:fldCharType="separate"/>
    </w:r>
    <w:r w:rsidR="002344E6">
      <w:rPr>
        <w:noProof/>
      </w:rPr>
      <w:instrText>0,5</w:instrText>
    </w:r>
    <w:r w:rsidRPr="002344E6">
      <w:fldChar w:fldCharType="end"/>
    </w:r>
    <w:r w:rsidRPr="002344E6">
      <w:instrText xml:space="preserve"> = 0 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instrText>14</w:instrText>
    </w:r>
    <w:r w:rsidRPr="002344E6">
      <w:fldChar w:fldCharType="end"/>
    </w:r>
  </w:p>
  <w:p w:rsidR="00333D84" w:rsidRPr="002344E6" w:rsidRDefault="00333D84">
    <w:pPr>
      <w:pStyle w:val="SidfotH"/>
      <w:framePr w:w="8732" w:h="284" w:hRule="exact" w:hSpace="0" w:vSpace="0" w:wrap="around" w:xAlign="inside" w:y="13042" w:anchorLock="0"/>
    </w:pPr>
    <w:r w:rsidRPr="002344E6">
      <w:instrText>""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="002344E6">
      <w:rPr>
        <w:noProof/>
      </w:rPr>
      <w:instrText>1</w:instrText>
    </w:r>
    <w:r w:rsidRPr="002344E6">
      <w:fldChar w:fldCharType="end"/>
    </w:r>
    <w:r w:rsidRPr="002344E6">
      <w:instrText>"</w:instrText>
    </w:r>
    <w:r w:rsidRPr="002344E6">
      <w:fldChar w:fldCharType="separate"/>
    </w:r>
    <w:r w:rsidR="002344E6">
      <w:rPr>
        <w:noProof/>
      </w:rPr>
      <w:t>1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 w:rsidP="0071796B">
    <w:pPr>
      <w:pStyle w:val="SidfotV"/>
      <w:framePr w:w="8957" w:h="283" w:hRule="exact" w:hSpace="0" w:vSpace="0" w:wrap="around" w:xAlign="inside" w:y="13040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="004C5922" w:rsidRPr="002344E6">
      <w:t>14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 w:rsidP="0071796B">
    <w:pPr>
      <w:pStyle w:val="SidfotH"/>
      <w:framePr w:w="8957" w:h="283" w:hRule="exact" w:hSpace="0" w:vSpace="0" w:wrap="around" w:xAlign="inside" w:y="13040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="004C5922" w:rsidRPr="002344E6">
      <w:t>13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 w:rsidP="0071796B">
    <w:pPr>
      <w:pStyle w:val="SidfotV"/>
      <w:framePr w:w="8957" w:h="283" w:hRule="exact" w:hSpace="0" w:vSpace="0" w:wrap="around" w:xAlign="inside" w:y="13040" w:anchorLock="0"/>
    </w:pPr>
    <w:r w:rsidRPr="002344E6">
      <w:fldChar w:fldCharType="begin" w:fldLock="1"/>
    </w:r>
    <w:r w:rsidRPr="002344E6">
      <w:instrText xml:space="preserve"> if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4C5922" w:rsidRPr="002344E6">
      <w:instrText>2</w:instrText>
    </w:r>
    <w:r w:rsidRPr="002344E6">
      <w:fldChar w:fldCharType="end"/>
    </w:r>
    <w:r w:rsidRPr="002344E6">
      <w:instrText xml:space="preserve">/2 </w:instrText>
    </w:r>
    <w:r w:rsidRPr="002344E6">
      <w:fldChar w:fldCharType="separate"/>
    </w:r>
    <w:r w:rsidR="004C5922" w:rsidRPr="002344E6">
      <w:instrText>1</w:instrText>
    </w:r>
    <w:r w:rsidRPr="002344E6">
      <w:fldChar w:fldCharType="end"/>
    </w:r>
    <w:r w:rsidRPr="002344E6">
      <w:instrText xml:space="preserve"> - </w:instrText>
    </w:r>
    <w:r w:rsidRPr="002344E6">
      <w:fldChar w:fldCharType="begin" w:fldLock="1"/>
    </w:r>
    <w:r w:rsidRPr="002344E6">
      <w:instrText xml:space="preserve"> = int(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4C5922" w:rsidRPr="002344E6">
      <w:instrText>2</w:instrText>
    </w:r>
    <w:r w:rsidRPr="002344E6">
      <w:fldChar w:fldCharType="end"/>
    </w:r>
    <w:r w:rsidRPr="002344E6">
      <w:instrText xml:space="preserve">/2) </w:instrText>
    </w:r>
    <w:r w:rsidRPr="002344E6">
      <w:fldChar w:fldCharType="separate"/>
    </w:r>
    <w:r w:rsidR="004C5922" w:rsidRPr="002344E6">
      <w:instrText>1</w:instrText>
    </w:r>
    <w:r w:rsidRPr="002344E6">
      <w:fldChar w:fldCharType="end"/>
    </w:r>
    <w:r w:rsidRPr="002344E6">
      <w:fldChar w:fldCharType="separate"/>
    </w:r>
    <w:r w:rsidR="004C5922" w:rsidRPr="002344E6">
      <w:instrText>0</w:instrText>
    </w:r>
    <w:r w:rsidRPr="002344E6">
      <w:fldChar w:fldCharType="end"/>
    </w:r>
    <w:r w:rsidRPr="002344E6">
      <w:instrText xml:space="preserve"> = 0 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="004C5922" w:rsidRPr="002344E6">
      <w:instrText>2</w:instrText>
    </w:r>
    <w:r w:rsidRPr="002344E6">
      <w:fldChar w:fldCharType="end"/>
    </w:r>
  </w:p>
  <w:p w:rsidR="004C5922" w:rsidRPr="002344E6" w:rsidRDefault="00333D84" w:rsidP="0071796B">
    <w:pPr>
      <w:pStyle w:val="SidfotV"/>
      <w:framePr w:w="8957" w:h="283" w:hRule="exact" w:hSpace="0" w:vSpace="0" w:wrap="around" w:xAlign="inside" w:y="13040" w:anchorLock="0"/>
    </w:pPr>
    <w:r w:rsidRPr="002344E6">
      <w:instrText>""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instrText>13</w:instrText>
    </w:r>
    <w:r w:rsidRPr="002344E6">
      <w:fldChar w:fldCharType="end"/>
    </w:r>
    <w:r w:rsidRPr="002344E6">
      <w:instrText>"</w:instrText>
    </w:r>
    <w:r w:rsidRPr="002344E6">
      <w:fldChar w:fldCharType="separate"/>
    </w:r>
    <w:r w:rsidR="004C5922" w:rsidRPr="002344E6">
      <w:t>2</w:t>
    </w:r>
  </w:p>
  <w:p w:rsidR="00333D84" w:rsidRPr="002344E6" w:rsidRDefault="00333D84" w:rsidP="0071796B">
    <w:pPr>
      <w:pStyle w:val="SidfotH"/>
      <w:framePr w:w="8957" w:h="283" w:hRule="exact" w:hSpace="0" w:vSpace="0" w:wrap="around" w:xAlign="inside" w:y="13040" w:anchorLock="0"/>
    </w:pPr>
    <w:r w:rsidRPr="002344E6">
      <w:fldChar w:fldCharType="end"/>
    </w:r>
  </w:p>
  <w:p w:rsidR="00333D84" w:rsidRPr="002344E6" w:rsidRDefault="00333D84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V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t>16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H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t>15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fotV"/>
      <w:framePr w:w="8732" w:h="284" w:hRule="exact" w:hSpace="0" w:vSpace="0" w:wrap="around" w:xAlign="inside" w:y="13042" w:anchorLock="0"/>
    </w:pPr>
    <w:r w:rsidRPr="002344E6">
      <w:fldChar w:fldCharType="begin" w:fldLock="1"/>
    </w:r>
    <w:r w:rsidRPr="002344E6">
      <w:instrText xml:space="preserve"> if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= 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4C5922" w:rsidRPr="002344E6">
      <w:instrText>15</w:instrText>
    </w:r>
    <w:r w:rsidRPr="002344E6">
      <w:fldChar w:fldCharType="end"/>
    </w:r>
    <w:r w:rsidRPr="002344E6">
      <w:instrText xml:space="preserve">/2 </w:instrText>
    </w:r>
    <w:r w:rsidRPr="002344E6">
      <w:fldChar w:fldCharType="separate"/>
    </w:r>
    <w:r w:rsidR="004C5922" w:rsidRPr="002344E6">
      <w:instrText>7,5</w:instrText>
    </w:r>
    <w:r w:rsidRPr="002344E6">
      <w:fldChar w:fldCharType="end"/>
    </w:r>
    <w:r w:rsidRPr="002344E6">
      <w:instrText xml:space="preserve"> - </w:instrText>
    </w:r>
    <w:r w:rsidRPr="002344E6">
      <w:fldChar w:fldCharType="begin" w:fldLock="1"/>
    </w:r>
    <w:r w:rsidRPr="002344E6">
      <w:instrText xml:space="preserve"> = int(</w:instrText>
    </w:r>
    <w:r w:rsidRPr="002344E6">
      <w:fldChar w:fldCharType="begin" w:fldLock="1"/>
    </w:r>
    <w:r w:rsidRPr="002344E6">
      <w:instrText xml:space="preserve"> page</w:instrText>
    </w:r>
    <w:r w:rsidRPr="002344E6">
      <w:fldChar w:fldCharType="separate"/>
    </w:r>
    <w:r w:rsidR="004C5922" w:rsidRPr="002344E6">
      <w:instrText>15</w:instrText>
    </w:r>
    <w:r w:rsidRPr="002344E6">
      <w:fldChar w:fldCharType="end"/>
    </w:r>
    <w:r w:rsidRPr="002344E6">
      <w:instrText xml:space="preserve">/2) </w:instrText>
    </w:r>
    <w:r w:rsidRPr="002344E6">
      <w:fldChar w:fldCharType="separate"/>
    </w:r>
    <w:r w:rsidR="004C5922" w:rsidRPr="002344E6">
      <w:instrText>7</w:instrText>
    </w:r>
    <w:r w:rsidRPr="002344E6">
      <w:fldChar w:fldCharType="end"/>
    </w:r>
    <w:r w:rsidRPr="002344E6">
      <w:fldChar w:fldCharType="separate"/>
    </w:r>
    <w:r w:rsidR="004C5922" w:rsidRPr="002344E6">
      <w:instrText>0,5</w:instrText>
    </w:r>
    <w:r w:rsidRPr="002344E6">
      <w:fldChar w:fldCharType="end"/>
    </w:r>
    <w:r w:rsidRPr="002344E6">
      <w:instrText xml:space="preserve"> = 0 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Pr="002344E6">
      <w:instrText>14</w:instrText>
    </w:r>
    <w:r w:rsidRPr="002344E6">
      <w:fldChar w:fldCharType="end"/>
    </w:r>
  </w:p>
  <w:p w:rsidR="00333D84" w:rsidRPr="002344E6" w:rsidRDefault="00333D84">
    <w:pPr>
      <w:pStyle w:val="SidfotH"/>
      <w:framePr w:w="8732" w:h="284" w:hRule="exact" w:hSpace="0" w:vSpace="0" w:wrap="around" w:xAlign="inside" w:y="13042" w:anchorLock="0"/>
    </w:pPr>
    <w:r w:rsidRPr="002344E6">
      <w:instrText>""</w:instrText>
    </w:r>
    <w:r w:rsidRPr="002344E6">
      <w:fldChar w:fldCharType="begin" w:fldLock="1"/>
    </w:r>
    <w:r w:rsidRPr="002344E6">
      <w:instrText xml:space="preserve"> P</w:instrText>
    </w:r>
    <w:r w:rsidRPr="002344E6">
      <w:instrText>A</w:instrText>
    </w:r>
    <w:r w:rsidRPr="002344E6">
      <w:instrText xml:space="preserve">GE </w:instrText>
    </w:r>
    <w:r w:rsidRPr="002344E6">
      <w:fldChar w:fldCharType="separate"/>
    </w:r>
    <w:r w:rsidR="004C5922" w:rsidRPr="002344E6">
      <w:instrText>15</w:instrText>
    </w:r>
    <w:r w:rsidRPr="002344E6">
      <w:fldChar w:fldCharType="end"/>
    </w:r>
    <w:r w:rsidRPr="002344E6">
      <w:instrText>"</w:instrText>
    </w:r>
    <w:r w:rsidRPr="002344E6">
      <w:fldChar w:fldCharType="separate"/>
    </w:r>
    <w:r w:rsidR="004C5922" w:rsidRPr="002344E6">
      <w:t>15</w:t>
    </w:r>
    <w:r w:rsidRPr="002344E6">
      <w:fldChar w:fldCharType="end"/>
    </w:r>
  </w:p>
  <w:p w:rsidR="00333D84" w:rsidRPr="002344E6" w:rsidRDefault="00333D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DDC" w:rsidRPr="002344E6" w:rsidRDefault="00610DDC">
      <w:r w:rsidRPr="002344E6">
        <w:separator/>
      </w:r>
    </w:p>
  </w:footnote>
  <w:footnote w:type="continuationSeparator" w:id="0">
    <w:p w:rsidR="00610DDC" w:rsidRPr="002344E6" w:rsidRDefault="00610DDC">
      <w:r w:rsidRPr="002344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huvudKantJmn"/>
      <w:framePr w:w="8732" w:h="567" w:hRule="exact" w:vSpace="0" w:wrap="around" w:vAnchor="page" w:y="341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BetänkandeÅr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2006/07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t>: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Utskott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EUN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BetänkandeNr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1y</w:t>
    </w:r>
    <w:r w:rsidRPr="002344E6">
      <w:rPr>
        <w:rStyle w:val="SidhuvudUtskott"/>
      </w:rPr>
      <w:fldChar w:fldCharType="end"/>
    </w:r>
    <w:r w:rsidRPr="002344E6">
      <w:t xml:space="preserve">     </w:t>
    </w:r>
    <w:r w:rsidRPr="002344E6">
      <w:rPr>
        <w:rStyle w:val="SidhuvudBilaga"/>
      </w:rPr>
      <w:t xml:space="preserve"> </w:t>
    </w:r>
    <w:r w:rsidRPr="002344E6">
      <w:rPr>
        <w:rStyle w:val="SidhuvudRubrikReferens"/>
      </w:rPr>
      <w:fldChar w:fldCharType="begin" w:fldLock="1"/>
    </w:r>
    <w:r w:rsidRPr="002344E6">
      <w:rPr>
        <w:rStyle w:val="SidhuvudRubrikReferens"/>
      </w:rPr>
      <w:instrText xml:space="preserve"> StyleREF "Rubrik 1" </w:instrText>
    </w:r>
    <w:r w:rsidRPr="002344E6">
      <w:rPr>
        <w:rStyle w:val="SidhuvudRubrikReferens"/>
      </w:rPr>
      <w:fldChar w:fldCharType="separate"/>
    </w:r>
    <w:r w:rsidRPr="002344E6">
      <w:rPr>
        <w:rStyle w:val="SidhuvudRubrikReferens"/>
      </w:rPr>
      <w:t>Regeringens skrivelse</w:t>
    </w:r>
    <w:r w:rsidRPr="002344E6">
      <w:rPr>
        <w:rStyle w:val="SidhuvudRubrikReferens"/>
      </w:rPr>
      <w:fldChar w:fldCharType="end"/>
    </w:r>
  </w:p>
  <w:p w:rsidR="00333D84" w:rsidRPr="002344E6" w:rsidRDefault="00333D84">
    <w:pPr>
      <w:pStyle w:val="SidhuvudKantJmn"/>
      <w:framePr w:w="8732" w:h="567" w:hRule="exact" w:vSpace="0" w:wrap="around" w:vAnchor="page" w:y="341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Status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if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"UtkastDatum"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Nej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 = "Ja" "   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PRINTDATE \@ "yyyy-MM-dd HH.mm" 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2000-08-11 16.42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" </w:instrText>
    </w:r>
    <w:r w:rsidRPr="002344E6">
      <w:rPr>
        <w:rStyle w:val="SidhuvudUtskott"/>
      </w:rPr>
      <w:fldChar w:fldCharType="end"/>
    </w:r>
  </w:p>
  <w:p w:rsidR="00333D84" w:rsidRPr="002344E6" w:rsidRDefault="00333D84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huvudKantUdda"/>
      <w:framePr w:w="8732" w:h="567" w:hRule="exact" w:vSpace="0" w:wrap="around" w:vAnchor="page" w:y="341" w:anchorLock="0"/>
    </w:pPr>
    <w:r w:rsidRPr="002344E6">
      <w:rPr>
        <w:rStyle w:val="SidhuvudRubrikReferens"/>
      </w:rPr>
      <w:fldChar w:fldCharType="begin" w:fldLock="1"/>
    </w:r>
    <w:r w:rsidRPr="002344E6">
      <w:rPr>
        <w:rStyle w:val="SidhuvudRubrikReferens"/>
      </w:rPr>
      <w:instrText xml:space="preserve"> StyleREF "Rubrik 1" </w:instrText>
    </w:r>
    <w:r w:rsidRPr="002344E6">
      <w:rPr>
        <w:rStyle w:val="SidhuvudRubrikReferens"/>
      </w:rPr>
      <w:fldChar w:fldCharType="separate"/>
    </w:r>
    <w:r w:rsidRPr="002344E6">
      <w:rPr>
        <w:rStyle w:val="SidhuvudRubrikReferens"/>
      </w:rPr>
      <w:t>Regeringens skrivelse</w:t>
    </w:r>
    <w:r w:rsidRPr="002344E6">
      <w:rPr>
        <w:rStyle w:val="SidhuvudRubrikReferens"/>
      </w:rPr>
      <w:fldChar w:fldCharType="end"/>
    </w:r>
    <w:r w:rsidRPr="002344E6">
      <w:rPr>
        <w:rStyle w:val="SidhuvudBilaga"/>
      </w:rPr>
      <w:t xml:space="preserve"> </w:t>
    </w:r>
    <w:r w:rsidRPr="002344E6">
      <w:t xml:space="preserve">     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BetänkandeÅr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2006/07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t>: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</w:instrText>
    </w:r>
    <w:r w:rsidRPr="002344E6">
      <w:instrText xml:space="preserve"> </w:instrText>
    </w:r>
    <w:r w:rsidRPr="002344E6">
      <w:rPr>
        <w:rStyle w:val="SidhuvudUtskott"/>
      </w:rPr>
      <w:instrText>Utskott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EUN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</w:instrText>
    </w:r>
    <w:r w:rsidRPr="002344E6">
      <w:rPr>
        <w:rStyle w:val="SidhuvudUtskott"/>
      </w:rPr>
      <w:instrText>n</w:instrText>
    </w:r>
    <w:r w:rsidRPr="002344E6">
      <w:rPr>
        <w:rStyle w:val="SidhuvudUtskott"/>
      </w:rPr>
      <w:instrText>kandeNr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1y</w:t>
    </w:r>
    <w:r w:rsidRPr="002344E6">
      <w:rPr>
        <w:rStyle w:val="SidhuvudUtskott"/>
      </w:rPr>
      <w:fldChar w:fldCharType="end"/>
    </w:r>
  </w:p>
  <w:p w:rsidR="00333D84" w:rsidRPr="002344E6" w:rsidRDefault="00333D84">
    <w:pPr>
      <w:pStyle w:val="SidhuvudKantUdda"/>
      <w:framePr w:w="8732" w:h="567" w:hRule="exact" w:vSpace="0" w:wrap="around" w:vAnchor="page" w:y="341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if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"UtkastDatum"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Nej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 = "Ja" "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PRINTDATE \@ "yyyy-MM-dd HH.mm    " 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2000-08-11 16.42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" 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</w:instrText>
    </w:r>
    <w:r w:rsidRPr="002344E6">
      <w:rPr>
        <w:rStyle w:val="SidhuvudUtskott"/>
      </w:rPr>
      <w:instrText>O</w:instrText>
    </w:r>
    <w:r w:rsidRPr="002344E6">
      <w:rPr>
        <w:rStyle w:val="SidhuvudUtskott"/>
      </w:rPr>
      <w:instrText>PERTY Status</w:instrText>
    </w:r>
    <w:r w:rsidRPr="002344E6">
      <w:rPr>
        <w:rStyle w:val="SidhuvudUtskott"/>
      </w:rPr>
      <w:fldChar w:fldCharType="end"/>
    </w:r>
  </w:p>
  <w:p w:rsidR="00333D84" w:rsidRPr="002344E6" w:rsidRDefault="00333D84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4C5922">
    <w:pPr>
      <w:pStyle w:val="SidhuvudKantUdda"/>
      <w:framePr w:w="8732" w:h="567" w:hRule="exact" w:vSpace="0" w:wrap="around" w:vAnchor="page" w:y="341" w:anchorLock="0"/>
    </w:pPr>
    <w:r w:rsidRPr="002344E6">
      <w:t xml:space="preserve"> </w:t>
    </w:r>
  </w:p>
  <w:p w:rsidR="00333D84" w:rsidRPr="002344E6" w:rsidRDefault="00333D84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 w:rsidP="0071796B">
    <w:pPr>
      <w:pStyle w:val="SidhuvudKantJmn"/>
      <w:framePr w:w="8731" w:h="567" w:hRule="exact" w:vSpace="0" w:wrap="around" w:vAnchor="page" w:y="341" w:anchorLock="0"/>
    </w:pPr>
    <w:r w:rsidRPr="002344E6">
      <w:rPr>
        <w:rStyle w:val="SidhuvudUtskott"/>
      </w:rPr>
      <w:t>2006/07:EUN1y</w:t>
    </w:r>
    <w:r w:rsidRPr="002344E6">
      <w:t xml:space="preserve">     </w:t>
    </w:r>
    <w:r w:rsidRPr="002344E6">
      <w:rPr>
        <w:rStyle w:val="SidhuvudBilaga"/>
      </w:rPr>
      <w:t xml:space="preserve"> </w:t>
    </w:r>
    <w:r w:rsidR="004C5922" w:rsidRPr="002344E6">
      <w:rPr>
        <w:rStyle w:val="SidhuvudRubrikReferens"/>
      </w:rPr>
      <w:t>EU-nämnden</w:t>
    </w:r>
  </w:p>
  <w:p w:rsidR="00333D84" w:rsidRPr="002344E6" w:rsidRDefault="00333D84" w:rsidP="0071796B">
    <w:pPr>
      <w:pStyle w:val="SidhuvudKantJmn"/>
      <w:framePr w:w="8731" w:h="567" w:hRule="exact" w:vSpace="0" w:wrap="around" w:vAnchor="page" w:y="341" w:anchorLock="0"/>
    </w:pPr>
  </w:p>
  <w:p w:rsidR="00333D84" w:rsidRPr="002344E6" w:rsidRDefault="00333D84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4C5922" w:rsidP="0071796B">
    <w:pPr>
      <w:pStyle w:val="SidhuvudKantUdda"/>
      <w:framePr w:w="8731" w:h="567" w:hRule="exact" w:vSpace="0" w:wrap="around" w:vAnchor="page" w:y="341" w:anchorLock="0"/>
    </w:pPr>
    <w:r w:rsidRPr="002344E6">
      <w:rPr>
        <w:rStyle w:val="SidhuvudRubrikReferens"/>
      </w:rPr>
      <w:t>EU-nämnden</w:t>
    </w:r>
    <w:r w:rsidR="00333D84" w:rsidRPr="002344E6">
      <w:rPr>
        <w:rStyle w:val="SidhuvudBilaga"/>
      </w:rPr>
      <w:t xml:space="preserve"> </w:t>
    </w:r>
    <w:r w:rsidR="00333D84" w:rsidRPr="002344E6">
      <w:t xml:space="preserve">     </w:t>
    </w:r>
    <w:r w:rsidR="00333D84" w:rsidRPr="002344E6">
      <w:rPr>
        <w:rStyle w:val="SidhuvudUtskott"/>
      </w:rPr>
      <w:t>2006/07:EUN1y</w:t>
    </w:r>
  </w:p>
  <w:p w:rsidR="00333D84" w:rsidRPr="002344E6" w:rsidRDefault="00333D84" w:rsidP="0071796B">
    <w:pPr>
      <w:pStyle w:val="SidhuvudKantUdda"/>
      <w:framePr w:w="8731" w:h="567" w:hRule="exact" w:vSpace="0" w:wrap="around" w:vAnchor="page" w:y="341" w:anchorLock="0"/>
    </w:pPr>
  </w:p>
  <w:p w:rsidR="00333D84" w:rsidRPr="002344E6" w:rsidRDefault="00333D84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922" w:rsidRPr="002344E6" w:rsidRDefault="004C5922" w:rsidP="0071796B">
    <w:pPr>
      <w:pStyle w:val="SidhuvudKantJmn"/>
      <w:framePr w:w="8731" w:h="567" w:hRule="exact" w:vSpace="0" w:wrap="around" w:vAnchor="page" w:y="341" w:anchorLock="0"/>
    </w:pPr>
    <w:r w:rsidRPr="002344E6">
      <w:rPr>
        <w:rStyle w:val="SidhuvudUtskott"/>
      </w:rPr>
      <w:t>2006/07:EUN1y</w:t>
    </w:r>
    <w:r w:rsidRPr="002344E6">
      <w:t xml:space="preserve">    </w:t>
    </w:r>
  </w:p>
  <w:p w:rsidR="004C5922" w:rsidRPr="002344E6" w:rsidRDefault="004C5922" w:rsidP="0071796B">
    <w:pPr>
      <w:pStyle w:val="SidhuvudKantJmn"/>
      <w:framePr w:w="8731" w:h="567" w:hRule="exact" w:vSpace="0" w:wrap="around" w:vAnchor="page" w:y="341" w:anchorLock="0"/>
    </w:pPr>
  </w:p>
  <w:p w:rsidR="00333D84" w:rsidRPr="002344E6" w:rsidRDefault="004C5922" w:rsidP="0071796B">
    <w:pPr>
      <w:pStyle w:val="SidhuvudKantUdda"/>
      <w:framePr w:w="8731" w:h="567" w:hRule="exact" w:vSpace="0" w:wrap="around" w:vAnchor="page" w:y="341" w:anchorLock="0"/>
    </w:pPr>
    <w:r w:rsidRPr="002344E6">
      <w:rPr>
        <w:rStyle w:val="SidhuvudRubrikReferens"/>
        <w:smallCaps w:val="0"/>
      </w:rPr>
      <w:t xml:space="preserve"> </w:t>
    </w:r>
  </w:p>
  <w:p w:rsidR="00333D84" w:rsidRPr="002344E6" w:rsidRDefault="00333D84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>
    <w:pPr>
      <w:pStyle w:val="SidhuvudKantJmn"/>
      <w:framePr w:w="8732" w:h="567" w:hRule="exact" w:vSpace="0" w:wrap="around" w:vAnchor="page" w:y="341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BetänkandeÅr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2006/07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t>: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Utskott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EUN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BetänkandeNr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1y</w:t>
    </w:r>
    <w:r w:rsidRPr="002344E6">
      <w:rPr>
        <w:rStyle w:val="SidhuvudUtskott"/>
      </w:rPr>
      <w:fldChar w:fldCharType="end"/>
    </w:r>
    <w:r w:rsidRPr="002344E6">
      <w:t xml:space="preserve">     </w:t>
    </w:r>
    <w:r w:rsidRPr="002344E6">
      <w:rPr>
        <w:rStyle w:val="SidhuvudBilaga"/>
      </w:rPr>
      <w:t xml:space="preserve"> </w:t>
    </w:r>
    <w:r w:rsidRPr="002344E6">
      <w:rPr>
        <w:rStyle w:val="SidhuvudRubrikReferens"/>
      </w:rPr>
      <w:fldChar w:fldCharType="begin" w:fldLock="1"/>
    </w:r>
    <w:r w:rsidRPr="002344E6">
      <w:rPr>
        <w:rStyle w:val="SidhuvudRubrikReferens"/>
      </w:rPr>
      <w:instrText xml:space="preserve"> StyleREF "Rubrik 1" </w:instrText>
    </w:r>
    <w:r w:rsidRPr="002344E6">
      <w:rPr>
        <w:rStyle w:val="SidhuvudRubrikReferens"/>
      </w:rPr>
      <w:fldChar w:fldCharType="separate"/>
    </w:r>
    <w:r w:rsidRPr="002344E6">
      <w:rPr>
        <w:rStyle w:val="SidhuvudRubrikReferens"/>
      </w:rPr>
      <w:t>EU-nämnden</w:t>
    </w:r>
    <w:r w:rsidRPr="002344E6">
      <w:rPr>
        <w:rStyle w:val="SidhuvudRubrikReferens"/>
      </w:rPr>
      <w:fldChar w:fldCharType="end"/>
    </w:r>
  </w:p>
  <w:p w:rsidR="00333D84" w:rsidRPr="002344E6" w:rsidRDefault="00333D84">
    <w:pPr>
      <w:pStyle w:val="SidhuvudKantJmn"/>
      <w:framePr w:w="8732" w:h="567" w:hRule="exact" w:vSpace="0" w:wrap="around" w:vAnchor="page" w:y="341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Status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if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"UtkastDatum"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Nej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 = "Ja" "   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PRINTDATE \@ "yyyy-MM-dd HH.mm" 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2000-08-11 16.42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" </w:instrText>
    </w:r>
    <w:r w:rsidRPr="002344E6">
      <w:rPr>
        <w:rStyle w:val="SidhuvudUtskott"/>
      </w:rPr>
      <w:fldChar w:fldCharType="end"/>
    </w:r>
  </w:p>
  <w:p w:rsidR="00333D84" w:rsidRPr="002344E6" w:rsidRDefault="00333D84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84" w:rsidRPr="002344E6" w:rsidRDefault="00333D84" w:rsidP="0071796B">
    <w:pPr>
      <w:pStyle w:val="SidhuvudKantUdda"/>
      <w:framePr w:w="8732" w:h="567" w:hRule="exact" w:vSpace="0" w:wrap="around" w:vAnchor="page" w:y="368" w:anchorLock="0"/>
    </w:pPr>
    <w:r w:rsidRPr="002344E6">
      <w:rPr>
        <w:rStyle w:val="SidhuvudRubrikReferens"/>
      </w:rPr>
      <w:fldChar w:fldCharType="begin" w:fldLock="1"/>
    </w:r>
    <w:r w:rsidRPr="002344E6">
      <w:rPr>
        <w:rStyle w:val="SidhuvudRubrikReferens"/>
      </w:rPr>
      <w:instrText xml:space="preserve"> StyleREF "Rubrik 1" </w:instrText>
    </w:r>
    <w:r w:rsidRPr="002344E6">
      <w:rPr>
        <w:rStyle w:val="SidhuvudRubrikReferens"/>
      </w:rPr>
      <w:fldChar w:fldCharType="separate"/>
    </w:r>
    <w:r w:rsidRPr="002344E6">
      <w:rPr>
        <w:rStyle w:val="SidhuvudRubrikReferens"/>
      </w:rPr>
      <w:t>EU-nämnden</w:t>
    </w:r>
    <w:r w:rsidRPr="002344E6">
      <w:rPr>
        <w:rStyle w:val="SidhuvudRubrikReferens"/>
      </w:rPr>
      <w:fldChar w:fldCharType="end"/>
    </w:r>
    <w:r w:rsidRPr="002344E6">
      <w:rPr>
        <w:rStyle w:val="SidhuvudBilaga"/>
      </w:rPr>
      <w:t xml:space="preserve"> </w:t>
    </w:r>
    <w:r w:rsidRPr="002344E6">
      <w:t xml:space="preserve">     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BetänkandeÅr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2006/07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t>:</w: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</w:instrText>
    </w:r>
    <w:r w:rsidRPr="002344E6">
      <w:instrText xml:space="preserve"> </w:instrText>
    </w:r>
    <w:r w:rsidRPr="002344E6">
      <w:rPr>
        <w:rStyle w:val="SidhuvudUtskott"/>
      </w:rPr>
      <w:instrText>Utskott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EUN</w: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Betä</w:instrText>
    </w:r>
    <w:r w:rsidRPr="002344E6">
      <w:rPr>
        <w:rStyle w:val="SidhuvudUtskott"/>
      </w:rPr>
      <w:instrText>n</w:instrText>
    </w:r>
    <w:r w:rsidRPr="002344E6">
      <w:rPr>
        <w:rStyle w:val="SidhuvudUtskott"/>
      </w:rPr>
      <w:instrText>kandeNr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t>1y</w:t>
    </w:r>
    <w:r w:rsidRPr="002344E6">
      <w:rPr>
        <w:rStyle w:val="SidhuvudUtskott"/>
      </w:rPr>
      <w:fldChar w:fldCharType="end"/>
    </w:r>
  </w:p>
  <w:p w:rsidR="00333D84" w:rsidRPr="002344E6" w:rsidRDefault="00333D84" w:rsidP="0071796B">
    <w:pPr>
      <w:pStyle w:val="SidhuvudKantUdda"/>
      <w:framePr w:w="8732" w:h="567" w:hRule="exact" w:vSpace="0" w:wrap="around" w:vAnchor="page" w:y="368" w:anchorLock="0"/>
    </w:pP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if 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DOCPROPERTY "UtkastDatum"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Nej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 = "Ja" "</w:instrText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PRINTDATE \@ "yyyy-MM-dd HH.mm    " </w:instrText>
    </w:r>
    <w:r w:rsidRPr="002344E6">
      <w:rPr>
        <w:rStyle w:val="SidhuvudUtskott"/>
      </w:rPr>
      <w:fldChar w:fldCharType="separate"/>
    </w:r>
    <w:r w:rsidRPr="002344E6">
      <w:rPr>
        <w:rStyle w:val="SidhuvudUtskott"/>
      </w:rPr>
      <w:instrText>2000-08-11 16.42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instrText xml:space="preserve">" </w:instrText>
    </w:r>
    <w:r w:rsidRPr="002344E6">
      <w:rPr>
        <w:rStyle w:val="SidhuvudUtskott"/>
      </w:rPr>
      <w:fldChar w:fldCharType="end"/>
    </w:r>
    <w:r w:rsidRPr="002344E6">
      <w:rPr>
        <w:rStyle w:val="SidhuvudUtskott"/>
      </w:rPr>
      <w:fldChar w:fldCharType="begin" w:fldLock="1"/>
    </w:r>
    <w:r w:rsidRPr="002344E6">
      <w:rPr>
        <w:rStyle w:val="SidhuvudUtskott"/>
      </w:rPr>
      <w:instrText xml:space="preserve"> DOCPR</w:instrText>
    </w:r>
    <w:r w:rsidRPr="002344E6">
      <w:rPr>
        <w:rStyle w:val="SidhuvudUtskott"/>
      </w:rPr>
      <w:instrText>O</w:instrText>
    </w:r>
    <w:r w:rsidRPr="002344E6">
      <w:rPr>
        <w:rStyle w:val="SidhuvudUtskott"/>
      </w:rPr>
      <w:instrText>PERTY Status</w:instrText>
    </w:r>
    <w:r w:rsidRPr="002344E6">
      <w:rPr>
        <w:rStyle w:val="SidhuvudUtskott"/>
      </w:rPr>
      <w:fldChar w:fldCharType="end"/>
    </w:r>
  </w:p>
  <w:p w:rsidR="00333D84" w:rsidRPr="002344E6" w:rsidRDefault="00333D84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922" w:rsidRPr="002344E6" w:rsidRDefault="004C5922">
    <w:pPr>
      <w:pStyle w:val="SidhuvudKantUdda"/>
      <w:framePr w:w="8732" w:h="567" w:hRule="exact" w:vSpace="0" w:wrap="around" w:vAnchor="page" w:y="341" w:anchorLock="0"/>
    </w:pPr>
    <w:r w:rsidRPr="002344E6">
      <w:t xml:space="preserve">  </w:t>
    </w:r>
    <w:r w:rsidRPr="002344E6">
      <w:rPr>
        <w:rStyle w:val="SidhuvudUtskott"/>
      </w:rPr>
      <w:t>2006/07:EUN1y</w:t>
    </w:r>
  </w:p>
  <w:p w:rsidR="00333D84" w:rsidRPr="002344E6" w:rsidRDefault="00333D84">
    <w:pPr>
      <w:pStyle w:val="SidhuvudKantUdda"/>
      <w:framePr w:w="8732" w:h="567" w:hRule="exact" w:vSpace="0" w:wrap="around" w:vAnchor="page" w:y="341" w:anchorLock="0"/>
    </w:pPr>
  </w:p>
  <w:p w:rsidR="00333D84" w:rsidRPr="002344E6" w:rsidRDefault="00333D8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73072170">
    <w:abstractNumId w:val="10"/>
  </w:num>
  <w:num w:numId="2" w16cid:durableId="1763451864">
    <w:abstractNumId w:val="8"/>
  </w:num>
  <w:num w:numId="3" w16cid:durableId="1302344691">
    <w:abstractNumId w:val="3"/>
  </w:num>
  <w:num w:numId="4" w16cid:durableId="945116827">
    <w:abstractNumId w:val="2"/>
  </w:num>
  <w:num w:numId="5" w16cid:durableId="910768969">
    <w:abstractNumId w:val="1"/>
  </w:num>
  <w:num w:numId="6" w16cid:durableId="434448917">
    <w:abstractNumId w:val="0"/>
  </w:num>
  <w:num w:numId="7" w16cid:durableId="620263273">
    <w:abstractNumId w:val="9"/>
  </w:num>
  <w:num w:numId="8" w16cid:durableId="1006244595">
    <w:abstractNumId w:val="7"/>
  </w:num>
  <w:num w:numId="9" w16cid:durableId="854728738">
    <w:abstractNumId w:val="6"/>
  </w:num>
  <w:num w:numId="10" w16cid:durableId="2087915129">
    <w:abstractNumId w:val="5"/>
  </w:num>
  <w:num w:numId="11" w16cid:durableId="188517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eu-nämndens"/>
    <w:docVar w:name="Skapår" w:val="0607"/>
  </w:docVars>
  <w:rsids>
    <w:rsidRoot w:val="009A2D51"/>
    <w:rsid w:val="00006E37"/>
    <w:rsid w:val="00022F3A"/>
    <w:rsid w:val="00027135"/>
    <w:rsid w:val="000436B3"/>
    <w:rsid w:val="00044D05"/>
    <w:rsid w:val="0005617D"/>
    <w:rsid w:val="00084FDA"/>
    <w:rsid w:val="00095B62"/>
    <w:rsid w:val="000A090D"/>
    <w:rsid w:val="000A4CAA"/>
    <w:rsid w:val="000B0E0A"/>
    <w:rsid w:val="000C0FA4"/>
    <w:rsid w:val="000D0145"/>
    <w:rsid w:val="000D3D3C"/>
    <w:rsid w:val="0010661A"/>
    <w:rsid w:val="00113B16"/>
    <w:rsid w:val="00117AE9"/>
    <w:rsid w:val="0012625A"/>
    <w:rsid w:val="00142299"/>
    <w:rsid w:val="0015382E"/>
    <w:rsid w:val="0016096D"/>
    <w:rsid w:val="001649E3"/>
    <w:rsid w:val="001A6D9C"/>
    <w:rsid w:val="001C1F58"/>
    <w:rsid w:val="001C4B13"/>
    <w:rsid w:val="001C750C"/>
    <w:rsid w:val="001C792A"/>
    <w:rsid w:val="001D048F"/>
    <w:rsid w:val="001E20AA"/>
    <w:rsid w:val="001F5C9D"/>
    <w:rsid w:val="001F75AE"/>
    <w:rsid w:val="00200BD4"/>
    <w:rsid w:val="00201467"/>
    <w:rsid w:val="00224BFE"/>
    <w:rsid w:val="002344E6"/>
    <w:rsid w:val="0023746F"/>
    <w:rsid w:val="002502C7"/>
    <w:rsid w:val="00251363"/>
    <w:rsid w:val="00256FA6"/>
    <w:rsid w:val="00260AA6"/>
    <w:rsid w:val="0026472F"/>
    <w:rsid w:val="0026616E"/>
    <w:rsid w:val="0028028D"/>
    <w:rsid w:val="002C2C23"/>
    <w:rsid w:val="002C7643"/>
    <w:rsid w:val="002D0DE0"/>
    <w:rsid w:val="002D3D30"/>
    <w:rsid w:val="002D71BD"/>
    <w:rsid w:val="002E09AC"/>
    <w:rsid w:val="002E59AB"/>
    <w:rsid w:val="002E6451"/>
    <w:rsid w:val="003251AD"/>
    <w:rsid w:val="00327705"/>
    <w:rsid w:val="00327E4C"/>
    <w:rsid w:val="00333D84"/>
    <w:rsid w:val="00334454"/>
    <w:rsid w:val="00341596"/>
    <w:rsid w:val="00346765"/>
    <w:rsid w:val="0036105A"/>
    <w:rsid w:val="0036230E"/>
    <w:rsid w:val="00380042"/>
    <w:rsid w:val="00382422"/>
    <w:rsid w:val="00384335"/>
    <w:rsid w:val="00392F70"/>
    <w:rsid w:val="00394BBF"/>
    <w:rsid w:val="003B3819"/>
    <w:rsid w:val="003B779D"/>
    <w:rsid w:val="003B7EAB"/>
    <w:rsid w:val="003C00C6"/>
    <w:rsid w:val="003C0DE0"/>
    <w:rsid w:val="003C4F8B"/>
    <w:rsid w:val="003C50FE"/>
    <w:rsid w:val="003D1664"/>
    <w:rsid w:val="003D25F6"/>
    <w:rsid w:val="003D7444"/>
    <w:rsid w:val="003F55E3"/>
    <w:rsid w:val="003F7835"/>
    <w:rsid w:val="003F7A6D"/>
    <w:rsid w:val="00405945"/>
    <w:rsid w:val="0041147A"/>
    <w:rsid w:val="00416999"/>
    <w:rsid w:val="00430703"/>
    <w:rsid w:val="00431403"/>
    <w:rsid w:val="00455DC2"/>
    <w:rsid w:val="00457859"/>
    <w:rsid w:val="00460FD1"/>
    <w:rsid w:val="00470FE2"/>
    <w:rsid w:val="00485ED4"/>
    <w:rsid w:val="00491582"/>
    <w:rsid w:val="00491637"/>
    <w:rsid w:val="004966C0"/>
    <w:rsid w:val="0049719B"/>
    <w:rsid w:val="004A5D5E"/>
    <w:rsid w:val="004C01A8"/>
    <w:rsid w:val="004C2159"/>
    <w:rsid w:val="004C22A4"/>
    <w:rsid w:val="004C5922"/>
    <w:rsid w:val="004D14D3"/>
    <w:rsid w:val="004E5155"/>
    <w:rsid w:val="004E5922"/>
    <w:rsid w:val="004E7A80"/>
    <w:rsid w:val="004F0DDB"/>
    <w:rsid w:val="004F2B72"/>
    <w:rsid w:val="004F4268"/>
    <w:rsid w:val="00510A47"/>
    <w:rsid w:val="005124D0"/>
    <w:rsid w:val="00512A13"/>
    <w:rsid w:val="00525971"/>
    <w:rsid w:val="00584701"/>
    <w:rsid w:val="00593DAB"/>
    <w:rsid w:val="005955BA"/>
    <w:rsid w:val="005A0930"/>
    <w:rsid w:val="005A33EA"/>
    <w:rsid w:val="005B2924"/>
    <w:rsid w:val="005E3785"/>
    <w:rsid w:val="00602F21"/>
    <w:rsid w:val="00610DDC"/>
    <w:rsid w:val="00614E86"/>
    <w:rsid w:val="00627266"/>
    <w:rsid w:val="00630B8B"/>
    <w:rsid w:val="006425ED"/>
    <w:rsid w:val="00644140"/>
    <w:rsid w:val="00646ECD"/>
    <w:rsid w:val="006474C5"/>
    <w:rsid w:val="00662F4B"/>
    <w:rsid w:val="00667B3C"/>
    <w:rsid w:val="0067737A"/>
    <w:rsid w:val="006840FC"/>
    <w:rsid w:val="00696FF4"/>
    <w:rsid w:val="006A06E0"/>
    <w:rsid w:val="006B4650"/>
    <w:rsid w:val="006C1932"/>
    <w:rsid w:val="006C53B0"/>
    <w:rsid w:val="006C6C0E"/>
    <w:rsid w:val="006E3AA7"/>
    <w:rsid w:val="006E6EA7"/>
    <w:rsid w:val="006E7538"/>
    <w:rsid w:val="006F1584"/>
    <w:rsid w:val="0070428A"/>
    <w:rsid w:val="0071796B"/>
    <w:rsid w:val="0072161A"/>
    <w:rsid w:val="0072231E"/>
    <w:rsid w:val="007230F5"/>
    <w:rsid w:val="00736392"/>
    <w:rsid w:val="00736EFD"/>
    <w:rsid w:val="00757732"/>
    <w:rsid w:val="00771087"/>
    <w:rsid w:val="0078139E"/>
    <w:rsid w:val="00787349"/>
    <w:rsid w:val="007B146A"/>
    <w:rsid w:val="007B3587"/>
    <w:rsid w:val="007C7682"/>
    <w:rsid w:val="007D627A"/>
    <w:rsid w:val="007D7535"/>
    <w:rsid w:val="007E09FF"/>
    <w:rsid w:val="007E3F27"/>
    <w:rsid w:val="007E7C95"/>
    <w:rsid w:val="007F3A00"/>
    <w:rsid w:val="00800A2B"/>
    <w:rsid w:val="00816BBE"/>
    <w:rsid w:val="00817A59"/>
    <w:rsid w:val="00830F30"/>
    <w:rsid w:val="008400B1"/>
    <w:rsid w:val="00841C13"/>
    <w:rsid w:val="00845D77"/>
    <w:rsid w:val="008636EF"/>
    <w:rsid w:val="00866D44"/>
    <w:rsid w:val="008672BF"/>
    <w:rsid w:val="0086749A"/>
    <w:rsid w:val="00876BB1"/>
    <w:rsid w:val="00885DE4"/>
    <w:rsid w:val="00886742"/>
    <w:rsid w:val="00886CD7"/>
    <w:rsid w:val="00891513"/>
    <w:rsid w:val="008A5112"/>
    <w:rsid w:val="008B1340"/>
    <w:rsid w:val="008B181B"/>
    <w:rsid w:val="008D6B8D"/>
    <w:rsid w:val="008E4563"/>
    <w:rsid w:val="008F0ED6"/>
    <w:rsid w:val="008F6B6A"/>
    <w:rsid w:val="00910C57"/>
    <w:rsid w:val="00914C47"/>
    <w:rsid w:val="00917A9E"/>
    <w:rsid w:val="0093698C"/>
    <w:rsid w:val="00937C0C"/>
    <w:rsid w:val="00942EB2"/>
    <w:rsid w:val="00960A06"/>
    <w:rsid w:val="009661AB"/>
    <w:rsid w:val="00967092"/>
    <w:rsid w:val="00981002"/>
    <w:rsid w:val="0098147C"/>
    <w:rsid w:val="009837DB"/>
    <w:rsid w:val="00984169"/>
    <w:rsid w:val="00985CA4"/>
    <w:rsid w:val="009952DF"/>
    <w:rsid w:val="009953C2"/>
    <w:rsid w:val="0099720B"/>
    <w:rsid w:val="009A2D51"/>
    <w:rsid w:val="009A6085"/>
    <w:rsid w:val="009C20CE"/>
    <w:rsid w:val="009C5297"/>
    <w:rsid w:val="009D6162"/>
    <w:rsid w:val="009D677E"/>
    <w:rsid w:val="009E7940"/>
    <w:rsid w:val="009F2D10"/>
    <w:rsid w:val="00A178F4"/>
    <w:rsid w:val="00A22FA0"/>
    <w:rsid w:val="00A2746A"/>
    <w:rsid w:val="00A314E6"/>
    <w:rsid w:val="00A36C79"/>
    <w:rsid w:val="00A45972"/>
    <w:rsid w:val="00A61F9C"/>
    <w:rsid w:val="00A624CC"/>
    <w:rsid w:val="00A65776"/>
    <w:rsid w:val="00A668BD"/>
    <w:rsid w:val="00A7234E"/>
    <w:rsid w:val="00A74992"/>
    <w:rsid w:val="00A82DFA"/>
    <w:rsid w:val="00A84587"/>
    <w:rsid w:val="00A9674A"/>
    <w:rsid w:val="00A96DF8"/>
    <w:rsid w:val="00AA020F"/>
    <w:rsid w:val="00AA0E13"/>
    <w:rsid w:val="00AA3B70"/>
    <w:rsid w:val="00AB1445"/>
    <w:rsid w:val="00AD3643"/>
    <w:rsid w:val="00AE5539"/>
    <w:rsid w:val="00AF5833"/>
    <w:rsid w:val="00B0312F"/>
    <w:rsid w:val="00B54306"/>
    <w:rsid w:val="00B57396"/>
    <w:rsid w:val="00B70234"/>
    <w:rsid w:val="00B70691"/>
    <w:rsid w:val="00B72E89"/>
    <w:rsid w:val="00B90EE3"/>
    <w:rsid w:val="00BA51C6"/>
    <w:rsid w:val="00BA7021"/>
    <w:rsid w:val="00BB438A"/>
    <w:rsid w:val="00BB794B"/>
    <w:rsid w:val="00BC1037"/>
    <w:rsid w:val="00BC2A8B"/>
    <w:rsid w:val="00BD0209"/>
    <w:rsid w:val="00BD20E6"/>
    <w:rsid w:val="00BD50F2"/>
    <w:rsid w:val="00BE2FF2"/>
    <w:rsid w:val="00BE7BA5"/>
    <w:rsid w:val="00BF1276"/>
    <w:rsid w:val="00BF6C68"/>
    <w:rsid w:val="00C07691"/>
    <w:rsid w:val="00C309EF"/>
    <w:rsid w:val="00C344FE"/>
    <w:rsid w:val="00C46A99"/>
    <w:rsid w:val="00C505AF"/>
    <w:rsid w:val="00C539F9"/>
    <w:rsid w:val="00C57160"/>
    <w:rsid w:val="00C61AF0"/>
    <w:rsid w:val="00C668A5"/>
    <w:rsid w:val="00C717C7"/>
    <w:rsid w:val="00C73876"/>
    <w:rsid w:val="00C762F1"/>
    <w:rsid w:val="00C93747"/>
    <w:rsid w:val="00C93B2D"/>
    <w:rsid w:val="00CA3B3A"/>
    <w:rsid w:val="00CA6B8B"/>
    <w:rsid w:val="00CB05EB"/>
    <w:rsid w:val="00CC5826"/>
    <w:rsid w:val="00CD0F4A"/>
    <w:rsid w:val="00CD69AF"/>
    <w:rsid w:val="00CF229C"/>
    <w:rsid w:val="00D03984"/>
    <w:rsid w:val="00D05773"/>
    <w:rsid w:val="00D15093"/>
    <w:rsid w:val="00D606CE"/>
    <w:rsid w:val="00D66247"/>
    <w:rsid w:val="00D74D8D"/>
    <w:rsid w:val="00D76C73"/>
    <w:rsid w:val="00D832A3"/>
    <w:rsid w:val="00D83396"/>
    <w:rsid w:val="00D872A9"/>
    <w:rsid w:val="00DB71DE"/>
    <w:rsid w:val="00DB7C92"/>
    <w:rsid w:val="00DC0B74"/>
    <w:rsid w:val="00DC5EBF"/>
    <w:rsid w:val="00DE411F"/>
    <w:rsid w:val="00DE52D8"/>
    <w:rsid w:val="00DE6A7C"/>
    <w:rsid w:val="00DE6C7E"/>
    <w:rsid w:val="00DF28C1"/>
    <w:rsid w:val="00E0536D"/>
    <w:rsid w:val="00E126AA"/>
    <w:rsid w:val="00E273B3"/>
    <w:rsid w:val="00E275AD"/>
    <w:rsid w:val="00E31AAD"/>
    <w:rsid w:val="00E31CB1"/>
    <w:rsid w:val="00E416CF"/>
    <w:rsid w:val="00E4775A"/>
    <w:rsid w:val="00E5081D"/>
    <w:rsid w:val="00E53AB8"/>
    <w:rsid w:val="00E53CD1"/>
    <w:rsid w:val="00E61558"/>
    <w:rsid w:val="00E7560B"/>
    <w:rsid w:val="00E806AD"/>
    <w:rsid w:val="00E8267E"/>
    <w:rsid w:val="00E90B00"/>
    <w:rsid w:val="00E93FE9"/>
    <w:rsid w:val="00EA1CD9"/>
    <w:rsid w:val="00EA5ADF"/>
    <w:rsid w:val="00EA5D20"/>
    <w:rsid w:val="00EA706F"/>
    <w:rsid w:val="00EB3805"/>
    <w:rsid w:val="00EB7B79"/>
    <w:rsid w:val="00EB7D9A"/>
    <w:rsid w:val="00ED689A"/>
    <w:rsid w:val="00ED7335"/>
    <w:rsid w:val="00EE10F3"/>
    <w:rsid w:val="00EE499C"/>
    <w:rsid w:val="00EF4230"/>
    <w:rsid w:val="00EF5DE4"/>
    <w:rsid w:val="00F01E4E"/>
    <w:rsid w:val="00F02AFD"/>
    <w:rsid w:val="00F1127A"/>
    <w:rsid w:val="00F11E21"/>
    <w:rsid w:val="00F129A7"/>
    <w:rsid w:val="00F13959"/>
    <w:rsid w:val="00F267CF"/>
    <w:rsid w:val="00F2699D"/>
    <w:rsid w:val="00F274BB"/>
    <w:rsid w:val="00F45D69"/>
    <w:rsid w:val="00F53A97"/>
    <w:rsid w:val="00F71F53"/>
    <w:rsid w:val="00F73617"/>
    <w:rsid w:val="00F74F70"/>
    <w:rsid w:val="00F84C13"/>
    <w:rsid w:val="00FA2C58"/>
    <w:rsid w:val="00FB26FF"/>
    <w:rsid w:val="00FB6005"/>
    <w:rsid w:val="00FC2B75"/>
    <w:rsid w:val="00FD11BD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16EE71-6A4F-470E-9378-649C6653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character" w:styleId="Hyperlnk">
    <w:name w:val="Hyperlink"/>
    <w:basedOn w:val="Standardstycketeckensnitt"/>
    <w:rsid w:val="00E31AAD"/>
    <w:rPr>
      <w:color w:val="0000FF"/>
      <w:u w:val="single"/>
    </w:rPr>
  </w:style>
  <w:style w:type="paragraph" w:styleId="Normalwebb">
    <w:name w:val="Normal (Web)"/>
    <w:basedOn w:val="Normal"/>
    <w:rsid w:val="00E31AA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Ballongtext">
    <w:name w:val="Balloon Text"/>
    <w:basedOn w:val="Normal"/>
    <w:semiHidden/>
    <w:rsid w:val="000C0FA4"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0C0FA4"/>
    <w:pPr>
      <w:spacing w:before="6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4915</Words>
  <Characters>30277</Characters>
  <Application>Microsoft Office Word</Application>
  <DocSecurity>4</DocSecurity>
  <Lines>550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EU-nämndens yttrande</vt:lpstr>
    </vt:vector>
  </TitlesOfParts>
  <Company>Riksdagen</Company>
  <LinksUpToDate>false</LinksUpToDate>
  <CharactersWithSpaces>35057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EU-nämndens yttrande</dc:title>
  <dc:subject>EU-nämndens yttrande</dc:subject>
  <dc:creator>Riksdagen</dc:creator>
  <cp:keywords>Riksdagen</cp:keywords>
  <dc:description/>
  <cp:lastModifiedBy>Lars Brink</cp:lastModifiedBy>
  <cp:revision>2</cp:revision>
  <cp:lastPrinted>2007-04-17T12:40:00Z</cp:lastPrinted>
  <dcterms:created xsi:type="dcterms:W3CDTF">2025-12-17T03:07:00Z</dcterms:created>
  <dcterms:modified xsi:type="dcterms:W3CDTF">2025-12-17T03:07:00Z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1y</vt:lpwstr>
  </property>
  <property fmtid="{D5CDD505-2E9C-101B-9397-08002B2CF9AE}" pid="3" name="Utskott">
    <vt:lpwstr>EUN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