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714B19" w:rsidTr="00F24435">
        <w:tblPrEx>
          <w:tblCellMar>
            <w:top w:w="0" w:type="dxa"/>
            <w:bottom w:w="0" w:type="dxa"/>
          </w:tblCellMar>
        </w:tblPrEx>
        <w:tc>
          <w:tcPr>
            <w:tcW w:w="2268" w:type="dxa"/>
          </w:tcPr>
          <w:p w:rsidR="006E4E11" w:rsidRPr="00714B19"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714B19" w:rsidRDefault="006E4E11" w:rsidP="007242A3">
            <w:pPr>
              <w:framePr w:w="5035" w:h="1644" w:wrap="notBeside" w:vAnchor="page" w:hAnchor="page" w:x="6573" w:y="721"/>
              <w:rPr>
                <w:rFonts w:ascii="TradeGothic" w:hAnsi="TradeGothic"/>
                <w:i/>
                <w:sz w:val="18"/>
              </w:rPr>
            </w:pPr>
          </w:p>
        </w:tc>
      </w:tr>
      <w:tr w:rsidR="00F24435" w:rsidRPr="00714B19" w:rsidTr="00F24435">
        <w:tblPrEx>
          <w:tblCellMar>
            <w:top w:w="0" w:type="dxa"/>
            <w:bottom w:w="0" w:type="dxa"/>
          </w:tblCellMar>
        </w:tblPrEx>
        <w:tc>
          <w:tcPr>
            <w:tcW w:w="5267" w:type="dxa"/>
            <w:gridSpan w:val="3"/>
          </w:tcPr>
          <w:p w:rsidR="00F24435" w:rsidRPr="00714B19" w:rsidRDefault="00F24435" w:rsidP="007242A3">
            <w:pPr>
              <w:framePr w:w="5035" w:h="1644" w:wrap="notBeside" w:vAnchor="page" w:hAnchor="page" w:x="6573" w:y="721"/>
              <w:rPr>
                <w:rFonts w:ascii="TradeGothic" w:hAnsi="TradeGothic"/>
                <w:b/>
                <w:sz w:val="22"/>
              </w:rPr>
            </w:pPr>
            <w:r w:rsidRPr="00714B19">
              <w:rPr>
                <w:rFonts w:ascii="TradeGothic" w:hAnsi="TradeGothic"/>
                <w:b/>
                <w:sz w:val="22"/>
              </w:rPr>
              <w:t>Rådspromemoria</w:t>
            </w:r>
          </w:p>
        </w:tc>
      </w:tr>
      <w:tr w:rsidR="006E4E11" w:rsidRPr="00714B19" w:rsidTr="00F24435">
        <w:tblPrEx>
          <w:tblCellMar>
            <w:top w:w="0" w:type="dxa"/>
            <w:bottom w:w="0" w:type="dxa"/>
          </w:tblCellMar>
        </w:tblPrEx>
        <w:tc>
          <w:tcPr>
            <w:tcW w:w="3402" w:type="dxa"/>
            <w:gridSpan w:val="2"/>
          </w:tcPr>
          <w:p w:rsidR="006E4E11" w:rsidRPr="00714B19" w:rsidRDefault="006E4E11" w:rsidP="007242A3">
            <w:pPr>
              <w:framePr w:w="5035" w:h="1644" w:wrap="notBeside" w:vAnchor="page" w:hAnchor="page" w:x="6573" w:y="721"/>
            </w:pPr>
          </w:p>
        </w:tc>
        <w:tc>
          <w:tcPr>
            <w:tcW w:w="1865" w:type="dxa"/>
          </w:tcPr>
          <w:p w:rsidR="006E4E11" w:rsidRPr="00714B19" w:rsidRDefault="006E4E11" w:rsidP="007242A3">
            <w:pPr>
              <w:framePr w:w="5035" w:h="1644" w:wrap="notBeside" w:vAnchor="page" w:hAnchor="page" w:x="6573" w:y="721"/>
            </w:pPr>
          </w:p>
        </w:tc>
      </w:tr>
      <w:tr w:rsidR="006E4E11" w:rsidRPr="00714B19" w:rsidTr="00F24435">
        <w:tblPrEx>
          <w:tblCellMar>
            <w:top w:w="0" w:type="dxa"/>
            <w:bottom w:w="0" w:type="dxa"/>
          </w:tblCellMar>
        </w:tblPrEx>
        <w:tc>
          <w:tcPr>
            <w:tcW w:w="2268" w:type="dxa"/>
          </w:tcPr>
          <w:p w:rsidR="006E4E11" w:rsidRPr="00714B19" w:rsidRDefault="00F24435" w:rsidP="007242A3">
            <w:pPr>
              <w:framePr w:w="5035" w:h="1644" w:wrap="notBeside" w:vAnchor="page" w:hAnchor="page" w:x="6573" w:y="721"/>
            </w:pPr>
            <w:r w:rsidRPr="00714B19">
              <w:t>2009-10-</w:t>
            </w:r>
            <w:r w:rsidR="00561349" w:rsidRPr="00714B19">
              <w:t>12</w:t>
            </w:r>
          </w:p>
        </w:tc>
        <w:tc>
          <w:tcPr>
            <w:tcW w:w="2999" w:type="dxa"/>
            <w:gridSpan w:val="2"/>
          </w:tcPr>
          <w:p w:rsidR="006E4E11" w:rsidRPr="00714B19" w:rsidRDefault="006E4E11" w:rsidP="007242A3">
            <w:pPr>
              <w:framePr w:w="5035" w:h="1644" w:wrap="notBeside" w:vAnchor="page" w:hAnchor="page" w:x="6573" w:y="721"/>
            </w:pPr>
          </w:p>
        </w:tc>
      </w:tr>
      <w:tr w:rsidR="006E4E11" w:rsidRPr="00714B19" w:rsidTr="00F24435">
        <w:tblPrEx>
          <w:tblCellMar>
            <w:top w:w="0" w:type="dxa"/>
            <w:bottom w:w="0" w:type="dxa"/>
          </w:tblCellMar>
        </w:tblPrEx>
        <w:tc>
          <w:tcPr>
            <w:tcW w:w="2268" w:type="dxa"/>
          </w:tcPr>
          <w:p w:rsidR="006E4E11" w:rsidRPr="00714B19" w:rsidRDefault="006E4E11" w:rsidP="007242A3">
            <w:pPr>
              <w:framePr w:w="5035" w:h="1644" w:wrap="notBeside" w:vAnchor="page" w:hAnchor="page" w:x="6573" w:y="721"/>
            </w:pPr>
          </w:p>
        </w:tc>
        <w:tc>
          <w:tcPr>
            <w:tcW w:w="2999" w:type="dxa"/>
            <w:gridSpan w:val="2"/>
          </w:tcPr>
          <w:p w:rsidR="006E4E11" w:rsidRPr="00714B19"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714B19">
        <w:tblPrEx>
          <w:tblCellMar>
            <w:top w:w="0" w:type="dxa"/>
            <w:bottom w:w="0" w:type="dxa"/>
          </w:tblCellMar>
        </w:tblPrEx>
        <w:trPr>
          <w:trHeight w:val="284"/>
        </w:trPr>
        <w:tc>
          <w:tcPr>
            <w:tcW w:w="4911" w:type="dxa"/>
          </w:tcPr>
          <w:p w:rsidR="006E4E11" w:rsidRPr="00714B19" w:rsidRDefault="00F24435">
            <w:pPr>
              <w:pStyle w:val="Avsndare"/>
              <w:framePr w:h="2483" w:wrap="notBeside" w:x="1504"/>
              <w:rPr>
                <w:b/>
                <w:i w:val="0"/>
                <w:sz w:val="22"/>
              </w:rPr>
            </w:pPr>
            <w:r w:rsidRPr="00714B19">
              <w:rPr>
                <w:b/>
                <w:i w:val="0"/>
                <w:sz w:val="22"/>
              </w:rPr>
              <w:t>Justitiedepartementet</w:t>
            </w:r>
          </w:p>
        </w:tc>
      </w:tr>
      <w:tr w:rsidR="006E4E11" w:rsidRPr="00714B19">
        <w:tblPrEx>
          <w:tblCellMar>
            <w:top w:w="0" w:type="dxa"/>
            <w:bottom w:w="0" w:type="dxa"/>
          </w:tblCellMar>
        </w:tblPrEx>
        <w:trPr>
          <w:trHeight w:val="284"/>
        </w:trPr>
        <w:tc>
          <w:tcPr>
            <w:tcW w:w="4911" w:type="dxa"/>
          </w:tcPr>
          <w:p w:rsidR="006E4E11" w:rsidRPr="00714B19" w:rsidRDefault="006E4E11">
            <w:pPr>
              <w:pStyle w:val="Avsndare"/>
              <w:framePr w:h="2483" w:wrap="notBeside" w:x="1504"/>
              <w:rPr>
                <w:bCs/>
                <w:iCs/>
              </w:rPr>
            </w:pPr>
          </w:p>
        </w:tc>
      </w:tr>
      <w:tr w:rsidR="006E4E11" w:rsidRPr="00714B19">
        <w:tblPrEx>
          <w:tblCellMar>
            <w:top w:w="0" w:type="dxa"/>
            <w:bottom w:w="0" w:type="dxa"/>
          </w:tblCellMar>
        </w:tblPrEx>
        <w:trPr>
          <w:trHeight w:val="284"/>
        </w:trPr>
        <w:tc>
          <w:tcPr>
            <w:tcW w:w="4911" w:type="dxa"/>
          </w:tcPr>
          <w:p w:rsidR="00F24435" w:rsidRPr="00714B19" w:rsidRDefault="00F24435">
            <w:pPr>
              <w:pStyle w:val="Avsndare"/>
              <w:framePr w:h="2483" w:wrap="notBeside" w:x="1504"/>
              <w:rPr>
                <w:bCs/>
                <w:iCs/>
              </w:rPr>
            </w:pPr>
            <w:r w:rsidRPr="00714B19">
              <w:rPr>
                <w:bCs/>
                <w:iCs/>
              </w:rPr>
              <w:t>Enheten för brottmålsärenden och</w:t>
            </w:r>
          </w:p>
          <w:p w:rsidR="006E4E11" w:rsidRPr="00714B19" w:rsidRDefault="00F24435">
            <w:pPr>
              <w:pStyle w:val="Avsndare"/>
              <w:framePr w:h="2483" w:wrap="notBeside" w:x="1504"/>
              <w:rPr>
                <w:bCs/>
                <w:iCs/>
              </w:rPr>
            </w:pPr>
            <w:r w:rsidRPr="00714B19">
              <w:rPr>
                <w:bCs/>
                <w:iCs/>
              </w:rPr>
              <w:t>internationellt rättsligt samarbete (BIRS)</w:t>
            </w:r>
          </w:p>
        </w:tc>
      </w:tr>
      <w:tr w:rsidR="006E4E11" w:rsidRPr="00714B19">
        <w:tblPrEx>
          <w:tblCellMar>
            <w:top w:w="0" w:type="dxa"/>
            <w:bottom w:w="0" w:type="dxa"/>
          </w:tblCellMar>
        </w:tblPrEx>
        <w:trPr>
          <w:trHeight w:val="284"/>
        </w:trPr>
        <w:tc>
          <w:tcPr>
            <w:tcW w:w="4911" w:type="dxa"/>
          </w:tcPr>
          <w:p w:rsidR="006E4E11" w:rsidRPr="00714B19" w:rsidRDefault="006E4E11">
            <w:pPr>
              <w:pStyle w:val="Avsndare"/>
              <w:framePr w:h="2483" w:wrap="notBeside" w:x="1504"/>
              <w:rPr>
                <w:bCs/>
                <w:iCs/>
              </w:rPr>
            </w:pPr>
          </w:p>
        </w:tc>
      </w:tr>
      <w:tr w:rsidR="006E4E11" w:rsidRPr="00714B19">
        <w:tblPrEx>
          <w:tblCellMar>
            <w:top w:w="0" w:type="dxa"/>
            <w:bottom w:w="0" w:type="dxa"/>
          </w:tblCellMar>
        </w:tblPrEx>
        <w:trPr>
          <w:trHeight w:val="284"/>
        </w:trPr>
        <w:tc>
          <w:tcPr>
            <w:tcW w:w="4911" w:type="dxa"/>
          </w:tcPr>
          <w:p w:rsidR="006E4E11" w:rsidRPr="00714B19" w:rsidRDefault="006E4E11">
            <w:pPr>
              <w:pStyle w:val="Avsndare"/>
              <w:framePr w:h="2483" w:wrap="notBeside" w:x="1504"/>
              <w:rPr>
                <w:bCs/>
                <w:iCs/>
              </w:rPr>
            </w:pPr>
          </w:p>
        </w:tc>
      </w:tr>
      <w:tr w:rsidR="006E4E11" w:rsidRPr="00714B19">
        <w:tblPrEx>
          <w:tblCellMar>
            <w:top w:w="0" w:type="dxa"/>
            <w:bottom w:w="0" w:type="dxa"/>
          </w:tblCellMar>
        </w:tblPrEx>
        <w:trPr>
          <w:trHeight w:val="284"/>
        </w:trPr>
        <w:tc>
          <w:tcPr>
            <w:tcW w:w="4911" w:type="dxa"/>
          </w:tcPr>
          <w:p w:rsidR="006E4E11" w:rsidRPr="00714B19" w:rsidRDefault="006E4E11">
            <w:pPr>
              <w:pStyle w:val="Avsndare"/>
              <w:framePr w:h="2483" w:wrap="notBeside" w:x="1504"/>
              <w:rPr>
                <w:bCs/>
                <w:iCs/>
              </w:rPr>
            </w:pPr>
          </w:p>
        </w:tc>
      </w:tr>
      <w:tr w:rsidR="006E4E11" w:rsidRPr="00714B19">
        <w:tblPrEx>
          <w:tblCellMar>
            <w:top w:w="0" w:type="dxa"/>
            <w:bottom w:w="0" w:type="dxa"/>
          </w:tblCellMar>
        </w:tblPrEx>
        <w:trPr>
          <w:trHeight w:val="284"/>
        </w:trPr>
        <w:tc>
          <w:tcPr>
            <w:tcW w:w="4911" w:type="dxa"/>
          </w:tcPr>
          <w:p w:rsidR="006E4E11" w:rsidRPr="00714B19" w:rsidRDefault="006E4E11">
            <w:pPr>
              <w:pStyle w:val="Avsndare"/>
              <w:framePr w:h="2483" w:wrap="notBeside" w:x="1504"/>
              <w:rPr>
                <w:bCs/>
                <w:iCs/>
              </w:rPr>
            </w:pPr>
          </w:p>
        </w:tc>
      </w:tr>
      <w:tr w:rsidR="006E4E11" w:rsidRPr="00714B19">
        <w:tblPrEx>
          <w:tblCellMar>
            <w:top w:w="0" w:type="dxa"/>
            <w:bottom w:w="0" w:type="dxa"/>
          </w:tblCellMar>
        </w:tblPrEx>
        <w:trPr>
          <w:trHeight w:val="284"/>
        </w:trPr>
        <w:tc>
          <w:tcPr>
            <w:tcW w:w="4911" w:type="dxa"/>
          </w:tcPr>
          <w:p w:rsidR="006E4E11" w:rsidRPr="00714B19" w:rsidRDefault="006E4E11">
            <w:pPr>
              <w:pStyle w:val="Avsndare"/>
              <w:framePr w:h="2483" w:wrap="notBeside" w:x="1504"/>
              <w:rPr>
                <w:bCs/>
                <w:iCs/>
              </w:rPr>
            </w:pPr>
          </w:p>
        </w:tc>
      </w:tr>
      <w:tr w:rsidR="006E4E11" w:rsidRPr="00714B19">
        <w:tblPrEx>
          <w:tblCellMar>
            <w:top w:w="0" w:type="dxa"/>
            <w:bottom w:w="0" w:type="dxa"/>
          </w:tblCellMar>
        </w:tblPrEx>
        <w:trPr>
          <w:trHeight w:val="284"/>
        </w:trPr>
        <w:tc>
          <w:tcPr>
            <w:tcW w:w="4911" w:type="dxa"/>
          </w:tcPr>
          <w:p w:rsidR="006E4E11" w:rsidRPr="00714B19" w:rsidRDefault="006E4E11">
            <w:pPr>
              <w:pStyle w:val="Avsndare"/>
              <w:framePr w:h="2483" w:wrap="notBeside" w:x="1504"/>
              <w:rPr>
                <w:bCs/>
                <w:iCs/>
              </w:rPr>
            </w:pPr>
          </w:p>
        </w:tc>
      </w:tr>
    </w:tbl>
    <w:p w:rsidR="006E4E11" w:rsidRPr="00714B19" w:rsidRDefault="006E4E11">
      <w:pPr>
        <w:framePr w:w="4400" w:h="2523" w:wrap="notBeside" w:vAnchor="page" w:hAnchor="page" w:x="6453" w:y="2445"/>
        <w:ind w:left="142"/>
        <w:rPr>
          <w:b/>
        </w:rPr>
      </w:pPr>
    </w:p>
    <w:p w:rsidR="00F24435" w:rsidRPr="00714B19" w:rsidRDefault="00F24435">
      <w:pPr>
        <w:pStyle w:val="RKrubrik"/>
        <w:pBdr>
          <w:bottom w:val="single" w:sz="6" w:space="1" w:color="auto"/>
        </w:pBdr>
      </w:pPr>
      <w:bookmarkStart w:id="0" w:name="bRubrik"/>
      <w:bookmarkEnd w:id="0"/>
      <w:r w:rsidRPr="00714B19">
        <w:t xml:space="preserve">Rådets möte </w:t>
      </w:r>
      <w:r w:rsidR="00561349" w:rsidRPr="00714B19">
        <w:t xml:space="preserve">för </w:t>
      </w:r>
      <w:r w:rsidR="00184A10" w:rsidRPr="00714B19">
        <w:t>rättsliga och inrikes frågor</w:t>
      </w:r>
      <w:r w:rsidR="00561349" w:rsidRPr="00714B19">
        <w:t xml:space="preserve"> (RIF</w:t>
      </w:r>
      <w:r w:rsidR="00184A10" w:rsidRPr="00714B19">
        <w:t xml:space="preserve">) </w:t>
      </w:r>
      <w:r w:rsidRPr="00714B19">
        <w:t xml:space="preserve">den </w:t>
      </w:r>
      <w:r w:rsidR="00184A10" w:rsidRPr="00714B19">
        <w:t>23 oktober 2009</w:t>
      </w:r>
      <w:r w:rsidR="00561349" w:rsidRPr="00714B19">
        <w:t xml:space="preserve"> i Luxemburg</w:t>
      </w:r>
    </w:p>
    <w:p w:rsidR="00F24435" w:rsidRPr="00714B19" w:rsidRDefault="00F24435">
      <w:pPr>
        <w:pStyle w:val="RKnormal"/>
      </w:pPr>
    </w:p>
    <w:p w:rsidR="00F24435" w:rsidRPr="00714B19" w:rsidRDefault="00F24435">
      <w:pPr>
        <w:pStyle w:val="RKnormal"/>
      </w:pPr>
      <w:r w:rsidRPr="00714B19">
        <w:t>Dagordningspunkt 10</w:t>
      </w:r>
    </w:p>
    <w:p w:rsidR="00F24435" w:rsidRPr="00714B19" w:rsidRDefault="00F24435">
      <w:pPr>
        <w:pStyle w:val="RKnormal"/>
      </w:pPr>
    </w:p>
    <w:p w:rsidR="000B5328" w:rsidRPr="00714B19" w:rsidRDefault="000B5328" w:rsidP="000B5328">
      <w:pPr>
        <w:pStyle w:val="RKnormal"/>
        <w:rPr>
          <w:bCs/>
        </w:rPr>
      </w:pPr>
      <w:r w:rsidRPr="00714B19">
        <w:t xml:space="preserve">Rubrik: </w:t>
      </w:r>
      <w:r w:rsidRPr="00714B19">
        <w:rPr>
          <w:bCs/>
        </w:rPr>
        <w:t>Förslag till rådets rambeslut om överföring av straffrättsliga förfaranden (R) (offentlig överläggning enligt artikel 8.3)</w:t>
      </w:r>
    </w:p>
    <w:p w:rsidR="00F24435" w:rsidRPr="00714B19" w:rsidRDefault="00F24435">
      <w:pPr>
        <w:pStyle w:val="RKnormal"/>
      </w:pPr>
    </w:p>
    <w:p w:rsidR="00F24435" w:rsidRPr="00714B19" w:rsidRDefault="00F24435">
      <w:pPr>
        <w:pStyle w:val="RKnormal"/>
      </w:pPr>
      <w:r w:rsidRPr="00714B19">
        <w:t>Dokument:</w:t>
      </w:r>
      <w:r w:rsidR="00BF3E0C" w:rsidRPr="00714B19">
        <w:t xml:space="preserve"> </w:t>
      </w:r>
    </w:p>
    <w:p w:rsidR="0038117D" w:rsidRPr="00714B19" w:rsidRDefault="0038117D">
      <w:pPr>
        <w:pStyle w:val="RKnormal"/>
      </w:pPr>
      <w:r w:rsidRPr="00714B19">
        <w:t>doc. 13878/09 COPEN 186 (bifogas)</w:t>
      </w:r>
    </w:p>
    <w:p w:rsidR="00010961" w:rsidRPr="00714B19" w:rsidRDefault="00AA5A1A">
      <w:pPr>
        <w:pStyle w:val="RKnormal"/>
      </w:pPr>
      <w:r w:rsidRPr="00714B19">
        <w:t xml:space="preserve">doc. </w:t>
      </w:r>
      <w:r w:rsidR="004F32A6" w:rsidRPr="00714B19">
        <w:t xml:space="preserve">13504/09 </w:t>
      </w:r>
      <w:r w:rsidRPr="00714B19">
        <w:t xml:space="preserve">COPEN </w:t>
      </w:r>
      <w:r w:rsidR="004F32A6" w:rsidRPr="00714B19">
        <w:t xml:space="preserve">173 </w:t>
      </w:r>
      <w:r w:rsidRPr="00714B19">
        <w:t>(se</w:t>
      </w:r>
      <w:r w:rsidR="007649F3" w:rsidRPr="00714B19">
        <w:t xml:space="preserve">naste versionen av rambeslutet) </w:t>
      </w:r>
      <w:r w:rsidRPr="00714B19">
        <w:t>(</w:t>
      </w:r>
      <w:r w:rsidR="004F32A6" w:rsidRPr="00714B19">
        <w:t>bifogas</w:t>
      </w:r>
      <w:r w:rsidRPr="00714B19">
        <w:t>)</w:t>
      </w:r>
    </w:p>
    <w:p w:rsidR="00F24435" w:rsidRPr="00714B19" w:rsidRDefault="00F24435">
      <w:pPr>
        <w:pStyle w:val="RKnormal"/>
      </w:pPr>
    </w:p>
    <w:p w:rsidR="005908D6" w:rsidRPr="00714B19" w:rsidRDefault="00F24435">
      <w:pPr>
        <w:pStyle w:val="RKnormal"/>
      </w:pPr>
      <w:r w:rsidRPr="00714B19">
        <w:t xml:space="preserve">Tidigare dokument: </w:t>
      </w:r>
    </w:p>
    <w:p w:rsidR="00F24435" w:rsidRPr="00714B19" w:rsidRDefault="005908D6">
      <w:pPr>
        <w:pStyle w:val="RKnormal"/>
      </w:pPr>
      <w:r w:rsidRPr="00714B19">
        <w:t>doc. 11119/09 COPEN 115 (ursprungliga förslaget till rambeslut)</w:t>
      </w:r>
      <w:r w:rsidR="00F24435" w:rsidRPr="00714B19">
        <w:t xml:space="preserve">           </w:t>
      </w:r>
    </w:p>
    <w:p w:rsidR="00F24435" w:rsidRPr="00714B19" w:rsidRDefault="00F24435">
      <w:pPr>
        <w:pStyle w:val="RKnormal"/>
      </w:pPr>
    </w:p>
    <w:p w:rsidR="005908D6" w:rsidRPr="00714B19" w:rsidRDefault="00F24435">
      <w:pPr>
        <w:pStyle w:val="RKnormal"/>
      </w:pPr>
      <w:r w:rsidRPr="00714B19">
        <w:t xml:space="preserve">Tidigare behandlad vid samråd med EU-nämnden: </w:t>
      </w:r>
    </w:p>
    <w:p w:rsidR="00F24435" w:rsidRPr="00714B19" w:rsidRDefault="005908D6">
      <w:pPr>
        <w:pStyle w:val="RKnormal"/>
      </w:pPr>
      <w:r w:rsidRPr="00714B19">
        <w:t>-</w:t>
      </w:r>
    </w:p>
    <w:p w:rsidR="00F24435" w:rsidRPr="00714B19" w:rsidRDefault="00F24435">
      <w:pPr>
        <w:pStyle w:val="RKnormal"/>
      </w:pPr>
    </w:p>
    <w:p w:rsidR="005908D6" w:rsidRPr="00714B19" w:rsidRDefault="005908D6" w:rsidP="005908D6">
      <w:pPr>
        <w:pStyle w:val="RKnormal"/>
      </w:pPr>
      <w:r w:rsidRPr="00714B19">
        <w:t>Tidigare behandlad i Justitieutskottet:</w:t>
      </w:r>
    </w:p>
    <w:p w:rsidR="00690838" w:rsidRPr="00714B19" w:rsidRDefault="00561349" w:rsidP="00690838">
      <w:pPr>
        <w:pStyle w:val="RKnormal"/>
      </w:pPr>
      <w:r w:rsidRPr="00714B19">
        <w:t>I</w:t>
      </w:r>
      <w:r w:rsidR="005908D6" w:rsidRPr="00714B19">
        <w:t xml:space="preserve">nformation i Justitieutskottet den 14 maj 2009 </w:t>
      </w:r>
    </w:p>
    <w:p w:rsidR="00F24435" w:rsidRPr="00714B19" w:rsidRDefault="00F24435">
      <w:pPr>
        <w:pStyle w:val="RKrubrik"/>
      </w:pPr>
      <w:r w:rsidRPr="00714B19">
        <w:t>Bakgrund</w:t>
      </w:r>
    </w:p>
    <w:p w:rsidR="00690838" w:rsidRPr="00714B19" w:rsidRDefault="00690838" w:rsidP="00690838">
      <w:pPr>
        <w:pStyle w:val="RKnormal"/>
      </w:pPr>
    </w:p>
    <w:p w:rsidR="00690838" w:rsidRPr="00714B19" w:rsidRDefault="00690838" w:rsidP="00690838">
      <w:pPr>
        <w:pStyle w:val="RKnormal"/>
      </w:pPr>
      <w:r w:rsidRPr="00714B19">
        <w:t>Med överförande av lagföring avses när en pågående brottsutredning flyttas från en stat till en annan för fortsatt utredning och eventuellt åtal. Den ökade gränsöverskridande brottsligheten och utveck</w:t>
      </w:r>
      <w:r w:rsidRPr="00714B19">
        <w:softHyphen/>
        <w:t>lingen av den inter</w:t>
      </w:r>
      <w:r w:rsidRPr="00714B19">
        <w:softHyphen/>
        <w:t>nationella straffrätten leder alltmer till konkurrerande juris</w:t>
      </w:r>
      <w:r w:rsidRPr="00714B19">
        <w:softHyphen/>
        <w:t>dik</w:t>
      </w:r>
      <w:r w:rsidRPr="00714B19">
        <w:softHyphen/>
        <w:t>tio</w:t>
      </w:r>
      <w:r w:rsidRPr="00714B19">
        <w:softHyphen/>
        <w:t>ner, dvs. att flera stater kan lagföra en person för samma gärning. Den fria rörligheten kan vidare innebära att en person som begår brott i en stat återvänder till sin hemviststat och det är inte alltid möjligt, eller rim</w:t>
      </w:r>
      <w:r w:rsidRPr="00714B19">
        <w:softHyphen/>
        <w:t>ligt, att använda sig av t.ex. den europeiska arreste</w:t>
      </w:r>
      <w:r w:rsidRPr="00714B19">
        <w:softHyphen/>
        <w:t>rings</w:t>
      </w:r>
      <w:r w:rsidRPr="00714B19">
        <w:softHyphen/>
        <w:t>ordern för att lag</w:t>
      </w:r>
      <w:r w:rsidRPr="00714B19">
        <w:softHyphen/>
        <w:t>föra personen i den stat brottet begåtts. Lag</w:t>
      </w:r>
      <w:r w:rsidRPr="00714B19">
        <w:softHyphen/>
        <w:t xml:space="preserve">föring bör i stället ske i det land som är bäst lämpat för det. Idag tillämpas olika </w:t>
      </w:r>
      <w:r w:rsidRPr="00714B19">
        <w:lastRenderedPageBreak/>
        <w:t>regelverk mellan med</w:t>
      </w:r>
      <w:r w:rsidRPr="00714B19">
        <w:softHyphen/>
        <w:t xml:space="preserve">lemsstaterna, vilket motverkar EU:s mål om ett gemensamt område för frihet, säkerhet och rättvisa.  </w:t>
      </w:r>
    </w:p>
    <w:p w:rsidR="00690838" w:rsidRPr="00714B19" w:rsidRDefault="00690838" w:rsidP="00BE0594">
      <w:pPr>
        <w:pStyle w:val="RKnormal"/>
      </w:pPr>
    </w:p>
    <w:p w:rsidR="00690838" w:rsidRPr="00714B19" w:rsidRDefault="00690838" w:rsidP="00BE0594">
      <w:pPr>
        <w:pStyle w:val="RKnormal"/>
      </w:pPr>
      <w:r w:rsidRPr="00714B19">
        <w:t>Ett utvecklat samarbete kring överförande av lagföring ska ses som ett komplement till det nuvarande straffrättsliga samarbetet. Åtgärden kan vara ett alternativ till mer repressiva åtgärder, t.ex. användning av den europeiska arresteringsordern, och kan leda till en sammanförd och effektivare lagföring av brott som utreds i olika med</w:t>
      </w:r>
      <w:r w:rsidRPr="00714B19">
        <w:softHyphen/>
        <w:t>lemsstater. En politisk överenskommelse träffades i april 2009 angående förslaget till rambeslut om förebyggande och lösning av jurisdiktionskonflikter. Rambeslutet reglerar informa</w:t>
      </w:r>
      <w:r w:rsidRPr="00714B19">
        <w:softHyphen/>
        <w:t>tions</w:t>
      </w:r>
      <w:r w:rsidRPr="00714B19">
        <w:softHyphen/>
        <w:t>utbyte och samråd mellan medlems</w:t>
      </w:r>
      <w:r w:rsidRPr="00714B19">
        <w:softHyphen/>
        <w:t>staterna när flera medlemsstater är behöriga att lagföra samma person för samma gärning. Rambeslutet berör dock endast en del av det samarbete som faller under området överför</w:t>
      </w:r>
      <w:r w:rsidRPr="00714B19">
        <w:softHyphen/>
        <w:t>ande av lagföring. Den svenska mål</w:t>
      </w:r>
      <w:r w:rsidRPr="00714B19">
        <w:softHyphen/>
        <w:t>sättningen är att ta fram en rättsakt som reglerar reste</w:t>
      </w:r>
      <w:r w:rsidRPr="00714B19">
        <w:softHyphen/>
        <w:t>rande del av samarbetsområdet för att skapa ett heltäckande regel</w:t>
      </w:r>
      <w:r w:rsidRPr="00714B19">
        <w:softHyphen/>
        <w:t>verk för hur och när ett över</w:t>
      </w:r>
      <w:r w:rsidRPr="00714B19">
        <w:softHyphen/>
        <w:t>förande av lagföring kan ske mellan medlemsstaterna. Ett gemensamt regelverk inom EU leder till effektivare brottsbekämpning, ökad förutsebarhet och stärkt rätts</w:t>
      </w:r>
      <w:r w:rsidRPr="00714B19">
        <w:softHyphen/>
        <w:t xml:space="preserve">säkerhet. </w:t>
      </w:r>
    </w:p>
    <w:p w:rsidR="00690838" w:rsidRPr="00714B19" w:rsidRDefault="00690838" w:rsidP="00BE0594">
      <w:pPr>
        <w:pStyle w:val="RKnormal"/>
      </w:pPr>
    </w:p>
    <w:p w:rsidR="00F46AF3" w:rsidRPr="00714B19" w:rsidRDefault="00B6217A">
      <w:pPr>
        <w:pStyle w:val="RKnormal"/>
      </w:pPr>
      <w:r w:rsidRPr="00714B19">
        <w:t xml:space="preserve">I juni 2009 lade Sverige fram ett förslag till rambeslut om överförande av lagföring tillsammans med 15 andra medlemsstater. Förhandlingar </w:t>
      </w:r>
      <w:r w:rsidR="00191D71" w:rsidRPr="00714B19">
        <w:t xml:space="preserve">i rådsarbetsgrupp </w:t>
      </w:r>
      <w:r w:rsidRPr="00714B19">
        <w:t xml:space="preserve">påbörjades i juli. </w:t>
      </w:r>
      <w:r w:rsidR="005D7BDD" w:rsidRPr="00714B19">
        <w:t>K</w:t>
      </w:r>
      <w:r w:rsidR="00191D71" w:rsidRPr="00714B19">
        <w:t>ommissionen</w:t>
      </w:r>
      <w:r w:rsidR="005D7BDD" w:rsidRPr="00714B19">
        <w:t xml:space="preserve">, Eurojust och en majoritet av medlemsstaterna är positiva till att samarbetet utvidgas till detta område. </w:t>
      </w:r>
    </w:p>
    <w:p w:rsidR="005D7BDD" w:rsidRPr="00714B19" w:rsidRDefault="005D7BDD">
      <w:pPr>
        <w:pStyle w:val="RKnormal"/>
      </w:pPr>
    </w:p>
    <w:p w:rsidR="005D7BDD" w:rsidRPr="00714B19" w:rsidRDefault="005D7BDD">
      <w:pPr>
        <w:pStyle w:val="RKnormal"/>
      </w:pPr>
      <w:r w:rsidRPr="00714B19">
        <w:t xml:space="preserve">Syftet med behandlingen i </w:t>
      </w:r>
      <w:r w:rsidR="00191D71" w:rsidRPr="00714B19">
        <w:t>rådet</w:t>
      </w:r>
      <w:r w:rsidRPr="00714B19">
        <w:t xml:space="preserve"> är </w:t>
      </w:r>
      <w:r w:rsidR="0083670F" w:rsidRPr="00714B19">
        <w:t xml:space="preserve">dels att fastställa att medlemsstaterna </w:t>
      </w:r>
      <w:r w:rsidR="004C4416" w:rsidRPr="00714B19">
        <w:t>anser att det finns behov</w:t>
      </w:r>
      <w:r w:rsidR="0083670F" w:rsidRPr="00714B19">
        <w:t xml:space="preserve"> av ett instrument p</w:t>
      </w:r>
      <w:r w:rsidR="004C4416" w:rsidRPr="00714B19">
        <w:t xml:space="preserve">å området </w:t>
      </w:r>
      <w:r w:rsidR="0083670F" w:rsidRPr="00714B19">
        <w:t xml:space="preserve">och dels att få bekräftelse på den enighet som uppnåtts beträffande själva </w:t>
      </w:r>
      <w:r w:rsidR="00A75A5A" w:rsidRPr="00714B19">
        <w:t xml:space="preserve">formerna för </w:t>
      </w:r>
      <w:r w:rsidR="0083670F" w:rsidRPr="00714B19">
        <w:t>samarbetet.</w:t>
      </w:r>
    </w:p>
    <w:p w:rsidR="00F24435" w:rsidRPr="00714B19" w:rsidRDefault="00F24435">
      <w:pPr>
        <w:pStyle w:val="RKrubrik"/>
      </w:pPr>
      <w:r w:rsidRPr="00714B19">
        <w:t>Rättslig grund och beslutsförfarande</w:t>
      </w:r>
    </w:p>
    <w:p w:rsidR="00F24435" w:rsidRPr="00714B19" w:rsidRDefault="009C2F01">
      <w:pPr>
        <w:pStyle w:val="RKnormal"/>
      </w:pPr>
      <w:r w:rsidRPr="00714B19">
        <w:t>Artikel 31.1 a och c i fördraget. Rambeslutet antas med enhällighet.</w:t>
      </w:r>
    </w:p>
    <w:p w:rsidR="00F24435" w:rsidRPr="00714B19" w:rsidRDefault="00F24435">
      <w:pPr>
        <w:pStyle w:val="RKrubrik"/>
        <w:rPr>
          <w:i/>
          <w:iCs/>
        </w:rPr>
      </w:pPr>
      <w:r w:rsidRPr="00714B19">
        <w:rPr>
          <w:i/>
          <w:iCs/>
        </w:rPr>
        <w:t>Svensk ståndpunkt</w:t>
      </w:r>
    </w:p>
    <w:p w:rsidR="00277FD7" w:rsidRPr="00714B19" w:rsidRDefault="00277FD7" w:rsidP="00277FD7">
      <w:pPr>
        <w:pStyle w:val="RKnormal"/>
      </w:pPr>
    </w:p>
    <w:p w:rsidR="00277FD7" w:rsidRPr="00714B19" w:rsidRDefault="00277FD7" w:rsidP="00277FD7">
      <w:pPr>
        <w:pStyle w:val="RKnormal"/>
      </w:pPr>
      <w:r w:rsidRPr="00714B19">
        <w:t>Målsättningen bör vara att skapa ett praktiskt tillämpbart samarbets</w:t>
      </w:r>
      <w:r w:rsidRPr="00714B19">
        <w:softHyphen/>
        <w:t>instrument som skapar mervärde i det straffrättsliga samarbetet genom att leda till en sammanförd och effektivare lagföring av brott.</w:t>
      </w:r>
      <w:r w:rsidR="00392A1D" w:rsidRPr="00714B19">
        <w:t xml:space="preserve"> </w:t>
      </w:r>
    </w:p>
    <w:p w:rsidR="00F24435" w:rsidRPr="00714B19" w:rsidRDefault="00F24435">
      <w:pPr>
        <w:pStyle w:val="RKrubrik"/>
      </w:pPr>
      <w:r w:rsidRPr="00714B19">
        <w:t>Europaparlamentets inställning</w:t>
      </w:r>
    </w:p>
    <w:p w:rsidR="00F24435" w:rsidRPr="00714B19" w:rsidRDefault="005D06A3">
      <w:pPr>
        <w:pStyle w:val="RKnormal"/>
      </w:pPr>
      <w:r w:rsidRPr="00714B19">
        <w:t>Förslaget till rambeslut har överlämnats till Europaparlamentet, som ännu inte har yttrat sig över det.</w:t>
      </w:r>
    </w:p>
    <w:p w:rsidR="00F24435" w:rsidRPr="00714B19" w:rsidRDefault="00F24435">
      <w:pPr>
        <w:pStyle w:val="RKrubrik"/>
        <w:rPr>
          <w:i/>
          <w:iCs/>
        </w:rPr>
      </w:pPr>
      <w:r w:rsidRPr="00714B19">
        <w:rPr>
          <w:i/>
          <w:iCs/>
        </w:rPr>
        <w:t>Förslaget</w:t>
      </w:r>
    </w:p>
    <w:p w:rsidR="00F37E42" w:rsidRPr="00714B19" w:rsidRDefault="00184C15">
      <w:pPr>
        <w:pStyle w:val="RKnormal"/>
      </w:pPr>
      <w:r w:rsidRPr="00714B19">
        <w:t xml:space="preserve">Under vissa närmare angivna förutsättningar ska en brottsbekämpande myndighet i en medlemsstat kunna begära att en myndighet i en annan </w:t>
      </w:r>
      <w:r w:rsidR="005371A5" w:rsidRPr="00714B19">
        <w:t>medlems</w:t>
      </w:r>
      <w:r w:rsidRPr="00714B19">
        <w:t>stat tar över lagföringen av en viss gärning</w:t>
      </w:r>
      <w:r w:rsidR="007E66BD" w:rsidRPr="00714B19">
        <w:t xml:space="preserve">. För att </w:t>
      </w:r>
      <w:r w:rsidR="009C2187" w:rsidRPr="00714B19">
        <w:t xml:space="preserve">ett </w:t>
      </w:r>
      <w:r w:rsidR="007E66BD" w:rsidRPr="00714B19">
        <w:t xml:space="preserve">överförande ska kunna ske krävs att </w:t>
      </w:r>
      <w:r w:rsidR="00544220" w:rsidRPr="00714B19">
        <w:t xml:space="preserve">ett överförande medför </w:t>
      </w:r>
      <w:r w:rsidR="007E66BD" w:rsidRPr="00714B19">
        <w:t xml:space="preserve"> effektivare förfarande och en </w:t>
      </w:r>
      <w:r w:rsidR="00221C57" w:rsidRPr="00714B19">
        <w:t>förbättrad</w:t>
      </w:r>
      <w:r w:rsidR="007E66BD" w:rsidRPr="00714B19">
        <w:t xml:space="preserve"> rättskipning</w:t>
      </w:r>
      <w:r w:rsidR="00544220" w:rsidRPr="00714B19">
        <w:t xml:space="preserve"> samt att </w:t>
      </w:r>
      <w:r w:rsidR="00F37E42" w:rsidRPr="00714B19">
        <w:t xml:space="preserve"> </w:t>
      </w:r>
      <w:r w:rsidR="007E66BD" w:rsidRPr="00714B19">
        <w:t xml:space="preserve">t.ex. </w:t>
      </w:r>
      <w:r w:rsidR="00F37E42" w:rsidRPr="00714B19">
        <w:t xml:space="preserve"> brottet har begåtts på den andra statens territorium, den misstänkt</w:t>
      </w:r>
      <w:r w:rsidR="006C2F82" w:rsidRPr="00714B19">
        <w:t>e</w:t>
      </w:r>
      <w:r w:rsidR="00F37E42" w:rsidRPr="00714B19">
        <w:t xml:space="preserve"> gärningsmannen bor i den staten eller det redan pågår straffrättsliga förfaranden mot den misstänkte i den andra staten</w:t>
      </w:r>
      <w:r w:rsidR="007E66BD" w:rsidRPr="00714B19">
        <w:t>. Ett överförande förutsätter att</w:t>
      </w:r>
      <w:r w:rsidR="005371A5" w:rsidRPr="00714B19">
        <w:t xml:space="preserve"> det finns en misstänkt gärningsman och </w:t>
      </w:r>
      <w:r w:rsidR="00F20C9F" w:rsidRPr="00714B19">
        <w:t xml:space="preserve">att </w:t>
      </w:r>
      <w:r w:rsidR="00F37E42" w:rsidRPr="00714B19">
        <w:t xml:space="preserve">gärningen </w:t>
      </w:r>
      <w:r w:rsidR="00F20C9F" w:rsidRPr="00714B19">
        <w:t xml:space="preserve">är </w:t>
      </w:r>
      <w:r w:rsidR="00F37E42" w:rsidRPr="00714B19">
        <w:t>straffbar i båda staterna</w:t>
      </w:r>
      <w:r w:rsidR="005371A5" w:rsidRPr="00714B19">
        <w:t xml:space="preserve">. </w:t>
      </w:r>
    </w:p>
    <w:p w:rsidR="00C80F02" w:rsidRPr="00714B19" w:rsidRDefault="00C80F02">
      <w:pPr>
        <w:pStyle w:val="RKnormal"/>
      </w:pPr>
    </w:p>
    <w:p w:rsidR="00C80F02" w:rsidRPr="00714B19" w:rsidRDefault="00C80F02">
      <w:pPr>
        <w:pStyle w:val="RKnormal"/>
      </w:pPr>
      <w:r w:rsidRPr="00714B19">
        <w:t>I de fall den medlemsstat som ska ta över lagföringen inte redan från början har juris</w:t>
      </w:r>
      <w:r w:rsidRPr="00714B19">
        <w:softHyphen/>
        <w:t>dik</w:t>
      </w:r>
      <w:r w:rsidRPr="00714B19">
        <w:softHyphen/>
        <w:t xml:space="preserve">tion över gärningen, dvs. behörighet att </w:t>
      </w:r>
      <w:r w:rsidR="00544220" w:rsidRPr="00714B19">
        <w:t xml:space="preserve">döma över </w:t>
      </w:r>
      <w:r w:rsidRPr="00714B19">
        <w:t xml:space="preserve">gärningen </w:t>
      </w:r>
      <w:r w:rsidR="00544220" w:rsidRPr="00714B19">
        <w:t>vid</w:t>
      </w:r>
      <w:r w:rsidRPr="00714B19">
        <w:t xml:space="preserve"> domstol, tillskapas jurisdiktion om ett överförande sker.</w:t>
      </w:r>
    </w:p>
    <w:p w:rsidR="00F37E42" w:rsidRPr="00714B19" w:rsidRDefault="00F37E42">
      <w:pPr>
        <w:pStyle w:val="RKnormal"/>
      </w:pPr>
    </w:p>
    <w:p w:rsidR="009A1601" w:rsidRPr="00714B19" w:rsidRDefault="00F37E42">
      <w:pPr>
        <w:pStyle w:val="RKnormal"/>
      </w:pPr>
      <w:r w:rsidRPr="00714B19">
        <w:t xml:space="preserve">Innan en ansökan om överförande av lagföring görs ska den misstänkte, liksom brottsoffret, som regel informeras om det tänkta överförandet. </w:t>
      </w:r>
      <w:r w:rsidR="009A1601" w:rsidRPr="00714B19">
        <w:t xml:space="preserve">Myndigheterna i medlemsstaterna ska ha direktkontakt med varandra och kan samråda på informell basis innan ett formellt förfarande tar vid. </w:t>
      </w:r>
      <w:r w:rsidR="00681F42" w:rsidRPr="00714B19">
        <w:t xml:space="preserve">Ansökan görs genom </w:t>
      </w:r>
      <w:r w:rsidR="009C2187" w:rsidRPr="00714B19">
        <w:t>ett särskilt upprättat</w:t>
      </w:r>
      <w:r w:rsidR="00681F42" w:rsidRPr="00714B19">
        <w:t xml:space="preserve"> formulär, som översätts innan det översänds. </w:t>
      </w:r>
    </w:p>
    <w:p w:rsidR="009A1601" w:rsidRPr="00714B19" w:rsidRDefault="009A1601">
      <w:pPr>
        <w:pStyle w:val="RKnormal"/>
      </w:pPr>
    </w:p>
    <w:p w:rsidR="00184C15" w:rsidRPr="00714B19" w:rsidRDefault="005371A5">
      <w:pPr>
        <w:pStyle w:val="RKnormal"/>
      </w:pPr>
      <w:r w:rsidRPr="00714B19">
        <w:t>Den mottagande myndigheten har vissa möjligheter att vägra ta emot lagföringen</w:t>
      </w:r>
      <w:r w:rsidR="00D10325" w:rsidRPr="00714B19">
        <w:t xml:space="preserve">, dels om det saknas förutsättningar att åtala gärningen på grund av att gärningen t.ex. är preskriberad eller den misstänkte är minderårig, och dels om den mottagande myndigheten bedömer att ett överförande inte skulle leda till </w:t>
      </w:r>
      <w:r w:rsidR="009C2187" w:rsidRPr="00714B19">
        <w:t xml:space="preserve">ett effektivare förfarande </w:t>
      </w:r>
      <w:r w:rsidR="006C2F82" w:rsidRPr="00714B19">
        <w:t>och</w:t>
      </w:r>
      <w:r w:rsidR="009C2187" w:rsidRPr="00714B19">
        <w:t xml:space="preserve"> </w:t>
      </w:r>
      <w:r w:rsidR="00D10325" w:rsidRPr="00714B19">
        <w:t>en förbättrad rättskipning</w:t>
      </w:r>
      <w:r w:rsidRPr="00714B19">
        <w:t>.</w:t>
      </w:r>
      <w:r w:rsidR="006C2F82" w:rsidRPr="00714B19">
        <w:t xml:space="preserve"> Möjlighet att konsultera Eurojust och det rättsliga nätverket i ett enskilt ärende finns. </w:t>
      </w:r>
    </w:p>
    <w:p w:rsidR="00F24435" w:rsidRPr="00714B19" w:rsidRDefault="00F24435">
      <w:pPr>
        <w:pStyle w:val="RKrubrik"/>
        <w:rPr>
          <w:i/>
          <w:iCs/>
        </w:rPr>
      </w:pPr>
      <w:r w:rsidRPr="00714B19">
        <w:rPr>
          <w:i/>
          <w:iCs/>
        </w:rPr>
        <w:t>Gällande svenska regler och förslagets effekter på dessa</w:t>
      </w:r>
    </w:p>
    <w:p w:rsidR="006C2F82" w:rsidRPr="00714B19" w:rsidRDefault="006C2F82" w:rsidP="006C2F82">
      <w:pPr>
        <w:pStyle w:val="RKnormal"/>
      </w:pPr>
      <w:r w:rsidRPr="00714B19">
        <w:t>Bestämmelser om överförande av lagföring finns i lagen (1976:19) om internationellt samarbete rörande lagföring för brott. Lagen gäller endast i förhållande till de stater som har tillträtt 1972 års europeiska lag</w:t>
      </w:r>
      <w:r w:rsidRPr="00714B19">
        <w:softHyphen/>
        <w:t>förings</w:t>
      </w:r>
      <w:r w:rsidRPr="00714B19">
        <w:softHyphen/>
        <w:t>konvention. Denna konvention används relativt sällan eftersom endast ett fåtal stater har ratificerat den. Den anses också vara komplicerad. Totalt har 13 EU-stater tillträtt konventionen, inklu</w:t>
      </w:r>
      <w:r w:rsidRPr="00714B19">
        <w:softHyphen/>
        <w:t xml:space="preserve">sive Sverige. </w:t>
      </w:r>
    </w:p>
    <w:p w:rsidR="006C2F82" w:rsidRPr="00714B19" w:rsidRDefault="006C2F82" w:rsidP="006C2F82">
      <w:pPr>
        <w:pStyle w:val="RKnormal"/>
      </w:pPr>
    </w:p>
    <w:p w:rsidR="006C2F82" w:rsidRPr="00714B19" w:rsidRDefault="006C2F82" w:rsidP="006C2F82">
      <w:pPr>
        <w:pStyle w:val="RKnormal"/>
      </w:pPr>
      <w:r w:rsidRPr="00714B19">
        <w:t xml:space="preserve">Inom </w:t>
      </w:r>
      <w:r w:rsidR="00FA7AA0" w:rsidRPr="00714B19">
        <w:t>N</w:t>
      </w:r>
      <w:r w:rsidRPr="00714B19">
        <w:t xml:space="preserve">orden sker ett mer formlöst samarbete i dessa frågor, baserat på ett </w:t>
      </w:r>
      <w:r w:rsidR="00FA7AA0" w:rsidRPr="00714B19">
        <w:t>n</w:t>
      </w:r>
      <w:r w:rsidRPr="00714B19">
        <w:t xml:space="preserve">ordiskt samarbetsavtal. </w:t>
      </w:r>
    </w:p>
    <w:p w:rsidR="006C2F82" w:rsidRPr="00714B19" w:rsidRDefault="006C2F82" w:rsidP="006C2F82">
      <w:pPr>
        <w:pStyle w:val="RKnormal"/>
      </w:pPr>
    </w:p>
    <w:p w:rsidR="00F24435" w:rsidRPr="00714B19" w:rsidRDefault="006C2F82" w:rsidP="006C2F82">
      <w:pPr>
        <w:pStyle w:val="RKnormal"/>
      </w:pPr>
      <w:r w:rsidRPr="00714B19">
        <w:t>Ett överförande av lagföring kan också komma till stånd utan att det finns en konvention. En förutsättning för detta är att den berörda statens nationella lagstiftning möjlig</w:t>
      </w:r>
      <w:r w:rsidRPr="00714B19">
        <w:softHyphen/>
        <w:t>gör det. För att lag</w:t>
      </w:r>
      <w:r w:rsidRPr="00714B19">
        <w:softHyphen/>
        <w:t>föring ska kunna ske i Sverige i dessa fall krävs att svensk domstol är be</w:t>
      </w:r>
      <w:r w:rsidRPr="00714B19">
        <w:softHyphen/>
        <w:t>hörig enligt bestäm</w:t>
      </w:r>
      <w:r w:rsidRPr="00714B19">
        <w:softHyphen/>
        <w:t>mel</w:t>
      </w:r>
      <w:r w:rsidRPr="00714B19">
        <w:softHyphen/>
        <w:t>serna i 2 kap. brottsbalken. I sådana fall tillämpas endast de vanliga straff</w:t>
      </w:r>
      <w:r w:rsidRPr="00714B19">
        <w:softHyphen/>
        <w:t>processuella reglerna. Det är alltså inte möjligt att överföra juris</w:t>
      </w:r>
      <w:r w:rsidRPr="00714B19">
        <w:softHyphen/>
        <w:t>dik</w:t>
      </w:r>
      <w:r w:rsidRPr="00714B19">
        <w:softHyphen/>
        <w:t>tion till en annan stat i dessa fall.</w:t>
      </w:r>
    </w:p>
    <w:p w:rsidR="0033523B" w:rsidRPr="00714B19" w:rsidRDefault="0033523B" w:rsidP="006C2F82">
      <w:pPr>
        <w:pStyle w:val="RKnormal"/>
      </w:pPr>
    </w:p>
    <w:p w:rsidR="0033523B" w:rsidRPr="00714B19" w:rsidRDefault="0033523B" w:rsidP="006C2F82">
      <w:pPr>
        <w:pStyle w:val="RKnormal"/>
      </w:pPr>
      <w:r w:rsidRPr="00714B19">
        <w:t xml:space="preserve">Genomförandet av rambeslutet kommer att kräva ny lagstiftning. </w:t>
      </w:r>
      <w:r w:rsidR="003D2DC7" w:rsidRPr="00714B19">
        <w:t xml:space="preserve">Det finns </w:t>
      </w:r>
      <w:r w:rsidR="00384436" w:rsidRPr="00714B19">
        <w:t xml:space="preserve">visserligen </w:t>
      </w:r>
      <w:r w:rsidR="003D2DC7" w:rsidRPr="00714B19">
        <w:t>redan</w:t>
      </w:r>
      <w:r w:rsidRPr="00714B19">
        <w:t xml:space="preserve"> </w:t>
      </w:r>
      <w:r w:rsidR="00912A40" w:rsidRPr="00714B19">
        <w:t>förfarande</w:t>
      </w:r>
      <w:r w:rsidR="003D2DC7" w:rsidRPr="00714B19">
        <w:t>regler</w:t>
      </w:r>
      <w:r w:rsidR="00912A40" w:rsidRPr="00714B19">
        <w:t xml:space="preserve"> för</w:t>
      </w:r>
      <w:r w:rsidRPr="00714B19">
        <w:t xml:space="preserve"> </w:t>
      </w:r>
      <w:r w:rsidR="003D2DC7" w:rsidRPr="00714B19">
        <w:t>överförande av lagföring</w:t>
      </w:r>
      <w:r w:rsidR="00912A40" w:rsidRPr="00714B19">
        <w:t>,</w:t>
      </w:r>
      <w:r w:rsidR="003D2DC7" w:rsidRPr="00714B19">
        <w:t xml:space="preserve"> men bestämmelserna är </w:t>
      </w:r>
      <w:r w:rsidR="00912A40" w:rsidRPr="00714B19">
        <w:t>särskilt utformade för tillämpning av lagförings</w:t>
      </w:r>
      <w:r w:rsidR="00912A40" w:rsidRPr="00714B19">
        <w:softHyphen/>
        <w:t xml:space="preserve">konventionen, och lagen gäller endast </w:t>
      </w:r>
      <w:r w:rsidRPr="00714B19">
        <w:t>i förhållande till de medlemsstater som tillträtt</w:t>
      </w:r>
      <w:r w:rsidR="00912A40" w:rsidRPr="00714B19">
        <w:t xml:space="preserve"> konventionen</w:t>
      </w:r>
      <w:r w:rsidR="003F761D" w:rsidRPr="00714B19">
        <w:t xml:space="preserve">. </w:t>
      </w:r>
      <w:r w:rsidR="003D2DC7" w:rsidRPr="00714B19">
        <w:t xml:space="preserve">Dessutom innebär rambeslutet även ett visst utvidgat samarbete, </w:t>
      </w:r>
      <w:r w:rsidR="00912A40" w:rsidRPr="00714B19">
        <w:t xml:space="preserve">avseende </w:t>
      </w:r>
      <w:r w:rsidR="00E54C8B" w:rsidRPr="00714B19">
        <w:t xml:space="preserve">t.ex. </w:t>
      </w:r>
      <w:r w:rsidR="00912A40" w:rsidRPr="00714B19">
        <w:t xml:space="preserve">tillskapande av jurisdiktion, </w:t>
      </w:r>
      <w:r w:rsidR="003D2DC7" w:rsidRPr="00714B19">
        <w:t xml:space="preserve">för vilket särskilda bestämmelser kommer att behöva utarbetas. </w:t>
      </w:r>
      <w:r w:rsidR="003F761D" w:rsidRPr="00714B19">
        <w:t>Det</w:t>
      </w:r>
      <w:r w:rsidRPr="00714B19">
        <w:t xml:space="preserve"> nordiska </w:t>
      </w:r>
      <w:r w:rsidR="003F761D" w:rsidRPr="00714B19">
        <w:t xml:space="preserve">samarbetet </w:t>
      </w:r>
      <w:r w:rsidRPr="00714B19">
        <w:t>kommer inte att påverkas av förslaget då rambeslutet anger att medlemsstaterna även fortsatt kan tillämpa de bilaterala eller multilaterala avtal som gäller vid antagandet av rambeslutet, förutsatt att de ytterligare förenklar och underlättar samarbetet på detta område.</w:t>
      </w:r>
    </w:p>
    <w:p w:rsidR="00F24435" w:rsidRPr="00714B19" w:rsidRDefault="00F24435">
      <w:pPr>
        <w:pStyle w:val="RKrubrik"/>
      </w:pPr>
      <w:r w:rsidRPr="00714B19">
        <w:t>Ekonomiska konsekvenser</w:t>
      </w:r>
    </w:p>
    <w:p w:rsidR="00F24435" w:rsidRPr="00714B19" w:rsidRDefault="009E08CB">
      <w:pPr>
        <w:pStyle w:val="RKnormal"/>
      </w:pPr>
      <w:r w:rsidRPr="00714B19">
        <w:t>Det är i dagsläget inte möjligt att närmare bedöma vilka budgetära kon</w:t>
      </w:r>
      <w:r w:rsidRPr="00714B19">
        <w:softHyphen/>
        <w:t>sekvenser förslaget kan få. Sverige ska verka för budgetrestriktiva lös</w:t>
      </w:r>
      <w:r w:rsidRPr="00714B19">
        <w:softHyphen/>
        <w:t>ningar. Eventuella budgetära konsekvenser, såväl nationella som inom EU, ska finansieras inom befintlig budgetram.</w:t>
      </w:r>
    </w:p>
    <w:p w:rsidR="00F24435" w:rsidRPr="00714B19" w:rsidRDefault="00F24435">
      <w:pPr>
        <w:pStyle w:val="RKrubrik"/>
      </w:pPr>
      <w:r w:rsidRPr="00714B19">
        <w:t>Övrigt</w:t>
      </w:r>
    </w:p>
    <w:p w:rsidR="00577FD3" w:rsidRPr="00714B19" w:rsidRDefault="00577FD3" w:rsidP="00577FD3">
      <w:pPr>
        <w:pStyle w:val="RKnormal"/>
      </w:pPr>
      <w:r w:rsidRPr="00714B19">
        <w:t>-</w:t>
      </w:r>
    </w:p>
    <w:p w:rsidR="00F24435" w:rsidRPr="00714B19" w:rsidRDefault="00F24435">
      <w:pPr>
        <w:pStyle w:val="RKnormal"/>
      </w:pPr>
    </w:p>
    <w:p w:rsidR="00F24435" w:rsidRPr="00714B19" w:rsidRDefault="00F24435">
      <w:pPr>
        <w:pStyle w:val="RKnormal"/>
        <w:rPr>
          <w:i/>
          <w:iCs/>
        </w:rPr>
      </w:pPr>
    </w:p>
    <w:p w:rsidR="00F24435" w:rsidRPr="00714B19" w:rsidRDefault="00F24435">
      <w:pPr>
        <w:pStyle w:val="RKnormal"/>
        <w:ind w:left="-1134"/>
      </w:pPr>
    </w:p>
    <w:p w:rsidR="006E4E11" w:rsidRPr="00714B19" w:rsidRDefault="006E4E11">
      <w:pPr>
        <w:pStyle w:val="RKrubrik"/>
        <w:spacing w:before="0" w:after="0"/>
      </w:pPr>
    </w:p>
    <w:p w:rsidR="006E4E11" w:rsidRPr="00714B19" w:rsidRDefault="006E4E11">
      <w:pPr>
        <w:pStyle w:val="RKnormal"/>
      </w:pPr>
    </w:p>
    <w:p w:rsidR="00F24435" w:rsidRPr="00714B19" w:rsidRDefault="00F24435">
      <w:pPr>
        <w:pStyle w:val="RKnormal"/>
      </w:pPr>
    </w:p>
    <w:sectPr w:rsidR="00F24435" w:rsidRPr="00714B19">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8776F" w:rsidRPr="00714B19" w:rsidRDefault="0088776F">
      <w:r w:rsidRPr="00714B19">
        <w:separator/>
      </w:r>
    </w:p>
  </w:endnote>
  <w:endnote w:type="continuationSeparator" w:id="0">
    <w:p w:rsidR="0088776F" w:rsidRPr="00714B19" w:rsidRDefault="0088776F">
      <w:r w:rsidRPr="00714B1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8776F" w:rsidRPr="00714B19" w:rsidRDefault="0088776F">
      <w:r w:rsidRPr="00714B19">
        <w:separator/>
      </w:r>
    </w:p>
  </w:footnote>
  <w:footnote w:type="continuationSeparator" w:id="0">
    <w:p w:rsidR="0088776F" w:rsidRPr="00714B19" w:rsidRDefault="0088776F">
      <w:r w:rsidRPr="00714B1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D71" w:rsidRPr="00714B19" w:rsidRDefault="00191D71">
    <w:pPr>
      <w:pStyle w:val="Sidhuvud"/>
      <w:framePr w:wrap="around" w:vAnchor="text" w:hAnchor="margin" w:xAlign="right" w:y="1"/>
      <w:rPr>
        <w:rStyle w:val="Sidnummer"/>
      </w:rPr>
    </w:pPr>
    <w:r w:rsidRPr="00714B19">
      <w:rPr>
        <w:rStyle w:val="Sidnummer"/>
      </w:rPr>
      <w:fldChar w:fldCharType="begin" w:fldLock="1"/>
    </w:r>
    <w:r w:rsidRPr="00714B19">
      <w:rPr>
        <w:rStyle w:val="Sidnummer"/>
      </w:rPr>
      <w:instrText xml:space="preserve">PAGE  </w:instrText>
    </w:r>
    <w:r w:rsidRPr="00714B19">
      <w:rPr>
        <w:rStyle w:val="Sidnummer"/>
      </w:rPr>
      <w:fldChar w:fldCharType="separate"/>
    </w:r>
    <w:r w:rsidR="008F0828" w:rsidRPr="00714B19">
      <w:rPr>
        <w:rStyle w:val="Sidnummer"/>
      </w:rPr>
      <w:t>1</w:t>
    </w:r>
    <w:r w:rsidRPr="00714B19">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191D71" w:rsidRPr="00714B19">
      <w:tblPrEx>
        <w:tblCellMar>
          <w:top w:w="0" w:type="dxa"/>
          <w:bottom w:w="0" w:type="dxa"/>
        </w:tblCellMar>
      </w:tblPrEx>
      <w:trPr>
        <w:cantSplit/>
      </w:trPr>
      <w:tc>
        <w:tcPr>
          <w:tcW w:w="3119" w:type="dxa"/>
        </w:tcPr>
        <w:p w:rsidR="00191D71" w:rsidRPr="00714B19" w:rsidRDefault="00191D71">
          <w:pPr>
            <w:pStyle w:val="Sidhuvud"/>
            <w:spacing w:line="200" w:lineRule="atLeast"/>
            <w:ind w:right="357"/>
            <w:rPr>
              <w:rFonts w:ascii="TradeGothic" w:hAnsi="TradeGothic"/>
              <w:b/>
              <w:bCs/>
              <w:sz w:val="16"/>
            </w:rPr>
          </w:pPr>
        </w:p>
      </w:tc>
      <w:tc>
        <w:tcPr>
          <w:tcW w:w="4111" w:type="dxa"/>
          <w:tcMar>
            <w:left w:w="567" w:type="dxa"/>
          </w:tcMar>
        </w:tcPr>
        <w:p w:rsidR="00191D71" w:rsidRPr="00714B19" w:rsidRDefault="00191D71">
          <w:pPr>
            <w:pStyle w:val="Sidhuvud"/>
            <w:ind w:right="360"/>
          </w:pPr>
        </w:p>
      </w:tc>
      <w:tc>
        <w:tcPr>
          <w:tcW w:w="1525" w:type="dxa"/>
        </w:tcPr>
        <w:p w:rsidR="00191D71" w:rsidRPr="00714B19" w:rsidRDefault="00191D71">
          <w:pPr>
            <w:pStyle w:val="Sidhuvud"/>
            <w:ind w:right="360"/>
          </w:pPr>
        </w:p>
      </w:tc>
    </w:tr>
  </w:tbl>
  <w:p w:rsidR="00191D71" w:rsidRPr="00714B19" w:rsidRDefault="00191D71">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D71" w:rsidRPr="00714B19" w:rsidRDefault="00191D71">
    <w:pPr>
      <w:pStyle w:val="Sidhuvud"/>
      <w:framePr w:wrap="around" w:vAnchor="text" w:hAnchor="margin" w:xAlign="right" w:y="1"/>
      <w:rPr>
        <w:rStyle w:val="Sidnummer"/>
      </w:rPr>
    </w:pPr>
    <w:r w:rsidRPr="00714B19">
      <w:rPr>
        <w:rStyle w:val="Sidnummer"/>
      </w:rPr>
      <w:fldChar w:fldCharType="begin" w:fldLock="1"/>
    </w:r>
    <w:r w:rsidRPr="00714B19">
      <w:rPr>
        <w:rStyle w:val="Sidnummer"/>
      </w:rPr>
      <w:instrText xml:space="preserve">PAGE  </w:instrText>
    </w:r>
    <w:r w:rsidRPr="00714B19">
      <w:rPr>
        <w:rStyle w:val="Sidnummer"/>
      </w:rPr>
      <w:fldChar w:fldCharType="separate"/>
    </w:r>
    <w:r w:rsidR="008F0828" w:rsidRPr="00714B19">
      <w:rPr>
        <w:rStyle w:val="Sidnummer"/>
      </w:rPr>
      <w:t>1</w:t>
    </w:r>
    <w:r w:rsidRPr="00714B19">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191D71" w:rsidRPr="00714B19">
      <w:tblPrEx>
        <w:tblCellMar>
          <w:top w:w="0" w:type="dxa"/>
          <w:bottom w:w="0" w:type="dxa"/>
        </w:tblCellMar>
      </w:tblPrEx>
      <w:trPr>
        <w:cantSplit/>
      </w:trPr>
      <w:tc>
        <w:tcPr>
          <w:tcW w:w="3119" w:type="dxa"/>
        </w:tcPr>
        <w:p w:rsidR="00191D71" w:rsidRPr="00714B19" w:rsidRDefault="00191D71">
          <w:pPr>
            <w:pStyle w:val="Sidhuvud"/>
            <w:spacing w:line="200" w:lineRule="atLeast"/>
            <w:ind w:right="357"/>
            <w:rPr>
              <w:rFonts w:ascii="TradeGothic" w:hAnsi="TradeGothic"/>
              <w:b/>
              <w:bCs/>
              <w:sz w:val="16"/>
            </w:rPr>
          </w:pPr>
        </w:p>
      </w:tc>
      <w:tc>
        <w:tcPr>
          <w:tcW w:w="4111" w:type="dxa"/>
          <w:tcMar>
            <w:left w:w="567" w:type="dxa"/>
          </w:tcMar>
        </w:tcPr>
        <w:p w:rsidR="00191D71" w:rsidRPr="00714B19" w:rsidRDefault="00191D71">
          <w:pPr>
            <w:pStyle w:val="Sidhuvud"/>
            <w:ind w:right="360"/>
          </w:pPr>
        </w:p>
      </w:tc>
      <w:tc>
        <w:tcPr>
          <w:tcW w:w="1525" w:type="dxa"/>
        </w:tcPr>
        <w:p w:rsidR="00191D71" w:rsidRPr="00714B19" w:rsidRDefault="00191D71">
          <w:pPr>
            <w:pStyle w:val="Sidhuvud"/>
            <w:ind w:right="360"/>
          </w:pPr>
        </w:p>
      </w:tc>
    </w:tr>
  </w:tbl>
  <w:p w:rsidR="00191D71" w:rsidRPr="00714B19" w:rsidRDefault="00191D71">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D71" w:rsidRPr="00714B19" w:rsidRDefault="00714B19">
    <w:pPr>
      <w:framePr w:w="2948" w:h="1321" w:hRule="exact" w:wrap="notBeside" w:vAnchor="page" w:hAnchor="page" w:x="1362" w:y="653"/>
    </w:pPr>
    <w:r w:rsidRPr="00714B19">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191D71" w:rsidRPr="00714B19" w:rsidRDefault="00191D71">
    <w:pPr>
      <w:pStyle w:val="RKrubrik"/>
      <w:keepNext w:val="0"/>
      <w:tabs>
        <w:tab w:val="clear" w:pos="1134"/>
        <w:tab w:val="clear" w:pos="2835"/>
      </w:tabs>
      <w:spacing w:before="0" w:after="0" w:line="320" w:lineRule="atLeast"/>
      <w:rPr>
        <w:bCs/>
      </w:rPr>
    </w:pPr>
  </w:p>
  <w:p w:rsidR="00191D71" w:rsidRPr="00714B19" w:rsidRDefault="00191D71">
    <w:pPr>
      <w:rPr>
        <w:rFonts w:ascii="TradeGothic" w:hAnsi="TradeGothic"/>
        <w:b/>
        <w:bCs/>
        <w:spacing w:val="12"/>
        <w:sz w:val="22"/>
      </w:rPr>
    </w:pPr>
  </w:p>
  <w:p w:rsidR="00191D71" w:rsidRPr="00714B19" w:rsidRDefault="00191D71">
    <w:pPr>
      <w:pStyle w:val="RKrubrik"/>
      <w:keepNext w:val="0"/>
      <w:tabs>
        <w:tab w:val="clear" w:pos="1134"/>
        <w:tab w:val="clear" w:pos="2835"/>
      </w:tabs>
      <w:spacing w:before="0" w:after="0" w:line="320" w:lineRule="atLeast"/>
      <w:rPr>
        <w:bCs/>
      </w:rPr>
    </w:pPr>
  </w:p>
  <w:p w:rsidR="00191D71" w:rsidRPr="00714B19" w:rsidRDefault="00191D71">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F24435"/>
    <w:rsid w:val="00010961"/>
    <w:rsid w:val="000B5328"/>
    <w:rsid w:val="00145341"/>
    <w:rsid w:val="00150384"/>
    <w:rsid w:val="001618DB"/>
    <w:rsid w:val="001805B7"/>
    <w:rsid w:val="001849C2"/>
    <w:rsid w:val="00184A10"/>
    <w:rsid w:val="00184C15"/>
    <w:rsid w:val="00191D71"/>
    <w:rsid w:val="002112B9"/>
    <w:rsid w:val="00221C57"/>
    <w:rsid w:val="00277FD7"/>
    <w:rsid w:val="00291863"/>
    <w:rsid w:val="00296801"/>
    <w:rsid w:val="002D26E7"/>
    <w:rsid w:val="0033523B"/>
    <w:rsid w:val="003357C4"/>
    <w:rsid w:val="0037572D"/>
    <w:rsid w:val="0038117D"/>
    <w:rsid w:val="00384436"/>
    <w:rsid w:val="00392A1D"/>
    <w:rsid w:val="003D2DC7"/>
    <w:rsid w:val="003F761D"/>
    <w:rsid w:val="00430E41"/>
    <w:rsid w:val="00486DE3"/>
    <w:rsid w:val="004943D8"/>
    <w:rsid w:val="004A328D"/>
    <w:rsid w:val="004C4416"/>
    <w:rsid w:val="004E201C"/>
    <w:rsid w:val="004F32A6"/>
    <w:rsid w:val="005371A5"/>
    <w:rsid w:val="00544220"/>
    <w:rsid w:val="00561349"/>
    <w:rsid w:val="00577FD3"/>
    <w:rsid w:val="005908D6"/>
    <w:rsid w:val="005A2DBD"/>
    <w:rsid w:val="005D06A3"/>
    <w:rsid w:val="005D7BDD"/>
    <w:rsid w:val="006322E8"/>
    <w:rsid w:val="00681F42"/>
    <w:rsid w:val="00690838"/>
    <w:rsid w:val="006C2F82"/>
    <w:rsid w:val="006E4E11"/>
    <w:rsid w:val="00714B19"/>
    <w:rsid w:val="007242A3"/>
    <w:rsid w:val="007649F3"/>
    <w:rsid w:val="00775FCB"/>
    <w:rsid w:val="007E66BD"/>
    <w:rsid w:val="0082796E"/>
    <w:rsid w:val="0083670F"/>
    <w:rsid w:val="00885216"/>
    <w:rsid w:val="0088776F"/>
    <w:rsid w:val="008F0828"/>
    <w:rsid w:val="008F6932"/>
    <w:rsid w:val="00912A40"/>
    <w:rsid w:val="009A1601"/>
    <w:rsid w:val="009C2187"/>
    <w:rsid w:val="009C2F01"/>
    <w:rsid w:val="009E08CB"/>
    <w:rsid w:val="00A530CB"/>
    <w:rsid w:val="00A75A5A"/>
    <w:rsid w:val="00AA5A1A"/>
    <w:rsid w:val="00AD37DB"/>
    <w:rsid w:val="00B01F6F"/>
    <w:rsid w:val="00B257F1"/>
    <w:rsid w:val="00B6217A"/>
    <w:rsid w:val="00B6494B"/>
    <w:rsid w:val="00B70CD3"/>
    <w:rsid w:val="00BE0594"/>
    <w:rsid w:val="00BF3E0C"/>
    <w:rsid w:val="00C80F02"/>
    <w:rsid w:val="00CD029C"/>
    <w:rsid w:val="00CD1B87"/>
    <w:rsid w:val="00D10325"/>
    <w:rsid w:val="00D11164"/>
    <w:rsid w:val="00DB206E"/>
    <w:rsid w:val="00E54C8B"/>
    <w:rsid w:val="00E9239C"/>
    <w:rsid w:val="00E95DCC"/>
    <w:rsid w:val="00EC25F9"/>
    <w:rsid w:val="00F20C9F"/>
    <w:rsid w:val="00F24435"/>
    <w:rsid w:val="00F37E42"/>
    <w:rsid w:val="00F46AF3"/>
    <w:rsid w:val="00FA7AA0"/>
    <w:rsid w:val="00FD3FD7"/>
    <w:rsid w:val="00FF7AC0"/>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3E2B3676-F1E5-46BB-B1F9-A1473D416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0B5328"/>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1051</Words>
  <Characters>6477</Characters>
  <Application>Microsoft Office Word</Application>
  <DocSecurity>4</DocSecurity>
  <Lines>170</Lines>
  <Paragraphs>49</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2009-10-12T11:56:00Z</cp:lastPrinted>
  <dcterms:created xsi:type="dcterms:W3CDTF">2025-12-17T23:54:00Z</dcterms:created>
  <dcterms:modified xsi:type="dcterms:W3CDTF">2025-12-17T23:54:00Z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2;0;0;196</vt:lpwstr>
  </property>
  <property fmtid="{D5CDD505-2E9C-101B-9397-08002B2CF9AE}" pid="3" name="Sprak">
    <vt:lpwstr>Svenska</vt:lpwstr>
  </property>
  <property fmtid="{D5CDD505-2E9C-101B-9397-08002B2CF9AE}" pid="4" name="DokID">
    <vt:i4>60</vt:i4>
  </property>
  <property fmtid="{D5CDD505-2E9C-101B-9397-08002B2CF9AE}" pid="5" name="RKOrdnaDepartement">
    <vt:lpwstr>Justitiedepartementet</vt:lpwstr>
  </property>
  <property fmtid="{D5CDD505-2E9C-101B-9397-08002B2CF9AE}" pid="6" name="RKOrdnaActivityCategory">
    <vt:lpwstr>9.9. Migrerat</vt:lpwstr>
  </property>
  <property fmtid="{D5CDD505-2E9C-101B-9397-08002B2CF9AE}" pid="7" name="RKOrdnaDiarienummer">
    <vt:lpwstr/>
  </property>
  <property fmtid="{D5CDD505-2E9C-101B-9397-08002B2CF9AE}" pid="8" name="ContentType">
    <vt:lpwstr>Word</vt:lpwstr>
  </property>
  <property fmtid="{D5CDD505-2E9C-101B-9397-08002B2CF9AE}" pid="9" name="RKOrdnaSearchKeywords">
    <vt:lpwstr/>
  </property>
  <property fmtid="{D5CDD505-2E9C-101B-9397-08002B2CF9AE}" pid="10" name="RKOrdnaSarskildSkyddsvard">
    <vt:lpwstr>0</vt:lpwstr>
  </property>
</Properties>
</file>