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1669D03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00535A">
              <w:rPr>
                <w:b/>
              </w:rPr>
              <w:t>1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763DEA8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CE0DCC">
              <w:t>5</w:t>
            </w:r>
            <w:r w:rsidRPr="0012669A">
              <w:t>-</w:t>
            </w:r>
            <w:r w:rsidR="005C2F0A">
              <w:t>2</w:t>
            </w:r>
            <w:r w:rsidR="0000535A">
              <w:t>7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AA6D24F" w:rsidR="00141DA2" w:rsidRPr="0012669A" w:rsidRDefault="00AE258C" w:rsidP="008C57B9">
            <w:r>
              <w:t>1</w:t>
            </w:r>
            <w:r w:rsidR="0000535A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D7181F">
              <w:t>1</w:t>
            </w:r>
            <w:r w:rsidR="00A00009">
              <w:t>0.</w:t>
            </w:r>
            <w:r w:rsidR="00192F1B">
              <w:t>25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5CCC813A" w:rsidR="00ED1096" w:rsidRPr="00790096" w:rsidRDefault="00DD54E9" w:rsidP="00A66C14">
            <w:pPr>
              <w:spacing w:after="100" w:afterAutospacing="1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A6ACA" w:rsidRPr="00790096">
              <w:t>Anna-Caren Sätherberg</w:t>
            </w:r>
            <w:r w:rsidR="00120819" w:rsidRPr="00790096">
              <w:t xml:space="preserve"> (</w:t>
            </w:r>
            <w:r w:rsidR="00EA6ACA" w:rsidRPr="00790096">
              <w:t>S</w:t>
            </w:r>
            <w:r w:rsidR="00120819" w:rsidRPr="00790096">
              <w:t xml:space="preserve">), </w:t>
            </w:r>
            <w:r w:rsidR="00EE6D7D" w:rsidRPr="00790096">
              <w:t xml:space="preserve">Mattias Jonsson (S), </w:t>
            </w:r>
            <w:r w:rsidR="000D2552" w:rsidRPr="00790096">
              <w:t xml:space="preserve">Ann-Charlotte Hammar Johnsson (M), Monica Haider (S), </w:t>
            </w:r>
            <w:r w:rsidR="00D7181F" w:rsidRPr="00790096">
              <w:t xml:space="preserve">Helena Lindahl (C), </w:t>
            </w:r>
            <w:r w:rsidR="002054AD" w:rsidRPr="00790096">
              <w:t xml:space="preserve">Birger Lahti (V), </w:t>
            </w:r>
            <w:r w:rsidR="00EE6D7D" w:rsidRPr="00790096">
              <w:t xml:space="preserve">Lotta Olsson (M), </w:t>
            </w:r>
            <w:r w:rsidR="000D2552" w:rsidRPr="00790096">
              <w:t xml:space="preserve">Tobias Andersson (SD), Camilla Brodin (KD), </w:t>
            </w:r>
            <w:r w:rsidR="00EE6D7D" w:rsidRPr="00790096">
              <w:t xml:space="preserve">Åsa Eriksson (S), </w:t>
            </w:r>
            <w:r w:rsidR="00744776" w:rsidRPr="00790096">
              <w:t xml:space="preserve">Joar Forssell (L), </w:t>
            </w:r>
            <w:r w:rsidR="00F35D4C" w:rsidRPr="00790096">
              <w:t xml:space="preserve">Eric Palmqvist (SD), </w:t>
            </w:r>
            <w:r w:rsidR="00A21E8C" w:rsidRPr="00790096">
              <w:t xml:space="preserve">Peter Helander (C), </w:t>
            </w:r>
            <w:r w:rsidR="00F35D4C" w:rsidRPr="00790096">
              <w:rPr>
                <w:snapToGrid w:val="0"/>
              </w:rPr>
              <w:t xml:space="preserve">Patrik Engström (S), </w:t>
            </w:r>
            <w:r w:rsidR="00EA6ACA" w:rsidRPr="00790096">
              <w:t xml:space="preserve">Elisabeth Björnsdotter Rahm (M), </w:t>
            </w:r>
            <w:r w:rsidR="00355D1B" w:rsidRPr="00790096">
              <w:rPr>
                <w:snapToGrid w:val="0"/>
              </w:rPr>
              <w:t>Josef Fransson (SD),</w:t>
            </w:r>
            <w:r w:rsidR="009B4288" w:rsidRPr="00790096">
              <w:rPr>
                <w:snapToGrid w:val="0"/>
              </w:rPr>
              <w:t xml:space="preserve"> </w:t>
            </w:r>
            <w:r w:rsidR="0084769B" w:rsidRPr="00790096">
              <w:rPr>
                <w:snapToGrid w:val="0"/>
              </w:rPr>
              <w:t>Lorena Delgado Varas (V)</w:t>
            </w:r>
            <w:r w:rsidR="00A21E8C" w:rsidRPr="00790096">
              <w:rPr>
                <w:snapToGrid w:val="0"/>
              </w:rPr>
              <w:t xml:space="preserve"> </w:t>
            </w:r>
            <w:r w:rsidR="00EA6ACA" w:rsidRPr="00790096">
              <w:t xml:space="preserve">och </w:t>
            </w:r>
            <w:r w:rsidR="00192F1B" w:rsidRPr="006968A9">
              <w:t>Amanda Palmstierna (MP).</w:t>
            </w:r>
          </w:p>
          <w:p w14:paraId="6B0B07AC" w14:textId="131DAF29" w:rsidR="00ED1096" w:rsidRPr="00ED1096" w:rsidRDefault="00192F1B" w:rsidP="00ED1096">
            <w:pPr>
              <w:ind w:right="68"/>
            </w:pPr>
            <w:r>
              <w:t>Fem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0941E8" w:rsidRPr="0012669A" w14:paraId="27012818" w14:textId="77777777" w:rsidTr="00823B30">
        <w:trPr>
          <w:trHeight w:val="919"/>
        </w:trPr>
        <w:tc>
          <w:tcPr>
            <w:tcW w:w="567" w:type="dxa"/>
          </w:tcPr>
          <w:p w14:paraId="6B786134" w14:textId="57459250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535A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1403B2EF" w14:textId="77777777" w:rsidR="000941E8" w:rsidRDefault="000941E8" w:rsidP="000941E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CF43797" w14:textId="77777777" w:rsidR="000941E8" w:rsidRDefault="000941E8" w:rsidP="000941E8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005819B" w14:textId="10A39301" w:rsidR="000941E8" w:rsidRDefault="000941E8" w:rsidP="000941E8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 w:rsidR="0000535A">
              <w:rPr>
                <w:snapToGrid w:val="0"/>
                <w:sz w:val="24"/>
                <w:szCs w:val="24"/>
              </w:rPr>
              <w:t>40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04360241" w14:textId="77777777" w:rsidR="000941E8" w:rsidRDefault="000941E8" w:rsidP="00305BEC">
            <w:pPr>
              <w:rPr>
                <w:b/>
                <w:bCs/>
                <w:color w:val="000000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73D5CA6A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535A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4D38F27" w14:textId="77777777" w:rsidR="0000535A" w:rsidRPr="00FA594C" w:rsidRDefault="0000535A" w:rsidP="0000535A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Stärkt skydd för geografiska beteckningar och tydligare regler vid registrering av varumärken och företagsnamn i ond tro (NU23)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snapToGrid w:val="0"/>
              </w:rPr>
              <w:br/>
            </w: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2020/21:125 </w:t>
            </w:r>
            <w:r w:rsidRPr="00617E79">
              <w:rPr>
                <w:snapToGrid w:val="0"/>
                <w:szCs w:val="20"/>
              </w:rPr>
              <w:t xml:space="preserve">om </w:t>
            </w:r>
            <w:r w:rsidRPr="00D04CE6">
              <w:rPr>
                <w:snapToGrid w:val="0"/>
              </w:rPr>
              <w:t>stärkt skydd för geografiska beteckningar och tydligare regler vid registrering av varumärken och företagsnamn i ond tro</w:t>
            </w:r>
            <w:r w:rsidRPr="00342684">
              <w:rPr>
                <w:b/>
                <w:snapToGrid w:val="0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4576ED17" w14:textId="2F1E751B" w:rsidR="0000535A" w:rsidRPr="00327F5B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23 </w:t>
            </w:r>
            <w:r w:rsidRPr="00327F5B">
              <w:rPr>
                <w:color w:val="222222"/>
              </w:rPr>
              <w:t>justerades.</w:t>
            </w:r>
          </w:p>
          <w:p w14:paraId="7E726DE2" w14:textId="3E7F4DEC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34DD2AA8" w14:textId="11EFD423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M- och KD-ledamöterna,</w:t>
            </w:r>
          </w:p>
          <w:p w14:paraId="38AA0C12" w14:textId="099240D0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3 av M-ledamöterna,</w:t>
            </w:r>
          </w:p>
          <w:p w14:paraId="4ACD1346" w14:textId="09BA7324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4 dels av SD-ledamöterna, dels av C-ledamöterna,</w:t>
            </w:r>
          </w:p>
          <w:p w14:paraId="50DFEE64" w14:textId="26DF3537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5 av SD- och C-ledamöterna,</w:t>
            </w:r>
          </w:p>
          <w:p w14:paraId="5C093F0B" w14:textId="5B228423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6 dels av M- och L-ledamöterna, dels av SD-ledamöterna,</w:t>
            </w:r>
          </w:p>
          <w:p w14:paraId="56340E5A" w14:textId="77607FB9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7 av M- och L-ledamöterna, </w:t>
            </w:r>
          </w:p>
          <w:p w14:paraId="4C10C794" w14:textId="0EA56300" w:rsidR="0000535A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8 dels av M-ledamöterna, dels av SD-ledamöterna,</w:t>
            </w:r>
          </w:p>
          <w:p w14:paraId="79D3B2F0" w14:textId="2F7B4A84" w:rsidR="0000535A" w:rsidRPr="00327F5B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Särskilt yttrande anmäldes </w:t>
            </w:r>
          </w:p>
          <w:p w14:paraId="4200F799" w14:textId="35E64F78" w:rsidR="0000535A" w:rsidRPr="00305BEC" w:rsidRDefault="0000535A" w:rsidP="000053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6</w:t>
            </w:r>
            <w:r w:rsidRPr="00327F5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dels </w:t>
            </w:r>
            <w:r w:rsidRPr="00327F5B">
              <w:rPr>
                <w:color w:val="222222"/>
              </w:rPr>
              <w:t xml:space="preserve">av </w:t>
            </w:r>
            <w:r>
              <w:rPr>
                <w:color w:val="222222"/>
              </w:rPr>
              <w:t>V</w:t>
            </w:r>
            <w:r w:rsidRPr="00327F5B">
              <w:rPr>
                <w:color w:val="222222"/>
              </w:rPr>
              <w:t>-</w:t>
            </w:r>
            <w:r>
              <w:rPr>
                <w:color w:val="222222"/>
              </w:rPr>
              <w:t>ledamoten, dels av KD-ledamoten.</w:t>
            </w:r>
            <w:r>
              <w:rPr>
                <w:color w:val="222222"/>
              </w:rPr>
              <w:br/>
            </w:r>
          </w:p>
        </w:tc>
      </w:tr>
      <w:tr w:rsidR="007D34ED" w:rsidRPr="0012669A" w14:paraId="5DDFA857" w14:textId="77777777" w:rsidTr="000941E8">
        <w:trPr>
          <w:trHeight w:val="567"/>
        </w:trPr>
        <w:tc>
          <w:tcPr>
            <w:tcW w:w="567" w:type="dxa"/>
          </w:tcPr>
          <w:p w14:paraId="2126CD6C" w14:textId="0079A4CD" w:rsidR="007D34ED" w:rsidRDefault="007D34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51109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5B3F89B" w14:textId="77777777" w:rsidR="00B51109" w:rsidRDefault="00B51109" w:rsidP="00B51109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Nationell strategi för hållbar regional utveckling i hela landet 2021–2030 (NU24)</w:t>
            </w:r>
          </w:p>
          <w:p w14:paraId="74552B9F" w14:textId="5096C62A" w:rsidR="00B51109" w:rsidRDefault="00B51109" w:rsidP="00B51109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2020/21:133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</w:rPr>
              <w:t>n</w:t>
            </w:r>
            <w:r w:rsidRPr="00D04CE6">
              <w:t>ationell strategi för hållbar regional utveckling i hela landet 2021–2030</w:t>
            </w:r>
            <w:r>
              <w:rPr>
                <w:b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0CC7EF42" w14:textId="5C09BC95" w:rsidR="00B51109" w:rsidRPr="00327F5B" w:rsidRDefault="00B51109" w:rsidP="00B5110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24 </w:t>
            </w:r>
            <w:r w:rsidRPr="00327F5B">
              <w:rPr>
                <w:color w:val="222222"/>
              </w:rPr>
              <w:t>justerades.</w:t>
            </w:r>
          </w:p>
          <w:p w14:paraId="6D326F3F" w14:textId="77777777" w:rsidR="00B51109" w:rsidRDefault="00B51109" w:rsidP="00B5110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4903BD33" w14:textId="546C5388" w:rsidR="00B51109" w:rsidRDefault="00B51109" w:rsidP="00B5110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dels av M-, SD- och KD-ledamöterna, dels av V-ledamoten,</w:t>
            </w:r>
          </w:p>
          <w:p w14:paraId="68A35ACF" w14:textId="70EF14AD" w:rsidR="00D7662F" w:rsidRPr="00B51109" w:rsidRDefault="00B51109" w:rsidP="00B5110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dels av M-ledamöterna, dels av SD-ledamöterna, dels av KD-ledamoten.</w:t>
            </w:r>
            <w:r>
              <w:rPr>
                <w:color w:val="222222"/>
              </w:rPr>
              <w:br/>
            </w:r>
          </w:p>
        </w:tc>
      </w:tr>
      <w:tr w:rsidR="00A00009" w:rsidRPr="0012669A" w14:paraId="1E941502" w14:textId="77777777" w:rsidTr="000941E8">
        <w:trPr>
          <w:trHeight w:val="567"/>
        </w:trPr>
        <w:tc>
          <w:tcPr>
            <w:tcW w:w="567" w:type="dxa"/>
          </w:tcPr>
          <w:p w14:paraId="539744D3" w14:textId="55199097" w:rsidR="00A00009" w:rsidRDefault="00A0000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52916008" w14:textId="0FC00B60" w:rsidR="00A00009" w:rsidRPr="009D0E39" w:rsidRDefault="00A00009" w:rsidP="00A00009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rStyle w:val="bold"/>
                <w:b/>
              </w:rPr>
              <w:t>Regelförenkling för företag</w:t>
            </w:r>
            <w:r w:rsidRPr="00902BAF">
              <w:rPr>
                <w:rStyle w:val="bold"/>
                <w:b/>
              </w:rPr>
              <w:t xml:space="preserve"> (NU</w:t>
            </w:r>
            <w:r>
              <w:rPr>
                <w:rStyle w:val="bold"/>
                <w:b/>
              </w:rPr>
              <w:t>17</w:t>
            </w:r>
            <w:r w:rsidRPr="00902BAF">
              <w:rPr>
                <w:rStyle w:val="bold"/>
                <w:b/>
              </w:rPr>
              <w:t>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 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regelförenkling för företag.</w:t>
            </w:r>
          </w:p>
          <w:p w14:paraId="2E1DF55D" w14:textId="77777777" w:rsidR="00A00009" w:rsidRPr="009D0E39" w:rsidRDefault="00A00009" w:rsidP="00A0000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D382944" w14:textId="4E5ABE2F" w:rsidR="00A00009" w:rsidRDefault="00A00009" w:rsidP="00A00009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A00009" w:rsidRPr="0012669A" w14:paraId="4452A6E1" w14:textId="77777777" w:rsidTr="000941E8">
        <w:trPr>
          <w:trHeight w:val="567"/>
        </w:trPr>
        <w:tc>
          <w:tcPr>
            <w:tcW w:w="567" w:type="dxa"/>
          </w:tcPr>
          <w:p w14:paraId="09D7A81D" w14:textId="7536DFA4" w:rsidR="00A00009" w:rsidRDefault="00A0000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6A008183" w14:textId="77777777" w:rsidR="00A00009" w:rsidRDefault="00A00009" w:rsidP="00B51109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Anpassningar till EU:s marknadskontrollförordning (NU29)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Utskottet behandlade proposition 2020/21:189.</w:t>
            </w:r>
          </w:p>
          <w:p w14:paraId="315927A5" w14:textId="797392BB" w:rsidR="00A00009" w:rsidRPr="00A00009" w:rsidRDefault="00A00009" w:rsidP="00B51109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790096" w:rsidRPr="0012669A" w14:paraId="75DA132E" w14:textId="77777777" w:rsidTr="000941E8">
        <w:trPr>
          <w:trHeight w:val="567"/>
        </w:trPr>
        <w:tc>
          <w:tcPr>
            <w:tcW w:w="567" w:type="dxa"/>
          </w:tcPr>
          <w:p w14:paraId="15AC9439" w14:textId="124D5A8C" w:rsidR="00790096" w:rsidRDefault="00790096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0778B13B" w14:textId="77777777" w:rsidR="00790096" w:rsidRDefault="00790096" w:rsidP="00B51109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från regeringen</w:t>
            </w:r>
          </w:p>
          <w:p w14:paraId="7FEE982F" w14:textId="4F4C29EA" w:rsidR="00790096" w:rsidRDefault="00790096" w:rsidP="00790096">
            <w:pPr>
              <w:spacing w:after="100" w:afterAutospacing="1"/>
              <w:rPr>
                <w:color w:val="00B0F0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bjuda in statsrådet Ibrahim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för information om ev. vidtagna och planerade åtgärder med anledning av riksdagens tillkännagivande</w:t>
            </w:r>
            <w:r w:rsidR="00D66919">
              <w:rPr>
                <w:rFonts w:eastAsiaTheme="minorHAnsi"/>
                <w:bCs/>
                <w:color w:val="000000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om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coronastöden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color w:val="00B0F0"/>
              </w:rPr>
              <w:t xml:space="preserve"> </w:t>
            </w:r>
          </w:p>
          <w:p w14:paraId="18BF16CA" w14:textId="3E87EF28" w:rsidR="00790096" w:rsidRPr="00790096" w:rsidRDefault="00790096" w:rsidP="00790096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color w:val="00B0F0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29E67FD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790096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CEA9574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151D22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A00009">
              <w:rPr>
                <w:color w:val="000000"/>
              </w:rPr>
              <w:t>3 juni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151D22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74954B65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00009">
              <w:t>3 juni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203650D8" w14:textId="77777777" w:rsidR="009B4288" w:rsidRDefault="009B4288"/>
    <w:p w14:paraId="4523CBEF" w14:textId="77777777" w:rsidR="00D7181F" w:rsidRDefault="00D7181F">
      <w:r>
        <w:br/>
      </w:r>
    </w:p>
    <w:p w14:paraId="5FE4121C" w14:textId="77777777" w:rsidR="00D7181F" w:rsidRDefault="00D7181F">
      <w:r>
        <w:br w:type="page"/>
      </w:r>
    </w:p>
    <w:p w14:paraId="12BB618A" w14:textId="095368B1" w:rsidR="00EA6ACA" w:rsidRDefault="00151D22">
      <w:r>
        <w:lastRenderedPageBreak/>
        <w:br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B428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5741348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A0000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7332C8AB" w14:textId="77777777" w:rsidTr="009B4288">
        <w:tc>
          <w:tcPr>
            <w:tcW w:w="3402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3A0672E0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192F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F514E4A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</w:t>
            </w:r>
            <w:r w:rsidR="007900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7B8912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9B4288">
        <w:tc>
          <w:tcPr>
            <w:tcW w:w="3402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9B4288">
        <w:tc>
          <w:tcPr>
            <w:tcW w:w="3402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9B4288">
        <w:tc>
          <w:tcPr>
            <w:tcW w:w="3402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A057603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5AA1BC9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9B4288">
        <w:tc>
          <w:tcPr>
            <w:tcW w:w="3402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5E8D08FC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40433F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9B4288">
        <w:tc>
          <w:tcPr>
            <w:tcW w:w="3402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639E98B7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122295C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9B4288">
        <w:tc>
          <w:tcPr>
            <w:tcW w:w="3402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56559745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481B7D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9B4288">
        <w:tc>
          <w:tcPr>
            <w:tcW w:w="3402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DCF409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1B33643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2B98AD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9B4288">
        <w:tc>
          <w:tcPr>
            <w:tcW w:w="3402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2C991666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1D98C7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9B4288">
        <w:tc>
          <w:tcPr>
            <w:tcW w:w="3402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0638B6F" w:rsidR="002770CB" w:rsidRPr="0012669A" w:rsidRDefault="00151D2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07FD02DA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3146C69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9B4288">
        <w:tc>
          <w:tcPr>
            <w:tcW w:w="3402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1CCB1BA1" w:rsidR="002770CB" w:rsidRPr="0012669A" w:rsidRDefault="00192F1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106316BA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754E14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9B4288">
        <w:tc>
          <w:tcPr>
            <w:tcW w:w="3402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46B9385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2FDF44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9B4288">
        <w:tc>
          <w:tcPr>
            <w:tcW w:w="3402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6E0726C3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39429D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9B4288">
        <w:tc>
          <w:tcPr>
            <w:tcW w:w="3402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9B4288">
        <w:tc>
          <w:tcPr>
            <w:tcW w:w="3402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2366F1B1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272DB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9B4288">
        <w:tc>
          <w:tcPr>
            <w:tcW w:w="3402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F52C7AD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28486F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9B4288">
        <w:tc>
          <w:tcPr>
            <w:tcW w:w="3402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65C31069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2376E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9B4288">
        <w:tc>
          <w:tcPr>
            <w:tcW w:w="3402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6795DF46" w:rsidR="002770CB" w:rsidRPr="0012669A" w:rsidRDefault="002327A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1D0BFFCE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20832F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9B4288">
        <w:tc>
          <w:tcPr>
            <w:tcW w:w="3402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368CF84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126425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1DA9B3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9B4288">
        <w:tc>
          <w:tcPr>
            <w:tcW w:w="3402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075980D0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270DF1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9B4288">
        <w:tc>
          <w:tcPr>
            <w:tcW w:w="3402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9B4288">
        <w:tc>
          <w:tcPr>
            <w:tcW w:w="3402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0FAF57EC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A1176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9B4288">
        <w:tc>
          <w:tcPr>
            <w:tcW w:w="3402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4CCC097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9E9F0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9B4288">
        <w:tc>
          <w:tcPr>
            <w:tcW w:w="3402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9B4288">
        <w:tc>
          <w:tcPr>
            <w:tcW w:w="3402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9B4288">
        <w:tc>
          <w:tcPr>
            <w:tcW w:w="3402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018FAB45" w:rsidR="002770CB" w:rsidRPr="0012669A" w:rsidRDefault="00192F1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4E05421D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1F4AA4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9B4288">
        <w:tc>
          <w:tcPr>
            <w:tcW w:w="3402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9B4288">
        <w:tc>
          <w:tcPr>
            <w:tcW w:w="3402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0999B9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4EE1C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9B4288">
        <w:tc>
          <w:tcPr>
            <w:tcW w:w="3402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3D769593" w:rsidR="002D58EB" w:rsidRPr="0012669A" w:rsidRDefault="00192F1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3AC62389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6DCC5C2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9B4288">
        <w:tc>
          <w:tcPr>
            <w:tcW w:w="3402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9B4288">
        <w:tc>
          <w:tcPr>
            <w:tcW w:w="3402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9B4288">
        <w:tc>
          <w:tcPr>
            <w:tcW w:w="3402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9B4288">
        <w:tc>
          <w:tcPr>
            <w:tcW w:w="3402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9B4288">
        <w:tc>
          <w:tcPr>
            <w:tcW w:w="3402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9B4288">
        <w:tc>
          <w:tcPr>
            <w:tcW w:w="3402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9B4288">
        <w:tc>
          <w:tcPr>
            <w:tcW w:w="3402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9B4288">
        <w:tc>
          <w:tcPr>
            <w:tcW w:w="3402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9B4288">
        <w:tc>
          <w:tcPr>
            <w:tcW w:w="3402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9B4288">
        <w:tc>
          <w:tcPr>
            <w:tcW w:w="3402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9B4288">
        <w:tc>
          <w:tcPr>
            <w:tcW w:w="3402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9B4288">
        <w:tc>
          <w:tcPr>
            <w:tcW w:w="3402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9B4288">
        <w:tc>
          <w:tcPr>
            <w:tcW w:w="3402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968A9" w14:paraId="2A8FF496" w14:textId="77777777" w:rsidTr="009B4288">
        <w:tc>
          <w:tcPr>
            <w:tcW w:w="3402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B4288">
        <w:trPr>
          <w:trHeight w:val="130"/>
        </w:trPr>
        <w:tc>
          <w:tcPr>
            <w:tcW w:w="3402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13B40F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460A1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0BCA8B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9B4288">
        <w:tc>
          <w:tcPr>
            <w:tcW w:w="3402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591D866C" w:rsidR="002770CB" w:rsidRPr="0012669A" w:rsidRDefault="00192F1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E4DFFCE" w:rsidR="002770CB" w:rsidRPr="0012669A" w:rsidRDefault="00192F1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515114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0450A9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1B626D8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A3155D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B428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B42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F88399B" w14:textId="13FCDFDF" w:rsidR="00D7181F" w:rsidRDefault="00D7181F"/>
    <w:p w14:paraId="1399094A" w14:textId="77777777" w:rsidR="00444C32" w:rsidRDefault="00444C32" w:rsidP="00682C95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B0A4" w14:textId="77777777" w:rsidR="001B5570" w:rsidRDefault="001B5570" w:rsidP="002130F1">
      <w:r>
        <w:separator/>
      </w:r>
    </w:p>
  </w:endnote>
  <w:endnote w:type="continuationSeparator" w:id="0">
    <w:p w14:paraId="5275698C" w14:textId="77777777" w:rsidR="001B5570" w:rsidRDefault="001B557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49E78" w14:textId="77777777" w:rsidR="001B5570" w:rsidRDefault="001B5570" w:rsidP="002130F1">
      <w:r>
        <w:separator/>
      </w:r>
    </w:p>
  </w:footnote>
  <w:footnote w:type="continuationSeparator" w:id="0">
    <w:p w14:paraId="2E245010" w14:textId="77777777" w:rsidR="001B5570" w:rsidRDefault="001B557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30"/>
  </w:num>
  <w:num w:numId="16">
    <w:abstractNumId w:val="13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5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8"/>
  </w:num>
  <w:num w:numId="29">
    <w:abstractNumId w:val="12"/>
  </w:num>
  <w:num w:numId="30">
    <w:abstractNumId w:val="27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4FE4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5570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44D4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683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114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26B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8A9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6F7B9C"/>
    <w:rsid w:val="0070503A"/>
    <w:rsid w:val="007077FA"/>
    <w:rsid w:val="00710069"/>
    <w:rsid w:val="00710E1A"/>
    <w:rsid w:val="007114CA"/>
    <w:rsid w:val="00711CCB"/>
    <w:rsid w:val="007120CC"/>
    <w:rsid w:val="00712B19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1A0F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6919"/>
    <w:rsid w:val="00D6765B"/>
    <w:rsid w:val="00D678EB"/>
    <w:rsid w:val="00D7181F"/>
    <w:rsid w:val="00D71A8B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49D1"/>
    <w:rsid w:val="00EF6AC8"/>
    <w:rsid w:val="00EF7BDB"/>
    <w:rsid w:val="00F004A9"/>
    <w:rsid w:val="00F00990"/>
    <w:rsid w:val="00F01F8F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F081-6925-4140-8ECF-B9B8F5EE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635</Words>
  <Characters>4417</Characters>
  <Application>Microsoft Office Word</Application>
  <DocSecurity>4</DocSecurity>
  <Lines>1472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2021-04-29T12:14:00Z</cp:lastPrinted>
  <dcterms:created xsi:type="dcterms:W3CDTF">2021-06-04T08:04:00Z</dcterms:created>
  <dcterms:modified xsi:type="dcterms:W3CDTF">2021-06-04T08:04:00Z</dcterms:modified>
</cp:coreProperties>
</file>