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05295261994369853A692F0B56A895"/>
        </w:placeholder>
        <w:text/>
      </w:sdtPr>
      <w:sdtEndPr/>
      <w:sdtContent>
        <w:p w:rsidRPr="009B062B" w:rsidR="00AF30DD" w:rsidP="006305D2" w:rsidRDefault="00AF30DD" w14:paraId="14F4AFD8" w14:textId="77777777">
          <w:pPr>
            <w:pStyle w:val="Rubrik1"/>
            <w:spacing w:after="300"/>
          </w:pPr>
          <w:r w:rsidRPr="009B062B">
            <w:t>Förslag till riksdagsbeslut</w:t>
          </w:r>
        </w:p>
      </w:sdtContent>
    </w:sdt>
    <w:sdt>
      <w:sdtPr>
        <w:alias w:val="Yrkande 1"/>
        <w:tag w:val="58b63c6c-5dbd-4d18-9f65-c9f2d70111ea"/>
        <w:id w:val="1427465460"/>
        <w:lock w:val="sdtLocked"/>
      </w:sdtPr>
      <w:sdtEndPr/>
      <w:sdtContent>
        <w:p w:rsidR="009A3625" w:rsidRDefault="00A964FE" w14:paraId="632200F1" w14:textId="5BFA271D">
          <w:pPr>
            <w:pStyle w:val="Frslagstext"/>
            <w:numPr>
              <w:ilvl w:val="0"/>
              <w:numId w:val="0"/>
            </w:numPr>
          </w:pPr>
          <w:r>
            <w:t>Riksdagen ställer sig bakom det som anförs i motionen om att utreda förutsättningarna att använda multimediala verktyg i förhör och att det ska kunna ligga till grund för bevisning och domslut under en huvudförhandling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97E5543F714CCD9F9FF80DF50296F0"/>
        </w:placeholder>
        <w:text/>
      </w:sdtPr>
      <w:sdtEndPr/>
      <w:sdtContent>
        <w:p w:rsidRPr="009B062B" w:rsidR="006D79C9" w:rsidP="00333E95" w:rsidRDefault="006D79C9" w14:paraId="14F4AFDA" w14:textId="77777777">
          <w:pPr>
            <w:pStyle w:val="Rubrik1"/>
          </w:pPr>
          <w:r>
            <w:t>Motivering</w:t>
          </w:r>
        </w:p>
      </w:sdtContent>
    </w:sdt>
    <w:p w:rsidR="00C622FF" w:rsidP="00855D73" w:rsidRDefault="00855D73" w14:paraId="14F4AFDB" w14:textId="7F312DBD">
      <w:pPr>
        <w:pStyle w:val="Normalutanindragellerluft"/>
      </w:pPr>
      <w:r>
        <w:t>Muntlighetsprincipen råder</w:t>
      </w:r>
      <w:r w:rsidR="00222F6B">
        <w:t xml:space="preserve"> idag under </w:t>
      </w:r>
      <w:r w:rsidR="009817CA">
        <w:t xml:space="preserve">en </w:t>
      </w:r>
      <w:r w:rsidR="00222F6B">
        <w:t>huvudförhandling</w:t>
      </w:r>
      <w:r w:rsidR="007E020E">
        <w:t>;</w:t>
      </w:r>
      <w:r w:rsidR="009817CA">
        <w:t xml:space="preserve"> det som sägs ”där och då” </w:t>
      </w:r>
      <w:r w:rsidR="00222F6B">
        <w:t>ligger till grund för en dom i målet. D</w:t>
      </w:r>
      <w:r w:rsidRPr="00222F6B" w:rsidR="00222F6B">
        <w:t xml:space="preserve">et som </w:t>
      </w:r>
      <w:r w:rsidR="00222F6B">
        <w:t xml:space="preserve">har </w:t>
      </w:r>
      <w:r w:rsidRPr="00222F6B" w:rsidR="00222F6B">
        <w:t xml:space="preserve">sagts eller </w:t>
      </w:r>
      <w:r w:rsidR="00222F6B">
        <w:t xml:space="preserve">som har </w:t>
      </w:r>
      <w:r w:rsidRPr="00222F6B" w:rsidR="00222F6B">
        <w:t xml:space="preserve">framkommit under förundersökningen </w:t>
      </w:r>
      <w:r w:rsidR="00222F6B">
        <w:t>har normalt sett inte</w:t>
      </w:r>
      <w:r w:rsidRPr="00222F6B" w:rsidR="00222F6B">
        <w:t xml:space="preserve"> relevans </w:t>
      </w:r>
      <w:r w:rsidR="00222F6B">
        <w:t>i bevisningen</w:t>
      </w:r>
      <w:r w:rsidR="007E020E">
        <w:t>. U</w:t>
      </w:r>
      <w:r w:rsidRPr="00222F6B" w:rsidR="00222F6B">
        <w:t xml:space="preserve">ndantag </w:t>
      </w:r>
      <w:r w:rsidR="00222F6B">
        <w:t>finns givetvis</w:t>
      </w:r>
      <w:r w:rsidR="007E020E">
        <w:t>,</w:t>
      </w:r>
      <w:r w:rsidR="00222F6B">
        <w:t xml:space="preserve"> exempelvis när det handlar om barnärenden</w:t>
      </w:r>
      <w:r w:rsidR="007E020E">
        <w:t>,</w:t>
      </w:r>
      <w:r w:rsidR="00222F6B">
        <w:t xml:space="preserve"> men generellt är dessa </w:t>
      </w:r>
      <w:r w:rsidRPr="00222F6B" w:rsidR="00222F6B">
        <w:t>undantags</w:t>
      </w:r>
      <w:r w:rsidR="00232E3A">
        <w:softHyphen/>
      </w:r>
      <w:r w:rsidRPr="00222F6B" w:rsidR="00222F6B">
        <w:t xml:space="preserve">bestämmelser </w:t>
      </w:r>
      <w:r w:rsidR="00222F6B">
        <w:t>restriktiva. De tar heller inte hänsyn till den ökande problematik som finns med</w:t>
      </w:r>
      <w:r w:rsidRPr="00222F6B" w:rsidR="00222F6B">
        <w:t xml:space="preserve"> </w:t>
      </w:r>
      <w:r w:rsidR="00222F6B">
        <w:t xml:space="preserve">otillbörlig påverkan och övergrepp i rättssak med vittnen. </w:t>
      </w:r>
      <w:r w:rsidR="009817CA">
        <w:t xml:space="preserve">Detta </w:t>
      </w:r>
      <w:r w:rsidR="00222F6B">
        <w:t xml:space="preserve">leder till flertalet inställda rättegångar. </w:t>
      </w:r>
      <w:r w:rsidRPr="00222F6B" w:rsidR="00222F6B">
        <w:t>Enligt statistik från Domstolsverket fick 704 brottmåls</w:t>
      </w:r>
      <w:r w:rsidR="00232E3A">
        <w:softHyphen/>
      </w:r>
      <w:r w:rsidRPr="00222F6B" w:rsidR="00222F6B">
        <w:t xml:space="preserve">förhandlingar i tingsrätten ställas in </w:t>
      </w:r>
      <w:r w:rsidRPr="00222F6B" w:rsidR="007E020E">
        <w:t>år 2017</w:t>
      </w:r>
      <w:r w:rsidR="007E020E">
        <w:t xml:space="preserve"> </w:t>
      </w:r>
      <w:r w:rsidRPr="00222F6B" w:rsidR="00222F6B">
        <w:t>p</w:t>
      </w:r>
      <w:r w:rsidR="007E020E">
        <w:t>å</w:t>
      </w:r>
      <w:r w:rsidRPr="00222F6B" w:rsidR="00222F6B">
        <w:t xml:space="preserve"> grund av vittnen som inte dök upp. År 2016 var det 584 förhandlingar som </w:t>
      </w:r>
      <w:r w:rsidR="007E020E">
        <w:t xml:space="preserve">man </w:t>
      </w:r>
      <w:r w:rsidRPr="00222F6B" w:rsidR="00222F6B">
        <w:t>tvingades ställa in av samma skäl. Orsaken till att vittnen uteblir varierar givetvis men det skulle kunna bero på att utvecklingen av gängkriminalitet med dess tystnadskultur och våldskapital bidrar till rädsla för hot. Detta innebär inte bara ett hot mot vår demokrati utan också en stor samhällskostnad då en inställd rättegång innebär en genomsnittskostnad på drygt 11</w:t>
      </w:r>
      <w:r w:rsidR="007E020E">
        <w:t> </w:t>
      </w:r>
      <w:r w:rsidRPr="00222F6B" w:rsidR="00222F6B">
        <w:t xml:space="preserve">000 kronor, enligt Riksrevisionen som gjorde en kartläggning år 2010. Med statistiken år 2017 skulle kostnaderna för 704 inställda brottmålsförhandlingar motsvara 7,7 miljoner kronor (ej inräknat kostnadsfördyringar). </w:t>
      </w:r>
    </w:p>
    <w:p w:rsidRPr="00C622FF" w:rsidR="00C622FF" w:rsidP="00C622FF" w:rsidRDefault="00222F6B" w14:paraId="14F4AFDC" w14:textId="0C6E7397">
      <w:r w:rsidRPr="00C622FF">
        <w:t xml:space="preserve">Med den utveckling vi idag ser med gängkriminaliteten måste det ske en förändring, exempelvis brottmål där det finns en koppling till gängkriminalitet och organiserad brottslighet. Brottmål kring organiserad brottslighet kräver </w:t>
      </w:r>
      <w:r w:rsidRPr="00C622FF" w:rsidR="009817CA">
        <w:t xml:space="preserve">ofta omfattande resurser och i och med den negativa utvecklingen vi sett </w:t>
      </w:r>
      <w:r w:rsidR="007E020E">
        <w:t xml:space="preserve">de </w:t>
      </w:r>
      <w:r w:rsidRPr="00C622FF" w:rsidR="007E020E">
        <w:t xml:space="preserve">senaste åren </w:t>
      </w:r>
      <w:r w:rsidRPr="00C622FF" w:rsidR="009817CA">
        <w:t xml:space="preserve">med gängkriminaliteten är </w:t>
      </w:r>
      <w:r w:rsidRPr="00C622FF" w:rsidR="009817CA">
        <w:lastRenderedPageBreak/>
        <w:t xml:space="preserve">det också långa handläggningstider. Vi behöver också se en förändring när det gäller mål med våld i nära relation där vi vet att den som blivit eller är utsatt inte alltför sällan skräms till tystnad. </w:t>
      </w:r>
    </w:p>
    <w:p w:rsidRPr="00C622FF" w:rsidR="00855D73" w:rsidP="00C622FF" w:rsidRDefault="009817CA" w14:paraId="14F4AFDD" w14:textId="5C6575AF">
      <w:r w:rsidRPr="00C622FF">
        <w:t>För att</w:t>
      </w:r>
      <w:r w:rsidRPr="00C622FF" w:rsidR="00855D73">
        <w:t xml:space="preserve"> säkra bevis </w:t>
      </w:r>
      <w:r w:rsidRPr="00C622FF">
        <w:t>ska kunna säkras tidigt och för att minnesbilden av händelseför</w:t>
      </w:r>
      <w:r w:rsidR="00232E3A">
        <w:softHyphen/>
      </w:r>
      <w:r w:rsidRPr="00C622FF">
        <w:t>loppet hos vittnen inte ska försämras med tid</w:t>
      </w:r>
      <w:r w:rsidR="007E020E">
        <w:t>en</w:t>
      </w:r>
      <w:r w:rsidRPr="00C622FF">
        <w:t xml:space="preserve"> och externa intryck finns det en vinst med att använda multimediala verktyg</w:t>
      </w:r>
      <w:r w:rsidRPr="00C622FF" w:rsidR="00186A8F">
        <w:t xml:space="preserve">. Det är dock ofrånkomligt att en sådan ordning med inspelade vittnesförhör blir grundligt granskade av </w:t>
      </w:r>
      <w:r w:rsidR="007E020E">
        <w:t>L</w:t>
      </w:r>
      <w:r w:rsidRPr="00C622FF" w:rsidR="00186A8F">
        <w:t>agrådet, så att inte rättssäker</w:t>
      </w:r>
      <w:r w:rsidR="00232E3A">
        <w:softHyphen/>
      </w:r>
      <w:r w:rsidRPr="00C622FF" w:rsidR="00186A8F">
        <w:t>heten sätts i fara.</w:t>
      </w:r>
    </w:p>
    <w:p w:rsidR="00C622FF" w:rsidP="007E020E" w:rsidRDefault="00855D73" w14:paraId="14F4AFDE" w14:textId="453DF299">
      <w:r>
        <w:t>Med de tekniska möjligheter som idag finns, inte minst de som skyndsammare har tagits fram i och med pandemin, är det i dag både enklare och rättssäkert att använda sig av både ljud- och bildinspelade vittnesmål. Det skulle också förebygga riskerna för</w:t>
      </w:r>
      <w:r w:rsidR="009817CA">
        <w:t xml:space="preserve"> mindre press på vittnen och målsäganden</w:t>
      </w:r>
      <w:r>
        <w:t>.</w:t>
      </w:r>
    </w:p>
    <w:p w:rsidR="00C622FF" w:rsidP="00232E3A" w:rsidRDefault="00855D73" w14:paraId="14F4AFDF" w14:textId="053AB02E">
      <w:r>
        <w:t xml:space="preserve">Fler brott kommer att klaras upp och </w:t>
      </w:r>
      <w:r w:rsidR="007E020E">
        <w:t xml:space="preserve">antalet </w:t>
      </w:r>
      <w:r>
        <w:t>inställda huvudförhandlingar kommer troligtvis att minska.</w:t>
      </w:r>
    </w:p>
    <w:sdt>
      <w:sdtPr>
        <w:rPr>
          <w:i/>
          <w:noProof/>
        </w:rPr>
        <w:alias w:val="CC_Underskrifter"/>
        <w:tag w:val="CC_Underskrifter"/>
        <w:id w:val="583496634"/>
        <w:lock w:val="sdtContentLocked"/>
        <w:placeholder>
          <w:docPart w:val="9DF8499CE10D4E7099ED52215953A5F6"/>
        </w:placeholder>
      </w:sdtPr>
      <w:sdtEndPr>
        <w:rPr>
          <w:i w:val="0"/>
          <w:noProof w:val="0"/>
        </w:rPr>
      </w:sdtEndPr>
      <w:sdtContent>
        <w:p w:rsidR="006305D2" w:rsidP="006305D2" w:rsidRDefault="006305D2" w14:paraId="19253AEA" w14:textId="77777777"/>
        <w:p w:rsidRPr="008E0FE2" w:rsidR="004801AC" w:rsidP="006305D2" w:rsidRDefault="001E4BE6" w14:paraId="14F4AFE4" w14:textId="7BC3BF27"/>
      </w:sdtContent>
    </w:sdt>
    <w:tbl>
      <w:tblPr>
        <w:tblW w:w="5000" w:type="pct"/>
        <w:tblLook w:val="04A0" w:firstRow="1" w:lastRow="0" w:firstColumn="1" w:lastColumn="0" w:noHBand="0" w:noVBand="1"/>
        <w:tblCaption w:val="underskrifter"/>
      </w:tblPr>
      <w:tblGrid>
        <w:gridCol w:w="4252"/>
        <w:gridCol w:w="4252"/>
      </w:tblGrid>
      <w:tr w:rsidR="003A6869" w14:paraId="54E7BDDE" w14:textId="77777777">
        <w:trPr>
          <w:cantSplit/>
        </w:trPr>
        <w:tc>
          <w:tcPr>
            <w:tcW w:w="50" w:type="pct"/>
            <w:vAlign w:val="bottom"/>
          </w:tcPr>
          <w:p w:rsidR="003A6869" w:rsidRDefault="007E020E" w14:paraId="52B291CA" w14:textId="77777777">
            <w:pPr>
              <w:pStyle w:val="Underskrifter"/>
            </w:pPr>
            <w:r>
              <w:t>Marléne Lund Kopparklint (M)</w:t>
            </w:r>
          </w:p>
        </w:tc>
        <w:tc>
          <w:tcPr>
            <w:tcW w:w="50" w:type="pct"/>
            <w:vAlign w:val="bottom"/>
          </w:tcPr>
          <w:p w:rsidR="003A6869" w:rsidRDefault="003A6869" w14:paraId="278FDB95" w14:textId="77777777">
            <w:pPr>
              <w:pStyle w:val="Underskrifter"/>
            </w:pPr>
          </w:p>
        </w:tc>
      </w:tr>
    </w:tbl>
    <w:p w:rsidR="00461C3D" w:rsidRDefault="00461C3D" w14:paraId="225E5A26" w14:textId="77777777">
      <w:bookmarkStart w:name="_GoBack" w:id="1"/>
      <w:bookmarkEnd w:id="1"/>
    </w:p>
    <w:sectPr w:rsidR="00461C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4AFE7" w14:textId="77777777" w:rsidR="00550932" w:rsidRDefault="00550932" w:rsidP="000C1CAD">
      <w:pPr>
        <w:spacing w:line="240" w:lineRule="auto"/>
      </w:pPr>
      <w:r>
        <w:separator/>
      </w:r>
    </w:p>
  </w:endnote>
  <w:endnote w:type="continuationSeparator" w:id="0">
    <w:p w14:paraId="14F4AFE8" w14:textId="77777777" w:rsidR="00550932" w:rsidRDefault="005509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A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A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AFF6" w14:textId="7B08EC36" w:rsidR="00262EA3" w:rsidRPr="006305D2" w:rsidRDefault="00262EA3" w:rsidP="00630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4AFE5" w14:textId="77777777" w:rsidR="00550932" w:rsidRDefault="00550932" w:rsidP="000C1CAD">
      <w:pPr>
        <w:spacing w:line="240" w:lineRule="auto"/>
      </w:pPr>
      <w:r>
        <w:separator/>
      </w:r>
    </w:p>
  </w:footnote>
  <w:footnote w:type="continuationSeparator" w:id="0">
    <w:p w14:paraId="14F4AFE6" w14:textId="77777777" w:rsidR="00550932" w:rsidRDefault="005509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AF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F4AFF7" wp14:editId="14F4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F4AFFB" w14:textId="77777777" w:rsidR="00262EA3" w:rsidRDefault="001E4BE6" w:rsidP="008103B5">
                          <w:pPr>
                            <w:jc w:val="right"/>
                          </w:pPr>
                          <w:sdt>
                            <w:sdtPr>
                              <w:alias w:val="CC_Noformat_Partikod"/>
                              <w:tag w:val="CC_Noformat_Partikod"/>
                              <w:id w:val="-53464382"/>
                              <w:placeholder>
                                <w:docPart w:val="8694DAD377DC4080B3F96A641F3A0441"/>
                              </w:placeholder>
                              <w:text/>
                            </w:sdtPr>
                            <w:sdtEndPr/>
                            <w:sdtContent>
                              <w:r w:rsidR="00855D73">
                                <w:t>M</w:t>
                              </w:r>
                            </w:sdtContent>
                          </w:sdt>
                          <w:sdt>
                            <w:sdtPr>
                              <w:alias w:val="CC_Noformat_Partinummer"/>
                              <w:tag w:val="CC_Noformat_Partinummer"/>
                              <w:id w:val="-1709555926"/>
                              <w:placeholder>
                                <w:docPart w:val="0C5E6A62BFE54A9F9E3E37FDF76280CA"/>
                              </w:placeholder>
                              <w:text/>
                            </w:sdtPr>
                            <w:sdtEndPr/>
                            <w:sdtContent>
                              <w:r w:rsidR="002439F7">
                                <w:t>2171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F4AF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F4AFFB" w14:textId="77777777" w:rsidR="00262EA3" w:rsidRDefault="001E4BE6" w:rsidP="008103B5">
                    <w:pPr>
                      <w:jc w:val="right"/>
                    </w:pPr>
                    <w:sdt>
                      <w:sdtPr>
                        <w:alias w:val="CC_Noformat_Partikod"/>
                        <w:tag w:val="CC_Noformat_Partikod"/>
                        <w:id w:val="-53464382"/>
                        <w:placeholder>
                          <w:docPart w:val="8694DAD377DC4080B3F96A641F3A0441"/>
                        </w:placeholder>
                        <w:text/>
                      </w:sdtPr>
                      <w:sdtEndPr/>
                      <w:sdtContent>
                        <w:r w:rsidR="00855D73">
                          <w:t>M</w:t>
                        </w:r>
                      </w:sdtContent>
                    </w:sdt>
                    <w:sdt>
                      <w:sdtPr>
                        <w:alias w:val="CC_Noformat_Partinummer"/>
                        <w:tag w:val="CC_Noformat_Partinummer"/>
                        <w:id w:val="-1709555926"/>
                        <w:placeholder>
                          <w:docPart w:val="0C5E6A62BFE54A9F9E3E37FDF76280CA"/>
                        </w:placeholder>
                        <w:text/>
                      </w:sdtPr>
                      <w:sdtEndPr/>
                      <w:sdtContent>
                        <w:r w:rsidR="002439F7">
                          <w:t>2171</w:t>
                        </w:r>
                      </w:sdtContent>
                    </w:sdt>
                  </w:p>
                </w:txbxContent>
              </v:textbox>
              <w10:wrap anchorx="page"/>
            </v:shape>
          </w:pict>
        </mc:Fallback>
      </mc:AlternateContent>
    </w:r>
  </w:p>
  <w:p w14:paraId="14F4AF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AFEB" w14:textId="77777777" w:rsidR="00262EA3" w:rsidRDefault="00262EA3" w:rsidP="008563AC">
    <w:pPr>
      <w:jc w:val="right"/>
    </w:pPr>
  </w:p>
  <w:p w14:paraId="14F4A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AFEF" w14:textId="77777777" w:rsidR="00262EA3" w:rsidRDefault="001E4B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4AFF9" wp14:editId="14F4AF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4AFF0" w14:textId="77777777" w:rsidR="00262EA3" w:rsidRDefault="001E4BE6" w:rsidP="00A314CF">
    <w:pPr>
      <w:pStyle w:val="FSHNormal"/>
      <w:spacing w:before="40"/>
    </w:pPr>
    <w:sdt>
      <w:sdtPr>
        <w:alias w:val="CC_Noformat_Motionstyp"/>
        <w:tag w:val="CC_Noformat_Motionstyp"/>
        <w:id w:val="1162973129"/>
        <w:lock w:val="sdtContentLocked"/>
        <w15:appearance w15:val="hidden"/>
        <w:text/>
      </w:sdtPr>
      <w:sdtEndPr/>
      <w:sdtContent>
        <w:r w:rsidR="0064085E">
          <w:t>Enskild motion</w:t>
        </w:r>
      </w:sdtContent>
    </w:sdt>
    <w:r w:rsidR="00821B36">
      <w:t xml:space="preserve"> </w:t>
    </w:r>
    <w:sdt>
      <w:sdtPr>
        <w:alias w:val="CC_Noformat_Partikod"/>
        <w:tag w:val="CC_Noformat_Partikod"/>
        <w:id w:val="1471015553"/>
        <w:text/>
      </w:sdtPr>
      <w:sdtEndPr/>
      <w:sdtContent>
        <w:r w:rsidR="00855D73">
          <w:t>M</w:t>
        </w:r>
      </w:sdtContent>
    </w:sdt>
    <w:sdt>
      <w:sdtPr>
        <w:alias w:val="CC_Noformat_Partinummer"/>
        <w:tag w:val="CC_Noformat_Partinummer"/>
        <w:id w:val="-2014525982"/>
        <w:text/>
      </w:sdtPr>
      <w:sdtEndPr/>
      <w:sdtContent>
        <w:r w:rsidR="002439F7">
          <w:t>2171</w:t>
        </w:r>
      </w:sdtContent>
    </w:sdt>
  </w:p>
  <w:p w14:paraId="14F4AFF1" w14:textId="77777777" w:rsidR="00262EA3" w:rsidRPr="008227B3" w:rsidRDefault="001E4B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F4AFF2" w14:textId="77777777" w:rsidR="00262EA3" w:rsidRPr="008227B3" w:rsidRDefault="001E4B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8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85E">
          <w:t>:2061</w:t>
        </w:r>
      </w:sdtContent>
    </w:sdt>
  </w:p>
  <w:p w14:paraId="14F4AFF3" w14:textId="77777777" w:rsidR="00262EA3" w:rsidRDefault="001E4BE6" w:rsidP="00E03A3D">
    <w:pPr>
      <w:pStyle w:val="Motionr"/>
    </w:pPr>
    <w:sdt>
      <w:sdtPr>
        <w:alias w:val="CC_Noformat_Avtext"/>
        <w:tag w:val="CC_Noformat_Avtext"/>
        <w:id w:val="-2020768203"/>
        <w:lock w:val="sdtContentLocked"/>
        <w15:appearance w15:val="hidden"/>
        <w:text/>
      </w:sdtPr>
      <w:sdtEndPr/>
      <w:sdtContent>
        <w:r w:rsidR="0064085E">
          <w:t>av Marléne Lund Kopparklint (M)</w:t>
        </w:r>
      </w:sdtContent>
    </w:sdt>
  </w:p>
  <w:sdt>
    <w:sdtPr>
      <w:alias w:val="CC_Noformat_Rubtext"/>
      <w:tag w:val="CC_Noformat_Rubtext"/>
      <w:id w:val="-218060500"/>
      <w:lock w:val="sdtLocked"/>
      <w:text/>
    </w:sdtPr>
    <w:sdtEndPr/>
    <w:sdtContent>
      <w:p w14:paraId="14F4AFF4" w14:textId="77777777" w:rsidR="00262EA3" w:rsidRDefault="007657BE" w:rsidP="00283E0F">
        <w:pPr>
          <w:pStyle w:val="FSHRub2"/>
        </w:pPr>
        <w:r>
          <w:t>Motverka otillbörlig påverkan och övergrepp i rättssak</w:t>
        </w:r>
      </w:p>
    </w:sdtContent>
  </w:sdt>
  <w:sdt>
    <w:sdtPr>
      <w:alias w:val="CC_Boilerplate_3"/>
      <w:tag w:val="CC_Boilerplate_3"/>
      <w:id w:val="1606463544"/>
      <w:lock w:val="sdtContentLocked"/>
      <w15:appearance w15:val="hidden"/>
      <w:text w:multiLine="1"/>
    </w:sdtPr>
    <w:sdtEndPr/>
    <w:sdtContent>
      <w:p w14:paraId="14F4AF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5D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8F"/>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E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6B"/>
    <w:rsid w:val="00223315"/>
    <w:rsid w:val="00223328"/>
    <w:rsid w:val="0022373F"/>
    <w:rsid w:val="00224466"/>
    <w:rsid w:val="00224866"/>
    <w:rsid w:val="00225404"/>
    <w:rsid w:val="002257F5"/>
    <w:rsid w:val="00225DB9"/>
    <w:rsid w:val="00230143"/>
    <w:rsid w:val="0023042C"/>
    <w:rsid w:val="00231E1F"/>
    <w:rsid w:val="00232A75"/>
    <w:rsid w:val="00232D3A"/>
    <w:rsid w:val="00232E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F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869"/>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3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06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93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5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EE"/>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BE"/>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20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73"/>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C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2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F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4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F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FE"/>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38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F4AFD7"/>
  <w15:chartTrackingRefBased/>
  <w15:docId w15:val="{850A4DEA-43D1-46A5-983F-4FDACD07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05295261994369853A692F0B56A895"/>
        <w:category>
          <w:name w:val="Allmänt"/>
          <w:gallery w:val="placeholder"/>
        </w:category>
        <w:types>
          <w:type w:val="bbPlcHdr"/>
        </w:types>
        <w:behaviors>
          <w:behavior w:val="content"/>
        </w:behaviors>
        <w:guid w:val="{040B731B-256F-4EB2-BF20-3D8DD6963ABF}"/>
      </w:docPartPr>
      <w:docPartBody>
        <w:p w:rsidR="003303A2" w:rsidRDefault="004F729E">
          <w:pPr>
            <w:pStyle w:val="7605295261994369853A692F0B56A895"/>
          </w:pPr>
          <w:r w:rsidRPr="005A0A93">
            <w:rPr>
              <w:rStyle w:val="Platshllartext"/>
            </w:rPr>
            <w:t>Förslag till riksdagsbeslut</w:t>
          </w:r>
        </w:p>
      </w:docPartBody>
    </w:docPart>
    <w:docPart>
      <w:docPartPr>
        <w:name w:val="2F97E5543F714CCD9F9FF80DF50296F0"/>
        <w:category>
          <w:name w:val="Allmänt"/>
          <w:gallery w:val="placeholder"/>
        </w:category>
        <w:types>
          <w:type w:val="bbPlcHdr"/>
        </w:types>
        <w:behaviors>
          <w:behavior w:val="content"/>
        </w:behaviors>
        <w:guid w:val="{915C2389-53E7-496B-AD42-727F8DFF5B5E}"/>
      </w:docPartPr>
      <w:docPartBody>
        <w:p w:rsidR="003303A2" w:rsidRDefault="004F729E">
          <w:pPr>
            <w:pStyle w:val="2F97E5543F714CCD9F9FF80DF50296F0"/>
          </w:pPr>
          <w:r w:rsidRPr="005A0A93">
            <w:rPr>
              <w:rStyle w:val="Platshllartext"/>
            </w:rPr>
            <w:t>Motivering</w:t>
          </w:r>
        </w:p>
      </w:docPartBody>
    </w:docPart>
    <w:docPart>
      <w:docPartPr>
        <w:name w:val="8694DAD377DC4080B3F96A641F3A0441"/>
        <w:category>
          <w:name w:val="Allmänt"/>
          <w:gallery w:val="placeholder"/>
        </w:category>
        <w:types>
          <w:type w:val="bbPlcHdr"/>
        </w:types>
        <w:behaviors>
          <w:behavior w:val="content"/>
        </w:behaviors>
        <w:guid w:val="{3342D687-A3CA-489D-93CB-4728D7962395}"/>
      </w:docPartPr>
      <w:docPartBody>
        <w:p w:rsidR="003303A2" w:rsidRDefault="004F729E">
          <w:pPr>
            <w:pStyle w:val="8694DAD377DC4080B3F96A641F3A0441"/>
          </w:pPr>
          <w:r>
            <w:rPr>
              <w:rStyle w:val="Platshllartext"/>
            </w:rPr>
            <w:t xml:space="preserve"> </w:t>
          </w:r>
        </w:p>
      </w:docPartBody>
    </w:docPart>
    <w:docPart>
      <w:docPartPr>
        <w:name w:val="0C5E6A62BFE54A9F9E3E37FDF76280CA"/>
        <w:category>
          <w:name w:val="Allmänt"/>
          <w:gallery w:val="placeholder"/>
        </w:category>
        <w:types>
          <w:type w:val="bbPlcHdr"/>
        </w:types>
        <w:behaviors>
          <w:behavior w:val="content"/>
        </w:behaviors>
        <w:guid w:val="{4E32F3DB-421B-499E-919B-2D7ED0AD54EB}"/>
      </w:docPartPr>
      <w:docPartBody>
        <w:p w:rsidR="003303A2" w:rsidRDefault="004F729E">
          <w:pPr>
            <w:pStyle w:val="0C5E6A62BFE54A9F9E3E37FDF76280CA"/>
          </w:pPr>
          <w:r>
            <w:t xml:space="preserve"> </w:t>
          </w:r>
        </w:p>
      </w:docPartBody>
    </w:docPart>
    <w:docPart>
      <w:docPartPr>
        <w:name w:val="9DF8499CE10D4E7099ED52215953A5F6"/>
        <w:category>
          <w:name w:val="Allmänt"/>
          <w:gallery w:val="placeholder"/>
        </w:category>
        <w:types>
          <w:type w:val="bbPlcHdr"/>
        </w:types>
        <w:behaviors>
          <w:behavior w:val="content"/>
        </w:behaviors>
        <w:guid w:val="{87A41180-D499-4DFC-9A7B-A524FE183481}"/>
      </w:docPartPr>
      <w:docPartBody>
        <w:p w:rsidR="004E2295" w:rsidRDefault="004E22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A2"/>
    <w:rsid w:val="003303A2"/>
    <w:rsid w:val="004E2295"/>
    <w:rsid w:val="004F7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05295261994369853A692F0B56A895">
    <w:name w:val="7605295261994369853A692F0B56A895"/>
  </w:style>
  <w:style w:type="paragraph" w:customStyle="1" w:styleId="1CBE76CAB3C04C1091C7C088F0BD7417">
    <w:name w:val="1CBE76CAB3C04C1091C7C088F0BD74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E70D993C634575B3C9FBD34C4B365D">
    <w:name w:val="C3E70D993C634575B3C9FBD34C4B365D"/>
  </w:style>
  <w:style w:type="paragraph" w:customStyle="1" w:styleId="2F97E5543F714CCD9F9FF80DF50296F0">
    <w:name w:val="2F97E5543F714CCD9F9FF80DF50296F0"/>
  </w:style>
  <w:style w:type="paragraph" w:customStyle="1" w:styleId="716151AC57D542F8A3A5632BFC2F2397">
    <w:name w:val="716151AC57D542F8A3A5632BFC2F2397"/>
  </w:style>
  <w:style w:type="paragraph" w:customStyle="1" w:styleId="B7E6356F41C846F89F60C3EDE69EB0B4">
    <w:name w:val="B7E6356F41C846F89F60C3EDE69EB0B4"/>
  </w:style>
  <w:style w:type="paragraph" w:customStyle="1" w:styleId="8694DAD377DC4080B3F96A641F3A0441">
    <w:name w:val="8694DAD377DC4080B3F96A641F3A0441"/>
  </w:style>
  <w:style w:type="paragraph" w:customStyle="1" w:styleId="0C5E6A62BFE54A9F9E3E37FDF76280CA">
    <w:name w:val="0C5E6A62BFE54A9F9E3E37FDF7628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0F115-2526-4930-B05C-D4404C8A4B5B}"/>
</file>

<file path=customXml/itemProps2.xml><?xml version="1.0" encoding="utf-8"?>
<ds:datastoreItem xmlns:ds="http://schemas.openxmlformats.org/officeDocument/2006/customXml" ds:itemID="{CB5E2BFF-8B85-414A-BB6C-39E409010375}"/>
</file>

<file path=customXml/itemProps3.xml><?xml version="1.0" encoding="utf-8"?>
<ds:datastoreItem xmlns:ds="http://schemas.openxmlformats.org/officeDocument/2006/customXml" ds:itemID="{A2D00CC6-E974-49A0-977D-FCABE963D67A}"/>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2520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Motverka otillbörlig påverkan och övergrepp i rättssak</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