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926" w:rsidRPr="00993926" w:rsidRDefault="00993926">
      <w:pPr>
        <w:pStyle w:val="Frslagsrubrik"/>
      </w:pPr>
      <w:r w:rsidRPr="00993926">
        <w:t>Förslag till riksdagsbeslut</w:t>
      </w:r>
    </w:p>
    <w:p w:rsidR="00993926" w:rsidRPr="00993926" w:rsidRDefault="00993926">
      <w:pPr>
        <w:pStyle w:val="Hemstlatt"/>
        <w:ind w:left="0"/>
      </w:pPr>
      <w:r w:rsidRPr="00993926">
        <w:t>Riksdagen tillkännager för regeringen som sin mening vad som anförs i motionen om att se över hur jazzens ställning i kulturpolit</w:t>
      </w:r>
      <w:r w:rsidRPr="00993926">
        <w:t>i</w:t>
      </w:r>
      <w:r w:rsidRPr="00993926">
        <w:t>ken och samhället konkret kan förbättras.</w:t>
      </w:r>
    </w:p>
    <w:p w:rsidR="00993926" w:rsidRPr="00993926" w:rsidRDefault="00993926">
      <w:pPr>
        <w:pStyle w:val="Rubrik1"/>
      </w:pPr>
      <w:r w:rsidRPr="00993926">
        <w:t>Motivering</w:t>
      </w:r>
    </w:p>
    <w:p w:rsidR="00993926" w:rsidRPr="00993926" w:rsidRDefault="00993926">
      <w:r w:rsidRPr="00993926">
        <w:t>Som nätverket Svensk Jazz utpekat i sin kampanj ”Släpp in jazzen” med kampanjaktiviteter över hela landet har jazzmusiken på strukturella grunder hamnat i periferin av dagens kulturpolitik. Det fria kulturlivets mycket låga subventionsgrad är ingen nyhet och har pekats ut som ett problem i flera olika utredningar under flera decennier utan att ord har blivit till politisk handling. Tack vare att nästan allt arbete som utförs i de arrangerande föreningarna sker ideellt blir det mycket kultur för lite skatte</w:t>
      </w:r>
      <w:r w:rsidRPr="00993926">
        <w:t xml:space="preserve">pengar. De musiker som agerar i det fria musiklivet genomför allt utvecklingsarbete obetalt och spelar för gagenivåer som är under hälften av vad deras kollegor får på institutionerna. </w:t>
      </w:r>
    </w:p>
    <w:p w:rsidR="00993926" w:rsidRPr="00993926" w:rsidRDefault="00993926">
      <w:pPr>
        <w:pStyle w:val="Normaltindrag"/>
      </w:pPr>
      <w:r w:rsidRPr="00993926">
        <w:t>Kulturpolitiken måste ta tillvara medborgarnas engagemang och allt det ideella arbete som läggs ner i föreningsform. Svenska Jazzriksförbundet sa</w:t>
      </w:r>
      <w:r w:rsidRPr="00993926">
        <w:t>m</w:t>
      </w:r>
      <w:r w:rsidRPr="00993926">
        <w:t>lar 25 000 medlemmar från samhällets alla geografiska och sociala hörn som har sitt brinnande intresse för jazz gemensamt. Det är denna medborgerliga förankring som gör det fria kulturlivet så viktigt.</w:t>
      </w:r>
    </w:p>
    <w:p w:rsidR="00993926" w:rsidRPr="00993926" w:rsidRDefault="00993926">
      <w:pPr>
        <w:pStyle w:val="Normaltindrag"/>
        <w:spacing w:after="120"/>
      </w:pPr>
      <w:r w:rsidRPr="00993926">
        <w:br w:type="page"/>
      </w:r>
      <w:r w:rsidRPr="00993926">
        <w:lastRenderedPageBreak/>
        <w:t>Med utgångspunkt från Kulturrådets rapport 2007:1 ”Musik 2004–2005” kan olika systems kostnadseffektivitet jämföras enligt följande:</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0"/>
        <w:gridCol w:w="61"/>
        <w:gridCol w:w="1683"/>
        <w:gridCol w:w="1589"/>
      </w:tblGrid>
      <w:tr w:rsidR="00000000" w:rsidRPr="00993926">
        <w:tc>
          <w:tcPr>
            <w:tcW w:w="2748" w:type="dxa"/>
            <w:tcBorders>
              <w:top w:val="single" w:sz="4" w:space="0" w:color="auto"/>
              <w:bottom w:val="single" w:sz="4" w:space="0" w:color="auto"/>
            </w:tcBorders>
          </w:tcPr>
          <w:p w:rsidR="00993926" w:rsidRPr="00993926" w:rsidRDefault="00993926">
            <w:pPr>
              <w:spacing w:before="60" w:line="200" w:lineRule="exact"/>
              <w:jc w:val="left"/>
              <w:rPr>
                <w:b/>
                <w:bCs/>
                <w:sz w:val="16"/>
                <w:szCs w:val="16"/>
              </w:rPr>
            </w:pPr>
            <w:r w:rsidRPr="00993926">
              <w:rPr>
                <w:b/>
                <w:bCs/>
                <w:sz w:val="16"/>
                <w:szCs w:val="16"/>
              </w:rPr>
              <w:t>Område</w:t>
            </w:r>
          </w:p>
        </w:tc>
        <w:tc>
          <w:tcPr>
            <w:tcW w:w="1800" w:type="dxa"/>
            <w:gridSpan w:val="2"/>
            <w:tcBorders>
              <w:top w:val="single" w:sz="4" w:space="0" w:color="auto"/>
              <w:bottom w:val="single" w:sz="4" w:space="0" w:color="auto"/>
            </w:tcBorders>
          </w:tcPr>
          <w:p w:rsidR="00993926" w:rsidRPr="00993926" w:rsidRDefault="00993926">
            <w:pPr>
              <w:spacing w:before="60" w:line="200" w:lineRule="exact"/>
              <w:jc w:val="center"/>
              <w:rPr>
                <w:b/>
                <w:bCs/>
                <w:sz w:val="16"/>
                <w:szCs w:val="16"/>
              </w:rPr>
            </w:pPr>
            <w:r w:rsidRPr="00993926">
              <w:rPr>
                <w:b/>
                <w:bCs/>
                <w:sz w:val="16"/>
                <w:szCs w:val="16"/>
              </w:rPr>
              <w:t>Redovisade konserter</w:t>
            </w:r>
          </w:p>
        </w:tc>
        <w:tc>
          <w:tcPr>
            <w:tcW w:w="1621" w:type="dxa"/>
            <w:tcBorders>
              <w:top w:val="single" w:sz="4" w:space="0" w:color="auto"/>
              <w:bottom w:val="single" w:sz="4" w:space="0" w:color="auto"/>
            </w:tcBorders>
          </w:tcPr>
          <w:p w:rsidR="00993926" w:rsidRPr="00993926" w:rsidRDefault="00993926">
            <w:pPr>
              <w:spacing w:before="60" w:line="200" w:lineRule="exact"/>
              <w:jc w:val="center"/>
              <w:rPr>
                <w:b/>
                <w:bCs/>
                <w:sz w:val="16"/>
                <w:szCs w:val="16"/>
              </w:rPr>
            </w:pPr>
            <w:r w:rsidRPr="00993926">
              <w:rPr>
                <w:b/>
                <w:bCs/>
                <w:sz w:val="16"/>
                <w:szCs w:val="16"/>
              </w:rPr>
              <w:t>Statligt bidrag</w:t>
            </w:r>
          </w:p>
        </w:tc>
      </w:tr>
      <w:tr w:rsidR="00000000" w:rsidRPr="00993926">
        <w:tc>
          <w:tcPr>
            <w:tcW w:w="2812" w:type="dxa"/>
            <w:gridSpan w:val="2"/>
            <w:tcBorders>
              <w:top w:val="single" w:sz="4" w:space="0" w:color="auto"/>
            </w:tcBorders>
          </w:tcPr>
          <w:p w:rsidR="00993926" w:rsidRPr="00993926" w:rsidRDefault="00993926">
            <w:pPr>
              <w:spacing w:before="60" w:line="200" w:lineRule="exact"/>
              <w:rPr>
                <w:b/>
                <w:bCs/>
                <w:sz w:val="16"/>
                <w:szCs w:val="16"/>
              </w:rPr>
            </w:pPr>
            <w:r w:rsidRPr="00993926">
              <w:rPr>
                <w:sz w:val="16"/>
                <w:szCs w:val="16"/>
              </w:rPr>
              <w:t>Orkesterinstitutioner</w:t>
            </w:r>
          </w:p>
        </w:tc>
        <w:tc>
          <w:tcPr>
            <w:tcW w:w="1736" w:type="dxa"/>
            <w:tcBorders>
              <w:top w:val="single" w:sz="4" w:space="0" w:color="auto"/>
            </w:tcBorders>
            <w:vAlign w:val="center"/>
          </w:tcPr>
          <w:p w:rsidR="00993926" w:rsidRPr="00993926" w:rsidRDefault="00993926">
            <w:pPr>
              <w:spacing w:before="60" w:line="200" w:lineRule="exact"/>
              <w:ind w:right="404"/>
              <w:jc w:val="right"/>
              <w:rPr>
                <w:b/>
                <w:bCs/>
                <w:sz w:val="16"/>
                <w:szCs w:val="16"/>
              </w:rPr>
            </w:pPr>
            <w:r w:rsidRPr="00993926">
              <w:rPr>
                <w:sz w:val="16"/>
                <w:szCs w:val="16"/>
              </w:rPr>
              <w:t>2 056</w:t>
            </w:r>
          </w:p>
        </w:tc>
        <w:tc>
          <w:tcPr>
            <w:tcW w:w="1621" w:type="dxa"/>
            <w:tcBorders>
              <w:top w:val="single" w:sz="4" w:space="0" w:color="auto"/>
            </w:tcBorders>
            <w:vAlign w:val="center"/>
          </w:tcPr>
          <w:p w:rsidR="00993926" w:rsidRPr="00993926" w:rsidRDefault="00993926">
            <w:pPr>
              <w:spacing w:before="60" w:line="200" w:lineRule="exact"/>
              <w:ind w:right="433"/>
              <w:jc w:val="right"/>
              <w:rPr>
                <w:b/>
                <w:bCs/>
                <w:sz w:val="16"/>
                <w:szCs w:val="16"/>
              </w:rPr>
            </w:pPr>
            <w:r w:rsidRPr="00993926">
              <w:rPr>
                <w:sz w:val="16"/>
                <w:szCs w:val="16"/>
              </w:rPr>
              <w:t>78 184,82</w:t>
            </w:r>
          </w:p>
        </w:tc>
      </w:tr>
      <w:tr w:rsidR="00000000" w:rsidRPr="00993926">
        <w:tc>
          <w:tcPr>
            <w:tcW w:w="2812" w:type="dxa"/>
            <w:gridSpan w:val="2"/>
          </w:tcPr>
          <w:p w:rsidR="00993926" w:rsidRPr="00993926" w:rsidRDefault="00993926">
            <w:pPr>
              <w:spacing w:before="60" w:line="200" w:lineRule="exact"/>
              <w:rPr>
                <w:b/>
                <w:bCs/>
                <w:sz w:val="16"/>
                <w:szCs w:val="16"/>
              </w:rPr>
            </w:pPr>
            <w:r w:rsidRPr="00993926">
              <w:rPr>
                <w:sz w:val="16"/>
                <w:szCs w:val="16"/>
              </w:rPr>
              <w:t>Länsmusikorganisationer</w:t>
            </w:r>
          </w:p>
        </w:tc>
        <w:tc>
          <w:tcPr>
            <w:tcW w:w="1736" w:type="dxa"/>
            <w:vAlign w:val="center"/>
          </w:tcPr>
          <w:p w:rsidR="00993926" w:rsidRPr="00993926" w:rsidRDefault="00993926">
            <w:pPr>
              <w:spacing w:before="60" w:line="200" w:lineRule="exact"/>
              <w:ind w:right="404"/>
              <w:jc w:val="right"/>
              <w:rPr>
                <w:b/>
                <w:bCs/>
                <w:sz w:val="16"/>
                <w:szCs w:val="16"/>
              </w:rPr>
            </w:pPr>
            <w:r w:rsidRPr="00993926">
              <w:rPr>
                <w:sz w:val="16"/>
                <w:szCs w:val="16"/>
              </w:rPr>
              <w:t>13 569</w:t>
            </w:r>
          </w:p>
        </w:tc>
        <w:tc>
          <w:tcPr>
            <w:tcW w:w="1621" w:type="dxa"/>
            <w:vAlign w:val="center"/>
          </w:tcPr>
          <w:p w:rsidR="00993926" w:rsidRPr="00993926" w:rsidRDefault="00993926">
            <w:pPr>
              <w:spacing w:before="60" w:line="200" w:lineRule="exact"/>
              <w:ind w:right="433"/>
              <w:jc w:val="right"/>
              <w:rPr>
                <w:b/>
                <w:bCs/>
                <w:sz w:val="16"/>
                <w:szCs w:val="16"/>
              </w:rPr>
            </w:pPr>
            <w:r w:rsidRPr="00993926">
              <w:rPr>
                <w:sz w:val="16"/>
                <w:szCs w:val="16"/>
              </w:rPr>
              <w:t>21 751,71</w:t>
            </w:r>
          </w:p>
        </w:tc>
      </w:tr>
      <w:tr w:rsidR="00000000" w:rsidRPr="00993926">
        <w:tc>
          <w:tcPr>
            <w:tcW w:w="2812" w:type="dxa"/>
            <w:gridSpan w:val="2"/>
          </w:tcPr>
          <w:p w:rsidR="00993926" w:rsidRPr="00993926" w:rsidRDefault="00993926">
            <w:pPr>
              <w:spacing w:before="60" w:line="200" w:lineRule="exact"/>
              <w:rPr>
                <w:b/>
                <w:bCs/>
                <w:sz w:val="16"/>
                <w:szCs w:val="16"/>
              </w:rPr>
            </w:pPr>
            <w:r w:rsidRPr="00993926">
              <w:rPr>
                <w:sz w:val="16"/>
                <w:szCs w:val="16"/>
              </w:rPr>
              <w:t>Fria grupper</w:t>
            </w:r>
          </w:p>
        </w:tc>
        <w:tc>
          <w:tcPr>
            <w:tcW w:w="1736" w:type="dxa"/>
            <w:vAlign w:val="center"/>
          </w:tcPr>
          <w:p w:rsidR="00993926" w:rsidRPr="00993926" w:rsidRDefault="00993926">
            <w:pPr>
              <w:spacing w:before="60" w:line="200" w:lineRule="exact"/>
              <w:ind w:right="404"/>
              <w:jc w:val="right"/>
              <w:rPr>
                <w:b/>
                <w:bCs/>
                <w:sz w:val="16"/>
                <w:szCs w:val="16"/>
              </w:rPr>
            </w:pPr>
            <w:r w:rsidRPr="00993926">
              <w:rPr>
                <w:sz w:val="16"/>
                <w:szCs w:val="16"/>
              </w:rPr>
              <w:t>3 596</w:t>
            </w:r>
          </w:p>
        </w:tc>
        <w:tc>
          <w:tcPr>
            <w:tcW w:w="1621" w:type="dxa"/>
            <w:vAlign w:val="center"/>
          </w:tcPr>
          <w:p w:rsidR="00993926" w:rsidRPr="00993926" w:rsidRDefault="00993926">
            <w:pPr>
              <w:spacing w:before="60" w:line="200" w:lineRule="exact"/>
              <w:ind w:right="433"/>
              <w:jc w:val="right"/>
              <w:rPr>
                <w:b/>
                <w:bCs/>
                <w:sz w:val="16"/>
                <w:szCs w:val="16"/>
              </w:rPr>
            </w:pPr>
            <w:r w:rsidRPr="00993926">
              <w:rPr>
                <w:sz w:val="16"/>
                <w:szCs w:val="16"/>
              </w:rPr>
              <w:t>2 589,82</w:t>
            </w:r>
          </w:p>
        </w:tc>
      </w:tr>
      <w:tr w:rsidR="00000000" w:rsidRPr="00993926">
        <w:tc>
          <w:tcPr>
            <w:tcW w:w="2812" w:type="dxa"/>
            <w:gridSpan w:val="2"/>
          </w:tcPr>
          <w:p w:rsidR="00993926" w:rsidRPr="00993926" w:rsidRDefault="00993926">
            <w:pPr>
              <w:spacing w:before="60" w:line="200" w:lineRule="exact"/>
              <w:rPr>
                <w:color w:val="000000"/>
                <w:sz w:val="16"/>
                <w:szCs w:val="16"/>
              </w:rPr>
            </w:pPr>
            <w:r w:rsidRPr="00993926">
              <w:rPr>
                <w:sz w:val="16"/>
                <w:szCs w:val="16"/>
              </w:rPr>
              <w:t>MAIS-förbundens</w:t>
            </w:r>
            <w:r w:rsidRPr="00993926">
              <w:rPr>
                <w:sz w:val="16"/>
                <w:szCs w:val="16"/>
                <w:vertAlign w:val="superscript"/>
              </w:rPr>
              <w:t>1</w:t>
            </w:r>
            <w:r w:rsidRPr="00993926">
              <w:rPr>
                <w:sz w:val="16"/>
                <w:szCs w:val="16"/>
              </w:rPr>
              <w:t xml:space="preserve"> lokala arrangörer</w:t>
            </w:r>
          </w:p>
        </w:tc>
        <w:tc>
          <w:tcPr>
            <w:tcW w:w="1736" w:type="dxa"/>
            <w:vAlign w:val="center"/>
          </w:tcPr>
          <w:p w:rsidR="00993926" w:rsidRPr="00993926" w:rsidRDefault="00993926">
            <w:pPr>
              <w:spacing w:before="60" w:line="200" w:lineRule="exact"/>
              <w:ind w:right="404"/>
              <w:jc w:val="right"/>
              <w:rPr>
                <w:b/>
                <w:bCs/>
                <w:sz w:val="16"/>
                <w:szCs w:val="16"/>
              </w:rPr>
            </w:pPr>
            <w:r w:rsidRPr="00993926">
              <w:rPr>
                <w:sz w:val="16"/>
                <w:szCs w:val="16"/>
              </w:rPr>
              <w:t>9 808</w:t>
            </w:r>
          </w:p>
        </w:tc>
        <w:tc>
          <w:tcPr>
            <w:tcW w:w="1621" w:type="dxa"/>
            <w:vAlign w:val="center"/>
          </w:tcPr>
          <w:p w:rsidR="00993926" w:rsidRPr="00993926" w:rsidRDefault="00993926">
            <w:pPr>
              <w:spacing w:before="60" w:line="200" w:lineRule="exact"/>
              <w:ind w:right="433"/>
              <w:jc w:val="right"/>
              <w:rPr>
                <w:b/>
                <w:bCs/>
                <w:sz w:val="16"/>
                <w:szCs w:val="16"/>
              </w:rPr>
            </w:pPr>
            <w:r w:rsidRPr="00993926">
              <w:rPr>
                <w:sz w:val="16"/>
                <w:szCs w:val="16"/>
              </w:rPr>
              <w:t>1 656,50</w:t>
            </w:r>
          </w:p>
        </w:tc>
      </w:tr>
    </w:tbl>
    <w:p w:rsidR="00993926" w:rsidRPr="00993926" w:rsidRDefault="00993926">
      <w:pPr>
        <w:pStyle w:val="Normaltindrag"/>
        <w:ind w:firstLine="0"/>
        <w:rPr>
          <w:sz w:val="16"/>
          <w:szCs w:val="16"/>
        </w:rPr>
      </w:pPr>
      <w:r w:rsidRPr="00993926">
        <w:rPr>
          <w:vertAlign w:val="superscript"/>
        </w:rPr>
        <w:t xml:space="preserve">1 </w:t>
      </w:r>
      <w:r w:rsidRPr="00993926">
        <w:rPr>
          <w:sz w:val="16"/>
          <w:szCs w:val="16"/>
        </w:rPr>
        <w:t>MAIS står för Musikarrangörer i samverkan. Förbunden samlar de flesta av landets ideella musikföreningar.</w:t>
      </w:r>
    </w:p>
    <w:p w:rsidR="00993926" w:rsidRPr="00993926" w:rsidRDefault="00993926">
      <w:r w:rsidRPr="00993926">
        <w:t xml:space="preserve">Förutom det uppenbara problemet med ett kulturliv där aktörerna agerar på så vitt skilda villkor kan också konstateras att denna sneda fördelning mellan institutionerna och det fria kulturlivet bestraffar vissa genrer mer än andra. Jazzen är fri till sin karaktär och en övervägande del av genren verkar också i det fria kulturlivet. </w:t>
      </w:r>
    </w:p>
    <w:p w:rsidR="00993926" w:rsidRPr="00993926" w:rsidRDefault="00993926">
      <w:pPr>
        <w:pStyle w:val="Normaltindrag"/>
      </w:pPr>
      <w:r w:rsidRPr="00993926">
        <w:t>Orkesterinstitutionernas jazzverksamhet är om inte obefintlig så åtminst</w:t>
      </w:r>
      <w:r w:rsidRPr="00993926">
        <w:t>o</w:t>
      </w:r>
      <w:r w:rsidRPr="00993926">
        <w:t>ne försumbar. Inom länsmusiken ser det mycket olika ut, men i huvudsak kan konstateras att genren är starkt underrepresenterad. Jazzlivet består alltså till övervägande del av fria grupper med lågt statligt bidrag som frilansar hos fria arrangörer med ännu lägre statligt bidrag. Jazzen som genre är på detta sätt illa behandlad på grund av att de kulturpolitiska strukturerna inte har hängt med i konstformernas utveckling. Att ”pröva hur de nuvarande kultu</w:t>
      </w:r>
      <w:r w:rsidRPr="00993926">
        <w:t>r</w:t>
      </w:r>
      <w:r w:rsidRPr="00993926">
        <w:t>politiska prioriteringarna och strukturerna förhålle</w:t>
      </w:r>
      <w:r w:rsidRPr="00993926">
        <w:t>r sig till dagens samhälle” var ett av Kulturutredningens uppdrag men man lämnade inte några särskilda tankar eller förslag kring detta.</w:t>
      </w:r>
    </w:p>
    <w:p w:rsidR="00993926" w:rsidRPr="00993926" w:rsidRDefault="00993926">
      <w:pPr>
        <w:pStyle w:val="Normaltindrag"/>
      </w:pPr>
      <w:r w:rsidRPr="00993926">
        <w:t>Jazzen måste stärkas både institutionellt och där den redan finns, nära medborgarna utanför institutionerna.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3926">
        <w:trPr>
          <w:cantSplit/>
        </w:trPr>
        <w:tc>
          <w:tcPr>
            <w:tcW w:w="3046" w:type="dxa"/>
          </w:tcPr>
          <w:p w:rsidR="00993926" w:rsidRPr="00993926" w:rsidRDefault="00993926">
            <w:pPr>
              <w:pStyle w:val="UnderskriftDatum"/>
              <w:spacing w:before="240"/>
            </w:pPr>
            <w:r w:rsidRPr="00993926">
              <w:t>Stockholm den 2 oktober 2009</w:t>
            </w:r>
          </w:p>
        </w:tc>
        <w:tc>
          <w:tcPr>
            <w:tcW w:w="3047" w:type="dxa"/>
          </w:tcPr>
          <w:p w:rsidR="00993926" w:rsidRPr="00993926" w:rsidRDefault="00993926">
            <w:pPr>
              <w:pStyle w:val="Underskrifter"/>
              <w:spacing w:before="240"/>
            </w:pPr>
          </w:p>
        </w:tc>
      </w:tr>
      <w:tr w:rsidR="00000000" w:rsidRPr="00993926">
        <w:trPr>
          <w:cantSplit/>
        </w:trPr>
        <w:tc>
          <w:tcPr>
            <w:tcW w:w="3046" w:type="dxa"/>
          </w:tcPr>
          <w:p w:rsidR="00993926" w:rsidRPr="00993926" w:rsidRDefault="00993926">
            <w:pPr>
              <w:pStyle w:val="Underskrifter"/>
            </w:pPr>
            <w:r w:rsidRPr="00993926">
              <w:t>Bosse Ringholm (s)</w:t>
            </w:r>
          </w:p>
        </w:tc>
        <w:tc>
          <w:tcPr>
            <w:tcW w:w="3046" w:type="dxa"/>
          </w:tcPr>
          <w:p w:rsidR="00993926" w:rsidRPr="00993926" w:rsidRDefault="00993926">
            <w:pPr>
              <w:pStyle w:val="Underskrifter"/>
            </w:pPr>
          </w:p>
        </w:tc>
      </w:tr>
    </w:tbl>
    <w:p w:rsidR="00993926" w:rsidRPr="00993926" w:rsidRDefault="00993926">
      <w:pPr>
        <w:pStyle w:val="Normaltindrag"/>
      </w:pPr>
    </w:p>
    <w:sectPr w:rsidR="00000000" w:rsidRPr="009939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926" w:rsidRPr="00993926" w:rsidRDefault="00993926">
      <w:r w:rsidRPr="00993926">
        <w:separator/>
      </w:r>
    </w:p>
  </w:endnote>
  <w:endnote w:type="continuationSeparator" w:id="0">
    <w:p w:rsidR="00993926" w:rsidRPr="00993926" w:rsidRDefault="00993926">
      <w:r w:rsidRPr="009939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26" w:rsidRPr="00993926" w:rsidRDefault="00993926">
    <w:pPr>
      <w:pStyle w:val="Sidfot"/>
    </w:pPr>
    <w:r w:rsidRPr="009939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930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926" w:rsidRDefault="009939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3926" w:rsidRDefault="009939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26" w:rsidRPr="00993926" w:rsidRDefault="00993926">
    <w:pPr>
      <w:pStyle w:val="Sidfot"/>
    </w:pPr>
    <w:r w:rsidRPr="009939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303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926" w:rsidRDefault="009939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3926" w:rsidRDefault="009939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26" w:rsidRPr="00993926" w:rsidRDefault="00993926">
    <w:pPr>
      <w:pStyle w:val="Sidfot"/>
    </w:pPr>
    <w:r w:rsidRPr="009939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608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926" w:rsidRDefault="009939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3926" w:rsidRDefault="009939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926" w:rsidRPr="00993926" w:rsidRDefault="00993926">
      <w:r w:rsidRPr="00993926">
        <w:separator/>
      </w:r>
    </w:p>
  </w:footnote>
  <w:footnote w:type="continuationSeparator" w:id="0">
    <w:p w:rsidR="00993926" w:rsidRPr="00993926" w:rsidRDefault="00993926">
      <w:r w:rsidRPr="009939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26" w:rsidRPr="00993926" w:rsidRDefault="00993926">
    <w:pPr>
      <w:pStyle w:val="Sidhuvud"/>
    </w:pPr>
    <w:r w:rsidRPr="009939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591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926" w:rsidRDefault="009939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3926" w:rsidRDefault="009939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26" w:rsidRPr="00993926" w:rsidRDefault="00993926">
    <w:pPr>
      <w:pStyle w:val="Sidhuvud"/>
    </w:pPr>
    <w:r w:rsidRPr="009939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0792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926" w:rsidRDefault="009939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3926" w:rsidRDefault="009939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26" w:rsidRPr="00993926" w:rsidRDefault="00993926">
    <w:pPr>
      <w:pStyle w:val="FSHNormal"/>
      <w:tabs>
        <w:tab w:val="right" w:pos="5840"/>
      </w:tabs>
    </w:pPr>
    <w:r w:rsidRPr="00993926">
      <w:br/>
    </w:r>
    <w:r w:rsidRPr="00993926">
      <w:fldChar w:fldCharType="begin" w:fldLock="1"/>
    </w:r>
    <w:r w:rsidRPr="00993926">
      <w:instrText xml:space="preserve"> DOCPROPERTY</w:instrText>
    </w:r>
    <w:r w:rsidRPr="00993926">
      <w:rPr>
        <w:sz w:val="18"/>
      </w:rPr>
      <w:instrText xml:space="preserve"> "YearUser" *\charformat </w:instrText>
    </w:r>
    <w:r w:rsidRPr="00993926">
      <w:fldChar w:fldCharType="separate"/>
    </w:r>
    <w:r w:rsidRPr="00993926">
      <w:t>2009/10</w:t>
    </w:r>
    <w:r w:rsidRPr="00993926">
      <w:fldChar w:fldCharType="end"/>
    </w:r>
    <w:r w:rsidRPr="00993926">
      <w:t xml:space="preserve"> </w:t>
    </w:r>
    <w:r w:rsidRPr="00993926">
      <w:tab/>
      <w:t xml:space="preserve">mnr: </w:t>
    </w:r>
    <w:r w:rsidRPr="00993926">
      <w:fldChar w:fldCharType="begin" w:fldLock="1"/>
    </w:r>
    <w:r w:rsidRPr="00993926">
      <w:instrText xml:space="preserve"> DOCPROPERTY</w:instrText>
    </w:r>
    <w:r w:rsidRPr="00993926">
      <w:rPr>
        <w:sz w:val="18"/>
      </w:rPr>
      <w:instrText xml:space="preserve"> "Motionsnummer" *\charformat </w:instrText>
    </w:r>
    <w:r w:rsidRPr="00993926">
      <w:fldChar w:fldCharType="separate"/>
    </w:r>
    <w:r w:rsidRPr="00993926">
      <w:t>Kr281</w:t>
    </w:r>
    <w:r w:rsidRPr="00993926">
      <w:fldChar w:fldCharType="end"/>
    </w:r>
    <w:r w:rsidRPr="00993926">
      <w:br/>
    </w:r>
    <w:r w:rsidRPr="00993926">
      <w:fldChar w:fldCharType="begin" w:fldLock="1"/>
    </w:r>
    <w:r w:rsidRPr="00993926">
      <w:instrText xml:space="preserve"> DOCPROPERTY</w:instrText>
    </w:r>
    <w:r w:rsidRPr="00993926">
      <w:rPr>
        <w:sz w:val="18"/>
      </w:rPr>
      <w:instrText xml:space="preserve"> "Samling" *\charformat </w:instrText>
    </w:r>
    <w:r w:rsidRPr="00993926">
      <w:fldChar w:fldCharType="end"/>
    </w:r>
    <w:r w:rsidRPr="00993926">
      <w:tab/>
      <w:t xml:space="preserve">pnr: </w:t>
    </w:r>
    <w:r w:rsidRPr="00993926">
      <w:fldChar w:fldCharType="begin" w:fldLock="1"/>
    </w:r>
    <w:r w:rsidRPr="00993926">
      <w:instrText xml:space="preserve"> DOCPROPERTY</w:instrText>
    </w:r>
    <w:r w:rsidRPr="00993926">
      <w:rPr>
        <w:sz w:val="18"/>
      </w:rPr>
      <w:instrText xml:space="preserve"> "Partinummer" *\charformat </w:instrText>
    </w:r>
    <w:r w:rsidRPr="00993926">
      <w:fldChar w:fldCharType="separate"/>
    </w:r>
    <w:r w:rsidRPr="00993926">
      <w:t>s40059</w:t>
    </w:r>
    <w:r w:rsidRPr="00993926">
      <w:fldChar w:fldCharType="end"/>
    </w:r>
  </w:p>
  <w:p w:rsidR="00993926" w:rsidRPr="00993926" w:rsidRDefault="00993926">
    <w:pPr>
      <w:pStyle w:val="FSHRub1"/>
    </w:pPr>
    <w:r w:rsidRPr="00993926">
      <w:t>Motion till riksdagen</w:t>
    </w:r>
    <w:r w:rsidRPr="00993926">
      <w:br/>
    </w:r>
    <w:r w:rsidRPr="00993926">
      <w:fldChar w:fldCharType="begin" w:fldLock="1"/>
    </w:r>
    <w:r w:rsidRPr="00993926">
      <w:instrText xml:space="preserve"> DOCPROPERTY "YearUser" *\charformat </w:instrText>
    </w:r>
    <w:r w:rsidRPr="00993926">
      <w:fldChar w:fldCharType="separate"/>
    </w:r>
    <w:r w:rsidRPr="00993926">
      <w:t>2009/10</w:t>
    </w:r>
    <w:r w:rsidRPr="00993926">
      <w:fldChar w:fldCharType="end"/>
    </w:r>
    <w:r w:rsidRPr="00993926">
      <w:t>:</w:t>
    </w:r>
    <w:r w:rsidRPr="00993926">
      <w:fldChar w:fldCharType="begin" w:fldLock="1"/>
    </w:r>
    <w:r w:rsidRPr="00993926">
      <w:instrText xml:space="preserve"> DOCPROPERTY "Motionsnummer" *\charformat </w:instrText>
    </w:r>
    <w:r w:rsidRPr="00993926">
      <w:fldChar w:fldCharType="separate"/>
    </w:r>
    <w:r w:rsidRPr="00993926">
      <w:t>Kr281</w:t>
    </w:r>
    <w:r w:rsidRPr="00993926">
      <w:fldChar w:fldCharType="end"/>
    </w:r>
  </w:p>
  <w:p w:rsidR="00993926" w:rsidRPr="00993926" w:rsidRDefault="00993926">
    <w:pPr>
      <w:pStyle w:val="FSHNormalS5"/>
    </w:pPr>
    <w:r w:rsidRPr="00993926">
      <w:fldChar w:fldCharType="begin" w:fldLock="1"/>
    </w:r>
    <w:r w:rsidRPr="00993926">
      <w:instrText xml:space="preserve"> DOCPROPERTY "MotionarText" *\charformat </w:instrText>
    </w:r>
    <w:r w:rsidRPr="00993926">
      <w:fldChar w:fldCharType="separate"/>
    </w:r>
    <w:r w:rsidRPr="00993926">
      <w:t>av Bosse Ringholm (s)</w:t>
    </w:r>
    <w:r w:rsidRPr="00993926">
      <w:fldChar w:fldCharType="end"/>
    </w:r>
    <w:r w:rsidRPr="00993926">
      <w:br/>
    </w:r>
    <w:r w:rsidRPr="00993926">
      <w:fldChar w:fldCharType="begin" w:fldLock="1"/>
    </w:r>
    <w:r w:rsidRPr="00993926">
      <w:instrText xml:space="preserve"> DOCPROPERTY "SvarFrasKort" *\charformat </w:instrText>
    </w:r>
    <w:r w:rsidRPr="00993926">
      <w:fldChar w:fldCharType="end"/>
    </w:r>
  </w:p>
  <w:p w:rsidR="00993926" w:rsidRPr="00993926" w:rsidRDefault="00993926">
    <w:pPr>
      <w:pStyle w:val="FSHTitel"/>
    </w:pPr>
    <w:r w:rsidRPr="00993926">
      <w:fldChar w:fldCharType="begin" w:fldLock="1"/>
    </w:r>
    <w:r w:rsidRPr="00993926">
      <w:instrText xml:space="preserve"> DOCPROPERTY</w:instrText>
    </w:r>
    <w:r w:rsidRPr="00993926">
      <w:rPr>
        <w:sz w:val="18"/>
      </w:rPr>
      <w:instrText xml:space="preserve"> "RubrikSvar" *\charformat </w:instrText>
    </w:r>
    <w:r w:rsidRPr="00993926">
      <w:fldChar w:fldCharType="separate"/>
    </w:r>
    <w:r w:rsidRPr="00993926">
      <w:t>Jazzens ställning</w:t>
    </w:r>
    <w:r w:rsidRPr="00993926">
      <w:fldChar w:fldCharType="end"/>
    </w:r>
  </w:p>
  <w:p w:rsidR="00993926" w:rsidRPr="00993926" w:rsidRDefault="00993926">
    <w:pPr>
      <w:pStyle w:val="Normal00"/>
    </w:pPr>
  </w:p>
  <w:p w:rsidR="00993926" w:rsidRPr="00993926" w:rsidRDefault="009939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5092482">
    <w:abstractNumId w:val="8"/>
  </w:num>
  <w:num w:numId="2" w16cid:durableId="1834682672">
    <w:abstractNumId w:val="9"/>
  </w:num>
  <w:num w:numId="3" w16cid:durableId="419448990">
    <w:abstractNumId w:val="8"/>
  </w:num>
  <w:num w:numId="4" w16cid:durableId="330254782">
    <w:abstractNumId w:val="9"/>
  </w:num>
  <w:num w:numId="5" w16cid:durableId="903292233">
    <w:abstractNumId w:val="13"/>
  </w:num>
  <w:num w:numId="6" w16cid:durableId="336735257">
    <w:abstractNumId w:val="10"/>
  </w:num>
  <w:num w:numId="7" w16cid:durableId="1819805575">
    <w:abstractNumId w:val="11"/>
  </w:num>
  <w:num w:numId="8" w16cid:durableId="1945767219">
    <w:abstractNumId w:val="12"/>
  </w:num>
  <w:num w:numId="9" w16cid:durableId="388498702">
    <w:abstractNumId w:val="8"/>
  </w:num>
  <w:num w:numId="10" w16cid:durableId="266622194">
    <w:abstractNumId w:val="3"/>
  </w:num>
  <w:num w:numId="11" w16cid:durableId="114566400">
    <w:abstractNumId w:val="2"/>
  </w:num>
  <w:num w:numId="12" w16cid:durableId="986010104">
    <w:abstractNumId w:val="1"/>
  </w:num>
  <w:num w:numId="13" w16cid:durableId="1515879721">
    <w:abstractNumId w:val="0"/>
  </w:num>
  <w:num w:numId="14" w16cid:durableId="1414011055">
    <w:abstractNumId w:val="9"/>
  </w:num>
  <w:num w:numId="15" w16cid:durableId="556164201">
    <w:abstractNumId w:val="7"/>
  </w:num>
  <w:num w:numId="16" w16cid:durableId="1634407674">
    <w:abstractNumId w:val="6"/>
  </w:num>
  <w:num w:numId="17" w16cid:durableId="1990748706">
    <w:abstractNumId w:val="5"/>
  </w:num>
  <w:num w:numId="18" w16cid:durableId="1634362251">
    <w:abstractNumId w:val="4"/>
  </w:num>
  <w:num w:numId="19" w16cid:durableId="525144057">
    <w:abstractNumId w:val="11"/>
  </w:num>
  <w:num w:numId="20" w16cid:durableId="132798581">
    <w:abstractNumId w:val="10"/>
  </w:num>
  <w:num w:numId="21" w16cid:durableId="1466046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84A6D74-58DC-4949-ACBF-CB42B22150C4}"/>
  </w:docVars>
  <w:rsids>
    <w:rsidRoot w:val="003F61D5"/>
    <w:rsid w:val="003F61D5"/>
    <w:rsid w:val="009939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D0255FC-5A10-4AC5-ABCF-BFFCF501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2500</Characters>
  <Application>Microsoft Office Word</Application>
  <DocSecurity>4</DocSecurity>
  <Lines>60</Lines>
  <Paragraphs>31</Paragraphs>
  <ScaleCrop>false</ScaleCrop>
  <HeadingPairs>
    <vt:vector size="2" baseType="variant">
      <vt:variant>
        <vt:lpstr>Rubrik</vt:lpstr>
      </vt:variant>
      <vt:variant>
        <vt:i4>1</vt:i4>
      </vt:variant>
    </vt:vector>
  </HeadingPairs>
  <TitlesOfParts>
    <vt:vector size="1" baseType="lpstr">
      <vt:lpstr>s40059</vt:lpstr>
    </vt:vector>
  </TitlesOfParts>
  <Company>Riksdagen</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s40059</dc:title>
  <dc:subject>s40059</dc:subject>
  <dc:creator>Riksdagen</dc:creator>
  <cp:keywords>Riksdagen</cp:keywords>
  <dc:description>Nya formatmallshantering för förslag+urix bakåtkomp+könamn</dc:description>
  <cp:lastModifiedBy>Lars Brink</cp:lastModifiedBy>
  <cp:revision>2</cp:revision>
  <cp:lastPrinted>2010-01-19T08:58:00Z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Jazzens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Jazzens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Bosse Ringholm (s)</vt:lpwstr>
  </property>
  <property fmtid="{D5CDD505-2E9C-101B-9397-08002B2CF9AE}" pid="26" name="MotionarLista">
    <vt:lpwstr>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20092010000000000115000400590069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20092010000000000115000400590069</vt:lpwstr>
  </property>
  <property fmtid="{D5CDD505-2E9C-101B-9397-08002B2CF9AE}" pid="50" name="nummer">
    <vt:lpwstr>281</vt:lpwstr>
  </property>
  <property fmtid="{D5CDD505-2E9C-101B-9397-08002B2CF9AE}" pid="51" name="utskottsbeteckning">
    <vt:lpwstr>Kr</vt:lpwstr>
  </property>
  <property fmtid="{D5CDD505-2E9C-101B-9397-08002B2CF9AE}" pid="52" name="GlobalUID">
    <vt:lpwstr>{7061D60A-20AD-451E-8DC1-35D63A295D24}</vt:lpwstr>
  </property>
  <property fmtid="{D5CDD505-2E9C-101B-9397-08002B2CF9AE}" pid="53" name="Överföringar">
    <vt:i4>0</vt:i4>
  </property>
  <property fmtid="{D5CDD505-2E9C-101B-9397-08002B2CF9AE}" pid="54" name="Checksum">
    <vt:lpwstr>*1013493106820*</vt:lpwstr>
  </property>
  <property fmtid="{D5CDD505-2E9C-101B-9397-08002B2CF9AE}" pid="55" name="skuggnummer">
    <vt:lpwstr>2176</vt:lpwstr>
  </property>
  <property fmtid="{D5CDD505-2E9C-101B-9397-08002B2CF9AE}" pid="56" name="urixVersion">
    <vt:lpwstr>4.1.0.6</vt:lpwstr>
  </property>
  <property fmtid="{D5CDD505-2E9C-101B-9397-08002B2CF9AE}" pid="57" name="urixOrigin">
    <vt:lpwstr>100119 09:58:49.031</vt:lpwstr>
  </property>
  <property fmtid="{D5CDD505-2E9C-101B-9397-08002B2CF9AE}" pid="58" name="urixGuid">
    <vt:lpwstr>{80AC97E8-C29E-4A70-BACF-324A1DA62FC5}</vt:lpwstr>
  </property>
</Properties>
</file>