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34248326"/>
        <w:docPartObj>
          <w:docPartGallery w:val="Table of Contents"/>
          <w:docPartUnique/>
        </w:docPartObj>
      </w:sdtPr>
      <w:sdtEndPr>
        <w:rPr>
          <w:b/>
          <w:bCs/>
        </w:rPr>
      </w:sdtEndPr>
      <w:sdtContent>
        <w:p w:rsidR="00072C2F" w:rsidRDefault="00072C2F" w14:paraId="53778D39" w14:textId="454409A5">
          <w:pPr>
            <w:pStyle w:val="Innehllsfrteckningsrubrik"/>
          </w:pPr>
          <w:r>
            <w:t>Innehållsförteckning</w:t>
          </w:r>
        </w:p>
        <w:p w:rsidR="00926897" w:rsidRDefault="00072C2F" w14:paraId="795EFC91" w14:textId="27E3E79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7151478">
            <w:r w:rsidRPr="00DB6E42" w:rsidR="00926897">
              <w:rPr>
                <w:rStyle w:val="Hyperlnk"/>
                <w:noProof/>
              </w:rPr>
              <w:t>Förslag till riksdagsbeslut</w:t>
            </w:r>
            <w:r w:rsidR="00926897">
              <w:rPr>
                <w:noProof/>
                <w:webHidden/>
              </w:rPr>
              <w:tab/>
            </w:r>
            <w:r w:rsidR="00926897">
              <w:rPr>
                <w:noProof/>
                <w:webHidden/>
              </w:rPr>
              <w:fldChar w:fldCharType="begin"/>
            </w:r>
            <w:r w:rsidR="00926897">
              <w:rPr>
                <w:noProof/>
                <w:webHidden/>
              </w:rPr>
              <w:instrText xml:space="preserve"> PAGEREF _Toc187151478 \h </w:instrText>
            </w:r>
            <w:r w:rsidR="00926897">
              <w:rPr>
                <w:noProof/>
                <w:webHidden/>
              </w:rPr>
            </w:r>
            <w:r w:rsidR="00926897">
              <w:rPr>
                <w:noProof/>
                <w:webHidden/>
              </w:rPr>
              <w:fldChar w:fldCharType="separate"/>
            </w:r>
            <w:r w:rsidR="00926897">
              <w:rPr>
                <w:noProof/>
                <w:webHidden/>
              </w:rPr>
              <w:t>1</w:t>
            </w:r>
            <w:r w:rsidR="00926897">
              <w:rPr>
                <w:noProof/>
                <w:webHidden/>
              </w:rPr>
              <w:fldChar w:fldCharType="end"/>
            </w:r>
          </w:hyperlink>
        </w:p>
        <w:p w:rsidR="00926897" w:rsidRDefault="00957B9F" w14:paraId="4C0C2DED" w14:textId="22E79BA7">
          <w:pPr>
            <w:pStyle w:val="Innehll1"/>
            <w:tabs>
              <w:tab w:val="right" w:leader="dot" w:pos="8494"/>
            </w:tabs>
            <w:rPr>
              <w:rFonts w:eastAsiaTheme="minorEastAsia"/>
              <w:noProof/>
              <w:kern w:val="0"/>
              <w:sz w:val="22"/>
              <w:szCs w:val="22"/>
              <w:lang w:eastAsia="sv-SE"/>
              <w14:numSpacing w14:val="default"/>
            </w:rPr>
          </w:pPr>
          <w:hyperlink w:history="1" w:anchor="_Toc187151479">
            <w:r w:rsidRPr="00DB6E42" w:rsidR="00926897">
              <w:rPr>
                <w:rStyle w:val="Hyperlnk"/>
                <w:noProof/>
              </w:rPr>
              <w:t>Stockholm – nationell tillväxtmotor</w:t>
            </w:r>
            <w:r w:rsidR="00926897">
              <w:rPr>
                <w:noProof/>
                <w:webHidden/>
              </w:rPr>
              <w:tab/>
            </w:r>
            <w:r w:rsidR="00926897">
              <w:rPr>
                <w:noProof/>
                <w:webHidden/>
              </w:rPr>
              <w:fldChar w:fldCharType="begin"/>
            </w:r>
            <w:r w:rsidR="00926897">
              <w:rPr>
                <w:noProof/>
                <w:webHidden/>
              </w:rPr>
              <w:instrText xml:space="preserve"> PAGEREF _Toc187151479 \h </w:instrText>
            </w:r>
            <w:r w:rsidR="00926897">
              <w:rPr>
                <w:noProof/>
                <w:webHidden/>
              </w:rPr>
            </w:r>
            <w:r w:rsidR="00926897">
              <w:rPr>
                <w:noProof/>
                <w:webHidden/>
              </w:rPr>
              <w:fldChar w:fldCharType="separate"/>
            </w:r>
            <w:r w:rsidR="00926897">
              <w:rPr>
                <w:noProof/>
                <w:webHidden/>
              </w:rPr>
              <w:t>2</w:t>
            </w:r>
            <w:r w:rsidR="00926897">
              <w:rPr>
                <w:noProof/>
                <w:webHidden/>
              </w:rPr>
              <w:fldChar w:fldCharType="end"/>
            </w:r>
          </w:hyperlink>
        </w:p>
        <w:p w:rsidR="00926897" w:rsidRDefault="00957B9F" w14:paraId="0A4AC2A1" w14:textId="6C94750B">
          <w:pPr>
            <w:pStyle w:val="Innehll1"/>
            <w:tabs>
              <w:tab w:val="right" w:leader="dot" w:pos="8494"/>
            </w:tabs>
            <w:rPr>
              <w:rFonts w:eastAsiaTheme="minorEastAsia"/>
              <w:noProof/>
              <w:kern w:val="0"/>
              <w:sz w:val="22"/>
              <w:szCs w:val="22"/>
              <w:lang w:eastAsia="sv-SE"/>
              <w14:numSpacing w14:val="default"/>
            </w:rPr>
          </w:pPr>
          <w:hyperlink w:history="1" w:anchor="_Toc187151480">
            <w:r w:rsidRPr="00DB6E42" w:rsidR="00926897">
              <w:rPr>
                <w:rStyle w:val="Hyperlnk"/>
                <w:noProof/>
              </w:rPr>
              <w:t>Stockholm – nationellt innovationsområde</w:t>
            </w:r>
            <w:r w:rsidR="00926897">
              <w:rPr>
                <w:noProof/>
                <w:webHidden/>
              </w:rPr>
              <w:tab/>
            </w:r>
            <w:r w:rsidR="00926897">
              <w:rPr>
                <w:noProof/>
                <w:webHidden/>
              </w:rPr>
              <w:fldChar w:fldCharType="begin"/>
            </w:r>
            <w:r w:rsidR="00926897">
              <w:rPr>
                <w:noProof/>
                <w:webHidden/>
              </w:rPr>
              <w:instrText xml:space="preserve"> PAGEREF _Toc187151480 \h </w:instrText>
            </w:r>
            <w:r w:rsidR="00926897">
              <w:rPr>
                <w:noProof/>
                <w:webHidden/>
              </w:rPr>
            </w:r>
            <w:r w:rsidR="00926897">
              <w:rPr>
                <w:noProof/>
                <w:webHidden/>
              </w:rPr>
              <w:fldChar w:fldCharType="separate"/>
            </w:r>
            <w:r w:rsidR="00926897">
              <w:rPr>
                <w:noProof/>
                <w:webHidden/>
              </w:rPr>
              <w:t>2</w:t>
            </w:r>
            <w:r w:rsidR="00926897">
              <w:rPr>
                <w:noProof/>
                <w:webHidden/>
              </w:rPr>
              <w:fldChar w:fldCharType="end"/>
            </w:r>
          </w:hyperlink>
        </w:p>
        <w:p w:rsidR="00926897" w:rsidRDefault="00957B9F" w14:paraId="711952AF" w14:textId="7BE55D5E">
          <w:pPr>
            <w:pStyle w:val="Innehll1"/>
            <w:tabs>
              <w:tab w:val="right" w:leader="dot" w:pos="8494"/>
            </w:tabs>
            <w:rPr>
              <w:rFonts w:eastAsiaTheme="minorEastAsia"/>
              <w:noProof/>
              <w:kern w:val="0"/>
              <w:sz w:val="22"/>
              <w:szCs w:val="22"/>
              <w:lang w:eastAsia="sv-SE"/>
              <w14:numSpacing w14:val="default"/>
            </w:rPr>
          </w:pPr>
          <w:hyperlink w:history="1" w:anchor="_Toc187151481">
            <w:r w:rsidRPr="00DB6E42" w:rsidR="00926897">
              <w:rPr>
                <w:rStyle w:val="Hyperlnk"/>
                <w:noProof/>
              </w:rPr>
              <w:t>Sverigeförhandling om välfärdens digitala infrastruktur</w:t>
            </w:r>
            <w:r w:rsidR="00926897">
              <w:rPr>
                <w:noProof/>
                <w:webHidden/>
              </w:rPr>
              <w:tab/>
            </w:r>
            <w:r w:rsidR="00926897">
              <w:rPr>
                <w:noProof/>
                <w:webHidden/>
              </w:rPr>
              <w:fldChar w:fldCharType="begin"/>
            </w:r>
            <w:r w:rsidR="00926897">
              <w:rPr>
                <w:noProof/>
                <w:webHidden/>
              </w:rPr>
              <w:instrText xml:space="preserve"> PAGEREF _Toc187151481 \h </w:instrText>
            </w:r>
            <w:r w:rsidR="00926897">
              <w:rPr>
                <w:noProof/>
                <w:webHidden/>
              </w:rPr>
            </w:r>
            <w:r w:rsidR="00926897">
              <w:rPr>
                <w:noProof/>
                <w:webHidden/>
              </w:rPr>
              <w:fldChar w:fldCharType="separate"/>
            </w:r>
            <w:r w:rsidR="00926897">
              <w:rPr>
                <w:noProof/>
                <w:webHidden/>
              </w:rPr>
              <w:t>4</w:t>
            </w:r>
            <w:r w:rsidR="00926897">
              <w:rPr>
                <w:noProof/>
                <w:webHidden/>
              </w:rPr>
              <w:fldChar w:fldCharType="end"/>
            </w:r>
          </w:hyperlink>
        </w:p>
        <w:p w:rsidR="00926897" w:rsidRDefault="00957B9F" w14:paraId="7385E641" w14:textId="5B433667">
          <w:pPr>
            <w:pStyle w:val="Innehll1"/>
            <w:tabs>
              <w:tab w:val="right" w:leader="dot" w:pos="8494"/>
            </w:tabs>
            <w:rPr>
              <w:rFonts w:eastAsiaTheme="minorEastAsia"/>
              <w:noProof/>
              <w:kern w:val="0"/>
              <w:sz w:val="22"/>
              <w:szCs w:val="22"/>
              <w:lang w:eastAsia="sv-SE"/>
              <w14:numSpacing w14:val="default"/>
            </w:rPr>
          </w:pPr>
          <w:hyperlink w:history="1" w:anchor="_Toc187151482">
            <w:r w:rsidRPr="00DB6E42" w:rsidR="00926897">
              <w:rPr>
                <w:rStyle w:val="Hyperlnk"/>
                <w:noProof/>
              </w:rPr>
              <w:t>Förbättrad rörlighet för ökad tillväxt</w:t>
            </w:r>
            <w:r w:rsidR="00926897">
              <w:rPr>
                <w:noProof/>
                <w:webHidden/>
              </w:rPr>
              <w:tab/>
            </w:r>
            <w:r w:rsidR="00926897">
              <w:rPr>
                <w:noProof/>
                <w:webHidden/>
              </w:rPr>
              <w:fldChar w:fldCharType="begin"/>
            </w:r>
            <w:r w:rsidR="00926897">
              <w:rPr>
                <w:noProof/>
                <w:webHidden/>
              </w:rPr>
              <w:instrText xml:space="preserve"> PAGEREF _Toc187151482 \h </w:instrText>
            </w:r>
            <w:r w:rsidR="00926897">
              <w:rPr>
                <w:noProof/>
                <w:webHidden/>
              </w:rPr>
            </w:r>
            <w:r w:rsidR="00926897">
              <w:rPr>
                <w:noProof/>
                <w:webHidden/>
              </w:rPr>
              <w:fldChar w:fldCharType="separate"/>
            </w:r>
            <w:r w:rsidR="00926897">
              <w:rPr>
                <w:noProof/>
                <w:webHidden/>
              </w:rPr>
              <w:t>4</w:t>
            </w:r>
            <w:r w:rsidR="00926897">
              <w:rPr>
                <w:noProof/>
                <w:webHidden/>
              </w:rPr>
              <w:fldChar w:fldCharType="end"/>
            </w:r>
          </w:hyperlink>
        </w:p>
        <w:p w:rsidR="00926897" w:rsidRDefault="00957B9F" w14:paraId="72DF2DFE" w14:textId="1CC4FAD8">
          <w:pPr>
            <w:pStyle w:val="Innehll1"/>
            <w:tabs>
              <w:tab w:val="right" w:leader="dot" w:pos="8494"/>
            </w:tabs>
            <w:rPr>
              <w:rFonts w:eastAsiaTheme="minorEastAsia"/>
              <w:noProof/>
              <w:kern w:val="0"/>
              <w:sz w:val="22"/>
              <w:szCs w:val="22"/>
              <w:lang w:eastAsia="sv-SE"/>
              <w14:numSpacing w14:val="default"/>
            </w:rPr>
          </w:pPr>
          <w:hyperlink w:history="1" w:anchor="_Toc187151483">
            <w:r w:rsidRPr="00DB6E42" w:rsidR="00926897">
              <w:rPr>
                <w:rStyle w:val="Hyperlnk"/>
                <w:noProof/>
              </w:rPr>
              <w:t>Långsiktig lösning för fisket i Östersjön</w:t>
            </w:r>
            <w:r w:rsidR="00926897">
              <w:rPr>
                <w:noProof/>
                <w:webHidden/>
              </w:rPr>
              <w:tab/>
            </w:r>
            <w:r w:rsidR="00926897">
              <w:rPr>
                <w:noProof/>
                <w:webHidden/>
              </w:rPr>
              <w:fldChar w:fldCharType="begin"/>
            </w:r>
            <w:r w:rsidR="00926897">
              <w:rPr>
                <w:noProof/>
                <w:webHidden/>
              </w:rPr>
              <w:instrText xml:space="preserve"> PAGEREF _Toc187151483 \h </w:instrText>
            </w:r>
            <w:r w:rsidR="00926897">
              <w:rPr>
                <w:noProof/>
                <w:webHidden/>
              </w:rPr>
            </w:r>
            <w:r w:rsidR="00926897">
              <w:rPr>
                <w:noProof/>
                <w:webHidden/>
              </w:rPr>
              <w:fldChar w:fldCharType="separate"/>
            </w:r>
            <w:r w:rsidR="00926897">
              <w:rPr>
                <w:noProof/>
                <w:webHidden/>
              </w:rPr>
              <w:t>5</w:t>
            </w:r>
            <w:r w:rsidR="00926897">
              <w:rPr>
                <w:noProof/>
                <w:webHidden/>
              </w:rPr>
              <w:fldChar w:fldCharType="end"/>
            </w:r>
          </w:hyperlink>
        </w:p>
        <w:p w:rsidR="00926897" w:rsidRDefault="00957B9F" w14:paraId="76F45624" w14:textId="02DED6F5">
          <w:pPr>
            <w:pStyle w:val="Innehll1"/>
            <w:tabs>
              <w:tab w:val="right" w:leader="dot" w:pos="8494"/>
            </w:tabs>
            <w:rPr>
              <w:rFonts w:eastAsiaTheme="minorEastAsia"/>
              <w:noProof/>
              <w:kern w:val="0"/>
              <w:sz w:val="22"/>
              <w:szCs w:val="22"/>
              <w:lang w:eastAsia="sv-SE"/>
              <w14:numSpacing w14:val="default"/>
            </w:rPr>
          </w:pPr>
          <w:hyperlink w:history="1" w:anchor="_Toc187151484">
            <w:r w:rsidRPr="00DB6E42" w:rsidR="00926897">
              <w:rPr>
                <w:rStyle w:val="Hyperlnk"/>
                <w:noProof/>
              </w:rPr>
              <w:t>Stockholm – pilotregion för skilda valdagar</w:t>
            </w:r>
            <w:r w:rsidR="00926897">
              <w:rPr>
                <w:noProof/>
                <w:webHidden/>
              </w:rPr>
              <w:tab/>
            </w:r>
            <w:r w:rsidR="00926897">
              <w:rPr>
                <w:noProof/>
                <w:webHidden/>
              </w:rPr>
              <w:fldChar w:fldCharType="begin"/>
            </w:r>
            <w:r w:rsidR="00926897">
              <w:rPr>
                <w:noProof/>
                <w:webHidden/>
              </w:rPr>
              <w:instrText xml:space="preserve"> PAGEREF _Toc187151484 \h </w:instrText>
            </w:r>
            <w:r w:rsidR="00926897">
              <w:rPr>
                <w:noProof/>
                <w:webHidden/>
              </w:rPr>
            </w:r>
            <w:r w:rsidR="00926897">
              <w:rPr>
                <w:noProof/>
                <w:webHidden/>
              </w:rPr>
              <w:fldChar w:fldCharType="separate"/>
            </w:r>
            <w:r w:rsidR="00926897">
              <w:rPr>
                <w:noProof/>
                <w:webHidden/>
              </w:rPr>
              <w:t>6</w:t>
            </w:r>
            <w:r w:rsidR="00926897">
              <w:rPr>
                <w:noProof/>
                <w:webHidden/>
              </w:rPr>
              <w:fldChar w:fldCharType="end"/>
            </w:r>
          </w:hyperlink>
        </w:p>
        <w:p w:rsidR="007C060A" w:rsidP="001B308B" w:rsidRDefault="00072C2F" w14:paraId="62161200" w14:textId="1699A070">
          <w:pPr>
            <w:pStyle w:val="Normalutanindragellerluft"/>
          </w:pPr>
          <w:r>
            <w:rPr>
              <w:b/>
              <w:bCs/>
            </w:rPr>
            <w:fldChar w:fldCharType="end"/>
          </w:r>
        </w:p>
      </w:sdtContent>
    </w:sdt>
    <w:bookmarkStart w:name="_Toc187151478" w:id="1"/>
    <w:p w:rsidRPr="009B062B" w:rsidR="00AF30DD" w:rsidP="00975057" w:rsidRDefault="00957B9F" w14:paraId="03BD8017" w14:textId="77777777">
      <w:pPr>
        <w:pStyle w:val="Rubrik1"/>
        <w:spacing w:after="300"/>
      </w:pPr>
      <w:sdt>
        <w:sdtPr>
          <w:alias w:val="CC_Boilerplate_4"/>
          <w:tag w:val="CC_Boilerplate_4"/>
          <w:id w:val="-1644581176"/>
          <w:lock w:val="sdtLocked"/>
          <w:placeholder>
            <w:docPart w:val="72280D0A9CE04A39AF0AF3832BF6E9F2"/>
          </w:placeholder>
          <w:text/>
        </w:sdtPr>
        <w:sdtEndPr/>
        <w:sdtContent>
          <w:r w:rsidRPr="009B062B" w:rsidR="00AF30DD">
            <w:t>Förslag till riksdagsbeslut</w:t>
          </w:r>
        </w:sdtContent>
      </w:sdt>
      <w:bookmarkEnd w:id="1"/>
      <w:bookmarkEnd w:id="0"/>
    </w:p>
    <w:sdt>
      <w:sdtPr>
        <w:alias w:val="Yrkande 1"/>
        <w:tag w:val="46e82ee5-9008-48ff-baec-f7ba266c9e12"/>
        <w:id w:val="1119871664"/>
        <w:lock w:val="sdtLocked"/>
      </w:sdtPr>
      <w:sdtEndPr/>
      <w:sdtContent>
        <w:p w:rsidR="000C358D" w:rsidRDefault="00516410" w14:paraId="26709A26" w14:textId="77777777">
          <w:pPr>
            <w:pStyle w:val="Frslagstext"/>
          </w:pPr>
          <w:r>
            <w:t>Riksdagen ställer sig bakom det som anförs i motionen om Stockholms tillväxt och det kommunala inkomst- och utjämningssystemet och tillkännager detta för regeringen.</w:t>
          </w:r>
        </w:p>
      </w:sdtContent>
    </w:sdt>
    <w:sdt>
      <w:sdtPr>
        <w:alias w:val="Yrkande 2"/>
        <w:tag w:val="7b7d3872-62ec-44a9-a3b7-cfe628cc7a1f"/>
        <w:id w:val="803047641"/>
        <w:lock w:val="sdtLocked"/>
      </w:sdtPr>
      <w:sdtEndPr/>
      <w:sdtContent>
        <w:p w:rsidR="000C358D" w:rsidRDefault="00516410" w14:paraId="76683CBC" w14:textId="77777777">
          <w:pPr>
            <w:pStyle w:val="Frslagstext"/>
          </w:pPr>
          <w:r>
            <w:t>Riksdagen ställer sig bakom det som anförs i motionen om att utse Stockholm till nationellt innovationsområde och tillkännager detta för regeringen.</w:t>
          </w:r>
        </w:p>
      </w:sdtContent>
    </w:sdt>
    <w:sdt>
      <w:sdtPr>
        <w:alias w:val="Yrkande 3"/>
        <w:tag w:val="a015f86a-455d-4309-b22d-be3b958f3380"/>
        <w:id w:val="1965697827"/>
        <w:lock w:val="sdtLocked"/>
      </w:sdtPr>
      <w:sdtEndPr/>
      <w:sdtContent>
        <w:p w:rsidR="000C358D" w:rsidRDefault="00516410" w14:paraId="20FA3A26" w14:textId="77777777">
          <w:pPr>
            <w:pStyle w:val="Frslagstext"/>
          </w:pPr>
          <w:r>
            <w:t>Riksdagen ställer sig bakom det som anförs i motionen om en Sverigeförhandling för välfärdens digitala infrastruktur och tillkännager detta för regeringen.</w:t>
          </w:r>
        </w:p>
      </w:sdtContent>
    </w:sdt>
    <w:sdt>
      <w:sdtPr>
        <w:alias w:val="Yrkande 4"/>
        <w:tag w:val="cb5cf2bb-6368-44c3-90c9-d29a352586b9"/>
        <w:id w:val="-1496489431"/>
        <w:lock w:val="sdtLocked"/>
      </w:sdtPr>
      <w:sdtEndPr/>
      <w:sdtContent>
        <w:p w:rsidR="000C358D" w:rsidRDefault="00516410" w14:paraId="129403EB" w14:textId="77777777">
          <w:pPr>
            <w:pStyle w:val="Frslagstext"/>
          </w:pPr>
          <w:r>
            <w:t>Riksdagen ställer sig bakom det som anförs i motionen om att utreda åtgärder för Stockholms infrastruktur och tillkännager detta för regeringen.</w:t>
          </w:r>
        </w:p>
      </w:sdtContent>
    </w:sdt>
    <w:sdt>
      <w:sdtPr>
        <w:alias w:val="Yrkande 5"/>
        <w:tag w:val="f7845688-5439-4ef7-a433-6fa5efa0d344"/>
        <w:id w:val="-1077197966"/>
        <w:lock w:val="sdtLocked"/>
      </w:sdtPr>
      <w:sdtEndPr/>
      <w:sdtContent>
        <w:p w:rsidR="000C358D" w:rsidRDefault="00516410" w14:paraId="11BECDB5" w14:textId="77777777">
          <w:pPr>
            <w:pStyle w:val="Frslagstext"/>
          </w:pPr>
          <w:r>
            <w:t>Riksdagen ställer sig bakom det som anförs i motionen om långsiktiga lösningar för fisket i Östersjön och tillkännager detta för regeringen.</w:t>
          </w:r>
        </w:p>
      </w:sdtContent>
    </w:sdt>
    <w:sdt>
      <w:sdtPr>
        <w:alias w:val="Yrkande 6"/>
        <w:tag w:val="7af347ee-dd55-447d-ae79-3ec08a9659fb"/>
        <w:id w:val="212776880"/>
        <w:lock w:val="sdtLocked"/>
      </w:sdtPr>
      <w:sdtEndPr/>
      <w:sdtContent>
        <w:p w:rsidR="000C358D" w:rsidRDefault="00516410" w14:paraId="64009B6B" w14:textId="77777777">
          <w:pPr>
            <w:pStyle w:val="Frslagstext"/>
          </w:pPr>
          <w:r>
            <w:t>Riksdagen ställer sig bakom det som anförs i motionen om att låta Stockholm bli pilotregion för skilda valdagar och tillkännager detta för regeringen.</w:t>
          </w:r>
        </w:p>
      </w:sdtContent>
    </w:sdt>
    <w:bookmarkStart w:name="MotionsStart" w:displacedByCustomXml="next" w:id="2"/>
    <w:bookmarkEnd w:displacedByCustomXml="next" w:id="2"/>
    <w:bookmarkStart w:name="_Toc187151479" w:displacedByCustomXml="next" w:id="3"/>
    <w:bookmarkStart w:name="_Toc106800476" w:displacedByCustomXml="next" w:id="4"/>
    <w:sdt>
      <w:sdtPr>
        <w:alias w:val="CC_Motivering_Rubrik"/>
        <w:tag w:val="CC_Motivering_Rubrik"/>
        <w:id w:val="1433397530"/>
        <w:lock w:val="sdtLocked"/>
        <w:placeholder>
          <w:docPart w:val="0DC167DD0B174162A82DF9323452E91E"/>
        </w:placeholder>
        <w:text/>
      </w:sdtPr>
      <w:sdtEndPr/>
      <w:sdtContent>
        <w:p w:rsidR="00B55ED5" w:rsidP="00072C2F" w:rsidRDefault="00926897" w14:paraId="70F8888B" w14:textId="09855D5C">
          <w:pPr>
            <w:pStyle w:val="Rubrik1"/>
          </w:pPr>
          <w:r>
            <w:t>Stockholm – nationell tillväxtmotor</w:t>
          </w:r>
        </w:p>
      </w:sdtContent>
    </w:sdt>
    <w:bookmarkEnd w:displacedByCustomXml="prev" w:id="3"/>
    <w:bookmarkEnd w:displacedByCustomXml="prev" w:id="4"/>
    <w:p w:rsidR="000A6046" w:rsidP="000A6046" w:rsidRDefault="000A6046" w14:paraId="667874B6" w14:textId="3681D208">
      <w:pPr>
        <w:pStyle w:val="Normalutanindragellerluft"/>
      </w:pPr>
      <w:r>
        <w:t xml:space="preserve">Stockholm är Sveriges motor. Från 1980-talet och framåt har Stockholms läns andel av Sveriges BNP stadigt ökat. Med sina </w:t>
      </w:r>
      <w:r w:rsidR="00D26351">
        <w:t>nästan</w:t>
      </w:r>
      <w:r>
        <w:t xml:space="preserve"> </w:t>
      </w:r>
      <w:r w:rsidR="00D26351">
        <w:t>2,5 miljoner</w:t>
      </w:r>
      <w:r>
        <w:t xml:space="preserve"> invånare står Stockholms län idag för nästan en tredjedel av Sveriges BNP, med betydligt högre BRP per capita och befolkningstillväxt jämfört med andra län. Stockholm är Sveriges i särklass mest fram</w:t>
      </w:r>
      <w:r w:rsidR="00926897">
        <w:softHyphen/>
      </w:r>
      <w:r>
        <w:t xml:space="preserve">gångsrika region och konkurrerar således inte med andra städer i Sverige utan med städer i Europa och världen. Stockholms län står för </w:t>
      </w:r>
      <w:r w:rsidR="00D26351">
        <w:t>nästan hälften</w:t>
      </w:r>
      <w:r>
        <w:t xml:space="preserve"> av statens skatte</w:t>
      </w:r>
      <w:r w:rsidR="00926897">
        <w:softHyphen/>
      </w:r>
      <w:r>
        <w:t>intäkter och bidrar i stor utsträckning till det kommunala utjämningssystemet.</w:t>
      </w:r>
    </w:p>
    <w:p w:rsidR="000A6046" w:rsidP="00072C2F" w:rsidRDefault="000A6046" w14:paraId="36226334" w14:textId="261553ED">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B57EEC">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w:t>
      </w:r>
    </w:p>
    <w:p w:rsidR="000A6046" w:rsidP="00072C2F" w:rsidRDefault="000A6046" w14:paraId="082D9BF1" w14:textId="383D5EBA">
      <w:r>
        <w:t>Även om det finns stordriftsfördelar i en storstadsregion så finns det också kostnader för att växa. Detta behöver tydligare tas hänsyn till i det kommunala inkomst- och utjämningsystemet. Tillväxthämmande parametrar kan senarelägga bostadsbyggande och minska incitament för utveckling. Hämmas Stockholms tillväxt påverkar det inte bara Stockholm utan hela Sverige</w:t>
      </w:r>
      <w:r w:rsidR="00B57EEC">
        <w:t>, och</w:t>
      </w:r>
      <w:r>
        <w:t xml:space="preserve"> därför bör riksdagen ställa sig bakom det som anförs i motionen om tillväxt och det kommunala inkomst- och utjämningssystemet och tillkännage detta för regeringen.</w:t>
      </w:r>
    </w:p>
    <w:p w:rsidRPr="00926897" w:rsidR="000A6046" w:rsidP="00926897" w:rsidRDefault="000A6046" w14:paraId="58C42D96" w14:textId="77777777">
      <w:pPr>
        <w:pStyle w:val="Rubrik1"/>
      </w:pPr>
      <w:bookmarkStart w:name="_Toc187151480" w:id="5"/>
      <w:r w:rsidRPr="00926897">
        <w:t>Stockholm – nationellt innovationsområde</w:t>
      </w:r>
      <w:bookmarkEnd w:id="5"/>
    </w:p>
    <w:p w:rsidRPr="00B55ED5" w:rsidR="00B55ED5" w:rsidP="00072C2F" w:rsidRDefault="000A6046" w14:paraId="5005537A" w14:textId="4614F330">
      <w:pPr>
        <w:pStyle w:val="Normalutanindragellerluft"/>
      </w:pPr>
      <w:r>
        <w:t xml:space="preserve">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w:t>
      </w:r>
      <w:r w:rsidRPr="00926897">
        <w:rPr>
          <w:spacing w:val="-2"/>
        </w:rPr>
        <w:t>starka startup-miljöer och ett välutvecklat samverkansklimat. Ska denna ledande position</w:t>
      </w:r>
      <w:r>
        <w:t xml:space="preserve"> kunna befästas och stärkas skulle hela Sverige vinna på om Stockholmsregionen officiellt kunde utpekas som nationellt innovationsområde. Detta skulle innebära att Stockholm inom väl definierade områden kring bostadsbyggande,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samhällsfunktioner.</w:t>
      </w:r>
    </w:p>
    <w:p w:rsidRPr="00B55ED5" w:rsidR="00B55ED5" w:rsidP="00072C2F" w:rsidRDefault="000A6046" w14:paraId="168DDFFC" w14:textId="798EC00A">
      <w:r>
        <w:t>Bostadsmarknaden är ett exempel på område där regelkrångel försvårar och för</w:t>
      </w:r>
      <w:r w:rsidR="00926897">
        <w:softHyphen/>
      </w:r>
      <w:r>
        <w:t>dyrar. Beräkningar av seriösa byggaktörer visar att krav och regler driver upp hyrorna med cirka 2</w:t>
      </w:r>
      <w:r w:rsidR="00B57EEC">
        <w:t> </w:t>
      </w:r>
      <w:r>
        <w:t>000 kronor per månad (borträknat markprisökningar) när kraven staplas på varandra. Krav på cykelverkstad, gemensamhetsrum för hyresgäster, viss andel garage</w:t>
      </w:r>
      <w:r w:rsidR="00926897">
        <w:softHyphen/>
      </w:r>
      <w:r>
        <w:t xml:space="preserve">platser, körbara bjälklag och bullernivåer har förvisso goda intentioner vart och ett för sig men tillsammans får de en stor påverkan på byggprojektens ekonomi. Många krav fyller behov som bättre kan bedömas av marknaden eller aktörerna själva. Onödiga krav och byggnormer ökar inte friheten för de boende eller för branschen. Med Stockholm </w:t>
      </w:r>
      <w:r>
        <w:lastRenderedPageBreak/>
        <w:t>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Pr="00B55ED5" w:rsidR="00B55ED5" w:rsidP="00072C2F" w:rsidRDefault="000A6046" w14:paraId="463680CC" w14:textId="746A47A0">
      <w:r>
        <w:t>Inom vård- och omsorgssektorn finns även otaliga hinder för den nödvändiga digitala omställningen och moderniseringen av verksamheten. Att samlat pröva kommunala, regionala och statliga regelverk, avtal och ersättningsmodeller i kombi</w:t>
      </w:r>
      <w:r w:rsidR="00926897">
        <w:softHyphen/>
      </w:r>
      <w:r>
        <w:t>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det finns sekretessgränser som hämmar möjligheten att ge sammanhållna vård- och omsorgsinsatser för en individ.</w:t>
      </w:r>
    </w:p>
    <w:p w:rsidRPr="00B55ED5" w:rsidR="00B55ED5" w:rsidP="00072C2F" w:rsidRDefault="000A6046" w14:paraId="47B96B3E" w14:textId="6FEE8C99">
      <w:r>
        <w:t xml:space="preserve">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0A6046" w:rsidP="00072C2F" w:rsidRDefault="000A6046" w14:paraId="2B0EE155" w14:textId="77777777">
      <w:r>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B55ED5" w:rsidP="00072C2F" w:rsidRDefault="000A6046" w14:paraId="7AFCEAC1" w14:textId="2D24982C">
      <w:r>
        <w:t xml:space="preserve">Datadriven utveckling och tillgången till högkvalitativa hälsodata är nödvändig för en modern forskning, för att snabbare skapa förståelse för det som händer under ett sjukdomsförlopp, i omvärlden och för att kunna utgå från realtidsdata. </w:t>
      </w:r>
    </w:p>
    <w:p w:rsidR="000A6046" w:rsidP="00072C2F" w:rsidRDefault="000A6046" w14:paraId="74E7554A" w14:textId="5FB44E7B">
      <w:r>
        <w:t>Tillgängliggörandet av hälsodata för forskning och innovation behöver, med bibehållet skydd för den personliga integriteten, öka för att bidra till förbättrad vård för patienter och utveckling av näringslivet. Tillgängliggörande handlar även om förut</w:t>
      </w:r>
      <w:r w:rsidR="00926897">
        <w:softHyphen/>
      </w:r>
      <w:r>
        <w:t xml:space="preserve">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w:t>
      </w:r>
      <w:r>
        <w:lastRenderedPageBreak/>
        <w:t>Region Stockholms satsning på ett centrum för hälsodata för att underlätta insamling, analys och utlämning av data i en komplex vårdmiljö är ett gott exempel som borde få efterföljare i samtliga regioner.</w:t>
      </w:r>
    </w:p>
    <w:p w:rsidR="000A6046" w:rsidP="00072C2F" w:rsidRDefault="000A6046" w14:paraId="0252D020" w14:textId="357EE4ED">
      <w:r>
        <w:t xml:space="preserve">Att kombinera organisatorisk innovation med den tekniska skulle ha enorm potential att utveckla svensk välfärd och konkurrenskraft och göra att Sverige återtar sin ledande position som </w:t>
      </w:r>
      <w:r w:rsidR="00041247">
        <w:t>it</w:t>
      </w:r>
      <w:r w:rsidR="00072C2F">
        <w:t>-nation</w:t>
      </w:r>
      <w:r>
        <w:t>, och därför bör riksdagen ställa sig bakom det som anförs i motionen om att utse Stockholm till ett nationellt innovationsområde och tillkännage detta för regeringen.</w:t>
      </w:r>
    </w:p>
    <w:p w:rsidRPr="00926897" w:rsidR="000A6046" w:rsidP="00926897" w:rsidRDefault="000A6046" w14:paraId="3E071253" w14:textId="77777777">
      <w:pPr>
        <w:pStyle w:val="Rubrik1"/>
      </w:pPr>
      <w:bookmarkStart w:name="_Toc187151481" w:id="6"/>
      <w:r w:rsidRPr="00926897">
        <w:t>Sverigeförhandling om välfärdens digitala infrastruktur</w:t>
      </w:r>
      <w:bookmarkEnd w:id="6"/>
    </w:p>
    <w:p w:rsidR="00072C2F" w:rsidP="00926897" w:rsidRDefault="000A6046" w14:paraId="1EEF611B" w14:textId="75EFC590">
      <w:pPr>
        <w:pStyle w:val="Normalutanindragellerluft"/>
      </w:pPr>
      <w:r>
        <w:t xml:space="preserve">Den digitala utvecklingen knyter samman Stockholm med övriga Sverige och världen och bidrar till landets tillväxt. Men med olika </w:t>
      </w:r>
      <w:r w:rsidR="00041247">
        <w:t>it</w:t>
      </w:r>
      <w:r>
        <w:t xml:space="preserve">-system kan också barriärer byggas mellan olika kommuner och regioner vilket är till nackdel för den enskilde individen. </w:t>
      </w:r>
    </w:p>
    <w:p w:rsidR="000A6046" w:rsidP="00072C2F" w:rsidRDefault="000A6046" w14:paraId="3056C48F" w14:textId="2333B707">
      <w:r>
        <w:t xml:space="preserve">En ”Sverigeförhandling om välfärdens digitala infrastruktur” behövs för att enighet ska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041247">
        <w:t>it</w:t>
      </w:r>
      <w:r w:rsidR="00072C2F">
        <w:t>-system</w:t>
      </w:r>
      <w:r>
        <w:t xml:space="preserve">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r w:rsidR="00041247">
        <w:t>it</w:t>
      </w:r>
      <w:r w:rsidR="00072C2F">
        <w:t>-miljöer</w:t>
      </w:r>
      <w:r>
        <w:t xml:space="preserve"> samtidigt som behovet av digitala samhällstjänster ökat dramatiskt. Liberalerna har i riksdagen sedan länge föreslagit en statlig satsning på ett digitalt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w:t>
      </w:r>
      <w:r w:rsidR="00926897">
        <w:softHyphen/>
      </w:r>
      <w:r>
        <w:t>struktur som krävs för både vårdgivande, forskning och utveckling. Därför bör riksdagen ställa sig bakom det som anförs i motionen om en Sverigeförhandling om välfärdens digitala infrastruktur och tillkännage detta för regeringen.</w:t>
      </w:r>
    </w:p>
    <w:p w:rsidRPr="00926897" w:rsidR="000A6046" w:rsidP="00926897" w:rsidRDefault="000A6046" w14:paraId="4BCEC820" w14:textId="77777777">
      <w:pPr>
        <w:pStyle w:val="Rubrik1"/>
      </w:pPr>
      <w:bookmarkStart w:name="_Toc187151482" w:id="7"/>
      <w:r w:rsidRPr="00926897">
        <w:t>Förbättrad rörlighet för ökad tillväxt</w:t>
      </w:r>
      <w:bookmarkEnd w:id="7"/>
    </w:p>
    <w:p w:rsidR="000A6046" w:rsidP="000A6046" w:rsidRDefault="000A6046" w14:paraId="56E04239" w14:textId="672139C1">
      <w:pPr>
        <w:pStyle w:val="Normalutanindragellerluft"/>
      </w:pPr>
      <w:r>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w:t>
      </w:r>
      <w:r w:rsidR="0001783A">
        <w:t> </w:t>
      </w:r>
      <w:r>
        <w:t>33</w:t>
      </w:r>
      <w:r w:rsidR="0001783A">
        <w:t> </w:t>
      </w:r>
      <w:r>
        <w:t>000 personer, cirka 11</w:t>
      </w:r>
      <w:r w:rsidR="0001783A">
        <w:t> </w:t>
      </w:r>
      <w:r>
        <w:t>000 personer pendlar från Västra Götaland och cirka 9</w:t>
      </w:r>
      <w:r w:rsidR="0001783A">
        <w:t> </w:t>
      </w:r>
      <w:r>
        <w:t>200 personer från Skåne. Till och med från Norrbotten pendlar ungefär 1</w:t>
      </w:r>
      <w:r w:rsidR="0001783A">
        <w:t> </w:t>
      </w:r>
      <w:r>
        <w:t>400 personer till Stockholm. Totalt reser närmare 900</w:t>
      </w:r>
      <w:r w:rsidR="0001783A">
        <w:t> </w:t>
      </w:r>
      <w:r>
        <w:t>000 personer med kollektivtrafiken i Stockholms län varje dag</w:t>
      </w:r>
      <w:r w:rsidR="0001783A">
        <w:t>,</w:t>
      </w:r>
      <w:r>
        <w:t xml:space="preserve"> motsvarande 3</w:t>
      </w:r>
      <w:r w:rsidR="0001783A">
        <w:t> </w:t>
      </w:r>
      <w:r>
        <w:t xml:space="preserve">miljoner individuella resor. </w:t>
      </w:r>
    </w:p>
    <w:p w:rsidRPr="005B1199" w:rsidR="000A6046" w:rsidP="00072C2F" w:rsidRDefault="000A6046" w14:paraId="7459734C" w14:textId="00F47687">
      <w:r>
        <w:lastRenderedPageBreak/>
        <w:t>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w:t>
      </w:r>
      <w:r w:rsidR="00926897">
        <w:softHyphen/>
      </w:r>
      <w:r>
        <w:t xml:space="preserve">tionen ska förbättras. Spårväg syd, förlängningen av Spårväg city till Ropsten och Norra Djurgårdsstaden, Tvärförbindelse Södertörn, Östlig förbindelse samt Roslagsbanans </w:t>
      </w:r>
      <w:r w:rsidRPr="00926897">
        <w:rPr>
          <w:spacing w:val="-2"/>
        </w:rPr>
        <w:t>förlängning till såväl centrala Stockholm som Arlanda är några exempel på infrastruktur</w:t>
      </w:r>
      <w:r w:rsidRPr="00926897" w:rsidR="00926897">
        <w:rPr>
          <w:spacing w:val="-2"/>
        </w:rPr>
        <w:softHyphen/>
      </w:r>
      <w:r>
        <w:t xml:space="preserve">satsningar som regionen behöver för att kunna fortsätta växa och bidra till Sveriges tillväxt. Trafiksäkerheten behöver också höjas på flera ställen, inte minst på väg 225 nu när Norviks hamn har invigts. Vid utbyggnad av statlig </w:t>
      </w:r>
      <w:r w:rsidRPr="005B1199">
        <w:t>infrastruktur behöver cykel</w:t>
      </w:r>
      <w:r w:rsidR="00926897">
        <w:softHyphen/>
      </w:r>
      <w:r w:rsidRPr="005B1199">
        <w:t>vägar prioriteras högre och de statliga anslagen till dessa behöver öka. Den trängselskatt som tas ut i Stockholmsregionen bör tillfalla infrastrukturprojekt inom regionen</w:t>
      </w:r>
      <w:r w:rsidRPr="005B1199" w:rsidR="00D26351">
        <w:t xml:space="preserve"> och </w:t>
      </w:r>
      <w:r w:rsidRPr="005B1199" w:rsidR="004522E5">
        <w:t xml:space="preserve">den negativa trend i </w:t>
      </w:r>
      <w:r w:rsidRPr="005B1199" w:rsidR="00D26351">
        <w:t>andelen av investeringarna i infrastrukturpropositionen som tillfaller Stockholmsregionen b</w:t>
      </w:r>
      <w:r w:rsidRPr="005B1199" w:rsidR="004522E5">
        <w:t>ehöver vändas</w:t>
      </w:r>
      <w:r w:rsidRPr="005B1199">
        <w:t xml:space="preserve">. </w:t>
      </w:r>
    </w:p>
    <w:p w:rsidR="000A6046" w:rsidP="00072C2F" w:rsidRDefault="000A6046" w14:paraId="4371B896" w14:textId="1C439578">
      <w:r w:rsidRPr="005B1199">
        <w:t>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w:t>
      </w:r>
      <w:r w:rsidR="00926897">
        <w:softHyphen/>
      </w:r>
      <w:r w:rsidRPr="005B1199">
        <w:t xml:space="preserve">regionen för att arbeta och erbjuda sina tjänster. </w:t>
      </w:r>
      <w:bookmarkStart w:name="_Hlk177925974" w:id="8"/>
      <w:r w:rsidRPr="005B1199" w:rsidR="00D26351">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w:t>
      </w:r>
      <w:r w:rsidRPr="005B1199">
        <w:t>apaciteten på Arlanda</w:t>
      </w:r>
      <w:r w:rsidRPr="005B1199" w:rsidR="00D26351">
        <w:t xml:space="preserve"> behöver</w:t>
      </w:r>
      <w:r w:rsidRPr="005B1199">
        <w:t xml:space="preserve"> öka</w:t>
      </w:r>
      <w:r w:rsidRPr="005B1199" w:rsidR="00D26351">
        <w:t>, en fjärde landningsbana behövs</w:t>
      </w:r>
      <w:r w:rsidRPr="005B1199">
        <w:t xml:space="preserve">. Att öka kapaciteten på Arlanda är nödvändigt för att säkra och stärka regionens tillgänglighet och konkurrenskraft såväl nationellt som internationellt. </w:t>
      </w:r>
      <w:r w:rsidRPr="005B1199" w:rsidR="006B129E">
        <w:t>Samtidigt behöver smidiga marktransporter från hela Stockholms</w:t>
      </w:r>
      <w:r w:rsidR="00926897">
        <w:softHyphen/>
      </w:r>
      <w:r w:rsidRPr="005B1199" w:rsidR="006B129E">
        <w:t xml:space="preserve">regionen planeras </w:t>
      </w:r>
      <w:r w:rsidRPr="005B1199" w:rsidR="004522E5">
        <w:t>då en avveckling av Bromma kommer leda till att</w:t>
      </w:r>
      <w:r w:rsidRPr="005B1199" w:rsidR="006B129E">
        <w:t xml:space="preserve"> </w:t>
      </w:r>
      <w:r w:rsidRPr="005B1199" w:rsidR="004522E5">
        <w:t>fler delar av regionen</w:t>
      </w:r>
      <w:r w:rsidRPr="005B1199" w:rsidR="006B129E">
        <w:t xml:space="preserve"> få</w:t>
      </w:r>
      <w:r w:rsidRPr="005B1199" w:rsidR="004522E5">
        <w:t>r</w:t>
      </w:r>
      <w:r w:rsidRPr="005B1199" w:rsidR="006B129E">
        <w:t xml:space="preserve"> längre till sin närmaste flygplats.</w:t>
      </w:r>
      <w:bookmarkEnd w:id="8"/>
      <w:r w:rsidRPr="005B1199" w:rsidR="006B129E">
        <w:t xml:space="preserve"> </w:t>
      </w:r>
      <w:r w:rsidRPr="005B1199">
        <w:t>Riksdagen bör ställa sig bakom det som anförs i motionen om Stockholms infrastruktur och tillkännage detta för regeringen.</w:t>
      </w:r>
    </w:p>
    <w:p w:rsidRPr="00926897" w:rsidR="000A6046" w:rsidP="00926897" w:rsidRDefault="00B55ED5" w14:paraId="7CC31C5E" w14:textId="68AFF7D6">
      <w:pPr>
        <w:pStyle w:val="Rubrik1"/>
      </w:pPr>
      <w:bookmarkStart w:name="_Toc187151483" w:id="9"/>
      <w:r w:rsidRPr="00926897">
        <w:t>Långsiktig lösning för fisket i Östersjön</w:t>
      </w:r>
      <w:bookmarkEnd w:id="9"/>
    </w:p>
    <w:p w:rsidR="000A6046" w:rsidP="000A6046" w:rsidRDefault="000A6046" w14:paraId="64244618" w14:textId="67C9E14D">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 och för</w:t>
      </w:r>
      <w:r w:rsidR="00926897">
        <w:softHyphen/>
      </w:r>
      <w:r>
        <w:t>valtningen av fiskbestånden står inför stora utmaningar. Utsläppen av plast, läkemedel och annat 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Stockholmsregionen. Obalans i ekosystemen gör att vissa arter kan ta över med negativa följder, vilket exempelvis sker när skarvar och vildsvin breder ut sig.</w:t>
      </w:r>
    </w:p>
    <w:p w:rsidR="000A6046" w:rsidP="00072C2F" w:rsidRDefault="000A6046" w14:paraId="5EA201F9" w14:textId="5CC7E89E">
      <w:r>
        <w:t xml:space="preserve">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w:t>
      </w:r>
      <w:r>
        <w:lastRenderedPageBreak/>
        <w:t>Det industriella storskaliga fisket bör utvärderas sett till hur detta påverkar det lokala kustfisket</w:t>
      </w:r>
      <w:r w:rsidR="00B55ED5">
        <w:t>, och ett förbud mot trålning bör övervägas</w:t>
      </w:r>
      <w:r>
        <w:t xml:space="preserve">. Det maximala uttaget av fisk behöver vägas mot en försiktighetsprincip när kunskapsläget inte är helt klarlagt. Kunskapen om bestånden i Östersjön och kunskapen om de lokala bestånden i Stockholmsregionen måste öka. Riksdagen bör ställa sig bakom det som anförs i motionen om försiktighetsprincipen samt att havet ska förvaltas långsiktigt hållbart för </w:t>
      </w:r>
      <w:r w:rsidRPr="00926897">
        <w:rPr>
          <w:spacing w:val="-2"/>
        </w:rPr>
        <w:t xml:space="preserve">att värna en hållbar utveckling i Stockholmsregionen och tillkännage detta för regeringen. </w:t>
      </w:r>
    </w:p>
    <w:p w:rsidRPr="00926897" w:rsidR="000A6046" w:rsidP="00926897" w:rsidRDefault="000A6046" w14:paraId="2F9710D4" w14:textId="77777777">
      <w:pPr>
        <w:pStyle w:val="Rubrik1"/>
      </w:pPr>
      <w:bookmarkStart w:name="_Toc187151484" w:id="10"/>
      <w:r w:rsidRPr="00926897">
        <w:t>Stockholm – pilotregion för skilda valdagar</w:t>
      </w:r>
      <w:bookmarkEnd w:id="10"/>
    </w:p>
    <w:p w:rsidRPr="00B55ED5" w:rsidR="00B55ED5" w:rsidP="00072C2F" w:rsidRDefault="000A6046" w14:paraId="641AECEC" w14:textId="7EF70555">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Pr="00B55ED5" w:rsidR="00B55ED5" w:rsidP="00072C2F" w:rsidRDefault="000A6046" w14:paraId="324CB346" w14:textId="707FF3FB">
      <w:r>
        <w:t>År 1968 beslutade Sverige att införa enkammarriksdag och gemensam valdag för val till kommun, landsting och riksdag. Beslutet fattades i samband med den partiella författningsreformen samma år i vilken valsystemet, kammarsystemet och den gemen</w:t>
      </w:r>
      <w:r w:rsidR="00926897">
        <w:softHyphen/>
      </w:r>
      <w:r>
        <w:t>samma valdagen ingick. Genom ändringen av regeringsformen 1994 ändrades också mandatperiodernas längd från tre till fyra år. Sverige är unikt med att ha en lagstadgad gemensam valdag för både lokala och nationella val. I den mån det förekommer gemen</w:t>
      </w:r>
      <w:r w:rsidR="00926897">
        <w:softHyphen/>
      </w:r>
      <w:r>
        <w:t>samma valdagar i andra länder är det främst mellan delstatlig, regional och kommunal nivå. Till skillnad från Sverige är dessa länders gemensamma valdagar sällan lag</w:t>
      </w:r>
      <w:r w:rsidR="00926897">
        <w:softHyphen/>
      </w:r>
      <w:r>
        <w:t xml:space="preserve">stadgade utan uppstår eftersom det blivit mest praktiskt att förlägga val som, av olika skäl, hamnat under samma år till samma dag. </w:t>
      </w:r>
    </w:p>
    <w:p w:rsidRPr="00B55ED5" w:rsidR="00B55ED5" w:rsidP="00072C2F" w:rsidRDefault="000A6046" w14:paraId="1126B96B" w14:textId="77BFD89E">
      <w:r>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w:t>
      </w:r>
      <w:r w:rsidR="00926897">
        <w:softHyphen/>
      </w:r>
      <w:r>
        <w:t>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Pr="00B55ED5" w:rsidR="00B55ED5" w:rsidP="00072C2F" w:rsidRDefault="000A6046" w14:paraId="3DA39A03" w14:textId="15E63018">
      <w:r>
        <w:t xml:space="preserve">Att avskaffa den gemensamma valdagen vore ett 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w:t>
      </w:r>
      <w:r w:rsidR="00516410">
        <w:t xml:space="preserve">och </w:t>
      </w:r>
      <w:r>
        <w:t>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w:t>
      </w:r>
      <w:r w:rsidR="00926897">
        <w:softHyphen/>
      </w:r>
      <w:r>
        <w:t>sökningar är sjukvården till och med den fråga som anses allra viktigast bland svenskar. Då är det avgörande att den lokala och regionala politiken får mer utrymme i svensk politik.</w:t>
      </w:r>
    </w:p>
    <w:p w:rsidRPr="00B55ED5" w:rsidR="00B55ED5" w:rsidP="00072C2F" w:rsidRDefault="000A6046" w14:paraId="7E530C88" w14:textId="3ACFC496">
      <w:r>
        <w:lastRenderedPageBreak/>
        <w:t>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w:t>
      </w:r>
      <w:r w:rsidR="00926897">
        <w:softHyphen/>
      </w:r>
      <w:r>
        <w:t xml:space="preserve">politiken. Valresultaten skulle då verka som ytterligare ett sätt för folket att utkräva ansvar och tvinga rikspolitikerna att ta till sig av valresultaten. </w:t>
      </w:r>
    </w:p>
    <w:p w:rsidR="00BB6339" w:rsidP="00072C2F" w:rsidRDefault="000A6046" w14:paraId="325B7C56" w14:textId="3650A688">
      <w:r>
        <w:t>Demokratin i Sverige behöver vitaliseras. Den kommunala och regionala politiken står alltför ofta i skuggan av rikspolitiken och i ett öppet demokratiskt samhälle har folket rätt att utkräva ansvar från sina politiker på samtliga nivåer. Då räcker det inte med att svenskar enbart får gå och rösta vart fjärde år. Därför bör riksdagen ställa sig bakom det som anförs i motionen om att låta Stockholm bli pilotregion för skilda valdagar och tillkännage detta för regeringen.</w:t>
      </w:r>
    </w:p>
    <w:sdt>
      <w:sdtPr>
        <w:alias w:val="CC_Underskrifter"/>
        <w:tag w:val="CC_Underskrifter"/>
        <w:id w:val="583496634"/>
        <w:lock w:val="sdtContentLocked"/>
        <w:placeholder>
          <w:docPart w:val="6C318DD15B1B4BADBA64038734A7051E"/>
        </w:placeholder>
      </w:sdtPr>
      <w:sdtEndPr/>
      <w:sdtContent>
        <w:p w:rsidR="00975057" w:rsidP="00975057" w:rsidRDefault="00975057" w14:paraId="51F23A93" w14:textId="77777777"/>
        <w:p w:rsidRPr="008E0FE2" w:rsidR="004801AC" w:rsidP="00975057" w:rsidRDefault="00957B9F" w14:paraId="5EB27278" w14:textId="3609E268"/>
      </w:sdtContent>
    </w:sdt>
    <w:tbl>
      <w:tblPr>
        <w:tblW w:w="5000" w:type="pct"/>
        <w:tblLook w:val="04A0" w:firstRow="1" w:lastRow="0" w:firstColumn="1" w:lastColumn="0" w:noHBand="0" w:noVBand="1"/>
        <w:tblCaption w:val="underskrifter"/>
      </w:tblPr>
      <w:tblGrid>
        <w:gridCol w:w="4252"/>
        <w:gridCol w:w="4252"/>
      </w:tblGrid>
      <w:tr w:rsidR="000C358D" w14:paraId="07A6847B" w14:textId="77777777">
        <w:trPr>
          <w:cantSplit/>
        </w:trPr>
        <w:tc>
          <w:tcPr>
            <w:tcW w:w="50" w:type="pct"/>
            <w:vAlign w:val="bottom"/>
          </w:tcPr>
          <w:p w:rsidR="000C358D" w:rsidRDefault="00516410" w14:paraId="196A0FD4" w14:textId="77777777">
            <w:pPr>
              <w:pStyle w:val="Underskrifter"/>
              <w:spacing w:after="0"/>
            </w:pPr>
            <w:r>
              <w:t>Malin Danielsson (L)</w:t>
            </w:r>
          </w:p>
        </w:tc>
        <w:tc>
          <w:tcPr>
            <w:tcW w:w="50" w:type="pct"/>
            <w:vAlign w:val="bottom"/>
          </w:tcPr>
          <w:p w:rsidR="000C358D" w:rsidRDefault="000C358D" w14:paraId="14EDF396" w14:textId="77777777">
            <w:pPr>
              <w:pStyle w:val="Underskrifter"/>
              <w:spacing w:after="0"/>
            </w:pPr>
          </w:p>
        </w:tc>
      </w:tr>
      <w:tr w:rsidR="000C358D" w14:paraId="3AEC1E6B" w14:textId="77777777">
        <w:trPr>
          <w:cantSplit/>
        </w:trPr>
        <w:tc>
          <w:tcPr>
            <w:tcW w:w="50" w:type="pct"/>
            <w:vAlign w:val="bottom"/>
          </w:tcPr>
          <w:p w:rsidR="000C358D" w:rsidRDefault="00516410" w14:paraId="1A3524FF" w14:textId="77777777">
            <w:pPr>
              <w:pStyle w:val="Underskrifter"/>
              <w:spacing w:after="0"/>
            </w:pPr>
            <w:r>
              <w:t>Gulan Avci (L)</w:t>
            </w:r>
          </w:p>
        </w:tc>
        <w:tc>
          <w:tcPr>
            <w:tcW w:w="50" w:type="pct"/>
            <w:vAlign w:val="bottom"/>
          </w:tcPr>
          <w:p w:rsidR="000C358D" w:rsidRDefault="00516410" w14:paraId="03D91AF7" w14:textId="77777777">
            <w:pPr>
              <w:pStyle w:val="Underskrifter"/>
              <w:spacing w:after="0"/>
            </w:pPr>
            <w:r>
              <w:t>Joar Forssell (L)</w:t>
            </w:r>
          </w:p>
        </w:tc>
      </w:tr>
      <w:tr w:rsidR="000C358D" w14:paraId="14BD5471" w14:textId="77777777">
        <w:trPr>
          <w:cantSplit/>
        </w:trPr>
        <w:tc>
          <w:tcPr>
            <w:tcW w:w="50" w:type="pct"/>
            <w:vAlign w:val="bottom"/>
          </w:tcPr>
          <w:p w:rsidR="000C358D" w:rsidRDefault="00516410" w14:paraId="0F57BA8D" w14:textId="77777777">
            <w:pPr>
              <w:pStyle w:val="Underskrifter"/>
              <w:spacing w:after="0"/>
            </w:pPr>
            <w:r>
              <w:t>Fredrik Malm (L)</w:t>
            </w:r>
          </w:p>
        </w:tc>
        <w:tc>
          <w:tcPr>
            <w:tcW w:w="50" w:type="pct"/>
            <w:vAlign w:val="bottom"/>
          </w:tcPr>
          <w:p w:rsidR="000C358D" w:rsidRDefault="00516410" w14:paraId="339C783C" w14:textId="77777777">
            <w:pPr>
              <w:pStyle w:val="Underskrifter"/>
              <w:spacing w:after="0"/>
            </w:pPr>
            <w:r>
              <w:t>Anna Starbrink (L)</w:t>
            </w:r>
          </w:p>
        </w:tc>
      </w:tr>
      <w:tr w:rsidR="000C358D" w14:paraId="373B082E" w14:textId="77777777">
        <w:trPr>
          <w:cantSplit/>
        </w:trPr>
        <w:tc>
          <w:tcPr>
            <w:tcW w:w="50" w:type="pct"/>
            <w:vAlign w:val="bottom"/>
          </w:tcPr>
          <w:p w:rsidR="000C358D" w:rsidRDefault="00516410" w14:paraId="3E5D20D5" w14:textId="77777777">
            <w:pPr>
              <w:pStyle w:val="Underskrifter"/>
              <w:spacing w:after="0"/>
            </w:pPr>
            <w:r>
              <w:t>Martin Melin (L)</w:t>
            </w:r>
          </w:p>
        </w:tc>
        <w:tc>
          <w:tcPr>
            <w:tcW w:w="50" w:type="pct"/>
            <w:vAlign w:val="bottom"/>
          </w:tcPr>
          <w:p w:rsidR="000C358D" w:rsidRDefault="000C358D" w14:paraId="15C1648C" w14:textId="77777777">
            <w:pPr>
              <w:pStyle w:val="Underskrifter"/>
              <w:spacing w:after="0"/>
            </w:pPr>
          </w:p>
        </w:tc>
      </w:tr>
    </w:tbl>
    <w:p w:rsidR="00A01398" w:rsidRDefault="00A01398" w14:paraId="110B7BE3" w14:textId="77777777"/>
    <w:sectPr w:rsidR="00A01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A381" w14:textId="77777777" w:rsidR="000A6046" w:rsidRDefault="000A6046" w:rsidP="000C1CAD">
      <w:pPr>
        <w:spacing w:line="240" w:lineRule="auto"/>
      </w:pPr>
      <w:r>
        <w:separator/>
      </w:r>
    </w:p>
  </w:endnote>
  <w:endnote w:type="continuationSeparator" w:id="0">
    <w:p w14:paraId="39018FB9" w14:textId="77777777" w:rsidR="000A6046" w:rsidRDefault="000A6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C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572" w14:textId="6F4F0F6B" w:rsidR="00262EA3" w:rsidRPr="00975057" w:rsidRDefault="00262EA3" w:rsidP="00975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02A" w14:textId="77777777" w:rsidR="000A6046" w:rsidRDefault="000A6046" w:rsidP="000C1CAD">
      <w:pPr>
        <w:spacing w:line="240" w:lineRule="auto"/>
      </w:pPr>
      <w:r>
        <w:separator/>
      </w:r>
    </w:p>
  </w:footnote>
  <w:footnote w:type="continuationSeparator" w:id="0">
    <w:p w14:paraId="64FAC67B" w14:textId="77777777" w:rsidR="000A6046" w:rsidRDefault="000A6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9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3A076" wp14:editId="091FB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9D7AB" w14:textId="0A43E0E9" w:rsidR="00262EA3" w:rsidRDefault="00957B9F"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3A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9D7AB" w14:textId="0A43E0E9" w:rsidR="00262EA3" w:rsidRDefault="00957B9F"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v:textbox>
              <w10:wrap anchorx="page"/>
            </v:shape>
          </w:pict>
        </mc:Fallback>
      </mc:AlternateContent>
    </w:r>
  </w:p>
  <w:p w14:paraId="593BB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E16" w14:textId="77777777" w:rsidR="00262EA3" w:rsidRDefault="00262EA3" w:rsidP="008563AC">
    <w:pPr>
      <w:jc w:val="right"/>
    </w:pPr>
  </w:p>
  <w:p w14:paraId="0164E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8BF" w14:textId="77777777" w:rsidR="00262EA3" w:rsidRDefault="00957B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3C9C8" wp14:editId="6690B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12CBB" w14:textId="58FB373E" w:rsidR="00262EA3" w:rsidRDefault="00957B9F" w:rsidP="00A314CF">
    <w:pPr>
      <w:pStyle w:val="FSHNormal"/>
      <w:spacing w:before="40"/>
    </w:pPr>
    <w:sdt>
      <w:sdtPr>
        <w:alias w:val="CC_Noformat_Motionstyp"/>
        <w:tag w:val="CC_Noformat_Motionstyp"/>
        <w:id w:val="1162973129"/>
        <w:lock w:val="sdtContentLocked"/>
        <w15:appearance w15:val="hidden"/>
        <w:text/>
      </w:sdtPr>
      <w:sdtEndPr/>
      <w:sdtContent>
        <w:r w:rsidR="00975057">
          <w:t>Enskild motion</w:t>
        </w:r>
      </w:sdtContent>
    </w:sdt>
    <w:r w:rsidR="00821B36">
      <w:t xml:space="preserve"> </w:t>
    </w:r>
    <w:sdt>
      <w:sdtPr>
        <w:alias w:val="CC_Noformat_Partikod"/>
        <w:tag w:val="CC_Noformat_Partikod"/>
        <w:id w:val="1471015553"/>
        <w:text/>
      </w:sdtPr>
      <w:sdtEndPr/>
      <w:sdtContent>
        <w:r w:rsidR="000A6046">
          <w:t>L</w:t>
        </w:r>
      </w:sdtContent>
    </w:sdt>
    <w:sdt>
      <w:sdtPr>
        <w:alias w:val="CC_Noformat_Partinummer"/>
        <w:tag w:val="CC_Noformat_Partinummer"/>
        <w:id w:val="-2014525982"/>
        <w:placeholder>
          <w:docPart w:val="7F0A1D9600794409B41332307B545869"/>
        </w:placeholder>
        <w:showingPlcHdr/>
        <w:text/>
      </w:sdtPr>
      <w:sdtEndPr/>
      <w:sdtContent>
        <w:r w:rsidR="00821B36">
          <w:t xml:space="preserve"> </w:t>
        </w:r>
      </w:sdtContent>
    </w:sdt>
  </w:p>
  <w:p w14:paraId="7C9DD780" w14:textId="77777777" w:rsidR="00262EA3" w:rsidRPr="008227B3" w:rsidRDefault="00957B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133F9" w14:textId="113BAAE1" w:rsidR="00262EA3" w:rsidRPr="008227B3" w:rsidRDefault="00957B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057">
          <w:t>2024/25</w:t>
        </w:r>
      </w:sdtContent>
    </w:sdt>
    <w:sdt>
      <w:sdtPr>
        <w:rPr>
          <w:rStyle w:val="BeteckningChar"/>
        </w:rPr>
        <w:alias w:val="CC_Noformat_Partibet"/>
        <w:tag w:val="CC_Noformat_Partibet"/>
        <w:id w:val="405810658"/>
        <w:lock w:val="sdtContentLocked"/>
        <w:placeholder>
          <w:docPart w:val="7AB6AAE2961844B68F7BC56EC65B7FB4"/>
        </w:placeholder>
        <w:showingPlcHdr/>
        <w15:appearance w15:val="hidden"/>
        <w:text/>
      </w:sdtPr>
      <w:sdtEndPr>
        <w:rPr>
          <w:rStyle w:val="Rubrik1Char"/>
          <w:rFonts w:asciiTheme="majorHAnsi" w:hAnsiTheme="majorHAnsi"/>
          <w:sz w:val="38"/>
        </w:rPr>
      </w:sdtEndPr>
      <w:sdtContent>
        <w:r w:rsidR="00975057">
          <w:t>:987</w:t>
        </w:r>
      </w:sdtContent>
    </w:sdt>
  </w:p>
  <w:p w14:paraId="0213B5A5" w14:textId="16304427" w:rsidR="00262EA3" w:rsidRDefault="00957B9F" w:rsidP="00E03A3D">
    <w:pPr>
      <w:pStyle w:val="Motionr"/>
    </w:pPr>
    <w:sdt>
      <w:sdtPr>
        <w:alias w:val="CC_Noformat_Avtext"/>
        <w:tag w:val="CC_Noformat_Avtext"/>
        <w:id w:val="-2020768203"/>
        <w:lock w:val="sdtContentLocked"/>
        <w15:appearance w15:val="hidden"/>
        <w:text/>
      </w:sdtPr>
      <w:sdtEndPr/>
      <w:sdtContent>
        <w:r w:rsidR="00975057">
          <w:t>av Malin Danielsson m.fl. (L)</w:t>
        </w:r>
      </w:sdtContent>
    </w:sdt>
  </w:p>
  <w:sdt>
    <w:sdtPr>
      <w:alias w:val="CC_Noformat_Rubtext"/>
      <w:tag w:val="CC_Noformat_Rubtext"/>
      <w:id w:val="-218060500"/>
      <w:lock w:val="sdtLocked"/>
      <w:text/>
    </w:sdtPr>
    <w:sdtEndPr/>
    <w:sdtContent>
      <w:p w14:paraId="492C3AC8" w14:textId="7780A9CB" w:rsidR="00262EA3" w:rsidRDefault="000A6046" w:rsidP="00283E0F">
        <w:pPr>
          <w:pStyle w:val="FSHRub2"/>
        </w:pPr>
        <w:r>
          <w:t>Möjligheternas Stockholm</w:t>
        </w:r>
      </w:p>
    </w:sdtContent>
  </w:sdt>
  <w:sdt>
    <w:sdtPr>
      <w:alias w:val="CC_Boilerplate_3"/>
      <w:tag w:val="CC_Boilerplate_3"/>
      <w:id w:val="1606463544"/>
      <w:lock w:val="sdtContentLocked"/>
      <w15:appearance w15:val="hidden"/>
      <w:text w:multiLine="1"/>
    </w:sdtPr>
    <w:sdtEndPr/>
    <w:sdtContent>
      <w:p w14:paraId="40D7DB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3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4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2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4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8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3E"/>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E5"/>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10"/>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99"/>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9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9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9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B9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5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9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9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5"/>
    <w:rsid w:val="00B55FCC"/>
    <w:rsid w:val="00B56435"/>
    <w:rsid w:val="00B56956"/>
    <w:rsid w:val="00B570C3"/>
    <w:rsid w:val="00B577C5"/>
    <w:rsid w:val="00B57984"/>
    <w:rsid w:val="00B57D79"/>
    <w:rsid w:val="00B57EE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5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D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B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19AF3"/>
  <w15:chartTrackingRefBased/>
  <w15:docId w15:val="{A81F4E82-CDFE-4920-B3E4-CDDDF32D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0D0A9CE04A39AF0AF3832BF6E9F2"/>
        <w:category>
          <w:name w:val="Allmänt"/>
          <w:gallery w:val="placeholder"/>
        </w:category>
        <w:types>
          <w:type w:val="bbPlcHdr"/>
        </w:types>
        <w:behaviors>
          <w:behavior w:val="content"/>
        </w:behaviors>
        <w:guid w:val="{1D120CD1-9BFB-4A6A-986B-9D6155245055}"/>
      </w:docPartPr>
      <w:docPartBody>
        <w:p w:rsidR="00813361" w:rsidRDefault="00813361">
          <w:pPr>
            <w:pStyle w:val="72280D0A9CE04A39AF0AF3832BF6E9F2"/>
          </w:pPr>
          <w:r w:rsidRPr="005A0A93">
            <w:rPr>
              <w:rStyle w:val="Platshllartext"/>
            </w:rPr>
            <w:t>Förslag till riksdagsbeslut</w:t>
          </w:r>
        </w:p>
      </w:docPartBody>
    </w:docPart>
    <w:docPart>
      <w:docPartPr>
        <w:name w:val="0DC167DD0B174162A82DF9323452E91E"/>
        <w:category>
          <w:name w:val="Allmänt"/>
          <w:gallery w:val="placeholder"/>
        </w:category>
        <w:types>
          <w:type w:val="bbPlcHdr"/>
        </w:types>
        <w:behaviors>
          <w:behavior w:val="content"/>
        </w:behaviors>
        <w:guid w:val="{F5A4A731-EEE4-48E8-B8C0-0018718617FA}"/>
      </w:docPartPr>
      <w:docPartBody>
        <w:p w:rsidR="00813361" w:rsidRDefault="00813361">
          <w:pPr>
            <w:pStyle w:val="0DC167DD0B174162A82DF9323452E91E"/>
          </w:pPr>
          <w:r w:rsidRPr="005A0A93">
            <w:rPr>
              <w:rStyle w:val="Platshllartext"/>
            </w:rPr>
            <w:t>Motivering</w:t>
          </w:r>
        </w:p>
      </w:docPartBody>
    </w:docPart>
    <w:docPart>
      <w:docPartPr>
        <w:name w:val="6C318DD15B1B4BADBA64038734A7051E"/>
        <w:category>
          <w:name w:val="Allmänt"/>
          <w:gallery w:val="placeholder"/>
        </w:category>
        <w:types>
          <w:type w:val="bbPlcHdr"/>
        </w:types>
        <w:behaviors>
          <w:behavior w:val="content"/>
        </w:behaviors>
        <w:guid w:val="{C434D0FA-E33B-45BB-9920-9F2EABB65D67}"/>
      </w:docPartPr>
      <w:docPartBody>
        <w:p w:rsidR="00067D84" w:rsidRDefault="00067D84"/>
      </w:docPartBody>
    </w:docPart>
    <w:docPart>
      <w:docPartPr>
        <w:name w:val="09328DA7A3DB47929209AA04354C3EBC"/>
        <w:category>
          <w:name w:val="Allmänt"/>
          <w:gallery w:val="placeholder"/>
        </w:category>
        <w:types>
          <w:type w:val="bbPlcHdr"/>
        </w:types>
        <w:behaviors>
          <w:behavior w:val="content"/>
        </w:behaviors>
        <w:guid w:val="{17D72A1F-E11F-416A-BB71-5E3C1C127D27}"/>
      </w:docPartPr>
      <w:docPartBody>
        <w:p w:rsidR="00E33075" w:rsidRDefault="00067D84">
          <w:r>
            <w:t xml:space="preserve"> </w:t>
          </w:r>
        </w:p>
      </w:docPartBody>
    </w:docPart>
    <w:docPart>
      <w:docPartPr>
        <w:name w:val="7F0A1D9600794409B41332307B545869"/>
        <w:category>
          <w:name w:val="Allmänt"/>
          <w:gallery w:val="placeholder"/>
        </w:category>
        <w:types>
          <w:type w:val="bbPlcHdr"/>
        </w:types>
        <w:behaviors>
          <w:behavior w:val="content"/>
        </w:behaviors>
        <w:guid w:val="{C170B7AC-DEAF-4341-929F-9185271E6454}"/>
      </w:docPartPr>
      <w:docPartBody>
        <w:p w:rsidR="00E33075" w:rsidRDefault="00067D84">
          <w:r>
            <w:t xml:space="preserve"> </w:t>
          </w:r>
        </w:p>
      </w:docPartBody>
    </w:docPart>
    <w:docPart>
      <w:docPartPr>
        <w:name w:val="7AB6AAE2961844B68F7BC56EC65B7FB4"/>
        <w:category>
          <w:name w:val="Allmänt"/>
          <w:gallery w:val="placeholder"/>
        </w:category>
        <w:types>
          <w:type w:val="bbPlcHdr"/>
        </w:types>
        <w:behaviors>
          <w:behavior w:val="content"/>
        </w:behaviors>
        <w:guid w:val="{4781816D-9A2F-41AA-8344-87AEEFEE824B}"/>
      </w:docPartPr>
      <w:docPartBody>
        <w:p w:rsidR="00E33075" w:rsidRDefault="00067D84">
          <w:r>
            <w:t>:987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1"/>
    <w:rsid w:val="00067D84"/>
    <w:rsid w:val="002C74C2"/>
    <w:rsid w:val="00813361"/>
    <w:rsid w:val="009725A5"/>
    <w:rsid w:val="00E33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5A5"/>
    <w:rPr>
      <w:color w:val="F4B083" w:themeColor="accent2" w:themeTint="99"/>
    </w:rPr>
  </w:style>
  <w:style w:type="paragraph" w:customStyle="1" w:styleId="72280D0A9CE04A39AF0AF3832BF6E9F2">
    <w:name w:val="72280D0A9CE04A39AF0AF3832BF6E9F2"/>
  </w:style>
  <w:style w:type="paragraph" w:customStyle="1" w:styleId="0DC167DD0B174162A82DF9323452E91E">
    <w:name w:val="0DC167DD0B174162A82DF9323452E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A9AF3-3231-4EE2-91F5-4FEF467913F9}"/>
</file>

<file path=customXml/itemProps2.xml><?xml version="1.0" encoding="utf-8"?>
<ds:datastoreItem xmlns:ds="http://schemas.openxmlformats.org/officeDocument/2006/customXml" ds:itemID="{ADE28E4C-0A08-40A8-B961-EA69DB905CC7}"/>
</file>

<file path=customXml/itemProps3.xml><?xml version="1.0" encoding="utf-8"?>
<ds:datastoreItem xmlns:ds="http://schemas.openxmlformats.org/officeDocument/2006/customXml" ds:itemID="{6F573887-047A-40F2-B678-5BBBA273F322}"/>
</file>

<file path=docProps/app.xml><?xml version="1.0" encoding="utf-8"?>
<Properties xmlns="http://schemas.openxmlformats.org/officeDocument/2006/extended-properties" xmlns:vt="http://schemas.openxmlformats.org/officeDocument/2006/docPropsVTypes">
  <Template>Normal</Template>
  <TotalTime>71</TotalTime>
  <Pages>7</Pages>
  <Words>2964</Words>
  <Characters>17818</Characters>
  <Application>Microsoft Office Word</Application>
  <DocSecurity>0</DocSecurity>
  <Lines>278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Möjligheternas Stockholm</vt:lpstr>
      <vt:lpstr>
      </vt:lpstr>
    </vt:vector>
  </TitlesOfParts>
  <Company>Sveriges riksdag</Company>
  <LinksUpToDate>false</LinksUpToDate>
  <CharactersWithSpaces>20722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