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2F73" w:rsidRPr="00EB42D3" w:rsidRDefault="00342F73">
      <w:pPr>
        <w:pStyle w:val="RubrikSammanf"/>
        <w:shd w:val="clear" w:color="000000" w:fill="auto"/>
      </w:pPr>
      <w:r w:rsidRPr="00EB42D3">
        <w:t>Sammanfattning</w:t>
      </w:r>
    </w:p>
    <w:p w:rsidR="00342F73" w:rsidRPr="00EB42D3" w:rsidRDefault="00342F73">
      <w:pPr>
        <w:shd w:val="clear" w:color="000000" w:fill="auto"/>
      </w:pPr>
      <w:r w:rsidRPr="00EB42D3">
        <w:t>Det övergripande syftet med Miljöpartiet de grönas försvarspolitik är att sk</w:t>
      </w:r>
      <w:r w:rsidRPr="00EB42D3">
        <w:t>a</w:t>
      </w:r>
      <w:r w:rsidRPr="00EB42D3">
        <w:t>pa en säkrare värld. I enlighet med FN-stadgans principer har Sverige ett ansvar för att främja internationell fred och säkerhet. Miljöpartiet anser att Sverige ska förbli militärt alliansfritt. Sverige främjar inte världsfreden g</w:t>
      </w:r>
      <w:r w:rsidRPr="00EB42D3">
        <w:t>e</w:t>
      </w:r>
      <w:r w:rsidRPr="00EB42D3">
        <w:t>nom att söka medlemskap i Nato.</w:t>
      </w:r>
    </w:p>
    <w:p w:rsidR="00342F73" w:rsidRPr="00EB42D3" w:rsidRDefault="00342F73">
      <w:pPr>
        <w:pStyle w:val="Normaltindrag"/>
        <w:shd w:val="clear" w:color="000000" w:fill="auto"/>
      </w:pPr>
      <w:r w:rsidRPr="00EB42D3">
        <w:t>Miljöpartiet anser att Sveriges säkerhet måste ses i ett bredare perspektiv än enbart som ett eventuellt militärt hot mot vårt land. De hot som Sverige och våra grannländer står inför är svåra att förutsäga, och de är gränslösa och komplexa till si</w:t>
      </w:r>
      <w:r w:rsidRPr="00EB42D3">
        <w:t>n natur. De behöver i första hand inte vara av militär natur utan kan handla om miljö- och klimatkatastrofer i olika former, grov brott</w:t>
      </w:r>
      <w:r w:rsidRPr="00EB42D3">
        <w:t>s</w:t>
      </w:r>
      <w:r w:rsidRPr="00EB42D3">
        <w:t>lighet och terrorism. Hoten kan också vara it-relaterade i form av cyberattac</w:t>
      </w:r>
      <w:r w:rsidRPr="00EB42D3">
        <w:t>k</w:t>
      </w:r>
      <w:r w:rsidRPr="00EB42D3">
        <w:t>er. Miljöpartiet anser att Sverige måste stå bättre rustat för den typen av ho</w:t>
      </w:r>
      <w:r w:rsidRPr="00EB42D3">
        <w:t>t</w:t>
      </w:r>
      <w:r w:rsidRPr="00EB42D3">
        <w:t xml:space="preserve">bilder. </w:t>
      </w:r>
    </w:p>
    <w:p w:rsidR="00342F73" w:rsidRPr="00EB42D3" w:rsidRDefault="00342F73">
      <w:pPr>
        <w:pStyle w:val="Normaltindrag"/>
        <w:shd w:val="clear" w:color="000000" w:fill="auto"/>
      </w:pPr>
      <w:r w:rsidRPr="00EB42D3">
        <w:t>Att möta dessa icke-militära hot kräver i många fall ökade insatser från samhällets sida. Insatser som i många fall kommer att kosta mycket pengar. Men det står för oss helt klart att det inte är det militära f</w:t>
      </w:r>
      <w:r w:rsidRPr="00EB42D3">
        <w:t>örsvaret som ska tackla dessa icke-militära hot. Det ska andra myndigheter göra. Nödvändigh</w:t>
      </w:r>
      <w:r w:rsidRPr="00EB42D3">
        <w:t>e</w:t>
      </w:r>
      <w:r w:rsidRPr="00EB42D3">
        <w:t>ten att ta sig an dessa hot understryker vikten av att omfördela kostnader från Försvarsmakten till andra sektorer för att möta de reella hoten mot vårt sa</w:t>
      </w:r>
      <w:r w:rsidRPr="00EB42D3">
        <w:t>m</w:t>
      </w:r>
      <w:r w:rsidRPr="00EB42D3">
        <w:t>hälle samt att investera i förebyggande åtgärder och sårbarhetsreducerande verksamhet, både i Sverige och i omvärlden.</w:t>
      </w:r>
    </w:p>
    <w:p w:rsidR="00342F73" w:rsidRPr="00EB42D3" w:rsidRDefault="00342F73">
      <w:pPr>
        <w:pStyle w:val="Frslagsrubrik"/>
        <w:pageBreakBefore/>
        <w:shd w:val="clear" w:color="000000" w:fill="auto"/>
        <w:spacing w:before="0"/>
      </w:pPr>
      <w:r w:rsidRPr="00EB42D3">
        <w:lastRenderedPageBreak/>
        <w:t>Förslag till riksdagsbeslut</w:t>
      </w:r>
    </w:p>
    <w:p w:rsidR="00342F73" w:rsidRPr="00EB42D3" w:rsidRDefault="00342F73">
      <w:pPr>
        <w:pStyle w:val="Hemstlatt"/>
        <w:numPr>
          <w:ilvl w:val="0"/>
          <w:numId w:val="1"/>
        </w:numPr>
        <w:shd w:val="clear" w:color="000000" w:fill="auto"/>
      </w:pPr>
      <w:r w:rsidRPr="00EB42D3">
        <w:t>Riksdagen tillkännager för regeringen som sin mening vad som anförs i motionen om förslag till investeringsplan för Försvarsmakten under anslaget 1:3.</w:t>
      </w:r>
    </w:p>
    <w:p w:rsidR="00342F73" w:rsidRPr="00EB42D3" w:rsidRDefault="00342F73">
      <w:pPr>
        <w:pStyle w:val="Hemstlatt"/>
        <w:numPr>
          <w:ilvl w:val="0"/>
          <w:numId w:val="1"/>
        </w:numPr>
        <w:shd w:val="clear" w:color="000000" w:fill="auto"/>
      </w:pPr>
      <w:r w:rsidRPr="00EB42D3">
        <w:t>Riksdagen avslår regeringens förslag till bemyndigande på ramanslag 1:3.</w:t>
      </w:r>
    </w:p>
    <w:p w:rsidR="00342F73" w:rsidRPr="00EB42D3" w:rsidRDefault="00342F73">
      <w:pPr>
        <w:pStyle w:val="Hemstlatt"/>
        <w:numPr>
          <w:ilvl w:val="0"/>
          <w:numId w:val="1"/>
        </w:numPr>
        <w:shd w:val="clear" w:color="000000" w:fill="auto"/>
      </w:pPr>
      <w:r w:rsidRPr="00EB42D3">
        <w:t>Riksdagen avslår regeringens förslag till bemyndigande gällande investeringsplan för anslaget 1:3.</w:t>
      </w:r>
    </w:p>
    <w:p w:rsidR="00342F73" w:rsidRPr="00EB42D3" w:rsidRDefault="00342F73">
      <w:pPr>
        <w:pStyle w:val="Hemstlatt"/>
        <w:numPr>
          <w:ilvl w:val="0"/>
          <w:numId w:val="1"/>
        </w:numPr>
        <w:shd w:val="clear" w:color="000000" w:fill="auto"/>
      </w:pPr>
      <w:r w:rsidRPr="00EB42D3">
        <w:t>Riksdagen begär att regeringen omgående återkommer med ny materielredovisning för anslag 1:3.</w:t>
      </w:r>
    </w:p>
    <w:p w:rsidR="00342F73" w:rsidRPr="00EB42D3" w:rsidRDefault="00342F73">
      <w:pPr>
        <w:pStyle w:val="Hemstlatt"/>
        <w:numPr>
          <w:ilvl w:val="0"/>
          <w:numId w:val="1"/>
        </w:numPr>
        <w:shd w:val="clear" w:color="000000" w:fill="auto"/>
      </w:pPr>
      <w:r w:rsidRPr="00EB42D3">
        <w:t>Riksdagen tillkännager för regeringen som sin mening vad som anförs i motionen om bemyndigande om ekonomiska åtaganden för anslag 1:4.</w:t>
      </w:r>
    </w:p>
    <w:p w:rsidR="00342F73" w:rsidRPr="00EB42D3" w:rsidRDefault="00342F73">
      <w:pPr>
        <w:pStyle w:val="Hemstlatt"/>
        <w:numPr>
          <w:ilvl w:val="0"/>
          <w:numId w:val="1"/>
        </w:numPr>
        <w:shd w:val="clear" w:color="000000" w:fill="auto"/>
      </w:pPr>
      <w:r w:rsidRPr="00EB42D3">
        <w:t>Riksdagen avslår regeringens förslag till bemyndigande på ramanslag 1:4.</w:t>
      </w:r>
    </w:p>
    <w:p w:rsidR="00342F73" w:rsidRPr="00EB42D3" w:rsidRDefault="00342F73">
      <w:pPr>
        <w:pStyle w:val="Hemstlatt"/>
        <w:numPr>
          <w:ilvl w:val="0"/>
          <w:numId w:val="1"/>
        </w:numPr>
        <w:shd w:val="clear" w:color="000000" w:fill="auto"/>
      </w:pPr>
      <w:r w:rsidRPr="00EB42D3">
        <w:t>Riksdagen begär att regeringen omgående återkommer med ny redovisning om bemyndigande om ekonomiska åtaganden för anslag 1:4.</w:t>
      </w:r>
    </w:p>
    <w:p w:rsidR="00342F73" w:rsidRPr="00EB42D3" w:rsidRDefault="00342F73">
      <w:pPr>
        <w:pStyle w:val="Hemstlatt"/>
        <w:numPr>
          <w:ilvl w:val="0"/>
          <w:numId w:val="1"/>
        </w:numPr>
        <w:shd w:val="clear" w:color="000000" w:fill="auto"/>
      </w:pPr>
      <w:r w:rsidRPr="00EB42D3">
        <w:t>Riksdagen tillkännager för regeringen som sin mening vad som anförs i motionen om att regeringen inte får fatta något beslut rörande utveckling, uppgradering eller anskaffning av JAS 39 Gripen utan föregående riksdagsbehandling.</w:t>
      </w:r>
    </w:p>
    <w:p w:rsidR="00342F73" w:rsidRPr="00EB42D3" w:rsidRDefault="00342F73">
      <w:pPr>
        <w:pStyle w:val="Hemstlatt"/>
        <w:numPr>
          <w:ilvl w:val="0"/>
          <w:numId w:val="1"/>
        </w:numPr>
        <w:shd w:val="clear" w:color="000000" w:fill="auto"/>
      </w:pPr>
      <w:r w:rsidRPr="00EB42D3">
        <w:t>Riksdagen anvisar med följande ändringar i förhållande till regeringens förslag anslagen under utgiftsområde 6 Försvar och samhällets krisberedskap enligt uppställning:</w:t>
      </w:r>
    </w:p>
    <w:tbl>
      <w:tblPr>
        <w:tblW w:w="6180" w:type="dxa"/>
        <w:tblInd w:w="40"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436"/>
        <w:gridCol w:w="3554"/>
        <w:gridCol w:w="630"/>
        <w:gridCol w:w="780"/>
        <w:gridCol w:w="780"/>
      </w:tblGrid>
      <w:tr w:rsidR="00000000" w:rsidRPr="00EB42D3">
        <w:tc>
          <w:tcPr>
            <w:tcW w:w="436" w:type="dxa"/>
            <w:tcBorders>
              <w:top w:val="single" w:sz="4" w:space="0" w:color="auto"/>
              <w:bottom w:val="single" w:sz="4" w:space="0" w:color="auto"/>
            </w:tcBorders>
          </w:tcPr>
          <w:p w:rsidR="00342F73" w:rsidRPr="00EB42D3" w:rsidRDefault="00342F73">
            <w:pPr>
              <w:shd w:val="clear" w:color="000000" w:fill="auto"/>
              <w:spacing w:before="60" w:line="200" w:lineRule="exact"/>
              <w:rPr>
                <w:b/>
                <w:sz w:val="16"/>
                <w:szCs w:val="16"/>
              </w:rPr>
            </w:pPr>
          </w:p>
        </w:tc>
        <w:tc>
          <w:tcPr>
            <w:tcW w:w="3554" w:type="dxa"/>
            <w:tcBorders>
              <w:top w:val="single" w:sz="4" w:space="0" w:color="auto"/>
              <w:bottom w:val="single" w:sz="4" w:space="0" w:color="auto"/>
            </w:tcBorders>
          </w:tcPr>
          <w:p w:rsidR="00342F73" w:rsidRPr="00EB42D3" w:rsidRDefault="00342F73">
            <w:pPr>
              <w:shd w:val="clear" w:color="000000" w:fill="auto"/>
              <w:spacing w:before="60" w:line="200" w:lineRule="exact"/>
              <w:rPr>
                <w:b/>
                <w:bCs/>
                <w:color w:val="000000"/>
                <w:sz w:val="16"/>
                <w:szCs w:val="16"/>
              </w:rPr>
            </w:pPr>
          </w:p>
        </w:tc>
        <w:tc>
          <w:tcPr>
            <w:tcW w:w="2190" w:type="dxa"/>
            <w:gridSpan w:val="3"/>
            <w:tcBorders>
              <w:top w:val="single" w:sz="4" w:space="0" w:color="auto"/>
              <w:bottom w:val="single" w:sz="4" w:space="0" w:color="auto"/>
            </w:tcBorders>
          </w:tcPr>
          <w:p w:rsidR="00342F73" w:rsidRPr="00EB42D3" w:rsidRDefault="00342F73">
            <w:pPr>
              <w:shd w:val="clear" w:color="000000" w:fill="auto"/>
              <w:spacing w:before="60" w:line="200" w:lineRule="exact"/>
              <w:jc w:val="center"/>
              <w:rPr>
                <w:b/>
                <w:color w:val="000000"/>
                <w:sz w:val="16"/>
                <w:szCs w:val="16"/>
              </w:rPr>
            </w:pPr>
            <w:r w:rsidRPr="00EB42D3">
              <w:rPr>
                <w:b/>
                <w:color w:val="000000"/>
                <w:sz w:val="16"/>
                <w:szCs w:val="16"/>
              </w:rPr>
              <w:t>Anslagsförändring</w:t>
            </w:r>
          </w:p>
        </w:tc>
      </w:tr>
      <w:tr w:rsidR="00000000" w:rsidRPr="00EB42D3">
        <w:tc>
          <w:tcPr>
            <w:tcW w:w="436" w:type="dxa"/>
            <w:tcBorders>
              <w:top w:val="single" w:sz="4" w:space="0" w:color="auto"/>
              <w:bottom w:val="single" w:sz="4" w:space="0" w:color="auto"/>
            </w:tcBorders>
          </w:tcPr>
          <w:p w:rsidR="00342F73" w:rsidRPr="00EB42D3" w:rsidRDefault="00342F73">
            <w:pPr>
              <w:shd w:val="clear" w:color="000000" w:fill="auto"/>
              <w:spacing w:before="60" w:line="200" w:lineRule="exact"/>
              <w:rPr>
                <w:b/>
                <w:color w:val="000000"/>
                <w:sz w:val="16"/>
                <w:szCs w:val="16"/>
              </w:rPr>
            </w:pPr>
          </w:p>
        </w:tc>
        <w:tc>
          <w:tcPr>
            <w:tcW w:w="3554" w:type="dxa"/>
            <w:tcBorders>
              <w:top w:val="single" w:sz="4" w:space="0" w:color="auto"/>
              <w:bottom w:val="single" w:sz="4" w:space="0" w:color="auto"/>
            </w:tcBorders>
          </w:tcPr>
          <w:p w:rsidR="00342F73" w:rsidRPr="00EB42D3" w:rsidRDefault="00342F73">
            <w:pPr>
              <w:shd w:val="clear" w:color="000000" w:fill="auto"/>
              <w:spacing w:before="60" w:line="200" w:lineRule="exact"/>
              <w:rPr>
                <w:b/>
                <w:bCs/>
                <w:color w:val="000000"/>
                <w:sz w:val="16"/>
                <w:szCs w:val="16"/>
              </w:rPr>
            </w:pPr>
            <w:r w:rsidRPr="00EB42D3">
              <w:rPr>
                <w:b/>
                <w:bCs/>
                <w:color w:val="000000"/>
                <w:sz w:val="16"/>
                <w:szCs w:val="16"/>
              </w:rPr>
              <w:t>Anslag</w:t>
            </w:r>
          </w:p>
        </w:tc>
        <w:tc>
          <w:tcPr>
            <w:tcW w:w="630" w:type="dxa"/>
            <w:tcBorders>
              <w:top w:val="single" w:sz="4" w:space="0" w:color="auto"/>
              <w:bottom w:val="single" w:sz="4" w:space="0" w:color="auto"/>
            </w:tcBorders>
          </w:tcPr>
          <w:p w:rsidR="00342F73" w:rsidRPr="00EB42D3" w:rsidRDefault="00342F73">
            <w:pPr>
              <w:shd w:val="clear" w:color="000000" w:fill="auto"/>
              <w:spacing w:before="60" w:line="200" w:lineRule="exact"/>
              <w:jc w:val="right"/>
              <w:rPr>
                <w:b/>
                <w:color w:val="000000"/>
                <w:sz w:val="16"/>
                <w:szCs w:val="16"/>
              </w:rPr>
            </w:pPr>
            <w:r w:rsidRPr="00EB42D3">
              <w:rPr>
                <w:b/>
                <w:color w:val="000000"/>
                <w:sz w:val="16"/>
                <w:szCs w:val="16"/>
              </w:rPr>
              <w:t>2012</w:t>
            </w:r>
          </w:p>
        </w:tc>
        <w:tc>
          <w:tcPr>
            <w:tcW w:w="780" w:type="dxa"/>
            <w:tcBorders>
              <w:top w:val="single" w:sz="4" w:space="0" w:color="auto"/>
              <w:bottom w:val="single" w:sz="4" w:space="0" w:color="auto"/>
            </w:tcBorders>
          </w:tcPr>
          <w:p w:rsidR="00342F73" w:rsidRPr="00EB42D3" w:rsidRDefault="00342F73">
            <w:pPr>
              <w:shd w:val="clear" w:color="000000" w:fill="auto"/>
              <w:spacing w:before="60" w:line="200" w:lineRule="exact"/>
              <w:jc w:val="right"/>
              <w:rPr>
                <w:b/>
                <w:color w:val="000000"/>
                <w:sz w:val="16"/>
                <w:szCs w:val="16"/>
              </w:rPr>
            </w:pPr>
            <w:r w:rsidRPr="00EB42D3">
              <w:rPr>
                <w:b/>
                <w:color w:val="000000"/>
                <w:sz w:val="16"/>
                <w:szCs w:val="16"/>
              </w:rPr>
              <w:t>2013</w:t>
            </w:r>
          </w:p>
        </w:tc>
        <w:tc>
          <w:tcPr>
            <w:tcW w:w="780" w:type="dxa"/>
            <w:tcBorders>
              <w:top w:val="single" w:sz="4" w:space="0" w:color="auto"/>
              <w:bottom w:val="single" w:sz="4" w:space="0" w:color="auto"/>
            </w:tcBorders>
          </w:tcPr>
          <w:p w:rsidR="00342F73" w:rsidRPr="00EB42D3" w:rsidRDefault="00342F73">
            <w:pPr>
              <w:shd w:val="clear" w:color="000000" w:fill="auto"/>
              <w:spacing w:before="60" w:line="200" w:lineRule="exact"/>
              <w:jc w:val="right"/>
              <w:rPr>
                <w:b/>
                <w:color w:val="000000"/>
                <w:sz w:val="16"/>
                <w:szCs w:val="16"/>
              </w:rPr>
            </w:pPr>
            <w:r w:rsidRPr="00EB42D3">
              <w:rPr>
                <w:b/>
                <w:color w:val="000000"/>
                <w:sz w:val="16"/>
                <w:szCs w:val="16"/>
              </w:rPr>
              <w:t>2014</w:t>
            </w:r>
          </w:p>
        </w:tc>
      </w:tr>
      <w:tr w:rsidR="00000000" w:rsidRPr="00EB42D3">
        <w:tc>
          <w:tcPr>
            <w:tcW w:w="436" w:type="dxa"/>
            <w:tcBorders>
              <w:top w:val="single" w:sz="4" w:space="0" w:color="auto"/>
            </w:tcBorders>
          </w:tcPr>
          <w:p w:rsidR="00342F73" w:rsidRPr="00EB42D3" w:rsidRDefault="00342F73">
            <w:pPr>
              <w:shd w:val="clear" w:color="000000" w:fill="auto"/>
              <w:spacing w:before="60" w:line="200" w:lineRule="exact"/>
              <w:rPr>
                <w:color w:val="000000"/>
                <w:sz w:val="16"/>
                <w:szCs w:val="16"/>
              </w:rPr>
            </w:pPr>
            <w:r w:rsidRPr="00EB42D3">
              <w:rPr>
                <w:color w:val="000000"/>
                <w:sz w:val="16"/>
                <w:szCs w:val="16"/>
              </w:rPr>
              <w:t>1:1</w:t>
            </w:r>
          </w:p>
        </w:tc>
        <w:tc>
          <w:tcPr>
            <w:tcW w:w="3554" w:type="dxa"/>
            <w:tcBorders>
              <w:top w:val="single" w:sz="4" w:space="0" w:color="auto"/>
            </w:tcBorders>
          </w:tcPr>
          <w:p w:rsidR="00342F73" w:rsidRPr="00EB42D3" w:rsidRDefault="00342F73">
            <w:pPr>
              <w:shd w:val="clear" w:color="000000" w:fill="auto"/>
              <w:spacing w:before="60" w:line="200" w:lineRule="exact"/>
              <w:rPr>
                <w:sz w:val="16"/>
                <w:szCs w:val="16"/>
              </w:rPr>
            </w:pPr>
            <w:r w:rsidRPr="00EB42D3">
              <w:rPr>
                <w:sz w:val="16"/>
                <w:szCs w:val="16"/>
              </w:rPr>
              <w:t>Förbandsverksamhet och beredskap</w:t>
            </w:r>
          </w:p>
        </w:tc>
        <w:tc>
          <w:tcPr>
            <w:tcW w:w="630" w:type="dxa"/>
            <w:tcBorders>
              <w:top w:val="single" w:sz="4" w:space="0" w:color="auto"/>
            </w:tcBorders>
          </w:tcPr>
          <w:p w:rsidR="00342F73" w:rsidRPr="00EB42D3" w:rsidRDefault="00342F73">
            <w:pPr>
              <w:shd w:val="clear" w:color="000000" w:fill="auto"/>
              <w:spacing w:before="60" w:line="200" w:lineRule="exact"/>
              <w:jc w:val="right"/>
              <w:rPr>
                <w:color w:val="000000"/>
                <w:sz w:val="16"/>
                <w:szCs w:val="16"/>
              </w:rPr>
            </w:pPr>
            <w:r w:rsidRPr="00EB42D3">
              <w:rPr>
                <w:color w:val="000000"/>
                <w:sz w:val="16"/>
                <w:szCs w:val="16"/>
              </w:rPr>
              <w:t>–875</w:t>
            </w:r>
          </w:p>
        </w:tc>
        <w:tc>
          <w:tcPr>
            <w:tcW w:w="780" w:type="dxa"/>
            <w:tcBorders>
              <w:top w:val="single" w:sz="4" w:space="0" w:color="auto"/>
            </w:tcBorders>
          </w:tcPr>
          <w:p w:rsidR="00342F73" w:rsidRPr="00EB42D3" w:rsidRDefault="00342F73">
            <w:pPr>
              <w:shd w:val="clear" w:color="000000" w:fill="auto"/>
              <w:spacing w:before="60" w:line="200" w:lineRule="exact"/>
              <w:jc w:val="right"/>
              <w:rPr>
                <w:color w:val="000000"/>
                <w:sz w:val="16"/>
                <w:szCs w:val="16"/>
              </w:rPr>
            </w:pPr>
            <w:r w:rsidRPr="00EB42D3">
              <w:rPr>
                <w:color w:val="000000"/>
                <w:sz w:val="16"/>
                <w:szCs w:val="16"/>
              </w:rPr>
              <w:t>–900</w:t>
            </w:r>
          </w:p>
        </w:tc>
        <w:tc>
          <w:tcPr>
            <w:tcW w:w="780" w:type="dxa"/>
            <w:tcBorders>
              <w:top w:val="single" w:sz="4" w:space="0" w:color="auto"/>
            </w:tcBorders>
          </w:tcPr>
          <w:p w:rsidR="00342F73" w:rsidRPr="00EB42D3" w:rsidRDefault="00342F73">
            <w:pPr>
              <w:shd w:val="clear" w:color="000000" w:fill="auto"/>
              <w:spacing w:before="60" w:line="200" w:lineRule="exact"/>
              <w:jc w:val="right"/>
              <w:rPr>
                <w:color w:val="000000"/>
                <w:sz w:val="16"/>
                <w:szCs w:val="16"/>
              </w:rPr>
            </w:pPr>
            <w:r w:rsidRPr="00EB42D3">
              <w:rPr>
                <w:color w:val="000000"/>
                <w:sz w:val="16"/>
                <w:szCs w:val="16"/>
              </w:rPr>
              <w:t>–900</w:t>
            </w:r>
          </w:p>
        </w:tc>
      </w:tr>
      <w:tr w:rsidR="00000000" w:rsidRPr="00EB42D3">
        <w:tc>
          <w:tcPr>
            <w:tcW w:w="436" w:type="dxa"/>
          </w:tcPr>
          <w:p w:rsidR="00342F73" w:rsidRPr="00EB42D3" w:rsidRDefault="00342F73">
            <w:pPr>
              <w:shd w:val="clear" w:color="000000" w:fill="auto"/>
              <w:spacing w:before="60" w:line="200" w:lineRule="exact"/>
              <w:rPr>
                <w:color w:val="000000"/>
                <w:sz w:val="16"/>
                <w:szCs w:val="16"/>
              </w:rPr>
            </w:pPr>
            <w:r w:rsidRPr="00EB42D3">
              <w:rPr>
                <w:color w:val="000000"/>
                <w:sz w:val="16"/>
                <w:szCs w:val="16"/>
              </w:rPr>
              <w:t>1:2</w:t>
            </w:r>
          </w:p>
        </w:tc>
        <w:tc>
          <w:tcPr>
            <w:tcW w:w="3554" w:type="dxa"/>
          </w:tcPr>
          <w:p w:rsidR="00342F73" w:rsidRPr="00EB42D3" w:rsidRDefault="00342F73">
            <w:pPr>
              <w:shd w:val="clear" w:color="000000" w:fill="auto"/>
              <w:spacing w:before="60" w:line="200" w:lineRule="exact"/>
              <w:rPr>
                <w:sz w:val="16"/>
                <w:szCs w:val="16"/>
              </w:rPr>
            </w:pPr>
            <w:r w:rsidRPr="00EB42D3">
              <w:rPr>
                <w:sz w:val="16"/>
                <w:szCs w:val="16"/>
              </w:rPr>
              <w:t>Fredsfrämjande förbandsinsatser</w:t>
            </w:r>
          </w:p>
        </w:tc>
        <w:tc>
          <w:tcPr>
            <w:tcW w:w="630" w:type="dxa"/>
          </w:tcPr>
          <w:p w:rsidR="00342F73" w:rsidRPr="00EB42D3" w:rsidRDefault="00342F73">
            <w:pPr>
              <w:shd w:val="clear" w:color="000000" w:fill="auto"/>
              <w:spacing w:before="60" w:line="200" w:lineRule="exact"/>
              <w:jc w:val="right"/>
              <w:rPr>
                <w:color w:val="000000"/>
                <w:sz w:val="16"/>
                <w:szCs w:val="16"/>
              </w:rPr>
            </w:pPr>
            <w:r w:rsidRPr="00EB42D3">
              <w:rPr>
                <w:color w:val="000000"/>
                <w:sz w:val="16"/>
                <w:szCs w:val="16"/>
              </w:rPr>
              <w:t>+40</w:t>
            </w:r>
          </w:p>
        </w:tc>
        <w:tc>
          <w:tcPr>
            <w:tcW w:w="780" w:type="dxa"/>
          </w:tcPr>
          <w:p w:rsidR="00342F73" w:rsidRPr="00EB42D3" w:rsidRDefault="00342F73">
            <w:pPr>
              <w:shd w:val="clear" w:color="000000" w:fill="auto"/>
              <w:spacing w:before="60" w:line="200" w:lineRule="exact"/>
              <w:jc w:val="right"/>
              <w:rPr>
                <w:color w:val="000000"/>
                <w:sz w:val="16"/>
                <w:szCs w:val="16"/>
              </w:rPr>
            </w:pPr>
            <w:r w:rsidRPr="00EB42D3">
              <w:rPr>
                <w:color w:val="000000"/>
                <w:sz w:val="16"/>
                <w:szCs w:val="16"/>
              </w:rPr>
              <w:t>+50</w:t>
            </w:r>
          </w:p>
        </w:tc>
        <w:tc>
          <w:tcPr>
            <w:tcW w:w="780" w:type="dxa"/>
          </w:tcPr>
          <w:p w:rsidR="00342F73" w:rsidRPr="00EB42D3" w:rsidRDefault="00342F73">
            <w:pPr>
              <w:shd w:val="clear" w:color="000000" w:fill="auto"/>
              <w:spacing w:before="60" w:line="200" w:lineRule="exact"/>
              <w:jc w:val="right"/>
              <w:rPr>
                <w:color w:val="000000"/>
                <w:sz w:val="16"/>
                <w:szCs w:val="16"/>
              </w:rPr>
            </w:pPr>
            <w:r w:rsidRPr="00EB42D3">
              <w:rPr>
                <w:color w:val="000000"/>
                <w:sz w:val="16"/>
                <w:szCs w:val="16"/>
              </w:rPr>
              <w:t>+60</w:t>
            </w:r>
          </w:p>
        </w:tc>
      </w:tr>
      <w:tr w:rsidR="00000000" w:rsidRPr="00EB42D3">
        <w:tc>
          <w:tcPr>
            <w:tcW w:w="436" w:type="dxa"/>
          </w:tcPr>
          <w:p w:rsidR="00342F73" w:rsidRPr="00EB42D3" w:rsidRDefault="00342F73">
            <w:pPr>
              <w:shd w:val="clear" w:color="000000" w:fill="auto"/>
              <w:spacing w:before="60" w:line="200" w:lineRule="exact"/>
              <w:rPr>
                <w:color w:val="000000"/>
                <w:sz w:val="16"/>
                <w:szCs w:val="16"/>
              </w:rPr>
            </w:pPr>
            <w:r w:rsidRPr="00EB42D3">
              <w:rPr>
                <w:color w:val="000000"/>
                <w:sz w:val="16"/>
                <w:szCs w:val="16"/>
              </w:rPr>
              <w:t>1:3</w:t>
            </w:r>
          </w:p>
        </w:tc>
        <w:tc>
          <w:tcPr>
            <w:tcW w:w="3554" w:type="dxa"/>
          </w:tcPr>
          <w:p w:rsidR="00342F73" w:rsidRPr="00EB42D3" w:rsidRDefault="00342F73">
            <w:pPr>
              <w:shd w:val="clear" w:color="000000" w:fill="auto"/>
              <w:spacing w:before="60" w:line="200" w:lineRule="exact"/>
              <w:rPr>
                <w:sz w:val="16"/>
                <w:szCs w:val="16"/>
              </w:rPr>
            </w:pPr>
            <w:r w:rsidRPr="00EB42D3">
              <w:rPr>
                <w:sz w:val="16"/>
                <w:szCs w:val="16"/>
              </w:rPr>
              <w:t>Anskaffning av materiel och anläggningar</w:t>
            </w:r>
          </w:p>
        </w:tc>
        <w:tc>
          <w:tcPr>
            <w:tcW w:w="630" w:type="dxa"/>
          </w:tcPr>
          <w:p w:rsidR="00342F73" w:rsidRPr="00EB42D3" w:rsidRDefault="00342F73">
            <w:pPr>
              <w:shd w:val="clear" w:color="000000" w:fill="auto"/>
              <w:spacing w:before="60" w:line="200" w:lineRule="exact"/>
              <w:jc w:val="right"/>
              <w:rPr>
                <w:color w:val="000000"/>
                <w:sz w:val="16"/>
                <w:szCs w:val="16"/>
              </w:rPr>
            </w:pPr>
            <w:r w:rsidRPr="00EB42D3">
              <w:rPr>
                <w:color w:val="000000"/>
                <w:sz w:val="16"/>
                <w:szCs w:val="16"/>
              </w:rPr>
              <w:t>–500</w:t>
            </w:r>
          </w:p>
        </w:tc>
        <w:tc>
          <w:tcPr>
            <w:tcW w:w="780" w:type="dxa"/>
          </w:tcPr>
          <w:p w:rsidR="00342F73" w:rsidRPr="00EB42D3" w:rsidRDefault="00342F73">
            <w:pPr>
              <w:shd w:val="clear" w:color="000000" w:fill="auto"/>
              <w:spacing w:before="60" w:line="200" w:lineRule="exact"/>
              <w:jc w:val="right"/>
              <w:rPr>
                <w:color w:val="000000"/>
                <w:sz w:val="16"/>
                <w:szCs w:val="16"/>
              </w:rPr>
            </w:pPr>
            <w:r w:rsidRPr="00EB42D3">
              <w:rPr>
                <w:color w:val="000000"/>
                <w:sz w:val="16"/>
                <w:szCs w:val="16"/>
              </w:rPr>
              <w:t>–550</w:t>
            </w:r>
          </w:p>
        </w:tc>
        <w:tc>
          <w:tcPr>
            <w:tcW w:w="780" w:type="dxa"/>
          </w:tcPr>
          <w:p w:rsidR="00342F73" w:rsidRPr="00EB42D3" w:rsidRDefault="00342F73">
            <w:pPr>
              <w:shd w:val="clear" w:color="000000" w:fill="auto"/>
              <w:spacing w:before="60" w:line="200" w:lineRule="exact"/>
              <w:jc w:val="right"/>
              <w:rPr>
                <w:color w:val="000000"/>
                <w:sz w:val="16"/>
                <w:szCs w:val="16"/>
              </w:rPr>
            </w:pPr>
            <w:r w:rsidRPr="00EB42D3">
              <w:rPr>
                <w:color w:val="000000"/>
                <w:sz w:val="16"/>
                <w:szCs w:val="16"/>
              </w:rPr>
              <w:t>–550</w:t>
            </w:r>
          </w:p>
        </w:tc>
      </w:tr>
      <w:tr w:rsidR="00000000" w:rsidRPr="00EB42D3">
        <w:tc>
          <w:tcPr>
            <w:tcW w:w="436" w:type="dxa"/>
          </w:tcPr>
          <w:p w:rsidR="00342F73" w:rsidRPr="00EB42D3" w:rsidRDefault="00342F73">
            <w:pPr>
              <w:shd w:val="clear" w:color="000000" w:fill="auto"/>
              <w:spacing w:before="60" w:line="200" w:lineRule="exact"/>
              <w:rPr>
                <w:color w:val="000000"/>
                <w:sz w:val="16"/>
                <w:szCs w:val="16"/>
              </w:rPr>
            </w:pPr>
            <w:r w:rsidRPr="00EB42D3">
              <w:rPr>
                <w:color w:val="000000"/>
                <w:sz w:val="16"/>
                <w:szCs w:val="16"/>
              </w:rPr>
              <w:t>1:4</w:t>
            </w:r>
          </w:p>
        </w:tc>
        <w:tc>
          <w:tcPr>
            <w:tcW w:w="3554" w:type="dxa"/>
          </w:tcPr>
          <w:p w:rsidR="00342F73" w:rsidRPr="00EB42D3" w:rsidRDefault="00342F73">
            <w:pPr>
              <w:shd w:val="clear" w:color="000000" w:fill="auto"/>
              <w:spacing w:before="60" w:line="200" w:lineRule="exact"/>
              <w:rPr>
                <w:spacing w:val="-2"/>
                <w:sz w:val="16"/>
                <w:szCs w:val="16"/>
              </w:rPr>
            </w:pPr>
            <w:r w:rsidRPr="00EB42D3">
              <w:rPr>
                <w:spacing w:val="-2"/>
                <w:sz w:val="16"/>
                <w:szCs w:val="16"/>
              </w:rPr>
              <w:t>Vidmakthållande, avveckling m.m. av materiel och anläggningar</w:t>
            </w:r>
          </w:p>
        </w:tc>
        <w:tc>
          <w:tcPr>
            <w:tcW w:w="630" w:type="dxa"/>
            <w:vAlign w:val="bottom"/>
          </w:tcPr>
          <w:p w:rsidR="00342F73" w:rsidRPr="00EB42D3" w:rsidRDefault="00342F73">
            <w:pPr>
              <w:shd w:val="clear" w:color="000000" w:fill="auto"/>
              <w:spacing w:before="60" w:line="200" w:lineRule="exact"/>
              <w:jc w:val="right"/>
              <w:rPr>
                <w:color w:val="000000"/>
                <w:sz w:val="16"/>
                <w:szCs w:val="16"/>
              </w:rPr>
            </w:pPr>
            <w:r w:rsidRPr="00EB42D3">
              <w:rPr>
                <w:color w:val="000000"/>
                <w:sz w:val="16"/>
                <w:szCs w:val="16"/>
              </w:rPr>
              <w:t>–500</w:t>
            </w:r>
          </w:p>
        </w:tc>
        <w:tc>
          <w:tcPr>
            <w:tcW w:w="780" w:type="dxa"/>
            <w:vAlign w:val="bottom"/>
          </w:tcPr>
          <w:p w:rsidR="00342F73" w:rsidRPr="00EB42D3" w:rsidRDefault="00342F73">
            <w:pPr>
              <w:shd w:val="clear" w:color="000000" w:fill="auto"/>
              <w:spacing w:before="60" w:line="200" w:lineRule="exact"/>
              <w:jc w:val="right"/>
              <w:rPr>
                <w:color w:val="000000"/>
                <w:sz w:val="16"/>
                <w:szCs w:val="16"/>
              </w:rPr>
            </w:pPr>
            <w:r w:rsidRPr="00EB42D3">
              <w:rPr>
                <w:color w:val="000000"/>
                <w:sz w:val="16"/>
                <w:szCs w:val="16"/>
              </w:rPr>
              <w:t>–500</w:t>
            </w:r>
          </w:p>
        </w:tc>
        <w:tc>
          <w:tcPr>
            <w:tcW w:w="780" w:type="dxa"/>
            <w:vAlign w:val="bottom"/>
          </w:tcPr>
          <w:p w:rsidR="00342F73" w:rsidRPr="00EB42D3" w:rsidRDefault="00342F73">
            <w:pPr>
              <w:shd w:val="clear" w:color="000000" w:fill="auto"/>
              <w:spacing w:before="60" w:line="200" w:lineRule="exact"/>
              <w:jc w:val="right"/>
              <w:rPr>
                <w:color w:val="000000"/>
                <w:sz w:val="16"/>
                <w:szCs w:val="16"/>
              </w:rPr>
            </w:pPr>
            <w:r w:rsidRPr="00EB42D3">
              <w:rPr>
                <w:color w:val="000000"/>
                <w:sz w:val="16"/>
                <w:szCs w:val="16"/>
              </w:rPr>
              <w:t>–450</w:t>
            </w:r>
          </w:p>
        </w:tc>
      </w:tr>
      <w:tr w:rsidR="00000000" w:rsidRPr="00EB42D3">
        <w:tc>
          <w:tcPr>
            <w:tcW w:w="436" w:type="dxa"/>
          </w:tcPr>
          <w:p w:rsidR="00342F73" w:rsidRPr="00EB42D3" w:rsidRDefault="00342F73">
            <w:pPr>
              <w:shd w:val="clear" w:color="000000" w:fill="auto"/>
              <w:spacing w:before="60" w:line="200" w:lineRule="exact"/>
              <w:rPr>
                <w:color w:val="000000"/>
                <w:sz w:val="16"/>
                <w:szCs w:val="16"/>
              </w:rPr>
            </w:pPr>
            <w:r w:rsidRPr="00EB42D3">
              <w:rPr>
                <w:color w:val="000000"/>
                <w:sz w:val="16"/>
                <w:szCs w:val="16"/>
              </w:rPr>
              <w:t>1:5</w:t>
            </w:r>
          </w:p>
        </w:tc>
        <w:tc>
          <w:tcPr>
            <w:tcW w:w="3554" w:type="dxa"/>
          </w:tcPr>
          <w:p w:rsidR="00342F73" w:rsidRPr="00EB42D3" w:rsidRDefault="00342F73">
            <w:pPr>
              <w:shd w:val="clear" w:color="000000" w:fill="auto"/>
              <w:spacing w:before="60" w:line="200" w:lineRule="exact"/>
              <w:rPr>
                <w:sz w:val="16"/>
                <w:szCs w:val="16"/>
              </w:rPr>
            </w:pPr>
            <w:r w:rsidRPr="00EB42D3">
              <w:rPr>
                <w:sz w:val="16"/>
                <w:szCs w:val="16"/>
              </w:rPr>
              <w:t>Forskning och teknikutveckling</w:t>
            </w:r>
          </w:p>
        </w:tc>
        <w:tc>
          <w:tcPr>
            <w:tcW w:w="630" w:type="dxa"/>
          </w:tcPr>
          <w:p w:rsidR="00342F73" w:rsidRPr="00EB42D3" w:rsidRDefault="00342F73">
            <w:pPr>
              <w:shd w:val="clear" w:color="000000" w:fill="auto"/>
              <w:spacing w:before="60" w:line="200" w:lineRule="exact"/>
              <w:jc w:val="right"/>
              <w:rPr>
                <w:color w:val="000000"/>
                <w:sz w:val="16"/>
                <w:szCs w:val="16"/>
              </w:rPr>
            </w:pPr>
            <w:r w:rsidRPr="00EB42D3">
              <w:rPr>
                <w:color w:val="000000"/>
                <w:sz w:val="16"/>
                <w:szCs w:val="16"/>
              </w:rPr>
              <w:t>–55</w:t>
            </w:r>
          </w:p>
        </w:tc>
        <w:tc>
          <w:tcPr>
            <w:tcW w:w="780" w:type="dxa"/>
          </w:tcPr>
          <w:p w:rsidR="00342F73" w:rsidRPr="00EB42D3" w:rsidRDefault="00342F73">
            <w:pPr>
              <w:shd w:val="clear" w:color="000000" w:fill="auto"/>
              <w:spacing w:before="60" w:line="200" w:lineRule="exact"/>
              <w:jc w:val="right"/>
              <w:rPr>
                <w:color w:val="000000"/>
                <w:sz w:val="16"/>
                <w:szCs w:val="16"/>
              </w:rPr>
            </w:pPr>
            <w:r w:rsidRPr="00EB42D3">
              <w:rPr>
                <w:color w:val="000000"/>
                <w:sz w:val="16"/>
                <w:szCs w:val="16"/>
              </w:rPr>
              <w:t>–30</w:t>
            </w:r>
          </w:p>
        </w:tc>
        <w:tc>
          <w:tcPr>
            <w:tcW w:w="780" w:type="dxa"/>
          </w:tcPr>
          <w:p w:rsidR="00342F73" w:rsidRPr="00EB42D3" w:rsidRDefault="00342F73">
            <w:pPr>
              <w:shd w:val="clear" w:color="000000" w:fill="auto"/>
              <w:spacing w:before="60" w:line="200" w:lineRule="exact"/>
              <w:jc w:val="right"/>
              <w:rPr>
                <w:color w:val="000000"/>
                <w:sz w:val="16"/>
                <w:szCs w:val="16"/>
              </w:rPr>
            </w:pPr>
            <w:r w:rsidRPr="00EB42D3">
              <w:rPr>
                <w:color w:val="000000"/>
                <w:sz w:val="16"/>
                <w:szCs w:val="16"/>
              </w:rPr>
              <w:t>–15</w:t>
            </w:r>
          </w:p>
        </w:tc>
      </w:tr>
      <w:tr w:rsidR="00000000" w:rsidRPr="00EB42D3">
        <w:tc>
          <w:tcPr>
            <w:tcW w:w="436" w:type="dxa"/>
          </w:tcPr>
          <w:p w:rsidR="00342F73" w:rsidRPr="00EB42D3" w:rsidRDefault="00342F73">
            <w:pPr>
              <w:shd w:val="clear" w:color="000000" w:fill="auto"/>
              <w:spacing w:before="60" w:line="200" w:lineRule="exact"/>
              <w:rPr>
                <w:color w:val="000000"/>
                <w:sz w:val="16"/>
                <w:szCs w:val="16"/>
              </w:rPr>
            </w:pPr>
            <w:r w:rsidRPr="00EB42D3">
              <w:rPr>
                <w:color w:val="000000"/>
                <w:sz w:val="16"/>
                <w:szCs w:val="16"/>
              </w:rPr>
              <w:t>1:8</w:t>
            </w:r>
          </w:p>
        </w:tc>
        <w:tc>
          <w:tcPr>
            <w:tcW w:w="3554" w:type="dxa"/>
          </w:tcPr>
          <w:p w:rsidR="00342F73" w:rsidRPr="00EB42D3" w:rsidRDefault="00342F73">
            <w:pPr>
              <w:shd w:val="clear" w:color="000000" w:fill="auto"/>
              <w:spacing w:before="60" w:line="200" w:lineRule="exact"/>
              <w:rPr>
                <w:sz w:val="16"/>
                <w:szCs w:val="16"/>
              </w:rPr>
            </w:pPr>
            <w:r w:rsidRPr="00EB42D3">
              <w:rPr>
                <w:sz w:val="16"/>
                <w:szCs w:val="16"/>
              </w:rPr>
              <w:t>Försvarets radioanstalt</w:t>
            </w:r>
          </w:p>
        </w:tc>
        <w:tc>
          <w:tcPr>
            <w:tcW w:w="630" w:type="dxa"/>
          </w:tcPr>
          <w:p w:rsidR="00342F73" w:rsidRPr="00EB42D3" w:rsidRDefault="00342F73">
            <w:pPr>
              <w:shd w:val="clear" w:color="000000" w:fill="auto"/>
              <w:spacing w:before="60" w:line="200" w:lineRule="exact"/>
              <w:jc w:val="right"/>
              <w:rPr>
                <w:color w:val="000000"/>
                <w:sz w:val="16"/>
                <w:szCs w:val="16"/>
              </w:rPr>
            </w:pPr>
            <w:r w:rsidRPr="00EB42D3">
              <w:rPr>
                <w:color w:val="000000"/>
                <w:sz w:val="16"/>
                <w:szCs w:val="16"/>
              </w:rPr>
              <w:t>–7</w:t>
            </w:r>
          </w:p>
        </w:tc>
        <w:tc>
          <w:tcPr>
            <w:tcW w:w="780" w:type="dxa"/>
          </w:tcPr>
          <w:p w:rsidR="00342F73" w:rsidRPr="00EB42D3" w:rsidRDefault="00342F73">
            <w:pPr>
              <w:shd w:val="clear" w:color="000000" w:fill="auto"/>
              <w:spacing w:before="60" w:line="200" w:lineRule="exact"/>
              <w:jc w:val="right"/>
              <w:rPr>
                <w:color w:val="000000"/>
                <w:sz w:val="16"/>
                <w:szCs w:val="16"/>
              </w:rPr>
            </w:pPr>
            <w:r w:rsidRPr="00EB42D3">
              <w:rPr>
                <w:color w:val="000000"/>
                <w:sz w:val="16"/>
                <w:szCs w:val="16"/>
              </w:rPr>
              <w:t>–66</w:t>
            </w:r>
          </w:p>
        </w:tc>
        <w:tc>
          <w:tcPr>
            <w:tcW w:w="780" w:type="dxa"/>
          </w:tcPr>
          <w:p w:rsidR="00342F73" w:rsidRPr="00EB42D3" w:rsidRDefault="00342F73">
            <w:pPr>
              <w:shd w:val="clear" w:color="000000" w:fill="auto"/>
              <w:spacing w:before="60" w:line="200" w:lineRule="exact"/>
              <w:jc w:val="right"/>
              <w:rPr>
                <w:color w:val="000000"/>
                <w:sz w:val="16"/>
                <w:szCs w:val="16"/>
              </w:rPr>
            </w:pPr>
            <w:r w:rsidRPr="00EB42D3">
              <w:rPr>
                <w:color w:val="000000"/>
                <w:sz w:val="16"/>
                <w:szCs w:val="16"/>
              </w:rPr>
              <w:t>–91</w:t>
            </w:r>
          </w:p>
        </w:tc>
      </w:tr>
      <w:tr w:rsidR="00000000" w:rsidRPr="00EB42D3">
        <w:tc>
          <w:tcPr>
            <w:tcW w:w="436" w:type="dxa"/>
          </w:tcPr>
          <w:p w:rsidR="00342F73" w:rsidRPr="00EB42D3" w:rsidRDefault="00342F73">
            <w:pPr>
              <w:shd w:val="clear" w:color="000000" w:fill="auto"/>
              <w:spacing w:before="60" w:line="200" w:lineRule="exact"/>
              <w:rPr>
                <w:color w:val="000000"/>
                <w:sz w:val="16"/>
                <w:szCs w:val="16"/>
              </w:rPr>
            </w:pPr>
            <w:r w:rsidRPr="00EB42D3">
              <w:rPr>
                <w:color w:val="000000"/>
                <w:sz w:val="16"/>
                <w:szCs w:val="16"/>
              </w:rPr>
              <w:t>1:11</w:t>
            </w:r>
          </w:p>
        </w:tc>
        <w:tc>
          <w:tcPr>
            <w:tcW w:w="3554" w:type="dxa"/>
          </w:tcPr>
          <w:p w:rsidR="00342F73" w:rsidRPr="00EB42D3" w:rsidRDefault="00342F73">
            <w:pPr>
              <w:shd w:val="clear" w:color="000000" w:fill="auto"/>
              <w:spacing w:before="60" w:line="200" w:lineRule="exact"/>
              <w:rPr>
                <w:spacing w:val="-4"/>
                <w:sz w:val="16"/>
                <w:szCs w:val="16"/>
              </w:rPr>
            </w:pPr>
            <w:r w:rsidRPr="00EB42D3">
              <w:rPr>
                <w:spacing w:val="-4"/>
                <w:sz w:val="16"/>
                <w:szCs w:val="16"/>
              </w:rPr>
              <w:t>Internationella materielsamarbeten, industrifrågor m.m.</w:t>
            </w:r>
          </w:p>
        </w:tc>
        <w:tc>
          <w:tcPr>
            <w:tcW w:w="630" w:type="dxa"/>
            <w:vAlign w:val="bottom"/>
          </w:tcPr>
          <w:p w:rsidR="00342F73" w:rsidRPr="00EB42D3" w:rsidRDefault="00342F73">
            <w:pPr>
              <w:shd w:val="clear" w:color="000000" w:fill="auto"/>
              <w:spacing w:before="60" w:line="200" w:lineRule="exact"/>
              <w:jc w:val="right"/>
              <w:rPr>
                <w:color w:val="000000"/>
                <w:sz w:val="16"/>
                <w:szCs w:val="16"/>
              </w:rPr>
            </w:pPr>
            <w:r w:rsidRPr="00EB42D3">
              <w:rPr>
                <w:color w:val="000000"/>
                <w:sz w:val="16"/>
                <w:szCs w:val="16"/>
              </w:rPr>
              <w:t>–10</w:t>
            </w:r>
          </w:p>
        </w:tc>
        <w:tc>
          <w:tcPr>
            <w:tcW w:w="780" w:type="dxa"/>
            <w:vAlign w:val="bottom"/>
          </w:tcPr>
          <w:p w:rsidR="00342F73" w:rsidRPr="00EB42D3" w:rsidRDefault="00342F73">
            <w:pPr>
              <w:shd w:val="clear" w:color="000000" w:fill="auto"/>
              <w:spacing w:before="60" w:line="200" w:lineRule="exact"/>
              <w:jc w:val="right"/>
              <w:rPr>
                <w:color w:val="000000"/>
                <w:sz w:val="16"/>
                <w:szCs w:val="16"/>
              </w:rPr>
            </w:pPr>
            <w:r w:rsidRPr="00EB42D3">
              <w:rPr>
                <w:color w:val="000000"/>
                <w:sz w:val="16"/>
                <w:szCs w:val="16"/>
              </w:rPr>
              <w:t>–10</w:t>
            </w:r>
          </w:p>
        </w:tc>
        <w:tc>
          <w:tcPr>
            <w:tcW w:w="780" w:type="dxa"/>
            <w:vAlign w:val="bottom"/>
          </w:tcPr>
          <w:p w:rsidR="00342F73" w:rsidRPr="00EB42D3" w:rsidRDefault="00342F73">
            <w:pPr>
              <w:shd w:val="clear" w:color="000000" w:fill="auto"/>
              <w:spacing w:before="60" w:line="200" w:lineRule="exact"/>
              <w:jc w:val="right"/>
              <w:rPr>
                <w:color w:val="000000"/>
                <w:sz w:val="16"/>
                <w:szCs w:val="16"/>
              </w:rPr>
            </w:pPr>
            <w:r w:rsidRPr="00EB42D3">
              <w:rPr>
                <w:color w:val="000000"/>
                <w:sz w:val="16"/>
                <w:szCs w:val="16"/>
              </w:rPr>
              <w:t>–10</w:t>
            </w:r>
          </w:p>
        </w:tc>
      </w:tr>
      <w:tr w:rsidR="00000000" w:rsidRPr="00EB42D3">
        <w:tc>
          <w:tcPr>
            <w:tcW w:w="436" w:type="dxa"/>
          </w:tcPr>
          <w:p w:rsidR="00342F73" w:rsidRPr="00EB42D3" w:rsidRDefault="00342F73">
            <w:pPr>
              <w:shd w:val="clear" w:color="000000" w:fill="auto"/>
              <w:spacing w:before="60" w:line="200" w:lineRule="exact"/>
              <w:rPr>
                <w:color w:val="000000"/>
                <w:sz w:val="16"/>
                <w:szCs w:val="16"/>
              </w:rPr>
            </w:pPr>
            <w:r w:rsidRPr="00EB42D3">
              <w:rPr>
                <w:color w:val="000000"/>
                <w:sz w:val="16"/>
                <w:szCs w:val="16"/>
              </w:rPr>
              <w:t>1:12</w:t>
            </w:r>
          </w:p>
        </w:tc>
        <w:tc>
          <w:tcPr>
            <w:tcW w:w="3554" w:type="dxa"/>
          </w:tcPr>
          <w:p w:rsidR="00342F73" w:rsidRPr="00EB42D3" w:rsidRDefault="00342F73">
            <w:pPr>
              <w:shd w:val="clear" w:color="000000" w:fill="auto"/>
              <w:spacing w:before="60" w:line="200" w:lineRule="exact"/>
              <w:rPr>
                <w:sz w:val="16"/>
                <w:szCs w:val="16"/>
              </w:rPr>
            </w:pPr>
            <w:r w:rsidRPr="00EB42D3">
              <w:rPr>
                <w:sz w:val="16"/>
                <w:szCs w:val="16"/>
              </w:rPr>
              <w:t>Försvarsexportmyndigheten</w:t>
            </w:r>
          </w:p>
        </w:tc>
        <w:tc>
          <w:tcPr>
            <w:tcW w:w="630" w:type="dxa"/>
          </w:tcPr>
          <w:p w:rsidR="00342F73" w:rsidRPr="00EB42D3" w:rsidRDefault="00342F73">
            <w:pPr>
              <w:shd w:val="clear" w:color="000000" w:fill="auto"/>
              <w:spacing w:before="60" w:line="200" w:lineRule="exact"/>
              <w:jc w:val="right"/>
              <w:rPr>
                <w:color w:val="000000"/>
                <w:sz w:val="16"/>
                <w:szCs w:val="16"/>
              </w:rPr>
            </w:pPr>
            <w:r w:rsidRPr="00EB42D3">
              <w:rPr>
                <w:color w:val="000000"/>
                <w:sz w:val="16"/>
                <w:szCs w:val="16"/>
              </w:rPr>
              <w:t>–38</w:t>
            </w:r>
          </w:p>
        </w:tc>
        <w:tc>
          <w:tcPr>
            <w:tcW w:w="780" w:type="dxa"/>
          </w:tcPr>
          <w:p w:rsidR="00342F73" w:rsidRPr="00EB42D3" w:rsidRDefault="00342F73">
            <w:pPr>
              <w:shd w:val="clear" w:color="000000" w:fill="auto"/>
              <w:spacing w:before="60" w:line="200" w:lineRule="exact"/>
              <w:jc w:val="right"/>
              <w:rPr>
                <w:color w:val="000000"/>
                <w:sz w:val="16"/>
                <w:szCs w:val="16"/>
              </w:rPr>
            </w:pPr>
            <w:r w:rsidRPr="00EB42D3">
              <w:rPr>
                <w:color w:val="000000"/>
                <w:sz w:val="16"/>
                <w:szCs w:val="16"/>
              </w:rPr>
              <w:t>–39</w:t>
            </w:r>
          </w:p>
        </w:tc>
        <w:tc>
          <w:tcPr>
            <w:tcW w:w="780" w:type="dxa"/>
          </w:tcPr>
          <w:p w:rsidR="00342F73" w:rsidRPr="00EB42D3" w:rsidRDefault="00342F73">
            <w:pPr>
              <w:shd w:val="clear" w:color="000000" w:fill="auto"/>
              <w:spacing w:before="60" w:line="200" w:lineRule="exact"/>
              <w:jc w:val="right"/>
              <w:rPr>
                <w:color w:val="000000"/>
                <w:sz w:val="16"/>
                <w:szCs w:val="16"/>
              </w:rPr>
            </w:pPr>
            <w:r w:rsidRPr="00EB42D3">
              <w:rPr>
                <w:color w:val="000000"/>
                <w:sz w:val="16"/>
                <w:szCs w:val="16"/>
              </w:rPr>
              <w:t>–79</w:t>
            </w:r>
          </w:p>
        </w:tc>
      </w:tr>
      <w:tr w:rsidR="00000000" w:rsidRPr="00EB42D3">
        <w:tc>
          <w:tcPr>
            <w:tcW w:w="436" w:type="dxa"/>
          </w:tcPr>
          <w:p w:rsidR="00342F73" w:rsidRPr="00EB42D3" w:rsidRDefault="00342F73">
            <w:pPr>
              <w:shd w:val="clear" w:color="000000" w:fill="auto"/>
              <w:spacing w:before="60" w:line="200" w:lineRule="exact"/>
              <w:rPr>
                <w:color w:val="000000"/>
                <w:sz w:val="16"/>
                <w:szCs w:val="16"/>
              </w:rPr>
            </w:pPr>
            <w:r w:rsidRPr="00EB42D3">
              <w:rPr>
                <w:color w:val="000000"/>
                <w:sz w:val="16"/>
                <w:szCs w:val="16"/>
              </w:rPr>
              <w:t>2:1</w:t>
            </w:r>
          </w:p>
        </w:tc>
        <w:tc>
          <w:tcPr>
            <w:tcW w:w="3554" w:type="dxa"/>
          </w:tcPr>
          <w:p w:rsidR="00342F73" w:rsidRPr="00EB42D3" w:rsidRDefault="00342F73">
            <w:pPr>
              <w:shd w:val="clear" w:color="000000" w:fill="auto"/>
              <w:spacing w:before="60" w:line="200" w:lineRule="exact"/>
              <w:rPr>
                <w:sz w:val="16"/>
                <w:szCs w:val="16"/>
              </w:rPr>
            </w:pPr>
            <w:r w:rsidRPr="00EB42D3">
              <w:rPr>
                <w:sz w:val="16"/>
                <w:szCs w:val="16"/>
              </w:rPr>
              <w:t>Kustbevakningen</w:t>
            </w:r>
          </w:p>
        </w:tc>
        <w:tc>
          <w:tcPr>
            <w:tcW w:w="630" w:type="dxa"/>
          </w:tcPr>
          <w:p w:rsidR="00342F73" w:rsidRPr="00EB42D3" w:rsidRDefault="00342F73">
            <w:pPr>
              <w:shd w:val="clear" w:color="000000" w:fill="auto"/>
              <w:spacing w:before="60" w:line="200" w:lineRule="exact"/>
              <w:jc w:val="right"/>
              <w:rPr>
                <w:color w:val="000000"/>
                <w:sz w:val="16"/>
                <w:szCs w:val="16"/>
              </w:rPr>
            </w:pPr>
            <w:r w:rsidRPr="00EB42D3">
              <w:rPr>
                <w:color w:val="000000"/>
                <w:sz w:val="16"/>
                <w:szCs w:val="16"/>
              </w:rPr>
              <w:t>+40</w:t>
            </w:r>
          </w:p>
        </w:tc>
        <w:tc>
          <w:tcPr>
            <w:tcW w:w="780" w:type="dxa"/>
          </w:tcPr>
          <w:p w:rsidR="00342F73" w:rsidRPr="00EB42D3" w:rsidRDefault="00342F73">
            <w:pPr>
              <w:shd w:val="clear" w:color="000000" w:fill="auto"/>
              <w:spacing w:before="60" w:line="200" w:lineRule="exact"/>
              <w:jc w:val="right"/>
              <w:rPr>
                <w:color w:val="000000"/>
                <w:sz w:val="16"/>
                <w:szCs w:val="16"/>
              </w:rPr>
            </w:pPr>
            <w:r w:rsidRPr="00EB42D3">
              <w:rPr>
                <w:color w:val="000000"/>
                <w:sz w:val="16"/>
                <w:szCs w:val="16"/>
              </w:rPr>
              <w:t>+40</w:t>
            </w:r>
          </w:p>
        </w:tc>
        <w:tc>
          <w:tcPr>
            <w:tcW w:w="780" w:type="dxa"/>
          </w:tcPr>
          <w:p w:rsidR="00342F73" w:rsidRPr="00EB42D3" w:rsidRDefault="00342F73">
            <w:pPr>
              <w:shd w:val="clear" w:color="000000" w:fill="auto"/>
              <w:spacing w:before="60" w:line="200" w:lineRule="exact"/>
              <w:jc w:val="right"/>
              <w:rPr>
                <w:color w:val="000000"/>
                <w:sz w:val="16"/>
                <w:szCs w:val="16"/>
              </w:rPr>
            </w:pPr>
            <w:r w:rsidRPr="00EB42D3">
              <w:rPr>
                <w:color w:val="000000"/>
                <w:sz w:val="16"/>
                <w:szCs w:val="16"/>
              </w:rPr>
              <w:t>+40</w:t>
            </w:r>
          </w:p>
        </w:tc>
      </w:tr>
      <w:tr w:rsidR="00000000" w:rsidRPr="00EB42D3">
        <w:tc>
          <w:tcPr>
            <w:tcW w:w="436" w:type="dxa"/>
          </w:tcPr>
          <w:p w:rsidR="00342F73" w:rsidRPr="00EB42D3" w:rsidRDefault="00342F73">
            <w:pPr>
              <w:shd w:val="clear" w:color="000000" w:fill="auto"/>
              <w:spacing w:before="60" w:line="200" w:lineRule="exact"/>
              <w:rPr>
                <w:color w:val="000000"/>
                <w:sz w:val="16"/>
                <w:szCs w:val="16"/>
              </w:rPr>
            </w:pPr>
            <w:r w:rsidRPr="00EB42D3">
              <w:rPr>
                <w:color w:val="000000"/>
                <w:sz w:val="16"/>
                <w:szCs w:val="16"/>
              </w:rPr>
              <w:t>2:7</w:t>
            </w:r>
          </w:p>
        </w:tc>
        <w:tc>
          <w:tcPr>
            <w:tcW w:w="3554" w:type="dxa"/>
          </w:tcPr>
          <w:p w:rsidR="00342F73" w:rsidRPr="00EB42D3" w:rsidRDefault="00342F73">
            <w:pPr>
              <w:shd w:val="clear" w:color="000000" w:fill="auto"/>
              <w:spacing w:before="60" w:line="200" w:lineRule="exact"/>
              <w:rPr>
                <w:sz w:val="16"/>
                <w:szCs w:val="16"/>
              </w:rPr>
            </w:pPr>
            <w:r w:rsidRPr="00EB42D3">
              <w:rPr>
                <w:sz w:val="16"/>
                <w:szCs w:val="16"/>
              </w:rPr>
              <w:t>Myndigheten för samhällsskydd och beredskap</w:t>
            </w:r>
          </w:p>
        </w:tc>
        <w:tc>
          <w:tcPr>
            <w:tcW w:w="630" w:type="dxa"/>
          </w:tcPr>
          <w:p w:rsidR="00342F73" w:rsidRPr="00EB42D3" w:rsidRDefault="00342F73">
            <w:pPr>
              <w:shd w:val="clear" w:color="000000" w:fill="auto"/>
              <w:spacing w:before="60" w:line="200" w:lineRule="exact"/>
              <w:jc w:val="right"/>
              <w:rPr>
                <w:color w:val="000000"/>
                <w:sz w:val="16"/>
                <w:szCs w:val="16"/>
              </w:rPr>
            </w:pPr>
            <w:r w:rsidRPr="00EB42D3">
              <w:rPr>
                <w:color w:val="000000"/>
                <w:sz w:val="16"/>
                <w:szCs w:val="16"/>
              </w:rPr>
              <w:t>+40</w:t>
            </w:r>
          </w:p>
        </w:tc>
        <w:tc>
          <w:tcPr>
            <w:tcW w:w="780" w:type="dxa"/>
          </w:tcPr>
          <w:p w:rsidR="00342F73" w:rsidRPr="00EB42D3" w:rsidRDefault="00342F73">
            <w:pPr>
              <w:shd w:val="clear" w:color="000000" w:fill="auto"/>
              <w:spacing w:before="60" w:line="200" w:lineRule="exact"/>
              <w:jc w:val="right"/>
              <w:rPr>
                <w:color w:val="000000"/>
                <w:sz w:val="16"/>
                <w:szCs w:val="16"/>
              </w:rPr>
            </w:pPr>
            <w:r w:rsidRPr="00EB42D3">
              <w:rPr>
                <w:color w:val="000000"/>
                <w:sz w:val="16"/>
                <w:szCs w:val="16"/>
              </w:rPr>
              <w:t>+50</w:t>
            </w:r>
          </w:p>
        </w:tc>
        <w:tc>
          <w:tcPr>
            <w:tcW w:w="780" w:type="dxa"/>
          </w:tcPr>
          <w:p w:rsidR="00342F73" w:rsidRPr="00EB42D3" w:rsidRDefault="00342F73">
            <w:pPr>
              <w:shd w:val="clear" w:color="000000" w:fill="auto"/>
              <w:spacing w:before="60" w:line="200" w:lineRule="exact"/>
              <w:jc w:val="right"/>
              <w:rPr>
                <w:color w:val="000000"/>
                <w:sz w:val="16"/>
                <w:szCs w:val="16"/>
              </w:rPr>
            </w:pPr>
            <w:r w:rsidRPr="00EB42D3">
              <w:rPr>
                <w:color w:val="000000"/>
                <w:sz w:val="16"/>
                <w:szCs w:val="16"/>
              </w:rPr>
              <w:t>+60</w:t>
            </w:r>
          </w:p>
        </w:tc>
      </w:tr>
      <w:tr w:rsidR="00000000" w:rsidRPr="00EB42D3">
        <w:tc>
          <w:tcPr>
            <w:tcW w:w="436" w:type="dxa"/>
          </w:tcPr>
          <w:p w:rsidR="00342F73" w:rsidRPr="00EB42D3" w:rsidRDefault="00342F73">
            <w:pPr>
              <w:shd w:val="clear" w:color="000000" w:fill="auto"/>
              <w:spacing w:before="60" w:line="200" w:lineRule="exact"/>
              <w:rPr>
                <w:b/>
                <w:color w:val="000000"/>
                <w:sz w:val="16"/>
                <w:szCs w:val="16"/>
              </w:rPr>
            </w:pPr>
          </w:p>
        </w:tc>
        <w:tc>
          <w:tcPr>
            <w:tcW w:w="3554" w:type="dxa"/>
          </w:tcPr>
          <w:p w:rsidR="00342F73" w:rsidRPr="00EB42D3" w:rsidRDefault="00342F73">
            <w:pPr>
              <w:shd w:val="clear" w:color="000000" w:fill="auto"/>
              <w:spacing w:before="60" w:line="200" w:lineRule="exact"/>
              <w:rPr>
                <w:b/>
                <w:bCs/>
                <w:i/>
                <w:iCs/>
                <w:sz w:val="16"/>
                <w:szCs w:val="16"/>
              </w:rPr>
            </w:pPr>
            <w:r w:rsidRPr="00EB42D3">
              <w:rPr>
                <w:b/>
                <w:bCs/>
                <w:i/>
                <w:iCs/>
                <w:sz w:val="16"/>
                <w:szCs w:val="16"/>
              </w:rPr>
              <w:t>Summa</w:t>
            </w:r>
          </w:p>
        </w:tc>
        <w:tc>
          <w:tcPr>
            <w:tcW w:w="630" w:type="dxa"/>
          </w:tcPr>
          <w:p w:rsidR="00342F73" w:rsidRPr="00EB42D3" w:rsidRDefault="00342F73">
            <w:pPr>
              <w:shd w:val="clear" w:color="000000" w:fill="auto"/>
              <w:spacing w:before="60" w:line="200" w:lineRule="exact"/>
              <w:jc w:val="right"/>
              <w:rPr>
                <w:b/>
                <w:bCs/>
                <w:i/>
                <w:iCs/>
                <w:color w:val="000000"/>
                <w:sz w:val="16"/>
                <w:szCs w:val="16"/>
              </w:rPr>
            </w:pPr>
            <w:r w:rsidRPr="00EB42D3">
              <w:rPr>
                <w:b/>
                <w:bCs/>
                <w:i/>
                <w:iCs/>
                <w:color w:val="000000"/>
                <w:sz w:val="16"/>
                <w:szCs w:val="16"/>
              </w:rPr>
              <w:t>–1 865</w:t>
            </w:r>
          </w:p>
        </w:tc>
        <w:tc>
          <w:tcPr>
            <w:tcW w:w="780" w:type="dxa"/>
          </w:tcPr>
          <w:p w:rsidR="00342F73" w:rsidRPr="00EB42D3" w:rsidRDefault="00342F73">
            <w:pPr>
              <w:shd w:val="clear" w:color="000000" w:fill="auto"/>
              <w:spacing w:before="60" w:line="200" w:lineRule="exact"/>
              <w:jc w:val="right"/>
              <w:rPr>
                <w:b/>
                <w:bCs/>
                <w:i/>
                <w:iCs/>
                <w:color w:val="000000"/>
                <w:sz w:val="16"/>
                <w:szCs w:val="16"/>
              </w:rPr>
            </w:pPr>
            <w:r w:rsidRPr="00EB42D3">
              <w:rPr>
                <w:b/>
                <w:bCs/>
                <w:i/>
                <w:iCs/>
                <w:color w:val="000000"/>
                <w:sz w:val="16"/>
                <w:szCs w:val="16"/>
              </w:rPr>
              <w:t>–1 955</w:t>
            </w:r>
          </w:p>
        </w:tc>
        <w:tc>
          <w:tcPr>
            <w:tcW w:w="780" w:type="dxa"/>
          </w:tcPr>
          <w:p w:rsidR="00342F73" w:rsidRPr="00EB42D3" w:rsidRDefault="00342F73">
            <w:pPr>
              <w:shd w:val="clear" w:color="000000" w:fill="auto"/>
              <w:spacing w:before="60" w:line="200" w:lineRule="exact"/>
              <w:jc w:val="right"/>
              <w:rPr>
                <w:b/>
                <w:bCs/>
                <w:i/>
                <w:iCs/>
                <w:color w:val="000000"/>
                <w:sz w:val="16"/>
                <w:szCs w:val="16"/>
              </w:rPr>
            </w:pPr>
            <w:r w:rsidRPr="00EB42D3">
              <w:rPr>
                <w:b/>
                <w:bCs/>
                <w:i/>
                <w:iCs/>
                <w:color w:val="000000"/>
                <w:sz w:val="16"/>
                <w:szCs w:val="16"/>
              </w:rPr>
              <w:t>–1 935</w:t>
            </w:r>
          </w:p>
        </w:tc>
      </w:tr>
      <w:tr w:rsidR="00000000" w:rsidRPr="00EB42D3">
        <w:tc>
          <w:tcPr>
            <w:tcW w:w="436" w:type="dxa"/>
          </w:tcPr>
          <w:p w:rsidR="00342F73" w:rsidRPr="00EB42D3" w:rsidRDefault="00342F73">
            <w:pPr>
              <w:shd w:val="clear" w:color="000000" w:fill="auto"/>
              <w:spacing w:before="60" w:line="200" w:lineRule="exact"/>
              <w:rPr>
                <w:color w:val="000000"/>
                <w:sz w:val="16"/>
                <w:szCs w:val="16"/>
              </w:rPr>
            </w:pPr>
          </w:p>
        </w:tc>
        <w:tc>
          <w:tcPr>
            <w:tcW w:w="3554" w:type="dxa"/>
          </w:tcPr>
          <w:p w:rsidR="00342F73" w:rsidRPr="00EB42D3" w:rsidRDefault="00342F73">
            <w:pPr>
              <w:shd w:val="clear" w:color="000000" w:fill="auto"/>
              <w:spacing w:before="60" w:line="200" w:lineRule="exact"/>
              <w:rPr>
                <w:i/>
                <w:iCs/>
                <w:sz w:val="16"/>
                <w:szCs w:val="16"/>
              </w:rPr>
            </w:pPr>
            <w:r w:rsidRPr="00EB42D3">
              <w:rPr>
                <w:i/>
                <w:iCs/>
                <w:sz w:val="16"/>
                <w:szCs w:val="16"/>
              </w:rPr>
              <w:t>Specificering av anslagsförändringar</w:t>
            </w:r>
          </w:p>
        </w:tc>
        <w:tc>
          <w:tcPr>
            <w:tcW w:w="630" w:type="dxa"/>
          </w:tcPr>
          <w:p w:rsidR="00342F73" w:rsidRPr="00EB42D3" w:rsidRDefault="00342F73">
            <w:pPr>
              <w:shd w:val="clear" w:color="000000" w:fill="auto"/>
              <w:spacing w:before="60" w:line="200" w:lineRule="exact"/>
              <w:jc w:val="right"/>
              <w:rPr>
                <w:color w:val="000000"/>
                <w:sz w:val="16"/>
                <w:szCs w:val="16"/>
              </w:rPr>
            </w:pPr>
          </w:p>
        </w:tc>
        <w:tc>
          <w:tcPr>
            <w:tcW w:w="780" w:type="dxa"/>
          </w:tcPr>
          <w:p w:rsidR="00342F73" w:rsidRPr="00EB42D3" w:rsidRDefault="00342F73">
            <w:pPr>
              <w:shd w:val="clear" w:color="000000" w:fill="auto"/>
              <w:spacing w:before="60" w:line="200" w:lineRule="exact"/>
              <w:jc w:val="right"/>
              <w:rPr>
                <w:color w:val="000000"/>
                <w:sz w:val="16"/>
                <w:szCs w:val="16"/>
              </w:rPr>
            </w:pPr>
          </w:p>
        </w:tc>
        <w:tc>
          <w:tcPr>
            <w:tcW w:w="780" w:type="dxa"/>
          </w:tcPr>
          <w:p w:rsidR="00342F73" w:rsidRPr="00EB42D3" w:rsidRDefault="00342F73">
            <w:pPr>
              <w:shd w:val="clear" w:color="000000" w:fill="auto"/>
              <w:spacing w:before="60" w:line="200" w:lineRule="exact"/>
              <w:jc w:val="right"/>
              <w:rPr>
                <w:color w:val="000000"/>
                <w:sz w:val="16"/>
                <w:szCs w:val="16"/>
              </w:rPr>
            </w:pPr>
          </w:p>
        </w:tc>
      </w:tr>
      <w:tr w:rsidR="00000000" w:rsidRPr="00EB42D3">
        <w:tc>
          <w:tcPr>
            <w:tcW w:w="436" w:type="dxa"/>
          </w:tcPr>
          <w:p w:rsidR="00342F73" w:rsidRPr="00EB42D3" w:rsidRDefault="00342F73">
            <w:pPr>
              <w:shd w:val="clear" w:color="000000" w:fill="auto"/>
              <w:spacing w:before="60" w:line="200" w:lineRule="exact"/>
              <w:rPr>
                <w:color w:val="000000"/>
                <w:sz w:val="16"/>
                <w:szCs w:val="16"/>
              </w:rPr>
            </w:pPr>
            <w:r w:rsidRPr="00EB42D3">
              <w:rPr>
                <w:color w:val="000000"/>
                <w:sz w:val="16"/>
                <w:szCs w:val="16"/>
              </w:rPr>
              <w:t>1:1</w:t>
            </w:r>
          </w:p>
        </w:tc>
        <w:tc>
          <w:tcPr>
            <w:tcW w:w="3554" w:type="dxa"/>
          </w:tcPr>
          <w:p w:rsidR="00342F73" w:rsidRPr="00EB42D3" w:rsidRDefault="00342F73">
            <w:pPr>
              <w:shd w:val="clear" w:color="000000" w:fill="auto"/>
              <w:spacing w:before="60" w:line="200" w:lineRule="exact"/>
              <w:rPr>
                <w:sz w:val="16"/>
                <w:szCs w:val="16"/>
              </w:rPr>
            </w:pPr>
            <w:r w:rsidRPr="00EB42D3">
              <w:rPr>
                <w:sz w:val="16"/>
                <w:szCs w:val="16"/>
              </w:rPr>
              <w:t>Effektivisering av försvaret</w:t>
            </w:r>
          </w:p>
        </w:tc>
        <w:tc>
          <w:tcPr>
            <w:tcW w:w="630" w:type="dxa"/>
          </w:tcPr>
          <w:p w:rsidR="00342F73" w:rsidRPr="00EB42D3" w:rsidRDefault="00342F73">
            <w:pPr>
              <w:shd w:val="clear" w:color="000000" w:fill="auto"/>
              <w:spacing w:before="60" w:line="200" w:lineRule="exact"/>
              <w:jc w:val="right"/>
              <w:rPr>
                <w:color w:val="000000"/>
                <w:sz w:val="16"/>
                <w:szCs w:val="16"/>
              </w:rPr>
            </w:pPr>
            <w:r w:rsidRPr="00EB42D3">
              <w:rPr>
                <w:color w:val="000000"/>
                <w:sz w:val="16"/>
                <w:szCs w:val="16"/>
              </w:rPr>
              <w:t>–925</w:t>
            </w:r>
          </w:p>
        </w:tc>
        <w:tc>
          <w:tcPr>
            <w:tcW w:w="780" w:type="dxa"/>
          </w:tcPr>
          <w:p w:rsidR="00342F73" w:rsidRPr="00EB42D3" w:rsidRDefault="00342F73">
            <w:pPr>
              <w:shd w:val="clear" w:color="000000" w:fill="auto"/>
              <w:spacing w:before="60" w:line="200" w:lineRule="exact"/>
              <w:jc w:val="right"/>
              <w:rPr>
                <w:color w:val="000000"/>
                <w:sz w:val="16"/>
                <w:szCs w:val="16"/>
              </w:rPr>
            </w:pPr>
            <w:r w:rsidRPr="00EB42D3">
              <w:rPr>
                <w:color w:val="000000"/>
                <w:sz w:val="16"/>
                <w:szCs w:val="16"/>
              </w:rPr>
              <w:t>–950</w:t>
            </w:r>
          </w:p>
        </w:tc>
        <w:tc>
          <w:tcPr>
            <w:tcW w:w="780" w:type="dxa"/>
          </w:tcPr>
          <w:p w:rsidR="00342F73" w:rsidRPr="00EB42D3" w:rsidRDefault="00342F73">
            <w:pPr>
              <w:shd w:val="clear" w:color="000000" w:fill="auto"/>
              <w:spacing w:before="60" w:line="200" w:lineRule="exact"/>
              <w:jc w:val="right"/>
              <w:rPr>
                <w:color w:val="000000"/>
                <w:sz w:val="16"/>
                <w:szCs w:val="16"/>
              </w:rPr>
            </w:pPr>
            <w:r w:rsidRPr="00EB42D3">
              <w:rPr>
                <w:color w:val="000000"/>
                <w:sz w:val="16"/>
                <w:szCs w:val="16"/>
              </w:rPr>
              <w:t>–950</w:t>
            </w:r>
          </w:p>
        </w:tc>
      </w:tr>
      <w:tr w:rsidR="00000000" w:rsidRPr="00EB42D3">
        <w:tc>
          <w:tcPr>
            <w:tcW w:w="436" w:type="dxa"/>
          </w:tcPr>
          <w:p w:rsidR="00342F73" w:rsidRPr="00EB42D3" w:rsidRDefault="00342F73">
            <w:pPr>
              <w:shd w:val="clear" w:color="000000" w:fill="auto"/>
              <w:spacing w:before="60" w:line="200" w:lineRule="exact"/>
              <w:rPr>
                <w:color w:val="000000"/>
                <w:sz w:val="16"/>
                <w:szCs w:val="16"/>
              </w:rPr>
            </w:pPr>
            <w:r w:rsidRPr="00EB42D3">
              <w:rPr>
                <w:color w:val="000000"/>
                <w:sz w:val="16"/>
                <w:szCs w:val="16"/>
              </w:rPr>
              <w:t>1:1</w:t>
            </w:r>
          </w:p>
        </w:tc>
        <w:tc>
          <w:tcPr>
            <w:tcW w:w="3554" w:type="dxa"/>
          </w:tcPr>
          <w:p w:rsidR="00342F73" w:rsidRPr="00EB42D3" w:rsidRDefault="00342F73">
            <w:pPr>
              <w:shd w:val="clear" w:color="000000" w:fill="auto"/>
              <w:spacing w:before="60" w:line="200" w:lineRule="exact"/>
              <w:rPr>
                <w:sz w:val="16"/>
                <w:szCs w:val="16"/>
              </w:rPr>
            </w:pPr>
            <w:r w:rsidRPr="00EB42D3">
              <w:rPr>
                <w:sz w:val="16"/>
                <w:szCs w:val="16"/>
              </w:rPr>
              <w:t>Nationella skyddsstyrkorna</w:t>
            </w:r>
          </w:p>
        </w:tc>
        <w:tc>
          <w:tcPr>
            <w:tcW w:w="630" w:type="dxa"/>
          </w:tcPr>
          <w:p w:rsidR="00342F73" w:rsidRPr="00EB42D3" w:rsidRDefault="00342F73">
            <w:pPr>
              <w:shd w:val="clear" w:color="000000" w:fill="auto"/>
              <w:spacing w:before="60" w:line="200" w:lineRule="exact"/>
              <w:jc w:val="right"/>
              <w:rPr>
                <w:color w:val="000000"/>
                <w:sz w:val="16"/>
                <w:szCs w:val="16"/>
              </w:rPr>
            </w:pPr>
            <w:r w:rsidRPr="00EB42D3">
              <w:rPr>
                <w:color w:val="000000"/>
                <w:sz w:val="16"/>
                <w:szCs w:val="16"/>
              </w:rPr>
              <w:t>+50</w:t>
            </w:r>
          </w:p>
        </w:tc>
        <w:tc>
          <w:tcPr>
            <w:tcW w:w="780" w:type="dxa"/>
          </w:tcPr>
          <w:p w:rsidR="00342F73" w:rsidRPr="00EB42D3" w:rsidRDefault="00342F73">
            <w:pPr>
              <w:shd w:val="clear" w:color="000000" w:fill="auto"/>
              <w:spacing w:before="60" w:line="200" w:lineRule="exact"/>
              <w:jc w:val="right"/>
              <w:rPr>
                <w:color w:val="000000"/>
                <w:sz w:val="16"/>
                <w:szCs w:val="16"/>
              </w:rPr>
            </w:pPr>
            <w:r w:rsidRPr="00EB42D3">
              <w:rPr>
                <w:color w:val="000000"/>
                <w:sz w:val="16"/>
                <w:szCs w:val="16"/>
              </w:rPr>
              <w:t>+50</w:t>
            </w:r>
          </w:p>
        </w:tc>
        <w:tc>
          <w:tcPr>
            <w:tcW w:w="780" w:type="dxa"/>
          </w:tcPr>
          <w:p w:rsidR="00342F73" w:rsidRPr="00EB42D3" w:rsidRDefault="00342F73">
            <w:pPr>
              <w:shd w:val="clear" w:color="000000" w:fill="auto"/>
              <w:spacing w:before="60" w:line="200" w:lineRule="exact"/>
              <w:jc w:val="right"/>
              <w:rPr>
                <w:color w:val="000000"/>
                <w:sz w:val="16"/>
                <w:szCs w:val="16"/>
              </w:rPr>
            </w:pPr>
            <w:r w:rsidRPr="00EB42D3">
              <w:rPr>
                <w:color w:val="000000"/>
                <w:sz w:val="16"/>
                <w:szCs w:val="16"/>
              </w:rPr>
              <w:t>+50</w:t>
            </w:r>
          </w:p>
        </w:tc>
      </w:tr>
      <w:tr w:rsidR="00000000" w:rsidRPr="00EB42D3">
        <w:tc>
          <w:tcPr>
            <w:tcW w:w="436" w:type="dxa"/>
          </w:tcPr>
          <w:p w:rsidR="00342F73" w:rsidRPr="00EB42D3" w:rsidRDefault="00342F73">
            <w:pPr>
              <w:shd w:val="clear" w:color="000000" w:fill="auto"/>
              <w:spacing w:before="60" w:line="200" w:lineRule="exact"/>
              <w:rPr>
                <w:color w:val="000000"/>
                <w:sz w:val="16"/>
                <w:szCs w:val="16"/>
              </w:rPr>
            </w:pPr>
            <w:r w:rsidRPr="00EB42D3">
              <w:rPr>
                <w:color w:val="000000"/>
                <w:sz w:val="16"/>
                <w:szCs w:val="16"/>
              </w:rPr>
              <w:t>2:7</w:t>
            </w:r>
          </w:p>
        </w:tc>
        <w:tc>
          <w:tcPr>
            <w:tcW w:w="3554" w:type="dxa"/>
          </w:tcPr>
          <w:p w:rsidR="00342F73" w:rsidRPr="00EB42D3" w:rsidRDefault="00342F73">
            <w:pPr>
              <w:shd w:val="clear" w:color="000000" w:fill="auto"/>
              <w:spacing w:before="60" w:line="200" w:lineRule="exact"/>
              <w:rPr>
                <w:sz w:val="16"/>
                <w:szCs w:val="16"/>
              </w:rPr>
            </w:pPr>
            <w:r w:rsidRPr="00EB42D3">
              <w:rPr>
                <w:sz w:val="16"/>
                <w:szCs w:val="16"/>
              </w:rPr>
              <w:t>Arbete med cyberhot och IT-säkerhet</w:t>
            </w:r>
          </w:p>
        </w:tc>
        <w:tc>
          <w:tcPr>
            <w:tcW w:w="630" w:type="dxa"/>
          </w:tcPr>
          <w:p w:rsidR="00342F73" w:rsidRPr="00EB42D3" w:rsidRDefault="00342F73">
            <w:pPr>
              <w:shd w:val="clear" w:color="000000" w:fill="auto"/>
              <w:spacing w:before="60" w:line="200" w:lineRule="exact"/>
              <w:jc w:val="right"/>
              <w:rPr>
                <w:color w:val="000000"/>
                <w:sz w:val="16"/>
                <w:szCs w:val="16"/>
              </w:rPr>
            </w:pPr>
            <w:r w:rsidRPr="00EB42D3">
              <w:rPr>
                <w:color w:val="000000"/>
                <w:sz w:val="16"/>
                <w:szCs w:val="16"/>
              </w:rPr>
              <w:t>+30</w:t>
            </w:r>
          </w:p>
        </w:tc>
        <w:tc>
          <w:tcPr>
            <w:tcW w:w="780" w:type="dxa"/>
          </w:tcPr>
          <w:p w:rsidR="00342F73" w:rsidRPr="00EB42D3" w:rsidRDefault="00342F73">
            <w:pPr>
              <w:shd w:val="clear" w:color="000000" w:fill="auto"/>
              <w:spacing w:before="60" w:line="200" w:lineRule="exact"/>
              <w:jc w:val="right"/>
              <w:rPr>
                <w:color w:val="000000"/>
                <w:sz w:val="16"/>
                <w:szCs w:val="16"/>
              </w:rPr>
            </w:pPr>
            <w:r w:rsidRPr="00EB42D3">
              <w:rPr>
                <w:color w:val="000000"/>
                <w:sz w:val="16"/>
                <w:szCs w:val="16"/>
              </w:rPr>
              <w:t>+40</w:t>
            </w:r>
          </w:p>
        </w:tc>
        <w:tc>
          <w:tcPr>
            <w:tcW w:w="780" w:type="dxa"/>
          </w:tcPr>
          <w:p w:rsidR="00342F73" w:rsidRPr="00EB42D3" w:rsidRDefault="00342F73">
            <w:pPr>
              <w:shd w:val="clear" w:color="000000" w:fill="auto"/>
              <w:spacing w:before="60" w:line="200" w:lineRule="exact"/>
              <w:jc w:val="right"/>
              <w:rPr>
                <w:color w:val="000000"/>
                <w:sz w:val="16"/>
                <w:szCs w:val="16"/>
              </w:rPr>
            </w:pPr>
            <w:r w:rsidRPr="00EB42D3">
              <w:rPr>
                <w:color w:val="000000"/>
                <w:sz w:val="16"/>
                <w:szCs w:val="16"/>
              </w:rPr>
              <w:t>+50</w:t>
            </w:r>
          </w:p>
        </w:tc>
      </w:tr>
      <w:tr w:rsidR="00000000" w:rsidRPr="00EB42D3">
        <w:tc>
          <w:tcPr>
            <w:tcW w:w="436" w:type="dxa"/>
          </w:tcPr>
          <w:p w:rsidR="00342F73" w:rsidRPr="00EB42D3" w:rsidRDefault="00342F73">
            <w:pPr>
              <w:shd w:val="clear" w:color="000000" w:fill="auto"/>
              <w:spacing w:before="60" w:line="200" w:lineRule="exact"/>
              <w:rPr>
                <w:color w:val="000000"/>
                <w:sz w:val="16"/>
                <w:szCs w:val="16"/>
              </w:rPr>
            </w:pPr>
          </w:p>
        </w:tc>
        <w:tc>
          <w:tcPr>
            <w:tcW w:w="3554" w:type="dxa"/>
          </w:tcPr>
          <w:p w:rsidR="00342F73" w:rsidRPr="00EB42D3" w:rsidRDefault="00342F73">
            <w:pPr>
              <w:shd w:val="clear" w:color="000000" w:fill="auto"/>
              <w:spacing w:before="60" w:line="200" w:lineRule="exact"/>
              <w:rPr>
                <w:sz w:val="16"/>
                <w:szCs w:val="16"/>
              </w:rPr>
            </w:pPr>
            <w:r w:rsidRPr="00EB42D3">
              <w:rPr>
                <w:sz w:val="16"/>
                <w:szCs w:val="16"/>
              </w:rPr>
              <w:t>Civilförsvarsförbundet</w:t>
            </w:r>
          </w:p>
        </w:tc>
        <w:tc>
          <w:tcPr>
            <w:tcW w:w="630" w:type="dxa"/>
          </w:tcPr>
          <w:p w:rsidR="00342F73" w:rsidRPr="00EB42D3" w:rsidRDefault="00342F73">
            <w:pPr>
              <w:shd w:val="clear" w:color="000000" w:fill="auto"/>
              <w:spacing w:before="60" w:line="200" w:lineRule="exact"/>
              <w:jc w:val="right"/>
              <w:rPr>
                <w:color w:val="000000"/>
                <w:sz w:val="16"/>
                <w:szCs w:val="16"/>
              </w:rPr>
            </w:pPr>
            <w:r w:rsidRPr="00EB42D3">
              <w:rPr>
                <w:color w:val="000000"/>
                <w:sz w:val="16"/>
                <w:szCs w:val="16"/>
              </w:rPr>
              <w:t>+10</w:t>
            </w:r>
          </w:p>
        </w:tc>
        <w:tc>
          <w:tcPr>
            <w:tcW w:w="780" w:type="dxa"/>
          </w:tcPr>
          <w:p w:rsidR="00342F73" w:rsidRPr="00EB42D3" w:rsidRDefault="00342F73">
            <w:pPr>
              <w:shd w:val="clear" w:color="000000" w:fill="auto"/>
              <w:spacing w:before="60" w:line="200" w:lineRule="exact"/>
              <w:jc w:val="right"/>
              <w:rPr>
                <w:color w:val="000000"/>
                <w:sz w:val="16"/>
                <w:szCs w:val="16"/>
              </w:rPr>
            </w:pPr>
            <w:r w:rsidRPr="00EB42D3">
              <w:rPr>
                <w:color w:val="000000"/>
                <w:sz w:val="16"/>
                <w:szCs w:val="16"/>
              </w:rPr>
              <w:t>+10</w:t>
            </w:r>
          </w:p>
        </w:tc>
        <w:tc>
          <w:tcPr>
            <w:tcW w:w="780" w:type="dxa"/>
          </w:tcPr>
          <w:p w:rsidR="00342F73" w:rsidRPr="00EB42D3" w:rsidRDefault="00342F73">
            <w:pPr>
              <w:shd w:val="clear" w:color="000000" w:fill="auto"/>
              <w:spacing w:before="60" w:line="200" w:lineRule="exact"/>
              <w:jc w:val="right"/>
              <w:rPr>
                <w:color w:val="000000"/>
                <w:sz w:val="16"/>
                <w:szCs w:val="16"/>
              </w:rPr>
            </w:pPr>
            <w:r w:rsidRPr="00EB42D3">
              <w:rPr>
                <w:color w:val="000000"/>
                <w:sz w:val="16"/>
                <w:szCs w:val="16"/>
              </w:rPr>
              <w:t>+10</w:t>
            </w:r>
          </w:p>
        </w:tc>
      </w:tr>
    </w:tbl>
    <w:p w:rsidR="00342F73" w:rsidRPr="00EB42D3" w:rsidRDefault="00342F73">
      <w:pPr>
        <w:shd w:val="clear" w:color="000000" w:fill="auto"/>
      </w:pPr>
    </w:p>
    <w:p w:rsidR="00342F73" w:rsidRPr="00EB42D3" w:rsidRDefault="00342F73">
      <w:pPr>
        <w:pStyle w:val="Rubrik2"/>
        <w:shd w:val="clear" w:color="000000" w:fill="auto"/>
        <w:spacing w:before="120"/>
      </w:pPr>
      <w:r w:rsidRPr="00EB42D3">
        <w:t xml:space="preserve">Vidga synen på försvarspolitiken </w:t>
      </w:r>
    </w:p>
    <w:p w:rsidR="00342F73" w:rsidRPr="00EB42D3" w:rsidRDefault="00342F73">
      <w:pPr>
        <w:shd w:val="clear" w:color="000000" w:fill="auto"/>
      </w:pPr>
      <w:r w:rsidRPr="00EB42D3">
        <w:t>Sedan mitten av 1990-talet har den säkerhetspolitiska situationen förändrats radikalt i vår omvärld. Den hotbild som finns idag är inte i första hand av militär natur. Men trots att det inte föreligger något invasionshot mot svenskt territorium syftande till ockupation av hela eller delar av vårt land är försvaret fortfarande i sin huvudsakliga struktur utformat för ett sådant hot. Vi menar att beredskapen för att möta andra icke-militära hot måste förbättras.</w:t>
      </w:r>
    </w:p>
    <w:p w:rsidR="00342F73" w:rsidRPr="00EB42D3" w:rsidRDefault="00342F73">
      <w:pPr>
        <w:pStyle w:val="Normaltindrag"/>
        <w:shd w:val="clear" w:color="000000" w:fill="auto"/>
      </w:pPr>
      <w:r w:rsidRPr="00EB42D3">
        <w:t>Miljöpartiet har under lång tid konsekvent drivit linjen i försvarsutskottet och i riksdagens försvarsberedning om en vidgad hotbild. De hot som det svenska samhället står inför kan inte mötas med militära medel utan måste motverkas på en lång rad andra sätt.</w:t>
      </w:r>
    </w:p>
    <w:p w:rsidR="00342F73" w:rsidRPr="00EB42D3" w:rsidRDefault="00342F73">
      <w:pPr>
        <w:pStyle w:val="Normaltindrag"/>
        <w:shd w:val="clear" w:color="000000" w:fill="auto"/>
        <w:rPr>
          <w:b/>
        </w:rPr>
      </w:pPr>
      <w:r w:rsidRPr="00EB42D3">
        <w:t>Försvarsmakten står inför en rad stora utmaningar, både organisatoriska såväl som framtida säkerhetspolitiska utmaningar. Risken för skenande ek</w:t>
      </w:r>
      <w:r w:rsidRPr="00EB42D3">
        <w:t>o</w:t>
      </w:r>
      <w:r w:rsidRPr="00EB42D3">
        <w:t>nomiska kostnader för både personalförsörjningen och materiel är stora. Vi noterar att regeringens underlag till riksdagen är undermåligt och det finns stora risker att soldatlönerna framöver tränger ut materielbudgeten. Riksdagen har fått väldigt lite information om ekonomin för det nya personalförsör</w:t>
      </w:r>
      <w:r w:rsidRPr="00EB42D3">
        <w:t>j</w:t>
      </w:r>
      <w:r w:rsidRPr="00EB42D3">
        <w:t>ningssystemet. Regeringen hänvisar till en kommande proposition, men det hade varit önskvärt om informationen hade varit tillgänglig för riksdagen i och med presentationen av budgetpropositionen</w:t>
      </w:r>
      <w:r w:rsidRPr="00EB42D3">
        <w:rPr>
          <w:b/>
        </w:rPr>
        <w:t>.</w:t>
      </w:r>
    </w:p>
    <w:p w:rsidR="00342F73" w:rsidRPr="00EB42D3" w:rsidRDefault="00342F73">
      <w:pPr>
        <w:pStyle w:val="Rubrik3"/>
        <w:shd w:val="clear" w:color="000000" w:fill="auto"/>
      </w:pPr>
      <w:r w:rsidRPr="00EB42D3">
        <w:t>Förbandsver</w:t>
      </w:r>
      <w:r w:rsidRPr="00EB42D3">
        <w:t>ksamhet och beredskap 1:1</w:t>
      </w:r>
    </w:p>
    <w:p w:rsidR="00342F73" w:rsidRPr="00EB42D3" w:rsidRDefault="00342F73">
      <w:pPr>
        <w:shd w:val="clear" w:color="000000" w:fill="auto"/>
      </w:pPr>
      <w:r w:rsidRPr="00EB42D3">
        <w:t>Miljöpartiet omprioriterar 875 miljoner kronor 2012 och 900 miljoner kronor de kommande två åren. Av dessa miljoner vill Miljöpartiet att Högkvarteret, som är alldeles för överdimensionerat, ska spara 60 miljoner kronor per år under tre år. Samtidigt vill vi överföra medel, 50 miljoner kronor per år, de kommande tre åren på de nationella skyddsstyrkorna, som är underfinansier</w:t>
      </w:r>
      <w:r w:rsidRPr="00EB42D3">
        <w:t>a</w:t>
      </w:r>
      <w:r w:rsidRPr="00EB42D3">
        <w:t>de med tanke på deras numerär och viktiga samhällsskyddande uppgifter.</w:t>
      </w:r>
    </w:p>
    <w:p w:rsidR="00342F73" w:rsidRPr="00EB42D3" w:rsidRDefault="00342F73">
      <w:pPr>
        <w:pStyle w:val="Rubrik3"/>
        <w:shd w:val="clear" w:color="000000" w:fill="auto"/>
      </w:pPr>
      <w:r w:rsidRPr="00EB42D3">
        <w:t>Fredsfrämjande förbandsinsatser 1:2</w:t>
      </w:r>
    </w:p>
    <w:p w:rsidR="00342F73" w:rsidRPr="00EB42D3" w:rsidRDefault="00342F73">
      <w:pPr>
        <w:shd w:val="clear" w:color="000000" w:fill="auto"/>
      </w:pPr>
      <w:r w:rsidRPr="00EB42D3">
        <w:t>Miljöpartiet anser att det militära försvaret ska dimensioneras utifrån operat</w:t>
      </w:r>
      <w:r w:rsidRPr="00EB42D3">
        <w:t>i</w:t>
      </w:r>
      <w:r w:rsidRPr="00EB42D3">
        <w:t>va behov och en realistisk hotbildsanalys. För överskådlig tid är dessa oper</w:t>
      </w:r>
      <w:r w:rsidRPr="00EB42D3">
        <w:t>a</w:t>
      </w:r>
      <w:r w:rsidRPr="00EB42D3">
        <w:t>tiva behov deltagande i internationella krishanteringsuppgifter. Miljöpartiet anser att det är av vikt att Sverige ökar sin ambition att delta i fredsfrämjande verksamhet i FN:s regi. Aldrig någonsin har antalet svenska soldater, militä</w:t>
      </w:r>
      <w:r w:rsidRPr="00EB42D3">
        <w:t>r</w:t>
      </w:r>
      <w:r w:rsidRPr="00EB42D3">
        <w:t>observatörer och poliser i FN-tjänst varit så lågt som nu. Miljöpartiet priorit</w:t>
      </w:r>
      <w:r w:rsidRPr="00EB42D3">
        <w:t>e</w:t>
      </w:r>
      <w:r w:rsidRPr="00EB42D3">
        <w:t xml:space="preserve">rar internationella insatser och ökar anslaget 1:2 med 40 miljoner kronor under 2012, 50 miljoner kronor år 2013 och </w:t>
      </w:r>
      <w:r w:rsidRPr="00EB42D3">
        <w:t xml:space="preserve">60 miljoner kronor 2014. </w:t>
      </w:r>
    </w:p>
    <w:p w:rsidR="00342F73" w:rsidRPr="00EB42D3" w:rsidRDefault="00342F73">
      <w:pPr>
        <w:pStyle w:val="Rubrik3"/>
        <w:shd w:val="clear" w:color="000000" w:fill="auto"/>
      </w:pPr>
      <w:r w:rsidRPr="00EB42D3">
        <w:t xml:space="preserve">Anskaffning av materiel och anläggningar 1:3 </w:t>
      </w:r>
    </w:p>
    <w:p w:rsidR="00342F73" w:rsidRPr="00EB42D3" w:rsidRDefault="00342F73">
      <w:pPr>
        <w:shd w:val="clear" w:color="000000" w:fill="auto"/>
      </w:pPr>
      <w:r w:rsidRPr="00EB42D3">
        <w:t>Miljöpartiet anser att utgifterna för materielförsörjningen kan reduceras mer än vad regeringen aviserat. Miljöpartiet omprioriterar därför 500 miljoner kronor under 2012 samt 550 miljoner kronor vardera för år 2013 och 2014. Gällande framtida uppgradering och anskaffning av JAS 39 Gripen E/F har regeringen inte redovisat de ekonomiska konsekvenserna för riksdagen och återfinns inte heller i Försvarsmaktens materielplan. Regeringen vältrar dä</w:t>
      </w:r>
      <w:r w:rsidRPr="00EB42D3">
        <w:t>r</w:t>
      </w:r>
      <w:r w:rsidRPr="00EB42D3">
        <w:t>med över ansvaret för att finansiera JAS E/F på kommande riksdagar och skattebetalare. Miljöpartiet avslår bemyndigandet på investeringsplan gälla</w:t>
      </w:r>
      <w:r w:rsidRPr="00EB42D3">
        <w:t>n</w:t>
      </w:r>
      <w:r w:rsidRPr="00EB42D3">
        <w:t xml:space="preserve">de JAS 39 Gripen E/F, eftersom vi anser att innebörden av bemyndigandet strider mot regeringens egna materielförsörjningsstrategi. </w:t>
      </w:r>
    </w:p>
    <w:p w:rsidR="00342F73" w:rsidRPr="00EB42D3" w:rsidRDefault="00342F73">
      <w:pPr>
        <w:pStyle w:val="Normaltindrag"/>
        <w:shd w:val="clear" w:color="000000" w:fill="auto"/>
      </w:pPr>
      <w:r w:rsidRPr="00EB42D3">
        <w:t>Vidare avslår vi beställningsbemyndigandet för anslaget 1:3 på 46 milja</w:t>
      </w:r>
      <w:r w:rsidRPr="00EB42D3">
        <w:t>r</w:t>
      </w:r>
      <w:r w:rsidRPr="00EB42D3">
        <w:t>der kronor med hänvisning till att materielredovisningen inte uppfyller de krav som utskottet enigt har begärt. Regering bör snarast återkomma till rik</w:t>
      </w:r>
      <w:r w:rsidRPr="00EB42D3">
        <w:t>s</w:t>
      </w:r>
      <w:r w:rsidRPr="00EB42D3">
        <w:t xml:space="preserve">dagen med ny redovisning av beställningsbemyndigandet. </w:t>
      </w:r>
    </w:p>
    <w:p w:rsidR="00342F73" w:rsidRPr="00EB42D3" w:rsidRDefault="00342F73">
      <w:pPr>
        <w:pStyle w:val="Rubrik3"/>
        <w:shd w:val="clear" w:color="000000" w:fill="auto"/>
      </w:pPr>
      <w:r w:rsidRPr="00EB42D3">
        <w:t xml:space="preserve">Vidmakthållande, avveckling m.m. av materiel och anläggningar 1:4 </w:t>
      </w:r>
    </w:p>
    <w:p w:rsidR="00342F73" w:rsidRPr="00EB42D3" w:rsidRDefault="00342F73">
      <w:pPr>
        <w:shd w:val="clear" w:color="000000" w:fill="auto"/>
      </w:pPr>
      <w:r w:rsidRPr="00EB42D3">
        <w:t>Även på 1:4 Vidmakthållande, avveckling m.m. ser vi problem med regerin</w:t>
      </w:r>
      <w:r w:rsidRPr="00EB42D3">
        <w:t>g</w:t>
      </w:r>
      <w:r w:rsidRPr="00EB42D3">
        <w:t>ens redovisning. Miljöpartiet vill spara 500 miljoner kronor för 2012 respe</w:t>
      </w:r>
      <w:r w:rsidRPr="00EB42D3">
        <w:t>k</w:t>
      </w:r>
      <w:r w:rsidRPr="00EB42D3">
        <w:t xml:space="preserve">tive 2013. År 2014 drar vi ner anslagsbeloppet med 450 miljoner kronor. </w:t>
      </w:r>
    </w:p>
    <w:p w:rsidR="00342F73" w:rsidRPr="00EB42D3" w:rsidRDefault="00342F73">
      <w:pPr>
        <w:pStyle w:val="Rubrik3"/>
        <w:shd w:val="clear" w:color="000000" w:fill="auto"/>
      </w:pPr>
      <w:r w:rsidRPr="00EB42D3">
        <w:t>Forskning och teknikutveckling 1:5</w:t>
      </w:r>
    </w:p>
    <w:p w:rsidR="00342F73" w:rsidRPr="00EB42D3" w:rsidRDefault="00342F73">
      <w:pPr>
        <w:shd w:val="clear" w:color="000000" w:fill="auto"/>
      </w:pPr>
      <w:r w:rsidRPr="00EB42D3">
        <w:t xml:space="preserve">Vi föreslår att anslaget minskas med 55 miljoner kronor år 2012 samt 30 miljoner kronor 2013. År 2014 sparar vi 15 miljoner kronor. </w:t>
      </w:r>
    </w:p>
    <w:p w:rsidR="00342F73" w:rsidRPr="00EB42D3" w:rsidRDefault="00342F73">
      <w:pPr>
        <w:pStyle w:val="Rubrik3"/>
        <w:shd w:val="clear" w:color="000000" w:fill="auto"/>
      </w:pPr>
      <w:r w:rsidRPr="00EB42D3">
        <w:t>Försvarets radioanstalt 1:8</w:t>
      </w:r>
    </w:p>
    <w:p w:rsidR="00342F73" w:rsidRPr="00EB42D3" w:rsidRDefault="00342F73">
      <w:pPr>
        <w:shd w:val="clear" w:color="000000" w:fill="auto"/>
      </w:pPr>
      <w:r w:rsidRPr="00EB42D3">
        <w:t>FRA fyller en viktig funktion i försvaret och tillvaratagandet av Sveriges säkerhetspolitiska intressen. Det är därför förståeligt att viss teknikutveckling måste ske. Miljöpartiet är för ändamålet berett att avsätta 16 miljoner kronor, vilket är en minskning i förhållande till regeringen med 7 miljoner kronor. För 2012 och 2013 minskar det med 66 respektive 91 miljoner kronor. Vi anser att 16 miljoner kronor är en rimlig årlig uppräkning.</w:t>
      </w:r>
    </w:p>
    <w:p w:rsidR="00342F73" w:rsidRPr="00EB42D3" w:rsidRDefault="00342F73">
      <w:pPr>
        <w:pStyle w:val="Rubrik3"/>
        <w:shd w:val="clear" w:color="000000" w:fill="auto"/>
      </w:pPr>
      <w:r w:rsidRPr="00EB42D3">
        <w:t xml:space="preserve">Internationella materielsamarbeten, industrifrågor och exportstöd 1:11 </w:t>
      </w:r>
    </w:p>
    <w:p w:rsidR="00342F73" w:rsidRPr="00EB42D3" w:rsidRDefault="00342F73">
      <w:pPr>
        <w:shd w:val="clear" w:color="000000" w:fill="auto"/>
      </w:pPr>
      <w:r w:rsidRPr="00EB42D3">
        <w:t>Anslaget används bland annat för Försvarets materielverks tillhandahållande av resurser inom teknik- och materielförsörjning för stöd till regeringen. Fr</w:t>
      </w:r>
      <w:r w:rsidRPr="00EB42D3">
        <w:t>å</w:t>
      </w:r>
      <w:r w:rsidRPr="00EB42D3">
        <w:t>gor som industrifrågor och exportstöd hör snarare hemma inom andra utgift</w:t>
      </w:r>
      <w:r w:rsidRPr="00EB42D3">
        <w:t>s</w:t>
      </w:r>
      <w:r w:rsidRPr="00EB42D3">
        <w:t xml:space="preserve">områden. Miljöpartiet sparar på detta anslag 10 miljoner kronor per år de kommande tre åren. </w:t>
      </w:r>
    </w:p>
    <w:p w:rsidR="00342F73" w:rsidRPr="00EB42D3" w:rsidRDefault="00342F73">
      <w:pPr>
        <w:pStyle w:val="Rubrik3"/>
        <w:shd w:val="clear" w:color="000000" w:fill="auto"/>
      </w:pPr>
      <w:r w:rsidRPr="00EB42D3">
        <w:t>Försvarsexportmyndigheten 1:12</w:t>
      </w:r>
    </w:p>
    <w:p w:rsidR="00342F73" w:rsidRPr="00EB42D3" w:rsidRDefault="00342F73">
      <w:pPr>
        <w:shd w:val="clear" w:color="000000" w:fill="auto"/>
      </w:pPr>
      <w:r w:rsidRPr="00EB42D3">
        <w:t>Miljöpartiet är av princip emot exportstöd till företag som tillverkar krigsm</w:t>
      </w:r>
      <w:r w:rsidRPr="00EB42D3">
        <w:t>a</w:t>
      </w:r>
      <w:r w:rsidRPr="00EB42D3">
        <w:t>teriel och vill inte se att denna verksamhet ytterligare subventioneras av ska</w:t>
      </w:r>
      <w:r w:rsidRPr="00EB42D3">
        <w:t>t</w:t>
      </w:r>
      <w:r w:rsidRPr="00EB42D3">
        <w:t xml:space="preserve">temedel. Miljöpartiet vill därför avveckla Försvarsexportmyndigheten. </w:t>
      </w:r>
    </w:p>
    <w:p w:rsidR="00342F73" w:rsidRPr="00EB42D3" w:rsidRDefault="00342F73">
      <w:pPr>
        <w:pStyle w:val="Rubrik3"/>
        <w:shd w:val="clear" w:color="000000" w:fill="auto"/>
      </w:pPr>
      <w:r w:rsidRPr="00EB42D3">
        <w:t>Kustbevakningen 2:1</w:t>
      </w:r>
    </w:p>
    <w:p w:rsidR="00342F73" w:rsidRPr="00EB42D3" w:rsidRDefault="00342F73">
      <w:pPr>
        <w:shd w:val="clear" w:color="000000" w:fill="auto"/>
      </w:pPr>
      <w:r w:rsidRPr="00EB42D3">
        <w:t>Miljöpartiet tilldelar Kustbevakningen ökade resurser till dess operativa ver</w:t>
      </w:r>
      <w:r w:rsidRPr="00EB42D3">
        <w:t>k</w:t>
      </w:r>
      <w:r w:rsidRPr="00EB42D3">
        <w:t>samhet, 40 miljoner kronor per år de kommande tre åren. Vi anser att Kustb</w:t>
      </w:r>
      <w:r w:rsidRPr="00EB42D3">
        <w:t>e</w:t>
      </w:r>
      <w:r w:rsidRPr="00EB42D3">
        <w:t xml:space="preserve">vakningen utför många prioriterade uppgifter, t.ex. deras ständiga beredskap för sjöräddning och förebyggande arbete mot miljöbrott och sanering vid utsläpp samt kontroll av fiskeförbud. Dessutom deltar Kustbevakningen i internationella insatser med sina spaningsflyg. </w:t>
      </w:r>
    </w:p>
    <w:p w:rsidR="00342F73" w:rsidRPr="00EB42D3" w:rsidRDefault="00342F73">
      <w:pPr>
        <w:pStyle w:val="Rubrik3"/>
        <w:shd w:val="clear" w:color="000000" w:fill="auto"/>
      </w:pPr>
      <w:r w:rsidRPr="00EB42D3">
        <w:t>Förebyggande åtgärder mot jordskred och andra naturolyckor 2:2</w:t>
      </w:r>
    </w:p>
    <w:p w:rsidR="00342F73" w:rsidRPr="00EB42D3" w:rsidRDefault="00342F73">
      <w:pPr>
        <w:shd w:val="clear" w:color="000000" w:fill="auto"/>
      </w:pPr>
      <w:r w:rsidRPr="00EB42D3">
        <w:t>Anslaget används för att finansiera ersättning till kommuner för åtgärder som vidtas för att förebygga jordskred och andra naturolyckor. Miljöpartiet acce</w:t>
      </w:r>
      <w:r w:rsidRPr="00EB42D3">
        <w:t>p</w:t>
      </w:r>
      <w:r w:rsidRPr="00EB42D3">
        <w:t>terar regeringens neddragning på anslaget 2:2. I Miljöpartiets stora satsning på icke-militära hot föreslår vi att 1 miljard kronor förs över från UO6 till UO20 till klimatanpassningsåtgärder. Totalt blir det 1 miljard kronor fördelat över tre år (350, 350 respektive 300) Vi kallar denna satsning för ”klimata</w:t>
      </w:r>
      <w:r w:rsidRPr="00EB42D3">
        <w:t>n</w:t>
      </w:r>
      <w:r w:rsidRPr="00EB42D3">
        <w:t xml:space="preserve">passningsmiljarden”. </w:t>
      </w:r>
    </w:p>
    <w:p w:rsidR="00342F73" w:rsidRPr="00EB42D3" w:rsidRDefault="00342F73">
      <w:pPr>
        <w:pStyle w:val="Normaltindrag"/>
        <w:shd w:val="clear" w:color="000000" w:fill="auto"/>
      </w:pPr>
      <w:r w:rsidRPr="00EB42D3">
        <w:t>Syftet med klimatanpassningsmiljarden är att den ska administreras av länsstyrelserna där kommuner kan ansöka om bidrag för klimatanpassning, exempelvis åtgärder mot extrema väde</w:t>
      </w:r>
      <w:r w:rsidRPr="00EB42D3">
        <w:t>rhändelser som översvämningar och långsiktiga klimatförändringar. Vi vill också ge SMHI i uppdrag att ta fram en nationell klimatanpassningsstrategi med tydliga och uppföljningsbara mål och årtal som respektive sektor kan jobba mot.</w:t>
      </w:r>
    </w:p>
    <w:p w:rsidR="00342F73" w:rsidRPr="00EB42D3" w:rsidRDefault="00342F73">
      <w:pPr>
        <w:pStyle w:val="Rubrik3"/>
        <w:shd w:val="clear" w:color="000000" w:fill="auto"/>
      </w:pPr>
      <w:r w:rsidRPr="00EB42D3">
        <w:t>Myndigheten för samhällsskydd och beredskap 2:7</w:t>
      </w:r>
    </w:p>
    <w:p w:rsidR="00342F73" w:rsidRPr="00EB42D3" w:rsidRDefault="00342F73">
      <w:pPr>
        <w:shd w:val="clear" w:color="000000" w:fill="auto"/>
      </w:pPr>
      <w:r w:rsidRPr="00EB42D3">
        <w:t>Myndigheten för samhällsskydd och beredskap fyller en viktig funktion i samhället. Bland annat ansvarar MSB för frågor om skydd mot olyckor, kri</w:t>
      </w:r>
      <w:r w:rsidRPr="00EB42D3">
        <w:t>s</w:t>
      </w:r>
      <w:r w:rsidRPr="00EB42D3">
        <w:t>beredskap och civilt försvar. Vi tillför myndigheten 40, 50 och 60 miljoner de kommande tre åren, varav 10 miljoner årligen återförs till Civilförsvaret som fått se sina anslag kraftigt nedskurna de senaste åren. De övriga pengarna ska gå till åtgärder för att hantera cyberhot och it-säkerhet. MSB kan samordna och fördela anslag till lämpliga myndigheter.</w:t>
      </w:r>
    </w:p>
    <w:p w:rsidR="00342F73" w:rsidRPr="00EB42D3" w:rsidRDefault="00342F73">
      <w:pPr>
        <w:pStyle w:val="Rubrik2"/>
        <w:shd w:val="clear" w:color="000000" w:fill="auto"/>
      </w:pPr>
      <w:r w:rsidRPr="00EB42D3">
        <w:t>Överföring till utgiftsområde 5</w:t>
      </w:r>
    </w:p>
    <w:p w:rsidR="00342F73" w:rsidRPr="00EB42D3" w:rsidRDefault="00342F73">
      <w:pPr>
        <w:shd w:val="clear" w:color="000000" w:fill="auto"/>
      </w:pPr>
      <w:r w:rsidRPr="00EB42D3">
        <w:t>Reformeringen av försvaret måste fortsätta och anpassas efter de hotbilder som finns.  Därför vill Miljöpartiet minska försvarets anslag och omfördela resurserna så att de på ett bättre sätt används till att stärka säkerheten i sa</w:t>
      </w:r>
      <w:r w:rsidRPr="00EB42D3">
        <w:t>m</w:t>
      </w:r>
      <w:r w:rsidRPr="00EB42D3">
        <w:t xml:space="preserve">hället. </w:t>
      </w:r>
    </w:p>
    <w:p w:rsidR="00342F73" w:rsidRPr="00EB42D3" w:rsidRDefault="00342F73">
      <w:pPr>
        <w:pStyle w:val="Rubrik3"/>
        <w:shd w:val="clear" w:color="000000" w:fill="auto"/>
      </w:pPr>
      <w:r w:rsidRPr="00EB42D3">
        <w:t>UO5 ”Fredsmiljonen” 1:6</w:t>
      </w:r>
    </w:p>
    <w:p w:rsidR="00342F73" w:rsidRPr="00EB42D3" w:rsidRDefault="00342F73">
      <w:pPr>
        <w:shd w:val="clear" w:color="000000" w:fill="auto"/>
      </w:pPr>
      <w:r w:rsidRPr="00EB42D3">
        <w:t>Regeringen har under de senaste åren skurit ner på anslaget till den så kallade fredsmiljonen, som administreras av Folke Bernadotteakademin. Sverige är en mycket stor exportör av vapen och neddragningen av fredsmiljonen sker samtidigt som den borgerliga regeringen dessutom har skapat en särskild myndighet för att sälja ännu mer. Det sänder helt fel signaler. Ur fonden fredsmiljonen kan organisationer som arbetar med fredsfrämjande, nedrus</w:t>
      </w:r>
      <w:r w:rsidRPr="00EB42D3">
        <w:t>t</w:t>
      </w:r>
      <w:r w:rsidRPr="00EB42D3">
        <w:t xml:space="preserve">ning etc. söka medel. Miljöpartiet vill därför öka medlen till fredsmiljonen. Totalt 15 miljoner kronor fördelas över tre år. </w:t>
      </w:r>
    </w:p>
    <w:p w:rsidR="00342F73" w:rsidRPr="00EB42D3" w:rsidRDefault="00342F73">
      <w:pPr>
        <w:pStyle w:val="Rubrik3"/>
        <w:shd w:val="clear" w:color="000000" w:fill="auto"/>
      </w:pPr>
      <w:r w:rsidRPr="00EB42D3">
        <w:t>UO5 Sipri 1:7</w:t>
      </w:r>
    </w:p>
    <w:p w:rsidR="00342F73" w:rsidRPr="00EB42D3" w:rsidRDefault="00342F73">
      <w:pPr>
        <w:shd w:val="clear" w:color="000000" w:fill="auto"/>
      </w:pPr>
      <w:r w:rsidRPr="00EB42D3">
        <w:t>Stockholm International Peace Research Institute (Sipri) drabbades för något år sedan av en besparing på 5 miljoner kronor. Samtidigt fick institutet ett uppdrag att söka externa finansiärer. Fredsforskning är mycket prioriterat och Miljöpartiet menar att det är angeläget att fredsforskningen har en stabil f</w:t>
      </w:r>
      <w:r w:rsidRPr="00EB42D3">
        <w:t>i</w:t>
      </w:r>
      <w:r w:rsidRPr="00EB42D3">
        <w:t xml:space="preserve">nansiering och inte hänvisas till att arbeta i projektform. Vi återför därför 5 miljoner kronor i årets budget och lika mycket de kommande två åren. </w:t>
      </w:r>
    </w:p>
    <w:p w:rsidR="00342F73" w:rsidRPr="00EB42D3" w:rsidRDefault="00342F73">
      <w:pPr>
        <w:pStyle w:val="Rubrik3"/>
        <w:shd w:val="clear" w:color="000000" w:fill="auto"/>
      </w:pPr>
      <w:r w:rsidRPr="00EB42D3">
        <w:t>UO5 Östersjösamarbetet och den nordiska dimensionen 1:11</w:t>
      </w:r>
    </w:p>
    <w:p w:rsidR="00342F73" w:rsidRPr="00EB42D3" w:rsidRDefault="00342F73">
      <w:pPr>
        <w:shd w:val="clear" w:color="000000" w:fill="auto"/>
      </w:pPr>
      <w:r w:rsidRPr="00EB42D3">
        <w:t>Den nordiska dimensionen och Östersjösamarbetet är två fundament för vår säkerhet. Det ekonomiska samarbetet och varuflödet förväntas i närtid öka betydligt i vårt område och sjötransportsystemet kommer att öka i motsvara</w:t>
      </w:r>
      <w:r w:rsidRPr="00EB42D3">
        <w:t>n</w:t>
      </w:r>
      <w:r w:rsidRPr="00EB42D3">
        <w:t>de grad. Oljetransporterna beräknas uppta en betydande del av transporterna. Cirka 80 procent av jordens handelsflöden går via sjöfart och binder samman länderna. Den strategiskt viktigaste faktorn när det gäller beroenden finns inom energiområdet. EU:s program om ”motorvägar till sjöss” kan vara en del av säkerheten för det ökade sjötransportsystemet i Östersjön. Men vi bör ta initiativ till att det byggs upp en oljeskyddsberedskap i anslutning till de planerade rutterna för oljetrafiken och detta bör ske</w:t>
      </w:r>
      <w:r w:rsidRPr="00EB42D3">
        <w:t xml:space="preserve"> i samverkan med övriga strandstater. Vi vill därför anslå 10 miljoner kronor för samverkan kring Ö</w:t>
      </w:r>
      <w:r w:rsidRPr="00EB42D3">
        <w:t>s</w:t>
      </w:r>
      <w:r w:rsidRPr="00EB42D3">
        <w:t>tersjön.</w:t>
      </w:r>
    </w:p>
    <w:p w:rsidR="00342F73" w:rsidRPr="00EB42D3" w:rsidRDefault="00342F73">
      <w:pPr>
        <w:pStyle w:val="Normaltindrag"/>
        <w:shd w:val="clear" w:color="000000" w:fill="auto"/>
      </w:pPr>
      <w:r w:rsidRPr="00EB42D3">
        <w:t>Arktis och Barents hav får en allt större strategisk betydelse, ur både s</w:t>
      </w:r>
      <w:r w:rsidRPr="00EB42D3">
        <w:t>ä</w:t>
      </w:r>
      <w:r w:rsidRPr="00EB42D3">
        <w:t>kerhetssynpunkt, handelssynpunkt och miljöskyddssynpunkt. I takt med att isarna smälter öppnar sig både nya möjligheter och hot. Det är viktigt att vi står rustade att möta dessa utmaningar och att vi också är beredda att priorit</w:t>
      </w:r>
      <w:r w:rsidRPr="00EB42D3">
        <w:t>e</w:t>
      </w:r>
      <w:r w:rsidRPr="00EB42D3">
        <w:t xml:space="preserve">ra samarbetet allra högst i norr. Miljöpartiet förstärker därför de anslag som specifikt går till detta område med 10 miljoner </w:t>
      </w:r>
      <w:r w:rsidRPr="00EB42D3">
        <w:rPr>
          <w:szCs w:val="24"/>
        </w:rPr>
        <w:t>kronor</w:t>
      </w:r>
      <w:r w:rsidRPr="00EB42D3">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B42D3">
        <w:trPr>
          <w:cantSplit/>
        </w:trPr>
        <w:tc>
          <w:tcPr>
            <w:tcW w:w="3046" w:type="dxa"/>
          </w:tcPr>
          <w:p w:rsidR="00342F73" w:rsidRPr="00EB42D3" w:rsidRDefault="00342F73">
            <w:pPr>
              <w:pStyle w:val="UnderskriftDatum"/>
              <w:shd w:val="clear" w:color="000000" w:fill="auto"/>
              <w:spacing w:before="240"/>
            </w:pPr>
            <w:r w:rsidRPr="00EB42D3">
              <w:t>Stockholm den 5 oktober 2011</w:t>
            </w:r>
          </w:p>
        </w:tc>
        <w:tc>
          <w:tcPr>
            <w:tcW w:w="3047" w:type="dxa"/>
          </w:tcPr>
          <w:p w:rsidR="00342F73" w:rsidRPr="00EB42D3" w:rsidRDefault="00342F73">
            <w:pPr>
              <w:pStyle w:val="Underskrifter"/>
              <w:shd w:val="clear" w:color="000000" w:fill="auto"/>
              <w:spacing w:before="240"/>
            </w:pPr>
          </w:p>
        </w:tc>
      </w:tr>
      <w:tr w:rsidR="00000000" w:rsidRPr="00EB42D3">
        <w:trPr>
          <w:cantSplit/>
        </w:trPr>
        <w:tc>
          <w:tcPr>
            <w:tcW w:w="3046" w:type="dxa"/>
          </w:tcPr>
          <w:p w:rsidR="00342F73" w:rsidRPr="00EB42D3" w:rsidRDefault="00342F73">
            <w:pPr>
              <w:pStyle w:val="Underskrifter"/>
              <w:shd w:val="clear" w:color="000000" w:fill="auto"/>
            </w:pPr>
            <w:r w:rsidRPr="00EB42D3">
              <w:t>Peter Rådberg (MP)</w:t>
            </w:r>
          </w:p>
        </w:tc>
        <w:tc>
          <w:tcPr>
            <w:tcW w:w="3046" w:type="dxa"/>
          </w:tcPr>
          <w:p w:rsidR="00342F73" w:rsidRPr="00EB42D3" w:rsidRDefault="00342F73">
            <w:pPr>
              <w:pStyle w:val="Underskrifter"/>
              <w:shd w:val="clear" w:color="000000" w:fill="auto"/>
            </w:pPr>
          </w:p>
        </w:tc>
      </w:tr>
      <w:tr w:rsidR="00000000" w:rsidRPr="00EB42D3">
        <w:trPr>
          <w:cantSplit/>
        </w:trPr>
        <w:tc>
          <w:tcPr>
            <w:tcW w:w="3046" w:type="dxa"/>
          </w:tcPr>
          <w:p w:rsidR="00342F73" w:rsidRPr="00EB42D3" w:rsidRDefault="00342F73">
            <w:pPr>
              <w:pStyle w:val="Underskrifter"/>
              <w:shd w:val="clear" w:color="000000" w:fill="auto"/>
            </w:pPr>
            <w:r w:rsidRPr="00EB42D3">
              <w:t>Bodil Ceballos (MP)</w:t>
            </w:r>
          </w:p>
        </w:tc>
        <w:tc>
          <w:tcPr>
            <w:tcW w:w="3046" w:type="dxa"/>
          </w:tcPr>
          <w:p w:rsidR="00342F73" w:rsidRPr="00EB42D3" w:rsidRDefault="00342F73">
            <w:pPr>
              <w:pStyle w:val="Underskrifter"/>
              <w:shd w:val="clear" w:color="000000" w:fill="auto"/>
            </w:pPr>
            <w:r w:rsidRPr="00EB42D3">
              <w:t>Esabelle Dingizian (MP)</w:t>
            </w:r>
          </w:p>
        </w:tc>
      </w:tr>
    </w:tbl>
    <w:p w:rsidR="00342F73" w:rsidRPr="00EB42D3" w:rsidRDefault="00342F73">
      <w:pPr>
        <w:pStyle w:val="Normaltindrag"/>
        <w:shd w:val="clear" w:color="000000" w:fill="auto"/>
      </w:pPr>
    </w:p>
    <w:sectPr w:rsidR="00342F73" w:rsidRPr="00EB42D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2F73" w:rsidRPr="00EB42D3" w:rsidRDefault="00342F73">
      <w:r w:rsidRPr="00EB42D3">
        <w:separator/>
      </w:r>
    </w:p>
  </w:endnote>
  <w:endnote w:type="continuationSeparator" w:id="0">
    <w:p w:rsidR="00342F73" w:rsidRPr="00EB42D3" w:rsidRDefault="00342F73">
      <w:r w:rsidRPr="00EB42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2F73" w:rsidRPr="00EB42D3" w:rsidRDefault="00EB42D3">
    <w:pPr>
      <w:pStyle w:val="Sidfot"/>
    </w:pPr>
    <w:r w:rsidRPr="00EB42D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065595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2F73" w:rsidRDefault="00342F7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42F73" w:rsidRDefault="00342F7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2F73" w:rsidRPr="00EB42D3" w:rsidRDefault="00EB42D3">
    <w:pPr>
      <w:pStyle w:val="Sidfot"/>
    </w:pPr>
    <w:r w:rsidRPr="00EB42D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42179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2F73" w:rsidRDefault="00342F73">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42F73" w:rsidRDefault="00342F73">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2F73" w:rsidRPr="00EB42D3" w:rsidRDefault="00EB42D3">
    <w:pPr>
      <w:pStyle w:val="Sidfot"/>
    </w:pPr>
    <w:r w:rsidRPr="00EB42D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32983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2F73" w:rsidRDefault="00342F7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42F73" w:rsidRDefault="00342F7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2F73" w:rsidRPr="00EB42D3" w:rsidRDefault="00342F73">
      <w:r w:rsidRPr="00EB42D3">
        <w:separator/>
      </w:r>
    </w:p>
  </w:footnote>
  <w:footnote w:type="continuationSeparator" w:id="0">
    <w:p w:rsidR="00342F73" w:rsidRPr="00EB42D3" w:rsidRDefault="00342F73">
      <w:r w:rsidRPr="00EB42D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2F73" w:rsidRPr="00EB42D3" w:rsidRDefault="00EB42D3">
    <w:pPr>
      <w:pStyle w:val="Sidhuvud"/>
    </w:pPr>
    <w:r w:rsidRPr="00EB42D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544871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2F73" w:rsidRDefault="00342F7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Fö238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42F73" w:rsidRDefault="00342F7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Fö238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2F73" w:rsidRPr="00EB42D3" w:rsidRDefault="00EB42D3">
    <w:pPr>
      <w:pStyle w:val="Sidhuvud"/>
    </w:pPr>
    <w:r w:rsidRPr="00EB42D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058980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2F73" w:rsidRDefault="00342F7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Fö238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42F73" w:rsidRDefault="00342F7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Fö238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2F73" w:rsidRPr="00EB42D3" w:rsidRDefault="00342F73">
    <w:pPr>
      <w:pStyle w:val="FSHNormal"/>
      <w:tabs>
        <w:tab w:val="right" w:pos="5840"/>
      </w:tabs>
    </w:pPr>
    <w:r w:rsidRPr="00EB42D3">
      <w:br/>
    </w:r>
    <w:r w:rsidRPr="00EB42D3">
      <w:fldChar w:fldCharType="begin" w:fldLock="1"/>
    </w:r>
    <w:r w:rsidRPr="00EB42D3">
      <w:instrText xml:space="preserve"> DOCPROPERTY</w:instrText>
    </w:r>
    <w:r w:rsidRPr="00EB42D3">
      <w:rPr>
        <w:sz w:val="18"/>
      </w:rPr>
      <w:instrText xml:space="preserve"> "YearUser" *\charformat </w:instrText>
    </w:r>
    <w:r w:rsidRPr="00EB42D3">
      <w:fldChar w:fldCharType="separate"/>
    </w:r>
    <w:r w:rsidRPr="00EB42D3">
      <w:t>2011/12</w:t>
    </w:r>
    <w:r w:rsidRPr="00EB42D3">
      <w:fldChar w:fldCharType="end"/>
    </w:r>
    <w:r w:rsidRPr="00EB42D3">
      <w:t xml:space="preserve"> </w:t>
    </w:r>
    <w:r w:rsidRPr="00EB42D3">
      <w:tab/>
      <w:t xml:space="preserve">mnr: </w:t>
    </w:r>
    <w:r w:rsidRPr="00EB42D3">
      <w:fldChar w:fldCharType="begin" w:fldLock="1"/>
    </w:r>
    <w:r w:rsidRPr="00EB42D3">
      <w:instrText xml:space="preserve"> DOCPROPERTY</w:instrText>
    </w:r>
    <w:r w:rsidRPr="00EB42D3">
      <w:rPr>
        <w:sz w:val="18"/>
      </w:rPr>
      <w:instrText xml:space="preserve"> "Motionsnummer" *\charformat </w:instrText>
    </w:r>
    <w:r w:rsidRPr="00EB42D3">
      <w:fldChar w:fldCharType="separate"/>
    </w:r>
    <w:r w:rsidRPr="00EB42D3">
      <w:t>Fö238</w:t>
    </w:r>
    <w:r w:rsidRPr="00EB42D3">
      <w:fldChar w:fldCharType="end"/>
    </w:r>
    <w:r w:rsidRPr="00EB42D3">
      <w:br/>
    </w:r>
    <w:r w:rsidRPr="00EB42D3">
      <w:fldChar w:fldCharType="begin" w:fldLock="1"/>
    </w:r>
    <w:r w:rsidRPr="00EB42D3">
      <w:instrText xml:space="preserve"> DOCPROPERTY</w:instrText>
    </w:r>
    <w:r w:rsidRPr="00EB42D3">
      <w:rPr>
        <w:sz w:val="18"/>
      </w:rPr>
      <w:instrText xml:space="preserve"> "Samling" *\charformat </w:instrText>
    </w:r>
    <w:r w:rsidRPr="00EB42D3">
      <w:fldChar w:fldCharType="end"/>
    </w:r>
    <w:r w:rsidRPr="00EB42D3">
      <w:tab/>
      <w:t xml:space="preserve">pnr: </w:t>
    </w:r>
    <w:r w:rsidRPr="00EB42D3">
      <w:fldChar w:fldCharType="begin" w:fldLock="1"/>
    </w:r>
    <w:r w:rsidRPr="00EB42D3">
      <w:instrText xml:space="preserve"> DOCPROPERTY</w:instrText>
    </w:r>
    <w:r w:rsidRPr="00EB42D3">
      <w:rPr>
        <w:sz w:val="18"/>
      </w:rPr>
      <w:instrText xml:space="preserve"> "Partinummer" *\charformat </w:instrText>
    </w:r>
    <w:r w:rsidRPr="00EB42D3">
      <w:fldChar w:fldCharType="separate"/>
    </w:r>
    <w:r w:rsidRPr="00EB42D3">
      <w:t>MP1024</w:t>
    </w:r>
    <w:r w:rsidRPr="00EB42D3">
      <w:fldChar w:fldCharType="end"/>
    </w:r>
  </w:p>
  <w:p w:rsidR="00342F73" w:rsidRPr="00EB42D3" w:rsidRDefault="00342F73">
    <w:pPr>
      <w:pStyle w:val="FSHRub1"/>
    </w:pPr>
    <w:r w:rsidRPr="00EB42D3">
      <w:t>Motion till riksdagen</w:t>
    </w:r>
    <w:r w:rsidRPr="00EB42D3">
      <w:br/>
    </w:r>
    <w:r w:rsidRPr="00EB42D3">
      <w:fldChar w:fldCharType="begin" w:fldLock="1"/>
    </w:r>
    <w:r w:rsidRPr="00EB42D3">
      <w:instrText xml:space="preserve"> DOCPROPERTY "YearUser" *\charformat </w:instrText>
    </w:r>
    <w:r w:rsidRPr="00EB42D3">
      <w:fldChar w:fldCharType="separate"/>
    </w:r>
    <w:r w:rsidRPr="00EB42D3">
      <w:t>2011/12</w:t>
    </w:r>
    <w:r w:rsidRPr="00EB42D3">
      <w:fldChar w:fldCharType="end"/>
    </w:r>
    <w:r w:rsidRPr="00EB42D3">
      <w:t>:</w:t>
    </w:r>
    <w:r w:rsidRPr="00EB42D3">
      <w:fldChar w:fldCharType="begin" w:fldLock="1"/>
    </w:r>
    <w:r w:rsidRPr="00EB42D3">
      <w:instrText xml:space="preserve"> DOCPROPERTY "Motionsnummer" *\charformat </w:instrText>
    </w:r>
    <w:r w:rsidRPr="00EB42D3">
      <w:fldChar w:fldCharType="separate"/>
    </w:r>
    <w:r w:rsidRPr="00EB42D3">
      <w:t>Fö238</w:t>
    </w:r>
    <w:r w:rsidRPr="00EB42D3">
      <w:fldChar w:fldCharType="end"/>
    </w:r>
  </w:p>
  <w:p w:rsidR="00342F73" w:rsidRPr="00EB42D3" w:rsidRDefault="00342F73">
    <w:pPr>
      <w:pStyle w:val="FSHNormalS5"/>
    </w:pPr>
    <w:r w:rsidRPr="00EB42D3">
      <w:fldChar w:fldCharType="begin" w:fldLock="1"/>
    </w:r>
    <w:r w:rsidRPr="00EB42D3">
      <w:instrText xml:space="preserve"> DOCPROPERTY "MotionarText" *\charformat </w:instrText>
    </w:r>
    <w:r w:rsidRPr="00EB42D3">
      <w:fldChar w:fldCharType="separate"/>
    </w:r>
    <w:r w:rsidRPr="00EB42D3">
      <w:t>av Peter Rådberg m.fl. (MP)</w:t>
    </w:r>
    <w:r w:rsidRPr="00EB42D3">
      <w:fldChar w:fldCharType="end"/>
    </w:r>
    <w:r w:rsidRPr="00EB42D3">
      <w:br/>
    </w:r>
    <w:r w:rsidRPr="00EB42D3">
      <w:fldChar w:fldCharType="begin" w:fldLock="1"/>
    </w:r>
    <w:r w:rsidRPr="00EB42D3">
      <w:instrText xml:space="preserve"> DOCPROPERTY "SvarFrasKort" *\charformat </w:instrText>
    </w:r>
    <w:r w:rsidRPr="00EB42D3">
      <w:fldChar w:fldCharType="end"/>
    </w:r>
  </w:p>
  <w:p w:rsidR="00342F73" w:rsidRPr="00EB42D3" w:rsidRDefault="00342F73">
    <w:pPr>
      <w:pStyle w:val="FSHTitel"/>
    </w:pPr>
    <w:r w:rsidRPr="00EB42D3">
      <w:fldChar w:fldCharType="begin" w:fldLock="1"/>
    </w:r>
    <w:r w:rsidRPr="00EB42D3">
      <w:instrText xml:space="preserve"> DOCPROPERTY</w:instrText>
    </w:r>
    <w:r w:rsidRPr="00EB42D3">
      <w:rPr>
        <w:sz w:val="18"/>
      </w:rPr>
      <w:instrText xml:space="preserve"> "RubrikSvar" *\charformat </w:instrText>
    </w:r>
    <w:r w:rsidRPr="00EB42D3">
      <w:fldChar w:fldCharType="separate"/>
    </w:r>
    <w:r w:rsidRPr="00EB42D3">
      <w:t>Utgiftsområde 6 Försvar och samhällets krisberedskap</w:t>
    </w:r>
    <w:r w:rsidRPr="00EB42D3">
      <w:fldChar w:fldCharType="end"/>
    </w:r>
  </w:p>
  <w:p w:rsidR="00342F73" w:rsidRPr="00EB42D3" w:rsidRDefault="00342F73">
    <w:pPr>
      <w:pStyle w:val="Normal00"/>
    </w:pPr>
  </w:p>
  <w:p w:rsidR="00342F73" w:rsidRPr="00EB42D3" w:rsidRDefault="00342F7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8837F73"/>
    <w:multiLevelType w:val="multilevel"/>
    <w:tmpl w:val="2350106A"/>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38A71AE1"/>
    <w:multiLevelType w:val="multilevel"/>
    <w:tmpl w:val="BC825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49296C36"/>
    <w:multiLevelType w:val="hybridMultilevel"/>
    <w:tmpl w:val="AE9E51A2"/>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70D14959"/>
    <w:multiLevelType w:val="hybridMultilevel"/>
    <w:tmpl w:val="AE9E51A2"/>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2"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9534A02"/>
    <w:multiLevelType w:val="hybridMultilevel"/>
    <w:tmpl w:val="A3882EF4"/>
    <w:lvl w:ilvl="0" w:tplc="83A6EDA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87243627">
    <w:abstractNumId w:val="3"/>
  </w:num>
  <w:num w:numId="2" w16cid:durableId="1713536116">
    <w:abstractNumId w:val="2"/>
  </w:num>
  <w:num w:numId="3" w16cid:durableId="1155804150">
    <w:abstractNumId w:val="1"/>
  </w:num>
  <w:num w:numId="4" w16cid:durableId="938683634">
    <w:abstractNumId w:val="0"/>
  </w:num>
  <w:num w:numId="5" w16cid:durableId="113250728">
    <w:abstractNumId w:val="7"/>
  </w:num>
  <w:num w:numId="6" w16cid:durableId="2078741067">
    <w:abstractNumId w:val="6"/>
  </w:num>
  <w:num w:numId="7" w16cid:durableId="1807311960">
    <w:abstractNumId w:val="5"/>
  </w:num>
  <w:num w:numId="8" w16cid:durableId="1374841898">
    <w:abstractNumId w:val="4"/>
  </w:num>
  <w:num w:numId="9" w16cid:durableId="1131093055">
    <w:abstractNumId w:val="8"/>
  </w:num>
  <w:num w:numId="10" w16cid:durableId="1470978877">
    <w:abstractNumId w:val="9"/>
  </w:num>
  <w:num w:numId="11" w16cid:durableId="1789012245">
    <w:abstractNumId w:val="10"/>
  </w:num>
  <w:num w:numId="12" w16cid:durableId="1458064917">
    <w:abstractNumId w:val="14"/>
  </w:num>
  <w:num w:numId="13" w16cid:durableId="1218083648">
    <w:abstractNumId w:val="17"/>
  </w:num>
  <w:num w:numId="14" w16cid:durableId="377246910">
    <w:abstractNumId w:val="19"/>
  </w:num>
  <w:num w:numId="15" w16cid:durableId="933444038">
    <w:abstractNumId w:val="11"/>
  </w:num>
  <w:num w:numId="16" w16cid:durableId="732628834">
    <w:abstractNumId w:val="22"/>
  </w:num>
  <w:num w:numId="17" w16cid:durableId="1760635352">
    <w:abstractNumId w:val="20"/>
  </w:num>
  <w:num w:numId="18" w16cid:durableId="1854343387">
    <w:abstractNumId w:val="16"/>
  </w:num>
  <w:num w:numId="19" w16cid:durableId="1500150384">
    <w:abstractNumId w:val="13"/>
  </w:num>
  <w:num w:numId="20" w16cid:durableId="2088454717">
    <w:abstractNumId w:val="18"/>
  </w:num>
  <w:num w:numId="21" w16cid:durableId="1346008282">
    <w:abstractNumId w:val="21"/>
  </w:num>
  <w:num w:numId="22" w16cid:durableId="388307972">
    <w:abstractNumId w:val="15"/>
  </w:num>
  <w:num w:numId="23" w16cid:durableId="1831172711">
    <w:abstractNumId w:val="23"/>
  </w:num>
  <w:num w:numId="24" w16cid:durableId="2189782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4"/>
    <w:docVar w:name="PersonGUIDs" w:val="{36F36A54-6768-4A6E-926B-6FD4A809EF2F},{8B79F084-2FE8-43FE-81EC-B454DB4AAA24},{1D8EF1E5-F0F1-44B1-A39B-07018B6AC14E}"/>
  </w:docVars>
  <w:rsids>
    <w:rsidRoot w:val="00030C57"/>
    <w:rsid w:val="00030C57"/>
    <w:rsid w:val="00342F73"/>
    <w:rsid w:val="00EB42D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6A73374-BA37-4478-8EDD-758106287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24"/>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aliases w:val="beslutdnr"/>
    <w:basedOn w:val="Normal"/>
    <w:pPr>
      <w:spacing w:before="100" w:beforeAutospacing="1" w:after="100" w:afterAutospacing="1" w:line="240" w:lineRule="auto"/>
    </w:pPr>
    <w:rPr>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740423">
      <w:bodyDiv w:val="1"/>
      <w:marLeft w:val="0"/>
      <w:marRight w:val="0"/>
      <w:marTop w:val="0"/>
      <w:marBottom w:val="0"/>
      <w:divBdr>
        <w:top w:val="none" w:sz="0" w:space="0" w:color="auto"/>
        <w:left w:val="none" w:sz="0" w:space="0" w:color="auto"/>
        <w:bottom w:val="none" w:sz="0" w:space="0" w:color="auto"/>
        <w:right w:val="none" w:sz="0" w:space="0" w:color="auto"/>
      </w:divBdr>
    </w:div>
    <w:div w:id="153878938">
      <w:bodyDiv w:val="1"/>
      <w:marLeft w:val="0"/>
      <w:marRight w:val="0"/>
      <w:marTop w:val="0"/>
      <w:marBottom w:val="0"/>
      <w:divBdr>
        <w:top w:val="none" w:sz="0" w:space="0" w:color="auto"/>
        <w:left w:val="none" w:sz="0" w:space="0" w:color="auto"/>
        <w:bottom w:val="none" w:sz="0" w:space="0" w:color="auto"/>
        <w:right w:val="none" w:sz="0" w:space="0" w:color="auto"/>
      </w:divBdr>
    </w:div>
    <w:div w:id="378672069">
      <w:bodyDiv w:val="1"/>
      <w:marLeft w:val="0"/>
      <w:marRight w:val="0"/>
      <w:marTop w:val="0"/>
      <w:marBottom w:val="0"/>
      <w:divBdr>
        <w:top w:val="none" w:sz="0" w:space="0" w:color="auto"/>
        <w:left w:val="none" w:sz="0" w:space="0" w:color="auto"/>
        <w:bottom w:val="none" w:sz="0" w:space="0" w:color="auto"/>
        <w:right w:val="none" w:sz="0" w:space="0" w:color="auto"/>
      </w:divBdr>
    </w:div>
    <w:div w:id="498739689">
      <w:bodyDiv w:val="1"/>
      <w:marLeft w:val="0"/>
      <w:marRight w:val="0"/>
      <w:marTop w:val="0"/>
      <w:marBottom w:val="0"/>
      <w:divBdr>
        <w:top w:val="none" w:sz="0" w:space="0" w:color="auto"/>
        <w:left w:val="none" w:sz="0" w:space="0" w:color="auto"/>
        <w:bottom w:val="none" w:sz="0" w:space="0" w:color="auto"/>
        <w:right w:val="none" w:sz="0" w:space="0" w:color="auto"/>
      </w:divBdr>
    </w:div>
    <w:div w:id="838041206">
      <w:bodyDiv w:val="1"/>
      <w:marLeft w:val="0"/>
      <w:marRight w:val="0"/>
      <w:marTop w:val="0"/>
      <w:marBottom w:val="0"/>
      <w:divBdr>
        <w:top w:val="none" w:sz="0" w:space="0" w:color="auto"/>
        <w:left w:val="none" w:sz="0" w:space="0" w:color="auto"/>
        <w:bottom w:val="none" w:sz="0" w:space="0" w:color="auto"/>
        <w:right w:val="none" w:sz="0" w:space="0" w:color="auto"/>
      </w:divBdr>
    </w:div>
    <w:div w:id="1161844883">
      <w:bodyDiv w:val="1"/>
      <w:marLeft w:val="0"/>
      <w:marRight w:val="0"/>
      <w:marTop w:val="0"/>
      <w:marBottom w:val="0"/>
      <w:divBdr>
        <w:top w:val="none" w:sz="0" w:space="0" w:color="auto"/>
        <w:left w:val="none" w:sz="0" w:space="0" w:color="auto"/>
        <w:bottom w:val="none" w:sz="0" w:space="0" w:color="auto"/>
        <w:right w:val="none" w:sz="0" w:space="0" w:color="auto"/>
      </w:divBdr>
    </w:div>
    <w:div w:id="1417360563">
      <w:bodyDiv w:val="1"/>
      <w:marLeft w:val="0"/>
      <w:marRight w:val="0"/>
      <w:marTop w:val="0"/>
      <w:marBottom w:val="0"/>
      <w:divBdr>
        <w:top w:val="none" w:sz="0" w:space="0" w:color="auto"/>
        <w:left w:val="none" w:sz="0" w:space="0" w:color="auto"/>
        <w:bottom w:val="none" w:sz="0" w:space="0" w:color="auto"/>
        <w:right w:val="none" w:sz="0" w:space="0" w:color="auto"/>
      </w:divBdr>
    </w:div>
    <w:div w:id="1492984607">
      <w:bodyDiv w:val="1"/>
      <w:marLeft w:val="0"/>
      <w:marRight w:val="0"/>
      <w:marTop w:val="0"/>
      <w:marBottom w:val="0"/>
      <w:divBdr>
        <w:top w:val="none" w:sz="0" w:space="0" w:color="auto"/>
        <w:left w:val="none" w:sz="0" w:space="0" w:color="auto"/>
        <w:bottom w:val="none" w:sz="0" w:space="0" w:color="auto"/>
        <w:right w:val="none" w:sz="0" w:space="0" w:color="auto"/>
      </w:divBdr>
    </w:div>
    <w:div w:id="1603338488">
      <w:bodyDiv w:val="1"/>
      <w:marLeft w:val="0"/>
      <w:marRight w:val="0"/>
      <w:marTop w:val="0"/>
      <w:marBottom w:val="0"/>
      <w:divBdr>
        <w:top w:val="none" w:sz="0" w:space="0" w:color="auto"/>
        <w:left w:val="none" w:sz="0" w:space="0" w:color="auto"/>
        <w:bottom w:val="none" w:sz="0" w:space="0" w:color="auto"/>
        <w:right w:val="none" w:sz="0" w:space="0" w:color="auto"/>
      </w:divBdr>
    </w:div>
    <w:div w:id="1608466690">
      <w:bodyDiv w:val="1"/>
      <w:marLeft w:val="0"/>
      <w:marRight w:val="0"/>
      <w:marTop w:val="0"/>
      <w:marBottom w:val="0"/>
      <w:divBdr>
        <w:top w:val="none" w:sz="0" w:space="0" w:color="auto"/>
        <w:left w:val="none" w:sz="0" w:space="0" w:color="auto"/>
        <w:bottom w:val="none" w:sz="0" w:space="0" w:color="auto"/>
        <w:right w:val="none" w:sz="0" w:space="0" w:color="auto"/>
      </w:divBdr>
    </w:div>
    <w:div w:id="1619338956">
      <w:bodyDiv w:val="1"/>
      <w:marLeft w:val="0"/>
      <w:marRight w:val="0"/>
      <w:marTop w:val="0"/>
      <w:marBottom w:val="0"/>
      <w:divBdr>
        <w:top w:val="none" w:sz="0" w:space="0" w:color="auto"/>
        <w:left w:val="none" w:sz="0" w:space="0" w:color="auto"/>
        <w:bottom w:val="none" w:sz="0" w:space="0" w:color="auto"/>
        <w:right w:val="none" w:sz="0" w:space="0" w:color="auto"/>
      </w:divBdr>
    </w:div>
    <w:div w:id="1678076371">
      <w:bodyDiv w:val="1"/>
      <w:marLeft w:val="0"/>
      <w:marRight w:val="0"/>
      <w:marTop w:val="0"/>
      <w:marBottom w:val="0"/>
      <w:divBdr>
        <w:top w:val="none" w:sz="0" w:space="0" w:color="auto"/>
        <w:left w:val="none" w:sz="0" w:space="0" w:color="auto"/>
        <w:bottom w:val="none" w:sz="0" w:space="0" w:color="auto"/>
        <w:right w:val="none" w:sz="0" w:space="0" w:color="auto"/>
      </w:divBdr>
    </w:div>
    <w:div w:id="1826433635">
      <w:bodyDiv w:val="1"/>
      <w:marLeft w:val="0"/>
      <w:marRight w:val="0"/>
      <w:marTop w:val="0"/>
      <w:marBottom w:val="0"/>
      <w:divBdr>
        <w:top w:val="none" w:sz="0" w:space="0" w:color="auto"/>
        <w:left w:val="none" w:sz="0" w:space="0" w:color="auto"/>
        <w:bottom w:val="none" w:sz="0" w:space="0" w:color="auto"/>
        <w:right w:val="none" w:sz="0" w:space="0" w:color="auto"/>
      </w:divBdr>
    </w:div>
    <w:div w:id="1916473116">
      <w:bodyDiv w:val="1"/>
      <w:marLeft w:val="0"/>
      <w:marRight w:val="0"/>
      <w:marTop w:val="0"/>
      <w:marBottom w:val="0"/>
      <w:divBdr>
        <w:top w:val="none" w:sz="0" w:space="0" w:color="auto"/>
        <w:left w:val="none" w:sz="0" w:space="0" w:color="auto"/>
        <w:bottom w:val="none" w:sz="0" w:space="0" w:color="auto"/>
        <w:right w:val="none" w:sz="0" w:space="0" w:color="auto"/>
      </w:divBdr>
    </w:div>
    <w:div w:id="1937514398">
      <w:bodyDiv w:val="1"/>
      <w:marLeft w:val="0"/>
      <w:marRight w:val="0"/>
      <w:marTop w:val="0"/>
      <w:marBottom w:val="0"/>
      <w:divBdr>
        <w:top w:val="none" w:sz="0" w:space="0" w:color="auto"/>
        <w:left w:val="none" w:sz="0" w:space="0" w:color="auto"/>
        <w:bottom w:val="none" w:sz="0" w:space="0" w:color="auto"/>
        <w:right w:val="none" w:sz="0" w:space="0" w:color="auto"/>
      </w:divBdr>
    </w:div>
    <w:div w:id="1972976694">
      <w:bodyDiv w:val="1"/>
      <w:marLeft w:val="0"/>
      <w:marRight w:val="0"/>
      <w:marTop w:val="0"/>
      <w:marBottom w:val="0"/>
      <w:divBdr>
        <w:top w:val="none" w:sz="0" w:space="0" w:color="auto"/>
        <w:left w:val="none" w:sz="0" w:space="0" w:color="auto"/>
        <w:bottom w:val="none" w:sz="0" w:space="0" w:color="auto"/>
        <w:right w:val="none" w:sz="0" w:space="0" w:color="auto"/>
      </w:divBdr>
      <w:divsChild>
        <w:div w:id="432171145">
          <w:marLeft w:val="0"/>
          <w:marRight w:val="0"/>
          <w:marTop w:val="0"/>
          <w:marBottom w:val="0"/>
          <w:divBdr>
            <w:top w:val="none" w:sz="0" w:space="0" w:color="auto"/>
            <w:left w:val="none" w:sz="0" w:space="0" w:color="auto"/>
            <w:bottom w:val="none" w:sz="0" w:space="0" w:color="auto"/>
            <w:right w:val="none" w:sz="0" w:space="0" w:color="auto"/>
          </w:divBdr>
          <w:divsChild>
            <w:div w:id="482895266">
              <w:marLeft w:val="0"/>
              <w:marRight w:val="0"/>
              <w:marTop w:val="0"/>
              <w:marBottom w:val="0"/>
              <w:divBdr>
                <w:top w:val="none" w:sz="0" w:space="0" w:color="auto"/>
                <w:left w:val="none" w:sz="0" w:space="0" w:color="auto"/>
                <w:bottom w:val="none" w:sz="0" w:space="0" w:color="auto"/>
                <w:right w:val="none" w:sz="0" w:space="0" w:color="auto"/>
              </w:divBdr>
              <w:divsChild>
                <w:div w:id="1565994592">
                  <w:marLeft w:val="0"/>
                  <w:marRight w:val="0"/>
                  <w:marTop w:val="0"/>
                  <w:marBottom w:val="0"/>
                  <w:divBdr>
                    <w:top w:val="none" w:sz="0" w:space="0" w:color="auto"/>
                    <w:left w:val="none" w:sz="0" w:space="0" w:color="auto"/>
                    <w:bottom w:val="none" w:sz="0" w:space="0" w:color="auto"/>
                    <w:right w:val="none" w:sz="0" w:space="0" w:color="auto"/>
                  </w:divBdr>
                  <w:divsChild>
                    <w:div w:id="2091851620">
                      <w:marLeft w:val="0"/>
                      <w:marRight w:val="0"/>
                      <w:marTop w:val="0"/>
                      <w:marBottom w:val="0"/>
                      <w:divBdr>
                        <w:top w:val="none" w:sz="0" w:space="0" w:color="auto"/>
                        <w:left w:val="none" w:sz="0" w:space="0" w:color="auto"/>
                        <w:bottom w:val="none" w:sz="0" w:space="0" w:color="auto"/>
                        <w:right w:val="none" w:sz="0" w:space="0" w:color="auto"/>
                      </w:divBdr>
                      <w:divsChild>
                        <w:div w:id="1178078025">
                          <w:marLeft w:val="0"/>
                          <w:marRight w:val="0"/>
                          <w:marTop w:val="0"/>
                          <w:marBottom w:val="0"/>
                          <w:divBdr>
                            <w:top w:val="none" w:sz="0" w:space="0" w:color="auto"/>
                            <w:left w:val="none" w:sz="0" w:space="0" w:color="auto"/>
                            <w:bottom w:val="none" w:sz="0" w:space="0" w:color="auto"/>
                            <w:right w:val="none" w:sz="0" w:space="0" w:color="auto"/>
                          </w:divBdr>
                          <w:divsChild>
                            <w:div w:id="600602359">
                              <w:marLeft w:val="0"/>
                              <w:marRight w:val="0"/>
                              <w:marTop w:val="0"/>
                              <w:marBottom w:val="0"/>
                              <w:divBdr>
                                <w:top w:val="none" w:sz="0" w:space="0" w:color="auto"/>
                                <w:left w:val="none" w:sz="0" w:space="0" w:color="auto"/>
                                <w:bottom w:val="none" w:sz="0" w:space="0" w:color="auto"/>
                                <w:right w:val="none" w:sz="0" w:space="0" w:color="auto"/>
                              </w:divBdr>
                            </w:div>
                            <w:div w:id="1678770972">
                              <w:marLeft w:val="0"/>
                              <w:marRight w:val="0"/>
                              <w:marTop w:val="0"/>
                              <w:marBottom w:val="0"/>
                              <w:divBdr>
                                <w:top w:val="none" w:sz="0" w:space="0" w:color="auto"/>
                                <w:left w:val="none" w:sz="0" w:space="0" w:color="auto"/>
                                <w:bottom w:val="none" w:sz="0" w:space="0" w:color="auto"/>
                                <w:right w:val="none" w:sz="0" w:space="0" w:color="auto"/>
                              </w:divBdr>
                              <w:divsChild>
                                <w:div w:id="32385483">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sChild>
                        </w:div>
                      </w:divsChild>
                    </w:div>
                  </w:divsChild>
                </w:div>
              </w:divsChild>
            </w:div>
          </w:divsChild>
        </w:div>
      </w:divsChild>
    </w:div>
    <w:div w:id="2044476714">
      <w:bodyDiv w:val="1"/>
      <w:marLeft w:val="0"/>
      <w:marRight w:val="0"/>
      <w:marTop w:val="0"/>
      <w:marBottom w:val="0"/>
      <w:divBdr>
        <w:top w:val="none" w:sz="0" w:space="0" w:color="auto"/>
        <w:left w:val="none" w:sz="0" w:space="0" w:color="auto"/>
        <w:bottom w:val="none" w:sz="0" w:space="0" w:color="auto"/>
        <w:right w:val="none" w:sz="0" w:space="0" w:color="auto"/>
      </w:divBdr>
    </w:div>
    <w:div w:id="2095122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1897</Words>
  <Characters>11516</Characters>
  <Application>Microsoft Office Word</Application>
  <DocSecurity>4</DocSecurity>
  <Lines>295</Lines>
  <Paragraphs>154</Paragraphs>
  <ScaleCrop>false</ScaleCrop>
  <HeadingPairs>
    <vt:vector size="2" baseType="variant">
      <vt:variant>
        <vt:lpstr>Rubrik</vt:lpstr>
      </vt:variant>
      <vt:variant>
        <vt:i4>1</vt:i4>
      </vt:variant>
    </vt:vector>
  </HeadingPairs>
  <TitlesOfParts>
    <vt:vector size="1" baseType="lpstr">
      <vt:lpstr>MP1024</vt:lpstr>
    </vt:vector>
  </TitlesOfParts>
  <Company>Riksdagen</Company>
  <LinksUpToDate>false</LinksUpToDate>
  <CharactersWithSpaces>13259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MP1024</dc:title>
  <dc:subject>MP1024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2011-11-02T10:01:00Z</cp:lastPrinted>
  <dcterms:created xsi:type="dcterms:W3CDTF">2025-12-17T18:48:00Z</dcterms:created>
  <dcterms:modified xsi:type="dcterms:W3CDTF">2025-12-17T18:48:00Z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mot2000_533_2011-09-24</vt:lpwstr>
  </property>
  <property fmtid="{D5CDD505-2E9C-101B-9397-08002B2CF9AE}" pid="3" name="version">
    <vt:lpwstr>mot2000_533_2011-09-24</vt:lpwstr>
  </property>
  <property fmtid="{D5CDD505-2E9C-101B-9397-08002B2CF9AE}" pid="4" name="dokumenttyp">
    <vt:lpwstr>motion</vt:lpwstr>
  </property>
  <property fmtid="{D5CDD505-2E9C-101B-9397-08002B2CF9AE}" pid="5" name="Sekr">
    <vt:lpwstr>XY</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Utgiftsområde 6 Försvar och samhällets krisberedskap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6 Försvar och samhällets krisberedskap</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MP1024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Peter Rådberg m.fl. (MP)</vt:lpwstr>
  </property>
  <property fmtid="{D5CDD505-2E9C-101B-9397-08002B2CF9AE}" pid="26" name="MotionarLista">
    <vt:lpwstr>Rådberg, Peter (MP)\Ceballos, Bodil (MP)\Dingizian, Esabelle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Rådberg (MP), Bodil Ceballos (MP), Esabelle Dingizian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Fö238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20112012000000770080000010240075</vt:lpwstr>
  </property>
  <property fmtid="{D5CDD505-2E9C-101B-9397-08002B2CF9AE}" pid="47" name="datum">
    <vt:lpwstr>111005</vt:lpwstr>
  </property>
  <property fmtid="{D5CDD505-2E9C-101B-9397-08002B2CF9AE}" pid="48" name="avsändar-e-post">
    <vt:lpwstr>magnus.lindgren@riksdagen.se</vt:lpwstr>
  </property>
  <property fmtid="{D5CDD505-2E9C-101B-9397-08002B2CF9AE}" pid="49" name="id">
    <vt:lpwstr>20112012000000770080000010240075</vt:lpwstr>
  </property>
  <property fmtid="{D5CDD505-2E9C-101B-9397-08002B2CF9AE}" pid="50" name="nummer">
    <vt:lpwstr>238</vt:lpwstr>
  </property>
  <property fmtid="{D5CDD505-2E9C-101B-9397-08002B2CF9AE}" pid="51" name="utskottsbeteckning">
    <vt:lpwstr>Fö</vt:lpwstr>
  </property>
  <property fmtid="{D5CDD505-2E9C-101B-9397-08002B2CF9AE}" pid="52" name="GlobalUID">
    <vt:lpwstr>{F081E52E-C0FE-4172-9E52-992359A2336D}</vt:lpwstr>
  </property>
  <property fmtid="{D5CDD505-2E9C-101B-9397-08002B2CF9AE}" pid="53" name="Överföringar">
    <vt:i4>0</vt:i4>
  </property>
  <property fmtid="{D5CDD505-2E9C-101B-9397-08002B2CF9AE}" pid="54" name="Checksum">
    <vt:lpwstr>*0009894915001*</vt:lpwstr>
  </property>
  <property fmtid="{D5CDD505-2E9C-101B-9397-08002B2CF9AE}" pid="55" name="skuggnummer">
    <vt:lpwstr>2929</vt:lpwstr>
  </property>
  <property fmtid="{D5CDD505-2E9C-101B-9397-08002B2CF9AE}" pid="56" name="urixVersion">
    <vt:lpwstr>4.5.0.25</vt:lpwstr>
  </property>
  <property fmtid="{D5CDD505-2E9C-101B-9397-08002B2CF9AE}" pid="57" name="urixOrigin">
    <vt:lpwstr>111102 11:03:52.212</vt:lpwstr>
  </property>
  <property fmtid="{D5CDD505-2E9C-101B-9397-08002B2CF9AE}" pid="58" name="urixGuid">
    <vt:lpwstr>{A7451548-D4BA-45C6-93FA-E1D998953380}</vt:lpwstr>
  </property>
</Properties>
</file>