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B2D74CA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37E9DEB0C80E465AB6BB7EB563A641B1"/>
        </w:placeholder>
        <w15:appearance w15:val="hidden"/>
        <w:text/>
      </w:sdtPr>
      <w:sdtEndPr/>
      <w:sdtContent>
        <w:p w:rsidR="00AF30DD" w:rsidP="00CC4C93" w:rsidRDefault="00AF30DD" w14:paraId="7B2D74C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1298ba3-afcd-4002-9ab0-2f2453442cdf"/>
        <w:id w:val="-562713635"/>
        <w:lock w:val="sdtLocked"/>
      </w:sdtPr>
      <w:sdtEndPr/>
      <w:sdtContent>
        <w:p w:rsidR="00D0486E" w:rsidRDefault="00B61B11" w14:paraId="7B2D74CC" w14:textId="77777777">
          <w:pPr>
            <w:pStyle w:val="Frslagstext"/>
          </w:pPr>
          <w:r>
            <w:t>Riksdagen tillkännager för regeringen som sin mening vad som anförs i motionen om att se över möjligheten att ge Tullverket befogenheter att leta efter stöldgods och misstänkta olagliga kontanter i samband med gränspassage.</w:t>
          </w:r>
        </w:p>
      </w:sdtContent>
    </w:sdt>
    <w:sdt>
      <w:sdtPr>
        <w:alias w:val="Förslag 2"/>
        <w:tag w:val="cd4831b5-ad3b-4848-aabb-4d2ccc08b4d2"/>
        <w:id w:val="-1636106613"/>
        <w:lock w:val="sdtLocked"/>
      </w:sdtPr>
      <w:sdtEndPr/>
      <w:sdtContent>
        <w:p w:rsidR="00D0486E" w:rsidRDefault="00B61B11" w14:paraId="7B2D74CD" w14:textId="3576A551">
          <w:pPr>
            <w:pStyle w:val="Frslagstext"/>
          </w:pPr>
          <w:r>
            <w:t>Riksdagen tillkännager för regeringen som sin mening vad som anförs i motionen om att se över möjligheten att inom EU verka för att ge tulltjänstemän befogenheter att leta efter stöldgods och misstänkta olagliga kontanter i samband med gränspassage.</w:t>
          </w:r>
        </w:p>
      </w:sdtContent>
    </w:sdt>
    <w:p w:rsidR="00AF30DD" w:rsidP="00AF30DD" w:rsidRDefault="000156D9" w14:paraId="7B2D74CE" w14:textId="77777777">
      <w:pPr>
        <w:pStyle w:val="Rubrik1"/>
      </w:pPr>
      <w:bookmarkStart w:name="MotionsStart" w:id="1"/>
      <w:bookmarkEnd w:id="1"/>
      <w:r>
        <w:t>Motivering</w:t>
      </w:r>
    </w:p>
    <w:p w:rsidR="002123A9" w:rsidP="00AF30DD" w:rsidRDefault="002123A9" w14:paraId="7B2D74CF" w14:textId="77777777">
      <w:pPr>
        <w:pStyle w:val="Normalutanindragellerluft"/>
      </w:pPr>
      <w:r w:rsidRPr="002123A9">
        <w:t>Bara ett begränsat antal varor har anmälningsplikt vid gränspassage till och från Sverige. Stöldgods som lämnar Sverige är ett flöde som Tullverket inte har rätt att leta efter i samband med utresor från landet. Det är mycket troligt att en del av de varor som tillgripits genom brottsligt förfarande förs ut ur landet för omsättning i andra länder. Givetvis har vi sannolikt också ett inflöde av ex</w:t>
      </w:r>
      <w:r>
        <w:t>klusivt stöldgods till Sverige från andra länder.</w:t>
      </w:r>
    </w:p>
    <w:p w:rsidR="002123A9" w:rsidP="00AF30DD" w:rsidRDefault="002123A9" w14:paraId="7B2D74D0" w14:textId="77777777">
      <w:pPr>
        <w:pStyle w:val="Normalutanindragellerluft"/>
      </w:pPr>
      <w:r w:rsidRPr="002123A9">
        <w:t xml:space="preserve">Genom att ge Tullverket befogenhet att genomföra kontroller i syfte att återfinna stöldgods torde </w:t>
      </w:r>
      <w:r>
        <w:t>vi försvåra avsättning</w:t>
      </w:r>
      <w:r w:rsidRPr="002123A9">
        <w:t xml:space="preserve">. Vi skulle sannolikt också klara upp fler mängdbrott av mindre exklusiva varor i landet. Utredning av eventuell uppdagad brottslig verksamhet måste sedan ligga kvar hos polisen – även om det landar som ett brott mot en anmälningsplikt enligt </w:t>
      </w:r>
      <w:r>
        <w:t>en ny punkt i befogenhetslagen.</w:t>
      </w:r>
    </w:p>
    <w:p w:rsidR="002123A9" w:rsidP="00AF30DD" w:rsidRDefault="002123A9" w14:paraId="7B2D74D1" w14:textId="77777777">
      <w:pPr>
        <w:pStyle w:val="Normalutanindragellerluft"/>
      </w:pPr>
      <w:r w:rsidRPr="002123A9">
        <w:t>Det förs även valuta in och ut över gränserna inom EU som tulltjänstemän ser i samband med andra kontroller. Ibland upplevs större summor som lite ”tveksamma” men Tullverket har ing</w:t>
      </w:r>
      <w:r>
        <w:t xml:space="preserve">en möjlighet att göra något. Det är förmodligen vanligt att det </w:t>
      </w:r>
      <w:r>
        <w:lastRenderedPageBreak/>
        <w:t>ligger brott bakom flera av dessa fall. Dessa pengar</w:t>
      </w:r>
      <w:r w:rsidRPr="002123A9">
        <w:t xml:space="preserve"> </w:t>
      </w:r>
      <w:r>
        <w:t>skulle kunna</w:t>
      </w:r>
      <w:r w:rsidRPr="002123A9">
        <w:t xml:space="preserve"> röra sig om byten vid rån, det kan vara svarta pengar som ska tvättas i annat land och det kan vara kontanter </w:t>
      </w:r>
      <w:r>
        <w:t>som är knutna till skattebrott.</w:t>
      </w:r>
    </w:p>
    <w:p w:rsidR="00AF30DD" w:rsidP="00AF30DD" w:rsidRDefault="002123A9" w14:paraId="7B2D74D2" w14:textId="77777777">
      <w:pPr>
        <w:pStyle w:val="Normalutanindragellerluft"/>
      </w:pPr>
      <w:r w:rsidRPr="002123A9">
        <w:t>Sedan några år tillbaka finns det en EU-förordning som styr utförsel av valuta till tredjeland med anmälningsplikt då någon för ut större belopp än 10 000 euro. Detta belopp i kontanter borde vara anmälningspliktigt även då de förs mellan EU-länder. Det är svårt att förstå varför någon i dagens elektroniska värld skulle behöva föra med sig kontanter över detta belopp mellan två stater eller ens inom landet. Skulle ovanstående förslag möta hinder genom EU:s direktiv (t</w:t>
      </w:r>
      <w:r>
        <w:t>.ex. om fri rörlighet) menar vi</w:t>
      </w:r>
      <w:r w:rsidRPr="002123A9">
        <w:t xml:space="preserve"> att regeringen snarast måste ta initiativ till att denna lagstiftning ändras. Den fria rörligheten får inte skydda gränsöverskridande brottslig verksamhet.</w:t>
      </w:r>
    </w:p>
    <w:sdt>
      <w:sdtPr>
        <w:alias w:val="CC_Underskrifter"/>
        <w:tag w:val="CC_Underskrifter"/>
        <w:id w:val="583496634"/>
        <w:lock w:val="sdtContentLocked"/>
        <w:placeholder>
          <w:docPart w:val="4E49BB53F358405BB601F8CDA3B658C6"/>
        </w:placeholder>
        <w15:appearance w15:val="hidden"/>
      </w:sdtPr>
      <w:sdtEndPr/>
      <w:sdtContent>
        <w:p w:rsidRPr="009E153C" w:rsidR="00865E70" w:rsidP="00763FB8" w:rsidRDefault="00763FB8" w14:paraId="7B2D74D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</w:tr>
    </w:tbl>
    <w:p w:rsidR="005A4B3F" w:rsidRDefault="005A4B3F" w14:paraId="7B2D74D7" w14:textId="77777777"/>
    <w:sectPr w:rsidR="005A4B3F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D74D9" w14:textId="77777777" w:rsidR="00D50985" w:rsidRDefault="00D50985" w:rsidP="000C1CAD">
      <w:pPr>
        <w:spacing w:line="240" w:lineRule="auto"/>
      </w:pPr>
      <w:r>
        <w:separator/>
      </w:r>
    </w:p>
  </w:endnote>
  <w:endnote w:type="continuationSeparator" w:id="0">
    <w:p w14:paraId="7B2D74DA" w14:textId="77777777" w:rsidR="00D50985" w:rsidRDefault="00D509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D74DD" w14:textId="77777777" w:rsidR="0059332B" w:rsidRDefault="0059332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D74D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E5F8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D74E5" w14:textId="77777777" w:rsidR="007A5045" w:rsidRDefault="007A504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08:47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D74D7" w14:textId="77777777" w:rsidR="00D50985" w:rsidRDefault="00D50985" w:rsidP="000C1CAD">
      <w:pPr>
        <w:spacing w:line="240" w:lineRule="auto"/>
      </w:pPr>
      <w:r>
        <w:separator/>
      </w:r>
    </w:p>
  </w:footnote>
  <w:footnote w:type="continuationSeparator" w:id="0">
    <w:p w14:paraId="7B2D74D8" w14:textId="77777777" w:rsidR="00D50985" w:rsidRDefault="00D509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32B" w:rsidRDefault="0059332B" w14:paraId="7B2D74DB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32B" w:rsidRDefault="0059332B" w14:paraId="7B2D74DC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B2D74D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E5F84" w14:paraId="7B2D74E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1438</w:t>
        </w:r>
      </w:sdtContent>
    </w:sdt>
  </w:p>
  <w:p w:rsidR="00467151" w:rsidP="00283E0F" w:rsidRDefault="005E5F84" w14:paraId="7B2D74E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Peter Jeppsson och Suzanne Svensson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123A9" w14:paraId="7B2D74E3" w14:textId="77777777">
        <w:pPr>
          <w:pStyle w:val="FSHRub2"/>
        </w:pPr>
        <w:r>
          <w:t>Tullverkets befogenheter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B2D74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A91F74"/>
    <w:multiLevelType w:val="hybridMultilevel"/>
    <w:tmpl w:val="4544C7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54F2B6F-79CC-4CF0-ADA2-1D25C5C94789},{AE4AE17A-E732-4932-B62A-0792107AD9FC}"/>
  </w:docVars>
  <w:rsids>
    <w:rsidRoot w:val="002123A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23A9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332B"/>
    <w:rsid w:val="005A0393"/>
    <w:rsid w:val="005A19A4"/>
    <w:rsid w:val="005A1A53"/>
    <w:rsid w:val="005A4B3F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5F84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3FB8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45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A7E19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1B11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04FA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0486E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0985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A95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2D74CA"/>
  <w15:chartTrackingRefBased/>
  <w15:docId w15:val="{AFA102FE-FD72-47F1-B7C4-5124E15C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108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E9DEB0C80E465AB6BB7EB563A64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A32BD-0630-4986-91D7-7E361DCCD515}"/>
      </w:docPartPr>
      <w:docPartBody>
        <w:p w:rsidR="00FC330D" w:rsidRDefault="00AA2A07">
          <w:pPr>
            <w:pStyle w:val="37E9DEB0C80E465AB6BB7EB563A641B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E49BB53F358405BB601F8CDA3B65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85D54-1928-4B17-BED7-305EC0F6C5C3}"/>
      </w:docPartPr>
      <w:docPartBody>
        <w:p w:rsidR="00FC330D" w:rsidRDefault="00AA2A07">
          <w:pPr>
            <w:pStyle w:val="4E49BB53F358405BB601F8CDA3B658C6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0D"/>
    <w:rsid w:val="00AA2A07"/>
    <w:rsid w:val="00F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7E9DEB0C80E465AB6BB7EB563A641B1">
    <w:name w:val="37E9DEB0C80E465AB6BB7EB563A641B1"/>
  </w:style>
  <w:style w:type="paragraph" w:customStyle="1" w:styleId="7CAE6E4874B64E98AD481B1364662820">
    <w:name w:val="7CAE6E4874B64E98AD481B1364662820"/>
  </w:style>
  <w:style w:type="paragraph" w:customStyle="1" w:styleId="4E49BB53F358405BB601F8CDA3B658C6">
    <w:name w:val="4E49BB53F358405BB601F8CDA3B65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1455</RubrikLookup>
    <MotionGuid xmlns="00d11361-0b92-4bae-a181-288d6a55b763">a3fdad73-ab5c-4d4f-af2b-dee22f69e3e6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DEC45-CB57-4EE2-99C1-DB5ABDBE5B81}"/>
</file>

<file path=customXml/itemProps2.xml><?xml version="1.0" encoding="utf-8"?>
<ds:datastoreItem xmlns:ds="http://schemas.openxmlformats.org/officeDocument/2006/customXml" ds:itemID="{C19E603F-C6A8-414F-9E68-D251CD25F614}"/>
</file>

<file path=customXml/itemProps3.xml><?xml version="1.0" encoding="utf-8"?>
<ds:datastoreItem xmlns:ds="http://schemas.openxmlformats.org/officeDocument/2006/customXml" ds:itemID="{3F5701A1-2247-4F78-9A75-C16A11B6C010}"/>
</file>

<file path=customXml/itemProps4.xml><?xml version="1.0" encoding="utf-8"?>
<ds:datastoreItem xmlns:ds="http://schemas.openxmlformats.org/officeDocument/2006/customXml" ds:itemID="{17DFE10D-1703-45D0-868F-2A982EAC0A3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396</Words>
  <Characters>2127</Characters>
  <Application>Microsoft Office Word</Application>
  <DocSecurity>0</DocSecurity>
  <Lines>38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201415S6001 Tullverkets befogenheter</vt:lpstr>
      <vt:lpstr/>
    </vt:vector>
  </TitlesOfParts>
  <Company>Riksdagen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201415S6001 Tullverkets befogenheter</dc:title>
  <dc:subject/>
  <dc:creator>It-avdelningen</dc:creator>
  <cp:keywords/>
  <dc:description/>
  <cp:lastModifiedBy>Tuula Zetterman</cp:lastModifiedBy>
  <cp:revision>7</cp:revision>
  <cp:lastPrinted>2014-11-07T07:47:00Z</cp:lastPrinted>
  <dcterms:created xsi:type="dcterms:W3CDTF">2014-10-20T07:34:00Z</dcterms:created>
  <dcterms:modified xsi:type="dcterms:W3CDTF">2014-11-07T17:08:00Z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*T9FFBC7A947DE*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http://filur.riksdagen.se/drop/DropOffLibrary/T9FFBC7A947DE.docx</vt:lpwstr>
  </property>
</Properties>
</file>